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4EE7" w:rsidR="001C538D" w:rsidRDefault="001C538D" w14:paraId="69456223" w14:textId="77777777">
      <w:pPr>
        <w:pStyle w:val="titlebar"/>
        <w:rPr>
          <w:szCs w:val="26"/>
        </w:rPr>
      </w:pPr>
      <w:r w:rsidRPr="00464EE7">
        <w:rPr>
          <w:szCs w:val="26"/>
        </w:rPr>
        <w:t>PUBLIC UTILITIES COMMISSION OF THE STATE OF CALIFORNIA</w:t>
      </w:r>
    </w:p>
    <w:p w:rsidRPr="0026099A" w:rsidR="001C538D" w:rsidRDefault="001C538D" w14:paraId="69456224" w14:textId="77777777">
      <w:pPr>
        <w:suppressAutoHyphens/>
        <w:rPr>
          <w:sz w:val="24"/>
          <w:szCs w:val="24"/>
        </w:rPr>
      </w:pPr>
      <w:r w:rsidRPr="008C204D">
        <w:t xml:space="preserve">                                                                                                   </w:t>
      </w:r>
    </w:p>
    <w:p w:rsidR="00844310" w:rsidP="00844310" w:rsidRDefault="00844310" w14:paraId="488B7A0B" w14:textId="33BEFC3A">
      <w:pPr>
        <w:tabs>
          <w:tab w:val="right" w:pos="8550"/>
        </w:tabs>
        <w:suppressAutoHyphens/>
        <w:rPr>
          <w:rFonts w:ascii="Palatino Linotype" w:hAnsi="Palatino Linotype"/>
          <w:b/>
          <w:sz w:val="24"/>
          <w:szCs w:val="24"/>
        </w:rPr>
      </w:pPr>
      <w:r>
        <w:rPr>
          <w:rFonts w:ascii="Palatino Linotype" w:hAnsi="Palatino Linotype"/>
          <w:b/>
          <w:sz w:val="24"/>
          <w:szCs w:val="24"/>
        </w:rPr>
        <w:tab/>
      </w:r>
      <w:r w:rsidRPr="00464EE7" w:rsidR="00265A6D">
        <w:rPr>
          <w:rFonts w:ascii="Palatino Linotype" w:hAnsi="Palatino Linotype"/>
          <w:b/>
          <w:sz w:val="24"/>
          <w:szCs w:val="24"/>
        </w:rPr>
        <w:t>AGENDA ID</w:t>
      </w:r>
      <w:r w:rsidRPr="00464EE7" w:rsidR="0026099A">
        <w:rPr>
          <w:rFonts w:ascii="Palatino Linotype" w:hAnsi="Palatino Linotype"/>
          <w:b/>
          <w:sz w:val="24"/>
          <w:szCs w:val="24"/>
        </w:rPr>
        <w:t xml:space="preserve"> </w:t>
      </w:r>
      <w:r w:rsidRPr="00FB6B42" w:rsidR="0026099A">
        <w:rPr>
          <w:rFonts w:ascii="Palatino Linotype" w:hAnsi="Palatino Linotype"/>
          <w:b/>
          <w:sz w:val="24"/>
          <w:szCs w:val="24"/>
        </w:rPr>
        <w:t>#</w:t>
      </w:r>
      <w:r w:rsidR="00055C17">
        <w:rPr>
          <w:rFonts w:ascii="Palatino Linotype" w:hAnsi="Palatino Linotype"/>
          <w:b/>
          <w:sz w:val="24"/>
          <w:szCs w:val="24"/>
        </w:rPr>
        <w:t>23482</w:t>
      </w:r>
    </w:p>
    <w:p w:rsidR="008150D6" w:rsidP="00844310" w:rsidRDefault="00844310" w14:paraId="69456225" w14:textId="44E7BB34">
      <w:pPr>
        <w:tabs>
          <w:tab w:val="right" w:pos="8550"/>
        </w:tabs>
        <w:suppressAutoHyphens/>
        <w:ind w:left="900"/>
        <w:rPr>
          <w:rFonts w:ascii="Palatino Linotype" w:hAnsi="Palatino Linotype"/>
          <w:b/>
          <w:sz w:val="24"/>
          <w:szCs w:val="24"/>
        </w:rPr>
      </w:pPr>
      <w:r w:rsidRPr="00464EE7">
        <w:rPr>
          <w:rFonts w:ascii="Palatino Linotype" w:hAnsi="Palatino Linotype"/>
          <w:b/>
          <w:sz w:val="24"/>
          <w:szCs w:val="24"/>
        </w:rPr>
        <w:t>ENERGY DIVISION</w:t>
      </w:r>
      <w:r w:rsidRPr="00464EE7" w:rsidR="0026099A">
        <w:rPr>
          <w:rFonts w:ascii="Palatino Linotype" w:hAnsi="Palatino Linotype"/>
          <w:sz w:val="24"/>
          <w:szCs w:val="24"/>
        </w:rPr>
        <w:t xml:space="preserve">  </w:t>
      </w:r>
      <w:r>
        <w:rPr>
          <w:rFonts w:ascii="Palatino Linotype" w:hAnsi="Palatino Linotype"/>
          <w:sz w:val="24"/>
          <w:szCs w:val="24"/>
        </w:rPr>
        <w:tab/>
      </w:r>
      <w:r w:rsidRPr="00464EE7">
        <w:rPr>
          <w:rFonts w:ascii="Palatino Linotype" w:hAnsi="Palatino Linotype"/>
          <w:b/>
          <w:sz w:val="24"/>
          <w:szCs w:val="24"/>
        </w:rPr>
        <w:t>RESOLUTION E-5351</w:t>
      </w:r>
    </w:p>
    <w:p w:rsidRPr="00464EE7" w:rsidR="00844310" w:rsidP="00844310" w:rsidRDefault="00844310" w14:paraId="3346BE08" w14:textId="3B76830D">
      <w:pPr>
        <w:tabs>
          <w:tab w:val="right" w:pos="8550"/>
        </w:tabs>
        <w:suppressAutoHyphens/>
        <w:rPr>
          <w:rFonts w:ascii="Palatino Linotype" w:hAnsi="Palatino Linotype"/>
          <w:b/>
          <w:sz w:val="24"/>
          <w:szCs w:val="24"/>
        </w:rPr>
      </w:pPr>
      <w:r>
        <w:rPr>
          <w:rFonts w:ascii="Palatino Linotype" w:hAnsi="Palatino Linotype"/>
          <w:b/>
          <w:sz w:val="24"/>
          <w:szCs w:val="24"/>
        </w:rPr>
        <w:tab/>
        <w:t>June 12, 2025</w:t>
      </w:r>
    </w:p>
    <w:p w:rsidRPr="00464EE7" w:rsidR="001C538D" w:rsidP="000F465A" w:rsidRDefault="001C538D" w14:paraId="69456226" w14:textId="0E1E1685">
      <w:pPr>
        <w:rPr>
          <w:rFonts w:ascii="Palatino Linotype" w:hAnsi="Palatino Linotype"/>
          <w:b/>
          <w:sz w:val="24"/>
          <w:szCs w:val="24"/>
        </w:rPr>
      </w:pPr>
      <w:r w:rsidRPr="00464EE7">
        <w:rPr>
          <w:rFonts w:ascii="Palatino Linotype" w:hAnsi="Palatino Linotype"/>
          <w:b/>
          <w:sz w:val="24"/>
          <w:szCs w:val="24"/>
        </w:rPr>
        <w:tab/>
      </w:r>
      <w:r w:rsidRPr="00464EE7">
        <w:rPr>
          <w:rFonts w:ascii="Palatino Linotype" w:hAnsi="Palatino Linotype"/>
          <w:b/>
          <w:sz w:val="24"/>
          <w:szCs w:val="24"/>
        </w:rPr>
        <w:tab/>
      </w:r>
      <w:r w:rsidRPr="00464EE7">
        <w:rPr>
          <w:rFonts w:ascii="Palatino Linotype" w:hAnsi="Palatino Linotype"/>
          <w:b/>
          <w:sz w:val="24"/>
          <w:szCs w:val="24"/>
        </w:rPr>
        <w:tab/>
      </w:r>
      <w:r w:rsidRPr="00464EE7">
        <w:rPr>
          <w:rFonts w:ascii="Palatino Linotype" w:hAnsi="Palatino Linotype"/>
          <w:b/>
          <w:sz w:val="24"/>
          <w:szCs w:val="24"/>
        </w:rPr>
        <w:tab/>
      </w:r>
      <w:r w:rsidRPr="00464EE7">
        <w:rPr>
          <w:rFonts w:ascii="Palatino Linotype" w:hAnsi="Palatino Linotype"/>
          <w:b/>
          <w:sz w:val="24"/>
          <w:szCs w:val="24"/>
        </w:rPr>
        <w:tab/>
      </w:r>
      <w:r w:rsidRPr="00464EE7">
        <w:rPr>
          <w:rFonts w:ascii="Palatino Linotype" w:hAnsi="Palatino Linotype"/>
          <w:b/>
          <w:sz w:val="24"/>
          <w:szCs w:val="24"/>
        </w:rPr>
        <w:tab/>
      </w:r>
      <w:r w:rsidRPr="00464EE7" w:rsidR="008150D6">
        <w:rPr>
          <w:rFonts w:ascii="Palatino Linotype" w:hAnsi="Palatino Linotype"/>
          <w:b/>
          <w:sz w:val="24"/>
          <w:szCs w:val="24"/>
        </w:rPr>
        <w:t xml:space="preserve">   </w:t>
      </w:r>
      <w:r w:rsidRPr="00464EE7" w:rsidR="002E2016">
        <w:rPr>
          <w:rFonts w:ascii="Palatino Linotype" w:hAnsi="Palatino Linotype"/>
          <w:b/>
          <w:sz w:val="24"/>
          <w:szCs w:val="24"/>
        </w:rPr>
        <w:tab/>
      </w:r>
      <w:r w:rsidRPr="00464EE7" w:rsidR="002E2016">
        <w:rPr>
          <w:rFonts w:ascii="Palatino Linotype" w:hAnsi="Palatino Linotype"/>
          <w:b/>
          <w:sz w:val="24"/>
          <w:szCs w:val="24"/>
        </w:rPr>
        <w:tab/>
      </w:r>
      <w:r w:rsidRPr="00464EE7" w:rsidR="002E2016">
        <w:rPr>
          <w:rFonts w:ascii="Palatino Linotype" w:hAnsi="Palatino Linotype"/>
          <w:b/>
          <w:sz w:val="24"/>
          <w:szCs w:val="24"/>
        </w:rPr>
        <w:tab/>
      </w:r>
      <w:r w:rsidRPr="00464EE7" w:rsidR="002E2016">
        <w:rPr>
          <w:rFonts w:ascii="Palatino Linotype" w:hAnsi="Palatino Linotype"/>
          <w:b/>
          <w:sz w:val="24"/>
          <w:szCs w:val="24"/>
        </w:rPr>
        <w:tab/>
      </w:r>
      <w:r w:rsidRPr="00464EE7" w:rsidR="002E2016">
        <w:rPr>
          <w:rFonts w:ascii="Palatino Linotype" w:hAnsi="Palatino Linotype"/>
          <w:b/>
          <w:sz w:val="24"/>
          <w:szCs w:val="24"/>
        </w:rPr>
        <w:tab/>
      </w:r>
      <w:r w:rsidRPr="00464EE7" w:rsidR="002E2016">
        <w:rPr>
          <w:rFonts w:ascii="Palatino Linotype" w:hAnsi="Palatino Linotype"/>
          <w:b/>
          <w:sz w:val="24"/>
          <w:szCs w:val="24"/>
        </w:rPr>
        <w:tab/>
      </w:r>
      <w:r w:rsidRPr="00464EE7" w:rsidR="002E2016">
        <w:rPr>
          <w:rFonts w:ascii="Palatino Linotype" w:hAnsi="Palatino Linotype"/>
          <w:b/>
          <w:sz w:val="24"/>
          <w:szCs w:val="24"/>
        </w:rPr>
        <w:tab/>
      </w:r>
    </w:p>
    <w:p w:rsidRPr="008C204D" w:rsidR="001C538D" w:rsidRDefault="001C538D" w14:paraId="69456228" w14:textId="77777777">
      <w:pPr>
        <w:pStyle w:val="mainex"/>
        <w:rPr>
          <w:u w:val="single"/>
        </w:rPr>
      </w:pPr>
      <w:bookmarkStart w:name="_Ref404993683" w:id="0"/>
      <w:r w:rsidRPr="008C204D">
        <w:rPr>
          <w:u w:val="single"/>
        </w:rPr>
        <w:t>RESOLUTION</w:t>
      </w:r>
    </w:p>
    <w:p w:rsidRPr="0026099A" w:rsidR="001C538D" w:rsidRDefault="001C538D" w14:paraId="69456229" w14:textId="77777777">
      <w:pPr>
        <w:rPr>
          <w:sz w:val="24"/>
          <w:szCs w:val="24"/>
        </w:rPr>
      </w:pPr>
    </w:p>
    <w:p w:rsidRPr="00C96E18" w:rsidR="001C538D" w:rsidP="0090043A" w:rsidRDefault="001C538D" w14:paraId="6945622A" w14:textId="31A1D4ED">
      <w:pPr>
        <w:pStyle w:val="Res-Caption"/>
        <w:rPr>
          <w:rFonts w:ascii="Palatino Linotype" w:hAnsi="Palatino Linotype"/>
          <w:strike/>
          <w:sz w:val="24"/>
          <w:szCs w:val="24"/>
        </w:rPr>
      </w:pPr>
      <w:r w:rsidRPr="00C96E18">
        <w:rPr>
          <w:rFonts w:ascii="Palatino Linotype" w:hAnsi="Palatino Linotype"/>
          <w:b/>
          <w:sz w:val="24"/>
          <w:szCs w:val="24"/>
        </w:rPr>
        <w:t xml:space="preserve">Resolution </w:t>
      </w:r>
      <w:r w:rsidRPr="00C96E18" w:rsidR="00B14949">
        <w:rPr>
          <w:rFonts w:ascii="Palatino Linotype" w:hAnsi="Palatino Linotype"/>
          <w:b/>
          <w:sz w:val="24"/>
          <w:szCs w:val="24"/>
        </w:rPr>
        <w:t>E</w:t>
      </w:r>
      <w:r w:rsidRPr="00C96E18" w:rsidR="00C55BDF">
        <w:rPr>
          <w:rFonts w:ascii="Palatino Linotype" w:hAnsi="Palatino Linotype"/>
          <w:b/>
          <w:sz w:val="24"/>
          <w:szCs w:val="24"/>
        </w:rPr>
        <w:t>-5351</w:t>
      </w:r>
      <w:r w:rsidRPr="00C96E18">
        <w:rPr>
          <w:rFonts w:ascii="Palatino Linotype" w:hAnsi="Palatino Linotype"/>
          <w:b/>
          <w:sz w:val="24"/>
          <w:szCs w:val="24"/>
        </w:rPr>
        <w:t xml:space="preserve">.  </w:t>
      </w:r>
      <w:r w:rsidRPr="00C96E18" w:rsidR="00A00877">
        <w:rPr>
          <w:rFonts w:ascii="Palatino Linotype" w:hAnsi="Palatino Linotype"/>
          <w:sz w:val="24"/>
          <w:szCs w:val="24"/>
        </w:rPr>
        <w:t xml:space="preserve">Clarification and revisions to adopted indicators and metrics </w:t>
      </w:r>
      <w:r w:rsidRPr="00C96E18" w:rsidR="00AA699C">
        <w:rPr>
          <w:rFonts w:ascii="Palatino Linotype" w:hAnsi="Palatino Linotype"/>
          <w:bCs/>
          <w:sz w:val="24"/>
          <w:szCs w:val="24"/>
        </w:rPr>
        <w:t xml:space="preserve">related to </w:t>
      </w:r>
      <w:r w:rsidRPr="00C96E18" w:rsidR="002A5669">
        <w:rPr>
          <w:rFonts w:ascii="Palatino Linotype" w:hAnsi="Palatino Linotype"/>
          <w:bCs/>
          <w:sz w:val="24"/>
          <w:szCs w:val="24"/>
        </w:rPr>
        <w:t xml:space="preserve">energy efficiency portfolios </w:t>
      </w:r>
      <w:r w:rsidRPr="00C96E18" w:rsidR="00BB7500">
        <w:rPr>
          <w:rFonts w:ascii="Palatino Linotype" w:hAnsi="Palatino Linotype"/>
          <w:sz w:val="24"/>
          <w:szCs w:val="24"/>
        </w:rPr>
        <w:t>i</w:t>
      </w:r>
      <w:r w:rsidRPr="00C96E18" w:rsidR="00D93418">
        <w:rPr>
          <w:rFonts w:ascii="Palatino Linotype" w:hAnsi="Palatino Linotype" w:cs="Palatino"/>
          <w:sz w:val="24"/>
          <w:szCs w:val="24"/>
        </w:rPr>
        <w:t>n compliance with Decision (D.)</w:t>
      </w:r>
      <w:r w:rsidRPr="00C96E18" w:rsidR="00651D74">
        <w:rPr>
          <w:rFonts w:ascii="Palatino Linotype" w:hAnsi="Palatino Linotype" w:cs="Palatino"/>
          <w:sz w:val="24"/>
          <w:szCs w:val="24"/>
        </w:rPr>
        <w:t xml:space="preserve"> </w:t>
      </w:r>
      <w:r w:rsidRPr="00C96E18" w:rsidR="00EF02FF">
        <w:rPr>
          <w:rFonts w:ascii="Palatino Linotype" w:hAnsi="Palatino Linotype" w:cs="Palatino"/>
          <w:sz w:val="24"/>
          <w:szCs w:val="24"/>
        </w:rPr>
        <w:t>23-06-055</w:t>
      </w:r>
      <w:r w:rsidRPr="00C96E18" w:rsidR="006023F2">
        <w:rPr>
          <w:rFonts w:ascii="Palatino Linotype" w:hAnsi="Palatino Linotype" w:cs="Palatino"/>
          <w:strike/>
          <w:sz w:val="24"/>
          <w:szCs w:val="24"/>
        </w:rPr>
        <w:t xml:space="preserve"> </w:t>
      </w:r>
      <w:r w:rsidRPr="00C96E18" w:rsidR="00075D3C">
        <w:rPr>
          <w:rFonts w:ascii="Palatino Linotype" w:hAnsi="Palatino Linotype" w:cs="Palatino"/>
          <w:strike/>
          <w:sz w:val="24"/>
          <w:szCs w:val="24"/>
        </w:rPr>
        <w:t xml:space="preserve"> </w:t>
      </w:r>
    </w:p>
    <w:p w:rsidRPr="00C96E18" w:rsidR="00075D3C" w:rsidP="00116837" w:rsidRDefault="00075D3C" w14:paraId="6945622B" w14:textId="77777777">
      <w:pPr>
        <w:pStyle w:val="Res-Caption"/>
        <w:rPr>
          <w:rFonts w:ascii="Palatino Linotype" w:hAnsi="Palatino Linotype"/>
          <w:b/>
          <w:sz w:val="24"/>
          <w:szCs w:val="24"/>
        </w:rPr>
      </w:pPr>
    </w:p>
    <w:p w:rsidRPr="00C96E18" w:rsidR="0065639C" w:rsidP="00C33AE7" w:rsidRDefault="00231DBB" w14:paraId="6945622C" w14:textId="29274849">
      <w:pPr>
        <w:pStyle w:val="Res-Caption"/>
        <w:rPr>
          <w:rFonts w:ascii="Palatino Linotype" w:hAnsi="Palatino Linotype"/>
          <w:b/>
          <w:sz w:val="24"/>
          <w:szCs w:val="24"/>
        </w:rPr>
      </w:pPr>
      <w:r w:rsidRPr="00C96E18">
        <w:rPr>
          <w:rFonts w:ascii="Palatino Linotype" w:hAnsi="Palatino Linotype" w:eastAsia="Palatino Linotype"/>
          <w:sz w:val="24"/>
          <w:szCs w:val="24"/>
        </w:rPr>
        <w:t>PROPOSED OUTCOME</w:t>
      </w:r>
      <w:r w:rsidRPr="00C96E18" w:rsidR="001C538D">
        <w:rPr>
          <w:rFonts w:ascii="Palatino Linotype" w:hAnsi="Palatino Linotype"/>
          <w:b/>
          <w:sz w:val="24"/>
          <w:szCs w:val="24"/>
        </w:rPr>
        <w:t>:</w:t>
      </w:r>
    </w:p>
    <w:p w:rsidRPr="00C96E18" w:rsidR="001F302F" w:rsidP="00807773" w:rsidRDefault="001F302F" w14:paraId="69C5CEDA" w14:textId="1D9197AD">
      <w:pPr>
        <w:pStyle w:val="Res-Caption"/>
        <w:numPr>
          <w:ilvl w:val="0"/>
          <w:numId w:val="16"/>
        </w:numPr>
        <w:rPr>
          <w:rFonts w:ascii="Palatino Linotype" w:hAnsi="Palatino Linotype"/>
          <w:sz w:val="24"/>
          <w:szCs w:val="24"/>
        </w:rPr>
      </w:pPr>
      <w:r w:rsidRPr="00C96E18">
        <w:rPr>
          <w:rFonts w:ascii="Palatino Linotype" w:hAnsi="Palatino Linotype"/>
          <w:sz w:val="24"/>
          <w:szCs w:val="24"/>
        </w:rPr>
        <w:t>A</w:t>
      </w:r>
      <w:r w:rsidRPr="00C96E18" w:rsidR="00634A5C">
        <w:rPr>
          <w:rFonts w:ascii="Palatino Linotype" w:hAnsi="Palatino Linotype"/>
          <w:sz w:val="24"/>
          <w:szCs w:val="24"/>
        </w:rPr>
        <w:t>dopts</w:t>
      </w:r>
      <w:r w:rsidRPr="00C96E18">
        <w:rPr>
          <w:rFonts w:ascii="Palatino Linotype" w:hAnsi="Palatino Linotype"/>
          <w:sz w:val="24"/>
          <w:szCs w:val="24"/>
        </w:rPr>
        <w:t xml:space="preserve"> with m</w:t>
      </w:r>
      <w:r w:rsidRPr="00C96E18" w:rsidR="000E5741">
        <w:rPr>
          <w:rFonts w:ascii="Palatino Linotype" w:hAnsi="Palatino Linotype"/>
          <w:sz w:val="24"/>
          <w:szCs w:val="24"/>
        </w:rPr>
        <w:t xml:space="preserve">odifications Advice Letter (AL) 4438-E/ 3299-G et al. filed by San Diego Gas &amp; Electric (SDG&amp;E), Pacific Gas and Electric Company (PG&amp;E), Southern California Edison Company (SCE), Southern California Gas Company (SoCalGas), Marin Clean Energy (MCE), Tri-County Regional Energy Network </w:t>
      </w:r>
      <w:r w:rsidR="00594E71">
        <w:rPr>
          <w:rFonts w:ascii="Palatino Linotype" w:hAnsi="Palatino Linotype"/>
          <w:sz w:val="24"/>
          <w:szCs w:val="24"/>
        </w:rPr>
        <w:br/>
      </w:r>
      <w:r w:rsidRPr="00C96E18" w:rsidR="000E5741">
        <w:rPr>
          <w:rFonts w:ascii="Palatino Linotype" w:hAnsi="Palatino Linotype"/>
          <w:sz w:val="24"/>
          <w:szCs w:val="24"/>
        </w:rPr>
        <w:t>(3C-REN), Bay Area Regional Energy Network (BayREN), Inland Regional Energy Network (I-REN), and Southern California Regional Energy Network (SoCalREN)</w:t>
      </w:r>
    </w:p>
    <w:p w:rsidRPr="00C96E18" w:rsidR="00807773" w:rsidP="00807773" w:rsidRDefault="00807773" w14:paraId="432BAE39" w14:textId="6A3BD7A3">
      <w:pPr>
        <w:pStyle w:val="Res-Caption"/>
        <w:numPr>
          <w:ilvl w:val="0"/>
          <w:numId w:val="16"/>
        </w:numPr>
        <w:rPr>
          <w:rFonts w:ascii="Palatino Linotype" w:hAnsi="Palatino Linotype"/>
          <w:sz w:val="24"/>
          <w:szCs w:val="24"/>
        </w:rPr>
      </w:pPr>
      <w:r w:rsidRPr="00C96E18">
        <w:rPr>
          <w:rFonts w:ascii="Palatino Linotype" w:hAnsi="Palatino Linotype"/>
          <w:sz w:val="24"/>
          <w:szCs w:val="24"/>
        </w:rPr>
        <w:t>Clarifies certain indicators related to the</w:t>
      </w:r>
      <w:r w:rsidRPr="00C96E18" w:rsidR="006406D6">
        <w:rPr>
          <w:rFonts w:ascii="Palatino Linotype" w:hAnsi="Palatino Linotype"/>
          <w:sz w:val="24"/>
          <w:szCs w:val="24"/>
        </w:rPr>
        <w:t xml:space="preserve"> </w:t>
      </w:r>
      <w:r w:rsidRPr="00C96E18">
        <w:rPr>
          <w:rFonts w:ascii="Palatino Linotype" w:hAnsi="Palatino Linotype"/>
          <w:sz w:val="24"/>
          <w:szCs w:val="24"/>
        </w:rPr>
        <w:t>Energy Efficiency Portfolios</w:t>
      </w:r>
    </w:p>
    <w:p w:rsidRPr="00C96E18" w:rsidR="00807773" w:rsidP="00807773" w:rsidRDefault="00807773" w14:paraId="2850515D" w14:textId="58440FB3">
      <w:pPr>
        <w:pStyle w:val="Res-Caption"/>
        <w:numPr>
          <w:ilvl w:val="0"/>
          <w:numId w:val="16"/>
        </w:numPr>
        <w:rPr>
          <w:rFonts w:ascii="Palatino Linotype" w:hAnsi="Palatino Linotype"/>
          <w:sz w:val="24"/>
          <w:szCs w:val="24"/>
        </w:rPr>
      </w:pPr>
      <w:r w:rsidRPr="00C96E18">
        <w:rPr>
          <w:rFonts w:ascii="Palatino Linotype" w:hAnsi="Palatino Linotype"/>
          <w:sz w:val="24"/>
          <w:szCs w:val="24"/>
        </w:rPr>
        <w:t xml:space="preserve">Approves the removal or revision of certain indicators and metrics </w:t>
      </w:r>
    </w:p>
    <w:p w:rsidRPr="00C96E18" w:rsidR="00807773" w:rsidP="00807773" w:rsidRDefault="00807773" w14:paraId="71119226" w14:textId="1D3FEFAE">
      <w:pPr>
        <w:pStyle w:val="Res-Caption"/>
        <w:numPr>
          <w:ilvl w:val="0"/>
          <w:numId w:val="16"/>
        </w:numPr>
        <w:rPr>
          <w:rFonts w:ascii="Palatino Linotype" w:hAnsi="Palatino Linotype"/>
          <w:sz w:val="24"/>
          <w:szCs w:val="24"/>
        </w:rPr>
      </w:pPr>
      <w:r w:rsidRPr="00C96E18">
        <w:rPr>
          <w:rFonts w:ascii="Palatino Linotype" w:hAnsi="Palatino Linotype"/>
          <w:sz w:val="24"/>
          <w:szCs w:val="24"/>
        </w:rPr>
        <w:t>Converts several metrics into indicators</w:t>
      </w:r>
    </w:p>
    <w:p w:rsidRPr="00C96E18" w:rsidR="00BF003D" w:rsidP="00BF003D" w:rsidRDefault="00807773" w14:paraId="39F993FF" w14:textId="37912C3A">
      <w:pPr>
        <w:pStyle w:val="Res-Caption"/>
        <w:numPr>
          <w:ilvl w:val="0"/>
          <w:numId w:val="16"/>
        </w:numPr>
        <w:rPr>
          <w:rFonts w:ascii="Palatino Linotype" w:hAnsi="Palatino Linotype"/>
          <w:sz w:val="24"/>
          <w:szCs w:val="24"/>
        </w:rPr>
      </w:pPr>
      <w:r w:rsidRPr="00C96E18">
        <w:rPr>
          <w:rFonts w:ascii="Palatino Linotype" w:hAnsi="Palatino Linotype"/>
          <w:sz w:val="24"/>
          <w:szCs w:val="24"/>
        </w:rPr>
        <w:t>C</w:t>
      </w:r>
      <w:r w:rsidRPr="00C96E18" w:rsidR="00BF003D">
        <w:rPr>
          <w:rFonts w:ascii="Palatino Linotype" w:hAnsi="Palatino Linotype"/>
          <w:sz w:val="24"/>
          <w:szCs w:val="24"/>
        </w:rPr>
        <w:t>onfirms no change to reporting of certain metrics and indicators</w:t>
      </w:r>
      <w:r w:rsidRPr="00C96E18" w:rsidR="001967A2">
        <w:rPr>
          <w:rFonts w:ascii="Palatino Linotype" w:hAnsi="Palatino Linotype"/>
          <w:sz w:val="24"/>
          <w:szCs w:val="24"/>
        </w:rPr>
        <w:t xml:space="preserve"> </w:t>
      </w:r>
    </w:p>
    <w:p w:rsidRPr="00C96E18" w:rsidR="0071774D" w:rsidP="003B245E" w:rsidRDefault="00807773" w14:paraId="063956F2" w14:textId="4763A567">
      <w:pPr>
        <w:pStyle w:val="Res-Caption"/>
        <w:numPr>
          <w:ilvl w:val="0"/>
          <w:numId w:val="16"/>
        </w:numPr>
        <w:rPr>
          <w:rFonts w:ascii="Palatino Linotype" w:hAnsi="Palatino Linotype"/>
          <w:sz w:val="24"/>
          <w:szCs w:val="24"/>
        </w:rPr>
      </w:pPr>
      <w:r w:rsidRPr="00C96E18">
        <w:rPr>
          <w:rFonts w:ascii="Palatino Linotype" w:hAnsi="Palatino Linotype"/>
          <w:sz w:val="24"/>
          <w:szCs w:val="24"/>
        </w:rPr>
        <w:t>P</w:t>
      </w:r>
      <w:r w:rsidRPr="00C96E18" w:rsidR="0071774D">
        <w:rPr>
          <w:rFonts w:ascii="Palatino Linotype" w:hAnsi="Palatino Linotype"/>
          <w:sz w:val="24"/>
          <w:szCs w:val="24"/>
        </w:rPr>
        <w:t xml:space="preserve">rovides guidance </w:t>
      </w:r>
      <w:r w:rsidRPr="00C96E18" w:rsidR="00E44A2B">
        <w:rPr>
          <w:rFonts w:ascii="Palatino Linotype" w:hAnsi="Palatino Linotype"/>
          <w:sz w:val="24"/>
          <w:szCs w:val="24"/>
        </w:rPr>
        <w:t>on ne</w:t>
      </w:r>
      <w:r w:rsidRPr="00C96E18" w:rsidR="00307877">
        <w:rPr>
          <w:rFonts w:ascii="Palatino Linotype" w:hAnsi="Palatino Linotype"/>
          <w:sz w:val="24"/>
          <w:szCs w:val="24"/>
        </w:rPr>
        <w:t>w</w:t>
      </w:r>
      <w:r w:rsidRPr="00C96E18" w:rsidR="00E44A2B">
        <w:rPr>
          <w:rFonts w:ascii="Palatino Linotype" w:hAnsi="Palatino Linotype"/>
          <w:sz w:val="24"/>
          <w:szCs w:val="24"/>
        </w:rPr>
        <w:t xml:space="preserve"> reporting requirements</w:t>
      </w:r>
    </w:p>
    <w:p w:rsidRPr="00C96E18" w:rsidR="00075D3C" w:rsidRDefault="00075D3C" w14:paraId="6945622E" w14:textId="77777777">
      <w:pPr>
        <w:pStyle w:val="Res-Caption"/>
        <w:rPr>
          <w:rFonts w:ascii="Palatino Linotype" w:hAnsi="Palatino Linotype"/>
          <w:b/>
          <w:sz w:val="24"/>
          <w:szCs w:val="24"/>
        </w:rPr>
      </w:pPr>
    </w:p>
    <w:p w:rsidRPr="00C96E18" w:rsidR="0065639C" w:rsidP="00C33AE7" w:rsidRDefault="00C33AE7" w14:paraId="6945622F" w14:textId="687E299D">
      <w:pPr>
        <w:autoSpaceDE w:val="0"/>
        <w:autoSpaceDN w:val="0"/>
        <w:ind w:left="720" w:right="720"/>
        <w:rPr>
          <w:rFonts w:ascii="Palatino Linotype" w:hAnsi="Palatino Linotype" w:eastAsia="Calibri" w:cs="Arial"/>
          <w:sz w:val="24"/>
          <w:szCs w:val="24"/>
        </w:rPr>
      </w:pPr>
      <w:r w:rsidRPr="00C96E18">
        <w:rPr>
          <w:rFonts w:ascii="Palatino Linotype" w:hAnsi="Palatino Linotype" w:eastAsia="Calibri" w:cs="Arial"/>
          <w:sz w:val="24"/>
          <w:szCs w:val="24"/>
        </w:rPr>
        <w:t>SAFETY CONSIDERATIONS:</w:t>
      </w:r>
    </w:p>
    <w:p w:rsidRPr="00C96E18" w:rsidR="00C33AE7" w:rsidP="003B245E" w:rsidRDefault="00961140" w14:paraId="69456230" w14:textId="3085D351">
      <w:pPr>
        <w:numPr>
          <w:ilvl w:val="0"/>
          <w:numId w:val="16"/>
        </w:numPr>
        <w:autoSpaceDE w:val="0"/>
        <w:autoSpaceDN w:val="0"/>
        <w:ind w:right="720"/>
        <w:rPr>
          <w:rFonts w:ascii="Palatino Linotype" w:hAnsi="Palatino Linotype" w:eastAsia="Calibri" w:cs="Arial"/>
          <w:sz w:val="24"/>
          <w:szCs w:val="24"/>
        </w:rPr>
      </w:pPr>
      <w:r w:rsidRPr="00C96E18">
        <w:rPr>
          <w:rFonts w:ascii="Palatino Linotype" w:hAnsi="Palatino Linotype" w:eastAsia="Calibri" w:cs="Arial"/>
          <w:sz w:val="24"/>
          <w:szCs w:val="24"/>
        </w:rPr>
        <w:t xml:space="preserve">There are no </w:t>
      </w:r>
      <w:r w:rsidRPr="00C96E18" w:rsidR="00F416EE">
        <w:rPr>
          <w:rFonts w:ascii="Palatino Linotype" w:hAnsi="Palatino Linotype" w:eastAsia="Calibri" w:cs="Arial"/>
          <w:sz w:val="24"/>
          <w:szCs w:val="24"/>
        </w:rPr>
        <w:t xml:space="preserve">safety </w:t>
      </w:r>
      <w:r w:rsidRPr="00C96E18" w:rsidR="0060265C">
        <w:rPr>
          <w:rFonts w:ascii="Palatino Linotype" w:hAnsi="Palatino Linotype" w:eastAsia="Calibri" w:cs="Arial"/>
          <w:bCs/>
          <w:sz w:val="24"/>
          <w:szCs w:val="24"/>
        </w:rPr>
        <w:t>considerations</w:t>
      </w:r>
      <w:r w:rsidRPr="00C96E18" w:rsidR="00F416EE">
        <w:rPr>
          <w:rFonts w:ascii="Palatino Linotype" w:hAnsi="Palatino Linotype" w:eastAsia="Calibri" w:cs="Arial"/>
          <w:sz w:val="24"/>
          <w:szCs w:val="24"/>
        </w:rPr>
        <w:t xml:space="preserve"> associated with </w:t>
      </w:r>
      <w:r w:rsidRPr="00C96E18" w:rsidR="00F416EE">
        <w:rPr>
          <w:rFonts w:ascii="Palatino Linotype" w:hAnsi="Palatino Linotype" w:eastAsia="Calibri" w:cs="Arial"/>
          <w:bCs/>
          <w:sz w:val="24"/>
          <w:szCs w:val="24"/>
        </w:rPr>
        <w:t>th</w:t>
      </w:r>
      <w:r w:rsidRPr="00C96E18" w:rsidR="00046CCE">
        <w:rPr>
          <w:rFonts w:ascii="Palatino Linotype" w:hAnsi="Palatino Linotype" w:eastAsia="Calibri" w:cs="Arial"/>
          <w:bCs/>
          <w:sz w:val="24"/>
          <w:szCs w:val="24"/>
        </w:rPr>
        <w:t>is resolution</w:t>
      </w:r>
      <w:r w:rsidRPr="00C96E18" w:rsidR="00F416EE">
        <w:rPr>
          <w:rFonts w:ascii="Palatino Linotype" w:hAnsi="Palatino Linotype" w:eastAsia="Calibri" w:cs="Arial"/>
          <w:sz w:val="24"/>
          <w:szCs w:val="24"/>
        </w:rPr>
        <w:t>.</w:t>
      </w:r>
    </w:p>
    <w:p w:rsidRPr="00C96E18" w:rsidR="00C33AE7" w:rsidRDefault="00C33AE7" w14:paraId="69456231" w14:textId="77777777">
      <w:pPr>
        <w:pStyle w:val="Res-Caption"/>
        <w:rPr>
          <w:rFonts w:ascii="Palatino Linotype" w:hAnsi="Palatino Linotype"/>
          <w:b/>
          <w:sz w:val="24"/>
          <w:szCs w:val="24"/>
        </w:rPr>
      </w:pPr>
    </w:p>
    <w:p w:rsidRPr="00C96E18" w:rsidR="0005536C" w:rsidP="0005536C" w:rsidRDefault="00C016D7" w14:paraId="4237967C" w14:textId="77CBCD96">
      <w:pPr>
        <w:pStyle w:val="Res-Caption"/>
        <w:rPr>
          <w:rFonts w:ascii="Palatino Linotype" w:hAnsi="Palatino Linotype"/>
          <w:b/>
          <w:sz w:val="24"/>
          <w:szCs w:val="24"/>
        </w:rPr>
      </w:pPr>
      <w:r w:rsidRPr="00C96E18">
        <w:rPr>
          <w:rFonts w:ascii="Palatino Linotype" w:hAnsi="Palatino Linotype" w:eastAsia="Palatino Linotype"/>
          <w:sz w:val="24"/>
          <w:szCs w:val="24"/>
        </w:rPr>
        <w:t>ESTIMATED COST</w:t>
      </w:r>
      <w:r w:rsidRPr="00C96E18" w:rsidR="001C538D">
        <w:rPr>
          <w:rFonts w:ascii="Palatino Linotype" w:hAnsi="Palatino Linotype"/>
          <w:b/>
          <w:sz w:val="24"/>
          <w:szCs w:val="24"/>
        </w:rPr>
        <w:t>:</w:t>
      </w:r>
      <w:r w:rsidRPr="00C96E18" w:rsidR="0005536C">
        <w:rPr>
          <w:rFonts w:ascii="Palatino Linotype" w:hAnsi="Palatino Linotype"/>
          <w:b/>
          <w:sz w:val="24"/>
          <w:szCs w:val="24"/>
        </w:rPr>
        <w:t xml:space="preserve"> </w:t>
      </w:r>
    </w:p>
    <w:p w:rsidRPr="00C96E18" w:rsidR="00D93418" w:rsidP="001A2CFF" w:rsidRDefault="00F67FE3" w14:paraId="69456234" w14:textId="7BC0C009">
      <w:pPr>
        <w:pStyle w:val="Res-Caption"/>
        <w:numPr>
          <w:ilvl w:val="0"/>
          <w:numId w:val="16"/>
        </w:numPr>
        <w:rPr>
          <w:rFonts w:ascii="Palatino Linotype" w:hAnsi="Palatino Linotype"/>
          <w:sz w:val="24"/>
          <w:szCs w:val="24"/>
        </w:rPr>
      </w:pPr>
      <w:r w:rsidRPr="00C96E18">
        <w:rPr>
          <w:rFonts w:ascii="Palatino Linotype" w:hAnsi="Palatino Linotype"/>
          <w:sz w:val="24"/>
          <w:szCs w:val="24"/>
        </w:rPr>
        <w:t>There are no costs associated with this resolution.</w:t>
      </w:r>
    </w:p>
    <w:p w:rsidRPr="00C96E18" w:rsidR="001A2CFF" w:rsidP="008C22C5" w:rsidRDefault="001A2CFF" w14:paraId="4065F710" w14:textId="77777777">
      <w:pPr>
        <w:pStyle w:val="Res-Caption"/>
        <w:rPr>
          <w:rFonts w:ascii="Palatino Linotype" w:hAnsi="Palatino Linotype"/>
          <w:sz w:val="24"/>
          <w:szCs w:val="24"/>
          <w:highlight w:val="yellow"/>
        </w:rPr>
      </w:pPr>
    </w:p>
    <w:p w:rsidRPr="00C96E18" w:rsidR="009B7E15" w:rsidP="0066182A" w:rsidRDefault="006E4FC1" w14:paraId="69456235" w14:textId="3B427CD5">
      <w:pPr>
        <w:ind w:left="720"/>
        <w:rPr>
          <w:rFonts w:ascii="Palatino Linotype" w:hAnsi="Palatino Linotype"/>
          <w:sz w:val="24"/>
          <w:szCs w:val="24"/>
        </w:rPr>
      </w:pPr>
      <w:r w:rsidRPr="00C96E18">
        <w:rPr>
          <w:rFonts w:ascii="Palatino Linotype" w:hAnsi="Palatino Linotype"/>
          <w:sz w:val="24"/>
          <w:szCs w:val="24"/>
        </w:rPr>
        <w:t>By Advice Letter</w:t>
      </w:r>
      <w:r w:rsidRPr="00C96E18" w:rsidR="00585384">
        <w:rPr>
          <w:rFonts w:ascii="Palatino Linotype" w:hAnsi="Palatino Linotype"/>
          <w:sz w:val="24"/>
          <w:szCs w:val="24"/>
        </w:rPr>
        <w:t xml:space="preserve"> </w:t>
      </w:r>
      <w:r w:rsidRPr="00C96E18" w:rsidR="0074461C">
        <w:rPr>
          <w:rFonts w:ascii="Palatino Linotype" w:hAnsi="Palatino Linotype"/>
          <w:sz w:val="24"/>
          <w:szCs w:val="24"/>
        </w:rPr>
        <w:t>4438-E/3299-G et al.</w:t>
      </w:r>
      <w:r w:rsidRPr="00C96E18">
        <w:rPr>
          <w:rFonts w:ascii="Palatino Linotype" w:hAnsi="Palatino Linotype"/>
          <w:sz w:val="24"/>
          <w:szCs w:val="24"/>
        </w:rPr>
        <w:t xml:space="preserve"> filed on </w:t>
      </w:r>
      <w:r w:rsidRPr="00C96E18" w:rsidR="00B02868">
        <w:rPr>
          <w:rFonts w:ascii="Palatino Linotype" w:hAnsi="Palatino Linotype"/>
          <w:sz w:val="24"/>
          <w:szCs w:val="24"/>
        </w:rPr>
        <w:t>Ma</w:t>
      </w:r>
      <w:r w:rsidRPr="00C96E18" w:rsidR="00D92408">
        <w:rPr>
          <w:rFonts w:ascii="Palatino Linotype" w:hAnsi="Palatino Linotype"/>
          <w:sz w:val="24"/>
          <w:szCs w:val="24"/>
        </w:rPr>
        <w:t>y 1</w:t>
      </w:r>
      <w:r w:rsidRPr="00C96E18" w:rsidR="00D93418">
        <w:rPr>
          <w:rFonts w:ascii="Palatino Linotype" w:hAnsi="Palatino Linotype"/>
          <w:sz w:val="24"/>
          <w:szCs w:val="24"/>
        </w:rPr>
        <w:t>,</w:t>
      </w:r>
      <w:r w:rsidRPr="00C96E18">
        <w:rPr>
          <w:rFonts w:ascii="Palatino Linotype" w:hAnsi="Palatino Linotype"/>
          <w:sz w:val="24"/>
          <w:szCs w:val="24"/>
        </w:rPr>
        <w:t xml:space="preserve"> 20</w:t>
      </w:r>
      <w:r w:rsidRPr="00C96E18" w:rsidR="00D92408">
        <w:rPr>
          <w:rFonts w:ascii="Palatino Linotype" w:hAnsi="Palatino Linotype"/>
          <w:sz w:val="24"/>
          <w:szCs w:val="24"/>
        </w:rPr>
        <w:t>24</w:t>
      </w:r>
      <w:r w:rsidRPr="00C96E18">
        <w:rPr>
          <w:rFonts w:ascii="Palatino Linotype" w:hAnsi="Palatino Linotype"/>
          <w:b/>
          <w:sz w:val="24"/>
          <w:szCs w:val="24"/>
        </w:rPr>
        <w:t>.</w:t>
      </w:r>
      <w:r w:rsidRPr="00C96E18" w:rsidR="009B7E15">
        <w:rPr>
          <w:rFonts w:ascii="Palatino Linotype" w:hAnsi="Palatino Linotype"/>
          <w:sz w:val="24"/>
          <w:szCs w:val="24"/>
        </w:rPr>
        <w:t xml:space="preserve"> </w:t>
      </w:r>
    </w:p>
    <w:p w:rsidRPr="00C96E18" w:rsidR="001C538D" w:rsidRDefault="001C538D" w14:paraId="69456236" w14:textId="77777777">
      <w:pPr>
        <w:jc w:val="center"/>
        <w:rPr>
          <w:rFonts w:ascii="Palatino Linotype" w:hAnsi="Palatino Linotype"/>
          <w:sz w:val="24"/>
          <w:szCs w:val="24"/>
        </w:rPr>
      </w:pPr>
      <w:r w:rsidRPr="00C96E18">
        <w:rPr>
          <w:rFonts w:ascii="Palatino Linotype" w:hAnsi="Palatino Linotype"/>
          <w:sz w:val="24"/>
          <w:szCs w:val="24"/>
        </w:rPr>
        <w:t>__________________________________________________________</w:t>
      </w:r>
    </w:p>
    <w:p w:rsidRPr="005F68D7" w:rsidR="001C538D" w:rsidP="008B4E73" w:rsidRDefault="001C538D" w14:paraId="69456237" w14:textId="77777777">
      <w:pPr>
        <w:pStyle w:val="Heading1"/>
        <w:jc w:val="both"/>
        <w:rPr>
          <w:rFonts w:ascii="Palatino Linotype" w:hAnsi="Palatino Linotype"/>
          <w:sz w:val="24"/>
          <w:szCs w:val="24"/>
        </w:rPr>
      </w:pPr>
      <w:r w:rsidRPr="005F68D7">
        <w:rPr>
          <w:rFonts w:ascii="Palatino Linotype" w:hAnsi="Palatino Linotype"/>
          <w:sz w:val="24"/>
          <w:szCs w:val="24"/>
        </w:rPr>
        <w:lastRenderedPageBreak/>
        <w:t>Summary</w:t>
      </w:r>
      <w:bookmarkEnd w:id="0"/>
    </w:p>
    <w:p w:rsidRPr="005F68D7" w:rsidR="001F1C26" w:rsidP="00A25462" w:rsidRDefault="001F1C26" w14:paraId="69456239" w14:textId="15001D2C">
      <w:pPr>
        <w:autoSpaceDE w:val="0"/>
        <w:autoSpaceDN w:val="0"/>
        <w:rPr>
          <w:rFonts w:ascii="Palatino Linotype" w:hAnsi="Palatino Linotype"/>
          <w:sz w:val="24"/>
          <w:szCs w:val="24"/>
        </w:rPr>
      </w:pPr>
      <w:r w:rsidRPr="005F68D7">
        <w:rPr>
          <w:rFonts w:ascii="Palatino Linotype" w:hAnsi="Palatino Linotype"/>
          <w:sz w:val="24"/>
          <w:szCs w:val="24"/>
        </w:rPr>
        <w:t>By</w:t>
      </w:r>
      <w:r w:rsidRPr="005F68D7" w:rsidR="00585384">
        <w:rPr>
          <w:rFonts w:ascii="Palatino Linotype" w:hAnsi="Palatino Linotype"/>
          <w:sz w:val="24"/>
          <w:szCs w:val="24"/>
        </w:rPr>
        <w:t xml:space="preserve"> Advice Letter (AL) 4438-E/ 3299-G et al. filed on May 1, 2024</w:t>
      </w:r>
      <w:r w:rsidRPr="005F68D7">
        <w:rPr>
          <w:rFonts w:ascii="Palatino Linotype" w:hAnsi="Palatino Linotype"/>
          <w:sz w:val="24"/>
          <w:szCs w:val="24"/>
        </w:rPr>
        <w:t>, S</w:t>
      </w:r>
      <w:r w:rsidRPr="005F68D7" w:rsidR="00AA0499">
        <w:rPr>
          <w:rFonts w:ascii="Palatino Linotype" w:hAnsi="Palatino Linotype"/>
          <w:sz w:val="24"/>
          <w:szCs w:val="24"/>
        </w:rPr>
        <w:t>an Diego Gas &amp; Electric (SDG&amp;E)</w:t>
      </w:r>
      <w:r w:rsidRPr="005F68D7" w:rsidR="009C2C4C">
        <w:rPr>
          <w:rFonts w:ascii="Palatino Linotype" w:hAnsi="Palatino Linotype"/>
          <w:sz w:val="24"/>
          <w:szCs w:val="24"/>
        </w:rPr>
        <w:t xml:space="preserve">, </w:t>
      </w:r>
      <w:r w:rsidRPr="005F68D7" w:rsidR="004D15FA">
        <w:rPr>
          <w:rFonts w:ascii="Palatino Linotype" w:hAnsi="Palatino Linotype"/>
          <w:sz w:val="24"/>
          <w:szCs w:val="24"/>
        </w:rPr>
        <w:t>Pacific Gas and Electric Company (PG&amp;E), Southern California Edison</w:t>
      </w:r>
      <w:r w:rsidRPr="005F68D7" w:rsidR="009C2C4C">
        <w:rPr>
          <w:rFonts w:ascii="Palatino Linotype" w:hAnsi="Palatino Linotype"/>
          <w:sz w:val="24"/>
          <w:szCs w:val="24"/>
        </w:rPr>
        <w:t xml:space="preserve"> </w:t>
      </w:r>
      <w:r w:rsidRPr="005F68D7" w:rsidR="004D15FA">
        <w:rPr>
          <w:rFonts w:ascii="Palatino Linotype" w:hAnsi="Palatino Linotype"/>
          <w:sz w:val="24"/>
          <w:szCs w:val="24"/>
        </w:rPr>
        <w:t>Company (SCE), Southern California Gas Company (SoCalGas), Marin Clean Energy (MCE), Tri-County Regional Energy Network (3C-REN), Bay Area Regional Energy Network (BayREN), Inland</w:t>
      </w:r>
      <w:r w:rsidRPr="005F68D7" w:rsidR="009C2C4C">
        <w:rPr>
          <w:rFonts w:ascii="Palatino Linotype" w:hAnsi="Palatino Linotype"/>
          <w:sz w:val="24"/>
          <w:szCs w:val="24"/>
        </w:rPr>
        <w:t xml:space="preserve"> </w:t>
      </w:r>
      <w:r w:rsidRPr="005F68D7" w:rsidR="004D15FA">
        <w:rPr>
          <w:rFonts w:ascii="Palatino Linotype" w:hAnsi="Palatino Linotype"/>
          <w:sz w:val="24"/>
          <w:szCs w:val="24"/>
        </w:rPr>
        <w:t>Regional Energy Network (I-REN), and Southern California Regional Energy Network (SoCalREN)</w:t>
      </w:r>
      <w:r w:rsidRPr="005F68D7" w:rsidR="00F61E7F">
        <w:rPr>
          <w:rFonts w:ascii="Palatino Linotype" w:hAnsi="Palatino Linotype"/>
          <w:sz w:val="24"/>
          <w:szCs w:val="24"/>
        </w:rPr>
        <w:t xml:space="preserve"> </w:t>
      </w:r>
      <w:r w:rsidRPr="005F68D7" w:rsidR="004D15FA">
        <w:rPr>
          <w:rFonts w:ascii="Palatino Linotype" w:hAnsi="Palatino Linotype"/>
          <w:sz w:val="24"/>
          <w:szCs w:val="24"/>
        </w:rPr>
        <w:t>(referred to as Joint Portfolio Administrators or Joint PAs) submit</w:t>
      </w:r>
      <w:r w:rsidRPr="005F68D7" w:rsidR="009C2C4C">
        <w:rPr>
          <w:rFonts w:ascii="Palatino Linotype" w:hAnsi="Palatino Linotype"/>
          <w:sz w:val="24"/>
          <w:szCs w:val="24"/>
        </w:rPr>
        <w:t>ted</w:t>
      </w:r>
      <w:r w:rsidRPr="005F68D7" w:rsidR="0093422B">
        <w:rPr>
          <w:rFonts w:ascii="Palatino Linotype" w:hAnsi="Palatino Linotype"/>
          <w:sz w:val="24"/>
          <w:szCs w:val="24"/>
        </w:rPr>
        <w:t xml:space="preserve"> </w:t>
      </w:r>
      <w:r w:rsidRPr="005F68D7" w:rsidR="00A25462">
        <w:rPr>
          <w:rFonts w:ascii="Palatino Linotype" w:hAnsi="Palatino Linotype"/>
          <w:sz w:val="24"/>
          <w:szCs w:val="24"/>
        </w:rPr>
        <w:t>clarif</w:t>
      </w:r>
      <w:r w:rsidRPr="005F68D7" w:rsidR="009A32F0">
        <w:rPr>
          <w:rFonts w:ascii="Palatino Linotype" w:hAnsi="Palatino Linotype"/>
          <w:sz w:val="24"/>
          <w:szCs w:val="24"/>
        </w:rPr>
        <w:t>ication of</w:t>
      </w:r>
      <w:r w:rsidRPr="005F68D7" w:rsidR="00A25462">
        <w:rPr>
          <w:rFonts w:ascii="Palatino Linotype" w:hAnsi="Palatino Linotype"/>
          <w:sz w:val="24"/>
          <w:szCs w:val="24"/>
        </w:rPr>
        <w:t xml:space="preserve">  indicators adopted in</w:t>
      </w:r>
      <w:r w:rsidRPr="005F68D7" w:rsidR="009A32F0">
        <w:rPr>
          <w:rFonts w:ascii="Palatino Linotype" w:hAnsi="Palatino Linotype"/>
          <w:sz w:val="24"/>
          <w:szCs w:val="24"/>
        </w:rPr>
        <w:t xml:space="preserve"> </w:t>
      </w:r>
      <w:r w:rsidR="000F7071">
        <w:rPr>
          <w:rFonts w:ascii="Palatino Linotype" w:hAnsi="Palatino Linotype"/>
          <w:sz w:val="24"/>
          <w:szCs w:val="24"/>
        </w:rPr>
        <w:br/>
      </w:r>
      <w:r w:rsidRPr="005F68D7" w:rsidR="00651D74">
        <w:rPr>
          <w:rFonts w:ascii="Palatino Linotype" w:hAnsi="Palatino Linotype"/>
          <w:sz w:val="24"/>
          <w:szCs w:val="24"/>
        </w:rPr>
        <w:t>(</w:t>
      </w:r>
      <w:r w:rsidRPr="005F68D7" w:rsidR="009A32F0">
        <w:rPr>
          <w:rFonts w:ascii="Palatino Linotype" w:hAnsi="Palatino Linotype"/>
          <w:sz w:val="24"/>
          <w:szCs w:val="24"/>
        </w:rPr>
        <w:t>D.</w:t>
      </w:r>
      <w:r w:rsidRPr="005F68D7" w:rsidR="00651D74">
        <w:rPr>
          <w:rFonts w:ascii="Palatino Linotype" w:hAnsi="Palatino Linotype"/>
          <w:sz w:val="24"/>
          <w:szCs w:val="24"/>
        </w:rPr>
        <w:t xml:space="preserve">) </w:t>
      </w:r>
      <w:r w:rsidRPr="005F68D7" w:rsidR="009A32F0">
        <w:rPr>
          <w:rFonts w:ascii="Palatino Linotype" w:hAnsi="Palatino Linotype"/>
          <w:sz w:val="24"/>
          <w:szCs w:val="24"/>
        </w:rPr>
        <w:t>23</w:t>
      </w:r>
      <w:r w:rsidRPr="005F68D7" w:rsidR="00653AEE">
        <w:rPr>
          <w:rFonts w:ascii="Palatino Linotype" w:hAnsi="Palatino Linotype"/>
          <w:sz w:val="24"/>
          <w:szCs w:val="24"/>
        </w:rPr>
        <w:t>-</w:t>
      </w:r>
      <w:r w:rsidRPr="005F68D7" w:rsidR="009A32F0">
        <w:rPr>
          <w:rFonts w:ascii="Palatino Linotype" w:hAnsi="Palatino Linotype"/>
          <w:sz w:val="24"/>
          <w:szCs w:val="24"/>
        </w:rPr>
        <w:t>06-055</w:t>
      </w:r>
      <w:r w:rsidRPr="005F68D7" w:rsidR="00A25462">
        <w:rPr>
          <w:rFonts w:ascii="Palatino Linotype" w:hAnsi="Palatino Linotype"/>
          <w:sz w:val="24"/>
          <w:szCs w:val="24"/>
        </w:rPr>
        <w:t xml:space="preserve">, including  modifications </w:t>
      </w:r>
      <w:r w:rsidRPr="005F68D7" w:rsidR="00155645">
        <w:rPr>
          <w:rFonts w:ascii="Palatino Linotype" w:hAnsi="Palatino Linotype"/>
          <w:sz w:val="24"/>
          <w:szCs w:val="24"/>
        </w:rPr>
        <w:t xml:space="preserve">to </w:t>
      </w:r>
      <w:r w:rsidRPr="005F68D7" w:rsidR="00A25462">
        <w:rPr>
          <w:rFonts w:ascii="Palatino Linotype" w:hAnsi="Palatino Linotype"/>
          <w:sz w:val="24"/>
          <w:szCs w:val="24"/>
        </w:rPr>
        <w:t xml:space="preserve">metrics and indicators adopted in </w:t>
      </w:r>
      <w:r w:rsidR="000F7071">
        <w:rPr>
          <w:rFonts w:ascii="Palatino Linotype" w:hAnsi="Palatino Linotype"/>
          <w:sz w:val="24"/>
          <w:szCs w:val="24"/>
        </w:rPr>
        <w:br/>
      </w:r>
      <w:r w:rsidRPr="005F68D7" w:rsidR="00651D74">
        <w:rPr>
          <w:rFonts w:ascii="Palatino Linotype" w:hAnsi="Palatino Linotype"/>
          <w:sz w:val="24"/>
          <w:szCs w:val="24"/>
        </w:rPr>
        <w:t>(</w:t>
      </w:r>
      <w:r w:rsidRPr="005F68D7" w:rsidR="00DC15E1">
        <w:rPr>
          <w:rFonts w:ascii="Palatino Linotype" w:hAnsi="Palatino Linotype"/>
          <w:sz w:val="24"/>
          <w:szCs w:val="24"/>
        </w:rPr>
        <w:t>D.</w:t>
      </w:r>
      <w:r w:rsidRPr="005F68D7" w:rsidR="00651D74">
        <w:rPr>
          <w:rFonts w:ascii="Palatino Linotype" w:hAnsi="Palatino Linotype"/>
          <w:sz w:val="24"/>
          <w:szCs w:val="24"/>
        </w:rPr>
        <w:t xml:space="preserve">) </w:t>
      </w:r>
      <w:r w:rsidRPr="005F68D7" w:rsidR="00A25462">
        <w:rPr>
          <w:rFonts w:ascii="Palatino Linotype" w:hAnsi="Palatino Linotype"/>
          <w:sz w:val="24"/>
          <w:szCs w:val="24"/>
        </w:rPr>
        <w:t>18-05-041</w:t>
      </w:r>
      <w:r w:rsidRPr="005F68D7" w:rsidR="006E4F62">
        <w:rPr>
          <w:rFonts w:ascii="Palatino Linotype" w:hAnsi="Palatino Linotype"/>
          <w:sz w:val="24"/>
          <w:szCs w:val="24"/>
        </w:rPr>
        <w:t>. It also</w:t>
      </w:r>
      <w:r w:rsidRPr="005F68D7" w:rsidR="00FF7511">
        <w:rPr>
          <w:rFonts w:ascii="Palatino Linotype" w:hAnsi="Palatino Linotype"/>
          <w:sz w:val="24"/>
          <w:szCs w:val="24"/>
        </w:rPr>
        <w:t xml:space="preserve"> included</w:t>
      </w:r>
      <w:r w:rsidRPr="005F68D7" w:rsidR="004D6C00">
        <w:rPr>
          <w:rFonts w:ascii="Palatino Linotype" w:hAnsi="Palatino Linotype"/>
          <w:sz w:val="24"/>
          <w:szCs w:val="24"/>
        </w:rPr>
        <w:t xml:space="preserve"> </w:t>
      </w:r>
      <w:r w:rsidRPr="005F68D7" w:rsidR="00A25462">
        <w:rPr>
          <w:rFonts w:ascii="Palatino Linotype" w:hAnsi="Palatino Linotype"/>
          <w:sz w:val="24"/>
          <w:szCs w:val="24"/>
        </w:rPr>
        <w:t xml:space="preserve">information that </w:t>
      </w:r>
      <w:r w:rsidRPr="005F68D7" w:rsidR="0051339A">
        <w:rPr>
          <w:rFonts w:ascii="Palatino Linotype" w:hAnsi="Palatino Linotype"/>
          <w:sz w:val="24"/>
          <w:szCs w:val="24"/>
        </w:rPr>
        <w:t>Portfolio</w:t>
      </w:r>
      <w:r w:rsidRPr="005F68D7" w:rsidR="001378F0">
        <w:rPr>
          <w:rFonts w:ascii="Palatino Linotype" w:hAnsi="Palatino Linotype"/>
          <w:sz w:val="24"/>
          <w:szCs w:val="24"/>
        </w:rPr>
        <w:t xml:space="preserve"> </w:t>
      </w:r>
      <w:r w:rsidRPr="005F68D7" w:rsidR="0051339A">
        <w:rPr>
          <w:rFonts w:ascii="Palatino Linotype" w:hAnsi="Palatino Linotype"/>
          <w:sz w:val="24"/>
          <w:szCs w:val="24"/>
        </w:rPr>
        <w:t>A</w:t>
      </w:r>
      <w:r w:rsidRPr="005F68D7" w:rsidR="001378F0">
        <w:rPr>
          <w:rFonts w:ascii="Palatino Linotype" w:hAnsi="Palatino Linotype"/>
          <w:sz w:val="24"/>
          <w:szCs w:val="24"/>
        </w:rPr>
        <w:t xml:space="preserve">dministrators </w:t>
      </w:r>
      <w:r w:rsidRPr="005F68D7" w:rsidR="00A25462">
        <w:rPr>
          <w:rFonts w:ascii="Palatino Linotype" w:hAnsi="Palatino Linotype"/>
          <w:sz w:val="24"/>
          <w:szCs w:val="24"/>
        </w:rPr>
        <w:t>could use as baselines for future targets or methodologies for indicator</w:t>
      </w:r>
      <w:r w:rsidRPr="005F68D7" w:rsidR="00D74F01">
        <w:rPr>
          <w:rFonts w:ascii="Palatino Linotype" w:hAnsi="Palatino Linotype"/>
          <w:sz w:val="24"/>
          <w:szCs w:val="24"/>
        </w:rPr>
        <w:t>s</w:t>
      </w:r>
      <w:r w:rsidRPr="005F68D7" w:rsidR="00A25462">
        <w:rPr>
          <w:rFonts w:ascii="Palatino Linotype" w:hAnsi="Palatino Linotype"/>
          <w:sz w:val="24"/>
          <w:szCs w:val="24"/>
        </w:rPr>
        <w:t xml:space="preserve"> </w:t>
      </w:r>
      <w:r w:rsidRPr="005F68D7" w:rsidR="00D74F01">
        <w:rPr>
          <w:rFonts w:ascii="Palatino Linotype" w:hAnsi="Palatino Linotype"/>
          <w:sz w:val="24"/>
          <w:szCs w:val="24"/>
        </w:rPr>
        <w:t>to</w:t>
      </w:r>
      <w:r w:rsidRPr="005F68D7" w:rsidR="00A25462">
        <w:rPr>
          <w:rFonts w:ascii="Palatino Linotype" w:hAnsi="Palatino Linotype"/>
          <w:sz w:val="24"/>
          <w:szCs w:val="24"/>
        </w:rPr>
        <w:t xml:space="preserve"> infor</w:t>
      </w:r>
      <w:r w:rsidRPr="005F68D7" w:rsidR="00D727B1">
        <w:rPr>
          <w:rFonts w:ascii="Palatino Linotype" w:hAnsi="Palatino Linotype"/>
          <w:sz w:val="24"/>
          <w:szCs w:val="24"/>
        </w:rPr>
        <w:t>m</w:t>
      </w:r>
      <w:r w:rsidRPr="005F68D7" w:rsidR="00A25462">
        <w:rPr>
          <w:rFonts w:ascii="Palatino Linotype" w:hAnsi="Palatino Linotype"/>
          <w:sz w:val="24"/>
          <w:szCs w:val="24"/>
        </w:rPr>
        <w:t xml:space="preserve"> baselines</w:t>
      </w:r>
      <w:r w:rsidRPr="005F68D7" w:rsidR="00EC5D7E">
        <w:rPr>
          <w:rFonts w:ascii="Palatino Linotype" w:hAnsi="Palatino Linotype"/>
          <w:sz w:val="24"/>
          <w:szCs w:val="24"/>
        </w:rPr>
        <w:t>.</w:t>
      </w:r>
    </w:p>
    <w:p w:rsidRPr="005F68D7" w:rsidR="0031732E" w:rsidP="00A25462" w:rsidRDefault="0031732E" w14:paraId="4BF7C69D" w14:textId="77777777">
      <w:pPr>
        <w:autoSpaceDE w:val="0"/>
        <w:autoSpaceDN w:val="0"/>
        <w:rPr>
          <w:rFonts w:ascii="Palatino Linotype" w:hAnsi="Palatino Linotype"/>
          <w:sz w:val="24"/>
          <w:szCs w:val="24"/>
        </w:rPr>
      </w:pPr>
    </w:p>
    <w:p w:rsidRPr="005F68D7" w:rsidR="009C2C4C" w:rsidP="001F1C26" w:rsidRDefault="0031732E" w14:paraId="6847CEB3" w14:textId="14EC3E63">
      <w:pPr>
        <w:autoSpaceDE w:val="0"/>
        <w:autoSpaceDN w:val="0"/>
        <w:rPr>
          <w:rFonts w:ascii="Palatino Linotype" w:hAnsi="Palatino Linotype"/>
          <w:sz w:val="24"/>
          <w:szCs w:val="24"/>
        </w:rPr>
      </w:pPr>
      <w:r w:rsidRPr="005F68D7">
        <w:rPr>
          <w:rFonts w:ascii="Palatino Linotype" w:hAnsi="Palatino Linotype"/>
          <w:sz w:val="24"/>
          <w:szCs w:val="24"/>
        </w:rPr>
        <w:t>This resolution</w:t>
      </w:r>
      <w:r w:rsidRPr="005F68D7" w:rsidR="00E2137E">
        <w:rPr>
          <w:rFonts w:ascii="Palatino Linotype" w:hAnsi="Palatino Linotype"/>
          <w:sz w:val="24"/>
          <w:szCs w:val="24"/>
        </w:rPr>
        <w:t xml:space="preserve"> </w:t>
      </w:r>
      <w:r w:rsidRPr="005F68D7" w:rsidR="006429B7">
        <w:rPr>
          <w:rFonts w:ascii="Palatino Linotype" w:hAnsi="Palatino Linotype"/>
          <w:sz w:val="24"/>
          <w:szCs w:val="24"/>
        </w:rPr>
        <w:t xml:space="preserve">approves or </w:t>
      </w:r>
      <w:r w:rsidRPr="005F68D7" w:rsidR="00184724">
        <w:rPr>
          <w:rFonts w:ascii="Palatino Linotype" w:hAnsi="Palatino Linotype"/>
          <w:sz w:val="24"/>
          <w:szCs w:val="24"/>
        </w:rPr>
        <w:t>modifies</w:t>
      </w:r>
      <w:r w:rsidRPr="005F68D7" w:rsidR="004D6C00">
        <w:rPr>
          <w:rFonts w:ascii="Palatino Linotype" w:hAnsi="Palatino Linotype"/>
          <w:sz w:val="24"/>
          <w:szCs w:val="24"/>
        </w:rPr>
        <w:t xml:space="preserve"> </w:t>
      </w:r>
      <w:r w:rsidRPr="005F68D7" w:rsidR="00FC4335">
        <w:rPr>
          <w:rFonts w:ascii="Palatino Linotype" w:hAnsi="Palatino Linotype"/>
          <w:sz w:val="24"/>
          <w:szCs w:val="24"/>
        </w:rPr>
        <w:t xml:space="preserve">proposed </w:t>
      </w:r>
      <w:r w:rsidRPr="005F68D7" w:rsidR="006429B7">
        <w:rPr>
          <w:rFonts w:ascii="Palatino Linotype" w:hAnsi="Palatino Linotype"/>
          <w:sz w:val="24"/>
          <w:szCs w:val="24"/>
        </w:rPr>
        <w:t xml:space="preserve">clarifications </w:t>
      </w:r>
      <w:r w:rsidRPr="005F68D7" w:rsidR="00421250">
        <w:rPr>
          <w:rFonts w:ascii="Palatino Linotype" w:hAnsi="Palatino Linotype"/>
          <w:sz w:val="24"/>
          <w:szCs w:val="24"/>
        </w:rPr>
        <w:t xml:space="preserve">to Equity and Market Support indicators </w:t>
      </w:r>
      <w:r w:rsidRPr="005F68D7" w:rsidR="006429B7">
        <w:rPr>
          <w:rFonts w:ascii="Palatino Linotype" w:hAnsi="Palatino Linotype"/>
          <w:sz w:val="24"/>
          <w:szCs w:val="24"/>
        </w:rPr>
        <w:t xml:space="preserve">offered </w:t>
      </w:r>
      <w:r w:rsidRPr="005F68D7" w:rsidR="00421250">
        <w:rPr>
          <w:rFonts w:ascii="Palatino Linotype" w:hAnsi="Palatino Linotype"/>
          <w:sz w:val="24"/>
          <w:szCs w:val="24"/>
        </w:rPr>
        <w:t>by</w:t>
      </w:r>
      <w:r w:rsidRPr="005F68D7" w:rsidR="006429B7">
        <w:rPr>
          <w:rFonts w:ascii="Palatino Linotype" w:hAnsi="Palatino Linotype"/>
          <w:sz w:val="24"/>
          <w:szCs w:val="24"/>
        </w:rPr>
        <w:t xml:space="preserve"> the California Energy Efficiency Coordinating Committee (CAEECC) </w:t>
      </w:r>
      <w:r w:rsidRPr="005F68D7" w:rsidR="000822C6">
        <w:rPr>
          <w:rFonts w:ascii="Palatino Linotype" w:hAnsi="Palatino Linotype"/>
          <w:sz w:val="24"/>
          <w:szCs w:val="24"/>
        </w:rPr>
        <w:t xml:space="preserve">Equity and Market Support Working Group </w:t>
      </w:r>
      <w:r w:rsidRPr="005F68D7" w:rsidR="004B3BD5">
        <w:rPr>
          <w:rFonts w:ascii="Palatino Linotype" w:hAnsi="Palatino Linotype"/>
          <w:sz w:val="24"/>
          <w:szCs w:val="24"/>
        </w:rPr>
        <w:t>filed with the Joint PAs’ advice letter.  It also</w:t>
      </w:r>
      <w:r w:rsidRPr="005F68D7" w:rsidR="00816BC2">
        <w:rPr>
          <w:rFonts w:ascii="Palatino Linotype" w:hAnsi="Palatino Linotype"/>
          <w:sz w:val="24"/>
          <w:szCs w:val="24"/>
        </w:rPr>
        <w:t xml:space="preserve"> suspends, revises, or converts to indicators many </w:t>
      </w:r>
      <w:r w:rsidRPr="005F68D7" w:rsidR="00271D89">
        <w:rPr>
          <w:rFonts w:ascii="Palatino Linotype" w:hAnsi="Palatino Linotype"/>
          <w:sz w:val="24"/>
          <w:szCs w:val="24"/>
        </w:rPr>
        <w:t xml:space="preserve">of the 300 </w:t>
      </w:r>
      <w:r w:rsidRPr="005F68D7" w:rsidR="008472C7">
        <w:rPr>
          <w:rFonts w:ascii="Palatino Linotype" w:hAnsi="Palatino Linotype"/>
          <w:sz w:val="24"/>
          <w:szCs w:val="24"/>
        </w:rPr>
        <w:t xml:space="preserve">required </w:t>
      </w:r>
      <w:r w:rsidRPr="005F68D7" w:rsidR="00816BC2">
        <w:rPr>
          <w:rFonts w:ascii="Palatino Linotype" w:hAnsi="Palatino Linotype"/>
          <w:sz w:val="24"/>
          <w:szCs w:val="24"/>
        </w:rPr>
        <w:t>Common Metrics</w:t>
      </w:r>
      <w:r w:rsidRPr="005F68D7" w:rsidR="004E125F">
        <w:rPr>
          <w:rFonts w:ascii="Palatino Linotype" w:hAnsi="Palatino Linotype"/>
          <w:sz w:val="24"/>
          <w:szCs w:val="24"/>
        </w:rPr>
        <w:t>.</w:t>
      </w:r>
    </w:p>
    <w:p w:rsidRPr="005F68D7" w:rsidR="004B3BD5" w:rsidP="001F1C26" w:rsidRDefault="004B3BD5" w14:paraId="2B435655" w14:textId="77777777">
      <w:pPr>
        <w:autoSpaceDE w:val="0"/>
        <w:autoSpaceDN w:val="0"/>
        <w:rPr>
          <w:rFonts w:ascii="Palatino Linotype" w:hAnsi="Palatino Linotype"/>
          <w:sz w:val="24"/>
          <w:szCs w:val="24"/>
        </w:rPr>
      </w:pPr>
    </w:p>
    <w:p w:rsidRPr="005F68D7" w:rsidR="001C538D" w:rsidP="008B4E73" w:rsidRDefault="001C538D" w14:paraId="6945623A" w14:textId="77777777">
      <w:pPr>
        <w:pStyle w:val="Heading1"/>
        <w:jc w:val="both"/>
        <w:rPr>
          <w:rFonts w:ascii="Palatino Linotype" w:hAnsi="Palatino Linotype"/>
          <w:sz w:val="24"/>
          <w:szCs w:val="24"/>
        </w:rPr>
      </w:pPr>
      <w:r w:rsidRPr="005F68D7">
        <w:rPr>
          <w:rFonts w:ascii="Palatino Linotype" w:hAnsi="Palatino Linotype"/>
          <w:sz w:val="24"/>
          <w:szCs w:val="24"/>
        </w:rPr>
        <w:t>Background</w:t>
      </w:r>
    </w:p>
    <w:p w:rsidRPr="005F68D7" w:rsidR="001451BE" w:rsidP="001451BE" w:rsidRDefault="00651D74" w14:paraId="1CA3F449" w14:textId="149A6ABF">
      <w:pPr>
        <w:autoSpaceDE w:val="0"/>
        <w:autoSpaceDN w:val="0"/>
        <w:adjustRightInd w:val="0"/>
        <w:rPr>
          <w:rFonts w:ascii="Palatino Linotype" w:hAnsi="Palatino Linotype" w:cs="ArialMT"/>
          <w:sz w:val="24"/>
          <w:szCs w:val="24"/>
        </w:rPr>
      </w:pPr>
      <w:r w:rsidRPr="005F68D7">
        <w:rPr>
          <w:rFonts w:ascii="Palatino Linotype" w:hAnsi="Palatino Linotype" w:cs="ArialMT"/>
          <w:sz w:val="24"/>
          <w:szCs w:val="24"/>
        </w:rPr>
        <w:t>(</w:t>
      </w:r>
      <w:r w:rsidRPr="005F68D7" w:rsidR="001451BE">
        <w:rPr>
          <w:rFonts w:ascii="Palatino Linotype" w:hAnsi="Palatino Linotype" w:cs="ArialMT"/>
          <w:sz w:val="24"/>
          <w:szCs w:val="24"/>
        </w:rPr>
        <w:t>D.</w:t>
      </w:r>
      <w:r w:rsidRPr="005F68D7">
        <w:rPr>
          <w:rFonts w:ascii="Palatino Linotype" w:hAnsi="Palatino Linotype" w:cs="ArialMT"/>
          <w:sz w:val="24"/>
          <w:szCs w:val="24"/>
        </w:rPr>
        <w:t xml:space="preserve">) </w:t>
      </w:r>
      <w:r w:rsidRPr="005F68D7" w:rsidR="001451BE">
        <w:rPr>
          <w:rFonts w:ascii="Palatino Linotype" w:hAnsi="Palatino Linotype" w:cs="ArialMT"/>
          <w:sz w:val="24"/>
          <w:szCs w:val="24"/>
        </w:rPr>
        <w:t>23-06-055 adopted thirteen Equity Indicators and twenty-five Market Support Indicators</w:t>
      </w:r>
      <w:r w:rsidRPr="005F68D7" w:rsidR="00EB0007">
        <w:rPr>
          <w:rStyle w:val="FootnoteReference"/>
          <w:rFonts w:ascii="Palatino Linotype" w:hAnsi="Palatino Linotype" w:cs="ArialMT"/>
          <w:sz w:val="24"/>
          <w:szCs w:val="24"/>
        </w:rPr>
        <w:footnoteReference w:id="2"/>
      </w:r>
      <w:r w:rsidRPr="005F68D7" w:rsidR="001451BE">
        <w:rPr>
          <w:rFonts w:ascii="Palatino Linotype" w:hAnsi="Palatino Linotype" w:cs="ArialMT"/>
          <w:sz w:val="24"/>
          <w:szCs w:val="24"/>
        </w:rPr>
        <w:t>, many of</w:t>
      </w:r>
      <w:r w:rsidRPr="005F68D7" w:rsidR="00B07FF3">
        <w:rPr>
          <w:rFonts w:ascii="Palatino Linotype" w:hAnsi="Palatino Linotype" w:cs="ArialMT"/>
          <w:sz w:val="24"/>
          <w:szCs w:val="24"/>
        </w:rPr>
        <w:t xml:space="preserve"> </w:t>
      </w:r>
      <w:r w:rsidRPr="005F68D7" w:rsidR="001451BE">
        <w:rPr>
          <w:rFonts w:ascii="Palatino Linotype" w:hAnsi="Palatino Linotype" w:cs="ArialMT"/>
          <w:sz w:val="24"/>
          <w:szCs w:val="24"/>
        </w:rPr>
        <w:t>which were metrics or indicators</w:t>
      </w:r>
      <w:r w:rsidRPr="005F68D7" w:rsidR="005B53E9">
        <w:rPr>
          <w:rStyle w:val="FootnoteReference"/>
          <w:rFonts w:ascii="Palatino Linotype" w:hAnsi="Palatino Linotype" w:cs="ArialMT"/>
          <w:sz w:val="24"/>
          <w:szCs w:val="24"/>
        </w:rPr>
        <w:footnoteReference w:id="3"/>
      </w:r>
      <w:r w:rsidRPr="005F68D7" w:rsidR="001451BE">
        <w:rPr>
          <w:rFonts w:ascii="Palatino Linotype" w:hAnsi="Palatino Linotype" w:cs="ArialMT"/>
          <w:sz w:val="24"/>
          <w:szCs w:val="24"/>
        </w:rPr>
        <w:t xml:space="preserve"> recommended in the</w:t>
      </w:r>
      <w:r w:rsidRPr="005F68D7" w:rsidR="000603DA">
        <w:rPr>
          <w:rFonts w:ascii="Palatino Linotype" w:hAnsi="Palatino Linotype" w:cs="ArialMT"/>
          <w:sz w:val="24"/>
          <w:szCs w:val="24"/>
        </w:rPr>
        <w:t xml:space="preserve"> California Energy Efficiency Coordinating Committee’s (CAEECC’s) </w:t>
      </w:r>
      <w:r w:rsidRPr="005F68D7" w:rsidR="001451BE">
        <w:rPr>
          <w:rFonts w:ascii="Palatino Linotype" w:hAnsi="Palatino Linotype" w:cs="ArialMT"/>
          <w:sz w:val="24"/>
          <w:szCs w:val="24"/>
        </w:rPr>
        <w:t>Equity Metrics Working Group</w:t>
      </w:r>
      <w:r w:rsidRPr="005F68D7" w:rsidR="00B07FF3">
        <w:rPr>
          <w:rFonts w:ascii="Palatino Linotype" w:hAnsi="Palatino Linotype" w:cs="ArialMT"/>
          <w:sz w:val="24"/>
          <w:szCs w:val="24"/>
        </w:rPr>
        <w:t xml:space="preserve"> </w:t>
      </w:r>
      <w:r w:rsidRPr="005F68D7" w:rsidR="001451BE">
        <w:rPr>
          <w:rFonts w:ascii="Palatino Linotype" w:hAnsi="Palatino Linotype" w:cs="ArialMT"/>
          <w:sz w:val="24"/>
          <w:szCs w:val="24"/>
        </w:rPr>
        <w:t xml:space="preserve">(EMWG) and Market Support Metrics Working Group (MSMWG). </w:t>
      </w:r>
      <w:r w:rsidRPr="005F68D7">
        <w:rPr>
          <w:rFonts w:ascii="Palatino Linotype" w:hAnsi="Palatino Linotype" w:cs="ArialMT"/>
          <w:sz w:val="24"/>
          <w:szCs w:val="24"/>
        </w:rPr>
        <w:t>(</w:t>
      </w:r>
      <w:r w:rsidRPr="005F68D7" w:rsidR="001451BE">
        <w:rPr>
          <w:rFonts w:ascii="Palatino Linotype" w:hAnsi="Palatino Linotype" w:cs="ArialMT"/>
          <w:sz w:val="24"/>
          <w:szCs w:val="24"/>
        </w:rPr>
        <w:t>D.</w:t>
      </w:r>
      <w:r w:rsidRPr="005F68D7">
        <w:rPr>
          <w:rFonts w:ascii="Palatino Linotype" w:hAnsi="Palatino Linotype" w:cs="ArialMT"/>
          <w:sz w:val="24"/>
          <w:szCs w:val="24"/>
        </w:rPr>
        <w:t xml:space="preserve">) </w:t>
      </w:r>
      <w:r w:rsidRPr="005F68D7" w:rsidR="001451BE">
        <w:rPr>
          <w:rFonts w:ascii="Palatino Linotype" w:hAnsi="Palatino Linotype" w:cs="ArialMT"/>
          <w:sz w:val="24"/>
          <w:szCs w:val="24"/>
        </w:rPr>
        <w:t>23-06-055 requested that the</w:t>
      </w:r>
      <w:r w:rsidRPr="005F68D7" w:rsidR="00B07FF3">
        <w:rPr>
          <w:rFonts w:ascii="Palatino Linotype" w:hAnsi="Palatino Linotype" w:cs="ArialMT"/>
          <w:sz w:val="24"/>
          <w:szCs w:val="24"/>
        </w:rPr>
        <w:t xml:space="preserve"> </w:t>
      </w:r>
      <w:r w:rsidRPr="005F68D7" w:rsidR="001451BE">
        <w:rPr>
          <w:rFonts w:ascii="Palatino Linotype" w:hAnsi="Palatino Linotype" w:cs="ArialMT"/>
          <w:sz w:val="24"/>
          <w:szCs w:val="24"/>
        </w:rPr>
        <w:t>CAEECC re-engage the EMWG and MSMWG to discuss and develop recommendations to clarify</w:t>
      </w:r>
      <w:r w:rsidRPr="005F68D7" w:rsidR="000603DA">
        <w:rPr>
          <w:rFonts w:ascii="Palatino Linotype" w:hAnsi="Palatino Linotype" w:cs="ArialMT"/>
          <w:sz w:val="24"/>
          <w:szCs w:val="24"/>
        </w:rPr>
        <w:t xml:space="preserve"> </w:t>
      </w:r>
      <w:r w:rsidRPr="005F68D7" w:rsidR="001451BE">
        <w:rPr>
          <w:rFonts w:ascii="Palatino Linotype" w:hAnsi="Palatino Linotype" w:cs="ArialMT"/>
          <w:sz w:val="24"/>
          <w:szCs w:val="24"/>
        </w:rPr>
        <w:t>the adopted Equity and Market Support Indicators. CAEECC reconvened by consolidating the two</w:t>
      </w:r>
      <w:r w:rsidRPr="005F68D7" w:rsidR="00B07FF3">
        <w:rPr>
          <w:rFonts w:ascii="Palatino Linotype" w:hAnsi="Palatino Linotype" w:cs="ArialMT"/>
          <w:sz w:val="24"/>
          <w:szCs w:val="24"/>
        </w:rPr>
        <w:t xml:space="preserve"> </w:t>
      </w:r>
      <w:r w:rsidRPr="005F68D7" w:rsidR="001451BE">
        <w:rPr>
          <w:rFonts w:ascii="Palatino Linotype" w:hAnsi="Palatino Linotype" w:cs="ArialMT"/>
          <w:sz w:val="24"/>
          <w:szCs w:val="24"/>
        </w:rPr>
        <w:t>working group efforts into a single Equity and Market Support Working Group</w:t>
      </w:r>
      <w:r w:rsidRPr="005F68D7" w:rsidR="000603DA">
        <w:rPr>
          <w:rFonts w:ascii="Palatino Linotype" w:hAnsi="Palatino Linotype" w:cs="ArialMT"/>
          <w:sz w:val="24"/>
          <w:szCs w:val="24"/>
        </w:rPr>
        <w:t xml:space="preserve"> (</w:t>
      </w:r>
      <w:r w:rsidRPr="005F68D7" w:rsidR="006E2466">
        <w:rPr>
          <w:rFonts w:ascii="Palatino Linotype" w:hAnsi="Palatino Linotype" w:cs="ArialMT"/>
          <w:sz w:val="24"/>
          <w:szCs w:val="24"/>
        </w:rPr>
        <w:t>EMSWG)</w:t>
      </w:r>
      <w:r w:rsidRPr="005F68D7" w:rsidR="001451BE">
        <w:rPr>
          <w:rFonts w:ascii="Palatino Linotype" w:hAnsi="Palatino Linotype" w:cs="ArialMT"/>
          <w:sz w:val="24"/>
          <w:szCs w:val="24"/>
        </w:rPr>
        <w:t>, which spanned from</w:t>
      </w:r>
      <w:r w:rsidRPr="005F68D7" w:rsidR="00B07FF3">
        <w:rPr>
          <w:rFonts w:ascii="Palatino Linotype" w:hAnsi="Palatino Linotype" w:cs="ArialMT"/>
          <w:sz w:val="24"/>
          <w:szCs w:val="24"/>
        </w:rPr>
        <w:t xml:space="preserve"> </w:t>
      </w:r>
      <w:r w:rsidRPr="005F68D7" w:rsidR="001451BE">
        <w:rPr>
          <w:rFonts w:ascii="Palatino Linotype" w:hAnsi="Palatino Linotype" w:cs="ArialMT"/>
          <w:sz w:val="24"/>
          <w:szCs w:val="24"/>
        </w:rPr>
        <w:t>November 2023 – March 2024. The Decision noted:</w:t>
      </w:r>
    </w:p>
    <w:p w:rsidRPr="005F68D7" w:rsidR="00B07FF3" w:rsidP="00531F58" w:rsidRDefault="00081E57" w14:paraId="0ACAFD89" w14:textId="6E3459D0">
      <w:pPr>
        <w:autoSpaceDE w:val="0"/>
        <w:autoSpaceDN w:val="0"/>
        <w:adjustRightInd w:val="0"/>
        <w:ind w:left="720"/>
        <w:rPr>
          <w:rFonts w:ascii="Palatino Linotype" w:hAnsi="Palatino Linotype" w:cs="ArialMT"/>
          <w:sz w:val="24"/>
          <w:szCs w:val="24"/>
        </w:rPr>
      </w:pPr>
      <w:r w:rsidRPr="005F68D7">
        <w:rPr>
          <w:rFonts w:ascii="Palatino Linotype" w:hAnsi="Palatino Linotype" w:cs="ArialMT"/>
          <w:sz w:val="24"/>
          <w:szCs w:val="24"/>
        </w:rPr>
        <w:t xml:space="preserve">Many of the adopted indicators would benefit from clarification and further discussion about the valuation methodology. Guidance may be needed for PAs to ensure that baselines for target-setting are clear and consistently applied, to the greatest extent possible. For these reasons, we will ask the CAEECC to </w:t>
      </w:r>
      <w:r w:rsidR="00BE5FF4">
        <w:rPr>
          <w:rFonts w:ascii="Palatino Linotype" w:hAnsi="Palatino Linotype" w:cs="ArialMT"/>
          <w:sz w:val="24"/>
          <w:szCs w:val="24"/>
        </w:rPr>
        <w:br/>
      </w:r>
      <w:r w:rsidRPr="005F68D7">
        <w:rPr>
          <w:rFonts w:ascii="Palatino Linotype" w:hAnsi="Palatino Linotype" w:cs="ArialMT"/>
          <w:sz w:val="24"/>
          <w:szCs w:val="24"/>
        </w:rPr>
        <w:lastRenderedPageBreak/>
        <w:t>re-engage and update, as necessary, the EMWG and MSMWG to discuss and develop recommendations.</w:t>
      </w:r>
      <w:r w:rsidRPr="005F68D7">
        <w:rPr>
          <w:rStyle w:val="FootnoteReference"/>
          <w:rFonts w:ascii="Palatino Linotype" w:hAnsi="Palatino Linotype" w:cs="ArialMT"/>
          <w:sz w:val="24"/>
          <w:szCs w:val="24"/>
        </w:rPr>
        <w:footnoteReference w:id="4"/>
      </w:r>
    </w:p>
    <w:p w:rsidRPr="005F68D7" w:rsidR="00531F58" w:rsidP="00531F58" w:rsidRDefault="00531F58" w14:paraId="0944D4E2" w14:textId="77777777">
      <w:pPr>
        <w:autoSpaceDE w:val="0"/>
        <w:autoSpaceDN w:val="0"/>
        <w:adjustRightInd w:val="0"/>
        <w:ind w:left="720"/>
        <w:rPr>
          <w:rFonts w:ascii="Palatino Linotype" w:hAnsi="Palatino Linotype" w:cs="ArialMT"/>
          <w:sz w:val="24"/>
          <w:szCs w:val="24"/>
        </w:rPr>
      </w:pPr>
    </w:p>
    <w:p w:rsidRPr="005F68D7" w:rsidR="00AA1AC3" w:rsidP="00AA1AC3" w:rsidRDefault="00651D74" w14:paraId="021F96E0" w14:textId="4AE99139">
      <w:pPr>
        <w:autoSpaceDE w:val="0"/>
        <w:autoSpaceDN w:val="0"/>
        <w:adjustRightInd w:val="0"/>
        <w:rPr>
          <w:rFonts w:ascii="Palatino Linotype" w:hAnsi="Palatino Linotype" w:cs="ArialMT"/>
          <w:sz w:val="24"/>
          <w:szCs w:val="24"/>
        </w:rPr>
      </w:pPr>
      <w:r w:rsidRPr="005F68D7">
        <w:rPr>
          <w:rFonts w:ascii="Palatino Linotype" w:hAnsi="Palatino Linotype" w:cs="ArialMT"/>
          <w:sz w:val="24"/>
          <w:szCs w:val="24"/>
        </w:rPr>
        <w:t>(</w:t>
      </w:r>
      <w:r w:rsidRPr="005F68D7" w:rsidR="00AA1AC3">
        <w:rPr>
          <w:rFonts w:ascii="Palatino Linotype" w:hAnsi="Palatino Linotype" w:cs="ArialMT"/>
          <w:sz w:val="24"/>
          <w:szCs w:val="24"/>
        </w:rPr>
        <w:t>D.</w:t>
      </w:r>
      <w:r w:rsidRPr="005F68D7">
        <w:rPr>
          <w:rFonts w:ascii="Palatino Linotype" w:hAnsi="Palatino Linotype" w:cs="ArialMT"/>
          <w:sz w:val="24"/>
          <w:szCs w:val="24"/>
        </w:rPr>
        <w:t xml:space="preserve">) </w:t>
      </w:r>
      <w:r w:rsidRPr="005F68D7" w:rsidR="00AA1AC3">
        <w:rPr>
          <w:rFonts w:ascii="Palatino Linotype" w:hAnsi="Palatino Linotype" w:cs="ArialMT"/>
          <w:sz w:val="24"/>
          <w:szCs w:val="24"/>
        </w:rPr>
        <w:t>23-06-055 specifies</w:t>
      </w:r>
      <w:r w:rsidRPr="005F68D7" w:rsidR="00CA2658">
        <w:rPr>
          <w:rFonts w:ascii="Palatino Linotype" w:hAnsi="Palatino Linotype" w:cs="ArialMT"/>
          <w:sz w:val="24"/>
          <w:szCs w:val="24"/>
        </w:rPr>
        <w:t>:</w:t>
      </w:r>
    </w:p>
    <w:p w:rsidRPr="005F68D7" w:rsidR="00AA1AC3" w:rsidP="00AA1AC3" w:rsidRDefault="00AA1AC3" w14:paraId="311E8893" w14:textId="77777777">
      <w:pPr>
        <w:autoSpaceDE w:val="0"/>
        <w:autoSpaceDN w:val="0"/>
        <w:adjustRightInd w:val="0"/>
        <w:rPr>
          <w:rFonts w:ascii="Palatino Linotype" w:hAnsi="Palatino Linotype" w:cs="ArialMT"/>
          <w:sz w:val="24"/>
          <w:szCs w:val="24"/>
        </w:rPr>
      </w:pPr>
    </w:p>
    <w:p w:rsidRPr="005F68D7" w:rsidR="00D77295" w:rsidP="00AA1AC3" w:rsidRDefault="00AA1AC3" w14:paraId="1E77EA97" w14:textId="338D6E85">
      <w:pPr>
        <w:autoSpaceDE w:val="0"/>
        <w:autoSpaceDN w:val="0"/>
        <w:adjustRightInd w:val="0"/>
        <w:ind w:left="720"/>
        <w:rPr>
          <w:rFonts w:ascii="Palatino Linotype" w:hAnsi="Palatino Linotype" w:cs="ArialMT"/>
          <w:sz w:val="24"/>
          <w:szCs w:val="24"/>
        </w:rPr>
      </w:pPr>
      <w:r w:rsidRPr="005F68D7">
        <w:rPr>
          <w:rFonts w:ascii="Palatino Linotype" w:hAnsi="Palatino Linotype" w:cs="ArialMT"/>
          <w:sz w:val="24"/>
          <w:szCs w:val="24"/>
        </w:rPr>
        <w:t>[t]he portfolio administrators shall jointly submit a Tier 2 advice letter by no later than May 1, 2024 clarifying all of the indicators adopted in this decision, including any modifications from metrics and indicators adopted in Decision 18-05-041, and identifying information that could be used as baselines for future targets or methodologies for how the indicator information can be used as baselines.</w:t>
      </w:r>
      <w:r w:rsidRPr="005F68D7" w:rsidR="00FD31BF">
        <w:rPr>
          <w:rStyle w:val="FootnoteReference"/>
          <w:rFonts w:ascii="Palatino Linotype" w:hAnsi="Palatino Linotype" w:cs="ArialMT"/>
          <w:sz w:val="24"/>
          <w:szCs w:val="24"/>
        </w:rPr>
        <w:footnoteReference w:id="5"/>
      </w:r>
    </w:p>
    <w:p w:rsidRPr="005F68D7" w:rsidR="00AA1AC3" w:rsidP="00976F20" w:rsidRDefault="00AA1AC3" w14:paraId="2A262A7D" w14:textId="77777777">
      <w:pPr>
        <w:pStyle w:val="standard"/>
        <w:spacing w:line="240" w:lineRule="auto"/>
        <w:ind w:firstLine="0"/>
        <w:jc w:val="both"/>
        <w:rPr>
          <w:rFonts w:ascii="Palatino Linotype" w:hAnsi="Palatino Linotype" w:cs="Arial"/>
          <w:b/>
          <w:sz w:val="24"/>
          <w:szCs w:val="24"/>
          <w:highlight w:val="yellow"/>
        </w:rPr>
      </w:pPr>
    </w:p>
    <w:p w:rsidRPr="005F68D7" w:rsidR="009F61C1" w:rsidP="001A4783" w:rsidRDefault="00481F8A" w14:paraId="0D3BA558" w14:textId="05ADB937">
      <w:pPr>
        <w:pStyle w:val="standard"/>
        <w:spacing w:line="240" w:lineRule="auto"/>
        <w:ind w:firstLine="0"/>
        <w:rPr>
          <w:rFonts w:ascii="Palatino Linotype" w:hAnsi="Palatino Linotype" w:cs="Arial"/>
          <w:sz w:val="24"/>
          <w:szCs w:val="24"/>
        </w:rPr>
      </w:pPr>
      <w:r w:rsidRPr="005F68D7">
        <w:rPr>
          <w:rFonts w:ascii="Palatino Linotype" w:hAnsi="Palatino Linotype" w:cs="Arial"/>
          <w:bCs/>
          <w:sz w:val="24"/>
          <w:szCs w:val="24"/>
        </w:rPr>
        <w:t xml:space="preserve">Ordering </w:t>
      </w:r>
      <w:r w:rsidRPr="005F68D7" w:rsidR="00E22C02">
        <w:rPr>
          <w:rFonts w:ascii="Palatino Linotype" w:hAnsi="Palatino Linotype" w:cs="Arial"/>
          <w:bCs/>
          <w:sz w:val="24"/>
          <w:szCs w:val="24"/>
        </w:rPr>
        <w:t>Paragraph (</w:t>
      </w:r>
      <w:r w:rsidRPr="005F68D7" w:rsidR="009F61C1">
        <w:rPr>
          <w:rFonts w:ascii="Palatino Linotype" w:hAnsi="Palatino Linotype" w:cs="Arial"/>
          <w:sz w:val="24"/>
          <w:szCs w:val="24"/>
        </w:rPr>
        <w:t>OP</w:t>
      </w:r>
      <w:r w:rsidRPr="005F68D7" w:rsidR="00E22C02">
        <w:rPr>
          <w:rFonts w:ascii="Palatino Linotype" w:hAnsi="Palatino Linotype" w:cs="Arial"/>
          <w:bCs/>
          <w:sz w:val="24"/>
          <w:szCs w:val="24"/>
        </w:rPr>
        <w:t>)</w:t>
      </w:r>
      <w:r w:rsidRPr="005F68D7" w:rsidR="009F61C1">
        <w:rPr>
          <w:rFonts w:ascii="Palatino Linotype" w:hAnsi="Palatino Linotype" w:cs="Arial"/>
          <w:bCs/>
          <w:sz w:val="24"/>
          <w:szCs w:val="24"/>
        </w:rPr>
        <w:t xml:space="preserve"> 11 </w:t>
      </w:r>
      <w:r w:rsidRPr="005F68D7" w:rsidR="00E22C02">
        <w:rPr>
          <w:rFonts w:ascii="Palatino Linotype" w:hAnsi="Palatino Linotype" w:cs="Arial"/>
          <w:bCs/>
          <w:sz w:val="24"/>
          <w:szCs w:val="24"/>
        </w:rPr>
        <w:t xml:space="preserve">of </w:t>
      </w:r>
      <w:r w:rsidRPr="005F68D7" w:rsidR="00651D74">
        <w:rPr>
          <w:rFonts w:ascii="Palatino Linotype" w:hAnsi="Palatino Linotype" w:cs="Arial"/>
          <w:bCs/>
          <w:sz w:val="24"/>
          <w:szCs w:val="24"/>
        </w:rPr>
        <w:t>(</w:t>
      </w:r>
      <w:r w:rsidRPr="005F68D7" w:rsidR="00E22C02">
        <w:rPr>
          <w:rFonts w:ascii="Palatino Linotype" w:hAnsi="Palatino Linotype" w:cs="Arial"/>
          <w:bCs/>
          <w:sz w:val="24"/>
          <w:szCs w:val="24"/>
        </w:rPr>
        <w:t>D.</w:t>
      </w:r>
      <w:r w:rsidRPr="005F68D7" w:rsidR="00651D74">
        <w:rPr>
          <w:rFonts w:ascii="Palatino Linotype" w:hAnsi="Palatino Linotype" w:cs="Arial"/>
          <w:bCs/>
          <w:sz w:val="24"/>
          <w:szCs w:val="24"/>
        </w:rPr>
        <w:t xml:space="preserve">) </w:t>
      </w:r>
      <w:r w:rsidRPr="005F68D7" w:rsidR="00E22C02">
        <w:rPr>
          <w:rFonts w:ascii="Palatino Linotype" w:hAnsi="Palatino Linotype" w:cs="Arial"/>
          <w:bCs/>
          <w:sz w:val="24"/>
          <w:szCs w:val="24"/>
        </w:rPr>
        <w:t>23-06-055</w:t>
      </w:r>
      <w:r w:rsidRPr="005F68D7" w:rsidR="009F61C1">
        <w:rPr>
          <w:rFonts w:ascii="Palatino Linotype" w:hAnsi="Palatino Linotype" w:cs="Arial"/>
          <w:sz w:val="24"/>
          <w:szCs w:val="24"/>
        </w:rPr>
        <w:t xml:space="preserve"> requires delineation of two parallel workstreams, the first being clarification of indicators that </w:t>
      </w:r>
      <w:r w:rsidRPr="005F68D7" w:rsidR="00882D5E">
        <w:rPr>
          <w:rFonts w:ascii="Palatino Linotype" w:hAnsi="Palatino Linotype" w:cs="Arial"/>
          <w:sz w:val="24"/>
          <w:szCs w:val="24"/>
        </w:rPr>
        <w:t>Portfolio</w:t>
      </w:r>
      <w:r w:rsidRPr="005F68D7" w:rsidR="008115EB">
        <w:rPr>
          <w:rFonts w:ascii="Palatino Linotype" w:hAnsi="Palatino Linotype" w:cs="Arial"/>
          <w:sz w:val="24"/>
          <w:szCs w:val="24"/>
        </w:rPr>
        <w:t xml:space="preserve"> </w:t>
      </w:r>
      <w:r w:rsidRPr="005F68D7" w:rsidR="00882D5E">
        <w:rPr>
          <w:rFonts w:ascii="Palatino Linotype" w:hAnsi="Palatino Linotype" w:cs="Arial"/>
          <w:sz w:val="24"/>
          <w:szCs w:val="24"/>
        </w:rPr>
        <w:t>A</w:t>
      </w:r>
      <w:r w:rsidRPr="005F68D7" w:rsidR="008115EB">
        <w:rPr>
          <w:rFonts w:ascii="Palatino Linotype" w:hAnsi="Palatino Linotype" w:cs="Arial"/>
          <w:sz w:val="24"/>
          <w:szCs w:val="24"/>
        </w:rPr>
        <w:t xml:space="preserve">dministrators </w:t>
      </w:r>
      <w:r w:rsidRPr="005F68D7" w:rsidR="009F61C1">
        <w:rPr>
          <w:rFonts w:ascii="Palatino Linotype" w:hAnsi="Palatino Linotype" w:cs="Arial"/>
          <w:sz w:val="24"/>
          <w:szCs w:val="24"/>
        </w:rPr>
        <w:t xml:space="preserve">included in </w:t>
      </w:r>
      <w:r w:rsidRPr="005F68D7" w:rsidR="00651D74">
        <w:rPr>
          <w:rFonts w:ascii="Palatino Linotype" w:hAnsi="Palatino Linotype" w:cs="Arial"/>
          <w:sz w:val="24"/>
          <w:szCs w:val="24"/>
        </w:rPr>
        <w:t>(</w:t>
      </w:r>
      <w:r w:rsidRPr="005F68D7" w:rsidR="009F61C1">
        <w:rPr>
          <w:rFonts w:ascii="Palatino Linotype" w:hAnsi="Palatino Linotype" w:cs="Arial"/>
          <w:sz w:val="24"/>
          <w:szCs w:val="24"/>
        </w:rPr>
        <w:t>D.</w:t>
      </w:r>
      <w:r w:rsidRPr="005F68D7" w:rsidR="00651D74">
        <w:rPr>
          <w:rFonts w:ascii="Palatino Linotype" w:hAnsi="Palatino Linotype" w:cs="Arial"/>
          <w:sz w:val="24"/>
          <w:szCs w:val="24"/>
        </w:rPr>
        <w:t xml:space="preserve">) </w:t>
      </w:r>
      <w:r w:rsidRPr="005F68D7" w:rsidR="009F61C1">
        <w:rPr>
          <w:rFonts w:ascii="Palatino Linotype" w:hAnsi="Palatino Linotype" w:cs="Arial"/>
          <w:sz w:val="24"/>
          <w:szCs w:val="24"/>
        </w:rPr>
        <w:t xml:space="preserve">23-06-055, which occurred through the </w:t>
      </w:r>
      <w:r w:rsidRPr="005F68D7" w:rsidR="00BF0399">
        <w:rPr>
          <w:rFonts w:ascii="Palatino Linotype" w:hAnsi="Palatino Linotype" w:cs="Arial"/>
          <w:sz w:val="24"/>
          <w:szCs w:val="24"/>
        </w:rPr>
        <w:t>EMSWG</w:t>
      </w:r>
      <w:r w:rsidRPr="005F68D7" w:rsidR="00A94805">
        <w:rPr>
          <w:rStyle w:val="FootnoteReference"/>
          <w:rFonts w:ascii="Palatino Linotype" w:hAnsi="Palatino Linotype" w:cs="Arial"/>
          <w:sz w:val="24"/>
          <w:szCs w:val="24"/>
        </w:rPr>
        <w:footnoteReference w:id="6"/>
      </w:r>
      <w:r w:rsidRPr="005F68D7" w:rsidR="00A94805">
        <w:rPr>
          <w:rFonts w:ascii="Palatino Linotype" w:hAnsi="Palatino Linotype" w:cs="Arial"/>
          <w:sz w:val="24"/>
          <w:szCs w:val="24"/>
        </w:rPr>
        <w:t>.</w:t>
      </w:r>
      <w:r w:rsidRPr="005F68D7" w:rsidR="00BF0399">
        <w:rPr>
          <w:rFonts w:ascii="Palatino Linotype" w:hAnsi="Palatino Linotype" w:cs="Arial"/>
          <w:sz w:val="24"/>
          <w:szCs w:val="24"/>
        </w:rPr>
        <w:t xml:space="preserve"> </w:t>
      </w:r>
      <w:r w:rsidRPr="005F68D7" w:rsidR="009F61C1">
        <w:rPr>
          <w:rFonts w:ascii="Palatino Linotype" w:hAnsi="Palatino Linotype" w:cs="Arial"/>
          <w:sz w:val="24"/>
          <w:szCs w:val="24"/>
        </w:rPr>
        <w:t>The second workstream</w:t>
      </w:r>
      <w:r w:rsidRPr="005F68D7" w:rsidR="00B73A08">
        <w:rPr>
          <w:rFonts w:ascii="Palatino Linotype" w:hAnsi="Palatino Linotype" w:cs="Arial"/>
          <w:sz w:val="24"/>
          <w:szCs w:val="24"/>
        </w:rPr>
        <w:t xml:space="preserve"> </w:t>
      </w:r>
      <w:r w:rsidRPr="005F68D7" w:rsidR="00EC21E8">
        <w:rPr>
          <w:rFonts w:ascii="Palatino Linotype" w:hAnsi="Palatino Linotype" w:cs="Arial"/>
          <w:sz w:val="24"/>
          <w:szCs w:val="24"/>
        </w:rPr>
        <w:t>involved</w:t>
      </w:r>
      <w:r w:rsidRPr="005F68D7" w:rsidR="009F61C1">
        <w:rPr>
          <w:rFonts w:ascii="Palatino Linotype" w:hAnsi="Palatino Linotype" w:cs="Arial"/>
          <w:sz w:val="24"/>
          <w:szCs w:val="24"/>
        </w:rPr>
        <w:t xml:space="preserve"> Joint PAs</w:t>
      </w:r>
      <w:r w:rsidRPr="005F68D7" w:rsidR="00F304C1">
        <w:rPr>
          <w:rFonts w:ascii="Palatino Linotype" w:hAnsi="Palatino Linotype" w:cs="Arial"/>
          <w:sz w:val="24"/>
          <w:szCs w:val="24"/>
        </w:rPr>
        <w:t>'</w:t>
      </w:r>
      <w:r w:rsidRPr="005F68D7" w:rsidR="009F61C1">
        <w:rPr>
          <w:rFonts w:ascii="Palatino Linotype" w:hAnsi="Palatino Linotype" w:cs="Arial"/>
          <w:sz w:val="24"/>
          <w:szCs w:val="24"/>
        </w:rPr>
        <w:t xml:space="preserve"> modification of metrics and</w:t>
      </w:r>
      <w:r w:rsidRPr="005F68D7" w:rsidR="00F000E8">
        <w:rPr>
          <w:rFonts w:ascii="Palatino Linotype" w:hAnsi="Palatino Linotype" w:cs="Arial"/>
          <w:sz w:val="24"/>
          <w:szCs w:val="24"/>
        </w:rPr>
        <w:t xml:space="preserve"> </w:t>
      </w:r>
      <w:r w:rsidRPr="005F68D7" w:rsidR="009F61C1">
        <w:rPr>
          <w:rFonts w:ascii="Palatino Linotype" w:hAnsi="Palatino Linotype" w:cs="Arial"/>
          <w:sz w:val="24"/>
          <w:szCs w:val="24"/>
        </w:rPr>
        <w:t xml:space="preserve">indicators included in </w:t>
      </w:r>
      <w:r w:rsidR="00B21FFE">
        <w:rPr>
          <w:rFonts w:ascii="Palatino Linotype" w:hAnsi="Palatino Linotype" w:cs="Arial"/>
          <w:sz w:val="24"/>
          <w:szCs w:val="24"/>
        </w:rPr>
        <w:br/>
      </w:r>
      <w:r w:rsidRPr="005F68D7" w:rsidR="00651D74">
        <w:rPr>
          <w:rFonts w:ascii="Palatino Linotype" w:hAnsi="Palatino Linotype" w:cs="Arial"/>
          <w:sz w:val="24"/>
          <w:szCs w:val="24"/>
        </w:rPr>
        <w:t>(</w:t>
      </w:r>
      <w:r w:rsidRPr="005F68D7" w:rsidR="009F61C1">
        <w:rPr>
          <w:rFonts w:ascii="Palatino Linotype" w:hAnsi="Palatino Linotype" w:cs="Arial"/>
          <w:sz w:val="24"/>
          <w:szCs w:val="24"/>
        </w:rPr>
        <w:t>D.</w:t>
      </w:r>
      <w:r w:rsidRPr="005F68D7" w:rsidR="00651D74">
        <w:rPr>
          <w:rFonts w:ascii="Palatino Linotype" w:hAnsi="Palatino Linotype" w:cs="Arial"/>
          <w:sz w:val="24"/>
          <w:szCs w:val="24"/>
        </w:rPr>
        <w:t xml:space="preserve">) </w:t>
      </w:r>
      <w:r w:rsidRPr="005F68D7" w:rsidR="009F61C1">
        <w:rPr>
          <w:rFonts w:ascii="Palatino Linotype" w:hAnsi="Palatino Linotype" w:cs="Arial"/>
          <w:sz w:val="24"/>
          <w:szCs w:val="24"/>
        </w:rPr>
        <w:t>18-05-041 and the identification of methodologies for baselines.</w:t>
      </w:r>
    </w:p>
    <w:p w:rsidRPr="005F68D7" w:rsidR="009772FB" w:rsidP="001C4E54" w:rsidRDefault="009772FB" w14:paraId="6945624E" w14:textId="77777777">
      <w:pPr>
        <w:pStyle w:val="sub2"/>
        <w:spacing w:line="240" w:lineRule="auto"/>
        <w:ind w:firstLine="0"/>
        <w:rPr>
          <w:rFonts w:ascii="Palatino Linotype" w:hAnsi="Palatino Linotype"/>
          <w:sz w:val="24"/>
          <w:szCs w:val="24"/>
          <w:highlight w:val="yellow"/>
        </w:rPr>
      </w:pPr>
    </w:p>
    <w:p w:rsidRPr="005F68D7" w:rsidR="00046A8A" w:rsidP="00B45182" w:rsidRDefault="009505F9" w14:paraId="1E6B8E6A" w14:textId="15CA53C8">
      <w:pPr>
        <w:pStyle w:val="sub2"/>
        <w:spacing w:line="240" w:lineRule="auto"/>
        <w:ind w:firstLine="0"/>
        <w:rPr>
          <w:rFonts w:ascii="Palatino Linotype" w:hAnsi="Palatino Linotype"/>
          <w:sz w:val="24"/>
          <w:szCs w:val="24"/>
        </w:rPr>
      </w:pPr>
      <w:r w:rsidRPr="005F68D7">
        <w:rPr>
          <w:rFonts w:ascii="Palatino Linotype" w:hAnsi="Palatino Linotype"/>
          <w:sz w:val="24"/>
          <w:szCs w:val="24"/>
        </w:rPr>
        <w:t>The EMSWG met nine times</w:t>
      </w:r>
      <w:r w:rsidRPr="005F68D7" w:rsidR="00751E91">
        <w:rPr>
          <w:rFonts w:ascii="Palatino Linotype" w:hAnsi="Palatino Linotype"/>
          <w:sz w:val="24"/>
          <w:szCs w:val="24"/>
        </w:rPr>
        <w:t xml:space="preserve"> </w:t>
      </w:r>
      <w:r w:rsidRPr="005F68D7">
        <w:rPr>
          <w:rFonts w:ascii="Palatino Linotype" w:hAnsi="Palatino Linotype"/>
          <w:sz w:val="24"/>
          <w:szCs w:val="24"/>
        </w:rPr>
        <w:t>over four months</w:t>
      </w:r>
      <w:r w:rsidRPr="005F68D7" w:rsidR="00751E91">
        <w:rPr>
          <w:rFonts w:ascii="Palatino Linotype" w:hAnsi="Palatino Linotype"/>
          <w:sz w:val="24"/>
          <w:szCs w:val="24"/>
        </w:rPr>
        <w:t xml:space="preserve"> and</w:t>
      </w:r>
      <w:r w:rsidRPr="005F68D7">
        <w:rPr>
          <w:rFonts w:ascii="Palatino Linotype" w:hAnsi="Palatino Linotype"/>
          <w:sz w:val="24"/>
          <w:szCs w:val="24"/>
        </w:rPr>
        <w:t xml:space="preserve"> </w:t>
      </w:r>
      <w:r w:rsidRPr="005F68D7" w:rsidR="000268EA">
        <w:rPr>
          <w:rFonts w:ascii="Palatino Linotype" w:hAnsi="Palatino Linotype"/>
          <w:sz w:val="24"/>
          <w:szCs w:val="24"/>
        </w:rPr>
        <w:t xml:space="preserve">culminated in a final </w:t>
      </w:r>
      <w:r w:rsidRPr="005F68D7" w:rsidR="00046A8A">
        <w:rPr>
          <w:rFonts w:ascii="Palatino Linotype" w:hAnsi="Palatino Linotype"/>
          <w:sz w:val="24"/>
          <w:szCs w:val="24"/>
        </w:rPr>
        <w:t>EMSWG report.</w:t>
      </w:r>
      <w:r w:rsidRPr="005F68D7" w:rsidR="0068050F">
        <w:rPr>
          <w:rStyle w:val="FootnoteReference"/>
          <w:rFonts w:ascii="Palatino Linotype" w:hAnsi="Palatino Linotype"/>
          <w:sz w:val="24"/>
          <w:szCs w:val="24"/>
        </w:rPr>
        <w:footnoteReference w:id="7"/>
      </w:r>
      <w:r w:rsidRPr="005F68D7" w:rsidR="00046A8A">
        <w:rPr>
          <w:rFonts w:ascii="Palatino Linotype" w:hAnsi="Palatino Linotype"/>
          <w:sz w:val="24"/>
          <w:szCs w:val="24"/>
        </w:rPr>
        <w:t xml:space="preserve"> </w:t>
      </w:r>
      <w:r w:rsidRPr="005F68D7" w:rsidR="00B45182">
        <w:rPr>
          <w:rFonts w:ascii="Palatino Linotype" w:hAnsi="Palatino Linotype"/>
          <w:sz w:val="24"/>
          <w:szCs w:val="24"/>
        </w:rPr>
        <w:t xml:space="preserve">The report provides clarification of a limited set of indicators as agreed upon in the working group. </w:t>
      </w:r>
      <w:r w:rsidRPr="005F68D7" w:rsidR="00CC50D2">
        <w:rPr>
          <w:rFonts w:ascii="Palatino Linotype" w:hAnsi="Palatino Linotype"/>
          <w:sz w:val="24"/>
          <w:szCs w:val="24"/>
        </w:rPr>
        <w:t>The EMSWG report includes</w:t>
      </w:r>
      <w:r w:rsidRPr="005F68D7" w:rsidR="00046A8A">
        <w:rPr>
          <w:rFonts w:ascii="Palatino Linotype" w:hAnsi="Palatino Linotype"/>
          <w:sz w:val="24"/>
          <w:szCs w:val="24"/>
        </w:rPr>
        <w:t xml:space="preserve"> several “non-consensus” items where the working group members </w:t>
      </w:r>
      <w:r w:rsidRPr="005F68D7" w:rsidR="004E1C01">
        <w:rPr>
          <w:rFonts w:ascii="Palatino Linotype" w:hAnsi="Palatino Linotype"/>
          <w:sz w:val="24"/>
          <w:szCs w:val="24"/>
        </w:rPr>
        <w:t>did not</w:t>
      </w:r>
      <w:r w:rsidRPr="005F68D7" w:rsidR="00046A8A">
        <w:rPr>
          <w:rFonts w:ascii="Palatino Linotype" w:hAnsi="Palatino Linotype"/>
          <w:sz w:val="24"/>
          <w:szCs w:val="24"/>
        </w:rPr>
        <w:t xml:space="preserve"> reach a consensus on the issue.</w:t>
      </w:r>
    </w:p>
    <w:p w:rsidRPr="005F68D7" w:rsidR="00E3753E" w:rsidP="00B45182" w:rsidRDefault="00E3753E" w14:paraId="3EB1B5CE" w14:textId="77777777">
      <w:pPr>
        <w:pStyle w:val="sub2"/>
        <w:spacing w:line="240" w:lineRule="auto"/>
        <w:ind w:firstLine="0"/>
        <w:rPr>
          <w:rFonts w:ascii="Palatino Linotype" w:hAnsi="Palatino Linotype"/>
          <w:sz w:val="24"/>
          <w:szCs w:val="24"/>
        </w:rPr>
      </w:pPr>
    </w:p>
    <w:p w:rsidRPr="005F68D7" w:rsidR="00C43A82" w:rsidP="00B45182" w:rsidRDefault="00C43A82" w14:paraId="00CBB2E1" w14:textId="57890A21">
      <w:pPr>
        <w:pStyle w:val="sub2"/>
        <w:spacing w:line="240" w:lineRule="auto"/>
        <w:ind w:firstLine="0"/>
        <w:rPr>
          <w:rFonts w:ascii="Palatino Linotype" w:hAnsi="Palatino Linotype"/>
          <w:sz w:val="24"/>
          <w:szCs w:val="24"/>
        </w:rPr>
      </w:pPr>
      <w:r w:rsidRPr="005F68D7">
        <w:rPr>
          <w:rFonts w:ascii="Palatino Linotype" w:hAnsi="Palatino Linotype"/>
          <w:sz w:val="24"/>
          <w:szCs w:val="24"/>
        </w:rPr>
        <w:t>During the consideration of the Joint PAs’ advice letter</w:t>
      </w:r>
      <w:r w:rsidRPr="005F68D7" w:rsidR="009A0318">
        <w:rPr>
          <w:rFonts w:ascii="Palatino Linotype" w:hAnsi="Palatino Linotype"/>
          <w:sz w:val="24"/>
          <w:szCs w:val="24"/>
        </w:rPr>
        <w:t xml:space="preserve"> </w:t>
      </w:r>
      <w:r w:rsidRPr="005F68D7" w:rsidR="00D219E2">
        <w:rPr>
          <w:rFonts w:ascii="Palatino Linotype" w:hAnsi="Palatino Linotype"/>
          <w:sz w:val="24"/>
          <w:szCs w:val="24"/>
        </w:rPr>
        <w:t>the Governor signed A</w:t>
      </w:r>
      <w:r w:rsidRPr="005F68D7" w:rsidR="00E7307D">
        <w:rPr>
          <w:rFonts w:ascii="Palatino Linotype" w:hAnsi="Palatino Linotype"/>
          <w:sz w:val="24"/>
          <w:szCs w:val="24"/>
        </w:rPr>
        <w:t xml:space="preserve">ssembly </w:t>
      </w:r>
      <w:r w:rsidRPr="005F68D7" w:rsidR="00D219E2">
        <w:rPr>
          <w:rFonts w:ascii="Palatino Linotype" w:hAnsi="Palatino Linotype"/>
          <w:sz w:val="24"/>
          <w:szCs w:val="24"/>
        </w:rPr>
        <w:t>B</w:t>
      </w:r>
      <w:r w:rsidRPr="005F68D7" w:rsidR="00E7307D">
        <w:rPr>
          <w:rFonts w:ascii="Palatino Linotype" w:hAnsi="Palatino Linotype"/>
          <w:sz w:val="24"/>
          <w:szCs w:val="24"/>
        </w:rPr>
        <w:t>ill (AB)</w:t>
      </w:r>
      <w:r w:rsidRPr="005F68D7" w:rsidR="00D219E2">
        <w:rPr>
          <w:rFonts w:ascii="Palatino Linotype" w:hAnsi="Palatino Linotype"/>
          <w:sz w:val="24"/>
          <w:szCs w:val="24"/>
        </w:rPr>
        <w:t xml:space="preserve"> 3264.  While the legislation does several things,</w:t>
      </w:r>
      <w:r w:rsidRPr="005F68D7" w:rsidR="00BC6027">
        <w:rPr>
          <w:rFonts w:ascii="Palatino Linotype" w:hAnsi="Palatino Linotype"/>
          <w:sz w:val="24"/>
          <w:szCs w:val="24"/>
        </w:rPr>
        <w:t xml:space="preserve"> </w:t>
      </w:r>
      <w:r w:rsidRPr="005F68D7" w:rsidR="00355CC0">
        <w:rPr>
          <w:rFonts w:ascii="Palatino Linotype" w:hAnsi="Palatino Linotype"/>
          <w:sz w:val="24"/>
          <w:szCs w:val="24"/>
        </w:rPr>
        <w:t>S</w:t>
      </w:r>
      <w:r w:rsidRPr="005F68D7" w:rsidR="00BC6027">
        <w:rPr>
          <w:rFonts w:ascii="Palatino Linotype" w:hAnsi="Palatino Linotype"/>
          <w:sz w:val="24"/>
          <w:szCs w:val="24"/>
        </w:rPr>
        <w:t xml:space="preserve">ection 913.5 </w:t>
      </w:r>
      <w:r w:rsidRPr="005F68D7" w:rsidR="00355CC0">
        <w:rPr>
          <w:rFonts w:ascii="Palatino Linotype" w:hAnsi="Palatino Linotype"/>
          <w:sz w:val="24"/>
          <w:szCs w:val="24"/>
        </w:rPr>
        <w:t xml:space="preserve">requires the </w:t>
      </w:r>
      <w:r w:rsidRPr="005F68D7" w:rsidR="006356D5">
        <w:rPr>
          <w:rFonts w:ascii="Palatino Linotype" w:hAnsi="Palatino Linotype"/>
          <w:sz w:val="24"/>
          <w:szCs w:val="24"/>
        </w:rPr>
        <w:t>Commission</w:t>
      </w:r>
      <w:r w:rsidRPr="005F68D7" w:rsidR="00355CC0">
        <w:rPr>
          <w:rFonts w:ascii="Palatino Linotype" w:hAnsi="Palatino Linotype"/>
          <w:sz w:val="24"/>
          <w:szCs w:val="24"/>
        </w:rPr>
        <w:t xml:space="preserve"> to report to the legislature certain </w:t>
      </w:r>
      <w:r w:rsidRPr="005F68D7" w:rsidR="009D4D0D">
        <w:rPr>
          <w:rFonts w:ascii="Palatino Linotype" w:hAnsi="Palatino Linotype"/>
          <w:sz w:val="24"/>
          <w:szCs w:val="24"/>
        </w:rPr>
        <w:t>information about demand side management programs</w:t>
      </w:r>
      <w:r w:rsidRPr="005F68D7" w:rsidR="006C7FD9">
        <w:rPr>
          <w:rFonts w:ascii="Palatino Linotype" w:hAnsi="Palatino Linotype"/>
          <w:sz w:val="24"/>
          <w:szCs w:val="24"/>
        </w:rPr>
        <w:t xml:space="preserve"> every three years</w:t>
      </w:r>
      <w:r w:rsidRPr="005F68D7" w:rsidR="00480A5C">
        <w:rPr>
          <w:rFonts w:ascii="Palatino Linotype" w:hAnsi="Palatino Linotype"/>
          <w:sz w:val="24"/>
          <w:szCs w:val="24"/>
        </w:rPr>
        <w:t xml:space="preserve">.  </w:t>
      </w:r>
      <w:r w:rsidRPr="005F68D7" w:rsidR="00D1045C">
        <w:rPr>
          <w:rFonts w:ascii="Palatino Linotype" w:hAnsi="Palatino Linotype"/>
          <w:sz w:val="24"/>
          <w:szCs w:val="24"/>
        </w:rPr>
        <w:t xml:space="preserve">This resolution </w:t>
      </w:r>
      <w:r w:rsidRPr="005F68D7" w:rsidR="00782793">
        <w:rPr>
          <w:rFonts w:ascii="Palatino Linotype" w:hAnsi="Palatino Linotype"/>
          <w:sz w:val="24"/>
          <w:szCs w:val="24"/>
        </w:rPr>
        <w:t>add</w:t>
      </w:r>
      <w:r w:rsidRPr="005F68D7" w:rsidR="00D1045C">
        <w:rPr>
          <w:rFonts w:ascii="Palatino Linotype" w:hAnsi="Palatino Linotype"/>
          <w:sz w:val="24"/>
          <w:szCs w:val="24"/>
        </w:rPr>
        <w:t>s</w:t>
      </w:r>
      <w:r w:rsidRPr="005F68D7" w:rsidR="003235E0">
        <w:rPr>
          <w:rFonts w:ascii="Palatino Linotype" w:hAnsi="Palatino Linotype"/>
          <w:sz w:val="24"/>
          <w:szCs w:val="24"/>
        </w:rPr>
        <w:t xml:space="preserve"> or revi</w:t>
      </w:r>
      <w:r w:rsidRPr="005F68D7" w:rsidR="00D1045C">
        <w:rPr>
          <w:rFonts w:ascii="Palatino Linotype" w:hAnsi="Palatino Linotype"/>
          <w:sz w:val="24"/>
          <w:szCs w:val="24"/>
        </w:rPr>
        <w:t>ses</w:t>
      </w:r>
      <w:r w:rsidRPr="005F68D7" w:rsidR="00782793">
        <w:rPr>
          <w:rFonts w:ascii="Palatino Linotype" w:hAnsi="Palatino Linotype"/>
          <w:sz w:val="24"/>
          <w:szCs w:val="24"/>
        </w:rPr>
        <w:t xml:space="preserve"> indicators related to this </w:t>
      </w:r>
      <w:r w:rsidRPr="005F68D7" w:rsidR="00C33241">
        <w:rPr>
          <w:rFonts w:ascii="Palatino Linotype" w:hAnsi="Palatino Linotype"/>
          <w:sz w:val="24"/>
          <w:szCs w:val="24"/>
        </w:rPr>
        <w:t xml:space="preserve">newly </w:t>
      </w:r>
      <w:r w:rsidRPr="005F68D7" w:rsidR="00782793">
        <w:rPr>
          <w:rFonts w:ascii="Palatino Linotype" w:hAnsi="Palatino Linotype"/>
          <w:sz w:val="24"/>
          <w:szCs w:val="24"/>
        </w:rPr>
        <w:t>required information</w:t>
      </w:r>
      <w:r w:rsidRPr="005F68D7" w:rsidR="003235E0">
        <w:rPr>
          <w:rFonts w:ascii="Palatino Linotype" w:hAnsi="Palatino Linotype"/>
          <w:sz w:val="24"/>
          <w:szCs w:val="24"/>
        </w:rPr>
        <w:t>. Two changes as a result</w:t>
      </w:r>
      <w:r w:rsidRPr="005F68D7" w:rsidR="00B07729">
        <w:rPr>
          <w:rFonts w:ascii="Palatino Linotype" w:hAnsi="Palatino Linotype"/>
          <w:sz w:val="24"/>
          <w:szCs w:val="24"/>
        </w:rPr>
        <w:t xml:space="preserve"> </w:t>
      </w:r>
      <w:r w:rsidRPr="005F68D7" w:rsidR="00DB3EE4">
        <w:rPr>
          <w:rFonts w:ascii="Palatino Linotype" w:hAnsi="Palatino Linotype"/>
          <w:sz w:val="24"/>
          <w:szCs w:val="24"/>
        </w:rPr>
        <w:t>are</w:t>
      </w:r>
      <w:r w:rsidRPr="005F68D7" w:rsidR="00B07729">
        <w:rPr>
          <w:rFonts w:ascii="Palatino Linotype" w:hAnsi="Palatino Linotype"/>
          <w:sz w:val="24"/>
          <w:szCs w:val="24"/>
        </w:rPr>
        <w:t xml:space="preserve"> a new requirement to report </w:t>
      </w:r>
      <w:r w:rsidRPr="005F68D7" w:rsidR="00936E21">
        <w:rPr>
          <w:rFonts w:ascii="Palatino Linotype" w:hAnsi="Palatino Linotype"/>
          <w:sz w:val="24"/>
          <w:szCs w:val="24"/>
        </w:rPr>
        <w:t xml:space="preserve">“customers served” and </w:t>
      </w:r>
      <w:r w:rsidRPr="005F68D7" w:rsidR="006C646A">
        <w:rPr>
          <w:rFonts w:ascii="Palatino Linotype" w:hAnsi="Palatino Linotype"/>
          <w:sz w:val="24"/>
          <w:szCs w:val="24"/>
        </w:rPr>
        <w:t>to report “</w:t>
      </w:r>
      <w:r w:rsidRPr="005F68D7" w:rsidR="004028EC">
        <w:rPr>
          <w:rFonts w:ascii="Palatino Linotype" w:hAnsi="Palatino Linotype"/>
          <w:sz w:val="24"/>
          <w:szCs w:val="24"/>
        </w:rPr>
        <w:t>projected and actual bill savings”</w:t>
      </w:r>
      <w:r w:rsidRPr="005F68D7" w:rsidR="00B07729">
        <w:rPr>
          <w:rFonts w:ascii="Palatino Linotype" w:hAnsi="Palatino Linotype"/>
          <w:sz w:val="24"/>
          <w:szCs w:val="24"/>
        </w:rPr>
        <w:t xml:space="preserve">.  </w:t>
      </w:r>
    </w:p>
    <w:p w:rsidRPr="005F68D7" w:rsidR="00D304B7" w:rsidP="0006536D" w:rsidRDefault="00D304B7" w14:paraId="1E55C356" w14:textId="77777777">
      <w:pPr>
        <w:pStyle w:val="Heading1"/>
        <w:jc w:val="both"/>
        <w:rPr>
          <w:rFonts w:ascii="Palatino Linotype" w:hAnsi="Palatino Linotype"/>
          <w:sz w:val="24"/>
          <w:szCs w:val="24"/>
        </w:rPr>
      </w:pPr>
    </w:p>
    <w:p w:rsidRPr="005F68D7" w:rsidR="0006536D" w:rsidP="0006536D" w:rsidRDefault="0006536D" w14:paraId="69456259" w14:textId="5236E0AA">
      <w:pPr>
        <w:pStyle w:val="Heading1"/>
        <w:jc w:val="both"/>
        <w:rPr>
          <w:rFonts w:ascii="Palatino Linotype" w:hAnsi="Palatino Linotype"/>
          <w:sz w:val="24"/>
          <w:szCs w:val="24"/>
        </w:rPr>
      </w:pPr>
      <w:r w:rsidRPr="005F68D7">
        <w:rPr>
          <w:rFonts w:ascii="Palatino Linotype" w:hAnsi="Palatino Linotype"/>
          <w:sz w:val="24"/>
          <w:szCs w:val="24"/>
        </w:rPr>
        <w:t>notice</w:t>
      </w:r>
    </w:p>
    <w:p w:rsidRPr="005F68D7" w:rsidR="0006536D" w:rsidP="003A17A0" w:rsidRDefault="00FF34DD" w14:paraId="6945625A" w14:textId="6884046E">
      <w:pPr>
        <w:jc w:val="both"/>
        <w:rPr>
          <w:rFonts w:ascii="Palatino Linotype" w:hAnsi="Palatino Linotype"/>
          <w:sz w:val="24"/>
          <w:szCs w:val="24"/>
        </w:rPr>
      </w:pPr>
      <w:r w:rsidRPr="005F68D7">
        <w:rPr>
          <w:rFonts w:ascii="Palatino Linotype" w:hAnsi="Palatino Linotype"/>
          <w:sz w:val="24"/>
          <w:szCs w:val="24"/>
        </w:rPr>
        <w:t>SDG&amp;E declared that</w:t>
      </w:r>
      <w:r w:rsidRPr="005F68D7" w:rsidR="00EC62EC">
        <w:rPr>
          <w:rFonts w:ascii="Palatino Linotype" w:hAnsi="Palatino Linotype"/>
          <w:sz w:val="24"/>
          <w:szCs w:val="24"/>
        </w:rPr>
        <w:t xml:space="preserve"> </w:t>
      </w:r>
      <w:r w:rsidRPr="005F68D7" w:rsidR="0006536D">
        <w:rPr>
          <w:rFonts w:ascii="Palatino Linotype" w:hAnsi="Palatino Linotype"/>
          <w:sz w:val="24"/>
          <w:szCs w:val="24"/>
        </w:rPr>
        <w:t xml:space="preserve">AL </w:t>
      </w:r>
      <w:r w:rsidRPr="005F68D7" w:rsidR="00FD5CDE">
        <w:rPr>
          <w:rFonts w:ascii="Palatino Linotype" w:hAnsi="Palatino Linotype"/>
          <w:sz w:val="24"/>
          <w:szCs w:val="24"/>
        </w:rPr>
        <w:t>4438-E et al</w:t>
      </w:r>
      <w:r w:rsidRPr="005F68D7" w:rsidR="000A0BBD">
        <w:rPr>
          <w:rFonts w:ascii="Palatino Linotype" w:hAnsi="Palatino Linotype"/>
          <w:sz w:val="24"/>
          <w:szCs w:val="24"/>
        </w:rPr>
        <w:t>.</w:t>
      </w:r>
      <w:r w:rsidRPr="005F68D7" w:rsidR="009E66B7">
        <w:rPr>
          <w:rFonts w:ascii="Palatino Linotype" w:hAnsi="Palatino Linotype"/>
          <w:sz w:val="24"/>
          <w:szCs w:val="24"/>
        </w:rPr>
        <w:t xml:space="preserve"> </w:t>
      </w:r>
      <w:r w:rsidRPr="005F68D7" w:rsidR="0006536D">
        <w:rPr>
          <w:rFonts w:ascii="Palatino Linotype" w:hAnsi="Palatino Linotype"/>
          <w:sz w:val="24"/>
          <w:szCs w:val="24"/>
        </w:rPr>
        <w:t>was</w:t>
      </w:r>
      <w:r w:rsidRPr="005F68D7" w:rsidR="003A17A0">
        <w:rPr>
          <w:rFonts w:ascii="Palatino Linotype" w:hAnsi="Palatino Linotype"/>
          <w:sz w:val="24"/>
          <w:szCs w:val="24"/>
        </w:rPr>
        <w:t xml:space="preserve"> </w:t>
      </w:r>
      <w:r w:rsidRPr="005F68D7" w:rsidR="004640EF">
        <w:rPr>
          <w:rFonts w:ascii="Palatino Linotype" w:hAnsi="Palatino Linotype"/>
          <w:sz w:val="24"/>
          <w:szCs w:val="24"/>
        </w:rPr>
        <w:t xml:space="preserve">mailed and distributed in accordance with General Order 96-B, Section IV. As required by General Order 96-B, </w:t>
      </w:r>
      <w:r w:rsidRPr="005F68D7" w:rsidR="008715BB">
        <w:rPr>
          <w:rFonts w:ascii="Palatino Linotype" w:hAnsi="Palatino Linotype"/>
          <w:sz w:val="24"/>
          <w:szCs w:val="24"/>
        </w:rPr>
        <w:t>Section IV, SDG&amp;E served th</w:t>
      </w:r>
      <w:r w:rsidRPr="005F68D7" w:rsidR="002E45F0">
        <w:rPr>
          <w:rFonts w:ascii="Palatino Linotype" w:hAnsi="Palatino Linotype"/>
          <w:sz w:val="24"/>
          <w:szCs w:val="24"/>
        </w:rPr>
        <w:t>is</w:t>
      </w:r>
      <w:r w:rsidRPr="005F68D7" w:rsidR="008715BB">
        <w:rPr>
          <w:rFonts w:ascii="Palatino Linotype" w:hAnsi="Palatino Linotype"/>
          <w:sz w:val="24"/>
          <w:szCs w:val="24"/>
        </w:rPr>
        <w:t xml:space="preserve"> advice letter to the relevant parties on the </w:t>
      </w:r>
      <w:r w:rsidRPr="005F68D7" w:rsidR="003A17A0">
        <w:rPr>
          <w:rFonts w:ascii="Palatino Linotype" w:hAnsi="Palatino Linotype"/>
          <w:sz w:val="24"/>
          <w:szCs w:val="24"/>
        </w:rPr>
        <w:t>Service List R.13-11-005</w:t>
      </w:r>
      <w:r w:rsidRPr="005F68D7" w:rsidR="0006536D">
        <w:rPr>
          <w:rFonts w:ascii="Palatino Linotype" w:hAnsi="Palatino Linotype"/>
          <w:sz w:val="24"/>
          <w:szCs w:val="24"/>
        </w:rPr>
        <w:t xml:space="preserve">. </w:t>
      </w:r>
    </w:p>
    <w:p w:rsidRPr="005F68D7" w:rsidR="00932550" w:rsidP="0006536D" w:rsidRDefault="00932550" w14:paraId="6945625C" w14:textId="77777777">
      <w:pPr>
        <w:rPr>
          <w:rFonts w:ascii="Palatino Linotype" w:hAnsi="Palatino Linotype"/>
          <w:sz w:val="24"/>
          <w:szCs w:val="24"/>
        </w:rPr>
      </w:pPr>
    </w:p>
    <w:p w:rsidRPr="005F68D7" w:rsidR="00AA2F97" w:rsidP="00AA2F97" w:rsidRDefault="00AA2F97" w14:paraId="6945625D" w14:textId="77777777">
      <w:pPr>
        <w:pStyle w:val="Heading1"/>
        <w:jc w:val="both"/>
        <w:rPr>
          <w:rFonts w:ascii="Palatino Linotype" w:hAnsi="Palatino Linotype"/>
          <w:bCs/>
          <w:sz w:val="24"/>
          <w:szCs w:val="24"/>
        </w:rPr>
      </w:pPr>
      <w:r w:rsidRPr="005F68D7">
        <w:rPr>
          <w:rFonts w:ascii="Palatino Linotype" w:hAnsi="Palatino Linotype"/>
          <w:bCs/>
          <w:sz w:val="24"/>
          <w:szCs w:val="24"/>
        </w:rPr>
        <w:t>PROTESTS</w:t>
      </w:r>
    </w:p>
    <w:p w:rsidRPr="005F68D7" w:rsidR="00D243AA" w:rsidP="001A4783" w:rsidRDefault="00946784" w14:paraId="0879838E" w14:textId="27598EF2">
      <w:pPr>
        <w:autoSpaceDE w:val="0"/>
        <w:autoSpaceDN w:val="0"/>
        <w:adjustRightInd w:val="0"/>
        <w:rPr>
          <w:rFonts w:ascii="Palatino Linotype" w:hAnsi="Palatino Linotype" w:cs="TimesNewRoman"/>
          <w:sz w:val="24"/>
          <w:szCs w:val="24"/>
        </w:rPr>
      </w:pPr>
      <w:r w:rsidRPr="005F68D7">
        <w:rPr>
          <w:rFonts w:ascii="Palatino Linotype" w:hAnsi="Palatino Linotype" w:cs="TimesNewRoman"/>
          <w:sz w:val="24"/>
          <w:szCs w:val="24"/>
        </w:rPr>
        <w:t xml:space="preserve">California Public Advocates </w:t>
      </w:r>
      <w:r w:rsidRPr="005F68D7" w:rsidR="00623F44">
        <w:rPr>
          <w:rFonts w:ascii="Palatino Linotype" w:hAnsi="Palatino Linotype" w:cs="TimesNewRoman"/>
          <w:sz w:val="24"/>
          <w:szCs w:val="24"/>
        </w:rPr>
        <w:t>(</w:t>
      </w:r>
      <w:r w:rsidRPr="005F68D7" w:rsidR="00E30078">
        <w:rPr>
          <w:rFonts w:ascii="Palatino Linotype" w:hAnsi="Palatino Linotype" w:cs="TimesNewRoman"/>
          <w:sz w:val="24"/>
          <w:szCs w:val="24"/>
        </w:rPr>
        <w:t>Cal Advocates</w:t>
      </w:r>
      <w:r w:rsidRPr="005F68D7" w:rsidR="00623F44">
        <w:rPr>
          <w:rFonts w:ascii="Palatino Linotype" w:hAnsi="Palatino Linotype" w:cs="TimesNewRoman"/>
          <w:sz w:val="24"/>
          <w:szCs w:val="24"/>
        </w:rPr>
        <w:t xml:space="preserve">) </w:t>
      </w:r>
      <w:r w:rsidRPr="005F68D7" w:rsidR="0064314C">
        <w:rPr>
          <w:rFonts w:ascii="Palatino Linotype" w:hAnsi="Palatino Linotype" w:cs="TimesNewRoman"/>
          <w:sz w:val="24"/>
          <w:szCs w:val="24"/>
        </w:rPr>
        <w:t xml:space="preserve">timely </w:t>
      </w:r>
      <w:r w:rsidRPr="005F68D7" w:rsidR="009E66B7">
        <w:rPr>
          <w:rFonts w:ascii="Palatino Linotype" w:hAnsi="Palatino Linotype" w:cs="TimesNewRoman"/>
          <w:sz w:val="24"/>
          <w:szCs w:val="24"/>
        </w:rPr>
        <w:t xml:space="preserve">submitted </w:t>
      </w:r>
      <w:r w:rsidRPr="005F68D7" w:rsidR="00184A59">
        <w:rPr>
          <w:rFonts w:ascii="Palatino Linotype" w:hAnsi="Palatino Linotype" w:cs="TimesNewRoman"/>
          <w:sz w:val="24"/>
          <w:szCs w:val="24"/>
        </w:rPr>
        <w:t xml:space="preserve">a </w:t>
      </w:r>
      <w:r w:rsidRPr="005F68D7" w:rsidR="009E66B7">
        <w:rPr>
          <w:rFonts w:ascii="Palatino Linotype" w:hAnsi="Palatino Linotype" w:cs="TimesNewRoman"/>
          <w:sz w:val="24"/>
          <w:szCs w:val="24"/>
        </w:rPr>
        <w:t xml:space="preserve">protest to </w:t>
      </w:r>
      <w:r w:rsidRPr="005F68D7" w:rsidR="00623727">
        <w:rPr>
          <w:rFonts w:ascii="Palatino Linotype" w:hAnsi="Palatino Linotype" w:cs="TimesNewRoman"/>
          <w:sz w:val="24"/>
          <w:szCs w:val="24"/>
        </w:rPr>
        <w:t>SDG&amp;E AL 4</w:t>
      </w:r>
      <w:r w:rsidRPr="005F68D7" w:rsidR="001F4FA0">
        <w:rPr>
          <w:rFonts w:ascii="Palatino Linotype" w:hAnsi="Palatino Linotype" w:cs="TimesNewRoman"/>
          <w:sz w:val="24"/>
          <w:szCs w:val="24"/>
        </w:rPr>
        <w:t>4</w:t>
      </w:r>
      <w:r w:rsidRPr="005F68D7" w:rsidR="00623727">
        <w:rPr>
          <w:rFonts w:ascii="Palatino Linotype" w:hAnsi="Palatino Linotype" w:cs="TimesNewRoman"/>
          <w:sz w:val="24"/>
          <w:szCs w:val="24"/>
        </w:rPr>
        <w:t>38-E et al.</w:t>
      </w:r>
      <w:r w:rsidRPr="005F68D7" w:rsidR="00623F44">
        <w:rPr>
          <w:rFonts w:ascii="Palatino Linotype" w:hAnsi="Palatino Linotype" w:cs="TimesNewRoman"/>
          <w:sz w:val="24"/>
          <w:szCs w:val="24"/>
        </w:rPr>
        <w:t xml:space="preserve"> </w:t>
      </w:r>
      <w:r w:rsidRPr="005F68D7" w:rsidR="0064314C">
        <w:rPr>
          <w:rFonts w:ascii="Palatino Linotype" w:hAnsi="Palatino Linotype" w:cs="TimesNewRoman"/>
          <w:sz w:val="24"/>
          <w:szCs w:val="24"/>
        </w:rPr>
        <w:t xml:space="preserve">on May 21, 2024. </w:t>
      </w:r>
      <w:r w:rsidRPr="005F68D7" w:rsidR="00E30078">
        <w:rPr>
          <w:rFonts w:ascii="Palatino Linotype" w:hAnsi="Palatino Linotype" w:cs="TimesNewRoman"/>
          <w:sz w:val="24"/>
          <w:szCs w:val="24"/>
        </w:rPr>
        <w:t>Cal Advocates</w:t>
      </w:r>
      <w:r w:rsidRPr="005F68D7" w:rsidR="00623F44">
        <w:rPr>
          <w:rFonts w:ascii="Palatino Linotype" w:hAnsi="Palatino Linotype" w:cs="TimesNewRoman"/>
          <w:sz w:val="24"/>
          <w:szCs w:val="24"/>
        </w:rPr>
        <w:t xml:space="preserve"> declared that the </w:t>
      </w:r>
      <w:r w:rsidRPr="005F68D7" w:rsidR="4A8B61FD">
        <w:rPr>
          <w:rFonts w:ascii="Palatino Linotype" w:hAnsi="Palatino Linotype" w:cs="TimesNewRoman"/>
          <w:sz w:val="24"/>
          <w:szCs w:val="24"/>
        </w:rPr>
        <w:t xml:space="preserve">Commission should reject the Advice Letter because </w:t>
      </w:r>
      <w:r w:rsidRPr="005F68D7" w:rsidR="00623F44">
        <w:rPr>
          <w:rFonts w:ascii="Palatino Linotype" w:hAnsi="Palatino Linotype" w:cs="TimesNewRoman"/>
          <w:sz w:val="24"/>
          <w:szCs w:val="24"/>
        </w:rPr>
        <w:t xml:space="preserve">the request to remove </w:t>
      </w:r>
      <w:r w:rsidRPr="005F68D7" w:rsidR="00510517">
        <w:rPr>
          <w:rFonts w:ascii="Palatino Linotype" w:hAnsi="Palatino Linotype" w:cs="TimesNewRoman"/>
          <w:sz w:val="24"/>
          <w:szCs w:val="24"/>
        </w:rPr>
        <w:t xml:space="preserve">certain </w:t>
      </w:r>
      <w:r w:rsidRPr="005F68D7" w:rsidR="00623F44">
        <w:rPr>
          <w:rFonts w:ascii="Palatino Linotype" w:hAnsi="Palatino Linotype" w:cs="TimesNewRoman"/>
          <w:sz w:val="24"/>
          <w:szCs w:val="24"/>
        </w:rPr>
        <w:t xml:space="preserve">metrics </w:t>
      </w:r>
      <w:r w:rsidRPr="005F68D7" w:rsidR="0064314C">
        <w:rPr>
          <w:rFonts w:ascii="Palatino Linotype" w:hAnsi="Palatino Linotype" w:cs="TimesNewRoman"/>
          <w:sz w:val="24"/>
          <w:szCs w:val="24"/>
        </w:rPr>
        <w:t>is unjust and unreasonable.</w:t>
      </w:r>
      <w:r w:rsidRPr="005F68D7" w:rsidR="00D66387">
        <w:rPr>
          <w:rFonts w:ascii="Palatino Linotype" w:hAnsi="Palatino Linotype" w:cs="TimesNewRoman"/>
          <w:sz w:val="24"/>
          <w:szCs w:val="24"/>
        </w:rPr>
        <w:t xml:space="preserve"> </w:t>
      </w:r>
      <w:r w:rsidRPr="005F68D7" w:rsidR="007D37EB">
        <w:rPr>
          <w:rFonts w:ascii="Palatino Linotype" w:hAnsi="Palatino Linotype" w:cs="TimesNewRoman"/>
          <w:sz w:val="24"/>
          <w:szCs w:val="24"/>
        </w:rPr>
        <w:t xml:space="preserve">Specifically, </w:t>
      </w:r>
      <w:r w:rsidRPr="005F68D7" w:rsidR="00E30078">
        <w:rPr>
          <w:rFonts w:ascii="Palatino Linotype" w:hAnsi="Palatino Linotype" w:cs="TimesNewRoman"/>
          <w:sz w:val="24"/>
          <w:szCs w:val="24"/>
        </w:rPr>
        <w:t>Cal Advocates</w:t>
      </w:r>
      <w:r w:rsidRPr="005F68D7" w:rsidR="007D37EB">
        <w:rPr>
          <w:rFonts w:ascii="Palatino Linotype" w:hAnsi="Palatino Linotype" w:cs="TimesNewRoman"/>
          <w:sz w:val="24"/>
          <w:szCs w:val="24"/>
        </w:rPr>
        <w:t xml:space="preserve"> </w:t>
      </w:r>
      <w:r w:rsidRPr="005F68D7" w:rsidR="001F010E">
        <w:rPr>
          <w:rFonts w:ascii="Palatino Linotype" w:hAnsi="Palatino Linotype" w:cs="TimesNewRoman"/>
          <w:sz w:val="24"/>
          <w:szCs w:val="24"/>
        </w:rPr>
        <w:t>expressed</w:t>
      </w:r>
      <w:r w:rsidRPr="005F68D7" w:rsidR="007D37EB">
        <w:rPr>
          <w:rFonts w:ascii="Palatino Linotype" w:hAnsi="Palatino Linotype" w:cs="TimesNewRoman"/>
          <w:sz w:val="24"/>
          <w:szCs w:val="24"/>
        </w:rPr>
        <w:t xml:space="preserve"> concern about the set of metrics that focused on “</w:t>
      </w:r>
      <w:r w:rsidRPr="005F68D7" w:rsidR="005B6097">
        <w:rPr>
          <w:rFonts w:ascii="Palatino Linotype" w:hAnsi="Palatino Linotype" w:cs="TimesNewRoman"/>
          <w:sz w:val="24"/>
          <w:szCs w:val="24"/>
        </w:rPr>
        <w:t>p</w:t>
      </w:r>
      <w:r w:rsidRPr="005F68D7" w:rsidR="00334995">
        <w:rPr>
          <w:rFonts w:ascii="Palatino Linotype" w:hAnsi="Palatino Linotype" w:cs="TimesNewRoman"/>
          <w:sz w:val="24"/>
          <w:szCs w:val="24"/>
        </w:rPr>
        <w:t>e</w:t>
      </w:r>
      <w:r w:rsidRPr="005F68D7" w:rsidR="005B6097">
        <w:rPr>
          <w:rFonts w:ascii="Palatino Linotype" w:hAnsi="Palatino Linotype" w:cs="TimesNewRoman"/>
          <w:sz w:val="24"/>
          <w:szCs w:val="24"/>
        </w:rPr>
        <w:t>netration</w:t>
      </w:r>
      <w:r w:rsidRPr="005F68D7" w:rsidR="007D37EB">
        <w:rPr>
          <w:rFonts w:ascii="Palatino Linotype" w:hAnsi="Palatino Linotype" w:cs="TimesNewRoman"/>
          <w:sz w:val="24"/>
          <w:szCs w:val="24"/>
        </w:rPr>
        <w:t xml:space="preserve">”, especially those that focused on </w:t>
      </w:r>
      <w:r w:rsidRPr="005F68D7" w:rsidR="00683502">
        <w:rPr>
          <w:rFonts w:ascii="Palatino Linotype" w:hAnsi="Palatino Linotype" w:cs="TimesNewRoman"/>
          <w:sz w:val="24"/>
          <w:szCs w:val="24"/>
        </w:rPr>
        <w:t xml:space="preserve">hard-to-reach and disadvantaged communities.  </w:t>
      </w:r>
      <w:r w:rsidRPr="005F68D7" w:rsidR="009950FE">
        <w:rPr>
          <w:rFonts w:ascii="Palatino Linotype" w:hAnsi="Palatino Linotype" w:cs="TimesNewRoman"/>
          <w:sz w:val="24"/>
          <w:szCs w:val="24"/>
        </w:rPr>
        <w:t xml:space="preserve">Similar to the requirements of AB 3264, </w:t>
      </w:r>
      <w:r w:rsidRPr="005F68D7" w:rsidR="00E30078">
        <w:rPr>
          <w:rFonts w:ascii="Palatino Linotype" w:hAnsi="Palatino Linotype" w:cs="TimesNewRoman"/>
          <w:sz w:val="24"/>
          <w:szCs w:val="24"/>
        </w:rPr>
        <w:t>Cal Advocates</w:t>
      </w:r>
      <w:r w:rsidRPr="005F68D7" w:rsidR="005A7C27">
        <w:rPr>
          <w:rFonts w:ascii="Palatino Linotype" w:hAnsi="Palatino Linotype" w:cs="TimesNewRoman"/>
          <w:sz w:val="24"/>
          <w:szCs w:val="24"/>
        </w:rPr>
        <w:t xml:space="preserve"> wants to </w:t>
      </w:r>
      <w:r w:rsidRPr="005F68D7" w:rsidR="00561F30">
        <w:rPr>
          <w:rFonts w:ascii="Palatino Linotype" w:hAnsi="Palatino Linotype" w:cs="TimesNewRoman"/>
          <w:sz w:val="24"/>
          <w:szCs w:val="24"/>
        </w:rPr>
        <w:t xml:space="preserve">ensure that PAs are reporting on how many </w:t>
      </w:r>
      <w:r w:rsidRPr="005F68D7" w:rsidR="009950FE">
        <w:rPr>
          <w:rFonts w:ascii="Palatino Linotype" w:hAnsi="Palatino Linotype" w:cs="TimesNewRoman"/>
          <w:sz w:val="24"/>
          <w:szCs w:val="24"/>
        </w:rPr>
        <w:t>customers</w:t>
      </w:r>
      <w:r w:rsidRPr="005F68D7" w:rsidR="00270B9A">
        <w:rPr>
          <w:rFonts w:ascii="Palatino Linotype" w:hAnsi="Palatino Linotype" w:cs="TimesNewRoman"/>
          <w:sz w:val="24"/>
          <w:szCs w:val="24"/>
        </w:rPr>
        <w:t xml:space="preserve"> of different types are being served</w:t>
      </w:r>
      <w:r w:rsidRPr="005F68D7" w:rsidR="00F76C27">
        <w:rPr>
          <w:rFonts w:ascii="Palatino Linotype" w:hAnsi="Palatino Linotype" w:cs="TimesNewRoman"/>
          <w:sz w:val="24"/>
          <w:szCs w:val="24"/>
        </w:rPr>
        <w:t xml:space="preserve"> and whether those quantities are meaningful to the overall population.</w:t>
      </w:r>
    </w:p>
    <w:p w:rsidRPr="005F68D7" w:rsidR="00E30078" w:rsidP="001A4783" w:rsidRDefault="00E30078" w14:paraId="249479D0" w14:textId="77777777">
      <w:pPr>
        <w:autoSpaceDE w:val="0"/>
        <w:autoSpaceDN w:val="0"/>
        <w:adjustRightInd w:val="0"/>
        <w:rPr>
          <w:rFonts w:ascii="Palatino Linotype" w:hAnsi="Palatino Linotype" w:cs="TimesNewRoman"/>
          <w:sz w:val="24"/>
          <w:szCs w:val="24"/>
        </w:rPr>
      </w:pPr>
    </w:p>
    <w:p w:rsidRPr="005F68D7" w:rsidR="00E30078" w:rsidP="00E30078" w:rsidRDefault="00E30078" w14:paraId="426A7253" w14:textId="4829A038">
      <w:pPr>
        <w:autoSpaceDE w:val="0"/>
        <w:autoSpaceDN w:val="0"/>
        <w:adjustRightInd w:val="0"/>
        <w:jc w:val="both"/>
        <w:rPr>
          <w:rFonts w:ascii="Palatino Linotype" w:hAnsi="Palatino Linotype" w:cs="TimesNewRoman"/>
          <w:sz w:val="24"/>
          <w:szCs w:val="24"/>
        </w:rPr>
      </w:pPr>
      <w:r w:rsidRPr="005F68D7">
        <w:rPr>
          <w:rFonts w:ascii="Palatino Linotype" w:hAnsi="Palatino Linotype" w:cs="TimesNewRoman"/>
          <w:sz w:val="24"/>
          <w:szCs w:val="24"/>
        </w:rPr>
        <w:t xml:space="preserve">The Joint PAs filed a timely response to the Cal Advocates protest. They point out that the penetration metrics Cal Advocates recommends keeping are often inconsistent year over year, and therefore unreliable and not useful. Furthermore, they argue that the common metrics at issue can be misleading regarding program performance in the various sectors and customer types, as they only consider the number of customers served and not the depth of the savings or the measures available. There have been significant fluctuations in these penetration metrics based off the type of measures available within certain program years, such as LED lighting workpapers that have sunset. Additionally, specific programs may take a whole-building, deeper savings approach that would serve fewer customers but provide a bigger impact for these customers. </w:t>
      </w:r>
    </w:p>
    <w:p w:rsidRPr="005F68D7" w:rsidR="00E032A3" w:rsidP="00472EAF" w:rsidRDefault="00E032A3" w14:paraId="7EC3DDEE" w14:textId="77777777">
      <w:pPr>
        <w:autoSpaceDE w:val="0"/>
        <w:autoSpaceDN w:val="0"/>
        <w:adjustRightInd w:val="0"/>
        <w:jc w:val="both"/>
        <w:rPr>
          <w:rFonts w:ascii="Palatino Linotype" w:hAnsi="Palatino Linotype" w:cs="TimesNewRoman"/>
          <w:sz w:val="24"/>
          <w:szCs w:val="24"/>
        </w:rPr>
      </w:pPr>
    </w:p>
    <w:p w:rsidRPr="005F68D7" w:rsidR="00E032A3" w:rsidP="00472EAF" w:rsidRDefault="00E032A3" w14:paraId="1A4EAE79" w14:textId="1F0C24CF">
      <w:pPr>
        <w:autoSpaceDE w:val="0"/>
        <w:autoSpaceDN w:val="0"/>
        <w:adjustRightInd w:val="0"/>
        <w:jc w:val="both"/>
        <w:rPr>
          <w:rFonts w:ascii="Palatino Linotype" w:hAnsi="Palatino Linotype" w:cs="TimesNewRoman"/>
          <w:sz w:val="24"/>
          <w:szCs w:val="24"/>
        </w:rPr>
      </w:pPr>
      <w:r w:rsidRPr="005F68D7">
        <w:rPr>
          <w:rFonts w:ascii="Palatino Linotype" w:hAnsi="Palatino Linotype" w:cs="TimesNewRoman"/>
          <w:sz w:val="24"/>
          <w:szCs w:val="24"/>
        </w:rPr>
        <w:t xml:space="preserve">We </w:t>
      </w:r>
      <w:r w:rsidRPr="005F68D7" w:rsidR="32B52E03">
        <w:rPr>
          <w:rFonts w:ascii="Palatino Linotype" w:hAnsi="Palatino Linotype" w:cs="TimesNewRoman"/>
          <w:sz w:val="24"/>
          <w:szCs w:val="24"/>
        </w:rPr>
        <w:t xml:space="preserve">disagree with </w:t>
      </w:r>
      <w:r w:rsidRPr="005F68D7" w:rsidR="00E30078">
        <w:rPr>
          <w:rFonts w:ascii="Palatino Linotype" w:hAnsi="Palatino Linotype" w:cs="TimesNewRoman"/>
          <w:sz w:val="24"/>
          <w:szCs w:val="24"/>
        </w:rPr>
        <w:t>Cal Advocates</w:t>
      </w:r>
      <w:r w:rsidRPr="005F68D7" w:rsidR="32B52E03">
        <w:rPr>
          <w:rFonts w:ascii="Palatino Linotype" w:hAnsi="Palatino Linotype" w:cs="TimesNewRoman"/>
          <w:sz w:val="24"/>
          <w:szCs w:val="24"/>
        </w:rPr>
        <w:t xml:space="preserve"> that the Advice letter should be rejected; however, we </w:t>
      </w:r>
      <w:r w:rsidRPr="005F68D7" w:rsidR="51FC39E1">
        <w:rPr>
          <w:rFonts w:ascii="Palatino Linotype" w:hAnsi="Palatino Linotype" w:cs="Arial"/>
          <w:sz w:val="24"/>
          <w:szCs w:val="24"/>
        </w:rPr>
        <w:t xml:space="preserve">believe modifications to </w:t>
      </w:r>
      <w:r w:rsidRPr="005F68D7" w:rsidR="00B70598">
        <w:rPr>
          <w:rFonts w:ascii="Palatino Linotype" w:hAnsi="Palatino Linotype" w:cs="Arial"/>
          <w:sz w:val="24"/>
          <w:szCs w:val="24"/>
        </w:rPr>
        <w:t>how participation is reported</w:t>
      </w:r>
      <w:r w:rsidRPr="005F68D7" w:rsidR="00E85728">
        <w:rPr>
          <w:rFonts w:ascii="Palatino Linotype" w:hAnsi="Palatino Linotype" w:cs="Arial"/>
          <w:sz w:val="24"/>
          <w:szCs w:val="24"/>
        </w:rPr>
        <w:t xml:space="preserve"> </w:t>
      </w:r>
      <w:r w:rsidRPr="005F68D7" w:rsidR="51FC39E1">
        <w:rPr>
          <w:rFonts w:ascii="Palatino Linotype" w:hAnsi="Palatino Linotype" w:cs="Arial"/>
          <w:sz w:val="24"/>
          <w:szCs w:val="24"/>
        </w:rPr>
        <w:t xml:space="preserve">are needed. </w:t>
      </w:r>
      <w:r w:rsidRPr="005F68D7">
        <w:rPr>
          <w:rFonts w:ascii="Palatino Linotype" w:hAnsi="Palatino Linotype" w:cs="Arial"/>
          <w:sz w:val="24"/>
          <w:szCs w:val="24"/>
        </w:rPr>
        <w:t xml:space="preserve">We </w:t>
      </w:r>
      <w:r w:rsidRPr="005F68D7">
        <w:rPr>
          <w:rFonts w:ascii="Palatino Linotype" w:hAnsi="Palatino Linotype" w:cs="TimesNewRoman"/>
          <w:sz w:val="24"/>
          <w:szCs w:val="24"/>
        </w:rPr>
        <w:t xml:space="preserve">discuss </w:t>
      </w:r>
      <w:r w:rsidRPr="005F68D7" w:rsidR="00E30078">
        <w:rPr>
          <w:rFonts w:ascii="Palatino Linotype" w:hAnsi="Palatino Linotype" w:cs="TimesNewRoman"/>
          <w:sz w:val="24"/>
          <w:szCs w:val="24"/>
        </w:rPr>
        <w:t>Cal Advocates</w:t>
      </w:r>
      <w:r w:rsidRPr="005F68D7">
        <w:rPr>
          <w:rFonts w:ascii="Palatino Linotype" w:hAnsi="Palatino Linotype" w:cs="TimesNewRoman"/>
          <w:sz w:val="24"/>
          <w:szCs w:val="24"/>
        </w:rPr>
        <w:t>’ claim in the “Discussion” section below</w:t>
      </w:r>
      <w:r w:rsidRPr="005F68D7" w:rsidR="00295616">
        <w:rPr>
          <w:rFonts w:ascii="Palatino Linotype" w:hAnsi="Palatino Linotype" w:cs="TimesNewRoman"/>
          <w:sz w:val="24"/>
          <w:szCs w:val="24"/>
        </w:rPr>
        <w:t xml:space="preserve"> </w:t>
      </w:r>
      <w:r w:rsidRPr="005F68D7" w:rsidR="00D243AA">
        <w:rPr>
          <w:rFonts w:ascii="Palatino Linotype" w:hAnsi="Palatino Linotype" w:cs="TimesNewRoman"/>
          <w:sz w:val="24"/>
          <w:szCs w:val="24"/>
        </w:rPr>
        <w:t>related to Recommendation 3 in the EMSWG Report</w:t>
      </w:r>
      <w:r w:rsidRPr="005F68D7">
        <w:rPr>
          <w:rFonts w:ascii="Palatino Linotype" w:hAnsi="Palatino Linotype" w:cs="TimesNewRoman"/>
          <w:sz w:val="24"/>
          <w:szCs w:val="24"/>
        </w:rPr>
        <w:t>.</w:t>
      </w:r>
    </w:p>
    <w:p w:rsidRPr="005F68D7" w:rsidR="00FA62EA" w:rsidP="00472EAF" w:rsidRDefault="00FA62EA" w14:paraId="6945625F" w14:textId="77777777">
      <w:pPr>
        <w:autoSpaceDE w:val="0"/>
        <w:autoSpaceDN w:val="0"/>
        <w:adjustRightInd w:val="0"/>
        <w:jc w:val="both"/>
        <w:rPr>
          <w:rFonts w:ascii="Palatino Linotype" w:hAnsi="Palatino Linotype" w:cs="TimesNewRoman"/>
          <w:sz w:val="24"/>
          <w:szCs w:val="24"/>
        </w:rPr>
      </w:pPr>
    </w:p>
    <w:p w:rsidRPr="005F68D7" w:rsidR="00FE1C01" w:rsidRDefault="00FE1C01" w14:paraId="2930C4DE" w14:textId="77777777">
      <w:pPr>
        <w:rPr>
          <w:rFonts w:ascii="Palatino Linotype" w:hAnsi="Palatino Linotype"/>
          <w:b/>
          <w:caps/>
          <w:kern w:val="28"/>
          <w:sz w:val="24"/>
          <w:szCs w:val="24"/>
          <w:u w:val="single"/>
        </w:rPr>
      </w:pPr>
      <w:r w:rsidRPr="005F68D7">
        <w:rPr>
          <w:rFonts w:ascii="Palatino Linotype" w:hAnsi="Palatino Linotype"/>
          <w:sz w:val="24"/>
          <w:szCs w:val="24"/>
        </w:rPr>
        <w:br w:type="page"/>
      </w:r>
    </w:p>
    <w:p w:rsidRPr="005F68D7" w:rsidR="001C538D" w:rsidP="00AF327A" w:rsidRDefault="001C538D" w14:paraId="69456260" w14:textId="7FB3A0E7">
      <w:pPr>
        <w:pStyle w:val="Heading1"/>
        <w:spacing w:before="0" w:after="0"/>
        <w:jc w:val="both"/>
        <w:rPr>
          <w:rFonts w:ascii="Palatino Linotype" w:hAnsi="Palatino Linotype"/>
          <w:sz w:val="24"/>
          <w:szCs w:val="24"/>
        </w:rPr>
      </w:pPr>
      <w:r w:rsidRPr="005F68D7">
        <w:rPr>
          <w:rFonts w:ascii="Palatino Linotype" w:hAnsi="Palatino Linotype"/>
          <w:sz w:val="24"/>
          <w:szCs w:val="24"/>
        </w:rPr>
        <w:lastRenderedPageBreak/>
        <w:t>Discussion</w:t>
      </w:r>
    </w:p>
    <w:p w:rsidRPr="005F68D7" w:rsidR="000E738E" w:rsidP="00AF327A" w:rsidRDefault="000E738E" w14:paraId="69456261" w14:textId="77777777">
      <w:pPr>
        <w:pStyle w:val="standard"/>
        <w:spacing w:line="240" w:lineRule="auto"/>
        <w:rPr>
          <w:rFonts w:ascii="Palatino Linotype" w:hAnsi="Palatino Linotype"/>
          <w:sz w:val="24"/>
          <w:szCs w:val="24"/>
        </w:rPr>
      </w:pPr>
    </w:p>
    <w:p w:rsidRPr="005F68D7" w:rsidR="00CE5AA3" w:rsidP="0033128D" w:rsidRDefault="00CE5AA3" w14:paraId="69456262" w14:textId="7D82AA40">
      <w:pPr>
        <w:rPr>
          <w:rFonts w:ascii="Palatino Linotype" w:hAnsi="Palatino Linotype"/>
          <w:sz w:val="24"/>
          <w:szCs w:val="24"/>
        </w:rPr>
      </w:pPr>
      <w:r w:rsidRPr="005F68D7">
        <w:rPr>
          <w:rFonts w:ascii="Palatino Linotype" w:hAnsi="Palatino Linotype"/>
          <w:sz w:val="24"/>
          <w:szCs w:val="24"/>
        </w:rPr>
        <w:t xml:space="preserve">AL </w:t>
      </w:r>
      <w:r w:rsidRPr="005F68D7" w:rsidR="00921F4D">
        <w:rPr>
          <w:rFonts w:ascii="Palatino Linotype" w:hAnsi="Palatino Linotype"/>
          <w:sz w:val="24"/>
          <w:szCs w:val="24"/>
        </w:rPr>
        <w:t>4438</w:t>
      </w:r>
      <w:r w:rsidRPr="005F68D7">
        <w:rPr>
          <w:rFonts w:ascii="Palatino Linotype" w:hAnsi="Palatino Linotype"/>
          <w:sz w:val="24"/>
          <w:szCs w:val="24"/>
        </w:rPr>
        <w:t>-E</w:t>
      </w:r>
      <w:r w:rsidRPr="005F68D7" w:rsidR="00D85F36">
        <w:rPr>
          <w:rFonts w:ascii="Palatino Linotype" w:hAnsi="Palatino Linotype"/>
          <w:sz w:val="24"/>
          <w:szCs w:val="24"/>
        </w:rPr>
        <w:t xml:space="preserve"> is approved</w:t>
      </w:r>
      <w:r w:rsidRPr="005F68D7" w:rsidR="005920A0">
        <w:rPr>
          <w:rFonts w:ascii="Palatino Linotype" w:hAnsi="Palatino Linotype"/>
          <w:sz w:val="24"/>
          <w:szCs w:val="24"/>
        </w:rPr>
        <w:t xml:space="preserve"> with modifications</w:t>
      </w:r>
      <w:r w:rsidRPr="005F68D7">
        <w:rPr>
          <w:rFonts w:ascii="Palatino Linotype" w:hAnsi="Palatino Linotype"/>
          <w:sz w:val="24"/>
          <w:szCs w:val="24"/>
        </w:rPr>
        <w:t xml:space="preserve">. </w:t>
      </w:r>
    </w:p>
    <w:p w:rsidRPr="005F68D7" w:rsidR="004C141B" w:rsidP="0033128D" w:rsidRDefault="004C141B" w14:paraId="60B01E52" w14:textId="7B48EE93">
      <w:pPr>
        <w:autoSpaceDE w:val="0"/>
        <w:autoSpaceDN w:val="0"/>
        <w:adjustRightInd w:val="0"/>
        <w:rPr>
          <w:rFonts w:ascii="Palatino Linotype" w:hAnsi="Palatino Linotype"/>
          <w:sz w:val="24"/>
          <w:szCs w:val="24"/>
        </w:rPr>
      </w:pPr>
    </w:p>
    <w:p w:rsidRPr="005F68D7" w:rsidR="00EA4CD7" w:rsidP="0033128D" w:rsidRDefault="00EA4CD7" w14:paraId="02DD76A6" w14:textId="1E2C3A8E">
      <w:pPr>
        <w:autoSpaceDE w:val="0"/>
        <w:autoSpaceDN w:val="0"/>
        <w:adjustRightInd w:val="0"/>
        <w:rPr>
          <w:rFonts w:ascii="Palatino Linotype" w:hAnsi="Palatino Linotype"/>
          <w:sz w:val="24"/>
          <w:szCs w:val="24"/>
        </w:rPr>
      </w:pPr>
      <w:r w:rsidRPr="005F68D7">
        <w:rPr>
          <w:rFonts w:ascii="Palatino Linotype" w:hAnsi="Palatino Linotype"/>
          <w:sz w:val="24"/>
          <w:szCs w:val="24"/>
        </w:rPr>
        <w:t xml:space="preserve">Discussion </w:t>
      </w:r>
      <w:r w:rsidRPr="005F68D7" w:rsidR="00F133E2">
        <w:rPr>
          <w:rFonts w:ascii="Palatino Linotype" w:hAnsi="Palatino Linotype"/>
          <w:sz w:val="24"/>
          <w:szCs w:val="24"/>
        </w:rPr>
        <w:t>S</w:t>
      </w:r>
      <w:r w:rsidRPr="005F68D7">
        <w:rPr>
          <w:rFonts w:ascii="Palatino Linotype" w:hAnsi="Palatino Linotype"/>
          <w:sz w:val="24"/>
          <w:szCs w:val="24"/>
        </w:rPr>
        <w:t>ection 1 highlights parts of a new law</w:t>
      </w:r>
      <w:r w:rsidRPr="005F68D7" w:rsidR="00264E9A">
        <w:rPr>
          <w:rFonts w:ascii="Palatino Linotype" w:hAnsi="Palatino Linotype"/>
          <w:sz w:val="24"/>
          <w:szCs w:val="24"/>
        </w:rPr>
        <w:t>, AB 3264,</w:t>
      </w:r>
      <w:r w:rsidRPr="005F68D7">
        <w:rPr>
          <w:rFonts w:ascii="Palatino Linotype" w:hAnsi="Palatino Linotype"/>
          <w:sz w:val="24"/>
          <w:szCs w:val="24"/>
        </w:rPr>
        <w:t xml:space="preserve"> that requires the </w:t>
      </w:r>
      <w:r w:rsidRPr="005F68D7" w:rsidR="00195871">
        <w:rPr>
          <w:rFonts w:ascii="Palatino Linotype" w:hAnsi="Palatino Linotype"/>
          <w:sz w:val="24"/>
          <w:szCs w:val="24"/>
        </w:rPr>
        <w:t>Commission</w:t>
      </w:r>
      <w:r w:rsidRPr="005F68D7">
        <w:rPr>
          <w:rFonts w:ascii="Palatino Linotype" w:hAnsi="Palatino Linotype"/>
          <w:sz w:val="24"/>
          <w:szCs w:val="24"/>
        </w:rPr>
        <w:t xml:space="preserve"> to provide information to legislators (and affects choices made herein for data from the PAs). Sections 2-7 include Commission </w:t>
      </w:r>
      <w:r w:rsidRPr="005F68D7" w:rsidR="00933F0A">
        <w:rPr>
          <w:rFonts w:ascii="Palatino Linotype" w:hAnsi="Palatino Linotype"/>
          <w:sz w:val="24"/>
          <w:szCs w:val="24"/>
        </w:rPr>
        <w:t xml:space="preserve">guidance </w:t>
      </w:r>
      <w:r w:rsidRPr="005F68D7" w:rsidR="00FD6055">
        <w:rPr>
          <w:rFonts w:ascii="Palatino Linotype" w:hAnsi="Palatino Linotype"/>
          <w:sz w:val="24"/>
          <w:szCs w:val="24"/>
        </w:rPr>
        <w:t xml:space="preserve">regarding </w:t>
      </w:r>
      <w:r w:rsidRPr="005F68D7">
        <w:rPr>
          <w:rFonts w:ascii="Palatino Linotype" w:hAnsi="Palatino Linotype"/>
          <w:sz w:val="24"/>
          <w:szCs w:val="24"/>
        </w:rPr>
        <w:t xml:space="preserve">specific recommendations made within the EMSWG report and section 8 has a table that shows the Commission </w:t>
      </w:r>
      <w:r w:rsidRPr="005F68D7" w:rsidR="00FD6055">
        <w:rPr>
          <w:rFonts w:ascii="Palatino Linotype" w:hAnsi="Palatino Linotype"/>
          <w:sz w:val="24"/>
          <w:szCs w:val="24"/>
        </w:rPr>
        <w:t xml:space="preserve">guidance </w:t>
      </w:r>
      <w:r w:rsidRPr="005F68D7">
        <w:rPr>
          <w:rFonts w:ascii="Palatino Linotype" w:hAnsi="Palatino Linotype"/>
          <w:sz w:val="24"/>
          <w:szCs w:val="24"/>
        </w:rPr>
        <w:t>by common metric.</w:t>
      </w:r>
      <w:r w:rsidRPr="005F68D7" w:rsidR="00743C72">
        <w:rPr>
          <w:rFonts w:ascii="Palatino Linotype" w:hAnsi="Palatino Linotype"/>
          <w:sz w:val="24"/>
          <w:szCs w:val="24"/>
        </w:rPr>
        <w:t xml:space="preserve"> In their protest, </w:t>
      </w:r>
      <w:r w:rsidRPr="005F68D7" w:rsidR="00E30078">
        <w:rPr>
          <w:rFonts w:ascii="Palatino Linotype" w:hAnsi="Palatino Linotype"/>
          <w:sz w:val="24"/>
          <w:szCs w:val="24"/>
        </w:rPr>
        <w:t>Cal Advocates</w:t>
      </w:r>
      <w:r w:rsidRPr="005F68D7" w:rsidR="00743C72">
        <w:rPr>
          <w:rFonts w:ascii="Palatino Linotype" w:hAnsi="Palatino Linotype"/>
          <w:sz w:val="24"/>
          <w:szCs w:val="24"/>
        </w:rPr>
        <w:t xml:space="preserve"> raised the need for metrics concerning the programs’ reach within the population of potential customers, also known as “</w:t>
      </w:r>
      <w:r w:rsidRPr="005F68D7" w:rsidR="00334995">
        <w:rPr>
          <w:rFonts w:ascii="Palatino Linotype" w:hAnsi="Palatino Linotype"/>
          <w:sz w:val="24"/>
          <w:szCs w:val="24"/>
        </w:rPr>
        <w:t>p</w:t>
      </w:r>
      <w:r w:rsidRPr="005F68D7" w:rsidR="00472F4A">
        <w:rPr>
          <w:rFonts w:ascii="Palatino Linotype" w:hAnsi="Palatino Linotype"/>
          <w:sz w:val="24"/>
          <w:szCs w:val="24"/>
        </w:rPr>
        <w:t>enetration</w:t>
      </w:r>
      <w:r w:rsidRPr="005F68D7" w:rsidR="00743C72">
        <w:rPr>
          <w:rFonts w:ascii="Palatino Linotype" w:hAnsi="Palatino Linotype"/>
          <w:sz w:val="24"/>
          <w:szCs w:val="24"/>
        </w:rPr>
        <w:t xml:space="preserve">”. </w:t>
      </w:r>
      <w:r w:rsidRPr="005F68D7" w:rsidR="00F133E2">
        <w:rPr>
          <w:rFonts w:ascii="Palatino Linotype" w:hAnsi="Palatino Linotype"/>
          <w:sz w:val="24"/>
          <w:szCs w:val="24"/>
        </w:rPr>
        <w:t>We discuss this topic</w:t>
      </w:r>
      <w:r w:rsidRPr="005F68D7" w:rsidR="00743C72">
        <w:rPr>
          <w:rFonts w:ascii="Palatino Linotype" w:hAnsi="Palatino Linotype"/>
          <w:sz w:val="24"/>
          <w:szCs w:val="24"/>
        </w:rPr>
        <w:t xml:space="preserve"> in Section 3.</w:t>
      </w:r>
    </w:p>
    <w:p w:rsidRPr="005F68D7" w:rsidR="00127450" w:rsidP="00127450" w:rsidRDefault="00127450" w14:paraId="2E15BB32" w14:textId="77777777">
      <w:pPr>
        <w:pStyle w:val="standard"/>
        <w:ind w:firstLine="0"/>
        <w:rPr>
          <w:rFonts w:ascii="Palatino Linotype" w:hAnsi="Palatino Linotype"/>
          <w:sz w:val="24"/>
          <w:szCs w:val="24"/>
        </w:rPr>
      </w:pPr>
    </w:p>
    <w:p w:rsidRPr="005F68D7" w:rsidR="005A4AA1" w:rsidP="005A4AA1" w:rsidRDefault="005A4AA1" w14:paraId="3C54893D" w14:textId="77777777">
      <w:pPr>
        <w:pStyle w:val="Res-Caption"/>
        <w:ind w:left="0" w:right="0"/>
        <w:jc w:val="both"/>
        <w:rPr>
          <w:rFonts w:ascii="Palatino Linotype" w:hAnsi="Palatino Linotype" w:cs="Arial"/>
          <w:b/>
          <w:bCs/>
          <w:sz w:val="24"/>
          <w:szCs w:val="24"/>
          <w:u w:val="single"/>
        </w:rPr>
      </w:pPr>
      <w:r w:rsidRPr="005F68D7">
        <w:rPr>
          <w:rFonts w:ascii="Palatino Linotype" w:hAnsi="Palatino Linotype" w:cs="Arial"/>
          <w:b/>
          <w:bCs/>
          <w:sz w:val="24"/>
          <w:szCs w:val="24"/>
          <w:u w:val="single"/>
        </w:rPr>
        <w:t>Discussion Sections</w:t>
      </w:r>
    </w:p>
    <w:p w:rsidRPr="005F68D7" w:rsidR="00727979" w:rsidP="005A4AA1" w:rsidRDefault="00727979" w14:paraId="60FBB295" w14:textId="7CE11237">
      <w:pPr>
        <w:pStyle w:val="Res-Caption"/>
        <w:numPr>
          <w:ilvl w:val="0"/>
          <w:numId w:val="28"/>
        </w:numPr>
        <w:ind w:right="0"/>
        <w:jc w:val="both"/>
        <w:rPr>
          <w:rFonts w:ascii="Palatino Linotype" w:hAnsi="Palatino Linotype" w:cs="Arial"/>
          <w:sz w:val="24"/>
          <w:szCs w:val="24"/>
        </w:rPr>
      </w:pPr>
      <w:r w:rsidRPr="005F68D7">
        <w:rPr>
          <w:rFonts w:ascii="Palatino Linotype" w:hAnsi="Palatino Linotype" w:cs="Arial"/>
          <w:sz w:val="24"/>
          <w:szCs w:val="24"/>
        </w:rPr>
        <w:t>AB 3264</w:t>
      </w:r>
    </w:p>
    <w:p w:rsidRPr="005F68D7" w:rsidR="005A4AA1" w:rsidP="005A4AA1" w:rsidRDefault="005A4AA1" w14:paraId="1221B4EA" w14:textId="7C6244F0">
      <w:pPr>
        <w:pStyle w:val="Res-Caption"/>
        <w:numPr>
          <w:ilvl w:val="0"/>
          <w:numId w:val="28"/>
        </w:numPr>
        <w:ind w:right="0"/>
        <w:jc w:val="both"/>
        <w:rPr>
          <w:rFonts w:ascii="Palatino Linotype" w:hAnsi="Palatino Linotype" w:cs="Arial"/>
          <w:sz w:val="24"/>
          <w:szCs w:val="24"/>
        </w:rPr>
      </w:pPr>
      <w:r w:rsidRPr="005F68D7">
        <w:rPr>
          <w:rFonts w:ascii="Palatino Linotype" w:hAnsi="Palatino Linotype" w:cs="Arial"/>
          <w:sz w:val="24"/>
          <w:szCs w:val="24"/>
        </w:rPr>
        <w:t>Purpose of Indicators and Metrics</w:t>
      </w:r>
    </w:p>
    <w:p w:rsidRPr="005F68D7" w:rsidR="005A4AA1" w:rsidP="005A4AA1" w:rsidRDefault="005A4AA1" w14:paraId="322640FC" w14:textId="77777777">
      <w:pPr>
        <w:pStyle w:val="Res-Caption"/>
        <w:numPr>
          <w:ilvl w:val="0"/>
          <w:numId w:val="28"/>
        </w:numPr>
        <w:ind w:right="0"/>
        <w:jc w:val="both"/>
        <w:rPr>
          <w:rFonts w:ascii="Palatino Linotype" w:hAnsi="Palatino Linotype" w:cs="Arial"/>
          <w:sz w:val="24"/>
          <w:szCs w:val="24"/>
        </w:rPr>
      </w:pPr>
      <w:r w:rsidRPr="005F68D7">
        <w:rPr>
          <w:rFonts w:ascii="Palatino Linotype" w:hAnsi="Palatino Linotype" w:cs="Arial"/>
          <w:sz w:val="24"/>
          <w:szCs w:val="24"/>
        </w:rPr>
        <w:t>Estimating Participation</w:t>
      </w:r>
    </w:p>
    <w:p w:rsidRPr="005F68D7" w:rsidR="005A4AA1" w:rsidP="005A4AA1" w:rsidRDefault="005A4AA1" w14:paraId="0097E46F" w14:textId="77777777">
      <w:pPr>
        <w:pStyle w:val="Res-Caption"/>
        <w:numPr>
          <w:ilvl w:val="0"/>
          <w:numId w:val="28"/>
        </w:numPr>
        <w:ind w:right="0"/>
        <w:jc w:val="both"/>
        <w:rPr>
          <w:rFonts w:ascii="Palatino Linotype" w:hAnsi="Palatino Linotype" w:cs="Arial"/>
          <w:sz w:val="24"/>
          <w:szCs w:val="24"/>
        </w:rPr>
      </w:pPr>
      <w:r w:rsidRPr="005F68D7">
        <w:rPr>
          <w:rFonts w:ascii="Palatino Linotype" w:hAnsi="Palatino Linotype" w:cs="Arial"/>
          <w:sz w:val="24"/>
          <w:szCs w:val="24"/>
        </w:rPr>
        <w:t>Quantifying &amp; Calculating Benefits</w:t>
      </w:r>
    </w:p>
    <w:p w:rsidRPr="005F68D7" w:rsidR="005A4AA1" w:rsidP="005A4AA1" w:rsidRDefault="005A4AA1" w14:paraId="5E23247B" w14:textId="77777777">
      <w:pPr>
        <w:pStyle w:val="Res-Caption"/>
        <w:numPr>
          <w:ilvl w:val="0"/>
          <w:numId w:val="28"/>
        </w:numPr>
        <w:ind w:right="0"/>
        <w:jc w:val="both"/>
        <w:rPr>
          <w:rFonts w:ascii="Palatino Linotype" w:hAnsi="Palatino Linotype" w:cs="Arial"/>
          <w:sz w:val="24"/>
          <w:szCs w:val="24"/>
        </w:rPr>
      </w:pPr>
      <w:r w:rsidRPr="005F68D7">
        <w:rPr>
          <w:rFonts w:ascii="Palatino Linotype" w:hAnsi="Palatino Linotype" w:cs="Arial"/>
          <w:sz w:val="24"/>
          <w:szCs w:val="24"/>
        </w:rPr>
        <w:t>Clarifications</w:t>
      </w:r>
    </w:p>
    <w:p w:rsidRPr="005F68D7" w:rsidR="005A4AA1" w:rsidP="005A4AA1" w:rsidRDefault="005A4AA1" w14:paraId="053B5855" w14:textId="77777777">
      <w:pPr>
        <w:pStyle w:val="Res-Caption"/>
        <w:numPr>
          <w:ilvl w:val="0"/>
          <w:numId w:val="28"/>
        </w:numPr>
        <w:ind w:right="0"/>
        <w:jc w:val="both"/>
        <w:rPr>
          <w:rFonts w:ascii="Palatino Linotype" w:hAnsi="Palatino Linotype" w:cs="Arial"/>
          <w:sz w:val="24"/>
          <w:szCs w:val="24"/>
        </w:rPr>
      </w:pPr>
      <w:r w:rsidRPr="005F68D7">
        <w:rPr>
          <w:rFonts w:ascii="Palatino Linotype" w:hAnsi="Palatino Linotype" w:cs="Arial"/>
          <w:sz w:val="24"/>
          <w:szCs w:val="24"/>
        </w:rPr>
        <w:t>Paused Indicators</w:t>
      </w:r>
    </w:p>
    <w:p w:rsidRPr="005F68D7" w:rsidR="0088295F" w:rsidP="0088295F" w:rsidRDefault="005A4AA1" w14:paraId="575989D3" w14:textId="77777777">
      <w:pPr>
        <w:pStyle w:val="Res-Caption"/>
        <w:numPr>
          <w:ilvl w:val="0"/>
          <w:numId w:val="28"/>
        </w:numPr>
        <w:ind w:right="0"/>
        <w:jc w:val="both"/>
        <w:rPr>
          <w:rFonts w:ascii="Palatino Linotype" w:hAnsi="Palatino Linotype" w:cs="Arial"/>
          <w:sz w:val="24"/>
          <w:szCs w:val="24"/>
        </w:rPr>
      </w:pPr>
      <w:r w:rsidRPr="005F68D7">
        <w:rPr>
          <w:rFonts w:ascii="Palatino Linotype" w:hAnsi="Palatino Linotype" w:cs="Arial"/>
          <w:sz w:val="24"/>
          <w:szCs w:val="24"/>
        </w:rPr>
        <w:t>New Reporting Requirements</w:t>
      </w:r>
      <w:r w:rsidRPr="005F68D7" w:rsidR="00B75FFB">
        <w:rPr>
          <w:rFonts w:ascii="Palatino Linotype" w:hAnsi="Palatino Linotype" w:cs="Arial"/>
          <w:sz w:val="24"/>
          <w:szCs w:val="24"/>
        </w:rPr>
        <w:t xml:space="preserve"> </w:t>
      </w:r>
    </w:p>
    <w:p w:rsidRPr="005F68D7" w:rsidR="00B75FFB" w:rsidP="0088295F" w:rsidRDefault="00B75FFB" w14:paraId="51C997FA" w14:textId="0BD8F468">
      <w:pPr>
        <w:pStyle w:val="Res-Caption"/>
        <w:numPr>
          <w:ilvl w:val="0"/>
          <w:numId w:val="28"/>
        </w:numPr>
        <w:ind w:right="0"/>
        <w:jc w:val="both"/>
        <w:rPr>
          <w:rFonts w:ascii="Palatino Linotype" w:hAnsi="Palatino Linotype" w:cs="Arial"/>
          <w:sz w:val="24"/>
          <w:szCs w:val="24"/>
        </w:rPr>
      </w:pPr>
      <w:r w:rsidRPr="005F68D7">
        <w:rPr>
          <w:rFonts w:ascii="Palatino Linotype" w:hAnsi="Palatino Linotype" w:cs="Arial"/>
          <w:sz w:val="24"/>
          <w:szCs w:val="24"/>
        </w:rPr>
        <w:t>Common Metrics</w:t>
      </w:r>
      <w:r w:rsidRPr="005F68D7" w:rsidR="0048328E">
        <w:rPr>
          <w:rFonts w:ascii="Palatino Linotype" w:hAnsi="Palatino Linotype" w:cs="Arial"/>
          <w:sz w:val="24"/>
          <w:szCs w:val="24"/>
        </w:rPr>
        <w:t xml:space="preserve"> and </w:t>
      </w:r>
      <w:r w:rsidRPr="005F68D7" w:rsidR="00AB0D22">
        <w:rPr>
          <w:rFonts w:ascii="Palatino Linotype" w:hAnsi="Palatino Linotype" w:cs="Arial"/>
          <w:sz w:val="24"/>
          <w:szCs w:val="24"/>
        </w:rPr>
        <w:t>Other Market Support Indicators</w:t>
      </w:r>
    </w:p>
    <w:p w:rsidRPr="005F68D7" w:rsidR="005A4AA1" w:rsidP="00A014B0" w:rsidRDefault="005A4AA1" w14:paraId="4D09C26C" w14:textId="3DD83FE4">
      <w:pPr>
        <w:pStyle w:val="Heading5"/>
        <w:rPr>
          <w:rFonts w:ascii="Palatino Linotype" w:hAnsi="Palatino Linotype"/>
          <w:sz w:val="24"/>
          <w:szCs w:val="24"/>
        </w:rPr>
      </w:pPr>
    </w:p>
    <w:p w:rsidRPr="005F68D7" w:rsidR="00177DC4" w:rsidP="006E35AC" w:rsidRDefault="001C09E1" w14:paraId="1FE88C57" w14:textId="0F983136">
      <w:pPr>
        <w:pStyle w:val="Heading1"/>
        <w:numPr>
          <w:ilvl w:val="0"/>
          <w:numId w:val="34"/>
        </w:numPr>
        <w:ind w:left="0" w:firstLine="0"/>
        <w:rPr>
          <w:rStyle w:val="Strong"/>
          <w:rFonts w:ascii="Palatino Linotype" w:hAnsi="Palatino Linotype"/>
          <w:b/>
          <w:sz w:val="24"/>
          <w:szCs w:val="24"/>
        </w:rPr>
      </w:pPr>
      <w:r w:rsidRPr="005F68D7">
        <w:rPr>
          <w:rStyle w:val="Strong"/>
          <w:rFonts w:ascii="Palatino Linotype" w:hAnsi="Palatino Linotype"/>
          <w:b/>
          <w:sz w:val="24"/>
          <w:szCs w:val="24"/>
        </w:rPr>
        <w:t>A</w:t>
      </w:r>
      <w:r w:rsidRPr="005F68D7" w:rsidR="00231C00">
        <w:rPr>
          <w:rStyle w:val="Strong"/>
          <w:rFonts w:ascii="Palatino Linotype" w:hAnsi="Palatino Linotype"/>
          <w:b/>
          <w:sz w:val="24"/>
          <w:szCs w:val="24"/>
        </w:rPr>
        <w:t xml:space="preserve">ssembly </w:t>
      </w:r>
      <w:r w:rsidRPr="005F68D7">
        <w:rPr>
          <w:rStyle w:val="Strong"/>
          <w:rFonts w:ascii="Palatino Linotype" w:hAnsi="Palatino Linotype"/>
          <w:b/>
          <w:sz w:val="24"/>
          <w:szCs w:val="24"/>
        </w:rPr>
        <w:t>B</w:t>
      </w:r>
      <w:r w:rsidRPr="005F68D7" w:rsidR="005B21CE">
        <w:rPr>
          <w:rStyle w:val="Strong"/>
          <w:rFonts w:ascii="Palatino Linotype" w:hAnsi="Palatino Linotype"/>
          <w:b/>
          <w:sz w:val="24"/>
          <w:szCs w:val="24"/>
        </w:rPr>
        <w:t>ill</w:t>
      </w:r>
      <w:r w:rsidRPr="005F68D7">
        <w:rPr>
          <w:rStyle w:val="Strong"/>
          <w:rFonts w:ascii="Palatino Linotype" w:hAnsi="Palatino Linotype"/>
          <w:b/>
          <w:sz w:val="24"/>
          <w:szCs w:val="24"/>
        </w:rPr>
        <w:t xml:space="preserve"> 3264</w:t>
      </w:r>
      <w:r w:rsidRPr="005F68D7" w:rsidR="00827C37">
        <w:rPr>
          <w:rStyle w:val="Strong"/>
          <w:rFonts w:ascii="Palatino Linotype" w:hAnsi="Palatino Linotype"/>
          <w:b/>
          <w:bCs w:val="0"/>
          <w:sz w:val="24"/>
          <w:szCs w:val="24"/>
        </w:rPr>
        <w:t xml:space="preserve"> </w:t>
      </w:r>
    </w:p>
    <w:p w:rsidRPr="005F68D7" w:rsidR="009676F1" w:rsidP="0033128D" w:rsidRDefault="009676F1" w14:paraId="5DE9F516" w14:textId="2B319E06">
      <w:pPr>
        <w:pStyle w:val="sub2"/>
        <w:spacing w:line="240" w:lineRule="auto"/>
        <w:ind w:firstLine="0"/>
        <w:rPr>
          <w:rFonts w:ascii="Palatino Linotype" w:hAnsi="Palatino Linotype"/>
          <w:sz w:val="24"/>
          <w:szCs w:val="24"/>
        </w:rPr>
      </w:pPr>
      <w:r w:rsidRPr="005F68D7">
        <w:rPr>
          <w:rFonts w:ascii="Palatino Linotype" w:hAnsi="Palatino Linotype"/>
          <w:sz w:val="24"/>
          <w:szCs w:val="24"/>
        </w:rPr>
        <w:t xml:space="preserve">AB 3264 </w:t>
      </w:r>
      <w:r w:rsidRPr="005F68D7" w:rsidR="00907CF5">
        <w:rPr>
          <w:rFonts w:ascii="Palatino Linotype" w:hAnsi="Palatino Linotype"/>
          <w:sz w:val="24"/>
          <w:szCs w:val="24"/>
        </w:rPr>
        <w:t xml:space="preserve">requires the </w:t>
      </w:r>
      <w:r w:rsidRPr="005F68D7" w:rsidR="006356D5">
        <w:rPr>
          <w:rFonts w:ascii="Palatino Linotype" w:hAnsi="Palatino Linotype"/>
          <w:sz w:val="24"/>
          <w:szCs w:val="24"/>
        </w:rPr>
        <w:t>Commission</w:t>
      </w:r>
      <w:r w:rsidRPr="005F68D7" w:rsidR="00907CF5">
        <w:rPr>
          <w:rFonts w:ascii="Palatino Linotype" w:hAnsi="Palatino Linotype"/>
          <w:sz w:val="24"/>
          <w:szCs w:val="24"/>
        </w:rPr>
        <w:t xml:space="preserve"> </w:t>
      </w:r>
      <w:r w:rsidRPr="005F68D7" w:rsidR="00DF7CF1">
        <w:rPr>
          <w:rFonts w:ascii="Palatino Linotype" w:hAnsi="Palatino Linotype"/>
          <w:sz w:val="24"/>
          <w:szCs w:val="24"/>
        </w:rPr>
        <w:t xml:space="preserve">to </w:t>
      </w:r>
      <w:r w:rsidRPr="005F68D7" w:rsidR="00907CF5">
        <w:rPr>
          <w:rFonts w:ascii="Palatino Linotype" w:hAnsi="Palatino Linotype"/>
          <w:sz w:val="24"/>
          <w:szCs w:val="24"/>
        </w:rPr>
        <w:t xml:space="preserve">submit a report to the Legislature every three years that evaluates all </w:t>
      </w:r>
      <w:r w:rsidRPr="005F68D7" w:rsidR="00303A0D">
        <w:rPr>
          <w:rFonts w:ascii="Palatino Linotype" w:hAnsi="Palatino Linotype"/>
          <w:sz w:val="24"/>
          <w:szCs w:val="24"/>
        </w:rPr>
        <w:t xml:space="preserve">demand side management </w:t>
      </w:r>
      <w:r w:rsidRPr="005F68D7" w:rsidR="00907CF5">
        <w:rPr>
          <w:rFonts w:ascii="Palatino Linotype" w:hAnsi="Palatino Linotype"/>
          <w:sz w:val="24"/>
          <w:szCs w:val="24"/>
        </w:rPr>
        <w:t>programs.</w:t>
      </w:r>
      <w:r w:rsidRPr="005F68D7" w:rsidR="004C141B">
        <w:rPr>
          <w:rFonts w:ascii="Palatino Linotype" w:hAnsi="Palatino Linotype"/>
          <w:sz w:val="24"/>
          <w:szCs w:val="24"/>
        </w:rPr>
        <w:t xml:space="preserve"> Section 913.5</w:t>
      </w:r>
      <w:r w:rsidRPr="005F68D7">
        <w:rPr>
          <w:rFonts w:ascii="Palatino Linotype" w:hAnsi="Palatino Linotype"/>
          <w:sz w:val="24"/>
          <w:szCs w:val="24"/>
        </w:rPr>
        <w:t xml:space="preserve"> of this law</w:t>
      </w:r>
      <w:r w:rsidRPr="005F68D7" w:rsidR="004C141B">
        <w:rPr>
          <w:rFonts w:ascii="Palatino Linotype" w:hAnsi="Palatino Linotype"/>
          <w:sz w:val="24"/>
          <w:szCs w:val="24"/>
        </w:rPr>
        <w:t xml:space="preserve"> r</w:t>
      </w:r>
      <w:r w:rsidRPr="005F68D7" w:rsidR="00C12483">
        <w:rPr>
          <w:rFonts w:ascii="Palatino Linotype" w:hAnsi="Palatino Linotype"/>
          <w:sz w:val="24"/>
          <w:szCs w:val="24"/>
        </w:rPr>
        <w:t xml:space="preserve">evises the elements that </w:t>
      </w:r>
      <w:r w:rsidRPr="005F68D7" w:rsidR="006356D5">
        <w:rPr>
          <w:rFonts w:ascii="Palatino Linotype" w:hAnsi="Palatino Linotype"/>
          <w:sz w:val="24"/>
          <w:szCs w:val="24"/>
        </w:rPr>
        <w:t>Commission</w:t>
      </w:r>
      <w:r w:rsidRPr="005F68D7" w:rsidR="00C12483">
        <w:rPr>
          <w:rFonts w:ascii="Palatino Linotype" w:hAnsi="Palatino Linotype"/>
          <w:sz w:val="24"/>
          <w:szCs w:val="24"/>
        </w:rPr>
        <w:t xml:space="preserve"> must include in the</w:t>
      </w:r>
      <w:r w:rsidRPr="005F68D7" w:rsidR="00F910DB">
        <w:rPr>
          <w:rFonts w:ascii="Palatino Linotype" w:hAnsi="Palatino Linotype"/>
          <w:sz w:val="24"/>
          <w:szCs w:val="24"/>
        </w:rPr>
        <w:t>se</w:t>
      </w:r>
      <w:r w:rsidRPr="005F68D7" w:rsidR="00C12483">
        <w:rPr>
          <w:rFonts w:ascii="Palatino Linotype" w:hAnsi="Palatino Linotype"/>
          <w:sz w:val="24"/>
          <w:szCs w:val="24"/>
        </w:rPr>
        <w:t xml:space="preserve"> report</w:t>
      </w:r>
      <w:r w:rsidRPr="005F68D7" w:rsidR="002122E2">
        <w:rPr>
          <w:rFonts w:ascii="Palatino Linotype" w:hAnsi="Palatino Linotype"/>
          <w:sz w:val="24"/>
          <w:szCs w:val="24"/>
        </w:rPr>
        <w:t>s. Several of the e</w:t>
      </w:r>
      <w:r w:rsidRPr="005F68D7" w:rsidR="004C141B">
        <w:rPr>
          <w:rFonts w:ascii="Palatino Linotype" w:hAnsi="Palatino Linotype"/>
          <w:sz w:val="24"/>
          <w:szCs w:val="24"/>
        </w:rPr>
        <w:t>lements</w:t>
      </w:r>
      <w:r w:rsidRPr="005F68D7" w:rsidR="002122E2">
        <w:rPr>
          <w:rFonts w:ascii="Palatino Linotype" w:hAnsi="Palatino Linotype"/>
          <w:sz w:val="24"/>
          <w:szCs w:val="24"/>
        </w:rPr>
        <w:t xml:space="preserve">, </w:t>
      </w:r>
      <w:r w:rsidRPr="005F68D7" w:rsidR="00A60A66">
        <w:rPr>
          <w:rFonts w:ascii="Palatino Linotype" w:hAnsi="Palatino Linotype"/>
          <w:sz w:val="24"/>
          <w:szCs w:val="24"/>
        </w:rPr>
        <w:t xml:space="preserve">such as </w:t>
      </w:r>
      <w:r w:rsidRPr="005F68D7" w:rsidR="002122E2">
        <w:rPr>
          <w:rFonts w:ascii="Palatino Linotype" w:hAnsi="Palatino Linotype"/>
          <w:sz w:val="24"/>
          <w:szCs w:val="24"/>
        </w:rPr>
        <w:t>target population, public interest impacts, and details about actual customers served</w:t>
      </w:r>
      <w:r w:rsidRPr="005F68D7" w:rsidR="00C170A7">
        <w:rPr>
          <w:rFonts w:ascii="Palatino Linotype" w:hAnsi="Palatino Linotype"/>
          <w:sz w:val="24"/>
          <w:szCs w:val="24"/>
        </w:rPr>
        <w:t>,</w:t>
      </w:r>
      <w:r w:rsidRPr="005F68D7" w:rsidR="004C141B">
        <w:rPr>
          <w:rFonts w:ascii="Palatino Linotype" w:hAnsi="Palatino Linotype"/>
          <w:sz w:val="24"/>
          <w:szCs w:val="24"/>
        </w:rPr>
        <w:t xml:space="preserve"> are aligned with the </w:t>
      </w:r>
      <w:r w:rsidRPr="005F68D7" w:rsidR="00A60A66">
        <w:rPr>
          <w:rFonts w:ascii="Palatino Linotype" w:hAnsi="Palatino Linotype"/>
          <w:sz w:val="24"/>
          <w:szCs w:val="24"/>
        </w:rPr>
        <w:t xml:space="preserve">market support and equity </w:t>
      </w:r>
      <w:r w:rsidRPr="005F68D7" w:rsidR="004C141B">
        <w:rPr>
          <w:rFonts w:ascii="Palatino Linotype" w:hAnsi="Palatino Linotype"/>
          <w:sz w:val="24"/>
          <w:szCs w:val="24"/>
        </w:rPr>
        <w:t>metrics and indicator</w:t>
      </w:r>
      <w:r w:rsidRPr="005F68D7" w:rsidR="008847AF">
        <w:rPr>
          <w:rFonts w:ascii="Palatino Linotype" w:hAnsi="Palatino Linotype"/>
          <w:sz w:val="24"/>
          <w:szCs w:val="24"/>
        </w:rPr>
        <w:t>s</w:t>
      </w:r>
      <w:r w:rsidRPr="005F68D7" w:rsidR="006E401E">
        <w:rPr>
          <w:rFonts w:ascii="Palatino Linotype" w:hAnsi="Palatino Linotype"/>
          <w:sz w:val="24"/>
          <w:szCs w:val="24"/>
        </w:rPr>
        <w:t>.</w:t>
      </w:r>
      <w:r w:rsidRPr="005F68D7" w:rsidR="00D57BD6">
        <w:rPr>
          <w:rFonts w:ascii="Palatino Linotype" w:hAnsi="Palatino Linotype"/>
          <w:sz w:val="24"/>
          <w:szCs w:val="24"/>
        </w:rPr>
        <w:t xml:space="preserve"> </w:t>
      </w:r>
      <w:r w:rsidRPr="005F68D7" w:rsidR="00AE6118">
        <w:rPr>
          <w:rFonts w:ascii="Palatino Linotype" w:hAnsi="Palatino Linotype"/>
          <w:sz w:val="24"/>
          <w:szCs w:val="24"/>
        </w:rPr>
        <w:t>N</w:t>
      </w:r>
      <w:r w:rsidRPr="005F68D7" w:rsidR="002B673A">
        <w:rPr>
          <w:rFonts w:ascii="Palatino Linotype" w:hAnsi="Palatino Linotype"/>
          <w:sz w:val="24"/>
          <w:szCs w:val="24"/>
        </w:rPr>
        <w:t>ew requirements for the tri-annual report</w:t>
      </w:r>
      <w:r w:rsidRPr="005F68D7" w:rsidR="00AE6118">
        <w:rPr>
          <w:rFonts w:ascii="Palatino Linotype" w:hAnsi="Palatino Linotype"/>
          <w:sz w:val="24"/>
          <w:szCs w:val="24"/>
        </w:rPr>
        <w:t xml:space="preserve"> per AB 3264 that align with the metrics and indicators are below</w:t>
      </w:r>
      <w:r w:rsidRPr="005F68D7" w:rsidR="00696AB1">
        <w:rPr>
          <w:rFonts w:ascii="Palatino Linotype" w:hAnsi="Palatino Linotype"/>
          <w:sz w:val="24"/>
          <w:szCs w:val="24"/>
        </w:rPr>
        <w:t>:</w:t>
      </w:r>
    </w:p>
    <w:p w:rsidRPr="005F68D7" w:rsidR="00842A16" w:rsidP="00842A16" w:rsidRDefault="00875D90" w14:paraId="24093BA4" w14:textId="12131CA5">
      <w:pPr>
        <w:pStyle w:val="sub2"/>
        <w:numPr>
          <w:ilvl w:val="0"/>
          <w:numId w:val="16"/>
        </w:numPr>
        <w:spacing w:line="240" w:lineRule="auto"/>
        <w:rPr>
          <w:rFonts w:ascii="Palatino Linotype" w:hAnsi="Palatino Linotype"/>
          <w:sz w:val="24"/>
          <w:szCs w:val="24"/>
        </w:rPr>
      </w:pPr>
      <w:r w:rsidRPr="005F68D7">
        <w:rPr>
          <w:rFonts w:ascii="Palatino Linotype" w:hAnsi="Palatino Linotype"/>
          <w:sz w:val="24"/>
          <w:szCs w:val="24"/>
        </w:rPr>
        <w:t xml:space="preserve">913.5 (2) </w:t>
      </w:r>
      <w:r w:rsidRPr="005F68D7" w:rsidR="0092692C">
        <w:rPr>
          <w:rFonts w:ascii="Palatino Linotype" w:hAnsi="Palatino Linotype"/>
          <w:sz w:val="24"/>
          <w:szCs w:val="24"/>
        </w:rPr>
        <w:t>(C)</w:t>
      </w:r>
      <w:r w:rsidRPr="005F68D7" w:rsidR="003D6039">
        <w:rPr>
          <w:rFonts w:ascii="Palatino Linotype" w:hAnsi="Palatino Linotype"/>
          <w:sz w:val="24"/>
          <w:szCs w:val="24"/>
        </w:rPr>
        <w:t xml:space="preserve"> </w:t>
      </w:r>
      <w:r w:rsidRPr="005F68D7" w:rsidR="0092692C">
        <w:rPr>
          <w:rFonts w:ascii="Palatino Linotype" w:hAnsi="Palatino Linotype"/>
          <w:sz w:val="24"/>
          <w:szCs w:val="24"/>
        </w:rPr>
        <w:t>Projected and actual energy savings over the program cycle.</w:t>
      </w:r>
    </w:p>
    <w:p w:rsidRPr="005F68D7" w:rsidR="00842A16" w:rsidP="00842A16" w:rsidRDefault="00842A16" w14:paraId="7DFFC818" w14:textId="0462C615">
      <w:pPr>
        <w:pStyle w:val="sub2"/>
        <w:numPr>
          <w:ilvl w:val="1"/>
          <w:numId w:val="16"/>
        </w:numPr>
        <w:spacing w:line="240" w:lineRule="auto"/>
        <w:rPr>
          <w:rFonts w:ascii="Palatino Linotype" w:hAnsi="Palatino Linotype"/>
          <w:sz w:val="24"/>
          <w:szCs w:val="24"/>
        </w:rPr>
      </w:pPr>
      <w:r w:rsidRPr="005F68D7">
        <w:rPr>
          <w:rFonts w:ascii="Palatino Linotype" w:hAnsi="Palatino Linotype"/>
          <w:sz w:val="24"/>
          <w:szCs w:val="24"/>
        </w:rPr>
        <w:t>Aligns with multiple ind</w:t>
      </w:r>
      <w:r w:rsidRPr="005F68D7" w:rsidR="003D6039">
        <w:rPr>
          <w:rFonts w:ascii="Palatino Linotype" w:hAnsi="Palatino Linotype"/>
          <w:sz w:val="24"/>
          <w:szCs w:val="24"/>
        </w:rPr>
        <w:t>icators</w:t>
      </w:r>
      <w:r w:rsidRPr="005F68D7">
        <w:rPr>
          <w:rFonts w:ascii="Palatino Linotype" w:hAnsi="Palatino Linotype"/>
          <w:sz w:val="24"/>
          <w:szCs w:val="24"/>
        </w:rPr>
        <w:t xml:space="preserve"> </w:t>
      </w:r>
      <w:r w:rsidRPr="005F68D7" w:rsidR="003D6039">
        <w:rPr>
          <w:rFonts w:ascii="Palatino Linotype" w:hAnsi="Palatino Linotype"/>
          <w:sz w:val="24"/>
          <w:szCs w:val="24"/>
        </w:rPr>
        <w:t xml:space="preserve">and </w:t>
      </w:r>
      <w:r w:rsidRPr="005F68D7">
        <w:rPr>
          <w:rFonts w:ascii="Palatino Linotype" w:hAnsi="Palatino Linotype"/>
          <w:sz w:val="24"/>
          <w:szCs w:val="24"/>
        </w:rPr>
        <w:t>met</w:t>
      </w:r>
      <w:r w:rsidRPr="005F68D7" w:rsidR="003D6039">
        <w:rPr>
          <w:rFonts w:ascii="Palatino Linotype" w:hAnsi="Palatino Linotype"/>
          <w:sz w:val="24"/>
          <w:szCs w:val="24"/>
        </w:rPr>
        <w:t>rics</w:t>
      </w:r>
    </w:p>
    <w:p w:rsidRPr="005F68D7" w:rsidR="008E7EC1" w:rsidP="00842A16" w:rsidRDefault="00875D90" w14:paraId="29591965" w14:textId="374B4723">
      <w:pPr>
        <w:pStyle w:val="sub2"/>
        <w:numPr>
          <w:ilvl w:val="0"/>
          <w:numId w:val="16"/>
        </w:numPr>
        <w:spacing w:line="240" w:lineRule="auto"/>
        <w:rPr>
          <w:rFonts w:ascii="Palatino Linotype" w:hAnsi="Palatino Linotype"/>
          <w:sz w:val="24"/>
          <w:szCs w:val="24"/>
        </w:rPr>
      </w:pPr>
      <w:r w:rsidRPr="005F68D7">
        <w:rPr>
          <w:rFonts w:ascii="Palatino Linotype" w:hAnsi="Palatino Linotype"/>
          <w:sz w:val="24"/>
          <w:szCs w:val="24"/>
        </w:rPr>
        <w:t xml:space="preserve">913.5 (2) </w:t>
      </w:r>
      <w:r w:rsidRPr="005F68D7" w:rsidR="0092692C">
        <w:rPr>
          <w:rFonts w:ascii="Palatino Linotype" w:hAnsi="Palatino Linotype"/>
          <w:sz w:val="24"/>
          <w:szCs w:val="24"/>
        </w:rPr>
        <w:t>(D)</w:t>
      </w:r>
      <w:r w:rsidRPr="005F68D7" w:rsidR="003D6039">
        <w:rPr>
          <w:rFonts w:ascii="Palatino Linotype" w:hAnsi="Palatino Linotype"/>
          <w:sz w:val="24"/>
          <w:szCs w:val="24"/>
        </w:rPr>
        <w:t xml:space="preserve"> </w:t>
      </w:r>
      <w:r w:rsidRPr="005F68D7" w:rsidR="0092692C">
        <w:rPr>
          <w:rFonts w:ascii="Palatino Linotype" w:hAnsi="Palatino Linotype"/>
          <w:sz w:val="24"/>
          <w:szCs w:val="24"/>
        </w:rPr>
        <w:t>Projected and actual bill savings to the average participating and the average nonparticipating ratepayer.</w:t>
      </w:r>
    </w:p>
    <w:p w:rsidRPr="005F68D7" w:rsidR="008E7EC1" w:rsidP="00842A16" w:rsidRDefault="008E7EC1" w14:paraId="7DEFF02D" w14:textId="04A1E785">
      <w:pPr>
        <w:pStyle w:val="sub2"/>
        <w:numPr>
          <w:ilvl w:val="1"/>
          <w:numId w:val="16"/>
        </w:numPr>
        <w:spacing w:line="240" w:lineRule="auto"/>
        <w:rPr>
          <w:rFonts w:ascii="Palatino Linotype" w:hAnsi="Palatino Linotype"/>
          <w:sz w:val="24"/>
          <w:szCs w:val="24"/>
        </w:rPr>
      </w:pPr>
      <w:r w:rsidRPr="005F68D7">
        <w:rPr>
          <w:rFonts w:ascii="Palatino Linotype" w:hAnsi="Palatino Linotype"/>
          <w:sz w:val="24"/>
          <w:szCs w:val="24"/>
        </w:rPr>
        <w:t>Aligns with E</w:t>
      </w:r>
      <w:r w:rsidRPr="005F68D7" w:rsidR="003350C7">
        <w:rPr>
          <w:rFonts w:ascii="Palatino Linotype" w:hAnsi="Palatino Linotype"/>
          <w:sz w:val="24"/>
          <w:szCs w:val="24"/>
        </w:rPr>
        <w:t xml:space="preserve">quity Metrics </w:t>
      </w:r>
      <w:r w:rsidRPr="005F68D7">
        <w:rPr>
          <w:rFonts w:ascii="Palatino Linotype" w:hAnsi="Palatino Linotype"/>
          <w:sz w:val="24"/>
          <w:szCs w:val="24"/>
        </w:rPr>
        <w:t>2</w:t>
      </w:r>
      <w:r w:rsidRPr="005F68D7" w:rsidR="003350C7">
        <w:rPr>
          <w:rFonts w:ascii="Palatino Linotype" w:hAnsi="Palatino Linotype"/>
          <w:sz w:val="24"/>
          <w:szCs w:val="24"/>
        </w:rPr>
        <w:t xml:space="preserve"> and </w:t>
      </w:r>
      <w:r w:rsidRPr="005F68D7">
        <w:rPr>
          <w:rFonts w:ascii="Palatino Linotype" w:hAnsi="Palatino Linotype"/>
          <w:sz w:val="24"/>
          <w:szCs w:val="24"/>
        </w:rPr>
        <w:t>10</w:t>
      </w:r>
    </w:p>
    <w:p w:rsidRPr="005F68D7" w:rsidR="00317853" w:rsidP="00842A16" w:rsidRDefault="00875D90" w14:paraId="1917AD49" w14:textId="5DF4E3C8">
      <w:pPr>
        <w:pStyle w:val="sub2"/>
        <w:numPr>
          <w:ilvl w:val="0"/>
          <w:numId w:val="16"/>
        </w:numPr>
        <w:spacing w:line="240" w:lineRule="auto"/>
        <w:rPr>
          <w:rFonts w:ascii="Palatino Linotype" w:hAnsi="Palatino Linotype"/>
          <w:sz w:val="24"/>
          <w:szCs w:val="24"/>
        </w:rPr>
      </w:pPr>
      <w:r w:rsidRPr="005F68D7">
        <w:rPr>
          <w:rFonts w:ascii="Palatino Linotype" w:hAnsi="Palatino Linotype"/>
          <w:sz w:val="24"/>
          <w:szCs w:val="24"/>
        </w:rPr>
        <w:lastRenderedPageBreak/>
        <w:t xml:space="preserve">913.5 (2) </w:t>
      </w:r>
      <w:r w:rsidRPr="005F68D7" w:rsidR="00842A16">
        <w:rPr>
          <w:rFonts w:ascii="Palatino Linotype" w:hAnsi="Palatino Linotype"/>
          <w:sz w:val="24"/>
          <w:szCs w:val="24"/>
        </w:rPr>
        <w:t>(G)</w:t>
      </w:r>
      <w:r w:rsidRPr="005F68D7" w:rsidR="003D6039">
        <w:rPr>
          <w:rFonts w:ascii="Palatino Linotype" w:hAnsi="Palatino Linotype"/>
          <w:sz w:val="24"/>
          <w:szCs w:val="24"/>
        </w:rPr>
        <w:t xml:space="preserve"> </w:t>
      </w:r>
      <w:r w:rsidRPr="005F68D7" w:rsidR="00842A16">
        <w:rPr>
          <w:rFonts w:ascii="Palatino Linotype" w:hAnsi="Palatino Linotype"/>
          <w:sz w:val="24"/>
          <w:szCs w:val="24"/>
        </w:rPr>
        <w:t>Actual customers served, aggregated by customer class, geographic distribution, and income level.</w:t>
      </w:r>
    </w:p>
    <w:p w:rsidRPr="005F68D7" w:rsidR="00317853" w:rsidP="00842A16" w:rsidRDefault="00317853" w14:paraId="3911145E" w14:textId="22922F73">
      <w:pPr>
        <w:pStyle w:val="sub2"/>
        <w:numPr>
          <w:ilvl w:val="1"/>
          <w:numId w:val="16"/>
        </w:numPr>
        <w:spacing w:line="240" w:lineRule="auto"/>
        <w:rPr>
          <w:rFonts w:ascii="Palatino Linotype" w:hAnsi="Palatino Linotype"/>
          <w:sz w:val="24"/>
          <w:szCs w:val="24"/>
        </w:rPr>
      </w:pPr>
      <w:r w:rsidRPr="005F68D7">
        <w:rPr>
          <w:rFonts w:ascii="Palatino Linotype" w:hAnsi="Palatino Linotype"/>
          <w:sz w:val="24"/>
          <w:szCs w:val="24"/>
        </w:rPr>
        <w:t>Aligns with E</w:t>
      </w:r>
      <w:r w:rsidRPr="005F68D7" w:rsidR="003350C7">
        <w:rPr>
          <w:rFonts w:ascii="Palatino Linotype" w:hAnsi="Palatino Linotype"/>
          <w:sz w:val="24"/>
          <w:szCs w:val="24"/>
        </w:rPr>
        <w:t xml:space="preserve">quity Metrics </w:t>
      </w:r>
      <w:r w:rsidRPr="005F68D7">
        <w:rPr>
          <w:rFonts w:ascii="Palatino Linotype" w:hAnsi="Palatino Linotype"/>
          <w:sz w:val="24"/>
          <w:szCs w:val="24"/>
        </w:rPr>
        <w:t xml:space="preserve">1, 2, 3, 4, </w:t>
      </w:r>
      <w:r w:rsidRPr="005F68D7" w:rsidR="003350C7">
        <w:rPr>
          <w:rFonts w:ascii="Palatino Linotype" w:hAnsi="Palatino Linotype"/>
          <w:sz w:val="24"/>
          <w:szCs w:val="24"/>
        </w:rPr>
        <w:t xml:space="preserve">and </w:t>
      </w:r>
      <w:r w:rsidRPr="005F68D7">
        <w:rPr>
          <w:rFonts w:ascii="Palatino Linotype" w:hAnsi="Palatino Linotype"/>
          <w:sz w:val="24"/>
          <w:szCs w:val="24"/>
        </w:rPr>
        <w:t>13</w:t>
      </w:r>
    </w:p>
    <w:p w:rsidRPr="005F68D7" w:rsidR="00052778" w:rsidP="00D75F1D" w:rsidRDefault="00052778" w14:paraId="3B0C2347" w14:textId="77777777">
      <w:pPr>
        <w:pStyle w:val="Res-Caption"/>
        <w:ind w:left="0" w:right="0"/>
        <w:jc w:val="both"/>
        <w:rPr>
          <w:rFonts w:ascii="Palatino Linotype" w:hAnsi="Palatino Linotype" w:cs="Arial"/>
          <w:sz w:val="24"/>
          <w:szCs w:val="24"/>
        </w:rPr>
      </w:pPr>
    </w:p>
    <w:p w:rsidRPr="005F68D7" w:rsidR="00052778" w:rsidP="004613EF" w:rsidRDefault="009623AA" w14:paraId="5D5AEAE1" w14:textId="0E179F93">
      <w:pPr>
        <w:pStyle w:val="Heading1"/>
        <w:numPr>
          <w:ilvl w:val="0"/>
          <w:numId w:val="34"/>
        </w:numPr>
        <w:ind w:left="0" w:firstLine="0"/>
        <w:rPr>
          <w:rFonts w:ascii="Palatino Linotype" w:hAnsi="Palatino Linotype" w:cs="Arial"/>
          <w:b w:val="0"/>
          <w:sz w:val="24"/>
          <w:szCs w:val="24"/>
        </w:rPr>
      </w:pPr>
      <w:r w:rsidRPr="005F68D7">
        <w:rPr>
          <w:rFonts w:ascii="Palatino Linotype" w:hAnsi="Palatino Linotype"/>
          <w:sz w:val="24"/>
          <w:szCs w:val="24"/>
        </w:rPr>
        <w:t>Purpose of Indicators &amp; Metrics</w:t>
      </w:r>
    </w:p>
    <w:p w:rsidRPr="005F68D7" w:rsidR="00E2584F" w:rsidP="006E35AC" w:rsidRDefault="00402902" w14:paraId="269E9C95" w14:textId="0294688E">
      <w:pPr>
        <w:spacing w:before="120" w:after="240"/>
        <w:ind w:firstLine="360"/>
        <w:rPr>
          <w:rStyle w:val="Strong"/>
          <w:rFonts w:ascii="Palatino Linotype" w:hAnsi="Palatino Linotype"/>
          <w:sz w:val="24"/>
          <w:szCs w:val="24"/>
          <w:u w:val="single"/>
        </w:rPr>
      </w:pPr>
      <w:r w:rsidRPr="005F68D7">
        <w:rPr>
          <w:rStyle w:val="Strong"/>
          <w:rFonts w:ascii="Palatino Linotype" w:hAnsi="Palatino Linotype"/>
          <w:sz w:val="24"/>
          <w:szCs w:val="24"/>
          <w:u w:val="single"/>
        </w:rPr>
        <w:t xml:space="preserve">Recommendation 1: </w:t>
      </w:r>
      <w:r w:rsidRPr="005F68D7" w:rsidR="00FD249A">
        <w:rPr>
          <w:rStyle w:val="Strong"/>
          <w:rFonts w:ascii="Palatino Linotype" w:hAnsi="Palatino Linotype"/>
          <w:sz w:val="24"/>
          <w:szCs w:val="24"/>
          <w:u w:val="single"/>
        </w:rPr>
        <w:t xml:space="preserve">Purpose of </w:t>
      </w:r>
      <w:r w:rsidRPr="005F68D7" w:rsidR="00B70AAE">
        <w:rPr>
          <w:rStyle w:val="Strong"/>
          <w:rFonts w:ascii="Palatino Linotype" w:hAnsi="Palatino Linotype"/>
          <w:sz w:val="24"/>
          <w:szCs w:val="24"/>
          <w:u w:val="single"/>
        </w:rPr>
        <w:t>Indicators and Metrics</w:t>
      </w:r>
    </w:p>
    <w:p w:rsidRPr="005F68D7" w:rsidR="00E2584F" w:rsidP="0033128D" w:rsidRDefault="001E5D9A" w14:paraId="28150FA1" w14:textId="427AB1C2">
      <w:pPr>
        <w:pStyle w:val="Res-Caption"/>
        <w:ind w:left="0" w:right="0"/>
        <w:rPr>
          <w:rFonts w:ascii="Palatino Linotype" w:hAnsi="Palatino Linotype" w:cs="Arial"/>
          <w:sz w:val="24"/>
          <w:szCs w:val="24"/>
        </w:rPr>
      </w:pPr>
      <w:r w:rsidRPr="005F68D7">
        <w:rPr>
          <w:rFonts w:ascii="Palatino Linotype" w:hAnsi="Palatino Linotype" w:cs="Arial"/>
          <w:sz w:val="24"/>
          <w:szCs w:val="24"/>
        </w:rPr>
        <w:t>The Equity and Market Support Working Group report contained i</w:t>
      </w:r>
      <w:r w:rsidRPr="005F68D7" w:rsidR="00E2584F">
        <w:rPr>
          <w:rFonts w:ascii="Palatino Linotype" w:hAnsi="Palatino Linotype" w:cs="Arial"/>
          <w:sz w:val="24"/>
          <w:szCs w:val="24"/>
        </w:rPr>
        <w:t>n the Joint PAs’ advice letter</w:t>
      </w:r>
      <w:r w:rsidRPr="005F68D7" w:rsidR="00A53341">
        <w:rPr>
          <w:rFonts w:ascii="Palatino Linotype" w:hAnsi="Palatino Linotype" w:cs="Arial"/>
          <w:sz w:val="24"/>
          <w:szCs w:val="24"/>
        </w:rPr>
        <w:t xml:space="preserve"> propose</w:t>
      </w:r>
      <w:r w:rsidRPr="005F68D7" w:rsidR="003A1003">
        <w:rPr>
          <w:rFonts w:ascii="Palatino Linotype" w:hAnsi="Palatino Linotype" w:cs="Arial"/>
          <w:sz w:val="24"/>
          <w:szCs w:val="24"/>
        </w:rPr>
        <w:t>d</w:t>
      </w:r>
      <w:r w:rsidRPr="005F68D7" w:rsidR="00A53341">
        <w:rPr>
          <w:rFonts w:ascii="Palatino Linotype" w:hAnsi="Palatino Linotype" w:cs="Arial"/>
          <w:sz w:val="24"/>
          <w:szCs w:val="24"/>
        </w:rPr>
        <w:t xml:space="preserve"> </w:t>
      </w:r>
      <w:r w:rsidRPr="005F68D7" w:rsidR="00C84B09">
        <w:rPr>
          <w:rFonts w:ascii="Palatino Linotype" w:hAnsi="Palatino Linotype" w:cs="Arial"/>
          <w:sz w:val="24"/>
          <w:szCs w:val="24"/>
        </w:rPr>
        <w:t>four</w:t>
      </w:r>
      <w:r w:rsidRPr="005F68D7" w:rsidR="00A53341">
        <w:rPr>
          <w:rFonts w:ascii="Palatino Linotype" w:hAnsi="Palatino Linotype" w:cs="Arial"/>
          <w:sz w:val="24"/>
          <w:szCs w:val="24"/>
        </w:rPr>
        <w:t xml:space="preserve"> purposes for the indicators</w:t>
      </w:r>
      <w:r w:rsidRPr="005F68D7" w:rsidR="003A1003">
        <w:rPr>
          <w:rFonts w:ascii="Palatino Linotype" w:hAnsi="Palatino Linotype" w:cs="Arial"/>
          <w:sz w:val="24"/>
          <w:szCs w:val="24"/>
        </w:rPr>
        <w:t xml:space="preserve">. </w:t>
      </w:r>
      <w:r w:rsidRPr="005F68D7" w:rsidR="00AE6ECD">
        <w:rPr>
          <w:rFonts w:ascii="Palatino Linotype" w:hAnsi="Palatino Linotype" w:cs="Arial"/>
          <w:sz w:val="24"/>
          <w:szCs w:val="24"/>
        </w:rPr>
        <w:t xml:space="preserve">The Commission </w:t>
      </w:r>
      <w:r w:rsidRPr="005F68D7" w:rsidR="003A1003">
        <w:rPr>
          <w:rFonts w:ascii="Palatino Linotype" w:hAnsi="Palatino Linotype" w:cs="Arial"/>
          <w:sz w:val="24"/>
          <w:szCs w:val="24"/>
        </w:rPr>
        <w:t xml:space="preserve">agrees with </w:t>
      </w:r>
      <w:r w:rsidRPr="005F68D7" w:rsidR="007D6E73">
        <w:rPr>
          <w:rFonts w:ascii="Palatino Linotype" w:hAnsi="Palatino Linotype" w:cs="Arial"/>
          <w:sz w:val="24"/>
          <w:szCs w:val="24"/>
        </w:rPr>
        <w:t xml:space="preserve">those </w:t>
      </w:r>
      <w:r w:rsidRPr="005F68D7" w:rsidR="00C02D74">
        <w:rPr>
          <w:rFonts w:ascii="Palatino Linotype" w:hAnsi="Palatino Linotype" w:cs="Arial"/>
          <w:sz w:val="24"/>
          <w:szCs w:val="24"/>
        </w:rPr>
        <w:t xml:space="preserve">stated </w:t>
      </w:r>
      <w:r w:rsidRPr="005F68D7" w:rsidR="007D6E73">
        <w:rPr>
          <w:rFonts w:ascii="Palatino Linotype" w:hAnsi="Palatino Linotype" w:cs="Arial"/>
          <w:sz w:val="24"/>
          <w:szCs w:val="24"/>
        </w:rPr>
        <w:t xml:space="preserve">purposes but modifies them </w:t>
      </w:r>
      <w:r w:rsidRPr="005F68D7" w:rsidR="00E40F26">
        <w:rPr>
          <w:rFonts w:ascii="Palatino Linotype" w:hAnsi="Palatino Linotype" w:cs="Arial"/>
          <w:sz w:val="24"/>
          <w:szCs w:val="24"/>
        </w:rPr>
        <w:t>as follows</w:t>
      </w:r>
      <w:r w:rsidRPr="005F68D7" w:rsidR="00BA7CC7">
        <w:rPr>
          <w:rFonts w:ascii="Palatino Linotype" w:hAnsi="Palatino Linotype" w:cs="Arial"/>
          <w:sz w:val="24"/>
          <w:szCs w:val="24"/>
        </w:rPr>
        <w:t xml:space="preserve"> and applies them to all </w:t>
      </w:r>
      <w:r w:rsidRPr="005F68D7" w:rsidR="00543D18">
        <w:rPr>
          <w:rFonts w:ascii="Palatino Linotype" w:hAnsi="Palatino Linotype" w:cs="Arial"/>
          <w:sz w:val="24"/>
          <w:szCs w:val="24"/>
        </w:rPr>
        <w:t xml:space="preserve">adopted </w:t>
      </w:r>
      <w:r w:rsidRPr="005F68D7" w:rsidR="00BA7CC7">
        <w:rPr>
          <w:rFonts w:ascii="Palatino Linotype" w:hAnsi="Palatino Linotype" w:cs="Arial"/>
          <w:sz w:val="24"/>
          <w:szCs w:val="24"/>
        </w:rPr>
        <w:t>indicators and metrics</w:t>
      </w:r>
      <w:r w:rsidRPr="005F68D7" w:rsidR="00896081">
        <w:rPr>
          <w:rFonts w:ascii="Palatino Linotype" w:hAnsi="Palatino Linotype" w:cs="Arial"/>
          <w:sz w:val="24"/>
          <w:szCs w:val="24"/>
        </w:rPr>
        <w:t xml:space="preserve"> in the EE Portfolio</w:t>
      </w:r>
      <w:r w:rsidRPr="005F68D7" w:rsidR="00BA7CC7">
        <w:rPr>
          <w:rFonts w:ascii="Palatino Linotype" w:hAnsi="Palatino Linotype" w:cs="Arial"/>
          <w:sz w:val="24"/>
          <w:szCs w:val="24"/>
        </w:rPr>
        <w:t xml:space="preserve">: </w:t>
      </w:r>
    </w:p>
    <w:p w:rsidRPr="005F68D7" w:rsidR="00AF06A1" w:rsidP="0033128D" w:rsidRDefault="00AF06A1" w14:paraId="6796413C" w14:textId="4FD1B01F">
      <w:pPr>
        <w:pStyle w:val="Res-Caption"/>
        <w:numPr>
          <w:ilvl w:val="0"/>
          <w:numId w:val="20"/>
        </w:numPr>
        <w:ind w:right="0"/>
        <w:rPr>
          <w:rFonts w:ascii="Palatino Linotype" w:hAnsi="Palatino Linotype" w:cs="Arial"/>
          <w:sz w:val="24"/>
          <w:szCs w:val="24"/>
        </w:rPr>
      </w:pPr>
      <w:r w:rsidRPr="005F68D7">
        <w:rPr>
          <w:rFonts w:ascii="Palatino Linotype" w:hAnsi="Palatino Linotype" w:cs="Arial"/>
          <w:sz w:val="24"/>
          <w:szCs w:val="24"/>
        </w:rPr>
        <w:t xml:space="preserve">Understanding the impact of </w:t>
      </w:r>
      <w:r w:rsidRPr="005F68D7" w:rsidR="00151E3F">
        <w:rPr>
          <w:rFonts w:ascii="Palatino Linotype" w:hAnsi="Palatino Linotype" w:cs="Arial"/>
          <w:sz w:val="24"/>
          <w:szCs w:val="24"/>
        </w:rPr>
        <w:t>energy efficiency</w:t>
      </w:r>
      <w:r w:rsidRPr="005F68D7">
        <w:rPr>
          <w:rFonts w:ascii="Palatino Linotype" w:hAnsi="Palatino Linotype" w:cs="Arial"/>
          <w:sz w:val="24"/>
          <w:szCs w:val="24"/>
        </w:rPr>
        <w:t xml:space="preserve"> programs </w:t>
      </w:r>
      <w:r w:rsidRPr="005F68D7" w:rsidR="00151E3F">
        <w:rPr>
          <w:rFonts w:ascii="Palatino Linotype" w:hAnsi="Palatino Linotype" w:cs="Arial"/>
          <w:sz w:val="24"/>
          <w:szCs w:val="24"/>
        </w:rPr>
        <w:t xml:space="preserve">by segment and sector </w:t>
      </w:r>
      <w:r w:rsidRPr="005F68D7">
        <w:rPr>
          <w:rFonts w:ascii="Palatino Linotype" w:hAnsi="Palatino Linotype" w:cs="Arial"/>
          <w:sz w:val="24"/>
          <w:szCs w:val="24"/>
        </w:rPr>
        <w:t>across PAs</w:t>
      </w:r>
      <w:r w:rsidRPr="005F68D7" w:rsidR="005D3D71">
        <w:rPr>
          <w:rFonts w:ascii="Palatino Linotype" w:hAnsi="Palatino Linotype" w:cs="Arial"/>
          <w:sz w:val="24"/>
          <w:szCs w:val="24"/>
        </w:rPr>
        <w:t>;</w:t>
      </w:r>
    </w:p>
    <w:p w:rsidRPr="005F68D7" w:rsidR="00AF06A1" w:rsidP="0033128D" w:rsidRDefault="00AF06A1" w14:paraId="0A517730" w14:textId="3A5E8248">
      <w:pPr>
        <w:pStyle w:val="Res-Caption"/>
        <w:numPr>
          <w:ilvl w:val="0"/>
          <w:numId w:val="20"/>
        </w:numPr>
        <w:ind w:right="0"/>
        <w:rPr>
          <w:rFonts w:ascii="Palatino Linotype" w:hAnsi="Palatino Linotype" w:cs="Arial"/>
          <w:sz w:val="24"/>
          <w:szCs w:val="24"/>
        </w:rPr>
      </w:pPr>
      <w:r w:rsidRPr="005F68D7">
        <w:rPr>
          <w:rFonts w:ascii="Palatino Linotype" w:hAnsi="Palatino Linotype" w:cs="Arial"/>
          <w:sz w:val="24"/>
          <w:szCs w:val="24"/>
        </w:rPr>
        <w:t xml:space="preserve">Ensuring accountability of dollars spent in </w:t>
      </w:r>
      <w:r w:rsidRPr="005F68D7" w:rsidR="005E3834">
        <w:rPr>
          <w:rFonts w:ascii="Palatino Linotype" w:hAnsi="Palatino Linotype" w:cs="Arial"/>
          <w:sz w:val="24"/>
          <w:szCs w:val="24"/>
        </w:rPr>
        <w:t>Resource Acquisition, Equity, Market Support, and Codes &amp; Standards segments</w:t>
      </w:r>
      <w:r w:rsidRPr="005F68D7" w:rsidR="005D3D71">
        <w:rPr>
          <w:rFonts w:ascii="Palatino Linotype" w:hAnsi="Palatino Linotype" w:cs="Arial"/>
          <w:sz w:val="24"/>
          <w:szCs w:val="24"/>
        </w:rPr>
        <w:t>;</w:t>
      </w:r>
    </w:p>
    <w:p w:rsidRPr="005F68D7" w:rsidR="00AF06A1" w:rsidP="0033128D" w:rsidRDefault="00AF06A1" w14:paraId="72561E7D" w14:textId="56B8E902">
      <w:pPr>
        <w:pStyle w:val="Res-Caption"/>
        <w:numPr>
          <w:ilvl w:val="0"/>
          <w:numId w:val="20"/>
        </w:numPr>
        <w:ind w:right="0"/>
        <w:rPr>
          <w:rFonts w:ascii="Palatino Linotype" w:hAnsi="Palatino Linotype" w:cs="Arial"/>
          <w:sz w:val="24"/>
          <w:szCs w:val="24"/>
        </w:rPr>
      </w:pPr>
      <w:r w:rsidRPr="005F68D7">
        <w:rPr>
          <w:rFonts w:ascii="Palatino Linotype" w:hAnsi="Palatino Linotype" w:cs="Arial"/>
          <w:sz w:val="24"/>
          <w:szCs w:val="24"/>
        </w:rPr>
        <w:t xml:space="preserve">Enabling PAs to make adjustments to </w:t>
      </w:r>
      <w:r w:rsidRPr="005F68D7" w:rsidR="00B92A3C">
        <w:rPr>
          <w:rFonts w:ascii="Palatino Linotype" w:hAnsi="Palatino Linotype" w:cs="Arial"/>
          <w:sz w:val="24"/>
          <w:szCs w:val="24"/>
        </w:rPr>
        <w:t>energy efficiency</w:t>
      </w:r>
      <w:r w:rsidRPr="005F68D7">
        <w:rPr>
          <w:rFonts w:ascii="Palatino Linotype" w:hAnsi="Palatino Linotype" w:cs="Arial"/>
          <w:sz w:val="24"/>
          <w:szCs w:val="24"/>
        </w:rPr>
        <w:t xml:space="preserve"> programs based on indicator</w:t>
      </w:r>
      <w:r w:rsidRPr="005F68D7" w:rsidR="00B92A3C">
        <w:rPr>
          <w:rFonts w:ascii="Palatino Linotype" w:hAnsi="Palatino Linotype" w:cs="Arial"/>
          <w:sz w:val="24"/>
          <w:szCs w:val="24"/>
        </w:rPr>
        <w:t xml:space="preserve"> and metric</w:t>
      </w:r>
      <w:r w:rsidRPr="005F68D7">
        <w:rPr>
          <w:rFonts w:ascii="Palatino Linotype" w:hAnsi="Palatino Linotype" w:cs="Arial"/>
          <w:sz w:val="24"/>
          <w:szCs w:val="24"/>
        </w:rPr>
        <w:t xml:space="preserve"> data</w:t>
      </w:r>
      <w:r w:rsidRPr="005F68D7" w:rsidR="005D3D71">
        <w:rPr>
          <w:rFonts w:ascii="Palatino Linotype" w:hAnsi="Palatino Linotype" w:cs="Arial"/>
          <w:sz w:val="24"/>
          <w:szCs w:val="24"/>
        </w:rPr>
        <w:t>;</w:t>
      </w:r>
    </w:p>
    <w:p w:rsidRPr="005F68D7" w:rsidR="00AF06A1" w:rsidP="0033128D" w:rsidRDefault="00AF06A1" w14:paraId="6CDC8822" w14:textId="1E932954">
      <w:pPr>
        <w:pStyle w:val="Res-Caption"/>
        <w:numPr>
          <w:ilvl w:val="0"/>
          <w:numId w:val="20"/>
        </w:numPr>
        <w:ind w:right="0"/>
        <w:rPr>
          <w:rFonts w:ascii="Palatino Linotype" w:hAnsi="Palatino Linotype" w:cs="Arial"/>
          <w:sz w:val="24"/>
          <w:szCs w:val="24"/>
        </w:rPr>
      </w:pPr>
      <w:r w:rsidRPr="005F68D7">
        <w:rPr>
          <w:rFonts w:ascii="Palatino Linotype" w:hAnsi="Palatino Linotype" w:cs="Arial"/>
          <w:sz w:val="24"/>
          <w:szCs w:val="24"/>
        </w:rPr>
        <w:t xml:space="preserve">Development </w:t>
      </w:r>
      <w:r w:rsidRPr="005F68D7" w:rsidR="00DB0C5B">
        <w:rPr>
          <w:rFonts w:ascii="Palatino Linotype" w:hAnsi="Palatino Linotype" w:cs="Arial"/>
          <w:sz w:val="24"/>
          <w:szCs w:val="24"/>
        </w:rPr>
        <w:t xml:space="preserve">and </w:t>
      </w:r>
      <w:r w:rsidRPr="005F68D7" w:rsidR="00A41398">
        <w:rPr>
          <w:rFonts w:ascii="Palatino Linotype" w:hAnsi="Palatino Linotype" w:cs="Arial"/>
          <w:sz w:val="24"/>
          <w:szCs w:val="24"/>
        </w:rPr>
        <w:t xml:space="preserve">execution </w:t>
      </w:r>
      <w:r w:rsidRPr="005F68D7">
        <w:rPr>
          <w:rFonts w:ascii="Palatino Linotype" w:hAnsi="Palatino Linotype" w:cs="Arial"/>
          <w:sz w:val="24"/>
          <w:szCs w:val="24"/>
        </w:rPr>
        <w:t>of goals for Equity and Market Support segments</w:t>
      </w:r>
      <w:r w:rsidRPr="005F68D7" w:rsidR="005D3D71">
        <w:rPr>
          <w:rFonts w:ascii="Palatino Linotype" w:hAnsi="Palatino Linotype" w:cs="Arial"/>
          <w:sz w:val="24"/>
          <w:szCs w:val="24"/>
        </w:rPr>
        <w:t>; and</w:t>
      </w:r>
    </w:p>
    <w:p w:rsidRPr="005F68D7" w:rsidR="000554BD" w:rsidP="0033128D" w:rsidRDefault="00C037A2" w14:paraId="78BA09A0" w14:textId="40B209C2">
      <w:pPr>
        <w:pStyle w:val="Res-Caption"/>
        <w:numPr>
          <w:ilvl w:val="0"/>
          <w:numId w:val="20"/>
        </w:numPr>
        <w:ind w:right="0"/>
        <w:rPr>
          <w:rFonts w:ascii="Palatino Linotype" w:hAnsi="Palatino Linotype" w:cs="Arial"/>
          <w:sz w:val="24"/>
          <w:szCs w:val="24"/>
        </w:rPr>
      </w:pPr>
      <w:r w:rsidRPr="005F68D7">
        <w:rPr>
          <w:rFonts w:ascii="Palatino Linotype" w:hAnsi="Palatino Linotype" w:cs="Arial"/>
          <w:sz w:val="24"/>
          <w:szCs w:val="24"/>
        </w:rPr>
        <w:t>Enabl</w:t>
      </w:r>
      <w:r w:rsidRPr="005F68D7" w:rsidR="00973D73">
        <w:rPr>
          <w:rFonts w:ascii="Palatino Linotype" w:hAnsi="Palatino Linotype" w:cs="Arial"/>
          <w:sz w:val="24"/>
          <w:szCs w:val="24"/>
        </w:rPr>
        <w:t>ing</w:t>
      </w:r>
      <w:r w:rsidRPr="005F68D7">
        <w:rPr>
          <w:rFonts w:ascii="Palatino Linotype" w:hAnsi="Palatino Linotype" w:cs="Arial"/>
          <w:sz w:val="24"/>
          <w:szCs w:val="24"/>
        </w:rPr>
        <w:t xml:space="preserve"> the </w:t>
      </w:r>
      <w:r w:rsidRPr="005F68D7" w:rsidR="00EF5A29">
        <w:rPr>
          <w:rFonts w:ascii="Palatino Linotype" w:hAnsi="Palatino Linotype" w:cs="Arial"/>
          <w:sz w:val="24"/>
          <w:szCs w:val="24"/>
        </w:rPr>
        <w:t>Commission</w:t>
      </w:r>
      <w:r w:rsidRPr="005F68D7">
        <w:rPr>
          <w:rFonts w:ascii="Palatino Linotype" w:hAnsi="Palatino Linotype" w:cs="Arial"/>
          <w:sz w:val="24"/>
          <w:szCs w:val="24"/>
        </w:rPr>
        <w:t xml:space="preserve"> </w:t>
      </w:r>
      <w:r w:rsidRPr="005F68D7" w:rsidR="000C757F">
        <w:rPr>
          <w:rFonts w:ascii="Palatino Linotype" w:hAnsi="Palatino Linotype" w:cs="Arial"/>
          <w:sz w:val="24"/>
          <w:szCs w:val="24"/>
        </w:rPr>
        <w:t xml:space="preserve">to provide clear </w:t>
      </w:r>
      <w:r w:rsidRPr="005F68D7" w:rsidR="00FC3507">
        <w:rPr>
          <w:rFonts w:ascii="Palatino Linotype" w:hAnsi="Palatino Linotype" w:cs="Arial"/>
          <w:sz w:val="24"/>
          <w:szCs w:val="24"/>
        </w:rPr>
        <w:t xml:space="preserve">data, </w:t>
      </w:r>
      <w:r w:rsidRPr="005F68D7" w:rsidR="00B9588B">
        <w:rPr>
          <w:rFonts w:ascii="Palatino Linotype" w:hAnsi="Palatino Linotype" w:cs="Arial"/>
          <w:sz w:val="24"/>
          <w:szCs w:val="24"/>
        </w:rPr>
        <w:t>dashboards</w:t>
      </w:r>
      <w:r w:rsidRPr="005F68D7" w:rsidR="00FC3507">
        <w:rPr>
          <w:rFonts w:ascii="Palatino Linotype" w:hAnsi="Palatino Linotype" w:cs="Arial"/>
          <w:sz w:val="24"/>
          <w:szCs w:val="24"/>
        </w:rPr>
        <w:t>, and other materials</w:t>
      </w:r>
      <w:r w:rsidRPr="005F68D7" w:rsidR="00B9588B">
        <w:rPr>
          <w:rFonts w:ascii="Palatino Linotype" w:hAnsi="Palatino Linotype" w:cs="Arial"/>
          <w:sz w:val="24"/>
          <w:szCs w:val="24"/>
        </w:rPr>
        <w:t xml:space="preserve"> to </w:t>
      </w:r>
      <w:r w:rsidRPr="005F68D7" w:rsidR="00FC0296">
        <w:rPr>
          <w:rFonts w:ascii="Palatino Linotype" w:hAnsi="Palatino Linotype" w:cs="Arial"/>
          <w:sz w:val="24"/>
          <w:szCs w:val="24"/>
        </w:rPr>
        <w:t>decision-makers and stakeholders</w:t>
      </w:r>
      <w:r w:rsidRPr="005F68D7" w:rsidR="00B9588B">
        <w:rPr>
          <w:rFonts w:ascii="Palatino Linotype" w:hAnsi="Palatino Linotype" w:cs="Arial"/>
          <w:sz w:val="24"/>
          <w:szCs w:val="24"/>
        </w:rPr>
        <w:t xml:space="preserve"> to support their understanding of energy efficiency performance</w:t>
      </w:r>
      <w:r w:rsidRPr="005F68D7" w:rsidR="005D3D71">
        <w:rPr>
          <w:rFonts w:ascii="Palatino Linotype" w:hAnsi="Palatino Linotype" w:cs="Arial"/>
          <w:sz w:val="24"/>
          <w:szCs w:val="24"/>
        </w:rPr>
        <w:t>.</w:t>
      </w:r>
    </w:p>
    <w:p w:rsidRPr="005F68D7" w:rsidR="008C279E" w:rsidP="00081215" w:rsidRDefault="008C279E" w14:paraId="7F3797EF" w14:textId="77777777">
      <w:pPr>
        <w:pStyle w:val="Res-Caption"/>
        <w:ind w:left="0" w:right="0"/>
        <w:jc w:val="both"/>
        <w:rPr>
          <w:rFonts w:ascii="Palatino Linotype" w:hAnsi="Palatino Linotype" w:cs="Arial"/>
          <w:sz w:val="24"/>
          <w:szCs w:val="24"/>
        </w:rPr>
      </w:pPr>
    </w:p>
    <w:p w:rsidRPr="005F68D7" w:rsidR="00AE2886" w:rsidP="004613EF" w:rsidRDefault="001A52E9" w14:paraId="15D034E4" w14:textId="628C801A">
      <w:pPr>
        <w:pStyle w:val="Heading1"/>
        <w:numPr>
          <w:ilvl w:val="0"/>
          <w:numId w:val="34"/>
        </w:numPr>
        <w:ind w:left="540" w:hanging="540"/>
        <w:rPr>
          <w:rFonts w:ascii="Palatino Linotype" w:hAnsi="Palatino Linotype" w:cs="Arial"/>
          <w:sz w:val="24"/>
          <w:szCs w:val="24"/>
        </w:rPr>
      </w:pPr>
      <w:r w:rsidRPr="005F68D7">
        <w:rPr>
          <w:rFonts w:ascii="Palatino Linotype" w:hAnsi="Palatino Linotype"/>
          <w:sz w:val="24"/>
          <w:szCs w:val="24"/>
        </w:rPr>
        <w:t>Estimating Participation</w:t>
      </w:r>
    </w:p>
    <w:p w:rsidRPr="005F68D7" w:rsidR="00081215" w:rsidP="004613EF" w:rsidRDefault="00081215" w14:paraId="018B12C9" w14:textId="43042472">
      <w:pPr>
        <w:spacing w:before="120" w:after="240"/>
        <w:ind w:firstLine="540"/>
        <w:rPr>
          <w:rStyle w:val="Strong"/>
          <w:rFonts w:ascii="Palatino Linotype" w:hAnsi="Palatino Linotype"/>
          <w:sz w:val="24"/>
          <w:szCs w:val="24"/>
          <w:u w:val="single"/>
        </w:rPr>
      </w:pPr>
      <w:r w:rsidRPr="005F68D7">
        <w:rPr>
          <w:rStyle w:val="Strong"/>
          <w:rFonts w:ascii="Palatino Linotype" w:hAnsi="Palatino Linotype"/>
          <w:sz w:val="24"/>
          <w:szCs w:val="24"/>
          <w:u w:val="single"/>
        </w:rPr>
        <w:t xml:space="preserve">Recommendation 2: </w:t>
      </w:r>
      <w:r w:rsidRPr="005F68D7" w:rsidR="007E12FB">
        <w:rPr>
          <w:rStyle w:val="Strong"/>
          <w:rFonts w:ascii="Palatino Linotype" w:hAnsi="Palatino Linotype"/>
          <w:sz w:val="24"/>
          <w:szCs w:val="24"/>
          <w:u w:val="single"/>
        </w:rPr>
        <w:t>Defining</w:t>
      </w:r>
      <w:r w:rsidRPr="005F68D7" w:rsidR="00416EB5">
        <w:rPr>
          <w:rStyle w:val="Strong"/>
          <w:rFonts w:ascii="Palatino Linotype" w:hAnsi="Palatino Linotype"/>
          <w:sz w:val="24"/>
          <w:szCs w:val="24"/>
          <w:u w:val="single"/>
        </w:rPr>
        <w:t xml:space="preserve"> Equity Participants</w:t>
      </w:r>
    </w:p>
    <w:p w:rsidRPr="005F68D7" w:rsidR="00FE1517" w:rsidP="0033128D" w:rsidRDefault="004342C3" w14:paraId="3652DD39" w14:textId="5A172627">
      <w:pPr>
        <w:pStyle w:val="Res-Caption"/>
        <w:ind w:left="0" w:right="0"/>
        <w:rPr>
          <w:rFonts w:ascii="Palatino Linotype" w:hAnsi="Palatino Linotype" w:cs="Arial"/>
          <w:sz w:val="24"/>
          <w:szCs w:val="24"/>
        </w:rPr>
      </w:pPr>
      <w:r w:rsidRPr="005F68D7">
        <w:rPr>
          <w:rFonts w:ascii="Palatino Linotype" w:hAnsi="Palatino Linotype" w:cs="Arial"/>
          <w:sz w:val="24"/>
          <w:szCs w:val="24"/>
        </w:rPr>
        <w:t>The Commission</w:t>
      </w:r>
      <w:r w:rsidRPr="005F68D7" w:rsidR="00416EB5">
        <w:rPr>
          <w:rFonts w:ascii="Palatino Linotype" w:hAnsi="Palatino Linotype" w:cs="Arial"/>
          <w:sz w:val="24"/>
          <w:szCs w:val="24"/>
        </w:rPr>
        <w:t xml:space="preserve"> agrees with this recommendation</w:t>
      </w:r>
      <w:r w:rsidRPr="005F68D7" w:rsidR="00C01C90">
        <w:rPr>
          <w:rFonts w:ascii="Palatino Linotype" w:hAnsi="Palatino Linotype" w:cs="Arial"/>
          <w:sz w:val="24"/>
          <w:szCs w:val="24"/>
        </w:rPr>
        <w:t xml:space="preserve"> </w:t>
      </w:r>
      <w:r w:rsidRPr="005F68D7" w:rsidR="00FE24D1">
        <w:rPr>
          <w:rFonts w:ascii="Palatino Linotype" w:hAnsi="Palatino Linotype" w:cs="Arial"/>
          <w:sz w:val="24"/>
          <w:szCs w:val="24"/>
        </w:rPr>
        <w:t>from the CAEECC EMSWG</w:t>
      </w:r>
      <w:r w:rsidRPr="005F68D7" w:rsidR="00C01C90">
        <w:rPr>
          <w:rFonts w:ascii="Palatino Linotype" w:hAnsi="Palatino Linotype" w:cs="Arial"/>
          <w:sz w:val="24"/>
          <w:szCs w:val="24"/>
        </w:rPr>
        <w:t>:</w:t>
      </w:r>
    </w:p>
    <w:p w:rsidRPr="005F68D7" w:rsidR="00416EB5" w:rsidP="00081215" w:rsidRDefault="009A46D1" w14:paraId="6EA96D44" w14:textId="48E28D48">
      <w:pPr>
        <w:pStyle w:val="Res-Caption"/>
        <w:ind w:left="0" w:right="0"/>
        <w:jc w:val="both"/>
        <w:rPr>
          <w:rFonts w:ascii="Palatino Linotype" w:hAnsi="Palatino Linotype" w:cs="Arial"/>
          <w:sz w:val="24"/>
          <w:szCs w:val="24"/>
        </w:rPr>
      </w:pPr>
      <w:r w:rsidRPr="005F68D7">
        <w:rPr>
          <w:rFonts w:ascii="Palatino Linotype" w:hAnsi="Palatino Linotype" w:cs="Arial"/>
          <w:sz w:val="24"/>
          <w:szCs w:val="24"/>
        </w:rPr>
        <w:t xml:space="preserve">  </w:t>
      </w:r>
    </w:p>
    <w:p w:rsidRPr="005F68D7" w:rsidR="001C422D" w:rsidP="006679C4" w:rsidRDefault="001C422D" w14:paraId="600920F2" w14:textId="2A2CEE4D">
      <w:pPr>
        <w:pStyle w:val="Res-Caption"/>
        <w:jc w:val="both"/>
        <w:rPr>
          <w:rFonts w:ascii="Palatino Linotype" w:hAnsi="Palatino Linotype" w:cs="Arial"/>
          <w:sz w:val="24"/>
          <w:szCs w:val="24"/>
        </w:rPr>
      </w:pPr>
      <w:r w:rsidRPr="005F68D7">
        <w:rPr>
          <w:rFonts w:ascii="Palatino Linotype" w:hAnsi="Palatino Linotype" w:cs="Arial"/>
          <w:sz w:val="24"/>
          <w:szCs w:val="24"/>
        </w:rPr>
        <w:t>The term "</w:t>
      </w:r>
      <w:r w:rsidRPr="005F68D7">
        <w:rPr>
          <w:rFonts w:ascii="Palatino Linotype" w:hAnsi="Palatino Linotype" w:cs="Arial"/>
          <w:b/>
          <w:sz w:val="24"/>
          <w:szCs w:val="24"/>
        </w:rPr>
        <w:t>equity target participant</w:t>
      </w:r>
      <w:r w:rsidRPr="005F68D7">
        <w:rPr>
          <w:rFonts w:ascii="Palatino Linotype" w:hAnsi="Palatino Linotype" w:cs="Arial"/>
          <w:sz w:val="24"/>
          <w:szCs w:val="24"/>
        </w:rPr>
        <w:t xml:space="preserve">" (used in Equity Indicators #1-4, 10, and 13) is defined as a program participant that meets </w:t>
      </w:r>
      <w:r w:rsidRPr="005F68D7" w:rsidR="006356D5">
        <w:rPr>
          <w:rFonts w:ascii="Palatino Linotype" w:hAnsi="Palatino Linotype" w:cs="Arial"/>
          <w:sz w:val="24"/>
          <w:szCs w:val="24"/>
        </w:rPr>
        <w:t>Commission</w:t>
      </w:r>
      <w:r w:rsidRPr="005F68D7">
        <w:rPr>
          <w:rFonts w:ascii="Palatino Linotype" w:hAnsi="Palatino Linotype" w:cs="Arial"/>
          <w:sz w:val="24"/>
          <w:szCs w:val="24"/>
        </w:rPr>
        <w:t>-adopted criteria for being hard-to-reach, located in a</w:t>
      </w:r>
      <w:r w:rsidRPr="005F68D7" w:rsidR="006679C4">
        <w:rPr>
          <w:rFonts w:ascii="Palatino Linotype" w:hAnsi="Palatino Linotype" w:cs="Arial"/>
          <w:sz w:val="24"/>
          <w:szCs w:val="24"/>
        </w:rPr>
        <w:t xml:space="preserve"> </w:t>
      </w:r>
      <w:r w:rsidRPr="005F68D7">
        <w:rPr>
          <w:rFonts w:ascii="Palatino Linotype" w:hAnsi="Palatino Linotype" w:cs="Arial"/>
          <w:sz w:val="24"/>
          <w:szCs w:val="24"/>
        </w:rPr>
        <w:t xml:space="preserve">disadvantaged community, OR </w:t>
      </w:r>
      <w:r w:rsidRPr="005F68D7" w:rsidR="00780C1C">
        <w:rPr>
          <w:rFonts w:ascii="Palatino Linotype" w:hAnsi="Palatino Linotype" w:cs="Arial"/>
          <w:sz w:val="24"/>
          <w:szCs w:val="24"/>
        </w:rPr>
        <w:t xml:space="preserve">[sic] </w:t>
      </w:r>
      <w:r w:rsidRPr="005F68D7">
        <w:rPr>
          <w:rFonts w:ascii="Palatino Linotype" w:hAnsi="Palatino Linotype" w:cs="Arial"/>
          <w:sz w:val="24"/>
          <w:szCs w:val="24"/>
        </w:rPr>
        <w:t>underserved. The participant can be in an Equity, Market</w:t>
      </w:r>
      <w:r w:rsidRPr="005F68D7" w:rsidR="006679C4">
        <w:rPr>
          <w:rFonts w:ascii="Palatino Linotype" w:hAnsi="Palatino Linotype" w:cs="Arial"/>
          <w:sz w:val="24"/>
          <w:szCs w:val="24"/>
        </w:rPr>
        <w:t xml:space="preserve"> </w:t>
      </w:r>
      <w:r w:rsidRPr="005F68D7">
        <w:rPr>
          <w:rFonts w:ascii="Palatino Linotype" w:hAnsi="Palatino Linotype" w:cs="Arial"/>
          <w:sz w:val="24"/>
          <w:szCs w:val="24"/>
        </w:rPr>
        <w:t>Support, or Resource Acquisition segment program.</w:t>
      </w:r>
    </w:p>
    <w:p w:rsidRPr="005F68D7" w:rsidR="005430E9" w:rsidP="006679C4" w:rsidRDefault="005430E9" w14:paraId="7665A90B" w14:textId="77777777">
      <w:pPr>
        <w:pStyle w:val="Res-Caption"/>
        <w:jc w:val="both"/>
        <w:rPr>
          <w:rFonts w:ascii="Palatino Linotype" w:hAnsi="Palatino Linotype" w:cs="Arial"/>
          <w:sz w:val="24"/>
          <w:szCs w:val="24"/>
        </w:rPr>
      </w:pPr>
    </w:p>
    <w:p w:rsidRPr="005F68D7" w:rsidR="001C422D" w:rsidP="005430E9" w:rsidRDefault="001C422D" w14:paraId="660C69AF" w14:textId="0B183DD1">
      <w:pPr>
        <w:pStyle w:val="Res-Caption"/>
        <w:jc w:val="both"/>
        <w:rPr>
          <w:rFonts w:ascii="Palatino Linotype" w:hAnsi="Palatino Linotype" w:cs="Arial"/>
          <w:sz w:val="24"/>
          <w:szCs w:val="24"/>
        </w:rPr>
      </w:pPr>
      <w:r w:rsidRPr="005F68D7">
        <w:rPr>
          <w:rFonts w:ascii="Palatino Linotype" w:hAnsi="Palatino Linotype" w:cs="Arial"/>
          <w:sz w:val="24"/>
          <w:szCs w:val="24"/>
        </w:rPr>
        <w:lastRenderedPageBreak/>
        <w:t xml:space="preserve">Relatedly, an </w:t>
      </w:r>
      <w:r w:rsidRPr="005F68D7">
        <w:rPr>
          <w:rFonts w:ascii="Palatino Linotype" w:hAnsi="Palatino Linotype" w:cs="Arial"/>
          <w:b/>
          <w:sz w:val="24"/>
          <w:szCs w:val="24"/>
        </w:rPr>
        <w:t>equity segment participant</w:t>
      </w:r>
      <w:r w:rsidRPr="005F68D7">
        <w:rPr>
          <w:rFonts w:ascii="Palatino Linotype" w:hAnsi="Palatino Linotype" w:cs="Arial"/>
          <w:sz w:val="24"/>
          <w:szCs w:val="24"/>
        </w:rPr>
        <w:t xml:space="preserve"> </w:t>
      </w:r>
      <w:r w:rsidRPr="005F68D7">
        <w:rPr>
          <w:rFonts w:ascii="Palatino Linotype" w:hAnsi="Palatino Linotype" w:cs="Arial"/>
          <w:i/>
          <w:iCs/>
          <w:sz w:val="24"/>
          <w:szCs w:val="24"/>
        </w:rPr>
        <w:t>does NOT</w:t>
      </w:r>
      <w:r w:rsidRPr="005F68D7">
        <w:rPr>
          <w:rFonts w:ascii="Palatino Linotype" w:hAnsi="Palatino Linotype" w:cs="Arial"/>
          <w:sz w:val="24"/>
          <w:szCs w:val="24"/>
        </w:rPr>
        <w:t xml:space="preserve"> </w:t>
      </w:r>
      <w:r w:rsidRPr="005F68D7" w:rsidR="00BA1334">
        <w:rPr>
          <w:rFonts w:ascii="Palatino Linotype" w:hAnsi="Palatino Linotype" w:cs="Arial"/>
          <w:sz w:val="24"/>
          <w:szCs w:val="24"/>
        </w:rPr>
        <w:t xml:space="preserve">[sic] </w:t>
      </w:r>
      <w:r w:rsidRPr="005F68D7">
        <w:rPr>
          <w:rFonts w:ascii="Palatino Linotype" w:hAnsi="Palatino Linotype" w:cs="Arial"/>
          <w:sz w:val="24"/>
          <w:szCs w:val="24"/>
        </w:rPr>
        <w:t>have to be hard-to-reach, located in a</w:t>
      </w:r>
      <w:r w:rsidRPr="005F68D7" w:rsidR="005430E9">
        <w:rPr>
          <w:rFonts w:ascii="Palatino Linotype" w:hAnsi="Palatino Linotype" w:cs="Arial"/>
          <w:sz w:val="24"/>
          <w:szCs w:val="24"/>
        </w:rPr>
        <w:t xml:space="preserve"> </w:t>
      </w:r>
      <w:r w:rsidRPr="005F68D7">
        <w:rPr>
          <w:rFonts w:ascii="Palatino Linotype" w:hAnsi="Palatino Linotype" w:cs="Arial"/>
          <w:sz w:val="24"/>
          <w:szCs w:val="24"/>
        </w:rPr>
        <w:t>disadvantaged community, or underserved but must be a participant in an Equity segment</w:t>
      </w:r>
      <w:r w:rsidRPr="005F68D7" w:rsidR="005430E9">
        <w:rPr>
          <w:rFonts w:ascii="Palatino Linotype" w:hAnsi="Palatino Linotype" w:cs="Arial"/>
          <w:sz w:val="24"/>
          <w:szCs w:val="24"/>
        </w:rPr>
        <w:t xml:space="preserve"> </w:t>
      </w:r>
      <w:r w:rsidRPr="005F68D7">
        <w:rPr>
          <w:rFonts w:ascii="Palatino Linotype" w:hAnsi="Palatino Linotype" w:cs="Arial"/>
          <w:sz w:val="24"/>
          <w:szCs w:val="24"/>
        </w:rPr>
        <w:t>program.</w:t>
      </w:r>
    </w:p>
    <w:p w:rsidRPr="005F68D7" w:rsidR="004B0CA4" w:rsidP="005430E9" w:rsidRDefault="004B0CA4" w14:paraId="505C2C43" w14:textId="77777777">
      <w:pPr>
        <w:pStyle w:val="Res-Caption"/>
        <w:jc w:val="both"/>
        <w:rPr>
          <w:rFonts w:ascii="Palatino Linotype" w:hAnsi="Palatino Linotype" w:cs="Arial"/>
          <w:sz w:val="24"/>
          <w:szCs w:val="24"/>
        </w:rPr>
      </w:pPr>
    </w:p>
    <w:p w:rsidRPr="005F68D7" w:rsidR="00E01A23" w:rsidP="004B0CA4" w:rsidRDefault="001C422D" w14:paraId="000F6EF0" w14:textId="58652DEA">
      <w:pPr>
        <w:pStyle w:val="Res-Caption"/>
        <w:jc w:val="both"/>
        <w:rPr>
          <w:rFonts w:ascii="Palatino Linotype" w:hAnsi="Palatino Linotype" w:cs="Arial"/>
          <w:sz w:val="24"/>
          <w:szCs w:val="24"/>
        </w:rPr>
      </w:pPr>
      <w:r w:rsidRPr="005F68D7">
        <w:rPr>
          <w:rFonts w:ascii="Palatino Linotype" w:hAnsi="Palatino Linotype" w:cs="Arial"/>
          <w:sz w:val="24"/>
          <w:szCs w:val="24"/>
        </w:rPr>
        <w:t xml:space="preserve">Lastly, an </w:t>
      </w:r>
      <w:r w:rsidRPr="005F68D7">
        <w:rPr>
          <w:rFonts w:ascii="Palatino Linotype" w:hAnsi="Palatino Linotype" w:cs="Arial"/>
          <w:b/>
          <w:sz w:val="24"/>
          <w:szCs w:val="24"/>
        </w:rPr>
        <w:t>equity market participant</w:t>
      </w:r>
      <w:r w:rsidRPr="005F68D7">
        <w:rPr>
          <w:rFonts w:ascii="Palatino Linotype" w:hAnsi="Palatino Linotype" w:cs="Arial"/>
          <w:sz w:val="24"/>
          <w:szCs w:val="24"/>
        </w:rPr>
        <w:t xml:space="preserve"> is hard-to-reach, located in a disadvantaged community,</w:t>
      </w:r>
      <w:r w:rsidRPr="005F68D7" w:rsidR="004B0CA4">
        <w:rPr>
          <w:rFonts w:ascii="Palatino Linotype" w:hAnsi="Palatino Linotype" w:cs="Arial"/>
          <w:sz w:val="24"/>
          <w:szCs w:val="24"/>
        </w:rPr>
        <w:t xml:space="preserve"> </w:t>
      </w:r>
      <w:r w:rsidRPr="005F68D7">
        <w:rPr>
          <w:rFonts w:ascii="Palatino Linotype" w:hAnsi="Palatino Linotype" w:cs="Arial"/>
          <w:sz w:val="24"/>
          <w:szCs w:val="24"/>
        </w:rPr>
        <w:t xml:space="preserve">and/or is underserved AND </w:t>
      </w:r>
      <w:r w:rsidRPr="005F68D7" w:rsidR="00BA1334">
        <w:rPr>
          <w:rFonts w:ascii="Palatino Linotype" w:hAnsi="Palatino Linotype" w:cs="Arial"/>
          <w:sz w:val="24"/>
          <w:szCs w:val="24"/>
        </w:rPr>
        <w:t xml:space="preserve">[sic] </w:t>
      </w:r>
      <w:r w:rsidRPr="005F68D7">
        <w:rPr>
          <w:rFonts w:ascii="Palatino Linotype" w:hAnsi="Palatino Linotype" w:cs="Arial"/>
          <w:sz w:val="24"/>
          <w:szCs w:val="24"/>
        </w:rPr>
        <w:t>is a participant in an Equity segment program. Therefore, an equit</w:t>
      </w:r>
      <w:r w:rsidRPr="005F68D7" w:rsidR="004B0CA4">
        <w:rPr>
          <w:rFonts w:ascii="Palatino Linotype" w:hAnsi="Palatino Linotype" w:cs="Arial"/>
          <w:sz w:val="24"/>
          <w:szCs w:val="24"/>
        </w:rPr>
        <w:t xml:space="preserve">y </w:t>
      </w:r>
      <w:r w:rsidRPr="005F68D7">
        <w:rPr>
          <w:rFonts w:ascii="Palatino Linotype" w:hAnsi="Palatino Linotype" w:cs="Arial"/>
          <w:sz w:val="24"/>
          <w:szCs w:val="24"/>
        </w:rPr>
        <w:t>target participant in an Equity Segment program is also considered an equity market participant.</w:t>
      </w:r>
    </w:p>
    <w:p w:rsidRPr="005F68D7" w:rsidR="00E2584F" w:rsidP="00AF327A" w:rsidRDefault="00E2584F" w14:paraId="7C5F332A" w14:textId="3DECE1B7">
      <w:pPr>
        <w:pStyle w:val="Heading1"/>
        <w:spacing w:before="0" w:after="0"/>
        <w:jc w:val="both"/>
        <w:rPr>
          <w:rFonts w:ascii="Palatino Linotype" w:hAnsi="Palatino Linotype"/>
          <w:sz w:val="24"/>
          <w:szCs w:val="24"/>
        </w:rPr>
      </w:pPr>
    </w:p>
    <w:p w:rsidRPr="005F68D7" w:rsidR="00617931" w:rsidP="004613EF" w:rsidRDefault="00617931" w14:paraId="52EDC94D" w14:textId="2A9155B3">
      <w:pPr>
        <w:spacing w:before="120" w:after="240"/>
        <w:ind w:firstLine="720"/>
        <w:rPr>
          <w:rStyle w:val="Strong"/>
          <w:rFonts w:ascii="Palatino Linotype" w:hAnsi="Palatino Linotype"/>
          <w:b w:val="0"/>
          <w:sz w:val="24"/>
          <w:szCs w:val="24"/>
          <w:u w:val="single"/>
        </w:rPr>
      </w:pPr>
      <w:r w:rsidRPr="005F68D7">
        <w:rPr>
          <w:rStyle w:val="Strong"/>
          <w:rFonts w:ascii="Palatino Linotype" w:hAnsi="Palatino Linotype"/>
          <w:sz w:val="24"/>
          <w:szCs w:val="24"/>
          <w:u w:val="single"/>
        </w:rPr>
        <w:t xml:space="preserve">Recommendation </w:t>
      </w:r>
      <w:r w:rsidRPr="005F68D7" w:rsidR="00FD1871">
        <w:rPr>
          <w:rStyle w:val="Strong"/>
          <w:rFonts w:ascii="Palatino Linotype" w:hAnsi="Palatino Linotype"/>
          <w:sz w:val="24"/>
          <w:szCs w:val="24"/>
          <w:u w:val="single"/>
        </w:rPr>
        <w:t>3: Reporting Participant Counts</w:t>
      </w:r>
    </w:p>
    <w:p w:rsidRPr="005F68D7" w:rsidR="002F6DAB" w:rsidP="0033128D" w:rsidRDefault="009B2E32" w14:paraId="07FCE1B8" w14:textId="4309F909">
      <w:pPr>
        <w:rPr>
          <w:rFonts w:ascii="Palatino Linotype" w:hAnsi="Palatino Linotype" w:cs="Arial"/>
          <w:sz w:val="24"/>
          <w:szCs w:val="24"/>
        </w:rPr>
      </w:pPr>
      <w:r w:rsidRPr="005F68D7">
        <w:rPr>
          <w:rFonts w:ascii="Palatino Linotype" w:hAnsi="Palatino Linotype" w:cs="Arial"/>
          <w:sz w:val="24"/>
          <w:szCs w:val="24"/>
        </w:rPr>
        <w:t xml:space="preserve">The EMSWG report </w:t>
      </w:r>
      <w:r w:rsidRPr="005F68D7" w:rsidR="00494872">
        <w:rPr>
          <w:rFonts w:ascii="Palatino Linotype" w:hAnsi="Palatino Linotype" w:cs="Arial"/>
          <w:sz w:val="24"/>
          <w:szCs w:val="24"/>
        </w:rPr>
        <w:t>suggests that PAs collect participant information</w:t>
      </w:r>
      <w:r w:rsidRPr="005F68D7" w:rsidR="00705F97">
        <w:rPr>
          <w:rFonts w:ascii="Palatino Linotype" w:hAnsi="Palatino Linotype" w:cs="Arial"/>
          <w:sz w:val="24"/>
          <w:szCs w:val="24"/>
        </w:rPr>
        <w:t xml:space="preserve"> using program data</w:t>
      </w:r>
      <w:r w:rsidRPr="005F68D7" w:rsidR="00572722">
        <w:rPr>
          <w:rFonts w:ascii="Palatino Linotype" w:hAnsi="Palatino Linotype" w:cs="Arial"/>
          <w:sz w:val="24"/>
          <w:szCs w:val="24"/>
        </w:rPr>
        <w:t xml:space="preserve"> and </w:t>
      </w:r>
      <w:r w:rsidRPr="005F68D7" w:rsidR="005068F4">
        <w:rPr>
          <w:rFonts w:ascii="Palatino Linotype" w:hAnsi="Palatino Linotype" w:cs="Arial"/>
          <w:sz w:val="24"/>
          <w:szCs w:val="24"/>
        </w:rPr>
        <w:t>include details of how participants were counted.</w:t>
      </w:r>
      <w:r w:rsidRPr="005F68D7" w:rsidR="00494872">
        <w:rPr>
          <w:rFonts w:ascii="Palatino Linotype" w:hAnsi="Palatino Linotype" w:cs="Arial"/>
          <w:sz w:val="24"/>
          <w:szCs w:val="24"/>
        </w:rPr>
        <w:t xml:space="preserve"> </w:t>
      </w:r>
      <w:r w:rsidRPr="005F68D7" w:rsidR="004342C3">
        <w:rPr>
          <w:rFonts w:ascii="Palatino Linotype" w:hAnsi="Palatino Linotype" w:cs="Arial"/>
          <w:bCs/>
          <w:sz w:val="24"/>
          <w:szCs w:val="24"/>
        </w:rPr>
        <w:t>The Commission</w:t>
      </w:r>
      <w:r w:rsidRPr="005F68D7" w:rsidR="002F6DAB">
        <w:rPr>
          <w:rFonts w:ascii="Palatino Linotype" w:hAnsi="Palatino Linotype" w:cs="Arial"/>
          <w:sz w:val="24"/>
          <w:szCs w:val="24"/>
        </w:rPr>
        <w:t xml:space="preserve"> agrees with </w:t>
      </w:r>
      <w:r w:rsidRPr="005F68D7" w:rsidR="00B4510F">
        <w:rPr>
          <w:rFonts w:ascii="Palatino Linotype" w:hAnsi="Palatino Linotype" w:cs="Arial"/>
          <w:sz w:val="24"/>
          <w:szCs w:val="24"/>
        </w:rPr>
        <w:t xml:space="preserve">the EMSWG report </w:t>
      </w:r>
      <w:r w:rsidRPr="005F68D7" w:rsidR="002F6DAB">
        <w:rPr>
          <w:rFonts w:ascii="Palatino Linotype" w:hAnsi="Palatino Linotype" w:cs="Arial"/>
          <w:sz w:val="24"/>
          <w:szCs w:val="24"/>
        </w:rPr>
        <w:t xml:space="preserve">recommendation </w:t>
      </w:r>
      <w:r w:rsidRPr="005F68D7" w:rsidR="00CA6089">
        <w:rPr>
          <w:rFonts w:ascii="Palatino Linotype" w:hAnsi="Palatino Linotype" w:cs="Arial"/>
          <w:sz w:val="24"/>
          <w:szCs w:val="24"/>
        </w:rPr>
        <w:t>to collect participant information</w:t>
      </w:r>
      <w:r w:rsidRPr="005F68D7" w:rsidR="00420D67">
        <w:rPr>
          <w:rFonts w:ascii="Palatino Linotype" w:hAnsi="Palatino Linotype" w:cs="Arial"/>
          <w:sz w:val="24"/>
          <w:szCs w:val="24"/>
        </w:rPr>
        <w:t>, as</w:t>
      </w:r>
      <w:r w:rsidRPr="005F68D7" w:rsidR="002F6DAB">
        <w:rPr>
          <w:rFonts w:ascii="Palatino Linotype" w:hAnsi="Palatino Linotype" w:cs="Arial"/>
          <w:sz w:val="24"/>
          <w:szCs w:val="24"/>
        </w:rPr>
        <w:t xml:space="preserve"> modifi</w:t>
      </w:r>
      <w:r w:rsidRPr="005F68D7" w:rsidR="00E64338">
        <w:rPr>
          <w:rFonts w:ascii="Palatino Linotype" w:hAnsi="Palatino Linotype" w:cs="Arial"/>
          <w:sz w:val="24"/>
          <w:szCs w:val="24"/>
        </w:rPr>
        <w:t>ed</w:t>
      </w:r>
      <w:r w:rsidRPr="005F68D7" w:rsidR="002F6DAB">
        <w:rPr>
          <w:rFonts w:ascii="Palatino Linotype" w:hAnsi="Palatino Linotype" w:cs="Arial"/>
          <w:sz w:val="24"/>
          <w:szCs w:val="24"/>
        </w:rPr>
        <w:t xml:space="preserve"> below. </w:t>
      </w:r>
    </w:p>
    <w:p w:rsidRPr="005F68D7" w:rsidR="002F6DAB" w:rsidP="0033128D" w:rsidRDefault="002F6DAB" w14:paraId="1F0D1778" w14:textId="77777777">
      <w:pPr>
        <w:rPr>
          <w:rFonts w:ascii="Palatino Linotype" w:hAnsi="Palatino Linotype" w:cs="Arial"/>
          <w:sz w:val="24"/>
          <w:szCs w:val="24"/>
        </w:rPr>
      </w:pPr>
    </w:p>
    <w:p w:rsidRPr="005F68D7" w:rsidR="006D4BD1" w:rsidP="0033128D" w:rsidRDefault="002F6DAB" w14:paraId="1D25997A" w14:textId="6822E7C4">
      <w:pPr>
        <w:rPr>
          <w:rFonts w:ascii="Palatino Linotype" w:hAnsi="Palatino Linotype" w:cs="Arial"/>
          <w:sz w:val="24"/>
          <w:szCs w:val="24"/>
        </w:rPr>
      </w:pPr>
      <w:r w:rsidRPr="005F68D7">
        <w:rPr>
          <w:rFonts w:ascii="Palatino Linotype" w:hAnsi="Palatino Linotype" w:cs="Arial"/>
          <w:sz w:val="24"/>
          <w:szCs w:val="24"/>
        </w:rPr>
        <w:t>T</w:t>
      </w:r>
      <w:r w:rsidRPr="005F68D7" w:rsidR="004A3DEF">
        <w:rPr>
          <w:rFonts w:ascii="Palatino Linotype" w:hAnsi="Palatino Linotype" w:cs="Arial"/>
          <w:sz w:val="24"/>
          <w:szCs w:val="24"/>
        </w:rPr>
        <w:t xml:space="preserve">he </w:t>
      </w:r>
      <w:r w:rsidRPr="005F68D7" w:rsidR="007049E4">
        <w:rPr>
          <w:rFonts w:ascii="Palatino Linotype" w:hAnsi="Palatino Linotype" w:cs="Arial"/>
          <w:sz w:val="24"/>
          <w:szCs w:val="24"/>
        </w:rPr>
        <w:t xml:space="preserve">Commission </w:t>
      </w:r>
      <w:r w:rsidRPr="005F68D7" w:rsidR="00C014A8">
        <w:rPr>
          <w:rFonts w:ascii="Palatino Linotype" w:hAnsi="Palatino Linotype" w:cs="Arial"/>
          <w:sz w:val="24"/>
          <w:szCs w:val="24"/>
        </w:rPr>
        <w:t xml:space="preserve">finds it is reasonable to </w:t>
      </w:r>
      <w:r w:rsidRPr="005F68D7" w:rsidR="007049E4">
        <w:rPr>
          <w:rFonts w:ascii="Palatino Linotype" w:hAnsi="Palatino Linotype" w:cs="Arial"/>
          <w:sz w:val="24"/>
          <w:szCs w:val="24"/>
        </w:rPr>
        <w:t xml:space="preserve">assess </w:t>
      </w:r>
      <w:r w:rsidRPr="005F68D7" w:rsidR="00140E37">
        <w:rPr>
          <w:rFonts w:ascii="Palatino Linotype" w:hAnsi="Palatino Linotype" w:cs="Arial"/>
          <w:sz w:val="24"/>
          <w:szCs w:val="24"/>
        </w:rPr>
        <w:t xml:space="preserve">and report on </w:t>
      </w:r>
      <w:r w:rsidRPr="005F68D7" w:rsidR="007049E4">
        <w:rPr>
          <w:rFonts w:ascii="Palatino Linotype" w:hAnsi="Palatino Linotype" w:cs="Arial"/>
          <w:sz w:val="24"/>
          <w:szCs w:val="24"/>
        </w:rPr>
        <w:t>participation</w:t>
      </w:r>
      <w:r w:rsidRPr="005F68D7" w:rsidR="00140E37">
        <w:rPr>
          <w:rFonts w:ascii="Palatino Linotype" w:hAnsi="Palatino Linotype" w:cs="Arial"/>
          <w:sz w:val="24"/>
          <w:szCs w:val="24"/>
        </w:rPr>
        <w:t xml:space="preserve"> in a consistent manner</w:t>
      </w:r>
      <w:r w:rsidRPr="005F68D7" w:rsidR="00CA0FBF">
        <w:rPr>
          <w:rFonts w:ascii="Palatino Linotype" w:hAnsi="Palatino Linotype" w:cs="Arial"/>
          <w:sz w:val="24"/>
          <w:szCs w:val="24"/>
        </w:rPr>
        <w:t xml:space="preserve"> among all PAs</w:t>
      </w:r>
      <w:r w:rsidRPr="005F68D7" w:rsidR="00C014A8">
        <w:rPr>
          <w:rFonts w:ascii="Palatino Linotype" w:hAnsi="Palatino Linotype" w:cs="Arial"/>
          <w:sz w:val="24"/>
          <w:szCs w:val="24"/>
        </w:rPr>
        <w:t xml:space="preserve">, to </w:t>
      </w:r>
      <w:r w:rsidRPr="005F68D7" w:rsidR="00D57665">
        <w:rPr>
          <w:rFonts w:ascii="Palatino Linotype" w:hAnsi="Palatino Linotype" w:cs="Arial"/>
          <w:sz w:val="24"/>
          <w:szCs w:val="24"/>
        </w:rPr>
        <w:t>ensure consistency</w:t>
      </w:r>
      <w:r w:rsidRPr="005F68D7" w:rsidR="00B21A9D">
        <w:rPr>
          <w:rFonts w:ascii="Palatino Linotype" w:hAnsi="Palatino Linotype" w:cs="Arial"/>
          <w:sz w:val="24"/>
          <w:szCs w:val="24"/>
        </w:rPr>
        <w:t xml:space="preserve"> and equivalency</w:t>
      </w:r>
      <w:r w:rsidRPr="005F68D7" w:rsidR="00D57665">
        <w:rPr>
          <w:rFonts w:ascii="Palatino Linotype" w:hAnsi="Palatino Linotype" w:cs="Arial"/>
          <w:sz w:val="24"/>
          <w:szCs w:val="24"/>
        </w:rPr>
        <w:t xml:space="preserve"> between counting “customers served” for AB 3264 </w:t>
      </w:r>
      <w:r w:rsidRPr="005F68D7" w:rsidR="00CA4C03">
        <w:rPr>
          <w:rFonts w:ascii="Palatino Linotype" w:hAnsi="Palatino Linotype"/>
          <w:sz w:val="24"/>
          <w:szCs w:val="24"/>
        </w:rPr>
        <w:t xml:space="preserve">913.5 (2) (G) </w:t>
      </w:r>
      <w:r w:rsidRPr="005F68D7" w:rsidR="00D57665">
        <w:rPr>
          <w:rFonts w:ascii="Palatino Linotype" w:hAnsi="Palatino Linotype" w:cs="Arial"/>
          <w:sz w:val="24"/>
          <w:szCs w:val="24"/>
        </w:rPr>
        <w:t xml:space="preserve"> and “participants” </w:t>
      </w:r>
      <w:r w:rsidRPr="005F68D7" w:rsidR="00951C85">
        <w:rPr>
          <w:rFonts w:ascii="Palatino Linotype" w:hAnsi="Palatino Linotype" w:cs="Arial"/>
          <w:sz w:val="24"/>
          <w:szCs w:val="24"/>
        </w:rPr>
        <w:t>for equity indicators 1, 3, 4, and 13.</w:t>
      </w:r>
      <w:r w:rsidRPr="005F68D7" w:rsidR="00851F9D">
        <w:rPr>
          <w:rFonts w:ascii="Palatino Linotype" w:hAnsi="Palatino Linotype" w:cs="Arial"/>
          <w:sz w:val="24"/>
          <w:szCs w:val="24"/>
        </w:rPr>
        <w:t xml:space="preserve"> Because the concept of addressing equity requires a better understanding of who is being served and who needs to be served more and better, </w:t>
      </w:r>
      <w:r w:rsidRPr="005F68D7" w:rsidR="0069184A">
        <w:rPr>
          <w:rFonts w:ascii="Palatino Linotype" w:hAnsi="Palatino Linotype" w:cs="Arial"/>
          <w:sz w:val="24"/>
          <w:szCs w:val="24"/>
        </w:rPr>
        <w:t>information on participants and population should provide information</w:t>
      </w:r>
      <w:r w:rsidRPr="005F68D7" w:rsidR="00851F9D">
        <w:rPr>
          <w:rFonts w:ascii="Palatino Linotype" w:hAnsi="Palatino Linotype" w:cs="Arial"/>
          <w:sz w:val="24"/>
          <w:szCs w:val="24"/>
        </w:rPr>
        <w:t xml:space="preserve"> beyond the </w:t>
      </w:r>
      <w:r w:rsidRPr="005F68D7" w:rsidR="005C78D7">
        <w:rPr>
          <w:rFonts w:ascii="Palatino Linotype" w:hAnsi="Palatino Linotype" w:cs="Arial"/>
          <w:sz w:val="24"/>
          <w:szCs w:val="24"/>
        </w:rPr>
        <w:t xml:space="preserve">person who is the </w:t>
      </w:r>
      <w:r w:rsidRPr="005F68D7" w:rsidR="00733EFB">
        <w:rPr>
          <w:rFonts w:ascii="Palatino Linotype" w:hAnsi="Palatino Linotype" w:cs="Arial"/>
          <w:sz w:val="24"/>
          <w:szCs w:val="24"/>
        </w:rPr>
        <w:t>bill</w:t>
      </w:r>
      <w:r w:rsidRPr="005F68D7" w:rsidR="00851F9D">
        <w:rPr>
          <w:rFonts w:ascii="Palatino Linotype" w:hAnsi="Palatino Linotype" w:cs="Arial"/>
          <w:sz w:val="24"/>
          <w:szCs w:val="24"/>
        </w:rPr>
        <w:t xml:space="preserve">payer to </w:t>
      </w:r>
      <w:r w:rsidRPr="005F68D7" w:rsidR="00733EFB">
        <w:rPr>
          <w:rFonts w:ascii="Palatino Linotype" w:hAnsi="Palatino Linotype" w:cs="Arial"/>
          <w:sz w:val="24"/>
          <w:szCs w:val="24"/>
        </w:rPr>
        <w:t xml:space="preserve">all </w:t>
      </w:r>
      <w:r w:rsidRPr="005F68D7" w:rsidR="00851F9D">
        <w:rPr>
          <w:rFonts w:ascii="Palatino Linotype" w:hAnsi="Palatino Linotype" w:cs="Arial"/>
          <w:sz w:val="24"/>
          <w:szCs w:val="24"/>
        </w:rPr>
        <w:t>the individuals being served.</w:t>
      </w:r>
      <w:r w:rsidRPr="005F68D7" w:rsidR="006D4BD1">
        <w:rPr>
          <w:rFonts w:ascii="Palatino Linotype" w:hAnsi="Palatino Linotype" w:cs="Arial"/>
          <w:sz w:val="24"/>
          <w:szCs w:val="24"/>
        </w:rPr>
        <w:t xml:space="preserve"> As described on p.14 in the EMSWG Report, participants include “people, households, businesses, and other entities that actually participated in an energy efficiency program… The unit to be counted as a participant varies across and within sectors.”</w:t>
      </w:r>
    </w:p>
    <w:p w:rsidRPr="005F68D7" w:rsidR="003B4E36" w:rsidP="0033128D" w:rsidRDefault="003B4E36" w14:paraId="38368789" w14:textId="467D92D2">
      <w:pPr>
        <w:rPr>
          <w:rFonts w:ascii="Palatino Linotype" w:hAnsi="Palatino Linotype" w:cs="Arial"/>
          <w:sz w:val="24"/>
          <w:szCs w:val="24"/>
        </w:rPr>
      </w:pPr>
    </w:p>
    <w:p w:rsidRPr="005F68D7" w:rsidR="0034601B" w:rsidP="0033128D" w:rsidRDefault="0034601B" w14:paraId="732C4BCC" w14:textId="77777777">
      <w:pPr>
        <w:rPr>
          <w:rFonts w:ascii="Palatino Linotype" w:hAnsi="Palatino Linotype" w:cs="Arial"/>
          <w:sz w:val="24"/>
          <w:szCs w:val="24"/>
        </w:rPr>
      </w:pPr>
      <w:r w:rsidRPr="005F68D7">
        <w:rPr>
          <w:rFonts w:ascii="Palatino Linotype" w:hAnsi="Palatino Linotype" w:cs="Arial"/>
          <w:sz w:val="24"/>
          <w:szCs w:val="24"/>
        </w:rPr>
        <w:t>The Commission</w:t>
      </w:r>
      <w:r w:rsidRPr="005F68D7" w:rsidDel="00B57DD9">
        <w:rPr>
          <w:rFonts w:ascii="Palatino Linotype" w:hAnsi="Palatino Linotype" w:cs="Arial"/>
          <w:sz w:val="24"/>
          <w:szCs w:val="24"/>
        </w:rPr>
        <w:t xml:space="preserve"> </w:t>
      </w:r>
      <w:r w:rsidRPr="005F68D7">
        <w:rPr>
          <w:rFonts w:ascii="Palatino Linotype" w:hAnsi="Palatino Linotype" w:cs="Arial"/>
          <w:sz w:val="24"/>
          <w:szCs w:val="24"/>
        </w:rPr>
        <w:t xml:space="preserve">directs the following for counting participants and population. Energy Division staff may provide guidance on an updated approach at a later date, after consultation with the PAs. Staff will collaborate with PAs to identify and fill gaps in participation data related to certain types of programs, like those that use midstream and upstream delivery channels. For multifamily and non-residential programs, Energy Division staff seeks to collaborate with PAs, and may provide further guidance on a reporting approach for participant and population counts.  </w:t>
      </w:r>
    </w:p>
    <w:p w:rsidRPr="005F68D7" w:rsidR="0034601B" w:rsidP="0033128D" w:rsidRDefault="0034601B" w14:paraId="2067BDDE" w14:textId="77777777">
      <w:pPr>
        <w:rPr>
          <w:rFonts w:ascii="Palatino Linotype" w:hAnsi="Palatino Linotype" w:cs="Arial"/>
          <w:sz w:val="24"/>
          <w:szCs w:val="24"/>
        </w:rPr>
      </w:pPr>
    </w:p>
    <w:p w:rsidRPr="005F68D7" w:rsidR="008D6D95" w:rsidP="0033128D" w:rsidRDefault="008D6D95" w14:paraId="5230C5F3" w14:textId="77777777">
      <w:pPr>
        <w:rPr>
          <w:rFonts w:ascii="Palatino Linotype" w:hAnsi="Palatino Linotype" w:cs="Arial"/>
          <w:sz w:val="24"/>
          <w:szCs w:val="24"/>
        </w:rPr>
      </w:pPr>
      <w:r w:rsidRPr="005F68D7">
        <w:rPr>
          <w:rFonts w:ascii="Palatino Linotype" w:hAnsi="Palatino Linotype" w:cs="Arial"/>
          <w:sz w:val="24"/>
          <w:szCs w:val="24"/>
        </w:rPr>
        <w:t>For residential programs where benefits are tracked via the claims process, the following shall be reported by PAs:</w:t>
      </w:r>
    </w:p>
    <w:p w:rsidRPr="005F68D7" w:rsidR="008D6D95" w:rsidP="008D6D95" w:rsidRDefault="008D6D95" w14:paraId="3426EB99" w14:textId="77777777">
      <w:pPr>
        <w:jc w:val="both"/>
        <w:rPr>
          <w:rFonts w:ascii="Palatino Linotype" w:hAnsi="Palatino Linotype" w:cs="Arial"/>
          <w:sz w:val="24"/>
          <w:szCs w:val="24"/>
        </w:rPr>
      </w:pPr>
    </w:p>
    <w:p w:rsidRPr="005F68D7" w:rsidR="008D6D95" w:rsidP="008D6D95" w:rsidRDefault="008D6D95" w14:paraId="54290AC6" w14:textId="457AE53F">
      <w:pPr>
        <w:ind w:firstLine="720"/>
        <w:jc w:val="both"/>
        <w:rPr>
          <w:rFonts w:ascii="Palatino Linotype" w:hAnsi="Palatino Linotype" w:cs="Arial"/>
          <w:sz w:val="24"/>
          <w:szCs w:val="24"/>
        </w:rPr>
      </w:pPr>
      <w:r w:rsidRPr="005F68D7">
        <w:rPr>
          <w:rFonts w:ascii="Palatino Linotype" w:hAnsi="Palatino Linotype" w:cs="Arial"/>
          <w:sz w:val="24"/>
          <w:szCs w:val="24"/>
          <w:u w:val="single"/>
        </w:rPr>
        <w:lastRenderedPageBreak/>
        <w:t>Quarterly</w:t>
      </w:r>
      <w:r w:rsidRPr="005F68D7">
        <w:rPr>
          <w:rFonts w:ascii="Palatino Linotype" w:hAnsi="Palatino Linotype" w:cs="Arial"/>
          <w:sz w:val="24"/>
          <w:szCs w:val="24"/>
        </w:rPr>
        <w:t xml:space="preserve">: Number of all unique premise accounts served, by program, categorized per </w:t>
      </w:r>
      <w:r w:rsidRPr="005F68D7" w:rsidR="000D2DFD">
        <w:rPr>
          <w:rFonts w:ascii="Palatino Linotype" w:hAnsi="Palatino Linotype" w:cs="Arial"/>
          <w:sz w:val="24"/>
          <w:szCs w:val="24"/>
        </w:rPr>
        <w:t>Appendix C</w:t>
      </w:r>
    </w:p>
    <w:p w:rsidRPr="005F68D7" w:rsidR="008D6D95" w:rsidP="008D6D95" w:rsidRDefault="008D6D95" w14:paraId="458F1EA1" w14:textId="77777777">
      <w:pPr>
        <w:jc w:val="both"/>
        <w:rPr>
          <w:rFonts w:ascii="Palatino Linotype" w:hAnsi="Palatino Linotype" w:cs="Arial"/>
          <w:sz w:val="24"/>
          <w:szCs w:val="24"/>
        </w:rPr>
      </w:pPr>
    </w:p>
    <w:p w:rsidRPr="005F68D7" w:rsidR="008D6D95" w:rsidP="008D6D95" w:rsidRDefault="008D6D95" w14:paraId="1E96D205" w14:textId="54F376C9">
      <w:pPr>
        <w:ind w:firstLine="720"/>
        <w:jc w:val="both"/>
        <w:rPr>
          <w:rFonts w:ascii="Palatino Linotype" w:hAnsi="Palatino Linotype" w:cs="Arial"/>
          <w:sz w:val="24"/>
          <w:szCs w:val="24"/>
        </w:rPr>
      </w:pPr>
      <w:r w:rsidRPr="005F68D7">
        <w:rPr>
          <w:rFonts w:ascii="Palatino Linotype" w:hAnsi="Palatino Linotype" w:cs="Arial"/>
          <w:sz w:val="24"/>
          <w:szCs w:val="24"/>
          <w:u w:val="single"/>
        </w:rPr>
        <w:t>Annually</w:t>
      </w:r>
      <w:r w:rsidRPr="005F68D7">
        <w:rPr>
          <w:rFonts w:ascii="Palatino Linotype" w:hAnsi="Palatino Linotype" w:cs="Arial"/>
          <w:sz w:val="24"/>
          <w:szCs w:val="24"/>
        </w:rPr>
        <w:t xml:space="preserve">: Number of all unique premise accounts served, by program, categorized per </w:t>
      </w:r>
      <w:r w:rsidRPr="005F68D7" w:rsidR="000D2DFD">
        <w:rPr>
          <w:rFonts w:ascii="Palatino Linotype" w:hAnsi="Palatino Linotype" w:cs="Arial"/>
          <w:sz w:val="24"/>
          <w:szCs w:val="24"/>
        </w:rPr>
        <w:t>Appendix C</w:t>
      </w:r>
      <w:r w:rsidRPr="005F68D7">
        <w:rPr>
          <w:rFonts w:ascii="Palatino Linotype" w:hAnsi="Palatino Linotype" w:cs="Arial"/>
          <w:sz w:val="24"/>
          <w:szCs w:val="24"/>
        </w:rPr>
        <w:t xml:space="preserve"> and Unique Residential Population Served (URPS)*</w:t>
      </w:r>
    </w:p>
    <w:p w:rsidRPr="005F68D7" w:rsidR="008D6D95" w:rsidP="008D6D95" w:rsidRDefault="008D6D95" w14:paraId="1B03C0E4" w14:textId="77777777">
      <w:pPr>
        <w:jc w:val="both"/>
        <w:rPr>
          <w:rFonts w:ascii="Palatino Linotype" w:hAnsi="Palatino Linotype" w:cs="Arial"/>
          <w:sz w:val="24"/>
          <w:szCs w:val="24"/>
        </w:rPr>
      </w:pPr>
    </w:p>
    <w:p w:rsidRPr="005F68D7" w:rsidR="008D6D95" w:rsidP="008D6D95" w:rsidRDefault="008D6D95" w14:paraId="7A0BB1B5" w14:textId="77777777">
      <w:pPr>
        <w:jc w:val="both"/>
        <w:rPr>
          <w:rFonts w:ascii="Palatino Linotype" w:hAnsi="Palatino Linotype" w:cs="Arial"/>
          <w:sz w:val="24"/>
          <w:szCs w:val="24"/>
        </w:rPr>
      </w:pPr>
      <w:r w:rsidRPr="005F68D7">
        <w:rPr>
          <w:rFonts w:ascii="Palatino Linotype" w:hAnsi="Palatino Linotype" w:cs="Arial"/>
          <w:sz w:val="24"/>
          <w:szCs w:val="24"/>
        </w:rPr>
        <w:t>*URPS = (Number of Unique Premise Account per year x Average Household Population)</w:t>
      </w:r>
      <w:r w:rsidRPr="005F68D7">
        <w:rPr>
          <w:rStyle w:val="FootnoteReference"/>
          <w:rFonts w:ascii="Palatino Linotype" w:hAnsi="Palatino Linotype" w:cs="Arial"/>
          <w:sz w:val="24"/>
          <w:szCs w:val="24"/>
        </w:rPr>
        <w:footnoteReference w:id="8"/>
      </w:r>
      <w:r w:rsidRPr="005F68D7">
        <w:rPr>
          <w:rFonts w:ascii="Palatino Linotype" w:hAnsi="Palatino Linotype" w:cs="Arial"/>
          <w:sz w:val="24"/>
          <w:szCs w:val="24"/>
        </w:rPr>
        <w:t xml:space="preserve"> </w:t>
      </w:r>
    </w:p>
    <w:p w:rsidRPr="005F68D7" w:rsidR="008D6D95" w:rsidP="008D6D95" w:rsidRDefault="008D6D95" w14:paraId="2DAD6684" w14:textId="77777777">
      <w:pPr>
        <w:jc w:val="both"/>
        <w:rPr>
          <w:rFonts w:ascii="Palatino Linotype" w:hAnsi="Palatino Linotype" w:cs="Arial"/>
          <w:sz w:val="24"/>
          <w:szCs w:val="24"/>
        </w:rPr>
      </w:pPr>
    </w:p>
    <w:p w:rsidRPr="005F68D7" w:rsidR="008D6D95" w:rsidP="0033128D" w:rsidRDefault="008D6D95" w14:paraId="70428FDF" w14:textId="67C86A57">
      <w:pPr>
        <w:rPr>
          <w:rFonts w:ascii="Palatino Linotype" w:hAnsi="Palatino Linotype" w:cs="Arial"/>
          <w:sz w:val="24"/>
          <w:szCs w:val="24"/>
        </w:rPr>
      </w:pPr>
      <w:r w:rsidRPr="005F68D7">
        <w:rPr>
          <w:rFonts w:ascii="Palatino Linotype" w:hAnsi="Palatino Linotype" w:cs="Arial"/>
          <w:sz w:val="24"/>
          <w:szCs w:val="24"/>
        </w:rPr>
        <w:t>The purpose of URPS is to calculate the likely residential population of people served (i.e., with program savings) annually by the portfolio and associated segments with the best attempts at preventing duplication as practical. The</w:t>
      </w:r>
      <w:r w:rsidRPr="005F68D7" w:rsidR="00BE5277">
        <w:rPr>
          <w:rFonts w:ascii="Palatino Linotype" w:hAnsi="Palatino Linotype" w:cs="Arial"/>
          <w:sz w:val="24"/>
          <w:szCs w:val="24"/>
        </w:rPr>
        <w:t xml:space="preserve">se data will provide more </w:t>
      </w:r>
      <w:r w:rsidRPr="005F68D7" w:rsidR="0070279B">
        <w:rPr>
          <w:rFonts w:ascii="Palatino Linotype" w:hAnsi="Palatino Linotype" w:cs="Arial"/>
          <w:sz w:val="24"/>
          <w:szCs w:val="24"/>
        </w:rPr>
        <w:t xml:space="preserve">insight into </w:t>
      </w:r>
      <w:r w:rsidRPr="005F68D7">
        <w:rPr>
          <w:rFonts w:ascii="Palatino Linotype" w:hAnsi="Palatino Linotype" w:cs="Arial"/>
          <w:sz w:val="24"/>
          <w:szCs w:val="24"/>
        </w:rPr>
        <w:t>the unique population of people who participated in residential EE programs for single family and manufactured homes in a given year rather than assuming each claim is a unique participation event.</w:t>
      </w:r>
    </w:p>
    <w:p w:rsidRPr="005F68D7" w:rsidR="0009097D" w:rsidP="0033128D" w:rsidRDefault="0009097D" w14:paraId="058C296C" w14:textId="77777777">
      <w:pPr>
        <w:rPr>
          <w:rFonts w:ascii="Palatino Linotype" w:hAnsi="Palatino Linotype" w:cs="Arial"/>
          <w:sz w:val="24"/>
          <w:szCs w:val="24"/>
        </w:rPr>
      </w:pPr>
    </w:p>
    <w:p w:rsidRPr="005F68D7" w:rsidR="00F16E41" w:rsidP="0033128D" w:rsidRDefault="00F16E41" w14:paraId="55C928DD" w14:textId="6238375B">
      <w:pPr>
        <w:rPr>
          <w:rFonts w:ascii="Palatino Linotype" w:hAnsi="Palatino Linotype" w:cs="Arial"/>
          <w:sz w:val="24"/>
          <w:szCs w:val="24"/>
        </w:rPr>
      </w:pPr>
      <w:r w:rsidRPr="005F68D7">
        <w:rPr>
          <w:rFonts w:ascii="Palatino Linotype" w:hAnsi="Palatino Linotype" w:cs="Arial"/>
          <w:sz w:val="24"/>
          <w:szCs w:val="24"/>
        </w:rPr>
        <w:t xml:space="preserve">For programs for which participation or benefits are not tracked via the claims process, the PA must regularly report on the </w:t>
      </w:r>
      <w:r w:rsidRPr="005F68D7" w:rsidR="005964A1">
        <w:rPr>
          <w:rFonts w:ascii="Palatino Linotype" w:hAnsi="Palatino Linotype" w:cs="Arial"/>
          <w:sz w:val="24"/>
          <w:szCs w:val="24"/>
        </w:rPr>
        <w:t xml:space="preserve">adopted </w:t>
      </w:r>
      <w:r w:rsidRPr="005F68D7">
        <w:rPr>
          <w:rFonts w:ascii="Palatino Linotype" w:hAnsi="Palatino Linotype" w:cs="Arial"/>
          <w:sz w:val="24"/>
          <w:szCs w:val="24"/>
        </w:rPr>
        <w:t xml:space="preserve">metrics and indicators tracking this information. </w:t>
      </w:r>
    </w:p>
    <w:p w:rsidRPr="005F68D7" w:rsidR="00943C13" w:rsidP="0033128D" w:rsidRDefault="00943C13" w14:paraId="0D4E5336" w14:textId="77777777">
      <w:pPr>
        <w:rPr>
          <w:rFonts w:ascii="Palatino Linotype" w:hAnsi="Palatino Linotype" w:cs="Arial"/>
          <w:sz w:val="24"/>
          <w:szCs w:val="24"/>
        </w:rPr>
      </w:pPr>
    </w:p>
    <w:p w:rsidRPr="005F68D7" w:rsidR="0081528E" w:rsidP="0033128D" w:rsidRDefault="00B738BE" w14:paraId="1E492875" w14:textId="36C3AC76">
      <w:pPr>
        <w:rPr>
          <w:rFonts w:ascii="Palatino Linotype" w:hAnsi="Palatino Linotype" w:cs="Arial"/>
          <w:sz w:val="24"/>
          <w:szCs w:val="24"/>
        </w:rPr>
      </w:pPr>
      <w:r w:rsidRPr="005F68D7">
        <w:rPr>
          <w:rFonts w:ascii="Palatino Linotype" w:hAnsi="Palatino Linotype" w:cs="Arial"/>
          <w:sz w:val="24"/>
          <w:szCs w:val="24"/>
        </w:rPr>
        <w:t xml:space="preserve">With regards to </w:t>
      </w:r>
      <w:r w:rsidRPr="005F68D7" w:rsidR="00E30078">
        <w:rPr>
          <w:rFonts w:ascii="Palatino Linotype" w:hAnsi="Palatino Linotype" w:cs="Arial"/>
          <w:sz w:val="24"/>
          <w:szCs w:val="24"/>
        </w:rPr>
        <w:t>Cal Advocates</w:t>
      </w:r>
      <w:r w:rsidRPr="005F68D7">
        <w:rPr>
          <w:rFonts w:ascii="Palatino Linotype" w:hAnsi="Palatino Linotype" w:cs="Arial"/>
          <w:sz w:val="24"/>
          <w:szCs w:val="24"/>
        </w:rPr>
        <w:t>’ protest and interest in preserving the “</w:t>
      </w:r>
      <w:r w:rsidRPr="005F68D7" w:rsidR="0070279B">
        <w:rPr>
          <w:rFonts w:ascii="Palatino Linotype" w:hAnsi="Palatino Linotype" w:cs="Arial"/>
          <w:sz w:val="24"/>
          <w:szCs w:val="24"/>
        </w:rPr>
        <w:t>penetration</w:t>
      </w:r>
      <w:r w:rsidRPr="005F68D7">
        <w:rPr>
          <w:rFonts w:ascii="Palatino Linotype" w:hAnsi="Palatino Linotype" w:cs="Arial"/>
          <w:sz w:val="24"/>
          <w:szCs w:val="24"/>
        </w:rPr>
        <w:t>” metrics,</w:t>
      </w:r>
      <w:r w:rsidRPr="005F68D7" w:rsidR="00913669">
        <w:rPr>
          <w:rFonts w:ascii="Palatino Linotype" w:hAnsi="Palatino Linotype" w:cs="Arial"/>
          <w:sz w:val="24"/>
          <w:szCs w:val="24"/>
        </w:rPr>
        <w:t xml:space="preserve"> </w:t>
      </w:r>
      <w:r w:rsidRPr="005F68D7" w:rsidR="004342C3">
        <w:rPr>
          <w:rFonts w:ascii="Palatino Linotype" w:hAnsi="Palatino Linotype" w:cs="Arial"/>
          <w:bCs/>
          <w:sz w:val="24"/>
          <w:szCs w:val="24"/>
        </w:rPr>
        <w:t>the Commission</w:t>
      </w:r>
      <w:r w:rsidRPr="005F68D7" w:rsidR="007B4FC1">
        <w:rPr>
          <w:rFonts w:ascii="Palatino Linotype" w:hAnsi="Palatino Linotype" w:cs="Arial"/>
          <w:sz w:val="24"/>
          <w:szCs w:val="24"/>
        </w:rPr>
        <w:t xml:space="preserve"> </w:t>
      </w:r>
      <w:r w:rsidRPr="005F68D7" w:rsidR="00FF72DA">
        <w:rPr>
          <w:rFonts w:ascii="Palatino Linotype" w:hAnsi="Palatino Linotype" w:cs="Arial"/>
          <w:sz w:val="24"/>
          <w:szCs w:val="24"/>
        </w:rPr>
        <w:t xml:space="preserve">finds </w:t>
      </w:r>
      <w:r w:rsidRPr="005F68D7" w:rsidR="007B4FC1">
        <w:rPr>
          <w:rFonts w:ascii="Palatino Linotype" w:hAnsi="Palatino Linotype" w:cs="Arial"/>
          <w:sz w:val="24"/>
          <w:szCs w:val="24"/>
        </w:rPr>
        <w:t xml:space="preserve">a better understanding of actual customers and population served will yield </w:t>
      </w:r>
      <w:r w:rsidRPr="005F68D7" w:rsidR="0017174B">
        <w:rPr>
          <w:rFonts w:ascii="Palatino Linotype" w:hAnsi="Palatino Linotype" w:cs="Arial"/>
          <w:sz w:val="24"/>
          <w:szCs w:val="24"/>
        </w:rPr>
        <w:t>more meaningful and actionable information</w:t>
      </w:r>
      <w:r w:rsidRPr="005F68D7" w:rsidR="00740F6C">
        <w:rPr>
          <w:rFonts w:ascii="Palatino Linotype" w:hAnsi="Palatino Linotype" w:cs="Arial"/>
          <w:sz w:val="24"/>
          <w:szCs w:val="24"/>
        </w:rPr>
        <w:t xml:space="preserve">. </w:t>
      </w:r>
      <w:r w:rsidRPr="005F68D7" w:rsidR="00BE4A04">
        <w:rPr>
          <w:rFonts w:ascii="Palatino Linotype" w:hAnsi="Palatino Linotype" w:cs="Arial"/>
          <w:sz w:val="24"/>
          <w:szCs w:val="24"/>
        </w:rPr>
        <w:t xml:space="preserve">Further, with better information about </w:t>
      </w:r>
      <w:r w:rsidRPr="005F68D7" w:rsidR="00147830">
        <w:rPr>
          <w:rFonts w:ascii="Palatino Linotype" w:hAnsi="Palatino Linotype" w:cs="Arial"/>
          <w:sz w:val="24"/>
          <w:szCs w:val="24"/>
        </w:rPr>
        <w:t xml:space="preserve">customers and population served, stakeholders can calculate what portion of a target customer group </w:t>
      </w:r>
      <w:r w:rsidRPr="005F68D7" w:rsidR="00F75059">
        <w:rPr>
          <w:rFonts w:ascii="Palatino Linotype" w:hAnsi="Palatino Linotype" w:cs="Arial"/>
          <w:sz w:val="24"/>
          <w:szCs w:val="24"/>
        </w:rPr>
        <w:t xml:space="preserve">the </w:t>
      </w:r>
      <w:r w:rsidRPr="005F68D7" w:rsidR="008A431C">
        <w:rPr>
          <w:rFonts w:ascii="Palatino Linotype" w:hAnsi="Palatino Linotype" w:cs="Arial"/>
          <w:sz w:val="24"/>
          <w:szCs w:val="24"/>
        </w:rPr>
        <w:t xml:space="preserve">Portfolio Administrator </w:t>
      </w:r>
      <w:r w:rsidRPr="005F68D7" w:rsidR="00CE4778">
        <w:rPr>
          <w:rFonts w:ascii="Palatino Linotype" w:hAnsi="Palatino Linotype" w:cs="Arial"/>
          <w:sz w:val="24"/>
          <w:szCs w:val="24"/>
        </w:rPr>
        <w:t>served.</w:t>
      </w:r>
      <w:r w:rsidRPr="005F68D7" w:rsidR="00147830">
        <w:rPr>
          <w:rFonts w:ascii="Palatino Linotype" w:hAnsi="Palatino Linotype" w:cs="Arial"/>
          <w:sz w:val="24"/>
          <w:szCs w:val="24"/>
        </w:rPr>
        <w:t xml:space="preserve"> </w:t>
      </w:r>
    </w:p>
    <w:p w:rsidRPr="005F68D7" w:rsidR="0041743A" w:rsidP="0041743A" w:rsidRDefault="0041743A" w14:paraId="2C041BAD" w14:textId="77777777">
      <w:pPr>
        <w:jc w:val="both"/>
        <w:rPr>
          <w:rFonts w:ascii="Palatino Linotype" w:hAnsi="Palatino Linotype" w:cs="Arial"/>
          <w:sz w:val="24"/>
          <w:szCs w:val="24"/>
        </w:rPr>
      </w:pPr>
    </w:p>
    <w:p w:rsidRPr="005F68D7" w:rsidR="006D26DE" w:rsidP="004613EF" w:rsidRDefault="006D26DE" w14:paraId="0C0AD6EE" w14:textId="39AEA707">
      <w:pPr>
        <w:pStyle w:val="Heading1"/>
        <w:ind w:left="720"/>
        <w:rPr>
          <w:rStyle w:val="Strong"/>
          <w:rFonts w:ascii="Palatino Linotype" w:hAnsi="Palatino Linotype"/>
          <w:b/>
          <w:caps w:val="0"/>
          <w:kern w:val="0"/>
          <w:sz w:val="24"/>
          <w:szCs w:val="24"/>
        </w:rPr>
      </w:pPr>
      <w:r w:rsidRPr="005F68D7">
        <w:rPr>
          <w:rStyle w:val="Strong"/>
          <w:rFonts w:ascii="Palatino Linotype" w:hAnsi="Palatino Linotype"/>
          <w:b/>
          <w:caps w:val="0"/>
          <w:kern w:val="0"/>
          <w:sz w:val="24"/>
          <w:szCs w:val="24"/>
        </w:rPr>
        <w:t>Recommendation 9: Calculating Hard-</w:t>
      </w:r>
      <w:r w:rsidRPr="005F68D7" w:rsidR="00827C37">
        <w:rPr>
          <w:rStyle w:val="Strong"/>
          <w:rFonts w:ascii="Palatino Linotype" w:hAnsi="Palatino Linotype"/>
          <w:b/>
          <w:bCs w:val="0"/>
          <w:caps w:val="0"/>
          <w:kern w:val="0"/>
          <w:sz w:val="24"/>
          <w:szCs w:val="24"/>
        </w:rPr>
        <w:t>To</w:t>
      </w:r>
      <w:r w:rsidRPr="005F68D7">
        <w:rPr>
          <w:rStyle w:val="Strong"/>
          <w:rFonts w:ascii="Palatino Linotype" w:hAnsi="Palatino Linotype"/>
          <w:b/>
          <w:caps w:val="0"/>
          <w:kern w:val="0"/>
          <w:sz w:val="24"/>
          <w:szCs w:val="24"/>
        </w:rPr>
        <w:t xml:space="preserve">-Reach </w:t>
      </w:r>
      <w:r w:rsidRPr="005F68D7" w:rsidR="00827C37">
        <w:rPr>
          <w:rStyle w:val="Strong"/>
          <w:rFonts w:ascii="Palatino Linotype" w:hAnsi="Palatino Linotype"/>
          <w:b/>
          <w:bCs w:val="0"/>
          <w:caps w:val="0"/>
          <w:kern w:val="0"/>
          <w:sz w:val="24"/>
          <w:szCs w:val="24"/>
        </w:rPr>
        <w:t>and</w:t>
      </w:r>
      <w:r w:rsidRPr="005F68D7">
        <w:rPr>
          <w:rStyle w:val="Strong"/>
          <w:rFonts w:ascii="Palatino Linotype" w:hAnsi="Palatino Linotype"/>
          <w:b/>
          <w:caps w:val="0"/>
          <w:kern w:val="0"/>
          <w:sz w:val="24"/>
          <w:szCs w:val="24"/>
        </w:rPr>
        <w:t xml:space="preserve"> Disadvantaged Community </w:t>
      </w:r>
      <w:r w:rsidRPr="005F68D7" w:rsidR="00827C37">
        <w:rPr>
          <w:rStyle w:val="Strong"/>
          <w:rFonts w:ascii="Palatino Linotype" w:hAnsi="Palatino Linotype"/>
          <w:b/>
          <w:bCs w:val="0"/>
          <w:caps w:val="0"/>
          <w:kern w:val="0"/>
          <w:sz w:val="24"/>
          <w:szCs w:val="24"/>
        </w:rPr>
        <w:t>Participation</w:t>
      </w:r>
    </w:p>
    <w:p w:rsidRPr="005F68D7" w:rsidR="006D26DE" w:rsidP="00A4547A" w:rsidRDefault="006D26DE" w14:paraId="16E41DAA" w14:textId="6DA79DF6">
      <w:pPr>
        <w:rPr>
          <w:rFonts w:ascii="Palatino Linotype" w:hAnsi="Palatino Linotype" w:cs="Arial"/>
          <w:sz w:val="24"/>
          <w:szCs w:val="24"/>
        </w:rPr>
      </w:pPr>
      <w:r w:rsidRPr="005F68D7">
        <w:rPr>
          <w:rFonts w:ascii="Palatino Linotype" w:hAnsi="Palatino Linotype" w:cs="Arial"/>
          <w:bCs/>
          <w:sz w:val="24"/>
          <w:szCs w:val="24"/>
        </w:rPr>
        <w:t>The Commission</w:t>
      </w:r>
      <w:r w:rsidRPr="005F68D7">
        <w:rPr>
          <w:rFonts w:ascii="Palatino Linotype" w:hAnsi="Palatino Linotype" w:cs="Arial"/>
          <w:sz w:val="24"/>
          <w:szCs w:val="24"/>
        </w:rPr>
        <w:t xml:space="preserve"> agrees with the EMSWG report nonconsensus recommendation to report Equity Indicators 11 and 12 by PA.</w:t>
      </w:r>
      <w:r w:rsidRPr="005F68D7" w:rsidR="00552C86">
        <w:rPr>
          <w:rFonts w:ascii="Palatino Linotype" w:hAnsi="Palatino Linotype" w:cs="Arial"/>
          <w:sz w:val="24"/>
          <w:szCs w:val="24"/>
        </w:rPr>
        <w:t xml:space="preserve"> Additionally, the Commission agrees that the denominator in each indicator is the total number of program participants but that the denominator should be at the</w:t>
      </w:r>
      <w:r w:rsidRPr="005F68D7" w:rsidR="005859F8">
        <w:rPr>
          <w:rFonts w:ascii="Palatino Linotype" w:hAnsi="Palatino Linotype" w:cs="Arial"/>
          <w:sz w:val="24"/>
          <w:szCs w:val="24"/>
        </w:rPr>
        <w:t xml:space="preserve"> building type</w:t>
      </w:r>
      <w:r w:rsidRPr="005F68D7" w:rsidR="00552C86">
        <w:rPr>
          <w:rFonts w:ascii="Palatino Linotype" w:hAnsi="Palatino Linotype" w:cs="Arial"/>
          <w:sz w:val="24"/>
          <w:szCs w:val="24"/>
        </w:rPr>
        <w:t xml:space="preserve"> level for the residential sector (i.e., single</w:t>
      </w:r>
      <w:r w:rsidRPr="005F68D7" w:rsidR="00550FC8">
        <w:rPr>
          <w:rFonts w:ascii="Palatino Linotype" w:hAnsi="Palatino Linotype" w:cs="Arial"/>
          <w:sz w:val="24"/>
          <w:szCs w:val="24"/>
        </w:rPr>
        <w:t>-</w:t>
      </w:r>
      <w:r w:rsidRPr="005F68D7" w:rsidR="00552C86">
        <w:rPr>
          <w:rFonts w:ascii="Palatino Linotype" w:hAnsi="Palatino Linotype" w:cs="Arial"/>
          <w:sz w:val="24"/>
          <w:szCs w:val="24"/>
        </w:rPr>
        <w:lastRenderedPageBreak/>
        <w:t>family, multi</w:t>
      </w:r>
      <w:r w:rsidRPr="005F68D7" w:rsidR="00550FC8">
        <w:rPr>
          <w:rFonts w:ascii="Palatino Linotype" w:hAnsi="Palatino Linotype" w:cs="Arial"/>
          <w:sz w:val="24"/>
          <w:szCs w:val="24"/>
        </w:rPr>
        <w:t>-</w:t>
      </w:r>
      <w:r w:rsidRPr="005F68D7" w:rsidR="00552C86">
        <w:rPr>
          <w:rFonts w:ascii="Palatino Linotype" w:hAnsi="Palatino Linotype" w:cs="Arial"/>
          <w:sz w:val="24"/>
          <w:szCs w:val="24"/>
        </w:rPr>
        <w:t>family</w:t>
      </w:r>
      <w:r w:rsidRPr="005F68D7" w:rsidR="000844B1">
        <w:rPr>
          <w:rFonts w:ascii="Palatino Linotype" w:hAnsi="Palatino Linotype" w:cs="Arial"/>
          <w:sz w:val="24"/>
          <w:szCs w:val="24"/>
        </w:rPr>
        <w:t>, and</w:t>
      </w:r>
      <w:r w:rsidRPr="005F68D7" w:rsidR="00552C86">
        <w:rPr>
          <w:rFonts w:ascii="Palatino Linotype" w:hAnsi="Palatino Linotype" w:cs="Arial"/>
          <w:sz w:val="24"/>
          <w:szCs w:val="24"/>
        </w:rPr>
        <w:t xml:space="preserve"> mobile homes) and the denominator for commercial at the commercial </w:t>
      </w:r>
      <w:r w:rsidRPr="005F68D7" w:rsidR="0094473C">
        <w:rPr>
          <w:rFonts w:ascii="Palatino Linotype" w:hAnsi="Palatino Linotype" w:cs="Arial"/>
          <w:sz w:val="24"/>
          <w:szCs w:val="24"/>
        </w:rPr>
        <w:t>building type</w:t>
      </w:r>
      <w:r w:rsidRPr="005F68D7" w:rsidR="00552C86">
        <w:rPr>
          <w:rFonts w:ascii="Palatino Linotype" w:hAnsi="Palatino Linotype" w:cs="Arial"/>
          <w:sz w:val="24"/>
          <w:szCs w:val="24"/>
        </w:rPr>
        <w:t xml:space="preserve"> level).</w:t>
      </w:r>
    </w:p>
    <w:p w:rsidRPr="005F68D7" w:rsidR="006D26DE" w:rsidP="006D26DE" w:rsidRDefault="006D26DE" w14:paraId="4852B4E2" w14:textId="77777777">
      <w:pPr>
        <w:jc w:val="both"/>
        <w:rPr>
          <w:rFonts w:ascii="Palatino Linotype" w:hAnsi="Palatino Linotype" w:cs="Arial"/>
          <w:sz w:val="24"/>
          <w:szCs w:val="24"/>
        </w:rPr>
      </w:pPr>
    </w:p>
    <w:p w:rsidRPr="005F68D7" w:rsidR="006D26DE" w:rsidP="006D26DE" w:rsidRDefault="006D26DE" w14:paraId="27F22FCC" w14:textId="0FDDE3F8">
      <w:pPr>
        <w:jc w:val="both"/>
        <w:rPr>
          <w:rFonts w:ascii="Palatino Linotype" w:hAnsi="Palatino Linotype" w:cs="Arial"/>
          <w:sz w:val="24"/>
          <w:szCs w:val="24"/>
        </w:rPr>
      </w:pPr>
      <w:r w:rsidRPr="005F68D7">
        <w:rPr>
          <w:rFonts w:ascii="Palatino Linotype" w:hAnsi="Palatino Linotype" w:cs="Arial"/>
          <w:sz w:val="24"/>
          <w:szCs w:val="24"/>
        </w:rPr>
        <w:t>When calculating these indicators the numerator and denominator</w:t>
      </w:r>
      <w:r w:rsidRPr="005F68D7" w:rsidR="00E773FA">
        <w:rPr>
          <w:rFonts w:ascii="Palatino Linotype" w:hAnsi="Palatino Linotype" w:cs="Arial"/>
          <w:sz w:val="24"/>
          <w:szCs w:val="24"/>
        </w:rPr>
        <w:t xml:space="preserve"> shall</w:t>
      </w:r>
      <w:r w:rsidRPr="005F68D7">
        <w:rPr>
          <w:rFonts w:ascii="Palatino Linotype" w:hAnsi="Palatino Linotype" w:cs="Arial"/>
          <w:sz w:val="24"/>
          <w:szCs w:val="24"/>
        </w:rPr>
        <w:t xml:space="preserve"> </w:t>
      </w:r>
      <w:r w:rsidRPr="005F68D7" w:rsidR="003B00B4">
        <w:rPr>
          <w:rFonts w:ascii="Palatino Linotype" w:hAnsi="Palatino Linotype" w:cs="Arial"/>
          <w:sz w:val="24"/>
          <w:szCs w:val="24"/>
        </w:rPr>
        <w:t>be as follows:</w:t>
      </w:r>
    </w:p>
    <w:p w:rsidRPr="005F68D7" w:rsidR="006D26DE" w:rsidP="00E773FA" w:rsidRDefault="006D26DE" w14:paraId="11207BF4" w14:textId="721D4D8C">
      <w:pPr>
        <w:ind w:firstLine="720"/>
        <w:jc w:val="center"/>
        <w:rPr>
          <w:rFonts w:ascii="Palatino Linotype" w:hAnsi="Palatino Linotype" w:cs="Arial"/>
          <w:sz w:val="24"/>
          <w:szCs w:val="24"/>
        </w:rPr>
      </w:pPr>
      <w:r w:rsidRPr="005F68D7">
        <w:rPr>
          <w:rFonts w:ascii="Palatino Linotype" w:hAnsi="Palatino Linotype" w:cs="Arial"/>
          <w:sz w:val="24"/>
          <w:szCs w:val="24"/>
        </w:rPr>
        <w:t xml:space="preserve">% HTR customers in portfolio = (HTR customer participants / All customer participants) by </w:t>
      </w:r>
      <w:r w:rsidRPr="005F68D7" w:rsidR="005505A8">
        <w:rPr>
          <w:rFonts w:ascii="Palatino Linotype" w:hAnsi="Palatino Linotype" w:cs="Arial"/>
          <w:sz w:val="24"/>
          <w:szCs w:val="24"/>
        </w:rPr>
        <w:t>building type</w:t>
      </w:r>
      <w:r w:rsidRPr="005F68D7" w:rsidR="000B26D6">
        <w:rPr>
          <w:rFonts w:ascii="Palatino Linotype" w:hAnsi="Palatino Linotype" w:cs="Arial"/>
          <w:sz w:val="24"/>
          <w:szCs w:val="24"/>
        </w:rPr>
        <w:t xml:space="preserve"> for residential and commercial sector</w:t>
      </w:r>
      <w:r w:rsidRPr="005F68D7" w:rsidR="009E2742">
        <w:rPr>
          <w:rFonts w:ascii="Palatino Linotype" w:hAnsi="Palatino Linotype" w:cs="Arial"/>
          <w:sz w:val="24"/>
          <w:szCs w:val="24"/>
        </w:rPr>
        <w:t>s</w:t>
      </w:r>
    </w:p>
    <w:p w:rsidRPr="005F68D7" w:rsidR="00E773FA" w:rsidP="006D26DE" w:rsidRDefault="00E773FA" w14:paraId="6FC5CABC" w14:textId="77777777">
      <w:pPr>
        <w:jc w:val="center"/>
        <w:rPr>
          <w:rFonts w:ascii="Palatino Linotype" w:hAnsi="Palatino Linotype" w:cs="Arial"/>
          <w:sz w:val="24"/>
          <w:szCs w:val="24"/>
        </w:rPr>
      </w:pPr>
    </w:p>
    <w:p w:rsidRPr="005F68D7" w:rsidR="006D26DE" w:rsidP="00E773FA" w:rsidRDefault="006D26DE" w14:paraId="26400720" w14:textId="278003F3">
      <w:pPr>
        <w:ind w:firstLine="720"/>
        <w:jc w:val="center"/>
        <w:rPr>
          <w:rFonts w:ascii="Palatino Linotype" w:hAnsi="Palatino Linotype" w:cs="Arial"/>
          <w:sz w:val="24"/>
          <w:szCs w:val="24"/>
        </w:rPr>
      </w:pPr>
      <w:r w:rsidRPr="005F68D7">
        <w:rPr>
          <w:rFonts w:ascii="Palatino Linotype" w:hAnsi="Palatino Linotype" w:cs="Arial"/>
          <w:sz w:val="24"/>
          <w:szCs w:val="24"/>
        </w:rPr>
        <w:t xml:space="preserve">% DAC customers in portfolio = (DAC customer participants / All customer participants) by </w:t>
      </w:r>
      <w:r w:rsidRPr="005F68D7" w:rsidR="004C7BA3">
        <w:rPr>
          <w:rFonts w:ascii="Palatino Linotype" w:hAnsi="Palatino Linotype" w:cs="Arial"/>
          <w:sz w:val="24"/>
          <w:szCs w:val="24"/>
        </w:rPr>
        <w:t>building type</w:t>
      </w:r>
      <w:r w:rsidRPr="005F68D7" w:rsidR="000B26D6">
        <w:rPr>
          <w:rFonts w:ascii="Palatino Linotype" w:hAnsi="Palatino Linotype" w:cs="Arial"/>
          <w:sz w:val="24"/>
          <w:szCs w:val="24"/>
        </w:rPr>
        <w:t xml:space="preserve"> for residential and commercial sector</w:t>
      </w:r>
      <w:r w:rsidRPr="005F68D7" w:rsidR="009E2742">
        <w:rPr>
          <w:rFonts w:ascii="Palatino Linotype" w:hAnsi="Palatino Linotype" w:cs="Arial"/>
          <w:sz w:val="24"/>
          <w:szCs w:val="24"/>
        </w:rPr>
        <w:t>s</w:t>
      </w:r>
    </w:p>
    <w:p w:rsidRPr="005F68D7" w:rsidR="006D26DE" w:rsidP="0041743A" w:rsidRDefault="006D26DE" w14:paraId="5CB90811" w14:textId="77777777">
      <w:pPr>
        <w:jc w:val="both"/>
        <w:rPr>
          <w:rFonts w:ascii="Palatino Linotype" w:hAnsi="Palatino Linotype" w:cs="Arial"/>
          <w:sz w:val="24"/>
          <w:szCs w:val="24"/>
        </w:rPr>
      </w:pPr>
    </w:p>
    <w:p w:rsidRPr="005F68D7" w:rsidR="00B7351F" w:rsidP="0041743A" w:rsidRDefault="00C851C3" w14:paraId="5446BD11" w14:textId="54144BF1">
      <w:pPr>
        <w:jc w:val="both"/>
        <w:rPr>
          <w:rFonts w:ascii="Palatino Linotype" w:hAnsi="Palatino Linotype" w:cs="Arial"/>
          <w:sz w:val="24"/>
          <w:szCs w:val="24"/>
        </w:rPr>
      </w:pPr>
      <w:r w:rsidRPr="005F68D7">
        <w:rPr>
          <w:rFonts w:ascii="Palatino Linotype" w:hAnsi="Palatino Linotype" w:cs="Arial"/>
          <w:sz w:val="24"/>
          <w:szCs w:val="24"/>
        </w:rPr>
        <w:t xml:space="preserve">The Reporting </w:t>
      </w:r>
      <w:r w:rsidRPr="005F68D7" w:rsidR="002C5615">
        <w:rPr>
          <w:rFonts w:ascii="Palatino Linotype" w:hAnsi="Palatino Linotype" w:cs="Arial"/>
          <w:sz w:val="24"/>
          <w:szCs w:val="24"/>
        </w:rPr>
        <w:t xml:space="preserve">Program </w:t>
      </w:r>
      <w:r w:rsidRPr="005F68D7" w:rsidR="008114E0">
        <w:rPr>
          <w:rFonts w:ascii="Palatino Linotype" w:hAnsi="Palatino Linotype" w:cs="Arial"/>
          <w:sz w:val="24"/>
          <w:szCs w:val="24"/>
        </w:rPr>
        <w:t>Coordination Group (</w:t>
      </w:r>
      <w:r w:rsidRPr="005F68D7">
        <w:rPr>
          <w:rFonts w:ascii="Palatino Linotype" w:hAnsi="Palatino Linotype" w:cs="Arial"/>
          <w:sz w:val="24"/>
          <w:szCs w:val="24"/>
        </w:rPr>
        <w:t>PCG</w:t>
      </w:r>
      <w:r w:rsidRPr="005F68D7" w:rsidR="008114E0">
        <w:rPr>
          <w:rFonts w:ascii="Palatino Linotype" w:hAnsi="Palatino Linotype" w:cs="Arial"/>
          <w:sz w:val="24"/>
          <w:szCs w:val="24"/>
        </w:rPr>
        <w:t>)</w:t>
      </w:r>
      <w:r w:rsidRPr="005F68D7">
        <w:rPr>
          <w:rFonts w:ascii="Palatino Linotype" w:hAnsi="Palatino Linotype" w:cs="Arial"/>
          <w:sz w:val="24"/>
          <w:szCs w:val="24"/>
        </w:rPr>
        <w:t xml:space="preserve"> will </w:t>
      </w:r>
      <w:r w:rsidRPr="005F68D7" w:rsidR="00922F34">
        <w:rPr>
          <w:rFonts w:ascii="Palatino Linotype" w:hAnsi="Palatino Linotype" w:cs="Arial"/>
          <w:sz w:val="24"/>
          <w:szCs w:val="24"/>
        </w:rPr>
        <w:t xml:space="preserve">collaborate </w:t>
      </w:r>
      <w:r w:rsidRPr="005F68D7" w:rsidR="008D367C">
        <w:rPr>
          <w:rFonts w:ascii="Palatino Linotype" w:hAnsi="Palatino Linotype" w:cs="Arial"/>
          <w:sz w:val="24"/>
          <w:szCs w:val="24"/>
        </w:rPr>
        <w:t>to define</w:t>
      </w:r>
      <w:r w:rsidRPr="005F68D7" w:rsidR="00C7298E">
        <w:rPr>
          <w:rFonts w:ascii="Palatino Linotype" w:hAnsi="Palatino Linotype" w:cs="Arial"/>
          <w:sz w:val="24"/>
          <w:szCs w:val="24"/>
        </w:rPr>
        <w:t xml:space="preserve"> the parameters for these</w:t>
      </w:r>
      <w:r w:rsidRPr="005F68D7" w:rsidR="00C127D9">
        <w:rPr>
          <w:rFonts w:ascii="Palatino Linotype" w:hAnsi="Palatino Linotype" w:cs="Arial"/>
          <w:sz w:val="24"/>
          <w:szCs w:val="24"/>
        </w:rPr>
        <w:t xml:space="preserve"> </w:t>
      </w:r>
      <w:r w:rsidRPr="005F68D7" w:rsidR="0071545E">
        <w:rPr>
          <w:rFonts w:ascii="Palatino Linotype" w:hAnsi="Palatino Linotype" w:cs="Arial"/>
          <w:sz w:val="24"/>
          <w:szCs w:val="24"/>
        </w:rPr>
        <w:t>calculations</w:t>
      </w:r>
      <w:r w:rsidRPr="005F68D7" w:rsidR="00B45B49">
        <w:rPr>
          <w:rFonts w:ascii="Palatino Linotype" w:hAnsi="Palatino Linotype" w:cs="Arial"/>
          <w:sz w:val="24"/>
          <w:szCs w:val="24"/>
        </w:rPr>
        <w:t xml:space="preserve"> to facilitate </w:t>
      </w:r>
      <w:r w:rsidRPr="005F68D7" w:rsidR="00E13469">
        <w:rPr>
          <w:rFonts w:ascii="Palatino Linotype" w:hAnsi="Palatino Linotype" w:cs="Arial"/>
          <w:sz w:val="24"/>
          <w:szCs w:val="24"/>
        </w:rPr>
        <w:t>reporting</w:t>
      </w:r>
      <w:r w:rsidRPr="005F68D7" w:rsidR="00B67277">
        <w:rPr>
          <w:rFonts w:ascii="Palatino Linotype" w:hAnsi="Palatino Linotype" w:cs="Arial"/>
          <w:sz w:val="24"/>
          <w:szCs w:val="24"/>
        </w:rPr>
        <w:t>.</w:t>
      </w:r>
    </w:p>
    <w:p w:rsidRPr="005F68D7" w:rsidR="00B7351F" w:rsidP="0041743A" w:rsidRDefault="00B7351F" w14:paraId="7EE47C2D" w14:textId="77777777">
      <w:pPr>
        <w:jc w:val="both"/>
        <w:rPr>
          <w:rFonts w:ascii="Palatino Linotype" w:hAnsi="Palatino Linotype"/>
          <w:b/>
          <w:caps/>
          <w:kern w:val="28"/>
          <w:sz w:val="24"/>
          <w:szCs w:val="24"/>
          <w:u w:val="single"/>
        </w:rPr>
      </w:pPr>
    </w:p>
    <w:p w:rsidRPr="005F68D7" w:rsidR="00A36329" w:rsidP="004613EF" w:rsidRDefault="00A36329" w14:paraId="66E43057" w14:textId="607C3EEE">
      <w:pPr>
        <w:pStyle w:val="ListParagraph"/>
        <w:numPr>
          <w:ilvl w:val="0"/>
          <w:numId w:val="34"/>
        </w:numPr>
        <w:ind w:left="360"/>
        <w:jc w:val="both"/>
        <w:rPr>
          <w:rFonts w:ascii="Palatino Linotype" w:hAnsi="Palatino Linotype"/>
          <w:b/>
          <w:caps/>
          <w:kern w:val="28"/>
          <w:sz w:val="24"/>
          <w:szCs w:val="24"/>
          <w:u w:val="single"/>
        </w:rPr>
      </w:pPr>
      <w:r w:rsidRPr="005F68D7">
        <w:rPr>
          <w:rFonts w:ascii="Palatino Linotype" w:hAnsi="Palatino Linotype"/>
          <w:b/>
          <w:caps/>
          <w:kern w:val="28"/>
          <w:sz w:val="24"/>
          <w:szCs w:val="24"/>
          <w:u w:val="single"/>
        </w:rPr>
        <w:t>Quantifying and Calculating Benefits</w:t>
      </w:r>
    </w:p>
    <w:p w:rsidRPr="005F68D7" w:rsidR="00DF4DB4" w:rsidP="004613EF" w:rsidRDefault="00B85187" w14:paraId="69456271" w14:textId="2AA9703E">
      <w:pPr>
        <w:pStyle w:val="Heading1"/>
        <w:ind w:firstLine="720"/>
        <w:rPr>
          <w:rFonts w:ascii="Palatino Linotype" w:hAnsi="Palatino Linotype"/>
          <w:sz w:val="24"/>
          <w:szCs w:val="24"/>
        </w:rPr>
      </w:pPr>
      <w:r w:rsidRPr="005F68D7">
        <w:rPr>
          <w:rFonts w:ascii="Palatino Linotype" w:hAnsi="Palatino Linotype"/>
          <w:caps w:val="0"/>
          <w:sz w:val="24"/>
          <w:szCs w:val="24"/>
        </w:rPr>
        <w:t>Recommendation 4</w:t>
      </w:r>
      <w:r w:rsidRPr="005F68D7" w:rsidR="004853C7">
        <w:rPr>
          <w:rFonts w:ascii="Palatino Linotype" w:hAnsi="Palatino Linotype"/>
          <w:caps w:val="0"/>
          <w:sz w:val="24"/>
          <w:szCs w:val="24"/>
        </w:rPr>
        <w:t xml:space="preserve">: Savings Values </w:t>
      </w:r>
      <w:r w:rsidRPr="005F68D7" w:rsidR="00827C37">
        <w:rPr>
          <w:rFonts w:ascii="Palatino Linotype" w:hAnsi="Palatino Linotype"/>
          <w:caps w:val="0"/>
          <w:sz w:val="24"/>
          <w:szCs w:val="24"/>
        </w:rPr>
        <w:t>for</w:t>
      </w:r>
      <w:r w:rsidRPr="005F68D7" w:rsidR="004853C7">
        <w:rPr>
          <w:rFonts w:ascii="Palatino Linotype" w:hAnsi="Palatino Linotype"/>
          <w:caps w:val="0"/>
          <w:sz w:val="24"/>
          <w:szCs w:val="24"/>
        </w:rPr>
        <w:t xml:space="preserve"> Quantifying Benefits</w:t>
      </w:r>
    </w:p>
    <w:p w:rsidRPr="005F68D7" w:rsidR="0032553C" w:rsidP="00A4547A" w:rsidRDefault="00DF3FCC" w14:paraId="3AC9015D" w14:textId="560C53D7">
      <w:pPr>
        <w:rPr>
          <w:rFonts w:ascii="Palatino Linotype" w:hAnsi="Palatino Linotype" w:cs="Arial"/>
          <w:sz w:val="24"/>
          <w:szCs w:val="24"/>
        </w:rPr>
      </w:pPr>
      <w:r w:rsidRPr="005F68D7">
        <w:rPr>
          <w:rFonts w:ascii="Palatino Linotype" w:hAnsi="Palatino Linotype" w:cs="Arial"/>
          <w:bCs/>
          <w:sz w:val="24"/>
          <w:szCs w:val="24"/>
        </w:rPr>
        <w:t>The Commission</w:t>
      </w:r>
      <w:r w:rsidRPr="005F68D7" w:rsidR="00CB103F">
        <w:rPr>
          <w:rFonts w:ascii="Palatino Linotype" w:hAnsi="Palatino Linotype" w:cs="Arial"/>
          <w:sz w:val="24"/>
          <w:szCs w:val="24"/>
        </w:rPr>
        <w:t xml:space="preserve"> does not agree with this nonconsen</w:t>
      </w:r>
      <w:r w:rsidRPr="005F68D7" w:rsidR="002F5F48">
        <w:rPr>
          <w:rFonts w:ascii="Palatino Linotype" w:hAnsi="Palatino Linotype" w:cs="Arial"/>
          <w:sz w:val="24"/>
          <w:szCs w:val="24"/>
        </w:rPr>
        <w:t>s</w:t>
      </w:r>
      <w:r w:rsidRPr="005F68D7" w:rsidR="00CB103F">
        <w:rPr>
          <w:rFonts w:ascii="Palatino Linotype" w:hAnsi="Palatino Linotype" w:cs="Arial"/>
          <w:sz w:val="24"/>
          <w:szCs w:val="24"/>
        </w:rPr>
        <w:t>us recommendation</w:t>
      </w:r>
      <w:r w:rsidRPr="005F68D7" w:rsidR="0063192C">
        <w:rPr>
          <w:rFonts w:ascii="Palatino Linotype" w:hAnsi="Palatino Linotype" w:cs="Arial"/>
          <w:sz w:val="24"/>
          <w:szCs w:val="24"/>
        </w:rPr>
        <w:t xml:space="preserve"> on which benefits to report</w:t>
      </w:r>
      <w:r w:rsidRPr="005F68D7" w:rsidR="00CB103F">
        <w:rPr>
          <w:rFonts w:ascii="Palatino Linotype" w:hAnsi="Palatino Linotype" w:cs="Arial"/>
          <w:sz w:val="24"/>
          <w:szCs w:val="24"/>
        </w:rPr>
        <w:t xml:space="preserve">. </w:t>
      </w:r>
      <w:r w:rsidRPr="005F68D7" w:rsidR="00CE4367">
        <w:rPr>
          <w:rFonts w:ascii="Palatino Linotype" w:hAnsi="Palatino Linotype" w:cs="Arial"/>
          <w:sz w:val="24"/>
          <w:szCs w:val="24"/>
        </w:rPr>
        <w:t xml:space="preserve">For </w:t>
      </w:r>
      <w:r w:rsidRPr="005F68D7" w:rsidR="00D576C4">
        <w:rPr>
          <w:rFonts w:ascii="Palatino Linotype" w:hAnsi="Palatino Linotype" w:cs="Arial"/>
          <w:sz w:val="24"/>
          <w:szCs w:val="24"/>
        </w:rPr>
        <w:t xml:space="preserve">equity indicators 5, 6, 7, </w:t>
      </w:r>
      <w:r w:rsidRPr="005F68D7" w:rsidR="00D801C0">
        <w:rPr>
          <w:rFonts w:ascii="Palatino Linotype" w:hAnsi="Palatino Linotype" w:cs="Arial"/>
          <w:sz w:val="24"/>
          <w:szCs w:val="24"/>
        </w:rPr>
        <w:t xml:space="preserve">and </w:t>
      </w:r>
      <w:r w:rsidRPr="005F68D7" w:rsidR="00D576C4">
        <w:rPr>
          <w:rFonts w:ascii="Palatino Linotype" w:hAnsi="Palatino Linotype" w:cs="Arial"/>
          <w:sz w:val="24"/>
          <w:szCs w:val="24"/>
        </w:rPr>
        <w:t>8</w:t>
      </w:r>
      <w:r w:rsidRPr="005F68D7" w:rsidR="00D801C0">
        <w:rPr>
          <w:rFonts w:ascii="Palatino Linotype" w:hAnsi="Palatino Linotype" w:cs="Arial"/>
          <w:sz w:val="24"/>
          <w:szCs w:val="24"/>
        </w:rPr>
        <w:t xml:space="preserve">, PAs shall report </w:t>
      </w:r>
      <w:r w:rsidRPr="005F68D7" w:rsidR="00D76F40">
        <w:rPr>
          <w:rFonts w:ascii="Palatino Linotype" w:hAnsi="Palatino Linotype" w:cs="Arial"/>
          <w:sz w:val="24"/>
          <w:szCs w:val="24"/>
        </w:rPr>
        <w:t xml:space="preserve">net and gross as well as lifecycle </w:t>
      </w:r>
      <w:r w:rsidRPr="005F68D7" w:rsidR="00732BC9">
        <w:rPr>
          <w:rFonts w:ascii="Palatino Linotype" w:hAnsi="Palatino Linotype" w:cs="Arial"/>
          <w:sz w:val="24"/>
          <w:szCs w:val="24"/>
        </w:rPr>
        <w:t xml:space="preserve">(except kW) </w:t>
      </w:r>
      <w:r w:rsidRPr="005F68D7" w:rsidR="00D76F40">
        <w:rPr>
          <w:rFonts w:ascii="Palatino Linotype" w:hAnsi="Palatino Linotype" w:cs="Arial"/>
          <w:sz w:val="24"/>
          <w:szCs w:val="24"/>
        </w:rPr>
        <w:t>and first year</w:t>
      </w:r>
      <w:r w:rsidRPr="005F68D7" w:rsidR="00732BC9">
        <w:rPr>
          <w:rFonts w:ascii="Palatino Linotype" w:hAnsi="Palatino Linotype" w:cs="Arial"/>
          <w:sz w:val="24"/>
          <w:szCs w:val="24"/>
        </w:rPr>
        <w:t xml:space="preserve"> values</w:t>
      </w:r>
      <w:r w:rsidRPr="005F68D7" w:rsidR="00A97E6A">
        <w:rPr>
          <w:rFonts w:ascii="Palatino Linotype" w:hAnsi="Palatino Linotype" w:cs="Arial"/>
          <w:sz w:val="24"/>
          <w:szCs w:val="24"/>
        </w:rPr>
        <w:t>. Since these values are already reported in</w:t>
      </w:r>
      <w:r w:rsidRPr="005F68D7" w:rsidR="00F42AC0">
        <w:rPr>
          <w:rFonts w:ascii="Palatino Linotype" w:hAnsi="Palatino Linotype" w:cs="Arial"/>
          <w:sz w:val="24"/>
          <w:szCs w:val="24"/>
        </w:rPr>
        <w:t xml:space="preserve"> the California Energy Data and Repo</w:t>
      </w:r>
      <w:r w:rsidRPr="005F68D7" w:rsidR="00001089">
        <w:rPr>
          <w:rFonts w:ascii="Palatino Linotype" w:hAnsi="Palatino Linotype" w:cs="Arial"/>
          <w:sz w:val="24"/>
          <w:szCs w:val="24"/>
        </w:rPr>
        <w:t>rting</w:t>
      </w:r>
      <w:r w:rsidRPr="005F68D7" w:rsidR="00F42AC0">
        <w:rPr>
          <w:rFonts w:ascii="Palatino Linotype" w:hAnsi="Palatino Linotype" w:cs="Arial"/>
          <w:sz w:val="24"/>
          <w:szCs w:val="24"/>
        </w:rPr>
        <w:t xml:space="preserve"> System</w:t>
      </w:r>
      <w:r w:rsidRPr="005F68D7" w:rsidR="00A97E6A">
        <w:rPr>
          <w:rFonts w:ascii="Palatino Linotype" w:hAnsi="Palatino Linotype" w:cs="Arial"/>
          <w:sz w:val="24"/>
          <w:szCs w:val="24"/>
        </w:rPr>
        <w:t xml:space="preserve"> </w:t>
      </w:r>
      <w:r w:rsidRPr="005F68D7" w:rsidR="00F42AC0">
        <w:rPr>
          <w:rFonts w:ascii="Palatino Linotype" w:hAnsi="Palatino Linotype" w:cs="Arial"/>
          <w:sz w:val="24"/>
          <w:szCs w:val="24"/>
        </w:rPr>
        <w:t>(</w:t>
      </w:r>
      <w:r w:rsidRPr="005F68D7" w:rsidR="00A97E6A">
        <w:rPr>
          <w:rFonts w:ascii="Palatino Linotype" w:hAnsi="Palatino Linotype" w:cs="Arial"/>
          <w:sz w:val="24"/>
          <w:szCs w:val="24"/>
        </w:rPr>
        <w:t>CEDARS</w:t>
      </w:r>
      <w:r w:rsidRPr="005F68D7" w:rsidR="00F42AC0">
        <w:rPr>
          <w:rFonts w:ascii="Palatino Linotype" w:hAnsi="Palatino Linotype" w:cs="Arial"/>
          <w:sz w:val="24"/>
          <w:szCs w:val="24"/>
        </w:rPr>
        <w:t>)</w:t>
      </w:r>
      <w:r w:rsidRPr="005F68D7" w:rsidR="00A97E6A">
        <w:rPr>
          <w:rFonts w:ascii="Palatino Linotype" w:hAnsi="Palatino Linotype" w:cs="Arial"/>
          <w:sz w:val="24"/>
          <w:szCs w:val="24"/>
        </w:rPr>
        <w:t xml:space="preserve">, </w:t>
      </w:r>
      <w:r w:rsidRPr="005F68D7" w:rsidR="00D27CB9">
        <w:rPr>
          <w:rFonts w:ascii="Palatino Linotype" w:hAnsi="Palatino Linotype" w:cs="Arial"/>
          <w:sz w:val="24"/>
          <w:szCs w:val="24"/>
        </w:rPr>
        <w:t xml:space="preserve">these indicators plus </w:t>
      </w:r>
      <w:r w:rsidRPr="005F68D7" w:rsidR="00BC0090">
        <w:rPr>
          <w:rFonts w:ascii="Palatino Linotype" w:hAnsi="Palatino Linotype" w:cs="Arial"/>
          <w:sz w:val="24"/>
          <w:szCs w:val="24"/>
        </w:rPr>
        <w:t xml:space="preserve">equity </w:t>
      </w:r>
      <w:r w:rsidRPr="005F68D7" w:rsidR="00D27CB9">
        <w:rPr>
          <w:rFonts w:ascii="Palatino Linotype" w:hAnsi="Palatino Linotype" w:cs="Arial"/>
          <w:sz w:val="24"/>
          <w:szCs w:val="24"/>
        </w:rPr>
        <w:t xml:space="preserve">indicator 9 </w:t>
      </w:r>
      <w:r w:rsidRPr="005F68D7" w:rsidR="00415095">
        <w:rPr>
          <w:rFonts w:ascii="Palatino Linotype" w:hAnsi="Palatino Linotype" w:cs="Arial"/>
          <w:sz w:val="24"/>
          <w:szCs w:val="24"/>
        </w:rPr>
        <w:t xml:space="preserve">(TSB) </w:t>
      </w:r>
      <w:r w:rsidRPr="005F68D7" w:rsidR="00E22801">
        <w:rPr>
          <w:rFonts w:ascii="Palatino Linotype" w:hAnsi="Palatino Linotype" w:cs="Arial"/>
          <w:sz w:val="24"/>
          <w:szCs w:val="24"/>
        </w:rPr>
        <w:t xml:space="preserve">will be assessed via that instrument and these values need not be </w:t>
      </w:r>
      <w:r w:rsidRPr="005F68D7" w:rsidR="00C04DF5">
        <w:rPr>
          <w:rFonts w:ascii="Palatino Linotype" w:hAnsi="Palatino Linotype" w:cs="Arial"/>
          <w:sz w:val="24"/>
          <w:szCs w:val="24"/>
        </w:rPr>
        <w:t>reported</w:t>
      </w:r>
      <w:r w:rsidRPr="005F68D7" w:rsidR="000C2D6E">
        <w:rPr>
          <w:rFonts w:ascii="Palatino Linotype" w:hAnsi="Palatino Linotype" w:cs="Arial"/>
          <w:sz w:val="24"/>
          <w:szCs w:val="24"/>
        </w:rPr>
        <w:t xml:space="preserve"> separately</w:t>
      </w:r>
      <w:r w:rsidRPr="005F68D7" w:rsidR="00C04DF5">
        <w:rPr>
          <w:rFonts w:ascii="Palatino Linotype" w:hAnsi="Palatino Linotype" w:cs="Arial"/>
          <w:sz w:val="24"/>
          <w:szCs w:val="24"/>
        </w:rPr>
        <w:t xml:space="preserve"> </w:t>
      </w:r>
      <w:r w:rsidRPr="005F68D7" w:rsidR="00804F36">
        <w:rPr>
          <w:rFonts w:ascii="Palatino Linotype" w:hAnsi="Palatino Linotype" w:cs="Arial"/>
          <w:sz w:val="24"/>
          <w:szCs w:val="24"/>
        </w:rPr>
        <w:t xml:space="preserve">or </w:t>
      </w:r>
      <w:r w:rsidRPr="005F68D7" w:rsidR="00C04DF5">
        <w:rPr>
          <w:rFonts w:ascii="Palatino Linotype" w:hAnsi="Palatino Linotype" w:cs="Arial"/>
          <w:sz w:val="24"/>
          <w:szCs w:val="24"/>
        </w:rPr>
        <w:t xml:space="preserve">in </w:t>
      </w:r>
      <w:r w:rsidRPr="005F68D7" w:rsidR="00FE0433">
        <w:rPr>
          <w:rFonts w:ascii="Palatino Linotype" w:hAnsi="Palatino Linotype" w:cs="Arial"/>
          <w:sz w:val="24"/>
          <w:szCs w:val="24"/>
        </w:rPr>
        <w:t>duplicat</w:t>
      </w:r>
      <w:r w:rsidRPr="005F68D7" w:rsidR="00C04DF5">
        <w:rPr>
          <w:rFonts w:ascii="Palatino Linotype" w:hAnsi="Palatino Linotype" w:cs="Arial"/>
          <w:sz w:val="24"/>
          <w:szCs w:val="24"/>
        </w:rPr>
        <w:t>e</w:t>
      </w:r>
      <w:r w:rsidRPr="005F68D7" w:rsidR="00E22801">
        <w:rPr>
          <w:rFonts w:ascii="Palatino Linotype" w:hAnsi="Palatino Linotype" w:cs="Arial"/>
          <w:sz w:val="24"/>
          <w:szCs w:val="24"/>
        </w:rPr>
        <w:t>.</w:t>
      </w:r>
    </w:p>
    <w:p w:rsidRPr="005F68D7" w:rsidR="000C2D6E" w:rsidP="00D76F40" w:rsidRDefault="000C2D6E" w14:paraId="1D844348" w14:textId="77777777">
      <w:pPr>
        <w:jc w:val="both"/>
        <w:rPr>
          <w:rFonts w:ascii="Palatino Linotype" w:hAnsi="Palatino Linotype" w:cs="Arial"/>
          <w:bCs/>
          <w:sz w:val="24"/>
          <w:szCs w:val="24"/>
        </w:rPr>
      </w:pPr>
    </w:p>
    <w:p w:rsidRPr="005F68D7" w:rsidR="000C2D6E" w:rsidP="004613EF" w:rsidRDefault="000C2D6E" w14:paraId="7BD7878D" w14:textId="76BAEE51">
      <w:pPr>
        <w:pStyle w:val="Heading1"/>
        <w:ind w:firstLine="720"/>
        <w:rPr>
          <w:rFonts w:ascii="Palatino Linotype" w:hAnsi="Palatino Linotype"/>
          <w:sz w:val="24"/>
          <w:szCs w:val="24"/>
        </w:rPr>
      </w:pPr>
      <w:r w:rsidRPr="005F68D7">
        <w:rPr>
          <w:rFonts w:ascii="Palatino Linotype" w:hAnsi="Palatino Linotype"/>
          <w:caps w:val="0"/>
          <w:sz w:val="24"/>
          <w:szCs w:val="24"/>
        </w:rPr>
        <w:t>Recommendation</w:t>
      </w:r>
      <w:r w:rsidRPr="005F68D7" w:rsidR="001E1752">
        <w:rPr>
          <w:rFonts w:ascii="Palatino Linotype" w:hAnsi="Palatino Linotype"/>
          <w:caps w:val="0"/>
          <w:sz w:val="24"/>
          <w:szCs w:val="24"/>
        </w:rPr>
        <w:t>s</w:t>
      </w:r>
      <w:r w:rsidRPr="005F68D7">
        <w:rPr>
          <w:rFonts w:ascii="Palatino Linotype" w:hAnsi="Palatino Linotype"/>
          <w:caps w:val="0"/>
          <w:sz w:val="24"/>
          <w:szCs w:val="24"/>
        </w:rPr>
        <w:t xml:space="preserve"> 5</w:t>
      </w:r>
      <w:r w:rsidRPr="005F68D7" w:rsidR="001E1752">
        <w:rPr>
          <w:rFonts w:ascii="Palatino Linotype" w:hAnsi="Palatino Linotype"/>
          <w:caps w:val="0"/>
          <w:sz w:val="24"/>
          <w:szCs w:val="24"/>
        </w:rPr>
        <w:t xml:space="preserve"> &amp; 6</w:t>
      </w:r>
      <w:r w:rsidRPr="005F68D7" w:rsidR="0060039D">
        <w:rPr>
          <w:rFonts w:ascii="Palatino Linotype" w:hAnsi="Palatino Linotype"/>
          <w:caps w:val="0"/>
          <w:sz w:val="24"/>
          <w:szCs w:val="24"/>
        </w:rPr>
        <w:t xml:space="preserve">: Calculating </w:t>
      </w:r>
      <w:r w:rsidRPr="005F68D7" w:rsidR="001E1752">
        <w:rPr>
          <w:rFonts w:ascii="Palatino Linotype" w:hAnsi="Palatino Linotype"/>
          <w:caps w:val="0"/>
          <w:sz w:val="24"/>
          <w:szCs w:val="24"/>
        </w:rPr>
        <w:t xml:space="preserve">&amp; Reporting </w:t>
      </w:r>
      <w:r w:rsidRPr="005F68D7" w:rsidR="0060039D">
        <w:rPr>
          <w:rFonts w:ascii="Palatino Linotype" w:hAnsi="Palatino Linotype"/>
          <w:caps w:val="0"/>
          <w:sz w:val="24"/>
          <w:szCs w:val="24"/>
        </w:rPr>
        <w:t>Bill Savings</w:t>
      </w:r>
    </w:p>
    <w:p w:rsidRPr="005F68D7" w:rsidR="0060039D" w:rsidP="00A4547A" w:rsidRDefault="00C50E3F" w14:paraId="249C8ADD" w14:textId="3A4D3F58">
      <w:pPr>
        <w:rPr>
          <w:rFonts w:ascii="Palatino Linotype" w:hAnsi="Palatino Linotype" w:cs="Arial"/>
          <w:sz w:val="24"/>
          <w:szCs w:val="24"/>
        </w:rPr>
      </w:pPr>
      <w:r w:rsidRPr="005F68D7">
        <w:rPr>
          <w:rFonts w:ascii="Palatino Linotype" w:hAnsi="Palatino Linotype" w:cs="Arial"/>
          <w:sz w:val="24"/>
          <w:szCs w:val="24"/>
        </w:rPr>
        <w:t xml:space="preserve">EMSWG Report suggests </w:t>
      </w:r>
      <w:r w:rsidRPr="005F68D7" w:rsidR="00AC2CA9">
        <w:rPr>
          <w:rFonts w:ascii="Palatino Linotype" w:hAnsi="Palatino Linotype" w:cs="Arial"/>
          <w:sz w:val="24"/>
          <w:szCs w:val="24"/>
        </w:rPr>
        <w:t xml:space="preserve">(nonconsensus recommendation) </w:t>
      </w:r>
      <w:r w:rsidRPr="005F68D7">
        <w:rPr>
          <w:rFonts w:ascii="Palatino Linotype" w:hAnsi="Palatino Linotype" w:cs="Arial"/>
          <w:sz w:val="24"/>
          <w:szCs w:val="24"/>
        </w:rPr>
        <w:t>calculating bill savings</w:t>
      </w:r>
      <w:r w:rsidRPr="005F68D7" w:rsidR="00AC2CA9">
        <w:rPr>
          <w:rFonts w:ascii="Palatino Linotype" w:hAnsi="Palatino Linotype" w:cs="Arial"/>
          <w:sz w:val="24"/>
          <w:szCs w:val="24"/>
        </w:rPr>
        <w:t xml:space="preserve"> </w:t>
      </w:r>
      <w:r w:rsidRPr="005F68D7" w:rsidR="005D3FC5">
        <w:rPr>
          <w:rFonts w:ascii="Palatino Linotype" w:hAnsi="Palatino Linotype" w:cs="Arial"/>
          <w:sz w:val="24"/>
          <w:szCs w:val="24"/>
        </w:rPr>
        <w:t xml:space="preserve">for equity indicator 2 </w:t>
      </w:r>
      <w:r w:rsidRPr="005F68D7" w:rsidR="009313D5">
        <w:rPr>
          <w:rFonts w:ascii="Palatino Linotype" w:hAnsi="Palatino Linotype" w:cs="Arial"/>
          <w:sz w:val="24"/>
          <w:szCs w:val="24"/>
        </w:rPr>
        <w:t>(Sum of equity target participants’ expected first-year bill savings in equity segment, by sector</w:t>
      </w:r>
      <w:r w:rsidRPr="005F68D7" w:rsidR="00D40C0E">
        <w:rPr>
          <w:rFonts w:ascii="Palatino Linotype" w:hAnsi="Palatino Linotype" w:cs="Arial"/>
          <w:sz w:val="24"/>
          <w:szCs w:val="24"/>
        </w:rPr>
        <w:t xml:space="preserve"> (Q,</w:t>
      </w:r>
      <w:r w:rsidRPr="005F68D7" w:rsidR="000C1845">
        <w:rPr>
          <w:rFonts w:ascii="Palatino Linotype" w:hAnsi="Palatino Linotype" w:cs="Arial"/>
          <w:sz w:val="24"/>
          <w:szCs w:val="24"/>
        </w:rPr>
        <w:t xml:space="preserve"> </w:t>
      </w:r>
      <w:r w:rsidRPr="005F68D7" w:rsidR="00D40C0E">
        <w:rPr>
          <w:rFonts w:ascii="Palatino Linotype" w:hAnsi="Palatino Linotype" w:cs="Arial"/>
          <w:sz w:val="24"/>
          <w:szCs w:val="24"/>
        </w:rPr>
        <w:t>S)</w:t>
      </w:r>
      <w:r w:rsidRPr="005F68D7" w:rsidR="009313D5">
        <w:rPr>
          <w:rFonts w:ascii="Palatino Linotype" w:hAnsi="Palatino Linotype" w:cs="Arial"/>
          <w:sz w:val="24"/>
          <w:szCs w:val="24"/>
        </w:rPr>
        <w:t xml:space="preserve">) </w:t>
      </w:r>
      <w:r w:rsidRPr="005F68D7" w:rsidR="00332C8E">
        <w:rPr>
          <w:rFonts w:ascii="Palatino Linotype" w:hAnsi="Palatino Linotype" w:cs="Arial"/>
          <w:sz w:val="24"/>
          <w:szCs w:val="24"/>
        </w:rPr>
        <w:t>“</w:t>
      </w:r>
      <w:r w:rsidRPr="005F68D7" w:rsidR="009313D5">
        <w:rPr>
          <w:rFonts w:ascii="Palatino Linotype" w:hAnsi="Palatino Linotype" w:cs="Arial"/>
          <w:sz w:val="24"/>
          <w:szCs w:val="24"/>
        </w:rPr>
        <w:t>using a PA-specific electric or gas rate multiplied by</w:t>
      </w:r>
      <w:r w:rsidRPr="005F68D7" w:rsidR="00332C8E">
        <w:rPr>
          <w:rFonts w:ascii="Palatino Linotype" w:hAnsi="Palatino Linotype" w:cs="Arial"/>
          <w:sz w:val="24"/>
          <w:szCs w:val="24"/>
        </w:rPr>
        <w:t xml:space="preserve"> </w:t>
      </w:r>
      <w:r w:rsidRPr="005F68D7" w:rsidR="009313D5">
        <w:rPr>
          <w:rFonts w:ascii="Palatino Linotype" w:hAnsi="Palatino Linotype" w:cs="Arial"/>
          <w:sz w:val="24"/>
          <w:szCs w:val="24"/>
        </w:rPr>
        <w:t>first-year, gross ex ante electric or gas savings.</w:t>
      </w:r>
      <w:r w:rsidRPr="005F68D7" w:rsidR="00332C8E">
        <w:rPr>
          <w:rFonts w:ascii="Palatino Linotype" w:hAnsi="Palatino Linotype" w:cs="Arial"/>
          <w:sz w:val="24"/>
          <w:szCs w:val="24"/>
        </w:rPr>
        <w:t>”</w:t>
      </w:r>
      <w:r w:rsidRPr="005F68D7" w:rsidR="00F83944">
        <w:rPr>
          <w:rFonts w:ascii="Palatino Linotype" w:hAnsi="Palatino Linotype" w:cs="Arial"/>
          <w:sz w:val="24"/>
          <w:szCs w:val="24"/>
        </w:rPr>
        <w:t xml:space="preserve"> </w:t>
      </w:r>
      <w:r w:rsidRPr="005F68D7" w:rsidR="004342C3">
        <w:rPr>
          <w:rFonts w:ascii="Palatino Linotype" w:hAnsi="Palatino Linotype" w:cs="Arial"/>
          <w:bCs/>
          <w:sz w:val="24"/>
          <w:szCs w:val="24"/>
        </w:rPr>
        <w:t>The Commission</w:t>
      </w:r>
      <w:r w:rsidRPr="005F68D7" w:rsidR="00F83944">
        <w:rPr>
          <w:rFonts w:ascii="Palatino Linotype" w:hAnsi="Palatino Linotype" w:cs="Arial"/>
          <w:sz w:val="24"/>
          <w:szCs w:val="24"/>
        </w:rPr>
        <w:t xml:space="preserve"> does not agree with this recommendation</w:t>
      </w:r>
      <w:r w:rsidRPr="005F68D7" w:rsidR="00F27949">
        <w:rPr>
          <w:rFonts w:ascii="Palatino Linotype" w:hAnsi="Palatino Linotype" w:cs="Arial"/>
          <w:sz w:val="24"/>
          <w:szCs w:val="24"/>
        </w:rPr>
        <w:t xml:space="preserve"> because it does not provide for</w:t>
      </w:r>
      <w:r w:rsidRPr="005F68D7" w:rsidR="000574EB">
        <w:rPr>
          <w:rFonts w:ascii="Palatino Linotype" w:hAnsi="Palatino Linotype" w:cs="Arial"/>
          <w:sz w:val="24"/>
          <w:szCs w:val="24"/>
        </w:rPr>
        <w:t xml:space="preserve"> time-of-use</w:t>
      </w:r>
      <w:r w:rsidRPr="005F68D7" w:rsidR="00F27949">
        <w:rPr>
          <w:rFonts w:ascii="Palatino Linotype" w:hAnsi="Palatino Linotype" w:cs="Arial"/>
          <w:sz w:val="24"/>
          <w:szCs w:val="24"/>
        </w:rPr>
        <w:t xml:space="preserve"> </w:t>
      </w:r>
      <w:r w:rsidRPr="005F68D7" w:rsidR="008205E0">
        <w:rPr>
          <w:rFonts w:ascii="Palatino Linotype" w:hAnsi="Palatino Linotype" w:cs="Arial"/>
          <w:sz w:val="24"/>
          <w:szCs w:val="24"/>
        </w:rPr>
        <w:t>(</w:t>
      </w:r>
      <w:r w:rsidRPr="005F68D7" w:rsidR="006C133F">
        <w:rPr>
          <w:rFonts w:ascii="Palatino Linotype" w:hAnsi="Palatino Linotype" w:cs="Arial"/>
          <w:sz w:val="24"/>
          <w:szCs w:val="24"/>
        </w:rPr>
        <w:t>TOU</w:t>
      </w:r>
      <w:r w:rsidRPr="005F68D7" w:rsidR="008205E0">
        <w:rPr>
          <w:rFonts w:ascii="Palatino Linotype" w:hAnsi="Palatino Linotype" w:cs="Arial"/>
          <w:sz w:val="24"/>
          <w:szCs w:val="24"/>
        </w:rPr>
        <w:t>)</w:t>
      </w:r>
      <w:r w:rsidRPr="005F68D7" w:rsidR="006C133F">
        <w:rPr>
          <w:rFonts w:ascii="Palatino Linotype" w:hAnsi="Palatino Linotype" w:cs="Arial"/>
          <w:sz w:val="24"/>
          <w:szCs w:val="24"/>
        </w:rPr>
        <w:t xml:space="preserve"> rates which are prevalent across CA ratepayers. </w:t>
      </w:r>
      <w:r w:rsidRPr="005F68D7" w:rsidR="00EF78FD">
        <w:rPr>
          <w:rFonts w:ascii="Palatino Linotype" w:hAnsi="Palatino Linotype" w:cs="Arial"/>
          <w:sz w:val="24"/>
          <w:szCs w:val="24"/>
        </w:rPr>
        <w:t xml:space="preserve">Also, </w:t>
      </w:r>
      <w:r w:rsidRPr="005F68D7" w:rsidR="006356D5">
        <w:rPr>
          <w:rFonts w:ascii="Palatino Linotype" w:hAnsi="Palatino Linotype" w:cs="Arial"/>
          <w:sz w:val="24"/>
          <w:szCs w:val="24"/>
        </w:rPr>
        <w:t>Commission</w:t>
      </w:r>
      <w:r w:rsidRPr="005F68D7" w:rsidR="00E86230">
        <w:rPr>
          <w:rFonts w:ascii="Palatino Linotype" w:hAnsi="Palatino Linotype" w:cs="Arial"/>
          <w:sz w:val="24"/>
          <w:szCs w:val="24"/>
        </w:rPr>
        <w:t xml:space="preserve"> practice is to </w:t>
      </w:r>
      <w:r w:rsidRPr="005F68D7" w:rsidR="00BC169B">
        <w:rPr>
          <w:rFonts w:ascii="Palatino Linotype" w:hAnsi="Palatino Linotype" w:cs="Arial"/>
          <w:sz w:val="24"/>
          <w:szCs w:val="24"/>
        </w:rPr>
        <w:t xml:space="preserve">assess compliance by </w:t>
      </w:r>
      <w:r w:rsidRPr="005F68D7" w:rsidR="00E86230">
        <w:rPr>
          <w:rFonts w:ascii="Palatino Linotype" w:hAnsi="Palatino Linotype" w:cs="Arial"/>
          <w:sz w:val="24"/>
          <w:szCs w:val="24"/>
        </w:rPr>
        <w:t>measur</w:t>
      </w:r>
      <w:r w:rsidRPr="005F68D7" w:rsidR="00BC169B">
        <w:rPr>
          <w:rFonts w:ascii="Palatino Linotype" w:hAnsi="Palatino Linotype" w:cs="Arial"/>
          <w:sz w:val="24"/>
          <w:szCs w:val="24"/>
        </w:rPr>
        <w:t>ing net</w:t>
      </w:r>
      <w:r w:rsidRPr="005F68D7" w:rsidR="00E86230">
        <w:rPr>
          <w:rFonts w:ascii="Palatino Linotype" w:hAnsi="Palatino Linotype" w:cs="Arial"/>
          <w:sz w:val="24"/>
          <w:szCs w:val="24"/>
        </w:rPr>
        <w:t xml:space="preserve"> benefits</w:t>
      </w:r>
      <w:r w:rsidRPr="005F68D7" w:rsidR="00CF0288">
        <w:rPr>
          <w:rFonts w:ascii="Palatino Linotype" w:hAnsi="Palatino Linotype" w:cs="Arial"/>
          <w:sz w:val="24"/>
          <w:szCs w:val="24"/>
        </w:rPr>
        <w:t xml:space="preserve">. </w:t>
      </w:r>
    </w:p>
    <w:p w:rsidRPr="005F68D7" w:rsidR="00BD3962" w:rsidP="00A4547A" w:rsidRDefault="00BD3962" w14:paraId="5BAA3539" w14:textId="77777777">
      <w:pPr>
        <w:rPr>
          <w:rFonts w:ascii="Palatino Linotype" w:hAnsi="Palatino Linotype" w:cs="Arial"/>
          <w:sz w:val="24"/>
          <w:szCs w:val="24"/>
        </w:rPr>
      </w:pPr>
    </w:p>
    <w:p w:rsidRPr="005F68D7" w:rsidR="00BD3962" w:rsidP="00A4547A" w:rsidRDefault="00BD3962" w14:paraId="4BA07C3D" w14:textId="20BDAF51">
      <w:pPr>
        <w:rPr>
          <w:rFonts w:ascii="Palatino Linotype" w:hAnsi="Palatino Linotype" w:cs="Arial"/>
          <w:sz w:val="24"/>
          <w:szCs w:val="24"/>
        </w:rPr>
      </w:pPr>
      <w:r w:rsidRPr="005F68D7">
        <w:rPr>
          <w:rFonts w:ascii="Palatino Linotype" w:hAnsi="Palatino Linotype" w:cs="Arial"/>
          <w:sz w:val="24"/>
          <w:szCs w:val="24"/>
        </w:rPr>
        <w:t xml:space="preserve">AB 3264 </w:t>
      </w:r>
      <w:r w:rsidRPr="005F68D7" w:rsidR="00573FBF">
        <w:rPr>
          <w:rFonts w:ascii="Palatino Linotype" w:hAnsi="Palatino Linotype" w:cs="Arial"/>
          <w:sz w:val="24"/>
          <w:szCs w:val="24"/>
        </w:rPr>
        <w:t xml:space="preserve">Section 4 </w:t>
      </w:r>
      <w:r w:rsidRPr="005F68D7">
        <w:rPr>
          <w:rFonts w:ascii="Palatino Linotype" w:hAnsi="Palatino Linotype" w:cs="Arial"/>
          <w:sz w:val="24"/>
          <w:szCs w:val="24"/>
        </w:rPr>
        <w:t xml:space="preserve">requests the </w:t>
      </w:r>
      <w:r w:rsidRPr="005F68D7" w:rsidR="006356D5">
        <w:rPr>
          <w:rFonts w:ascii="Palatino Linotype" w:hAnsi="Palatino Linotype" w:cs="Arial"/>
          <w:sz w:val="24"/>
          <w:szCs w:val="24"/>
        </w:rPr>
        <w:t>Commission</w:t>
      </w:r>
      <w:r w:rsidRPr="005F68D7">
        <w:rPr>
          <w:rFonts w:ascii="Palatino Linotype" w:hAnsi="Palatino Linotype" w:cs="Arial"/>
          <w:sz w:val="24"/>
          <w:szCs w:val="24"/>
        </w:rPr>
        <w:t xml:space="preserve"> to report on </w:t>
      </w:r>
      <w:r w:rsidRPr="005F68D7" w:rsidR="00573FBF">
        <w:rPr>
          <w:rFonts w:ascii="Palatino Linotype" w:hAnsi="Palatino Linotype" w:cs="Arial"/>
          <w:sz w:val="24"/>
          <w:szCs w:val="24"/>
        </w:rPr>
        <w:t>“(D) Projected and actual bill savings to the average participating and the average nonparticipating ratepayer.”</w:t>
      </w:r>
      <w:r w:rsidRPr="005F68D7" w:rsidR="005145D4">
        <w:rPr>
          <w:rFonts w:ascii="Palatino Linotype" w:hAnsi="Palatino Linotype" w:cs="Arial"/>
          <w:sz w:val="24"/>
          <w:szCs w:val="24"/>
        </w:rPr>
        <w:t xml:space="preserve">  This language </w:t>
      </w:r>
      <w:r w:rsidRPr="005F68D7" w:rsidR="00691094">
        <w:rPr>
          <w:rFonts w:ascii="Palatino Linotype" w:hAnsi="Palatino Linotype" w:cs="Arial"/>
          <w:sz w:val="24"/>
          <w:szCs w:val="24"/>
        </w:rPr>
        <w:t>essentially</w:t>
      </w:r>
      <w:r w:rsidRPr="005F68D7" w:rsidR="005145D4">
        <w:rPr>
          <w:rFonts w:ascii="Palatino Linotype" w:hAnsi="Palatino Linotype" w:cs="Arial"/>
          <w:sz w:val="24"/>
          <w:szCs w:val="24"/>
        </w:rPr>
        <w:t xml:space="preserve"> expands Equity indicator 2 to </w:t>
      </w:r>
      <w:r w:rsidRPr="005F68D7" w:rsidR="00A922B1">
        <w:rPr>
          <w:rFonts w:ascii="Palatino Linotype" w:hAnsi="Palatino Linotype" w:cs="Arial"/>
          <w:sz w:val="24"/>
          <w:szCs w:val="24"/>
        </w:rPr>
        <w:t>the entire portfolio</w:t>
      </w:r>
      <w:r w:rsidRPr="005F68D7" w:rsidR="000964C2">
        <w:rPr>
          <w:rFonts w:ascii="Palatino Linotype" w:hAnsi="Palatino Linotype" w:cs="Arial"/>
          <w:sz w:val="24"/>
          <w:szCs w:val="24"/>
        </w:rPr>
        <w:t xml:space="preserve"> </w:t>
      </w:r>
      <w:r w:rsidRPr="005F68D7" w:rsidR="00A922B1">
        <w:rPr>
          <w:rFonts w:ascii="Palatino Linotype" w:hAnsi="Palatino Linotype" w:cs="Arial"/>
          <w:sz w:val="24"/>
          <w:szCs w:val="24"/>
        </w:rPr>
        <w:t xml:space="preserve">and focuses on understanding bill savings to </w:t>
      </w:r>
      <w:r w:rsidRPr="005F68D7" w:rsidR="00691094">
        <w:rPr>
          <w:rFonts w:ascii="Palatino Linotype" w:hAnsi="Palatino Linotype" w:cs="Arial"/>
          <w:sz w:val="24"/>
          <w:szCs w:val="24"/>
        </w:rPr>
        <w:t xml:space="preserve">individual ratepayers.   </w:t>
      </w:r>
    </w:p>
    <w:p w:rsidRPr="005F68D7" w:rsidR="00D56DF2" w:rsidP="00A4547A" w:rsidRDefault="00D56DF2" w14:paraId="7BCF2188" w14:textId="1C9BF57F">
      <w:pPr>
        <w:rPr>
          <w:rFonts w:ascii="Palatino Linotype" w:hAnsi="Palatino Linotype" w:cs="Arial"/>
          <w:sz w:val="24"/>
          <w:szCs w:val="24"/>
        </w:rPr>
      </w:pPr>
    </w:p>
    <w:p w:rsidRPr="005F68D7" w:rsidR="001906E8" w:rsidP="009313D5" w:rsidRDefault="00F33C91" w14:paraId="0CE6006E" w14:textId="0D9B0105">
      <w:pPr>
        <w:jc w:val="both"/>
        <w:rPr>
          <w:rFonts w:ascii="Palatino Linotype" w:hAnsi="Palatino Linotype" w:cs="Arial"/>
          <w:sz w:val="24"/>
          <w:szCs w:val="24"/>
        </w:rPr>
      </w:pPr>
      <w:r w:rsidRPr="005F68D7">
        <w:rPr>
          <w:rFonts w:ascii="Palatino Linotype" w:hAnsi="Palatino Linotype" w:cs="Arial"/>
          <w:sz w:val="24"/>
          <w:szCs w:val="24"/>
        </w:rPr>
        <w:lastRenderedPageBreak/>
        <w:t>C</w:t>
      </w:r>
      <w:r w:rsidRPr="005F68D7" w:rsidR="00CE3416">
        <w:rPr>
          <w:rFonts w:ascii="Palatino Linotype" w:hAnsi="Palatino Linotype" w:cs="Arial"/>
          <w:sz w:val="24"/>
          <w:szCs w:val="24"/>
        </w:rPr>
        <w:t xml:space="preserve">ollaborating </w:t>
      </w:r>
      <w:r w:rsidRPr="005F68D7">
        <w:rPr>
          <w:rFonts w:ascii="Palatino Linotype" w:hAnsi="Palatino Linotype" w:cs="Arial"/>
          <w:sz w:val="24"/>
          <w:szCs w:val="24"/>
        </w:rPr>
        <w:t xml:space="preserve">via the Reporting </w:t>
      </w:r>
      <w:r w:rsidRPr="005F68D7" w:rsidR="00E17E8A">
        <w:rPr>
          <w:rFonts w:ascii="Palatino Linotype" w:hAnsi="Palatino Linotype" w:cs="Arial"/>
          <w:sz w:val="24"/>
          <w:szCs w:val="24"/>
        </w:rPr>
        <w:t>PCG</w:t>
      </w:r>
      <w:r w:rsidRPr="005F68D7" w:rsidR="00701D3B">
        <w:rPr>
          <w:rFonts w:ascii="Palatino Linotype" w:hAnsi="Palatino Linotype" w:cs="Arial"/>
          <w:sz w:val="24"/>
          <w:szCs w:val="24"/>
        </w:rPr>
        <w:t>, the</w:t>
      </w:r>
      <w:r w:rsidRPr="005F68D7" w:rsidR="00F9435F">
        <w:rPr>
          <w:rFonts w:ascii="Palatino Linotype" w:hAnsi="Palatino Linotype" w:cs="Arial"/>
          <w:sz w:val="24"/>
          <w:szCs w:val="24"/>
        </w:rPr>
        <w:t xml:space="preserve"> </w:t>
      </w:r>
      <w:r w:rsidRPr="005F68D7" w:rsidR="00485521">
        <w:rPr>
          <w:rFonts w:ascii="Palatino Linotype" w:hAnsi="Palatino Linotype" w:cs="Arial"/>
          <w:sz w:val="24"/>
          <w:szCs w:val="24"/>
        </w:rPr>
        <w:t>P</w:t>
      </w:r>
      <w:r w:rsidRPr="005F68D7" w:rsidR="00E854EB">
        <w:rPr>
          <w:rFonts w:ascii="Palatino Linotype" w:hAnsi="Palatino Linotype" w:cs="Arial"/>
          <w:sz w:val="24"/>
          <w:szCs w:val="24"/>
        </w:rPr>
        <w:t>A</w:t>
      </w:r>
      <w:r w:rsidRPr="005F68D7" w:rsidR="00485521">
        <w:rPr>
          <w:rFonts w:ascii="Palatino Linotype" w:hAnsi="Palatino Linotype" w:cs="Arial"/>
          <w:sz w:val="24"/>
          <w:szCs w:val="24"/>
        </w:rPr>
        <w:t xml:space="preserve">s </w:t>
      </w:r>
      <w:r w:rsidRPr="005F68D7" w:rsidR="009530F8">
        <w:rPr>
          <w:rFonts w:ascii="Palatino Linotype" w:hAnsi="Palatino Linotype" w:cs="Arial"/>
          <w:sz w:val="24"/>
          <w:szCs w:val="24"/>
        </w:rPr>
        <w:t>shall</w:t>
      </w:r>
      <w:r w:rsidRPr="005F68D7" w:rsidR="001C19D9">
        <w:rPr>
          <w:rFonts w:ascii="Palatino Linotype" w:hAnsi="Palatino Linotype" w:cs="Arial"/>
          <w:sz w:val="24"/>
          <w:szCs w:val="24"/>
        </w:rPr>
        <w:t xml:space="preserve"> </w:t>
      </w:r>
      <w:r w:rsidRPr="005F68D7" w:rsidR="00E17E8A">
        <w:rPr>
          <w:rFonts w:ascii="Palatino Linotype" w:hAnsi="Palatino Linotype" w:cs="Arial"/>
          <w:sz w:val="24"/>
          <w:szCs w:val="24"/>
        </w:rPr>
        <w:t>develop and implement a common</w:t>
      </w:r>
      <w:r w:rsidRPr="005F68D7" w:rsidR="00485521">
        <w:rPr>
          <w:rFonts w:ascii="Palatino Linotype" w:hAnsi="Palatino Linotype" w:cs="Arial"/>
          <w:sz w:val="24"/>
          <w:szCs w:val="24"/>
        </w:rPr>
        <w:t xml:space="preserve"> methodology </w:t>
      </w:r>
      <w:r w:rsidRPr="005F68D7" w:rsidR="00D37151">
        <w:rPr>
          <w:rFonts w:ascii="Palatino Linotype" w:hAnsi="Palatino Linotype" w:cs="Arial"/>
          <w:sz w:val="24"/>
          <w:szCs w:val="24"/>
        </w:rPr>
        <w:t xml:space="preserve">all PAs will use </w:t>
      </w:r>
      <w:r w:rsidRPr="005F68D7" w:rsidR="00767ABE">
        <w:rPr>
          <w:rFonts w:ascii="Palatino Linotype" w:hAnsi="Palatino Linotype" w:cs="Arial"/>
          <w:sz w:val="24"/>
          <w:szCs w:val="24"/>
        </w:rPr>
        <w:t>for estimating bill savings</w:t>
      </w:r>
      <w:r w:rsidRPr="005F68D7" w:rsidR="00AB3C9F">
        <w:rPr>
          <w:rFonts w:ascii="Palatino Linotype" w:hAnsi="Palatino Linotype" w:cs="Arial"/>
          <w:sz w:val="24"/>
          <w:szCs w:val="24"/>
        </w:rPr>
        <w:t>. The intention is not an analysis of the actual customer’s load profile but an aggregated calculation of the participants’ bill impacts.</w:t>
      </w:r>
      <w:r w:rsidRPr="005F68D7" w:rsidR="007F221B">
        <w:rPr>
          <w:rFonts w:ascii="Palatino Linotype" w:hAnsi="Palatino Linotype" w:cs="Arial"/>
          <w:sz w:val="24"/>
          <w:szCs w:val="24"/>
        </w:rPr>
        <w:t xml:space="preserve">  The methodology must meet the following criteria:  </w:t>
      </w:r>
      <w:r w:rsidRPr="005F68D7" w:rsidR="00614A66">
        <w:rPr>
          <w:rFonts w:ascii="Palatino Linotype" w:hAnsi="Palatino Linotype" w:cs="Arial"/>
          <w:sz w:val="24"/>
          <w:szCs w:val="24"/>
        </w:rPr>
        <w:t xml:space="preserve"> </w:t>
      </w:r>
    </w:p>
    <w:p w:rsidRPr="005F68D7" w:rsidR="00B11F61" w:rsidP="00B72955" w:rsidRDefault="00244D6A" w14:paraId="14F81B5F" w14:textId="7DF191C2">
      <w:pPr>
        <w:pStyle w:val="ListParagraph"/>
        <w:numPr>
          <w:ilvl w:val="0"/>
          <w:numId w:val="27"/>
        </w:numPr>
        <w:jc w:val="both"/>
        <w:rPr>
          <w:rFonts w:ascii="Palatino Linotype" w:hAnsi="Palatino Linotype" w:cs="Arial"/>
          <w:sz w:val="24"/>
          <w:szCs w:val="24"/>
        </w:rPr>
      </w:pPr>
      <w:r w:rsidRPr="005F68D7">
        <w:rPr>
          <w:rFonts w:ascii="Palatino Linotype" w:hAnsi="Palatino Linotype" w:cs="Arial"/>
          <w:sz w:val="24"/>
          <w:szCs w:val="24"/>
        </w:rPr>
        <w:t xml:space="preserve">Must account for differences in customers in </w:t>
      </w:r>
      <w:r w:rsidRPr="005F68D7" w:rsidR="004E2162">
        <w:rPr>
          <w:rFonts w:ascii="Palatino Linotype" w:hAnsi="Palatino Linotype" w:cs="Arial"/>
          <w:sz w:val="24"/>
          <w:szCs w:val="24"/>
        </w:rPr>
        <w:t xml:space="preserve">resource acquisition and </w:t>
      </w:r>
      <w:r w:rsidRPr="005F68D7" w:rsidR="007812F7">
        <w:rPr>
          <w:rFonts w:ascii="Palatino Linotype" w:hAnsi="Palatino Linotype" w:cs="Arial"/>
          <w:sz w:val="24"/>
          <w:szCs w:val="24"/>
        </w:rPr>
        <w:t>equity segments</w:t>
      </w:r>
      <w:r w:rsidRPr="005F68D7" w:rsidR="00614A66">
        <w:rPr>
          <w:rFonts w:ascii="Palatino Linotype" w:hAnsi="Palatino Linotype" w:cs="Arial"/>
          <w:sz w:val="24"/>
          <w:szCs w:val="24"/>
        </w:rPr>
        <w:t>;</w:t>
      </w:r>
    </w:p>
    <w:p w:rsidRPr="005F68D7" w:rsidR="00047D33" w:rsidP="00B72955" w:rsidRDefault="00B72955" w14:paraId="48DC72E5" w14:textId="0615E85F">
      <w:pPr>
        <w:pStyle w:val="ListParagraph"/>
        <w:numPr>
          <w:ilvl w:val="0"/>
          <w:numId w:val="27"/>
        </w:numPr>
        <w:jc w:val="both"/>
        <w:rPr>
          <w:rFonts w:ascii="Palatino Linotype" w:hAnsi="Palatino Linotype" w:cs="Arial"/>
          <w:sz w:val="24"/>
          <w:szCs w:val="24"/>
        </w:rPr>
      </w:pPr>
      <w:r w:rsidRPr="005F68D7">
        <w:rPr>
          <w:rFonts w:ascii="Palatino Linotype" w:hAnsi="Palatino Linotype" w:cs="Arial"/>
          <w:sz w:val="24"/>
          <w:szCs w:val="24"/>
        </w:rPr>
        <w:t xml:space="preserve">Must </w:t>
      </w:r>
      <w:r w:rsidRPr="005F68D7" w:rsidR="00E22B0E">
        <w:rPr>
          <w:rFonts w:ascii="Palatino Linotype" w:hAnsi="Palatino Linotype" w:cs="Arial"/>
          <w:sz w:val="24"/>
          <w:szCs w:val="24"/>
        </w:rPr>
        <w:t xml:space="preserve">account for </w:t>
      </w:r>
      <w:r w:rsidRPr="005F68D7" w:rsidR="00D40032">
        <w:rPr>
          <w:rFonts w:ascii="Palatino Linotype" w:hAnsi="Palatino Linotype" w:cs="Arial"/>
          <w:sz w:val="24"/>
          <w:szCs w:val="24"/>
        </w:rPr>
        <w:t xml:space="preserve">net </w:t>
      </w:r>
      <w:r w:rsidRPr="005F68D7">
        <w:rPr>
          <w:rFonts w:ascii="Palatino Linotype" w:hAnsi="Palatino Linotype" w:cs="Arial"/>
          <w:sz w:val="24"/>
          <w:szCs w:val="24"/>
        </w:rPr>
        <w:t xml:space="preserve">kWh, KW, and Therm </w:t>
      </w:r>
      <w:r w:rsidRPr="005F68D7" w:rsidR="0069714C">
        <w:rPr>
          <w:rFonts w:ascii="Palatino Linotype" w:hAnsi="Palatino Linotype" w:cs="Arial"/>
          <w:sz w:val="24"/>
          <w:szCs w:val="24"/>
        </w:rPr>
        <w:t>benefits</w:t>
      </w:r>
      <w:r w:rsidRPr="005F68D7" w:rsidR="00760724">
        <w:rPr>
          <w:rFonts w:ascii="Palatino Linotype" w:hAnsi="Palatino Linotype" w:cs="Arial"/>
          <w:sz w:val="24"/>
          <w:szCs w:val="24"/>
        </w:rPr>
        <w:t xml:space="preserve"> and </w:t>
      </w:r>
      <w:r w:rsidRPr="005F68D7" w:rsidR="00C55D52">
        <w:rPr>
          <w:rFonts w:ascii="Palatino Linotype" w:hAnsi="Palatino Linotype" w:cs="Arial"/>
          <w:sz w:val="24"/>
          <w:szCs w:val="24"/>
        </w:rPr>
        <w:t>TOU</w:t>
      </w:r>
      <w:r w:rsidRPr="005F68D7" w:rsidR="00760724">
        <w:rPr>
          <w:rFonts w:ascii="Palatino Linotype" w:hAnsi="Palatino Linotype" w:cs="Arial"/>
          <w:sz w:val="24"/>
          <w:szCs w:val="24"/>
        </w:rPr>
        <w:t xml:space="preserve"> impacts</w:t>
      </w:r>
      <w:r w:rsidRPr="005F68D7" w:rsidR="00614A66">
        <w:rPr>
          <w:rFonts w:ascii="Palatino Linotype" w:hAnsi="Palatino Linotype" w:cs="Arial"/>
          <w:sz w:val="24"/>
          <w:szCs w:val="24"/>
        </w:rPr>
        <w:t>;</w:t>
      </w:r>
    </w:p>
    <w:p w:rsidRPr="005F68D7" w:rsidR="0069714C" w:rsidP="00B72955" w:rsidRDefault="0069714C" w14:paraId="5F32FD0A" w14:textId="7FD16654">
      <w:pPr>
        <w:pStyle w:val="ListParagraph"/>
        <w:numPr>
          <w:ilvl w:val="0"/>
          <w:numId w:val="27"/>
        </w:numPr>
        <w:jc w:val="both"/>
        <w:rPr>
          <w:rFonts w:ascii="Palatino Linotype" w:hAnsi="Palatino Linotype" w:cs="Arial"/>
          <w:sz w:val="24"/>
          <w:szCs w:val="24"/>
        </w:rPr>
      </w:pPr>
      <w:r w:rsidRPr="005F68D7">
        <w:rPr>
          <w:rFonts w:ascii="Palatino Linotype" w:hAnsi="Palatino Linotype" w:cs="Arial"/>
          <w:sz w:val="24"/>
          <w:szCs w:val="24"/>
        </w:rPr>
        <w:t>Must account for fuel substitution effects</w:t>
      </w:r>
      <w:r w:rsidRPr="005F68D7" w:rsidR="00614A66">
        <w:rPr>
          <w:rFonts w:ascii="Palatino Linotype" w:hAnsi="Palatino Linotype" w:cs="Arial"/>
          <w:sz w:val="24"/>
          <w:szCs w:val="24"/>
        </w:rPr>
        <w:t>;</w:t>
      </w:r>
    </w:p>
    <w:p w:rsidRPr="005F68D7" w:rsidR="00F46FB7" w:rsidP="00B72955" w:rsidRDefault="00F46FB7" w14:paraId="1AC05CB0" w14:textId="6373818E">
      <w:pPr>
        <w:pStyle w:val="ListParagraph"/>
        <w:numPr>
          <w:ilvl w:val="0"/>
          <w:numId w:val="27"/>
        </w:numPr>
        <w:jc w:val="both"/>
        <w:rPr>
          <w:rFonts w:ascii="Palatino Linotype" w:hAnsi="Palatino Linotype" w:cs="Arial"/>
          <w:sz w:val="24"/>
          <w:szCs w:val="24"/>
        </w:rPr>
      </w:pPr>
      <w:r w:rsidRPr="005F68D7">
        <w:rPr>
          <w:rFonts w:ascii="Palatino Linotype" w:hAnsi="Palatino Linotype" w:cs="Arial"/>
          <w:sz w:val="24"/>
          <w:szCs w:val="24"/>
        </w:rPr>
        <w:t>Must account for CARE and FERA impacts to bill savings</w:t>
      </w:r>
      <w:r w:rsidRPr="005F68D7" w:rsidR="00614A66">
        <w:rPr>
          <w:rFonts w:ascii="Palatino Linotype" w:hAnsi="Palatino Linotype" w:cs="Arial"/>
          <w:sz w:val="24"/>
          <w:szCs w:val="24"/>
        </w:rPr>
        <w:t>;</w:t>
      </w:r>
    </w:p>
    <w:p w:rsidRPr="005F68D7" w:rsidR="00912EC4" w:rsidP="00B72955" w:rsidRDefault="00912EC4" w14:paraId="2A5BC044" w14:textId="33077C43">
      <w:pPr>
        <w:pStyle w:val="ListParagraph"/>
        <w:numPr>
          <w:ilvl w:val="0"/>
          <w:numId w:val="27"/>
        </w:numPr>
        <w:jc w:val="both"/>
        <w:rPr>
          <w:rFonts w:ascii="Palatino Linotype" w:hAnsi="Palatino Linotype" w:cs="Arial"/>
          <w:sz w:val="24"/>
          <w:szCs w:val="24"/>
        </w:rPr>
      </w:pPr>
      <w:r w:rsidRPr="005F68D7">
        <w:rPr>
          <w:rFonts w:ascii="Palatino Linotype" w:hAnsi="Palatino Linotype" w:cs="Arial"/>
          <w:sz w:val="24"/>
          <w:szCs w:val="24"/>
        </w:rPr>
        <w:t>Must be able to be calculated by all PAs</w:t>
      </w:r>
      <w:r w:rsidRPr="005F68D7" w:rsidR="00427DEC">
        <w:rPr>
          <w:rFonts w:ascii="Palatino Linotype" w:hAnsi="Palatino Linotype" w:cs="Arial"/>
          <w:sz w:val="24"/>
          <w:szCs w:val="24"/>
        </w:rPr>
        <w:t xml:space="preserve"> allowing all ample time for </w:t>
      </w:r>
      <w:r w:rsidRPr="005F68D7" w:rsidR="002F769F">
        <w:rPr>
          <w:rFonts w:ascii="Palatino Linotype" w:hAnsi="Palatino Linotype" w:cs="Arial"/>
          <w:sz w:val="24"/>
          <w:szCs w:val="24"/>
        </w:rPr>
        <w:t>quarterly</w:t>
      </w:r>
      <w:r w:rsidRPr="005F68D7" w:rsidR="0002270C">
        <w:rPr>
          <w:rFonts w:ascii="Palatino Linotype" w:hAnsi="Palatino Linotype" w:cs="Arial"/>
          <w:sz w:val="24"/>
          <w:szCs w:val="24"/>
        </w:rPr>
        <w:t xml:space="preserve"> </w:t>
      </w:r>
      <w:r w:rsidRPr="005F68D7" w:rsidR="00427DEC">
        <w:rPr>
          <w:rFonts w:ascii="Palatino Linotype" w:hAnsi="Palatino Linotype" w:cs="Arial"/>
          <w:sz w:val="24"/>
          <w:szCs w:val="24"/>
        </w:rPr>
        <w:t>reporting</w:t>
      </w:r>
      <w:r w:rsidRPr="005F68D7" w:rsidR="00614A66">
        <w:rPr>
          <w:rFonts w:ascii="Palatino Linotype" w:hAnsi="Palatino Linotype" w:cs="Arial"/>
          <w:sz w:val="24"/>
          <w:szCs w:val="24"/>
        </w:rPr>
        <w:t>;</w:t>
      </w:r>
    </w:p>
    <w:p w:rsidRPr="005F68D7" w:rsidR="00095F0D" w:rsidP="00B72955" w:rsidRDefault="00095F0D" w14:paraId="45C06240" w14:textId="43DADC02">
      <w:pPr>
        <w:pStyle w:val="ListParagraph"/>
        <w:numPr>
          <w:ilvl w:val="0"/>
          <w:numId w:val="27"/>
        </w:numPr>
        <w:jc w:val="both"/>
        <w:rPr>
          <w:rFonts w:ascii="Palatino Linotype" w:hAnsi="Palatino Linotype" w:cs="Arial"/>
          <w:sz w:val="24"/>
          <w:szCs w:val="24"/>
        </w:rPr>
      </w:pPr>
      <w:r w:rsidRPr="005F68D7">
        <w:rPr>
          <w:rFonts w:ascii="Palatino Linotype" w:hAnsi="Palatino Linotype" w:cs="Arial"/>
          <w:sz w:val="24"/>
          <w:szCs w:val="24"/>
        </w:rPr>
        <w:t xml:space="preserve">Must </w:t>
      </w:r>
      <w:r w:rsidRPr="005F68D7" w:rsidR="00E170FC">
        <w:rPr>
          <w:rFonts w:ascii="Palatino Linotype" w:hAnsi="Palatino Linotype" w:cs="Arial"/>
          <w:sz w:val="24"/>
          <w:szCs w:val="24"/>
        </w:rPr>
        <w:t xml:space="preserve">be able to report </w:t>
      </w:r>
      <w:r w:rsidRPr="005F68D7" w:rsidR="000650E7">
        <w:rPr>
          <w:rFonts w:ascii="Palatino Linotype" w:hAnsi="Palatino Linotype" w:cs="Arial"/>
          <w:sz w:val="24"/>
          <w:szCs w:val="24"/>
        </w:rPr>
        <w:t xml:space="preserve">actual and projected </w:t>
      </w:r>
      <w:r w:rsidRPr="005F68D7" w:rsidR="001122A7">
        <w:rPr>
          <w:rFonts w:ascii="Palatino Linotype" w:hAnsi="Palatino Linotype" w:cs="Arial"/>
          <w:sz w:val="24"/>
          <w:szCs w:val="24"/>
        </w:rPr>
        <w:t xml:space="preserve">bill </w:t>
      </w:r>
      <w:r w:rsidRPr="005F68D7" w:rsidR="00AA55DB">
        <w:rPr>
          <w:rFonts w:ascii="Palatino Linotype" w:hAnsi="Palatino Linotype" w:cs="Arial"/>
          <w:sz w:val="24"/>
          <w:szCs w:val="24"/>
        </w:rPr>
        <w:t>savings where:</w:t>
      </w:r>
    </w:p>
    <w:p w:rsidRPr="005F68D7" w:rsidR="00AA55DB" w:rsidP="00E3565B" w:rsidRDefault="00AA55DB" w14:paraId="5F961C44" w14:textId="77777777">
      <w:pPr>
        <w:pStyle w:val="ListParagraph"/>
        <w:ind w:left="1440"/>
        <w:jc w:val="both"/>
        <w:rPr>
          <w:rFonts w:ascii="Palatino Linotype" w:hAnsi="Palatino Linotype" w:cs="Arial"/>
          <w:sz w:val="24"/>
          <w:szCs w:val="24"/>
        </w:rPr>
      </w:pPr>
      <w:r w:rsidRPr="005F68D7">
        <w:rPr>
          <w:rFonts w:ascii="Palatino Linotype" w:hAnsi="Palatino Linotype" w:cs="Arial"/>
          <w:sz w:val="24"/>
          <w:szCs w:val="24"/>
        </w:rPr>
        <w:t>Projected = Forecasted in True-Up and Mid-Cycle Advice Letters</w:t>
      </w:r>
    </w:p>
    <w:p w:rsidRPr="005F68D7" w:rsidR="00AA55DB" w:rsidP="00E3565B" w:rsidRDefault="00AA55DB" w14:paraId="1CC74F6C" w14:textId="2E854AA3">
      <w:pPr>
        <w:pStyle w:val="ListParagraph"/>
        <w:ind w:left="1440"/>
        <w:jc w:val="both"/>
        <w:rPr>
          <w:rFonts w:ascii="Palatino Linotype" w:hAnsi="Palatino Linotype" w:cs="Arial"/>
          <w:sz w:val="24"/>
          <w:szCs w:val="24"/>
        </w:rPr>
      </w:pPr>
      <w:r w:rsidRPr="005F68D7">
        <w:rPr>
          <w:rFonts w:ascii="Palatino Linotype" w:hAnsi="Palatino Linotype" w:cs="Arial"/>
          <w:sz w:val="24"/>
          <w:szCs w:val="24"/>
        </w:rPr>
        <w:t>Actual = Claims</w:t>
      </w:r>
      <w:r w:rsidRPr="005F68D7" w:rsidR="007F221B">
        <w:rPr>
          <w:rFonts w:ascii="Palatino Linotype" w:hAnsi="Palatino Linotype" w:cs="Arial"/>
          <w:sz w:val="24"/>
          <w:szCs w:val="24"/>
        </w:rPr>
        <w:t>; and</w:t>
      </w:r>
    </w:p>
    <w:p w:rsidRPr="005F68D7" w:rsidR="001906E8" w:rsidP="00B72955" w:rsidRDefault="001906E8" w14:paraId="0F0FDBD6" w14:textId="3F82495D">
      <w:pPr>
        <w:pStyle w:val="ListParagraph"/>
        <w:numPr>
          <w:ilvl w:val="0"/>
          <w:numId w:val="27"/>
        </w:numPr>
        <w:jc w:val="both"/>
        <w:rPr>
          <w:rFonts w:ascii="Palatino Linotype" w:hAnsi="Palatino Linotype" w:cs="Arial"/>
          <w:sz w:val="24"/>
          <w:szCs w:val="24"/>
        </w:rPr>
      </w:pPr>
      <w:r w:rsidRPr="005F68D7">
        <w:rPr>
          <w:rFonts w:ascii="Palatino Linotype" w:hAnsi="Palatino Linotype" w:cs="Arial"/>
          <w:sz w:val="24"/>
          <w:szCs w:val="24"/>
        </w:rPr>
        <w:t>M</w:t>
      </w:r>
      <w:r w:rsidRPr="005F68D7" w:rsidR="0051797D">
        <w:rPr>
          <w:rFonts w:ascii="Palatino Linotype" w:hAnsi="Palatino Linotype" w:cs="Arial"/>
          <w:sz w:val="24"/>
          <w:szCs w:val="24"/>
        </w:rPr>
        <w:t>ust</w:t>
      </w:r>
      <w:r w:rsidRPr="005F68D7">
        <w:rPr>
          <w:rFonts w:ascii="Palatino Linotype" w:hAnsi="Palatino Linotype" w:cs="Arial"/>
          <w:sz w:val="24"/>
          <w:szCs w:val="24"/>
        </w:rPr>
        <w:t xml:space="preserve"> account for </w:t>
      </w:r>
      <w:r w:rsidRPr="005F68D7" w:rsidR="0015105E">
        <w:rPr>
          <w:rFonts w:ascii="Palatino Linotype" w:hAnsi="Palatino Linotype" w:cs="Arial"/>
          <w:sz w:val="24"/>
          <w:szCs w:val="24"/>
        </w:rPr>
        <w:t xml:space="preserve">local rates and may consider </w:t>
      </w:r>
      <w:r w:rsidRPr="005F68D7">
        <w:rPr>
          <w:rFonts w:ascii="Palatino Linotype" w:hAnsi="Palatino Linotype" w:cs="Arial"/>
          <w:sz w:val="24"/>
          <w:szCs w:val="24"/>
        </w:rPr>
        <w:t xml:space="preserve">IOU </w:t>
      </w:r>
      <w:r w:rsidRPr="005F68D7" w:rsidR="00B63D47">
        <w:rPr>
          <w:rFonts w:ascii="Palatino Linotype" w:hAnsi="Palatino Linotype" w:cs="Arial"/>
          <w:sz w:val="24"/>
          <w:szCs w:val="24"/>
        </w:rPr>
        <w:t>or</w:t>
      </w:r>
      <w:r w:rsidRPr="005F68D7" w:rsidR="00445A54">
        <w:rPr>
          <w:rFonts w:ascii="Palatino Linotype" w:hAnsi="Palatino Linotype" w:cs="Arial"/>
          <w:sz w:val="24"/>
          <w:szCs w:val="24"/>
        </w:rPr>
        <w:t xml:space="preserve"> CCA rate</w:t>
      </w:r>
      <w:r w:rsidRPr="005F68D7" w:rsidR="0015105E">
        <w:rPr>
          <w:rFonts w:ascii="Palatino Linotype" w:hAnsi="Palatino Linotype" w:cs="Arial"/>
          <w:sz w:val="24"/>
          <w:szCs w:val="24"/>
        </w:rPr>
        <w:t>s as appropriate</w:t>
      </w:r>
      <w:r w:rsidRPr="005F68D7" w:rsidR="007F221B">
        <w:rPr>
          <w:rFonts w:ascii="Palatino Linotype" w:hAnsi="Palatino Linotype" w:cs="Arial"/>
          <w:sz w:val="24"/>
          <w:szCs w:val="24"/>
        </w:rPr>
        <w:t>.</w:t>
      </w:r>
    </w:p>
    <w:p w:rsidRPr="005F68D7" w:rsidR="00340D94" w:rsidP="00A4547A" w:rsidRDefault="004C6756" w14:paraId="67AEBA25" w14:textId="02194D86">
      <w:pPr>
        <w:rPr>
          <w:rFonts w:ascii="Palatino Linotype" w:hAnsi="Palatino Linotype" w:cs="Arial"/>
          <w:sz w:val="24"/>
          <w:szCs w:val="24"/>
        </w:rPr>
      </w:pPr>
      <w:r w:rsidRPr="005F68D7">
        <w:rPr>
          <w:rFonts w:ascii="Palatino Linotype" w:hAnsi="Palatino Linotype" w:cs="Arial"/>
          <w:sz w:val="24"/>
          <w:szCs w:val="24"/>
        </w:rPr>
        <w:t xml:space="preserve">PAs should consider that this methodology could be </w:t>
      </w:r>
      <w:r w:rsidRPr="005F68D7" w:rsidR="00D6418C">
        <w:rPr>
          <w:rFonts w:ascii="Palatino Linotype" w:hAnsi="Palatino Linotype" w:cs="Arial"/>
          <w:sz w:val="24"/>
          <w:szCs w:val="24"/>
        </w:rPr>
        <w:t xml:space="preserve">used </w:t>
      </w:r>
      <w:r w:rsidRPr="005F68D7" w:rsidR="00352495">
        <w:rPr>
          <w:rFonts w:ascii="Palatino Linotype" w:hAnsi="Palatino Linotype" w:cs="Arial"/>
          <w:sz w:val="24"/>
          <w:szCs w:val="24"/>
        </w:rPr>
        <w:t xml:space="preserve">for </w:t>
      </w:r>
      <w:r w:rsidRPr="005F68D7">
        <w:rPr>
          <w:rFonts w:ascii="Palatino Linotype" w:hAnsi="Palatino Linotype" w:cs="Arial"/>
          <w:sz w:val="24"/>
          <w:szCs w:val="24"/>
        </w:rPr>
        <w:t xml:space="preserve">the </w:t>
      </w:r>
      <w:r w:rsidRPr="005F68D7" w:rsidR="00E05AA0">
        <w:rPr>
          <w:rFonts w:ascii="Palatino Linotype" w:hAnsi="Palatino Linotype" w:cs="Arial"/>
          <w:sz w:val="24"/>
          <w:szCs w:val="24"/>
        </w:rPr>
        <w:t xml:space="preserve">Energy Savings Assistance (ESA) </w:t>
      </w:r>
      <w:r w:rsidRPr="005F68D7">
        <w:rPr>
          <w:rFonts w:ascii="Palatino Linotype" w:hAnsi="Palatino Linotype" w:cs="Arial"/>
          <w:sz w:val="24"/>
          <w:szCs w:val="24"/>
        </w:rPr>
        <w:t>ESA program</w:t>
      </w:r>
      <w:r w:rsidRPr="005F68D7" w:rsidR="000332C6">
        <w:rPr>
          <w:rFonts w:ascii="Palatino Linotype" w:hAnsi="Palatino Linotype" w:cs="Arial"/>
          <w:sz w:val="24"/>
          <w:szCs w:val="24"/>
        </w:rPr>
        <w:t>s</w:t>
      </w:r>
      <w:r w:rsidRPr="005F68D7">
        <w:rPr>
          <w:rFonts w:ascii="Palatino Linotype" w:hAnsi="Palatino Linotype" w:cs="Arial"/>
          <w:sz w:val="24"/>
          <w:szCs w:val="24"/>
        </w:rPr>
        <w:t xml:space="preserve"> to maintain </w:t>
      </w:r>
      <w:r w:rsidRPr="005F68D7" w:rsidR="00433418">
        <w:rPr>
          <w:rFonts w:ascii="Palatino Linotype" w:hAnsi="Palatino Linotype" w:cs="Arial"/>
          <w:sz w:val="24"/>
          <w:szCs w:val="24"/>
        </w:rPr>
        <w:t xml:space="preserve">consistency across relevant </w:t>
      </w:r>
      <w:r w:rsidRPr="005F68D7" w:rsidR="000332C6">
        <w:rPr>
          <w:rFonts w:ascii="Palatino Linotype" w:hAnsi="Palatino Linotype" w:cs="Arial"/>
          <w:sz w:val="24"/>
          <w:szCs w:val="24"/>
        </w:rPr>
        <w:t xml:space="preserve">Commission </w:t>
      </w:r>
      <w:r w:rsidRPr="005F68D7" w:rsidR="00433418">
        <w:rPr>
          <w:rFonts w:ascii="Palatino Linotype" w:hAnsi="Palatino Linotype" w:cs="Arial"/>
          <w:sz w:val="24"/>
          <w:szCs w:val="24"/>
        </w:rPr>
        <w:t xml:space="preserve">programs. </w:t>
      </w:r>
    </w:p>
    <w:p w:rsidRPr="005F68D7" w:rsidR="008211CC" w:rsidP="00340D94" w:rsidRDefault="008211CC" w14:paraId="7AF29330" w14:textId="77777777">
      <w:pPr>
        <w:jc w:val="both"/>
        <w:rPr>
          <w:rFonts w:ascii="Palatino Linotype" w:hAnsi="Palatino Linotype" w:cs="Arial"/>
          <w:sz w:val="24"/>
          <w:szCs w:val="24"/>
        </w:rPr>
      </w:pPr>
    </w:p>
    <w:p w:rsidRPr="005F68D7" w:rsidR="00461DC0" w:rsidP="004613EF" w:rsidRDefault="002A7AF0" w14:paraId="30F08175" w14:textId="01284414">
      <w:pPr>
        <w:pStyle w:val="Heading1"/>
        <w:ind w:firstLine="720"/>
        <w:rPr>
          <w:rFonts w:ascii="Palatino Linotype" w:hAnsi="Palatino Linotype"/>
          <w:sz w:val="24"/>
          <w:szCs w:val="24"/>
        </w:rPr>
      </w:pPr>
      <w:r w:rsidRPr="005F68D7">
        <w:rPr>
          <w:rFonts w:ascii="Palatino Linotype" w:hAnsi="Palatino Linotype"/>
          <w:caps w:val="0"/>
          <w:sz w:val="24"/>
          <w:szCs w:val="24"/>
        </w:rPr>
        <w:t>Recommendation 7: Nonclaimable Savings</w:t>
      </w:r>
      <w:r w:rsidRPr="005F68D7" w:rsidR="005D3573">
        <w:rPr>
          <w:rFonts w:ascii="Palatino Linotype" w:hAnsi="Palatino Linotype"/>
          <w:caps w:val="0"/>
          <w:sz w:val="24"/>
          <w:szCs w:val="24"/>
        </w:rPr>
        <w:t xml:space="preserve"> </w:t>
      </w:r>
    </w:p>
    <w:p w:rsidR="00AB76D9" w:rsidP="00FD3D91" w:rsidRDefault="00B82005" w14:paraId="2BABD741" w14:textId="020884A4">
      <w:pPr>
        <w:rPr>
          <w:rFonts w:ascii="Palatino Linotype" w:hAnsi="Palatino Linotype" w:cs="Arial"/>
          <w:sz w:val="24"/>
          <w:szCs w:val="24"/>
        </w:rPr>
      </w:pPr>
      <w:r w:rsidRPr="005F68D7">
        <w:rPr>
          <w:rFonts w:ascii="Palatino Linotype" w:hAnsi="Palatino Linotype" w:cs="Arial"/>
          <w:bCs/>
          <w:sz w:val="24"/>
          <w:szCs w:val="24"/>
        </w:rPr>
        <w:t>The Commis</w:t>
      </w:r>
      <w:r w:rsidRPr="005F68D7" w:rsidR="007153E9">
        <w:rPr>
          <w:rFonts w:ascii="Palatino Linotype" w:hAnsi="Palatino Linotype" w:cs="Arial"/>
          <w:bCs/>
          <w:sz w:val="24"/>
          <w:szCs w:val="24"/>
        </w:rPr>
        <w:t>s</w:t>
      </w:r>
      <w:r w:rsidRPr="005F68D7">
        <w:rPr>
          <w:rFonts w:ascii="Palatino Linotype" w:hAnsi="Palatino Linotype" w:cs="Arial"/>
          <w:bCs/>
          <w:sz w:val="24"/>
          <w:szCs w:val="24"/>
        </w:rPr>
        <w:t>ion</w:t>
      </w:r>
      <w:r w:rsidRPr="005F68D7" w:rsidR="002A7AF0">
        <w:rPr>
          <w:rFonts w:ascii="Palatino Linotype" w:hAnsi="Palatino Linotype" w:cs="Arial"/>
          <w:sz w:val="24"/>
          <w:szCs w:val="24"/>
        </w:rPr>
        <w:t xml:space="preserve"> agrees with </w:t>
      </w:r>
      <w:r w:rsidRPr="005F68D7" w:rsidR="008B2845">
        <w:rPr>
          <w:rFonts w:ascii="Palatino Linotype" w:hAnsi="Palatino Linotype" w:cs="Arial"/>
          <w:sz w:val="24"/>
          <w:szCs w:val="24"/>
        </w:rPr>
        <w:t>the recommendation to not include nonclaimable</w:t>
      </w:r>
      <w:r w:rsidRPr="005F68D7" w:rsidR="00A2359F">
        <w:rPr>
          <w:rFonts w:ascii="Palatino Linotype" w:hAnsi="Palatino Linotype" w:cs="Arial"/>
          <w:sz w:val="24"/>
          <w:szCs w:val="24"/>
        </w:rPr>
        <w:t xml:space="preserve"> savings in the calculation of equity indicators #2 and #5-9</w:t>
      </w:r>
      <w:r w:rsidRPr="005F68D7" w:rsidR="00F30845">
        <w:rPr>
          <w:rFonts w:ascii="Palatino Linotype" w:hAnsi="Palatino Linotype" w:cs="Arial"/>
          <w:sz w:val="24"/>
          <w:szCs w:val="24"/>
        </w:rPr>
        <w:t xml:space="preserve"> at this time</w:t>
      </w:r>
      <w:r w:rsidRPr="005F68D7" w:rsidR="00A2359F">
        <w:rPr>
          <w:rFonts w:ascii="Palatino Linotype" w:hAnsi="Palatino Linotype" w:cs="Arial"/>
          <w:sz w:val="24"/>
          <w:szCs w:val="24"/>
        </w:rPr>
        <w:t>.</w:t>
      </w:r>
      <w:r w:rsidRPr="005F68D7" w:rsidR="00F30845">
        <w:rPr>
          <w:rFonts w:ascii="Palatino Linotype" w:hAnsi="Palatino Linotype" w:cs="Arial"/>
          <w:sz w:val="24"/>
          <w:szCs w:val="24"/>
        </w:rPr>
        <w:t xml:space="preserve"> We may revisit this topic after more data is collected and </w:t>
      </w:r>
      <w:r w:rsidRPr="005F68D7" w:rsidR="00D97675">
        <w:rPr>
          <w:rFonts w:ascii="Palatino Linotype" w:hAnsi="Palatino Linotype" w:cs="Arial"/>
          <w:sz w:val="24"/>
          <w:szCs w:val="24"/>
        </w:rPr>
        <w:t>equity programs mature.</w:t>
      </w:r>
    </w:p>
    <w:p w:rsidRPr="00FD3D91" w:rsidR="00FD3D91" w:rsidP="00FD3D91" w:rsidRDefault="00FD3D91" w14:paraId="5DA0A142" w14:textId="77777777">
      <w:pPr>
        <w:rPr>
          <w:rFonts w:ascii="Palatino Linotype" w:hAnsi="Palatino Linotype" w:cs="Arial"/>
          <w:sz w:val="24"/>
          <w:szCs w:val="24"/>
        </w:rPr>
      </w:pPr>
    </w:p>
    <w:p w:rsidRPr="005F68D7" w:rsidR="00AB76D9" w:rsidP="004613EF" w:rsidRDefault="00705420" w14:paraId="5AEE5A22" w14:textId="66222193">
      <w:pPr>
        <w:pStyle w:val="Heading1"/>
        <w:numPr>
          <w:ilvl w:val="0"/>
          <w:numId w:val="34"/>
        </w:numPr>
        <w:ind w:left="360"/>
        <w:rPr>
          <w:rFonts w:ascii="Palatino Linotype" w:hAnsi="Palatino Linotype"/>
          <w:b w:val="0"/>
          <w:sz w:val="24"/>
          <w:szCs w:val="24"/>
        </w:rPr>
      </w:pPr>
      <w:r w:rsidRPr="005F68D7">
        <w:rPr>
          <w:rFonts w:ascii="Palatino Linotype" w:hAnsi="Palatino Linotype"/>
          <w:sz w:val="24"/>
          <w:szCs w:val="24"/>
        </w:rPr>
        <w:t>Clarifications</w:t>
      </w:r>
    </w:p>
    <w:p w:rsidRPr="005F68D7" w:rsidR="00D97675" w:rsidP="00713D76" w:rsidRDefault="007700D9" w14:paraId="26167124" w14:textId="1225D73A">
      <w:pPr>
        <w:pStyle w:val="Heading1"/>
        <w:ind w:firstLine="720"/>
        <w:rPr>
          <w:rFonts w:ascii="Palatino Linotype" w:hAnsi="Palatino Linotype" w:cs="Arial"/>
          <w:sz w:val="24"/>
          <w:szCs w:val="24"/>
        </w:rPr>
      </w:pPr>
      <w:r w:rsidRPr="005F68D7">
        <w:rPr>
          <w:rFonts w:ascii="Palatino Linotype" w:hAnsi="Palatino Linotype" w:cs="Helvetica"/>
          <w:caps w:val="0"/>
          <w:sz w:val="24"/>
          <w:szCs w:val="24"/>
        </w:rPr>
        <w:t>Recommendation 8:</w:t>
      </w:r>
      <w:r w:rsidRPr="005F68D7">
        <w:rPr>
          <w:rFonts w:ascii="Palatino Linotype" w:hAnsi="Palatino Linotype" w:cs="Arial"/>
          <w:caps w:val="0"/>
          <w:sz w:val="24"/>
          <w:szCs w:val="24"/>
        </w:rPr>
        <w:t xml:space="preserve"> </w:t>
      </w:r>
      <w:r w:rsidRPr="005F68D7">
        <w:rPr>
          <w:rFonts w:ascii="Palatino Linotype" w:hAnsi="Palatino Linotype"/>
          <w:caps w:val="0"/>
          <w:sz w:val="24"/>
          <w:szCs w:val="24"/>
        </w:rPr>
        <w:t>Statewide Program Reporting</w:t>
      </w:r>
    </w:p>
    <w:p w:rsidRPr="005F68D7" w:rsidR="002A7AF0" w:rsidP="00A4547A" w:rsidRDefault="004421D7" w14:paraId="593693F3" w14:textId="4B7CA0EB">
      <w:pPr>
        <w:rPr>
          <w:rFonts w:ascii="Palatino Linotype" w:hAnsi="Palatino Linotype" w:cs="Arial"/>
          <w:sz w:val="24"/>
          <w:szCs w:val="24"/>
        </w:rPr>
      </w:pPr>
      <w:r w:rsidRPr="005F68D7">
        <w:rPr>
          <w:rFonts w:ascii="Palatino Linotype" w:hAnsi="Palatino Linotype" w:cs="Arial"/>
          <w:sz w:val="24"/>
          <w:szCs w:val="24"/>
        </w:rPr>
        <w:t>W</w:t>
      </w:r>
      <w:r w:rsidRPr="005F68D7" w:rsidR="00E63BA9">
        <w:rPr>
          <w:rFonts w:ascii="Palatino Linotype" w:hAnsi="Palatino Linotype" w:cs="Arial"/>
          <w:sz w:val="24"/>
          <w:szCs w:val="24"/>
        </w:rPr>
        <w:t xml:space="preserve">ith regard to how PAs should report participant counts in statewide programs, </w:t>
      </w:r>
      <w:r w:rsidRPr="005F68D7" w:rsidR="005133EF">
        <w:rPr>
          <w:rFonts w:ascii="Palatino Linotype" w:hAnsi="Palatino Linotype" w:cs="Arial"/>
          <w:sz w:val="24"/>
          <w:szCs w:val="24"/>
        </w:rPr>
        <w:t xml:space="preserve">instead of </w:t>
      </w:r>
      <w:r w:rsidRPr="005F68D7" w:rsidR="003B46DD">
        <w:rPr>
          <w:rFonts w:ascii="Palatino Linotype" w:hAnsi="Palatino Linotype" w:cs="Arial"/>
          <w:sz w:val="24"/>
          <w:szCs w:val="24"/>
        </w:rPr>
        <w:t xml:space="preserve">reporting </w:t>
      </w:r>
      <w:r w:rsidRPr="005F68D7" w:rsidR="005133EF">
        <w:rPr>
          <w:rFonts w:ascii="Palatino Linotype" w:hAnsi="Palatino Linotype" w:cs="Arial"/>
          <w:sz w:val="24"/>
          <w:szCs w:val="24"/>
        </w:rPr>
        <w:t xml:space="preserve">participation by </w:t>
      </w:r>
      <w:r w:rsidRPr="005F68D7" w:rsidR="003B46DD">
        <w:rPr>
          <w:rFonts w:ascii="Palatino Linotype" w:hAnsi="Palatino Linotype" w:cs="Arial"/>
          <w:sz w:val="24"/>
          <w:szCs w:val="24"/>
        </w:rPr>
        <w:t xml:space="preserve">IOU budget allocation, </w:t>
      </w:r>
      <w:r w:rsidRPr="005F68D7" w:rsidR="005D23B0">
        <w:rPr>
          <w:rFonts w:ascii="Palatino Linotype" w:hAnsi="Palatino Linotype" w:cs="Arial"/>
          <w:sz w:val="24"/>
          <w:szCs w:val="24"/>
        </w:rPr>
        <w:t xml:space="preserve">the lead </w:t>
      </w:r>
      <w:r w:rsidRPr="005F68D7" w:rsidR="00D24FEE">
        <w:rPr>
          <w:rFonts w:ascii="Palatino Linotype" w:hAnsi="Palatino Linotype" w:cs="Arial"/>
          <w:sz w:val="24"/>
          <w:szCs w:val="24"/>
        </w:rPr>
        <w:t xml:space="preserve">PA should </w:t>
      </w:r>
      <w:r w:rsidRPr="005F68D7" w:rsidR="003B46DD">
        <w:rPr>
          <w:rFonts w:ascii="Palatino Linotype" w:hAnsi="Palatino Linotype" w:cs="Arial"/>
          <w:sz w:val="24"/>
          <w:szCs w:val="24"/>
        </w:rPr>
        <w:t>count/calculat</w:t>
      </w:r>
      <w:r w:rsidRPr="005F68D7" w:rsidR="00D24FEE">
        <w:rPr>
          <w:rFonts w:ascii="Palatino Linotype" w:hAnsi="Palatino Linotype" w:cs="Arial"/>
          <w:sz w:val="24"/>
          <w:szCs w:val="24"/>
        </w:rPr>
        <w:t>e</w:t>
      </w:r>
      <w:r w:rsidRPr="005F68D7" w:rsidR="00A537DB">
        <w:rPr>
          <w:rFonts w:ascii="Palatino Linotype" w:hAnsi="Palatino Linotype" w:cs="Arial"/>
          <w:sz w:val="24"/>
          <w:szCs w:val="24"/>
        </w:rPr>
        <w:t xml:space="preserve"> </w:t>
      </w:r>
      <w:r w:rsidRPr="005F68D7" w:rsidR="00966128">
        <w:rPr>
          <w:rFonts w:ascii="Palatino Linotype" w:hAnsi="Palatino Linotype" w:cs="Arial"/>
          <w:sz w:val="24"/>
          <w:szCs w:val="24"/>
        </w:rPr>
        <w:t xml:space="preserve">participation by </w:t>
      </w:r>
      <w:r w:rsidRPr="005F68D7" w:rsidR="005204D1">
        <w:rPr>
          <w:rFonts w:ascii="Palatino Linotype" w:hAnsi="Palatino Linotype" w:cs="Arial"/>
          <w:sz w:val="24"/>
          <w:szCs w:val="24"/>
        </w:rPr>
        <w:t>program and location of participation</w:t>
      </w:r>
      <w:r w:rsidRPr="005F68D7" w:rsidR="00296F77">
        <w:rPr>
          <w:rFonts w:ascii="Palatino Linotype" w:hAnsi="Palatino Linotype" w:cs="Arial"/>
          <w:sz w:val="24"/>
          <w:szCs w:val="24"/>
        </w:rPr>
        <w:t>, and</w:t>
      </w:r>
      <w:r w:rsidRPr="005F68D7" w:rsidR="005204D1">
        <w:rPr>
          <w:rFonts w:ascii="Palatino Linotype" w:hAnsi="Palatino Linotype" w:cs="Arial"/>
          <w:sz w:val="24"/>
          <w:szCs w:val="24"/>
        </w:rPr>
        <w:t xml:space="preserve"> </w:t>
      </w:r>
      <w:r w:rsidRPr="005F68D7" w:rsidR="004720BF">
        <w:rPr>
          <w:rFonts w:ascii="Palatino Linotype" w:hAnsi="Palatino Linotype" w:cs="Arial"/>
          <w:sz w:val="24"/>
          <w:szCs w:val="24"/>
        </w:rPr>
        <w:t xml:space="preserve">provide those </w:t>
      </w:r>
      <w:r w:rsidRPr="005F68D7" w:rsidR="00511B57">
        <w:rPr>
          <w:rFonts w:ascii="Palatino Linotype" w:hAnsi="Palatino Linotype" w:cs="Arial"/>
          <w:sz w:val="24"/>
          <w:szCs w:val="24"/>
        </w:rPr>
        <w:t xml:space="preserve">values </w:t>
      </w:r>
      <w:r w:rsidRPr="005F68D7" w:rsidR="004720BF">
        <w:rPr>
          <w:rFonts w:ascii="Palatino Linotype" w:hAnsi="Palatino Linotype" w:cs="Arial"/>
          <w:sz w:val="24"/>
          <w:szCs w:val="24"/>
        </w:rPr>
        <w:t>to the respective IOUs</w:t>
      </w:r>
      <w:r w:rsidRPr="005F68D7" w:rsidR="009A42B5">
        <w:rPr>
          <w:rFonts w:ascii="Palatino Linotype" w:hAnsi="Palatino Linotype" w:cs="Arial"/>
          <w:sz w:val="24"/>
          <w:szCs w:val="24"/>
        </w:rPr>
        <w:t xml:space="preserve">. </w:t>
      </w:r>
      <w:r w:rsidRPr="005F68D7" w:rsidR="00511B57">
        <w:rPr>
          <w:rFonts w:ascii="Palatino Linotype" w:hAnsi="Palatino Linotype" w:cs="Arial"/>
          <w:sz w:val="24"/>
          <w:szCs w:val="24"/>
        </w:rPr>
        <w:t xml:space="preserve">Values </w:t>
      </w:r>
      <w:r w:rsidRPr="005F68D7" w:rsidR="00166A9D">
        <w:rPr>
          <w:rFonts w:ascii="Palatino Linotype" w:hAnsi="Palatino Linotype" w:cs="Arial"/>
          <w:sz w:val="24"/>
          <w:szCs w:val="24"/>
        </w:rPr>
        <w:t>for SCE</w:t>
      </w:r>
      <w:r w:rsidRPr="005F68D7" w:rsidR="004C0F05">
        <w:rPr>
          <w:rFonts w:ascii="Palatino Linotype" w:hAnsi="Palatino Linotype" w:cs="Arial"/>
          <w:sz w:val="24"/>
          <w:szCs w:val="24"/>
        </w:rPr>
        <w:t xml:space="preserve"> and SoCalGas</w:t>
      </w:r>
      <w:r w:rsidRPr="005F68D7" w:rsidR="00166A9D">
        <w:rPr>
          <w:rFonts w:ascii="Palatino Linotype" w:hAnsi="Palatino Linotype" w:cs="Arial"/>
          <w:sz w:val="24"/>
          <w:szCs w:val="24"/>
        </w:rPr>
        <w:t xml:space="preserve"> should </w:t>
      </w:r>
      <w:r w:rsidRPr="005F68D7" w:rsidR="004E2F99">
        <w:rPr>
          <w:rFonts w:ascii="Palatino Linotype" w:hAnsi="Palatino Linotype" w:cs="Arial"/>
          <w:sz w:val="24"/>
          <w:szCs w:val="24"/>
        </w:rPr>
        <w:t>represent</w:t>
      </w:r>
      <w:r w:rsidRPr="005F68D7" w:rsidR="00166A9D">
        <w:rPr>
          <w:rFonts w:ascii="Palatino Linotype" w:hAnsi="Palatino Linotype" w:cs="Arial"/>
          <w:sz w:val="24"/>
          <w:szCs w:val="24"/>
        </w:rPr>
        <w:t xml:space="preserve"> customers receiving electric energy savings </w:t>
      </w:r>
      <w:r w:rsidRPr="005F68D7" w:rsidR="00B57633">
        <w:rPr>
          <w:rFonts w:ascii="Palatino Linotype" w:hAnsi="Palatino Linotype" w:cs="Arial"/>
          <w:sz w:val="24"/>
          <w:szCs w:val="24"/>
        </w:rPr>
        <w:t>or</w:t>
      </w:r>
      <w:r w:rsidRPr="005F68D7" w:rsidR="00166A9D">
        <w:rPr>
          <w:rFonts w:ascii="Palatino Linotype" w:hAnsi="Palatino Linotype" w:cs="Arial"/>
          <w:sz w:val="24"/>
          <w:szCs w:val="24"/>
        </w:rPr>
        <w:t xml:space="preserve"> customers receiving gas energy savings</w:t>
      </w:r>
      <w:r w:rsidRPr="005F68D7" w:rsidR="00660450">
        <w:rPr>
          <w:rFonts w:ascii="Palatino Linotype" w:hAnsi="Palatino Linotype" w:cs="Arial"/>
          <w:sz w:val="24"/>
          <w:szCs w:val="24"/>
        </w:rPr>
        <w:t>,</w:t>
      </w:r>
      <w:r w:rsidRPr="005F68D7" w:rsidR="00316827">
        <w:rPr>
          <w:rFonts w:ascii="Palatino Linotype" w:hAnsi="Palatino Linotype" w:cs="Arial"/>
          <w:sz w:val="24"/>
          <w:szCs w:val="24"/>
        </w:rPr>
        <w:t xml:space="preserve"> respectively</w:t>
      </w:r>
      <w:r w:rsidRPr="005F68D7" w:rsidR="00166A9D">
        <w:rPr>
          <w:rFonts w:ascii="Palatino Linotype" w:hAnsi="Palatino Linotype" w:cs="Arial"/>
          <w:sz w:val="24"/>
          <w:szCs w:val="24"/>
        </w:rPr>
        <w:t xml:space="preserve">. Where a customer receives both electric and gas energy savings, the lead PA should provide a value of </w:t>
      </w:r>
      <w:r w:rsidRPr="005F68D7" w:rsidR="00B21DB4">
        <w:rPr>
          <w:rFonts w:ascii="Palatino Linotype" w:hAnsi="Palatino Linotype" w:cs="Arial"/>
          <w:sz w:val="24"/>
          <w:szCs w:val="24"/>
        </w:rPr>
        <w:t>“</w:t>
      </w:r>
      <w:r w:rsidRPr="005F68D7" w:rsidR="00230CB8">
        <w:rPr>
          <w:rFonts w:ascii="Palatino Linotype" w:hAnsi="Palatino Linotype" w:cs="Arial"/>
          <w:sz w:val="24"/>
          <w:szCs w:val="24"/>
        </w:rPr>
        <w:t>1</w:t>
      </w:r>
      <w:r w:rsidRPr="005F68D7" w:rsidR="00B21DB4">
        <w:rPr>
          <w:rFonts w:ascii="Palatino Linotype" w:hAnsi="Palatino Linotype" w:cs="Arial"/>
          <w:sz w:val="24"/>
          <w:szCs w:val="24"/>
        </w:rPr>
        <w:t>”</w:t>
      </w:r>
      <w:r w:rsidRPr="005F68D7" w:rsidR="00166A9D">
        <w:rPr>
          <w:rFonts w:ascii="Palatino Linotype" w:hAnsi="Palatino Linotype" w:cs="Arial"/>
          <w:sz w:val="24"/>
          <w:szCs w:val="24"/>
        </w:rPr>
        <w:t xml:space="preserve"> each to SCE and SoCalGas</w:t>
      </w:r>
      <w:r w:rsidRPr="005F68D7" w:rsidR="00B21DB4">
        <w:rPr>
          <w:rFonts w:ascii="Palatino Linotype" w:hAnsi="Palatino Linotype" w:cs="Arial"/>
          <w:sz w:val="24"/>
          <w:szCs w:val="24"/>
        </w:rPr>
        <w:t xml:space="preserve">. </w:t>
      </w:r>
      <w:r w:rsidRPr="005F68D7" w:rsidR="00F917A0">
        <w:rPr>
          <w:rFonts w:ascii="Palatino Linotype" w:hAnsi="Palatino Linotype" w:cs="Arial"/>
          <w:sz w:val="24"/>
          <w:szCs w:val="24"/>
        </w:rPr>
        <w:t xml:space="preserve">Awareness of this issue </w:t>
      </w:r>
      <w:r w:rsidRPr="005F68D7" w:rsidR="00F917A0">
        <w:rPr>
          <w:rFonts w:ascii="Palatino Linotype" w:hAnsi="Palatino Linotype" w:cs="Arial"/>
          <w:sz w:val="24"/>
          <w:szCs w:val="24"/>
        </w:rPr>
        <w:lastRenderedPageBreak/>
        <w:t xml:space="preserve">will help </w:t>
      </w:r>
      <w:r w:rsidRPr="005F68D7" w:rsidR="0079045B">
        <w:rPr>
          <w:rFonts w:ascii="Palatino Linotype" w:hAnsi="Palatino Linotype" w:cs="Arial"/>
          <w:sz w:val="24"/>
          <w:szCs w:val="24"/>
        </w:rPr>
        <w:t>Energy Division</w:t>
      </w:r>
      <w:r w:rsidRPr="005F68D7" w:rsidR="002517C7">
        <w:rPr>
          <w:rFonts w:ascii="Palatino Linotype" w:hAnsi="Palatino Linotype" w:cs="Arial"/>
          <w:sz w:val="24"/>
          <w:szCs w:val="24"/>
        </w:rPr>
        <w:t xml:space="preserve"> and the PAs</w:t>
      </w:r>
      <w:r w:rsidRPr="005F68D7" w:rsidR="00F917A0">
        <w:rPr>
          <w:rFonts w:ascii="Palatino Linotype" w:hAnsi="Palatino Linotype" w:cs="Arial"/>
          <w:sz w:val="24"/>
          <w:szCs w:val="24"/>
        </w:rPr>
        <w:t xml:space="preserve"> monitor </w:t>
      </w:r>
      <w:r w:rsidRPr="005F68D7" w:rsidR="003512CD">
        <w:rPr>
          <w:rFonts w:ascii="Palatino Linotype" w:hAnsi="Palatino Linotype" w:cs="Arial"/>
          <w:sz w:val="24"/>
          <w:szCs w:val="24"/>
        </w:rPr>
        <w:t>participation</w:t>
      </w:r>
      <w:r w:rsidRPr="005F68D7" w:rsidR="00C35427">
        <w:rPr>
          <w:rFonts w:ascii="Palatino Linotype" w:hAnsi="Palatino Linotype" w:cs="Arial"/>
          <w:sz w:val="24"/>
          <w:szCs w:val="24"/>
        </w:rPr>
        <w:t xml:space="preserve"> </w:t>
      </w:r>
      <w:r w:rsidRPr="005F68D7" w:rsidR="005F2DC8">
        <w:rPr>
          <w:rFonts w:ascii="Palatino Linotype" w:hAnsi="Palatino Linotype" w:cs="Arial"/>
          <w:sz w:val="24"/>
          <w:szCs w:val="24"/>
        </w:rPr>
        <w:t xml:space="preserve">more closely to understand </w:t>
      </w:r>
      <w:r w:rsidRPr="005F68D7" w:rsidR="00B221FA">
        <w:rPr>
          <w:rFonts w:ascii="Palatino Linotype" w:hAnsi="Palatino Linotype" w:cs="Arial"/>
          <w:sz w:val="24"/>
          <w:szCs w:val="24"/>
        </w:rPr>
        <w:t>who is participating and how.</w:t>
      </w:r>
      <w:r w:rsidRPr="005F68D7" w:rsidR="004720BF">
        <w:rPr>
          <w:rFonts w:ascii="Palatino Linotype" w:hAnsi="Palatino Linotype" w:cs="Arial"/>
          <w:sz w:val="24"/>
          <w:szCs w:val="24"/>
        </w:rPr>
        <w:t xml:space="preserve"> </w:t>
      </w:r>
    </w:p>
    <w:p w:rsidRPr="005F68D7" w:rsidR="00AC0B39" w:rsidP="008C252A" w:rsidRDefault="00AC0B39" w14:paraId="6004879F" w14:textId="77777777">
      <w:pPr>
        <w:jc w:val="center"/>
        <w:rPr>
          <w:rFonts w:ascii="Palatino Linotype" w:hAnsi="Palatino Linotype" w:cs="Arial"/>
          <w:bCs/>
          <w:sz w:val="24"/>
          <w:szCs w:val="24"/>
        </w:rPr>
      </w:pPr>
    </w:p>
    <w:p w:rsidRPr="005F68D7" w:rsidR="007467C5" w:rsidP="004613EF" w:rsidRDefault="00F02CB5" w14:paraId="14EE0292" w14:textId="0EA66A69">
      <w:pPr>
        <w:pStyle w:val="Heading1"/>
        <w:ind w:firstLine="720"/>
        <w:rPr>
          <w:rFonts w:ascii="Palatino Linotype" w:hAnsi="Palatino Linotype"/>
          <w:sz w:val="24"/>
          <w:szCs w:val="24"/>
        </w:rPr>
      </w:pPr>
      <w:r w:rsidRPr="005F68D7">
        <w:rPr>
          <w:rFonts w:ascii="Palatino Linotype" w:hAnsi="Palatino Linotype"/>
          <w:caps w:val="0"/>
          <w:sz w:val="24"/>
          <w:szCs w:val="24"/>
        </w:rPr>
        <w:t>Recommendation 10: Defining Partnership</w:t>
      </w:r>
    </w:p>
    <w:p w:rsidRPr="005F68D7" w:rsidR="00F02CB5" w:rsidP="00A4547A" w:rsidRDefault="00B82005" w14:paraId="5B2DDDBF" w14:textId="06A18FAE">
      <w:pPr>
        <w:rPr>
          <w:rFonts w:ascii="Palatino Linotype" w:hAnsi="Palatino Linotype" w:cs="Arial"/>
          <w:sz w:val="24"/>
          <w:szCs w:val="24"/>
        </w:rPr>
      </w:pPr>
      <w:r w:rsidRPr="005F68D7">
        <w:rPr>
          <w:rFonts w:ascii="Palatino Linotype" w:hAnsi="Palatino Linotype" w:cs="Arial"/>
          <w:bCs/>
          <w:sz w:val="24"/>
          <w:szCs w:val="24"/>
        </w:rPr>
        <w:t>The Commission</w:t>
      </w:r>
      <w:r w:rsidRPr="005F68D7" w:rsidR="00E847B0">
        <w:rPr>
          <w:rFonts w:ascii="Palatino Linotype" w:hAnsi="Palatino Linotype" w:cs="Arial"/>
          <w:sz w:val="24"/>
          <w:szCs w:val="24"/>
        </w:rPr>
        <w:t xml:space="preserve"> </w:t>
      </w:r>
      <w:r w:rsidRPr="005F68D7" w:rsidR="00BE2D5A">
        <w:rPr>
          <w:rFonts w:ascii="Palatino Linotype" w:hAnsi="Palatino Linotype" w:cs="Arial"/>
          <w:sz w:val="24"/>
          <w:szCs w:val="24"/>
        </w:rPr>
        <w:t xml:space="preserve">partially </w:t>
      </w:r>
      <w:r w:rsidRPr="005F68D7" w:rsidR="00E847B0">
        <w:rPr>
          <w:rFonts w:ascii="Palatino Linotype" w:hAnsi="Palatino Linotype" w:cs="Arial"/>
          <w:sz w:val="24"/>
          <w:szCs w:val="24"/>
        </w:rPr>
        <w:t xml:space="preserve">agrees with the </w:t>
      </w:r>
      <w:r w:rsidRPr="005F68D7" w:rsidR="001508C3">
        <w:rPr>
          <w:rFonts w:ascii="Palatino Linotype" w:hAnsi="Palatino Linotype" w:cs="Arial"/>
          <w:sz w:val="24"/>
          <w:szCs w:val="24"/>
        </w:rPr>
        <w:t xml:space="preserve">main </w:t>
      </w:r>
      <w:r w:rsidRPr="005F68D7" w:rsidR="00E847B0">
        <w:rPr>
          <w:rFonts w:ascii="Palatino Linotype" w:hAnsi="Palatino Linotype" w:cs="Arial"/>
          <w:sz w:val="24"/>
          <w:szCs w:val="24"/>
        </w:rPr>
        <w:t xml:space="preserve">recommendation in </w:t>
      </w:r>
      <w:r w:rsidRPr="005F68D7" w:rsidR="00012FE8">
        <w:rPr>
          <w:rFonts w:ascii="Palatino Linotype" w:hAnsi="Palatino Linotype" w:cs="Arial"/>
          <w:sz w:val="24"/>
          <w:szCs w:val="24"/>
        </w:rPr>
        <w:t xml:space="preserve">the EMSWG report, </w:t>
      </w:r>
      <w:r w:rsidRPr="005F68D7" w:rsidR="00013EF6">
        <w:rPr>
          <w:rFonts w:ascii="Palatino Linotype" w:hAnsi="Palatino Linotype" w:cs="Arial"/>
          <w:sz w:val="24"/>
          <w:szCs w:val="24"/>
        </w:rPr>
        <w:t>with</w:t>
      </w:r>
      <w:r w:rsidRPr="005F68D7" w:rsidR="00012FE8">
        <w:rPr>
          <w:rFonts w:ascii="Palatino Linotype" w:hAnsi="Palatino Linotype" w:cs="Arial"/>
          <w:sz w:val="24"/>
          <w:szCs w:val="24"/>
        </w:rPr>
        <w:t xml:space="preserve"> the following</w:t>
      </w:r>
      <w:r w:rsidRPr="005F68D7" w:rsidR="00F00F7B">
        <w:rPr>
          <w:rFonts w:ascii="Palatino Linotype" w:hAnsi="Palatino Linotype" w:cs="Arial"/>
          <w:sz w:val="24"/>
          <w:szCs w:val="24"/>
        </w:rPr>
        <w:t xml:space="preserve"> modified language</w:t>
      </w:r>
      <w:r w:rsidRPr="005F68D7" w:rsidR="00962E38">
        <w:rPr>
          <w:rFonts w:ascii="Palatino Linotype" w:hAnsi="Palatino Linotype" w:cs="Arial"/>
          <w:sz w:val="24"/>
          <w:szCs w:val="24"/>
        </w:rPr>
        <w:t xml:space="preserve"> to focus </w:t>
      </w:r>
      <w:r w:rsidRPr="005F68D7" w:rsidR="00BE426F">
        <w:rPr>
          <w:rFonts w:ascii="Palatino Linotype" w:hAnsi="Palatino Linotype" w:cs="Arial"/>
          <w:sz w:val="24"/>
          <w:szCs w:val="24"/>
        </w:rPr>
        <w:t xml:space="preserve">partnerships </w:t>
      </w:r>
      <w:r w:rsidRPr="005F68D7" w:rsidR="00962E38">
        <w:rPr>
          <w:rFonts w:ascii="Palatino Linotype" w:hAnsi="Palatino Linotype" w:cs="Arial"/>
          <w:sz w:val="24"/>
          <w:szCs w:val="24"/>
        </w:rPr>
        <w:t xml:space="preserve">on </w:t>
      </w:r>
      <w:r w:rsidRPr="005F68D7" w:rsidR="009B7CD2">
        <w:rPr>
          <w:rFonts w:ascii="Palatino Linotype" w:hAnsi="Palatino Linotype" w:cs="Arial"/>
          <w:sz w:val="24"/>
          <w:szCs w:val="24"/>
        </w:rPr>
        <w:t>a</w:t>
      </w:r>
      <w:r w:rsidRPr="005F68D7" w:rsidR="00962E38">
        <w:rPr>
          <w:rFonts w:ascii="Palatino Linotype" w:hAnsi="Palatino Linotype" w:cs="Arial"/>
          <w:sz w:val="24"/>
          <w:szCs w:val="24"/>
        </w:rPr>
        <w:t xml:space="preserve"> primary purpose of the EE Portfolio</w:t>
      </w:r>
      <w:r w:rsidRPr="005F68D7" w:rsidR="00012FE8">
        <w:rPr>
          <w:rFonts w:ascii="Palatino Linotype" w:hAnsi="Palatino Linotype" w:cs="Arial"/>
          <w:sz w:val="24"/>
          <w:szCs w:val="24"/>
        </w:rPr>
        <w:t>.</w:t>
      </w:r>
    </w:p>
    <w:p w:rsidRPr="005F68D7" w:rsidR="00012FE8" w:rsidP="00A4547A" w:rsidRDefault="00012FE8" w14:paraId="4D42F078" w14:textId="77777777">
      <w:pPr>
        <w:rPr>
          <w:rFonts w:ascii="Palatino Linotype" w:hAnsi="Palatino Linotype" w:cs="Arial"/>
          <w:sz w:val="24"/>
          <w:szCs w:val="24"/>
        </w:rPr>
      </w:pPr>
    </w:p>
    <w:p w:rsidRPr="005F68D7" w:rsidR="009710AF" w:rsidP="00A4547A" w:rsidRDefault="00C62E6B" w14:paraId="0866267A" w14:textId="38EF011D">
      <w:pPr>
        <w:rPr>
          <w:rFonts w:ascii="Palatino Linotype" w:hAnsi="Palatino Linotype" w:cs="Arial"/>
          <w:sz w:val="24"/>
          <w:szCs w:val="24"/>
        </w:rPr>
      </w:pPr>
      <w:r w:rsidRPr="005F68D7">
        <w:rPr>
          <w:rFonts w:ascii="Palatino Linotype" w:hAnsi="Palatino Linotype" w:cs="Arial"/>
          <w:sz w:val="24"/>
          <w:szCs w:val="24"/>
        </w:rPr>
        <w:t>We define t</w:t>
      </w:r>
      <w:r w:rsidRPr="005F68D7" w:rsidR="009710AF">
        <w:rPr>
          <w:rFonts w:ascii="Palatino Linotype" w:hAnsi="Palatino Linotype" w:cs="Arial"/>
          <w:sz w:val="24"/>
          <w:szCs w:val="24"/>
        </w:rPr>
        <w:t xml:space="preserve">he term "partnership" (used in Market Support Indicators #2 and 20) </w:t>
      </w:r>
      <w:r w:rsidRPr="005F68D7" w:rsidR="008F663A">
        <w:rPr>
          <w:rFonts w:ascii="Palatino Linotype" w:hAnsi="Palatino Linotype" w:cs="Arial"/>
          <w:sz w:val="24"/>
          <w:szCs w:val="24"/>
        </w:rPr>
        <w:t>as</w:t>
      </w:r>
      <w:r w:rsidRPr="005F68D7" w:rsidR="009710AF">
        <w:rPr>
          <w:rFonts w:ascii="Palatino Linotype" w:hAnsi="Palatino Linotype" w:cs="Arial"/>
          <w:sz w:val="24"/>
          <w:szCs w:val="24"/>
        </w:rPr>
        <w:t>:</w:t>
      </w:r>
    </w:p>
    <w:p w:rsidRPr="005F68D7" w:rsidR="009710AF" w:rsidP="00A4547A" w:rsidRDefault="009710AF" w14:paraId="6B38458C" w14:textId="45C574DD">
      <w:pPr>
        <w:rPr>
          <w:rFonts w:ascii="Palatino Linotype" w:hAnsi="Palatino Linotype" w:cs="Arial"/>
          <w:sz w:val="24"/>
          <w:szCs w:val="24"/>
        </w:rPr>
      </w:pPr>
      <w:r w:rsidRPr="005F68D7">
        <w:rPr>
          <w:rFonts w:ascii="Palatino Linotype" w:hAnsi="Palatino Linotype" w:cs="Arial"/>
          <w:sz w:val="24"/>
          <w:szCs w:val="24"/>
        </w:rPr>
        <w:t xml:space="preserve">1. Agreement between at least two entities to engage in a mutually beneficial relationship </w:t>
      </w:r>
      <w:r w:rsidRPr="005F68D7" w:rsidR="00DC0B74">
        <w:rPr>
          <w:rFonts w:ascii="Palatino Linotype" w:hAnsi="Palatino Linotype" w:cs="Arial"/>
          <w:sz w:val="24"/>
          <w:szCs w:val="24"/>
        </w:rPr>
        <w:t>to serve a</w:t>
      </w:r>
      <w:r w:rsidRPr="005F68D7" w:rsidR="007F77CB">
        <w:rPr>
          <w:rFonts w:ascii="Palatino Linotype" w:hAnsi="Palatino Linotype" w:cs="Arial"/>
          <w:sz w:val="24"/>
          <w:szCs w:val="24"/>
        </w:rPr>
        <w:t>t least one</w:t>
      </w:r>
      <w:r w:rsidRPr="005F68D7" w:rsidR="00DC0B74">
        <w:rPr>
          <w:rFonts w:ascii="Palatino Linotype" w:hAnsi="Palatino Linotype" w:cs="Arial"/>
          <w:sz w:val="24"/>
          <w:szCs w:val="24"/>
        </w:rPr>
        <w:t xml:space="preserve"> primary purpose</w:t>
      </w:r>
      <w:r w:rsidRPr="005F68D7" w:rsidR="007F77CB">
        <w:rPr>
          <w:rFonts w:ascii="Palatino Linotype" w:hAnsi="Palatino Linotype" w:cs="Arial"/>
          <w:sz w:val="24"/>
          <w:szCs w:val="24"/>
        </w:rPr>
        <w:t xml:space="preserve"> </w:t>
      </w:r>
      <w:r w:rsidRPr="005F68D7">
        <w:rPr>
          <w:rFonts w:ascii="Palatino Linotype" w:hAnsi="Palatino Linotype" w:cs="Arial"/>
          <w:sz w:val="24"/>
          <w:szCs w:val="24"/>
        </w:rPr>
        <w:t xml:space="preserve">of </w:t>
      </w:r>
      <w:r w:rsidRPr="005F68D7" w:rsidR="007F77CB">
        <w:rPr>
          <w:rFonts w:ascii="Palatino Linotype" w:hAnsi="Palatino Linotype" w:cs="Arial"/>
          <w:sz w:val="24"/>
          <w:szCs w:val="24"/>
        </w:rPr>
        <w:t xml:space="preserve">the EE </w:t>
      </w:r>
      <w:r w:rsidRPr="005F68D7" w:rsidR="00004D1E">
        <w:rPr>
          <w:rFonts w:ascii="Palatino Linotype" w:hAnsi="Palatino Linotype" w:cs="Arial"/>
          <w:sz w:val="24"/>
          <w:szCs w:val="24"/>
        </w:rPr>
        <w:t xml:space="preserve">portfolio: resource acquisition, equity, or market support with </w:t>
      </w:r>
      <w:r w:rsidRPr="005F68D7" w:rsidR="00304F62">
        <w:rPr>
          <w:rFonts w:ascii="Palatino Linotype" w:hAnsi="Palatino Linotype" w:cs="Arial"/>
          <w:sz w:val="24"/>
          <w:szCs w:val="24"/>
        </w:rPr>
        <w:t xml:space="preserve">regard to </w:t>
      </w:r>
      <w:r w:rsidRPr="005F68D7" w:rsidR="007854FB">
        <w:rPr>
          <w:rFonts w:ascii="Palatino Linotype" w:hAnsi="Palatino Linotype" w:cs="Arial"/>
          <w:sz w:val="24"/>
          <w:szCs w:val="24"/>
        </w:rPr>
        <w:t xml:space="preserve">supply or </w:t>
      </w:r>
      <w:r w:rsidRPr="005F68D7" w:rsidR="00304F62">
        <w:rPr>
          <w:rFonts w:ascii="Palatino Linotype" w:hAnsi="Palatino Linotype" w:cs="Arial"/>
          <w:sz w:val="24"/>
          <w:szCs w:val="24"/>
        </w:rPr>
        <w:t>delivery of p</w:t>
      </w:r>
      <w:r w:rsidRPr="005F68D7">
        <w:rPr>
          <w:rFonts w:ascii="Palatino Linotype" w:hAnsi="Palatino Linotype" w:cs="Arial"/>
          <w:sz w:val="24"/>
          <w:szCs w:val="24"/>
        </w:rPr>
        <w:t>roducts, services, education, and/or training</w:t>
      </w:r>
      <w:r w:rsidRPr="005F68D7" w:rsidR="007F221B">
        <w:rPr>
          <w:rFonts w:ascii="Palatino Linotype" w:hAnsi="Palatino Linotype" w:cs="Arial"/>
          <w:sz w:val="24"/>
          <w:szCs w:val="24"/>
        </w:rPr>
        <w:t>.</w:t>
      </w:r>
    </w:p>
    <w:p w:rsidRPr="005F68D7" w:rsidR="009710AF" w:rsidP="00A4547A" w:rsidRDefault="009710AF" w14:paraId="68D0F14F" w14:textId="5269F414">
      <w:pPr>
        <w:rPr>
          <w:rFonts w:ascii="Palatino Linotype" w:hAnsi="Palatino Linotype" w:cs="Arial"/>
          <w:sz w:val="24"/>
          <w:szCs w:val="24"/>
        </w:rPr>
      </w:pPr>
      <w:r w:rsidRPr="005F68D7">
        <w:rPr>
          <w:rFonts w:ascii="Palatino Linotype" w:hAnsi="Palatino Linotype" w:cs="Arial"/>
          <w:sz w:val="24"/>
          <w:szCs w:val="24"/>
        </w:rPr>
        <w:t>2. The partnership may or may not be legally contracted</w:t>
      </w:r>
      <w:r w:rsidRPr="005F68D7" w:rsidR="007F221B">
        <w:rPr>
          <w:rFonts w:ascii="Palatino Linotype" w:hAnsi="Palatino Linotype" w:cs="Arial"/>
          <w:sz w:val="24"/>
          <w:szCs w:val="24"/>
        </w:rPr>
        <w:t>.</w:t>
      </w:r>
    </w:p>
    <w:p w:rsidRPr="005F68D7" w:rsidR="00012FE8" w:rsidP="00A4547A" w:rsidRDefault="009710AF" w14:paraId="626E5C99" w14:textId="5C062C41">
      <w:pPr>
        <w:rPr>
          <w:rFonts w:ascii="Palatino Linotype" w:hAnsi="Palatino Linotype" w:cs="Arial"/>
          <w:sz w:val="24"/>
          <w:szCs w:val="24"/>
        </w:rPr>
      </w:pPr>
      <w:r w:rsidRPr="005F68D7">
        <w:rPr>
          <w:rFonts w:ascii="Palatino Linotype" w:hAnsi="Palatino Linotype" w:cs="Arial"/>
          <w:sz w:val="24"/>
          <w:szCs w:val="24"/>
        </w:rPr>
        <w:t>3.</w:t>
      </w:r>
      <w:r w:rsidRPr="005F68D7" w:rsidR="007854FB">
        <w:rPr>
          <w:rFonts w:ascii="Palatino Linotype" w:hAnsi="Palatino Linotype" w:cs="Arial"/>
          <w:sz w:val="24"/>
          <w:szCs w:val="24"/>
        </w:rPr>
        <w:t xml:space="preserve"> </w:t>
      </w:r>
      <w:r w:rsidRPr="005F68D7">
        <w:rPr>
          <w:rFonts w:ascii="Palatino Linotype" w:hAnsi="Palatino Linotype" w:cs="Arial"/>
          <w:sz w:val="24"/>
          <w:szCs w:val="24"/>
        </w:rPr>
        <w:t>In cases where a partnership is not contracted, PAs have other documents/materials</w:t>
      </w:r>
      <w:r w:rsidRPr="005F68D7" w:rsidR="007854FB">
        <w:rPr>
          <w:rFonts w:ascii="Palatino Linotype" w:hAnsi="Palatino Linotype" w:cs="Arial"/>
          <w:sz w:val="24"/>
          <w:szCs w:val="24"/>
        </w:rPr>
        <w:t xml:space="preserve"> </w:t>
      </w:r>
      <w:r w:rsidRPr="005F68D7">
        <w:rPr>
          <w:rFonts w:ascii="Palatino Linotype" w:hAnsi="Palatino Linotype" w:cs="Arial"/>
          <w:sz w:val="24"/>
          <w:szCs w:val="24"/>
        </w:rPr>
        <w:t>demonstrating agreement to work together</w:t>
      </w:r>
      <w:r w:rsidRPr="005F68D7" w:rsidR="0070279B">
        <w:rPr>
          <w:rFonts w:ascii="Palatino Linotype" w:hAnsi="Palatino Linotype" w:cs="Arial"/>
          <w:sz w:val="24"/>
          <w:szCs w:val="24"/>
        </w:rPr>
        <w:t>.</w:t>
      </w:r>
    </w:p>
    <w:p w:rsidRPr="005F68D7" w:rsidR="00FD7203" w:rsidP="009710AF" w:rsidRDefault="00FD7203" w14:paraId="65E7AD94" w14:textId="77777777">
      <w:pPr>
        <w:jc w:val="both"/>
        <w:rPr>
          <w:rFonts w:ascii="Palatino Linotype" w:hAnsi="Palatino Linotype" w:cs="Arial"/>
          <w:bCs/>
          <w:sz w:val="24"/>
          <w:szCs w:val="24"/>
        </w:rPr>
      </w:pPr>
    </w:p>
    <w:p w:rsidRPr="005F68D7" w:rsidR="00FD7203" w:rsidP="004613EF" w:rsidRDefault="005C0489" w14:paraId="1EA7FFF8" w14:textId="6FE80A84">
      <w:pPr>
        <w:pStyle w:val="Heading1"/>
        <w:ind w:firstLine="720"/>
        <w:rPr>
          <w:rFonts w:ascii="Palatino Linotype" w:hAnsi="Palatino Linotype"/>
          <w:sz w:val="24"/>
          <w:szCs w:val="24"/>
        </w:rPr>
      </w:pPr>
      <w:r w:rsidRPr="005F68D7">
        <w:rPr>
          <w:rFonts w:ascii="Palatino Linotype" w:hAnsi="Palatino Linotype"/>
          <w:caps w:val="0"/>
          <w:sz w:val="24"/>
          <w:szCs w:val="24"/>
        </w:rPr>
        <w:t>Recommendation 11: Defining Partner</w:t>
      </w:r>
    </w:p>
    <w:p w:rsidRPr="005F68D7" w:rsidR="005C0489" w:rsidP="00A4547A" w:rsidRDefault="00B82005" w14:paraId="34889923" w14:textId="2096E6AE">
      <w:pPr>
        <w:rPr>
          <w:rFonts w:ascii="Palatino Linotype" w:hAnsi="Palatino Linotype" w:cs="Arial"/>
          <w:sz w:val="24"/>
          <w:szCs w:val="24"/>
        </w:rPr>
      </w:pPr>
      <w:r w:rsidRPr="005F68D7">
        <w:rPr>
          <w:rFonts w:ascii="Palatino Linotype" w:hAnsi="Palatino Linotype" w:cs="Arial"/>
          <w:bCs/>
          <w:sz w:val="24"/>
          <w:szCs w:val="24"/>
        </w:rPr>
        <w:t>The Commission</w:t>
      </w:r>
      <w:r w:rsidRPr="005F68D7" w:rsidR="000C56D2">
        <w:rPr>
          <w:rFonts w:ascii="Palatino Linotype" w:hAnsi="Palatino Linotype" w:cs="Arial"/>
          <w:sz w:val="24"/>
          <w:szCs w:val="24"/>
        </w:rPr>
        <w:t xml:space="preserve"> agrees with the </w:t>
      </w:r>
      <w:r w:rsidRPr="005F68D7" w:rsidR="00AD5BEA">
        <w:rPr>
          <w:rFonts w:ascii="Palatino Linotype" w:hAnsi="Palatino Linotype" w:cs="Arial"/>
          <w:sz w:val="24"/>
          <w:szCs w:val="24"/>
        </w:rPr>
        <w:t xml:space="preserve">consensus </w:t>
      </w:r>
      <w:r w:rsidRPr="005F68D7" w:rsidR="000C56D2">
        <w:rPr>
          <w:rFonts w:ascii="Palatino Linotype" w:hAnsi="Palatino Linotype" w:cs="Arial"/>
          <w:sz w:val="24"/>
          <w:szCs w:val="24"/>
        </w:rPr>
        <w:t xml:space="preserve">recommendation in the EMSWG Report. </w:t>
      </w:r>
    </w:p>
    <w:p w:rsidRPr="005F68D7" w:rsidR="00763EF7" w:rsidP="00A4547A" w:rsidRDefault="00264FBE" w14:paraId="5FF39961" w14:textId="3DD7D3A0">
      <w:pPr>
        <w:rPr>
          <w:rFonts w:ascii="Palatino Linotype" w:hAnsi="Palatino Linotype" w:cs="Arial"/>
          <w:sz w:val="24"/>
          <w:szCs w:val="24"/>
        </w:rPr>
      </w:pPr>
      <w:r w:rsidRPr="005F68D7">
        <w:rPr>
          <w:rFonts w:ascii="Palatino Linotype" w:hAnsi="Palatino Linotype" w:cs="Arial"/>
          <w:sz w:val="24"/>
          <w:szCs w:val="24"/>
        </w:rPr>
        <w:t>For the energy efficiency portfolios, t</w:t>
      </w:r>
      <w:r w:rsidRPr="005F68D7" w:rsidR="00763EF7">
        <w:rPr>
          <w:rFonts w:ascii="Palatino Linotype" w:hAnsi="Palatino Linotype" w:cs="Arial"/>
          <w:sz w:val="24"/>
          <w:szCs w:val="24"/>
        </w:rPr>
        <w:t>he term "partner" (used in Market Support Indicators #1, 18, and 20) is defined as an entity engaged in partnerships including and not limited to educational institutions/organizations, governments, community-based organizations, trade associations, suppliers, manufacturers, contractors</w:t>
      </w:r>
      <w:r w:rsidRPr="005F68D7" w:rsidR="000E014B">
        <w:rPr>
          <w:rFonts w:ascii="Palatino Linotype" w:hAnsi="Palatino Linotype" w:cs="Arial"/>
          <w:sz w:val="24"/>
          <w:szCs w:val="24"/>
        </w:rPr>
        <w:t>, etc</w:t>
      </w:r>
      <w:r w:rsidRPr="005F68D7" w:rsidR="00763EF7">
        <w:rPr>
          <w:rFonts w:ascii="Palatino Linotype" w:hAnsi="Palatino Linotype" w:cs="Arial"/>
          <w:sz w:val="24"/>
          <w:szCs w:val="24"/>
        </w:rPr>
        <w:t>.</w:t>
      </w:r>
    </w:p>
    <w:p w:rsidRPr="005F68D7" w:rsidR="00730206" w:rsidP="00763EF7" w:rsidRDefault="00730206" w14:paraId="127621E1" w14:textId="77777777">
      <w:pPr>
        <w:jc w:val="both"/>
        <w:rPr>
          <w:rFonts w:ascii="Palatino Linotype" w:hAnsi="Palatino Linotype" w:cs="Arial"/>
          <w:bCs/>
          <w:sz w:val="24"/>
          <w:szCs w:val="24"/>
        </w:rPr>
      </w:pPr>
    </w:p>
    <w:p w:rsidRPr="005F68D7" w:rsidR="00730206" w:rsidP="004613EF" w:rsidRDefault="00730206" w14:paraId="4FDBEF22" w14:textId="730BD8ED">
      <w:pPr>
        <w:pStyle w:val="Heading1"/>
        <w:ind w:firstLine="720"/>
        <w:rPr>
          <w:rFonts w:ascii="Palatino Linotype" w:hAnsi="Palatino Linotype"/>
          <w:sz w:val="24"/>
          <w:szCs w:val="24"/>
        </w:rPr>
      </w:pPr>
      <w:r w:rsidRPr="005F68D7">
        <w:rPr>
          <w:rFonts w:ascii="Palatino Linotype" w:hAnsi="Palatino Linotype"/>
          <w:caps w:val="0"/>
          <w:sz w:val="24"/>
          <w:szCs w:val="24"/>
        </w:rPr>
        <w:t>Recommendation</w:t>
      </w:r>
      <w:r w:rsidRPr="005F68D7" w:rsidR="00090737">
        <w:rPr>
          <w:rFonts w:ascii="Palatino Linotype" w:hAnsi="Palatino Linotype"/>
          <w:caps w:val="0"/>
          <w:sz w:val="24"/>
          <w:szCs w:val="24"/>
        </w:rPr>
        <w:t>s</w:t>
      </w:r>
      <w:r w:rsidRPr="005F68D7">
        <w:rPr>
          <w:rFonts w:ascii="Palatino Linotype" w:hAnsi="Palatino Linotype"/>
          <w:caps w:val="0"/>
          <w:sz w:val="24"/>
          <w:szCs w:val="24"/>
        </w:rPr>
        <w:t xml:space="preserve"> 12</w:t>
      </w:r>
      <w:r w:rsidRPr="005F68D7" w:rsidR="001B136E">
        <w:rPr>
          <w:rFonts w:ascii="Palatino Linotype" w:hAnsi="Palatino Linotype"/>
          <w:caps w:val="0"/>
          <w:sz w:val="24"/>
          <w:szCs w:val="24"/>
        </w:rPr>
        <w:t xml:space="preserve"> &amp; 13</w:t>
      </w:r>
      <w:r w:rsidRPr="005F68D7">
        <w:rPr>
          <w:rFonts w:ascii="Palatino Linotype" w:hAnsi="Palatino Linotype"/>
          <w:caps w:val="0"/>
          <w:sz w:val="24"/>
          <w:szCs w:val="24"/>
        </w:rPr>
        <w:t>: Defining Type</w:t>
      </w:r>
      <w:r w:rsidRPr="005F68D7" w:rsidR="001B136E">
        <w:rPr>
          <w:rFonts w:ascii="Palatino Linotype" w:hAnsi="Palatino Linotype"/>
          <w:caps w:val="0"/>
          <w:sz w:val="24"/>
          <w:szCs w:val="24"/>
        </w:rPr>
        <w:t xml:space="preserve"> &amp; Purpose</w:t>
      </w:r>
    </w:p>
    <w:p w:rsidRPr="005F68D7" w:rsidR="00730206" w:rsidP="00A4547A" w:rsidRDefault="00B82005" w14:paraId="29298EB6" w14:textId="482A622E">
      <w:pPr>
        <w:rPr>
          <w:rFonts w:ascii="Palatino Linotype" w:hAnsi="Palatino Linotype" w:cs="Arial"/>
          <w:sz w:val="24"/>
          <w:szCs w:val="24"/>
        </w:rPr>
      </w:pPr>
      <w:r w:rsidRPr="005F68D7">
        <w:rPr>
          <w:rFonts w:ascii="Palatino Linotype" w:hAnsi="Palatino Linotype" w:cs="Arial"/>
          <w:bCs/>
          <w:sz w:val="24"/>
          <w:szCs w:val="24"/>
        </w:rPr>
        <w:t>The Commission</w:t>
      </w:r>
      <w:r w:rsidRPr="005F68D7" w:rsidR="00730206">
        <w:rPr>
          <w:rFonts w:ascii="Palatino Linotype" w:hAnsi="Palatino Linotype" w:cs="Arial"/>
          <w:sz w:val="24"/>
          <w:szCs w:val="24"/>
        </w:rPr>
        <w:t xml:space="preserve"> agrees with </w:t>
      </w:r>
      <w:r w:rsidRPr="005F68D7" w:rsidR="00667778">
        <w:rPr>
          <w:rFonts w:ascii="Palatino Linotype" w:hAnsi="Palatino Linotype" w:cs="Arial"/>
          <w:sz w:val="24"/>
          <w:szCs w:val="24"/>
        </w:rPr>
        <w:t>the EMSWG Report</w:t>
      </w:r>
      <w:r w:rsidRPr="005F68D7" w:rsidR="003E0704">
        <w:rPr>
          <w:rFonts w:ascii="Palatino Linotype" w:hAnsi="Palatino Linotype" w:cs="Arial"/>
          <w:sz w:val="24"/>
          <w:szCs w:val="24"/>
        </w:rPr>
        <w:t xml:space="preserve"> recommendations</w:t>
      </w:r>
      <w:r w:rsidRPr="005F68D7" w:rsidR="00667778">
        <w:rPr>
          <w:rFonts w:ascii="Palatino Linotype" w:hAnsi="Palatino Linotype" w:cs="Arial"/>
          <w:sz w:val="24"/>
          <w:szCs w:val="24"/>
        </w:rPr>
        <w:t>.</w:t>
      </w:r>
    </w:p>
    <w:p w:rsidRPr="005F68D7" w:rsidR="002D7EBD" w:rsidP="00A4547A" w:rsidRDefault="00667778" w14:paraId="67E55EE9" w14:textId="77777777">
      <w:pPr>
        <w:rPr>
          <w:rFonts w:ascii="Palatino Linotype" w:hAnsi="Palatino Linotype" w:cs="Arial"/>
          <w:sz w:val="24"/>
          <w:szCs w:val="24"/>
        </w:rPr>
      </w:pPr>
      <w:r w:rsidRPr="005F68D7">
        <w:rPr>
          <w:rFonts w:ascii="Palatino Linotype" w:hAnsi="Palatino Linotype" w:cs="Arial"/>
          <w:sz w:val="24"/>
          <w:szCs w:val="24"/>
        </w:rPr>
        <w:t>The term "type" (used in Market Support Indicator #1</w:t>
      </w:r>
      <w:r w:rsidRPr="005F68D7" w:rsidR="00D62CEB">
        <w:rPr>
          <w:rFonts w:ascii="Palatino Linotype" w:hAnsi="Palatino Linotype" w:cs="Arial"/>
          <w:sz w:val="24"/>
          <w:szCs w:val="24"/>
        </w:rPr>
        <w:t xml:space="preserve"> and #18</w:t>
      </w:r>
      <w:r w:rsidRPr="005F68D7">
        <w:rPr>
          <w:rFonts w:ascii="Palatino Linotype" w:hAnsi="Palatino Linotype" w:cs="Arial"/>
          <w:sz w:val="24"/>
          <w:szCs w:val="24"/>
        </w:rPr>
        <w:t>) should be used to describe the nature of a</w:t>
      </w:r>
      <w:r w:rsidRPr="005F68D7" w:rsidR="00E22E19">
        <w:rPr>
          <w:rFonts w:ascii="Palatino Linotype" w:hAnsi="Palatino Linotype" w:cs="Arial"/>
          <w:sz w:val="24"/>
          <w:szCs w:val="24"/>
        </w:rPr>
        <w:t xml:space="preserve"> </w:t>
      </w:r>
      <w:r w:rsidRPr="005F68D7">
        <w:rPr>
          <w:rFonts w:ascii="Palatino Linotype" w:hAnsi="Palatino Linotype" w:cs="Arial"/>
          <w:sz w:val="24"/>
          <w:szCs w:val="24"/>
        </w:rPr>
        <w:t>partner or partnership. Only one type should be associated with each partner and partnership.</w:t>
      </w:r>
      <w:r w:rsidRPr="005F68D7" w:rsidR="00EA5D6E">
        <w:rPr>
          <w:rFonts w:ascii="Palatino Linotype" w:hAnsi="Palatino Linotype" w:cs="Arial"/>
          <w:sz w:val="24"/>
          <w:szCs w:val="24"/>
        </w:rPr>
        <w:t xml:space="preserve"> </w:t>
      </w:r>
    </w:p>
    <w:p w:rsidRPr="005F68D7" w:rsidR="002D7EBD" w:rsidP="00667778" w:rsidRDefault="002D7EBD" w14:paraId="2CF966E3" w14:textId="77777777">
      <w:pPr>
        <w:jc w:val="both"/>
        <w:rPr>
          <w:rFonts w:ascii="Palatino Linotype" w:hAnsi="Palatino Linotype" w:cs="Arial"/>
          <w:sz w:val="24"/>
          <w:szCs w:val="24"/>
        </w:rPr>
      </w:pPr>
    </w:p>
    <w:p w:rsidRPr="005F68D7" w:rsidR="002D7EBD" w:rsidP="004613EF" w:rsidRDefault="00C41B68" w14:paraId="75CB8F47" w14:textId="65890401">
      <w:pPr>
        <w:pStyle w:val="Heading1"/>
        <w:ind w:firstLine="720"/>
        <w:rPr>
          <w:rFonts w:ascii="Palatino Linotype" w:hAnsi="Palatino Linotype"/>
          <w:sz w:val="24"/>
          <w:szCs w:val="24"/>
        </w:rPr>
      </w:pPr>
      <w:r w:rsidRPr="005F68D7">
        <w:rPr>
          <w:rFonts w:ascii="Palatino Linotype" w:hAnsi="Palatino Linotype"/>
          <w:caps w:val="0"/>
          <w:sz w:val="24"/>
          <w:szCs w:val="24"/>
        </w:rPr>
        <w:t xml:space="preserve">Recommendations </w:t>
      </w:r>
      <w:r w:rsidRPr="005F68D7" w:rsidR="00A04C52">
        <w:rPr>
          <w:rFonts w:ascii="Palatino Linotype" w:hAnsi="Palatino Linotype"/>
          <w:caps w:val="0"/>
          <w:sz w:val="24"/>
          <w:szCs w:val="24"/>
        </w:rPr>
        <w:t>14 &amp; 15: Market Support Indicator 18</w:t>
      </w:r>
    </w:p>
    <w:p w:rsidRPr="005F68D7" w:rsidR="00A04C52" w:rsidP="00A4547A" w:rsidRDefault="00B82005" w14:paraId="009439CB" w14:textId="14FF2CA0">
      <w:pPr>
        <w:rPr>
          <w:rFonts w:ascii="Palatino Linotype" w:hAnsi="Palatino Linotype" w:cs="Arial"/>
          <w:sz w:val="24"/>
          <w:szCs w:val="24"/>
        </w:rPr>
      </w:pPr>
      <w:r w:rsidRPr="005F68D7">
        <w:rPr>
          <w:rFonts w:ascii="Palatino Linotype" w:hAnsi="Palatino Linotype" w:cs="Arial"/>
          <w:bCs/>
          <w:sz w:val="24"/>
          <w:szCs w:val="24"/>
        </w:rPr>
        <w:t>The Commission</w:t>
      </w:r>
      <w:r w:rsidRPr="005F68D7" w:rsidR="00A04C52">
        <w:rPr>
          <w:rFonts w:ascii="Palatino Linotype" w:hAnsi="Palatino Linotype" w:cs="Arial"/>
          <w:sz w:val="24"/>
          <w:szCs w:val="24"/>
        </w:rPr>
        <w:t xml:space="preserve"> agrees with the EMSWG Report </w:t>
      </w:r>
      <w:r w:rsidRPr="005F68D7" w:rsidR="00B9510A">
        <w:rPr>
          <w:rFonts w:ascii="Palatino Linotype" w:hAnsi="Palatino Linotype" w:cs="Arial"/>
          <w:sz w:val="24"/>
          <w:szCs w:val="24"/>
        </w:rPr>
        <w:t xml:space="preserve">consensus </w:t>
      </w:r>
      <w:r w:rsidRPr="005F68D7" w:rsidR="00A04C52">
        <w:rPr>
          <w:rFonts w:ascii="Palatino Linotype" w:hAnsi="Palatino Linotype" w:cs="Arial"/>
          <w:sz w:val="24"/>
          <w:szCs w:val="24"/>
        </w:rPr>
        <w:t>recommendations</w:t>
      </w:r>
      <w:r w:rsidRPr="005F68D7" w:rsidR="00B9510A">
        <w:rPr>
          <w:rFonts w:ascii="Palatino Linotype" w:hAnsi="Palatino Linotype" w:cs="Arial"/>
          <w:sz w:val="24"/>
          <w:szCs w:val="24"/>
        </w:rPr>
        <w:t xml:space="preserve"> </w:t>
      </w:r>
      <w:r w:rsidRPr="005F68D7" w:rsidR="00C43CA0">
        <w:rPr>
          <w:rFonts w:ascii="Palatino Linotype" w:hAnsi="Palatino Linotype" w:cs="Arial"/>
          <w:sz w:val="24"/>
          <w:szCs w:val="24"/>
        </w:rPr>
        <w:t>in</w:t>
      </w:r>
      <w:r w:rsidRPr="005F68D7" w:rsidR="00FD3791">
        <w:rPr>
          <w:rFonts w:ascii="Palatino Linotype" w:hAnsi="Palatino Linotype" w:cs="Arial"/>
          <w:sz w:val="24"/>
          <w:szCs w:val="24"/>
        </w:rPr>
        <w:t xml:space="preserve"> clarify</w:t>
      </w:r>
      <w:r w:rsidRPr="005F68D7" w:rsidR="00C43CA0">
        <w:rPr>
          <w:rFonts w:ascii="Palatino Linotype" w:hAnsi="Palatino Linotype" w:cs="Arial"/>
          <w:sz w:val="24"/>
          <w:szCs w:val="24"/>
        </w:rPr>
        <w:t>ing</w:t>
      </w:r>
      <w:r w:rsidRPr="005F68D7" w:rsidR="00FD3791">
        <w:rPr>
          <w:rFonts w:ascii="Palatino Linotype" w:hAnsi="Palatino Linotype" w:cs="Arial"/>
          <w:sz w:val="24"/>
          <w:szCs w:val="24"/>
        </w:rPr>
        <w:t xml:space="preserve"> what “taken action” and “type” </w:t>
      </w:r>
      <w:r w:rsidRPr="005F68D7" w:rsidR="008F7BCB">
        <w:rPr>
          <w:rFonts w:ascii="Palatino Linotype" w:hAnsi="Palatino Linotype" w:cs="Arial"/>
          <w:sz w:val="24"/>
          <w:szCs w:val="24"/>
        </w:rPr>
        <w:t xml:space="preserve">refer to, and what the denominator of the </w:t>
      </w:r>
      <w:r w:rsidRPr="005F68D7" w:rsidR="008D6C1B">
        <w:rPr>
          <w:rFonts w:ascii="Palatino Linotype" w:hAnsi="Palatino Linotype" w:cs="Arial"/>
          <w:sz w:val="24"/>
          <w:szCs w:val="24"/>
        </w:rPr>
        <w:t>percentage should include.</w:t>
      </w:r>
      <w:r w:rsidRPr="005F68D7" w:rsidR="00EF0107">
        <w:rPr>
          <w:rFonts w:ascii="Palatino Linotype" w:hAnsi="Palatino Linotype" w:cs="Arial"/>
          <w:sz w:val="24"/>
          <w:szCs w:val="24"/>
        </w:rPr>
        <w:t xml:space="preserve"> </w:t>
      </w:r>
    </w:p>
    <w:p w:rsidRPr="005F68D7" w:rsidR="00345053" w:rsidP="00EA5D6E" w:rsidRDefault="00345053" w14:paraId="2C568D19" w14:textId="77777777">
      <w:pPr>
        <w:jc w:val="both"/>
        <w:rPr>
          <w:rFonts w:ascii="Palatino Linotype" w:hAnsi="Palatino Linotype" w:cs="Arial"/>
          <w:bCs/>
          <w:sz w:val="24"/>
          <w:szCs w:val="24"/>
        </w:rPr>
      </w:pPr>
    </w:p>
    <w:p w:rsidRPr="005F68D7" w:rsidR="00090737" w:rsidP="004613EF" w:rsidRDefault="00090737" w14:paraId="3C5D06E4" w14:textId="2FA9D70A">
      <w:pPr>
        <w:pStyle w:val="Heading1"/>
        <w:ind w:left="720"/>
        <w:rPr>
          <w:rFonts w:ascii="Palatino Linotype" w:hAnsi="Palatino Linotype"/>
          <w:sz w:val="24"/>
          <w:szCs w:val="24"/>
        </w:rPr>
      </w:pPr>
      <w:r w:rsidRPr="005F68D7">
        <w:rPr>
          <w:rFonts w:ascii="Palatino Linotype" w:hAnsi="Palatino Linotype"/>
          <w:caps w:val="0"/>
          <w:sz w:val="24"/>
          <w:szCs w:val="24"/>
        </w:rPr>
        <w:t>Recommendation</w:t>
      </w:r>
      <w:r w:rsidRPr="005F68D7" w:rsidR="003776D2">
        <w:rPr>
          <w:rFonts w:ascii="Palatino Linotype" w:hAnsi="Palatino Linotype"/>
          <w:caps w:val="0"/>
          <w:sz w:val="24"/>
          <w:szCs w:val="24"/>
        </w:rPr>
        <w:t>s</w:t>
      </w:r>
      <w:r w:rsidRPr="005F68D7">
        <w:rPr>
          <w:rFonts w:ascii="Palatino Linotype" w:hAnsi="Palatino Linotype"/>
          <w:caps w:val="0"/>
          <w:sz w:val="24"/>
          <w:szCs w:val="24"/>
        </w:rPr>
        <w:t xml:space="preserve"> 1</w:t>
      </w:r>
      <w:r w:rsidRPr="005F68D7" w:rsidR="0037670C">
        <w:rPr>
          <w:rFonts w:ascii="Palatino Linotype" w:hAnsi="Palatino Linotype"/>
          <w:caps w:val="0"/>
          <w:sz w:val="24"/>
          <w:szCs w:val="24"/>
        </w:rPr>
        <w:t>6</w:t>
      </w:r>
      <w:r w:rsidRPr="005F68D7" w:rsidR="003776D2">
        <w:rPr>
          <w:rFonts w:ascii="Palatino Linotype" w:hAnsi="Palatino Linotype"/>
          <w:caps w:val="0"/>
          <w:sz w:val="24"/>
          <w:szCs w:val="24"/>
        </w:rPr>
        <w:t xml:space="preserve"> &amp; 17</w:t>
      </w:r>
      <w:r w:rsidRPr="005F68D7">
        <w:rPr>
          <w:rFonts w:ascii="Palatino Linotype" w:hAnsi="Palatino Linotype"/>
          <w:caps w:val="0"/>
          <w:sz w:val="24"/>
          <w:szCs w:val="24"/>
        </w:rPr>
        <w:t xml:space="preserve">: Defining </w:t>
      </w:r>
      <w:r w:rsidRPr="005F68D7" w:rsidR="001468B0">
        <w:rPr>
          <w:rFonts w:ascii="Palatino Linotype" w:hAnsi="Palatino Linotype"/>
          <w:caps w:val="0"/>
          <w:sz w:val="24"/>
          <w:szCs w:val="24"/>
        </w:rPr>
        <w:t>Non-</w:t>
      </w:r>
      <w:r w:rsidRPr="005F68D7" w:rsidR="00560CD9">
        <w:rPr>
          <w:rFonts w:ascii="Palatino Linotype" w:hAnsi="Palatino Linotype"/>
          <w:caps w:val="0"/>
          <w:sz w:val="24"/>
          <w:szCs w:val="24"/>
        </w:rPr>
        <w:t>Ratepayer In-Kind Funds/Contributions</w:t>
      </w:r>
    </w:p>
    <w:p w:rsidRPr="005F68D7" w:rsidR="00203A0F" w:rsidP="00A4547A" w:rsidRDefault="00B82005" w14:paraId="504F6B07" w14:textId="6C9035B2">
      <w:pPr>
        <w:rPr>
          <w:rFonts w:ascii="Palatino Linotype" w:hAnsi="Palatino Linotype" w:cs="Arial"/>
          <w:sz w:val="24"/>
          <w:szCs w:val="24"/>
        </w:rPr>
      </w:pPr>
      <w:r w:rsidRPr="005F68D7">
        <w:rPr>
          <w:rFonts w:ascii="Palatino Linotype" w:hAnsi="Palatino Linotype" w:cs="Arial"/>
          <w:bCs/>
          <w:sz w:val="24"/>
          <w:szCs w:val="24"/>
        </w:rPr>
        <w:t>The Commission</w:t>
      </w:r>
      <w:r w:rsidRPr="005F68D7" w:rsidR="00203A0F">
        <w:rPr>
          <w:rFonts w:ascii="Palatino Linotype" w:hAnsi="Palatino Linotype" w:cs="Arial"/>
          <w:bCs/>
          <w:sz w:val="24"/>
          <w:szCs w:val="24"/>
        </w:rPr>
        <w:t xml:space="preserve"> </w:t>
      </w:r>
      <w:r w:rsidRPr="005F68D7" w:rsidR="00203A0F">
        <w:rPr>
          <w:rFonts w:ascii="Palatino Linotype" w:hAnsi="Palatino Linotype" w:cs="Arial"/>
          <w:sz w:val="24"/>
          <w:szCs w:val="24"/>
        </w:rPr>
        <w:t>agrees with the EMSWG Report recommendation.</w:t>
      </w:r>
    </w:p>
    <w:p w:rsidRPr="005F68D7" w:rsidR="00483531" w:rsidP="00A4547A" w:rsidRDefault="00483531" w14:paraId="663F8D67" w14:textId="77777777">
      <w:pPr>
        <w:rPr>
          <w:rFonts w:ascii="Palatino Linotype" w:hAnsi="Palatino Linotype" w:cs="Arial"/>
          <w:sz w:val="24"/>
          <w:szCs w:val="24"/>
        </w:rPr>
      </w:pPr>
    </w:p>
    <w:p w:rsidRPr="005F68D7" w:rsidR="00DD076D" w:rsidP="00A4547A" w:rsidRDefault="00DD076D" w14:paraId="20426E3B" w14:textId="33E15325">
      <w:pPr>
        <w:rPr>
          <w:rFonts w:ascii="Palatino Linotype" w:hAnsi="Palatino Linotype" w:cs="Arial"/>
          <w:sz w:val="24"/>
          <w:szCs w:val="24"/>
        </w:rPr>
      </w:pPr>
      <w:r w:rsidRPr="005F68D7">
        <w:rPr>
          <w:rFonts w:ascii="Palatino Linotype" w:hAnsi="Palatino Linotype" w:cs="Arial"/>
          <w:sz w:val="24"/>
          <w:szCs w:val="24"/>
        </w:rPr>
        <w:t>The terms "non-ratepayer in-kind funds" and "non-ratepayer in-kind contributions" (used in Market Support Indicator #2) are defined as:</w:t>
      </w:r>
    </w:p>
    <w:p w:rsidRPr="005F68D7" w:rsidR="00DD076D" w:rsidP="00A4547A" w:rsidRDefault="00DD076D" w14:paraId="1991D1A4" w14:textId="37D699C1">
      <w:pPr>
        <w:ind w:firstLine="720"/>
        <w:rPr>
          <w:rFonts w:ascii="Palatino Linotype" w:hAnsi="Palatino Linotype" w:cs="Arial"/>
          <w:sz w:val="24"/>
          <w:szCs w:val="24"/>
        </w:rPr>
      </w:pPr>
      <w:r w:rsidRPr="005F68D7">
        <w:rPr>
          <w:rFonts w:ascii="Palatino Linotype" w:hAnsi="Palatino Linotype" w:cs="Arial"/>
          <w:sz w:val="24"/>
          <w:szCs w:val="24"/>
        </w:rPr>
        <w:t>1. "Non-ratepayer in-kind funds" refers to monetary contributions offered for free (e.g., through a grant or donation)</w:t>
      </w:r>
      <w:r w:rsidRPr="005F68D7" w:rsidR="007F221B">
        <w:rPr>
          <w:rFonts w:ascii="Palatino Linotype" w:hAnsi="Palatino Linotype" w:cs="Arial"/>
          <w:sz w:val="24"/>
          <w:szCs w:val="24"/>
        </w:rPr>
        <w:t>.</w:t>
      </w:r>
    </w:p>
    <w:p w:rsidRPr="005F68D7" w:rsidR="000F573E" w:rsidP="00A4547A" w:rsidRDefault="00DD076D" w14:paraId="3C69ADD5" w14:textId="4E2BFACE">
      <w:pPr>
        <w:ind w:firstLine="720"/>
        <w:rPr>
          <w:rFonts w:ascii="Palatino Linotype" w:hAnsi="Palatino Linotype" w:cs="Arial"/>
          <w:sz w:val="24"/>
          <w:szCs w:val="24"/>
        </w:rPr>
      </w:pPr>
      <w:r w:rsidRPr="005F68D7">
        <w:rPr>
          <w:rFonts w:ascii="Palatino Linotype" w:hAnsi="Palatino Linotype" w:cs="Arial"/>
          <w:sz w:val="24"/>
          <w:szCs w:val="24"/>
        </w:rPr>
        <w:t>2. "Non-ratepayer in-kind contributions" refers to goods, services (e.g., human capacity), and other tangible assets that are provided for free or at less than the usual charge</w:t>
      </w:r>
      <w:r w:rsidRPr="005F68D7" w:rsidR="0070279B">
        <w:rPr>
          <w:rFonts w:ascii="Palatino Linotype" w:hAnsi="Palatino Linotype" w:cs="Arial"/>
          <w:sz w:val="24"/>
          <w:szCs w:val="24"/>
        </w:rPr>
        <w:t>.</w:t>
      </w:r>
    </w:p>
    <w:p w:rsidRPr="005F68D7" w:rsidR="000F573E" w:rsidP="00A4547A" w:rsidRDefault="000F573E" w14:paraId="1E6C6C8E" w14:textId="77777777">
      <w:pPr>
        <w:ind w:firstLine="720"/>
        <w:rPr>
          <w:rFonts w:ascii="Palatino Linotype" w:hAnsi="Palatino Linotype" w:cs="Arial"/>
          <w:sz w:val="24"/>
          <w:szCs w:val="24"/>
        </w:rPr>
      </w:pPr>
    </w:p>
    <w:p w:rsidRPr="005F68D7" w:rsidR="00203A0F" w:rsidP="00A4547A" w:rsidRDefault="008B20B0" w14:paraId="295FE37E" w14:textId="0CC20198">
      <w:pPr>
        <w:rPr>
          <w:rFonts w:ascii="Palatino Linotype" w:hAnsi="Palatino Linotype" w:cs="Arial"/>
          <w:sz w:val="24"/>
          <w:szCs w:val="24"/>
        </w:rPr>
      </w:pPr>
      <w:r w:rsidRPr="005F68D7">
        <w:rPr>
          <w:rFonts w:ascii="Palatino Linotype" w:hAnsi="Palatino Linotype" w:cs="Arial"/>
          <w:sz w:val="24"/>
          <w:szCs w:val="24"/>
        </w:rPr>
        <w:t xml:space="preserve">PAs should use </w:t>
      </w:r>
      <w:r w:rsidRPr="005F68D7" w:rsidR="004C1584">
        <w:rPr>
          <w:rFonts w:ascii="Palatino Linotype" w:hAnsi="Palatino Linotype" w:cs="Arial"/>
          <w:sz w:val="24"/>
          <w:szCs w:val="24"/>
        </w:rPr>
        <w:t>t</w:t>
      </w:r>
      <w:r w:rsidRPr="005F68D7" w:rsidR="00DD076D">
        <w:rPr>
          <w:rFonts w:ascii="Palatino Linotype" w:hAnsi="Palatino Linotype" w:cs="Arial"/>
          <w:sz w:val="24"/>
          <w:szCs w:val="24"/>
        </w:rPr>
        <w:t>hese definitions together to develop a single total dollar value for both</w:t>
      </w:r>
      <w:r w:rsidRPr="005F68D7" w:rsidR="000F573E">
        <w:rPr>
          <w:rFonts w:ascii="Palatino Linotype" w:hAnsi="Palatino Linotype" w:cs="Arial"/>
          <w:sz w:val="24"/>
          <w:szCs w:val="24"/>
        </w:rPr>
        <w:t xml:space="preserve"> </w:t>
      </w:r>
      <w:r w:rsidRPr="005F68D7" w:rsidR="00DD076D">
        <w:rPr>
          <w:rFonts w:ascii="Palatino Linotype" w:hAnsi="Palatino Linotype" w:cs="Arial"/>
          <w:sz w:val="24"/>
          <w:szCs w:val="24"/>
        </w:rPr>
        <w:t>non-ratepayer in-kind funds and non-ratepayer in-kind contributions to be reported for this</w:t>
      </w:r>
      <w:r w:rsidRPr="005F68D7" w:rsidR="000F573E">
        <w:rPr>
          <w:rFonts w:ascii="Palatino Linotype" w:hAnsi="Palatino Linotype" w:cs="Arial"/>
          <w:sz w:val="24"/>
          <w:szCs w:val="24"/>
        </w:rPr>
        <w:t xml:space="preserve"> </w:t>
      </w:r>
      <w:r w:rsidRPr="005F68D7" w:rsidR="00DD076D">
        <w:rPr>
          <w:rFonts w:ascii="Palatino Linotype" w:hAnsi="Palatino Linotype" w:cs="Arial"/>
          <w:sz w:val="24"/>
          <w:szCs w:val="24"/>
        </w:rPr>
        <w:t xml:space="preserve">Indicator. </w:t>
      </w:r>
      <w:r w:rsidRPr="005F68D7" w:rsidR="002E2D78">
        <w:rPr>
          <w:rFonts w:ascii="Palatino Linotype" w:hAnsi="Palatino Linotype" w:cs="Arial"/>
          <w:sz w:val="24"/>
          <w:szCs w:val="24"/>
        </w:rPr>
        <w:t xml:space="preserve">The </w:t>
      </w:r>
      <w:r w:rsidRPr="005F68D7" w:rsidR="00DD076D">
        <w:rPr>
          <w:rFonts w:ascii="Palatino Linotype" w:hAnsi="Palatino Linotype" w:cs="Arial"/>
          <w:sz w:val="24"/>
          <w:szCs w:val="24"/>
        </w:rPr>
        <w:t>Working Group clarified its interpretation of the slash in the</w:t>
      </w:r>
      <w:r w:rsidRPr="005F68D7" w:rsidR="002E2D78">
        <w:rPr>
          <w:rFonts w:ascii="Palatino Linotype" w:hAnsi="Palatino Linotype" w:cs="Arial"/>
          <w:sz w:val="24"/>
          <w:szCs w:val="24"/>
        </w:rPr>
        <w:t xml:space="preserve"> </w:t>
      </w:r>
      <w:r w:rsidRPr="005F68D7" w:rsidR="00DD076D">
        <w:rPr>
          <w:rFonts w:ascii="Palatino Linotype" w:hAnsi="Palatino Linotype" w:cs="Arial"/>
          <w:sz w:val="24"/>
          <w:szCs w:val="24"/>
        </w:rPr>
        <w:t xml:space="preserve">Indicator language to mean “both, and.” </w:t>
      </w:r>
      <w:r w:rsidRPr="005F68D7" w:rsidR="00DD076D">
        <w:rPr>
          <w:rFonts w:ascii="Palatino Linotype" w:hAnsi="Palatino Linotype" w:cs="Arial"/>
          <w:bCs/>
          <w:sz w:val="24"/>
          <w:szCs w:val="24"/>
        </w:rPr>
        <w:t xml:space="preserve">Thus, </w:t>
      </w:r>
      <w:r w:rsidRPr="005F68D7" w:rsidR="00962153">
        <w:rPr>
          <w:rFonts w:ascii="Palatino Linotype" w:hAnsi="Palatino Linotype" w:cs="Arial"/>
          <w:bCs/>
          <w:sz w:val="24"/>
          <w:szCs w:val="24"/>
        </w:rPr>
        <w:t>we</w:t>
      </w:r>
      <w:r w:rsidRPr="005F68D7" w:rsidR="00DD076D">
        <w:rPr>
          <w:rFonts w:ascii="Palatino Linotype" w:hAnsi="Palatino Linotype" w:cs="Arial"/>
          <w:sz w:val="24"/>
          <w:szCs w:val="24"/>
        </w:rPr>
        <w:t xml:space="preserve"> find it reasonable to also</w:t>
      </w:r>
      <w:r w:rsidRPr="005F68D7" w:rsidR="002E2D78">
        <w:rPr>
          <w:rFonts w:ascii="Palatino Linotype" w:hAnsi="Palatino Linotype" w:cs="Arial"/>
          <w:sz w:val="24"/>
          <w:szCs w:val="24"/>
        </w:rPr>
        <w:t xml:space="preserve"> </w:t>
      </w:r>
      <w:r w:rsidRPr="005F68D7" w:rsidR="00DD076D">
        <w:rPr>
          <w:rFonts w:ascii="Palatino Linotype" w:hAnsi="Palatino Linotype" w:cs="Arial"/>
          <w:sz w:val="24"/>
          <w:szCs w:val="24"/>
        </w:rPr>
        <w:t>report separate dollar values to differentiate between non-ratepayer in-kind fund</w:t>
      </w:r>
      <w:r w:rsidRPr="005F68D7" w:rsidR="00A72ED2">
        <w:rPr>
          <w:rFonts w:ascii="Palatino Linotype" w:hAnsi="Palatino Linotype" w:cs="Arial"/>
          <w:sz w:val="24"/>
          <w:szCs w:val="24"/>
        </w:rPr>
        <w:t>s</w:t>
      </w:r>
      <w:r w:rsidRPr="005F68D7" w:rsidR="00DD076D">
        <w:rPr>
          <w:rFonts w:ascii="Palatino Linotype" w:hAnsi="Palatino Linotype" w:cs="Arial"/>
          <w:sz w:val="24"/>
          <w:szCs w:val="24"/>
        </w:rPr>
        <w:t xml:space="preserve"> and</w:t>
      </w:r>
      <w:r w:rsidRPr="005F68D7" w:rsidR="00A72ED2">
        <w:rPr>
          <w:rFonts w:ascii="Palatino Linotype" w:hAnsi="Palatino Linotype" w:cs="Arial"/>
          <w:sz w:val="24"/>
          <w:szCs w:val="24"/>
        </w:rPr>
        <w:t xml:space="preserve"> </w:t>
      </w:r>
      <w:r w:rsidR="00B14F8F">
        <w:rPr>
          <w:rFonts w:ascii="Palatino Linotype" w:hAnsi="Palatino Linotype" w:cs="Arial"/>
          <w:sz w:val="24"/>
          <w:szCs w:val="24"/>
        </w:rPr>
        <w:br/>
      </w:r>
      <w:r w:rsidRPr="005F68D7" w:rsidR="00DD076D">
        <w:rPr>
          <w:rFonts w:ascii="Palatino Linotype" w:hAnsi="Palatino Linotype" w:cs="Arial"/>
          <w:sz w:val="24"/>
          <w:szCs w:val="24"/>
        </w:rPr>
        <w:t>non-ratepayer in-kind contributions as an additional level of granularity.</w:t>
      </w:r>
    </w:p>
    <w:p w:rsidRPr="005F68D7" w:rsidR="00FE26A6" w:rsidP="00A4547A" w:rsidRDefault="00FE26A6" w14:paraId="34837196" w14:textId="77777777">
      <w:pPr>
        <w:rPr>
          <w:rFonts w:ascii="Palatino Linotype" w:hAnsi="Palatino Linotype" w:cs="Arial"/>
          <w:sz w:val="24"/>
          <w:szCs w:val="24"/>
        </w:rPr>
      </w:pPr>
    </w:p>
    <w:p w:rsidRPr="005F68D7" w:rsidR="00FE26A6" w:rsidP="00A4547A" w:rsidRDefault="00FE26A6" w14:paraId="1E61E66F" w14:textId="596A7CCC">
      <w:pPr>
        <w:rPr>
          <w:rFonts w:ascii="Palatino Linotype" w:hAnsi="Palatino Linotype" w:cs="Arial"/>
          <w:sz w:val="24"/>
          <w:szCs w:val="24"/>
        </w:rPr>
      </w:pPr>
      <w:r w:rsidRPr="005F68D7">
        <w:rPr>
          <w:rFonts w:ascii="Palatino Linotype" w:hAnsi="Palatino Linotype" w:cs="Arial"/>
          <w:sz w:val="24"/>
          <w:szCs w:val="24"/>
        </w:rPr>
        <w:t xml:space="preserve">The translation from "in-kind contributions" to a dollar value should be transparent and well-supported in </w:t>
      </w:r>
      <w:r w:rsidRPr="005F68D7" w:rsidR="008E482F">
        <w:rPr>
          <w:rFonts w:ascii="Palatino Linotype" w:hAnsi="Palatino Linotype" w:cs="Arial"/>
          <w:sz w:val="24"/>
          <w:szCs w:val="24"/>
        </w:rPr>
        <w:t xml:space="preserve">supporting </w:t>
      </w:r>
      <w:r w:rsidRPr="005F68D7">
        <w:rPr>
          <w:rFonts w:ascii="Palatino Linotype" w:hAnsi="Palatino Linotype" w:cs="Arial"/>
          <w:sz w:val="24"/>
          <w:szCs w:val="24"/>
        </w:rPr>
        <w:t>documentation</w:t>
      </w:r>
      <w:r w:rsidRPr="005F68D7" w:rsidR="00975541">
        <w:rPr>
          <w:rFonts w:ascii="Palatino Linotype" w:hAnsi="Palatino Linotype" w:cs="Arial"/>
          <w:sz w:val="24"/>
          <w:szCs w:val="24"/>
        </w:rPr>
        <w:t xml:space="preserve">, made available </w:t>
      </w:r>
      <w:r w:rsidRPr="005F68D7">
        <w:rPr>
          <w:rFonts w:ascii="Palatino Linotype" w:hAnsi="Palatino Linotype" w:cs="Arial"/>
          <w:sz w:val="24"/>
          <w:szCs w:val="24"/>
        </w:rPr>
        <w:t xml:space="preserve">when requested by </w:t>
      </w:r>
      <w:r w:rsidRPr="005F68D7" w:rsidR="0079045B">
        <w:rPr>
          <w:rFonts w:ascii="Palatino Linotype" w:hAnsi="Palatino Linotype" w:cs="Arial"/>
          <w:sz w:val="24"/>
          <w:szCs w:val="24"/>
        </w:rPr>
        <w:t>Energy Division</w:t>
      </w:r>
      <w:r w:rsidRPr="005F68D7" w:rsidR="004931C7">
        <w:rPr>
          <w:rFonts w:ascii="Palatino Linotype" w:hAnsi="Palatino Linotype" w:cs="Arial"/>
          <w:sz w:val="24"/>
          <w:szCs w:val="24"/>
        </w:rPr>
        <w:t xml:space="preserve"> staff </w:t>
      </w:r>
      <w:r w:rsidRPr="005F68D7">
        <w:rPr>
          <w:rFonts w:ascii="Palatino Linotype" w:hAnsi="Palatino Linotype" w:cs="Arial"/>
          <w:sz w:val="24"/>
          <w:szCs w:val="24"/>
        </w:rPr>
        <w:t xml:space="preserve">via </w:t>
      </w:r>
      <w:r w:rsidRPr="005F68D7" w:rsidR="00D378FE">
        <w:rPr>
          <w:rFonts w:ascii="Palatino Linotype" w:hAnsi="Palatino Linotype" w:cs="Arial"/>
          <w:sz w:val="24"/>
          <w:szCs w:val="24"/>
        </w:rPr>
        <w:t>d</w:t>
      </w:r>
      <w:r w:rsidRPr="005F68D7">
        <w:rPr>
          <w:rFonts w:ascii="Palatino Linotype" w:hAnsi="Palatino Linotype" w:cs="Arial"/>
          <w:sz w:val="24"/>
          <w:szCs w:val="24"/>
        </w:rPr>
        <w:t xml:space="preserve">ata </w:t>
      </w:r>
      <w:r w:rsidRPr="005F68D7" w:rsidR="00D378FE">
        <w:rPr>
          <w:rFonts w:ascii="Palatino Linotype" w:hAnsi="Palatino Linotype" w:cs="Arial"/>
          <w:sz w:val="24"/>
          <w:szCs w:val="24"/>
        </w:rPr>
        <w:t>r</w:t>
      </w:r>
      <w:r w:rsidRPr="005F68D7">
        <w:rPr>
          <w:rFonts w:ascii="Palatino Linotype" w:hAnsi="Palatino Linotype" w:cs="Arial"/>
          <w:sz w:val="24"/>
          <w:szCs w:val="24"/>
        </w:rPr>
        <w:t>equest.</w:t>
      </w:r>
      <w:r w:rsidRPr="005F68D7" w:rsidR="000E1012">
        <w:rPr>
          <w:rFonts w:ascii="Palatino Linotype" w:hAnsi="Palatino Linotype" w:cs="Arial"/>
          <w:sz w:val="24"/>
          <w:szCs w:val="24"/>
        </w:rPr>
        <w:t xml:space="preserve"> </w:t>
      </w:r>
      <w:r w:rsidRPr="005F68D7" w:rsidR="00C22E2A">
        <w:rPr>
          <w:rFonts w:ascii="Palatino Linotype" w:hAnsi="Palatino Linotype" w:cs="Arial"/>
          <w:sz w:val="24"/>
          <w:szCs w:val="24"/>
        </w:rPr>
        <w:t>PAs shall include a</w:t>
      </w:r>
      <w:r w:rsidRPr="005F68D7" w:rsidR="000E1012">
        <w:rPr>
          <w:rFonts w:ascii="Palatino Linotype" w:hAnsi="Palatino Linotype" w:cs="Arial"/>
          <w:sz w:val="24"/>
          <w:szCs w:val="24"/>
        </w:rPr>
        <w:t xml:space="preserve"> summary </w:t>
      </w:r>
      <w:r w:rsidRPr="005F68D7" w:rsidR="00122891">
        <w:rPr>
          <w:rFonts w:ascii="Palatino Linotype" w:hAnsi="Palatino Linotype" w:cs="Arial"/>
          <w:sz w:val="24"/>
          <w:szCs w:val="24"/>
        </w:rPr>
        <w:t>describing</w:t>
      </w:r>
      <w:r w:rsidRPr="005F68D7" w:rsidR="000E1012">
        <w:rPr>
          <w:rFonts w:ascii="Palatino Linotype" w:hAnsi="Palatino Linotype" w:cs="Arial"/>
          <w:sz w:val="24"/>
          <w:szCs w:val="24"/>
        </w:rPr>
        <w:t xml:space="preserve"> the </w:t>
      </w:r>
      <w:r w:rsidRPr="005F68D7" w:rsidR="00AE7491">
        <w:rPr>
          <w:rFonts w:ascii="Palatino Linotype" w:hAnsi="Palatino Linotype" w:cs="Arial"/>
          <w:sz w:val="24"/>
          <w:szCs w:val="24"/>
        </w:rPr>
        <w:t>supporting documentation in the annual reports.</w:t>
      </w:r>
    </w:p>
    <w:p w:rsidRPr="005F68D7" w:rsidR="001468B0" w:rsidP="001468B0" w:rsidRDefault="001468B0" w14:paraId="44B1DE21" w14:textId="65C07F89">
      <w:pPr>
        <w:pStyle w:val="standard"/>
        <w:ind w:firstLine="0"/>
        <w:rPr>
          <w:rFonts w:ascii="Palatino Linotype" w:hAnsi="Palatino Linotype"/>
          <w:sz w:val="24"/>
          <w:szCs w:val="24"/>
        </w:rPr>
      </w:pPr>
    </w:p>
    <w:p w:rsidRPr="005F68D7" w:rsidR="003A2264" w:rsidP="004613EF" w:rsidRDefault="003A2264" w14:paraId="664577E0" w14:textId="7F233AE5">
      <w:pPr>
        <w:pStyle w:val="Heading1"/>
        <w:numPr>
          <w:ilvl w:val="0"/>
          <w:numId w:val="34"/>
        </w:numPr>
        <w:ind w:left="360"/>
        <w:rPr>
          <w:rFonts w:ascii="Palatino Linotype" w:hAnsi="Palatino Linotype"/>
          <w:b w:val="0"/>
          <w:sz w:val="24"/>
          <w:szCs w:val="24"/>
        </w:rPr>
      </w:pPr>
      <w:r w:rsidRPr="005F68D7">
        <w:rPr>
          <w:rFonts w:ascii="Palatino Linotype" w:hAnsi="Palatino Linotype"/>
          <w:sz w:val="24"/>
          <w:szCs w:val="24"/>
        </w:rPr>
        <w:t>Paused Indicators</w:t>
      </w:r>
    </w:p>
    <w:p w:rsidRPr="005F68D7" w:rsidR="005C76A5" w:rsidP="00F609E6" w:rsidRDefault="00981B68" w14:paraId="479813E9" w14:textId="5C71599F">
      <w:pPr>
        <w:pStyle w:val="Heading1"/>
        <w:ind w:left="720"/>
        <w:rPr>
          <w:rFonts w:ascii="Palatino Linotype" w:hAnsi="Palatino Linotype"/>
          <w:sz w:val="24"/>
          <w:szCs w:val="24"/>
        </w:rPr>
      </w:pPr>
      <w:r w:rsidRPr="005F68D7">
        <w:rPr>
          <w:rFonts w:ascii="Palatino Linotype" w:hAnsi="Palatino Linotype"/>
          <w:caps w:val="0"/>
          <w:sz w:val="24"/>
          <w:szCs w:val="24"/>
        </w:rPr>
        <w:t>Recommendation</w:t>
      </w:r>
      <w:r w:rsidRPr="005F68D7" w:rsidR="00D71832">
        <w:rPr>
          <w:rFonts w:ascii="Palatino Linotype" w:hAnsi="Palatino Linotype"/>
          <w:caps w:val="0"/>
          <w:sz w:val="24"/>
          <w:szCs w:val="24"/>
        </w:rPr>
        <w:t>s</w:t>
      </w:r>
      <w:r w:rsidRPr="005F68D7">
        <w:rPr>
          <w:rFonts w:ascii="Palatino Linotype" w:hAnsi="Palatino Linotype"/>
          <w:caps w:val="0"/>
          <w:sz w:val="24"/>
          <w:szCs w:val="24"/>
        </w:rPr>
        <w:t xml:space="preserve"> </w:t>
      </w:r>
      <w:r w:rsidRPr="005F68D7" w:rsidR="00D71832">
        <w:rPr>
          <w:rFonts w:ascii="Palatino Linotype" w:hAnsi="Palatino Linotype"/>
          <w:caps w:val="0"/>
          <w:sz w:val="24"/>
          <w:szCs w:val="24"/>
        </w:rPr>
        <w:t>21</w:t>
      </w:r>
      <w:r w:rsidRPr="005F68D7" w:rsidR="00827317">
        <w:rPr>
          <w:rFonts w:ascii="Palatino Linotype" w:hAnsi="Palatino Linotype"/>
          <w:caps w:val="0"/>
          <w:sz w:val="24"/>
          <w:szCs w:val="24"/>
        </w:rPr>
        <w:t>,</w:t>
      </w:r>
      <w:r w:rsidRPr="005F68D7" w:rsidR="00D71832">
        <w:rPr>
          <w:rFonts w:ascii="Palatino Linotype" w:hAnsi="Palatino Linotype"/>
          <w:caps w:val="0"/>
          <w:sz w:val="24"/>
          <w:szCs w:val="24"/>
        </w:rPr>
        <w:t xml:space="preserve"> </w:t>
      </w:r>
      <w:r w:rsidRPr="005F68D7" w:rsidR="0091165F">
        <w:rPr>
          <w:rFonts w:ascii="Palatino Linotype" w:hAnsi="Palatino Linotype"/>
          <w:caps w:val="0"/>
          <w:sz w:val="24"/>
          <w:szCs w:val="24"/>
        </w:rPr>
        <w:t>22</w:t>
      </w:r>
      <w:r w:rsidRPr="005F68D7" w:rsidR="00827317">
        <w:rPr>
          <w:rFonts w:ascii="Palatino Linotype" w:hAnsi="Palatino Linotype"/>
          <w:caps w:val="0"/>
          <w:sz w:val="24"/>
          <w:szCs w:val="24"/>
        </w:rPr>
        <w:t>, &amp;</w:t>
      </w:r>
      <w:r w:rsidRPr="005F68D7" w:rsidR="00744316">
        <w:rPr>
          <w:rFonts w:ascii="Palatino Linotype" w:hAnsi="Palatino Linotype"/>
          <w:caps w:val="0"/>
          <w:sz w:val="24"/>
          <w:szCs w:val="24"/>
        </w:rPr>
        <w:t xml:space="preserve"> </w:t>
      </w:r>
      <w:r w:rsidRPr="005F68D7" w:rsidR="00827317">
        <w:rPr>
          <w:rFonts w:ascii="Palatino Linotype" w:hAnsi="Palatino Linotype"/>
          <w:caps w:val="0"/>
          <w:sz w:val="24"/>
          <w:szCs w:val="24"/>
        </w:rPr>
        <w:t>24</w:t>
      </w:r>
      <w:r w:rsidRPr="005F68D7" w:rsidR="0091165F">
        <w:rPr>
          <w:rFonts w:ascii="Palatino Linotype" w:hAnsi="Palatino Linotype"/>
          <w:caps w:val="0"/>
          <w:sz w:val="24"/>
          <w:szCs w:val="24"/>
        </w:rPr>
        <w:t>: Reporting Market Support Indicator</w:t>
      </w:r>
      <w:r w:rsidRPr="005F68D7" w:rsidR="009C69ED">
        <w:rPr>
          <w:rFonts w:ascii="Palatino Linotype" w:hAnsi="Palatino Linotype"/>
          <w:caps w:val="0"/>
          <w:sz w:val="24"/>
          <w:szCs w:val="24"/>
        </w:rPr>
        <w:t>s</w:t>
      </w:r>
      <w:r w:rsidRPr="005F68D7" w:rsidR="0091165F">
        <w:rPr>
          <w:rFonts w:ascii="Palatino Linotype" w:hAnsi="Palatino Linotype"/>
          <w:caps w:val="0"/>
          <w:sz w:val="24"/>
          <w:szCs w:val="24"/>
        </w:rPr>
        <w:t xml:space="preserve"> 22</w:t>
      </w:r>
      <w:r w:rsidRPr="005F68D7" w:rsidR="00827317">
        <w:rPr>
          <w:rFonts w:ascii="Palatino Linotype" w:hAnsi="Palatino Linotype"/>
          <w:caps w:val="0"/>
          <w:sz w:val="24"/>
          <w:szCs w:val="24"/>
        </w:rPr>
        <w:t>,</w:t>
      </w:r>
      <w:r w:rsidRPr="005F68D7" w:rsidR="00D71832">
        <w:rPr>
          <w:rFonts w:ascii="Palatino Linotype" w:hAnsi="Palatino Linotype"/>
          <w:caps w:val="0"/>
          <w:sz w:val="24"/>
          <w:szCs w:val="24"/>
        </w:rPr>
        <w:t xml:space="preserve"> 23</w:t>
      </w:r>
      <w:r w:rsidRPr="005F68D7" w:rsidR="00827317">
        <w:rPr>
          <w:rFonts w:ascii="Palatino Linotype" w:hAnsi="Palatino Linotype"/>
          <w:caps w:val="0"/>
          <w:sz w:val="24"/>
          <w:szCs w:val="24"/>
        </w:rPr>
        <w:t>,</w:t>
      </w:r>
      <w:r w:rsidR="009D75CD">
        <w:rPr>
          <w:rFonts w:ascii="Palatino Linotype" w:hAnsi="Palatino Linotype"/>
          <w:caps w:val="0"/>
          <w:sz w:val="24"/>
          <w:szCs w:val="24"/>
        </w:rPr>
        <w:br/>
      </w:r>
      <w:r w:rsidRPr="005F68D7" w:rsidR="00827317">
        <w:rPr>
          <w:rFonts w:ascii="Palatino Linotype" w:hAnsi="Palatino Linotype"/>
          <w:caps w:val="0"/>
          <w:sz w:val="24"/>
          <w:szCs w:val="24"/>
        </w:rPr>
        <w:t xml:space="preserve"> &amp; 13</w:t>
      </w:r>
    </w:p>
    <w:p w:rsidRPr="005F68D7" w:rsidR="00827C37" w:rsidP="00A4547A" w:rsidRDefault="00942E7C" w14:paraId="113B3278" w14:textId="48C7481F">
      <w:pPr>
        <w:rPr>
          <w:rFonts w:ascii="Palatino Linotype" w:hAnsi="Palatino Linotype" w:cs="Arial"/>
          <w:sz w:val="24"/>
          <w:szCs w:val="24"/>
        </w:rPr>
      </w:pPr>
      <w:r w:rsidRPr="005F68D7">
        <w:rPr>
          <w:rFonts w:ascii="Palatino Linotype" w:hAnsi="Palatino Linotype" w:cs="Arial"/>
          <w:sz w:val="24"/>
          <w:szCs w:val="24"/>
        </w:rPr>
        <w:t xml:space="preserve">The Commission </w:t>
      </w:r>
      <w:r w:rsidRPr="005F68D7" w:rsidR="004D794F">
        <w:rPr>
          <w:rFonts w:ascii="Palatino Linotype" w:hAnsi="Palatino Linotype" w:cs="Arial"/>
          <w:sz w:val="24"/>
          <w:szCs w:val="24"/>
        </w:rPr>
        <w:t xml:space="preserve">agrees with the EMSWG Report recommendations to pause reporting of </w:t>
      </w:r>
      <w:r w:rsidRPr="005F68D7" w:rsidR="00D54188">
        <w:rPr>
          <w:rFonts w:ascii="Palatino Linotype" w:hAnsi="Palatino Linotype" w:cs="Arial"/>
          <w:sz w:val="24"/>
          <w:szCs w:val="24"/>
        </w:rPr>
        <w:t xml:space="preserve">market support </w:t>
      </w:r>
      <w:r w:rsidRPr="005F68D7" w:rsidR="004D794F">
        <w:rPr>
          <w:rFonts w:ascii="Palatino Linotype" w:hAnsi="Palatino Linotype" w:cs="Arial"/>
          <w:sz w:val="24"/>
          <w:szCs w:val="24"/>
        </w:rPr>
        <w:t>indicators</w:t>
      </w:r>
      <w:r w:rsidRPr="005F68D7" w:rsidR="00722CA8">
        <w:rPr>
          <w:rFonts w:ascii="Palatino Linotype" w:hAnsi="Palatino Linotype" w:cs="Arial"/>
          <w:sz w:val="24"/>
          <w:szCs w:val="24"/>
        </w:rPr>
        <w:t xml:space="preserve"> 22</w:t>
      </w:r>
      <w:r w:rsidRPr="005F68D7" w:rsidR="00E866CA">
        <w:rPr>
          <w:rFonts w:ascii="Palatino Linotype" w:hAnsi="Palatino Linotype" w:cs="Arial"/>
          <w:sz w:val="24"/>
          <w:szCs w:val="24"/>
        </w:rPr>
        <w:t>,</w:t>
      </w:r>
      <w:r w:rsidRPr="005F68D7" w:rsidR="00722CA8">
        <w:rPr>
          <w:rFonts w:ascii="Palatino Linotype" w:hAnsi="Palatino Linotype" w:cs="Arial"/>
          <w:sz w:val="24"/>
          <w:szCs w:val="24"/>
        </w:rPr>
        <w:t xml:space="preserve"> 23</w:t>
      </w:r>
      <w:r w:rsidRPr="005F68D7" w:rsidR="00E866CA">
        <w:rPr>
          <w:rFonts w:ascii="Palatino Linotype" w:hAnsi="Palatino Linotype" w:cs="Arial"/>
          <w:sz w:val="24"/>
          <w:szCs w:val="24"/>
        </w:rPr>
        <w:t>,</w:t>
      </w:r>
      <w:r w:rsidRPr="005F68D7" w:rsidR="003F7891">
        <w:rPr>
          <w:rFonts w:ascii="Palatino Linotype" w:hAnsi="Palatino Linotype" w:cs="Arial"/>
          <w:sz w:val="24"/>
          <w:szCs w:val="24"/>
        </w:rPr>
        <w:t xml:space="preserve"> </w:t>
      </w:r>
      <w:r w:rsidRPr="005F68D7" w:rsidR="00E866CA">
        <w:rPr>
          <w:rFonts w:ascii="Palatino Linotype" w:hAnsi="Palatino Linotype" w:cs="Arial"/>
          <w:sz w:val="24"/>
          <w:szCs w:val="24"/>
        </w:rPr>
        <w:t>and 13</w:t>
      </w:r>
      <w:r w:rsidRPr="005F68D7" w:rsidR="004D794F">
        <w:rPr>
          <w:rFonts w:ascii="Palatino Linotype" w:hAnsi="Palatino Linotype" w:cs="Arial"/>
          <w:sz w:val="24"/>
          <w:szCs w:val="24"/>
        </w:rPr>
        <w:t xml:space="preserve">. </w:t>
      </w:r>
      <w:r w:rsidRPr="005F68D7" w:rsidR="00664F2F">
        <w:rPr>
          <w:rFonts w:ascii="Palatino Linotype" w:hAnsi="Palatino Linotype" w:cs="Arial"/>
          <w:sz w:val="24"/>
          <w:szCs w:val="24"/>
        </w:rPr>
        <w:t xml:space="preserve">In addition, </w:t>
      </w:r>
      <w:r w:rsidRPr="005F68D7" w:rsidR="00AB29AB">
        <w:rPr>
          <w:rFonts w:ascii="Palatino Linotype" w:hAnsi="Palatino Linotype" w:cs="Arial"/>
          <w:sz w:val="24"/>
          <w:szCs w:val="24"/>
        </w:rPr>
        <w:t>we are</w:t>
      </w:r>
      <w:r w:rsidRPr="005F68D7" w:rsidR="001F6EDB">
        <w:rPr>
          <w:rFonts w:ascii="Palatino Linotype" w:hAnsi="Palatino Linotype" w:cs="Arial"/>
          <w:sz w:val="24"/>
          <w:szCs w:val="24"/>
        </w:rPr>
        <w:t xml:space="preserve"> </w:t>
      </w:r>
      <w:r w:rsidRPr="005F68D7" w:rsidR="000844F0">
        <w:rPr>
          <w:rFonts w:ascii="Palatino Linotype" w:hAnsi="Palatino Linotype" w:cs="Arial"/>
          <w:sz w:val="24"/>
          <w:szCs w:val="24"/>
        </w:rPr>
        <w:t>pausing market support indicators</w:t>
      </w:r>
      <w:r w:rsidRPr="005F68D7" w:rsidR="0017293D">
        <w:rPr>
          <w:rFonts w:ascii="Palatino Linotype" w:hAnsi="Palatino Linotype" w:cs="Arial"/>
          <w:sz w:val="24"/>
          <w:szCs w:val="24"/>
        </w:rPr>
        <w:t xml:space="preserve"> </w:t>
      </w:r>
      <w:r w:rsidRPr="005F68D7" w:rsidR="00626555">
        <w:rPr>
          <w:rFonts w:ascii="Palatino Linotype" w:hAnsi="Palatino Linotype" w:cs="Arial"/>
          <w:sz w:val="24"/>
          <w:szCs w:val="24"/>
        </w:rPr>
        <w:t xml:space="preserve">15, </w:t>
      </w:r>
      <w:r w:rsidRPr="005F68D7" w:rsidR="0017293D">
        <w:rPr>
          <w:rFonts w:ascii="Palatino Linotype" w:hAnsi="Palatino Linotype" w:cs="Arial"/>
          <w:sz w:val="24"/>
          <w:szCs w:val="24"/>
        </w:rPr>
        <w:t>16, 17,</w:t>
      </w:r>
      <w:r w:rsidRPr="005F68D7" w:rsidR="008A7E7D">
        <w:rPr>
          <w:rFonts w:ascii="Palatino Linotype" w:hAnsi="Palatino Linotype" w:cs="Arial"/>
          <w:sz w:val="24"/>
          <w:szCs w:val="24"/>
        </w:rPr>
        <w:t xml:space="preserve"> 21,</w:t>
      </w:r>
      <w:r w:rsidRPr="005F68D7" w:rsidR="0017293D">
        <w:rPr>
          <w:rFonts w:ascii="Palatino Linotype" w:hAnsi="Palatino Linotype" w:cs="Arial"/>
          <w:sz w:val="24"/>
          <w:szCs w:val="24"/>
        </w:rPr>
        <w:t xml:space="preserve"> 24, 25</w:t>
      </w:r>
      <w:r w:rsidRPr="005F68D7" w:rsidR="00937978">
        <w:rPr>
          <w:rFonts w:ascii="Palatino Linotype" w:hAnsi="Palatino Linotype" w:cs="Arial"/>
          <w:sz w:val="24"/>
          <w:szCs w:val="24"/>
        </w:rPr>
        <w:t xml:space="preserve">, </w:t>
      </w:r>
      <w:r w:rsidRPr="005F68D7" w:rsidR="007F60A9">
        <w:rPr>
          <w:rFonts w:ascii="Palatino Linotype" w:hAnsi="Palatino Linotype" w:cs="Arial"/>
          <w:sz w:val="24"/>
          <w:szCs w:val="24"/>
        </w:rPr>
        <w:t>and</w:t>
      </w:r>
      <w:r w:rsidRPr="005F68D7" w:rsidR="00A34170">
        <w:rPr>
          <w:rFonts w:ascii="Palatino Linotype" w:hAnsi="Palatino Linotype" w:cs="Arial"/>
          <w:sz w:val="24"/>
          <w:szCs w:val="24"/>
        </w:rPr>
        <w:t xml:space="preserve"> common metric</w:t>
      </w:r>
      <w:r w:rsidRPr="005F68D7" w:rsidR="007F60A9">
        <w:rPr>
          <w:rFonts w:ascii="Palatino Linotype" w:hAnsi="Palatino Linotype" w:cs="Arial"/>
          <w:sz w:val="24"/>
          <w:szCs w:val="24"/>
        </w:rPr>
        <w:t xml:space="preserve"> </w:t>
      </w:r>
      <w:r w:rsidRPr="005F68D7" w:rsidR="00937978">
        <w:rPr>
          <w:rFonts w:ascii="Palatino Linotype" w:hAnsi="Palatino Linotype" w:cs="Arial"/>
          <w:sz w:val="24"/>
          <w:szCs w:val="24"/>
        </w:rPr>
        <w:t>187</w:t>
      </w:r>
      <w:r w:rsidRPr="005F68D7" w:rsidR="00A477BD">
        <w:rPr>
          <w:rFonts w:ascii="Palatino Linotype" w:hAnsi="Palatino Linotype" w:cs="Arial"/>
          <w:sz w:val="24"/>
          <w:szCs w:val="24"/>
        </w:rPr>
        <w:t>.</w:t>
      </w:r>
      <w:r w:rsidRPr="005F68D7" w:rsidR="0017293D">
        <w:rPr>
          <w:rFonts w:ascii="Palatino Linotype" w:hAnsi="Palatino Linotype" w:cs="Arial"/>
          <w:sz w:val="24"/>
          <w:szCs w:val="24"/>
        </w:rPr>
        <w:t xml:space="preserve"> </w:t>
      </w:r>
      <w:r w:rsidRPr="005F68D7" w:rsidR="000844F0">
        <w:rPr>
          <w:rFonts w:ascii="Palatino Linotype" w:hAnsi="Palatino Linotype" w:cs="Arial"/>
          <w:sz w:val="24"/>
          <w:szCs w:val="24"/>
        </w:rPr>
        <w:t xml:space="preserve"> </w:t>
      </w:r>
      <w:r w:rsidRPr="005F68D7" w:rsidR="00E443D7">
        <w:rPr>
          <w:rFonts w:ascii="Palatino Linotype" w:hAnsi="Palatino Linotype" w:cs="Arial"/>
          <w:sz w:val="24"/>
          <w:szCs w:val="24"/>
        </w:rPr>
        <w:t xml:space="preserve">While they may provide useful and important information in the future, additional </w:t>
      </w:r>
      <w:r w:rsidRPr="005F68D7" w:rsidR="002A4609">
        <w:rPr>
          <w:rFonts w:ascii="Palatino Linotype" w:hAnsi="Palatino Linotype" w:cs="Arial"/>
          <w:sz w:val="24"/>
          <w:szCs w:val="24"/>
        </w:rPr>
        <w:t xml:space="preserve">discussion among stakeholders </w:t>
      </w:r>
      <w:r w:rsidRPr="005F68D7" w:rsidR="00CC38B3">
        <w:rPr>
          <w:rFonts w:ascii="Palatino Linotype" w:hAnsi="Palatino Linotype" w:cs="Arial"/>
          <w:sz w:val="24"/>
          <w:szCs w:val="24"/>
        </w:rPr>
        <w:t xml:space="preserve">is needed </w:t>
      </w:r>
      <w:r w:rsidRPr="005F68D7" w:rsidR="00CA40F1">
        <w:rPr>
          <w:rFonts w:ascii="Palatino Linotype" w:hAnsi="Palatino Linotype" w:cs="Arial"/>
          <w:sz w:val="24"/>
          <w:szCs w:val="24"/>
        </w:rPr>
        <w:t xml:space="preserve">to </w:t>
      </w:r>
      <w:r w:rsidRPr="005F68D7" w:rsidR="002A4609">
        <w:rPr>
          <w:rFonts w:ascii="Palatino Linotype" w:hAnsi="Palatino Linotype" w:cs="Arial"/>
          <w:sz w:val="24"/>
          <w:szCs w:val="24"/>
        </w:rPr>
        <w:t>clarify and prioritize</w:t>
      </w:r>
      <w:r w:rsidRPr="005F68D7" w:rsidR="00C76C19">
        <w:rPr>
          <w:rFonts w:ascii="Palatino Linotype" w:hAnsi="Palatino Linotype" w:cs="Arial"/>
          <w:sz w:val="24"/>
          <w:szCs w:val="24"/>
        </w:rPr>
        <w:t xml:space="preserve"> </w:t>
      </w:r>
      <w:r w:rsidRPr="005F68D7" w:rsidR="00EE7FE5">
        <w:rPr>
          <w:rFonts w:ascii="Palatino Linotype" w:hAnsi="Palatino Linotype" w:cs="Arial"/>
          <w:sz w:val="24"/>
          <w:szCs w:val="24"/>
        </w:rPr>
        <w:t>reported indicators and metrics</w:t>
      </w:r>
      <w:r w:rsidRPr="005F68D7" w:rsidDel="00EE7FE5" w:rsidR="00EE7FE5">
        <w:rPr>
          <w:rFonts w:ascii="Palatino Linotype" w:hAnsi="Palatino Linotype" w:cs="Arial"/>
          <w:sz w:val="24"/>
          <w:szCs w:val="24"/>
        </w:rPr>
        <w:t xml:space="preserve"> </w:t>
      </w:r>
      <w:r w:rsidRPr="005F68D7" w:rsidR="00C76C19">
        <w:rPr>
          <w:rFonts w:ascii="Palatino Linotype" w:hAnsi="Palatino Linotype" w:cs="Arial"/>
          <w:sz w:val="24"/>
          <w:szCs w:val="24"/>
        </w:rPr>
        <w:t xml:space="preserve">before they </w:t>
      </w:r>
      <w:r w:rsidRPr="005F68D7" w:rsidR="00EE7FE5">
        <w:rPr>
          <w:rFonts w:ascii="Palatino Linotype" w:hAnsi="Palatino Linotype" w:cs="Arial"/>
          <w:sz w:val="24"/>
          <w:szCs w:val="24"/>
        </w:rPr>
        <w:t xml:space="preserve">should </w:t>
      </w:r>
      <w:r w:rsidRPr="005F68D7" w:rsidR="00C76C19">
        <w:rPr>
          <w:rFonts w:ascii="Palatino Linotype" w:hAnsi="Palatino Linotype" w:cs="Arial"/>
          <w:sz w:val="24"/>
          <w:szCs w:val="24"/>
        </w:rPr>
        <w:t xml:space="preserve">be </w:t>
      </w:r>
      <w:r w:rsidRPr="005F68D7" w:rsidR="00252872">
        <w:rPr>
          <w:rFonts w:ascii="Palatino Linotype" w:hAnsi="Palatino Linotype" w:cs="Arial"/>
          <w:sz w:val="24"/>
          <w:szCs w:val="24"/>
        </w:rPr>
        <w:t>reported</w:t>
      </w:r>
      <w:r w:rsidRPr="005F68D7" w:rsidR="00437097">
        <w:rPr>
          <w:rFonts w:ascii="Palatino Linotype" w:hAnsi="Palatino Linotype" w:cs="Arial"/>
          <w:sz w:val="24"/>
          <w:szCs w:val="24"/>
        </w:rPr>
        <w:t>.</w:t>
      </w:r>
      <w:r w:rsidRPr="005F68D7" w:rsidR="00CF76EB">
        <w:rPr>
          <w:rFonts w:ascii="Palatino Linotype" w:hAnsi="Palatino Linotype" w:cs="Arial"/>
          <w:sz w:val="24"/>
          <w:szCs w:val="24"/>
        </w:rPr>
        <w:t xml:space="preserve"> </w:t>
      </w:r>
      <w:r w:rsidRPr="005F68D7" w:rsidR="00627F67">
        <w:rPr>
          <w:rFonts w:ascii="Palatino Linotype" w:hAnsi="Palatino Linotype" w:cs="Arial"/>
          <w:sz w:val="24"/>
          <w:szCs w:val="24"/>
        </w:rPr>
        <w:t xml:space="preserve">Energy Division may provide staff guidance to allow PAs to begin reporting these indicators </w:t>
      </w:r>
      <w:r w:rsidRPr="005F68D7" w:rsidR="00DF70C6">
        <w:rPr>
          <w:rFonts w:ascii="Palatino Linotype" w:hAnsi="Palatino Linotype" w:cs="Arial"/>
          <w:sz w:val="24"/>
          <w:szCs w:val="24"/>
        </w:rPr>
        <w:t>in the future to align with existing reporting schedules.</w:t>
      </w:r>
      <w:r w:rsidRPr="005F68D7" w:rsidR="00117794">
        <w:rPr>
          <w:rFonts w:ascii="Palatino Linotype" w:hAnsi="Palatino Linotype" w:cs="Arial"/>
          <w:sz w:val="24"/>
          <w:szCs w:val="24"/>
        </w:rPr>
        <w:t xml:space="preserve"> </w:t>
      </w:r>
    </w:p>
    <w:p w:rsidRPr="005F68D7" w:rsidR="0030304E" w:rsidP="005C76A5" w:rsidRDefault="0030304E" w14:paraId="4E36AD52" w14:textId="66323422">
      <w:pPr>
        <w:jc w:val="both"/>
        <w:rPr>
          <w:rFonts w:ascii="Palatino Linotype" w:hAnsi="Palatino Linotype"/>
          <w:sz w:val="24"/>
          <w:szCs w:val="24"/>
        </w:rPr>
      </w:pPr>
    </w:p>
    <w:p w:rsidRPr="005F68D7" w:rsidR="00147C6F" w:rsidP="004613EF" w:rsidRDefault="006564C1" w14:paraId="32D227C0" w14:textId="495E7A20">
      <w:pPr>
        <w:pStyle w:val="Heading1"/>
        <w:numPr>
          <w:ilvl w:val="0"/>
          <w:numId w:val="34"/>
        </w:numPr>
        <w:ind w:left="360"/>
        <w:rPr>
          <w:rFonts w:ascii="Palatino Linotype" w:hAnsi="Palatino Linotype" w:cs="Arial"/>
          <w:b w:val="0"/>
          <w:sz w:val="24"/>
          <w:szCs w:val="24"/>
        </w:rPr>
      </w:pPr>
      <w:r w:rsidRPr="005F68D7">
        <w:rPr>
          <w:rFonts w:ascii="Palatino Linotype" w:hAnsi="Palatino Linotype"/>
          <w:sz w:val="24"/>
          <w:szCs w:val="24"/>
        </w:rPr>
        <w:t>Reporting</w:t>
      </w:r>
      <w:r w:rsidRPr="005F68D7">
        <w:rPr>
          <w:rFonts w:ascii="Palatino Linotype" w:hAnsi="Palatino Linotype" w:cs="Arial"/>
          <w:b w:val="0"/>
          <w:sz w:val="24"/>
          <w:szCs w:val="24"/>
        </w:rPr>
        <w:t xml:space="preserve"> </w:t>
      </w:r>
      <w:r w:rsidRPr="005F68D7">
        <w:rPr>
          <w:rFonts w:ascii="Palatino Linotype" w:hAnsi="Palatino Linotype" w:cs="Arial"/>
          <w:bCs/>
          <w:sz w:val="24"/>
          <w:szCs w:val="24"/>
        </w:rPr>
        <w:t>Requirements</w:t>
      </w:r>
    </w:p>
    <w:p w:rsidRPr="005F68D7" w:rsidR="00A176BD" w:rsidP="00A4547A" w:rsidRDefault="00A176BD" w14:paraId="74C3A723" w14:textId="0B66AB3F">
      <w:pPr>
        <w:rPr>
          <w:rFonts w:ascii="Palatino Linotype" w:hAnsi="Palatino Linotype" w:cs="Arial"/>
          <w:sz w:val="24"/>
          <w:szCs w:val="24"/>
        </w:rPr>
      </w:pPr>
      <w:r w:rsidRPr="005F68D7">
        <w:rPr>
          <w:rFonts w:ascii="Palatino Linotype" w:hAnsi="Palatino Linotype" w:cs="Arial"/>
          <w:sz w:val="24"/>
          <w:szCs w:val="24"/>
        </w:rPr>
        <w:t xml:space="preserve">The Commission </w:t>
      </w:r>
      <w:r w:rsidRPr="005F68D7" w:rsidR="006E01E4">
        <w:rPr>
          <w:rFonts w:ascii="Palatino Linotype" w:hAnsi="Palatino Linotype" w:cs="Arial"/>
          <w:sz w:val="24"/>
          <w:szCs w:val="24"/>
        </w:rPr>
        <w:t>adds</w:t>
      </w:r>
      <w:r w:rsidRPr="005F68D7">
        <w:rPr>
          <w:rFonts w:ascii="Palatino Linotype" w:hAnsi="Palatino Linotype" w:cs="Arial"/>
          <w:sz w:val="24"/>
          <w:szCs w:val="24"/>
        </w:rPr>
        <w:t xml:space="preserve"> the following </w:t>
      </w:r>
      <w:r w:rsidRPr="005F68D7" w:rsidR="00C3105B">
        <w:rPr>
          <w:rFonts w:ascii="Palatino Linotype" w:hAnsi="Palatino Linotype" w:cs="Arial"/>
          <w:sz w:val="24"/>
          <w:szCs w:val="24"/>
        </w:rPr>
        <w:t xml:space="preserve">requirements for reporting all </w:t>
      </w:r>
      <w:r w:rsidRPr="005F68D7" w:rsidR="00485EE0">
        <w:rPr>
          <w:rFonts w:ascii="Palatino Linotype" w:hAnsi="Palatino Linotype" w:cs="Arial"/>
          <w:sz w:val="24"/>
          <w:szCs w:val="24"/>
        </w:rPr>
        <w:t>data related to the Energy Efficiency Portfolio</w:t>
      </w:r>
      <w:r w:rsidRPr="005F68D7" w:rsidR="00772DE3">
        <w:rPr>
          <w:rFonts w:ascii="Palatino Linotype" w:hAnsi="Palatino Linotype" w:cs="Arial"/>
          <w:sz w:val="24"/>
          <w:szCs w:val="24"/>
        </w:rPr>
        <w:t>s</w:t>
      </w:r>
      <w:r w:rsidRPr="005F68D7">
        <w:rPr>
          <w:rFonts w:ascii="Palatino Linotype" w:hAnsi="Palatino Linotype" w:cs="Arial"/>
          <w:sz w:val="24"/>
          <w:szCs w:val="24"/>
        </w:rPr>
        <w:t>:</w:t>
      </w:r>
    </w:p>
    <w:p w:rsidRPr="005F68D7" w:rsidR="00A95425" w:rsidP="00A4547A" w:rsidRDefault="3D873ABF" w14:paraId="215D4687" w14:textId="12736279">
      <w:pPr>
        <w:pStyle w:val="ListParagraph"/>
        <w:numPr>
          <w:ilvl w:val="0"/>
          <w:numId w:val="23"/>
        </w:numPr>
        <w:rPr>
          <w:rFonts w:ascii="Palatino Linotype" w:hAnsi="Palatino Linotype" w:cs="Arial"/>
          <w:sz w:val="24"/>
          <w:szCs w:val="24"/>
        </w:rPr>
      </w:pPr>
      <w:r w:rsidRPr="005F68D7">
        <w:rPr>
          <w:rFonts w:ascii="Palatino Linotype" w:hAnsi="Palatino Linotype" w:cs="Arial"/>
          <w:sz w:val="24"/>
          <w:szCs w:val="24"/>
        </w:rPr>
        <w:t>A m</w:t>
      </w:r>
      <w:r w:rsidRPr="005F68D7" w:rsidR="00A176BD">
        <w:rPr>
          <w:rFonts w:ascii="Palatino Linotype" w:hAnsi="Palatino Linotype" w:cs="Arial"/>
          <w:sz w:val="24"/>
          <w:szCs w:val="24"/>
        </w:rPr>
        <w:t xml:space="preserve">etric or indicator already reported </w:t>
      </w:r>
      <w:r w:rsidRPr="005F68D7" w:rsidR="00C5530E">
        <w:rPr>
          <w:rFonts w:ascii="Palatino Linotype" w:hAnsi="Palatino Linotype" w:cs="Arial"/>
          <w:sz w:val="24"/>
          <w:szCs w:val="24"/>
        </w:rPr>
        <w:t>publicly</w:t>
      </w:r>
      <w:r w:rsidRPr="005F68D7" w:rsidR="00A176BD">
        <w:rPr>
          <w:rFonts w:ascii="Palatino Linotype" w:hAnsi="Palatino Linotype" w:cs="Arial"/>
          <w:sz w:val="24"/>
          <w:szCs w:val="24"/>
        </w:rPr>
        <w:t xml:space="preserve"> in CEDARS</w:t>
      </w:r>
      <w:r w:rsidRPr="005F68D7" w:rsidR="00D75F32">
        <w:rPr>
          <w:rFonts w:ascii="Palatino Linotype" w:hAnsi="Palatino Linotype" w:cs="Arial"/>
          <w:sz w:val="24"/>
          <w:szCs w:val="24"/>
        </w:rPr>
        <w:t xml:space="preserve"> claims</w:t>
      </w:r>
      <w:r w:rsidRPr="005F68D7" w:rsidR="651BD24D">
        <w:rPr>
          <w:rFonts w:ascii="Palatino Linotype" w:hAnsi="Palatino Linotype" w:cs="Arial"/>
          <w:sz w:val="24"/>
          <w:szCs w:val="24"/>
        </w:rPr>
        <w:t xml:space="preserve"> need not be reported </w:t>
      </w:r>
      <w:r w:rsidRPr="005F68D7" w:rsidR="00C01771">
        <w:rPr>
          <w:rFonts w:ascii="Palatino Linotype" w:hAnsi="Palatino Linotype" w:cs="Arial"/>
          <w:sz w:val="24"/>
          <w:szCs w:val="24"/>
        </w:rPr>
        <w:t>in duplicate</w:t>
      </w:r>
      <w:r w:rsidRPr="005F68D7" w:rsidR="390B7F8B">
        <w:rPr>
          <w:rFonts w:ascii="Palatino Linotype" w:hAnsi="Palatino Linotype" w:cs="Arial"/>
          <w:sz w:val="24"/>
          <w:szCs w:val="24"/>
        </w:rPr>
        <w:t xml:space="preserve">, as long as the CEDARS data </w:t>
      </w:r>
      <w:r w:rsidRPr="005F68D7" w:rsidR="00963430">
        <w:rPr>
          <w:rFonts w:ascii="Palatino Linotype" w:hAnsi="Palatino Linotype" w:cs="Arial"/>
          <w:sz w:val="24"/>
          <w:szCs w:val="24"/>
        </w:rPr>
        <w:t>can</w:t>
      </w:r>
      <w:r w:rsidRPr="005F68D7" w:rsidR="390B7F8B">
        <w:rPr>
          <w:rFonts w:ascii="Palatino Linotype" w:hAnsi="Palatino Linotype" w:cs="Arial"/>
          <w:sz w:val="24"/>
          <w:szCs w:val="24"/>
        </w:rPr>
        <w:t xml:space="preserve"> be </w:t>
      </w:r>
      <w:r w:rsidRPr="005F68D7" w:rsidR="00963430">
        <w:rPr>
          <w:rFonts w:ascii="Palatino Linotype" w:hAnsi="Palatino Linotype" w:cs="Arial"/>
          <w:sz w:val="24"/>
          <w:szCs w:val="24"/>
        </w:rPr>
        <w:t xml:space="preserve">easily </w:t>
      </w:r>
      <w:r w:rsidRPr="005F68D7" w:rsidR="390B7F8B">
        <w:rPr>
          <w:rFonts w:ascii="Palatino Linotype" w:hAnsi="Palatino Linotype" w:cs="Arial"/>
          <w:sz w:val="24"/>
          <w:szCs w:val="24"/>
        </w:rPr>
        <w:t>accessed.</w:t>
      </w:r>
    </w:p>
    <w:p w:rsidRPr="005F68D7" w:rsidR="00A176BD" w:rsidP="00A4547A" w:rsidRDefault="006C3947" w14:paraId="5D7DBEAC" w14:textId="7A559037">
      <w:pPr>
        <w:pStyle w:val="ListParagraph"/>
        <w:numPr>
          <w:ilvl w:val="0"/>
          <w:numId w:val="23"/>
        </w:numPr>
        <w:rPr>
          <w:rFonts w:ascii="Palatino Linotype" w:hAnsi="Palatino Linotype" w:cs="Arial"/>
          <w:sz w:val="24"/>
          <w:szCs w:val="24"/>
        </w:rPr>
      </w:pPr>
      <w:r w:rsidRPr="005F68D7">
        <w:rPr>
          <w:rFonts w:ascii="Palatino Linotype" w:hAnsi="Palatino Linotype" w:cs="Arial"/>
          <w:sz w:val="24"/>
          <w:szCs w:val="24"/>
        </w:rPr>
        <w:t xml:space="preserve">All </w:t>
      </w:r>
      <w:r w:rsidRPr="005F68D7" w:rsidR="00A176BD">
        <w:rPr>
          <w:rFonts w:ascii="Palatino Linotype" w:hAnsi="Palatino Linotype" w:cs="Arial"/>
          <w:sz w:val="24"/>
          <w:szCs w:val="24"/>
        </w:rPr>
        <w:t xml:space="preserve">PAs shall use </w:t>
      </w:r>
      <w:r w:rsidRPr="005F68D7" w:rsidR="002F77A2">
        <w:rPr>
          <w:rFonts w:ascii="Palatino Linotype" w:hAnsi="Palatino Linotype" w:cs="Arial"/>
          <w:sz w:val="24"/>
          <w:szCs w:val="24"/>
        </w:rPr>
        <w:t>the same</w:t>
      </w:r>
      <w:r w:rsidRPr="005F68D7" w:rsidR="00A176BD">
        <w:rPr>
          <w:rFonts w:ascii="Palatino Linotype" w:hAnsi="Palatino Linotype" w:cs="Arial"/>
          <w:sz w:val="24"/>
          <w:szCs w:val="24"/>
        </w:rPr>
        <w:t xml:space="preserve"> methodolog</w:t>
      </w:r>
      <w:r w:rsidRPr="005F68D7" w:rsidR="005B3EC0">
        <w:rPr>
          <w:rFonts w:ascii="Palatino Linotype" w:hAnsi="Palatino Linotype" w:cs="Arial"/>
          <w:sz w:val="24"/>
          <w:szCs w:val="24"/>
        </w:rPr>
        <w:t>ies</w:t>
      </w:r>
      <w:r w:rsidRPr="005F68D7" w:rsidR="00C576AE">
        <w:rPr>
          <w:rFonts w:ascii="Palatino Linotype" w:hAnsi="Palatino Linotype" w:cs="Arial"/>
          <w:sz w:val="24"/>
          <w:szCs w:val="24"/>
        </w:rPr>
        <w:t xml:space="preserve"> </w:t>
      </w:r>
      <w:r w:rsidRPr="005F68D7" w:rsidR="00A176BD">
        <w:rPr>
          <w:rFonts w:ascii="Palatino Linotype" w:hAnsi="Palatino Linotype" w:cs="Arial"/>
          <w:sz w:val="24"/>
          <w:szCs w:val="24"/>
        </w:rPr>
        <w:t xml:space="preserve">to </w:t>
      </w:r>
      <w:r w:rsidRPr="005F68D7" w:rsidR="003C68ED">
        <w:rPr>
          <w:rFonts w:ascii="Palatino Linotype" w:hAnsi="Palatino Linotype" w:cs="Arial"/>
          <w:sz w:val="24"/>
          <w:szCs w:val="24"/>
        </w:rPr>
        <w:t xml:space="preserve">consistently </w:t>
      </w:r>
      <w:r w:rsidRPr="005F68D7" w:rsidR="00946C92">
        <w:rPr>
          <w:rFonts w:ascii="Palatino Linotype" w:hAnsi="Palatino Linotype" w:cs="Arial"/>
          <w:sz w:val="24"/>
          <w:szCs w:val="24"/>
        </w:rPr>
        <w:t>calcu</w:t>
      </w:r>
      <w:r w:rsidRPr="005F68D7" w:rsidR="0031323A">
        <w:rPr>
          <w:rFonts w:ascii="Palatino Linotype" w:hAnsi="Palatino Linotype" w:cs="Arial"/>
          <w:sz w:val="24"/>
          <w:szCs w:val="24"/>
        </w:rPr>
        <w:t xml:space="preserve">late and </w:t>
      </w:r>
      <w:r w:rsidRPr="005F68D7" w:rsidR="00A176BD">
        <w:rPr>
          <w:rFonts w:ascii="Palatino Linotype" w:hAnsi="Palatino Linotype" w:cs="Arial"/>
          <w:sz w:val="24"/>
          <w:szCs w:val="24"/>
        </w:rPr>
        <w:t xml:space="preserve">populate indicators and metrics unless exceptions are </w:t>
      </w:r>
      <w:r w:rsidRPr="005F68D7" w:rsidR="00630B9A">
        <w:rPr>
          <w:rFonts w:ascii="Palatino Linotype" w:hAnsi="Palatino Linotype" w:cs="Arial"/>
          <w:sz w:val="24"/>
          <w:szCs w:val="24"/>
        </w:rPr>
        <w:t>approved</w:t>
      </w:r>
      <w:r w:rsidRPr="005F68D7" w:rsidR="009615BF">
        <w:rPr>
          <w:rFonts w:ascii="Palatino Linotype" w:hAnsi="Palatino Linotype" w:cs="Arial"/>
          <w:sz w:val="24"/>
          <w:szCs w:val="24"/>
        </w:rPr>
        <w:t xml:space="preserve"> </w:t>
      </w:r>
      <w:r w:rsidRPr="005F68D7" w:rsidR="003D472F">
        <w:rPr>
          <w:rFonts w:ascii="Palatino Linotype" w:hAnsi="Palatino Linotype" w:cs="Arial"/>
          <w:sz w:val="24"/>
          <w:szCs w:val="24"/>
        </w:rPr>
        <w:t>by</w:t>
      </w:r>
      <w:r w:rsidRPr="005F68D7" w:rsidR="009615BF">
        <w:rPr>
          <w:rFonts w:ascii="Palatino Linotype" w:hAnsi="Palatino Linotype" w:cs="Arial"/>
          <w:sz w:val="24"/>
          <w:szCs w:val="24"/>
        </w:rPr>
        <w:t xml:space="preserve"> E</w:t>
      </w:r>
      <w:r w:rsidRPr="005F68D7" w:rsidR="00B95B4E">
        <w:rPr>
          <w:rFonts w:ascii="Palatino Linotype" w:hAnsi="Palatino Linotype" w:cs="Arial"/>
          <w:sz w:val="24"/>
          <w:szCs w:val="24"/>
        </w:rPr>
        <w:t>nergy Division</w:t>
      </w:r>
      <w:r w:rsidRPr="005F68D7" w:rsidR="009615BF">
        <w:rPr>
          <w:rFonts w:ascii="Palatino Linotype" w:hAnsi="Palatino Linotype" w:cs="Arial"/>
          <w:sz w:val="24"/>
          <w:szCs w:val="24"/>
        </w:rPr>
        <w:t xml:space="preserve"> Staff</w:t>
      </w:r>
      <w:r w:rsidRPr="005F68D7" w:rsidR="00A176BD">
        <w:rPr>
          <w:rFonts w:ascii="Palatino Linotype" w:hAnsi="Palatino Linotype" w:cs="Arial"/>
          <w:sz w:val="24"/>
          <w:szCs w:val="24"/>
        </w:rPr>
        <w:t>.</w:t>
      </w:r>
      <w:r w:rsidRPr="005F68D7" w:rsidR="00F32947">
        <w:rPr>
          <w:rFonts w:ascii="Palatino Linotype" w:hAnsi="Palatino Linotype" w:cs="Arial"/>
          <w:sz w:val="24"/>
          <w:szCs w:val="24"/>
        </w:rPr>
        <w:t xml:space="preserve"> </w:t>
      </w:r>
      <w:r w:rsidRPr="005F68D7" w:rsidR="008915E2">
        <w:rPr>
          <w:rFonts w:ascii="Palatino Linotype" w:hAnsi="Palatino Linotype" w:cs="Arial"/>
          <w:sz w:val="24"/>
          <w:szCs w:val="24"/>
        </w:rPr>
        <w:t>Data</w:t>
      </w:r>
      <w:r w:rsidRPr="005F68D7" w:rsidR="008565BF">
        <w:rPr>
          <w:rFonts w:ascii="Palatino Linotype" w:hAnsi="Palatino Linotype" w:cs="Arial"/>
          <w:sz w:val="24"/>
          <w:szCs w:val="24"/>
        </w:rPr>
        <w:t>, including all data fields,</w:t>
      </w:r>
      <w:r w:rsidRPr="005F68D7" w:rsidR="008915E2">
        <w:rPr>
          <w:rFonts w:ascii="Palatino Linotype" w:hAnsi="Palatino Linotype" w:cs="Arial"/>
          <w:sz w:val="24"/>
          <w:szCs w:val="24"/>
        </w:rPr>
        <w:t xml:space="preserve"> </w:t>
      </w:r>
      <w:r w:rsidRPr="005F68D7" w:rsidR="00C05ED9">
        <w:rPr>
          <w:rFonts w:ascii="Palatino Linotype" w:hAnsi="Palatino Linotype" w:cs="Arial"/>
          <w:sz w:val="24"/>
          <w:szCs w:val="24"/>
        </w:rPr>
        <w:t>must</w:t>
      </w:r>
      <w:r w:rsidRPr="005F68D7" w:rsidR="008915E2">
        <w:rPr>
          <w:rFonts w:ascii="Palatino Linotype" w:hAnsi="Palatino Linotype" w:cs="Arial"/>
          <w:sz w:val="24"/>
          <w:szCs w:val="24"/>
        </w:rPr>
        <w:t xml:space="preserve"> be able to be easily compared and contrasted between PAs.</w:t>
      </w:r>
    </w:p>
    <w:p w:rsidRPr="005F68D7" w:rsidR="00A176BD" w:rsidP="00A4547A" w:rsidRDefault="00A176BD" w14:paraId="3C08A340" w14:textId="27DA40AE">
      <w:pPr>
        <w:pStyle w:val="ListParagraph"/>
        <w:numPr>
          <w:ilvl w:val="0"/>
          <w:numId w:val="23"/>
        </w:numPr>
        <w:rPr>
          <w:rFonts w:ascii="Palatino Linotype" w:hAnsi="Palatino Linotype" w:cs="Arial"/>
          <w:sz w:val="24"/>
          <w:szCs w:val="24"/>
        </w:rPr>
      </w:pPr>
      <w:r w:rsidRPr="005F68D7">
        <w:rPr>
          <w:rFonts w:ascii="Palatino Linotype" w:hAnsi="Palatino Linotype" w:cs="Arial"/>
          <w:sz w:val="24"/>
          <w:szCs w:val="24"/>
        </w:rPr>
        <w:t>For any indicator or metric that is represented as a relationship (e.g. percentage, ratio, fraction, rate, score, etc.) between two or more data points, all corresponding data points must be reported.</w:t>
      </w:r>
      <w:r w:rsidRPr="005F68D7" w:rsidR="00CF2EBE">
        <w:rPr>
          <w:rFonts w:ascii="Palatino Linotype" w:hAnsi="Palatino Linotype" w:cs="Arial"/>
          <w:sz w:val="24"/>
          <w:szCs w:val="24"/>
        </w:rPr>
        <w:t xml:space="preserve"> </w:t>
      </w:r>
      <w:r w:rsidRPr="005F68D7" w:rsidR="00387F5F">
        <w:rPr>
          <w:rFonts w:ascii="Palatino Linotype" w:hAnsi="Palatino Linotype" w:cs="Arial"/>
          <w:sz w:val="24"/>
          <w:szCs w:val="24"/>
        </w:rPr>
        <w:t xml:space="preserve">For </w:t>
      </w:r>
      <w:r w:rsidRPr="005F68D7" w:rsidR="006B3295">
        <w:rPr>
          <w:rFonts w:ascii="Palatino Linotype" w:hAnsi="Palatino Linotype" w:cs="Arial"/>
          <w:sz w:val="24"/>
          <w:szCs w:val="24"/>
        </w:rPr>
        <w:t xml:space="preserve">example, </w:t>
      </w:r>
      <w:r w:rsidRPr="005F68D7" w:rsidR="00660496">
        <w:rPr>
          <w:rFonts w:ascii="Palatino Linotype" w:hAnsi="Palatino Linotype" w:cs="Arial"/>
          <w:sz w:val="24"/>
          <w:szCs w:val="24"/>
        </w:rPr>
        <w:t xml:space="preserve">if </w:t>
      </w:r>
      <w:r w:rsidRPr="005F68D7" w:rsidR="00B51B46">
        <w:rPr>
          <w:rFonts w:ascii="Palatino Linotype" w:hAnsi="Palatino Linotype" w:cs="Arial"/>
          <w:sz w:val="24"/>
          <w:szCs w:val="24"/>
        </w:rPr>
        <w:t>DAC participation</w:t>
      </w:r>
      <w:r w:rsidRPr="005F68D7" w:rsidR="00EA735D">
        <w:rPr>
          <w:rFonts w:ascii="Palatino Linotype" w:hAnsi="Palatino Linotype" w:cs="Arial"/>
          <w:sz w:val="24"/>
          <w:szCs w:val="24"/>
        </w:rPr>
        <w:t xml:space="preserve"> </w:t>
      </w:r>
      <w:r w:rsidRPr="005F68D7" w:rsidR="00684CE1">
        <w:rPr>
          <w:rFonts w:ascii="Palatino Linotype" w:hAnsi="Palatino Linotype" w:cs="Arial"/>
          <w:sz w:val="24"/>
          <w:szCs w:val="24"/>
        </w:rPr>
        <w:t xml:space="preserve">percent </w:t>
      </w:r>
      <w:r w:rsidRPr="005F68D7" w:rsidR="00EA735D">
        <w:rPr>
          <w:rFonts w:ascii="Palatino Linotype" w:hAnsi="Palatino Linotype" w:cs="Arial"/>
          <w:sz w:val="24"/>
          <w:szCs w:val="24"/>
        </w:rPr>
        <w:t xml:space="preserve">= </w:t>
      </w:r>
      <w:r w:rsidRPr="005F68D7" w:rsidR="004D25E8">
        <w:rPr>
          <w:rFonts w:ascii="Palatino Linotype" w:hAnsi="Palatino Linotype" w:cs="Arial"/>
          <w:sz w:val="24"/>
          <w:szCs w:val="24"/>
        </w:rPr>
        <w:t>DAC Particip</w:t>
      </w:r>
      <w:r w:rsidRPr="005F68D7" w:rsidR="0090566C">
        <w:rPr>
          <w:rFonts w:ascii="Palatino Linotype" w:hAnsi="Palatino Linotype" w:cs="Arial"/>
          <w:sz w:val="24"/>
          <w:szCs w:val="24"/>
        </w:rPr>
        <w:t>ant</w:t>
      </w:r>
      <w:r w:rsidRPr="005F68D7" w:rsidR="000507A3">
        <w:rPr>
          <w:rFonts w:ascii="Palatino Linotype" w:hAnsi="Palatino Linotype" w:cs="Arial"/>
          <w:sz w:val="24"/>
          <w:szCs w:val="24"/>
        </w:rPr>
        <w:t>s</w:t>
      </w:r>
      <w:r w:rsidRPr="005F68D7" w:rsidR="004D25E8">
        <w:rPr>
          <w:rFonts w:ascii="Palatino Linotype" w:hAnsi="Palatino Linotype" w:cs="Arial"/>
          <w:sz w:val="24"/>
          <w:szCs w:val="24"/>
        </w:rPr>
        <w:t xml:space="preserve"> / </w:t>
      </w:r>
      <w:r w:rsidRPr="005F68D7" w:rsidR="00750E99">
        <w:rPr>
          <w:rFonts w:ascii="Palatino Linotype" w:hAnsi="Palatino Linotype" w:cs="Arial"/>
          <w:sz w:val="24"/>
          <w:szCs w:val="24"/>
        </w:rPr>
        <w:t xml:space="preserve">Total </w:t>
      </w:r>
      <w:r w:rsidRPr="005F68D7" w:rsidR="006C4E5A">
        <w:rPr>
          <w:rFonts w:ascii="Palatino Linotype" w:hAnsi="Palatino Linotype" w:cs="Arial"/>
          <w:sz w:val="24"/>
          <w:szCs w:val="24"/>
        </w:rPr>
        <w:t xml:space="preserve">DAC </w:t>
      </w:r>
      <w:r w:rsidRPr="005F68D7" w:rsidR="00750E99">
        <w:rPr>
          <w:rFonts w:ascii="Palatino Linotype" w:hAnsi="Palatino Linotype" w:cs="Arial"/>
          <w:sz w:val="24"/>
          <w:szCs w:val="24"/>
        </w:rPr>
        <w:t>Eligible</w:t>
      </w:r>
      <w:r w:rsidRPr="005F68D7" w:rsidR="004D25E8">
        <w:rPr>
          <w:rFonts w:ascii="Palatino Linotype" w:hAnsi="Palatino Linotype" w:cs="Arial"/>
          <w:sz w:val="24"/>
          <w:szCs w:val="24"/>
        </w:rPr>
        <w:t xml:space="preserve"> </w:t>
      </w:r>
      <w:r w:rsidRPr="005F68D7" w:rsidR="003C6A5F">
        <w:rPr>
          <w:rFonts w:ascii="Palatino Linotype" w:hAnsi="Palatino Linotype" w:cs="Arial"/>
          <w:sz w:val="24"/>
          <w:szCs w:val="24"/>
        </w:rPr>
        <w:t>Customers,</w:t>
      </w:r>
      <w:r w:rsidRPr="005F68D7" w:rsidR="00976C14">
        <w:rPr>
          <w:rFonts w:ascii="Palatino Linotype" w:hAnsi="Palatino Linotype" w:cs="Arial"/>
          <w:sz w:val="24"/>
          <w:szCs w:val="24"/>
        </w:rPr>
        <w:t xml:space="preserve"> then</w:t>
      </w:r>
      <w:r w:rsidRPr="005F68D7" w:rsidR="00305F76">
        <w:rPr>
          <w:rFonts w:ascii="Palatino Linotype" w:hAnsi="Palatino Linotype" w:cs="Arial"/>
          <w:sz w:val="24"/>
          <w:szCs w:val="24"/>
        </w:rPr>
        <w:t xml:space="preserve"> </w:t>
      </w:r>
      <w:r w:rsidRPr="005F68D7" w:rsidR="00820FB0">
        <w:rPr>
          <w:rFonts w:ascii="Palatino Linotype" w:hAnsi="Palatino Linotype" w:cs="Arial"/>
          <w:sz w:val="24"/>
          <w:szCs w:val="24"/>
        </w:rPr>
        <w:t>D</w:t>
      </w:r>
      <w:r w:rsidRPr="005F68D7" w:rsidR="00F97760">
        <w:rPr>
          <w:rFonts w:ascii="Palatino Linotype" w:hAnsi="Palatino Linotype" w:cs="Arial"/>
          <w:sz w:val="24"/>
          <w:szCs w:val="24"/>
        </w:rPr>
        <w:t>AC</w:t>
      </w:r>
      <w:r w:rsidRPr="005F68D7" w:rsidR="00820FB0">
        <w:rPr>
          <w:rFonts w:ascii="Palatino Linotype" w:hAnsi="Palatino Linotype" w:cs="Arial"/>
          <w:sz w:val="24"/>
          <w:szCs w:val="24"/>
        </w:rPr>
        <w:t xml:space="preserve"> Participation Percentage</w:t>
      </w:r>
      <w:r w:rsidRPr="005F68D7" w:rsidR="00976C14">
        <w:rPr>
          <w:rFonts w:ascii="Palatino Linotype" w:hAnsi="Palatino Linotype" w:cs="Arial"/>
          <w:sz w:val="24"/>
          <w:szCs w:val="24"/>
        </w:rPr>
        <w:t>,</w:t>
      </w:r>
      <w:r w:rsidRPr="005F68D7" w:rsidR="00A05FA0">
        <w:rPr>
          <w:rFonts w:ascii="Palatino Linotype" w:hAnsi="Palatino Linotype" w:cs="Arial"/>
          <w:sz w:val="24"/>
          <w:szCs w:val="24"/>
        </w:rPr>
        <w:t xml:space="preserve"> </w:t>
      </w:r>
      <w:r w:rsidRPr="005F68D7" w:rsidR="001C063B">
        <w:rPr>
          <w:rFonts w:ascii="Palatino Linotype" w:hAnsi="Palatino Linotype" w:cs="Arial"/>
          <w:sz w:val="24"/>
          <w:szCs w:val="24"/>
        </w:rPr>
        <w:t>D</w:t>
      </w:r>
      <w:r w:rsidRPr="005F68D7" w:rsidR="002D37F0">
        <w:rPr>
          <w:rFonts w:ascii="Palatino Linotype" w:hAnsi="Palatino Linotype" w:cs="Arial"/>
          <w:sz w:val="24"/>
          <w:szCs w:val="24"/>
        </w:rPr>
        <w:t>AC Participants</w:t>
      </w:r>
      <w:r w:rsidRPr="005F68D7" w:rsidR="00976C14">
        <w:rPr>
          <w:rFonts w:ascii="Palatino Linotype" w:hAnsi="Palatino Linotype" w:cs="Arial"/>
          <w:sz w:val="24"/>
          <w:szCs w:val="24"/>
        </w:rPr>
        <w:t xml:space="preserve">, and </w:t>
      </w:r>
      <w:r w:rsidRPr="005F68D7" w:rsidR="00F97760">
        <w:rPr>
          <w:rFonts w:ascii="Palatino Linotype" w:hAnsi="Palatino Linotype" w:cs="Arial"/>
          <w:sz w:val="24"/>
          <w:szCs w:val="24"/>
        </w:rPr>
        <w:t xml:space="preserve">Total </w:t>
      </w:r>
      <w:r w:rsidRPr="005F68D7" w:rsidR="006C4E5A">
        <w:rPr>
          <w:rFonts w:ascii="Palatino Linotype" w:hAnsi="Palatino Linotype" w:cs="Arial"/>
          <w:sz w:val="24"/>
          <w:szCs w:val="24"/>
        </w:rPr>
        <w:t xml:space="preserve">DAC </w:t>
      </w:r>
      <w:r w:rsidRPr="005F68D7" w:rsidR="00F97760">
        <w:rPr>
          <w:rFonts w:ascii="Palatino Linotype" w:hAnsi="Palatino Linotype" w:cs="Arial"/>
          <w:sz w:val="24"/>
          <w:szCs w:val="24"/>
        </w:rPr>
        <w:t>Eligible Customers</w:t>
      </w:r>
      <w:r w:rsidRPr="005F68D7" w:rsidR="00976C14">
        <w:rPr>
          <w:rFonts w:ascii="Palatino Linotype" w:hAnsi="Palatino Linotype" w:cs="Arial"/>
          <w:sz w:val="24"/>
          <w:szCs w:val="24"/>
        </w:rPr>
        <w:t xml:space="preserve"> must be reported.</w:t>
      </w:r>
    </w:p>
    <w:p w:rsidRPr="005F68D7" w:rsidR="00A3653E" w:rsidP="00382663" w:rsidRDefault="00A3653E" w14:paraId="6EE73E13" w14:textId="77777777">
      <w:pPr>
        <w:jc w:val="both"/>
        <w:rPr>
          <w:rFonts w:ascii="Palatino Linotype" w:hAnsi="Palatino Linotype" w:cs="Arial"/>
          <w:bCs/>
          <w:sz w:val="24"/>
          <w:szCs w:val="24"/>
        </w:rPr>
      </w:pPr>
    </w:p>
    <w:p w:rsidRPr="005F68D7" w:rsidR="0009682D" w:rsidP="004613EF" w:rsidRDefault="00F91BD3" w14:paraId="0B56FBDC" w14:textId="1845A0C4">
      <w:pPr>
        <w:pStyle w:val="Heading1"/>
        <w:ind w:firstLine="720"/>
        <w:rPr>
          <w:rFonts w:ascii="Palatino Linotype" w:hAnsi="Palatino Linotype"/>
          <w:sz w:val="24"/>
          <w:szCs w:val="24"/>
        </w:rPr>
      </w:pPr>
      <w:r w:rsidRPr="005F68D7">
        <w:rPr>
          <w:rFonts w:ascii="Palatino Linotype" w:hAnsi="Palatino Linotype"/>
          <w:caps w:val="0"/>
          <w:sz w:val="24"/>
          <w:szCs w:val="24"/>
        </w:rPr>
        <w:t xml:space="preserve">Recommendation 25: Principles </w:t>
      </w:r>
      <w:r w:rsidRPr="005F68D7" w:rsidR="00476B84">
        <w:rPr>
          <w:rFonts w:ascii="Palatino Linotype" w:hAnsi="Palatino Linotype"/>
          <w:caps w:val="0"/>
          <w:sz w:val="24"/>
          <w:szCs w:val="24"/>
        </w:rPr>
        <w:t>for</w:t>
      </w:r>
      <w:r w:rsidRPr="005F68D7">
        <w:rPr>
          <w:rFonts w:ascii="Palatino Linotype" w:hAnsi="Palatino Linotype"/>
          <w:caps w:val="0"/>
          <w:sz w:val="24"/>
          <w:szCs w:val="24"/>
        </w:rPr>
        <w:t xml:space="preserve"> Reporting</w:t>
      </w:r>
    </w:p>
    <w:p w:rsidRPr="005F68D7" w:rsidR="00F91BD3" w:rsidP="00A4547A" w:rsidRDefault="0099230B" w14:paraId="7C2F4E16" w14:textId="74BF78D2">
      <w:pPr>
        <w:rPr>
          <w:rFonts w:ascii="Palatino Linotype" w:hAnsi="Palatino Linotype" w:cs="Arial"/>
          <w:sz w:val="24"/>
          <w:szCs w:val="24"/>
        </w:rPr>
      </w:pPr>
      <w:r w:rsidRPr="005F68D7">
        <w:rPr>
          <w:rFonts w:ascii="Palatino Linotype" w:hAnsi="Palatino Linotype" w:cs="Arial"/>
          <w:sz w:val="24"/>
          <w:szCs w:val="24"/>
        </w:rPr>
        <w:t xml:space="preserve">The Commission </w:t>
      </w:r>
      <w:r w:rsidRPr="005F68D7" w:rsidR="00F91BD3">
        <w:rPr>
          <w:rFonts w:ascii="Palatino Linotype" w:hAnsi="Palatino Linotype" w:cs="Arial"/>
          <w:sz w:val="24"/>
          <w:szCs w:val="24"/>
        </w:rPr>
        <w:t>generally agrees</w:t>
      </w:r>
      <w:r w:rsidRPr="005F68D7" w:rsidR="00A21184">
        <w:rPr>
          <w:rFonts w:ascii="Palatino Linotype" w:hAnsi="Palatino Linotype" w:cs="Arial"/>
          <w:sz w:val="24"/>
          <w:szCs w:val="24"/>
        </w:rPr>
        <w:t xml:space="preserve"> </w:t>
      </w:r>
      <w:r w:rsidRPr="005F68D7" w:rsidR="00F91BD3">
        <w:rPr>
          <w:rFonts w:ascii="Palatino Linotype" w:hAnsi="Palatino Linotype" w:cs="Arial"/>
          <w:sz w:val="24"/>
          <w:szCs w:val="24"/>
        </w:rPr>
        <w:t xml:space="preserve">with the principles </w:t>
      </w:r>
      <w:r w:rsidRPr="005F68D7" w:rsidR="00BB41E2">
        <w:rPr>
          <w:rFonts w:ascii="Palatino Linotype" w:hAnsi="Palatino Linotype" w:cs="Arial"/>
          <w:sz w:val="24"/>
          <w:szCs w:val="24"/>
        </w:rPr>
        <w:t xml:space="preserve">for PA reporting </w:t>
      </w:r>
      <w:r w:rsidRPr="005F68D7" w:rsidR="00F91BD3">
        <w:rPr>
          <w:rFonts w:ascii="Palatino Linotype" w:hAnsi="Palatino Linotype" w:cs="Arial"/>
          <w:sz w:val="24"/>
          <w:szCs w:val="24"/>
        </w:rPr>
        <w:t>recommended in the EMSWG Report</w:t>
      </w:r>
      <w:r w:rsidRPr="005F68D7" w:rsidR="00A21184">
        <w:rPr>
          <w:rFonts w:ascii="Palatino Linotype" w:hAnsi="Palatino Linotype" w:cs="Arial"/>
          <w:sz w:val="24"/>
          <w:szCs w:val="24"/>
        </w:rPr>
        <w:t>, but m</w:t>
      </w:r>
      <w:r w:rsidRPr="005F68D7" w:rsidR="001A3D59">
        <w:rPr>
          <w:rFonts w:ascii="Palatino Linotype" w:hAnsi="Palatino Linotype" w:cs="Arial"/>
          <w:sz w:val="24"/>
          <w:szCs w:val="24"/>
        </w:rPr>
        <w:t>odifies them</w:t>
      </w:r>
      <w:r w:rsidRPr="005F68D7" w:rsidR="00E23B46">
        <w:rPr>
          <w:rFonts w:ascii="Palatino Linotype" w:hAnsi="Palatino Linotype" w:cs="Arial"/>
          <w:sz w:val="24"/>
          <w:szCs w:val="24"/>
        </w:rPr>
        <w:t xml:space="preserve"> as follows</w:t>
      </w:r>
      <w:r w:rsidRPr="005F68D7" w:rsidR="00B83495">
        <w:rPr>
          <w:rFonts w:ascii="Palatino Linotype" w:hAnsi="Palatino Linotype" w:cs="Arial"/>
          <w:sz w:val="24"/>
          <w:szCs w:val="24"/>
        </w:rPr>
        <w:t>:</w:t>
      </w:r>
      <w:r w:rsidRPr="005F68D7" w:rsidR="00361374">
        <w:rPr>
          <w:rFonts w:ascii="Palatino Linotype" w:hAnsi="Palatino Linotype" w:cs="Arial"/>
          <w:sz w:val="24"/>
          <w:szCs w:val="24"/>
        </w:rPr>
        <w:t xml:space="preserve"> </w:t>
      </w:r>
    </w:p>
    <w:p w:rsidRPr="005F68D7" w:rsidR="004816EC" w:rsidP="00A4547A" w:rsidRDefault="004816EC" w14:paraId="284F3955" w14:textId="3F941BC0">
      <w:pPr>
        <w:pStyle w:val="ListParagraph"/>
        <w:numPr>
          <w:ilvl w:val="0"/>
          <w:numId w:val="24"/>
        </w:numPr>
        <w:rPr>
          <w:rFonts w:ascii="Palatino Linotype" w:hAnsi="Palatino Linotype" w:cs="Arial"/>
          <w:sz w:val="24"/>
          <w:szCs w:val="24"/>
        </w:rPr>
      </w:pPr>
      <w:r w:rsidRPr="005F68D7">
        <w:rPr>
          <w:rFonts w:ascii="Palatino Linotype" w:hAnsi="Palatino Linotype" w:cs="Arial"/>
          <w:sz w:val="24"/>
          <w:szCs w:val="24"/>
        </w:rPr>
        <w:t>Indicator reporting should not duplicate existing reporting efforts. PAs report savings claims</w:t>
      </w:r>
      <w:r w:rsidRPr="005F68D7" w:rsidR="00814E6C">
        <w:rPr>
          <w:rFonts w:ascii="Palatino Linotype" w:hAnsi="Palatino Linotype" w:cs="Arial"/>
          <w:sz w:val="24"/>
          <w:szCs w:val="24"/>
        </w:rPr>
        <w:t xml:space="preserve"> </w:t>
      </w:r>
      <w:r w:rsidRPr="005F68D7">
        <w:rPr>
          <w:rFonts w:ascii="Palatino Linotype" w:hAnsi="Palatino Linotype" w:cs="Arial"/>
          <w:sz w:val="24"/>
          <w:szCs w:val="24"/>
        </w:rPr>
        <w:t>on a quarterly basis using CEDARS and prepare an Annual Report. These reporting requirements include data overlapping with Equity Indicators such as savings claims. Additionally, specific Indicators (e.g., Market Support Indicators #3-10) are also Common Metrics, currently reported in a workbook uploaded to CEDARS on an annual basis.</w:t>
      </w:r>
    </w:p>
    <w:p w:rsidRPr="005F68D7" w:rsidR="00143A26" w:rsidP="00A4547A" w:rsidRDefault="004816EC" w14:paraId="1E440D7A" w14:textId="7BB7C554">
      <w:pPr>
        <w:pStyle w:val="ListParagraph"/>
        <w:numPr>
          <w:ilvl w:val="0"/>
          <w:numId w:val="24"/>
        </w:numPr>
        <w:rPr>
          <w:rFonts w:ascii="Palatino Linotype" w:hAnsi="Palatino Linotype" w:cs="Arial"/>
          <w:strike/>
          <w:sz w:val="24"/>
          <w:szCs w:val="24"/>
        </w:rPr>
      </w:pPr>
      <w:r w:rsidRPr="005F68D7">
        <w:rPr>
          <w:rFonts w:ascii="Palatino Linotype" w:hAnsi="Palatino Linotype" w:cs="Arial"/>
          <w:sz w:val="24"/>
          <w:szCs w:val="24"/>
        </w:rPr>
        <w:t>Indicator reporting should not be overly cumbersome for PAs.</w:t>
      </w:r>
    </w:p>
    <w:p w:rsidRPr="005F68D7" w:rsidR="00D74294" w:rsidP="00A4547A" w:rsidRDefault="00E815D9" w14:paraId="21967A12" w14:textId="6A71686E">
      <w:pPr>
        <w:pStyle w:val="ListParagraph"/>
        <w:numPr>
          <w:ilvl w:val="0"/>
          <w:numId w:val="24"/>
        </w:numPr>
        <w:rPr>
          <w:rFonts w:ascii="Palatino Linotype" w:hAnsi="Palatino Linotype" w:cs="Arial"/>
          <w:sz w:val="24"/>
          <w:szCs w:val="24"/>
        </w:rPr>
      </w:pPr>
      <w:r w:rsidRPr="005F68D7">
        <w:rPr>
          <w:rFonts w:ascii="Palatino Linotype" w:hAnsi="Palatino Linotype" w:cs="Arial"/>
          <w:sz w:val="24"/>
          <w:szCs w:val="24"/>
        </w:rPr>
        <w:t xml:space="preserve">Public </w:t>
      </w:r>
      <w:r w:rsidRPr="005F68D7" w:rsidR="00252E8C">
        <w:rPr>
          <w:rFonts w:ascii="Palatino Linotype" w:hAnsi="Palatino Linotype" w:cs="Arial"/>
          <w:sz w:val="24"/>
          <w:szCs w:val="24"/>
        </w:rPr>
        <w:t>r</w:t>
      </w:r>
      <w:r w:rsidRPr="005F68D7" w:rsidR="004816EC">
        <w:rPr>
          <w:rFonts w:ascii="Palatino Linotype" w:hAnsi="Palatino Linotype" w:cs="Arial"/>
          <w:sz w:val="24"/>
          <w:szCs w:val="24"/>
        </w:rPr>
        <w:t xml:space="preserve">eported data </w:t>
      </w:r>
      <w:r w:rsidRPr="005F68D7" w:rsidR="0092766F">
        <w:rPr>
          <w:rFonts w:ascii="Palatino Linotype" w:hAnsi="Palatino Linotype" w:cs="Arial"/>
          <w:sz w:val="24"/>
          <w:szCs w:val="24"/>
        </w:rPr>
        <w:t xml:space="preserve">shall </w:t>
      </w:r>
      <w:r w:rsidRPr="005F68D7" w:rsidR="004816EC">
        <w:rPr>
          <w:rFonts w:ascii="Palatino Linotype" w:hAnsi="Palatino Linotype" w:cs="Arial"/>
          <w:sz w:val="24"/>
          <w:szCs w:val="24"/>
        </w:rPr>
        <w:t>be easily accessible to and understandable for interested</w:t>
      </w:r>
      <w:r w:rsidRPr="005F68D7" w:rsidR="00143A26">
        <w:rPr>
          <w:rFonts w:ascii="Palatino Linotype" w:hAnsi="Palatino Linotype" w:cs="Arial"/>
          <w:sz w:val="24"/>
          <w:szCs w:val="24"/>
        </w:rPr>
        <w:t xml:space="preserve"> </w:t>
      </w:r>
      <w:r w:rsidRPr="005F68D7" w:rsidR="004816EC">
        <w:rPr>
          <w:rFonts w:ascii="Palatino Linotype" w:hAnsi="Palatino Linotype" w:cs="Arial"/>
          <w:sz w:val="24"/>
          <w:szCs w:val="24"/>
        </w:rPr>
        <w:t>stakeholders.</w:t>
      </w:r>
    </w:p>
    <w:p w:rsidRPr="005F68D7" w:rsidR="00C439FE" w:rsidP="00A4547A" w:rsidRDefault="001D4BEE" w14:paraId="4A60DB9B" w14:textId="59D5DCD3">
      <w:pPr>
        <w:rPr>
          <w:rFonts w:ascii="Palatino Linotype" w:hAnsi="Palatino Linotype" w:cs="Arial"/>
          <w:bCs/>
          <w:sz w:val="24"/>
          <w:szCs w:val="24"/>
        </w:rPr>
      </w:pPr>
      <w:r w:rsidRPr="005F68D7">
        <w:rPr>
          <w:rFonts w:ascii="Palatino Linotype" w:hAnsi="Palatino Linotype" w:cs="Arial"/>
          <w:bCs/>
          <w:sz w:val="24"/>
          <w:szCs w:val="24"/>
        </w:rPr>
        <w:t>The Reporting PCG</w:t>
      </w:r>
      <w:r w:rsidRPr="005F68D7" w:rsidR="003E4A1D">
        <w:rPr>
          <w:rFonts w:ascii="Palatino Linotype" w:hAnsi="Palatino Linotype" w:cs="Arial"/>
          <w:bCs/>
          <w:sz w:val="24"/>
          <w:szCs w:val="24"/>
        </w:rPr>
        <w:t xml:space="preserve"> </w:t>
      </w:r>
      <w:r w:rsidRPr="005F68D7" w:rsidR="007B4B7A">
        <w:rPr>
          <w:rFonts w:ascii="Palatino Linotype" w:hAnsi="Palatino Linotype" w:cs="Arial"/>
          <w:bCs/>
          <w:sz w:val="24"/>
          <w:szCs w:val="24"/>
        </w:rPr>
        <w:t>will</w:t>
      </w:r>
      <w:r w:rsidRPr="005F68D7" w:rsidR="003E4A1D">
        <w:rPr>
          <w:rFonts w:ascii="Palatino Linotype" w:hAnsi="Palatino Linotype" w:cs="Arial"/>
          <w:bCs/>
          <w:sz w:val="24"/>
          <w:szCs w:val="24"/>
        </w:rPr>
        <w:t xml:space="preserve"> facilitate the </w:t>
      </w:r>
      <w:r w:rsidRPr="005F68D7" w:rsidR="0033307F">
        <w:rPr>
          <w:rFonts w:ascii="Palatino Linotype" w:hAnsi="Palatino Linotype" w:cs="Arial"/>
          <w:bCs/>
          <w:sz w:val="24"/>
          <w:szCs w:val="24"/>
        </w:rPr>
        <w:t xml:space="preserve">process of </w:t>
      </w:r>
      <w:r w:rsidRPr="005F68D7" w:rsidR="008E53CB">
        <w:rPr>
          <w:rFonts w:ascii="Palatino Linotype" w:hAnsi="Palatino Linotype" w:cs="Arial"/>
          <w:bCs/>
          <w:sz w:val="24"/>
          <w:szCs w:val="24"/>
        </w:rPr>
        <w:t xml:space="preserve">determining </w:t>
      </w:r>
      <w:r w:rsidRPr="005F68D7" w:rsidR="0033307F">
        <w:rPr>
          <w:rFonts w:ascii="Palatino Linotype" w:hAnsi="Palatino Linotype" w:cs="Arial"/>
          <w:bCs/>
          <w:sz w:val="24"/>
          <w:szCs w:val="24"/>
        </w:rPr>
        <w:t>whi</w:t>
      </w:r>
      <w:r w:rsidRPr="005F68D7" w:rsidR="006E5B39">
        <w:rPr>
          <w:rFonts w:ascii="Palatino Linotype" w:hAnsi="Palatino Linotype" w:cs="Arial"/>
          <w:bCs/>
          <w:sz w:val="24"/>
          <w:szCs w:val="24"/>
        </w:rPr>
        <w:t xml:space="preserve">ch </w:t>
      </w:r>
      <w:r w:rsidRPr="005F68D7" w:rsidR="002F5B3B">
        <w:rPr>
          <w:rFonts w:ascii="Palatino Linotype" w:hAnsi="Palatino Linotype" w:cs="Arial"/>
          <w:bCs/>
          <w:sz w:val="24"/>
          <w:szCs w:val="24"/>
        </w:rPr>
        <w:t xml:space="preserve">program </w:t>
      </w:r>
      <w:r w:rsidRPr="005F68D7" w:rsidR="006E5B39">
        <w:rPr>
          <w:rFonts w:ascii="Palatino Linotype" w:hAnsi="Palatino Linotype" w:cs="Arial"/>
          <w:bCs/>
          <w:sz w:val="24"/>
          <w:szCs w:val="24"/>
        </w:rPr>
        <w:t xml:space="preserve">related information is </w:t>
      </w:r>
      <w:r w:rsidRPr="005F68D7" w:rsidR="001E55E4">
        <w:rPr>
          <w:rFonts w:ascii="Palatino Linotype" w:hAnsi="Palatino Linotype" w:cs="Arial"/>
          <w:bCs/>
          <w:sz w:val="24"/>
          <w:szCs w:val="24"/>
        </w:rPr>
        <w:t xml:space="preserve">appropriate </w:t>
      </w:r>
      <w:r w:rsidRPr="005F68D7" w:rsidR="009F5352">
        <w:rPr>
          <w:rFonts w:ascii="Palatino Linotype" w:hAnsi="Palatino Linotype" w:cs="Arial"/>
          <w:bCs/>
          <w:sz w:val="24"/>
          <w:szCs w:val="24"/>
        </w:rPr>
        <w:t>to include</w:t>
      </w:r>
      <w:r w:rsidRPr="005F68D7" w:rsidR="00936D06">
        <w:rPr>
          <w:rFonts w:ascii="Palatino Linotype" w:hAnsi="Palatino Linotype" w:cs="Arial"/>
          <w:bCs/>
          <w:sz w:val="24"/>
          <w:szCs w:val="24"/>
        </w:rPr>
        <w:t xml:space="preserve"> to facilitate </w:t>
      </w:r>
      <w:r w:rsidRPr="005F68D7" w:rsidR="00DC3F03">
        <w:rPr>
          <w:rFonts w:ascii="Palatino Linotype" w:hAnsi="Palatino Linotype" w:cs="Arial"/>
          <w:bCs/>
          <w:sz w:val="24"/>
          <w:szCs w:val="24"/>
        </w:rPr>
        <w:t xml:space="preserve">awareness of </w:t>
      </w:r>
      <w:r w:rsidRPr="005F68D7" w:rsidR="00695A8B">
        <w:rPr>
          <w:rFonts w:ascii="Palatino Linotype" w:hAnsi="Palatino Linotype" w:cs="Arial"/>
          <w:bCs/>
          <w:sz w:val="24"/>
          <w:szCs w:val="24"/>
        </w:rPr>
        <w:t xml:space="preserve">additional context and </w:t>
      </w:r>
      <w:r w:rsidRPr="005F68D7" w:rsidR="00695A8B">
        <w:rPr>
          <w:rFonts w:ascii="Palatino Linotype" w:hAnsi="Palatino Linotype" w:cs="Arial"/>
          <w:bCs/>
          <w:sz w:val="24"/>
          <w:szCs w:val="24"/>
        </w:rPr>
        <w:lastRenderedPageBreak/>
        <w:t xml:space="preserve">better </w:t>
      </w:r>
      <w:r w:rsidRPr="005F68D7" w:rsidR="000122F4">
        <w:rPr>
          <w:rFonts w:ascii="Palatino Linotype" w:hAnsi="Palatino Linotype" w:cs="Arial"/>
          <w:bCs/>
          <w:sz w:val="24"/>
          <w:szCs w:val="24"/>
        </w:rPr>
        <w:t>understanding</w:t>
      </w:r>
      <w:r w:rsidRPr="005F68D7" w:rsidR="00695A8B">
        <w:rPr>
          <w:rFonts w:ascii="Palatino Linotype" w:hAnsi="Palatino Linotype" w:cs="Arial"/>
          <w:bCs/>
          <w:sz w:val="24"/>
          <w:szCs w:val="24"/>
        </w:rPr>
        <w:t>.</w:t>
      </w:r>
      <w:r w:rsidRPr="005F68D7" w:rsidR="00E841BA">
        <w:rPr>
          <w:rFonts w:ascii="Palatino Linotype" w:hAnsi="Palatino Linotype" w:cs="Arial"/>
          <w:bCs/>
          <w:sz w:val="24"/>
          <w:szCs w:val="24"/>
        </w:rPr>
        <w:t xml:space="preserve"> Principle 3 is revised to expand beyond indicators to all public reported </w:t>
      </w:r>
      <w:r w:rsidRPr="005F68D7" w:rsidR="00B861A2">
        <w:rPr>
          <w:rFonts w:ascii="Palatino Linotype" w:hAnsi="Palatino Linotype" w:cs="Arial"/>
          <w:bCs/>
          <w:sz w:val="24"/>
          <w:szCs w:val="24"/>
        </w:rPr>
        <w:t>data from the PAs.</w:t>
      </w:r>
    </w:p>
    <w:p w:rsidRPr="005F68D7" w:rsidR="00FD7DD7" w:rsidP="00EA5D6E" w:rsidRDefault="00FD7DD7" w14:paraId="3E33045B" w14:textId="77777777">
      <w:pPr>
        <w:jc w:val="both"/>
        <w:rPr>
          <w:rFonts w:ascii="Palatino Linotype" w:hAnsi="Palatino Linotype" w:cs="Arial"/>
          <w:bCs/>
          <w:sz w:val="24"/>
          <w:szCs w:val="24"/>
        </w:rPr>
      </w:pPr>
    </w:p>
    <w:p w:rsidRPr="005F68D7" w:rsidR="00C439FE" w:rsidP="004613EF" w:rsidRDefault="00FF78C7" w14:paraId="4F29187E" w14:textId="1E58AA73">
      <w:pPr>
        <w:pStyle w:val="Heading1"/>
        <w:ind w:firstLine="720"/>
        <w:rPr>
          <w:rFonts w:ascii="Palatino Linotype" w:hAnsi="Palatino Linotype"/>
          <w:sz w:val="24"/>
          <w:szCs w:val="24"/>
        </w:rPr>
      </w:pPr>
      <w:r w:rsidRPr="005F68D7">
        <w:rPr>
          <w:rFonts w:ascii="Palatino Linotype" w:hAnsi="Palatino Linotype"/>
          <w:caps w:val="0"/>
          <w:sz w:val="24"/>
          <w:szCs w:val="24"/>
        </w:rPr>
        <w:t>Recommendation 26</w:t>
      </w:r>
      <w:r w:rsidRPr="005F68D7" w:rsidR="00D61108">
        <w:rPr>
          <w:rFonts w:ascii="Palatino Linotype" w:hAnsi="Palatino Linotype"/>
          <w:caps w:val="0"/>
          <w:sz w:val="24"/>
          <w:szCs w:val="24"/>
        </w:rPr>
        <w:t>: Indicator Reporting Process</w:t>
      </w:r>
    </w:p>
    <w:p w:rsidRPr="005F68D7" w:rsidR="00D61108" w:rsidP="00A4547A" w:rsidRDefault="001B7267" w14:paraId="75DBDAD3" w14:textId="1827D2BA">
      <w:pPr>
        <w:rPr>
          <w:rFonts w:ascii="Palatino Linotype" w:hAnsi="Palatino Linotype" w:cs="Arial"/>
          <w:sz w:val="24"/>
          <w:szCs w:val="24"/>
        </w:rPr>
      </w:pPr>
      <w:r w:rsidRPr="005F68D7">
        <w:rPr>
          <w:rFonts w:ascii="Palatino Linotype" w:hAnsi="Palatino Linotype" w:cs="Arial"/>
          <w:sz w:val="24"/>
          <w:szCs w:val="24"/>
        </w:rPr>
        <w:t>The Commission</w:t>
      </w:r>
      <w:r w:rsidRPr="005F68D7" w:rsidR="00640EF7">
        <w:rPr>
          <w:rFonts w:ascii="Palatino Linotype" w:hAnsi="Palatino Linotype" w:cs="Arial"/>
          <w:sz w:val="24"/>
          <w:szCs w:val="24"/>
        </w:rPr>
        <w:t xml:space="preserve"> </w:t>
      </w:r>
      <w:r w:rsidRPr="005F68D7" w:rsidR="00E1194B">
        <w:rPr>
          <w:rFonts w:ascii="Palatino Linotype" w:hAnsi="Palatino Linotype" w:cs="Arial"/>
          <w:sz w:val="24"/>
          <w:szCs w:val="24"/>
        </w:rPr>
        <w:t xml:space="preserve">agrees with modifications </w:t>
      </w:r>
      <w:r w:rsidRPr="005F68D7" w:rsidR="00640EF7">
        <w:rPr>
          <w:rFonts w:ascii="Palatino Linotype" w:hAnsi="Palatino Linotype" w:cs="Arial"/>
          <w:sz w:val="24"/>
          <w:szCs w:val="24"/>
        </w:rPr>
        <w:t xml:space="preserve">with the EMSWG Report </w:t>
      </w:r>
      <w:r w:rsidRPr="005F68D7" w:rsidR="002259C1">
        <w:rPr>
          <w:rFonts w:ascii="Palatino Linotype" w:hAnsi="Palatino Linotype" w:cs="Arial"/>
          <w:sz w:val="24"/>
          <w:szCs w:val="24"/>
        </w:rPr>
        <w:t xml:space="preserve">recommendation. </w:t>
      </w:r>
      <w:r w:rsidRPr="005F68D7" w:rsidR="00880D34">
        <w:rPr>
          <w:rFonts w:ascii="Palatino Linotype" w:hAnsi="Palatino Linotype" w:cs="Arial"/>
          <w:sz w:val="24"/>
          <w:szCs w:val="24"/>
        </w:rPr>
        <w:t xml:space="preserve">Modifications </w:t>
      </w:r>
      <w:r w:rsidRPr="005F68D7" w:rsidR="007B15FD">
        <w:rPr>
          <w:rFonts w:ascii="Palatino Linotype" w:hAnsi="Palatino Linotype" w:cs="Arial"/>
          <w:sz w:val="24"/>
          <w:szCs w:val="24"/>
        </w:rPr>
        <w:t xml:space="preserve">were made to </w:t>
      </w:r>
      <w:r w:rsidRPr="005F68D7" w:rsidR="00893E59">
        <w:rPr>
          <w:rFonts w:ascii="Palatino Linotype" w:hAnsi="Palatino Linotype" w:cs="Arial"/>
          <w:sz w:val="24"/>
          <w:szCs w:val="24"/>
        </w:rPr>
        <w:t xml:space="preserve">make the </w:t>
      </w:r>
      <w:r w:rsidRPr="005F68D7" w:rsidR="000B3187">
        <w:rPr>
          <w:rFonts w:ascii="Palatino Linotype" w:hAnsi="Palatino Linotype" w:cs="Arial"/>
          <w:sz w:val="24"/>
          <w:szCs w:val="24"/>
        </w:rPr>
        <w:t>process directions</w:t>
      </w:r>
      <w:r w:rsidRPr="005F68D7" w:rsidR="00893E59">
        <w:rPr>
          <w:rFonts w:ascii="Palatino Linotype" w:hAnsi="Palatino Linotype" w:cs="Arial"/>
          <w:sz w:val="24"/>
          <w:szCs w:val="24"/>
        </w:rPr>
        <w:t xml:space="preserve"> </w:t>
      </w:r>
      <w:r w:rsidRPr="005F68D7" w:rsidR="00E1375F">
        <w:rPr>
          <w:rFonts w:ascii="Palatino Linotype" w:hAnsi="Palatino Linotype" w:cs="Arial"/>
          <w:sz w:val="24"/>
          <w:szCs w:val="24"/>
        </w:rPr>
        <w:t>m</w:t>
      </w:r>
      <w:r w:rsidRPr="005F68D7" w:rsidR="007B15FD">
        <w:rPr>
          <w:rFonts w:ascii="Palatino Linotype" w:hAnsi="Palatino Linotype" w:cs="Arial"/>
          <w:sz w:val="24"/>
          <w:szCs w:val="24"/>
        </w:rPr>
        <w:t>ore specific</w:t>
      </w:r>
      <w:r w:rsidRPr="005F68D7" w:rsidR="000B3187">
        <w:rPr>
          <w:rFonts w:ascii="Palatino Linotype" w:hAnsi="Palatino Linotype" w:cs="Arial"/>
          <w:sz w:val="24"/>
          <w:szCs w:val="24"/>
        </w:rPr>
        <w:t xml:space="preserve"> and timely.</w:t>
      </w:r>
    </w:p>
    <w:p w:rsidRPr="005F68D7" w:rsidR="00640EF7" w:rsidP="00A4547A" w:rsidRDefault="00640EF7" w14:paraId="2350A88D" w14:textId="77777777">
      <w:pPr>
        <w:rPr>
          <w:rFonts w:ascii="Palatino Linotype" w:hAnsi="Palatino Linotype" w:cs="Arial"/>
          <w:sz w:val="24"/>
          <w:szCs w:val="24"/>
        </w:rPr>
      </w:pPr>
    </w:p>
    <w:p w:rsidRPr="005F68D7" w:rsidR="00804D00" w:rsidP="00A4547A" w:rsidRDefault="00AD2EDE" w14:paraId="15655BA9" w14:textId="5021700A">
      <w:pPr>
        <w:pStyle w:val="ListParagraph"/>
        <w:numPr>
          <w:ilvl w:val="0"/>
          <w:numId w:val="25"/>
        </w:numPr>
        <w:rPr>
          <w:rFonts w:ascii="Palatino Linotype" w:hAnsi="Palatino Linotype" w:cs="Arial"/>
          <w:sz w:val="24"/>
          <w:szCs w:val="24"/>
        </w:rPr>
      </w:pPr>
      <w:r w:rsidRPr="005F68D7">
        <w:rPr>
          <w:rFonts w:ascii="Palatino Linotype" w:hAnsi="Palatino Linotype" w:cs="Arial"/>
          <w:sz w:val="24"/>
          <w:szCs w:val="24"/>
        </w:rPr>
        <w:t>PAs shall report i</w:t>
      </w:r>
      <w:r w:rsidRPr="005F68D7" w:rsidR="00804D00">
        <w:rPr>
          <w:rFonts w:ascii="Palatino Linotype" w:hAnsi="Palatino Linotype" w:cs="Arial"/>
          <w:sz w:val="24"/>
          <w:szCs w:val="24"/>
        </w:rPr>
        <w:t xml:space="preserve">ndicators </w:t>
      </w:r>
      <w:r w:rsidRPr="005F68D7" w:rsidR="00C766A2">
        <w:rPr>
          <w:rFonts w:ascii="Palatino Linotype" w:hAnsi="Palatino Linotype" w:cs="Arial"/>
          <w:sz w:val="24"/>
          <w:szCs w:val="24"/>
        </w:rPr>
        <w:t>and metrics</w:t>
      </w:r>
      <w:r w:rsidRPr="005F68D7" w:rsidR="00804D00">
        <w:rPr>
          <w:rFonts w:ascii="Palatino Linotype" w:hAnsi="Palatino Linotype" w:cs="Arial"/>
          <w:sz w:val="24"/>
          <w:szCs w:val="24"/>
        </w:rPr>
        <w:t xml:space="preserve"> </w:t>
      </w:r>
      <w:r w:rsidRPr="005F68D7" w:rsidR="00C766A2">
        <w:rPr>
          <w:rFonts w:ascii="Palatino Linotype" w:hAnsi="Palatino Linotype" w:cs="Arial"/>
          <w:sz w:val="24"/>
          <w:szCs w:val="24"/>
        </w:rPr>
        <w:t xml:space="preserve">not reported through claims </w:t>
      </w:r>
      <w:r w:rsidRPr="005F68D7" w:rsidR="00804D00">
        <w:rPr>
          <w:rFonts w:ascii="Palatino Linotype" w:hAnsi="Palatino Linotype" w:cs="Arial"/>
          <w:sz w:val="24"/>
          <w:szCs w:val="24"/>
        </w:rPr>
        <w:t>quarterly and</w:t>
      </w:r>
      <w:r w:rsidRPr="005F68D7" w:rsidR="00F86D58">
        <w:rPr>
          <w:rFonts w:ascii="Palatino Linotype" w:hAnsi="Palatino Linotype" w:cs="Arial"/>
          <w:sz w:val="24"/>
          <w:szCs w:val="24"/>
        </w:rPr>
        <w:t>/or</w:t>
      </w:r>
      <w:r w:rsidRPr="005F68D7" w:rsidR="00804D00">
        <w:rPr>
          <w:rFonts w:ascii="Palatino Linotype" w:hAnsi="Palatino Linotype" w:cs="Arial"/>
          <w:sz w:val="24"/>
          <w:szCs w:val="24"/>
        </w:rPr>
        <w:t xml:space="preserve"> annually by uploading a</w:t>
      </w:r>
      <w:r w:rsidRPr="005F68D7" w:rsidR="00BB0CD7">
        <w:rPr>
          <w:rFonts w:ascii="Palatino Linotype" w:hAnsi="Palatino Linotype" w:cs="Arial"/>
          <w:sz w:val="24"/>
          <w:szCs w:val="24"/>
        </w:rPr>
        <w:t>n Excel C</w:t>
      </w:r>
      <w:r w:rsidRPr="005F68D7" w:rsidR="00F95155">
        <w:rPr>
          <w:rFonts w:ascii="Palatino Linotype" w:hAnsi="Palatino Linotype" w:cs="Arial"/>
          <w:sz w:val="24"/>
          <w:szCs w:val="24"/>
        </w:rPr>
        <w:t>SV</w:t>
      </w:r>
      <w:r w:rsidRPr="005F68D7" w:rsidR="00315CE4">
        <w:rPr>
          <w:rFonts w:ascii="Palatino Linotype" w:hAnsi="Palatino Linotype" w:cs="Arial"/>
          <w:sz w:val="24"/>
          <w:szCs w:val="24"/>
        </w:rPr>
        <w:t xml:space="preserve"> </w:t>
      </w:r>
      <w:r w:rsidRPr="005F68D7" w:rsidR="00EE35EC">
        <w:rPr>
          <w:rFonts w:ascii="Palatino Linotype" w:hAnsi="Palatino Linotype" w:cs="Arial"/>
          <w:sz w:val="24"/>
          <w:szCs w:val="24"/>
        </w:rPr>
        <w:t>file</w:t>
      </w:r>
      <w:r w:rsidRPr="005F68D7" w:rsidR="00804D00">
        <w:rPr>
          <w:rFonts w:ascii="Palatino Linotype" w:hAnsi="Palatino Linotype" w:cs="Arial"/>
          <w:sz w:val="24"/>
          <w:szCs w:val="24"/>
        </w:rPr>
        <w:t xml:space="preserve"> </w:t>
      </w:r>
      <w:r w:rsidRPr="005F68D7" w:rsidR="00215DD1">
        <w:rPr>
          <w:rFonts w:ascii="Palatino Linotype" w:hAnsi="Palatino Linotype" w:cs="Arial"/>
          <w:sz w:val="24"/>
          <w:szCs w:val="24"/>
        </w:rPr>
        <w:t xml:space="preserve">based on </w:t>
      </w:r>
      <w:r w:rsidRPr="005F68D7" w:rsidR="00954562">
        <w:rPr>
          <w:rFonts w:ascii="Palatino Linotype" w:hAnsi="Palatino Linotype" w:cs="Arial"/>
          <w:sz w:val="24"/>
          <w:szCs w:val="24"/>
        </w:rPr>
        <w:t xml:space="preserve">an approved </w:t>
      </w:r>
      <w:r w:rsidRPr="005F68D7" w:rsidR="00A87B4D">
        <w:rPr>
          <w:rFonts w:ascii="Palatino Linotype" w:hAnsi="Palatino Linotype" w:cs="Arial"/>
          <w:sz w:val="24"/>
          <w:szCs w:val="24"/>
        </w:rPr>
        <w:t xml:space="preserve">template </w:t>
      </w:r>
      <w:r w:rsidRPr="005F68D7" w:rsidR="00804D00">
        <w:rPr>
          <w:rFonts w:ascii="Palatino Linotype" w:hAnsi="Palatino Linotype" w:cs="Arial"/>
          <w:sz w:val="24"/>
          <w:szCs w:val="24"/>
        </w:rPr>
        <w:t>in the Documents area of CEDARS</w:t>
      </w:r>
      <w:r w:rsidRPr="005F68D7" w:rsidR="00921F06">
        <w:rPr>
          <w:rFonts w:ascii="Palatino Linotype" w:hAnsi="Palatino Linotype" w:cs="Arial"/>
          <w:sz w:val="24"/>
          <w:szCs w:val="24"/>
        </w:rPr>
        <w:t>.</w:t>
      </w:r>
      <w:r w:rsidRPr="005F68D7" w:rsidR="00804D00">
        <w:rPr>
          <w:rFonts w:ascii="Palatino Linotype" w:hAnsi="Palatino Linotype" w:cs="Arial"/>
          <w:sz w:val="24"/>
          <w:szCs w:val="24"/>
        </w:rPr>
        <w:t xml:space="preserve"> </w:t>
      </w:r>
    </w:p>
    <w:p w:rsidRPr="005F68D7" w:rsidR="00804D00" w:rsidP="00A4547A" w:rsidRDefault="00E868E1" w14:paraId="4BBDC825" w14:textId="72E8E0F1">
      <w:pPr>
        <w:pStyle w:val="ListParagraph"/>
        <w:numPr>
          <w:ilvl w:val="0"/>
          <w:numId w:val="25"/>
        </w:numPr>
        <w:rPr>
          <w:rFonts w:ascii="Palatino Linotype" w:hAnsi="Palatino Linotype" w:cs="Arial"/>
          <w:sz w:val="24"/>
          <w:szCs w:val="24"/>
        </w:rPr>
      </w:pPr>
      <w:r w:rsidRPr="005F68D7">
        <w:rPr>
          <w:rFonts w:ascii="Palatino Linotype" w:hAnsi="Palatino Linotype" w:cs="Arial"/>
          <w:sz w:val="24"/>
          <w:szCs w:val="24"/>
        </w:rPr>
        <w:t>PAs shall provide l</w:t>
      </w:r>
      <w:r w:rsidRPr="005F68D7" w:rsidR="00804D00">
        <w:rPr>
          <w:rFonts w:ascii="Palatino Linotype" w:hAnsi="Palatino Linotype" w:cs="Arial"/>
          <w:sz w:val="24"/>
          <w:szCs w:val="24"/>
        </w:rPr>
        <w:t>inks to programmatic information and data in the spreadsheet to</w:t>
      </w:r>
      <w:r w:rsidRPr="005F68D7" w:rsidR="00B96DF7">
        <w:rPr>
          <w:rFonts w:ascii="Palatino Linotype" w:hAnsi="Palatino Linotype" w:cs="Arial"/>
          <w:sz w:val="24"/>
          <w:szCs w:val="24"/>
        </w:rPr>
        <w:t xml:space="preserve"> </w:t>
      </w:r>
      <w:r w:rsidRPr="005F68D7" w:rsidR="00804D00">
        <w:rPr>
          <w:rFonts w:ascii="Palatino Linotype" w:hAnsi="Palatino Linotype" w:cs="Arial"/>
          <w:sz w:val="24"/>
          <w:szCs w:val="24"/>
        </w:rPr>
        <w:t>ensure readers can access contextual information when viewing the Indicator reporting</w:t>
      </w:r>
      <w:r w:rsidRPr="005F68D7" w:rsidR="00116993">
        <w:rPr>
          <w:rFonts w:ascii="Palatino Linotype" w:hAnsi="Palatino Linotype" w:cs="Arial"/>
          <w:sz w:val="24"/>
          <w:szCs w:val="24"/>
        </w:rPr>
        <w:t>.</w:t>
      </w:r>
      <w:r w:rsidRPr="005F68D7" w:rsidR="00B96DF7">
        <w:rPr>
          <w:rFonts w:ascii="Palatino Linotype" w:hAnsi="Palatino Linotype" w:cs="Arial"/>
          <w:sz w:val="24"/>
          <w:szCs w:val="24"/>
        </w:rPr>
        <w:t xml:space="preserve"> </w:t>
      </w:r>
    </w:p>
    <w:p w:rsidRPr="005F68D7" w:rsidR="00D61108" w:rsidP="00A4547A" w:rsidRDefault="00804D00" w14:paraId="0068B274" w14:textId="6CE90E8F">
      <w:pPr>
        <w:pStyle w:val="ListParagraph"/>
        <w:numPr>
          <w:ilvl w:val="0"/>
          <w:numId w:val="25"/>
        </w:numPr>
        <w:rPr>
          <w:rFonts w:ascii="Palatino Linotype" w:hAnsi="Palatino Linotype" w:cs="Arial"/>
          <w:sz w:val="24"/>
          <w:szCs w:val="24"/>
        </w:rPr>
      </w:pPr>
      <w:r w:rsidRPr="005F68D7">
        <w:rPr>
          <w:rFonts w:ascii="Palatino Linotype" w:hAnsi="Palatino Linotype" w:cs="Arial"/>
          <w:sz w:val="24"/>
          <w:szCs w:val="24"/>
        </w:rPr>
        <w:t xml:space="preserve">PAs </w:t>
      </w:r>
      <w:r w:rsidRPr="005F68D7" w:rsidR="00C40611">
        <w:rPr>
          <w:rFonts w:ascii="Palatino Linotype" w:hAnsi="Palatino Linotype" w:cs="Arial"/>
          <w:sz w:val="24"/>
          <w:szCs w:val="24"/>
        </w:rPr>
        <w:t>shall</w:t>
      </w:r>
      <w:r w:rsidRPr="005F68D7">
        <w:rPr>
          <w:rFonts w:ascii="Palatino Linotype" w:hAnsi="Palatino Linotype" w:cs="Arial"/>
          <w:sz w:val="24"/>
          <w:szCs w:val="24"/>
        </w:rPr>
        <w:t xml:space="preserve"> creat</w:t>
      </w:r>
      <w:r w:rsidRPr="005F68D7" w:rsidR="00C40611">
        <w:rPr>
          <w:rFonts w:ascii="Palatino Linotype" w:hAnsi="Palatino Linotype" w:cs="Arial"/>
          <w:sz w:val="24"/>
          <w:szCs w:val="24"/>
        </w:rPr>
        <w:t>e</w:t>
      </w:r>
      <w:r w:rsidRPr="005F68D7">
        <w:rPr>
          <w:rFonts w:ascii="Palatino Linotype" w:hAnsi="Palatino Linotype" w:cs="Arial"/>
          <w:sz w:val="24"/>
          <w:szCs w:val="24"/>
        </w:rPr>
        <w:t xml:space="preserve"> and us</w:t>
      </w:r>
      <w:r w:rsidRPr="005F68D7" w:rsidR="00C40611">
        <w:rPr>
          <w:rFonts w:ascii="Palatino Linotype" w:hAnsi="Palatino Linotype" w:cs="Arial"/>
          <w:sz w:val="24"/>
          <w:szCs w:val="24"/>
        </w:rPr>
        <w:t>e</w:t>
      </w:r>
      <w:r w:rsidRPr="005F68D7">
        <w:rPr>
          <w:rFonts w:ascii="Palatino Linotype" w:hAnsi="Palatino Linotype" w:cs="Arial"/>
          <w:sz w:val="24"/>
          <w:szCs w:val="24"/>
        </w:rPr>
        <w:t xml:space="preserve"> a consistent template across the</w:t>
      </w:r>
      <w:r w:rsidRPr="005F68D7" w:rsidR="00567137">
        <w:rPr>
          <w:rFonts w:ascii="Palatino Linotype" w:hAnsi="Palatino Linotype" w:cs="Arial"/>
          <w:sz w:val="24"/>
          <w:szCs w:val="24"/>
        </w:rPr>
        <w:t xml:space="preserve"> </w:t>
      </w:r>
      <w:r w:rsidRPr="005F68D7">
        <w:rPr>
          <w:rFonts w:ascii="Palatino Linotype" w:hAnsi="Palatino Linotype" w:cs="Arial"/>
          <w:sz w:val="24"/>
          <w:szCs w:val="24"/>
        </w:rPr>
        <w:t xml:space="preserve">PAs to report on the Indicators. </w:t>
      </w:r>
    </w:p>
    <w:p w:rsidRPr="005F68D7" w:rsidR="008E416D" w:rsidP="00A4547A" w:rsidRDefault="00A65435" w14:paraId="69EF79D6" w14:textId="46C3FBC8">
      <w:pPr>
        <w:pStyle w:val="ListParagraph"/>
        <w:numPr>
          <w:ilvl w:val="0"/>
          <w:numId w:val="25"/>
        </w:numPr>
        <w:rPr>
          <w:rFonts w:ascii="Palatino Linotype" w:hAnsi="Palatino Linotype" w:cs="Arial"/>
          <w:sz w:val="24"/>
          <w:szCs w:val="24"/>
        </w:rPr>
      </w:pPr>
      <w:r w:rsidRPr="005F68D7">
        <w:rPr>
          <w:rFonts w:ascii="Palatino Linotype" w:hAnsi="Palatino Linotype" w:cs="Arial"/>
          <w:sz w:val="24"/>
          <w:szCs w:val="24"/>
        </w:rPr>
        <w:t xml:space="preserve">The new template shall </w:t>
      </w:r>
      <w:r w:rsidRPr="005F68D7" w:rsidR="00903E43">
        <w:rPr>
          <w:rFonts w:ascii="Palatino Linotype" w:hAnsi="Palatino Linotype" w:cs="Arial"/>
          <w:sz w:val="24"/>
          <w:szCs w:val="24"/>
        </w:rPr>
        <w:t>include</w:t>
      </w:r>
      <w:r w:rsidRPr="005F68D7" w:rsidR="008E416D">
        <w:rPr>
          <w:rFonts w:ascii="Palatino Linotype" w:hAnsi="Palatino Linotype" w:cs="Arial"/>
          <w:sz w:val="24"/>
          <w:szCs w:val="24"/>
        </w:rPr>
        <w:t xml:space="preserve"> a corresponding data dictionary that all PAs will be required to use </w:t>
      </w:r>
      <w:r w:rsidRPr="005F68D7" w:rsidR="00F6552D">
        <w:rPr>
          <w:rFonts w:ascii="Palatino Linotype" w:hAnsi="Palatino Linotype" w:cs="Arial"/>
          <w:sz w:val="24"/>
          <w:szCs w:val="24"/>
        </w:rPr>
        <w:t>to</w:t>
      </w:r>
      <w:r w:rsidRPr="005F68D7" w:rsidR="008E416D">
        <w:rPr>
          <w:rFonts w:ascii="Palatino Linotype" w:hAnsi="Palatino Linotype" w:cs="Arial"/>
          <w:sz w:val="24"/>
          <w:szCs w:val="24"/>
        </w:rPr>
        <w:t xml:space="preserve"> ensure data is reported cleanly, consistently, and </w:t>
      </w:r>
      <w:r w:rsidRPr="005F68D7" w:rsidR="00264EA3">
        <w:rPr>
          <w:rFonts w:ascii="Palatino Linotype" w:hAnsi="Palatino Linotype" w:cs="Arial"/>
          <w:sz w:val="24"/>
          <w:szCs w:val="24"/>
        </w:rPr>
        <w:t>timely</w:t>
      </w:r>
      <w:r w:rsidRPr="005F68D7" w:rsidR="008E416D">
        <w:rPr>
          <w:rFonts w:ascii="Palatino Linotype" w:hAnsi="Palatino Linotype" w:cs="Arial"/>
          <w:sz w:val="24"/>
          <w:szCs w:val="24"/>
        </w:rPr>
        <w:t>.</w:t>
      </w:r>
    </w:p>
    <w:p w:rsidRPr="005F68D7" w:rsidR="0054729F" w:rsidP="00A4547A" w:rsidRDefault="0054729F" w14:paraId="1D9BDE56" w14:textId="4ED2DB9A">
      <w:pPr>
        <w:pStyle w:val="ListParagraph"/>
        <w:numPr>
          <w:ilvl w:val="0"/>
          <w:numId w:val="25"/>
        </w:numPr>
        <w:rPr>
          <w:rFonts w:ascii="Palatino Linotype" w:hAnsi="Palatino Linotype" w:cs="Arial"/>
          <w:sz w:val="24"/>
          <w:szCs w:val="24"/>
        </w:rPr>
      </w:pPr>
      <w:r w:rsidRPr="005F68D7">
        <w:rPr>
          <w:rFonts w:ascii="Palatino Linotype" w:hAnsi="Palatino Linotype" w:cs="Arial"/>
          <w:sz w:val="24"/>
          <w:szCs w:val="24"/>
        </w:rPr>
        <w:t xml:space="preserve">The Reporting PCG shall </w:t>
      </w:r>
      <w:r w:rsidRPr="005F68D7" w:rsidR="00CC3BB7">
        <w:rPr>
          <w:rFonts w:ascii="Palatino Linotype" w:hAnsi="Palatino Linotype" w:cs="Arial"/>
          <w:sz w:val="24"/>
          <w:szCs w:val="24"/>
        </w:rPr>
        <w:t>collaborate to develop</w:t>
      </w:r>
      <w:r w:rsidRPr="005F68D7" w:rsidR="0078785B">
        <w:rPr>
          <w:rFonts w:ascii="Palatino Linotype" w:hAnsi="Palatino Linotype" w:cs="Arial"/>
          <w:sz w:val="24"/>
          <w:szCs w:val="24"/>
        </w:rPr>
        <w:t xml:space="preserve"> and finalize</w:t>
      </w:r>
      <w:r w:rsidRPr="005F68D7" w:rsidR="00CC3BB7">
        <w:rPr>
          <w:rFonts w:ascii="Palatino Linotype" w:hAnsi="Palatino Linotype" w:cs="Arial"/>
          <w:sz w:val="24"/>
          <w:szCs w:val="24"/>
        </w:rPr>
        <w:t xml:space="preserve"> </w:t>
      </w:r>
      <w:r w:rsidRPr="005F68D7" w:rsidR="00E81E12">
        <w:rPr>
          <w:rFonts w:ascii="Palatino Linotype" w:hAnsi="Palatino Linotype" w:cs="Arial"/>
          <w:sz w:val="24"/>
          <w:szCs w:val="24"/>
        </w:rPr>
        <w:t>the template and data dictionary</w:t>
      </w:r>
      <w:r w:rsidRPr="005F68D7" w:rsidR="00BD0262">
        <w:rPr>
          <w:rFonts w:ascii="Palatino Linotype" w:hAnsi="Palatino Linotype" w:cs="Arial"/>
          <w:sz w:val="24"/>
          <w:szCs w:val="24"/>
        </w:rPr>
        <w:t xml:space="preserve">. </w:t>
      </w:r>
      <w:r w:rsidRPr="005F68D7" w:rsidR="00051FB5">
        <w:rPr>
          <w:rFonts w:ascii="Palatino Linotype" w:hAnsi="Palatino Linotype" w:cs="Arial"/>
          <w:sz w:val="24"/>
          <w:szCs w:val="24"/>
        </w:rPr>
        <w:t xml:space="preserve">The bill savings </w:t>
      </w:r>
      <w:r w:rsidRPr="005F68D7" w:rsidR="00972A89">
        <w:rPr>
          <w:rFonts w:ascii="Palatino Linotype" w:hAnsi="Palatino Linotype" w:cs="Arial"/>
          <w:sz w:val="24"/>
          <w:szCs w:val="24"/>
        </w:rPr>
        <w:t xml:space="preserve">component of the reporting </w:t>
      </w:r>
      <w:r w:rsidRPr="005F68D7" w:rsidR="007C3A18">
        <w:rPr>
          <w:rFonts w:ascii="Palatino Linotype" w:hAnsi="Palatino Linotype" w:cs="Arial"/>
          <w:sz w:val="24"/>
          <w:szCs w:val="24"/>
        </w:rPr>
        <w:t xml:space="preserve">template </w:t>
      </w:r>
      <w:r w:rsidRPr="005F68D7" w:rsidR="00972A89">
        <w:rPr>
          <w:rFonts w:ascii="Palatino Linotype" w:hAnsi="Palatino Linotype" w:cs="Arial"/>
          <w:sz w:val="24"/>
          <w:szCs w:val="24"/>
        </w:rPr>
        <w:t xml:space="preserve">will be added </w:t>
      </w:r>
      <w:r w:rsidRPr="005F68D7" w:rsidR="007B554B">
        <w:rPr>
          <w:rFonts w:ascii="Palatino Linotype" w:hAnsi="Palatino Linotype" w:cs="Arial"/>
          <w:sz w:val="24"/>
          <w:szCs w:val="24"/>
        </w:rPr>
        <w:t xml:space="preserve">subsequently </w:t>
      </w:r>
      <w:r w:rsidRPr="005F68D7" w:rsidR="00972A89">
        <w:rPr>
          <w:rFonts w:ascii="Palatino Linotype" w:hAnsi="Palatino Linotype" w:cs="Arial"/>
          <w:sz w:val="24"/>
          <w:szCs w:val="24"/>
        </w:rPr>
        <w:t xml:space="preserve">upon </w:t>
      </w:r>
      <w:r w:rsidRPr="005F68D7" w:rsidR="001139BB">
        <w:rPr>
          <w:rFonts w:ascii="Palatino Linotype" w:hAnsi="Palatino Linotype" w:cs="Arial"/>
          <w:sz w:val="24"/>
          <w:szCs w:val="24"/>
        </w:rPr>
        <w:t>its completion</w:t>
      </w:r>
      <w:r w:rsidRPr="005F68D7" w:rsidR="00972A89">
        <w:rPr>
          <w:rFonts w:ascii="Palatino Linotype" w:hAnsi="Palatino Linotype" w:cs="Arial"/>
          <w:sz w:val="24"/>
          <w:szCs w:val="24"/>
        </w:rPr>
        <w:t>.</w:t>
      </w:r>
    </w:p>
    <w:p w:rsidRPr="005F68D7" w:rsidR="00C41898" w:rsidP="00A4547A" w:rsidRDefault="00C41898" w14:paraId="0F889C3F" w14:textId="1AECC4F5">
      <w:pPr>
        <w:pStyle w:val="ListParagraph"/>
        <w:numPr>
          <w:ilvl w:val="0"/>
          <w:numId w:val="25"/>
        </w:numPr>
        <w:rPr>
          <w:rFonts w:ascii="Palatino Linotype" w:hAnsi="Palatino Linotype" w:cs="Arial"/>
          <w:sz w:val="24"/>
          <w:szCs w:val="24"/>
        </w:rPr>
      </w:pPr>
      <w:r w:rsidRPr="005F68D7">
        <w:rPr>
          <w:rFonts w:ascii="Palatino Linotype" w:hAnsi="Palatino Linotype" w:cs="Arial"/>
          <w:sz w:val="24"/>
          <w:szCs w:val="24"/>
        </w:rPr>
        <w:t xml:space="preserve">Reporting </w:t>
      </w:r>
      <w:r w:rsidRPr="005F68D7" w:rsidR="004A62F1">
        <w:rPr>
          <w:rFonts w:ascii="Palatino Linotype" w:hAnsi="Palatino Linotype" w:cs="Arial"/>
          <w:sz w:val="24"/>
          <w:szCs w:val="24"/>
        </w:rPr>
        <w:t xml:space="preserve">with the new template should be tested </w:t>
      </w:r>
      <w:r w:rsidRPr="005F68D7" w:rsidR="00BB28C3">
        <w:rPr>
          <w:rFonts w:ascii="Palatino Linotype" w:hAnsi="Palatino Linotype" w:cs="Arial"/>
          <w:sz w:val="24"/>
          <w:szCs w:val="24"/>
        </w:rPr>
        <w:t xml:space="preserve">and then </w:t>
      </w:r>
      <w:r w:rsidRPr="005F68D7" w:rsidR="0005686F">
        <w:rPr>
          <w:rFonts w:ascii="Palatino Linotype" w:hAnsi="Palatino Linotype" w:cs="Arial"/>
          <w:sz w:val="24"/>
          <w:szCs w:val="24"/>
        </w:rPr>
        <w:t xml:space="preserve">made standard practice </w:t>
      </w:r>
      <w:r w:rsidRPr="005F68D7" w:rsidR="00686D2B">
        <w:rPr>
          <w:rFonts w:ascii="Palatino Linotype" w:hAnsi="Palatino Linotype" w:cs="Arial"/>
          <w:sz w:val="24"/>
          <w:szCs w:val="24"/>
        </w:rPr>
        <w:t>in time to report</w:t>
      </w:r>
      <w:r w:rsidRPr="005F68D7" w:rsidR="0005686F">
        <w:rPr>
          <w:rFonts w:ascii="Palatino Linotype" w:hAnsi="Palatino Linotype" w:cs="Arial"/>
          <w:sz w:val="24"/>
          <w:szCs w:val="24"/>
        </w:rPr>
        <w:t xml:space="preserve"> </w:t>
      </w:r>
      <w:r w:rsidRPr="005F68D7" w:rsidR="00686D2B">
        <w:rPr>
          <w:rFonts w:ascii="Palatino Linotype" w:hAnsi="Palatino Linotype" w:cs="Arial"/>
          <w:sz w:val="24"/>
          <w:szCs w:val="24"/>
        </w:rPr>
        <w:t>Q4 2025.</w:t>
      </w:r>
    </w:p>
    <w:p w:rsidRPr="005F68D7" w:rsidR="002A6000" w:rsidP="002A6000" w:rsidRDefault="002A6000" w14:paraId="1E7457F3" w14:textId="77777777">
      <w:pPr>
        <w:jc w:val="both"/>
        <w:rPr>
          <w:rFonts w:ascii="Palatino Linotype" w:hAnsi="Palatino Linotype" w:cs="Arial"/>
          <w:sz w:val="24"/>
          <w:szCs w:val="24"/>
        </w:rPr>
      </w:pPr>
    </w:p>
    <w:p w:rsidRPr="005F68D7" w:rsidR="002A6000" w:rsidP="003E346B" w:rsidRDefault="002A6000" w14:paraId="3F1A3189" w14:textId="67CE321E">
      <w:pPr>
        <w:pStyle w:val="ListParagraph"/>
        <w:numPr>
          <w:ilvl w:val="0"/>
          <w:numId w:val="34"/>
        </w:numPr>
        <w:ind w:left="360"/>
        <w:jc w:val="both"/>
        <w:rPr>
          <w:rFonts w:ascii="Palatino Linotype" w:hAnsi="Palatino Linotype"/>
          <w:b/>
          <w:caps/>
          <w:kern w:val="28"/>
          <w:sz w:val="24"/>
          <w:szCs w:val="24"/>
          <w:u w:val="single"/>
        </w:rPr>
      </w:pPr>
      <w:r w:rsidRPr="005F68D7">
        <w:rPr>
          <w:rFonts w:ascii="Palatino Linotype" w:hAnsi="Palatino Linotype"/>
          <w:b/>
          <w:caps/>
          <w:kern w:val="28"/>
          <w:sz w:val="24"/>
          <w:szCs w:val="24"/>
          <w:u w:val="single"/>
        </w:rPr>
        <w:t>Common Metrics</w:t>
      </w:r>
      <w:r w:rsidRPr="005F68D7" w:rsidR="0048328E">
        <w:rPr>
          <w:rFonts w:ascii="Palatino Linotype" w:hAnsi="Palatino Linotype"/>
          <w:sz w:val="24"/>
          <w:szCs w:val="24"/>
        </w:rPr>
        <w:t xml:space="preserve"> </w:t>
      </w:r>
      <w:r w:rsidRPr="005F68D7" w:rsidR="0048328E">
        <w:rPr>
          <w:rFonts w:ascii="Palatino Linotype" w:hAnsi="Palatino Linotype"/>
          <w:b/>
          <w:caps/>
          <w:kern w:val="28"/>
          <w:sz w:val="24"/>
          <w:szCs w:val="24"/>
          <w:u w:val="single"/>
        </w:rPr>
        <w:t>and Other Market Support Indicators</w:t>
      </w:r>
    </w:p>
    <w:p w:rsidRPr="005F68D7" w:rsidR="004537D2" w:rsidP="00A4547A" w:rsidRDefault="00D73C7D" w14:paraId="2E80F942" w14:textId="74ED25BF">
      <w:pPr>
        <w:rPr>
          <w:rFonts w:ascii="Palatino Linotype" w:hAnsi="Palatino Linotype" w:cs="Arial"/>
          <w:sz w:val="24"/>
          <w:szCs w:val="24"/>
        </w:rPr>
      </w:pPr>
      <w:r w:rsidRPr="005F68D7">
        <w:rPr>
          <w:rFonts w:ascii="Palatino Linotype" w:hAnsi="Palatino Linotype" w:cs="Arial"/>
          <w:sz w:val="24"/>
          <w:szCs w:val="24"/>
        </w:rPr>
        <w:t xml:space="preserve">This resolution </w:t>
      </w:r>
      <w:r w:rsidRPr="005F68D7" w:rsidR="005F02F2">
        <w:rPr>
          <w:rFonts w:ascii="Palatino Linotype" w:hAnsi="Palatino Linotype" w:cs="Arial"/>
          <w:sz w:val="24"/>
          <w:szCs w:val="24"/>
        </w:rPr>
        <w:t>removes</w:t>
      </w:r>
      <w:r w:rsidRPr="005F68D7">
        <w:rPr>
          <w:rFonts w:ascii="Palatino Linotype" w:hAnsi="Palatino Linotype" w:cs="Arial"/>
          <w:sz w:val="24"/>
          <w:szCs w:val="24"/>
        </w:rPr>
        <w:t xml:space="preserve"> </w:t>
      </w:r>
      <w:r w:rsidRPr="005F68D7" w:rsidR="00BC176A">
        <w:rPr>
          <w:rFonts w:ascii="Palatino Linotype" w:hAnsi="Palatino Linotype" w:cs="Arial"/>
          <w:sz w:val="24"/>
          <w:szCs w:val="24"/>
        </w:rPr>
        <w:t xml:space="preserve">nearly </w:t>
      </w:r>
      <w:r w:rsidRPr="005F68D7" w:rsidR="00DA6E59">
        <w:rPr>
          <w:rFonts w:ascii="Palatino Linotype" w:hAnsi="Palatino Linotype" w:cs="Arial"/>
          <w:sz w:val="24"/>
          <w:szCs w:val="24"/>
        </w:rPr>
        <w:t>ha</w:t>
      </w:r>
      <w:r w:rsidRPr="005F68D7" w:rsidR="00604B1A">
        <w:rPr>
          <w:rFonts w:ascii="Palatino Linotype" w:hAnsi="Palatino Linotype" w:cs="Arial"/>
          <w:sz w:val="24"/>
          <w:szCs w:val="24"/>
        </w:rPr>
        <w:t>lf</w:t>
      </w:r>
      <w:r w:rsidRPr="005F68D7" w:rsidR="00DA6E59">
        <w:rPr>
          <w:rFonts w:ascii="Palatino Linotype" w:hAnsi="Palatino Linotype" w:cs="Arial"/>
          <w:sz w:val="24"/>
          <w:szCs w:val="24"/>
        </w:rPr>
        <w:t xml:space="preserve"> of the</w:t>
      </w:r>
      <w:r w:rsidRPr="005F68D7">
        <w:rPr>
          <w:rFonts w:ascii="Palatino Linotype" w:hAnsi="Palatino Linotype" w:cs="Arial"/>
          <w:sz w:val="24"/>
          <w:szCs w:val="24"/>
        </w:rPr>
        <w:t xml:space="preserve"> </w:t>
      </w:r>
      <w:r w:rsidRPr="005F68D7" w:rsidR="004537D2">
        <w:rPr>
          <w:rFonts w:ascii="Palatino Linotype" w:hAnsi="Palatino Linotype" w:cs="Arial"/>
          <w:sz w:val="24"/>
          <w:szCs w:val="24"/>
        </w:rPr>
        <w:t>Common Metrics</w:t>
      </w:r>
      <w:r w:rsidRPr="005F68D7" w:rsidR="003C3B98">
        <w:rPr>
          <w:rFonts w:ascii="Palatino Linotype" w:hAnsi="Palatino Linotype" w:cs="Arial"/>
          <w:sz w:val="24"/>
          <w:szCs w:val="24"/>
        </w:rPr>
        <w:t xml:space="preserve"> </w:t>
      </w:r>
      <w:r w:rsidRPr="005F68D7" w:rsidR="00C33077">
        <w:rPr>
          <w:rFonts w:ascii="Palatino Linotype" w:hAnsi="Palatino Linotype" w:cs="Arial"/>
          <w:sz w:val="24"/>
          <w:szCs w:val="24"/>
        </w:rPr>
        <w:t xml:space="preserve">and converts </w:t>
      </w:r>
      <w:r w:rsidRPr="005F68D7" w:rsidR="000356C7">
        <w:rPr>
          <w:rFonts w:ascii="Palatino Linotype" w:hAnsi="Palatino Linotype" w:cs="Arial"/>
          <w:sz w:val="24"/>
          <w:szCs w:val="24"/>
        </w:rPr>
        <w:t xml:space="preserve">much of </w:t>
      </w:r>
      <w:r w:rsidRPr="005F68D7" w:rsidR="00C33077">
        <w:rPr>
          <w:rFonts w:ascii="Palatino Linotype" w:hAnsi="Palatino Linotype" w:cs="Arial"/>
          <w:sz w:val="24"/>
          <w:szCs w:val="24"/>
        </w:rPr>
        <w:t xml:space="preserve">the </w:t>
      </w:r>
      <w:r w:rsidRPr="005F68D7" w:rsidR="00B82A17">
        <w:rPr>
          <w:rFonts w:ascii="Palatino Linotype" w:hAnsi="Palatino Linotype" w:cs="Arial"/>
          <w:sz w:val="24"/>
          <w:szCs w:val="24"/>
        </w:rPr>
        <w:t xml:space="preserve">other half </w:t>
      </w:r>
      <w:r w:rsidRPr="005F68D7" w:rsidR="00D82276">
        <w:rPr>
          <w:rFonts w:ascii="Palatino Linotype" w:hAnsi="Palatino Linotype" w:cs="Arial"/>
          <w:sz w:val="24"/>
          <w:szCs w:val="24"/>
        </w:rPr>
        <w:t xml:space="preserve">to indicators </w:t>
      </w:r>
      <w:r w:rsidRPr="005F68D7" w:rsidR="003C3B98">
        <w:rPr>
          <w:rFonts w:ascii="Palatino Linotype" w:hAnsi="Palatino Linotype" w:cs="Arial"/>
          <w:sz w:val="24"/>
          <w:szCs w:val="24"/>
        </w:rPr>
        <w:t xml:space="preserve">as shown in </w:t>
      </w:r>
      <w:r w:rsidRPr="005F68D7" w:rsidR="008F3DAF">
        <w:rPr>
          <w:rFonts w:ascii="Palatino Linotype" w:hAnsi="Palatino Linotype" w:cs="Arial"/>
          <w:sz w:val="24"/>
          <w:szCs w:val="24"/>
        </w:rPr>
        <w:t>Appendix</w:t>
      </w:r>
      <w:r w:rsidRPr="005F68D7" w:rsidR="003C3B98">
        <w:rPr>
          <w:rFonts w:ascii="Palatino Linotype" w:hAnsi="Palatino Linotype" w:cs="Arial"/>
          <w:sz w:val="24"/>
          <w:szCs w:val="24"/>
        </w:rPr>
        <w:t xml:space="preserve"> </w:t>
      </w:r>
      <w:r w:rsidRPr="005F68D7" w:rsidR="00E47627">
        <w:rPr>
          <w:rFonts w:ascii="Palatino Linotype" w:hAnsi="Palatino Linotype" w:cs="Arial"/>
          <w:sz w:val="24"/>
          <w:szCs w:val="24"/>
        </w:rPr>
        <w:t>B</w:t>
      </w:r>
      <w:r w:rsidRPr="005F68D7">
        <w:rPr>
          <w:rFonts w:ascii="Palatino Linotype" w:hAnsi="Palatino Linotype" w:cs="Arial"/>
          <w:sz w:val="24"/>
          <w:szCs w:val="24"/>
        </w:rPr>
        <w:t>.</w:t>
      </w:r>
      <w:r w:rsidRPr="005F68D7" w:rsidR="00685AE7">
        <w:rPr>
          <w:rFonts w:ascii="Palatino Linotype" w:hAnsi="Palatino Linotype" w:cs="Arial"/>
          <w:sz w:val="24"/>
          <w:szCs w:val="24"/>
        </w:rPr>
        <w:t xml:space="preserve"> </w:t>
      </w:r>
      <w:r w:rsidRPr="005F68D7" w:rsidR="00685AE7">
        <w:rPr>
          <w:rFonts w:ascii="Palatino Linotype" w:hAnsi="Palatino Linotype" w:cs="Arial"/>
          <w:i/>
          <w:iCs/>
          <w:sz w:val="24"/>
          <w:szCs w:val="24"/>
        </w:rPr>
        <w:t xml:space="preserve">Only those metrics that </w:t>
      </w:r>
      <w:r w:rsidRPr="005F68D7" w:rsidR="000113DA">
        <w:rPr>
          <w:rFonts w:ascii="Palatino Linotype" w:hAnsi="Palatino Linotype" w:cs="Arial"/>
          <w:i/>
          <w:iCs/>
          <w:sz w:val="24"/>
          <w:szCs w:val="24"/>
        </w:rPr>
        <w:t>directly tie to a</w:t>
      </w:r>
      <w:r w:rsidRPr="005F68D7" w:rsidR="0050375F">
        <w:rPr>
          <w:rFonts w:ascii="Palatino Linotype" w:hAnsi="Palatino Linotype" w:cs="Arial"/>
          <w:i/>
          <w:iCs/>
          <w:sz w:val="24"/>
          <w:szCs w:val="24"/>
        </w:rPr>
        <w:t>n adopted goal shall remain as metrics</w:t>
      </w:r>
      <w:r w:rsidRPr="005F68D7" w:rsidR="008F3DAF">
        <w:rPr>
          <w:rFonts w:ascii="Palatino Linotype" w:hAnsi="Palatino Linotype" w:cs="Arial"/>
          <w:i/>
          <w:iCs/>
          <w:sz w:val="24"/>
          <w:szCs w:val="24"/>
        </w:rPr>
        <w:t xml:space="preserve">. </w:t>
      </w:r>
      <w:r w:rsidRPr="005F68D7" w:rsidR="00A7660E">
        <w:rPr>
          <w:rFonts w:ascii="Palatino Linotype" w:hAnsi="Palatino Linotype" w:cs="Arial"/>
          <w:sz w:val="24"/>
          <w:szCs w:val="24"/>
        </w:rPr>
        <w:t>Consequently</w:t>
      </w:r>
      <w:r w:rsidRPr="005F68D7" w:rsidR="0050375F">
        <w:rPr>
          <w:rFonts w:ascii="Palatino Linotype" w:hAnsi="Palatino Linotype" w:cs="Arial"/>
          <w:sz w:val="24"/>
          <w:szCs w:val="24"/>
        </w:rPr>
        <w:t xml:space="preserve">, the remaining metrics are directly related to the </w:t>
      </w:r>
      <w:r w:rsidRPr="005F68D7" w:rsidR="006356D5">
        <w:rPr>
          <w:rFonts w:ascii="Palatino Linotype" w:hAnsi="Palatino Linotype" w:cs="Arial"/>
          <w:sz w:val="24"/>
          <w:szCs w:val="24"/>
        </w:rPr>
        <w:t>Commission</w:t>
      </w:r>
      <w:r w:rsidRPr="005F68D7" w:rsidR="0050375F">
        <w:rPr>
          <w:rFonts w:ascii="Palatino Linotype" w:hAnsi="Palatino Linotype" w:cs="Arial"/>
          <w:sz w:val="24"/>
          <w:szCs w:val="24"/>
        </w:rPr>
        <w:t>’s adopted TSB goals</w:t>
      </w:r>
      <w:r w:rsidRPr="005F68D7" w:rsidR="002F328B">
        <w:rPr>
          <w:rStyle w:val="FootnoteReference"/>
          <w:rFonts w:ascii="Palatino Linotype" w:hAnsi="Palatino Linotype" w:cs="Arial"/>
          <w:sz w:val="24"/>
          <w:szCs w:val="24"/>
        </w:rPr>
        <w:footnoteReference w:id="9"/>
      </w:r>
      <w:r w:rsidRPr="005F68D7" w:rsidR="00E303A2">
        <w:rPr>
          <w:rFonts w:ascii="Palatino Linotype" w:hAnsi="Palatino Linotype" w:cs="Arial"/>
          <w:sz w:val="24"/>
          <w:szCs w:val="24"/>
        </w:rPr>
        <w:t xml:space="preserve">. </w:t>
      </w:r>
    </w:p>
    <w:p w:rsidRPr="005F68D7" w:rsidR="00B723E7" w:rsidP="00A4547A" w:rsidRDefault="00B723E7" w14:paraId="324C85B4" w14:textId="77777777">
      <w:pPr>
        <w:rPr>
          <w:rFonts w:ascii="Palatino Linotype" w:hAnsi="Palatino Linotype" w:cs="Arial"/>
          <w:sz w:val="24"/>
          <w:szCs w:val="24"/>
        </w:rPr>
      </w:pPr>
    </w:p>
    <w:p w:rsidRPr="005F68D7" w:rsidR="00843A52" w:rsidP="00A4547A" w:rsidRDefault="00F960FF" w14:paraId="3426EA77" w14:textId="357A7E27">
      <w:pPr>
        <w:rPr>
          <w:rFonts w:ascii="Palatino Linotype" w:hAnsi="Palatino Linotype" w:cs="Arial"/>
          <w:sz w:val="24"/>
          <w:szCs w:val="24"/>
        </w:rPr>
      </w:pPr>
      <w:r w:rsidRPr="005F68D7">
        <w:rPr>
          <w:rFonts w:ascii="Palatino Linotype" w:hAnsi="Palatino Linotype" w:cs="Arial"/>
          <w:sz w:val="24"/>
          <w:szCs w:val="24"/>
        </w:rPr>
        <w:t xml:space="preserve">Appendix </w:t>
      </w:r>
      <w:r w:rsidRPr="005F68D7" w:rsidR="00430C10">
        <w:rPr>
          <w:rFonts w:ascii="Palatino Linotype" w:hAnsi="Palatino Linotype" w:cs="Arial"/>
          <w:sz w:val="24"/>
          <w:szCs w:val="24"/>
        </w:rPr>
        <w:t>A</w:t>
      </w:r>
      <w:r w:rsidRPr="005F68D7" w:rsidR="005D0A82">
        <w:rPr>
          <w:rFonts w:ascii="Palatino Linotype" w:hAnsi="Palatino Linotype" w:cs="Arial"/>
          <w:sz w:val="24"/>
          <w:szCs w:val="24"/>
        </w:rPr>
        <w:t xml:space="preserve"> </w:t>
      </w:r>
      <w:r w:rsidRPr="005F68D7" w:rsidR="00E250A4">
        <w:rPr>
          <w:rFonts w:ascii="Palatino Linotype" w:hAnsi="Palatino Linotype" w:cs="Arial"/>
          <w:sz w:val="24"/>
          <w:szCs w:val="24"/>
        </w:rPr>
        <w:t xml:space="preserve">shows </w:t>
      </w:r>
      <w:r w:rsidRPr="005F68D7" w:rsidR="00DA73B6">
        <w:rPr>
          <w:rFonts w:ascii="Palatino Linotype" w:hAnsi="Palatino Linotype" w:cs="Arial"/>
          <w:sz w:val="24"/>
          <w:szCs w:val="24"/>
        </w:rPr>
        <w:t>categories of metrics and indicators and the associated number of them that are</w:t>
      </w:r>
      <w:r w:rsidRPr="005F68D7" w:rsidR="00CB43DA">
        <w:rPr>
          <w:rFonts w:ascii="Palatino Linotype" w:hAnsi="Palatino Linotype" w:cs="Arial"/>
          <w:sz w:val="24"/>
          <w:szCs w:val="24"/>
        </w:rPr>
        <w:t>: Kept</w:t>
      </w:r>
      <w:r w:rsidRPr="005F68D7" w:rsidR="00821D71">
        <w:rPr>
          <w:rFonts w:ascii="Palatino Linotype" w:hAnsi="Palatino Linotype" w:cs="Arial"/>
          <w:sz w:val="24"/>
          <w:szCs w:val="24"/>
        </w:rPr>
        <w:t xml:space="preserve"> as Metric or Indicator</w:t>
      </w:r>
      <w:r w:rsidRPr="005F68D7" w:rsidR="00CB43DA">
        <w:rPr>
          <w:rFonts w:ascii="Palatino Linotype" w:hAnsi="Palatino Linotype" w:cs="Arial"/>
          <w:sz w:val="24"/>
          <w:szCs w:val="24"/>
        </w:rPr>
        <w:t xml:space="preserve">, Converted to Indicator, </w:t>
      </w:r>
      <w:r w:rsidRPr="005F68D7" w:rsidR="000A40A7">
        <w:rPr>
          <w:rFonts w:ascii="Palatino Linotype" w:hAnsi="Palatino Linotype" w:cs="Arial"/>
          <w:sz w:val="24"/>
          <w:szCs w:val="24"/>
        </w:rPr>
        <w:t>Removed</w:t>
      </w:r>
      <w:r w:rsidRPr="005F68D7" w:rsidR="00821D71">
        <w:rPr>
          <w:rFonts w:ascii="Palatino Linotype" w:hAnsi="Palatino Linotype" w:cs="Arial"/>
          <w:sz w:val="24"/>
          <w:szCs w:val="24"/>
        </w:rPr>
        <w:t>,</w:t>
      </w:r>
      <w:r w:rsidRPr="005F68D7" w:rsidDel="00D9186B" w:rsidR="00072B8A">
        <w:rPr>
          <w:rFonts w:ascii="Palatino Linotype" w:hAnsi="Palatino Linotype" w:cs="Arial"/>
          <w:sz w:val="24"/>
          <w:szCs w:val="24"/>
        </w:rPr>
        <w:t xml:space="preserve"> or </w:t>
      </w:r>
      <w:r w:rsidRPr="005F68D7" w:rsidR="00DF0FDE">
        <w:rPr>
          <w:rFonts w:ascii="Palatino Linotype" w:hAnsi="Palatino Linotype" w:cs="Arial"/>
          <w:sz w:val="24"/>
          <w:szCs w:val="24"/>
        </w:rPr>
        <w:t>Paused</w:t>
      </w:r>
      <w:r w:rsidRPr="005F68D7" w:rsidR="00072B8A">
        <w:rPr>
          <w:rFonts w:ascii="Palatino Linotype" w:hAnsi="Palatino Linotype" w:cs="Arial"/>
          <w:sz w:val="24"/>
          <w:szCs w:val="24"/>
        </w:rPr>
        <w:t>.</w:t>
      </w:r>
    </w:p>
    <w:p w:rsidRPr="005F68D7" w:rsidR="00072B8A" w:rsidP="00A4547A" w:rsidRDefault="00072B8A" w14:paraId="3694F5E0" w14:textId="77777777">
      <w:pPr>
        <w:rPr>
          <w:rFonts w:ascii="Palatino Linotype" w:hAnsi="Palatino Linotype" w:cs="Arial"/>
          <w:sz w:val="24"/>
          <w:szCs w:val="24"/>
        </w:rPr>
      </w:pPr>
    </w:p>
    <w:p w:rsidRPr="005F68D7" w:rsidR="005D0A82" w:rsidP="00A4547A" w:rsidRDefault="009A6A12" w14:paraId="4EB4A8B3" w14:textId="24962892">
      <w:pPr>
        <w:rPr>
          <w:rFonts w:ascii="Palatino Linotype" w:hAnsi="Palatino Linotype" w:cs="Arial"/>
          <w:sz w:val="24"/>
          <w:szCs w:val="24"/>
        </w:rPr>
      </w:pPr>
      <w:r w:rsidRPr="005F68D7">
        <w:rPr>
          <w:rFonts w:ascii="Palatino Linotype" w:hAnsi="Palatino Linotype" w:cs="Arial"/>
          <w:sz w:val="24"/>
          <w:szCs w:val="24"/>
        </w:rPr>
        <w:lastRenderedPageBreak/>
        <w:t xml:space="preserve">Consistent with </w:t>
      </w:r>
      <w:r w:rsidRPr="005F68D7" w:rsidR="0038656C">
        <w:rPr>
          <w:rFonts w:ascii="Palatino Linotype" w:hAnsi="Palatino Linotype" w:cs="Arial"/>
          <w:sz w:val="24"/>
          <w:szCs w:val="24"/>
        </w:rPr>
        <w:t xml:space="preserve">many of the PAs’ recommendations in their advice letter, </w:t>
      </w:r>
      <w:r w:rsidRPr="005F68D7" w:rsidR="0061420A">
        <w:rPr>
          <w:rFonts w:ascii="Palatino Linotype" w:hAnsi="Palatino Linotype" w:cs="Arial"/>
          <w:sz w:val="24"/>
          <w:szCs w:val="24"/>
        </w:rPr>
        <w:t xml:space="preserve">Appendix </w:t>
      </w:r>
      <w:r w:rsidRPr="005F68D7" w:rsidR="00891F0B">
        <w:rPr>
          <w:rFonts w:ascii="Palatino Linotype" w:hAnsi="Palatino Linotype" w:cs="Arial"/>
          <w:sz w:val="24"/>
          <w:szCs w:val="24"/>
        </w:rPr>
        <w:t>A</w:t>
      </w:r>
      <w:r w:rsidRPr="005F68D7" w:rsidR="005D0A82">
        <w:rPr>
          <w:rFonts w:ascii="Palatino Linotype" w:hAnsi="Palatino Linotype" w:cs="Arial"/>
          <w:sz w:val="24"/>
          <w:szCs w:val="24"/>
        </w:rPr>
        <w:t xml:space="preserve"> </w:t>
      </w:r>
      <w:r w:rsidRPr="005F68D7" w:rsidR="006A4065">
        <w:rPr>
          <w:rFonts w:ascii="Palatino Linotype" w:hAnsi="Palatino Linotype" w:cs="Arial"/>
          <w:sz w:val="24"/>
          <w:szCs w:val="24"/>
        </w:rPr>
        <w:t xml:space="preserve">shows that </w:t>
      </w:r>
      <w:r w:rsidRPr="005F68D7" w:rsidR="64935566">
        <w:rPr>
          <w:rFonts w:ascii="Palatino Linotype" w:hAnsi="Palatino Linotype" w:cs="Arial"/>
          <w:sz w:val="24"/>
          <w:szCs w:val="24"/>
        </w:rPr>
        <w:t xml:space="preserve">the Commission </w:t>
      </w:r>
      <w:r w:rsidRPr="005F68D7" w:rsidR="006A4065">
        <w:rPr>
          <w:rFonts w:ascii="Palatino Linotype" w:hAnsi="Palatino Linotype" w:cs="Arial"/>
          <w:sz w:val="24"/>
          <w:szCs w:val="24"/>
        </w:rPr>
        <w:t xml:space="preserve">is </w:t>
      </w:r>
      <w:r w:rsidRPr="005F68D7" w:rsidR="00491080">
        <w:rPr>
          <w:rFonts w:ascii="Palatino Linotype" w:hAnsi="Palatino Linotype" w:cs="Arial"/>
          <w:sz w:val="24"/>
          <w:szCs w:val="24"/>
        </w:rPr>
        <w:t xml:space="preserve">removing </w:t>
      </w:r>
      <w:r w:rsidRPr="005F68D7" w:rsidR="00C423A5">
        <w:rPr>
          <w:rFonts w:ascii="Palatino Linotype" w:hAnsi="Palatino Linotype" w:cs="Arial"/>
          <w:sz w:val="24"/>
          <w:szCs w:val="24"/>
        </w:rPr>
        <w:t xml:space="preserve">eight </w:t>
      </w:r>
      <w:r w:rsidRPr="005F68D7" w:rsidR="00C32EBD">
        <w:rPr>
          <w:rFonts w:ascii="Palatino Linotype" w:hAnsi="Palatino Linotype" w:cs="Arial"/>
          <w:sz w:val="24"/>
          <w:szCs w:val="24"/>
        </w:rPr>
        <w:t xml:space="preserve">entire categories of metrics and indicators. </w:t>
      </w:r>
      <w:r w:rsidRPr="005F68D7" w:rsidR="00801630">
        <w:rPr>
          <w:rFonts w:ascii="Palatino Linotype" w:hAnsi="Palatino Linotype" w:cs="Arial"/>
          <w:sz w:val="24"/>
          <w:szCs w:val="24"/>
        </w:rPr>
        <w:t xml:space="preserve">These are: </w:t>
      </w:r>
    </w:p>
    <w:p w:rsidRPr="005F68D7" w:rsidR="00EC02D1" w:rsidP="00804D00" w:rsidRDefault="00EC02D1" w14:paraId="008838A0" w14:textId="77777777">
      <w:pPr>
        <w:jc w:val="both"/>
        <w:rPr>
          <w:rFonts w:ascii="Palatino Linotype" w:hAnsi="Palatino Linotype" w:cs="Arial"/>
          <w:sz w:val="24"/>
          <w:szCs w:val="24"/>
        </w:rPr>
      </w:pPr>
    </w:p>
    <w:p w:rsidRPr="005F68D7" w:rsidR="00801630" w:rsidP="00801630" w:rsidRDefault="00504165" w14:paraId="6E0C3603" w14:textId="442B6B87">
      <w:pPr>
        <w:pStyle w:val="ListParagraph"/>
        <w:numPr>
          <w:ilvl w:val="0"/>
          <w:numId w:val="26"/>
        </w:numPr>
        <w:jc w:val="both"/>
        <w:rPr>
          <w:rFonts w:ascii="Palatino Linotype" w:hAnsi="Palatino Linotype" w:cs="Arial"/>
          <w:sz w:val="24"/>
          <w:szCs w:val="24"/>
        </w:rPr>
      </w:pPr>
      <w:r w:rsidRPr="005F68D7">
        <w:rPr>
          <w:rFonts w:ascii="Palatino Linotype" w:hAnsi="Palatino Linotype" w:cs="Arial"/>
          <w:sz w:val="24"/>
          <w:szCs w:val="24"/>
        </w:rPr>
        <w:t>Advocacy</w:t>
      </w:r>
    </w:p>
    <w:p w:rsidRPr="005F68D7" w:rsidR="00504165" w:rsidP="00801630" w:rsidRDefault="00504165" w14:paraId="30EF2B00" w14:textId="4F41F69B">
      <w:pPr>
        <w:pStyle w:val="ListParagraph"/>
        <w:numPr>
          <w:ilvl w:val="0"/>
          <w:numId w:val="26"/>
        </w:numPr>
        <w:jc w:val="both"/>
        <w:rPr>
          <w:rFonts w:ascii="Palatino Linotype" w:hAnsi="Palatino Linotype" w:cs="Arial"/>
          <w:sz w:val="24"/>
          <w:szCs w:val="24"/>
        </w:rPr>
      </w:pPr>
      <w:r w:rsidRPr="005F68D7">
        <w:rPr>
          <w:rFonts w:ascii="Palatino Linotype" w:hAnsi="Palatino Linotype" w:cs="Arial"/>
          <w:sz w:val="24"/>
          <w:szCs w:val="24"/>
        </w:rPr>
        <w:t>Benchmarking</w:t>
      </w:r>
    </w:p>
    <w:p w:rsidRPr="005F68D7" w:rsidR="00504165" w:rsidP="00801630" w:rsidRDefault="00504165" w14:paraId="535A845D" w14:textId="7BF460A3">
      <w:pPr>
        <w:pStyle w:val="ListParagraph"/>
        <w:numPr>
          <w:ilvl w:val="0"/>
          <w:numId w:val="26"/>
        </w:numPr>
        <w:jc w:val="both"/>
        <w:rPr>
          <w:rFonts w:ascii="Palatino Linotype" w:hAnsi="Palatino Linotype" w:cs="Arial"/>
          <w:sz w:val="24"/>
          <w:szCs w:val="24"/>
        </w:rPr>
      </w:pPr>
      <w:r w:rsidRPr="005F68D7">
        <w:rPr>
          <w:rFonts w:ascii="Palatino Linotype" w:hAnsi="Palatino Linotype" w:cs="Arial"/>
          <w:sz w:val="24"/>
          <w:szCs w:val="24"/>
        </w:rPr>
        <w:t>Cost per Unit Saved</w:t>
      </w:r>
    </w:p>
    <w:p w:rsidRPr="005F68D7" w:rsidR="00504165" w:rsidP="00801630" w:rsidRDefault="00504165" w14:paraId="0D40BDD8" w14:textId="60740193">
      <w:pPr>
        <w:pStyle w:val="ListParagraph"/>
        <w:numPr>
          <w:ilvl w:val="0"/>
          <w:numId w:val="26"/>
        </w:numPr>
        <w:jc w:val="both"/>
        <w:rPr>
          <w:rFonts w:ascii="Palatino Linotype" w:hAnsi="Palatino Linotype" w:cs="Arial"/>
          <w:sz w:val="24"/>
          <w:szCs w:val="24"/>
        </w:rPr>
      </w:pPr>
      <w:r w:rsidRPr="005F68D7">
        <w:rPr>
          <w:rFonts w:ascii="Palatino Linotype" w:hAnsi="Palatino Linotype" w:cs="Arial"/>
          <w:sz w:val="24"/>
          <w:szCs w:val="24"/>
        </w:rPr>
        <w:t>Energy Intensity</w:t>
      </w:r>
    </w:p>
    <w:p w:rsidRPr="005F68D7" w:rsidR="000B300A" w:rsidP="00801630" w:rsidRDefault="000B300A" w14:paraId="3188984A" w14:textId="20DD2DCF">
      <w:pPr>
        <w:pStyle w:val="ListParagraph"/>
        <w:numPr>
          <w:ilvl w:val="0"/>
          <w:numId w:val="26"/>
        </w:numPr>
        <w:jc w:val="both"/>
        <w:rPr>
          <w:rFonts w:ascii="Palatino Linotype" w:hAnsi="Palatino Linotype" w:cs="Arial"/>
          <w:sz w:val="24"/>
          <w:szCs w:val="24"/>
        </w:rPr>
      </w:pPr>
      <w:r w:rsidRPr="005F68D7">
        <w:rPr>
          <w:rFonts w:ascii="Palatino Linotype" w:hAnsi="Palatino Linotype" w:cs="Arial"/>
          <w:sz w:val="24"/>
          <w:szCs w:val="24"/>
        </w:rPr>
        <w:t>New Participation</w:t>
      </w:r>
    </w:p>
    <w:p w:rsidRPr="005F68D7" w:rsidR="00C423A5" w:rsidP="00801630" w:rsidRDefault="00C423A5" w14:paraId="24AD36A8" w14:textId="50805DAD">
      <w:pPr>
        <w:pStyle w:val="ListParagraph"/>
        <w:numPr>
          <w:ilvl w:val="0"/>
          <w:numId w:val="26"/>
        </w:numPr>
        <w:jc w:val="both"/>
        <w:rPr>
          <w:rFonts w:ascii="Palatino Linotype" w:hAnsi="Palatino Linotype" w:cs="Arial"/>
          <w:sz w:val="24"/>
          <w:szCs w:val="24"/>
        </w:rPr>
      </w:pPr>
      <w:r w:rsidRPr="005F68D7">
        <w:rPr>
          <w:rFonts w:ascii="Palatino Linotype" w:hAnsi="Palatino Linotype" w:cs="Arial"/>
          <w:sz w:val="24"/>
          <w:szCs w:val="24"/>
        </w:rPr>
        <w:t>Penetration</w:t>
      </w:r>
    </w:p>
    <w:p w:rsidRPr="005F68D7" w:rsidR="00EC02D1" w:rsidP="00801630" w:rsidRDefault="00084AF2" w14:paraId="66C7C813" w14:textId="3717BCA7">
      <w:pPr>
        <w:pStyle w:val="ListParagraph"/>
        <w:numPr>
          <w:ilvl w:val="0"/>
          <w:numId w:val="26"/>
        </w:numPr>
        <w:jc w:val="both"/>
        <w:rPr>
          <w:rFonts w:ascii="Palatino Linotype" w:hAnsi="Palatino Linotype" w:cs="Arial"/>
          <w:sz w:val="24"/>
          <w:szCs w:val="24"/>
        </w:rPr>
      </w:pPr>
      <w:r w:rsidRPr="005F68D7">
        <w:rPr>
          <w:rFonts w:ascii="Palatino Linotype" w:hAnsi="Palatino Linotype" w:cs="Arial"/>
          <w:sz w:val="24"/>
          <w:szCs w:val="24"/>
        </w:rPr>
        <w:t>Water</w:t>
      </w:r>
    </w:p>
    <w:p w:rsidR="000B300A" w:rsidP="00411B77" w:rsidRDefault="00A7141A" w14:paraId="672D1941" w14:textId="393EFD71">
      <w:pPr>
        <w:pStyle w:val="ListParagraph"/>
        <w:numPr>
          <w:ilvl w:val="0"/>
          <w:numId w:val="26"/>
        </w:numPr>
        <w:jc w:val="both"/>
        <w:rPr>
          <w:rFonts w:ascii="Palatino Linotype" w:hAnsi="Palatino Linotype" w:cs="Arial"/>
          <w:sz w:val="24"/>
          <w:szCs w:val="24"/>
        </w:rPr>
      </w:pPr>
      <w:r w:rsidRPr="00342D87">
        <w:rPr>
          <w:rFonts w:ascii="Palatino Linotype" w:hAnsi="Palatino Linotype" w:cs="Arial"/>
          <w:sz w:val="24"/>
          <w:szCs w:val="24"/>
        </w:rPr>
        <w:t xml:space="preserve">WE&amp;T (largely replaced by Market Support) </w:t>
      </w:r>
    </w:p>
    <w:p w:rsidRPr="000A5712" w:rsidR="00CE62F2" w:rsidP="000A5712" w:rsidRDefault="00CE62F2" w14:paraId="06197F40" w14:textId="77777777">
      <w:pPr>
        <w:ind w:left="360"/>
        <w:jc w:val="both"/>
        <w:rPr>
          <w:rFonts w:ascii="Palatino Linotype" w:hAnsi="Palatino Linotype" w:cs="Arial"/>
          <w:sz w:val="24"/>
          <w:szCs w:val="24"/>
        </w:rPr>
      </w:pPr>
    </w:p>
    <w:p w:rsidRPr="005F68D7" w:rsidR="001C538D" w:rsidP="003E346B" w:rsidRDefault="001C538D" w14:paraId="69456272" w14:textId="77777777">
      <w:pPr>
        <w:pStyle w:val="Heading1"/>
        <w:keepNext w:val="0"/>
        <w:spacing w:before="0" w:after="200"/>
        <w:jc w:val="both"/>
        <w:rPr>
          <w:rFonts w:ascii="Palatino Linotype" w:hAnsi="Palatino Linotype"/>
          <w:sz w:val="24"/>
          <w:szCs w:val="24"/>
        </w:rPr>
      </w:pPr>
      <w:r w:rsidRPr="005F68D7">
        <w:rPr>
          <w:rFonts w:ascii="Palatino Linotype" w:hAnsi="Palatino Linotype"/>
          <w:sz w:val="24"/>
          <w:szCs w:val="24"/>
        </w:rPr>
        <w:t>Comments</w:t>
      </w:r>
    </w:p>
    <w:p w:rsidRPr="005F68D7" w:rsidR="003E6F6E" w:rsidP="00342D87" w:rsidRDefault="001C538D" w14:paraId="61ACB238" w14:textId="6C042F20">
      <w:pPr>
        <w:rPr>
          <w:rFonts w:ascii="Palatino Linotype" w:hAnsi="Palatino Linotype"/>
          <w:sz w:val="24"/>
          <w:szCs w:val="24"/>
        </w:rPr>
      </w:pPr>
      <w:r w:rsidRPr="005F68D7">
        <w:rPr>
          <w:rFonts w:ascii="Palatino Linotype" w:hAnsi="Palatino Linotype"/>
          <w:sz w:val="24"/>
          <w:szCs w:val="24"/>
        </w:rPr>
        <w:t xml:space="preserve">Public Utilities Code section 311(g)(1) provides that this </w:t>
      </w:r>
      <w:r w:rsidRPr="005F68D7" w:rsidR="003E6F6E">
        <w:rPr>
          <w:rFonts w:ascii="Palatino Linotype" w:hAnsi="Palatino Linotype"/>
          <w:sz w:val="24"/>
          <w:szCs w:val="24"/>
        </w:rPr>
        <w:t>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w:t>
      </w:r>
    </w:p>
    <w:p w:rsidRPr="005F68D7" w:rsidR="003E6F6E" w:rsidP="00A4547A" w:rsidRDefault="003E6F6E" w14:paraId="393DE6C3" w14:textId="77777777">
      <w:pPr>
        <w:rPr>
          <w:rFonts w:ascii="Palatino Linotype" w:hAnsi="Palatino Linotype"/>
          <w:sz w:val="24"/>
          <w:szCs w:val="24"/>
        </w:rPr>
      </w:pPr>
    </w:p>
    <w:p w:rsidRPr="005F68D7" w:rsidR="005842B3" w:rsidP="00A4547A" w:rsidRDefault="003E6F6E" w14:paraId="69456274" w14:textId="4D6575FC">
      <w:pPr>
        <w:rPr>
          <w:rFonts w:ascii="Palatino Linotype" w:hAnsi="Palatino Linotype"/>
          <w:sz w:val="24"/>
          <w:szCs w:val="24"/>
        </w:rPr>
      </w:pPr>
      <w:r w:rsidRPr="005F68D7">
        <w:rPr>
          <w:rFonts w:ascii="Palatino Linotype" w:hAnsi="Palatino Linotype"/>
          <w:sz w:val="24"/>
          <w:szCs w:val="24"/>
        </w:rPr>
        <w:t>The 30-day review and 20-day comment period for the draft of this resolution was neither waived nor reduced. Accordingly, this draft resolution was mailed to parties for comments, and will be placed on the Commission's agenda no earlier than 30 days from today.</w:t>
      </w:r>
    </w:p>
    <w:p w:rsidRPr="005F68D7" w:rsidR="006F37BE" w:rsidP="000A5712" w:rsidRDefault="006F37BE" w14:paraId="18EABA20" w14:textId="77777777">
      <w:pPr>
        <w:spacing w:after="200"/>
        <w:jc w:val="both"/>
        <w:rPr>
          <w:rFonts w:ascii="Palatino Linotype" w:hAnsi="Palatino Linotype"/>
          <w:sz w:val="24"/>
          <w:szCs w:val="24"/>
        </w:rPr>
      </w:pPr>
    </w:p>
    <w:p w:rsidR="001C538D" w:rsidP="00AF327A" w:rsidRDefault="001C538D" w14:paraId="69456275" w14:textId="5916640C">
      <w:pPr>
        <w:pStyle w:val="Heading1"/>
        <w:spacing w:before="0" w:after="0"/>
        <w:jc w:val="both"/>
        <w:rPr>
          <w:rFonts w:ascii="Palatino Linotype" w:hAnsi="Palatino Linotype"/>
          <w:sz w:val="24"/>
          <w:szCs w:val="24"/>
        </w:rPr>
      </w:pPr>
      <w:r w:rsidRPr="005F68D7">
        <w:rPr>
          <w:rFonts w:ascii="Palatino Linotype" w:hAnsi="Palatino Linotype"/>
          <w:sz w:val="24"/>
          <w:szCs w:val="24"/>
        </w:rPr>
        <w:t>Findings AND CONCLUSIONS</w:t>
      </w:r>
    </w:p>
    <w:p w:rsidRPr="000A5712" w:rsidR="000A5712" w:rsidP="000A5712" w:rsidRDefault="000A5712" w14:paraId="761A971B" w14:textId="77777777">
      <w:pPr>
        <w:pStyle w:val="standard"/>
      </w:pPr>
    </w:p>
    <w:p w:rsidRPr="005F68D7" w:rsidR="00193D0D" w:rsidP="00162259" w:rsidRDefault="00651D74" w14:paraId="613FF5D8" w14:textId="3A504AB3">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cs="ArialMT"/>
          <w:sz w:val="24"/>
          <w:szCs w:val="24"/>
        </w:rPr>
        <w:t>(</w:t>
      </w:r>
      <w:r w:rsidRPr="005F68D7" w:rsidR="00193D0D">
        <w:rPr>
          <w:rFonts w:ascii="Palatino Linotype" w:hAnsi="Palatino Linotype" w:cs="ArialMT"/>
          <w:sz w:val="24"/>
          <w:szCs w:val="24"/>
        </w:rPr>
        <w:t>D.</w:t>
      </w:r>
      <w:r w:rsidRPr="005F68D7">
        <w:rPr>
          <w:rFonts w:ascii="Palatino Linotype" w:hAnsi="Palatino Linotype" w:cs="ArialMT"/>
          <w:sz w:val="24"/>
          <w:szCs w:val="24"/>
        </w:rPr>
        <w:t xml:space="preserve">) </w:t>
      </w:r>
      <w:r w:rsidRPr="005F68D7" w:rsidR="00193D0D">
        <w:rPr>
          <w:rFonts w:ascii="Palatino Linotype" w:hAnsi="Palatino Linotype" w:cs="ArialMT"/>
          <w:sz w:val="24"/>
          <w:szCs w:val="24"/>
        </w:rPr>
        <w:t>23-06-055</w:t>
      </w:r>
      <w:r w:rsidRPr="005F68D7" w:rsidR="00DE25B7">
        <w:rPr>
          <w:rFonts w:ascii="Palatino Linotype" w:hAnsi="Palatino Linotype" w:cs="ArialMT"/>
          <w:sz w:val="24"/>
          <w:szCs w:val="24"/>
        </w:rPr>
        <w:t xml:space="preserve"> </w:t>
      </w:r>
      <w:r w:rsidRPr="005F68D7" w:rsidR="00313C3A">
        <w:rPr>
          <w:rFonts w:ascii="Palatino Linotype" w:hAnsi="Palatino Linotype" w:cs="ArialMT"/>
          <w:sz w:val="24"/>
          <w:szCs w:val="24"/>
        </w:rPr>
        <w:t>Conclusions of Law (COL) 35 and 36</w:t>
      </w:r>
      <w:r w:rsidRPr="005F68D7" w:rsidR="00193D0D">
        <w:rPr>
          <w:rFonts w:ascii="Palatino Linotype" w:hAnsi="Palatino Linotype" w:cs="ArialMT"/>
          <w:sz w:val="24"/>
          <w:szCs w:val="24"/>
        </w:rPr>
        <w:t xml:space="preserve"> adopted thirteen Equity Indicators and twenty-five Market Support Indicators.</w:t>
      </w:r>
      <w:r w:rsidRPr="005F68D7" w:rsidR="00193D0D">
        <w:rPr>
          <w:rFonts w:ascii="Palatino Linotype" w:hAnsi="Palatino Linotype"/>
          <w:sz w:val="24"/>
          <w:szCs w:val="24"/>
        </w:rPr>
        <w:t xml:space="preserve"> </w:t>
      </w:r>
    </w:p>
    <w:p w:rsidRPr="005F68D7" w:rsidR="0006297D" w:rsidP="00162259" w:rsidRDefault="00FE41B8" w14:paraId="4E6D349A" w14:textId="47DEFECC">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cs="ArialMT"/>
          <w:sz w:val="24"/>
          <w:szCs w:val="24"/>
        </w:rPr>
        <w:t>In 2023, t</w:t>
      </w:r>
      <w:r w:rsidRPr="005F68D7" w:rsidR="00DE25B7">
        <w:rPr>
          <w:rFonts w:ascii="Palatino Linotype" w:hAnsi="Palatino Linotype" w:cs="ArialMT"/>
          <w:sz w:val="24"/>
          <w:szCs w:val="24"/>
        </w:rPr>
        <w:t>he California Energy Efficiency Coordinating Committee (CAEECC) convened an Equity Metrics Working Group (EMWG) and Market Support Metrics Working Group (MSMWG)</w:t>
      </w:r>
      <w:r w:rsidRPr="005F68D7" w:rsidR="008E599C">
        <w:rPr>
          <w:rFonts w:ascii="Palatino Linotype" w:hAnsi="Palatino Linotype" w:cs="ArialMT"/>
          <w:sz w:val="24"/>
          <w:szCs w:val="24"/>
        </w:rPr>
        <w:t xml:space="preserve"> with the goal to discuss and develop recommendations to clarify adopted Equity and Market Support Indicators.</w:t>
      </w:r>
    </w:p>
    <w:p w:rsidRPr="005F68D7" w:rsidR="00C13F30" w:rsidP="005E6FB5" w:rsidRDefault="0DADFA52" w14:paraId="68A5A38F" w14:textId="7A0A8DC2">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lastRenderedPageBreak/>
        <w:t xml:space="preserve">On May 1, 2024, </w:t>
      </w:r>
      <w:r w:rsidRPr="005F68D7" w:rsidR="00F61E7F">
        <w:rPr>
          <w:rFonts w:ascii="Palatino Linotype" w:hAnsi="Palatino Linotype"/>
          <w:sz w:val="24"/>
          <w:szCs w:val="24"/>
        </w:rPr>
        <w:t xml:space="preserve">San Diego Gas &amp; Electric (SDG&amp;E), Pacific Gas and Electric Company (PG&amp;E), Southern California Edison Company (SCE), Southern California Gas Company (SoCalGas), Marin Clean Energy (MCE), Tri-County Regional Energy Network (3C-REN), Bay Area Regional Energy Network (BayREN), Inland Regional Energy Network (I-REN), and Southern California Regional Energy Network (SoCalREN) </w:t>
      </w:r>
      <w:r w:rsidRPr="005F68D7" w:rsidR="00A53DBC">
        <w:rPr>
          <w:rFonts w:ascii="Palatino Linotype" w:hAnsi="Palatino Linotype"/>
          <w:sz w:val="24"/>
          <w:szCs w:val="24"/>
        </w:rPr>
        <w:t>(</w:t>
      </w:r>
      <w:r w:rsidRPr="005F68D7" w:rsidR="00885788">
        <w:rPr>
          <w:rFonts w:ascii="Palatino Linotype" w:hAnsi="Palatino Linotype"/>
          <w:sz w:val="24"/>
          <w:szCs w:val="24"/>
        </w:rPr>
        <w:t xml:space="preserve">referred to as the Joint PAs) </w:t>
      </w:r>
      <w:r w:rsidRPr="005F68D7" w:rsidR="00F61E7F">
        <w:rPr>
          <w:rFonts w:ascii="Palatino Linotype" w:hAnsi="Palatino Linotype"/>
          <w:sz w:val="24"/>
          <w:szCs w:val="24"/>
        </w:rPr>
        <w:t xml:space="preserve">filed Advice Letter 4438-E/ 3299-G et al. </w:t>
      </w:r>
      <w:r w:rsidRPr="005F68D7" w:rsidR="2C6D259C">
        <w:rPr>
          <w:rFonts w:ascii="Palatino Linotype" w:hAnsi="Palatino Linotype"/>
          <w:sz w:val="24"/>
          <w:szCs w:val="24"/>
        </w:rPr>
        <w:t>to clarify and revise adopted indicators and metrics related to energy efficiency portfolios i</w:t>
      </w:r>
      <w:r w:rsidRPr="005F68D7" w:rsidR="2C6D259C">
        <w:rPr>
          <w:rFonts w:ascii="Palatino Linotype" w:hAnsi="Palatino Linotype" w:cs="Palatino"/>
          <w:sz w:val="24"/>
          <w:szCs w:val="24"/>
        </w:rPr>
        <w:t>n compliance with Decision (D.) 23-06-055</w:t>
      </w:r>
      <w:r w:rsidRPr="005F68D7" w:rsidR="00F61E7F">
        <w:rPr>
          <w:rFonts w:ascii="Palatino Linotype" w:hAnsi="Palatino Linotype"/>
          <w:sz w:val="24"/>
          <w:szCs w:val="24"/>
        </w:rPr>
        <w:t xml:space="preserve">. </w:t>
      </w:r>
    </w:p>
    <w:p w:rsidRPr="005F68D7" w:rsidR="002F7C49" w:rsidP="005E6FB5" w:rsidRDefault="00D10FC0" w14:paraId="0BCDF622" w14:textId="3D816A34">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California Public Advocates (</w:t>
      </w:r>
      <w:r w:rsidRPr="005F68D7" w:rsidR="00E30078">
        <w:rPr>
          <w:rFonts w:ascii="Palatino Linotype" w:hAnsi="Palatino Linotype"/>
          <w:sz w:val="24"/>
          <w:szCs w:val="24"/>
        </w:rPr>
        <w:t>Cal Advocates</w:t>
      </w:r>
      <w:r w:rsidRPr="005F68D7">
        <w:rPr>
          <w:rFonts w:ascii="Palatino Linotype" w:hAnsi="Palatino Linotype"/>
          <w:sz w:val="24"/>
          <w:szCs w:val="24"/>
        </w:rPr>
        <w:t>) submitted a protest to SDG&amp;E AL 4438-E</w:t>
      </w:r>
      <w:r w:rsidRPr="005F68D7" w:rsidR="12AB9B32">
        <w:rPr>
          <w:rFonts w:ascii="Palatino Linotype" w:hAnsi="Palatino Linotype"/>
          <w:sz w:val="24"/>
          <w:szCs w:val="24"/>
        </w:rPr>
        <w:t>/</w:t>
      </w:r>
      <w:r w:rsidRPr="005F68D7">
        <w:rPr>
          <w:rFonts w:ascii="Palatino Linotype" w:hAnsi="Palatino Linotype"/>
          <w:sz w:val="24"/>
          <w:szCs w:val="24"/>
        </w:rPr>
        <w:t xml:space="preserve"> </w:t>
      </w:r>
      <w:r w:rsidRPr="005F68D7" w:rsidR="12AB9B32">
        <w:rPr>
          <w:rFonts w:ascii="Palatino Linotype" w:hAnsi="Palatino Linotype"/>
          <w:sz w:val="24"/>
          <w:szCs w:val="24"/>
        </w:rPr>
        <w:t>3299-G</w:t>
      </w:r>
      <w:r w:rsidRPr="005F68D7">
        <w:rPr>
          <w:rFonts w:ascii="Palatino Linotype" w:hAnsi="Palatino Linotype"/>
          <w:sz w:val="24"/>
          <w:szCs w:val="24"/>
        </w:rPr>
        <w:t xml:space="preserve"> et al. on May 21, 2024</w:t>
      </w:r>
      <w:r w:rsidRPr="005F68D7" w:rsidR="00AC16F6">
        <w:rPr>
          <w:rFonts w:ascii="Palatino Linotype" w:hAnsi="Palatino Linotype"/>
          <w:sz w:val="24"/>
          <w:szCs w:val="24"/>
        </w:rPr>
        <w:t xml:space="preserve"> </w:t>
      </w:r>
      <w:r w:rsidRPr="005F68D7">
        <w:rPr>
          <w:rFonts w:ascii="Palatino Linotype" w:hAnsi="Palatino Linotype"/>
          <w:sz w:val="24"/>
          <w:szCs w:val="24"/>
        </w:rPr>
        <w:t>expres</w:t>
      </w:r>
      <w:r w:rsidRPr="005F68D7" w:rsidR="00AC16F6">
        <w:rPr>
          <w:rFonts w:ascii="Palatino Linotype" w:hAnsi="Palatino Linotype"/>
          <w:sz w:val="24"/>
          <w:szCs w:val="24"/>
        </w:rPr>
        <w:t>sing</w:t>
      </w:r>
      <w:r w:rsidRPr="005F68D7">
        <w:rPr>
          <w:rFonts w:ascii="Palatino Linotype" w:hAnsi="Palatino Linotype"/>
          <w:sz w:val="24"/>
          <w:szCs w:val="24"/>
        </w:rPr>
        <w:t xml:space="preserve"> concern about </w:t>
      </w:r>
      <w:r w:rsidRPr="005F68D7" w:rsidR="00B84E76">
        <w:rPr>
          <w:rFonts w:ascii="Palatino Linotype" w:hAnsi="Palatino Linotype"/>
          <w:sz w:val="24"/>
          <w:szCs w:val="24"/>
        </w:rPr>
        <w:t xml:space="preserve">the recommended removal of </w:t>
      </w:r>
      <w:r w:rsidRPr="005F68D7">
        <w:rPr>
          <w:rFonts w:ascii="Palatino Linotype" w:hAnsi="Palatino Linotype"/>
          <w:sz w:val="24"/>
          <w:szCs w:val="24"/>
        </w:rPr>
        <w:t>the set of metrics that focused on “</w:t>
      </w:r>
      <w:r w:rsidRPr="005F68D7" w:rsidR="00725F10">
        <w:rPr>
          <w:rFonts w:ascii="Palatino Linotype" w:hAnsi="Palatino Linotype"/>
          <w:sz w:val="24"/>
          <w:szCs w:val="24"/>
        </w:rPr>
        <w:t>p</w:t>
      </w:r>
      <w:r w:rsidRPr="005F68D7">
        <w:rPr>
          <w:rFonts w:ascii="Palatino Linotype" w:hAnsi="Palatino Linotype"/>
          <w:sz w:val="24"/>
          <w:szCs w:val="24"/>
        </w:rPr>
        <w:t>enetration”, especially those that focused on hard-to-reach and disadvantaged communities</w:t>
      </w:r>
      <w:r w:rsidRPr="005F68D7" w:rsidR="00AC16F6">
        <w:rPr>
          <w:rFonts w:ascii="Palatino Linotype" w:hAnsi="Palatino Linotype"/>
          <w:sz w:val="24"/>
          <w:szCs w:val="24"/>
        </w:rPr>
        <w:t>.</w:t>
      </w:r>
      <w:r w:rsidRPr="005F68D7" w:rsidR="7D86B013">
        <w:rPr>
          <w:rFonts w:ascii="Palatino Linotype" w:hAnsi="Palatino Linotype"/>
          <w:sz w:val="24"/>
          <w:szCs w:val="24"/>
        </w:rPr>
        <w:t xml:space="preserve"> The Commission rejects </w:t>
      </w:r>
      <w:r w:rsidRPr="005F68D7" w:rsidR="00E30078">
        <w:rPr>
          <w:rFonts w:ascii="Palatino Linotype" w:hAnsi="Palatino Linotype"/>
          <w:sz w:val="24"/>
          <w:szCs w:val="24"/>
        </w:rPr>
        <w:t>Cal Advocates</w:t>
      </w:r>
      <w:r w:rsidRPr="005F68D7" w:rsidR="7D86B013">
        <w:rPr>
          <w:rFonts w:ascii="Palatino Linotype" w:hAnsi="Palatino Linotype"/>
          <w:sz w:val="24"/>
          <w:szCs w:val="24"/>
        </w:rPr>
        <w:t xml:space="preserve">’ request to reject the Advice Letter. </w:t>
      </w:r>
    </w:p>
    <w:p w:rsidRPr="005F68D7" w:rsidR="00356849" w:rsidP="005E6FB5" w:rsidRDefault="00701FA4" w14:paraId="0CE58DBC" w14:textId="6FF5F836">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On September 27, 2024, </w:t>
      </w:r>
      <w:r w:rsidRPr="005F68D7" w:rsidR="00E8557D">
        <w:rPr>
          <w:rFonts w:ascii="Palatino Linotype" w:hAnsi="Palatino Linotype"/>
          <w:sz w:val="24"/>
          <w:szCs w:val="24"/>
        </w:rPr>
        <w:t xml:space="preserve">AB 3264 </w:t>
      </w:r>
      <w:r w:rsidRPr="005F68D7">
        <w:rPr>
          <w:rFonts w:ascii="Palatino Linotype" w:hAnsi="Palatino Linotype"/>
          <w:sz w:val="24"/>
          <w:szCs w:val="24"/>
        </w:rPr>
        <w:t>Section 913.5 revise</w:t>
      </w:r>
      <w:r w:rsidRPr="005F68D7" w:rsidR="00E8557D">
        <w:rPr>
          <w:rFonts w:ascii="Palatino Linotype" w:hAnsi="Palatino Linotype"/>
          <w:sz w:val="24"/>
          <w:szCs w:val="24"/>
        </w:rPr>
        <w:t>d</w:t>
      </w:r>
      <w:r w:rsidRPr="005F68D7">
        <w:rPr>
          <w:rFonts w:ascii="Palatino Linotype" w:hAnsi="Palatino Linotype"/>
          <w:sz w:val="24"/>
          <w:szCs w:val="24"/>
        </w:rPr>
        <w:t xml:space="preserve"> the elements that </w:t>
      </w:r>
      <w:r w:rsidRPr="005F68D7" w:rsidR="00066C1D">
        <w:rPr>
          <w:rFonts w:ascii="Palatino Linotype" w:hAnsi="Palatino Linotype"/>
          <w:sz w:val="24"/>
          <w:szCs w:val="24"/>
        </w:rPr>
        <w:t xml:space="preserve">the </w:t>
      </w:r>
      <w:r w:rsidRPr="005F68D7">
        <w:rPr>
          <w:rFonts w:ascii="Palatino Linotype" w:hAnsi="Palatino Linotype"/>
          <w:sz w:val="24"/>
          <w:szCs w:val="24"/>
        </w:rPr>
        <w:t>C</w:t>
      </w:r>
      <w:r w:rsidRPr="005F68D7" w:rsidR="004D27C4">
        <w:rPr>
          <w:rFonts w:ascii="Palatino Linotype" w:hAnsi="Palatino Linotype"/>
          <w:sz w:val="24"/>
          <w:szCs w:val="24"/>
        </w:rPr>
        <w:t>ommission</w:t>
      </w:r>
      <w:r w:rsidRPr="005F68D7">
        <w:rPr>
          <w:rFonts w:ascii="Palatino Linotype" w:hAnsi="Palatino Linotype"/>
          <w:sz w:val="24"/>
          <w:szCs w:val="24"/>
        </w:rPr>
        <w:t xml:space="preserve"> must include in the</w:t>
      </w:r>
      <w:r w:rsidRPr="005F68D7" w:rsidR="00CD3293">
        <w:rPr>
          <w:rFonts w:ascii="Palatino Linotype" w:hAnsi="Palatino Linotype"/>
          <w:sz w:val="24"/>
          <w:szCs w:val="24"/>
        </w:rPr>
        <w:t xml:space="preserve">ir </w:t>
      </w:r>
      <w:r w:rsidRPr="005F68D7" w:rsidR="00AB5BEA">
        <w:rPr>
          <w:rFonts w:ascii="Palatino Linotype" w:hAnsi="Palatino Linotype"/>
          <w:sz w:val="24"/>
          <w:szCs w:val="24"/>
        </w:rPr>
        <w:t xml:space="preserve">evaluation </w:t>
      </w:r>
      <w:r w:rsidRPr="005F68D7" w:rsidR="00AB178F">
        <w:rPr>
          <w:rFonts w:ascii="Palatino Linotype" w:hAnsi="Palatino Linotype"/>
          <w:sz w:val="24"/>
          <w:szCs w:val="24"/>
        </w:rPr>
        <w:t xml:space="preserve">of </w:t>
      </w:r>
      <w:r w:rsidRPr="005F68D7" w:rsidR="00E6317E">
        <w:rPr>
          <w:rFonts w:ascii="Palatino Linotype" w:hAnsi="Palatino Linotype"/>
          <w:sz w:val="24"/>
          <w:szCs w:val="24"/>
        </w:rPr>
        <w:t xml:space="preserve">all energy efficiency and conservation program </w:t>
      </w:r>
      <w:r w:rsidRPr="005F68D7">
        <w:rPr>
          <w:rFonts w:ascii="Palatino Linotype" w:hAnsi="Palatino Linotype"/>
          <w:sz w:val="24"/>
          <w:szCs w:val="24"/>
        </w:rPr>
        <w:t>reports</w:t>
      </w:r>
      <w:r w:rsidRPr="005F68D7" w:rsidR="00BD62F8">
        <w:rPr>
          <w:rFonts w:ascii="Palatino Linotype" w:hAnsi="Palatino Linotype"/>
          <w:sz w:val="24"/>
          <w:szCs w:val="24"/>
        </w:rPr>
        <w:t xml:space="preserve"> to the Legis</w:t>
      </w:r>
      <w:r w:rsidRPr="005F68D7" w:rsidR="009A7803">
        <w:rPr>
          <w:rFonts w:ascii="Palatino Linotype" w:hAnsi="Palatino Linotype"/>
          <w:sz w:val="24"/>
          <w:szCs w:val="24"/>
        </w:rPr>
        <w:t>lature</w:t>
      </w:r>
      <w:r w:rsidRPr="005F68D7" w:rsidR="007B37AE">
        <w:rPr>
          <w:rFonts w:ascii="Palatino Linotype" w:hAnsi="Palatino Linotype"/>
          <w:sz w:val="24"/>
          <w:szCs w:val="24"/>
        </w:rPr>
        <w:t>, which</w:t>
      </w:r>
      <w:r w:rsidRPr="005F68D7" w:rsidR="00935FF4">
        <w:rPr>
          <w:rFonts w:ascii="Palatino Linotype" w:hAnsi="Palatino Linotype"/>
          <w:sz w:val="24"/>
          <w:szCs w:val="24"/>
        </w:rPr>
        <w:t xml:space="preserve"> are required </w:t>
      </w:r>
      <w:r w:rsidRPr="005F68D7" w:rsidR="002673D1">
        <w:rPr>
          <w:rFonts w:ascii="Palatino Linotype" w:hAnsi="Palatino Linotype"/>
          <w:sz w:val="24"/>
          <w:szCs w:val="24"/>
        </w:rPr>
        <w:t>every three years</w:t>
      </w:r>
      <w:r w:rsidRPr="005F68D7">
        <w:rPr>
          <w:rFonts w:ascii="Palatino Linotype" w:hAnsi="Palatino Linotype"/>
          <w:sz w:val="24"/>
          <w:szCs w:val="24"/>
        </w:rPr>
        <w:t>.</w:t>
      </w:r>
      <w:r w:rsidRPr="005F68D7" w:rsidR="00E2232B">
        <w:rPr>
          <w:rFonts w:ascii="Palatino Linotype" w:hAnsi="Palatino Linotype"/>
          <w:sz w:val="24"/>
          <w:szCs w:val="24"/>
        </w:rPr>
        <w:t xml:space="preserve"> Several of the elements, such as target population, public interest impacts, and details about actual customers served, are aligned with the market support and equity indicators</w:t>
      </w:r>
      <w:r w:rsidRPr="005F68D7" w:rsidR="00D51CA7">
        <w:rPr>
          <w:rFonts w:ascii="Palatino Linotype" w:hAnsi="Palatino Linotype"/>
          <w:sz w:val="24"/>
          <w:szCs w:val="24"/>
        </w:rPr>
        <w:t xml:space="preserve"> and </w:t>
      </w:r>
      <w:r w:rsidRPr="005F68D7" w:rsidR="00E2232B">
        <w:rPr>
          <w:rFonts w:ascii="Palatino Linotype" w:hAnsi="Palatino Linotype"/>
          <w:sz w:val="24"/>
          <w:szCs w:val="24"/>
        </w:rPr>
        <w:t>metrics</w:t>
      </w:r>
      <w:r w:rsidRPr="005F68D7" w:rsidR="00D51CA7">
        <w:rPr>
          <w:rFonts w:ascii="Palatino Linotype" w:hAnsi="Palatino Linotype"/>
          <w:sz w:val="24"/>
          <w:szCs w:val="24"/>
        </w:rPr>
        <w:t xml:space="preserve"> </w:t>
      </w:r>
      <w:r w:rsidRPr="005F68D7" w:rsidR="00E1392A">
        <w:rPr>
          <w:rFonts w:ascii="Palatino Linotype" w:hAnsi="Palatino Linotype"/>
          <w:sz w:val="24"/>
          <w:szCs w:val="24"/>
        </w:rPr>
        <w:t xml:space="preserve">addressed in </w:t>
      </w:r>
      <w:r w:rsidRPr="005F68D7" w:rsidDel="001E723C" w:rsidR="00E1392A">
        <w:rPr>
          <w:rFonts w:ascii="Palatino Linotype" w:hAnsi="Palatino Linotype"/>
          <w:sz w:val="24"/>
          <w:szCs w:val="24"/>
        </w:rPr>
        <w:t>Advice Letter 4438-E/3299-G et al</w:t>
      </w:r>
      <w:r w:rsidRPr="005F68D7" w:rsidR="00E2232B">
        <w:rPr>
          <w:rFonts w:ascii="Palatino Linotype" w:hAnsi="Palatino Linotype"/>
          <w:sz w:val="24"/>
          <w:szCs w:val="24"/>
        </w:rPr>
        <w:t>.</w:t>
      </w:r>
      <w:r w:rsidRPr="005F68D7" w:rsidR="009963D4">
        <w:rPr>
          <w:rFonts w:ascii="Palatino Linotype" w:hAnsi="Palatino Linotype"/>
          <w:sz w:val="24"/>
          <w:szCs w:val="24"/>
        </w:rPr>
        <w:t xml:space="preserve"> </w:t>
      </w:r>
    </w:p>
    <w:p w:rsidRPr="005F68D7" w:rsidR="00BF7E19" w:rsidP="005E6FB5" w:rsidRDefault="00623F25" w14:paraId="066C789D" w14:textId="353B6739">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The Equity and Market Support Working Group </w:t>
      </w:r>
      <w:r w:rsidRPr="005F68D7" w:rsidR="002606AB">
        <w:rPr>
          <w:rFonts w:ascii="Palatino Linotype" w:hAnsi="Palatino Linotype"/>
          <w:sz w:val="24"/>
          <w:szCs w:val="24"/>
        </w:rPr>
        <w:t xml:space="preserve">(EMSWG) </w:t>
      </w:r>
      <w:r w:rsidRPr="005F68D7">
        <w:rPr>
          <w:rFonts w:ascii="Palatino Linotype" w:hAnsi="Palatino Linotype"/>
          <w:sz w:val="24"/>
          <w:szCs w:val="24"/>
        </w:rPr>
        <w:t>report contained in the Joint PAs’ advice letter proposed four purposes for the indicators</w:t>
      </w:r>
      <w:r w:rsidRPr="005F68D7" w:rsidR="44BCEAD5">
        <w:rPr>
          <w:rFonts w:ascii="Palatino Linotype" w:hAnsi="Palatino Linotype"/>
          <w:sz w:val="24"/>
          <w:szCs w:val="24"/>
        </w:rPr>
        <w:t xml:space="preserve"> </w:t>
      </w:r>
      <w:r w:rsidRPr="005F68D7" w:rsidR="22C68D10">
        <w:rPr>
          <w:rFonts w:ascii="Palatino Linotype" w:hAnsi="Palatino Linotype" w:cs="Arial"/>
          <w:sz w:val="24"/>
          <w:szCs w:val="24"/>
        </w:rPr>
        <w:t>focusing just on the Equity and Market Support indicators</w:t>
      </w:r>
      <w:r w:rsidRPr="005F68D7" w:rsidR="24E31DA0">
        <w:rPr>
          <w:rFonts w:ascii="Palatino Linotype" w:hAnsi="Palatino Linotype" w:cs="Arial"/>
          <w:sz w:val="24"/>
          <w:szCs w:val="24"/>
        </w:rPr>
        <w:t>.</w:t>
      </w:r>
      <w:r w:rsidRPr="005F68D7" w:rsidR="22C68D10">
        <w:rPr>
          <w:rFonts w:ascii="Palatino Linotype" w:hAnsi="Palatino Linotype" w:cs="Arial"/>
          <w:sz w:val="24"/>
          <w:szCs w:val="24"/>
        </w:rPr>
        <w:t xml:space="preserve"> </w:t>
      </w:r>
      <w:r w:rsidRPr="005F68D7" w:rsidR="1F6CF9B7">
        <w:rPr>
          <w:rFonts w:ascii="Palatino Linotype" w:hAnsi="Palatino Linotype"/>
          <w:sz w:val="24"/>
          <w:szCs w:val="24"/>
        </w:rPr>
        <w:t xml:space="preserve">It is </w:t>
      </w:r>
      <w:r w:rsidRPr="005F68D7" w:rsidR="030D83E4">
        <w:rPr>
          <w:rFonts w:ascii="Palatino Linotype" w:hAnsi="Palatino Linotype"/>
          <w:sz w:val="24"/>
          <w:szCs w:val="24"/>
        </w:rPr>
        <w:t>reasonable</w:t>
      </w:r>
      <w:r w:rsidRPr="005F68D7" w:rsidR="1F6CF9B7">
        <w:rPr>
          <w:rFonts w:ascii="Palatino Linotype" w:hAnsi="Palatino Linotype"/>
          <w:sz w:val="24"/>
          <w:szCs w:val="24"/>
        </w:rPr>
        <w:t xml:space="preserve"> to apply these purposes to the entire </w:t>
      </w:r>
      <w:r w:rsidRPr="005F68D7" w:rsidR="3E1E2F2B">
        <w:rPr>
          <w:rFonts w:ascii="Palatino Linotype" w:hAnsi="Palatino Linotype"/>
          <w:sz w:val="24"/>
          <w:szCs w:val="24"/>
        </w:rPr>
        <w:t>energy efficiency portfolio</w:t>
      </w:r>
      <w:r w:rsidRPr="005F68D7" w:rsidR="25752E5F">
        <w:rPr>
          <w:rFonts w:ascii="Palatino Linotype" w:hAnsi="Palatino Linotype"/>
          <w:sz w:val="24"/>
          <w:szCs w:val="24"/>
        </w:rPr>
        <w:t>, and to use these indicators to communicate energy efficiency performance to all interested parties</w:t>
      </w:r>
      <w:r w:rsidRPr="005F68D7" w:rsidR="3E1E2F2B">
        <w:rPr>
          <w:rFonts w:ascii="Palatino Linotype" w:hAnsi="Palatino Linotype"/>
          <w:sz w:val="24"/>
          <w:szCs w:val="24"/>
        </w:rPr>
        <w:t>.</w:t>
      </w:r>
    </w:p>
    <w:p w:rsidRPr="005F68D7" w:rsidR="00786EB5" w:rsidP="005E6FB5" w:rsidRDefault="00786EB5" w14:paraId="6EEF37F6" w14:textId="55DC63B2">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The</w:t>
      </w:r>
      <w:r w:rsidRPr="005F68D7" w:rsidR="004320FE">
        <w:rPr>
          <w:rFonts w:ascii="Palatino Linotype" w:hAnsi="Palatino Linotype"/>
          <w:sz w:val="24"/>
          <w:szCs w:val="24"/>
        </w:rPr>
        <w:t xml:space="preserve"> EM</w:t>
      </w:r>
      <w:r w:rsidRPr="005F68D7" w:rsidR="00C16588">
        <w:rPr>
          <w:rFonts w:ascii="Palatino Linotype" w:hAnsi="Palatino Linotype"/>
          <w:sz w:val="24"/>
          <w:szCs w:val="24"/>
        </w:rPr>
        <w:t>SWG report</w:t>
      </w:r>
      <w:r w:rsidRPr="005F68D7" w:rsidR="000D0EF8">
        <w:rPr>
          <w:rFonts w:ascii="Palatino Linotype" w:hAnsi="Palatino Linotype"/>
          <w:sz w:val="24"/>
          <w:szCs w:val="24"/>
        </w:rPr>
        <w:t xml:space="preserve"> </w:t>
      </w:r>
      <w:r w:rsidRPr="005F68D7" w:rsidR="0009702E">
        <w:rPr>
          <w:rFonts w:ascii="Palatino Linotype" w:hAnsi="Palatino Linotype"/>
          <w:sz w:val="24"/>
          <w:szCs w:val="24"/>
        </w:rPr>
        <w:t>defined Equity Participants</w:t>
      </w:r>
      <w:r w:rsidRPr="005F68D7" w:rsidR="005D2454">
        <w:rPr>
          <w:rFonts w:ascii="Palatino Linotype" w:hAnsi="Palatino Linotype"/>
          <w:sz w:val="24"/>
          <w:szCs w:val="24"/>
        </w:rPr>
        <w:t xml:space="preserve"> and suggests </w:t>
      </w:r>
      <w:r w:rsidRPr="005F68D7" w:rsidR="009E5AED">
        <w:rPr>
          <w:rFonts w:ascii="Palatino Linotype" w:hAnsi="Palatino Linotype"/>
          <w:sz w:val="24"/>
          <w:szCs w:val="24"/>
        </w:rPr>
        <w:t>that PAs collect participant information using program data and include details of how participants were counted.</w:t>
      </w:r>
    </w:p>
    <w:p w:rsidRPr="005F68D7" w:rsidR="001910EB" w:rsidP="005E6FB5" w:rsidRDefault="00C10F31" w14:paraId="72B2C278" w14:textId="43EFD05A">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The unit to be counted as a participant varies across and within sectors. </w:t>
      </w:r>
      <w:r w:rsidRPr="005F68D7" w:rsidR="00916B8D">
        <w:rPr>
          <w:rFonts w:ascii="Palatino Linotype" w:hAnsi="Palatino Linotype"/>
          <w:sz w:val="24"/>
          <w:szCs w:val="24"/>
        </w:rPr>
        <w:t xml:space="preserve">It is reasonable to ask the PAs to collect and report data such that it can be easily compared to existing data sets that allow inferences about penetration of energy efficiency into different markets and audiences.  </w:t>
      </w:r>
    </w:p>
    <w:p w:rsidRPr="005F68D7" w:rsidR="00EA787C" w:rsidP="005E6FB5" w:rsidRDefault="75B8D793" w14:paraId="2FBE8418" w14:textId="1706C2F7">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For programs that are not tracked via the claims process, </w:t>
      </w:r>
      <w:r w:rsidRPr="005F68D7" w:rsidR="004B148A">
        <w:rPr>
          <w:rFonts w:ascii="Palatino Linotype" w:hAnsi="Palatino Linotype"/>
          <w:sz w:val="24"/>
          <w:szCs w:val="24"/>
        </w:rPr>
        <w:t xml:space="preserve">PAs </w:t>
      </w:r>
      <w:r w:rsidRPr="005F68D7" w:rsidR="003854A8">
        <w:rPr>
          <w:rFonts w:ascii="Palatino Linotype" w:hAnsi="Palatino Linotype"/>
          <w:sz w:val="24"/>
          <w:szCs w:val="24"/>
        </w:rPr>
        <w:t xml:space="preserve">report </w:t>
      </w:r>
      <w:r w:rsidRPr="005F68D7" w:rsidR="00A328A5">
        <w:rPr>
          <w:rFonts w:ascii="Palatino Linotype" w:hAnsi="Palatino Linotype"/>
          <w:sz w:val="24"/>
          <w:szCs w:val="24"/>
        </w:rPr>
        <w:t>participation</w:t>
      </w:r>
      <w:r w:rsidRPr="005F68D7" w:rsidR="00303A3F">
        <w:rPr>
          <w:rFonts w:ascii="Palatino Linotype" w:hAnsi="Palatino Linotype"/>
          <w:sz w:val="24"/>
          <w:szCs w:val="24"/>
        </w:rPr>
        <w:t xml:space="preserve"> </w:t>
      </w:r>
      <w:r w:rsidRPr="005F68D7" w:rsidR="00DE217E">
        <w:rPr>
          <w:rFonts w:ascii="Palatino Linotype" w:hAnsi="Palatino Linotype"/>
          <w:sz w:val="24"/>
          <w:szCs w:val="24"/>
        </w:rPr>
        <w:t xml:space="preserve">and </w:t>
      </w:r>
      <w:r w:rsidRPr="005F68D7" w:rsidR="00922EA7">
        <w:rPr>
          <w:rFonts w:ascii="Palatino Linotype" w:hAnsi="Palatino Linotype"/>
          <w:sz w:val="24"/>
          <w:szCs w:val="24"/>
        </w:rPr>
        <w:t xml:space="preserve">benefits </w:t>
      </w:r>
      <w:r w:rsidRPr="005F68D7" w:rsidR="005757DD">
        <w:rPr>
          <w:rFonts w:ascii="Palatino Linotype" w:hAnsi="Palatino Linotype"/>
          <w:sz w:val="24"/>
          <w:szCs w:val="24"/>
        </w:rPr>
        <w:t xml:space="preserve">using </w:t>
      </w:r>
      <w:r w:rsidRPr="005F68D7" w:rsidR="00AC5048">
        <w:rPr>
          <w:rFonts w:ascii="Palatino Linotype" w:hAnsi="Palatino Linotype"/>
          <w:sz w:val="24"/>
          <w:szCs w:val="24"/>
        </w:rPr>
        <w:t xml:space="preserve">metrics and </w:t>
      </w:r>
      <w:r w:rsidRPr="005F68D7" w:rsidR="004475BD">
        <w:rPr>
          <w:rFonts w:ascii="Palatino Linotype" w:hAnsi="Palatino Linotype"/>
          <w:sz w:val="24"/>
          <w:szCs w:val="24"/>
        </w:rPr>
        <w:t>indicators</w:t>
      </w:r>
      <w:r w:rsidRPr="005F68D7" w:rsidR="00AC5048">
        <w:rPr>
          <w:rFonts w:ascii="Palatino Linotype" w:hAnsi="Palatino Linotype"/>
          <w:sz w:val="24"/>
          <w:szCs w:val="24"/>
        </w:rPr>
        <w:t xml:space="preserve"> </w:t>
      </w:r>
      <w:r w:rsidRPr="005F68D7" w:rsidR="41816DFF">
        <w:rPr>
          <w:rFonts w:ascii="Palatino Linotype" w:hAnsi="Palatino Linotype"/>
          <w:sz w:val="24"/>
          <w:szCs w:val="24"/>
        </w:rPr>
        <w:t xml:space="preserve">that are </w:t>
      </w:r>
      <w:r w:rsidRPr="005F68D7" w:rsidR="00AC5048">
        <w:rPr>
          <w:rFonts w:ascii="Palatino Linotype" w:hAnsi="Palatino Linotype"/>
          <w:sz w:val="24"/>
          <w:szCs w:val="24"/>
        </w:rPr>
        <w:t>already adopted</w:t>
      </w:r>
      <w:r w:rsidRPr="005F68D7" w:rsidR="004475BD">
        <w:rPr>
          <w:rFonts w:ascii="Palatino Linotype" w:hAnsi="Palatino Linotype"/>
          <w:sz w:val="24"/>
          <w:szCs w:val="24"/>
        </w:rPr>
        <w:t xml:space="preserve">. </w:t>
      </w:r>
    </w:p>
    <w:p w:rsidRPr="005F68D7" w:rsidR="00D62E30" w:rsidP="005E6FB5" w:rsidRDefault="001618B3" w14:paraId="0D116E80" w14:textId="30DA28C7">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For residential programs that are tracked via the claims process, </w:t>
      </w:r>
      <w:r w:rsidRPr="005F68D7" w:rsidR="4E9C6376">
        <w:rPr>
          <w:rFonts w:ascii="Palatino Linotype" w:hAnsi="Palatino Linotype"/>
          <w:sz w:val="24"/>
          <w:szCs w:val="24"/>
        </w:rPr>
        <w:t xml:space="preserve">it is reasonable to require </w:t>
      </w:r>
      <w:r w:rsidRPr="005F68D7" w:rsidR="008C44B4">
        <w:rPr>
          <w:rFonts w:ascii="Palatino Linotype" w:hAnsi="Palatino Linotype"/>
          <w:sz w:val="24"/>
          <w:szCs w:val="24"/>
        </w:rPr>
        <w:t xml:space="preserve">unique premise accounts and </w:t>
      </w:r>
      <w:r w:rsidRPr="005F68D7" w:rsidR="00EE6BB9">
        <w:rPr>
          <w:rFonts w:ascii="Palatino Linotype" w:hAnsi="Palatino Linotype"/>
          <w:sz w:val="24"/>
          <w:szCs w:val="24"/>
        </w:rPr>
        <w:t>unique resid</w:t>
      </w:r>
      <w:r w:rsidRPr="005F68D7" w:rsidR="000B1911">
        <w:rPr>
          <w:rFonts w:ascii="Palatino Linotype" w:hAnsi="Palatino Linotype"/>
          <w:sz w:val="24"/>
          <w:szCs w:val="24"/>
        </w:rPr>
        <w:t xml:space="preserve">ential </w:t>
      </w:r>
      <w:r w:rsidRPr="005F68D7" w:rsidR="00217037">
        <w:rPr>
          <w:rFonts w:ascii="Palatino Linotype" w:hAnsi="Palatino Linotype"/>
          <w:sz w:val="24"/>
          <w:szCs w:val="24"/>
        </w:rPr>
        <w:t xml:space="preserve">population </w:t>
      </w:r>
      <w:r w:rsidRPr="005F68D7" w:rsidR="008E17D5">
        <w:rPr>
          <w:rFonts w:ascii="Palatino Linotype" w:hAnsi="Palatino Linotype"/>
          <w:sz w:val="24"/>
          <w:szCs w:val="24"/>
        </w:rPr>
        <w:t xml:space="preserve">to </w:t>
      </w:r>
      <w:r w:rsidRPr="005F68D7" w:rsidR="00EA787C">
        <w:rPr>
          <w:rFonts w:ascii="Palatino Linotype" w:hAnsi="Palatino Linotype"/>
          <w:sz w:val="24"/>
          <w:szCs w:val="24"/>
        </w:rPr>
        <w:t xml:space="preserve">report </w:t>
      </w:r>
      <w:r w:rsidRPr="005F68D7" w:rsidR="001F542B">
        <w:rPr>
          <w:rFonts w:ascii="Palatino Linotype" w:hAnsi="Palatino Linotype"/>
          <w:sz w:val="24"/>
          <w:szCs w:val="24"/>
        </w:rPr>
        <w:t>participati</w:t>
      </w:r>
      <w:r w:rsidRPr="005F68D7" w:rsidR="00B24128">
        <w:rPr>
          <w:rFonts w:ascii="Palatino Linotype" w:hAnsi="Palatino Linotype"/>
          <w:sz w:val="24"/>
          <w:szCs w:val="24"/>
        </w:rPr>
        <w:t>on</w:t>
      </w:r>
      <w:r w:rsidRPr="005F68D7" w:rsidR="008504A7">
        <w:rPr>
          <w:rFonts w:ascii="Palatino Linotype" w:hAnsi="Palatino Linotype"/>
          <w:sz w:val="24"/>
          <w:szCs w:val="24"/>
        </w:rPr>
        <w:t xml:space="preserve">. </w:t>
      </w:r>
      <w:r w:rsidRPr="005F68D7" w:rsidR="00D62E30">
        <w:rPr>
          <w:rFonts w:ascii="Palatino Linotype" w:hAnsi="Palatino Linotype"/>
          <w:sz w:val="24"/>
          <w:szCs w:val="24"/>
        </w:rPr>
        <w:t xml:space="preserve">Guidance </w:t>
      </w:r>
      <w:r w:rsidRPr="005F68D7" w:rsidR="0078436C">
        <w:rPr>
          <w:rFonts w:ascii="Palatino Linotype" w:hAnsi="Palatino Linotype"/>
          <w:sz w:val="24"/>
          <w:szCs w:val="24"/>
        </w:rPr>
        <w:t xml:space="preserve">for counting </w:t>
      </w:r>
      <w:r w:rsidRPr="005F68D7" w:rsidR="00B24128">
        <w:rPr>
          <w:rFonts w:ascii="Palatino Linotype" w:hAnsi="Palatino Linotype"/>
          <w:sz w:val="24"/>
          <w:szCs w:val="24"/>
        </w:rPr>
        <w:t xml:space="preserve">residential </w:t>
      </w:r>
      <w:r w:rsidRPr="005F68D7" w:rsidR="0078436C">
        <w:rPr>
          <w:rFonts w:ascii="Palatino Linotype" w:hAnsi="Palatino Linotype"/>
          <w:sz w:val="24"/>
          <w:szCs w:val="24"/>
        </w:rPr>
        <w:t>participants and population m</w:t>
      </w:r>
      <w:r w:rsidRPr="005F68D7" w:rsidR="001A05E4">
        <w:rPr>
          <w:rFonts w:ascii="Palatino Linotype" w:hAnsi="Palatino Linotype"/>
          <w:sz w:val="24"/>
          <w:szCs w:val="24"/>
        </w:rPr>
        <w:t xml:space="preserve">ay </w:t>
      </w:r>
      <w:r w:rsidRPr="005F68D7" w:rsidR="001A05E4">
        <w:rPr>
          <w:rFonts w:ascii="Palatino Linotype" w:hAnsi="Palatino Linotype"/>
          <w:sz w:val="24"/>
          <w:szCs w:val="24"/>
        </w:rPr>
        <w:lastRenderedPageBreak/>
        <w:t xml:space="preserve">be updated </w:t>
      </w:r>
      <w:r w:rsidRPr="005F68D7" w:rsidR="00060982">
        <w:rPr>
          <w:rFonts w:ascii="Palatino Linotype" w:hAnsi="Palatino Linotype"/>
          <w:sz w:val="24"/>
          <w:szCs w:val="24"/>
        </w:rPr>
        <w:t xml:space="preserve">in the future </w:t>
      </w:r>
      <w:r w:rsidRPr="005F68D7" w:rsidR="00190111">
        <w:rPr>
          <w:rFonts w:ascii="Palatino Linotype" w:hAnsi="Palatino Linotype"/>
          <w:sz w:val="24"/>
          <w:szCs w:val="24"/>
        </w:rPr>
        <w:t xml:space="preserve">after </w:t>
      </w:r>
      <w:r w:rsidRPr="005F68D7" w:rsidR="00C22F19">
        <w:rPr>
          <w:rFonts w:ascii="Palatino Linotype" w:hAnsi="Palatino Linotype"/>
          <w:sz w:val="24"/>
          <w:szCs w:val="24"/>
        </w:rPr>
        <w:t xml:space="preserve">Energy Division staff </w:t>
      </w:r>
      <w:r w:rsidRPr="005F68D7" w:rsidR="00060982">
        <w:rPr>
          <w:rFonts w:ascii="Palatino Linotype" w:hAnsi="Palatino Linotype"/>
          <w:sz w:val="24"/>
          <w:szCs w:val="24"/>
        </w:rPr>
        <w:t>consult with the PAs.</w:t>
      </w:r>
      <w:r w:rsidRPr="005F68D7" w:rsidR="00492096">
        <w:rPr>
          <w:rFonts w:ascii="Palatino Linotype" w:hAnsi="Palatino Linotype"/>
          <w:sz w:val="24"/>
          <w:szCs w:val="24"/>
        </w:rPr>
        <w:t xml:space="preserve"> </w:t>
      </w:r>
      <w:r w:rsidRPr="005F68D7" w:rsidR="00F56575">
        <w:rPr>
          <w:rFonts w:ascii="Palatino Linotype" w:hAnsi="Palatino Linotype"/>
          <w:sz w:val="24"/>
          <w:szCs w:val="24"/>
        </w:rPr>
        <w:t xml:space="preserve">For </w:t>
      </w:r>
      <w:r w:rsidRPr="005F68D7" w:rsidR="00E874D6">
        <w:rPr>
          <w:rFonts w:ascii="Palatino Linotype" w:hAnsi="Palatino Linotype"/>
          <w:sz w:val="24"/>
          <w:szCs w:val="24"/>
        </w:rPr>
        <w:t xml:space="preserve">multifamily and </w:t>
      </w:r>
      <w:r w:rsidRPr="005F68D7" w:rsidR="00F56575">
        <w:rPr>
          <w:rFonts w:ascii="Palatino Linotype" w:hAnsi="Palatino Linotype"/>
          <w:sz w:val="24"/>
          <w:szCs w:val="24"/>
        </w:rPr>
        <w:t xml:space="preserve">non-residential </w:t>
      </w:r>
      <w:r w:rsidRPr="005F68D7" w:rsidR="00944BEE">
        <w:rPr>
          <w:rFonts w:ascii="Palatino Linotype" w:hAnsi="Palatino Linotype"/>
          <w:sz w:val="24"/>
          <w:szCs w:val="24"/>
        </w:rPr>
        <w:t xml:space="preserve">participation, the </w:t>
      </w:r>
      <w:r w:rsidRPr="005F68D7" w:rsidR="00E874D6">
        <w:rPr>
          <w:rFonts w:ascii="Palatino Linotype" w:hAnsi="Palatino Linotype"/>
          <w:sz w:val="24"/>
          <w:szCs w:val="24"/>
        </w:rPr>
        <w:t>E</w:t>
      </w:r>
      <w:r w:rsidRPr="005F68D7" w:rsidR="00190ADB">
        <w:rPr>
          <w:rFonts w:ascii="Palatino Linotype" w:hAnsi="Palatino Linotype"/>
          <w:sz w:val="24"/>
          <w:szCs w:val="24"/>
        </w:rPr>
        <w:t>nergy Division may hold workshops that include participation as a</w:t>
      </w:r>
      <w:r w:rsidRPr="005F68D7" w:rsidR="35F5D17C">
        <w:rPr>
          <w:rFonts w:ascii="Palatino Linotype" w:hAnsi="Palatino Linotype"/>
          <w:sz w:val="24"/>
          <w:szCs w:val="24"/>
        </w:rPr>
        <w:t>n</w:t>
      </w:r>
      <w:r w:rsidRPr="005F68D7" w:rsidR="00190ADB">
        <w:rPr>
          <w:rFonts w:ascii="Palatino Linotype" w:hAnsi="Palatino Linotype"/>
          <w:sz w:val="24"/>
          <w:szCs w:val="24"/>
        </w:rPr>
        <w:t xml:space="preserve"> agenda topic.</w:t>
      </w:r>
    </w:p>
    <w:p w:rsidRPr="005F68D7" w:rsidR="00D91FC2" w:rsidP="00F84B14" w:rsidRDefault="62495AC6" w14:paraId="7A48084E" w14:textId="5918825E">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It is reasonable for </w:t>
      </w:r>
      <w:r w:rsidRPr="005F68D7" w:rsidR="000F3D1D">
        <w:rPr>
          <w:rFonts w:ascii="Palatino Linotype" w:hAnsi="Palatino Linotype"/>
          <w:sz w:val="24"/>
          <w:szCs w:val="24"/>
        </w:rPr>
        <w:t>t</w:t>
      </w:r>
      <w:r w:rsidRPr="005F68D7" w:rsidR="00D91FC2">
        <w:rPr>
          <w:rFonts w:ascii="Palatino Linotype" w:hAnsi="Palatino Linotype"/>
          <w:sz w:val="24"/>
          <w:szCs w:val="24"/>
        </w:rPr>
        <w:t>he denom</w:t>
      </w:r>
      <w:r w:rsidRPr="005F68D7" w:rsidR="00BD55C6">
        <w:rPr>
          <w:rFonts w:ascii="Palatino Linotype" w:hAnsi="Palatino Linotype"/>
          <w:sz w:val="24"/>
          <w:szCs w:val="24"/>
        </w:rPr>
        <w:t xml:space="preserve">inator </w:t>
      </w:r>
      <w:r w:rsidRPr="005F68D7" w:rsidR="00AD07A2">
        <w:rPr>
          <w:rFonts w:ascii="Palatino Linotype" w:hAnsi="Palatino Linotype"/>
          <w:sz w:val="24"/>
          <w:szCs w:val="24"/>
        </w:rPr>
        <w:t xml:space="preserve">for the total number of participants </w:t>
      </w:r>
      <w:r w:rsidRPr="005F68D7" w:rsidR="3F70D526">
        <w:rPr>
          <w:rFonts w:ascii="Palatino Linotype" w:hAnsi="Palatino Linotype"/>
          <w:sz w:val="24"/>
          <w:szCs w:val="24"/>
        </w:rPr>
        <w:t xml:space="preserve">to </w:t>
      </w:r>
      <w:r w:rsidRPr="005F68D7" w:rsidR="003D184A">
        <w:rPr>
          <w:rFonts w:ascii="Palatino Linotype" w:hAnsi="Palatino Linotype"/>
          <w:sz w:val="24"/>
          <w:szCs w:val="24"/>
        </w:rPr>
        <w:t xml:space="preserve">be at the </w:t>
      </w:r>
      <w:r w:rsidRPr="005F68D7" w:rsidR="005A31A7">
        <w:rPr>
          <w:rFonts w:ascii="Palatino Linotype" w:hAnsi="Palatino Linotype"/>
          <w:sz w:val="24"/>
          <w:szCs w:val="24"/>
        </w:rPr>
        <w:t>building type</w:t>
      </w:r>
      <w:r w:rsidRPr="005F68D7" w:rsidR="003D184A">
        <w:rPr>
          <w:rFonts w:ascii="Palatino Linotype" w:hAnsi="Palatino Linotype"/>
          <w:sz w:val="24"/>
          <w:szCs w:val="24"/>
        </w:rPr>
        <w:t xml:space="preserve"> level</w:t>
      </w:r>
      <w:r w:rsidRPr="005F68D7" w:rsidR="63B00358">
        <w:rPr>
          <w:rFonts w:ascii="Palatino Linotype" w:hAnsi="Palatino Linotype"/>
          <w:sz w:val="24"/>
          <w:szCs w:val="24"/>
        </w:rPr>
        <w:t xml:space="preserve"> in reporting for hard-to-reach and disadvantaged community participation</w:t>
      </w:r>
      <w:r w:rsidRPr="005F68D7" w:rsidDel="00305BDB" w:rsidR="00CF2EAB">
        <w:rPr>
          <w:rFonts w:ascii="Palatino Linotype" w:hAnsi="Palatino Linotype"/>
          <w:sz w:val="24"/>
          <w:szCs w:val="24"/>
        </w:rPr>
        <w:t>.</w:t>
      </w:r>
    </w:p>
    <w:p w:rsidRPr="005F68D7" w:rsidR="001910EB" w:rsidP="00F84B14" w:rsidRDefault="002E1B1F" w14:paraId="3131465E" w14:textId="557BB1C3">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S</w:t>
      </w:r>
      <w:r w:rsidRPr="005F68D7" w:rsidR="7D91EA12">
        <w:rPr>
          <w:rFonts w:ascii="Palatino Linotype" w:hAnsi="Palatino Linotype"/>
          <w:sz w:val="24"/>
          <w:szCs w:val="24"/>
        </w:rPr>
        <w:t>ome s</w:t>
      </w:r>
      <w:r w:rsidRPr="005F68D7">
        <w:rPr>
          <w:rFonts w:ascii="Palatino Linotype" w:hAnsi="Palatino Linotype"/>
          <w:sz w:val="24"/>
          <w:szCs w:val="24"/>
        </w:rPr>
        <w:t>aving values for quanti</w:t>
      </w:r>
      <w:r w:rsidRPr="005F68D7" w:rsidR="001755B4">
        <w:rPr>
          <w:rFonts w:ascii="Palatino Linotype" w:hAnsi="Palatino Linotype"/>
          <w:sz w:val="24"/>
          <w:szCs w:val="24"/>
        </w:rPr>
        <w:t>fying benefits</w:t>
      </w:r>
      <w:r w:rsidRPr="005F68D7" w:rsidR="009B229A">
        <w:rPr>
          <w:rFonts w:ascii="Palatino Linotype" w:hAnsi="Palatino Linotype"/>
          <w:sz w:val="24"/>
          <w:szCs w:val="24"/>
        </w:rPr>
        <w:t xml:space="preserve"> </w:t>
      </w:r>
      <w:r w:rsidRPr="005F68D7" w:rsidR="004B4614">
        <w:rPr>
          <w:rFonts w:ascii="Palatino Linotype" w:hAnsi="Palatino Linotype"/>
          <w:sz w:val="24"/>
          <w:szCs w:val="24"/>
        </w:rPr>
        <w:t xml:space="preserve">are </w:t>
      </w:r>
      <w:r w:rsidRPr="005F68D7" w:rsidR="006461DD">
        <w:rPr>
          <w:rFonts w:ascii="Palatino Linotype" w:hAnsi="Palatino Linotype"/>
          <w:sz w:val="24"/>
          <w:szCs w:val="24"/>
        </w:rPr>
        <w:t xml:space="preserve">already </w:t>
      </w:r>
      <w:r w:rsidRPr="005F68D7" w:rsidR="004B4614">
        <w:rPr>
          <w:rFonts w:ascii="Palatino Linotype" w:hAnsi="Palatino Linotype"/>
          <w:sz w:val="24"/>
          <w:szCs w:val="24"/>
        </w:rPr>
        <w:t xml:space="preserve">reported </w:t>
      </w:r>
      <w:r w:rsidRPr="005F68D7" w:rsidR="00135B0C">
        <w:rPr>
          <w:rFonts w:ascii="Palatino Linotype" w:hAnsi="Palatino Linotype"/>
          <w:sz w:val="24"/>
          <w:szCs w:val="24"/>
        </w:rPr>
        <w:t>in CEDARS</w:t>
      </w:r>
      <w:r w:rsidRPr="005F68D7" w:rsidR="006461DD">
        <w:rPr>
          <w:rFonts w:ascii="Palatino Linotype" w:hAnsi="Palatino Linotype"/>
          <w:sz w:val="24"/>
          <w:szCs w:val="24"/>
        </w:rPr>
        <w:t>.</w:t>
      </w:r>
    </w:p>
    <w:p w:rsidRPr="005F68D7" w:rsidR="003B1CCB" w:rsidP="00F84B14" w:rsidRDefault="003B6BD5" w14:paraId="783D9867" w14:textId="4A0CF281">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AB 3264 </w:t>
      </w:r>
      <w:r w:rsidRPr="005F68D7" w:rsidR="006E2FCF">
        <w:rPr>
          <w:rFonts w:ascii="Palatino Linotype" w:hAnsi="Palatino Linotype"/>
          <w:sz w:val="24"/>
          <w:szCs w:val="24"/>
        </w:rPr>
        <w:t xml:space="preserve">requests the </w:t>
      </w:r>
      <w:r w:rsidRPr="005F68D7" w:rsidR="004D27C4">
        <w:rPr>
          <w:rFonts w:ascii="Palatino Linotype" w:hAnsi="Palatino Linotype"/>
          <w:sz w:val="24"/>
          <w:szCs w:val="24"/>
        </w:rPr>
        <w:t>Commission</w:t>
      </w:r>
      <w:r w:rsidRPr="005F68D7" w:rsidR="006E2FCF">
        <w:rPr>
          <w:rFonts w:ascii="Palatino Linotype" w:hAnsi="Palatino Linotype"/>
          <w:sz w:val="24"/>
          <w:szCs w:val="24"/>
        </w:rPr>
        <w:t xml:space="preserve"> to report on </w:t>
      </w:r>
      <w:r w:rsidRPr="005F68D7" w:rsidR="00A60DFA">
        <w:rPr>
          <w:rFonts w:ascii="Palatino Linotype" w:hAnsi="Palatino Linotype"/>
          <w:sz w:val="24"/>
          <w:szCs w:val="24"/>
        </w:rPr>
        <w:t xml:space="preserve">bill savings </w:t>
      </w:r>
      <w:r w:rsidRPr="005F68D7" w:rsidR="00EF58A6">
        <w:rPr>
          <w:rFonts w:ascii="Palatino Linotype" w:hAnsi="Palatino Linotype"/>
          <w:sz w:val="24"/>
          <w:szCs w:val="24"/>
        </w:rPr>
        <w:t>for</w:t>
      </w:r>
      <w:r w:rsidRPr="005F68D7" w:rsidR="00D06AB2">
        <w:rPr>
          <w:rFonts w:ascii="Palatino Linotype" w:hAnsi="Palatino Linotype"/>
          <w:sz w:val="24"/>
          <w:szCs w:val="24"/>
        </w:rPr>
        <w:t xml:space="preserve"> average</w:t>
      </w:r>
      <w:r w:rsidRPr="005F68D7" w:rsidR="00EF58A6">
        <w:rPr>
          <w:rFonts w:ascii="Palatino Linotype" w:hAnsi="Palatino Linotype"/>
          <w:sz w:val="24"/>
          <w:szCs w:val="24"/>
        </w:rPr>
        <w:t xml:space="preserve"> </w:t>
      </w:r>
      <w:r w:rsidRPr="005F68D7" w:rsidR="00375601">
        <w:rPr>
          <w:rFonts w:ascii="Palatino Linotype" w:hAnsi="Palatino Linotype"/>
          <w:sz w:val="24"/>
          <w:szCs w:val="24"/>
        </w:rPr>
        <w:t xml:space="preserve">individual ratepayers </w:t>
      </w:r>
      <w:r w:rsidRPr="005F68D7" w:rsidR="005C07A3">
        <w:rPr>
          <w:rFonts w:ascii="Palatino Linotype" w:hAnsi="Palatino Linotype"/>
          <w:sz w:val="24"/>
          <w:szCs w:val="24"/>
        </w:rPr>
        <w:t>f</w:t>
      </w:r>
      <w:r w:rsidRPr="005F68D7" w:rsidR="007824BB">
        <w:rPr>
          <w:rFonts w:ascii="Palatino Linotype" w:hAnsi="Palatino Linotype"/>
          <w:sz w:val="24"/>
          <w:szCs w:val="24"/>
        </w:rPr>
        <w:t>or the entire portfolio</w:t>
      </w:r>
      <w:r w:rsidRPr="005F68D7" w:rsidR="00FA7565">
        <w:rPr>
          <w:rFonts w:ascii="Palatino Linotype" w:hAnsi="Palatino Linotype"/>
          <w:sz w:val="24"/>
          <w:szCs w:val="24"/>
        </w:rPr>
        <w:t>, not only for the equity segment</w:t>
      </w:r>
      <w:r w:rsidRPr="005F68D7" w:rsidR="00123B5B">
        <w:rPr>
          <w:rFonts w:ascii="Palatino Linotype" w:hAnsi="Palatino Linotype"/>
          <w:sz w:val="24"/>
          <w:szCs w:val="24"/>
        </w:rPr>
        <w:t xml:space="preserve"> programs.</w:t>
      </w:r>
      <w:r w:rsidRPr="005F68D7" w:rsidR="003E6A51">
        <w:rPr>
          <w:rFonts w:ascii="Palatino Linotype" w:hAnsi="Palatino Linotype"/>
          <w:sz w:val="24"/>
          <w:szCs w:val="24"/>
        </w:rPr>
        <w:t xml:space="preserve"> </w:t>
      </w:r>
    </w:p>
    <w:p w:rsidRPr="005F68D7" w:rsidR="00731562" w:rsidP="00F84B14" w:rsidRDefault="00E667D0" w14:paraId="720F3830" w14:textId="5A09B060">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The EMSWG Report recommends to not include nonclaimable savings in the calculation of equity indicators #2 and #5-9 at this time</w:t>
      </w:r>
      <w:r w:rsidRPr="005F68D7" w:rsidR="00725382">
        <w:rPr>
          <w:rFonts w:ascii="Palatino Linotype" w:hAnsi="Palatino Linotype"/>
          <w:sz w:val="24"/>
          <w:szCs w:val="24"/>
        </w:rPr>
        <w:t>.</w:t>
      </w:r>
    </w:p>
    <w:p w:rsidRPr="005F68D7" w:rsidR="00AC1F81" w:rsidP="00F84B14" w:rsidRDefault="006701B9" w14:paraId="39AB9369" w14:textId="77777777">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Calculating participation</w:t>
      </w:r>
      <w:r w:rsidRPr="005F68D7" w:rsidR="00713F1E">
        <w:rPr>
          <w:rFonts w:ascii="Palatino Linotype" w:hAnsi="Palatino Linotype"/>
          <w:sz w:val="24"/>
          <w:szCs w:val="24"/>
        </w:rPr>
        <w:t xml:space="preserve"> in statewide programs </w:t>
      </w:r>
      <w:r w:rsidRPr="005F68D7" w:rsidR="0054331A">
        <w:rPr>
          <w:rFonts w:ascii="Palatino Linotype" w:hAnsi="Palatino Linotype"/>
          <w:sz w:val="24"/>
          <w:szCs w:val="24"/>
        </w:rPr>
        <w:t>require</w:t>
      </w:r>
      <w:r w:rsidRPr="005F68D7" w:rsidR="1B87A442">
        <w:rPr>
          <w:rFonts w:ascii="Palatino Linotype" w:hAnsi="Palatino Linotype"/>
          <w:sz w:val="24"/>
          <w:szCs w:val="24"/>
        </w:rPr>
        <w:t>s</w:t>
      </w:r>
      <w:r w:rsidRPr="005F68D7" w:rsidR="0054331A">
        <w:rPr>
          <w:rFonts w:ascii="Palatino Linotype" w:hAnsi="Palatino Linotype"/>
          <w:sz w:val="24"/>
          <w:szCs w:val="24"/>
        </w:rPr>
        <w:t xml:space="preserve"> </w:t>
      </w:r>
      <w:r w:rsidRPr="005F68D7" w:rsidR="00897E59">
        <w:rPr>
          <w:rFonts w:ascii="Palatino Linotype" w:hAnsi="Palatino Linotype"/>
          <w:sz w:val="24"/>
          <w:szCs w:val="24"/>
        </w:rPr>
        <w:t xml:space="preserve">a different </w:t>
      </w:r>
      <w:r w:rsidRPr="005F68D7" w:rsidR="0046742D">
        <w:rPr>
          <w:rFonts w:ascii="Palatino Linotype" w:hAnsi="Palatino Linotype"/>
          <w:sz w:val="24"/>
          <w:szCs w:val="24"/>
        </w:rPr>
        <w:t>methodology than non-statewide programs.</w:t>
      </w:r>
      <w:r w:rsidRPr="005F68D7" w:rsidR="00C66618">
        <w:rPr>
          <w:rFonts w:ascii="Palatino Linotype" w:hAnsi="Palatino Linotype"/>
          <w:sz w:val="24"/>
          <w:szCs w:val="24"/>
        </w:rPr>
        <w:t xml:space="preserve"> </w:t>
      </w:r>
    </w:p>
    <w:p w:rsidRPr="005F68D7" w:rsidR="00AC1F81" w:rsidP="00F84B14" w:rsidRDefault="00B3755E" w14:paraId="689B205A" w14:textId="77777777">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The </w:t>
      </w:r>
      <w:r w:rsidRPr="005F68D7" w:rsidR="3CA7E176">
        <w:rPr>
          <w:rFonts w:ascii="Palatino Linotype" w:hAnsi="Palatino Linotype"/>
          <w:sz w:val="24"/>
          <w:szCs w:val="24"/>
        </w:rPr>
        <w:t>Commission agrees with the</w:t>
      </w:r>
      <w:r w:rsidRPr="005F68D7">
        <w:rPr>
          <w:rFonts w:ascii="Palatino Linotype" w:hAnsi="Palatino Linotype"/>
          <w:sz w:val="24"/>
          <w:szCs w:val="24"/>
        </w:rPr>
        <w:t xml:space="preserve"> EMSWG report</w:t>
      </w:r>
      <w:r w:rsidRPr="005F68D7" w:rsidR="00385E72">
        <w:rPr>
          <w:rFonts w:ascii="Palatino Linotype" w:hAnsi="Palatino Linotype"/>
          <w:sz w:val="24"/>
          <w:szCs w:val="24"/>
        </w:rPr>
        <w:t>’</w:t>
      </w:r>
      <w:r w:rsidRPr="005F68D7">
        <w:rPr>
          <w:rFonts w:ascii="Palatino Linotype" w:hAnsi="Palatino Linotype"/>
          <w:sz w:val="24"/>
          <w:szCs w:val="24"/>
        </w:rPr>
        <w:t xml:space="preserve">s definition of </w:t>
      </w:r>
      <w:r w:rsidRPr="005F68D7" w:rsidR="00385E72">
        <w:rPr>
          <w:rFonts w:ascii="Palatino Linotype" w:hAnsi="Palatino Linotype"/>
          <w:sz w:val="24"/>
          <w:szCs w:val="24"/>
        </w:rPr>
        <w:t xml:space="preserve">“partnership” </w:t>
      </w:r>
      <w:r w:rsidRPr="005F68D7" w:rsidR="6BE48CA0">
        <w:rPr>
          <w:rFonts w:ascii="Palatino Linotype" w:hAnsi="Palatino Linotype"/>
          <w:sz w:val="24"/>
          <w:szCs w:val="24"/>
        </w:rPr>
        <w:t>a</w:t>
      </w:r>
      <w:r w:rsidRPr="005F68D7" w:rsidR="03B2D2E7">
        <w:rPr>
          <w:rFonts w:ascii="Palatino Linotype" w:hAnsi="Palatino Linotype"/>
          <w:sz w:val="24"/>
          <w:szCs w:val="24"/>
        </w:rPr>
        <w:t>s an agreement</w:t>
      </w:r>
      <w:r w:rsidRPr="005F68D7" w:rsidR="02088E4B">
        <w:rPr>
          <w:rFonts w:ascii="Palatino Linotype" w:hAnsi="Palatino Linotype"/>
          <w:sz w:val="24"/>
          <w:szCs w:val="24"/>
        </w:rPr>
        <w:t>,</w:t>
      </w:r>
      <w:r w:rsidRPr="005F68D7" w:rsidR="03B2D2E7">
        <w:rPr>
          <w:rFonts w:ascii="Palatino Linotype" w:hAnsi="Palatino Linotype"/>
          <w:sz w:val="24"/>
          <w:szCs w:val="24"/>
        </w:rPr>
        <w:t xml:space="preserve"> </w:t>
      </w:r>
      <w:r w:rsidRPr="005F68D7" w:rsidR="02088E4B">
        <w:rPr>
          <w:rFonts w:ascii="Palatino Linotype" w:hAnsi="Palatino Linotype"/>
          <w:sz w:val="24"/>
          <w:szCs w:val="24"/>
        </w:rPr>
        <w:t>either legally contracted or not,</w:t>
      </w:r>
      <w:r w:rsidRPr="005F68D7" w:rsidR="03B2D2E7">
        <w:rPr>
          <w:rFonts w:ascii="Palatino Linotype" w:hAnsi="Palatino Linotype"/>
          <w:sz w:val="24"/>
          <w:szCs w:val="24"/>
        </w:rPr>
        <w:t xml:space="preserve"> between at least two entities to engage in a mutually beneficial relationship </w:t>
      </w:r>
      <w:r w:rsidRPr="005F68D7" w:rsidR="542BAE8E">
        <w:rPr>
          <w:rFonts w:ascii="Palatino Linotype" w:hAnsi="Palatino Linotype"/>
          <w:sz w:val="24"/>
          <w:szCs w:val="24"/>
        </w:rPr>
        <w:t xml:space="preserve">within the context </w:t>
      </w:r>
      <w:r w:rsidRPr="005F68D7" w:rsidR="03B2D2E7">
        <w:rPr>
          <w:rFonts w:ascii="Palatino Linotype" w:hAnsi="Palatino Linotype"/>
          <w:sz w:val="24"/>
          <w:szCs w:val="24"/>
        </w:rPr>
        <w:t xml:space="preserve">of </w:t>
      </w:r>
      <w:r w:rsidRPr="005F68D7" w:rsidR="59B26BBC">
        <w:rPr>
          <w:rFonts w:ascii="Palatino Linotype" w:hAnsi="Palatino Linotype"/>
          <w:sz w:val="24"/>
          <w:szCs w:val="24"/>
        </w:rPr>
        <w:t xml:space="preserve">energy efficiency </w:t>
      </w:r>
      <w:r w:rsidRPr="005F68D7" w:rsidR="03B2D2E7">
        <w:rPr>
          <w:rFonts w:ascii="Palatino Linotype" w:hAnsi="Palatino Linotype"/>
          <w:sz w:val="24"/>
          <w:szCs w:val="24"/>
        </w:rPr>
        <w:t>products, services, education, and/or training</w:t>
      </w:r>
      <w:r w:rsidRPr="005F68D7" w:rsidR="1F8B229D">
        <w:rPr>
          <w:rFonts w:ascii="Palatino Linotype" w:hAnsi="Palatino Linotype"/>
          <w:sz w:val="24"/>
          <w:szCs w:val="24"/>
        </w:rPr>
        <w:t xml:space="preserve"> with the clarification </w:t>
      </w:r>
      <w:r w:rsidRPr="005F68D7" w:rsidR="0E84A9C0">
        <w:rPr>
          <w:rFonts w:ascii="Palatino Linotype" w:hAnsi="Palatino Linotype"/>
          <w:sz w:val="24"/>
          <w:szCs w:val="24"/>
        </w:rPr>
        <w:t xml:space="preserve">that the partnership </w:t>
      </w:r>
      <w:r w:rsidRPr="005F68D7" w:rsidR="7485AD96">
        <w:rPr>
          <w:rFonts w:ascii="Palatino Linotype" w:hAnsi="Palatino Linotype"/>
          <w:sz w:val="24"/>
          <w:szCs w:val="24"/>
        </w:rPr>
        <w:t>serve</w:t>
      </w:r>
      <w:r w:rsidRPr="005F68D7" w:rsidR="437B0B61">
        <w:rPr>
          <w:rFonts w:ascii="Palatino Linotype" w:hAnsi="Palatino Linotype"/>
          <w:sz w:val="24"/>
          <w:szCs w:val="24"/>
        </w:rPr>
        <w:t>s</w:t>
      </w:r>
      <w:r w:rsidRPr="005F68D7" w:rsidR="03B2D2E7">
        <w:rPr>
          <w:rFonts w:ascii="Palatino Linotype" w:hAnsi="Palatino Linotype"/>
          <w:sz w:val="24"/>
          <w:szCs w:val="24"/>
        </w:rPr>
        <w:t xml:space="preserve"> at least one primary purpose of the </w:t>
      </w:r>
      <w:r w:rsidRPr="005F68D7" w:rsidR="46D4D501">
        <w:rPr>
          <w:rFonts w:ascii="Palatino Linotype" w:hAnsi="Palatino Linotype"/>
          <w:sz w:val="24"/>
          <w:szCs w:val="24"/>
        </w:rPr>
        <w:t>energy efficiency</w:t>
      </w:r>
      <w:r w:rsidRPr="005F68D7" w:rsidR="03B2D2E7">
        <w:rPr>
          <w:rFonts w:ascii="Palatino Linotype" w:hAnsi="Palatino Linotype"/>
          <w:sz w:val="24"/>
          <w:szCs w:val="24"/>
        </w:rPr>
        <w:t xml:space="preserve"> portfolio: resource acquisition, equity, or market support</w:t>
      </w:r>
      <w:r w:rsidRPr="005F68D7" w:rsidR="5665950C">
        <w:rPr>
          <w:rFonts w:ascii="Palatino Linotype" w:hAnsi="Palatino Linotype"/>
          <w:sz w:val="24"/>
          <w:szCs w:val="24"/>
        </w:rPr>
        <w:t>.</w:t>
      </w:r>
      <w:r w:rsidRPr="005F68D7" w:rsidR="00AC1F81">
        <w:rPr>
          <w:rFonts w:ascii="Palatino Linotype" w:hAnsi="Palatino Linotype"/>
          <w:sz w:val="24"/>
          <w:szCs w:val="24"/>
        </w:rPr>
        <w:t xml:space="preserve"> </w:t>
      </w:r>
    </w:p>
    <w:p w:rsidRPr="005F68D7" w:rsidR="00385E72" w:rsidP="00F84B14" w:rsidRDefault="00385E72" w14:paraId="170BA5EF" w14:textId="1DC0F750">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There is consensus on the definitions of “partner”, “type”, </w:t>
      </w:r>
      <w:r w:rsidRPr="005F68D7" w:rsidR="00716A4F">
        <w:rPr>
          <w:rFonts w:ascii="Palatino Linotype" w:hAnsi="Palatino Linotype"/>
          <w:sz w:val="24"/>
          <w:szCs w:val="24"/>
        </w:rPr>
        <w:t>“taken action”</w:t>
      </w:r>
      <w:r w:rsidRPr="005F68D7" w:rsidR="005B630C">
        <w:rPr>
          <w:rFonts w:ascii="Palatino Linotype" w:hAnsi="Palatino Linotype"/>
          <w:sz w:val="24"/>
          <w:szCs w:val="24"/>
        </w:rPr>
        <w:t>, “</w:t>
      </w:r>
      <w:r w:rsidRPr="005F68D7" w:rsidR="00677A20">
        <w:rPr>
          <w:rFonts w:ascii="Palatino Linotype" w:hAnsi="Palatino Linotype"/>
          <w:sz w:val="24"/>
          <w:szCs w:val="24"/>
        </w:rPr>
        <w:t>non-ratep</w:t>
      </w:r>
      <w:r w:rsidRPr="005F68D7" w:rsidR="00B628D3">
        <w:rPr>
          <w:rFonts w:ascii="Palatino Linotype" w:hAnsi="Palatino Linotype"/>
          <w:sz w:val="24"/>
          <w:szCs w:val="24"/>
        </w:rPr>
        <w:t>a</w:t>
      </w:r>
      <w:r w:rsidRPr="005F68D7" w:rsidR="00677A20">
        <w:rPr>
          <w:rFonts w:ascii="Palatino Linotype" w:hAnsi="Palatino Linotype"/>
          <w:sz w:val="24"/>
          <w:szCs w:val="24"/>
        </w:rPr>
        <w:t xml:space="preserve">yer </w:t>
      </w:r>
      <w:r w:rsidRPr="005F68D7" w:rsidR="009F2AB5">
        <w:rPr>
          <w:rFonts w:ascii="Palatino Linotype" w:hAnsi="Palatino Linotype"/>
          <w:sz w:val="24"/>
          <w:szCs w:val="24"/>
        </w:rPr>
        <w:t>i</w:t>
      </w:r>
      <w:r w:rsidRPr="005F68D7" w:rsidR="00677A20">
        <w:rPr>
          <w:rFonts w:ascii="Palatino Linotype" w:hAnsi="Palatino Linotype"/>
          <w:sz w:val="24"/>
          <w:szCs w:val="24"/>
        </w:rPr>
        <w:t>n-kind funds</w:t>
      </w:r>
      <w:r w:rsidRPr="005F68D7" w:rsidR="003E2FF7">
        <w:rPr>
          <w:rFonts w:ascii="Palatino Linotype" w:hAnsi="Palatino Linotype"/>
          <w:sz w:val="24"/>
          <w:szCs w:val="24"/>
        </w:rPr>
        <w:t>,</w:t>
      </w:r>
      <w:r w:rsidRPr="005F68D7" w:rsidR="00264010">
        <w:rPr>
          <w:rFonts w:ascii="Palatino Linotype" w:hAnsi="Palatino Linotype"/>
          <w:sz w:val="24"/>
          <w:szCs w:val="24"/>
        </w:rPr>
        <w:t>” and “non-ratepayer in-kind contribution</w:t>
      </w:r>
      <w:r w:rsidRPr="005F68D7" w:rsidR="003E2FF7">
        <w:rPr>
          <w:rFonts w:ascii="Palatino Linotype" w:hAnsi="Palatino Linotype"/>
          <w:sz w:val="24"/>
          <w:szCs w:val="24"/>
        </w:rPr>
        <w:t>s</w:t>
      </w:r>
      <w:r w:rsidRPr="005F68D7" w:rsidR="00264010">
        <w:rPr>
          <w:rFonts w:ascii="Palatino Linotype" w:hAnsi="Palatino Linotype"/>
          <w:sz w:val="24"/>
          <w:szCs w:val="24"/>
        </w:rPr>
        <w:t>.”</w:t>
      </w:r>
    </w:p>
    <w:p w:rsidRPr="005F68D7" w:rsidR="00D60B7A" w:rsidP="00F84B14" w:rsidRDefault="00114204" w14:paraId="2E7AC265" w14:textId="0DB017B5">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As currently written, r</w:t>
      </w:r>
      <w:r w:rsidRPr="005F68D7" w:rsidR="00E375C3">
        <w:rPr>
          <w:rFonts w:ascii="Palatino Linotype" w:hAnsi="Palatino Linotype"/>
          <w:sz w:val="24"/>
          <w:szCs w:val="24"/>
        </w:rPr>
        <w:t xml:space="preserve">eporting on </w:t>
      </w:r>
      <w:r w:rsidRPr="005F68D7" w:rsidR="00066C1D">
        <w:rPr>
          <w:rFonts w:ascii="Palatino Linotype" w:hAnsi="Palatino Linotype"/>
          <w:sz w:val="24"/>
          <w:szCs w:val="24"/>
        </w:rPr>
        <w:t>M</w:t>
      </w:r>
      <w:r w:rsidRPr="005F68D7" w:rsidR="005C15C9">
        <w:rPr>
          <w:rFonts w:ascii="Palatino Linotype" w:hAnsi="Palatino Linotype"/>
          <w:sz w:val="24"/>
          <w:szCs w:val="24"/>
        </w:rPr>
        <w:t xml:space="preserve">arket </w:t>
      </w:r>
      <w:r w:rsidRPr="005F68D7" w:rsidR="00066C1D">
        <w:rPr>
          <w:rFonts w:ascii="Palatino Linotype" w:hAnsi="Palatino Linotype"/>
          <w:sz w:val="24"/>
          <w:szCs w:val="24"/>
        </w:rPr>
        <w:t>S</w:t>
      </w:r>
      <w:r w:rsidRPr="005F68D7" w:rsidR="005C15C9">
        <w:rPr>
          <w:rFonts w:ascii="Palatino Linotype" w:hAnsi="Palatino Linotype"/>
          <w:sz w:val="24"/>
          <w:szCs w:val="24"/>
        </w:rPr>
        <w:t xml:space="preserve">upport </w:t>
      </w:r>
      <w:r w:rsidRPr="005F68D7" w:rsidR="00066C1D">
        <w:rPr>
          <w:rFonts w:ascii="Palatino Linotype" w:hAnsi="Palatino Linotype"/>
          <w:sz w:val="24"/>
          <w:szCs w:val="24"/>
        </w:rPr>
        <w:t>I</w:t>
      </w:r>
      <w:r w:rsidRPr="005F68D7" w:rsidR="005C15C9">
        <w:rPr>
          <w:rFonts w:ascii="Palatino Linotype" w:hAnsi="Palatino Linotype"/>
          <w:sz w:val="24"/>
          <w:szCs w:val="24"/>
        </w:rPr>
        <w:t>nd</w:t>
      </w:r>
      <w:r w:rsidRPr="005F68D7" w:rsidR="006A1135">
        <w:rPr>
          <w:rFonts w:ascii="Palatino Linotype" w:hAnsi="Palatino Linotype"/>
          <w:sz w:val="24"/>
          <w:szCs w:val="24"/>
        </w:rPr>
        <w:t>i</w:t>
      </w:r>
      <w:r w:rsidRPr="005F68D7" w:rsidR="005C15C9">
        <w:rPr>
          <w:rFonts w:ascii="Palatino Linotype" w:hAnsi="Palatino Linotype"/>
          <w:sz w:val="24"/>
          <w:szCs w:val="24"/>
        </w:rPr>
        <w:t xml:space="preserve">cators </w:t>
      </w:r>
      <w:r w:rsidRPr="005F68D7" w:rsidR="006A1135">
        <w:rPr>
          <w:rFonts w:ascii="Palatino Linotype" w:hAnsi="Palatino Linotype"/>
          <w:sz w:val="24"/>
          <w:szCs w:val="24"/>
        </w:rPr>
        <w:t xml:space="preserve">13, </w:t>
      </w:r>
      <w:r w:rsidRPr="005F68D7" w:rsidR="00E65E80">
        <w:rPr>
          <w:rFonts w:ascii="Palatino Linotype" w:hAnsi="Palatino Linotype"/>
          <w:sz w:val="24"/>
          <w:szCs w:val="24"/>
        </w:rPr>
        <w:t>15</w:t>
      </w:r>
      <w:r w:rsidRPr="005F68D7" w:rsidR="00827E0C">
        <w:rPr>
          <w:rFonts w:ascii="Palatino Linotype" w:hAnsi="Palatino Linotype"/>
          <w:sz w:val="24"/>
          <w:szCs w:val="24"/>
        </w:rPr>
        <w:t>-</w:t>
      </w:r>
      <w:r w:rsidRPr="005F68D7" w:rsidR="00C07607">
        <w:rPr>
          <w:rFonts w:ascii="Palatino Linotype" w:hAnsi="Palatino Linotype"/>
          <w:sz w:val="24"/>
          <w:szCs w:val="24"/>
        </w:rPr>
        <w:t>17</w:t>
      </w:r>
      <w:r w:rsidRPr="005F68D7" w:rsidR="008721BB">
        <w:rPr>
          <w:rFonts w:ascii="Palatino Linotype" w:hAnsi="Palatino Linotype"/>
          <w:sz w:val="24"/>
          <w:szCs w:val="24"/>
        </w:rPr>
        <w:t>, 21</w:t>
      </w:r>
      <w:r w:rsidRPr="005F68D7" w:rsidR="00827E0C">
        <w:rPr>
          <w:rFonts w:ascii="Palatino Linotype" w:hAnsi="Palatino Linotype"/>
          <w:sz w:val="24"/>
          <w:szCs w:val="24"/>
        </w:rPr>
        <w:t>-</w:t>
      </w:r>
      <w:r w:rsidRPr="005F68D7" w:rsidR="00254CAE">
        <w:rPr>
          <w:rFonts w:ascii="Palatino Linotype" w:hAnsi="Palatino Linotype"/>
          <w:sz w:val="24"/>
          <w:szCs w:val="24"/>
        </w:rPr>
        <w:t xml:space="preserve">25, and </w:t>
      </w:r>
      <w:r w:rsidRPr="005F68D7" w:rsidR="00066C1D">
        <w:rPr>
          <w:rFonts w:ascii="Palatino Linotype" w:hAnsi="Palatino Linotype"/>
          <w:sz w:val="24"/>
          <w:szCs w:val="24"/>
        </w:rPr>
        <w:t>C</w:t>
      </w:r>
      <w:r w:rsidRPr="005F68D7" w:rsidR="00254CAE">
        <w:rPr>
          <w:rFonts w:ascii="Palatino Linotype" w:hAnsi="Palatino Linotype"/>
          <w:sz w:val="24"/>
          <w:szCs w:val="24"/>
        </w:rPr>
        <w:t xml:space="preserve">ommon </w:t>
      </w:r>
      <w:r w:rsidRPr="005F68D7" w:rsidR="00066C1D">
        <w:rPr>
          <w:rFonts w:ascii="Palatino Linotype" w:hAnsi="Palatino Linotype"/>
          <w:sz w:val="24"/>
          <w:szCs w:val="24"/>
        </w:rPr>
        <w:t>M</w:t>
      </w:r>
      <w:r w:rsidRPr="005F68D7" w:rsidR="00254CAE">
        <w:rPr>
          <w:rFonts w:ascii="Palatino Linotype" w:hAnsi="Palatino Linotype"/>
          <w:sz w:val="24"/>
          <w:szCs w:val="24"/>
        </w:rPr>
        <w:t>etric 187</w:t>
      </w:r>
      <w:r w:rsidRPr="005F68D7" w:rsidR="00C4698C">
        <w:rPr>
          <w:rFonts w:ascii="Palatino Linotype" w:hAnsi="Palatino Linotype"/>
          <w:sz w:val="24"/>
          <w:szCs w:val="24"/>
        </w:rPr>
        <w:t>,</w:t>
      </w:r>
      <w:r w:rsidRPr="005F68D7" w:rsidR="00254CAE">
        <w:rPr>
          <w:rFonts w:ascii="Palatino Linotype" w:hAnsi="Palatino Linotype"/>
          <w:sz w:val="24"/>
          <w:szCs w:val="24"/>
        </w:rPr>
        <w:t xml:space="preserve"> </w:t>
      </w:r>
      <w:r w:rsidRPr="005F68D7" w:rsidR="00C4698C">
        <w:rPr>
          <w:rFonts w:ascii="Palatino Linotype" w:hAnsi="Palatino Linotype"/>
          <w:sz w:val="24"/>
          <w:szCs w:val="24"/>
        </w:rPr>
        <w:t>is</w:t>
      </w:r>
      <w:r w:rsidRPr="005F68D7" w:rsidR="00A604EC">
        <w:rPr>
          <w:rFonts w:ascii="Palatino Linotype" w:hAnsi="Palatino Linotype"/>
          <w:sz w:val="24"/>
          <w:szCs w:val="24"/>
        </w:rPr>
        <w:t xml:space="preserve"> not </w:t>
      </w:r>
      <w:r w:rsidRPr="005F68D7" w:rsidR="00DE2C46">
        <w:rPr>
          <w:rFonts w:ascii="Palatino Linotype" w:hAnsi="Palatino Linotype"/>
          <w:sz w:val="24"/>
          <w:szCs w:val="24"/>
        </w:rPr>
        <w:t>expected</w:t>
      </w:r>
      <w:r w:rsidRPr="005F68D7" w:rsidR="00F04BA5">
        <w:rPr>
          <w:rFonts w:ascii="Palatino Linotype" w:hAnsi="Palatino Linotype"/>
          <w:sz w:val="24"/>
          <w:szCs w:val="24"/>
        </w:rPr>
        <w:t xml:space="preserve"> to be </w:t>
      </w:r>
      <w:r w:rsidRPr="005F68D7" w:rsidR="00A604EC">
        <w:rPr>
          <w:rFonts w:ascii="Palatino Linotype" w:hAnsi="Palatino Linotype"/>
          <w:sz w:val="24"/>
          <w:szCs w:val="24"/>
        </w:rPr>
        <w:t>useful</w:t>
      </w:r>
      <w:r w:rsidRPr="005F68D7" w:rsidR="00B15398">
        <w:rPr>
          <w:rFonts w:ascii="Palatino Linotype" w:hAnsi="Palatino Linotype"/>
          <w:sz w:val="24"/>
          <w:szCs w:val="24"/>
        </w:rPr>
        <w:t xml:space="preserve"> due to unclear </w:t>
      </w:r>
      <w:r w:rsidRPr="005F68D7" w:rsidR="00D711E2">
        <w:rPr>
          <w:rFonts w:ascii="Palatino Linotype" w:hAnsi="Palatino Linotype"/>
          <w:sz w:val="24"/>
          <w:szCs w:val="24"/>
        </w:rPr>
        <w:t>or undefined parameters</w:t>
      </w:r>
      <w:r w:rsidRPr="005F68D7" w:rsidR="006A1135">
        <w:rPr>
          <w:rFonts w:ascii="Palatino Linotype" w:hAnsi="Palatino Linotype"/>
          <w:sz w:val="24"/>
          <w:szCs w:val="24"/>
        </w:rPr>
        <w:t>.</w:t>
      </w:r>
      <w:r w:rsidRPr="005F68D7" w:rsidR="00827E0C">
        <w:rPr>
          <w:rFonts w:ascii="Palatino Linotype" w:hAnsi="Palatino Linotype"/>
          <w:sz w:val="24"/>
          <w:szCs w:val="24"/>
        </w:rPr>
        <w:t xml:space="preserve"> </w:t>
      </w:r>
    </w:p>
    <w:p w:rsidRPr="005F68D7" w:rsidR="00494761" w:rsidP="00F84B14" w:rsidRDefault="00526920" w14:paraId="60E0A9C7" w14:textId="73D5BE4D">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PAs report savings claims using CEDARS</w:t>
      </w:r>
      <w:r w:rsidRPr="005F68D7" w:rsidR="009275D7">
        <w:rPr>
          <w:rFonts w:ascii="Palatino Linotype" w:hAnsi="Palatino Linotype"/>
          <w:sz w:val="24"/>
          <w:szCs w:val="24"/>
        </w:rPr>
        <w:t xml:space="preserve"> and</w:t>
      </w:r>
      <w:r w:rsidRPr="005F68D7">
        <w:rPr>
          <w:rFonts w:ascii="Palatino Linotype" w:hAnsi="Palatino Linotype"/>
          <w:sz w:val="24"/>
          <w:szCs w:val="24"/>
        </w:rPr>
        <w:t xml:space="preserve"> in their Annual Report.</w:t>
      </w:r>
      <w:r w:rsidRPr="005F68D7" w:rsidR="538AB5CF">
        <w:rPr>
          <w:rFonts w:ascii="Palatino Linotype" w:hAnsi="Palatino Linotype"/>
          <w:sz w:val="24"/>
          <w:szCs w:val="24"/>
        </w:rPr>
        <w:t xml:space="preserve"> </w:t>
      </w:r>
      <w:r w:rsidRPr="005F68D7" w:rsidR="3C04E278">
        <w:rPr>
          <w:rFonts w:ascii="Palatino Linotype" w:hAnsi="Palatino Linotype"/>
          <w:sz w:val="24"/>
          <w:szCs w:val="24"/>
        </w:rPr>
        <w:t xml:space="preserve">Indicator reporting </w:t>
      </w:r>
      <w:r w:rsidRPr="005F68D7" w:rsidR="74430DDE">
        <w:rPr>
          <w:rFonts w:ascii="Palatino Linotype" w:hAnsi="Palatino Linotype"/>
          <w:sz w:val="24"/>
          <w:szCs w:val="24"/>
        </w:rPr>
        <w:t>is</w:t>
      </w:r>
      <w:r w:rsidRPr="005F68D7" w:rsidR="3C04E278">
        <w:rPr>
          <w:rFonts w:ascii="Palatino Linotype" w:hAnsi="Palatino Linotype"/>
          <w:sz w:val="24"/>
          <w:szCs w:val="24"/>
        </w:rPr>
        <w:t xml:space="preserve"> useful for activities that do not direct</w:t>
      </w:r>
      <w:r w:rsidRPr="005F68D7" w:rsidR="4038DBF2">
        <w:rPr>
          <w:rFonts w:ascii="Palatino Linotype" w:hAnsi="Palatino Linotype"/>
          <w:sz w:val="24"/>
          <w:szCs w:val="24"/>
        </w:rPr>
        <w:t>ly</w:t>
      </w:r>
      <w:r w:rsidRPr="005F68D7" w:rsidR="3C04E278">
        <w:rPr>
          <w:rFonts w:ascii="Palatino Linotype" w:hAnsi="Palatino Linotype"/>
          <w:sz w:val="24"/>
          <w:szCs w:val="24"/>
        </w:rPr>
        <w:t xml:space="preserve"> result in energy savings.</w:t>
      </w:r>
    </w:p>
    <w:p w:rsidRPr="005F68D7" w:rsidR="005C3DF7" w:rsidP="00F84B14" w:rsidRDefault="00C142A3" w14:paraId="273E4D18" w14:textId="77777777">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Parties beyond the PAs and the Commission might have an interest in </w:t>
      </w:r>
      <w:r w:rsidRPr="005F68D7" w:rsidR="001C0003">
        <w:rPr>
          <w:rFonts w:ascii="Palatino Linotype" w:hAnsi="Palatino Linotype"/>
          <w:sz w:val="24"/>
          <w:szCs w:val="24"/>
        </w:rPr>
        <w:t xml:space="preserve">understanding the </w:t>
      </w:r>
      <w:r w:rsidRPr="005F68D7" w:rsidR="00025172">
        <w:rPr>
          <w:rFonts w:ascii="Palatino Linotype" w:hAnsi="Palatino Linotype"/>
          <w:sz w:val="24"/>
          <w:szCs w:val="24"/>
        </w:rPr>
        <w:t xml:space="preserve">indicator </w:t>
      </w:r>
      <w:r w:rsidRPr="005F68D7" w:rsidR="001C0003">
        <w:rPr>
          <w:rFonts w:ascii="Palatino Linotype" w:hAnsi="Palatino Linotype"/>
          <w:sz w:val="24"/>
          <w:szCs w:val="24"/>
        </w:rPr>
        <w:t xml:space="preserve">data. </w:t>
      </w:r>
      <w:r w:rsidRPr="005F68D7" w:rsidR="00894FCB">
        <w:rPr>
          <w:rFonts w:ascii="Palatino Linotype" w:hAnsi="Palatino Linotype"/>
          <w:sz w:val="24"/>
          <w:szCs w:val="24"/>
        </w:rPr>
        <w:t>C</w:t>
      </w:r>
      <w:r w:rsidRPr="005F68D7" w:rsidR="00F1172B">
        <w:rPr>
          <w:rFonts w:ascii="Palatino Linotype" w:hAnsi="Palatino Linotype"/>
          <w:sz w:val="24"/>
          <w:szCs w:val="24"/>
        </w:rPr>
        <w:t xml:space="preserve">onsistent </w:t>
      </w:r>
      <w:r w:rsidRPr="005F68D7" w:rsidR="007F754A">
        <w:rPr>
          <w:rFonts w:ascii="Palatino Linotype" w:hAnsi="Palatino Linotype"/>
          <w:sz w:val="24"/>
          <w:szCs w:val="24"/>
        </w:rPr>
        <w:t xml:space="preserve">and high-level </w:t>
      </w:r>
      <w:r w:rsidRPr="005F68D7" w:rsidR="00F1172B">
        <w:rPr>
          <w:rFonts w:ascii="Palatino Linotype" w:hAnsi="Palatino Linotype"/>
          <w:sz w:val="24"/>
          <w:szCs w:val="24"/>
        </w:rPr>
        <w:t>r</w:t>
      </w:r>
      <w:r w:rsidRPr="005F68D7" w:rsidR="00EE602E">
        <w:rPr>
          <w:rFonts w:ascii="Palatino Linotype" w:hAnsi="Palatino Linotype"/>
          <w:sz w:val="24"/>
          <w:szCs w:val="24"/>
        </w:rPr>
        <w:t>eporting across PAs</w:t>
      </w:r>
      <w:r w:rsidRPr="005F68D7" w:rsidR="00894FCB">
        <w:rPr>
          <w:rFonts w:ascii="Palatino Linotype" w:hAnsi="Palatino Linotype"/>
          <w:sz w:val="24"/>
          <w:szCs w:val="24"/>
        </w:rPr>
        <w:t xml:space="preserve"> helps with readability</w:t>
      </w:r>
      <w:r w:rsidRPr="005F68D7" w:rsidR="005027E7">
        <w:rPr>
          <w:rFonts w:ascii="Palatino Linotype" w:hAnsi="Palatino Linotype"/>
          <w:sz w:val="24"/>
          <w:szCs w:val="24"/>
        </w:rPr>
        <w:t>, including</w:t>
      </w:r>
      <w:r w:rsidRPr="005F68D7" w:rsidR="00805D8C">
        <w:rPr>
          <w:rFonts w:ascii="Palatino Linotype" w:hAnsi="Palatino Linotype"/>
          <w:sz w:val="24"/>
          <w:szCs w:val="24"/>
        </w:rPr>
        <w:t xml:space="preserve"> for public</w:t>
      </w:r>
      <w:r w:rsidRPr="005F68D7" w:rsidR="00E00F18">
        <w:rPr>
          <w:rFonts w:ascii="Palatino Linotype" w:hAnsi="Palatino Linotype"/>
          <w:sz w:val="24"/>
          <w:szCs w:val="24"/>
        </w:rPr>
        <w:t xml:space="preserve"> viewers.</w:t>
      </w:r>
      <w:r w:rsidRPr="005F68D7" w:rsidR="00595D4E">
        <w:rPr>
          <w:rFonts w:ascii="Palatino Linotype" w:hAnsi="Palatino Linotype"/>
          <w:sz w:val="24"/>
          <w:szCs w:val="24"/>
        </w:rPr>
        <w:t xml:space="preserve"> </w:t>
      </w:r>
    </w:p>
    <w:p w:rsidRPr="005F68D7" w:rsidR="001879EA" w:rsidP="008731F2" w:rsidRDefault="008A0FE2" w14:paraId="1733E779" w14:textId="77777777">
      <w:pPr>
        <w:pStyle w:val="standard"/>
        <w:numPr>
          <w:ilvl w:val="0"/>
          <w:numId w:val="31"/>
        </w:numPr>
        <w:spacing w:after="120" w:line="240" w:lineRule="auto"/>
        <w:rPr>
          <w:rFonts w:ascii="Palatino Linotype" w:hAnsi="Palatino Linotype"/>
          <w:sz w:val="24"/>
          <w:szCs w:val="24"/>
        </w:rPr>
      </w:pPr>
      <w:r w:rsidRPr="005F68D7">
        <w:rPr>
          <w:rFonts w:ascii="Palatino Linotype" w:hAnsi="Palatino Linotype"/>
          <w:sz w:val="24"/>
          <w:szCs w:val="24"/>
        </w:rPr>
        <w:t xml:space="preserve">Roughly half </w:t>
      </w:r>
      <w:r w:rsidRPr="005F68D7" w:rsidR="00A60946">
        <w:rPr>
          <w:rFonts w:ascii="Palatino Linotype" w:hAnsi="Palatino Linotype"/>
          <w:sz w:val="24"/>
          <w:szCs w:val="24"/>
        </w:rPr>
        <w:t>of</w:t>
      </w:r>
      <w:r w:rsidRPr="005F68D7">
        <w:rPr>
          <w:rFonts w:ascii="Palatino Linotype" w:hAnsi="Palatino Linotype"/>
          <w:sz w:val="24"/>
          <w:szCs w:val="24"/>
        </w:rPr>
        <w:t xml:space="preserve"> the </w:t>
      </w:r>
      <w:r w:rsidRPr="005F68D7" w:rsidR="008C4A29">
        <w:rPr>
          <w:rFonts w:ascii="Palatino Linotype" w:hAnsi="Palatino Linotype"/>
          <w:sz w:val="24"/>
          <w:szCs w:val="24"/>
        </w:rPr>
        <w:t xml:space="preserve">existing </w:t>
      </w:r>
      <w:r w:rsidRPr="005F68D7">
        <w:rPr>
          <w:rFonts w:ascii="Palatino Linotype" w:hAnsi="Palatino Linotype"/>
          <w:sz w:val="24"/>
          <w:szCs w:val="24"/>
        </w:rPr>
        <w:t xml:space="preserve">Common Metrics are </w:t>
      </w:r>
      <w:r w:rsidRPr="005F68D7" w:rsidR="00BA418B">
        <w:rPr>
          <w:rFonts w:ascii="Palatino Linotype" w:hAnsi="Palatino Linotype"/>
          <w:sz w:val="24"/>
          <w:szCs w:val="24"/>
        </w:rPr>
        <w:t>n</w:t>
      </w:r>
      <w:r w:rsidRPr="005F68D7" w:rsidR="00375486">
        <w:rPr>
          <w:rFonts w:ascii="Palatino Linotype" w:hAnsi="Palatino Linotype"/>
          <w:sz w:val="24"/>
          <w:szCs w:val="24"/>
        </w:rPr>
        <w:t xml:space="preserve">ot </w:t>
      </w:r>
      <w:r w:rsidRPr="005F68D7" w:rsidR="008C4A29">
        <w:rPr>
          <w:rFonts w:ascii="Palatino Linotype" w:hAnsi="Palatino Linotype"/>
          <w:sz w:val="24"/>
          <w:szCs w:val="24"/>
        </w:rPr>
        <w:t xml:space="preserve">currently </w:t>
      </w:r>
      <w:r w:rsidRPr="005F68D7" w:rsidR="00375486">
        <w:rPr>
          <w:rFonts w:ascii="Palatino Linotype" w:hAnsi="Palatino Linotype"/>
          <w:sz w:val="24"/>
          <w:szCs w:val="24"/>
        </w:rPr>
        <w:t>useful because of chal</w:t>
      </w:r>
      <w:r w:rsidRPr="005F68D7" w:rsidR="00C72FED">
        <w:rPr>
          <w:rFonts w:ascii="Palatino Linotype" w:hAnsi="Palatino Linotype"/>
          <w:sz w:val="24"/>
          <w:szCs w:val="24"/>
        </w:rPr>
        <w:t>lenges with data collection</w:t>
      </w:r>
      <w:r w:rsidRPr="005F68D7" w:rsidR="00551EB9">
        <w:rPr>
          <w:rFonts w:ascii="Palatino Linotype" w:hAnsi="Palatino Linotype"/>
          <w:sz w:val="24"/>
          <w:szCs w:val="24"/>
        </w:rPr>
        <w:t xml:space="preserve">, </w:t>
      </w:r>
      <w:r w:rsidRPr="005F68D7" w:rsidR="001436EE">
        <w:rPr>
          <w:rFonts w:ascii="Palatino Linotype" w:hAnsi="Palatino Linotype"/>
          <w:sz w:val="24"/>
          <w:szCs w:val="24"/>
        </w:rPr>
        <w:t xml:space="preserve">lack of relevance to the current portfolios, </w:t>
      </w:r>
      <w:r w:rsidRPr="005F68D7" w:rsidR="003310B6">
        <w:rPr>
          <w:rFonts w:ascii="Palatino Linotype" w:hAnsi="Palatino Linotype"/>
          <w:sz w:val="24"/>
          <w:szCs w:val="24"/>
        </w:rPr>
        <w:t xml:space="preserve">uncertainty about data quality, </w:t>
      </w:r>
      <w:r w:rsidRPr="005F68D7" w:rsidR="008C4A29">
        <w:rPr>
          <w:rFonts w:ascii="Palatino Linotype" w:hAnsi="Palatino Linotype"/>
          <w:sz w:val="24"/>
          <w:szCs w:val="24"/>
        </w:rPr>
        <w:t>comprehensiveness</w:t>
      </w:r>
      <w:r w:rsidRPr="005F68D7" w:rsidR="00605FE8">
        <w:rPr>
          <w:rFonts w:ascii="Palatino Linotype" w:hAnsi="Palatino Linotype"/>
          <w:sz w:val="24"/>
          <w:szCs w:val="24"/>
        </w:rPr>
        <w:t>, or consistency</w:t>
      </w:r>
      <w:r w:rsidRPr="005F68D7" w:rsidR="00C46C00">
        <w:rPr>
          <w:rFonts w:ascii="Palatino Linotype" w:hAnsi="Palatino Linotype"/>
          <w:sz w:val="24"/>
          <w:szCs w:val="24"/>
        </w:rPr>
        <w:t xml:space="preserve">, </w:t>
      </w:r>
      <w:r w:rsidRPr="005F68D7" w:rsidR="00416A05">
        <w:rPr>
          <w:rFonts w:ascii="Palatino Linotype" w:hAnsi="Palatino Linotype"/>
          <w:sz w:val="24"/>
          <w:szCs w:val="24"/>
        </w:rPr>
        <w:t>unjustifiable expense</w:t>
      </w:r>
      <w:r w:rsidRPr="005F68D7" w:rsidR="00BB1A49">
        <w:rPr>
          <w:rFonts w:ascii="Palatino Linotype" w:hAnsi="Palatino Linotype"/>
          <w:sz w:val="24"/>
          <w:szCs w:val="24"/>
        </w:rPr>
        <w:t xml:space="preserve">, or </w:t>
      </w:r>
      <w:r w:rsidRPr="005F68D7" w:rsidR="0019261E">
        <w:rPr>
          <w:rFonts w:ascii="Palatino Linotype" w:hAnsi="Palatino Linotype"/>
          <w:sz w:val="24"/>
          <w:szCs w:val="24"/>
        </w:rPr>
        <w:t>possible duplication with other data reported</w:t>
      </w:r>
      <w:r w:rsidRPr="005F68D7">
        <w:rPr>
          <w:rFonts w:ascii="Palatino Linotype" w:hAnsi="Palatino Linotype"/>
          <w:sz w:val="24"/>
          <w:szCs w:val="24"/>
        </w:rPr>
        <w:t xml:space="preserve">. Of the rest, </w:t>
      </w:r>
      <w:r w:rsidRPr="005F68D7" w:rsidR="00EE6E50">
        <w:rPr>
          <w:rFonts w:ascii="Palatino Linotype" w:hAnsi="Palatino Linotype"/>
          <w:sz w:val="24"/>
          <w:szCs w:val="24"/>
        </w:rPr>
        <w:t>many are</w:t>
      </w:r>
      <w:r w:rsidRPr="005F68D7" w:rsidR="01183037">
        <w:rPr>
          <w:rFonts w:ascii="Palatino Linotype" w:hAnsi="Palatino Linotype"/>
          <w:sz w:val="24"/>
          <w:szCs w:val="24"/>
        </w:rPr>
        <w:t xml:space="preserve"> more appropriate </w:t>
      </w:r>
      <w:r w:rsidRPr="005F68D7" w:rsidR="00BA418B">
        <w:rPr>
          <w:rFonts w:ascii="Palatino Linotype" w:hAnsi="Palatino Linotype"/>
          <w:sz w:val="24"/>
          <w:szCs w:val="24"/>
        </w:rPr>
        <w:t>as</w:t>
      </w:r>
      <w:r w:rsidRPr="005F68D7">
        <w:rPr>
          <w:rFonts w:ascii="Palatino Linotype" w:hAnsi="Palatino Linotype"/>
          <w:sz w:val="24"/>
          <w:szCs w:val="24"/>
        </w:rPr>
        <w:t xml:space="preserve"> indicators. Only </w:t>
      </w:r>
      <w:r w:rsidRPr="005F68D7" w:rsidR="00066C1D">
        <w:rPr>
          <w:rFonts w:ascii="Palatino Linotype" w:hAnsi="Palatino Linotype"/>
          <w:sz w:val="24"/>
          <w:szCs w:val="24"/>
        </w:rPr>
        <w:t>C</w:t>
      </w:r>
      <w:r w:rsidRPr="005F68D7" w:rsidR="00BA418B">
        <w:rPr>
          <w:rFonts w:ascii="Palatino Linotype" w:hAnsi="Palatino Linotype"/>
          <w:sz w:val="24"/>
          <w:szCs w:val="24"/>
        </w:rPr>
        <w:t>ommon</w:t>
      </w:r>
      <w:r w:rsidRPr="005F68D7">
        <w:rPr>
          <w:rFonts w:ascii="Palatino Linotype" w:hAnsi="Palatino Linotype"/>
          <w:sz w:val="24"/>
          <w:szCs w:val="24"/>
        </w:rPr>
        <w:t xml:space="preserve"> </w:t>
      </w:r>
      <w:r w:rsidRPr="005F68D7" w:rsidR="00066C1D">
        <w:rPr>
          <w:rFonts w:ascii="Palatino Linotype" w:hAnsi="Palatino Linotype"/>
          <w:sz w:val="24"/>
          <w:szCs w:val="24"/>
        </w:rPr>
        <w:t>M</w:t>
      </w:r>
      <w:r w:rsidRPr="005F68D7">
        <w:rPr>
          <w:rFonts w:ascii="Palatino Linotype" w:hAnsi="Palatino Linotype"/>
          <w:sz w:val="24"/>
          <w:szCs w:val="24"/>
        </w:rPr>
        <w:t>etrics that directly tie to an adopted goal</w:t>
      </w:r>
      <w:r w:rsidRPr="005F68D7" w:rsidR="00D56918">
        <w:rPr>
          <w:rFonts w:ascii="Palatino Linotype" w:hAnsi="Palatino Linotype"/>
          <w:sz w:val="24"/>
          <w:szCs w:val="24"/>
        </w:rPr>
        <w:t>, such as Total System Benefits,</w:t>
      </w:r>
      <w:r w:rsidRPr="005F68D7">
        <w:rPr>
          <w:rFonts w:ascii="Palatino Linotype" w:hAnsi="Palatino Linotype"/>
          <w:sz w:val="24"/>
          <w:szCs w:val="24"/>
        </w:rPr>
        <w:t xml:space="preserve"> </w:t>
      </w:r>
      <w:r w:rsidRPr="005F68D7" w:rsidR="008C4A29">
        <w:rPr>
          <w:rFonts w:ascii="Palatino Linotype" w:hAnsi="Palatino Linotype"/>
          <w:sz w:val="24"/>
          <w:szCs w:val="24"/>
        </w:rPr>
        <w:t>are currently</w:t>
      </w:r>
      <w:r w:rsidRPr="005F68D7">
        <w:rPr>
          <w:rFonts w:ascii="Palatino Linotype" w:hAnsi="Palatino Linotype"/>
          <w:sz w:val="24"/>
          <w:szCs w:val="24"/>
        </w:rPr>
        <w:t xml:space="preserve"> </w:t>
      </w:r>
      <w:r w:rsidRPr="005F68D7" w:rsidR="00BA418B">
        <w:rPr>
          <w:rFonts w:ascii="Palatino Linotype" w:hAnsi="Palatino Linotype"/>
          <w:sz w:val="24"/>
          <w:szCs w:val="24"/>
        </w:rPr>
        <w:t xml:space="preserve">useful </w:t>
      </w:r>
      <w:r w:rsidRPr="005F68D7">
        <w:rPr>
          <w:rFonts w:ascii="Palatino Linotype" w:hAnsi="Palatino Linotype"/>
          <w:sz w:val="24"/>
          <w:szCs w:val="24"/>
        </w:rPr>
        <w:t>as metrics.</w:t>
      </w:r>
      <w:r w:rsidRPr="005F68D7" w:rsidR="0034637B">
        <w:rPr>
          <w:rFonts w:ascii="Palatino Linotype" w:hAnsi="Palatino Linotype"/>
          <w:sz w:val="24"/>
          <w:szCs w:val="24"/>
        </w:rPr>
        <w:t xml:space="preserve"> </w:t>
      </w:r>
    </w:p>
    <w:p w:rsidRPr="005F68D7" w:rsidR="009C5BEA" w:rsidP="00A4547A" w:rsidRDefault="001879EA" w14:paraId="62B6F078" w14:textId="2B55D75D">
      <w:pPr>
        <w:pStyle w:val="standard"/>
        <w:numPr>
          <w:ilvl w:val="0"/>
          <w:numId w:val="31"/>
        </w:numPr>
        <w:spacing w:line="240" w:lineRule="auto"/>
        <w:rPr>
          <w:rFonts w:ascii="Palatino Linotype" w:hAnsi="Palatino Linotype"/>
          <w:sz w:val="24"/>
          <w:szCs w:val="24"/>
        </w:rPr>
      </w:pPr>
      <w:r w:rsidRPr="005F68D7">
        <w:rPr>
          <w:rFonts w:ascii="Palatino Linotype" w:hAnsi="Palatino Linotype"/>
          <w:sz w:val="24"/>
          <w:szCs w:val="24"/>
        </w:rPr>
        <w:lastRenderedPageBreak/>
        <w:t>If</w:t>
      </w:r>
      <w:r w:rsidRPr="005F68D7" w:rsidR="009C5BEA">
        <w:rPr>
          <w:rFonts w:ascii="Palatino Linotype" w:hAnsi="Palatino Linotype"/>
          <w:sz w:val="24"/>
          <w:szCs w:val="24"/>
        </w:rPr>
        <w:t xml:space="preserve"> Equity and Market Support goals are adopted in the future, some of the </w:t>
      </w:r>
      <w:r w:rsidRPr="005F68D7" w:rsidR="00C115DB">
        <w:rPr>
          <w:rFonts w:ascii="Palatino Linotype" w:hAnsi="Palatino Linotype"/>
          <w:sz w:val="24"/>
          <w:szCs w:val="24"/>
        </w:rPr>
        <w:t>Equity and Market Support Indicators</w:t>
      </w:r>
      <w:r w:rsidRPr="005F68D7" w:rsidR="00356EB8">
        <w:rPr>
          <w:rFonts w:ascii="Palatino Linotype" w:hAnsi="Palatino Linotype"/>
          <w:sz w:val="24"/>
          <w:szCs w:val="24"/>
        </w:rPr>
        <w:t xml:space="preserve"> might be converted to metrics</w:t>
      </w:r>
      <w:r w:rsidRPr="005F68D7" w:rsidR="004177F8">
        <w:rPr>
          <w:rFonts w:ascii="Palatino Linotype" w:hAnsi="Palatino Linotype"/>
          <w:sz w:val="24"/>
          <w:szCs w:val="24"/>
        </w:rPr>
        <w:t xml:space="preserve"> with baselines and targets.</w:t>
      </w:r>
    </w:p>
    <w:p w:rsidRPr="005F68D7" w:rsidR="00BE2900" w:rsidP="00902847" w:rsidRDefault="00BE2900" w14:paraId="3389A847" w14:textId="77777777">
      <w:pPr>
        <w:pStyle w:val="standard"/>
        <w:spacing w:line="240" w:lineRule="auto"/>
        <w:ind w:firstLine="0"/>
        <w:jc w:val="both"/>
        <w:rPr>
          <w:rFonts w:ascii="Palatino Linotype" w:hAnsi="Palatino Linotype"/>
          <w:sz w:val="24"/>
          <w:szCs w:val="24"/>
        </w:rPr>
      </w:pPr>
    </w:p>
    <w:p w:rsidRPr="005F68D7" w:rsidR="001C538D" w:rsidP="00AF327A" w:rsidRDefault="001C538D" w14:paraId="69456281" w14:textId="77777777">
      <w:pPr>
        <w:pStyle w:val="Heading1"/>
        <w:spacing w:before="0" w:after="0"/>
        <w:jc w:val="both"/>
        <w:rPr>
          <w:rFonts w:ascii="Palatino Linotype" w:hAnsi="Palatino Linotype"/>
          <w:sz w:val="24"/>
          <w:szCs w:val="24"/>
        </w:rPr>
      </w:pPr>
      <w:r w:rsidRPr="005F68D7">
        <w:rPr>
          <w:rFonts w:ascii="Palatino Linotype" w:hAnsi="Palatino Linotype"/>
          <w:sz w:val="24"/>
          <w:szCs w:val="24"/>
        </w:rPr>
        <w:t>Therefore it is ordered that:</w:t>
      </w:r>
    </w:p>
    <w:p w:rsidRPr="005F68D7" w:rsidR="69979F05" w:rsidP="00A4547A" w:rsidRDefault="0ADA6478" w14:paraId="18453DB6" w14:textId="359C8855">
      <w:pPr>
        <w:pStyle w:val="ListParagraph"/>
        <w:numPr>
          <w:ilvl w:val="0"/>
          <w:numId w:val="32"/>
        </w:numPr>
        <w:rPr>
          <w:rFonts w:ascii="Palatino Linotype" w:hAnsi="Palatino Linotype"/>
          <w:sz w:val="24"/>
          <w:szCs w:val="24"/>
        </w:rPr>
      </w:pPr>
      <w:r w:rsidRPr="005F68D7">
        <w:rPr>
          <w:rFonts w:ascii="Palatino Linotype" w:hAnsi="Palatino Linotype"/>
          <w:sz w:val="24"/>
          <w:szCs w:val="24"/>
        </w:rPr>
        <w:t xml:space="preserve">SDG&amp;E’s Advice Letter 4438-E/ 3299-G et al. </w:t>
      </w:r>
      <w:r w:rsidRPr="005F68D7" w:rsidR="1EB3BB47">
        <w:rPr>
          <w:rFonts w:ascii="Palatino Linotype" w:hAnsi="Palatino Linotype"/>
          <w:sz w:val="24"/>
          <w:szCs w:val="24"/>
        </w:rPr>
        <w:t>i</w:t>
      </w:r>
      <w:r w:rsidRPr="005F68D7">
        <w:rPr>
          <w:rFonts w:ascii="Palatino Linotype" w:hAnsi="Palatino Linotype"/>
          <w:sz w:val="24"/>
          <w:szCs w:val="24"/>
        </w:rPr>
        <w:t>s approved, with modificatio</w:t>
      </w:r>
      <w:r w:rsidRPr="005F68D7" w:rsidR="166BA347">
        <w:rPr>
          <w:rFonts w:ascii="Palatino Linotype" w:hAnsi="Palatino Linotype"/>
          <w:sz w:val="24"/>
          <w:szCs w:val="24"/>
        </w:rPr>
        <w:t>n</w:t>
      </w:r>
      <w:r w:rsidRPr="005F68D7">
        <w:rPr>
          <w:rFonts w:ascii="Palatino Linotype" w:hAnsi="Palatino Linotype"/>
          <w:sz w:val="24"/>
          <w:szCs w:val="24"/>
        </w:rPr>
        <w:t>, as expressed herein.</w:t>
      </w:r>
    </w:p>
    <w:p w:rsidRPr="005F68D7" w:rsidR="00AD4162" w:rsidP="00A4547A" w:rsidRDefault="00AD4162" w14:paraId="3271C30E" w14:textId="1E1B3B59">
      <w:pPr>
        <w:pStyle w:val="ListParagraph"/>
        <w:numPr>
          <w:ilvl w:val="0"/>
          <w:numId w:val="32"/>
        </w:numPr>
        <w:rPr>
          <w:rFonts w:ascii="Palatino Linotype" w:hAnsi="Palatino Linotype"/>
          <w:sz w:val="24"/>
          <w:szCs w:val="24"/>
        </w:rPr>
      </w:pPr>
      <w:r w:rsidRPr="005F68D7">
        <w:rPr>
          <w:rFonts w:ascii="Palatino Linotype" w:hAnsi="Palatino Linotype"/>
          <w:sz w:val="24"/>
          <w:szCs w:val="24"/>
        </w:rPr>
        <w:t xml:space="preserve">The Equity Segment Indicators </w:t>
      </w:r>
      <w:r w:rsidRPr="005F68D7" w:rsidR="00EF1BA5">
        <w:rPr>
          <w:rFonts w:ascii="Palatino Linotype" w:hAnsi="Palatino Linotype"/>
          <w:sz w:val="24"/>
          <w:szCs w:val="24"/>
        </w:rPr>
        <w:t>outlined in</w:t>
      </w:r>
      <w:r w:rsidRPr="005F68D7">
        <w:rPr>
          <w:rFonts w:ascii="Palatino Linotype" w:hAnsi="Palatino Linotype"/>
          <w:sz w:val="24"/>
          <w:szCs w:val="24"/>
        </w:rPr>
        <w:t xml:space="preserve"> </w:t>
      </w:r>
      <w:r w:rsidRPr="005F68D7" w:rsidR="009E4E2B">
        <w:rPr>
          <w:rFonts w:ascii="Palatino Linotype" w:hAnsi="Palatino Linotype"/>
          <w:sz w:val="24"/>
          <w:szCs w:val="24"/>
        </w:rPr>
        <w:t>Appendix B</w:t>
      </w:r>
      <w:r w:rsidRPr="005F68D7" w:rsidR="00EF1BA5">
        <w:rPr>
          <w:rFonts w:ascii="Palatino Linotype" w:hAnsi="Palatino Linotype"/>
          <w:sz w:val="24"/>
          <w:szCs w:val="24"/>
        </w:rPr>
        <w:t xml:space="preserve"> </w:t>
      </w:r>
      <w:r w:rsidRPr="005F68D7">
        <w:rPr>
          <w:rFonts w:ascii="Palatino Linotype" w:hAnsi="Palatino Linotype"/>
          <w:sz w:val="24"/>
          <w:szCs w:val="24"/>
        </w:rPr>
        <w:t>are</w:t>
      </w:r>
      <w:r w:rsidRPr="005F68D7" w:rsidR="00EF1BA5">
        <w:rPr>
          <w:rFonts w:ascii="Palatino Linotype" w:hAnsi="Palatino Linotype"/>
          <w:sz w:val="24"/>
          <w:szCs w:val="24"/>
        </w:rPr>
        <w:t xml:space="preserve"> </w:t>
      </w:r>
      <w:r w:rsidRPr="005F68D7" w:rsidR="00CB52C1">
        <w:rPr>
          <w:rFonts w:ascii="Palatino Linotype" w:hAnsi="Palatino Linotype"/>
          <w:sz w:val="24"/>
          <w:szCs w:val="24"/>
        </w:rPr>
        <w:t xml:space="preserve">updated and clarified as </w:t>
      </w:r>
      <w:r w:rsidRPr="005F68D7" w:rsidR="00341EF6">
        <w:rPr>
          <w:rFonts w:ascii="Palatino Linotype" w:hAnsi="Palatino Linotype"/>
          <w:sz w:val="24"/>
          <w:szCs w:val="24"/>
        </w:rPr>
        <w:t>described</w:t>
      </w:r>
      <w:r w:rsidRPr="005F68D7" w:rsidR="00A845BE">
        <w:rPr>
          <w:rFonts w:ascii="Palatino Linotype" w:hAnsi="Palatino Linotype"/>
          <w:sz w:val="24"/>
          <w:szCs w:val="24"/>
        </w:rPr>
        <w:t xml:space="preserve"> in this resolution</w:t>
      </w:r>
      <w:r w:rsidRPr="005F68D7" w:rsidR="00EF1BA5">
        <w:rPr>
          <w:rFonts w:ascii="Palatino Linotype" w:hAnsi="Palatino Linotype"/>
          <w:sz w:val="24"/>
          <w:szCs w:val="24"/>
        </w:rPr>
        <w:t>.</w:t>
      </w:r>
    </w:p>
    <w:p w:rsidRPr="005F68D7" w:rsidR="00AD4162" w:rsidP="00A4547A" w:rsidRDefault="00AD4162" w14:paraId="0A506260" w14:textId="7ED5E2F6">
      <w:pPr>
        <w:pStyle w:val="ListParagraph"/>
        <w:numPr>
          <w:ilvl w:val="0"/>
          <w:numId w:val="32"/>
        </w:numPr>
        <w:rPr>
          <w:rFonts w:ascii="Palatino Linotype" w:hAnsi="Palatino Linotype"/>
          <w:sz w:val="24"/>
          <w:szCs w:val="24"/>
        </w:rPr>
      </w:pPr>
      <w:r w:rsidRPr="005F68D7">
        <w:rPr>
          <w:rFonts w:ascii="Palatino Linotype" w:hAnsi="Palatino Linotype"/>
          <w:sz w:val="24"/>
          <w:szCs w:val="24"/>
        </w:rPr>
        <w:t xml:space="preserve">The Market Support Indicators </w:t>
      </w:r>
      <w:r w:rsidRPr="005F68D7" w:rsidR="00EF1BA5">
        <w:rPr>
          <w:rFonts w:ascii="Palatino Linotype" w:hAnsi="Palatino Linotype"/>
          <w:sz w:val="24"/>
          <w:szCs w:val="24"/>
        </w:rPr>
        <w:t>outlined</w:t>
      </w:r>
      <w:r w:rsidRPr="005F68D7">
        <w:rPr>
          <w:rFonts w:ascii="Palatino Linotype" w:hAnsi="Palatino Linotype"/>
          <w:sz w:val="24"/>
          <w:szCs w:val="24"/>
        </w:rPr>
        <w:t xml:space="preserve"> in </w:t>
      </w:r>
      <w:r w:rsidRPr="005F68D7" w:rsidR="009E4E2B">
        <w:rPr>
          <w:rFonts w:ascii="Palatino Linotype" w:hAnsi="Palatino Linotype"/>
          <w:sz w:val="24"/>
          <w:szCs w:val="24"/>
        </w:rPr>
        <w:t>Appendix B</w:t>
      </w:r>
      <w:r w:rsidRPr="005F68D7" w:rsidR="00396F3F">
        <w:rPr>
          <w:rFonts w:ascii="Palatino Linotype" w:hAnsi="Palatino Linotype"/>
          <w:sz w:val="24"/>
          <w:szCs w:val="24"/>
        </w:rPr>
        <w:t xml:space="preserve"> are updated and clarified as described in this resolution.</w:t>
      </w:r>
      <w:r w:rsidRPr="005F68D7">
        <w:rPr>
          <w:rFonts w:ascii="Palatino Linotype" w:hAnsi="Palatino Linotype"/>
          <w:sz w:val="24"/>
          <w:szCs w:val="24"/>
        </w:rPr>
        <w:t xml:space="preserve"> </w:t>
      </w:r>
    </w:p>
    <w:p w:rsidRPr="005F68D7" w:rsidR="00F94DAC" w:rsidP="00A4547A" w:rsidRDefault="00825F78" w14:paraId="0351137A" w14:textId="7DD791FC">
      <w:pPr>
        <w:pStyle w:val="ListParagraph"/>
        <w:numPr>
          <w:ilvl w:val="0"/>
          <w:numId w:val="32"/>
        </w:numPr>
        <w:rPr>
          <w:rFonts w:ascii="Palatino Linotype" w:hAnsi="Palatino Linotype"/>
          <w:sz w:val="24"/>
          <w:szCs w:val="24"/>
        </w:rPr>
      </w:pPr>
      <w:r w:rsidRPr="005F68D7">
        <w:rPr>
          <w:rFonts w:ascii="Palatino Linotype" w:hAnsi="Palatino Linotype"/>
          <w:sz w:val="24"/>
          <w:szCs w:val="24"/>
        </w:rPr>
        <w:t xml:space="preserve">The Common Metrics </w:t>
      </w:r>
      <w:r w:rsidRPr="005F68D7" w:rsidR="00396F3F">
        <w:rPr>
          <w:rFonts w:ascii="Palatino Linotype" w:hAnsi="Palatino Linotype"/>
          <w:sz w:val="24"/>
          <w:szCs w:val="24"/>
        </w:rPr>
        <w:t xml:space="preserve">outlined in </w:t>
      </w:r>
      <w:r w:rsidRPr="005F68D7" w:rsidR="009E4E2B">
        <w:rPr>
          <w:rFonts w:ascii="Palatino Linotype" w:hAnsi="Palatino Linotype"/>
          <w:sz w:val="24"/>
          <w:szCs w:val="24"/>
        </w:rPr>
        <w:t>Appendix B</w:t>
      </w:r>
      <w:r w:rsidRPr="005F68D7" w:rsidR="00396F3F">
        <w:rPr>
          <w:rFonts w:ascii="Palatino Linotype" w:hAnsi="Palatino Linotype"/>
          <w:sz w:val="24"/>
          <w:szCs w:val="24"/>
        </w:rPr>
        <w:t xml:space="preserve"> are updated and clarified as described in this resolution.</w:t>
      </w:r>
    </w:p>
    <w:p w:rsidRPr="005F68D7" w:rsidR="00D84504" w:rsidP="00A4547A" w:rsidRDefault="00BB0280" w14:paraId="005C7DFF" w14:textId="61DA0079">
      <w:pPr>
        <w:pStyle w:val="ListParagraph"/>
        <w:numPr>
          <w:ilvl w:val="0"/>
          <w:numId w:val="32"/>
        </w:numPr>
        <w:rPr>
          <w:rFonts w:ascii="Palatino Linotype" w:hAnsi="Palatino Linotype"/>
          <w:sz w:val="24"/>
          <w:szCs w:val="24"/>
        </w:rPr>
      </w:pPr>
      <w:r w:rsidRPr="005F68D7">
        <w:rPr>
          <w:rFonts w:ascii="Palatino Linotype" w:hAnsi="Palatino Linotype"/>
          <w:sz w:val="24"/>
          <w:szCs w:val="24"/>
        </w:rPr>
        <w:t xml:space="preserve">These Equity Segment Indicators, </w:t>
      </w:r>
      <w:r w:rsidRPr="005F68D7" w:rsidR="001E0C49">
        <w:rPr>
          <w:rFonts w:ascii="Palatino Linotype" w:hAnsi="Palatino Linotype"/>
          <w:sz w:val="24"/>
          <w:szCs w:val="24"/>
        </w:rPr>
        <w:t xml:space="preserve">Market Support Indicators, and Common Metrics </w:t>
      </w:r>
      <w:r w:rsidRPr="005F68D7" w:rsidR="00395A5D">
        <w:rPr>
          <w:rFonts w:ascii="Palatino Linotype" w:hAnsi="Palatino Linotype"/>
          <w:sz w:val="24"/>
          <w:szCs w:val="24"/>
        </w:rPr>
        <w:t>revise</w:t>
      </w:r>
      <w:r w:rsidRPr="005F68D7" w:rsidR="005E78E2">
        <w:rPr>
          <w:rFonts w:ascii="Palatino Linotype" w:hAnsi="Palatino Linotype"/>
          <w:sz w:val="24"/>
          <w:szCs w:val="24"/>
        </w:rPr>
        <w:t xml:space="preserve"> and </w:t>
      </w:r>
      <w:r w:rsidRPr="005F68D7" w:rsidR="00D84504">
        <w:rPr>
          <w:rFonts w:ascii="Palatino Linotype" w:hAnsi="Palatino Linotype"/>
          <w:sz w:val="24"/>
          <w:szCs w:val="24"/>
        </w:rPr>
        <w:t>refine</w:t>
      </w:r>
      <w:r w:rsidRPr="005F68D7" w:rsidR="005E78E2">
        <w:rPr>
          <w:rFonts w:ascii="Palatino Linotype" w:hAnsi="Palatino Linotype"/>
          <w:sz w:val="24"/>
          <w:szCs w:val="24"/>
        </w:rPr>
        <w:t xml:space="preserve"> </w:t>
      </w:r>
      <w:r w:rsidRPr="005F68D7" w:rsidR="00342ECB">
        <w:rPr>
          <w:rFonts w:ascii="Palatino Linotype" w:hAnsi="Palatino Linotype"/>
          <w:sz w:val="24"/>
          <w:szCs w:val="24"/>
        </w:rPr>
        <w:t xml:space="preserve">the </w:t>
      </w:r>
      <w:r w:rsidRPr="005F68D7" w:rsidR="008E069D">
        <w:rPr>
          <w:rFonts w:ascii="Palatino Linotype" w:hAnsi="Palatino Linotype"/>
          <w:sz w:val="24"/>
          <w:szCs w:val="24"/>
        </w:rPr>
        <w:t>Indicators and Metrics adopted in D.23-06-055</w:t>
      </w:r>
      <w:r w:rsidRPr="005F68D7" w:rsidR="005701FC">
        <w:rPr>
          <w:rFonts w:ascii="Palatino Linotype" w:hAnsi="Palatino Linotype"/>
          <w:sz w:val="24"/>
          <w:szCs w:val="24"/>
        </w:rPr>
        <w:t xml:space="preserve"> and D.18-05-041</w:t>
      </w:r>
      <w:r w:rsidRPr="005F68D7" w:rsidR="008E069D">
        <w:rPr>
          <w:rFonts w:ascii="Palatino Linotype" w:hAnsi="Palatino Linotype"/>
          <w:sz w:val="24"/>
          <w:szCs w:val="24"/>
        </w:rPr>
        <w:t>.</w:t>
      </w:r>
    </w:p>
    <w:p w:rsidRPr="005F68D7" w:rsidR="00BB0280" w:rsidP="00A4547A" w:rsidRDefault="005F39A1" w14:paraId="432F0B8F" w14:textId="4AE08C5C">
      <w:pPr>
        <w:pStyle w:val="ListParagraph"/>
        <w:numPr>
          <w:ilvl w:val="0"/>
          <w:numId w:val="32"/>
        </w:numPr>
        <w:rPr>
          <w:rFonts w:ascii="Palatino Linotype" w:hAnsi="Palatino Linotype"/>
          <w:sz w:val="24"/>
          <w:szCs w:val="24"/>
        </w:rPr>
      </w:pPr>
      <w:r w:rsidRPr="005F68D7">
        <w:rPr>
          <w:rFonts w:ascii="Palatino Linotype" w:hAnsi="Palatino Linotype"/>
          <w:sz w:val="24"/>
          <w:szCs w:val="24"/>
        </w:rPr>
        <w:t xml:space="preserve">This Resolution clarifies </w:t>
      </w:r>
      <w:r w:rsidRPr="005F68D7" w:rsidR="0098184B">
        <w:rPr>
          <w:rFonts w:ascii="Palatino Linotype" w:hAnsi="Palatino Linotype"/>
          <w:sz w:val="24"/>
          <w:szCs w:val="24"/>
        </w:rPr>
        <w:t xml:space="preserve">and </w:t>
      </w:r>
      <w:r w:rsidRPr="005F68D7">
        <w:rPr>
          <w:rFonts w:ascii="Palatino Linotype" w:hAnsi="Palatino Linotype"/>
          <w:sz w:val="24"/>
          <w:szCs w:val="24"/>
        </w:rPr>
        <w:t>revises adopted</w:t>
      </w:r>
      <w:r w:rsidRPr="005F68D7" w:rsidR="008E069D">
        <w:rPr>
          <w:rFonts w:ascii="Palatino Linotype" w:hAnsi="Palatino Linotype"/>
          <w:sz w:val="24"/>
          <w:szCs w:val="24"/>
        </w:rPr>
        <w:t xml:space="preserve"> </w:t>
      </w:r>
      <w:r w:rsidRPr="005F68D7">
        <w:rPr>
          <w:rFonts w:ascii="Palatino Linotype" w:hAnsi="Palatino Linotype"/>
          <w:sz w:val="24"/>
          <w:szCs w:val="24"/>
        </w:rPr>
        <w:t>Equity Segment</w:t>
      </w:r>
      <w:r w:rsidRPr="005F68D7" w:rsidR="005E78E2">
        <w:rPr>
          <w:rFonts w:ascii="Palatino Linotype" w:hAnsi="Palatino Linotype"/>
          <w:sz w:val="24"/>
          <w:szCs w:val="24"/>
        </w:rPr>
        <w:t xml:space="preserve"> </w:t>
      </w:r>
      <w:r w:rsidRPr="005F68D7" w:rsidR="005B580F">
        <w:rPr>
          <w:rFonts w:ascii="Palatino Linotype" w:hAnsi="Palatino Linotype"/>
          <w:sz w:val="24"/>
          <w:szCs w:val="24"/>
        </w:rPr>
        <w:t>I</w:t>
      </w:r>
      <w:r w:rsidRPr="005F68D7" w:rsidR="00D84504">
        <w:rPr>
          <w:rFonts w:ascii="Palatino Linotype" w:hAnsi="Palatino Linotype"/>
          <w:sz w:val="24"/>
          <w:szCs w:val="24"/>
        </w:rPr>
        <w:t>ndicators</w:t>
      </w:r>
      <w:r w:rsidRPr="005F68D7">
        <w:rPr>
          <w:rFonts w:ascii="Palatino Linotype" w:hAnsi="Palatino Linotype"/>
          <w:sz w:val="24"/>
          <w:szCs w:val="24"/>
        </w:rPr>
        <w:t xml:space="preserve">, Market Support </w:t>
      </w:r>
      <w:r w:rsidRPr="005F68D7" w:rsidR="005B580F">
        <w:rPr>
          <w:rFonts w:ascii="Palatino Linotype" w:hAnsi="Palatino Linotype"/>
          <w:sz w:val="24"/>
          <w:szCs w:val="24"/>
        </w:rPr>
        <w:t>I</w:t>
      </w:r>
      <w:r w:rsidRPr="005F68D7" w:rsidR="00D84504">
        <w:rPr>
          <w:rFonts w:ascii="Palatino Linotype" w:hAnsi="Palatino Linotype"/>
          <w:sz w:val="24"/>
          <w:szCs w:val="24"/>
        </w:rPr>
        <w:t>ndicators</w:t>
      </w:r>
      <w:r w:rsidRPr="005F68D7">
        <w:rPr>
          <w:rFonts w:ascii="Palatino Linotype" w:hAnsi="Palatino Linotype"/>
          <w:sz w:val="24"/>
          <w:szCs w:val="24"/>
        </w:rPr>
        <w:t>,</w:t>
      </w:r>
      <w:r w:rsidRPr="005F68D7" w:rsidR="00D84504">
        <w:rPr>
          <w:rFonts w:ascii="Palatino Linotype" w:hAnsi="Palatino Linotype"/>
          <w:sz w:val="24"/>
          <w:szCs w:val="24"/>
        </w:rPr>
        <w:t xml:space="preserve"> and Common Metrics</w:t>
      </w:r>
      <w:r w:rsidRPr="005F68D7" w:rsidR="001B6182">
        <w:rPr>
          <w:rFonts w:ascii="Palatino Linotype" w:hAnsi="Palatino Linotype"/>
          <w:sz w:val="24"/>
          <w:szCs w:val="24"/>
        </w:rPr>
        <w:t xml:space="preserve"> for </w:t>
      </w:r>
      <w:r w:rsidRPr="005F68D7" w:rsidR="00C13F30">
        <w:rPr>
          <w:rFonts w:ascii="Palatino Linotype" w:hAnsi="Palatino Linotype"/>
          <w:sz w:val="24"/>
          <w:szCs w:val="24"/>
        </w:rPr>
        <w:t xml:space="preserve">use by all Portfolio Administrators. </w:t>
      </w:r>
      <w:r w:rsidRPr="005F68D7" w:rsidR="00D84504">
        <w:rPr>
          <w:rFonts w:ascii="Palatino Linotype" w:hAnsi="Palatino Linotype"/>
          <w:sz w:val="24"/>
          <w:szCs w:val="24"/>
        </w:rPr>
        <w:t xml:space="preserve"> </w:t>
      </w:r>
      <w:r w:rsidRPr="005F68D7" w:rsidR="005E78E2">
        <w:rPr>
          <w:rFonts w:ascii="Palatino Linotype" w:hAnsi="Palatino Linotype"/>
          <w:sz w:val="24"/>
          <w:szCs w:val="24"/>
        </w:rPr>
        <w:t xml:space="preserve"> </w:t>
      </w:r>
    </w:p>
    <w:p w:rsidRPr="005F68D7" w:rsidR="7CE6C3A1" w:rsidP="00A4547A" w:rsidRDefault="51F69092" w14:paraId="03F6451C" w14:textId="74553FA7">
      <w:pPr>
        <w:pStyle w:val="ListParagraph"/>
        <w:numPr>
          <w:ilvl w:val="0"/>
          <w:numId w:val="32"/>
        </w:numPr>
        <w:rPr>
          <w:rFonts w:ascii="Palatino Linotype" w:hAnsi="Palatino Linotype"/>
          <w:sz w:val="24"/>
          <w:szCs w:val="24"/>
        </w:rPr>
      </w:pPr>
      <w:r w:rsidRPr="005F68D7">
        <w:rPr>
          <w:rFonts w:ascii="Palatino Linotype" w:hAnsi="Palatino Linotype"/>
          <w:sz w:val="24"/>
          <w:szCs w:val="24"/>
        </w:rPr>
        <w:t xml:space="preserve">The Portfolio Administrators shall </w:t>
      </w:r>
      <w:r w:rsidRPr="005F68D7" w:rsidR="002153A8">
        <w:rPr>
          <w:rFonts w:ascii="Palatino Linotype" w:hAnsi="Palatino Linotype"/>
          <w:sz w:val="24"/>
          <w:szCs w:val="24"/>
        </w:rPr>
        <w:t xml:space="preserve">collaborate via the Reporting PCG to develop a </w:t>
      </w:r>
      <w:r w:rsidRPr="005F68D7">
        <w:rPr>
          <w:rFonts w:ascii="Palatino Linotype" w:hAnsi="Palatino Linotype"/>
          <w:sz w:val="24"/>
          <w:szCs w:val="24"/>
        </w:rPr>
        <w:t xml:space="preserve">common methodology for </w:t>
      </w:r>
      <w:r w:rsidRPr="005F68D7" w:rsidR="4AB9ED36">
        <w:rPr>
          <w:rFonts w:ascii="Palatino Linotype" w:hAnsi="Palatino Linotype"/>
          <w:sz w:val="24"/>
          <w:szCs w:val="24"/>
        </w:rPr>
        <w:t xml:space="preserve">estimated </w:t>
      </w:r>
      <w:r w:rsidRPr="005F68D7">
        <w:rPr>
          <w:rFonts w:ascii="Palatino Linotype" w:hAnsi="Palatino Linotype"/>
          <w:sz w:val="24"/>
          <w:szCs w:val="24"/>
        </w:rPr>
        <w:t>bill savings</w:t>
      </w:r>
      <w:r w:rsidRPr="005F68D7" w:rsidR="009E58B8">
        <w:rPr>
          <w:rStyle w:val="CommentReference"/>
          <w:rFonts w:ascii="Palatino Linotype" w:hAnsi="Palatino Linotype"/>
          <w:sz w:val="24"/>
          <w:szCs w:val="24"/>
        </w:rPr>
        <w:t>.</w:t>
      </w:r>
    </w:p>
    <w:p w:rsidRPr="005F68D7" w:rsidR="4E144FEE" w:rsidP="00A4547A" w:rsidRDefault="4E144FEE" w14:paraId="2F40D31F" w14:textId="393A514E">
      <w:pPr>
        <w:pStyle w:val="ListParagraph"/>
        <w:numPr>
          <w:ilvl w:val="0"/>
          <w:numId w:val="32"/>
        </w:numPr>
        <w:rPr>
          <w:rFonts w:ascii="Palatino Linotype" w:hAnsi="Palatino Linotype"/>
          <w:sz w:val="24"/>
          <w:szCs w:val="24"/>
        </w:rPr>
      </w:pPr>
      <w:r w:rsidRPr="005F68D7">
        <w:rPr>
          <w:rFonts w:ascii="Palatino Linotype" w:hAnsi="Palatino Linotype"/>
          <w:sz w:val="24"/>
          <w:szCs w:val="24"/>
        </w:rPr>
        <w:t>The lead PA of a Statewide energy efficiency program shall count/calculate the number of customers served by the program in the location they were served and provide those values to the respective IOUs. Where there are split electric/gas utilities, both utilities will be able to count the participant.</w:t>
      </w:r>
    </w:p>
    <w:p w:rsidRPr="005F68D7" w:rsidR="58AD15CA" w:rsidP="00A4547A" w:rsidRDefault="58AD15CA" w14:paraId="2DE2D840" w14:textId="0570D4A3">
      <w:pPr>
        <w:pStyle w:val="ListParagraph"/>
        <w:numPr>
          <w:ilvl w:val="0"/>
          <w:numId w:val="32"/>
        </w:numPr>
        <w:rPr>
          <w:rFonts w:ascii="Palatino Linotype" w:hAnsi="Palatino Linotype"/>
          <w:sz w:val="24"/>
          <w:szCs w:val="24"/>
        </w:rPr>
      </w:pPr>
      <w:r w:rsidRPr="005F68D7">
        <w:rPr>
          <w:rFonts w:ascii="Palatino Linotype" w:hAnsi="Palatino Linotype"/>
          <w:sz w:val="24"/>
          <w:szCs w:val="24"/>
        </w:rPr>
        <w:t>For non-ratepayer in-kind funds and contributions, documentation shall be available from the Portfolio Administrators upon request and summarized in their annual reports.</w:t>
      </w:r>
    </w:p>
    <w:p w:rsidRPr="005F68D7" w:rsidR="36F25FD2" w:rsidP="00A4547A" w:rsidRDefault="36F25FD2" w14:paraId="51DA24EA" w14:textId="2EBF49FF">
      <w:pPr>
        <w:pStyle w:val="ListParagraph"/>
        <w:numPr>
          <w:ilvl w:val="0"/>
          <w:numId w:val="32"/>
        </w:numPr>
        <w:rPr>
          <w:rFonts w:ascii="Palatino Linotype" w:hAnsi="Palatino Linotype"/>
          <w:sz w:val="24"/>
          <w:szCs w:val="24"/>
        </w:rPr>
      </w:pPr>
      <w:r w:rsidRPr="005F68D7">
        <w:rPr>
          <w:rFonts w:ascii="Palatino Linotype" w:hAnsi="Palatino Linotype"/>
          <w:sz w:val="24"/>
          <w:szCs w:val="24"/>
        </w:rPr>
        <w:t xml:space="preserve">If a Portfolio Administrator would like to reinstitute an indicator or metric, they can </w:t>
      </w:r>
      <w:r w:rsidRPr="005F68D7" w:rsidR="008A4EF2">
        <w:rPr>
          <w:rFonts w:ascii="Palatino Linotype" w:hAnsi="Palatino Linotype"/>
          <w:sz w:val="24"/>
          <w:szCs w:val="24"/>
        </w:rPr>
        <w:t>submit a Tier</w:t>
      </w:r>
      <w:r w:rsidRPr="005F68D7" w:rsidR="00C56FF2">
        <w:rPr>
          <w:rFonts w:ascii="Palatino Linotype" w:hAnsi="Palatino Linotype"/>
          <w:sz w:val="24"/>
          <w:szCs w:val="24"/>
        </w:rPr>
        <w:t xml:space="preserve"> </w:t>
      </w:r>
      <w:r w:rsidRPr="005F68D7" w:rsidR="008A4EF2">
        <w:rPr>
          <w:rFonts w:ascii="Palatino Linotype" w:hAnsi="Palatino Linotype"/>
          <w:sz w:val="24"/>
          <w:szCs w:val="24"/>
        </w:rPr>
        <w:t xml:space="preserve">2 </w:t>
      </w:r>
      <w:r w:rsidRPr="005F68D7" w:rsidR="00C34AB6">
        <w:rPr>
          <w:rFonts w:ascii="Palatino Linotype" w:hAnsi="Palatino Linotype"/>
          <w:sz w:val="24"/>
          <w:szCs w:val="24"/>
        </w:rPr>
        <w:t>advice letter with their request.</w:t>
      </w:r>
    </w:p>
    <w:p w:rsidR="00A823F4" w:rsidP="0080174C" w:rsidRDefault="00A823F4" w14:paraId="2872F144" w14:textId="77777777">
      <w:pPr>
        <w:jc w:val="both"/>
        <w:rPr>
          <w:rFonts w:ascii="Palatino Linotype" w:hAnsi="Palatino Linotype"/>
          <w:sz w:val="24"/>
          <w:szCs w:val="24"/>
        </w:rPr>
      </w:pPr>
    </w:p>
    <w:p w:rsidR="00C71D88" w:rsidP="0080174C" w:rsidRDefault="00C71D88" w14:paraId="44101237" w14:textId="77777777">
      <w:pPr>
        <w:jc w:val="both"/>
        <w:rPr>
          <w:rFonts w:ascii="Palatino Linotype" w:hAnsi="Palatino Linotype"/>
          <w:sz w:val="24"/>
          <w:szCs w:val="24"/>
        </w:rPr>
      </w:pPr>
      <w:r>
        <w:rPr>
          <w:rFonts w:ascii="Palatino Linotype" w:hAnsi="Palatino Linotype"/>
          <w:sz w:val="24"/>
          <w:szCs w:val="24"/>
        </w:rPr>
        <w:br/>
      </w:r>
    </w:p>
    <w:p w:rsidR="00C71D88" w:rsidRDefault="00C71D88" w14:paraId="507817D4" w14:textId="77777777">
      <w:pPr>
        <w:rPr>
          <w:rFonts w:ascii="Palatino Linotype" w:hAnsi="Palatino Linotype"/>
          <w:sz w:val="24"/>
          <w:szCs w:val="24"/>
        </w:rPr>
      </w:pPr>
      <w:r>
        <w:rPr>
          <w:rFonts w:ascii="Palatino Linotype" w:hAnsi="Palatino Linotype"/>
          <w:sz w:val="24"/>
          <w:szCs w:val="24"/>
        </w:rPr>
        <w:br w:type="page"/>
      </w:r>
    </w:p>
    <w:p w:rsidRPr="0080174C" w:rsidR="0080174C" w:rsidP="0080174C" w:rsidRDefault="0080174C" w14:paraId="26222CE8" w14:textId="3797AA96">
      <w:pPr>
        <w:jc w:val="both"/>
        <w:rPr>
          <w:rFonts w:ascii="Palatino Linotype" w:hAnsi="Palatino Linotype"/>
          <w:sz w:val="24"/>
          <w:szCs w:val="24"/>
        </w:rPr>
      </w:pPr>
      <w:r w:rsidRPr="0080174C">
        <w:rPr>
          <w:rFonts w:ascii="Palatino Linotype" w:hAnsi="Palatino Linotype"/>
          <w:sz w:val="24"/>
          <w:szCs w:val="24"/>
        </w:rPr>
        <w:lastRenderedPageBreak/>
        <w:t>This Resolution is effective today.</w:t>
      </w:r>
    </w:p>
    <w:p w:rsidRPr="0080174C" w:rsidR="0080174C" w:rsidP="0080174C" w:rsidRDefault="0080174C" w14:paraId="08217E1A" w14:textId="77777777">
      <w:pPr>
        <w:jc w:val="both"/>
        <w:rPr>
          <w:rFonts w:ascii="Palatino Linotype" w:hAnsi="Palatino Linotype"/>
          <w:sz w:val="24"/>
          <w:szCs w:val="24"/>
        </w:rPr>
      </w:pPr>
    </w:p>
    <w:p w:rsidRPr="0080174C" w:rsidR="0080174C" w:rsidP="0080174C" w:rsidRDefault="0080174C" w14:paraId="07EF594E" w14:textId="77777777">
      <w:pPr>
        <w:jc w:val="both"/>
        <w:rPr>
          <w:rFonts w:ascii="Palatino Linotype" w:hAnsi="Palatino Linotype"/>
          <w:sz w:val="24"/>
          <w:szCs w:val="24"/>
        </w:rPr>
      </w:pPr>
      <w:r w:rsidRPr="0080174C">
        <w:rPr>
          <w:rFonts w:ascii="Palatino Linotype" w:hAnsi="Palatino Linotype"/>
          <w:sz w:val="24"/>
          <w:szCs w:val="24"/>
        </w:rPr>
        <w:t>The foregoing resolution was duly introduced, passed, and adopted at a conference of the Public Utilities Commission of the State of California held on June 12, 2025; the following Commissioners voting favorably thereon:</w:t>
      </w:r>
    </w:p>
    <w:p w:rsidRPr="0080174C" w:rsidR="0080174C" w:rsidP="0080174C" w:rsidRDefault="0080174C" w14:paraId="0441BF1C" w14:textId="77777777">
      <w:pPr>
        <w:jc w:val="both"/>
        <w:rPr>
          <w:rFonts w:ascii="Palatino Linotype" w:hAnsi="Palatino Linotype"/>
          <w:sz w:val="24"/>
          <w:szCs w:val="24"/>
        </w:rPr>
      </w:pPr>
    </w:p>
    <w:p w:rsidRPr="0080174C" w:rsidR="0080174C" w:rsidP="0080174C" w:rsidRDefault="0080174C" w14:paraId="694D4A5E" w14:textId="77777777">
      <w:pPr>
        <w:jc w:val="right"/>
        <w:rPr>
          <w:rFonts w:ascii="Palatino Linotype" w:hAnsi="Palatino Linotype"/>
          <w:sz w:val="24"/>
          <w:szCs w:val="24"/>
        </w:rPr>
      </w:pPr>
      <w:r w:rsidRPr="0080174C">
        <w:rPr>
          <w:rFonts w:ascii="Palatino Linotype" w:hAnsi="Palatino Linotype"/>
          <w:sz w:val="24"/>
          <w:szCs w:val="24"/>
        </w:rPr>
        <w:t xml:space="preserve">Commissioner Signature blocks to be added </w:t>
      </w:r>
    </w:p>
    <w:p w:rsidRPr="0080174C" w:rsidR="0080174C" w:rsidP="0080174C" w:rsidRDefault="0080174C" w14:paraId="552AF700" w14:textId="77777777">
      <w:pPr>
        <w:jc w:val="right"/>
        <w:rPr>
          <w:rFonts w:ascii="Palatino Linotype" w:hAnsi="Palatino Linotype"/>
          <w:sz w:val="24"/>
          <w:szCs w:val="24"/>
        </w:rPr>
      </w:pPr>
      <w:r w:rsidRPr="0080174C">
        <w:rPr>
          <w:rFonts w:ascii="Palatino Linotype" w:hAnsi="Palatino Linotype"/>
          <w:sz w:val="24"/>
          <w:szCs w:val="24"/>
        </w:rPr>
        <w:t>upon adoption of the resolution</w:t>
      </w:r>
    </w:p>
    <w:p w:rsidRPr="0080174C" w:rsidR="0080174C" w:rsidP="0080174C" w:rsidRDefault="0080174C" w14:paraId="6C52A8B1" w14:textId="77777777">
      <w:pPr>
        <w:jc w:val="both"/>
        <w:rPr>
          <w:rFonts w:ascii="Palatino Linotype" w:hAnsi="Palatino Linotype"/>
          <w:sz w:val="24"/>
          <w:szCs w:val="24"/>
        </w:rPr>
      </w:pPr>
    </w:p>
    <w:p w:rsidRPr="005F68D7" w:rsidR="008150D6" w:rsidP="0080174C" w:rsidRDefault="0080174C" w14:paraId="6945628F" w14:textId="3A1E8B82">
      <w:pPr>
        <w:jc w:val="both"/>
        <w:rPr>
          <w:rFonts w:ascii="Palatino Linotype" w:hAnsi="Palatino Linotype"/>
          <w:sz w:val="24"/>
          <w:szCs w:val="24"/>
        </w:rPr>
      </w:pPr>
      <w:r w:rsidRPr="0080174C">
        <w:rPr>
          <w:rFonts w:ascii="Palatino Linotype" w:hAnsi="Palatino Linotype"/>
          <w:sz w:val="24"/>
          <w:szCs w:val="24"/>
        </w:rPr>
        <w:t xml:space="preserve">Dated </w:t>
      </w:r>
      <w:r w:rsidRPr="0080174C">
        <w:rPr>
          <w:rFonts w:ascii="Palatino Linotype" w:hAnsi="Palatino Linotype"/>
          <w:sz w:val="24"/>
          <w:szCs w:val="24"/>
          <w:u w:val="single"/>
        </w:rPr>
        <w:t xml:space="preserve">                                                                   </w:t>
      </w:r>
      <w:r w:rsidRPr="0080174C">
        <w:rPr>
          <w:rFonts w:ascii="Palatino Linotype" w:hAnsi="Palatino Linotype"/>
          <w:sz w:val="24"/>
          <w:szCs w:val="24"/>
        </w:rPr>
        <w:t>, at &lt;Voting meeting location&gt;, California</w:t>
      </w:r>
    </w:p>
    <w:p w:rsidR="008150D6" w:rsidP="0066182A" w:rsidRDefault="008150D6" w14:paraId="69456290" w14:textId="77777777">
      <w:pPr>
        <w:jc w:val="both"/>
      </w:pPr>
    </w:p>
    <w:p w:rsidR="00A26337" w:rsidRDefault="00A26337" w14:paraId="2D922E8F" w14:textId="77777777">
      <w:pPr>
        <w:sectPr w:rsidR="00A26337" w:rsidSect="001E3F1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54"/>
        </w:sectPr>
      </w:pPr>
      <w:r>
        <w:br w:type="page"/>
      </w:r>
    </w:p>
    <w:p w:rsidR="00A26337" w:rsidRDefault="00A26337" w14:paraId="69456291" w14:textId="7B5BCEAB"/>
    <w:p w:rsidR="00093703" w:rsidP="0066182A" w:rsidRDefault="00093703" w14:paraId="34843A1C" w14:textId="77777777">
      <w:pPr>
        <w:jc w:val="both"/>
        <w:rPr>
          <w:rFonts w:asciiTheme="majorHAnsi" w:hAnsiTheme="majorHAnsi"/>
          <w:sz w:val="40"/>
          <w:szCs w:val="40"/>
        </w:rPr>
      </w:pPr>
    </w:p>
    <w:p w:rsidR="00093703" w:rsidP="0066182A" w:rsidRDefault="00093703" w14:paraId="16825A99" w14:textId="77777777">
      <w:pPr>
        <w:jc w:val="both"/>
        <w:rPr>
          <w:rFonts w:asciiTheme="majorHAnsi" w:hAnsiTheme="majorHAnsi"/>
          <w:sz w:val="40"/>
          <w:szCs w:val="40"/>
        </w:rPr>
      </w:pPr>
    </w:p>
    <w:p w:rsidR="00093703" w:rsidP="00093703" w:rsidRDefault="00093703" w14:paraId="51DBFF29" w14:textId="77777777">
      <w:pPr>
        <w:jc w:val="center"/>
        <w:rPr>
          <w:rFonts w:asciiTheme="majorHAnsi" w:hAnsiTheme="majorHAnsi"/>
          <w:sz w:val="40"/>
          <w:szCs w:val="40"/>
        </w:rPr>
      </w:pPr>
    </w:p>
    <w:p w:rsidR="000C4E73" w:rsidP="00093703" w:rsidRDefault="000C4E73" w14:paraId="2B1A7B38" w14:textId="77777777">
      <w:pPr>
        <w:jc w:val="center"/>
        <w:rPr>
          <w:rFonts w:asciiTheme="majorHAnsi" w:hAnsiTheme="majorHAnsi"/>
          <w:sz w:val="40"/>
          <w:szCs w:val="40"/>
        </w:rPr>
      </w:pPr>
    </w:p>
    <w:p w:rsidR="00093703" w:rsidP="00093703" w:rsidRDefault="00093703" w14:paraId="363A0A07" w14:textId="77777777">
      <w:pPr>
        <w:jc w:val="center"/>
        <w:rPr>
          <w:rFonts w:asciiTheme="majorHAnsi" w:hAnsiTheme="majorHAnsi"/>
          <w:sz w:val="40"/>
          <w:szCs w:val="40"/>
        </w:rPr>
      </w:pPr>
    </w:p>
    <w:p w:rsidRPr="008160C5" w:rsidR="008150D6" w:rsidP="00093703" w:rsidRDefault="00093703" w14:paraId="0C14749B" w14:textId="7FD8AB8C">
      <w:pPr>
        <w:jc w:val="center"/>
        <w:rPr>
          <w:sz w:val="48"/>
          <w:szCs w:val="48"/>
        </w:rPr>
      </w:pPr>
      <w:r w:rsidRPr="008160C5">
        <w:rPr>
          <w:rFonts w:asciiTheme="majorHAnsi" w:hAnsiTheme="majorHAnsi"/>
          <w:sz w:val="48"/>
          <w:szCs w:val="48"/>
        </w:rPr>
        <w:t>Appendix A</w:t>
      </w:r>
    </w:p>
    <w:p w:rsidR="00B3158F" w:rsidRDefault="00B3158F" w14:paraId="649A0E66" w14:textId="77777777">
      <w:pPr>
        <w:rPr>
          <w:rFonts w:asciiTheme="majorHAnsi" w:hAnsiTheme="majorHAnsi"/>
        </w:rPr>
      </w:pPr>
    </w:p>
    <w:p w:rsidR="007411FF" w:rsidRDefault="007411FF" w14:paraId="652E1760" w14:textId="4AA3DE0F">
      <w:pPr>
        <w:rPr>
          <w:rFonts w:asciiTheme="majorHAnsi" w:hAnsiTheme="majorHAnsi"/>
        </w:rPr>
        <w:sectPr w:rsidR="007411FF" w:rsidSect="000C4E73">
          <w:footerReference w:type="default" r:id="rId17"/>
          <w:pgSz w:w="12240" w:h="15840" w:code="1"/>
          <w:pgMar w:top="1440" w:right="1440" w:bottom="1440" w:left="1440" w:header="720" w:footer="720" w:gutter="0"/>
          <w:pgNumType w:start="1"/>
          <w:cols w:space="720"/>
          <w:docGrid w:linePitch="354"/>
        </w:sectPr>
      </w:pPr>
    </w:p>
    <w:p w:rsidR="00F84E70" w:rsidP="00A73E71" w:rsidRDefault="00A6553D" w14:paraId="2C32B024" w14:textId="1EBF144A">
      <w:pPr>
        <w:rPr>
          <w:rFonts w:asciiTheme="majorHAnsi" w:hAnsiTheme="majorHAnsi"/>
        </w:rPr>
      </w:pPr>
      <w:r>
        <w:rPr>
          <w:rFonts w:asciiTheme="majorHAnsi" w:hAnsiTheme="majorHAnsi"/>
        </w:rPr>
        <w:lastRenderedPageBreak/>
        <w:t>Appendix A</w:t>
      </w:r>
      <w:r w:rsidR="00AC22D6">
        <w:rPr>
          <w:rFonts w:asciiTheme="majorHAnsi" w:hAnsiTheme="majorHAnsi"/>
        </w:rPr>
        <w:t xml:space="preserve"> </w:t>
      </w:r>
      <w:r w:rsidR="00906F3D">
        <w:rPr>
          <w:rFonts w:asciiTheme="majorHAnsi" w:hAnsiTheme="majorHAnsi"/>
        </w:rPr>
        <w:t>- Revisions to Body of</w:t>
      </w:r>
      <w:r w:rsidR="00AC22D6">
        <w:rPr>
          <w:rFonts w:asciiTheme="majorHAnsi" w:hAnsiTheme="majorHAnsi"/>
        </w:rPr>
        <w:t xml:space="preserve"> Metrics and Indicators</w:t>
      </w:r>
      <w:r w:rsidR="00906F3D">
        <w:rPr>
          <w:rFonts w:asciiTheme="majorHAnsi" w:hAnsiTheme="majorHAnsi"/>
        </w:rPr>
        <w:t xml:space="preserve"> by Category</w:t>
      </w:r>
    </w:p>
    <w:p w:rsidR="00A6553D" w:rsidP="00A73E71" w:rsidRDefault="00A6553D" w14:paraId="3A06759C" w14:textId="77777777">
      <w:pPr>
        <w:rPr>
          <w:rFonts w:asciiTheme="majorHAnsi" w:hAnsiTheme="majorHAnsi"/>
        </w:rPr>
      </w:pPr>
    </w:p>
    <w:p w:rsidR="00D674D6" w:rsidP="00A73E71" w:rsidRDefault="00D674D6" w14:paraId="3FB5350F" w14:textId="026CB81B">
      <w:pPr>
        <w:rPr>
          <w:rFonts w:asciiTheme="majorHAnsi" w:hAnsiTheme="majorHAnsi"/>
        </w:rPr>
      </w:pPr>
      <w:r w:rsidRPr="00A611C5">
        <w:rPr>
          <w:rFonts w:asciiTheme="majorHAnsi" w:hAnsiTheme="majorHAnsi"/>
          <w:b/>
          <w:bCs/>
          <w:sz w:val="22"/>
          <w:szCs w:val="16"/>
        </w:rPr>
        <w:t>Count</w:t>
      </w:r>
      <w:r>
        <w:rPr>
          <w:rFonts w:asciiTheme="majorHAnsi" w:hAnsiTheme="majorHAnsi"/>
          <w:b/>
          <w:bCs/>
          <w:sz w:val="22"/>
          <w:szCs w:val="16"/>
        </w:rPr>
        <w:t>s</w:t>
      </w:r>
      <w:r w:rsidRPr="00A611C5">
        <w:rPr>
          <w:rFonts w:asciiTheme="majorHAnsi" w:hAnsiTheme="majorHAnsi"/>
          <w:b/>
          <w:bCs/>
          <w:sz w:val="22"/>
          <w:szCs w:val="16"/>
        </w:rPr>
        <w:t xml:space="preserve"> of </w:t>
      </w:r>
      <w:r>
        <w:rPr>
          <w:rFonts w:asciiTheme="majorHAnsi" w:hAnsiTheme="majorHAnsi"/>
          <w:b/>
          <w:bCs/>
          <w:sz w:val="22"/>
          <w:szCs w:val="16"/>
        </w:rPr>
        <w:t>Indicators and Metrics by Category and CPUC Determination in this Resolution</w:t>
      </w:r>
    </w:p>
    <w:tbl>
      <w:tblPr>
        <w:tblStyle w:val="TableGrid"/>
        <w:tblW w:w="0" w:type="auto"/>
        <w:tblLook w:val="04A0" w:firstRow="1" w:lastRow="0" w:firstColumn="1" w:lastColumn="0" w:noHBand="0" w:noVBand="1"/>
      </w:tblPr>
      <w:tblGrid>
        <w:gridCol w:w="2491"/>
        <w:gridCol w:w="1248"/>
        <w:gridCol w:w="1033"/>
        <w:gridCol w:w="888"/>
        <w:gridCol w:w="1263"/>
        <w:gridCol w:w="992"/>
        <w:gridCol w:w="1435"/>
      </w:tblGrid>
      <w:tr w:rsidRPr="00FE4921" w:rsidR="00451A5F" w:rsidTr="0094391E" w14:paraId="2C1D9E9D" w14:textId="77777777">
        <w:trPr>
          <w:trHeight w:val="292"/>
        </w:trPr>
        <w:tc>
          <w:tcPr>
            <w:tcW w:w="2491" w:type="dxa"/>
            <w:noWrap/>
            <w:hideMark/>
          </w:tcPr>
          <w:p w:rsidRPr="00A611C5" w:rsidR="003606EA" w:rsidRDefault="003606EA" w14:paraId="006932DC" w14:textId="77777777">
            <w:pPr>
              <w:rPr>
                <w:rFonts w:asciiTheme="majorHAnsi" w:hAnsiTheme="majorHAnsi"/>
                <w:sz w:val="22"/>
                <w:szCs w:val="16"/>
              </w:rPr>
            </w:pPr>
          </w:p>
        </w:tc>
        <w:tc>
          <w:tcPr>
            <w:tcW w:w="1248" w:type="dxa"/>
            <w:noWrap/>
            <w:hideMark/>
          </w:tcPr>
          <w:p w:rsidRPr="00A611C5" w:rsidR="003606EA" w:rsidP="00A36B0B" w:rsidRDefault="003606EA" w14:paraId="5ED0E14F" w14:textId="77777777">
            <w:pPr>
              <w:jc w:val="center"/>
              <w:rPr>
                <w:rFonts w:asciiTheme="majorHAnsi" w:hAnsiTheme="majorHAnsi"/>
                <w:b/>
                <w:bCs/>
                <w:sz w:val="22"/>
                <w:szCs w:val="16"/>
              </w:rPr>
            </w:pPr>
            <w:r w:rsidRPr="00A611C5">
              <w:rPr>
                <w:rFonts w:asciiTheme="majorHAnsi" w:hAnsiTheme="majorHAnsi"/>
                <w:b/>
                <w:bCs/>
                <w:sz w:val="22"/>
                <w:szCs w:val="16"/>
              </w:rPr>
              <w:t>Indicator</w:t>
            </w:r>
          </w:p>
        </w:tc>
        <w:tc>
          <w:tcPr>
            <w:tcW w:w="1033" w:type="dxa"/>
            <w:noWrap/>
            <w:hideMark/>
          </w:tcPr>
          <w:p w:rsidRPr="00A611C5" w:rsidR="003606EA" w:rsidP="00A36B0B" w:rsidRDefault="003606EA" w14:paraId="0E60872B" w14:textId="77777777">
            <w:pPr>
              <w:jc w:val="center"/>
              <w:rPr>
                <w:rFonts w:asciiTheme="majorHAnsi" w:hAnsiTheme="majorHAnsi"/>
                <w:b/>
                <w:bCs/>
                <w:sz w:val="22"/>
                <w:szCs w:val="16"/>
              </w:rPr>
            </w:pPr>
            <w:r w:rsidRPr="00A611C5">
              <w:rPr>
                <w:rFonts w:asciiTheme="majorHAnsi" w:hAnsiTheme="majorHAnsi"/>
                <w:b/>
                <w:bCs/>
                <w:sz w:val="22"/>
                <w:szCs w:val="16"/>
              </w:rPr>
              <w:t>Remove</w:t>
            </w:r>
          </w:p>
        </w:tc>
        <w:tc>
          <w:tcPr>
            <w:tcW w:w="888" w:type="dxa"/>
            <w:noWrap/>
            <w:hideMark/>
          </w:tcPr>
          <w:p w:rsidRPr="00A611C5" w:rsidR="003606EA" w:rsidP="00A36B0B" w:rsidRDefault="0094391E" w14:paraId="282E3AF7" w14:textId="74D77287">
            <w:pPr>
              <w:jc w:val="center"/>
              <w:rPr>
                <w:rFonts w:asciiTheme="majorHAnsi" w:hAnsiTheme="majorHAnsi"/>
                <w:b/>
                <w:bCs/>
                <w:sz w:val="22"/>
                <w:szCs w:val="16"/>
              </w:rPr>
            </w:pPr>
            <w:r>
              <w:rPr>
                <w:rFonts w:asciiTheme="majorHAnsi" w:hAnsiTheme="majorHAnsi"/>
                <w:b/>
                <w:bCs/>
                <w:sz w:val="22"/>
                <w:szCs w:val="16"/>
              </w:rPr>
              <w:t>P</w:t>
            </w:r>
            <w:r w:rsidRPr="00A611C5" w:rsidR="003606EA">
              <w:rPr>
                <w:rFonts w:asciiTheme="majorHAnsi" w:hAnsiTheme="majorHAnsi"/>
                <w:b/>
                <w:bCs/>
                <w:sz w:val="22"/>
                <w:szCs w:val="16"/>
              </w:rPr>
              <w:t>ause</w:t>
            </w:r>
          </w:p>
        </w:tc>
        <w:tc>
          <w:tcPr>
            <w:tcW w:w="1263" w:type="dxa"/>
            <w:noWrap/>
            <w:hideMark/>
          </w:tcPr>
          <w:p w:rsidRPr="00A611C5" w:rsidR="003606EA" w:rsidP="00A36B0B" w:rsidRDefault="003606EA" w14:paraId="1098CE01" w14:textId="77777777">
            <w:pPr>
              <w:jc w:val="center"/>
              <w:rPr>
                <w:rFonts w:asciiTheme="majorHAnsi" w:hAnsiTheme="majorHAnsi"/>
                <w:b/>
                <w:bCs/>
                <w:sz w:val="22"/>
                <w:szCs w:val="16"/>
              </w:rPr>
            </w:pPr>
            <w:r w:rsidRPr="00A611C5">
              <w:rPr>
                <w:rFonts w:asciiTheme="majorHAnsi" w:hAnsiTheme="majorHAnsi"/>
                <w:b/>
                <w:bCs/>
                <w:sz w:val="22"/>
                <w:szCs w:val="16"/>
              </w:rPr>
              <w:t>Convert to Indicator</w:t>
            </w:r>
          </w:p>
        </w:tc>
        <w:tc>
          <w:tcPr>
            <w:tcW w:w="992" w:type="dxa"/>
            <w:noWrap/>
            <w:hideMark/>
          </w:tcPr>
          <w:p w:rsidRPr="00A611C5" w:rsidR="003606EA" w:rsidP="00A36B0B" w:rsidRDefault="003606EA" w14:paraId="5123BFA6" w14:textId="77777777">
            <w:pPr>
              <w:jc w:val="center"/>
              <w:rPr>
                <w:rFonts w:asciiTheme="majorHAnsi" w:hAnsiTheme="majorHAnsi"/>
                <w:b/>
                <w:bCs/>
                <w:sz w:val="22"/>
                <w:szCs w:val="16"/>
              </w:rPr>
            </w:pPr>
            <w:r w:rsidRPr="00A611C5">
              <w:rPr>
                <w:rFonts w:asciiTheme="majorHAnsi" w:hAnsiTheme="majorHAnsi"/>
                <w:b/>
                <w:bCs/>
                <w:sz w:val="22"/>
                <w:szCs w:val="16"/>
              </w:rPr>
              <w:t>Keep as Metric</w:t>
            </w:r>
          </w:p>
        </w:tc>
        <w:tc>
          <w:tcPr>
            <w:tcW w:w="1435" w:type="dxa"/>
            <w:noWrap/>
            <w:hideMark/>
          </w:tcPr>
          <w:p w:rsidRPr="00A611C5" w:rsidR="003606EA" w:rsidP="00A36B0B" w:rsidRDefault="003606EA" w14:paraId="637C217D" w14:textId="77777777">
            <w:pPr>
              <w:jc w:val="center"/>
              <w:rPr>
                <w:rFonts w:asciiTheme="majorHAnsi" w:hAnsiTheme="majorHAnsi"/>
                <w:b/>
                <w:bCs/>
                <w:sz w:val="22"/>
                <w:szCs w:val="16"/>
              </w:rPr>
            </w:pPr>
            <w:r w:rsidRPr="00A611C5">
              <w:rPr>
                <w:rFonts w:asciiTheme="majorHAnsi" w:hAnsiTheme="majorHAnsi"/>
                <w:b/>
                <w:bCs/>
                <w:sz w:val="22"/>
                <w:szCs w:val="16"/>
              </w:rPr>
              <w:t>Grand Total</w:t>
            </w:r>
          </w:p>
        </w:tc>
      </w:tr>
      <w:tr w:rsidRPr="00FE4921" w:rsidR="00451A5F" w:rsidTr="0094391E" w14:paraId="6C29DB50" w14:textId="77777777">
        <w:trPr>
          <w:trHeight w:val="292"/>
        </w:trPr>
        <w:tc>
          <w:tcPr>
            <w:tcW w:w="2491" w:type="dxa"/>
            <w:noWrap/>
            <w:hideMark/>
          </w:tcPr>
          <w:p w:rsidRPr="00A611C5" w:rsidR="003606EA" w:rsidRDefault="0061323E" w14:paraId="075ABD96" w14:textId="552079CA">
            <w:pPr>
              <w:rPr>
                <w:rFonts w:asciiTheme="majorHAnsi" w:hAnsiTheme="majorHAnsi"/>
                <w:b/>
                <w:bCs/>
                <w:sz w:val="22"/>
                <w:szCs w:val="16"/>
                <w:u w:val="single"/>
              </w:rPr>
            </w:pPr>
            <w:r w:rsidRPr="00A611C5">
              <w:rPr>
                <w:rFonts w:asciiTheme="majorHAnsi" w:hAnsiTheme="majorHAnsi"/>
                <w:b/>
                <w:bCs/>
                <w:sz w:val="22"/>
                <w:szCs w:val="16"/>
                <w:u w:val="single"/>
              </w:rPr>
              <w:t>Indicator and Metric Categories</w:t>
            </w:r>
          </w:p>
        </w:tc>
        <w:tc>
          <w:tcPr>
            <w:tcW w:w="1248" w:type="dxa"/>
            <w:noWrap/>
            <w:hideMark/>
          </w:tcPr>
          <w:p w:rsidRPr="00A611C5" w:rsidR="003606EA" w:rsidP="00A36B0B" w:rsidRDefault="003606EA" w14:paraId="3F27E115" w14:textId="77777777">
            <w:pPr>
              <w:jc w:val="center"/>
              <w:rPr>
                <w:rFonts w:asciiTheme="majorHAnsi" w:hAnsiTheme="majorHAnsi"/>
                <w:sz w:val="22"/>
                <w:szCs w:val="16"/>
              </w:rPr>
            </w:pPr>
          </w:p>
        </w:tc>
        <w:tc>
          <w:tcPr>
            <w:tcW w:w="1033" w:type="dxa"/>
            <w:noWrap/>
            <w:hideMark/>
          </w:tcPr>
          <w:p w:rsidRPr="00A611C5" w:rsidR="003606EA" w:rsidP="00A36B0B" w:rsidRDefault="003606EA" w14:paraId="77F2C84E" w14:textId="77777777">
            <w:pPr>
              <w:jc w:val="center"/>
              <w:rPr>
                <w:rFonts w:asciiTheme="majorHAnsi" w:hAnsiTheme="majorHAnsi"/>
                <w:sz w:val="22"/>
                <w:szCs w:val="16"/>
              </w:rPr>
            </w:pPr>
          </w:p>
        </w:tc>
        <w:tc>
          <w:tcPr>
            <w:tcW w:w="888" w:type="dxa"/>
            <w:noWrap/>
            <w:hideMark/>
          </w:tcPr>
          <w:p w:rsidRPr="00A611C5" w:rsidR="003606EA" w:rsidP="00A36B0B" w:rsidRDefault="003606EA" w14:paraId="37FB44D5" w14:textId="77777777">
            <w:pPr>
              <w:jc w:val="center"/>
              <w:rPr>
                <w:rFonts w:asciiTheme="majorHAnsi" w:hAnsiTheme="majorHAnsi"/>
                <w:sz w:val="22"/>
                <w:szCs w:val="16"/>
              </w:rPr>
            </w:pPr>
          </w:p>
        </w:tc>
        <w:tc>
          <w:tcPr>
            <w:tcW w:w="1263" w:type="dxa"/>
            <w:noWrap/>
            <w:hideMark/>
          </w:tcPr>
          <w:p w:rsidRPr="00A611C5" w:rsidR="003606EA" w:rsidP="00A36B0B" w:rsidRDefault="003606EA" w14:paraId="3D8C79D1" w14:textId="77777777">
            <w:pPr>
              <w:jc w:val="center"/>
              <w:rPr>
                <w:rFonts w:asciiTheme="majorHAnsi" w:hAnsiTheme="majorHAnsi"/>
                <w:sz w:val="22"/>
                <w:szCs w:val="16"/>
              </w:rPr>
            </w:pPr>
          </w:p>
        </w:tc>
        <w:tc>
          <w:tcPr>
            <w:tcW w:w="992" w:type="dxa"/>
            <w:noWrap/>
            <w:hideMark/>
          </w:tcPr>
          <w:p w:rsidRPr="00A611C5" w:rsidR="003606EA" w:rsidP="00A36B0B" w:rsidRDefault="003606EA" w14:paraId="512A29FB" w14:textId="77777777">
            <w:pPr>
              <w:jc w:val="center"/>
              <w:rPr>
                <w:rFonts w:asciiTheme="majorHAnsi" w:hAnsiTheme="majorHAnsi"/>
                <w:sz w:val="22"/>
                <w:szCs w:val="16"/>
              </w:rPr>
            </w:pPr>
          </w:p>
        </w:tc>
        <w:tc>
          <w:tcPr>
            <w:tcW w:w="1435" w:type="dxa"/>
            <w:noWrap/>
            <w:hideMark/>
          </w:tcPr>
          <w:p w:rsidRPr="00A611C5" w:rsidR="003606EA" w:rsidP="00A36B0B" w:rsidRDefault="003606EA" w14:paraId="599960F7" w14:textId="77777777">
            <w:pPr>
              <w:jc w:val="center"/>
              <w:rPr>
                <w:rFonts w:asciiTheme="majorHAnsi" w:hAnsiTheme="majorHAnsi"/>
                <w:sz w:val="22"/>
                <w:szCs w:val="16"/>
              </w:rPr>
            </w:pPr>
          </w:p>
        </w:tc>
      </w:tr>
      <w:tr w:rsidRPr="00FE4921" w:rsidR="00451A5F" w:rsidTr="0094391E" w14:paraId="05254B24" w14:textId="77777777">
        <w:trPr>
          <w:trHeight w:val="292"/>
        </w:trPr>
        <w:tc>
          <w:tcPr>
            <w:tcW w:w="2491" w:type="dxa"/>
            <w:noWrap/>
            <w:hideMark/>
          </w:tcPr>
          <w:p w:rsidRPr="00A611C5" w:rsidR="003606EA" w:rsidRDefault="003606EA" w14:paraId="1CCF885F" w14:textId="77777777">
            <w:pPr>
              <w:rPr>
                <w:rFonts w:asciiTheme="majorHAnsi" w:hAnsiTheme="majorHAnsi"/>
                <w:b/>
                <w:bCs/>
                <w:sz w:val="22"/>
                <w:szCs w:val="16"/>
              </w:rPr>
            </w:pPr>
            <w:r w:rsidRPr="00A611C5">
              <w:rPr>
                <w:rFonts w:asciiTheme="majorHAnsi" w:hAnsiTheme="majorHAnsi"/>
                <w:b/>
                <w:bCs/>
                <w:sz w:val="22"/>
                <w:szCs w:val="16"/>
              </w:rPr>
              <w:t>Access to Capital</w:t>
            </w:r>
          </w:p>
        </w:tc>
        <w:tc>
          <w:tcPr>
            <w:tcW w:w="1248" w:type="dxa"/>
            <w:noWrap/>
            <w:hideMark/>
          </w:tcPr>
          <w:p w:rsidRPr="00A611C5" w:rsidR="003606EA" w:rsidP="00A36B0B" w:rsidRDefault="003606EA" w14:paraId="60AF652C" w14:textId="322CAFDF">
            <w:pPr>
              <w:jc w:val="center"/>
              <w:rPr>
                <w:rFonts w:asciiTheme="majorHAnsi" w:hAnsiTheme="majorHAnsi"/>
                <w:sz w:val="22"/>
                <w:szCs w:val="16"/>
              </w:rPr>
            </w:pPr>
          </w:p>
        </w:tc>
        <w:tc>
          <w:tcPr>
            <w:tcW w:w="1033" w:type="dxa"/>
            <w:noWrap/>
            <w:hideMark/>
          </w:tcPr>
          <w:p w:rsidRPr="00A611C5" w:rsidR="003606EA" w:rsidP="00A36B0B" w:rsidRDefault="003606EA" w14:paraId="43C93FD2" w14:textId="7763CCE8">
            <w:pPr>
              <w:jc w:val="center"/>
              <w:rPr>
                <w:rFonts w:asciiTheme="majorHAnsi" w:hAnsiTheme="majorHAnsi"/>
                <w:sz w:val="22"/>
                <w:szCs w:val="16"/>
              </w:rPr>
            </w:pPr>
          </w:p>
        </w:tc>
        <w:tc>
          <w:tcPr>
            <w:tcW w:w="888" w:type="dxa"/>
            <w:noWrap/>
            <w:hideMark/>
          </w:tcPr>
          <w:p w:rsidRPr="00A611C5" w:rsidR="003606EA" w:rsidP="00A36B0B" w:rsidRDefault="003606EA" w14:paraId="1AA23847" w14:textId="77777777">
            <w:pPr>
              <w:jc w:val="center"/>
              <w:rPr>
                <w:rFonts w:asciiTheme="majorHAnsi" w:hAnsiTheme="majorHAnsi"/>
                <w:sz w:val="22"/>
                <w:szCs w:val="16"/>
              </w:rPr>
            </w:pPr>
            <w:r w:rsidRPr="00A611C5">
              <w:rPr>
                <w:rFonts w:asciiTheme="majorHAnsi" w:hAnsiTheme="majorHAnsi"/>
                <w:sz w:val="22"/>
                <w:szCs w:val="16"/>
              </w:rPr>
              <w:t>4</w:t>
            </w:r>
          </w:p>
        </w:tc>
        <w:tc>
          <w:tcPr>
            <w:tcW w:w="1263" w:type="dxa"/>
            <w:noWrap/>
            <w:hideMark/>
          </w:tcPr>
          <w:p w:rsidRPr="00A611C5" w:rsidR="003606EA" w:rsidP="00A36B0B" w:rsidRDefault="003606EA" w14:paraId="5C55BF3A" w14:textId="4AB8EAC0">
            <w:pPr>
              <w:jc w:val="center"/>
              <w:rPr>
                <w:rFonts w:asciiTheme="majorHAnsi" w:hAnsiTheme="majorHAnsi"/>
                <w:sz w:val="22"/>
                <w:szCs w:val="16"/>
              </w:rPr>
            </w:pPr>
          </w:p>
        </w:tc>
        <w:tc>
          <w:tcPr>
            <w:tcW w:w="992" w:type="dxa"/>
            <w:noWrap/>
            <w:hideMark/>
          </w:tcPr>
          <w:p w:rsidRPr="00A611C5" w:rsidR="003606EA" w:rsidP="00A36B0B" w:rsidRDefault="003606EA" w14:paraId="60960031" w14:textId="33129501">
            <w:pPr>
              <w:jc w:val="center"/>
              <w:rPr>
                <w:rFonts w:asciiTheme="majorHAnsi" w:hAnsiTheme="majorHAnsi"/>
                <w:sz w:val="22"/>
                <w:szCs w:val="16"/>
              </w:rPr>
            </w:pPr>
          </w:p>
        </w:tc>
        <w:tc>
          <w:tcPr>
            <w:tcW w:w="1435" w:type="dxa"/>
            <w:noWrap/>
            <w:hideMark/>
          </w:tcPr>
          <w:p w:rsidRPr="00A611C5" w:rsidR="003606EA" w:rsidP="00A36B0B" w:rsidRDefault="003606EA" w14:paraId="759235C2" w14:textId="77777777">
            <w:pPr>
              <w:jc w:val="center"/>
              <w:rPr>
                <w:rFonts w:asciiTheme="majorHAnsi" w:hAnsiTheme="majorHAnsi"/>
                <w:b/>
                <w:bCs/>
                <w:sz w:val="22"/>
                <w:szCs w:val="16"/>
              </w:rPr>
            </w:pPr>
            <w:r w:rsidRPr="00A611C5">
              <w:rPr>
                <w:rFonts w:asciiTheme="majorHAnsi" w:hAnsiTheme="majorHAnsi"/>
                <w:b/>
                <w:bCs/>
                <w:sz w:val="22"/>
                <w:szCs w:val="16"/>
              </w:rPr>
              <w:t>4</w:t>
            </w:r>
          </w:p>
        </w:tc>
      </w:tr>
      <w:tr w:rsidRPr="00FE4921" w:rsidR="00451A5F" w:rsidTr="0094391E" w14:paraId="3730D31B" w14:textId="77777777">
        <w:trPr>
          <w:trHeight w:val="292"/>
        </w:trPr>
        <w:tc>
          <w:tcPr>
            <w:tcW w:w="2491" w:type="dxa"/>
            <w:noWrap/>
            <w:hideMark/>
          </w:tcPr>
          <w:p w:rsidRPr="00A611C5" w:rsidR="003606EA" w:rsidRDefault="003606EA" w14:paraId="02C05AB4" w14:textId="77777777">
            <w:pPr>
              <w:rPr>
                <w:rFonts w:asciiTheme="majorHAnsi" w:hAnsiTheme="majorHAnsi"/>
                <w:b/>
                <w:bCs/>
                <w:sz w:val="22"/>
                <w:szCs w:val="16"/>
              </w:rPr>
            </w:pPr>
            <w:r w:rsidRPr="00A611C5">
              <w:rPr>
                <w:rFonts w:asciiTheme="majorHAnsi" w:hAnsiTheme="majorHAnsi"/>
                <w:b/>
                <w:bCs/>
                <w:sz w:val="22"/>
                <w:szCs w:val="16"/>
              </w:rPr>
              <w:t>Address disparities in access to EE programs</w:t>
            </w:r>
          </w:p>
        </w:tc>
        <w:tc>
          <w:tcPr>
            <w:tcW w:w="1248" w:type="dxa"/>
            <w:noWrap/>
            <w:hideMark/>
          </w:tcPr>
          <w:p w:rsidRPr="00A611C5" w:rsidR="003606EA" w:rsidP="00A36B0B" w:rsidRDefault="003606EA" w14:paraId="28646ED4" w14:textId="77777777">
            <w:pPr>
              <w:jc w:val="center"/>
              <w:rPr>
                <w:rFonts w:asciiTheme="majorHAnsi" w:hAnsiTheme="majorHAnsi"/>
                <w:sz w:val="22"/>
                <w:szCs w:val="16"/>
              </w:rPr>
            </w:pPr>
            <w:r w:rsidRPr="00A611C5">
              <w:rPr>
                <w:rFonts w:asciiTheme="majorHAnsi" w:hAnsiTheme="majorHAnsi"/>
                <w:sz w:val="22"/>
                <w:szCs w:val="16"/>
              </w:rPr>
              <w:t>6</w:t>
            </w:r>
          </w:p>
        </w:tc>
        <w:tc>
          <w:tcPr>
            <w:tcW w:w="1033" w:type="dxa"/>
            <w:noWrap/>
            <w:hideMark/>
          </w:tcPr>
          <w:p w:rsidRPr="00A611C5" w:rsidR="003606EA" w:rsidP="00A36B0B" w:rsidRDefault="003606EA" w14:paraId="2FFC80C7" w14:textId="6AEB0540">
            <w:pPr>
              <w:jc w:val="center"/>
              <w:rPr>
                <w:rFonts w:asciiTheme="majorHAnsi" w:hAnsiTheme="majorHAnsi"/>
                <w:sz w:val="22"/>
                <w:szCs w:val="16"/>
              </w:rPr>
            </w:pPr>
          </w:p>
        </w:tc>
        <w:tc>
          <w:tcPr>
            <w:tcW w:w="888" w:type="dxa"/>
            <w:noWrap/>
            <w:hideMark/>
          </w:tcPr>
          <w:p w:rsidRPr="00A611C5" w:rsidR="003606EA" w:rsidP="00A36B0B" w:rsidRDefault="003606EA" w14:paraId="04E520E6" w14:textId="553569CD">
            <w:pPr>
              <w:jc w:val="center"/>
              <w:rPr>
                <w:rFonts w:asciiTheme="majorHAnsi" w:hAnsiTheme="majorHAnsi"/>
                <w:sz w:val="22"/>
                <w:szCs w:val="16"/>
              </w:rPr>
            </w:pPr>
          </w:p>
        </w:tc>
        <w:tc>
          <w:tcPr>
            <w:tcW w:w="1263" w:type="dxa"/>
            <w:noWrap/>
            <w:hideMark/>
          </w:tcPr>
          <w:p w:rsidRPr="00A611C5" w:rsidR="003606EA" w:rsidP="00A36B0B" w:rsidRDefault="003606EA" w14:paraId="652BB96C" w14:textId="7D28B98E">
            <w:pPr>
              <w:jc w:val="center"/>
              <w:rPr>
                <w:rFonts w:asciiTheme="majorHAnsi" w:hAnsiTheme="majorHAnsi"/>
                <w:sz w:val="22"/>
                <w:szCs w:val="16"/>
              </w:rPr>
            </w:pPr>
          </w:p>
        </w:tc>
        <w:tc>
          <w:tcPr>
            <w:tcW w:w="992" w:type="dxa"/>
            <w:noWrap/>
            <w:hideMark/>
          </w:tcPr>
          <w:p w:rsidRPr="00A611C5" w:rsidR="003606EA" w:rsidP="00A36B0B" w:rsidRDefault="003606EA" w14:paraId="597541F8" w14:textId="1E6385DB">
            <w:pPr>
              <w:jc w:val="center"/>
              <w:rPr>
                <w:rFonts w:asciiTheme="majorHAnsi" w:hAnsiTheme="majorHAnsi"/>
                <w:sz w:val="22"/>
                <w:szCs w:val="16"/>
              </w:rPr>
            </w:pPr>
          </w:p>
        </w:tc>
        <w:tc>
          <w:tcPr>
            <w:tcW w:w="1435" w:type="dxa"/>
            <w:noWrap/>
            <w:hideMark/>
          </w:tcPr>
          <w:p w:rsidRPr="00A611C5" w:rsidR="003606EA" w:rsidP="00A36B0B" w:rsidRDefault="003606EA" w14:paraId="0270A9DA" w14:textId="77777777">
            <w:pPr>
              <w:jc w:val="center"/>
              <w:rPr>
                <w:rFonts w:asciiTheme="majorHAnsi" w:hAnsiTheme="majorHAnsi"/>
                <w:b/>
                <w:bCs/>
                <w:sz w:val="22"/>
                <w:szCs w:val="16"/>
              </w:rPr>
            </w:pPr>
            <w:r w:rsidRPr="00A611C5">
              <w:rPr>
                <w:rFonts w:asciiTheme="majorHAnsi" w:hAnsiTheme="majorHAnsi"/>
                <w:b/>
                <w:bCs/>
                <w:sz w:val="22"/>
                <w:szCs w:val="16"/>
              </w:rPr>
              <w:t>6</w:t>
            </w:r>
          </w:p>
        </w:tc>
      </w:tr>
      <w:tr w:rsidRPr="00FE4921" w:rsidR="00451A5F" w:rsidTr="0094391E" w14:paraId="583E4D5E" w14:textId="77777777">
        <w:trPr>
          <w:trHeight w:val="292"/>
        </w:trPr>
        <w:tc>
          <w:tcPr>
            <w:tcW w:w="2491" w:type="dxa"/>
            <w:noWrap/>
            <w:hideMark/>
          </w:tcPr>
          <w:p w:rsidRPr="00A611C5" w:rsidR="003606EA" w:rsidRDefault="003606EA" w14:paraId="671F9484" w14:textId="77777777">
            <w:pPr>
              <w:rPr>
                <w:rFonts w:asciiTheme="majorHAnsi" w:hAnsiTheme="majorHAnsi"/>
                <w:b/>
                <w:bCs/>
                <w:i/>
                <w:iCs/>
                <w:sz w:val="22"/>
                <w:szCs w:val="16"/>
              </w:rPr>
            </w:pPr>
            <w:r w:rsidRPr="00A611C5">
              <w:rPr>
                <w:rFonts w:asciiTheme="majorHAnsi" w:hAnsiTheme="majorHAnsi"/>
                <w:b/>
                <w:bCs/>
                <w:i/>
                <w:iCs/>
                <w:sz w:val="22"/>
                <w:szCs w:val="16"/>
              </w:rPr>
              <w:t>Advocacy</w:t>
            </w:r>
          </w:p>
        </w:tc>
        <w:tc>
          <w:tcPr>
            <w:tcW w:w="1248" w:type="dxa"/>
            <w:noWrap/>
            <w:hideMark/>
          </w:tcPr>
          <w:p w:rsidRPr="00A611C5" w:rsidR="003606EA" w:rsidP="00A36B0B" w:rsidRDefault="003606EA" w14:paraId="41917767" w14:textId="6B12F367">
            <w:pPr>
              <w:jc w:val="center"/>
              <w:rPr>
                <w:rFonts w:asciiTheme="majorHAnsi" w:hAnsiTheme="majorHAnsi"/>
                <w:sz w:val="22"/>
                <w:szCs w:val="16"/>
              </w:rPr>
            </w:pPr>
          </w:p>
        </w:tc>
        <w:tc>
          <w:tcPr>
            <w:tcW w:w="1033" w:type="dxa"/>
            <w:noWrap/>
            <w:hideMark/>
          </w:tcPr>
          <w:p w:rsidRPr="00A611C5" w:rsidR="003606EA" w:rsidP="00A36B0B" w:rsidRDefault="003606EA" w14:paraId="049E7008" w14:textId="77777777">
            <w:pPr>
              <w:jc w:val="center"/>
              <w:rPr>
                <w:rFonts w:asciiTheme="majorHAnsi" w:hAnsiTheme="majorHAnsi"/>
                <w:sz w:val="22"/>
                <w:szCs w:val="16"/>
              </w:rPr>
            </w:pPr>
            <w:r w:rsidRPr="00A611C5">
              <w:rPr>
                <w:rFonts w:asciiTheme="majorHAnsi" w:hAnsiTheme="majorHAnsi"/>
                <w:sz w:val="22"/>
                <w:szCs w:val="16"/>
              </w:rPr>
              <w:t>6</w:t>
            </w:r>
          </w:p>
        </w:tc>
        <w:tc>
          <w:tcPr>
            <w:tcW w:w="888" w:type="dxa"/>
            <w:noWrap/>
            <w:hideMark/>
          </w:tcPr>
          <w:p w:rsidRPr="00A611C5" w:rsidR="003606EA" w:rsidP="00A36B0B" w:rsidRDefault="003606EA" w14:paraId="4D3C8C91" w14:textId="5110B63F">
            <w:pPr>
              <w:jc w:val="center"/>
              <w:rPr>
                <w:rFonts w:asciiTheme="majorHAnsi" w:hAnsiTheme="majorHAnsi"/>
                <w:sz w:val="22"/>
                <w:szCs w:val="16"/>
              </w:rPr>
            </w:pPr>
          </w:p>
        </w:tc>
        <w:tc>
          <w:tcPr>
            <w:tcW w:w="1263" w:type="dxa"/>
            <w:noWrap/>
            <w:hideMark/>
          </w:tcPr>
          <w:p w:rsidRPr="00A611C5" w:rsidR="003606EA" w:rsidP="00A36B0B" w:rsidRDefault="003606EA" w14:paraId="26E97038" w14:textId="092C643C">
            <w:pPr>
              <w:jc w:val="center"/>
              <w:rPr>
                <w:rFonts w:asciiTheme="majorHAnsi" w:hAnsiTheme="majorHAnsi"/>
                <w:sz w:val="22"/>
                <w:szCs w:val="16"/>
              </w:rPr>
            </w:pPr>
          </w:p>
        </w:tc>
        <w:tc>
          <w:tcPr>
            <w:tcW w:w="992" w:type="dxa"/>
            <w:noWrap/>
            <w:hideMark/>
          </w:tcPr>
          <w:p w:rsidRPr="00A611C5" w:rsidR="003606EA" w:rsidP="00A36B0B" w:rsidRDefault="003606EA" w14:paraId="6482CA24" w14:textId="070E0101">
            <w:pPr>
              <w:jc w:val="center"/>
              <w:rPr>
                <w:rFonts w:asciiTheme="majorHAnsi" w:hAnsiTheme="majorHAnsi"/>
                <w:sz w:val="22"/>
                <w:szCs w:val="16"/>
              </w:rPr>
            </w:pPr>
          </w:p>
        </w:tc>
        <w:tc>
          <w:tcPr>
            <w:tcW w:w="1435" w:type="dxa"/>
            <w:noWrap/>
            <w:hideMark/>
          </w:tcPr>
          <w:p w:rsidRPr="00A611C5" w:rsidR="003606EA" w:rsidP="00A36B0B" w:rsidRDefault="003606EA" w14:paraId="0891B0F5" w14:textId="77777777">
            <w:pPr>
              <w:jc w:val="center"/>
              <w:rPr>
                <w:rFonts w:asciiTheme="majorHAnsi" w:hAnsiTheme="majorHAnsi"/>
                <w:b/>
                <w:bCs/>
                <w:sz w:val="22"/>
                <w:szCs w:val="16"/>
              </w:rPr>
            </w:pPr>
            <w:r w:rsidRPr="00A611C5">
              <w:rPr>
                <w:rFonts w:asciiTheme="majorHAnsi" w:hAnsiTheme="majorHAnsi"/>
                <w:b/>
                <w:bCs/>
                <w:sz w:val="22"/>
                <w:szCs w:val="16"/>
              </w:rPr>
              <w:t>6</w:t>
            </w:r>
          </w:p>
        </w:tc>
      </w:tr>
      <w:tr w:rsidRPr="00FE4921" w:rsidR="00451A5F" w:rsidTr="0094391E" w14:paraId="3BDB5D29" w14:textId="77777777">
        <w:trPr>
          <w:trHeight w:val="292"/>
        </w:trPr>
        <w:tc>
          <w:tcPr>
            <w:tcW w:w="2491" w:type="dxa"/>
            <w:noWrap/>
            <w:hideMark/>
          </w:tcPr>
          <w:p w:rsidRPr="00A611C5" w:rsidR="003606EA" w:rsidRDefault="003606EA" w14:paraId="692AE8FC" w14:textId="77777777">
            <w:pPr>
              <w:rPr>
                <w:rFonts w:asciiTheme="majorHAnsi" w:hAnsiTheme="majorHAnsi"/>
                <w:b/>
                <w:bCs/>
                <w:i/>
                <w:iCs/>
                <w:sz w:val="22"/>
                <w:szCs w:val="16"/>
              </w:rPr>
            </w:pPr>
            <w:r w:rsidRPr="00A611C5">
              <w:rPr>
                <w:rFonts w:asciiTheme="majorHAnsi" w:hAnsiTheme="majorHAnsi"/>
                <w:b/>
                <w:bCs/>
                <w:i/>
                <w:iCs/>
                <w:sz w:val="22"/>
                <w:szCs w:val="16"/>
              </w:rPr>
              <w:t>Benchmarking</w:t>
            </w:r>
          </w:p>
        </w:tc>
        <w:tc>
          <w:tcPr>
            <w:tcW w:w="1248" w:type="dxa"/>
            <w:noWrap/>
            <w:hideMark/>
          </w:tcPr>
          <w:p w:rsidRPr="00A611C5" w:rsidR="003606EA" w:rsidP="00A36B0B" w:rsidRDefault="003606EA" w14:paraId="2E390395" w14:textId="3F494779">
            <w:pPr>
              <w:jc w:val="center"/>
              <w:rPr>
                <w:rFonts w:asciiTheme="majorHAnsi" w:hAnsiTheme="majorHAnsi"/>
                <w:sz w:val="22"/>
                <w:szCs w:val="16"/>
              </w:rPr>
            </w:pPr>
          </w:p>
        </w:tc>
        <w:tc>
          <w:tcPr>
            <w:tcW w:w="1033" w:type="dxa"/>
            <w:noWrap/>
            <w:hideMark/>
          </w:tcPr>
          <w:p w:rsidRPr="00A611C5" w:rsidR="003606EA" w:rsidP="00A36B0B" w:rsidRDefault="003606EA" w14:paraId="5C4B4484" w14:textId="77777777">
            <w:pPr>
              <w:jc w:val="center"/>
              <w:rPr>
                <w:rFonts w:asciiTheme="majorHAnsi" w:hAnsiTheme="majorHAnsi"/>
                <w:sz w:val="22"/>
                <w:szCs w:val="16"/>
              </w:rPr>
            </w:pPr>
            <w:r w:rsidRPr="00A611C5">
              <w:rPr>
                <w:rFonts w:asciiTheme="majorHAnsi" w:hAnsiTheme="majorHAnsi"/>
                <w:sz w:val="22"/>
                <w:szCs w:val="16"/>
              </w:rPr>
              <w:t>9</w:t>
            </w:r>
          </w:p>
        </w:tc>
        <w:tc>
          <w:tcPr>
            <w:tcW w:w="888" w:type="dxa"/>
            <w:noWrap/>
            <w:hideMark/>
          </w:tcPr>
          <w:p w:rsidRPr="00A611C5" w:rsidR="003606EA" w:rsidP="00A36B0B" w:rsidRDefault="003606EA" w14:paraId="4E90708A" w14:textId="7947CB10">
            <w:pPr>
              <w:jc w:val="center"/>
              <w:rPr>
                <w:rFonts w:asciiTheme="majorHAnsi" w:hAnsiTheme="majorHAnsi"/>
                <w:sz w:val="22"/>
                <w:szCs w:val="16"/>
              </w:rPr>
            </w:pPr>
          </w:p>
        </w:tc>
        <w:tc>
          <w:tcPr>
            <w:tcW w:w="1263" w:type="dxa"/>
            <w:noWrap/>
            <w:hideMark/>
          </w:tcPr>
          <w:p w:rsidRPr="00A611C5" w:rsidR="003606EA" w:rsidP="00A36B0B" w:rsidRDefault="003606EA" w14:paraId="163A5040" w14:textId="52462A69">
            <w:pPr>
              <w:jc w:val="center"/>
              <w:rPr>
                <w:rFonts w:asciiTheme="majorHAnsi" w:hAnsiTheme="majorHAnsi"/>
                <w:sz w:val="22"/>
                <w:szCs w:val="16"/>
              </w:rPr>
            </w:pPr>
          </w:p>
        </w:tc>
        <w:tc>
          <w:tcPr>
            <w:tcW w:w="992" w:type="dxa"/>
            <w:noWrap/>
            <w:hideMark/>
          </w:tcPr>
          <w:p w:rsidRPr="00A611C5" w:rsidR="003606EA" w:rsidP="00A36B0B" w:rsidRDefault="003606EA" w14:paraId="5625733A" w14:textId="68D5D2E3">
            <w:pPr>
              <w:jc w:val="center"/>
              <w:rPr>
                <w:rFonts w:asciiTheme="majorHAnsi" w:hAnsiTheme="majorHAnsi"/>
                <w:sz w:val="22"/>
                <w:szCs w:val="16"/>
              </w:rPr>
            </w:pPr>
          </w:p>
        </w:tc>
        <w:tc>
          <w:tcPr>
            <w:tcW w:w="1435" w:type="dxa"/>
            <w:noWrap/>
            <w:hideMark/>
          </w:tcPr>
          <w:p w:rsidRPr="00A611C5" w:rsidR="003606EA" w:rsidP="00A36B0B" w:rsidRDefault="003606EA" w14:paraId="75C258F3" w14:textId="77777777">
            <w:pPr>
              <w:jc w:val="center"/>
              <w:rPr>
                <w:rFonts w:asciiTheme="majorHAnsi" w:hAnsiTheme="majorHAnsi"/>
                <w:b/>
                <w:bCs/>
                <w:sz w:val="22"/>
                <w:szCs w:val="16"/>
              </w:rPr>
            </w:pPr>
            <w:r w:rsidRPr="00A611C5">
              <w:rPr>
                <w:rFonts w:asciiTheme="majorHAnsi" w:hAnsiTheme="majorHAnsi"/>
                <w:b/>
                <w:bCs/>
                <w:sz w:val="22"/>
                <w:szCs w:val="16"/>
              </w:rPr>
              <w:t>9</w:t>
            </w:r>
          </w:p>
        </w:tc>
      </w:tr>
      <w:tr w:rsidRPr="00FE4921" w:rsidR="00451A5F" w:rsidTr="0094391E" w14:paraId="0FD56C39" w14:textId="77777777">
        <w:trPr>
          <w:trHeight w:val="292"/>
        </w:trPr>
        <w:tc>
          <w:tcPr>
            <w:tcW w:w="2491" w:type="dxa"/>
            <w:noWrap/>
            <w:hideMark/>
          </w:tcPr>
          <w:p w:rsidRPr="00A611C5" w:rsidR="003606EA" w:rsidRDefault="003606EA" w14:paraId="6991C389" w14:textId="77777777">
            <w:pPr>
              <w:rPr>
                <w:rFonts w:asciiTheme="majorHAnsi" w:hAnsiTheme="majorHAnsi"/>
                <w:b/>
                <w:bCs/>
                <w:sz w:val="22"/>
                <w:szCs w:val="16"/>
              </w:rPr>
            </w:pPr>
            <w:r w:rsidRPr="00A611C5">
              <w:rPr>
                <w:rFonts w:asciiTheme="majorHAnsi" w:hAnsiTheme="majorHAnsi"/>
                <w:b/>
                <w:bCs/>
                <w:sz w:val="22"/>
                <w:szCs w:val="16"/>
              </w:rPr>
              <w:t>Compliance Improvement</w:t>
            </w:r>
          </w:p>
        </w:tc>
        <w:tc>
          <w:tcPr>
            <w:tcW w:w="1248" w:type="dxa"/>
            <w:noWrap/>
            <w:hideMark/>
          </w:tcPr>
          <w:p w:rsidRPr="00A611C5" w:rsidR="003606EA" w:rsidP="00A36B0B" w:rsidRDefault="003606EA" w14:paraId="18075037" w14:textId="77777777">
            <w:pPr>
              <w:jc w:val="center"/>
              <w:rPr>
                <w:rFonts w:asciiTheme="majorHAnsi" w:hAnsiTheme="majorHAnsi"/>
                <w:sz w:val="22"/>
                <w:szCs w:val="16"/>
              </w:rPr>
            </w:pPr>
            <w:r w:rsidRPr="00A611C5">
              <w:rPr>
                <w:rFonts w:asciiTheme="majorHAnsi" w:hAnsiTheme="majorHAnsi"/>
                <w:sz w:val="22"/>
                <w:szCs w:val="16"/>
              </w:rPr>
              <w:t>2</w:t>
            </w:r>
          </w:p>
        </w:tc>
        <w:tc>
          <w:tcPr>
            <w:tcW w:w="1033" w:type="dxa"/>
            <w:noWrap/>
            <w:hideMark/>
          </w:tcPr>
          <w:p w:rsidRPr="00A611C5" w:rsidR="003606EA" w:rsidP="00A36B0B" w:rsidRDefault="003606EA" w14:paraId="6B9D019B" w14:textId="77777777">
            <w:pPr>
              <w:jc w:val="center"/>
              <w:rPr>
                <w:rFonts w:asciiTheme="majorHAnsi" w:hAnsiTheme="majorHAnsi"/>
                <w:sz w:val="22"/>
                <w:szCs w:val="16"/>
              </w:rPr>
            </w:pPr>
            <w:r w:rsidRPr="00A611C5">
              <w:rPr>
                <w:rFonts w:asciiTheme="majorHAnsi" w:hAnsiTheme="majorHAnsi"/>
                <w:sz w:val="22"/>
                <w:szCs w:val="16"/>
              </w:rPr>
              <w:t>4</w:t>
            </w:r>
          </w:p>
        </w:tc>
        <w:tc>
          <w:tcPr>
            <w:tcW w:w="888" w:type="dxa"/>
            <w:noWrap/>
            <w:hideMark/>
          </w:tcPr>
          <w:p w:rsidRPr="00A611C5" w:rsidR="003606EA" w:rsidP="00A36B0B" w:rsidRDefault="003606EA" w14:paraId="015376EC" w14:textId="6E083903">
            <w:pPr>
              <w:jc w:val="center"/>
              <w:rPr>
                <w:rFonts w:asciiTheme="majorHAnsi" w:hAnsiTheme="majorHAnsi"/>
                <w:sz w:val="22"/>
                <w:szCs w:val="16"/>
              </w:rPr>
            </w:pPr>
          </w:p>
        </w:tc>
        <w:tc>
          <w:tcPr>
            <w:tcW w:w="1263" w:type="dxa"/>
            <w:noWrap/>
            <w:hideMark/>
          </w:tcPr>
          <w:p w:rsidRPr="00A611C5" w:rsidR="003606EA" w:rsidP="00A36B0B" w:rsidRDefault="003606EA" w14:paraId="7A05E684" w14:textId="77777777">
            <w:pPr>
              <w:jc w:val="center"/>
              <w:rPr>
                <w:rFonts w:asciiTheme="majorHAnsi" w:hAnsiTheme="majorHAnsi"/>
                <w:sz w:val="22"/>
                <w:szCs w:val="16"/>
              </w:rPr>
            </w:pPr>
            <w:r w:rsidRPr="00A611C5">
              <w:rPr>
                <w:rFonts w:asciiTheme="majorHAnsi" w:hAnsiTheme="majorHAnsi"/>
                <w:sz w:val="22"/>
                <w:szCs w:val="16"/>
              </w:rPr>
              <w:t>3</w:t>
            </w:r>
          </w:p>
        </w:tc>
        <w:tc>
          <w:tcPr>
            <w:tcW w:w="992" w:type="dxa"/>
            <w:noWrap/>
            <w:hideMark/>
          </w:tcPr>
          <w:p w:rsidRPr="00A611C5" w:rsidR="003606EA" w:rsidP="00A36B0B" w:rsidRDefault="003606EA" w14:paraId="4F694B4B" w14:textId="4C800D2B">
            <w:pPr>
              <w:jc w:val="center"/>
              <w:rPr>
                <w:rFonts w:asciiTheme="majorHAnsi" w:hAnsiTheme="majorHAnsi"/>
                <w:sz w:val="22"/>
                <w:szCs w:val="16"/>
              </w:rPr>
            </w:pPr>
          </w:p>
        </w:tc>
        <w:tc>
          <w:tcPr>
            <w:tcW w:w="1435" w:type="dxa"/>
            <w:noWrap/>
            <w:hideMark/>
          </w:tcPr>
          <w:p w:rsidRPr="00A611C5" w:rsidR="003606EA" w:rsidP="00A36B0B" w:rsidRDefault="003606EA" w14:paraId="157A4C7F" w14:textId="77777777">
            <w:pPr>
              <w:jc w:val="center"/>
              <w:rPr>
                <w:rFonts w:asciiTheme="majorHAnsi" w:hAnsiTheme="majorHAnsi"/>
                <w:b/>
                <w:bCs/>
                <w:sz w:val="22"/>
                <w:szCs w:val="16"/>
              </w:rPr>
            </w:pPr>
            <w:r w:rsidRPr="00A611C5">
              <w:rPr>
                <w:rFonts w:asciiTheme="majorHAnsi" w:hAnsiTheme="majorHAnsi"/>
                <w:b/>
                <w:bCs/>
                <w:sz w:val="22"/>
                <w:szCs w:val="16"/>
              </w:rPr>
              <w:t>9</w:t>
            </w:r>
          </w:p>
        </w:tc>
      </w:tr>
      <w:tr w:rsidRPr="00FE4921" w:rsidR="00451A5F" w:rsidTr="0094391E" w14:paraId="7E623ADC" w14:textId="77777777">
        <w:trPr>
          <w:trHeight w:val="292"/>
        </w:trPr>
        <w:tc>
          <w:tcPr>
            <w:tcW w:w="2491" w:type="dxa"/>
            <w:noWrap/>
            <w:hideMark/>
          </w:tcPr>
          <w:p w:rsidRPr="00A611C5" w:rsidR="003606EA" w:rsidRDefault="003606EA" w14:paraId="09A57025" w14:textId="77777777">
            <w:pPr>
              <w:rPr>
                <w:rFonts w:asciiTheme="majorHAnsi" w:hAnsiTheme="majorHAnsi"/>
                <w:b/>
                <w:bCs/>
                <w:i/>
                <w:iCs/>
                <w:sz w:val="22"/>
                <w:szCs w:val="16"/>
              </w:rPr>
            </w:pPr>
            <w:r w:rsidRPr="00A611C5">
              <w:rPr>
                <w:rFonts w:asciiTheme="majorHAnsi" w:hAnsiTheme="majorHAnsi"/>
                <w:b/>
                <w:bCs/>
                <w:i/>
                <w:iCs/>
                <w:sz w:val="22"/>
                <w:szCs w:val="16"/>
              </w:rPr>
              <w:t>Cost per unit saved</w:t>
            </w:r>
          </w:p>
        </w:tc>
        <w:tc>
          <w:tcPr>
            <w:tcW w:w="1248" w:type="dxa"/>
            <w:noWrap/>
            <w:hideMark/>
          </w:tcPr>
          <w:p w:rsidRPr="00A611C5" w:rsidR="003606EA" w:rsidP="00A36B0B" w:rsidRDefault="003606EA" w14:paraId="2ACC0014" w14:textId="678605CF">
            <w:pPr>
              <w:jc w:val="center"/>
              <w:rPr>
                <w:rFonts w:asciiTheme="majorHAnsi" w:hAnsiTheme="majorHAnsi"/>
                <w:sz w:val="22"/>
                <w:szCs w:val="16"/>
              </w:rPr>
            </w:pPr>
          </w:p>
        </w:tc>
        <w:tc>
          <w:tcPr>
            <w:tcW w:w="1033" w:type="dxa"/>
            <w:noWrap/>
            <w:hideMark/>
          </w:tcPr>
          <w:p w:rsidRPr="00A611C5" w:rsidR="003606EA" w:rsidP="00A36B0B" w:rsidRDefault="003606EA" w14:paraId="6F2BC16D" w14:textId="77777777">
            <w:pPr>
              <w:jc w:val="center"/>
              <w:rPr>
                <w:rFonts w:asciiTheme="majorHAnsi" w:hAnsiTheme="majorHAnsi"/>
                <w:sz w:val="22"/>
                <w:szCs w:val="16"/>
              </w:rPr>
            </w:pPr>
            <w:r w:rsidRPr="00A611C5">
              <w:rPr>
                <w:rFonts w:asciiTheme="majorHAnsi" w:hAnsiTheme="majorHAnsi"/>
                <w:sz w:val="22"/>
                <w:szCs w:val="16"/>
              </w:rPr>
              <w:t>42</w:t>
            </w:r>
          </w:p>
        </w:tc>
        <w:tc>
          <w:tcPr>
            <w:tcW w:w="888" w:type="dxa"/>
            <w:noWrap/>
            <w:hideMark/>
          </w:tcPr>
          <w:p w:rsidRPr="00A611C5" w:rsidR="003606EA" w:rsidP="00A36B0B" w:rsidRDefault="003606EA" w14:paraId="7CA85B58" w14:textId="1B99B237">
            <w:pPr>
              <w:jc w:val="center"/>
              <w:rPr>
                <w:rFonts w:asciiTheme="majorHAnsi" w:hAnsiTheme="majorHAnsi"/>
                <w:sz w:val="22"/>
                <w:szCs w:val="16"/>
              </w:rPr>
            </w:pPr>
          </w:p>
        </w:tc>
        <w:tc>
          <w:tcPr>
            <w:tcW w:w="1263" w:type="dxa"/>
            <w:noWrap/>
            <w:hideMark/>
          </w:tcPr>
          <w:p w:rsidRPr="00A611C5" w:rsidR="003606EA" w:rsidP="00A36B0B" w:rsidRDefault="003606EA" w14:paraId="61C53CC6" w14:textId="72569D8D">
            <w:pPr>
              <w:jc w:val="center"/>
              <w:rPr>
                <w:rFonts w:asciiTheme="majorHAnsi" w:hAnsiTheme="majorHAnsi"/>
                <w:sz w:val="22"/>
                <w:szCs w:val="16"/>
              </w:rPr>
            </w:pPr>
          </w:p>
        </w:tc>
        <w:tc>
          <w:tcPr>
            <w:tcW w:w="992" w:type="dxa"/>
            <w:noWrap/>
            <w:hideMark/>
          </w:tcPr>
          <w:p w:rsidRPr="00A611C5" w:rsidR="003606EA" w:rsidP="00A36B0B" w:rsidRDefault="003606EA" w14:paraId="66B950DE" w14:textId="7FE7258D">
            <w:pPr>
              <w:jc w:val="center"/>
              <w:rPr>
                <w:rFonts w:asciiTheme="majorHAnsi" w:hAnsiTheme="majorHAnsi"/>
                <w:sz w:val="22"/>
                <w:szCs w:val="16"/>
              </w:rPr>
            </w:pPr>
          </w:p>
        </w:tc>
        <w:tc>
          <w:tcPr>
            <w:tcW w:w="1435" w:type="dxa"/>
            <w:noWrap/>
            <w:hideMark/>
          </w:tcPr>
          <w:p w:rsidRPr="00A611C5" w:rsidR="003606EA" w:rsidP="00A36B0B" w:rsidRDefault="003606EA" w14:paraId="6E6045CA" w14:textId="77777777">
            <w:pPr>
              <w:jc w:val="center"/>
              <w:rPr>
                <w:rFonts w:asciiTheme="majorHAnsi" w:hAnsiTheme="majorHAnsi"/>
                <w:b/>
                <w:bCs/>
                <w:sz w:val="22"/>
                <w:szCs w:val="16"/>
              </w:rPr>
            </w:pPr>
            <w:r w:rsidRPr="00A611C5">
              <w:rPr>
                <w:rFonts w:asciiTheme="majorHAnsi" w:hAnsiTheme="majorHAnsi"/>
                <w:b/>
                <w:bCs/>
                <w:sz w:val="22"/>
                <w:szCs w:val="16"/>
              </w:rPr>
              <w:t>42</w:t>
            </w:r>
          </w:p>
        </w:tc>
      </w:tr>
      <w:tr w:rsidRPr="00FE4921" w:rsidR="00451A5F" w:rsidTr="0094391E" w14:paraId="36FAF483" w14:textId="77777777">
        <w:trPr>
          <w:trHeight w:val="292"/>
        </w:trPr>
        <w:tc>
          <w:tcPr>
            <w:tcW w:w="2491" w:type="dxa"/>
            <w:noWrap/>
            <w:hideMark/>
          </w:tcPr>
          <w:p w:rsidRPr="00A611C5" w:rsidR="003606EA" w:rsidRDefault="003606EA" w14:paraId="1978FA18" w14:textId="77777777">
            <w:pPr>
              <w:rPr>
                <w:rFonts w:asciiTheme="majorHAnsi" w:hAnsiTheme="majorHAnsi"/>
                <w:b/>
                <w:bCs/>
                <w:sz w:val="22"/>
                <w:szCs w:val="16"/>
              </w:rPr>
            </w:pPr>
            <w:r w:rsidRPr="00A611C5">
              <w:rPr>
                <w:rFonts w:asciiTheme="majorHAnsi" w:hAnsiTheme="majorHAnsi"/>
                <w:b/>
                <w:bCs/>
                <w:sz w:val="22"/>
                <w:szCs w:val="16"/>
              </w:rPr>
              <w:t>Depth of interventions</w:t>
            </w:r>
          </w:p>
        </w:tc>
        <w:tc>
          <w:tcPr>
            <w:tcW w:w="1248" w:type="dxa"/>
            <w:noWrap/>
            <w:hideMark/>
          </w:tcPr>
          <w:p w:rsidRPr="00A611C5" w:rsidR="003606EA" w:rsidP="00A36B0B" w:rsidRDefault="003606EA" w14:paraId="511F1B0C" w14:textId="77777777">
            <w:pPr>
              <w:jc w:val="center"/>
              <w:rPr>
                <w:rFonts w:asciiTheme="majorHAnsi" w:hAnsiTheme="majorHAnsi"/>
                <w:sz w:val="22"/>
                <w:szCs w:val="16"/>
              </w:rPr>
            </w:pPr>
            <w:r w:rsidRPr="00A611C5">
              <w:rPr>
                <w:rFonts w:asciiTheme="majorHAnsi" w:hAnsiTheme="majorHAnsi"/>
                <w:sz w:val="22"/>
                <w:szCs w:val="16"/>
              </w:rPr>
              <w:t>3</w:t>
            </w:r>
          </w:p>
        </w:tc>
        <w:tc>
          <w:tcPr>
            <w:tcW w:w="1033" w:type="dxa"/>
            <w:noWrap/>
            <w:hideMark/>
          </w:tcPr>
          <w:p w:rsidRPr="00A611C5" w:rsidR="003606EA" w:rsidP="00A36B0B" w:rsidRDefault="003606EA" w14:paraId="315D7B45" w14:textId="77777777">
            <w:pPr>
              <w:jc w:val="center"/>
              <w:rPr>
                <w:rFonts w:asciiTheme="majorHAnsi" w:hAnsiTheme="majorHAnsi"/>
                <w:sz w:val="22"/>
                <w:szCs w:val="16"/>
              </w:rPr>
            </w:pPr>
            <w:r w:rsidRPr="00A611C5">
              <w:rPr>
                <w:rFonts w:asciiTheme="majorHAnsi" w:hAnsiTheme="majorHAnsi"/>
                <w:sz w:val="22"/>
                <w:szCs w:val="16"/>
              </w:rPr>
              <w:t>21</w:t>
            </w:r>
          </w:p>
        </w:tc>
        <w:tc>
          <w:tcPr>
            <w:tcW w:w="888" w:type="dxa"/>
            <w:noWrap/>
            <w:hideMark/>
          </w:tcPr>
          <w:p w:rsidRPr="00A611C5" w:rsidR="003606EA" w:rsidP="00A36B0B" w:rsidRDefault="003606EA" w14:paraId="6A4ECCB9" w14:textId="619891D3">
            <w:pPr>
              <w:jc w:val="center"/>
              <w:rPr>
                <w:rFonts w:asciiTheme="majorHAnsi" w:hAnsiTheme="majorHAnsi"/>
                <w:sz w:val="22"/>
                <w:szCs w:val="16"/>
              </w:rPr>
            </w:pPr>
          </w:p>
        </w:tc>
        <w:tc>
          <w:tcPr>
            <w:tcW w:w="1263" w:type="dxa"/>
            <w:noWrap/>
            <w:hideMark/>
          </w:tcPr>
          <w:p w:rsidRPr="00A611C5" w:rsidR="003606EA" w:rsidP="00A36B0B" w:rsidRDefault="003606EA" w14:paraId="6C10BA0F" w14:textId="77777777">
            <w:pPr>
              <w:jc w:val="center"/>
              <w:rPr>
                <w:rFonts w:asciiTheme="majorHAnsi" w:hAnsiTheme="majorHAnsi"/>
                <w:sz w:val="22"/>
                <w:szCs w:val="16"/>
              </w:rPr>
            </w:pPr>
            <w:r w:rsidRPr="00A611C5">
              <w:rPr>
                <w:rFonts w:asciiTheme="majorHAnsi" w:hAnsiTheme="majorHAnsi"/>
                <w:sz w:val="22"/>
                <w:szCs w:val="16"/>
              </w:rPr>
              <w:t>6</w:t>
            </w:r>
          </w:p>
        </w:tc>
        <w:tc>
          <w:tcPr>
            <w:tcW w:w="992" w:type="dxa"/>
            <w:noWrap/>
            <w:hideMark/>
          </w:tcPr>
          <w:p w:rsidRPr="00A611C5" w:rsidR="003606EA" w:rsidP="00A36B0B" w:rsidRDefault="003606EA" w14:paraId="58BEBE05" w14:textId="351F3261">
            <w:pPr>
              <w:jc w:val="center"/>
              <w:rPr>
                <w:rFonts w:asciiTheme="majorHAnsi" w:hAnsiTheme="majorHAnsi"/>
                <w:sz w:val="22"/>
                <w:szCs w:val="16"/>
              </w:rPr>
            </w:pPr>
          </w:p>
        </w:tc>
        <w:tc>
          <w:tcPr>
            <w:tcW w:w="1435" w:type="dxa"/>
            <w:noWrap/>
            <w:hideMark/>
          </w:tcPr>
          <w:p w:rsidRPr="00A611C5" w:rsidR="003606EA" w:rsidP="00A36B0B" w:rsidRDefault="003606EA" w14:paraId="288CA74D" w14:textId="77777777">
            <w:pPr>
              <w:jc w:val="center"/>
              <w:rPr>
                <w:rFonts w:asciiTheme="majorHAnsi" w:hAnsiTheme="majorHAnsi"/>
                <w:b/>
                <w:bCs/>
                <w:sz w:val="22"/>
                <w:szCs w:val="16"/>
              </w:rPr>
            </w:pPr>
            <w:r w:rsidRPr="00A611C5">
              <w:rPr>
                <w:rFonts w:asciiTheme="majorHAnsi" w:hAnsiTheme="majorHAnsi"/>
                <w:b/>
                <w:bCs/>
                <w:sz w:val="22"/>
                <w:szCs w:val="16"/>
              </w:rPr>
              <w:t>30</w:t>
            </w:r>
          </w:p>
        </w:tc>
      </w:tr>
      <w:tr w:rsidRPr="00FE4921" w:rsidR="00451A5F" w:rsidTr="0094391E" w14:paraId="455F8233" w14:textId="77777777">
        <w:trPr>
          <w:trHeight w:val="292"/>
        </w:trPr>
        <w:tc>
          <w:tcPr>
            <w:tcW w:w="2491" w:type="dxa"/>
            <w:noWrap/>
            <w:hideMark/>
          </w:tcPr>
          <w:p w:rsidRPr="00A611C5" w:rsidR="003606EA" w:rsidRDefault="003606EA" w14:paraId="548320A0" w14:textId="77777777">
            <w:pPr>
              <w:rPr>
                <w:rFonts w:asciiTheme="majorHAnsi" w:hAnsiTheme="majorHAnsi"/>
                <w:b/>
                <w:bCs/>
                <w:i/>
                <w:iCs/>
                <w:sz w:val="22"/>
                <w:szCs w:val="16"/>
              </w:rPr>
            </w:pPr>
            <w:r w:rsidRPr="00A611C5">
              <w:rPr>
                <w:rFonts w:asciiTheme="majorHAnsi" w:hAnsiTheme="majorHAnsi"/>
                <w:b/>
                <w:bCs/>
                <w:i/>
                <w:iCs/>
                <w:sz w:val="22"/>
                <w:szCs w:val="16"/>
              </w:rPr>
              <w:t>Energy intensity</w:t>
            </w:r>
          </w:p>
        </w:tc>
        <w:tc>
          <w:tcPr>
            <w:tcW w:w="1248" w:type="dxa"/>
            <w:noWrap/>
            <w:hideMark/>
          </w:tcPr>
          <w:p w:rsidRPr="00A611C5" w:rsidR="003606EA" w:rsidP="00A36B0B" w:rsidRDefault="003606EA" w14:paraId="45878E90" w14:textId="08DC8E34">
            <w:pPr>
              <w:jc w:val="center"/>
              <w:rPr>
                <w:rFonts w:asciiTheme="majorHAnsi" w:hAnsiTheme="majorHAnsi"/>
                <w:sz w:val="22"/>
                <w:szCs w:val="16"/>
              </w:rPr>
            </w:pPr>
          </w:p>
        </w:tc>
        <w:tc>
          <w:tcPr>
            <w:tcW w:w="1033" w:type="dxa"/>
            <w:noWrap/>
            <w:hideMark/>
          </w:tcPr>
          <w:p w:rsidRPr="00A611C5" w:rsidR="003606EA" w:rsidP="00A36B0B" w:rsidRDefault="003606EA" w14:paraId="7C750E7D" w14:textId="77777777">
            <w:pPr>
              <w:jc w:val="center"/>
              <w:rPr>
                <w:rFonts w:asciiTheme="majorHAnsi" w:hAnsiTheme="majorHAnsi"/>
                <w:sz w:val="22"/>
                <w:szCs w:val="16"/>
              </w:rPr>
            </w:pPr>
            <w:r w:rsidRPr="00A611C5">
              <w:rPr>
                <w:rFonts w:asciiTheme="majorHAnsi" w:hAnsiTheme="majorHAnsi"/>
                <w:sz w:val="22"/>
                <w:szCs w:val="16"/>
              </w:rPr>
              <w:t>4</w:t>
            </w:r>
          </w:p>
        </w:tc>
        <w:tc>
          <w:tcPr>
            <w:tcW w:w="888" w:type="dxa"/>
            <w:noWrap/>
            <w:hideMark/>
          </w:tcPr>
          <w:p w:rsidRPr="00A611C5" w:rsidR="003606EA" w:rsidP="00A36B0B" w:rsidRDefault="003606EA" w14:paraId="31B9CBFE" w14:textId="10482800">
            <w:pPr>
              <w:jc w:val="center"/>
              <w:rPr>
                <w:rFonts w:asciiTheme="majorHAnsi" w:hAnsiTheme="majorHAnsi"/>
                <w:sz w:val="22"/>
                <w:szCs w:val="16"/>
              </w:rPr>
            </w:pPr>
          </w:p>
        </w:tc>
        <w:tc>
          <w:tcPr>
            <w:tcW w:w="1263" w:type="dxa"/>
            <w:noWrap/>
            <w:hideMark/>
          </w:tcPr>
          <w:p w:rsidRPr="00A611C5" w:rsidR="003606EA" w:rsidP="00A36B0B" w:rsidRDefault="003606EA" w14:paraId="3FD3AF68" w14:textId="3B3349F0">
            <w:pPr>
              <w:jc w:val="center"/>
              <w:rPr>
                <w:rFonts w:asciiTheme="majorHAnsi" w:hAnsiTheme="majorHAnsi"/>
                <w:sz w:val="22"/>
                <w:szCs w:val="16"/>
              </w:rPr>
            </w:pPr>
          </w:p>
        </w:tc>
        <w:tc>
          <w:tcPr>
            <w:tcW w:w="992" w:type="dxa"/>
            <w:noWrap/>
            <w:hideMark/>
          </w:tcPr>
          <w:p w:rsidRPr="00A611C5" w:rsidR="003606EA" w:rsidP="00A36B0B" w:rsidRDefault="003606EA" w14:paraId="36FD0458" w14:textId="39A85008">
            <w:pPr>
              <w:jc w:val="center"/>
              <w:rPr>
                <w:rFonts w:asciiTheme="majorHAnsi" w:hAnsiTheme="majorHAnsi"/>
                <w:sz w:val="22"/>
                <w:szCs w:val="16"/>
              </w:rPr>
            </w:pPr>
          </w:p>
        </w:tc>
        <w:tc>
          <w:tcPr>
            <w:tcW w:w="1435" w:type="dxa"/>
            <w:noWrap/>
            <w:hideMark/>
          </w:tcPr>
          <w:p w:rsidRPr="00A611C5" w:rsidR="003606EA" w:rsidP="00A36B0B" w:rsidRDefault="003606EA" w14:paraId="239C7C76" w14:textId="77777777">
            <w:pPr>
              <w:jc w:val="center"/>
              <w:rPr>
                <w:rFonts w:asciiTheme="majorHAnsi" w:hAnsiTheme="majorHAnsi"/>
                <w:b/>
                <w:bCs/>
                <w:sz w:val="22"/>
                <w:szCs w:val="16"/>
              </w:rPr>
            </w:pPr>
            <w:r w:rsidRPr="00A611C5">
              <w:rPr>
                <w:rFonts w:asciiTheme="majorHAnsi" w:hAnsiTheme="majorHAnsi"/>
                <w:b/>
                <w:bCs/>
                <w:sz w:val="22"/>
                <w:szCs w:val="16"/>
              </w:rPr>
              <w:t>4</w:t>
            </w:r>
          </w:p>
        </w:tc>
      </w:tr>
      <w:tr w:rsidRPr="00FE4921" w:rsidR="00451A5F" w:rsidTr="0094391E" w14:paraId="6858A75F" w14:textId="77777777">
        <w:trPr>
          <w:trHeight w:val="292"/>
        </w:trPr>
        <w:tc>
          <w:tcPr>
            <w:tcW w:w="2491" w:type="dxa"/>
            <w:noWrap/>
            <w:hideMark/>
          </w:tcPr>
          <w:p w:rsidRPr="00A611C5" w:rsidR="003606EA" w:rsidRDefault="003606EA" w14:paraId="7C12B55E" w14:textId="77777777">
            <w:pPr>
              <w:rPr>
                <w:rFonts w:asciiTheme="majorHAnsi" w:hAnsiTheme="majorHAnsi"/>
                <w:b/>
                <w:bCs/>
                <w:sz w:val="22"/>
                <w:szCs w:val="16"/>
              </w:rPr>
            </w:pPr>
            <w:r w:rsidRPr="00A611C5">
              <w:rPr>
                <w:rFonts w:asciiTheme="majorHAnsi" w:hAnsiTheme="majorHAnsi"/>
                <w:b/>
                <w:bCs/>
                <w:sz w:val="22"/>
                <w:szCs w:val="16"/>
              </w:rPr>
              <w:t>Energy Savings</w:t>
            </w:r>
          </w:p>
        </w:tc>
        <w:tc>
          <w:tcPr>
            <w:tcW w:w="1248" w:type="dxa"/>
            <w:noWrap/>
            <w:hideMark/>
          </w:tcPr>
          <w:p w:rsidRPr="00A611C5" w:rsidR="003606EA" w:rsidP="00A36B0B" w:rsidRDefault="003606EA" w14:paraId="74C4C4FE" w14:textId="09132691">
            <w:pPr>
              <w:jc w:val="center"/>
              <w:rPr>
                <w:rFonts w:asciiTheme="majorHAnsi" w:hAnsiTheme="majorHAnsi"/>
                <w:sz w:val="22"/>
                <w:szCs w:val="16"/>
              </w:rPr>
            </w:pPr>
          </w:p>
        </w:tc>
        <w:tc>
          <w:tcPr>
            <w:tcW w:w="1033" w:type="dxa"/>
            <w:noWrap/>
            <w:hideMark/>
          </w:tcPr>
          <w:p w:rsidRPr="00A611C5" w:rsidR="003606EA" w:rsidP="00A36B0B" w:rsidRDefault="003606EA" w14:paraId="3BC62934" w14:textId="77777777">
            <w:pPr>
              <w:jc w:val="center"/>
              <w:rPr>
                <w:rFonts w:asciiTheme="majorHAnsi" w:hAnsiTheme="majorHAnsi"/>
                <w:sz w:val="22"/>
                <w:szCs w:val="16"/>
              </w:rPr>
            </w:pPr>
            <w:r w:rsidRPr="00A611C5">
              <w:rPr>
                <w:rFonts w:asciiTheme="majorHAnsi" w:hAnsiTheme="majorHAnsi"/>
                <w:sz w:val="22"/>
                <w:szCs w:val="16"/>
              </w:rPr>
              <w:t>40</w:t>
            </w:r>
          </w:p>
        </w:tc>
        <w:tc>
          <w:tcPr>
            <w:tcW w:w="888" w:type="dxa"/>
            <w:noWrap/>
            <w:hideMark/>
          </w:tcPr>
          <w:p w:rsidRPr="00A611C5" w:rsidR="003606EA" w:rsidP="00A36B0B" w:rsidRDefault="003606EA" w14:paraId="3C277D24" w14:textId="3EBB2C1E">
            <w:pPr>
              <w:jc w:val="center"/>
              <w:rPr>
                <w:rFonts w:asciiTheme="majorHAnsi" w:hAnsiTheme="majorHAnsi"/>
                <w:sz w:val="22"/>
                <w:szCs w:val="16"/>
              </w:rPr>
            </w:pPr>
          </w:p>
        </w:tc>
        <w:tc>
          <w:tcPr>
            <w:tcW w:w="1263" w:type="dxa"/>
            <w:noWrap/>
            <w:hideMark/>
          </w:tcPr>
          <w:p w:rsidRPr="00A611C5" w:rsidR="003606EA" w:rsidP="00A36B0B" w:rsidRDefault="003606EA" w14:paraId="51F8B255" w14:textId="77777777">
            <w:pPr>
              <w:jc w:val="center"/>
              <w:rPr>
                <w:rFonts w:asciiTheme="majorHAnsi" w:hAnsiTheme="majorHAnsi"/>
                <w:sz w:val="22"/>
                <w:szCs w:val="16"/>
              </w:rPr>
            </w:pPr>
            <w:r w:rsidRPr="00A611C5">
              <w:rPr>
                <w:rFonts w:asciiTheme="majorHAnsi" w:hAnsiTheme="majorHAnsi"/>
                <w:sz w:val="22"/>
                <w:szCs w:val="16"/>
              </w:rPr>
              <w:t>80</w:t>
            </w:r>
          </w:p>
        </w:tc>
        <w:tc>
          <w:tcPr>
            <w:tcW w:w="992" w:type="dxa"/>
            <w:noWrap/>
            <w:hideMark/>
          </w:tcPr>
          <w:p w:rsidRPr="00A611C5" w:rsidR="003606EA" w:rsidP="00A36B0B" w:rsidRDefault="003606EA" w14:paraId="4CDE4211" w14:textId="77777777">
            <w:pPr>
              <w:jc w:val="center"/>
              <w:rPr>
                <w:rFonts w:asciiTheme="majorHAnsi" w:hAnsiTheme="majorHAnsi"/>
                <w:sz w:val="22"/>
                <w:szCs w:val="16"/>
              </w:rPr>
            </w:pPr>
            <w:r w:rsidRPr="00A611C5">
              <w:rPr>
                <w:rFonts w:asciiTheme="majorHAnsi" w:hAnsiTheme="majorHAnsi"/>
                <w:sz w:val="22"/>
                <w:szCs w:val="16"/>
              </w:rPr>
              <w:t>39</w:t>
            </w:r>
          </w:p>
        </w:tc>
        <w:tc>
          <w:tcPr>
            <w:tcW w:w="1435" w:type="dxa"/>
            <w:noWrap/>
            <w:hideMark/>
          </w:tcPr>
          <w:p w:rsidRPr="00A611C5" w:rsidR="003606EA" w:rsidP="00A36B0B" w:rsidRDefault="003606EA" w14:paraId="05996231" w14:textId="77777777">
            <w:pPr>
              <w:jc w:val="center"/>
              <w:rPr>
                <w:rFonts w:asciiTheme="majorHAnsi" w:hAnsiTheme="majorHAnsi"/>
                <w:b/>
                <w:bCs/>
                <w:sz w:val="22"/>
                <w:szCs w:val="16"/>
              </w:rPr>
            </w:pPr>
            <w:r w:rsidRPr="00A611C5">
              <w:rPr>
                <w:rFonts w:asciiTheme="majorHAnsi" w:hAnsiTheme="majorHAnsi"/>
                <w:b/>
                <w:bCs/>
                <w:sz w:val="22"/>
                <w:szCs w:val="16"/>
              </w:rPr>
              <w:t>159</w:t>
            </w:r>
          </w:p>
        </w:tc>
      </w:tr>
      <w:tr w:rsidRPr="00FE4921" w:rsidR="00451A5F" w:rsidTr="0094391E" w14:paraId="1216C06B" w14:textId="77777777">
        <w:trPr>
          <w:trHeight w:val="292"/>
        </w:trPr>
        <w:tc>
          <w:tcPr>
            <w:tcW w:w="2491" w:type="dxa"/>
            <w:noWrap/>
            <w:hideMark/>
          </w:tcPr>
          <w:p w:rsidRPr="00A611C5" w:rsidR="003606EA" w:rsidRDefault="003606EA" w14:paraId="2C19E2D8" w14:textId="77777777">
            <w:pPr>
              <w:rPr>
                <w:rFonts w:asciiTheme="majorHAnsi" w:hAnsiTheme="majorHAnsi"/>
                <w:b/>
                <w:bCs/>
                <w:sz w:val="22"/>
                <w:szCs w:val="16"/>
              </w:rPr>
            </w:pPr>
            <w:r w:rsidRPr="00A611C5">
              <w:rPr>
                <w:rFonts w:asciiTheme="majorHAnsi" w:hAnsiTheme="majorHAnsi"/>
                <w:b/>
                <w:bCs/>
                <w:sz w:val="22"/>
                <w:szCs w:val="16"/>
              </w:rPr>
              <w:t>ETP</w:t>
            </w:r>
          </w:p>
        </w:tc>
        <w:tc>
          <w:tcPr>
            <w:tcW w:w="1248" w:type="dxa"/>
            <w:noWrap/>
            <w:hideMark/>
          </w:tcPr>
          <w:p w:rsidRPr="00A611C5" w:rsidR="003606EA" w:rsidP="00A36B0B" w:rsidRDefault="003606EA" w14:paraId="7820518E" w14:textId="2D985184">
            <w:pPr>
              <w:jc w:val="center"/>
              <w:rPr>
                <w:rFonts w:asciiTheme="majorHAnsi" w:hAnsiTheme="majorHAnsi"/>
                <w:sz w:val="22"/>
                <w:szCs w:val="16"/>
              </w:rPr>
            </w:pPr>
          </w:p>
        </w:tc>
        <w:tc>
          <w:tcPr>
            <w:tcW w:w="1033" w:type="dxa"/>
            <w:noWrap/>
            <w:hideMark/>
          </w:tcPr>
          <w:p w:rsidRPr="00A611C5" w:rsidR="003606EA" w:rsidP="00A36B0B" w:rsidRDefault="003606EA" w14:paraId="0AE5B3AB" w14:textId="77777777">
            <w:pPr>
              <w:jc w:val="center"/>
              <w:rPr>
                <w:rFonts w:asciiTheme="majorHAnsi" w:hAnsiTheme="majorHAnsi"/>
                <w:sz w:val="22"/>
                <w:szCs w:val="16"/>
              </w:rPr>
            </w:pPr>
            <w:r w:rsidRPr="00A611C5">
              <w:rPr>
                <w:rFonts w:asciiTheme="majorHAnsi" w:hAnsiTheme="majorHAnsi"/>
                <w:sz w:val="22"/>
                <w:szCs w:val="16"/>
              </w:rPr>
              <w:t>8</w:t>
            </w:r>
          </w:p>
        </w:tc>
        <w:tc>
          <w:tcPr>
            <w:tcW w:w="888" w:type="dxa"/>
            <w:noWrap/>
            <w:hideMark/>
          </w:tcPr>
          <w:p w:rsidRPr="00A611C5" w:rsidR="003606EA" w:rsidP="00A36B0B" w:rsidRDefault="003606EA" w14:paraId="292A5CFF" w14:textId="477C0DE5">
            <w:pPr>
              <w:jc w:val="center"/>
              <w:rPr>
                <w:rFonts w:asciiTheme="majorHAnsi" w:hAnsiTheme="majorHAnsi"/>
                <w:sz w:val="22"/>
                <w:szCs w:val="16"/>
              </w:rPr>
            </w:pPr>
          </w:p>
        </w:tc>
        <w:tc>
          <w:tcPr>
            <w:tcW w:w="1263" w:type="dxa"/>
            <w:noWrap/>
            <w:hideMark/>
          </w:tcPr>
          <w:p w:rsidRPr="00A611C5" w:rsidR="003606EA" w:rsidP="00A36B0B" w:rsidRDefault="003606EA" w14:paraId="593E6D1D" w14:textId="77777777">
            <w:pPr>
              <w:jc w:val="center"/>
              <w:rPr>
                <w:rFonts w:asciiTheme="majorHAnsi" w:hAnsiTheme="majorHAnsi"/>
                <w:sz w:val="22"/>
                <w:szCs w:val="16"/>
              </w:rPr>
            </w:pPr>
            <w:r w:rsidRPr="00A611C5">
              <w:rPr>
                <w:rFonts w:asciiTheme="majorHAnsi" w:hAnsiTheme="majorHAnsi"/>
                <w:sz w:val="22"/>
                <w:szCs w:val="16"/>
              </w:rPr>
              <w:t>15</w:t>
            </w:r>
          </w:p>
        </w:tc>
        <w:tc>
          <w:tcPr>
            <w:tcW w:w="992" w:type="dxa"/>
            <w:noWrap/>
            <w:hideMark/>
          </w:tcPr>
          <w:p w:rsidRPr="00A611C5" w:rsidR="003606EA" w:rsidP="00A36B0B" w:rsidRDefault="003606EA" w14:paraId="4AECE081" w14:textId="7D2DD4F7">
            <w:pPr>
              <w:jc w:val="center"/>
              <w:rPr>
                <w:rFonts w:asciiTheme="majorHAnsi" w:hAnsiTheme="majorHAnsi"/>
                <w:sz w:val="22"/>
                <w:szCs w:val="16"/>
              </w:rPr>
            </w:pPr>
          </w:p>
        </w:tc>
        <w:tc>
          <w:tcPr>
            <w:tcW w:w="1435" w:type="dxa"/>
            <w:noWrap/>
            <w:hideMark/>
          </w:tcPr>
          <w:p w:rsidRPr="00A611C5" w:rsidR="003606EA" w:rsidP="00A36B0B" w:rsidRDefault="003606EA" w14:paraId="7C6D8F13" w14:textId="77777777">
            <w:pPr>
              <w:jc w:val="center"/>
              <w:rPr>
                <w:rFonts w:asciiTheme="majorHAnsi" w:hAnsiTheme="majorHAnsi"/>
                <w:b/>
                <w:bCs/>
                <w:sz w:val="22"/>
                <w:szCs w:val="16"/>
              </w:rPr>
            </w:pPr>
            <w:r w:rsidRPr="00A611C5">
              <w:rPr>
                <w:rFonts w:asciiTheme="majorHAnsi" w:hAnsiTheme="majorHAnsi"/>
                <w:b/>
                <w:bCs/>
                <w:sz w:val="22"/>
                <w:szCs w:val="16"/>
              </w:rPr>
              <w:t>23</w:t>
            </w:r>
          </w:p>
        </w:tc>
      </w:tr>
      <w:tr w:rsidRPr="00FE4921" w:rsidR="00451A5F" w:rsidTr="0094391E" w14:paraId="3E0F653C" w14:textId="77777777">
        <w:trPr>
          <w:trHeight w:val="292"/>
        </w:trPr>
        <w:tc>
          <w:tcPr>
            <w:tcW w:w="2491" w:type="dxa"/>
            <w:noWrap/>
            <w:hideMark/>
          </w:tcPr>
          <w:p w:rsidRPr="00A611C5" w:rsidR="003606EA" w:rsidRDefault="003606EA" w14:paraId="0DE08DBC" w14:textId="77777777">
            <w:pPr>
              <w:rPr>
                <w:rFonts w:asciiTheme="majorHAnsi" w:hAnsiTheme="majorHAnsi"/>
                <w:b/>
                <w:bCs/>
                <w:sz w:val="22"/>
                <w:szCs w:val="16"/>
              </w:rPr>
            </w:pPr>
            <w:r w:rsidRPr="00A611C5">
              <w:rPr>
                <w:rFonts w:asciiTheme="majorHAnsi" w:hAnsiTheme="majorHAnsi"/>
                <w:b/>
                <w:bCs/>
                <w:sz w:val="22"/>
                <w:szCs w:val="16"/>
              </w:rPr>
              <w:t>GHG</w:t>
            </w:r>
          </w:p>
        </w:tc>
        <w:tc>
          <w:tcPr>
            <w:tcW w:w="1248" w:type="dxa"/>
            <w:noWrap/>
            <w:hideMark/>
          </w:tcPr>
          <w:p w:rsidRPr="00A611C5" w:rsidR="003606EA" w:rsidP="00A36B0B" w:rsidRDefault="003606EA" w14:paraId="7AAA15FF" w14:textId="62501292">
            <w:pPr>
              <w:jc w:val="center"/>
              <w:rPr>
                <w:rFonts w:asciiTheme="majorHAnsi" w:hAnsiTheme="majorHAnsi"/>
                <w:sz w:val="22"/>
                <w:szCs w:val="16"/>
              </w:rPr>
            </w:pPr>
          </w:p>
        </w:tc>
        <w:tc>
          <w:tcPr>
            <w:tcW w:w="1033" w:type="dxa"/>
            <w:noWrap/>
            <w:hideMark/>
          </w:tcPr>
          <w:p w:rsidRPr="00A611C5" w:rsidR="003606EA" w:rsidP="00A36B0B" w:rsidRDefault="003606EA" w14:paraId="6A1ADA62" w14:textId="34E55B35">
            <w:pPr>
              <w:jc w:val="center"/>
              <w:rPr>
                <w:rFonts w:asciiTheme="majorHAnsi" w:hAnsiTheme="majorHAnsi"/>
                <w:sz w:val="22"/>
                <w:szCs w:val="16"/>
              </w:rPr>
            </w:pPr>
          </w:p>
        </w:tc>
        <w:tc>
          <w:tcPr>
            <w:tcW w:w="888" w:type="dxa"/>
            <w:noWrap/>
            <w:hideMark/>
          </w:tcPr>
          <w:p w:rsidRPr="00A611C5" w:rsidR="003606EA" w:rsidP="00A36B0B" w:rsidRDefault="003606EA" w14:paraId="2338E075" w14:textId="5DE8D6DF">
            <w:pPr>
              <w:jc w:val="center"/>
              <w:rPr>
                <w:rFonts w:asciiTheme="majorHAnsi" w:hAnsiTheme="majorHAnsi"/>
                <w:sz w:val="22"/>
                <w:szCs w:val="16"/>
              </w:rPr>
            </w:pPr>
          </w:p>
        </w:tc>
        <w:tc>
          <w:tcPr>
            <w:tcW w:w="1263" w:type="dxa"/>
            <w:noWrap/>
            <w:hideMark/>
          </w:tcPr>
          <w:p w:rsidRPr="00A611C5" w:rsidR="003606EA" w:rsidP="00A36B0B" w:rsidRDefault="003606EA" w14:paraId="5807AFD6" w14:textId="488801F4">
            <w:pPr>
              <w:jc w:val="center"/>
              <w:rPr>
                <w:rFonts w:asciiTheme="majorHAnsi" w:hAnsiTheme="majorHAnsi"/>
                <w:sz w:val="22"/>
                <w:szCs w:val="16"/>
              </w:rPr>
            </w:pPr>
          </w:p>
        </w:tc>
        <w:tc>
          <w:tcPr>
            <w:tcW w:w="992" w:type="dxa"/>
            <w:noWrap/>
            <w:hideMark/>
          </w:tcPr>
          <w:p w:rsidRPr="00A611C5" w:rsidR="003606EA" w:rsidP="00A36B0B" w:rsidRDefault="003606EA" w14:paraId="39F17B96" w14:textId="77777777">
            <w:pPr>
              <w:jc w:val="center"/>
              <w:rPr>
                <w:rFonts w:asciiTheme="majorHAnsi" w:hAnsiTheme="majorHAnsi"/>
                <w:sz w:val="22"/>
                <w:szCs w:val="16"/>
              </w:rPr>
            </w:pPr>
            <w:r w:rsidRPr="00A611C5">
              <w:rPr>
                <w:rFonts w:asciiTheme="majorHAnsi" w:hAnsiTheme="majorHAnsi"/>
                <w:sz w:val="22"/>
                <w:szCs w:val="16"/>
              </w:rPr>
              <w:t>7</w:t>
            </w:r>
          </w:p>
        </w:tc>
        <w:tc>
          <w:tcPr>
            <w:tcW w:w="1435" w:type="dxa"/>
            <w:noWrap/>
            <w:hideMark/>
          </w:tcPr>
          <w:p w:rsidRPr="00F84E33" w:rsidR="003606EA" w:rsidP="00A36B0B" w:rsidRDefault="003606EA" w14:paraId="001EF0FA" w14:textId="77777777">
            <w:pPr>
              <w:jc w:val="center"/>
              <w:rPr>
                <w:rFonts w:asciiTheme="majorHAnsi" w:hAnsiTheme="majorHAnsi"/>
                <w:b/>
                <w:bCs/>
                <w:sz w:val="22"/>
                <w:szCs w:val="16"/>
              </w:rPr>
            </w:pPr>
            <w:r w:rsidRPr="00F84E33">
              <w:rPr>
                <w:rFonts w:asciiTheme="majorHAnsi" w:hAnsiTheme="majorHAnsi"/>
                <w:b/>
                <w:bCs/>
                <w:sz w:val="22"/>
                <w:szCs w:val="16"/>
              </w:rPr>
              <w:t>7</w:t>
            </w:r>
          </w:p>
        </w:tc>
      </w:tr>
      <w:tr w:rsidRPr="00FE4921" w:rsidR="00451A5F" w:rsidTr="0094391E" w14:paraId="05DE7D6B" w14:textId="77777777">
        <w:trPr>
          <w:trHeight w:val="292"/>
        </w:trPr>
        <w:tc>
          <w:tcPr>
            <w:tcW w:w="2491" w:type="dxa"/>
            <w:noWrap/>
            <w:hideMark/>
          </w:tcPr>
          <w:p w:rsidRPr="00F84E33" w:rsidR="003606EA" w:rsidRDefault="003606EA" w14:paraId="6FAB9466" w14:textId="77777777">
            <w:pPr>
              <w:rPr>
                <w:rFonts w:asciiTheme="majorHAnsi" w:hAnsiTheme="majorHAnsi"/>
                <w:b/>
                <w:bCs/>
                <w:sz w:val="22"/>
                <w:szCs w:val="16"/>
              </w:rPr>
            </w:pPr>
            <w:r w:rsidRPr="00F84E33">
              <w:rPr>
                <w:rFonts w:asciiTheme="majorHAnsi" w:hAnsiTheme="majorHAnsi"/>
                <w:b/>
                <w:bCs/>
                <w:sz w:val="22"/>
                <w:szCs w:val="16"/>
              </w:rPr>
              <w:t>Innovation and Accessibility</w:t>
            </w:r>
          </w:p>
        </w:tc>
        <w:tc>
          <w:tcPr>
            <w:tcW w:w="1248" w:type="dxa"/>
            <w:noWrap/>
            <w:hideMark/>
          </w:tcPr>
          <w:p w:rsidRPr="00F84E33" w:rsidR="003606EA" w:rsidP="00A36B0B" w:rsidRDefault="003606EA" w14:paraId="246900F9" w14:textId="77777777">
            <w:pPr>
              <w:jc w:val="center"/>
              <w:rPr>
                <w:rFonts w:asciiTheme="majorHAnsi" w:hAnsiTheme="majorHAnsi"/>
                <w:sz w:val="22"/>
                <w:szCs w:val="16"/>
              </w:rPr>
            </w:pPr>
            <w:r w:rsidRPr="00F84E33">
              <w:rPr>
                <w:rFonts w:asciiTheme="majorHAnsi" w:hAnsiTheme="majorHAnsi"/>
                <w:sz w:val="22"/>
                <w:szCs w:val="16"/>
              </w:rPr>
              <w:t>7</w:t>
            </w:r>
          </w:p>
        </w:tc>
        <w:tc>
          <w:tcPr>
            <w:tcW w:w="1033" w:type="dxa"/>
            <w:noWrap/>
            <w:hideMark/>
          </w:tcPr>
          <w:p w:rsidRPr="00F84E33" w:rsidR="003606EA" w:rsidP="00A36B0B" w:rsidRDefault="003606EA" w14:paraId="6B5703EE" w14:textId="24BFB86C">
            <w:pPr>
              <w:jc w:val="center"/>
              <w:rPr>
                <w:rFonts w:asciiTheme="majorHAnsi" w:hAnsiTheme="majorHAnsi"/>
                <w:sz w:val="22"/>
                <w:szCs w:val="16"/>
              </w:rPr>
            </w:pPr>
          </w:p>
        </w:tc>
        <w:tc>
          <w:tcPr>
            <w:tcW w:w="888" w:type="dxa"/>
            <w:noWrap/>
            <w:hideMark/>
          </w:tcPr>
          <w:p w:rsidRPr="00F84E33" w:rsidR="003606EA" w:rsidP="00A36B0B" w:rsidRDefault="003606EA" w14:paraId="043EB980" w14:textId="77777777">
            <w:pPr>
              <w:jc w:val="center"/>
              <w:rPr>
                <w:rFonts w:asciiTheme="majorHAnsi" w:hAnsiTheme="majorHAnsi"/>
                <w:sz w:val="22"/>
                <w:szCs w:val="16"/>
              </w:rPr>
            </w:pPr>
            <w:r w:rsidRPr="00F84E33">
              <w:rPr>
                <w:rFonts w:asciiTheme="majorHAnsi" w:hAnsiTheme="majorHAnsi"/>
                <w:sz w:val="22"/>
                <w:szCs w:val="16"/>
              </w:rPr>
              <w:t>4</w:t>
            </w:r>
          </w:p>
        </w:tc>
        <w:tc>
          <w:tcPr>
            <w:tcW w:w="1263" w:type="dxa"/>
            <w:noWrap/>
            <w:hideMark/>
          </w:tcPr>
          <w:p w:rsidRPr="00F84E33" w:rsidR="003606EA" w:rsidP="00A36B0B" w:rsidRDefault="003606EA" w14:paraId="755F16AC" w14:textId="6A12C559">
            <w:pPr>
              <w:jc w:val="center"/>
              <w:rPr>
                <w:rFonts w:asciiTheme="majorHAnsi" w:hAnsiTheme="majorHAnsi"/>
                <w:sz w:val="22"/>
                <w:szCs w:val="16"/>
              </w:rPr>
            </w:pPr>
          </w:p>
        </w:tc>
        <w:tc>
          <w:tcPr>
            <w:tcW w:w="992" w:type="dxa"/>
            <w:noWrap/>
            <w:hideMark/>
          </w:tcPr>
          <w:p w:rsidRPr="00F84E33" w:rsidR="003606EA" w:rsidP="00A36B0B" w:rsidRDefault="003606EA" w14:paraId="5BF5C702" w14:textId="6D29D76C">
            <w:pPr>
              <w:jc w:val="center"/>
              <w:rPr>
                <w:rFonts w:asciiTheme="majorHAnsi" w:hAnsiTheme="majorHAnsi"/>
                <w:sz w:val="22"/>
                <w:szCs w:val="16"/>
              </w:rPr>
            </w:pPr>
          </w:p>
        </w:tc>
        <w:tc>
          <w:tcPr>
            <w:tcW w:w="1435" w:type="dxa"/>
            <w:noWrap/>
            <w:hideMark/>
          </w:tcPr>
          <w:p w:rsidRPr="00F84E33" w:rsidR="003606EA" w:rsidP="00A36B0B" w:rsidRDefault="003606EA" w14:paraId="7EE081BF" w14:textId="77777777">
            <w:pPr>
              <w:jc w:val="center"/>
              <w:rPr>
                <w:rFonts w:asciiTheme="majorHAnsi" w:hAnsiTheme="majorHAnsi"/>
                <w:b/>
                <w:bCs/>
                <w:sz w:val="22"/>
                <w:szCs w:val="16"/>
              </w:rPr>
            </w:pPr>
            <w:r w:rsidRPr="00F84E33">
              <w:rPr>
                <w:rFonts w:asciiTheme="majorHAnsi" w:hAnsiTheme="majorHAnsi"/>
                <w:b/>
                <w:bCs/>
                <w:sz w:val="22"/>
                <w:szCs w:val="16"/>
              </w:rPr>
              <w:t>11</w:t>
            </w:r>
          </w:p>
        </w:tc>
      </w:tr>
      <w:tr w:rsidRPr="00FE4921" w:rsidR="00451A5F" w:rsidTr="0094391E" w14:paraId="13B2C117" w14:textId="77777777">
        <w:trPr>
          <w:trHeight w:val="292"/>
        </w:trPr>
        <w:tc>
          <w:tcPr>
            <w:tcW w:w="2491" w:type="dxa"/>
            <w:noWrap/>
            <w:hideMark/>
          </w:tcPr>
          <w:p w:rsidRPr="00F84E33" w:rsidR="003606EA" w:rsidRDefault="003606EA" w14:paraId="437E1D41" w14:textId="77777777">
            <w:pPr>
              <w:rPr>
                <w:rFonts w:asciiTheme="majorHAnsi" w:hAnsiTheme="majorHAnsi"/>
                <w:b/>
                <w:bCs/>
                <w:sz w:val="22"/>
                <w:szCs w:val="16"/>
              </w:rPr>
            </w:pPr>
            <w:r w:rsidRPr="00F84E33">
              <w:rPr>
                <w:rFonts w:asciiTheme="majorHAnsi" w:hAnsiTheme="majorHAnsi"/>
                <w:b/>
                <w:bCs/>
                <w:sz w:val="22"/>
                <w:szCs w:val="16"/>
              </w:rPr>
              <w:t>Investment in EE</w:t>
            </w:r>
          </w:p>
        </w:tc>
        <w:tc>
          <w:tcPr>
            <w:tcW w:w="1248" w:type="dxa"/>
            <w:noWrap/>
            <w:hideMark/>
          </w:tcPr>
          <w:p w:rsidRPr="00F84E33" w:rsidR="003606EA" w:rsidP="00A36B0B" w:rsidRDefault="003606EA" w14:paraId="583526F8" w14:textId="77777777">
            <w:pPr>
              <w:jc w:val="center"/>
              <w:rPr>
                <w:rFonts w:asciiTheme="majorHAnsi" w:hAnsiTheme="majorHAnsi"/>
                <w:sz w:val="22"/>
                <w:szCs w:val="16"/>
              </w:rPr>
            </w:pPr>
            <w:r w:rsidRPr="00F84E33">
              <w:rPr>
                <w:rFonts w:asciiTheme="majorHAnsi" w:hAnsiTheme="majorHAnsi"/>
                <w:sz w:val="22"/>
                <w:szCs w:val="16"/>
              </w:rPr>
              <w:t>1</w:t>
            </w:r>
          </w:p>
        </w:tc>
        <w:tc>
          <w:tcPr>
            <w:tcW w:w="1033" w:type="dxa"/>
            <w:noWrap/>
            <w:hideMark/>
          </w:tcPr>
          <w:p w:rsidRPr="00F84E33" w:rsidR="003606EA" w:rsidP="00A36B0B" w:rsidRDefault="003606EA" w14:paraId="0A24E891" w14:textId="793A403E">
            <w:pPr>
              <w:jc w:val="center"/>
              <w:rPr>
                <w:rFonts w:asciiTheme="majorHAnsi" w:hAnsiTheme="majorHAnsi"/>
                <w:sz w:val="22"/>
                <w:szCs w:val="16"/>
              </w:rPr>
            </w:pPr>
          </w:p>
        </w:tc>
        <w:tc>
          <w:tcPr>
            <w:tcW w:w="888" w:type="dxa"/>
            <w:noWrap/>
            <w:hideMark/>
          </w:tcPr>
          <w:p w:rsidRPr="00F84E33" w:rsidR="003606EA" w:rsidP="00A36B0B" w:rsidRDefault="003606EA" w14:paraId="44FAA871" w14:textId="77777777">
            <w:pPr>
              <w:jc w:val="center"/>
              <w:rPr>
                <w:rFonts w:asciiTheme="majorHAnsi" w:hAnsiTheme="majorHAnsi"/>
                <w:sz w:val="22"/>
                <w:szCs w:val="16"/>
              </w:rPr>
            </w:pPr>
            <w:r w:rsidRPr="00F84E33">
              <w:rPr>
                <w:rFonts w:asciiTheme="majorHAnsi" w:hAnsiTheme="majorHAnsi"/>
                <w:sz w:val="22"/>
                <w:szCs w:val="16"/>
              </w:rPr>
              <w:t>1</w:t>
            </w:r>
          </w:p>
        </w:tc>
        <w:tc>
          <w:tcPr>
            <w:tcW w:w="1263" w:type="dxa"/>
            <w:noWrap/>
            <w:hideMark/>
          </w:tcPr>
          <w:p w:rsidRPr="00F84E33" w:rsidR="003606EA" w:rsidP="00A36B0B" w:rsidRDefault="003606EA" w14:paraId="5F1CBF81" w14:textId="4ABF8E06">
            <w:pPr>
              <w:jc w:val="center"/>
              <w:rPr>
                <w:rFonts w:asciiTheme="majorHAnsi" w:hAnsiTheme="majorHAnsi"/>
                <w:sz w:val="22"/>
                <w:szCs w:val="16"/>
              </w:rPr>
            </w:pPr>
          </w:p>
        </w:tc>
        <w:tc>
          <w:tcPr>
            <w:tcW w:w="992" w:type="dxa"/>
            <w:noWrap/>
            <w:hideMark/>
          </w:tcPr>
          <w:p w:rsidRPr="00F84E33" w:rsidR="003606EA" w:rsidP="00A36B0B" w:rsidRDefault="003606EA" w14:paraId="6CEBAA80" w14:textId="31B84DA1">
            <w:pPr>
              <w:jc w:val="center"/>
              <w:rPr>
                <w:rFonts w:asciiTheme="majorHAnsi" w:hAnsiTheme="majorHAnsi"/>
                <w:sz w:val="22"/>
                <w:szCs w:val="16"/>
              </w:rPr>
            </w:pPr>
          </w:p>
        </w:tc>
        <w:tc>
          <w:tcPr>
            <w:tcW w:w="1435" w:type="dxa"/>
            <w:noWrap/>
            <w:hideMark/>
          </w:tcPr>
          <w:p w:rsidRPr="00F84E33" w:rsidR="003606EA" w:rsidP="00A36B0B" w:rsidRDefault="003606EA" w14:paraId="27F8ED42" w14:textId="77777777">
            <w:pPr>
              <w:jc w:val="center"/>
              <w:rPr>
                <w:rFonts w:asciiTheme="majorHAnsi" w:hAnsiTheme="majorHAnsi"/>
                <w:b/>
                <w:bCs/>
                <w:sz w:val="22"/>
                <w:szCs w:val="16"/>
              </w:rPr>
            </w:pPr>
            <w:r w:rsidRPr="00F84E33">
              <w:rPr>
                <w:rFonts w:asciiTheme="majorHAnsi" w:hAnsiTheme="majorHAnsi"/>
                <w:b/>
                <w:bCs/>
                <w:sz w:val="22"/>
                <w:szCs w:val="16"/>
              </w:rPr>
              <w:t>2</w:t>
            </w:r>
          </w:p>
        </w:tc>
      </w:tr>
      <w:tr w:rsidRPr="00FE4921" w:rsidR="00451A5F" w:rsidTr="0094391E" w14:paraId="1EA35CCB" w14:textId="77777777">
        <w:trPr>
          <w:trHeight w:val="292"/>
        </w:trPr>
        <w:tc>
          <w:tcPr>
            <w:tcW w:w="2491" w:type="dxa"/>
            <w:noWrap/>
            <w:hideMark/>
          </w:tcPr>
          <w:p w:rsidRPr="00F84E33" w:rsidR="003606EA" w:rsidRDefault="003606EA" w14:paraId="4BA6471A" w14:textId="77777777">
            <w:pPr>
              <w:rPr>
                <w:rFonts w:asciiTheme="majorHAnsi" w:hAnsiTheme="majorHAnsi"/>
                <w:b/>
                <w:bCs/>
                <w:i/>
                <w:iCs/>
                <w:sz w:val="22"/>
                <w:szCs w:val="16"/>
              </w:rPr>
            </w:pPr>
            <w:r w:rsidRPr="00F84E33">
              <w:rPr>
                <w:rFonts w:asciiTheme="majorHAnsi" w:hAnsiTheme="majorHAnsi"/>
                <w:b/>
                <w:bCs/>
                <w:i/>
                <w:iCs/>
                <w:sz w:val="22"/>
                <w:szCs w:val="16"/>
              </w:rPr>
              <w:t>New participation</w:t>
            </w:r>
          </w:p>
        </w:tc>
        <w:tc>
          <w:tcPr>
            <w:tcW w:w="1248" w:type="dxa"/>
            <w:noWrap/>
            <w:hideMark/>
          </w:tcPr>
          <w:p w:rsidRPr="00F84E33" w:rsidR="003606EA" w:rsidP="00A36B0B" w:rsidRDefault="003606EA" w14:paraId="45028FAE" w14:textId="0686DDFA">
            <w:pPr>
              <w:jc w:val="center"/>
              <w:rPr>
                <w:rFonts w:asciiTheme="majorHAnsi" w:hAnsiTheme="majorHAnsi"/>
                <w:sz w:val="22"/>
                <w:szCs w:val="16"/>
              </w:rPr>
            </w:pPr>
          </w:p>
        </w:tc>
        <w:tc>
          <w:tcPr>
            <w:tcW w:w="1033" w:type="dxa"/>
            <w:noWrap/>
            <w:hideMark/>
          </w:tcPr>
          <w:p w:rsidRPr="00F84E33" w:rsidR="003606EA" w:rsidP="00A36B0B" w:rsidRDefault="003606EA" w14:paraId="0E4EDAE2" w14:textId="77777777">
            <w:pPr>
              <w:jc w:val="center"/>
              <w:rPr>
                <w:rFonts w:asciiTheme="majorHAnsi" w:hAnsiTheme="majorHAnsi"/>
                <w:sz w:val="22"/>
                <w:szCs w:val="16"/>
              </w:rPr>
            </w:pPr>
            <w:r w:rsidRPr="00F84E33">
              <w:rPr>
                <w:rFonts w:asciiTheme="majorHAnsi" w:hAnsiTheme="majorHAnsi"/>
                <w:sz w:val="22"/>
                <w:szCs w:val="16"/>
              </w:rPr>
              <w:t>3</w:t>
            </w:r>
          </w:p>
        </w:tc>
        <w:tc>
          <w:tcPr>
            <w:tcW w:w="888" w:type="dxa"/>
            <w:noWrap/>
            <w:hideMark/>
          </w:tcPr>
          <w:p w:rsidRPr="00F84E33" w:rsidR="003606EA" w:rsidP="00A36B0B" w:rsidRDefault="003606EA" w14:paraId="022FCD52" w14:textId="7EFE740B">
            <w:pPr>
              <w:jc w:val="center"/>
              <w:rPr>
                <w:rFonts w:asciiTheme="majorHAnsi" w:hAnsiTheme="majorHAnsi"/>
                <w:sz w:val="22"/>
                <w:szCs w:val="16"/>
              </w:rPr>
            </w:pPr>
          </w:p>
        </w:tc>
        <w:tc>
          <w:tcPr>
            <w:tcW w:w="1263" w:type="dxa"/>
            <w:noWrap/>
            <w:hideMark/>
          </w:tcPr>
          <w:p w:rsidRPr="00F84E33" w:rsidR="003606EA" w:rsidP="00A36B0B" w:rsidRDefault="003606EA" w14:paraId="7EE4859F" w14:textId="02B6BAFE">
            <w:pPr>
              <w:jc w:val="center"/>
              <w:rPr>
                <w:rFonts w:asciiTheme="majorHAnsi" w:hAnsiTheme="majorHAnsi"/>
                <w:sz w:val="22"/>
                <w:szCs w:val="16"/>
              </w:rPr>
            </w:pPr>
          </w:p>
        </w:tc>
        <w:tc>
          <w:tcPr>
            <w:tcW w:w="992" w:type="dxa"/>
            <w:noWrap/>
            <w:hideMark/>
          </w:tcPr>
          <w:p w:rsidRPr="00F84E33" w:rsidR="003606EA" w:rsidP="00A36B0B" w:rsidRDefault="003606EA" w14:paraId="1FE725DE" w14:textId="37305274">
            <w:pPr>
              <w:jc w:val="center"/>
              <w:rPr>
                <w:rFonts w:asciiTheme="majorHAnsi" w:hAnsiTheme="majorHAnsi"/>
                <w:sz w:val="22"/>
                <w:szCs w:val="16"/>
              </w:rPr>
            </w:pPr>
          </w:p>
        </w:tc>
        <w:tc>
          <w:tcPr>
            <w:tcW w:w="1435" w:type="dxa"/>
            <w:noWrap/>
            <w:hideMark/>
          </w:tcPr>
          <w:p w:rsidRPr="00F84E33" w:rsidR="003606EA" w:rsidP="00A36B0B" w:rsidRDefault="003606EA" w14:paraId="01A47EDC" w14:textId="77777777">
            <w:pPr>
              <w:jc w:val="center"/>
              <w:rPr>
                <w:rFonts w:asciiTheme="majorHAnsi" w:hAnsiTheme="majorHAnsi"/>
                <w:b/>
                <w:bCs/>
                <w:sz w:val="22"/>
                <w:szCs w:val="16"/>
              </w:rPr>
            </w:pPr>
            <w:r w:rsidRPr="00F84E33">
              <w:rPr>
                <w:rFonts w:asciiTheme="majorHAnsi" w:hAnsiTheme="majorHAnsi"/>
                <w:b/>
                <w:bCs/>
                <w:sz w:val="22"/>
                <w:szCs w:val="16"/>
              </w:rPr>
              <w:t>3</w:t>
            </w:r>
          </w:p>
        </w:tc>
      </w:tr>
      <w:tr w:rsidRPr="00FE4921" w:rsidR="00451A5F" w:rsidTr="0094391E" w14:paraId="2652A456" w14:textId="77777777">
        <w:trPr>
          <w:trHeight w:val="292"/>
        </w:trPr>
        <w:tc>
          <w:tcPr>
            <w:tcW w:w="2491" w:type="dxa"/>
            <w:noWrap/>
            <w:hideMark/>
          </w:tcPr>
          <w:p w:rsidRPr="00F84E33" w:rsidR="003606EA" w:rsidRDefault="003606EA" w14:paraId="7C2BAB4A" w14:textId="77777777">
            <w:pPr>
              <w:rPr>
                <w:rFonts w:asciiTheme="majorHAnsi" w:hAnsiTheme="majorHAnsi"/>
                <w:b/>
                <w:bCs/>
                <w:sz w:val="22"/>
                <w:szCs w:val="16"/>
              </w:rPr>
            </w:pPr>
            <w:r w:rsidRPr="00F84E33">
              <w:rPr>
                <w:rFonts w:asciiTheme="majorHAnsi" w:hAnsiTheme="majorHAnsi"/>
                <w:b/>
                <w:bCs/>
                <w:sz w:val="22"/>
                <w:szCs w:val="16"/>
              </w:rPr>
              <w:t>NMEC</w:t>
            </w:r>
          </w:p>
        </w:tc>
        <w:tc>
          <w:tcPr>
            <w:tcW w:w="1248" w:type="dxa"/>
            <w:noWrap/>
            <w:hideMark/>
          </w:tcPr>
          <w:p w:rsidRPr="00F84E33" w:rsidR="003606EA" w:rsidP="00A36B0B" w:rsidRDefault="003606EA" w14:paraId="32572F88" w14:textId="77777777">
            <w:pPr>
              <w:jc w:val="center"/>
              <w:rPr>
                <w:rFonts w:asciiTheme="majorHAnsi" w:hAnsiTheme="majorHAnsi"/>
                <w:sz w:val="22"/>
                <w:szCs w:val="16"/>
              </w:rPr>
            </w:pPr>
            <w:r w:rsidRPr="00F84E33">
              <w:rPr>
                <w:rFonts w:asciiTheme="majorHAnsi" w:hAnsiTheme="majorHAnsi"/>
                <w:sz w:val="22"/>
                <w:szCs w:val="16"/>
              </w:rPr>
              <w:t>2</w:t>
            </w:r>
          </w:p>
        </w:tc>
        <w:tc>
          <w:tcPr>
            <w:tcW w:w="1033" w:type="dxa"/>
            <w:noWrap/>
            <w:hideMark/>
          </w:tcPr>
          <w:p w:rsidRPr="00F84E33" w:rsidR="003606EA" w:rsidP="00A36B0B" w:rsidRDefault="003606EA" w14:paraId="55C73704" w14:textId="53D7FE1D">
            <w:pPr>
              <w:jc w:val="center"/>
              <w:rPr>
                <w:rFonts w:asciiTheme="majorHAnsi" w:hAnsiTheme="majorHAnsi"/>
                <w:sz w:val="22"/>
                <w:szCs w:val="16"/>
              </w:rPr>
            </w:pPr>
          </w:p>
        </w:tc>
        <w:tc>
          <w:tcPr>
            <w:tcW w:w="888" w:type="dxa"/>
            <w:noWrap/>
            <w:hideMark/>
          </w:tcPr>
          <w:p w:rsidRPr="00F84E33" w:rsidR="003606EA" w:rsidP="00A36B0B" w:rsidRDefault="003606EA" w14:paraId="569680A6" w14:textId="203C8471">
            <w:pPr>
              <w:jc w:val="center"/>
              <w:rPr>
                <w:rFonts w:asciiTheme="majorHAnsi" w:hAnsiTheme="majorHAnsi"/>
                <w:sz w:val="22"/>
                <w:szCs w:val="16"/>
              </w:rPr>
            </w:pPr>
          </w:p>
        </w:tc>
        <w:tc>
          <w:tcPr>
            <w:tcW w:w="1263" w:type="dxa"/>
            <w:noWrap/>
            <w:hideMark/>
          </w:tcPr>
          <w:p w:rsidRPr="00F84E33" w:rsidR="003606EA" w:rsidP="00A36B0B" w:rsidRDefault="003606EA" w14:paraId="66D2453B" w14:textId="4CB197BA">
            <w:pPr>
              <w:jc w:val="center"/>
              <w:rPr>
                <w:rFonts w:asciiTheme="majorHAnsi" w:hAnsiTheme="majorHAnsi"/>
                <w:sz w:val="22"/>
                <w:szCs w:val="16"/>
              </w:rPr>
            </w:pPr>
          </w:p>
        </w:tc>
        <w:tc>
          <w:tcPr>
            <w:tcW w:w="992" w:type="dxa"/>
            <w:noWrap/>
            <w:hideMark/>
          </w:tcPr>
          <w:p w:rsidRPr="00F84E33" w:rsidR="003606EA" w:rsidP="00A36B0B" w:rsidRDefault="003606EA" w14:paraId="2BB6DBF9" w14:textId="541688A5">
            <w:pPr>
              <w:jc w:val="center"/>
              <w:rPr>
                <w:rFonts w:asciiTheme="majorHAnsi" w:hAnsiTheme="majorHAnsi"/>
                <w:sz w:val="22"/>
                <w:szCs w:val="16"/>
              </w:rPr>
            </w:pPr>
          </w:p>
        </w:tc>
        <w:tc>
          <w:tcPr>
            <w:tcW w:w="1435" w:type="dxa"/>
            <w:noWrap/>
            <w:hideMark/>
          </w:tcPr>
          <w:p w:rsidRPr="00F84E33" w:rsidR="003606EA" w:rsidP="00A36B0B" w:rsidRDefault="003606EA" w14:paraId="2121BCBF" w14:textId="77777777">
            <w:pPr>
              <w:jc w:val="center"/>
              <w:rPr>
                <w:rFonts w:asciiTheme="majorHAnsi" w:hAnsiTheme="majorHAnsi"/>
                <w:b/>
                <w:bCs/>
                <w:sz w:val="22"/>
                <w:szCs w:val="16"/>
              </w:rPr>
            </w:pPr>
            <w:r w:rsidRPr="00F84E33">
              <w:rPr>
                <w:rFonts w:asciiTheme="majorHAnsi" w:hAnsiTheme="majorHAnsi"/>
                <w:b/>
                <w:bCs/>
                <w:sz w:val="22"/>
                <w:szCs w:val="16"/>
              </w:rPr>
              <w:t>2</w:t>
            </w:r>
          </w:p>
        </w:tc>
      </w:tr>
      <w:tr w:rsidRPr="00FE4921" w:rsidR="00451A5F" w:rsidTr="0094391E" w14:paraId="2E5DACA8" w14:textId="77777777">
        <w:trPr>
          <w:trHeight w:val="292"/>
        </w:trPr>
        <w:tc>
          <w:tcPr>
            <w:tcW w:w="2491" w:type="dxa"/>
            <w:noWrap/>
            <w:hideMark/>
          </w:tcPr>
          <w:p w:rsidRPr="00F84E33" w:rsidR="003606EA" w:rsidRDefault="003606EA" w14:paraId="4B772C84" w14:textId="77777777">
            <w:pPr>
              <w:rPr>
                <w:rFonts w:asciiTheme="majorHAnsi" w:hAnsiTheme="majorHAnsi"/>
                <w:b/>
                <w:bCs/>
                <w:sz w:val="22"/>
                <w:szCs w:val="16"/>
              </w:rPr>
            </w:pPr>
            <w:r w:rsidRPr="00F84E33">
              <w:rPr>
                <w:rFonts w:asciiTheme="majorHAnsi" w:hAnsiTheme="majorHAnsi"/>
                <w:b/>
                <w:bCs/>
                <w:sz w:val="22"/>
                <w:szCs w:val="16"/>
              </w:rPr>
              <w:t>Partnerships</w:t>
            </w:r>
          </w:p>
        </w:tc>
        <w:tc>
          <w:tcPr>
            <w:tcW w:w="1248" w:type="dxa"/>
            <w:noWrap/>
            <w:hideMark/>
          </w:tcPr>
          <w:p w:rsidRPr="00F84E33" w:rsidR="003606EA" w:rsidP="00A36B0B" w:rsidRDefault="003606EA" w14:paraId="35F3A36A" w14:textId="77777777">
            <w:pPr>
              <w:jc w:val="center"/>
              <w:rPr>
                <w:rFonts w:asciiTheme="majorHAnsi" w:hAnsiTheme="majorHAnsi"/>
                <w:sz w:val="22"/>
                <w:szCs w:val="16"/>
              </w:rPr>
            </w:pPr>
            <w:r w:rsidRPr="00F84E33">
              <w:rPr>
                <w:rFonts w:asciiTheme="majorHAnsi" w:hAnsiTheme="majorHAnsi"/>
                <w:sz w:val="22"/>
                <w:szCs w:val="16"/>
              </w:rPr>
              <w:t>4</w:t>
            </w:r>
          </w:p>
        </w:tc>
        <w:tc>
          <w:tcPr>
            <w:tcW w:w="1033" w:type="dxa"/>
            <w:noWrap/>
            <w:hideMark/>
          </w:tcPr>
          <w:p w:rsidRPr="00F84E33" w:rsidR="003606EA" w:rsidP="00A36B0B" w:rsidRDefault="003606EA" w14:paraId="5ED0DCB8" w14:textId="7F85061E">
            <w:pPr>
              <w:jc w:val="center"/>
              <w:rPr>
                <w:rFonts w:asciiTheme="majorHAnsi" w:hAnsiTheme="majorHAnsi"/>
                <w:sz w:val="22"/>
                <w:szCs w:val="16"/>
              </w:rPr>
            </w:pPr>
          </w:p>
        </w:tc>
        <w:tc>
          <w:tcPr>
            <w:tcW w:w="888" w:type="dxa"/>
            <w:noWrap/>
            <w:hideMark/>
          </w:tcPr>
          <w:p w:rsidRPr="00F84E33" w:rsidR="003606EA" w:rsidP="00A36B0B" w:rsidRDefault="003606EA" w14:paraId="0DB05610" w14:textId="2D48A77C">
            <w:pPr>
              <w:jc w:val="center"/>
              <w:rPr>
                <w:rFonts w:asciiTheme="majorHAnsi" w:hAnsiTheme="majorHAnsi"/>
                <w:sz w:val="22"/>
                <w:szCs w:val="16"/>
              </w:rPr>
            </w:pPr>
          </w:p>
        </w:tc>
        <w:tc>
          <w:tcPr>
            <w:tcW w:w="1263" w:type="dxa"/>
            <w:noWrap/>
            <w:hideMark/>
          </w:tcPr>
          <w:p w:rsidRPr="00F84E33" w:rsidR="003606EA" w:rsidP="00A36B0B" w:rsidRDefault="003606EA" w14:paraId="40E267C6" w14:textId="574DF9D1">
            <w:pPr>
              <w:jc w:val="center"/>
              <w:rPr>
                <w:rFonts w:asciiTheme="majorHAnsi" w:hAnsiTheme="majorHAnsi"/>
                <w:sz w:val="22"/>
                <w:szCs w:val="16"/>
              </w:rPr>
            </w:pPr>
          </w:p>
        </w:tc>
        <w:tc>
          <w:tcPr>
            <w:tcW w:w="992" w:type="dxa"/>
            <w:noWrap/>
            <w:hideMark/>
          </w:tcPr>
          <w:p w:rsidRPr="00F84E33" w:rsidR="003606EA" w:rsidP="00A36B0B" w:rsidRDefault="003606EA" w14:paraId="48B3E71A" w14:textId="6575A27C">
            <w:pPr>
              <w:jc w:val="center"/>
              <w:rPr>
                <w:rFonts w:asciiTheme="majorHAnsi" w:hAnsiTheme="majorHAnsi"/>
                <w:sz w:val="22"/>
                <w:szCs w:val="16"/>
              </w:rPr>
            </w:pPr>
          </w:p>
        </w:tc>
        <w:tc>
          <w:tcPr>
            <w:tcW w:w="1435" w:type="dxa"/>
            <w:noWrap/>
            <w:hideMark/>
          </w:tcPr>
          <w:p w:rsidRPr="00F84E33" w:rsidR="003606EA" w:rsidP="00A36B0B" w:rsidRDefault="003606EA" w14:paraId="38B5B7EC" w14:textId="77777777">
            <w:pPr>
              <w:jc w:val="center"/>
              <w:rPr>
                <w:rFonts w:asciiTheme="majorHAnsi" w:hAnsiTheme="majorHAnsi"/>
                <w:b/>
                <w:bCs/>
                <w:sz w:val="22"/>
                <w:szCs w:val="16"/>
              </w:rPr>
            </w:pPr>
            <w:r w:rsidRPr="00F84E33">
              <w:rPr>
                <w:rFonts w:asciiTheme="majorHAnsi" w:hAnsiTheme="majorHAnsi"/>
                <w:b/>
                <w:bCs/>
                <w:sz w:val="22"/>
                <w:szCs w:val="16"/>
              </w:rPr>
              <w:t>4</w:t>
            </w:r>
          </w:p>
        </w:tc>
      </w:tr>
      <w:tr w:rsidRPr="00FE4921" w:rsidR="00451A5F" w:rsidTr="0094391E" w14:paraId="29D88150" w14:textId="77777777">
        <w:trPr>
          <w:trHeight w:val="292"/>
        </w:trPr>
        <w:tc>
          <w:tcPr>
            <w:tcW w:w="2491" w:type="dxa"/>
            <w:noWrap/>
            <w:hideMark/>
          </w:tcPr>
          <w:p w:rsidRPr="00F84E33" w:rsidR="003606EA" w:rsidRDefault="003606EA" w14:paraId="5AB56D4A" w14:textId="77777777">
            <w:pPr>
              <w:rPr>
                <w:rFonts w:asciiTheme="majorHAnsi" w:hAnsiTheme="majorHAnsi"/>
                <w:b/>
                <w:bCs/>
                <w:i/>
                <w:iCs/>
                <w:sz w:val="22"/>
                <w:szCs w:val="16"/>
              </w:rPr>
            </w:pPr>
            <w:r w:rsidRPr="00F84E33">
              <w:rPr>
                <w:rFonts w:asciiTheme="majorHAnsi" w:hAnsiTheme="majorHAnsi"/>
                <w:b/>
                <w:bCs/>
                <w:i/>
                <w:iCs/>
                <w:sz w:val="22"/>
                <w:szCs w:val="16"/>
              </w:rPr>
              <w:t>Penetration</w:t>
            </w:r>
          </w:p>
        </w:tc>
        <w:tc>
          <w:tcPr>
            <w:tcW w:w="1248" w:type="dxa"/>
            <w:noWrap/>
            <w:hideMark/>
          </w:tcPr>
          <w:p w:rsidRPr="00F84E33" w:rsidR="003606EA" w:rsidP="00A36B0B" w:rsidRDefault="003606EA" w14:paraId="7D2E9BED" w14:textId="6CE76DE6">
            <w:pPr>
              <w:jc w:val="center"/>
              <w:rPr>
                <w:rFonts w:asciiTheme="majorHAnsi" w:hAnsiTheme="majorHAnsi"/>
                <w:sz w:val="22"/>
                <w:szCs w:val="16"/>
              </w:rPr>
            </w:pPr>
          </w:p>
        </w:tc>
        <w:tc>
          <w:tcPr>
            <w:tcW w:w="1033" w:type="dxa"/>
            <w:noWrap/>
            <w:hideMark/>
          </w:tcPr>
          <w:p w:rsidRPr="00F84E33" w:rsidR="003606EA" w:rsidP="00A36B0B" w:rsidRDefault="003606EA" w14:paraId="0020D075" w14:textId="77777777">
            <w:pPr>
              <w:jc w:val="center"/>
              <w:rPr>
                <w:rFonts w:asciiTheme="majorHAnsi" w:hAnsiTheme="majorHAnsi"/>
                <w:sz w:val="22"/>
                <w:szCs w:val="16"/>
              </w:rPr>
            </w:pPr>
            <w:r w:rsidRPr="00F84E33">
              <w:rPr>
                <w:rFonts w:asciiTheme="majorHAnsi" w:hAnsiTheme="majorHAnsi"/>
                <w:sz w:val="22"/>
                <w:szCs w:val="16"/>
              </w:rPr>
              <w:t>21</w:t>
            </w:r>
          </w:p>
        </w:tc>
        <w:tc>
          <w:tcPr>
            <w:tcW w:w="888" w:type="dxa"/>
            <w:noWrap/>
            <w:hideMark/>
          </w:tcPr>
          <w:p w:rsidRPr="00F84E33" w:rsidR="003606EA" w:rsidP="00A36B0B" w:rsidRDefault="003606EA" w14:paraId="05E9C7A3" w14:textId="056FFE41">
            <w:pPr>
              <w:jc w:val="center"/>
              <w:rPr>
                <w:rFonts w:asciiTheme="majorHAnsi" w:hAnsiTheme="majorHAnsi"/>
                <w:sz w:val="22"/>
                <w:szCs w:val="16"/>
              </w:rPr>
            </w:pPr>
          </w:p>
        </w:tc>
        <w:tc>
          <w:tcPr>
            <w:tcW w:w="1263" w:type="dxa"/>
            <w:noWrap/>
            <w:hideMark/>
          </w:tcPr>
          <w:p w:rsidRPr="00F84E33" w:rsidR="003606EA" w:rsidP="00A36B0B" w:rsidRDefault="003606EA" w14:paraId="749C755B" w14:textId="3479B418">
            <w:pPr>
              <w:jc w:val="center"/>
              <w:rPr>
                <w:rFonts w:asciiTheme="majorHAnsi" w:hAnsiTheme="majorHAnsi"/>
                <w:sz w:val="22"/>
                <w:szCs w:val="16"/>
              </w:rPr>
            </w:pPr>
          </w:p>
        </w:tc>
        <w:tc>
          <w:tcPr>
            <w:tcW w:w="992" w:type="dxa"/>
            <w:noWrap/>
            <w:hideMark/>
          </w:tcPr>
          <w:p w:rsidRPr="00F84E33" w:rsidR="003606EA" w:rsidP="00A36B0B" w:rsidRDefault="003606EA" w14:paraId="314F14AA" w14:textId="3BFEC433">
            <w:pPr>
              <w:jc w:val="center"/>
              <w:rPr>
                <w:rFonts w:asciiTheme="majorHAnsi" w:hAnsiTheme="majorHAnsi"/>
                <w:sz w:val="22"/>
                <w:szCs w:val="16"/>
              </w:rPr>
            </w:pPr>
          </w:p>
        </w:tc>
        <w:tc>
          <w:tcPr>
            <w:tcW w:w="1435" w:type="dxa"/>
            <w:noWrap/>
            <w:hideMark/>
          </w:tcPr>
          <w:p w:rsidRPr="00F84E33" w:rsidR="003606EA" w:rsidP="00A36B0B" w:rsidRDefault="003606EA" w14:paraId="41D880F8" w14:textId="77777777">
            <w:pPr>
              <w:jc w:val="center"/>
              <w:rPr>
                <w:rFonts w:asciiTheme="majorHAnsi" w:hAnsiTheme="majorHAnsi"/>
                <w:b/>
                <w:bCs/>
                <w:sz w:val="22"/>
                <w:szCs w:val="16"/>
              </w:rPr>
            </w:pPr>
            <w:r w:rsidRPr="00F84E33">
              <w:rPr>
                <w:rFonts w:asciiTheme="majorHAnsi" w:hAnsiTheme="majorHAnsi"/>
                <w:b/>
                <w:bCs/>
                <w:sz w:val="22"/>
                <w:szCs w:val="16"/>
              </w:rPr>
              <w:t>21</w:t>
            </w:r>
          </w:p>
        </w:tc>
      </w:tr>
      <w:tr w:rsidRPr="00FE4921" w:rsidR="00451A5F" w:rsidTr="0094391E" w14:paraId="79B7809E" w14:textId="77777777">
        <w:trPr>
          <w:trHeight w:val="292"/>
        </w:trPr>
        <w:tc>
          <w:tcPr>
            <w:tcW w:w="2491" w:type="dxa"/>
            <w:noWrap/>
            <w:hideMark/>
          </w:tcPr>
          <w:p w:rsidRPr="00F84E33" w:rsidR="003606EA" w:rsidRDefault="003606EA" w14:paraId="71E59E05" w14:textId="77777777">
            <w:pPr>
              <w:rPr>
                <w:rFonts w:asciiTheme="majorHAnsi" w:hAnsiTheme="majorHAnsi"/>
                <w:b/>
                <w:bCs/>
                <w:sz w:val="22"/>
                <w:szCs w:val="16"/>
              </w:rPr>
            </w:pPr>
            <w:r w:rsidRPr="00F84E33">
              <w:rPr>
                <w:rFonts w:asciiTheme="majorHAnsi" w:hAnsiTheme="majorHAnsi"/>
                <w:b/>
                <w:bCs/>
                <w:sz w:val="22"/>
                <w:szCs w:val="16"/>
              </w:rPr>
              <w:t>Promote resilience, health, comfort, safety, energy affordability and/or energy savings</w:t>
            </w:r>
          </w:p>
        </w:tc>
        <w:tc>
          <w:tcPr>
            <w:tcW w:w="1248" w:type="dxa"/>
            <w:noWrap/>
            <w:hideMark/>
          </w:tcPr>
          <w:p w:rsidRPr="00F84E33" w:rsidR="003606EA" w:rsidP="00A36B0B" w:rsidRDefault="003606EA" w14:paraId="10EC1C5B" w14:textId="77777777">
            <w:pPr>
              <w:jc w:val="center"/>
              <w:rPr>
                <w:rFonts w:asciiTheme="majorHAnsi" w:hAnsiTheme="majorHAnsi"/>
                <w:sz w:val="22"/>
                <w:szCs w:val="16"/>
              </w:rPr>
            </w:pPr>
            <w:r w:rsidRPr="00F84E33">
              <w:rPr>
                <w:rFonts w:asciiTheme="majorHAnsi" w:hAnsiTheme="majorHAnsi"/>
                <w:sz w:val="22"/>
                <w:szCs w:val="16"/>
              </w:rPr>
              <w:t>6</w:t>
            </w:r>
          </w:p>
        </w:tc>
        <w:tc>
          <w:tcPr>
            <w:tcW w:w="1033" w:type="dxa"/>
            <w:noWrap/>
            <w:hideMark/>
          </w:tcPr>
          <w:p w:rsidRPr="00F84E33" w:rsidR="003606EA" w:rsidP="00A36B0B" w:rsidRDefault="003606EA" w14:paraId="4D089052" w14:textId="37B9BD4F">
            <w:pPr>
              <w:jc w:val="center"/>
              <w:rPr>
                <w:rFonts w:asciiTheme="majorHAnsi" w:hAnsiTheme="majorHAnsi"/>
                <w:sz w:val="22"/>
                <w:szCs w:val="16"/>
              </w:rPr>
            </w:pPr>
          </w:p>
        </w:tc>
        <w:tc>
          <w:tcPr>
            <w:tcW w:w="888" w:type="dxa"/>
            <w:noWrap/>
            <w:hideMark/>
          </w:tcPr>
          <w:p w:rsidRPr="00F84E33" w:rsidR="003606EA" w:rsidP="00A36B0B" w:rsidRDefault="003606EA" w14:paraId="5C957BA5" w14:textId="6BA03EF0">
            <w:pPr>
              <w:jc w:val="center"/>
              <w:rPr>
                <w:rFonts w:asciiTheme="majorHAnsi" w:hAnsiTheme="majorHAnsi"/>
                <w:sz w:val="22"/>
                <w:szCs w:val="16"/>
              </w:rPr>
            </w:pPr>
          </w:p>
        </w:tc>
        <w:tc>
          <w:tcPr>
            <w:tcW w:w="1263" w:type="dxa"/>
            <w:noWrap/>
            <w:hideMark/>
          </w:tcPr>
          <w:p w:rsidRPr="00F84E33" w:rsidR="003606EA" w:rsidP="00A36B0B" w:rsidRDefault="003606EA" w14:paraId="6DB54B52" w14:textId="7D9B62B6">
            <w:pPr>
              <w:jc w:val="center"/>
              <w:rPr>
                <w:rFonts w:asciiTheme="majorHAnsi" w:hAnsiTheme="majorHAnsi"/>
                <w:sz w:val="22"/>
                <w:szCs w:val="16"/>
              </w:rPr>
            </w:pPr>
          </w:p>
        </w:tc>
        <w:tc>
          <w:tcPr>
            <w:tcW w:w="992" w:type="dxa"/>
            <w:noWrap/>
            <w:hideMark/>
          </w:tcPr>
          <w:p w:rsidRPr="00F84E33" w:rsidR="003606EA" w:rsidP="00A36B0B" w:rsidRDefault="003606EA" w14:paraId="5F177595" w14:textId="4D26E51D">
            <w:pPr>
              <w:jc w:val="center"/>
              <w:rPr>
                <w:rFonts w:asciiTheme="majorHAnsi" w:hAnsiTheme="majorHAnsi"/>
                <w:sz w:val="22"/>
                <w:szCs w:val="16"/>
              </w:rPr>
            </w:pPr>
          </w:p>
        </w:tc>
        <w:tc>
          <w:tcPr>
            <w:tcW w:w="1435" w:type="dxa"/>
            <w:noWrap/>
            <w:hideMark/>
          </w:tcPr>
          <w:p w:rsidRPr="00F84E33" w:rsidR="003606EA" w:rsidP="00A36B0B" w:rsidRDefault="003606EA" w14:paraId="2206CB71" w14:textId="77777777">
            <w:pPr>
              <w:jc w:val="center"/>
              <w:rPr>
                <w:rFonts w:asciiTheme="majorHAnsi" w:hAnsiTheme="majorHAnsi"/>
                <w:b/>
                <w:bCs/>
                <w:sz w:val="22"/>
                <w:szCs w:val="16"/>
              </w:rPr>
            </w:pPr>
            <w:r w:rsidRPr="00F84E33">
              <w:rPr>
                <w:rFonts w:asciiTheme="majorHAnsi" w:hAnsiTheme="majorHAnsi"/>
                <w:b/>
                <w:bCs/>
                <w:sz w:val="22"/>
                <w:szCs w:val="16"/>
              </w:rPr>
              <w:t>6</w:t>
            </w:r>
          </w:p>
        </w:tc>
      </w:tr>
      <w:tr w:rsidRPr="00FE4921" w:rsidR="00451A5F" w:rsidTr="0094391E" w14:paraId="6F454894" w14:textId="77777777">
        <w:trPr>
          <w:trHeight w:val="292"/>
        </w:trPr>
        <w:tc>
          <w:tcPr>
            <w:tcW w:w="2491" w:type="dxa"/>
            <w:noWrap/>
            <w:hideMark/>
          </w:tcPr>
          <w:p w:rsidRPr="00F84E33" w:rsidR="003606EA" w:rsidRDefault="003606EA" w14:paraId="0FCE340C" w14:textId="77777777">
            <w:pPr>
              <w:rPr>
                <w:rFonts w:asciiTheme="majorHAnsi" w:hAnsiTheme="majorHAnsi"/>
                <w:b/>
                <w:bCs/>
                <w:sz w:val="22"/>
                <w:szCs w:val="16"/>
              </w:rPr>
            </w:pPr>
            <w:r w:rsidRPr="00F84E33">
              <w:rPr>
                <w:rFonts w:asciiTheme="majorHAnsi" w:hAnsiTheme="majorHAnsi"/>
                <w:b/>
                <w:bCs/>
                <w:sz w:val="22"/>
                <w:szCs w:val="16"/>
              </w:rPr>
              <w:t>Reach Codes</w:t>
            </w:r>
          </w:p>
        </w:tc>
        <w:tc>
          <w:tcPr>
            <w:tcW w:w="1248" w:type="dxa"/>
            <w:noWrap/>
            <w:hideMark/>
          </w:tcPr>
          <w:p w:rsidRPr="00F84E33" w:rsidR="003606EA" w:rsidP="00A36B0B" w:rsidRDefault="003606EA" w14:paraId="74AF7391" w14:textId="68307342">
            <w:pPr>
              <w:jc w:val="center"/>
              <w:rPr>
                <w:rFonts w:asciiTheme="majorHAnsi" w:hAnsiTheme="majorHAnsi"/>
                <w:sz w:val="22"/>
                <w:szCs w:val="16"/>
              </w:rPr>
            </w:pPr>
          </w:p>
        </w:tc>
        <w:tc>
          <w:tcPr>
            <w:tcW w:w="1033" w:type="dxa"/>
            <w:noWrap/>
            <w:hideMark/>
          </w:tcPr>
          <w:p w:rsidRPr="00F84E33" w:rsidR="003606EA" w:rsidP="00A36B0B" w:rsidRDefault="003606EA" w14:paraId="09F17F42" w14:textId="25C29022">
            <w:pPr>
              <w:jc w:val="center"/>
              <w:rPr>
                <w:rFonts w:asciiTheme="majorHAnsi" w:hAnsiTheme="majorHAnsi"/>
                <w:sz w:val="22"/>
                <w:szCs w:val="16"/>
              </w:rPr>
            </w:pPr>
          </w:p>
        </w:tc>
        <w:tc>
          <w:tcPr>
            <w:tcW w:w="888" w:type="dxa"/>
            <w:noWrap/>
            <w:hideMark/>
          </w:tcPr>
          <w:p w:rsidRPr="00F84E33" w:rsidR="003606EA" w:rsidP="00A36B0B" w:rsidRDefault="003606EA" w14:paraId="10ABCAF1" w14:textId="34202412">
            <w:pPr>
              <w:jc w:val="center"/>
              <w:rPr>
                <w:rFonts w:asciiTheme="majorHAnsi" w:hAnsiTheme="majorHAnsi"/>
                <w:sz w:val="22"/>
                <w:szCs w:val="16"/>
              </w:rPr>
            </w:pPr>
          </w:p>
        </w:tc>
        <w:tc>
          <w:tcPr>
            <w:tcW w:w="1263" w:type="dxa"/>
            <w:noWrap/>
            <w:hideMark/>
          </w:tcPr>
          <w:p w:rsidRPr="00F84E33" w:rsidR="003606EA" w:rsidP="00A36B0B" w:rsidRDefault="003606EA" w14:paraId="2995295D" w14:textId="77777777">
            <w:pPr>
              <w:jc w:val="center"/>
              <w:rPr>
                <w:rFonts w:asciiTheme="majorHAnsi" w:hAnsiTheme="majorHAnsi"/>
                <w:sz w:val="22"/>
                <w:szCs w:val="16"/>
              </w:rPr>
            </w:pPr>
            <w:r w:rsidRPr="00F84E33">
              <w:rPr>
                <w:rFonts w:asciiTheme="majorHAnsi" w:hAnsiTheme="majorHAnsi"/>
                <w:sz w:val="22"/>
                <w:szCs w:val="16"/>
              </w:rPr>
              <w:t>1</w:t>
            </w:r>
          </w:p>
        </w:tc>
        <w:tc>
          <w:tcPr>
            <w:tcW w:w="992" w:type="dxa"/>
            <w:noWrap/>
            <w:hideMark/>
          </w:tcPr>
          <w:p w:rsidRPr="00F84E33" w:rsidR="003606EA" w:rsidP="00A36B0B" w:rsidRDefault="003606EA" w14:paraId="5A6095E6" w14:textId="50149776">
            <w:pPr>
              <w:jc w:val="center"/>
              <w:rPr>
                <w:rFonts w:asciiTheme="majorHAnsi" w:hAnsiTheme="majorHAnsi"/>
                <w:sz w:val="22"/>
                <w:szCs w:val="16"/>
              </w:rPr>
            </w:pPr>
          </w:p>
        </w:tc>
        <w:tc>
          <w:tcPr>
            <w:tcW w:w="1435" w:type="dxa"/>
            <w:noWrap/>
            <w:hideMark/>
          </w:tcPr>
          <w:p w:rsidRPr="00F84E33" w:rsidR="003606EA" w:rsidP="00A36B0B" w:rsidRDefault="003606EA" w14:paraId="46636C79" w14:textId="77777777">
            <w:pPr>
              <w:jc w:val="center"/>
              <w:rPr>
                <w:rFonts w:asciiTheme="majorHAnsi" w:hAnsiTheme="majorHAnsi"/>
                <w:b/>
                <w:bCs/>
                <w:sz w:val="22"/>
                <w:szCs w:val="16"/>
              </w:rPr>
            </w:pPr>
            <w:r w:rsidRPr="00F84E33">
              <w:rPr>
                <w:rFonts w:asciiTheme="majorHAnsi" w:hAnsiTheme="majorHAnsi"/>
                <w:b/>
                <w:bCs/>
                <w:sz w:val="22"/>
                <w:szCs w:val="16"/>
              </w:rPr>
              <w:t>1</w:t>
            </w:r>
          </w:p>
        </w:tc>
      </w:tr>
      <w:tr w:rsidRPr="00FE4921" w:rsidR="00451A5F" w:rsidTr="0094391E" w14:paraId="31058EBF" w14:textId="77777777">
        <w:trPr>
          <w:trHeight w:val="292"/>
        </w:trPr>
        <w:tc>
          <w:tcPr>
            <w:tcW w:w="2491" w:type="dxa"/>
            <w:noWrap/>
            <w:hideMark/>
          </w:tcPr>
          <w:p w:rsidRPr="00F84E33" w:rsidR="003606EA" w:rsidRDefault="003606EA" w14:paraId="4FFE41D0" w14:textId="77777777">
            <w:pPr>
              <w:rPr>
                <w:rFonts w:asciiTheme="majorHAnsi" w:hAnsiTheme="majorHAnsi"/>
                <w:b/>
                <w:bCs/>
                <w:sz w:val="22"/>
                <w:szCs w:val="16"/>
              </w:rPr>
            </w:pPr>
            <w:r w:rsidRPr="00F84E33">
              <w:rPr>
                <w:rFonts w:asciiTheme="majorHAnsi" w:hAnsiTheme="majorHAnsi"/>
                <w:b/>
                <w:bCs/>
                <w:sz w:val="22"/>
                <w:szCs w:val="16"/>
              </w:rPr>
              <w:t>Reduce energy-related GHG and criteria pollutant emissions</w:t>
            </w:r>
          </w:p>
        </w:tc>
        <w:tc>
          <w:tcPr>
            <w:tcW w:w="1248" w:type="dxa"/>
            <w:noWrap/>
            <w:hideMark/>
          </w:tcPr>
          <w:p w:rsidRPr="00F84E33" w:rsidR="003606EA" w:rsidP="00A36B0B" w:rsidRDefault="003606EA" w14:paraId="682F9FB4" w14:textId="77777777">
            <w:pPr>
              <w:jc w:val="center"/>
              <w:rPr>
                <w:rFonts w:asciiTheme="majorHAnsi" w:hAnsiTheme="majorHAnsi"/>
                <w:sz w:val="22"/>
                <w:szCs w:val="16"/>
              </w:rPr>
            </w:pPr>
            <w:r w:rsidRPr="00F84E33">
              <w:rPr>
                <w:rFonts w:asciiTheme="majorHAnsi" w:hAnsiTheme="majorHAnsi"/>
                <w:sz w:val="22"/>
                <w:szCs w:val="16"/>
              </w:rPr>
              <w:t>1</w:t>
            </w:r>
          </w:p>
        </w:tc>
        <w:tc>
          <w:tcPr>
            <w:tcW w:w="1033" w:type="dxa"/>
            <w:noWrap/>
            <w:hideMark/>
          </w:tcPr>
          <w:p w:rsidRPr="00F84E33" w:rsidR="003606EA" w:rsidP="00A36B0B" w:rsidRDefault="003606EA" w14:paraId="060E9FC0" w14:textId="41036A4D">
            <w:pPr>
              <w:jc w:val="center"/>
              <w:rPr>
                <w:rFonts w:asciiTheme="majorHAnsi" w:hAnsiTheme="majorHAnsi"/>
                <w:sz w:val="22"/>
                <w:szCs w:val="16"/>
              </w:rPr>
            </w:pPr>
          </w:p>
        </w:tc>
        <w:tc>
          <w:tcPr>
            <w:tcW w:w="888" w:type="dxa"/>
            <w:noWrap/>
            <w:hideMark/>
          </w:tcPr>
          <w:p w:rsidRPr="00F84E33" w:rsidR="003606EA" w:rsidP="00A36B0B" w:rsidRDefault="003606EA" w14:paraId="7A1336AE" w14:textId="3B11DD0C">
            <w:pPr>
              <w:jc w:val="center"/>
              <w:rPr>
                <w:rFonts w:asciiTheme="majorHAnsi" w:hAnsiTheme="majorHAnsi"/>
                <w:sz w:val="22"/>
                <w:szCs w:val="16"/>
              </w:rPr>
            </w:pPr>
          </w:p>
        </w:tc>
        <w:tc>
          <w:tcPr>
            <w:tcW w:w="1263" w:type="dxa"/>
            <w:noWrap/>
            <w:hideMark/>
          </w:tcPr>
          <w:p w:rsidRPr="00F84E33" w:rsidR="003606EA" w:rsidP="00A36B0B" w:rsidRDefault="003606EA" w14:paraId="4E259850" w14:textId="3759DD5E">
            <w:pPr>
              <w:jc w:val="center"/>
              <w:rPr>
                <w:rFonts w:asciiTheme="majorHAnsi" w:hAnsiTheme="majorHAnsi"/>
                <w:sz w:val="22"/>
                <w:szCs w:val="16"/>
              </w:rPr>
            </w:pPr>
          </w:p>
        </w:tc>
        <w:tc>
          <w:tcPr>
            <w:tcW w:w="992" w:type="dxa"/>
            <w:noWrap/>
            <w:hideMark/>
          </w:tcPr>
          <w:p w:rsidRPr="00F84E33" w:rsidR="003606EA" w:rsidP="00A36B0B" w:rsidRDefault="003606EA" w14:paraId="13510C82" w14:textId="0D8E27FB">
            <w:pPr>
              <w:jc w:val="center"/>
              <w:rPr>
                <w:rFonts w:asciiTheme="majorHAnsi" w:hAnsiTheme="majorHAnsi"/>
                <w:sz w:val="22"/>
                <w:szCs w:val="16"/>
              </w:rPr>
            </w:pPr>
          </w:p>
        </w:tc>
        <w:tc>
          <w:tcPr>
            <w:tcW w:w="1435" w:type="dxa"/>
            <w:noWrap/>
            <w:hideMark/>
          </w:tcPr>
          <w:p w:rsidRPr="00F84E33" w:rsidR="003606EA" w:rsidP="00A36B0B" w:rsidRDefault="003606EA" w14:paraId="275989BB" w14:textId="77777777">
            <w:pPr>
              <w:jc w:val="center"/>
              <w:rPr>
                <w:rFonts w:asciiTheme="majorHAnsi" w:hAnsiTheme="majorHAnsi"/>
                <w:b/>
                <w:bCs/>
                <w:sz w:val="22"/>
                <w:szCs w:val="16"/>
              </w:rPr>
            </w:pPr>
            <w:r w:rsidRPr="00F84E33">
              <w:rPr>
                <w:rFonts w:asciiTheme="majorHAnsi" w:hAnsiTheme="majorHAnsi"/>
                <w:b/>
                <w:bCs/>
                <w:sz w:val="22"/>
                <w:szCs w:val="16"/>
              </w:rPr>
              <w:t>1</w:t>
            </w:r>
          </w:p>
        </w:tc>
      </w:tr>
      <w:tr w:rsidRPr="00FE4921" w:rsidR="00451A5F" w:rsidTr="0094391E" w14:paraId="35D9D5A9" w14:textId="77777777">
        <w:trPr>
          <w:trHeight w:val="292"/>
        </w:trPr>
        <w:tc>
          <w:tcPr>
            <w:tcW w:w="2491" w:type="dxa"/>
            <w:noWrap/>
            <w:hideMark/>
          </w:tcPr>
          <w:p w:rsidRPr="00F84E33" w:rsidR="003606EA" w:rsidRDefault="003606EA" w14:paraId="3D41F7A0" w14:textId="77777777">
            <w:pPr>
              <w:rPr>
                <w:rFonts w:asciiTheme="majorHAnsi" w:hAnsiTheme="majorHAnsi"/>
                <w:b/>
                <w:bCs/>
                <w:sz w:val="22"/>
                <w:szCs w:val="16"/>
              </w:rPr>
            </w:pPr>
            <w:r w:rsidRPr="00F84E33">
              <w:rPr>
                <w:rFonts w:asciiTheme="majorHAnsi" w:hAnsiTheme="majorHAnsi"/>
                <w:b/>
                <w:bCs/>
                <w:sz w:val="22"/>
                <w:szCs w:val="16"/>
              </w:rPr>
              <w:t>Satisfaction</w:t>
            </w:r>
          </w:p>
        </w:tc>
        <w:tc>
          <w:tcPr>
            <w:tcW w:w="1248" w:type="dxa"/>
            <w:noWrap/>
            <w:hideMark/>
          </w:tcPr>
          <w:p w:rsidRPr="00F84E33" w:rsidR="003606EA" w:rsidP="00A36B0B" w:rsidRDefault="003606EA" w14:paraId="26C57E7B" w14:textId="77777777">
            <w:pPr>
              <w:jc w:val="center"/>
              <w:rPr>
                <w:rFonts w:asciiTheme="majorHAnsi" w:hAnsiTheme="majorHAnsi"/>
                <w:sz w:val="22"/>
                <w:szCs w:val="16"/>
              </w:rPr>
            </w:pPr>
            <w:r w:rsidRPr="00F84E33">
              <w:rPr>
                <w:rFonts w:asciiTheme="majorHAnsi" w:hAnsiTheme="majorHAnsi"/>
                <w:sz w:val="22"/>
                <w:szCs w:val="16"/>
              </w:rPr>
              <w:t>1</w:t>
            </w:r>
          </w:p>
        </w:tc>
        <w:tc>
          <w:tcPr>
            <w:tcW w:w="1033" w:type="dxa"/>
            <w:noWrap/>
            <w:hideMark/>
          </w:tcPr>
          <w:p w:rsidRPr="00F84E33" w:rsidR="003606EA" w:rsidP="00A36B0B" w:rsidRDefault="003606EA" w14:paraId="019207DC" w14:textId="77777777">
            <w:pPr>
              <w:jc w:val="center"/>
              <w:rPr>
                <w:rFonts w:asciiTheme="majorHAnsi" w:hAnsiTheme="majorHAnsi"/>
                <w:sz w:val="22"/>
                <w:szCs w:val="16"/>
              </w:rPr>
            </w:pPr>
            <w:r w:rsidRPr="00F84E33">
              <w:rPr>
                <w:rFonts w:asciiTheme="majorHAnsi" w:hAnsiTheme="majorHAnsi"/>
                <w:sz w:val="22"/>
                <w:szCs w:val="16"/>
              </w:rPr>
              <w:t>1</w:t>
            </w:r>
          </w:p>
        </w:tc>
        <w:tc>
          <w:tcPr>
            <w:tcW w:w="888" w:type="dxa"/>
            <w:noWrap/>
            <w:hideMark/>
          </w:tcPr>
          <w:p w:rsidRPr="00F84E33" w:rsidR="003606EA" w:rsidP="00A36B0B" w:rsidRDefault="003606EA" w14:paraId="5A4427DC" w14:textId="21A090F1">
            <w:pPr>
              <w:jc w:val="center"/>
              <w:rPr>
                <w:rFonts w:asciiTheme="majorHAnsi" w:hAnsiTheme="majorHAnsi"/>
                <w:sz w:val="22"/>
                <w:szCs w:val="16"/>
              </w:rPr>
            </w:pPr>
          </w:p>
        </w:tc>
        <w:tc>
          <w:tcPr>
            <w:tcW w:w="1263" w:type="dxa"/>
            <w:noWrap/>
            <w:hideMark/>
          </w:tcPr>
          <w:p w:rsidRPr="00F84E33" w:rsidR="003606EA" w:rsidP="00A36B0B" w:rsidRDefault="003606EA" w14:paraId="03BA11D2" w14:textId="27E52F57">
            <w:pPr>
              <w:jc w:val="center"/>
              <w:rPr>
                <w:rFonts w:asciiTheme="majorHAnsi" w:hAnsiTheme="majorHAnsi"/>
                <w:sz w:val="22"/>
                <w:szCs w:val="16"/>
              </w:rPr>
            </w:pPr>
          </w:p>
        </w:tc>
        <w:tc>
          <w:tcPr>
            <w:tcW w:w="992" w:type="dxa"/>
            <w:noWrap/>
            <w:hideMark/>
          </w:tcPr>
          <w:p w:rsidRPr="00F84E33" w:rsidR="003606EA" w:rsidP="00A36B0B" w:rsidRDefault="003606EA" w14:paraId="144A5DA3" w14:textId="1E55E284">
            <w:pPr>
              <w:jc w:val="center"/>
              <w:rPr>
                <w:rFonts w:asciiTheme="majorHAnsi" w:hAnsiTheme="majorHAnsi"/>
                <w:sz w:val="22"/>
                <w:szCs w:val="16"/>
              </w:rPr>
            </w:pPr>
          </w:p>
        </w:tc>
        <w:tc>
          <w:tcPr>
            <w:tcW w:w="1435" w:type="dxa"/>
            <w:noWrap/>
            <w:hideMark/>
          </w:tcPr>
          <w:p w:rsidRPr="00F84E33" w:rsidR="003606EA" w:rsidP="00A36B0B" w:rsidRDefault="003606EA" w14:paraId="03F70079" w14:textId="77777777">
            <w:pPr>
              <w:jc w:val="center"/>
              <w:rPr>
                <w:rFonts w:asciiTheme="majorHAnsi" w:hAnsiTheme="majorHAnsi"/>
                <w:b/>
                <w:bCs/>
                <w:sz w:val="22"/>
                <w:szCs w:val="16"/>
              </w:rPr>
            </w:pPr>
            <w:r w:rsidRPr="00F84E33">
              <w:rPr>
                <w:rFonts w:asciiTheme="majorHAnsi" w:hAnsiTheme="majorHAnsi"/>
                <w:b/>
                <w:bCs/>
                <w:sz w:val="22"/>
                <w:szCs w:val="16"/>
              </w:rPr>
              <w:t>2</w:t>
            </w:r>
          </w:p>
        </w:tc>
      </w:tr>
      <w:tr w:rsidRPr="00FE4921" w:rsidR="00451A5F" w:rsidTr="0094391E" w14:paraId="3D9853AB" w14:textId="77777777">
        <w:trPr>
          <w:trHeight w:val="292"/>
        </w:trPr>
        <w:tc>
          <w:tcPr>
            <w:tcW w:w="2491" w:type="dxa"/>
            <w:noWrap/>
            <w:hideMark/>
          </w:tcPr>
          <w:p w:rsidRPr="00F84E33" w:rsidR="003606EA" w:rsidRDefault="003606EA" w14:paraId="00E6749D" w14:textId="77777777">
            <w:pPr>
              <w:rPr>
                <w:rFonts w:asciiTheme="majorHAnsi" w:hAnsiTheme="majorHAnsi"/>
                <w:b/>
                <w:bCs/>
                <w:sz w:val="22"/>
                <w:szCs w:val="16"/>
              </w:rPr>
            </w:pPr>
            <w:r w:rsidRPr="00F84E33">
              <w:rPr>
                <w:rFonts w:asciiTheme="majorHAnsi" w:hAnsiTheme="majorHAnsi"/>
                <w:b/>
                <w:bCs/>
                <w:sz w:val="22"/>
                <w:szCs w:val="16"/>
              </w:rPr>
              <w:t>Supply</w:t>
            </w:r>
          </w:p>
        </w:tc>
        <w:tc>
          <w:tcPr>
            <w:tcW w:w="1248" w:type="dxa"/>
            <w:noWrap/>
            <w:hideMark/>
          </w:tcPr>
          <w:p w:rsidRPr="00F84E33" w:rsidR="003606EA" w:rsidP="00A36B0B" w:rsidRDefault="003606EA" w14:paraId="241451B3" w14:textId="77777777">
            <w:pPr>
              <w:jc w:val="center"/>
              <w:rPr>
                <w:rFonts w:asciiTheme="majorHAnsi" w:hAnsiTheme="majorHAnsi"/>
                <w:sz w:val="22"/>
                <w:szCs w:val="16"/>
              </w:rPr>
            </w:pPr>
            <w:r w:rsidRPr="00F84E33">
              <w:rPr>
                <w:rFonts w:asciiTheme="majorHAnsi" w:hAnsiTheme="majorHAnsi"/>
                <w:sz w:val="22"/>
                <w:szCs w:val="16"/>
              </w:rPr>
              <w:t>5</w:t>
            </w:r>
          </w:p>
        </w:tc>
        <w:tc>
          <w:tcPr>
            <w:tcW w:w="1033" w:type="dxa"/>
            <w:noWrap/>
            <w:hideMark/>
          </w:tcPr>
          <w:p w:rsidRPr="00F84E33" w:rsidR="003606EA" w:rsidP="00A36B0B" w:rsidRDefault="003606EA" w14:paraId="3A8F0F61" w14:textId="5FDFA77C">
            <w:pPr>
              <w:jc w:val="center"/>
              <w:rPr>
                <w:rFonts w:asciiTheme="majorHAnsi" w:hAnsiTheme="majorHAnsi"/>
                <w:sz w:val="22"/>
                <w:szCs w:val="16"/>
              </w:rPr>
            </w:pPr>
          </w:p>
        </w:tc>
        <w:tc>
          <w:tcPr>
            <w:tcW w:w="888" w:type="dxa"/>
            <w:noWrap/>
            <w:hideMark/>
          </w:tcPr>
          <w:p w:rsidRPr="00F84E33" w:rsidR="003606EA" w:rsidP="00A36B0B" w:rsidRDefault="003606EA" w14:paraId="1D4DC8EE" w14:textId="77777777">
            <w:pPr>
              <w:jc w:val="center"/>
              <w:rPr>
                <w:rFonts w:asciiTheme="majorHAnsi" w:hAnsiTheme="majorHAnsi"/>
                <w:sz w:val="22"/>
                <w:szCs w:val="16"/>
              </w:rPr>
            </w:pPr>
            <w:r w:rsidRPr="00F84E33">
              <w:rPr>
                <w:rFonts w:asciiTheme="majorHAnsi" w:hAnsiTheme="majorHAnsi"/>
                <w:sz w:val="22"/>
                <w:szCs w:val="16"/>
              </w:rPr>
              <w:t>1</w:t>
            </w:r>
          </w:p>
        </w:tc>
        <w:tc>
          <w:tcPr>
            <w:tcW w:w="1263" w:type="dxa"/>
            <w:noWrap/>
            <w:hideMark/>
          </w:tcPr>
          <w:p w:rsidRPr="00F84E33" w:rsidR="003606EA" w:rsidP="00A36B0B" w:rsidRDefault="003606EA" w14:paraId="4C221599" w14:textId="22292F78">
            <w:pPr>
              <w:jc w:val="center"/>
              <w:rPr>
                <w:rFonts w:asciiTheme="majorHAnsi" w:hAnsiTheme="majorHAnsi"/>
                <w:sz w:val="22"/>
                <w:szCs w:val="16"/>
              </w:rPr>
            </w:pPr>
          </w:p>
        </w:tc>
        <w:tc>
          <w:tcPr>
            <w:tcW w:w="992" w:type="dxa"/>
            <w:noWrap/>
            <w:hideMark/>
          </w:tcPr>
          <w:p w:rsidRPr="00F84E33" w:rsidR="003606EA" w:rsidP="00A36B0B" w:rsidRDefault="003606EA" w14:paraId="52A35ED4" w14:textId="210EC5E5">
            <w:pPr>
              <w:jc w:val="center"/>
              <w:rPr>
                <w:rFonts w:asciiTheme="majorHAnsi" w:hAnsiTheme="majorHAnsi"/>
                <w:sz w:val="22"/>
                <w:szCs w:val="16"/>
              </w:rPr>
            </w:pPr>
          </w:p>
        </w:tc>
        <w:tc>
          <w:tcPr>
            <w:tcW w:w="1435" w:type="dxa"/>
            <w:noWrap/>
            <w:hideMark/>
          </w:tcPr>
          <w:p w:rsidRPr="00F84E33" w:rsidR="003606EA" w:rsidP="00A36B0B" w:rsidRDefault="003606EA" w14:paraId="6079D975" w14:textId="77777777">
            <w:pPr>
              <w:jc w:val="center"/>
              <w:rPr>
                <w:rFonts w:asciiTheme="majorHAnsi" w:hAnsiTheme="majorHAnsi"/>
                <w:b/>
                <w:bCs/>
                <w:sz w:val="22"/>
                <w:szCs w:val="16"/>
              </w:rPr>
            </w:pPr>
            <w:r w:rsidRPr="00F84E33">
              <w:rPr>
                <w:rFonts w:asciiTheme="majorHAnsi" w:hAnsiTheme="majorHAnsi"/>
                <w:b/>
                <w:bCs/>
                <w:sz w:val="22"/>
                <w:szCs w:val="16"/>
              </w:rPr>
              <w:t>6</w:t>
            </w:r>
          </w:p>
        </w:tc>
      </w:tr>
      <w:tr w:rsidRPr="00FE4921" w:rsidR="00451A5F" w:rsidTr="0094391E" w14:paraId="783B227E" w14:textId="77777777">
        <w:trPr>
          <w:trHeight w:val="292"/>
        </w:trPr>
        <w:tc>
          <w:tcPr>
            <w:tcW w:w="2491" w:type="dxa"/>
            <w:noWrap/>
            <w:hideMark/>
          </w:tcPr>
          <w:p w:rsidRPr="00F84E33" w:rsidR="003606EA" w:rsidRDefault="003606EA" w14:paraId="17CE8BC2" w14:textId="77777777">
            <w:pPr>
              <w:rPr>
                <w:rFonts w:asciiTheme="majorHAnsi" w:hAnsiTheme="majorHAnsi"/>
                <w:b/>
                <w:bCs/>
                <w:i/>
                <w:iCs/>
                <w:sz w:val="22"/>
                <w:szCs w:val="16"/>
              </w:rPr>
            </w:pPr>
            <w:r w:rsidRPr="00F84E33">
              <w:rPr>
                <w:rFonts w:asciiTheme="majorHAnsi" w:hAnsiTheme="majorHAnsi"/>
                <w:b/>
                <w:bCs/>
                <w:i/>
                <w:iCs/>
                <w:sz w:val="22"/>
                <w:szCs w:val="16"/>
              </w:rPr>
              <w:t>Water</w:t>
            </w:r>
          </w:p>
        </w:tc>
        <w:tc>
          <w:tcPr>
            <w:tcW w:w="1248" w:type="dxa"/>
            <w:noWrap/>
            <w:hideMark/>
          </w:tcPr>
          <w:p w:rsidRPr="00F84E33" w:rsidR="003606EA" w:rsidP="00A36B0B" w:rsidRDefault="003606EA" w14:paraId="69D453A3" w14:textId="4ECA979D">
            <w:pPr>
              <w:jc w:val="center"/>
              <w:rPr>
                <w:rFonts w:asciiTheme="majorHAnsi" w:hAnsiTheme="majorHAnsi"/>
                <w:sz w:val="22"/>
                <w:szCs w:val="16"/>
              </w:rPr>
            </w:pPr>
          </w:p>
        </w:tc>
        <w:tc>
          <w:tcPr>
            <w:tcW w:w="1033" w:type="dxa"/>
            <w:noWrap/>
            <w:hideMark/>
          </w:tcPr>
          <w:p w:rsidRPr="00F84E33" w:rsidR="003606EA" w:rsidP="00A36B0B" w:rsidRDefault="003606EA" w14:paraId="11997CF8" w14:textId="77777777">
            <w:pPr>
              <w:jc w:val="center"/>
              <w:rPr>
                <w:rFonts w:asciiTheme="majorHAnsi" w:hAnsiTheme="majorHAnsi"/>
                <w:sz w:val="22"/>
                <w:szCs w:val="16"/>
              </w:rPr>
            </w:pPr>
            <w:r w:rsidRPr="00F84E33">
              <w:rPr>
                <w:rFonts w:asciiTheme="majorHAnsi" w:hAnsiTheme="majorHAnsi"/>
                <w:sz w:val="22"/>
                <w:szCs w:val="16"/>
              </w:rPr>
              <w:t>4</w:t>
            </w:r>
          </w:p>
        </w:tc>
        <w:tc>
          <w:tcPr>
            <w:tcW w:w="888" w:type="dxa"/>
            <w:noWrap/>
            <w:hideMark/>
          </w:tcPr>
          <w:p w:rsidRPr="00F84E33" w:rsidR="003606EA" w:rsidP="00A36B0B" w:rsidRDefault="003606EA" w14:paraId="485BE706" w14:textId="4D274F6E">
            <w:pPr>
              <w:jc w:val="center"/>
              <w:rPr>
                <w:rFonts w:asciiTheme="majorHAnsi" w:hAnsiTheme="majorHAnsi"/>
                <w:sz w:val="22"/>
                <w:szCs w:val="16"/>
              </w:rPr>
            </w:pPr>
          </w:p>
        </w:tc>
        <w:tc>
          <w:tcPr>
            <w:tcW w:w="1263" w:type="dxa"/>
            <w:noWrap/>
            <w:hideMark/>
          </w:tcPr>
          <w:p w:rsidRPr="00F84E33" w:rsidR="003606EA" w:rsidP="00A36B0B" w:rsidRDefault="003606EA" w14:paraId="08BA9C1D" w14:textId="781F104A">
            <w:pPr>
              <w:jc w:val="center"/>
              <w:rPr>
                <w:rFonts w:asciiTheme="majorHAnsi" w:hAnsiTheme="majorHAnsi"/>
                <w:sz w:val="22"/>
                <w:szCs w:val="16"/>
              </w:rPr>
            </w:pPr>
          </w:p>
        </w:tc>
        <w:tc>
          <w:tcPr>
            <w:tcW w:w="992" w:type="dxa"/>
            <w:noWrap/>
            <w:hideMark/>
          </w:tcPr>
          <w:p w:rsidRPr="00F84E33" w:rsidR="003606EA" w:rsidP="00A36B0B" w:rsidRDefault="003606EA" w14:paraId="7A03AA39" w14:textId="5AC0E536">
            <w:pPr>
              <w:jc w:val="center"/>
              <w:rPr>
                <w:rFonts w:asciiTheme="majorHAnsi" w:hAnsiTheme="majorHAnsi"/>
                <w:sz w:val="22"/>
                <w:szCs w:val="16"/>
              </w:rPr>
            </w:pPr>
          </w:p>
        </w:tc>
        <w:tc>
          <w:tcPr>
            <w:tcW w:w="1435" w:type="dxa"/>
            <w:noWrap/>
            <w:hideMark/>
          </w:tcPr>
          <w:p w:rsidRPr="00F84E33" w:rsidR="003606EA" w:rsidP="00A36B0B" w:rsidRDefault="003606EA" w14:paraId="79A6348E" w14:textId="77777777">
            <w:pPr>
              <w:jc w:val="center"/>
              <w:rPr>
                <w:rFonts w:asciiTheme="majorHAnsi" w:hAnsiTheme="majorHAnsi"/>
                <w:b/>
                <w:bCs/>
                <w:sz w:val="22"/>
                <w:szCs w:val="16"/>
              </w:rPr>
            </w:pPr>
            <w:r w:rsidRPr="00F84E33">
              <w:rPr>
                <w:rFonts w:asciiTheme="majorHAnsi" w:hAnsiTheme="majorHAnsi"/>
                <w:b/>
                <w:bCs/>
                <w:sz w:val="22"/>
                <w:szCs w:val="16"/>
              </w:rPr>
              <w:t>4</w:t>
            </w:r>
          </w:p>
        </w:tc>
      </w:tr>
      <w:tr w:rsidRPr="00FE4921" w:rsidR="00451A5F" w:rsidTr="0094391E" w14:paraId="2092DC9D" w14:textId="77777777">
        <w:trPr>
          <w:trHeight w:val="292"/>
        </w:trPr>
        <w:tc>
          <w:tcPr>
            <w:tcW w:w="2491" w:type="dxa"/>
            <w:noWrap/>
            <w:hideMark/>
          </w:tcPr>
          <w:p w:rsidRPr="00F84E33" w:rsidR="003606EA" w:rsidRDefault="003606EA" w14:paraId="0FA7462B" w14:textId="77777777">
            <w:pPr>
              <w:rPr>
                <w:rFonts w:asciiTheme="majorHAnsi" w:hAnsiTheme="majorHAnsi"/>
                <w:b/>
                <w:bCs/>
                <w:i/>
                <w:iCs/>
                <w:sz w:val="22"/>
                <w:szCs w:val="16"/>
              </w:rPr>
            </w:pPr>
            <w:r w:rsidRPr="00F84E33">
              <w:rPr>
                <w:rFonts w:asciiTheme="majorHAnsi" w:hAnsiTheme="majorHAnsi"/>
                <w:b/>
                <w:bCs/>
                <w:i/>
                <w:iCs/>
                <w:sz w:val="22"/>
                <w:szCs w:val="16"/>
              </w:rPr>
              <w:t>WE&amp;T</w:t>
            </w:r>
          </w:p>
        </w:tc>
        <w:tc>
          <w:tcPr>
            <w:tcW w:w="1248" w:type="dxa"/>
            <w:noWrap/>
            <w:hideMark/>
          </w:tcPr>
          <w:p w:rsidRPr="00F84E33" w:rsidR="003606EA" w:rsidP="00A36B0B" w:rsidRDefault="003606EA" w14:paraId="1F3BA5FB" w14:textId="35262C0C">
            <w:pPr>
              <w:jc w:val="center"/>
              <w:rPr>
                <w:rFonts w:asciiTheme="majorHAnsi" w:hAnsiTheme="majorHAnsi"/>
                <w:sz w:val="22"/>
                <w:szCs w:val="16"/>
              </w:rPr>
            </w:pPr>
          </w:p>
        </w:tc>
        <w:tc>
          <w:tcPr>
            <w:tcW w:w="1033" w:type="dxa"/>
            <w:noWrap/>
            <w:hideMark/>
          </w:tcPr>
          <w:p w:rsidRPr="00F84E33" w:rsidR="003606EA" w:rsidP="00A36B0B" w:rsidRDefault="003606EA" w14:paraId="4E5B572A" w14:textId="77777777">
            <w:pPr>
              <w:jc w:val="center"/>
              <w:rPr>
                <w:rFonts w:asciiTheme="majorHAnsi" w:hAnsiTheme="majorHAnsi"/>
                <w:sz w:val="22"/>
                <w:szCs w:val="16"/>
              </w:rPr>
            </w:pPr>
            <w:r w:rsidRPr="00F84E33">
              <w:rPr>
                <w:rFonts w:asciiTheme="majorHAnsi" w:hAnsiTheme="majorHAnsi"/>
                <w:sz w:val="22"/>
                <w:szCs w:val="16"/>
              </w:rPr>
              <w:t>6</w:t>
            </w:r>
          </w:p>
        </w:tc>
        <w:tc>
          <w:tcPr>
            <w:tcW w:w="888" w:type="dxa"/>
            <w:noWrap/>
            <w:hideMark/>
          </w:tcPr>
          <w:p w:rsidRPr="00F84E33" w:rsidR="003606EA" w:rsidP="00A36B0B" w:rsidRDefault="003606EA" w14:paraId="212BBCF4" w14:textId="1474A3A0">
            <w:pPr>
              <w:jc w:val="center"/>
              <w:rPr>
                <w:rFonts w:asciiTheme="majorHAnsi" w:hAnsiTheme="majorHAnsi"/>
                <w:sz w:val="22"/>
                <w:szCs w:val="16"/>
              </w:rPr>
            </w:pPr>
          </w:p>
        </w:tc>
        <w:tc>
          <w:tcPr>
            <w:tcW w:w="1263" w:type="dxa"/>
            <w:noWrap/>
            <w:hideMark/>
          </w:tcPr>
          <w:p w:rsidRPr="00F84E33" w:rsidR="003606EA" w:rsidP="00A36B0B" w:rsidRDefault="003606EA" w14:paraId="25FC9630" w14:textId="59B5EDBE">
            <w:pPr>
              <w:jc w:val="center"/>
              <w:rPr>
                <w:rFonts w:asciiTheme="majorHAnsi" w:hAnsiTheme="majorHAnsi"/>
                <w:sz w:val="22"/>
                <w:szCs w:val="16"/>
              </w:rPr>
            </w:pPr>
          </w:p>
        </w:tc>
        <w:tc>
          <w:tcPr>
            <w:tcW w:w="992" w:type="dxa"/>
            <w:noWrap/>
            <w:hideMark/>
          </w:tcPr>
          <w:p w:rsidRPr="00F84E33" w:rsidR="003606EA" w:rsidP="00A36B0B" w:rsidRDefault="003606EA" w14:paraId="661A7618" w14:textId="336E69D7">
            <w:pPr>
              <w:jc w:val="center"/>
              <w:rPr>
                <w:rFonts w:asciiTheme="majorHAnsi" w:hAnsiTheme="majorHAnsi"/>
                <w:sz w:val="22"/>
                <w:szCs w:val="16"/>
              </w:rPr>
            </w:pPr>
          </w:p>
        </w:tc>
        <w:tc>
          <w:tcPr>
            <w:tcW w:w="1435" w:type="dxa"/>
            <w:noWrap/>
            <w:hideMark/>
          </w:tcPr>
          <w:p w:rsidRPr="00F84E33" w:rsidR="003606EA" w:rsidP="00A36B0B" w:rsidRDefault="003606EA" w14:paraId="20315B93" w14:textId="77777777">
            <w:pPr>
              <w:jc w:val="center"/>
              <w:rPr>
                <w:rFonts w:asciiTheme="majorHAnsi" w:hAnsiTheme="majorHAnsi"/>
                <w:b/>
                <w:bCs/>
                <w:sz w:val="22"/>
                <w:szCs w:val="16"/>
              </w:rPr>
            </w:pPr>
            <w:r w:rsidRPr="00F84E33">
              <w:rPr>
                <w:rFonts w:asciiTheme="majorHAnsi" w:hAnsiTheme="majorHAnsi"/>
                <w:b/>
                <w:bCs/>
                <w:sz w:val="22"/>
                <w:szCs w:val="16"/>
              </w:rPr>
              <w:t>6</w:t>
            </w:r>
          </w:p>
        </w:tc>
      </w:tr>
      <w:tr w:rsidRPr="00FE4921" w:rsidR="00451A5F" w:rsidTr="0094391E" w14:paraId="0AE4AB20" w14:textId="77777777">
        <w:trPr>
          <w:trHeight w:val="292"/>
        </w:trPr>
        <w:tc>
          <w:tcPr>
            <w:tcW w:w="2491" w:type="dxa"/>
            <w:noWrap/>
            <w:hideMark/>
          </w:tcPr>
          <w:p w:rsidRPr="00F84E33" w:rsidR="003606EA" w:rsidRDefault="003606EA" w14:paraId="3D262E14" w14:textId="77777777">
            <w:pPr>
              <w:rPr>
                <w:rFonts w:asciiTheme="majorHAnsi" w:hAnsiTheme="majorHAnsi"/>
                <w:b/>
                <w:bCs/>
                <w:sz w:val="22"/>
                <w:szCs w:val="16"/>
              </w:rPr>
            </w:pPr>
            <w:r w:rsidRPr="00F84E33">
              <w:rPr>
                <w:rFonts w:asciiTheme="majorHAnsi" w:hAnsiTheme="majorHAnsi"/>
                <w:b/>
                <w:bCs/>
                <w:sz w:val="22"/>
                <w:szCs w:val="16"/>
              </w:rPr>
              <w:t>Grand Total</w:t>
            </w:r>
          </w:p>
        </w:tc>
        <w:tc>
          <w:tcPr>
            <w:tcW w:w="1248" w:type="dxa"/>
            <w:noWrap/>
            <w:hideMark/>
          </w:tcPr>
          <w:p w:rsidRPr="00F84E33" w:rsidR="003606EA" w:rsidP="00A36B0B" w:rsidRDefault="003606EA" w14:paraId="7CC29432" w14:textId="77777777">
            <w:pPr>
              <w:jc w:val="center"/>
              <w:rPr>
                <w:rFonts w:asciiTheme="majorHAnsi" w:hAnsiTheme="majorHAnsi"/>
                <w:b/>
                <w:bCs/>
                <w:sz w:val="22"/>
                <w:szCs w:val="16"/>
              </w:rPr>
            </w:pPr>
            <w:r w:rsidRPr="00F84E33">
              <w:rPr>
                <w:rFonts w:asciiTheme="majorHAnsi" w:hAnsiTheme="majorHAnsi"/>
                <w:b/>
                <w:bCs/>
                <w:sz w:val="22"/>
                <w:szCs w:val="16"/>
              </w:rPr>
              <w:t>38</w:t>
            </w:r>
          </w:p>
        </w:tc>
        <w:tc>
          <w:tcPr>
            <w:tcW w:w="1033" w:type="dxa"/>
            <w:noWrap/>
            <w:hideMark/>
          </w:tcPr>
          <w:p w:rsidRPr="00F84E33" w:rsidR="003606EA" w:rsidP="00A36B0B" w:rsidRDefault="003606EA" w14:paraId="4FBC47B0" w14:textId="77777777">
            <w:pPr>
              <w:jc w:val="center"/>
              <w:rPr>
                <w:rFonts w:asciiTheme="majorHAnsi" w:hAnsiTheme="majorHAnsi"/>
                <w:b/>
                <w:bCs/>
                <w:sz w:val="22"/>
                <w:szCs w:val="16"/>
              </w:rPr>
            </w:pPr>
            <w:r w:rsidRPr="00F84E33">
              <w:rPr>
                <w:rFonts w:asciiTheme="majorHAnsi" w:hAnsiTheme="majorHAnsi"/>
                <w:b/>
                <w:bCs/>
                <w:sz w:val="22"/>
                <w:szCs w:val="16"/>
              </w:rPr>
              <w:t>169</w:t>
            </w:r>
          </w:p>
        </w:tc>
        <w:tc>
          <w:tcPr>
            <w:tcW w:w="888" w:type="dxa"/>
            <w:noWrap/>
            <w:hideMark/>
          </w:tcPr>
          <w:p w:rsidRPr="00F84E33" w:rsidR="003606EA" w:rsidP="00A36B0B" w:rsidRDefault="003606EA" w14:paraId="0516F8CB" w14:textId="77777777">
            <w:pPr>
              <w:jc w:val="center"/>
              <w:rPr>
                <w:rFonts w:asciiTheme="majorHAnsi" w:hAnsiTheme="majorHAnsi"/>
                <w:b/>
                <w:bCs/>
                <w:sz w:val="22"/>
                <w:szCs w:val="16"/>
              </w:rPr>
            </w:pPr>
            <w:r w:rsidRPr="00F84E33">
              <w:rPr>
                <w:rFonts w:asciiTheme="majorHAnsi" w:hAnsiTheme="majorHAnsi"/>
                <w:b/>
                <w:bCs/>
                <w:sz w:val="22"/>
                <w:szCs w:val="16"/>
              </w:rPr>
              <w:t>10</w:t>
            </w:r>
          </w:p>
        </w:tc>
        <w:tc>
          <w:tcPr>
            <w:tcW w:w="1263" w:type="dxa"/>
            <w:noWrap/>
            <w:hideMark/>
          </w:tcPr>
          <w:p w:rsidRPr="00F84E33" w:rsidR="003606EA" w:rsidP="00A36B0B" w:rsidRDefault="003606EA" w14:paraId="5D532CA8" w14:textId="77777777">
            <w:pPr>
              <w:jc w:val="center"/>
              <w:rPr>
                <w:rFonts w:asciiTheme="majorHAnsi" w:hAnsiTheme="majorHAnsi"/>
                <w:b/>
                <w:bCs/>
                <w:sz w:val="22"/>
                <w:szCs w:val="16"/>
              </w:rPr>
            </w:pPr>
            <w:r w:rsidRPr="00F84E33">
              <w:rPr>
                <w:rFonts w:asciiTheme="majorHAnsi" w:hAnsiTheme="majorHAnsi"/>
                <w:b/>
                <w:bCs/>
                <w:sz w:val="22"/>
                <w:szCs w:val="16"/>
              </w:rPr>
              <w:t>105</w:t>
            </w:r>
          </w:p>
        </w:tc>
        <w:tc>
          <w:tcPr>
            <w:tcW w:w="992" w:type="dxa"/>
            <w:noWrap/>
            <w:hideMark/>
          </w:tcPr>
          <w:p w:rsidRPr="00F84E33" w:rsidR="003606EA" w:rsidP="00A36B0B" w:rsidRDefault="003606EA" w14:paraId="5AE5099D" w14:textId="77777777">
            <w:pPr>
              <w:jc w:val="center"/>
              <w:rPr>
                <w:rFonts w:asciiTheme="majorHAnsi" w:hAnsiTheme="majorHAnsi"/>
                <w:b/>
                <w:bCs/>
                <w:sz w:val="22"/>
                <w:szCs w:val="16"/>
              </w:rPr>
            </w:pPr>
            <w:r w:rsidRPr="00F84E33">
              <w:rPr>
                <w:rFonts w:asciiTheme="majorHAnsi" w:hAnsiTheme="majorHAnsi"/>
                <w:b/>
                <w:bCs/>
                <w:sz w:val="22"/>
                <w:szCs w:val="16"/>
              </w:rPr>
              <w:t>46</w:t>
            </w:r>
          </w:p>
        </w:tc>
        <w:tc>
          <w:tcPr>
            <w:tcW w:w="1435" w:type="dxa"/>
            <w:noWrap/>
            <w:hideMark/>
          </w:tcPr>
          <w:p w:rsidRPr="00F84E33" w:rsidR="003606EA" w:rsidP="00A36B0B" w:rsidRDefault="003606EA" w14:paraId="1FAEAB0C" w14:textId="77777777">
            <w:pPr>
              <w:jc w:val="center"/>
              <w:rPr>
                <w:rFonts w:asciiTheme="majorHAnsi" w:hAnsiTheme="majorHAnsi"/>
                <w:b/>
                <w:bCs/>
                <w:sz w:val="22"/>
                <w:szCs w:val="16"/>
              </w:rPr>
            </w:pPr>
            <w:r w:rsidRPr="00F84E33">
              <w:rPr>
                <w:rFonts w:asciiTheme="majorHAnsi" w:hAnsiTheme="majorHAnsi"/>
                <w:b/>
                <w:bCs/>
                <w:sz w:val="22"/>
                <w:szCs w:val="16"/>
              </w:rPr>
              <w:t>368</w:t>
            </w:r>
          </w:p>
        </w:tc>
      </w:tr>
    </w:tbl>
    <w:p w:rsidRPr="00C82E61" w:rsidR="00E7298F" w:rsidP="00E7298F" w:rsidRDefault="00E7298F" w14:paraId="037B5C58" w14:textId="37F5BC4C">
      <w:pPr>
        <w:rPr>
          <w:rFonts w:ascii="Palatino Linotype" w:hAnsi="Palatino Linotype" w:cs="Arial"/>
          <w:sz w:val="24"/>
          <w:szCs w:val="24"/>
        </w:rPr>
      </w:pPr>
      <w:r>
        <w:rPr>
          <w:rFonts w:ascii="Palatino Linotype" w:hAnsi="Palatino Linotype" w:cs="Arial"/>
          <w:sz w:val="24"/>
          <w:szCs w:val="24"/>
        </w:rPr>
        <w:lastRenderedPageBreak/>
        <w:t>Removal</w:t>
      </w:r>
      <w:r w:rsidRPr="00C82E61">
        <w:rPr>
          <w:rFonts w:ascii="Palatino Linotype" w:hAnsi="Palatino Linotype" w:cs="Arial"/>
          <w:sz w:val="24"/>
          <w:szCs w:val="24"/>
        </w:rPr>
        <w:t xml:space="preserve"> of indicators and metrics </w:t>
      </w:r>
      <w:r w:rsidR="004A36A6">
        <w:rPr>
          <w:rFonts w:ascii="Palatino Linotype" w:hAnsi="Palatino Linotype" w:cs="Arial"/>
          <w:sz w:val="24"/>
          <w:szCs w:val="24"/>
        </w:rPr>
        <w:t>(</w:t>
      </w:r>
      <w:r w:rsidR="00F00E0F">
        <w:rPr>
          <w:rFonts w:ascii="Palatino Linotype" w:hAnsi="Palatino Linotype" w:cs="Arial"/>
          <w:sz w:val="24"/>
          <w:szCs w:val="24"/>
        </w:rPr>
        <w:t xml:space="preserve">entire categories are in </w:t>
      </w:r>
      <w:r w:rsidR="00F00E0F">
        <w:rPr>
          <w:rFonts w:ascii="Palatino Linotype" w:hAnsi="Palatino Linotype" w:cs="Arial"/>
          <w:i/>
          <w:iCs/>
          <w:sz w:val="24"/>
          <w:szCs w:val="24"/>
        </w:rPr>
        <w:t>italics</w:t>
      </w:r>
      <w:r w:rsidR="004A36A6">
        <w:rPr>
          <w:rFonts w:ascii="Palatino Linotype" w:hAnsi="Palatino Linotype" w:cs="Arial"/>
          <w:i/>
          <w:iCs/>
          <w:sz w:val="24"/>
          <w:szCs w:val="24"/>
        </w:rPr>
        <w:t xml:space="preserve"> </w:t>
      </w:r>
      <w:r w:rsidR="004A36A6">
        <w:rPr>
          <w:rFonts w:ascii="Palatino Linotype" w:hAnsi="Palatino Linotype" w:cs="Arial"/>
          <w:sz w:val="24"/>
          <w:szCs w:val="24"/>
        </w:rPr>
        <w:t>in the table</w:t>
      </w:r>
      <w:r w:rsidR="004A36A6">
        <w:rPr>
          <w:rFonts w:ascii="Palatino Linotype" w:hAnsi="Palatino Linotype" w:cs="Arial"/>
          <w:i/>
          <w:iCs/>
          <w:sz w:val="24"/>
          <w:szCs w:val="24"/>
        </w:rPr>
        <w:t xml:space="preserve">) </w:t>
      </w:r>
      <w:r w:rsidRPr="00C82E61">
        <w:rPr>
          <w:rFonts w:ascii="Palatino Linotype" w:hAnsi="Palatino Linotype" w:cs="Arial"/>
          <w:sz w:val="24"/>
          <w:szCs w:val="24"/>
        </w:rPr>
        <w:t xml:space="preserve">is not a judgement on the importance of their intent to the assessment of PA and portfolio performance. Assuming perfect information could be provided easily, </w:t>
      </w:r>
      <w:r w:rsidR="009D2DB7">
        <w:rPr>
          <w:rFonts w:ascii="Palatino Linotype" w:hAnsi="Palatino Linotype" w:cs="Arial"/>
          <w:sz w:val="24"/>
          <w:szCs w:val="24"/>
        </w:rPr>
        <w:t>all adopted</w:t>
      </w:r>
      <w:r w:rsidRPr="00C82E61">
        <w:rPr>
          <w:rFonts w:ascii="Palatino Linotype" w:hAnsi="Palatino Linotype" w:cs="Arial"/>
          <w:sz w:val="24"/>
          <w:szCs w:val="24"/>
        </w:rPr>
        <w:t xml:space="preserve"> indicators and metrics would be highly useful. Though, for </w:t>
      </w:r>
      <w:r w:rsidR="00A1622E">
        <w:rPr>
          <w:rFonts w:ascii="Palatino Linotype" w:hAnsi="Palatino Linotype" w:cs="Arial"/>
          <w:sz w:val="24"/>
          <w:szCs w:val="24"/>
        </w:rPr>
        <w:t>several</w:t>
      </w:r>
      <w:r w:rsidRPr="00C82E61">
        <w:rPr>
          <w:rFonts w:ascii="Palatino Linotype" w:hAnsi="Palatino Linotype" w:cs="Arial"/>
          <w:sz w:val="24"/>
          <w:szCs w:val="24"/>
        </w:rPr>
        <w:t xml:space="preserve"> of these categories in whole or in part, there are problems with: collection of data; relevance to current portfolio; quality, comprehensiveness, and consistency of the information; expense to ratepayers; and/or possible duplication of other data reported. While some of these problems may exist for some of the metrics and indicators advanced in this resolution, it is anticipated that PAs will work with </w:t>
      </w:r>
      <w:r>
        <w:rPr>
          <w:rFonts w:ascii="Palatino Linotype" w:hAnsi="Palatino Linotype" w:cs="Arial"/>
          <w:sz w:val="24"/>
          <w:szCs w:val="24"/>
        </w:rPr>
        <w:t>Energy Division</w:t>
      </w:r>
      <w:r w:rsidRPr="00C82E61">
        <w:rPr>
          <w:rFonts w:ascii="Palatino Linotype" w:hAnsi="Palatino Linotype" w:cs="Arial"/>
          <w:sz w:val="24"/>
          <w:szCs w:val="24"/>
        </w:rPr>
        <w:t xml:space="preserve"> Staff to ensure that the value and quality of the information reported merits their continued collection. </w:t>
      </w:r>
    </w:p>
    <w:p w:rsidRPr="00C82E61" w:rsidR="00E7298F" w:rsidP="00E7298F" w:rsidRDefault="00E7298F" w14:paraId="2E925DFB" w14:textId="77777777">
      <w:pPr>
        <w:rPr>
          <w:rFonts w:ascii="Palatino Linotype" w:hAnsi="Palatino Linotype" w:cs="Arial"/>
          <w:sz w:val="24"/>
          <w:szCs w:val="24"/>
        </w:rPr>
      </w:pPr>
    </w:p>
    <w:p w:rsidR="007938ED" w:rsidP="00E7298F" w:rsidRDefault="00E7298F" w14:paraId="402C40FF" w14:textId="3E8ADCF4">
      <w:pPr>
        <w:rPr>
          <w:rFonts w:ascii="Palatino Linotype" w:hAnsi="Palatino Linotype" w:cs="Arial"/>
          <w:sz w:val="24"/>
          <w:szCs w:val="24"/>
        </w:rPr>
      </w:pPr>
      <w:r w:rsidRPr="00AA49B9">
        <w:rPr>
          <w:rFonts w:ascii="Palatino Linotype" w:hAnsi="Palatino Linotype" w:cs="Arial"/>
          <w:sz w:val="24"/>
          <w:szCs w:val="24"/>
        </w:rPr>
        <w:t>There are ten Market Support indicators the Commission is deciding to pause for the near term.  These indicators require additional collaboration to determine how they could be reported and yield useful and meaningful information.</w:t>
      </w:r>
      <w:r w:rsidRPr="00C82E61">
        <w:rPr>
          <w:rFonts w:ascii="Palatino Linotype" w:hAnsi="Palatino Linotype" w:cs="Arial"/>
          <w:sz w:val="24"/>
          <w:szCs w:val="24"/>
        </w:rPr>
        <w:t xml:space="preserve"> </w:t>
      </w:r>
    </w:p>
    <w:p w:rsidR="008160C5" w:rsidP="00E7298F" w:rsidRDefault="008160C5" w14:paraId="11983AE5" w14:textId="5584D334">
      <w:pPr>
        <w:rPr>
          <w:rFonts w:ascii="Palatino Linotype" w:hAnsi="Palatino Linotype" w:cs="Arial"/>
          <w:sz w:val="24"/>
          <w:szCs w:val="24"/>
        </w:rPr>
      </w:pPr>
    </w:p>
    <w:p w:rsidR="008160C5" w:rsidRDefault="008160C5" w14:paraId="14BACC10" w14:textId="63A746A2">
      <w:pPr>
        <w:rPr>
          <w:rFonts w:ascii="Palatino Linotype" w:hAnsi="Palatino Linotype" w:cs="Arial"/>
          <w:sz w:val="24"/>
          <w:szCs w:val="24"/>
        </w:rPr>
        <w:sectPr w:rsidR="008160C5" w:rsidSect="001E3F17">
          <w:footerReference w:type="default" r:id="rId18"/>
          <w:headerReference w:type="first" r:id="rId19"/>
          <w:footerReference w:type="first" r:id="rId20"/>
          <w:pgSz w:w="12240" w:h="15840" w:code="1"/>
          <w:pgMar w:top="1440" w:right="1440" w:bottom="1440" w:left="1440" w:header="720" w:footer="720" w:gutter="0"/>
          <w:cols w:space="720"/>
          <w:titlePg/>
          <w:docGrid w:linePitch="354"/>
        </w:sectPr>
      </w:pPr>
      <w:r w:rsidRPr="008160C5">
        <w:rPr>
          <w:rFonts w:ascii="Palatino Linotype" w:hAnsi="Palatino Linotype" w:cs="Arial"/>
          <w:noProof/>
          <w:sz w:val="24"/>
          <w:szCs w:val="24"/>
        </w:rPr>
        <mc:AlternateContent>
          <mc:Choice Requires="wps">
            <w:drawing>
              <wp:anchor distT="45720" distB="45720" distL="114300" distR="114300" simplePos="0" relativeHeight="251659264" behindDoc="0" locked="0" layoutInCell="1" allowOverlap="1" wp14:editId="00716A73" wp14:anchorId="0C944D29">
                <wp:simplePos x="0" y="0"/>
                <wp:positionH relativeFrom="column">
                  <wp:posOffset>2072640</wp:posOffset>
                </wp:positionH>
                <wp:positionV relativeFrom="paragraph">
                  <wp:posOffset>4308475</wp:posOffset>
                </wp:positionV>
                <wp:extent cx="192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404620"/>
                        </a:xfrm>
                        <a:prstGeom prst="rect">
                          <a:avLst/>
                        </a:prstGeom>
                        <a:noFill/>
                        <a:ln w="9525">
                          <a:noFill/>
                          <a:miter lim="800000"/>
                          <a:headEnd/>
                          <a:tailEnd/>
                        </a:ln>
                      </wps:spPr>
                      <wps:txbx>
                        <w:txbxContent>
                          <w:p w:rsidRPr="00A855ED" w:rsidR="008160C5" w:rsidRDefault="008160C5" w14:paraId="37AF40A3" w14:textId="2034B838">
                            <w:pPr>
                              <w:rPr>
                                <w:rFonts w:ascii="Palatino Linotype" w:hAnsi="Palatino Linotype"/>
                                <w:b/>
                                <w:bCs/>
                                <w:sz w:val="24"/>
                                <w:szCs w:val="24"/>
                              </w:rPr>
                            </w:pPr>
                            <w:r w:rsidRPr="00A855ED">
                              <w:rPr>
                                <w:rFonts w:ascii="Palatino Linotype" w:hAnsi="Palatino Linotype"/>
                                <w:b/>
                                <w:bCs/>
                                <w:sz w:val="24"/>
                                <w:szCs w:val="24"/>
                              </w:rPr>
                              <w:t>END OF 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944D29">
                <v:stroke joinstyle="miter"/>
                <v:path gradientshapeok="t" o:connecttype="rect"/>
              </v:shapetype>
              <v:shape id="Text Box 2" style="position:absolute;margin-left:163.2pt;margin-top:339.25pt;width:15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">
                <v:textbox style="mso-fit-shape-to-text:t">
                  <w:txbxContent>
                    <w:p w:rsidRPr="00A855ED" w:rsidR="008160C5" w:rsidRDefault="008160C5" w14:paraId="37AF40A3" w14:textId="2034B838">
                      <w:pPr>
                        <w:rPr>
                          <w:rFonts w:ascii="Palatino Linotype" w:hAnsi="Palatino Linotype"/>
                          <w:b/>
                          <w:bCs/>
                          <w:sz w:val="24"/>
                          <w:szCs w:val="24"/>
                        </w:rPr>
                      </w:pPr>
                      <w:r w:rsidRPr="00A855ED">
                        <w:rPr>
                          <w:rFonts w:ascii="Palatino Linotype" w:hAnsi="Palatino Linotype"/>
                          <w:b/>
                          <w:bCs/>
                          <w:sz w:val="24"/>
                          <w:szCs w:val="24"/>
                        </w:rPr>
                        <w:t>END OF APPENDIX A</w:t>
                      </w:r>
                    </w:p>
                  </w:txbxContent>
                </v:textbox>
                <w10:wrap type="square"/>
              </v:shape>
            </w:pict>
          </mc:Fallback>
        </mc:AlternateContent>
      </w:r>
      <w:r w:rsidR="007938ED">
        <w:rPr>
          <w:rFonts w:ascii="Palatino Linotype" w:hAnsi="Palatino Linotype" w:cs="Arial"/>
          <w:sz w:val="24"/>
          <w:szCs w:val="24"/>
        </w:rPr>
        <w:br w:type="page"/>
      </w:r>
    </w:p>
    <w:p w:rsidR="007938ED" w:rsidRDefault="007938ED" w14:paraId="704B51FB" w14:textId="77777777">
      <w:pPr>
        <w:rPr>
          <w:rFonts w:ascii="Palatino Linotype" w:hAnsi="Palatino Linotype" w:cs="Arial"/>
          <w:sz w:val="24"/>
          <w:szCs w:val="24"/>
        </w:rPr>
      </w:pPr>
    </w:p>
    <w:p w:rsidR="008160C5" w:rsidRDefault="008160C5" w14:paraId="14A0BABE" w14:textId="77777777">
      <w:pPr>
        <w:rPr>
          <w:rFonts w:ascii="Palatino Linotype" w:hAnsi="Palatino Linotype" w:cs="Arial"/>
          <w:sz w:val="24"/>
          <w:szCs w:val="24"/>
        </w:rPr>
      </w:pPr>
    </w:p>
    <w:p w:rsidR="008160C5" w:rsidRDefault="008160C5" w14:paraId="37B67F73" w14:textId="77777777">
      <w:pPr>
        <w:rPr>
          <w:rFonts w:ascii="Palatino Linotype" w:hAnsi="Palatino Linotype" w:cs="Arial"/>
          <w:sz w:val="24"/>
          <w:szCs w:val="24"/>
        </w:rPr>
      </w:pPr>
    </w:p>
    <w:p w:rsidR="00B0707B" w:rsidRDefault="00B0707B" w14:paraId="112EB73F" w14:textId="77777777">
      <w:pPr>
        <w:rPr>
          <w:rFonts w:ascii="Palatino Linotype" w:hAnsi="Palatino Linotype" w:cs="Arial"/>
          <w:sz w:val="24"/>
          <w:szCs w:val="24"/>
        </w:rPr>
      </w:pPr>
    </w:p>
    <w:p w:rsidR="008160C5" w:rsidRDefault="008160C5" w14:paraId="23D2FE63" w14:textId="77777777">
      <w:pPr>
        <w:rPr>
          <w:rFonts w:ascii="Palatino Linotype" w:hAnsi="Palatino Linotype" w:cs="Arial"/>
          <w:sz w:val="24"/>
          <w:szCs w:val="24"/>
        </w:rPr>
      </w:pPr>
    </w:p>
    <w:p w:rsidR="008160C5" w:rsidRDefault="008160C5" w14:paraId="765E48C9" w14:textId="77777777">
      <w:pPr>
        <w:rPr>
          <w:rFonts w:ascii="Palatino Linotype" w:hAnsi="Palatino Linotype" w:cs="Arial"/>
          <w:sz w:val="24"/>
          <w:szCs w:val="24"/>
        </w:rPr>
      </w:pPr>
    </w:p>
    <w:p w:rsidR="008160C5" w:rsidRDefault="008160C5" w14:paraId="1FAB53F2" w14:textId="77777777">
      <w:pPr>
        <w:rPr>
          <w:rFonts w:ascii="Palatino Linotype" w:hAnsi="Palatino Linotype" w:cs="Arial"/>
          <w:sz w:val="24"/>
          <w:szCs w:val="24"/>
        </w:rPr>
      </w:pPr>
    </w:p>
    <w:p w:rsidRPr="008160C5" w:rsidR="008160C5" w:rsidP="008160C5" w:rsidRDefault="008160C5" w14:paraId="080FCBDB" w14:textId="21AC06AA">
      <w:pPr>
        <w:jc w:val="center"/>
        <w:rPr>
          <w:rFonts w:asciiTheme="majorHAnsi" w:hAnsiTheme="majorHAnsi"/>
          <w:sz w:val="48"/>
          <w:szCs w:val="48"/>
        </w:rPr>
      </w:pPr>
      <w:r w:rsidRPr="008160C5">
        <w:rPr>
          <w:rFonts w:asciiTheme="majorHAnsi" w:hAnsiTheme="majorHAnsi"/>
          <w:sz w:val="48"/>
          <w:szCs w:val="48"/>
        </w:rPr>
        <w:t>APPENDIX B</w:t>
      </w:r>
    </w:p>
    <w:p w:rsidR="00F30740" w:rsidP="00A73E71" w:rsidRDefault="00F30740" w14:paraId="5AF56F47" w14:textId="77777777">
      <w:pPr>
        <w:rPr>
          <w:rFonts w:asciiTheme="majorHAnsi" w:hAnsiTheme="majorHAnsi"/>
        </w:rPr>
      </w:pPr>
    </w:p>
    <w:p w:rsidR="008160C5" w:rsidP="00A73E71" w:rsidRDefault="008160C5" w14:paraId="43AF7DEF" w14:textId="6D20BFFF">
      <w:pPr>
        <w:rPr>
          <w:rFonts w:asciiTheme="majorHAnsi" w:hAnsiTheme="majorHAnsi"/>
        </w:rPr>
        <w:sectPr w:rsidR="008160C5" w:rsidSect="008160C5">
          <w:footerReference w:type="first" r:id="rId21"/>
          <w:pgSz w:w="12240" w:h="15840" w:code="1"/>
          <w:pgMar w:top="1440" w:right="1440" w:bottom="1440" w:left="1440" w:header="720" w:footer="720" w:gutter="0"/>
          <w:pgNumType w:start="1"/>
          <w:cols w:space="720"/>
          <w:titlePg/>
          <w:docGrid w:linePitch="354"/>
        </w:sectPr>
      </w:pPr>
    </w:p>
    <w:p w:rsidR="00630C1B" w:rsidP="00A73E71" w:rsidRDefault="00284BB5" w14:paraId="7F01359A" w14:textId="0CDE5CAC">
      <w:pPr>
        <w:rPr>
          <w:rFonts w:asciiTheme="majorHAnsi" w:hAnsiTheme="majorHAnsi"/>
        </w:rPr>
      </w:pPr>
      <w:r>
        <w:rPr>
          <w:rFonts w:asciiTheme="majorHAnsi" w:hAnsiTheme="majorHAnsi"/>
        </w:rPr>
        <w:lastRenderedPageBreak/>
        <w:t xml:space="preserve">Appendix B - </w:t>
      </w:r>
      <w:r w:rsidR="00F960FF">
        <w:rPr>
          <w:rFonts w:asciiTheme="majorHAnsi" w:hAnsiTheme="majorHAnsi"/>
        </w:rPr>
        <w:t xml:space="preserve">Revisions to Individual Metrics and Indicators </w:t>
      </w:r>
    </w:p>
    <w:p w:rsidR="00B679FF" w:rsidRDefault="00B679FF" w14:paraId="18F27238" w14:textId="77777777">
      <w:pPr>
        <w:rPr>
          <w:rFonts w:asciiTheme="majorHAnsi" w:hAnsiTheme="majorHAnsi"/>
        </w:rPr>
      </w:pPr>
    </w:p>
    <w:tbl>
      <w:tblPr>
        <w:tblStyle w:val="TableGrid"/>
        <w:tblW w:w="0" w:type="auto"/>
        <w:tblLook w:val="04A0" w:firstRow="1" w:lastRow="0" w:firstColumn="1" w:lastColumn="0" w:noHBand="0" w:noVBand="1"/>
      </w:tblPr>
      <w:tblGrid>
        <w:gridCol w:w="686"/>
        <w:gridCol w:w="2549"/>
        <w:gridCol w:w="3049"/>
        <w:gridCol w:w="1237"/>
        <w:gridCol w:w="1497"/>
        <w:gridCol w:w="1452"/>
        <w:gridCol w:w="1064"/>
        <w:gridCol w:w="1416"/>
      </w:tblGrid>
      <w:tr w:rsidRPr="007938ED" w:rsidR="007A4EDB" w:rsidTr="00D20F6F" w14:paraId="1542CE11" w14:textId="77777777">
        <w:trPr>
          <w:trHeight w:val="1781"/>
          <w:tblHeader/>
        </w:trPr>
        <w:tc>
          <w:tcPr>
            <w:tcW w:w="0" w:type="auto"/>
            <w:hideMark/>
          </w:tcPr>
          <w:p w:rsidRPr="007938ED" w:rsidR="00D31E46" w:rsidRDefault="00D31E46" w14:paraId="3B6BD701" w14:textId="77777777">
            <w:pPr>
              <w:rPr>
                <w:rFonts w:asciiTheme="majorHAnsi" w:hAnsiTheme="majorHAnsi"/>
                <w:b/>
                <w:bCs/>
                <w:sz w:val="18"/>
                <w:szCs w:val="12"/>
              </w:rPr>
            </w:pPr>
            <w:r w:rsidRPr="007938ED">
              <w:rPr>
                <w:rFonts w:asciiTheme="majorHAnsi" w:hAnsiTheme="majorHAnsi"/>
                <w:b/>
                <w:bCs/>
                <w:sz w:val="18"/>
                <w:szCs w:val="12"/>
              </w:rPr>
              <w:t>Index</w:t>
            </w:r>
          </w:p>
        </w:tc>
        <w:tc>
          <w:tcPr>
            <w:tcW w:w="0" w:type="auto"/>
            <w:hideMark/>
          </w:tcPr>
          <w:p w:rsidRPr="007938ED" w:rsidR="00D31E46" w:rsidRDefault="00D31E46" w14:paraId="33240493" w14:textId="77777777">
            <w:pPr>
              <w:rPr>
                <w:rFonts w:asciiTheme="majorHAnsi" w:hAnsiTheme="majorHAnsi"/>
                <w:b/>
                <w:bCs/>
                <w:sz w:val="18"/>
                <w:szCs w:val="12"/>
              </w:rPr>
            </w:pPr>
            <w:r w:rsidRPr="007938ED">
              <w:rPr>
                <w:rFonts w:asciiTheme="majorHAnsi" w:hAnsiTheme="majorHAnsi"/>
                <w:b/>
                <w:bCs/>
                <w:sz w:val="18"/>
                <w:szCs w:val="12"/>
              </w:rPr>
              <w:t>Business Plan Att A Description</w:t>
            </w:r>
          </w:p>
        </w:tc>
        <w:tc>
          <w:tcPr>
            <w:tcW w:w="0" w:type="auto"/>
            <w:hideMark/>
          </w:tcPr>
          <w:p w:rsidRPr="007938ED" w:rsidR="00D31E46" w:rsidRDefault="00D31E46" w14:paraId="07D0529F" w14:textId="77777777">
            <w:pPr>
              <w:rPr>
                <w:rFonts w:asciiTheme="majorHAnsi" w:hAnsiTheme="majorHAnsi"/>
                <w:b/>
                <w:bCs/>
                <w:sz w:val="18"/>
                <w:szCs w:val="12"/>
              </w:rPr>
            </w:pPr>
            <w:r w:rsidRPr="007938ED">
              <w:rPr>
                <w:rFonts w:asciiTheme="majorHAnsi" w:hAnsiTheme="majorHAnsi"/>
                <w:b/>
                <w:bCs/>
                <w:sz w:val="18"/>
                <w:szCs w:val="12"/>
              </w:rPr>
              <w:t>Metric / Indicator</w:t>
            </w:r>
          </w:p>
        </w:tc>
        <w:tc>
          <w:tcPr>
            <w:tcW w:w="0" w:type="auto"/>
            <w:hideMark/>
          </w:tcPr>
          <w:p w:rsidRPr="007938ED" w:rsidR="00D31E46" w:rsidRDefault="00D31E46" w14:paraId="5DFE61B8" w14:textId="77777777">
            <w:pPr>
              <w:rPr>
                <w:rFonts w:asciiTheme="majorHAnsi" w:hAnsiTheme="majorHAnsi"/>
                <w:b/>
                <w:bCs/>
                <w:sz w:val="18"/>
                <w:szCs w:val="12"/>
              </w:rPr>
            </w:pPr>
            <w:r w:rsidRPr="007938ED">
              <w:rPr>
                <w:rFonts w:asciiTheme="majorHAnsi" w:hAnsiTheme="majorHAnsi"/>
                <w:b/>
                <w:bCs/>
                <w:sz w:val="18"/>
                <w:szCs w:val="12"/>
              </w:rPr>
              <w:t>Metric or Indicator (Originally)</w:t>
            </w:r>
          </w:p>
        </w:tc>
        <w:tc>
          <w:tcPr>
            <w:tcW w:w="0" w:type="auto"/>
            <w:hideMark/>
          </w:tcPr>
          <w:p w:rsidRPr="007938ED" w:rsidR="00D31E46" w:rsidRDefault="00D31E46" w14:paraId="02F7C662" w14:textId="77777777">
            <w:pPr>
              <w:rPr>
                <w:rFonts w:asciiTheme="majorHAnsi" w:hAnsiTheme="majorHAnsi"/>
                <w:b/>
                <w:bCs/>
                <w:sz w:val="18"/>
                <w:szCs w:val="12"/>
              </w:rPr>
            </w:pPr>
            <w:r w:rsidRPr="007938ED">
              <w:rPr>
                <w:rFonts w:asciiTheme="majorHAnsi" w:hAnsiTheme="majorHAnsi"/>
                <w:b/>
                <w:bCs/>
                <w:sz w:val="18"/>
                <w:szCs w:val="12"/>
              </w:rPr>
              <w:t>Metric Categories for CMs; sub-objectives for MS/EQ</w:t>
            </w:r>
          </w:p>
        </w:tc>
        <w:tc>
          <w:tcPr>
            <w:tcW w:w="0" w:type="auto"/>
            <w:hideMark/>
          </w:tcPr>
          <w:p w:rsidRPr="007938ED" w:rsidR="00D31E46" w:rsidRDefault="00D31E46" w14:paraId="76825EB6" w14:textId="77777777">
            <w:pPr>
              <w:rPr>
                <w:rFonts w:asciiTheme="majorHAnsi" w:hAnsiTheme="majorHAnsi"/>
                <w:b/>
                <w:bCs/>
                <w:sz w:val="18"/>
                <w:szCs w:val="12"/>
              </w:rPr>
            </w:pPr>
            <w:r w:rsidRPr="007938ED">
              <w:rPr>
                <w:rFonts w:asciiTheme="majorHAnsi" w:hAnsiTheme="majorHAnsi"/>
                <w:b/>
                <w:bCs/>
                <w:sz w:val="18"/>
                <w:szCs w:val="12"/>
              </w:rPr>
              <w:t>CPUC Determination</w:t>
            </w:r>
          </w:p>
        </w:tc>
        <w:tc>
          <w:tcPr>
            <w:tcW w:w="0" w:type="auto"/>
            <w:hideMark/>
          </w:tcPr>
          <w:p w:rsidRPr="007938ED" w:rsidR="00D31E46" w:rsidRDefault="00D31E46" w14:paraId="02786668" w14:textId="77777777">
            <w:pPr>
              <w:rPr>
                <w:rFonts w:asciiTheme="majorHAnsi" w:hAnsiTheme="majorHAnsi"/>
                <w:b/>
                <w:bCs/>
                <w:sz w:val="18"/>
                <w:szCs w:val="12"/>
              </w:rPr>
            </w:pPr>
            <w:r w:rsidRPr="007938ED">
              <w:rPr>
                <w:rFonts w:asciiTheme="majorHAnsi" w:hAnsiTheme="majorHAnsi"/>
                <w:b/>
                <w:bCs/>
                <w:sz w:val="18"/>
                <w:szCs w:val="12"/>
              </w:rPr>
              <w:t>Should be reported external to CEDARS Claims? Y or N</w:t>
            </w:r>
          </w:p>
        </w:tc>
        <w:tc>
          <w:tcPr>
            <w:tcW w:w="0" w:type="auto"/>
            <w:hideMark/>
          </w:tcPr>
          <w:p w:rsidRPr="007938ED" w:rsidR="00D31E46" w:rsidRDefault="00D31E46" w14:paraId="5FFD58C1" w14:textId="77777777">
            <w:pPr>
              <w:rPr>
                <w:rFonts w:asciiTheme="majorHAnsi" w:hAnsiTheme="majorHAnsi"/>
                <w:b/>
                <w:bCs/>
                <w:sz w:val="18"/>
                <w:szCs w:val="12"/>
              </w:rPr>
            </w:pPr>
            <w:r w:rsidRPr="007938ED">
              <w:rPr>
                <w:rFonts w:asciiTheme="majorHAnsi" w:hAnsiTheme="majorHAnsi"/>
                <w:b/>
                <w:bCs/>
                <w:sz w:val="18"/>
                <w:szCs w:val="12"/>
              </w:rPr>
              <w:t>Units of Measurement</w:t>
            </w:r>
          </w:p>
        </w:tc>
      </w:tr>
      <w:tr w:rsidRPr="007938ED" w:rsidR="00CE6F7B" w:rsidTr="007938ED" w14:paraId="115F692F" w14:textId="77777777">
        <w:trPr>
          <w:trHeight w:val="1200"/>
        </w:trPr>
        <w:tc>
          <w:tcPr>
            <w:tcW w:w="0" w:type="auto"/>
            <w:noWrap/>
            <w:hideMark/>
          </w:tcPr>
          <w:p w:rsidRPr="007938ED" w:rsidR="00D31E46" w:rsidP="00D31E46" w:rsidRDefault="00D31E46" w14:paraId="3EE82683" w14:textId="77777777">
            <w:pPr>
              <w:rPr>
                <w:rFonts w:asciiTheme="majorHAnsi" w:hAnsiTheme="majorHAnsi"/>
                <w:sz w:val="18"/>
                <w:szCs w:val="12"/>
              </w:rPr>
            </w:pPr>
            <w:r w:rsidRPr="007938ED">
              <w:rPr>
                <w:rFonts w:asciiTheme="majorHAnsi" w:hAnsiTheme="majorHAnsi"/>
                <w:sz w:val="18"/>
                <w:szCs w:val="12"/>
              </w:rPr>
              <w:t>0</w:t>
            </w:r>
          </w:p>
        </w:tc>
        <w:tc>
          <w:tcPr>
            <w:tcW w:w="0" w:type="auto"/>
            <w:hideMark/>
          </w:tcPr>
          <w:p w:rsidRPr="007938ED" w:rsidR="00D31E46" w:rsidRDefault="00D31E46" w14:paraId="6B1A3C3D" w14:textId="77777777">
            <w:pPr>
              <w:rPr>
                <w:rFonts w:asciiTheme="majorHAnsi" w:hAnsiTheme="majorHAnsi"/>
                <w:sz w:val="18"/>
                <w:szCs w:val="12"/>
              </w:rPr>
            </w:pPr>
            <w:r w:rsidRPr="007938ED">
              <w:rPr>
                <w:rFonts w:asciiTheme="majorHAnsi" w:hAnsiTheme="majorHAnsi"/>
                <w:sz w:val="18"/>
                <w:szCs w:val="12"/>
              </w:rPr>
              <w:t>Greenhouse gasses (MT CO2eq) Net kWh savings, reported on an annual basis</w:t>
            </w:r>
          </w:p>
        </w:tc>
        <w:tc>
          <w:tcPr>
            <w:tcW w:w="0" w:type="auto"/>
            <w:hideMark/>
          </w:tcPr>
          <w:p w:rsidRPr="007938ED" w:rsidR="00D31E46" w:rsidRDefault="00D31E46" w14:paraId="6885E964" w14:textId="77777777">
            <w:pPr>
              <w:rPr>
                <w:rFonts w:asciiTheme="majorHAnsi" w:hAnsiTheme="majorHAnsi"/>
                <w:sz w:val="18"/>
                <w:szCs w:val="12"/>
              </w:rPr>
            </w:pPr>
            <w:r w:rsidRPr="007938ED">
              <w:rPr>
                <w:rFonts w:asciiTheme="majorHAnsi" w:hAnsiTheme="majorHAnsi"/>
                <w:sz w:val="18"/>
                <w:szCs w:val="12"/>
              </w:rPr>
              <w:t>CO2-equivalent of net annual kWh savings</w:t>
            </w:r>
          </w:p>
        </w:tc>
        <w:tc>
          <w:tcPr>
            <w:tcW w:w="0" w:type="auto"/>
            <w:hideMark/>
          </w:tcPr>
          <w:p w:rsidRPr="007938ED" w:rsidR="00D31E46" w:rsidRDefault="00D31E46" w14:paraId="74579DA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04736CD" w14:textId="77777777">
            <w:pPr>
              <w:rPr>
                <w:rFonts w:asciiTheme="majorHAnsi" w:hAnsiTheme="majorHAnsi"/>
                <w:sz w:val="18"/>
                <w:szCs w:val="12"/>
              </w:rPr>
            </w:pPr>
            <w:r w:rsidRPr="007938ED">
              <w:rPr>
                <w:rFonts w:asciiTheme="majorHAnsi" w:hAnsiTheme="majorHAnsi"/>
                <w:sz w:val="18"/>
                <w:szCs w:val="12"/>
              </w:rPr>
              <w:t>GHG</w:t>
            </w:r>
          </w:p>
        </w:tc>
        <w:tc>
          <w:tcPr>
            <w:tcW w:w="0" w:type="auto"/>
            <w:hideMark/>
          </w:tcPr>
          <w:p w:rsidRPr="007938ED" w:rsidR="00D31E46" w:rsidP="00D31E46" w:rsidRDefault="00D31E46" w14:paraId="270E467E"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69B3187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6BDFB53" w14:textId="77777777">
            <w:pPr>
              <w:rPr>
                <w:rFonts w:asciiTheme="majorHAnsi" w:hAnsiTheme="majorHAnsi"/>
                <w:sz w:val="18"/>
                <w:szCs w:val="12"/>
              </w:rPr>
            </w:pPr>
            <w:r w:rsidRPr="007938ED">
              <w:rPr>
                <w:rFonts w:asciiTheme="majorHAnsi" w:hAnsiTheme="majorHAnsi"/>
                <w:sz w:val="18"/>
                <w:szCs w:val="12"/>
              </w:rPr>
              <w:t>MT CO2eq</w:t>
            </w:r>
          </w:p>
        </w:tc>
      </w:tr>
      <w:tr w:rsidRPr="007938ED" w:rsidR="00CE6F7B" w:rsidTr="007938ED" w14:paraId="4AD3B063" w14:textId="77777777">
        <w:trPr>
          <w:trHeight w:val="1200"/>
        </w:trPr>
        <w:tc>
          <w:tcPr>
            <w:tcW w:w="0" w:type="auto"/>
            <w:noWrap/>
            <w:hideMark/>
          </w:tcPr>
          <w:p w:rsidRPr="007938ED" w:rsidR="00D31E46" w:rsidP="00D31E46" w:rsidRDefault="00D31E46" w14:paraId="1452F53C" w14:textId="77777777">
            <w:pPr>
              <w:rPr>
                <w:rFonts w:asciiTheme="majorHAnsi" w:hAnsiTheme="majorHAnsi"/>
                <w:sz w:val="18"/>
                <w:szCs w:val="12"/>
              </w:rPr>
            </w:pPr>
            <w:r w:rsidRPr="007938ED">
              <w:rPr>
                <w:rFonts w:asciiTheme="majorHAnsi" w:hAnsiTheme="majorHAnsi"/>
                <w:sz w:val="18"/>
                <w:szCs w:val="12"/>
              </w:rPr>
              <w:t>1</w:t>
            </w:r>
          </w:p>
        </w:tc>
        <w:tc>
          <w:tcPr>
            <w:tcW w:w="0" w:type="auto"/>
            <w:hideMark/>
          </w:tcPr>
          <w:p w:rsidRPr="007938ED" w:rsidR="00D31E46" w:rsidRDefault="00D31E46" w14:paraId="4D96CB60"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2D04EDC7" w14:textId="77777777">
            <w:pPr>
              <w:rPr>
                <w:rFonts w:asciiTheme="majorHAnsi" w:hAnsiTheme="majorHAnsi"/>
                <w:sz w:val="18"/>
                <w:szCs w:val="12"/>
              </w:rPr>
            </w:pPr>
            <w:r w:rsidRPr="007938ED">
              <w:rPr>
                <w:rFonts w:asciiTheme="majorHAnsi" w:hAnsiTheme="majorHAnsi"/>
                <w:sz w:val="18"/>
                <w:szCs w:val="12"/>
              </w:rPr>
              <w:t>First year annual kW gross</w:t>
            </w:r>
          </w:p>
        </w:tc>
        <w:tc>
          <w:tcPr>
            <w:tcW w:w="0" w:type="auto"/>
            <w:hideMark/>
          </w:tcPr>
          <w:p w:rsidRPr="007938ED" w:rsidR="00D31E46" w:rsidRDefault="00D31E46" w14:paraId="3122C53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DF45AE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24FD876"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C2FF57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6E8C4D4" w14:textId="77777777">
            <w:pPr>
              <w:rPr>
                <w:rFonts w:asciiTheme="majorHAnsi" w:hAnsiTheme="majorHAnsi"/>
                <w:sz w:val="18"/>
                <w:szCs w:val="12"/>
              </w:rPr>
            </w:pPr>
            <w:r w:rsidRPr="007938ED">
              <w:rPr>
                <w:rFonts w:asciiTheme="majorHAnsi" w:hAnsiTheme="majorHAnsi"/>
                <w:sz w:val="18"/>
                <w:szCs w:val="12"/>
              </w:rPr>
              <w:t>First year annual kW gross</w:t>
            </w:r>
          </w:p>
        </w:tc>
      </w:tr>
      <w:tr w:rsidRPr="007938ED" w:rsidR="00CE6F7B" w:rsidTr="007938ED" w14:paraId="0473E700" w14:textId="77777777">
        <w:trPr>
          <w:trHeight w:val="1200"/>
        </w:trPr>
        <w:tc>
          <w:tcPr>
            <w:tcW w:w="0" w:type="auto"/>
            <w:noWrap/>
            <w:hideMark/>
          </w:tcPr>
          <w:p w:rsidRPr="007938ED" w:rsidR="00D31E46" w:rsidP="00D31E46" w:rsidRDefault="00D31E46" w14:paraId="3622A8B9" w14:textId="77777777">
            <w:pPr>
              <w:rPr>
                <w:rFonts w:asciiTheme="majorHAnsi" w:hAnsiTheme="majorHAnsi"/>
                <w:sz w:val="18"/>
                <w:szCs w:val="12"/>
              </w:rPr>
            </w:pPr>
            <w:r w:rsidRPr="007938ED">
              <w:rPr>
                <w:rFonts w:asciiTheme="majorHAnsi" w:hAnsiTheme="majorHAnsi"/>
                <w:sz w:val="18"/>
                <w:szCs w:val="12"/>
              </w:rPr>
              <w:t>2</w:t>
            </w:r>
          </w:p>
        </w:tc>
        <w:tc>
          <w:tcPr>
            <w:tcW w:w="0" w:type="auto"/>
            <w:hideMark/>
          </w:tcPr>
          <w:p w:rsidRPr="007938ED" w:rsidR="00D31E46" w:rsidRDefault="00D31E46" w14:paraId="6AAF841E"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6A6C549A" w14:textId="77777777">
            <w:pPr>
              <w:rPr>
                <w:rFonts w:asciiTheme="majorHAnsi" w:hAnsiTheme="majorHAnsi"/>
                <w:sz w:val="18"/>
                <w:szCs w:val="12"/>
              </w:rPr>
            </w:pPr>
            <w:r w:rsidRPr="007938ED">
              <w:rPr>
                <w:rFonts w:asciiTheme="majorHAnsi" w:hAnsiTheme="majorHAnsi"/>
                <w:sz w:val="18"/>
                <w:szCs w:val="12"/>
              </w:rPr>
              <w:t>First year annual kW net</w:t>
            </w:r>
          </w:p>
        </w:tc>
        <w:tc>
          <w:tcPr>
            <w:tcW w:w="0" w:type="auto"/>
            <w:hideMark/>
          </w:tcPr>
          <w:p w:rsidRPr="007938ED" w:rsidR="00D31E46" w:rsidRDefault="00D31E46" w14:paraId="58F692C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668C4C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C524894"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7BB755B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3613D27" w14:textId="77777777">
            <w:pPr>
              <w:rPr>
                <w:rFonts w:asciiTheme="majorHAnsi" w:hAnsiTheme="majorHAnsi"/>
                <w:sz w:val="18"/>
                <w:szCs w:val="12"/>
              </w:rPr>
            </w:pPr>
            <w:r w:rsidRPr="007938ED">
              <w:rPr>
                <w:rFonts w:asciiTheme="majorHAnsi" w:hAnsiTheme="majorHAnsi"/>
                <w:sz w:val="18"/>
                <w:szCs w:val="12"/>
              </w:rPr>
              <w:t>First year annual kW net</w:t>
            </w:r>
          </w:p>
        </w:tc>
      </w:tr>
      <w:tr w:rsidRPr="007938ED" w:rsidR="00CE6F7B" w:rsidTr="007938ED" w14:paraId="25C400E0" w14:textId="77777777">
        <w:trPr>
          <w:trHeight w:val="1200"/>
        </w:trPr>
        <w:tc>
          <w:tcPr>
            <w:tcW w:w="0" w:type="auto"/>
            <w:noWrap/>
            <w:hideMark/>
          </w:tcPr>
          <w:p w:rsidRPr="007938ED" w:rsidR="00D31E46" w:rsidP="00D31E46" w:rsidRDefault="00D31E46" w14:paraId="6D7198B4" w14:textId="77777777">
            <w:pPr>
              <w:rPr>
                <w:rFonts w:asciiTheme="majorHAnsi" w:hAnsiTheme="majorHAnsi"/>
                <w:sz w:val="18"/>
                <w:szCs w:val="12"/>
              </w:rPr>
            </w:pPr>
            <w:r w:rsidRPr="007938ED">
              <w:rPr>
                <w:rFonts w:asciiTheme="majorHAnsi" w:hAnsiTheme="majorHAnsi"/>
                <w:sz w:val="18"/>
                <w:szCs w:val="12"/>
              </w:rPr>
              <w:t>3</w:t>
            </w:r>
          </w:p>
        </w:tc>
        <w:tc>
          <w:tcPr>
            <w:tcW w:w="0" w:type="auto"/>
            <w:hideMark/>
          </w:tcPr>
          <w:p w:rsidRPr="007938ED" w:rsidR="00D31E46" w:rsidRDefault="00D31E46" w14:paraId="39FC29F3"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19E23329" w14:textId="77777777">
            <w:pPr>
              <w:rPr>
                <w:rFonts w:asciiTheme="majorHAnsi" w:hAnsiTheme="majorHAnsi"/>
                <w:sz w:val="18"/>
                <w:szCs w:val="12"/>
              </w:rPr>
            </w:pPr>
            <w:r w:rsidRPr="007938ED">
              <w:rPr>
                <w:rFonts w:asciiTheme="majorHAnsi" w:hAnsiTheme="majorHAnsi"/>
                <w:sz w:val="18"/>
                <w:szCs w:val="12"/>
              </w:rPr>
              <w:t>First year annual kWh gross</w:t>
            </w:r>
          </w:p>
        </w:tc>
        <w:tc>
          <w:tcPr>
            <w:tcW w:w="0" w:type="auto"/>
            <w:hideMark/>
          </w:tcPr>
          <w:p w:rsidRPr="007938ED" w:rsidR="00D31E46" w:rsidRDefault="00D31E46" w14:paraId="15D1643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CFF68C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D63745C"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B73ADA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FD9133D" w14:textId="77777777">
            <w:pPr>
              <w:rPr>
                <w:rFonts w:asciiTheme="majorHAnsi" w:hAnsiTheme="majorHAnsi"/>
                <w:sz w:val="18"/>
                <w:szCs w:val="12"/>
              </w:rPr>
            </w:pPr>
            <w:r w:rsidRPr="007938ED">
              <w:rPr>
                <w:rFonts w:asciiTheme="majorHAnsi" w:hAnsiTheme="majorHAnsi"/>
                <w:sz w:val="18"/>
                <w:szCs w:val="12"/>
              </w:rPr>
              <w:t>First year annual kWh gross</w:t>
            </w:r>
          </w:p>
        </w:tc>
      </w:tr>
      <w:tr w:rsidRPr="007938ED" w:rsidR="00CE6F7B" w:rsidTr="007938ED" w14:paraId="78C3DA76" w14:textId="77777777">
        <w:trPr>
          <w:trHeight w:val="1200"/>
        </w:trPr>
        <w:tc>
          <w:tcPr>
            <w:tcW w:w="0" w:type="auto"/>
            <w:noWrap/>
            <w:hideMark/>
          </w:tcPr>
          <w:p w:rsidRPr="007938ED" w:rsidR="00D31E46" w:rsidP="00D31E46" w:rsidRDefault="00D31E46" w14:paraId="6B62528F" w14:textId="77777777">
            <w:pPr>
              <w:rPr>
                <w:rFonts w:asciiTheme="majorHAnsi" w:hAnsiTheme="majorHAnsi"/>
                <w:sz w:val="18"/>
                <w:szCs w:val="12"/>
              </w:rPr>
            </w:pPr>
            <w:r w:rsidRPr="007938ED">
              <w:rPr>
                <w:rFonts w:asciiTheme="majorHAnsi" w:hAnsiTheme="majorHAnsi"/>
                <w:sz w:val="18"/>
                <w:szCs w:val="12"/>
              </w:rPr>
              <w:t>4</w:t>
            </w:r>
          </w:p>
        </w:tc>
        <w:tc>
          <w:tcPr>
            <w:tcW w:w="0" w:type="auto"/>
            <w:hideMark/>
          </w:tcPr>
          <w:p w:rsidRPr="007938ED" w:rsidR="00D31E46" w:rsidRDefault="00D31E46" w14:paraId="36063934"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27CD401B" w14:textId="77777777">
            <w:pPr>
              <w:rPr>
                <w:rFonts w:asciiTheme="majorHAnsi" w:hAnsiTheme="majorHAnsi"/>
                <w:sz w:val="18"/>
                <w:szCs w:val="12"/>
              </w:rPr>
            </w:pPr>
            <w:r w:rsidRPr="007938ED">
              <w:rPr>
                <w:rFonts w:asciiTheme="majorHAnsi" w:hAnsiTheme="majorHAnsi"/>
                <w:sz w:val="18"/>
                <w:szCs w:val="12"/>
              </w:rPr>
              <w:t>First year annual kWh net</w:t>
            </w:r>
          </w:p>
        </w:tc>
        <w:tc>
          <w:tcPr>
            <w:tcW w:w="0" w:type="auto"/>
            <w:hideMark/>
          </w:tcPr>
          <w:p w:rsidRPr="007938ED" w:rsidR="00D31E46" w:rsidRDefault="00D31E46" w14:paraId="082118D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8C2991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C77EEE8"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015155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3DFB8DD" w14:textId="77777777">
            <w:pPr>
              <w:rPr>
                <w:rFonts w:asciiTheme="majorHAnsi" w:hAnsiTheme="majorHAnsi"/>
                <w:sz w:val="18"/>
                <w:szCs w:val="12"/>
              </w:rPr>
            </w:pPr>
            <w:r w:rsidRPr="007938ED">
              <w:rPr>
                <w:rFonts w:asciiTheme="majorHAnsi" w:hAnsiTheme="majorHAnsi"/>
                <w:sz w:val="18"/>
                <w:szCs w:val="12"/>
              </w:rPr>
              <w:t>First year annual kWh net</w:t>
            </w:r>
          </w:p>
        </w:tc>
      </w:tr>
      <w:tr w:rsidRPr="007938ED" w:rsidR="00CE6F7B" w:rsidTr="007938ED" w14:paraId="4F54E6F5" w14:textId="77777777">
        <w:trPr>
          <w:trHeight w:val="1200"/>
        </w:trPr>
        <w:tc>
          <w:tcPr>
            <w:tcW w:w="0" w:type="auto"/>
            <w:noWrap/>
            <w:hideMark/>
          </w:tcPr>
          <w:p w:rsidRPr="007938ED" w:rsidR="00D31E46" w:rsidP="00D31E46" w:rsidRDefault="00D31E46" w14:paraId="0CA0E917" w14:textId="77777777">
            <w:pPr>
              <w:rPr>
                <w:rFonts w:asciiTheme="majorHAnsi" w:hAnsiTheme="majorHAnsi"/>
                <w:sz w:val="18"/>
                <w:szCs w:val="12"/>
              </w:rPr>
            </w:pPr>
            <w:r w:rsidRPr="007938ED">
              <w:rPr>
                <w:rFonts w:asciiTheme="majorHAnsi" w:hAnsiTheme="majorHAnsi"/>
                <w:sz w:val="18"/>
                <w:szCs w:val="12"/>
              </w:rPr>
              <w:lastRenderedPageBreak/>
              <w:t>5</w:t>
            </w:r>
          </w:p>
        </w:tc>
        <w:tc>
          <w:tcPr>
            <w:tcW w:w="0" w:type="auto"/>
            <w:hideMark/>
          </w:tcPr>
          <w:p w:rsidRPr="007938ED" w:rsidR="00D31E46" w:rsidRDefault="00D31E46" w14:paraId="141AD38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6431900C" w14:textId="77777777">
            <w:pPr>
              <w:rPr>
                <w:rFonts w:asciiTheme="majorHAnsi" w:hAnsiTheme="majorHAnsi"/>
                <w:sz w:val="18"/>
                <w:szCs w:val="12"/>
              </w:rPr>
            </w:pPr>
            <w:r w:rsidRPr="007938ED">
              <w:rPr>
                <w:rFonts w:asciiTheme="majorHAnsi" w:hAnsiTheme="majorHAnsi"/>
                <w:sz w:val="18"/>
                <w:szCs w:val="12"/>
              </w:rPr>
              <w:t>First year annual Therm gross</w:t>
            </w:r>
          </w:p>
        </w:tc>
        <w:tc>
          <w:tcPr>
            <w:tcW w:w="0" w:type="auto"/>
            <w:hideMark/>
          </w:tcPr>
          <w:p w:rsidRPr="007938ED" w:rsidR="00D31E46" w:rsidRDefault="00D31E46" w14:paraId="5C700A6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14CF14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FD13066"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673A795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94DF8F7" w14:textId="77777777">
            <w:pPr>
              <w:rPr>
                <w:rFonts w:asciiTheme="majorHAnsi" w:hAnsiTheme="majorHAnsi"/>
                <w:sz w:val="18"/>
                <w:szCs w:val="12"/>
              </w:rPr>
            </w:pPr>
            <w:r w:rsidRPr="007938ED">
              <w:rPr>
                <w:rFonts w:asciiTheme="majorHAnsi" w:hAnsiTheme="majorHAnsi"/>
                <w:sz w:val="18"/>
                <w:szCs w:val="12"/>
              </w:rPr>
              <w:t>First year annual Therm gross</w:t>
            </w:r>
          </w:p>
        </w:tc>
      </w:tr>
      <w:tr w:rsidRPr="007938ED" w:rsidR="00CE6F7B" w:rsidTr="007938ED" w14:paraId="17C9468A" w14:textId="77777777">
        <w:trPr>
          <w:trHeight w:val="1200"/>
        </w:trPr>
        <w:tc>
          <w:tcPr>
            <w:tcW w:w="0" w:type="auto"/>
            <w:noWrap/>
            <w:hideMark/>
          </w:tcPr>
          <w:p w:rsidRPr="007938ED" w:rsidR="00D31E46" w:rsidP="00D31E46" w:rsidRDefault="00D31E46" w14:paraId="072D2CEF" w14:textId="77777777">
            <w:pPr>
              <w:rPr>
                <w:rFonts w:asciiTheme="majorHAnsi" w:hAnsiTheme="majorHAnsi"/>
                <w:sz w:val="18"/>
                <w:szCs w:val="12"/>
              </w:rPr>
            </w:pPr>
            <w:r w:rsidRPr="007938ED">
              <w:rPr>
                <w:rFonts w:asciiTheme="majorHAnsi" w:hAnsiTheme="majorHAnsi"/>
                <w:sz w:val="18"/>
                <w:szCs w:val="12"/>
              </w:rPr>
              <w:t>6</w:t>
            </w:r>
          </w:p>
        </w:tc>
        <w:tc>
          <w:tcPr>
            <w:tcW w:w="0" w:type="auto"/>
            <w:hideMark/>
          </w:tcPr>
          <w:p w:rsidRPr="007938ED" w:rsidR="00D31E46" w:rsidRDefault="00D31E46" w14:paraId="6B217DD3"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7EE4FFE9" w14:textId="77777777">
            <w:pPr>
              <w:rPr>
                <w:rFonts w:asciiTheme="majorHAnsi" w:hAnsiTheme="majorHAnsi"/>
                <w:sz w:val="18"/>
                <w:szCs w:val="12"/>
              </w:rPr>
            </w:pPr>
            <w:r w:rsidRPr="007938ED">
              <w:rPr>
                <w:rFonts w:asciiTheme="majorHAnsi" w:hAnsiTheme="majorHAnsi"/>
                <w:sz w:val="18"/>
                <w:szCs w:val="12"/>
              </w:rPr>
              <w:t>First year annual Therm net</w:t>
            </w:r>
          </w:p>
        </w:tc>
        <w:tc>
          <w:tcPr>
            <w:tcW w:w="0" w:type="auto"/>
            <w:hideMark/>
          </w:tcPr>
          <w:p w:rsidRPr="007938ED" w:rsidR="00D31E46" w:rsidRDefault="00D31E46" w14:paraId="323A7C0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8B46E5D"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CFA8F26"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352627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A98823E" w14:textId="77777777">
            <w:pPr>
              <w:rPr>
                <w:rFonts w:asciiTheme="majorHAnsi" w:hAnsiTheme="majorHAnsi"/>
                <w:sz w:val="18"/>
                <w:szCs w:val="12"/>
              </w:rPr>
            </w:pPr>
            <w:r w:rsidRPr="007938ED">
              <w:rPr>
                <w:rFonts w:asciiTheme="majorHAnsi" w:hAnsiTheme="majorHAnsi"/>
                <w:sz w:val="18"/>
                <w:szCs w:val="12"/>
              </w:rPr>
              <w:t>First year annual Therm net</w:t>
            </w:r>
          </w:p>
        </w:tc>
      </w:tr>
      <w:tr w:rsidRPr="007938ED" w:rsidR="00CE6F7B" w:rsidTr="007938ED" w14:paraId="79671938" w14:textId="77777777">
        <w:trPr>
          <w:trHeight w:val="1200"/>
        </w:trPr>
        <w:tc>
          <w:tcPr>
            <w:tcW w:w="0" w:type="auto"/>
            <w:noWrap/>
            <w:hideMark/>
          </w:tcPr>
          <w:p w:rsidRPr="007938ED" w:rsidR="00D31E46" w:rsidP="00D31E46" w:rsidRDefault="00D31E46" w14:paraId="1FA3E794" w14:textId="77777777">
            <w:pPr>
              <w:rPr>
                <w:rFonts w:asciiTheme="majorHAnsi" w:hAnsiTheme="majorHAnsi"/>
                <w:sz w:val="18"/>
                <w:szCs w:val="12"/>
              </w:rPr>
            </w:pPr>
            <w:r w:rsidRPr="007938ED">
              <w:rPr>
                <w:rFonts w:asciiTheme="majorHAnsi" w:hAnsiTheme="majorHAnsi"/>
                <w:sz w:val="18"/>
                <w:szCs w:val="12"/>
              </w:rPr>
              <w:t>7</w:t>
            </w:r>
          </w:p>
        </w:tc>
        <w:tc>
          <w:tcPr>
            <w:tcW w:w="0" w:type="auto"/>
            <w:hideMark/>
          </w:tcPr>
          <w:p w:rsidRPr="007938ED" w:rsidR="00D31E46" w:rsidRDefault="00D31E46" w14:paraId="6DF7DFFC" w14:textId="77777777">
            <w:pPr>
              <w:rPr>
                <w:rFonts w:asciiTheme="majorHAnsi" w:hAnsiTheme="majorHAnsi"/>
                <w:sz w:val="18"/>
                <w:szCs w:val="12"/>
              </w:rPr>
            </w:pPr>
            <w:r w:rsidRPr="007938ED">
              <w:rPr>
                <w:rFonts w:asciiTheme="majorHAnsi" w:hAnsiTheme="majorHAnsi"/>
                <w:sz w:val="18"/>
                <w:szCs w:val="12"/>
              </w:rPr>
              <w:t>PL1-S1- First year annual and lifecycle ex‐ante (pre‐evaluation) gas, electric, and demand savings (gross and net)••</w:t>
            </w:r>
          </w:p>
        </w:tc>
        <w:tc>
          <w:tcPr>
            <w:tcW w:w="0" w:type="auto"/>
            <w:hideMark/>
          </w:tcPr>
          <w:p w:rsidRPr="007938ED" w:rsidR="00D31E46" w:rsidRDefault="00D31E46" w14:paraId="5958A61E" w14:textId="77777777">
            <w:pPr>
              <w:rPr>
                <w:rFonts w:asciiTheme="majorHAnsi" w:hAnsiTheme="majorHAnsi"/>
                <w:sz w:val="18"/>
                <w:szCs w:val="12"/>
              </w:rPr>
            </w:pPr>
            <w:r w:rsidRPr="007938ED">
              <w:rPr>
                <w:rFonts w:asciiTheme="majorHAnsi" w:hAnsiTheme="majorHAnsi"/>
                <w:sz w:val="18"/>
                <w:szCs w:val="12"/>
              </w:rPr>
              <w:t>Lifecycle ex-ante kW gross</w:t>
            </w:r>
          </w:p>
        </w:tc>
        <w:tc>
          <w:tcPr>
            <w:tcW w:w="0" w:type="auto"/>
            <w:hideMark/>
          </w:tcPr>
          <w:p w:rsidRPr="007938ED" w:rsidR="00D31E46" w:rsidRDefault="00D31E46" w14:paraId="38E9ADC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7BCA62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B3FE1F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CCD986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65D6E8D" w14:textId="77777777">
            <w:pPr>
              <w:rPr>
                <w:rFonts w:asciiTheme="majorHAnsi" w:hAnsiTheme="majorHAnsi"/>
                <w:sz w:val="18"/>
                <w:szCs w:val="12"/>
              </w:rPr>
            </w:pPr>
            <w:r w:rsidRPr="007938ED">
              <w:rPr>
                <w:rFonts w:asciiTheme="majorHAnsi" w:hAnsiTheme="majorHAnsi"/>
                <w:sz w:val="18"/>
                <w:szCs w:val="12"/>
              </w:rPr>
              <w:t>Lifecycle ex-ante kW gross</w:t>
            </w:r>
          </w:p>
        </w:tc>
      </w:tr>
      <w:tr w:rsidRPr="007938ED" w:rsidR="00CE6F7B" w:rsidTr="007938ED" w14:paraId="1676774F" w14:textId="77777777">
        <w:trPr>
          <w:trHeight w:val="1200"/>
        </w:trPr>
        <w:tc>
          <w:tcPr>
            <w:tcW w:w="0" w:type="auto"/>
            <w:noWrap/>
            <w:hideMark/>
          </w:tcPr>
          <w:p w:rsidRPr="007938ED" w:rsidR="00D31E46" w:rsidP="00D31E46" w:rsidRDefault="00D31E46" w14:paraId="033F7F3F" w14:textId="77777777">
            <w:pPr>
              <w:rPr>
                <w:rFonts w:asciiTheme="majorHAnsi" w:hAnsiTheme="majorHAnsi"/>
                <w:sz w:val="18"/>
                <w:szCs w:val="12"/>
              </w:rPr>
            </w:pPr>
            <w:r w:rsidRPr="007938ED">
              <w:rPr>
                <w:rFonts w:asciiTheme="majorHAnsi" w:hAnsiTheme="majorHAnsi"/>
                <w:sz w:val="18"/>
                <w:szCs w:val="12"/>
              </w:rPr>
              <w:t>8</w:t>
            </w:r>
          </w:p>
        </w:tc>
        <w:tc>
          <w:tcPr>
            <w:tcW w:w="0" w:type="auto"/>
            <w:hideMark/>
          </w:tcPr>
          <w:p w:rsidRPr="007938ED" w:rsidR="00D31E46" w:rsidRDefault="00D31E46" w14:paraId="360137C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67C5A75B" w14:textId="77777777">
            <w:pPr>
              <w:rPr>
                <w:rFonts w:asciiTheme="majorHAnsi" w:hAnsiTheme="majorHAnsi"/>
                <w:sz w:val="18"/>
                <w:szCs w:val="12"/>
              </w:rPr>
            </w:pPr>
            <w:r w:rsidRPr="007938ED">
              <w:rPr>
                <w:rFonts w:asciiTheme="majorHAnsi" w:hAnsiTheme="majorHAnsi"/>
                <w:sz w:val="18"/>
                <w:szCs w:val="12"/>
              </w:rPr>
              <w:t>Lifecycle ex-ante kW net</w:t>
            </w:r>
          </w:p>
        </w:tc>
        <w:tc>
          <w:tcPr>
            <w:tcW w:w="0" w:type="auto"/>
            <w:hideMark/>
          </w:tcPr>
          <w:p w:rsidRPr="007938ED" w:rsidR="00D31E46" w:rsidRDefault="00D31E46" w14:paraId="24B24BA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70C9689"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8F7FC4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C9723D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D45B67C" w14:textId="77777777">
            <w:pPr>
              <w:rPr>
                <w:rFonts w:asciiTheme="majorHAnsi" w:hAnsiTheme="majorHAnsi"/>
                <w:sz w:val="18"/>
                <w:szCs w:val="12"/>
              </w:rPr>
            </w:pPr>
            <w:r w:rsidRPr="007938ED">
              <w:rPr>
                <w:rFonts w:asciiTheme="majorHAnsi" w:hAnsiTheme="majorHAnsi"/>
                <w:sz w:val="18"/>
                <w:szCs w:val="12"/>
              </w:rPr>
              <w:t>Lifecycle ex-ante kW net</w:t>
            </w:r>
          </w:p>
        </w:tc>
      </w:tr>
      <w:tr w:rsidRPr="007938ED" w:rsidR="00CE6F7B" w:rsidTr="007938ED" w14:paraId="7C03B5F7" w14:textId="77777777">
        <w:trPr>
          <w:trHeight w:val="1200"/>
        </w:trPr>
        <w:tc>
          <w:tcPr>
            <w:tcW w:w="0" w:type="auto"/>
            <w:noWrap/>
            <w:hideMark/>
          </w:tcPr>
          <w:p w:rsidRPr="007938ED" w:rsidR="00D31E46" w:rsidP="00D31E46" w:rsidRDefault="00D31E46" w14:paraId="59CBD762" w14:textId="77777777">
            <w:pPr>
              <w:rPr>
                <w:rFonts w:asciiTheme="majorHAnsi" w:hAnsiTheme="majorHAnsi"/>
                <w:sz w:val="18"/>
                <w:szCs w:val="12"/>
              </w:rPr>
            </w:pPr>
            <w:r w:rsidRPr="007938ED">
              <w:rPr>
                <w:rFonts w:asciiTheme="majorHAnsi" w:hAnsiTheme="majorHAnsi"/>
                <w:sz w:val="18"/>
                <w:szCs w:val="12"/>
              </w:rPr>
              <w:t>9</w:t>
            </w:r>
          </w:p>
        </w:tc>
        <w:tc>
          <w:tcPr>
            <w:tcW w:w="0" w:type="auto"/>
            <w:hideMark/>
          </w:tcPr>
          <w:p w:rsidRPr="007938ED" w:rsidR="00D31E46" w:rsidRDefault="00D31E46" w14:paraId="7C12A19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71CE19A2" w14:textId="77777777">
            <w:pPr>
              <w:rPr>
                <w:rFonts w:asciiTheme="majorHAnsi" w:hAnsiTheme="majorHAnsi"/>
                <w:sz w:val="18"/>
                <w:szCs w:val="12"/>
              </w:rPr>
            </w:pPr>
            <w:r w:rsidRPr="007938ED">
              <w:rPr>
                <w:rFonts w:asciiTheme="majorHAnsi" w:hAnsiTheme="majorHAnsi"/>
                <w:sz w:val="18"/>
                <w:szCs w:val="12"/>
              </w:rPr>
              <w:t>Lifecycle ex-ante kWh gross</w:t>
            </w:r>
          </w:p>
        </w:tc>
        <w:tc>
          <w:tcPr>
            <w:tcW w:w="0" w:type="auto"/>
            <w:hideMark/>
          </w:tcPr>
          <w:p w:rsidRPr="007938ED" w:rsidR="00D31E46" w:rsidRDefault="00D31E46" w14:paraId="0ABA5EC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AD1D22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E78EDCD"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1047A91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82DB19E" w14:textId="77777777">
            <w:pPr>
              <w:rPr>
                <w:rFonts w:asciiTheme="majorHAnsi" w:hAnsiTheme="majorHAnsi"/>
                <w:sz w:val="18"/>
                <w:szCs w:val="12"/>
              </w:rPr>
            </w:pPr>
            <w:r w:rsidRPr="007938ED">
              <w:rPr>
                <w:rFonts w:asciiTheme="majorHAnsi" w:hAnsiTheme="majorHAnsi"/>
                <w:sz w:val="18"/>
                <w:szCs w:val="12"/>
              </w:rPr>
              <w:t>Lifecycle ex-ante kWh gross</w:t>
            </w:r>
          </w:p>
        </w:tc>
      </w:tr>
      <w:tr w:rsidRPr="007938ED" w:rsidR="00CE6F7B" w:rsidTr="007938ED" w14:paraId="645A1463" w14:textId="77777777">
        <w:trPr>
          <w:trHeight w:val="1200"/>
        </w:trPr>
        <w:tc>
          <w:tcPr>
            <w:tcW w:w="0" w:type="auto"/>
            <w:noWrap/>
            <w:hideMark/>
          </w:tcPr>
          <w:p w:rsidRPr="007938ED" w:rsidR="00D31E46" w:rsidP="00D31E46" w:rsidRDefault="00D31E46" w14:paraId="3568AE15" w14:textId="77777777">
            <w:pPr>
              <w:rPr>
                <w:rFonts w:asciiTheme="majorHAnsi" w:hAnsiTheme="majorHAnsi"/>
                <w:sz w:val="18"/>
                <w:szCs w:val="12"/>
              </w:rPr>
            </w:pPr>
            <w:r w:rsidRPr="007938ED">
              <w:rPr>
                <w:rFonts w:asciiTheme="majorHAnsi" w:hAnsiTheme="majorHAnsi"/>
                <w:sz w:val="18"/>
                <w:szCs w:val="12"/>
              </w:rPr>
              <w:t>10</w:t>
            </w:r>
          </w:p>
        </w:tc>
        <w:tc>
          <w:tcPr>
            <w:tcW w:w="0" w:type="auto"/>
            <w:hideMark/>
          </w:tcPr>
          <w:p w:rsidRPr="007938ED" w:rsidR="00D31E46" w:rsidRDefault="00D31E46" w14:paraId="0BEB1E18"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55EE369D" w14:textId="77777777">
            <w:pPr>
              <w:rPr>
                <w:rFonts w:asciiTheme="majorHAnsi" w:hAnsiTheme="majorHAnsi"/>
                <w:sz w:val="18"/>
                <w:szCs w:val="12"/>
              </w:rPr>
            </w:pPr>
            <w:r w:rsidRPr="007938ED">
              <w:rPr>
                <w:rFonts w:asciiTheme="majorHAnsi" w:hAnsiTheme="majorHAnsi"/>
                <w:sz w:val="18"/>
                <w:szCs w:val="12"/>
              </w:rPr>
              <w:t>Lifecycle ex-ante kWh net</w:t>
            </w:r>
          </w:p>
        </w:tc>
        <w:tc>
          <w:tcPr>
            <w:tcW w:w="0" w:type="auto"/>
            <w:hideMark/>
          </w:tcPr>
          <w:p w:rsidRPr="007938ED" w:rsidR="00D31E46" w:rsidRDefault="00D31E46" w14:paraId="2EB2123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07147A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4D7C28B"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344F0A4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74A9C46" w14:textId="77777777">
            <w:pPr>
              <w:rPr>
                <w:rFonts w:asciiTheme="majorHAnsi" w:hAnsiTheme="majorHAnsi"/>
                <w:sz w:val="18"/>
                <w:szCs w:val="12"/>
              </w:rPr>
            </w:pPr>
            <w:r w:rsidRPr="007938ED">
              <w:rPr>
                <w:rFonts w:asciiTheme="majorHAnsi" w:hAnsiTheme="majorHAnsi"/>
                <w:sz w:val="18"/>
                <w:szCs w:val="12"/>
              </w:rPr>
              <w:t>Lifecycle ex-ante kWh net</w:t>
            </w:r>
          </w:p>
        </w:tc>
      </w:tr>
      <w:tr w:rsidRPr="007938ED" w:rsidR="00CE6F7B" w:rsidTr="007938ED" w14:paraId="489C8575" w14:textId="77777777">
        <w:trPr>
          <w:trHeight w:val="1200"/>
        </w:trPr>
        <w:tc>
          <w:tcPr>
            <w:tcW w:w="0" w:type="auto"/>
            <w:noWrap/>
            <w:hideMark/>
          </w:tcPr>
          <w:p w:rsidRPr="007938ED" w:rsidR="00D31E46" w:rsidP="00D31E46" w:rsidRDefault="00D31E46" w14:paraId="6ECD1226" w14:textId="77777777">
            <w:pPr>
              <w:rPr>
                <w:rFonts w:asciiTheme="majorHAnsi" w:hAnsiTheme="majorHAnsi"/>
                <w:sz w:val="18"/>
                <w:szCs w:val="12"/>
              </w:rPr>
            </w:pPr>
            <w:r w:rsidRPr="007938ED">
              <w:rPr>
                <w:rFonts w:asciiTheme="majorHAnsi" w:hAnsiTheme="majorHAnsi"/>
                <w:sz w:val="18"/>
                <w:szCs w:val="12"/>
              </w:rPr>
              <w:lastRenderedPageBreak/>
              <w:t>11</w:t>
            </w:r>
          </w:p>
        </w:tc>
        <w:tc>
          <w:tcPr>
            <w:tcW w:w="0" w:type="auto"/>
            <w:hideMark/>
          </w:tcPr>
          <w:p w:rsidRPr="007938ED" w:rsidR="00D31E46" w:rsidRDefault="00D31E46" w14:paraId="4C3E2321"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06D6956A" w14:textId="77777777">
            <w:pPr>
              <w:rPr>
                <w:rFonts w:asciiTheme="majorHAnsi" w:hAnsiTheme="majorHAnsi"/>
                <w:sz w:val="18"/>
                <w:szCs w:val="12"/>
              </w:rPr>
            </w:pPr>
            <w:r w:rsidRPr="007938ED">
              <w:rPr>
                <w:rFonts w:asciiTheme="majorHAnsi" w:hAnsiTheme="majorHAnsi"/>
                <w:sz w:val="18"/>
                <w:szCs w:val="12"/>
              </w:rPr>
              <w:t>Lifecycle ex-ante Therm gross</w:t>
            </w:r>
          </w:p>
        </w:tc>
        <w:tc>
          <w:tcPr>
            <w:tcW w:w="0" w:type="auto"/>
            <w:hideMark/>
          </w:tcPr>
          <w:p w:rsidRPr="007938ED" w:rsidR="00D31E46" w:rsidRDefault="00D31E46" w14:paraId="712EB09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73A5E3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53D1C1B"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146BED2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B75FDF6" w14:textId="77777777">
            <w:pPr>
              <w:rPr>
                <w:rFonts w:asciiTheme="majorHAnsi" w:hAnsiTheme="majorHAnsi"/>
                <w:sz w:val="18"/>
                <w:szCs w:val="12"/>
              </w:rPr>
            </w:pPr>
            <w:r w:rsidRPr="007938ED">
              <w:rPr>
                <w:rFonts w:asciiTheme="majorHAnsi" w:hAnsiTheme="majorHAnsi"/>
                <w:sz w:val="18"/>
                <w:szCs w:val="12"/>
              </w:rPr>
              <w:t>Lifecycle ex-ante Therm gross</w:t>
            </w:r>
          </w:p>
        </w:tc>
      </w:tr>
      <w:tr w:rsidRPr="007938ED" w:rsidR="00CE6F7B" w:rsidTr="007938ED" w14:paraId="773AE0D5" w14:textId="77777777">
        <w:trPr>
          <w:trHeight w:val="1200"/>
        </w:trPr>
        <w:tc>
          <w:tcPr>
            <w:tcW w:w="0" w:type="auto"/>
            <w:noWrap/>
            <w:hideMark/>
          </w:tcPr>
          <w:p w:rsidRPr="007938ED" w:rsidR="00D31E46" w:rsidP="00D31E46" w:rsidRDefault="00D31E46" w14:paraId="37B8B119" w14:textId="77777777">
            <w:pPr>
              <w:rPr>
                <w:rFonts w:asciiTheme="majorHAnsi" w:hAnsiTheme="majorHAnsi"/>
                <w:sz w:val="18"/>
                <w:szCs w:val="12"/>
              </w:rPr>
            </w:pPr>
            <w:r w:rsidRPr="007938ED">
              <w:rPr>
                <w:rFonts w:asciiTheme="majorHAnsi" w:hAnsiTheme="majorHAnsi"/>
                <w:sz w:val="18"/>
                <w:szCs w:val="12"/>
              </w:rPr>
              <w:t>12</w:t>
            </w:r>
          </w:p>
        </w:tc>
        <w:tc>
          <w:tcPr>
            <w:tcW w:w="0" w:type="auto"/>
            <w:hideMark/>
          </w:tcPr>
          <w:p w:rsidRPr="007938ED" w:rsidR="00D31E46" w:rsidRDefault="00D31E46" w14:paraId="436ECC85"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0CA8EC40" w14:textId="77777777">
            <w:pPr>
              <w:rPr>
                <w:rFonts w:asciiTheme="majorHAnsi" w:hAnsiTheme="majorHAnsi"/>
                <w:sz w:val="18"/>
                <w:szCs w:val="12"/>
              </w:rPr>
            </w:pPr>
            <w:r w:rsidRPr="007938ED">
              <w:rPr>
                <w:rFonts w:asciiTheme="majorHAnsi" w:hAnsiTheme="majorHAnsi"/>
                <w:sz w:val="18"/>
                <w:szCs w:val="12"/>
              </w:rPr>
              <w:t>Lifecycle ex-ante Therm net</w:t>
            </w:r>
          </w:p>
        </w:tc>
        <w:tc>
          <w:tcPr>
            <w:tcW w:w="0" w:type="auto"/>
            <w:hideMark/>
          </w:tcPr>
          <w:p w:rsidRPr="007938ED" w:rsidR="00D31E46" w:rsidRDefault="00D31E46" w14:paraId="477C163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E6DE47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8E2C647"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0EDD873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398C7EE" w14:textId="77777777">
            <w:pPr>
              <w:rPr>
                <w:rFonts w:asciiTheme="majorHAnsi" w:hAnsiTheme="majorHAnsi"/>
                <w:sz w:val="18"/>
                <w:szCs w:val="12"/>
              </w:rPr>
            </w:pPr>
            <w:r w:rsidRPr="007938ED">
              <w:rPr>
                <w:rFonts w:asciiTheme="majorHAnsi" w:hAnsiTheme="majorHAnsi"/>
                <w:sz w:val="18"/>
                <w:szCs w:val="12"/>
              </w:rPr>
              <w:t>Lifecycle ex-ante Therm net</w:t>
            </w:r>
          </w:p>
        </w:tc>
      </w:tr>
      <w:tr w:rsidRPr="007938ED" w:rsidR="00CE6F7B" w:rsidTr="007938ED" w14:paraId="1EE32C86" w14:textId="77777777">
        <w:trPr>
          <w:trHeight w:val="1200"/>
        </w:trPr>
        <w:tc>
          <w:tcPr>
            <w:tcW w:w="0" w:type="auto"/>
            <w:noWrap/>
            <w:hideMark/>
          </w:tcPr>
          <w:p w:rsidRPr="007938ED" w:rsidR="00D31E46" w:rsidP="00D31E46" w:rsidRDefault="00D31E46" w14:paraId="28D03062" w14:textId="77777777">
            <w:pPr>
              <w:rPr>
                <w:rFonts w:asciiTheme="majorHAnsi" w:hAnsiTheme="majorHAnsi"/>
                <w:sz w:val="18"/>
                <w:szCs w:val="12"/>
              </w:rPr>
            </w:pPr>
            <w:r w:rsidRPr="007938ED">
              <w:rPr>
                <w:rFonts w:asciiTheme="majorHAnsi" w:hAnsiTheme="majorHAnsi"/>
                <w:sz w:val="18"/>
                <w:szCs w:val="12"/>
              </w:rPr>
              <w:t>13</w:t>
            </w:r>
          </w:p>
        </w:tc>
        <w:tc>
          <w:tcPr>
            <w:tcW w:w="0" w:type="auto"/>
            <w:hideMark/>
          </w:tcPr>
          <w:p w:rsidRPr="007938ED" w:rsidR="00D31E46" w:rsidRDefault="00D31E46" w14:paraId="55DCF3BF"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187FBF8E" w14:textId="77777777">
            <w:pPr>
              <w:rPr>
                <w:rFonts w:asciiTheme="majorHAnsi" w:hAnsiTheme="majorHAnsi"/>
                <w:sz w:val="18"/>
                <w:szCs w:val="12"/>
              </w:rPr>
            </w:pPr>
            <w:r w:rsidRPr="007938ED">
              <w:rPr>
                <w:rFonts w:asciiTheme="majorHAnsi" w:hAnsiTheme="majorHAnsi"/>
                <w:sz w:val="18"/>
                <w:szCs w:val="12"/>
              </w:rPr>
              <w:t>First year annual kW gross in Disadvantaged Communities</w:t>
            </w:r>
          </w:p>
        </w:tc>
        <w:tc>
          <w:tcPr>
            <w:tcW w:w="0" w:type="auto"/>
            <w:hideMark/>
          </w:tcPr>
          <w:p w:rsidRPr="007938ED" w:rsidR="00D31E46" w:rsidRDefault="00D31E46" w14:paraId="77E463E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FD9936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8F87AE9"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F9001B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29F288B" w14:textId="77777777">
            <w:pPr>
              <w:rPr>
                <w:rFonts w:asciiTheme="majorHAnsi" w:hAnsiTheme="majorHAnsi"/>
                <w:sz w:val="18"/>
                <w:szCs w:val="12"/>
              </w:rPr>
            </w:pPr>
            <w:r w:rsidRPr="007938ED">
              <w:rPr>
                <w:rFonts w:asciiTheme="majorHAnsi" w:hAnsiTheme="majorHAnsi"/>
                <w:sz w:val="18"/>
                <w:szCs w:val="12"/>
              </w:rPr>
              <w:t>First year annual kW gross</w:t>
            </w:r>
          </w:p>
        </w:tc>
      </w:tr>
      <w:tr w:rsidRPr="007938ED" w:rsidR="00CE6F7B" w:rsidTr="007938ED" w14:paraId="0E0B4A65" w14:textId="77777777">
        <w:trPr>
          <w:trHeight w:val="1200"/>
        </w:trPr>
        <w:tc>
          <w:tcPr>
            <w:tcW w:w="0" w:type="auto"/>
            <w:noWrap/>
            <w:hideMark/>
          </w:tcPr>
          <w:p w:rsidRPr="007938ED" w:rsidR="00D31E46" w:rsidP="00D31E46" w:rsidRDefault="00D31E46" w14:paraId="0C2FC3DC" w14:textId="77777777">
            <w:pPr>
              <w:rPr>
                <w:rFonts w:asciiTheme="majorHAnsi" w:hAnsiTheme="majorHAnsi"/>
                <w:sz w:val="18"/>
                <w:szCs w:val="12"/>
              </w:rPr>
            </w:pPr>
            <w:r w:rsidRPr="007938ED">
              <w:rPr>
                <w:rFonts w:asciiTheme="majorHAnsi" w:hAnsiTheme="majorHAnsi"/>
                <w:sz w:val="18"/>
                <w:szCs w:val="12"/>
              </w:rPr>
              <w:t>14</w:t>
            </w:r>
          </w:p>
        </w:tc>
        <w:tc>
          <w:tcPr>
            <w:tcW w:w="0" w:type="auto"/>
            <w:hideMark/>
          </w:tcPr>
          <w:p w:rsidRPr="007938ED" w:rsidR="00D31E46" w:rsidRDefault="00D31E46" w14:paraId="1F7984B9"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13E570B8" w14:textId="77777777">
            <w:pPr>
              <w:rPr>
                <w:rFonts w:asciiTheme="majorHAnsi" w:hAnsiTheme="majorHAnsi"/>
                <w:sz w:val="18"/>
                <w:szCs w:val="12"/>
              </w:rPr>
            </w:pPr>
            <w:r w:rsidRPr="007938ED">
              <w:rPr>
                <w:rFonts w:asciiTheme="majorHAnsi" w:hAnsiTheme="majorHAnsi"/>
                <w:sz w:val="18"/>
                <w:szCs w:val="12"/>
              </w:rPr>
              <w:t>First year annual kW net in Disadvantaged Communities</w:t>
            </w:r>
          </w:p>
        </w:tc>
        <w:tc>
          <w:tcPr>
            <w:tcW w:w="0" w:type="auto"/>
            <w:hideMark/>
          </w:tcPr>
          <w:p w:rsidRPr="007938ED" w:rsidR="00D31E46" w:rsidRDefault="00D31E46" w14:paraId="64220F9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9BC2DE2"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338E26A"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852AF8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724E8FE" w14:textId="77777777">
            <w:pPr>
              <w:rPr>
                <w:rFonts w:asciiTheme="majorHAnsi" w:hAnsiTheme="majorHAnsi"/>
                <w:sz w:val="18"/>
                <w:szCs w:val="12"/>
              </w:rPr>
            </w:pPr>
            <w:r w:rsidRPr="007938ED">
              <w:rPr>
                <w:rFonts w:asciiTheme="majorHAnsi" w:hAnsiTheme="majorHAnsi"/>
                <w:sz w:val="18"/>
                <w:szCs w:val="12"/>
              </w:rPr>
              <w:t>First year annual kW net</w:t>
            </w:r>
          </w:p>
        </w:tc>
      </w:tr>
      <w:tr w:rsidRPr="007938ED" w:rsidR="00CE6F7B" w:rsidTr="007938ED" w14:paraId="4384CEDE" w14:textId="77777777">
        <w:trPr>
          <w:trHeight w:val="1200"/>
        </w:trPr>
        <w:tc>
          <w:tcPr>
            <w:tcW w:w="0" w:type="auto"/>
            <w:noWrap/>
            <w:hideMark/>
          </w:tcPr>
          <w:p w:rsidRPr="007938ED" w:rsidR="00D31E46" w:rsidP="00D31E46" w:rsidRDefault="00D31E46" w14:paraId="6231AA4E" w14:textId="77777777">
            <w:pPr>
              <w:rPr>
                <w:rFonts w:asciiTheme="majorHAnsi" w:hAnsiTheme="majorHAnsi"/>
                <w:sz w:val="18"/>
                <w:szCs w:val="12"/>
              </w:rPr>
            </w:pPr>
            <w:r w:rsidRPr="007938ED">
              <w:rPr>
                <w:rFonts w:asciiTheme="majorHAnsi" w:hAnsiTheme="majorHAnsi"/>
                <w:sz w:val="18"/>
                <w:szCs w:val="12"/>
              </w:rPr>
              <w:t>15</w:t>
            </w:r>
          </w:p>
        </w:tc>
        <w:tc>
          <w:tcPr>
            <w:tcW w:w="0" w:type="auto"/>
            <w:hideMark/>
          </w:tcPr>
          <w:p w:rsidRPr="007938ED" w:rsidR="00D31E46" w:rsidRDefault="00D31E46" w14:paraId="265F5338"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32085FDD" w14:textId="77777777">
            <w:pPr>
              <w:rPr>
                <w:rFonts w:asciiTheme="majorHAnsi" w:hAnsiTheme="majorHAnsi"/>
                <w:sz w:val="18"/>
                <w:szCs w:val="12"/>
              </w:rPr>
            </w:pPr>
            <w:r w:rsidRPr="007938ED">
              <w:rPr>
                <w:rFonts w:asciiTheme="majorHAnsi" w:hAnsiTheme="majorHAnsi"/>
                <w:sz w:val="18"/>
                <w:szCs w:val="12"/>
              </w:rPr>
              <w:t>First year annual kWh gross in Disadvantaged Communities</w:t>
            </w:r>
          </w:p>
        </w:tc>
        <w:tc>
          <w:tcPr>
            <w:tcW w:w="0" w:type="auto"/>
            <w:hideMark/>
          </w:tcPr>
          <w:p w:rsidRPr="007938ED" w:rsidR="00D31E46" w:rsidRDefault="00D31E46" w14:paraId="065276E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4A9538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EF6AF20"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8A917D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A059728" w14:textId="77777777">
            <w:pPr>
              <w:rPr>
                <w:rFonts w:asciiTheme="majorHAnsi" w:hAnsiTheme="majorHAnsi"/>
                <w:sz w:val="18"/>
                <w:szCs w:val="12"/>
              </w:rPr>
            </w:pPr>
            <w:r w:rsidRPr="007938ED">
              <w:rPr>
                <w:rFonts w:asciiTheme="majorHAnsi" w:hAnsiTheme="majorHAnsi"/>
                <w:sz w:val="18"/>
                <w:szCs w:val="12"/>
              </w:rPr>
              <w:t>First year annual kWh gross</w:t>
            </w:r>
          </w:p>
        </w:tc>
      </w:tr>
      <w:tr w:rsidRPr="007938ED" w:rsidR="00CE6F7B" w:rsidTr="007938ED" w14:paraId="6C962001" w14:textId="77777777">
        <w:trPr>
          <w:trHeight w:val="1200"/>
        </w:trPr>
        <w:tc>
          <w:tcPr>
            <w:tcW w:w="0" w:type="auto"/>
            <w:noWrap/>
            <w:hideMark/>
          </w:tcPr>
          <w:p w:rsidRPr="007938ED" w:rsidR="00D31E46" w:rsidP="00D31E46" w:rsidRDefault="00D31E46" w14:paraId="590105DF" w14:textId="77777777">
            <w:pPr>
              <w:rPr>
                <w:rFonts w:asciiTheme="majorHAnsi" w:hAnsiTheme="majorHAnsi"/>
                <w:sz w:val="18"/>
                <w:szCs w:val="12"/>
              </w:rPr>
            </w:pPr>
            <w:r w:rsidRPr="007938ED">
              <w:rPr>
                <w:rFonts w:asciiTheme="majorHAnsi" w:hAnsiTheme="majorHAnsi"/>
                <w:sz w:val="18"/>
                <w:szCs w:val="12"/>
              </w:rPr>
              <w:t>16</w:t>
            </w:r>
          </w:p>
        </w:tc>
        <w:tc>
          <w:tcPr>
            <w:tcW w:w="0" w:type="auto"/>
            <w:hideMark/>
          </w:tcPr>
          <w:p w:rsidRPr="007938ED" w:rsidR="00D31E46" w:rsidRDefault="00D31E46" w14:paraId="174B1315"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3627C2A7" w14:textId="77777777">
            <w:pPr>
              <w:rPr>
                <w:rFonts w:asciiTheme="majorHAnsi" w:hAnsiTheme="majorHAnsi"/>
                <w:sz w:val="18"/>
                <w:szCs w:val="12"/>
              </w:rPr>
            </w:pPr>
            <w:r w:rsidRPr="007938ED">
              <w:rPr>
                <w:rFonts w:asciiTheme="majorHAnsi" w:hAnsiTheme="majorHAnsi"/>
                <w:sz w:val="18"/>
                <w:szCs w:val="12"/>
              </w:rPr>
              <w:t>First year annual kWh net in Disadvantaged Communities</w:t>
            </w:r>
          </w:p>
        </w:tc>
        <w:tc>
          <w:tcPr>
            <w:tcW w:w="0" w:type="auto"/>
            <w:hideMark/>
          </w:tcPr>
          <w:p w:rsidRPr="007938ED" w:rsidR="00D31E46" w:rsidRDefault="00D31E46" w14:paraId="2E63591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45D615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D6CBB05"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F4F9C4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C2B84E5" w14:textId="77777777">
            <w:pPr>
              <w:rPr>
                <w:rFonts w:asciiTheme="majorHAnsi" w:hAnsiTheme="majorHAnsi"/>
                <w:sz w:val="18"/>
                <w:szCs w:val="12"/>
              </w:rPr>
            </w:pPr>
            <w:r w:rsidRPr="007938ED">
              <w:rPr>
                <w:rFonts w:asciiTheme="majorHAnsi" w:hAnsiTheme="majorHAnsi"/>
                <w:sz w:val="18"/>
                <w:szCs w:val="12"/>
              </w:rPr>
              <w:t>First year annual kWh net</w:t>
            </w:r>
          </w:p>
        </w:tc>
      </w:tr>
      <w:tr w:rsidRPr="007938ED" w:rsidR="00CE6F7B" w:rsidTr="007938ED" w14:paraId="44AFB4BA" w14:textId="77777777">
        <w:trPr>
          <w:trHeight w:val="1200"/>
        </w:trPr>
        <w:tc>
          <w:tcPr>
            <w:tcW w:w="0" w:type="auto"/>
            <w:noWrap/>
            <w:hideMark/>
          </w:tcPr>
          <w:p w:rsidRPr="007938ED" w:rsidR="00D31E46" w:rsidP="00D31E46" w:rsidRDefault="00D31E46" w14:paraId="5656A5E5" w14:textId="77777777">
            <w:pPr>
              <w:rPr>
                <w:rFonts w:asciiTheme="majorHAnsi" w:hAnsiTheme="majorHAnsi"/>
                <w:sz w:val="18"/>
                <w:szCs w:val="12"/>
              </w:rPr>
            </w:pPr>
            <w:r w:rsidRPr="007938ED">
              <w:rPr>
                <w:rFonts w:asciiTheme="majorHAnsi" w:hAnsiTheme="majorHAnsi"/>
                <w:sz w:val="18"/>
                <w:szCs w:val="12"/>
              </w:rPr>
              <w:lastRenderedPageBreak/>
              <w:t>17</w:t>
            </w:r>
          </w:p>
        </w:tc>
        <w:tc>
          <w:tcPr>
            <w:tcW w:w="0" w:type="auto"/>
            <w:hideMark/>
          </w:tcPr>
          <w:p w:rsidRPr="007938ED" w:rsidR="00D31E46" w:rsidRDefault="00D31E46" w14:paraId="552732CF"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5BD50943" w14:textId="77777777">
            <w:pPr>
              <w:rPr>
                <w:rFonts w:asciiTheme="majorHAnsi" w:hAnsiTheme="majorHAnsi"/>
                <w:sz w:val="18"/>
                <w:szCs w:val="12"/>
              </w:rPr>
            </w:pPr>
            <w:r w:rsidRPr="007938ED">
              <w:rPr>
                <w:rFonts w:asciiTheme="majorHAnsi" w:hAnsiTheme="majorHAnsi"/>
                <w:sz w:val="18"/>
                <w:szCs w:val="12"/>
              </w:rPr>
              <w:t>First year annual Therm gross in Disadvantaged Communities</w:t>
            </w:r>
          </w:p>
        </w:tc>
        <w:tc>
          <w:tcPr>
            <w:tcW w:w="0" w:type="auto"/>
            <w:hideMark/>
          </w:tcPr>
          <w:p w:rsidRPr="007938ED" w:rsidR="00D31E46" w:rsidRDefault="00D31E46" w14:paraId="16D135E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30E456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5892968"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7A063C0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C3A53DA" w14:textId="77777777">
            <w:pPr>
              <w:rPr>
                <w:rFonts w:asciiTheme="majorHAnsi" w:hAnsiTheme="majorHAnsi"/>
                <w:sz w:val="18"/>
                <w:szCs w:val="12"/>
              </w:rPr>
            </w:pPr>
            <w:r w:rsidRPr="007938ED">
              <w:rPr>
                <w:rFonts w:asciiTheme="majorHAnsi" w:hAnsiTheme="majorHAnsi"/>
                <w:sz w:val="18"/>
                <w:szCs w:val="12"/>
              </w:rPr>
              <w:t>First year annual Therm gross</w:t>
            </w:r>
          </w:p>
        </w:tc>
      </w:tr>
      <w:tr w:rsidRPr="007938ED" w:rsidR="00CE6F7B" w:rsidTr="007938ED" w14:paraId="200F9DFB" w14:textId="77777777">
        <w:trPr>
          <w:trHeight w:val="1200"/>
        </w:trPr>
        <w:tc>
          <w:tcPr>
            <w:tcW w:w="0" w:type="auto"/>
            <w:noWrap/>
            <w:hideMark/>
          </w:tcPr>
          <w:p w:rsidRPr="007938ED" w:rsidR="00D31E46" w:rsidP="00D31E46" w:rsidRDefault="00D31E46" w14:paraId="23B517F1" w14:textId="77777777">
            <w:pPr>
              <w:rPr>
                <w:rFonts w:asciiTheme="majorHAnsi" w:hAnsiTheme="majorHAnsi"/>
                <w:sz w:val="18"/>
                <w:szCs w:val="12"/>
              </w:rPr>
            </w:pPr>
            <w:r w:rsidRPr="007938ED">
              <w:rPr>
                <w:rFonts w:asciiTheme="majorHAnsi" w:hAnsiTheme="majorHAnsi"/>
                <w:sz w:val="18"/>
                <w:szCs w:val="12"/>
              </w:rPr>
              <w:t>18</w:t>
            </w:r>
          </w:p>
        </w:tc>
        <w:tc>
          <w:tcPr>
            <w:tcW w:w="0" w:type="auto"/>
            <w:hideMark/>
          </w:tcPr>
          <w:p w:rsidRPr="007938ED" w:rsidR="00D31E46" w:rsidRDefault="00D31E46" w14:paraId="75644041"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2201F74D" w14:textId="77777777">
            <w:pPr>
              <w:rPr>
                <w:rFonts w:asciiTheme="majorHAnsi" w:hAnsiTheme="majorHAnsi"/>
                <w:sz w:val="18"/>
                <w:szCs w:val="12"/>
              </w:rPr>
            </w:pPr>
            <w:r w:rsidRPr="007938ED">
              <w:rPr>
                <w:rFonts w:asciiTheme="majorHAnsi" w:hAnsiTheme="majorHAnsi"/>
                <w:sz w:val="18"/>
                <w:szCs w:val="12"/>
              </w:rPr>
              <w:t>First year annual Therm net in Disadvantaged Communities</w:t>
            </w:r>
          </w:p>
        </w:tc>
        <w:tc>
          <w:tcPr>
            <w:tcW w:w="0" w:type="auto"/>
            <w:hideMark/>
          </w:tcPr>
          <w:p w:rsidRPr="007938ED" w:rsidR="00D31E46" w:rsidRDefault="00D31E46" w14:paraId="4078F7D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BC9267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ED6370A"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B0A6C4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9E98E94" w14:textId="77777777">
            <w:pPr>
              <w:rPr>
                <w:rFonts w:asciiTheme="majorHAnsi" w:hAnsiTheme="majorHAnsi"/>
                <w:sz w:val="18"/>
                <w:szCs w:val="12"/>
              </w:rPr>
            </w:pPr>
            <w:r w:rsidRPr="007938ED">
              <w:rPr>
                <w:rFonts w:asciiTheme="majorHAnsi" w:hAnsiTheme="majorHAnsi"/>
                <w:sz w:val="18"/>
                <w:szCs w:val="12"/>
              </w:rPr>
              <w:t>First year annual Therm net</w:t>
            </w:r>
          </w:p>
        </w:tc>
      </w:tr>
      <w:tr w:rsidRPr="007938ED" w:rsidR="00CE6F7B" w:rsidTr="007938ED" w14:paraId="4B864FBC" w14:textId="77777777">
        <w:trPr>
          <w:trHeight w:val="1200"/>
        </w:trPr>
        <w:tc>
          <w:tcPr>
            <w:tcW w:w="0" w:type="auto"/>
            <w:noWrap/>
            <w:hideMark/>
          </w:tcPr>
          <w:p w:rsidRPr="007938ED" w:rsidR="00D31E46" w:rsidP="00D31E46" w:rsidRDefault="00D31E46" w14:paraId="122C7456" w14:textId="77777777">
            <w:pPr>
              <w:rPr>
                <w:rFonts w:asciiTheme="majorHAnsi" w:hAnsiTheme="majorHAnsi"/>
                <w:sz w:val="18"/>
                <w:szCs w:val="12"/>
              </w:rPr>
            </w:pPr>
            <w:r w:rsidRPr="007938ED">
              <w:rPr>
                <w:rFonts w:asciiTheme="majorHAnsi" w:hAnsiTheme="majorHAnsi"/>
                <w:sz w:val="18"/>
                <w:szCs w:val="12"/>
              </w:rPr>
              <w:t>19</w:t>
            </w:r>
          </w:p>
        </w:tc>
        <w:tc>
          <w:tcPr>
            <w:tcW w:w="0" w:type="auto"/>
            <w:hideMark/>
          </w:tcPr>
          <w:p w:rsidRPr="007938ED" w:rsidR="00D31E46" w:rsidRDefault="00D31E46" w14:paraId="4E77CC0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64DAF8A4" w14:textId="77777777">
            <w:pPr>
              <w:rPr>
                <w:rFonts w:asciiTheme="majorHAnsi" w:hAnsiTheme="majorHAnsi"/>
                <w:sz w:val="18"/>
                <w:szCs w:val="12"/>
              </w:rPr>
            </w:pPr>
            <w:r w:rsidRPr="007938ED">
              <w:rPr>
                <w:rFonts w:asciiTheme="majorHAnsi" w:hAnsiTheme="majorHAnsi"/>
                <w:sz w:val="18"/>
                <w:szCs w:val="12"/>
              </w:rPr>
              <w:t>Lifecycle ex-ante kW gross in Disadvantaged Communities</w:t>
            </w:r>
          </w:p>
        </w:tc>
        <w:tc>
          <w:tcPr>
            <w:tcW w:w="0" w:type="auto"/>
            <w:hideMark/>
          </w:tcPr>
          <w:p w:rsidRPr="007938ED" w:rsidR="00D31E46" w:rsidRDefault="00D31E46" w14:paraId="3F818C1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7E8000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A561D27"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4A950B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E8B27E5" w14:textId="77777777">
            <w:pPr>
              <w:rPr>
                <w:rFonts w:asciiTheme="majorHAnsi" w:hAnsiTheme="majorHAnsi"/>
                <w:sz w:val="18"/>
                <w:szCs w:val="12"/>
              </w:rPr>
            </w:pPr>
            <w:r w:rsidRPr="007938ED">
              <w:rPr>
                <w:rFonts w:asciiTheme="majorHAnsi" w:hAnsiTheme="majorHAnsi"/>
                <w:sz w:val="18"/>
                <w:szCs w:val="12"/>
              </w:rPr>
              <w:t>Lifecycle ex-ante kW gross</w:t>
            </w:r>
          </w:p>
        </w:tc>
      </w:tr>
      <w:tr w:rsidRPr="007938ED" w:rsidR="00CE6F7B" w:rsidTr="007938ED" w14:paraId="581FD914" w14:textId="77777777">
        <w:trPr>
          <w:trHeight w:val="1200"/>
        </w:trPr>
        <w:tc>
          <w:tcPr>
            <w:tcW w:w="0" w:type="auto"/>
            <w:noWrap/>
            <w:hideMark/>
          </w:tcPr>
          <w:p w:rsidRPr="007938ED" w:rsidR="00D31E46" w:rsidP="00D31E46" w:rsidRDefault="00D31E46" w14:paraId="7AADCD70" w14:textId="77777777">
            <w:pPr>
              <w:rPr>
                <w:rFonts w:asciiTheme="majorHAnsi" w:hAnsiTheme="majorHAnsi"/>
                <w:sz w:val="18"/>
                <w:szCs w:val="12"/>
              </w:rPr>
            </w:pPr>
            <w:r w:rsidRPr="007938ED">
              <w:rPr>
                <w:rFonts w:asciiTheme="majorHAnsi" w:hAnsiTheme="majorHAnsi"/>
                <w:sz w:val="18"/>
                <w:szCs w:val="12"/>
              </w:rPr>
              <w:t>20</w:t>
            </w:r>
          </w:p>
        </w:tc>
        <w:tc>
          <w:tcPr>
            <w:tcW w:w="0" w:type="auto"/>
            <w:hideMark/>
          </w:tcPr>
          <w:p w:rsidRPr="007938ED" w:rsidR="00D31E46" w:rsidRDefault="00D31E46" w14:paraId="78AF4256"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7690D8CC" w14:textId="77777777">
            <w:pPr>
              <w:rPr>
                <w:rFonts w:asciiTheme="majorHAnsi" w:hAnsiTheme="majorHAnsi"/>
                <w:sz w:val="18"/>
                <w:szCs w:val="12"/>
              </w:rPr>
            </w:pPr>
            <w:r w:rsidRPr="007938ED">
              <w:rPr>
                <w:rFonts w:asciiTheme="majorHAnsi" w:hAnsiTheme="majorHAnsi"/>
                <w:sz w:val="18"/>
                <w:szCs w:val="12"/>
              </w:rPr>
              <w:t>Lifecycle ex-ante kW net in Disadvantaged Communities</w:t>
            </w:r>
          </w:p>
        </w:tc>
        <w:tc>
          <w:tcPr>
            <w:tcW w:w="0" w:type="auto"/>
            <w:hideMark/>
          </w:tcPr>
          <w:p w:rsidRPr="007938ED" w:rsidR="00D31E46" w:rsidRDefault="00D31E46" w14:paraId="2DD9F82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E12D01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2C67C04"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39087F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ABDA2EA" w14:textId="77777777">
            <w:pPr>
              <w:rPr>
                <w:rFonts w:asciiTheme="majorHAnsi" w:hAnsiTheme="majorHAnsi"/>
                <w:sz w:val="18"/>
                <w:szCs w:val="12"/>
              </w:rPr>
            </w:pPr>
            <w:r w:rsidRPr="007938ED">
              <w:rPr>
                <w:rFonts w:asciiTheme="majorHAnsi" w:hAnsiTheme="majorHAnsi"/>
                <w:sz w:val="18"/>
                <w:szCs w:val="12"/>
              </w:rPr>
              <w:t>Lifecycle ex-ante kW net</w:t>
            </w:r>
          </w:p>
        </w:tc>
      </w:tr>
      <w:tr w:rsidRPr="007938ED" w:rsidR="00CE6F7B" w:rsidTr="007938ED" w14:paraId="65C3D8CA" w14:textId="77777777">
        <w:trPr>
          <w:trHeight w:val="1200"/>
        </w:trPr>
        <w:tc>
          <w:tcPr>
            <w:tcW w:w="0" w:type="auto"/>
            <w:noWrap/>
            <w:hideMark/>
          </w:tcPr>
          <w:p w:rsidRPr="007938ED" w:rsidR="00D31E46" w:rsidP="00D31E46" w:rsidRDefault="00D31E46" w14:paraId="58D7A7A9" w14:textId="77777777">
            <w:pPr>
              <w:rPr>
                <w:rFonts w:asciiTheme="majorHAnsi" w:hAnsiTheme="majorHAnsi"/>
                <w:sz w:val="18"/>
                <w:szCs w:val="12"/>
              </w:rPr>
            </w:pPr>
            <w:r w:rsidRPr="007938ED">
              <w:rPr>
                <w:rFonts w:asciiTheme="majorHAnsi" w:hAnsiTheme="majorHAnsi"/>
                <w:sz w:val="18"/>
                <w:szCs w:val="12"/>
              </w:rPr>
              <w:t>21</w:t>
            </w:r>
          </w:p>
        </w:tc>
        <w:tc>
          <w:tcPr>
            <w:tcW w:w="0" w:type="auto"/>
            <w:hideMark/>
          </w:tcPr>
          <w:p w:rsidRPr="007938ED" w:rsidR="00D31E46" w:rsidRDefault="00D31E46" w14:paraId="6447DE9A"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34339C7A" w14:textId="77777777">
            <w:pPr>
              <w:rPr>
                <w:rFonts w:asciiTheme="majorHAnsi" w:hAnsiTheme="majorHAnsi"/>
                <w:sz w:val="18"/>
                <w:szCs w:val="12"/>
              </w:rPr>
            </w:pPr>
            <w:r w:rsidRPr="007938ED">
              <w:rPr>
                <w:rFonts w:asciiTheme="majorHAnsi" w:hAnsiTheme="majorHAnsi"/>
                <w:sz w:val="18"/>
                <w:szCs w:val="12"/>
              </w:rPr>
              <w:t>Lifecycle ex-ante kWh gross in Disadvantaged Communities</w:t>
            </w:r>
          </w:p>
        </w:tc>
        <w:tc>
          <w:tcPr>
            <w:tcW w:w="0" w:type="auto"/>
            <w:hideMark/>
          </w:tcPr>
          <w:p w:rsidRPr="007938ED" w:rsidR="00D31E46" w:rsidRDefault="00D31E46" w14:paraId="3B06C8B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E4DF603"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FE37E0C"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5676B9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B97B33C" w14:textId="77777777">
            <w:pPr>
              <w:rPr>
                <w:rFonts w:asciiTheme="majorHAnsi" w:hAnsiTheme="majorHAnsi"/>
                <w:sz w:val="18"/>
                <w:szCs w:val="12"/>
              </w:rPr>
            </w:pPr>
            <w:r w:rsidRPr="007938ED">
              <w:rPr>
                <w:rFonts w:asciiTheme="majorHAnsi" w:hAnsiTheme="majorHAnsi"/>
                <w:sz w:val="18"/>
                <w:szCs w:val="12"/>
              </w:rPr>
              <w:t>Lifecycle ex-ante kWh gross</w:t>
            </w:r>
          </w:p>
        </w:tc>
      </w:tr>
      <w:tr w:rsidRPr="007938ED" w:rsidR="00CE6F7B" w:rsidTr="007938ED" w14:paraId="1E28ACC2" w14:textId="77777777">
        <w:trPr>
          <w:trHeight w:val="1200"/>
        </w:trPr>
        <w:tc>
          <w:tcPr>
            <w:tcW w:w="0" w:type="auto"/>
            <w:noWrap/>
            <w:hideMark/>
          </w:tcPr>
          <w:p w:rsidRPr="007938ED" w:rsidR="00D31E46" w:rsidP="00D31E46" w:rsidRDefault="00D31E46" w14:paraId="2560AEFA" w14:textId="77777777">
            <w:pPr>
              <w:rPr>
                <w:rFonts w:asciiTheme="majorHAnsi" w:hAnsiTheme="majorHAnsi"/>
                <w:sz w:val="18"/>
                <w:szCs w:val="12"/>
              </w:rPr>
            </w:pPr>
            <w:r w:rsidRPr="007938ED">
              <w:rPr>
                <w:rFonts w:asciiTheme="majorHAnsi" w:hAnsiTheme="majorHAnsi"/>
                <w:sz w:val="18"/>
                <w:szCs w:val="12"/>
              </w:rPr>
              <w:t>22</w:t>
            </w:r>
          </w:p>
        </w:tc>
        <w:tc>
          <w:tcPr>
            <w:tcW w:w="0" w:type="auto"/>
            <w:hideMark/>
          </w:tcPr>
          <w:p w:rsidRPr="007938ED" w:rsidR="00D31E46" w:rsidRDefault="00D31E46" w14:paraId="09256E63"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7C087CF7" w14:textId="77777777">
            <w:pPr>
              <w:rPr>
                <w:rFonts w:asciiTheme="majorHAnsi" w:hAnsiTheme="majorHAnsi"/>
                <w:sz w:val="18"/>
                <w:szCs w:val="12"/>
              </w:rPr>
            </w:pPr>
            <w:r w:rsidRPr="007938ED">
              <w:rPr>
                <w:rFonts w:asciiTheme="majorHAnsi" w:hAnsiTheme="majorHAnsi"/>
                <w:sz w:val="18"/>
                <w:szCs w:val="12"/>
              </w:rPr>
              <w:t>Lifecycle ex-ante kWh net in Disadvantaged Communities</w:t>
            </w:r>
          </w:p>
        </w:tc>
        <w:tc>
          <w:tcPr>
            <w:tcW w:w="0" w:type="auto"/>
            <w:hideMark/>
          </w:tcPr>
          <w:p w:rsidRPr="007938ED" w:rsidR="00D31E46" w:rsidRDefault="00D31E46" w14:paraId="6CAF07F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1D2634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F378A10"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0B8578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B0306CC" w14:textId="77777777">
            <w:pPr>
              <w:rPr>
                <w:rFonts w:asciiTheme="majorHAnsi" w:hAnsiTheme="majorHAnsi"/>
                <w:sz w:val="18"/>
                <w:szCs w:val="12"/>
              </w:rPr>
            </w:pPr>
            <w:r w:rsidRPr="007938ED">
              <w:rPr>
                <w:rFonts w:asciiTheme="majorHAnsi" w:hAnsiTheme="majorHAnsi"/>
                <w:sz w:val="18"/>
                <w:szCs w:val="12"/>
              </w:rPr>
              <w:t>Lifecycle ex-ante kWh net</w:t>
            </w:r>
          </w:p>
        </w:tc>
      </w:tr>
      <w:tr w:rsidRPr="007938ED" w:rsidR="00CE6F7B" w:rsidTr="007938ED" w14:paraId="5A8C43A8" w14:textId="77777777">
        <w:trPr>
          <w:trHeight w:val="1200"/>
        </w:trPr>
        <w:tc>
          <w:tcPr>
            <w:tcW w:w="0" w:type="auto"/>
            <w:noWrap/>
            <w:hideMark/>
          </w:tcPr>
          <w:p w:rsidRPr="007938ED" w:rsidR="00D31E46" w:rsidP="00D31E46" w:rsidRDefault="00D31E46" w14:paraId="1978507E" w14:textId="77777777">
            <w:pPr>
              <w:rPr>
                <w:rFonts w:asciiTheme="majorHAnsi" w:hAnsiTheme="majorHAnsi"/>
                <w:sz w:val="18"/>
                <w:szCs w:val="12"/>
              </w:rPr>
            </w:pPr>
            <w:r w:rsidRPr="007938ED">
              <w:rPr>
                <w:rFonts w:asciiTheme="majorHAnsi" w:hAnsiTheme="majorHAnsi"/>
                <w:sz w:val="18"/>
                <w:szCs w:val="12"/>
              </w:rPr>
              <w:lastRenderedPageBreak/>
              <w:t>23</w:t>
            </w:r>
          </w:p>
        </w:tc>
        <w:tc>
          <w:tcPr>
            <w:tcW w:w="0" w:type="auto"/>
            <w:hideMark/>
          </w:tcPr>
          <w:p w:rsidRPr="007938ED" w:rsidR="00D31E46" w:rsidRDefault="00D31E46" w14:paraId="37B4A639"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2859B83E" w14:textId="77777777">
            <w:pPr>
              <w:rPr>
                <w:rFonts w:asciiTheme="majorHAnsi" w:hAnsiTheme="majorHAnsi"/>
                <w:sz w:val="18"/>
                <w:szCs w:val="12"/>
              </w:rPr>
            </w:pPr>
            <w:r w:rsidRPr="007938ED">
              <w:rPr>
                <w:rFonts w:asciiTheme="majorHAnsi" w:hAnsiTheme="majorHAnsi"/>
                <w:sz w:val="18"/>
                <w:szCs w:val="12"/>
              </w:rPr>
              <w:t>Lifecycle ex-ante Therm gross in Disadvantaged Communities</w:t>
            </w:r>
          </w:p>
        </w:tc>
        <w:tc>
          <w:tcPr>
            <w:tcW w:w="0" w:type="auto"/>
            <w:hideMark/>
          </w:tcPr>
          <w:p w:rsidRPr="007938ED" w:rsidR="00D31E46" w:rsidRDefault="00D31E46" w14:paraId="14FDECB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C6E887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776E7BE"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7A5570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D08ED80" w14:textId="77777777">
            <w:pPr>
              <w:rPr>
                <w:rFonts w:asciiTheme="majorHAnsi" w:hAnsiTheme="majorHAnsi"/>
                <w:sz w:val="18"/>
                <w:szCs w:val="12"/>
              </w:rPr>
            </w:pPr>
            <w:r w:rsidRPr="007938ED">
              <w:rPr>
                <w:rFonts w:asciiTheme="majorHAnsi" w:hAnsiTheme="majorHAnsi"/>
                <w:sz w:val="18"/>
                <w:szCs w:val="12"/>
              </w:rPr>
              <w:t>Lifecycle ex-ante Therm gross</w:t>
            </w:r>
          </w:p>
        </w:tc>
      </w:tr>
      <w:tr w:rsidRPr="007938ED" w:rsidR="00CE6F7B" w:rsidTr="007938ED" w14:paraId="342DB8D1" w14:textId="77777777">
        <w:trPr>
          <w:trHeight w:val="1200"/>
        </w:trPr>
        <w:tc>
          <w:tcPr>
            <w:tcW w:w="0" w:type="auto"/>
            <w:noWrap/>
            <w:hideMark/>
          </w:tcPr>
          <w:p w:rsidRPr="007938ED" w:rsidR="00D31E46" w:rsidP="00D31E46" w:rsidRDefault="00D31E46" w14:paraId="520C5D1F" w14:textId="77777777">
            <w:pPr>
              <w:rPr>
                <w:rFonts w:asciiTheme="majorHAnsi" w:hAnsiTheme="majorHAnsi"/>
                <w:sz w:val="18"/>
                <w:szCs w:val="12"/>
              </w:rPr>
            </w:pPr>
            <w:r w:rsidRPr="007938ED">
              <w:rPr>
                <w:rFonts w:asciiTheme="majorHAnsi" w:hAnsiTheme="majorHAnsi"/>
                <w:sz w:val="18"/>
                <w:szCs w:val="12"/>
              </w:rPr>
              <w:t>24</w:t>
            </w:r>
          </w:p>
        </w:tc>
        <w:tc>
          <w:tcPr>
            <w:tcW w:w="0" w:type="auto"/>
            <w:hideMark/>
          </w:tcPr>
          <w:p w:rsidRPr="007938ED" w:rsidR="00D31E46" w:rsidRDefault="00D31E46" w14:paraId="3F5D46FA"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disadvantaged communities</w:t>
            </w:r>
          </w:p>
        </w:tc>
        <w:tc>
          <w:tcPr>
            <w:tcW w:w="0" w:type="auto"/>
            <w:hideMark/>
          </w:tcPr>
          <w:p w:rsidRPr="007938ED" w:rsidR="00D31E46" w:rsidRDefault="00D31E46" w14:paraId="7878C10E" w14:textId="77777777">
            <w:pPr>
              <w:rPr>
                <w:rFonts w:asciiTheme="majorHAnsi" w:hAnsiTheme="majorHAnsi"/>
                <w:sz w:val="18"/>
                <w:szCs w:val="12"/>
              </w:rPr>
            </w:pPr>
            <w:r w:rsidRPr="007938ED">
              <w:rPr>
                <w:rFonts w:asciiTheme="majorHAnsi" w:hAnsiTheme="majorHAnsi"/>
                <w:sz w:val="18"/>
                <w:szCs w:val="12"/>
              </w:rPr>
              <w:t>Lifecycle ex-ante Therm net in Disadvantaged Communities</w:t>
            </w:r>
          </w:p>
        </w:tc>
        <w:tc>
          <w:tcPr>
            <w:tcW w:w="0" w:type="auto"/>
            <w:hideMark/>
          </w:tcPr>
          <w:p w:rsidRPr="007938ED" w:rsidR="00D31E46" w:rsidRDefault="00D31E46" w14:paraId="4B9326E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749413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057C323"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1E5B54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46790E0" w14:textId="77777777">
            <w:pPr>
              <w:rPr>
                <w:rFonts w:asciiTheme="majorHAnsi" w:hAnsiTheme="majorHAnsi"/>
                <w:sz w:val="18"/>
                <w:szCs w:val="12"/>
              </w:rPr>
            </w:pPr>
            <w:r w:rsidRPr="007938ED">
              <w:rPr>
                <w:rFonts w:asciiTheme="majorHAnsi" w:hAnsiTheme="majorHAnsi"/>
                <w:sz w:val="18"/>
                <w:szCs w:val="12"/>
              </w:rPr>
              <w:t>Lifecycle ex-ante Therm net</w:t>
            </w:r>
          </w:p>
        </w:tc>
      </w:tr>
      <w:tr w:rsidRPr="007938ED" w:rsidR="00CE6F7B" w:rsidTr="007938ED" w14:paraId="7C9DE19C" w14:textId="77777777">
        <w:trPr>
          <w:trHeight w:val="1200"/>
        </w:trPr>
        <w:tc>
          <w:tcPr>
            <w:tcW w:w="0" w:type="auto"/>
            <w:noWrap/>
            <w:hideMark/>
          </w:tcPr>
          <w:p w:rsidRPr="007938ED" w:rsidR="00D31E46" w:rsidP="00D31E46" w:rsidRDefault="00D31E46" w14:paraId="591802CA" w14:textId="77777777">
            <w:pPr>
              <w:rPr>
                <w:rFonts w:asciiTheme="majorHAnsi" w:hAnsiTheme="majorHAnsi"/>
                <w:sz w:val="18"/>
                <w:szCs w:val="12"/>
              </w:rPr>
            </w:pPr>
            <w:r w:rsidRPr="007938ED">
              <w:rPr>
                <w:rFonts w:asciiTheme="majorHAnsi" w:hAnsiTheme="majorHAnsi"/>
                <w:sz w:val="18"/>
                <w:szCs w:val="12"/>
              </w:rPr>
              <w:t>25</w:t>
            </w:r>
          </w:p>
        </w:tc>
        <w:tc>
          <w:tcPr>
            <w:tcW w:w="0" w:type="auto"/>
            <w:hideMark/>
          </w:tcPr>
          <w:p w:rsidRPr="007938ED" w:rsidR="00D31E46" w:rsidRDefault="00D31E46" w14:paraId="092FE98F"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0E1FD530" w14:textId="77777777">
            <w:pPr>
              <w:rPr>
                <w:rFonts w:asciiTheme="majorHAnsi" w:hAnsiTheme="majorHAnsi"/>
                <w:sz w:val="18"/>
                <w:szCs w:val="12"/>
              </w:rPr>
            </w:pPr>
            <w:r w:rsidRPr="007938ED">
              <w:rPr>
                <w:rFonts w:asciiTheme="majorHAnsi" w:hAnsiTheme="majorHAnsi"/>
                <w:sz w:val="18"/>
                <w:szCs w:val="12"/>
              </w:rPr>
              <w:t>First year annual kW gross in Hard-to-Reach Markets</w:t>
            </w:r>
          </w:p>
        </w:tc>
        <w:tc>
          <w:tcPr>
            <w:tcW w:w="0" w:type="auto"/>
            <w:hideMark/>
          </w:tcPr>
          <w:p w:rsidRPr="007938ED" w:rsidR="00D31E46" w:rsidRDefault="00D31E46" w14:paraId="76425BCA"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AC84DEA"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161FBD3"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706A43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4D5E422" w14:textId="77777777">
            <w:pPr>
              <w:rPr>
                <w:rFonts w:asciiTheme="majorHAnsi" w:hAnsiTheme="majorHAnsi"/>
                <w:sz w:val="18"/>
                <w:szCs w:val="12"/>
              </w:rPr>
            </w:pPr>
            <w:r w:rsidRPr="007938ED">
              <w:rPr>
                <w:rFonts w:asciiTheme="majorHAnsi" w:hAnsiTheme="majorHAnsi"/>
                <w:sz w:val="18"/>
                <w:szCs w:val="12"/>
              </w:rPr>
              <w:t>First year annual kW gross</w:t>
            </w:r>
          </w:p>
        </w:tc>
      </w:tr>
      <w:tr w:rsidRPr="007938ED" w:rsidR="00CE6F7B" w:rsidTr="007938ED" w14:paraId="0AEE889B" w14:textId="77777777">
        <w:trPr>
          <w:trHeight w:val="1200"/>
        </w:trPr>
        <w:tc>
          <w:tcPr>
            <w:tcW w:w="0" w:type="auto"/>
            <w:noWrap/>
            <w:hideMark/>
          </w:tcPr>
          <w:p w:rsidRPr="007938ED" w:rsidR="00D31E46" w:rsidP="00D31E46" w:rsidRDefault="00D31E46" w14:paraId="4FE52824" w14:textId="77777777">
            <w:pPr>
              <w:rPr>
                <w:rFonts w:asciiTheme="majorHAnsi" w:hAnsiTheme="majorHAnsi"/>
                <w:sz w:val="18"/>
                <w:szCs w:val="12"/>
              </w:rPr>
            </w:pPr>
            <w:r w:rsidRPr="007938ED">
              <w:rPr>
                <w:rFonts w:asciiTheme="majorHAnsi" w:hAnsiTheme="majorHAnsi"/>
                <w:sz w:val="18"/>
                <w:szCs w:val="12"/>
              </w:rPr>
              <w:t>26</w:t>
            </w:r>
          </w:p>
        </w:tc>
        <w:tc>
          <w:tcPr>
            <w:tcW w:w="0" w:type="auto"/>
            <w:hideMark/>
          </w:tcPr>
          <w:p w:rsidRPr="007938ED" w:rsidR="00D31E46" w:rsidRDefault="00D31E46" w14:paraId="2541BA55"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65960CC5" w14:textId="77777777">
            <w:pPr>
              <w:rPr>
                <w:rFonts w:asciiTheme="majorHAnsi" w:hAnsiTheme="majorHAnsi"/>
                <w:sz w:val="18"/>
                <w:szCs w:val="12"/>
              </w:rPr>
            </w:pPr>
            <w:r w:rsidRPr="007938ED">
              <w:rPr>
                <w:rFonts w:asciiTheme="majorHAnsi" w:hAnsiTheme="majorHAnsi"/>
                <w:sz w:val="18"/>
                <w:szCs w:val="12"/>
              </w:rPr>
              <w:t>First year annual kW net in Hard-to-Reach Markets</w:t>
            </w:r>
          </w:p>
        </w:tc>
        <w:tc>
          <w:tcPr>
            <w:tcW w:w="0" w:type="auto"/>
            <w:hideMark/>
          </w:tcPr>
          <w:p w:rsidRPr="007938ED" w:rsidR="00D31E46" w:rsidRDefault="00D31E46" w14:paraId="4874BCC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17A1420"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362EB91"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4F3C84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7574B40" w14:textId="77777777">
            <w:pPr>
              <w:rPr>
                <w:rFonts w:asciiTheme="majorHAnsi" w:hAnsiTheme="majorHAnsi"/>
                <w:sz w:val="18"/>
                <w:szCs w:val="12"/>
              </w:rPr>
            </w:pPr>
            <w:r w:rsidRPr="007938ED">
              <w:rPr>
                <w:rFonts w:asciiTheme="majorHAnsi" w:hAnsiTheme="majorHAnsi"/>
                <w:sz w:val="18"/>
                <w:szCs w:val="12"/>
              </w:rPr>
              <w:t>First year annual kW net</w:t>
            </w:r>
          </w:p>
        </w:tc>
      </w:tr>
      <w:tr w:rsidRPr="007938ED" w:rsidR="00CE6F7B" w:rsidTr="007938ED" w14:paraId="722BA3F2" w14:textId="77777777">
        <w:trPr>
          <w:trHeight w:val="1200"/>
        </w:trPr>
        <w:tc>
          <w:tcPr>
            <w:tcW w:w="0" w:type="auto"/>
            <w:noWrap/>
            <w:hideMark/>
          </w:tcPr>
          <w:p w:rsidRPr="007938ED" w:rsidR="00D31E46" w:rsidP="00D31E46" w:rsidRDefault="00D31E46" w14:paraId="7BFB582E" w14:textId="77777777">
            <w:pPr>
              <w:rPr>
                <w:rFonts w:asciiTheme="majorHAnsi" w:hAnsiTheme="majorHAnsi"/>
                <w:sz w:val="18"/>
                <w:szCs w:val="12"/>
              </w:rPr>
            </w:pPr>
            <w:r w:rsidRPr="007938ED">
              <w:rPr>
                <w:rFonts w:asciiTheme="majorHAnsi" w:hAnsiTheme="majorHAnsi"/>
                <w:sz w:val="18"/>
                <w:szCs w:val="12"/>
              </w:rPr>
              <w:t>27</w:t>
            </w:r>
          </w:p>
        </w:tc>
        <w:tc>
          <w:tcPr>
            <w:tcW w:w="0" w:type="auto"/>
            <w:hideMark/>
          </w:tcPr>
          <w:p w:rsidRPr="007938ED" w:rsidR="00D31E46" w:rsidRDefault="00D31E46" w14:paraId="7472CD8D"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73448957" w14:textId="77777777">
            <w:pPr>
              <w:rPr>
                <w:rFonts w:asciiTheme="majorHAnsi" w:hAnsiTheme="majorHAnsi"/>
                <w:sz w:val="18"/>
                <w:szCs w:val="12"/>
              </w:rPr>
            </w:pPr>
            <w:r w:rsidRPr="007938ED">
              <w:rPr>
                <w:rFonts w:asciiTheme="majorHAnsi" w:hAnsiTheme="majorHAnsi"/>
                <w:sz w:val="18"/>
                <w:szCs w:val="12"/>
              </w:rPr>
              <w:t>First year annual kWh gross in Hard-to-Reach Markets</w:t>
            </w:r>
          </w:p>
        </w:tc>
        <w:tc>
          <w:tcPr>
            <w:tcW w:w="0" w:type="auto"/>
            <w:hideMark/>
          </w:tcPr>
          <w:p w:rsidRPr="007938ED" w:rsidR="00D31E46" w:rsidRDefault="00D31E46" w14:paraId="2755B6D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E53D65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1524343"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BEB26A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73688D2" w14:textId="77777777">
            <w:pPr>
              <w:rPr>
                <w:rFonts w:asciiTheme="majorHAnsi" w:hAnsiTheme="majorHAnsi"/>
                <w:sz w:val="18"/>
                <w:szCs w:val="12"/>
              </w:rPr>
            </w:pPr>
            <w:r w:rsidRPr="007938ED">
              <w:rPr>
                <w:rFonts w:asciiTheme="majorHAnsi" w:hAnsiTheme="majorHAnsi"/>
                <w:sz w:val="18"/>
                <w:szCs w:val="12"/>
              </w:rPr>
              <w:t>First year annual kWh gross</w:t>
            </w:r>
          </w:p>
        </w:tc>
      </w:tr>
      <w:tr w:rsidRPr="007938ED" w:rsidR="00CE6F7B" w:rsidTr="007938ED" w14:paraId="7521BBE9" w14:textId="77777777">
        <w:trPr>
          <w:trHeight w:val="1200"/>
        </w:trPr>
        <w:tc>
          <w:tcPr>
            <w:tcW w:w="0" w:type="auto"/>
            <w:noWrap/>
            <w:hideMark/>
          </w:tcPr>
          <w:p w:rsidRPr="007938ED" w:rsidR="00D31E46" w:rsidP="00D31E46" w:rsidRDefault="00D31E46" w14:paraId="0F3D7BF2" w14:textId="77777777">
            <w:pPr>
              <w:rPr>
                <w:rFonts w:asciiTheme="majorHAnsi" w:hAnsiTheme="majorHAnsi"/>
                <w:sz w:val="18"/>
                <w:szCs w:val="12"/>
              </w:rPr>
            </w:pPr>
            <w:r w:rsidRPr="007938ED">
              <w:rPr>
                <w:rFonts w:asciiTheme="majorHAnsi" w:hAnsiTheme="majorHAnsi"/>
                <w:sz w:val="18"/>
                <w:szCs w:val="12"/>
              </w:rPr>
              <w:t>28</w:t>
            </w:r>
          </w:p>
        </w:tc>
        <w:tc>
          <w:tcPr>
            <w:tcW w:w="0" w:type="auto"/>
            <w:hideMark/>
          </w:tcPr>
          <w:p w:rsidRPr="007938ED" w:rsidR="00D31E46" w:rsidRDefault="00D31E46" w14:paraId="44C89E4C"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5F6DA9F7" w14:textId="77777777">
            <w:pPr>
              <w:rPr>
                <w:rFonts w:asciiTheme="majorHAnsi" w:hAnsiTheme="majorHAnsi"/>
                <w:sz w:val="18"/>
                <w:szCs w:val="12"/>
              </w:rPr>
            </w:pPr>
            <w:r w:rsidRPr="007938ED">
              <w:rPr>
                <w:rFonts w:asciiTheme="majorHAnsi" w:hAnsiTheme="majorHAnsi"/>
                <w:sz w:val="18"/>
                <w:szCs w:val="12"/>
              </w:rPr>
              <w:t>First year annual kWh net in Hard-to-Reach Markets</w:t>
            </w:r>
          </w:p>
        </w:tc>
        <w:tc>
          <w:tcPr>
            <w:tcW w:w="0" w:type="auto"/>
            <w:hideMark/>
          </w:tcPr>
          <w:p w:rsidRPr="007938ED" w:rsidR="00D31E46" w:rsidRDefault="00D31E46" w14:paraId="0D1E593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050C5A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5BB867D"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62335B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FCF7755" w14:textId="77777777">
            <w:pPr>
              <w:rPr>
                <w:rFonts w:asciiTheme="majorHAnsi" w:hAnsiTheme="majorHAnsi"/>
                <w:sz w:val="18"/>
                <w:szCs w:val="12"/>
              </w:rPr>
            </w:pPr>
            <w:r w:rsidRPr="007938ED">
              <w:rPr>
                <w:rFonts w:asciiTheme="majorHAnsi" w:hAnsiTheme="majorHAnsi"/>
                <w:sz w:val="18"/>
                <w:szCs w:val="12"/>
              </w:rPr>
              <w:t>First year annual kWh net</w:t>
            </w:r>
          </w:p>
        </w:tc>
      </w:tr>
      <w:tr w:rsidRPr="007938ED" w:rsidR="00CE6F7B" w:rsidTr="007938ED" w14:paraId="5211BFE9" w14:textId="77777777">
        <w:trPr>
          <w:trHeight w:val="1200"/>
        </w:trPr>
        <w:tc>
          <w:tcPr>
            <w:tcW w:w="0" w:type="auto"/>
            <w:noWrap/>
            <w:hideMark/>
          </w:tcPr>
          <w:p w:rsidRPr="007938ED" w:rsidR="00D31E46" w:rsidP="00D31E46" w:rsidRDefault="00D31E46" w14:paraId="2A32D727" w14:textId="77777777">
            <w:pPr>
              <w:rPr>
                <w:rFonts w:asciiTheme="majorHAnsi" w:hAnsiTheme="majorHAnsi"/>
                <w:sz w:val="18"/>
                <w:szCs w:val="12"/>
              </w:rPr>
            </w:pPr>
            <w:r w:rsidRPr="007938ED">
              <w:rPr>
                <w:rFonts w:asciiTheme="majorHAnsi" w:hAnsiTheme="majorHAnsi"/>
                <w:sz w:val="18"/>
                <w:szCs w:val="12"/>
              </w:rPr>
              <w:lastRenderedPageBreak/>
              <w:t>29</w:t>
            </w:r>
          </w:p>
        </w:tc>
        <w:tc>
          <w:tcPr>
            <w:tcW w:w="0" w:type="auto"/>
            <w:hideMark/>
          </w:tcPr>
          <w:p w:rsidRPr="007938ED" w:rsidR="00D31E46" w:rsidRDefault="00D31E46" w14:paraId="7B74B03B"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4699C90F" w14:textId="77777777">
            <w:pPr>
              <w:rPr>
                <w:rFonts w:asciiTheme="majorHAnsi" w:hAnsiTheme="majorHAnsi"/>
                <w:sz w:val="18"/>
                <w:szCs w:val="12"/>
              </w:rPr>
            </w:pPr>
            <w:r w:rsidRPr="007938ED">
              <w:rPr>
                <w:rFonts w:asciiTheme="majorHAnsi" w:hAnsiTheme="majorHAnsi"/>
                <w:sz w:val="18"/>
                <w:szCs w:val="12"/>
              </w:rPr>
              <w:t>First year annual Therm gross in Hard-to-Reach Markets</w:t>
            </w:r>
          </w:p>
        </w:tc>
        <w:tc>
          <w:tcPr>
            <w:tcW w:w="0" w:type="auto"/>
            <w:hideMark/>
          </w:tcPr>
          <w:p w:rsidRPr="007938ED" w:rsidR="00D31E46" w:rsidRDefault="00D31E46" w14:paraId="14C3279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DD23E8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5B5416B"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59B7C3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8F820DE" w14:textId="77777777">
            <w:pPr>
              <w:rPr>
                <w:rFonts w:asciiTheme="majorHAnsi" w:hAnsiTheme="majorHAnsi"/>
                <w:sz w:val="18"/>
                <w:szCs w:val="12"/>
              </w:rPr>
            </w:pPr>
            <w:r w:rsidRPr="007938ED">
              <w:rPr>
                <w:rFonts w:asciiTheme="majorHAnsi" w:hAnsiTheme="majorHAnsi"/>
                <w:sz w:val="18"/>
                <w:szCs w:val="12"/>
              </w:rPr>
              <w:t>First year annual Therm gross</w:t>
            </w:r>
          </w:p>
        </w:tc>
      </w:tr>
      <w:tr w:rsidRPr="007938ED" w:rsidR="00CE6F7B" w:rsidTr="007938ED" w14:paraId="5551BCBE" w14:textId="77777777">
        <w:trPr>
          <w:trHeight w:val="1200"/>
        </w:trPr>
        <w:tc>
          <w:tcPr>
            <w:tcW w:w="0" w:type="auto"/>
            <w:noWrap/>
            <w:hideMark/>
          </w:tcPr>
          <w:p w:rsidRPr="007938ED" w:rsidR="00D31E46" w:rsidP="00D31E46" w:rsidRDefault="00D31E46" w14:paraId="0DFC30A1" w14:textId="77777777">
            <w:pPr>
              <w:rPr>
                <w:rFonts w:asciiTheme="majorHAnsi" w:hAnsiTheme="majorHAnsi"/>
                <w:sz w:val="18"/>
                <w:szCs w:val="12"/>
              </w:rPr>
            </w:pPr>
            <w:r w:rsidRPr="007938ED">
              <w:rPr>
                <w:rFonts w:asciiTheme="majorHAnsi" w:hAnsiTheme="majorHAnsi"/>
                <w:sz w:val="18"/>
                <w:szCs w:val="12"/>
              </w:rPr>
              <w:t>30</w:t>
            </w:r>
          </w:p>
        </w:tc>
        <w:tc>
          <w:tcPr>
            <w:tcW w:w="0" w:type="auto"/>
            <w:hideMark/>
          </w:tcPr>
          <w:p w:rsidRPr="007938ED" w:rsidR="00D31E46" w:rsidRDefault="00D31E46" w14:paraId="1EE241F1"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69088FE4" w14:textId="77777777">
            <w:pPr>
              <w:rPr>
                <w:rFonts w:asciiTheme="majorHAnsi" w:hAnsiTheme="majorHAnsi"/>
                <w:sz w:val="18"/>
                <w:szCs w:val="12"/>
              </w:rPr>
            </w:pPr>
            <w:r w:rsidRPr="007938ED">
              <w:rPr>
                <w:rFonts w:asciiTheme="majorHAnsi" w:hAnsiTheme="majorHAnsi"/>
                <w:sz w:val="18"/>
                <w:szCs w:val="12"/>
              </w:rPr>
              <w:t>First year annual Therm net in Hard-to-Reach Markets</w:t>
            </w:r>
          </w:p>
        </w:tc>
        <w:tc>
          <w:tcPr>
            <w:tcW w:w="0" w:type="auto"/>
            <w:hideMark/>
          </w:tcPr>
          <w:p w:rsidRPr="007938ED" w:rsidR="00D31E46" w:rsidRDefault="00D31E46" w14:paraId="088519C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53A11F2"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FCF7563"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64D7363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F471733" w14:textId="77777777">
            <w:pPr>
              <w:rPr>
                <w:rFonts w:asciiTheme="majorHAnsi" w:hAnsiTheme="majorHAnsi"/>
                <w:sz w:val="18"/>
                <w:szCs w:val="12"/>
              </w:rPr>
            </w:pPr>
            <w:r w:rsidRPr="007938ED">
              <w:rPr>
                <w:rFonts w:asciiTheme="majorHAnsi" w:hAnsiTheme="majorHAnsi"/>
                <w:sz w:val="18"/>
                <w:szCs w:val="12"/>
              </w:rPr>
              <w:t>First year annual Therm net</w:t>
            </w:r>
          </w:p>
        </w:tc>
      </w:tr>
      <w:tr w:rsidRPr="007938ED" w:rsidR="00CE6F7B" w:rsidTr="007938ED" w14:paraId="39B429F8" w14:textId="77777777">
        <w:trPr>
          <w:trHeight w:val="1200"/>
        </w:trPr>
        <w:tc>
          <w:tcPr>
            <w:tcW w:w="0" w:type="auto"/>
            <w:noWrap/>
            <w:hideMark/>
          </w:tcPr>
          <w:p w:rsidRPr="007938ED" w:rsidR="00D31E46" w:rsidP="00D31E46" w:rsidRDefault="00D31E46" w14:paraId="3BC2AE39" w14:textId="77777777">
            <w:pPr>
              <w:rPr>
                <w:rFonts w:asciiTheme="majorHAnsi" w:hAnsiTheme="majorHAnsi"/>
                <w:sz w:val="18"/>
                <w:szCs w:val="12"/>
              </w:rPr>
            </w:pPr>
            <w:r w:rsidRPr="007938ED">
              <w:rPr>
                <w:rFonts w:asciiTheme="majorHAnsi" w:hAnsiTheme="majorHAnsi"/>
                <w:sz w:val="18"/>
                <w:szCs w:val="12"/>
              </w:rPr>
              <w:t>31</w:t>
            </w:r>
          </w:p>
        </w:tc>
        <w:tc>
          <w:tcPr>
            <w:tcW w:w="0" w:type="auto"/>
            <w:hideMark/>
          </w:tcPr>
          <w:p w:rsidRPr="007938ED" w:rsidR="00D31E46" w:rsidRDefault="00D31E46" w14:paraId="36A29B72"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17323CFB" w14:textId="77777777">
            <w:pPr>
              <w:rPr>
                <w:rFonts w:asciiTheme="majorHAnsi" w:hAnsiTheme="majorHAnsi"/>
                <w:sz w:val="18"/>
                <w:szCs w:val="12"/>
              </w:rPr>
            </w:pPr>
            <w:r w:rsidRPr="007938ED">
              <w:rPr>
                <w:rFonts w:asciiTheme="majorHAnsi" w:hAnsiTheme="majorHAnsi"/>
                <w:sz w:val="18"/>
                <w:szCs w:val="12"/>
              </w:rPr>
              <w:t>Lifecycle ex-ante kW gross in Hard-to-Reach Markets</w:t>
            </w:r>
          </w:p>
        </w:tc>
        <w:tc>
          <w:tcPr>
            <w:tcW w:w="0" w:type="auto"/>
            <w:hideMark/>
          </w:tcPr>
          <w:p w:rsidRPr="007938ED" w:rsidR="00D31E46" w:rsidRDefault="00D31E46" w14:paraId="7D5A377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90F62C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E4CE76D"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756FB7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EFAE1C5" w14:textId="77777777">
            <w:pPr>
              <w:rPr>
                <w:rFonts w:asciiTheme="majorHAnsi" w:hAnsiTheme="majorHAnsi"/>
                <w:sz w:val="18"/>
                <w:szCs w:val="12"/>
              </w:rPr>
            </w:pPr>
            <w:r w:rsidRPr="007938ED">
              <w:rPr>
                <w:rFonts w:asciiTheme="majorHAnsi" w:hAnsiTheme="majorHAnsi"/>
                <w:sz w:val="18"/>
                <w:szCs w:val="12"/>
              </w:rPr>
              <w:t>Lifecycle ex-ante kW gross</w:t>
            </w:r>
          </w:p>
        </w:tc>
      </w:tr>
      <w:tr w:rsidRPr="007938ED" w:rsidR="00CE6F7B" w:rsidTr="007938ED" w14:paraId="315A594A" w14:textId="77777777">
        <w:trPr>
          <w:trHeight w:val="1200"/>
        </w:trPr>
        <w:tc>
          <w:tcPr>
            <w:tcW w:w="0" w:type="auto"/>
            <w:noWrap/>
            <w:hideMark/>
          </w:tcPr>
          <w:p w:rsidRPr="007938ED" w:rsidR="00D31E46" w:rsidP="00D31E46" w:rsidRDefault="00D31E46" w14:paraId="4FBADC0B" w14:textId="77777777">
            <w:pPr>
              <w:rPr>
                <w:rFonts w:asciiTheme="majorHAnsi" w:hAnsiTheme="majorHAnsi"/>
                <w:sz w:val="18"/>
                <w:szCs w:val="12"/>
              </w:rPr>
            </w:pPr>
            <w:r w:rsidRPr="007938ED">
              <w:rPr>
                <w:rFonts w:asciiTheme="majorHAnsi" w:hAnsiTheme="majorHAnsi"/>
                <w:sz w:val="18"/>
                <w:szCs w:val="12"/>
              </w:rPr>
              <w:t>32</w:t>
            </w:r>
          </w:p>
        </w:tc>
        <w:tc>
          <w:tcPr>
            <w:tcW w:w="0" w:type="auto"/>
            <w:hideMark/>
          </w:tcPr>
          <w:p w:rsidRPr="007938ED" w:rsidR="00D31E46" w:rsidRDefault="00D31E46" w14:paraId="4E9880BD"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4B8FBE55" w14:textId="77777777">
            <w:pPr>
              <w:rPr>
                <w:rFonts w:asciiTheme="majorHAnsi" w:hAnsiTheme="majorHAnsi"/>
                <w:sz w:val="18"/>
                <w:szCs w:val="12"/>
              </w:rPr>
            </w:pPr>
            <w:r w:rsidRPr="007938ED">
              <w:rPr>
                <w:rFonts w:asciiTheme="majorHAnsi" w:hAnsiTheme="majorHAnsi"/>
                <w:sz w:val="18"/>
                <w:szCs w:val="12"/>
              </w:rPr>
              <w:t>Lifecycle ex-ante kW net in Hard-to-Reach Markets</w:t>
            </w:r>
          </w:p>
        </w:tc>
        <w:tc>
          <w:tcPr>
            <w:tcW w:w="0" w:type="auto"/>
            <w:hideMark/>
          </w:tcPr>
          <w:p w:rsidRPr="007938ED" w:rsidR="00D31E46" w:rsidRDefault="00D31E46" w14:paraId="64859D6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4F3EF59"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D322A5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88FDD2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2249AFA" w14:textId="77777777">
            <w:pPr>
              <w:rPr>
                <w:rFonts w:asciiTheme="majorHAnsi" w:hAnsiTheme="majorHAnsi"/>
                <w:sz w:val="18"/>
                <w:szCs w:val="12"/>
              </w:rPr>
            </w:pPr>
            <w:r w:rsidRPr="007938ED">
              <w:rPr>
                <w:rFonts w:asciiTheme="majorHAnsi" w:hAnsiTheme="majorHAnsi"/>
                <w:sz w:val="18"/>
                <w:szCs w:val="12"/>
              </w:rPr>
              <w:t>Lifecycle ex-ante kW net</w:t>
            </w:r>
          </w:p>
        </w:tc>
      </w:tr>
      <w:tr w:rsidRPr="007938ED" w:rsidR="00CE6F7B" w:rsidTr="007938ED" w14:paraId="242830ED" w14:textId="77777777">
        <w:trPr>
          <w:trHeight w:val="1200"/>
        </w:trPr>
        <w:tc>
          <w:tcPr>
            <w:tcW w:w="0" w:type="auto"/>
            <w:noWrap/>
            <w:hideMark/>
          </w:tcPr>
          <w:p w:rsidRPr="007938ED" w:rsidR="00D31E46" w:rsidP="00D31E46" w:rsidRDefault="00D31E46" w14:paraId="72203802" w14:textId="77777777">
            <w:pPr>
              <w:rPr>
                <w:rFonts w:asciiTheme="majorHAnsi" w:hAnsiTheme="majorHAnsi"/>
                <w:sz w:val="18"/>
                <w:szCs w:val="12"/>
              </w:rPr>
            </w:pPr>
            <w:r w:rsidRPr="007938ED">
              <w:rPr>
                <w:rFonts w:asciiTheme="majorHAnsi" w:hAnsiTheme="majorHAnsi"/>
                <w:sz w:val="18"/>
                <w:szCs w:val="12"/>
              </w:rPr>
              <w:t>33</w:t>
            </w:r>
          </w:p>
        </w:tc>
        <w:tc>
          <w:tcPr>
            <w:tcW w:w="0" w:type="auto"/>
            <w:hideMark/>
          </w:tcPr>
          <w:p w:rsidRPr="007938ED" w:rsidR="00D31E46" w:rsidRDefault="00D31E46" w14:paraId="5911938B"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12562E37" w14:textId="77777777">
            <w:pPr>
              <w:rPr>
                <w:rFonts w:asciiTheme="majorHAnsi" w:hAnsiTheme="majorHAnsi"/>
                <w:sz w:val="18"/>
                <w:szCs w:val="12"/>
              </w:rPr>
            </w:pPr>
            <w:r w:rsidRPr="007938ED">
              <w:rPr>
                <w:rFonts w:asciiTheme="majorHAnsi" w:hAnsiTheme="majorHAnsi"/>
                <w:sz w:val="18"/>
                <w:szCs w:val="12"/>
              </w:rPr>
              <w:t>Lifecycle ex-ante kWh gross in Hard-to-Reach Markets</w:t>
            </w:r>
          </w:p>
        </w:tc>
        <w:tc>
          <w:tcPr>
            <w:tcW w:w="0" w:type="auto"/>
            <w:hideMark/>
          </w:tcPr>
          <w:p w:rsidRPr="007938ED" w:rsidR="00D31E46" w:rsidRDefault="00D31E46" w14:paraId="0F37AAF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5A71F1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760D999"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988A26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9CBA28F" w14:textId="77777777">
            <w:pPr>
              <w:rPr>
                <w:rFonts w:asciiTheme="majorHAnsi" w:hAnsiTheme="majorHAnsi"/>
                <w:sz w:val="18"/>
                <w:szCs w:val="12"/>
              </w:rPr>
            </w:pPr>
            <w:r w:rsidRPr="007938ED">
              <w:rPr>
                <w:rFonts w:asciiTheme="majorHAnsi" w:hAnsiTheme="majorHAnsi"/>
                <w:sz w:val="18"/>
                <w:szCs w:val="12"/>
              </w:rPr>
              <w:t>Lifecycle ex-ante kWh gross</w:t>
            </w:r>
          </w:p>
        </w:tc>
      </w:tr>
      <w:tr w:rsidRPr="007938ED" w:rsidR="00CE6F7B" w:rsidTr="007938ED" w14:paraId="3A69DC15" w14:textId="77777777">
        <w:trPr>
          <w:trHeight w:val="1200"/>
        </w:trPr>
        <w:tc>
          <w:tcPr>
            <w:tcW w:w="0" w:type="auto"/>
            <w:noWrap/>
            <w:hideMark/>
          </w:tcPr>
          <w:p w:rsidRPr="007938ED" w:rsidR="00D31E46" w:rsidP="00D31E46" w:rsidRDefault="00D31E46" w14:paraId="34E9B9EF" w14:textId="77777777">
            <w:pPr>
              <w:rPr>
                <w:rFonts w:asciiTheme="majorHAnsi" w:hAnsiTheme="majorHAnsi"/>
                <w:sz w:val="18"/>
                <w:szCs w:val="12"/>
              </w:rPr>
            </w:pPr>
            <w:r w:rsidRPr="007938ED">
              <w:rPr>
                <w:rFonts w:asciiTheme="majorHAnsi" w:hAnsiTheme="majorHAnsi"/>
                <w:sz w:val="18"/>
                <w:szCs w:val="12"/>
              </w:rPr>
              <w:t>34</w:t>
            </w:r>
          </w:p>
        </w:tc>
        <w:tc>
          <w:tcPr>
            <w:tcW w:w="0" w:type="auto"/>
            <w:hideMark/>
          </w:tcPr>
          <w:p w:rsidRPr="007938ED" w:rsidR="00D31E46" w:rsidRDefault="00D31E46" w14:paraId="058EC465"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5110FD81" w14:textId="77777777">
            <w:pPr>
              <w:rPr>
                <w:rFonts w:asciiTheme="majorHAnsi" w:hAnsiTheme="majorHAnsi"/>
                <w:sz w:val="18"/>
                <w:szCs w:val="12"/>
              </w:rPr>
            </w:pPr>
            <w:r w:rsidRPr="007938ED">
              <w:rPr>
                <w:rFonts w:asciiTheme="majorHAnsi" w:hAnsiTheme="majorHAnsi"/>
                <w:sz w:val="18"/>
                <w:szCs w:val="12"/>
              </w:rPr>
              <w:t>Lifecycle ex-ante kWh net in Hard-to-Reach Markets</w:t>
            </w:r>
          </w:p>
        </w:tc>
        <w:tc>
          <w:tcPr>
            <w:tcW w:w="0" w:type="auto"/>
            <w:hideMark/>
          </w:tcPr>
          <w:p w:rsidRPr="007938ED" w:rsidR="00D31E46" w:rsidRDefault="00D31E46" w14:paraId="13DA1B2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150601D"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384142B"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D06BB7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651C7C6" w14:textId="77777777">
            <w:pPr>
              <w:rPr>
                <w:rFonts w:asciiTheme="majorHAnsi" w:hAnsiTheme="majorHAnsi"/>
                <w:sz w:val="18"/>
                <w:szCs w:val="12"/>
              </w:rPr>
            </w:pPr>
            <w:r w:rsidRPr="007938ED">
              <w:rPr>
                <w:rFonts w:asciiTheme="majorHAnsi" w:hAnsiTheme="majorHAnsi"/>
                <w:sz w:val="18"/>
                <w:szCs w:val="12"/>
              </w:rPr>
              <w:t>Lifecycle ex-ante kWh net</w:t>
            </w:r>
          </w:p>
        </w:tc>
      </w:tr>
      <w:tr w:rsidRPr="007938ED" w:rsidR="00CE6F7B" w:rsidTr="007938ED" w14:paraId="10BAE73C" w14:textId="77777777">
        <w:trPr>
          <w:trHeight w:val="1200"/>
        </w:trPr>
        <w:tc>
          <w:tcPr>
            <w:tcW w:w="0" w:type="auto"/>
            <w:noWrap/>
            <w:hideMark/>
          </w:tcPr>
          <w:p w:rsidRPr="007938ED" w:rsidR="00D31E46" w:rsidP="00D31E46" w:rsidRDefault="00D31E46" w14:paraId="0A2CF3DD" w14:textId="77777777">
            <w:pPr>
              <w:rPr>
                <w:rFonts w:asciiTheme="majorHAnsi" w:hAnsiTheme="majorHAnsi"/>
                <w:sz w:val="18"/>
                <w:szCs w:val="12"/>
              </w:rPr>
            </w:pPr>
            <w:r w:rsidRPr="007938ED">
              <w:rPr>
                <w:rFonts w:asciiTheme="majorHAnsi" w:hAnsiTheme="majorHAnsi"/>
                <w:sz w:val="18"/>
                <w:szCs w:val="12"/>
              </w:rPr>
              <w:lastRenderedPageBreak/>
              <w:t>35</w:t>
            </w:r>
          </w:p>
        </w:tc>
        <w:tc>
          <w:tcPr>
            <w:tcW w:w="0" w:type="auto"/>
            <w:hideMark/>
          </w:tcPr>
          <w:p w:rsidRPr="007938ED" w:rsidR="00D31E46" w:rsidRDefault="00D31E46" w14:paraId="79941DC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424759D9" w14:textId="77777777">
            <w:pPr>
              <w:rPr>
                <w:rFonts w:asciiTheme="majorHAnsi" w:hAnsiTheme="majorHAnsi"/>
                <w:sz w:val="18"/>
                <w:szCs w:val="12"/>
              </w:rPr>
            </w:pPr>
            <w:r w:rsidRPr="007938ED">
              <w:rPr>
                <w:rFonts w:asciiTheme="majorHAnsi" w:hAnsiTheme="majorHAnsi"/>
                <w:sz w:val="18"/>
                <w:szCs w:val="12"/>
              </w:rPr>
              <w:t>Lifecycle ex-ante Therm gross in Hard-to-Reach Markets</w:t>
            </w:r>
          </w:p>
        </w:tc>
        <w:tc>
          <w:tcPr>
            <w:tcW w:w="0" w:type="auto"/>
            <w:hideMark/>
          </w:tcPr>
          <w:p w:rsidRPr="007938ED" w:rsidR="00D31E46" w:rsidRDefault="00D31E46" w14:paraId="464EABB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31EECDD"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471C282"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7B3FE87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DC60501" w14:textId="77777777">
            <w:pPr>
              <w:rPr>
                <w:rFonts w:asciiTheme="majorHAnsi" w:hAnsiTheme="majorHAnsi"/>
                <w:sz w:val="18"/>
                <w:szCs w:val="12"/>
              </w:rPr>
            </w:pPr>
            <w:r w:rsidRPr="007938ED">
              <w:rPr>
                <w:rFonts w:asciiTheme="majorHAnsi" w:hAnsiTheme="majorHAnsi"/>
                <w:sz w:val="18"/>
                <w:szCs w:val="12"/>
              </w:rPr>
              <w:t>Lifecycle ex-ante Therm gross</w:t>
            </w:r>
          </w:p>
        </w:tc>
      </w:tr>
      <w:tr w:rsidRPr="007938ED" w:rsidR="00CE6F7B" w:rsidTr="007938ED" w14:paraId="674AEEFD" w14:textId="77777777">
        <w:trPr>
          <w:trHeight w:val="1200"/>
        </w:trPr>
        <w:tc>
          <w:tcPr>
            <w:tcW w:w="0" w:type="auto"/>
            <w:noWrap/>
            <w:hideMark/>
          </w:tcPr>
          <w:p w:rsidRPr="007938ED" w:rsidR="00D31E46" w:rsidP="00D31E46" w:rsidRDefault="00D31E46" w14:paraId="6D45A38A" w14:textId="77777777">
            <w:pPr>
              <w:rPr>
                <w:rFonts w:asciiTheme="majorHAnsi" w:hAnsiTheme="majorHAnsi"/>
                <w:sz w:val="18"/>
                <w:szCs w:val="12"/>
              </w:rPr>
            </w:pPr>
            <w:r w:rsidRPr="007938ED">
              <w:rPr>
                <w:rFonts w:asciiTheme="majorHAnsi" w:hAnsiTheme="majorHAnsi"/>
                <w:sz w:val="18"/>
                <w:szCs w:val="12"/>
              </w:rPr>
              <w:t>36</w:t>
            </w:r>
          </w:p>
        </w:tc>
        <w:tc>
          <w:tcPr>
            <w:tcW w:w="0" w:type="auto"/>
            <w:hideMark/>
          </w:tcPr>
          <w:p w:rsidRPr="007938ED" w:rsidR="00D31E46" w:rsidRDefault="00D31E46" w14:paraId="239FCE8F"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in hard‐to‐reach markets</w:t>
            </w:r>
          </w:p>
        </w:tc>
        <w:tc>
          <w:tcPr>
            <w:tcW w:w="0" w:type="auto"/>
            <w:hideMark/>
          </w:tcPr>
          <w:p w:rsidRPr="007938ED" w:rsidR="00D31E46" w:rsidRDefault="00D31E46" w14:paraId="44C40D4E" w14:textId="77777777">
            <w:pPr>
              <w:rPr>
                <w:rFonts w:asciiTheme="majorHAnsi" w:hAnsiTheme="majorHAnsi"/>
                <w:sz w:val="18"/>
                <w:szCs w:val="12"/>
              </w:rPr>
            </w:pPr>
            <w:r w:rsidRPr="007938ED">
              <w:rPr>
                <w:rFonts w:asciiTheme="majorHAnsi" w:hAnsiTheme="majorHAnsi"/>
                <w:sz w:val="18"/>
                <w:szCs w:val="12"/>
              </w:rPr>
              <w:t>Lifecycle ex-ante Therm net in Hard-to-Reach Markets</w:t>
            </w:r>
          </w:p>
        </w:tc>
        <w:tc>
          <w:tcPr>
            <w:tcW w:w="0" w:type="auto"/>
            <w:hideMark/>
          </w:tcPr>
          <w:p w:rsidRPr="007938ED" w:rsidR="00D31E46" w:rsidRDefault="00D31E46" w14:paraId="303F3C8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5011289"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530B3F1"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873D17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E366198" w14:textId="77777777">
            <w:pPr>
              <w:rPr>
                <w:rFonts w:asciiTheme="majorHAnsi" w:hAnsiTheme="majorHAnsi"/>
                <w:sz w:val="18"/>
                <w:szCs w:val="12"/>
              </w:rPr>
            </w:pPr>
            <w:r w:rsidRPr="007938ED">
              <w:rPr>
                <w:rFonts w:asciiTheme="majorHAnsi" w:hAnsiTheme="majorHAnsi"/>
                <w:sz w:val="18"/>
                <w:szCs w:val="12"/>
              </w:rPr>
              <w:t>Lifecycle ex-ante Therm net</w:t>
            </w:r>
          </w:p>
        </w:tc>
      </w:tr>
      <w:tr w:rsidRPr="007938ED" w:rsidR="00CE6F7B" w:rsidTr="007938ED" w14:paraId="2D1604D0" w14:textId="77777777">
        <w:trPr>
          <w:trHeight w:val="1200"/>
        </w:trPr>
        <w:tc>
          <w:tcPr>
            <w:tcW w:w="0" w:type="auto"/>
            <w:noWrap/>
            <w:hideMark/>
          </w:tcPr>
          <w:p w:rsidRPr="007938ED" w:rsidR="00D31E46" w:rsidP="00D31E46" w:rsidRDefault="00D31E46" w14:paraId="40BF59E5" w14:textId="77777777">
            <w:pPr>
              <w:rPr>
                <w:rFonts w:asciiTheme="majorHAnsi" w:hAnsiTheme="majorHAnsi"/>
                <w:sz w:val="18"/>
                <w:szCs w:val="12"/>
              </w:rPr>
            </w:pPr>
            <w:r w:rsidRPr="007938ED">
              <w:rPr>
                <w:rFonts w:asciiTheme="majorHAnsi" w:hAnsiTheme="majorHAnsi"/>
                <w:sz w:val="18"/>
                <w:szCs w:val="12"/>
              </w:rPr>
              <w:t>37</w:t>
            </w:r>
          </w:p>
        </w:tc>
        <w:tc>
          <w:tcPr>
            <w:tcW w:w="0" w:type="auto"/>
            <w:hideMark/>
          </w:tcPr>
          <w:p w:rsidRPr="007938ED" w:rsidR="00D31E46" w:rsidRDefault="00D31E46" w14:paraId="07E874F2"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7BDB17B7" w14:textId="77777777">
            <w:pPr>
              <w:rPr>
                <w:rFonts w:asciiTheme="majorHAnsi" w:hAnsiTheme="majorHAnsi"/>
                <w:sz w:val="18"/>
                <w:szCs w:val="12"/>
              </w:rPr>
            </w:pPr>
            <w:r w:rsidRPr="007938ED">
              <w:rPr>
                <w:rFonts w:asciiTheme="majorHAnsi" w:hAnsiTheme="majorHAnsi"/>
                <w:sz w:val="18"/>
                <w:szCs w:val="12"/>
              </w:rPr>
              <w:t>PAC Levelized Cost ($/kW)</w:t>
            </w:r>
          </w:p>
        </w:tc>
        <w:tc>
          <w:tcPr>
            <w:tcW w:w="0" w:type="auto"/>
            <w:hideMark/>
          </w:tcPr>
          <w:p w:rsidRPr="007938ED" w:rsidR="00D31E46" w:rsidRDefault="00D31E46" w14:paraId="1F29C35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0379DD3"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10AE6A7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E38182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903425F" w14:textId="77777777">
            <w:pPr>
              <w:rPr>
                <w:rFonts w:asciiTheme="majorHAnsi" w:hAnsiTheme="majorHAnsi"/>
                <w:sz w:val="18"/>
                <w:szCs w:val="12"/>
              </w:rPr>
            </w:pPr>
            <w:r w:rsidRPr="007938ED">
              <w:rPr>
                <w:rFonts w:asciiTheme="majorHAnsi" w:hAnsiTheme="majorHAnsi"/>
                <w:sz w:val="18"/>
                <w:szCs w:val="12"/>
              </w:rPr>
              <w:t>PAC Levelized Cost ($/kW)</w:t>
            </w:r>
          </w:p>
        </w:tc>
      </w:tr>
      <w:tr w:rsidRPr="007938ED" w:rsidR="00CE6F7B" w:rsidTr="007938ED" w14:paraId="3ABEBF69" w14:textId="77777777">
        <w:trPr>
          <w:trHeight w:val="1200"/>
        </w:trPr>
        <w:tc>
          <w:tcPr>
            <w:tcW w:w="0" w:type="auto"/>
            <w:noWrap/>
            <w:hideMark/>
          </w:tcPr>
          <w:p w:rsidRPr="007938ED" w:rsidR="00D31E46" w:rsidP="00D31E46" w:rsidRDefault="00D31E46" w14:paraId="40C37249" w14:textId="77777777">
            <w:pPr>
              <w:rPr>
                <w:rFonts w:asciiTheme="majorHAnsi" w:hAnsiTheme="majorHAnsi"/>
                <w:sz w:val="18"/>
                <w:szCs w:val="12"/>
              </w:rPr>
            </w:pPr>
            <w:r w:rsidRPr="007938ED">
              <w:rPr>
                <w:rFonts w:asciiTheme="majorHAnsi" w:hAnsiTheme="majorHAnsi"/>
                <w:sz w:val="18"/>
                <w:szCs w:val="12"/>
              </w:rPr>
              <w:t>38</w:t>
            </w:r>
          </w:p>
        </w:tc>
        <w:tc>
          <w:tcPr>
            <w:tcW w:w="0" w:type="auto"/>
            <w:hideMark/>
          </w:tcPr>
          <w:p w:rsidRPr="007938ED" w:rsidR="00D31E46" w:rsidRDefault="00D31E46" w14:paraId="25042261"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2AA79E22" w14:textId="77777777">
            <w:pPr>
              <w:rPr>
                <w:rFonts w:asciiTheme="majorHAnsi" w:hAnsiTheme="majorHAnsi"/>
                <w:sz w:val="18"/>
                <w:szCs w:val="12"/>
              </w:rPr>
            </w:pPr>
            <w:r w:rsidRPr="007938ED">
              <w:rPr>
                <w:rFonts w:asciiTheme="majorHAnsi" w:hAnsiTheme="majorHAnsi"/>
                <w:sz w:val="18"/>
                <w:szCs w:val="12"/>
              </w:rPr>
              <w:t>PAC Levelized Cost ($/kWh)</w:t>
            </w:r>
          </w:p>
        </w:tc>
        <w:tc>
          <w:tcPr>
            <w:tcW w:w="0" w:type="auto"/>
            <w:hideMark/>
          </w:tcPr>
          <w:p w:rsidRPr="007938ED" w:rsidR="00D31E46" w:rsidRDefault="00D31E46" w14:paraId="7B6A4F5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872F0BC"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2C8A294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B5D44A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41EC029" w14:textId="77777777">
            <w:pPr>
              <w:rPr>
                <w:rFonts w:asciiTheme="majorHAnsi" w:hAnsiTheme="majorHAnsi"/>
                <w:sz w:val="18"/>
                <w:szCs w:val="12"/>
              </w:rPr>
            </w:pPr>
            <w:r w:rsidRPr="007938ED">
              <w:rPr>
                <w:rFonts w:asciiTheme="majorHAnsi" w:hAnsiTheme="majorHAnsi"/>
                <w:sz w:val="18"/>
                <w:szCs w:val="12"/>
              </w:rPr>
              <w:t>PAC Levelized Cost ($/kWh)</w:t>
            </w:r>
          </w:p>
        </w:tc>
      </w:tr>
      <w:tr w:rsidRPr="007938ED" w:rsidR="00CE6F7B" w:rsidTr="007938ED" w14:paraId="7C4F46BF" w14:textId="77777777">
        <w:trPr>
          <w:trHeight w:val="1200"/>
        </w:trPr>
        <w:tc>
          <w:tcPr>
            <w:tcW w:w="0" w:type="auto"/>
            <w:noWrap/>
            <w:hideMark/>
          </w:tcPr>
          <w:p w:rsidRPr="007938ED" w:rsidR="00D31E46" w:rsidP="00D31E46" w:rsidRDefault="00D31E46" w14:paraId="42C1E2CE" w14:textId="77777777">
            <w:pPr>
              <w:rPr>
                <w:rFonts w:asciiTheme="majorHAnsi" w:hAnsiTheme="majorHAnsi"/>
                <w:sz w:val="18"/>
                <w:szCs w:val="12"/>
              </w:rPr>
            </w:pPr>
            <w:r w:rsidRPr="007938ED">
              <w:rPr>
                <w:rFonts w:asciiTheme="majorHAnsi" w:hAnsiTheme="majorHAnsi"/>
                <w:sz w:val="18"/>
                <w:szCs w:val="12"/>
              </w:rPr>
              <w:t>39</w:t>
            </w:r>
          </w:p>
        </w:tc>
        <w:tc>
          <w:tcPr>
            <w:tcW w:w="0" w:type="auto"/>
            <w:hideMark/>
          </w:tcPr>
          <w:p w:rsidRPr="007938ED" w:rsidR="00D31E46" w:rsidRDefault="00D31E46" w14:paraId="2326D380"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238CA719" w14:textId="77777777">
            <w:pPr>
              <w:rPr>
                <w:rFonts w:asciiTheme="majorHAnsi" w:hAnsiTheme="majorHAnsi"/>
                <w:sz w:val="18"/>
                <w:szCs w:val="12"/>
              </w:rPr>
            </w:pPr>
            <w:r w:rsidRPr="007938ED">
              <w:rPr>
                <w:rFonts w:asciiTheme="majorHAnsi" w:hAnsiTheme="majorHAnsi"/>
                <w:sz w:val="18"/>
                <w:szCs w:val="12"/>
              </w:rPr>
              <w:t>PAC Levelized Cost ($/therm)</w:t>
            </w:r>
          </w:p>
        </w:tc>
        <w:tc>
          <w:tcPr>
            <w:tcW w:w="0" w:type="auto"/>
            <w:hideMark/>
          </w:tcPr>
          <w:p w:rsidRPr="007938ED" w:rsidR="00D31E46" w:rsidRDefault="00D31E46" w14:paraId="65F33C8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F64F336"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1ED329F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5FEEB2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F8F6CD7" w14:textId="77777777">
            <w:pPr>
              <w:rPr>
                <w:rFonts w:asciiTheme="majorHAnsi" w:hAnsiTheme="majorHAnsi"/>
                <w:sz w:val="18"/>
                <w:szCs w:val="12"/>
              </w:rPr>
            </w:pPr>
            <w:r w:rsidRPr="007938ED">
              <w:rPr>
                <w:rFonts w:asciiTheme="majorHAnsi" w:hAnsiTheme="majorHAnsi"/>
                <w:sz w:val="18"/>
                <w:szCs w:val="12"/>
              </w:rPr>
              <w:t>PAC Levelized Cost ($/therm)</w:t>
            </w:r>
          </w:p>
        </w:tc>
      </w:tr>
      <w:tr w:rsidRPr="007938ED" w:rsidR="00CE6F7B" w:rsidTr="007938ED" w14:paraId="3A0109CF" w14:textId="77777777">
        <w:trPr>
          <w:trHeight w:val="1200"/>
        </w:trPr>
        <w:tc>
          <w:tcPr>
            <w:tcW w:w="0" w:type="auto"/>
            <w:noWrap/>
            <w:hideMark/>
          </w:tcPr>
          <w:p w:rsidRPr="007938ED" w:rsidR="00D31E46" w:rsidP="00D31E46" w:rsidRDefault="00D31E46" w14:paraId="085A1B01" w14:textId="77777777">
            <w:pPr>
              <w:rPr>
                <w:rFonts w:asciiTheme="majorHAnsi" w:hAnsiTheme="majorHAnsi"/>
                <w:sz w:val="18"/>
                <w:szCs w:val="12"/>
              </w:rPr>
            </w:pPr>
            <w:r w:rsidRPr="007938ED">
              <w:rPr>
                <w:rFonts w:asciiTheme="majorHAnsi" w:hAnsiTheme="majorHAnsi"/>
                <w:sz w:val="18"/>
                <w:szCs w:val="12"/>
              </w:rPr>
              <w:t>40</w:t>
            </w:r>
          </w:p>
        </w:tc>
        <w:tc>
          <w:tcPr>
            <w:tcW w:w="0" w:type="auto"/>
            <w:hideMark/>
          </w:tcPr>
          <w:p w:rsidRPr="007938ED" w:rsidR="00D31E46" w:rsidRDefault="00D31E46" w14:paraId="03CAB488"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127C7D9B" w14:textId="77777777">
            <w:pPr>
              <w:rPr>
                <w:rFonts w:asciiTheme="majorHAnsi" w:hAnsiTheme="majorHAnsi"/>
                <w:sz w:val="18"/>
                <w:szCs w:val="12"/>
              </w:rPr>
            </w:pPr>
            <w:r w:rsidRPr="007938ED">
              <w:rPr>
                <w:rFonts w:asciiTheme="majorHAnsi" w:hAnsiTheme="majorHAnsi"/>
                <w:sz w:val="18"/>
                <w:szCs w:val="12"/>
              </w:rPr>
              <w:t>TRC Levelized Cost ($/kW)</w:t>
            </w:r>
          </w:p>
        </w:tc>
        <w:tc>
          <w:tcPr>
            <w:tcW w:w="0" w:type="auto"/>
            <w:hideMark/>
          </w:tcPr>
          <w:p w:rsidRPr="007938ED" w:rsidR="00D31E46" w:rsidRDefault="00D31E46" w14:paraId="4CEB5FA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CC05F6D"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7B19E4C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B6AED8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0272D48" w14:textId="77777777">
            <w:pPr>
              <w:rPr>
                <w:rFonts w:asciiTheme="majorHAnsi" w:hAnsiTheme="majorHAnsi"/>
                <w:sz w:val="18"/>
                <w:szCs w:val="12"/>
              </w:rPr>
            </w:pPr>
            <w:r w:rsidRPr="007938ED">
              <w:rPr>
                <w:rFonts w:asciiTheme="majorHAnsi" w:hAnsiTheme="majorHAnsi"/>
                <w:sz w:val="18"/>
                <w:szCs w:val="12"/>
              </w:rPr>
              <w:t>TRC Levelized Cost ($/kW)</w:t>
            </w:r>
          </w:p>
        </w:tc>
      </w:tr>
      <w:tr w:rsidRPr="007938ED" w:rsidR="00CE6F7B" w:rsidTr="007938ED" w14:paraId="695B0F22" w14:textId="77777777">
        <w:trPr>
          <w:trHeight w:val="1200"/>
        </w:trPr>
        <w:tc>
          <w:tcPr>
            <w:tcW w:w="0" w:type="auto"/>
            <w:noWrap/>
            <w:hideMark/>
          </w:tcPr>
          <w:p w:rsidRPr="007938ED" w:rsidR="00D31E46" w:rsidP="00D31E46" w:rsidRDefault="00D31E46" w14:paraId="54E21E31" w14:textId="77777777">
            <w:pPr>
              <w:rPr>
                <w:rFonts w:asciiTheme="majorHAnsi" w:hAnsiTheme="majorHAnsi"/>
                <w:sz w:val="18"/>
                <w:szCs w:val="12"/>
              </w:rPr>
            </w:pPr>
            <w:r w:rsidRPr="007938ED">
              <w:rPr>
                <w:rFonts w:asciiTheme="majorHAnsi" w:hAnsiTheme="majorHAnsi"/>
                <w:sz w:val="18"/>
                <w:szCs w:val="12"/>
              </w:rPr>
              <w:lastRenderedPageBreak/>
              <w:t>41</w:t>
            </w:r>
          </w:p>
        </w:tc>
        <w:tc>
          <w:tcPr>
            <w:tcW w:w="0" w:type="auto"/>
            <w:hideMark/>
          </w:tcPr>
          <w:p w:rsidRPr="007938ED" w:rsidR="00D31E46" w:rsidRDefault="00D31E46" w14:paraId="01AD2F65"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6BFFF740" w14:textId="77777777">
            <w:pPr>
              <w:rPr>
                <w:rFonts w:asciiTheme="majorHAnsi" w:hAnsiTheme="majorHAnsi"/>
                <w:sz w:val="18"/>
                <w:szCs w:val="12"/>
              </w:rPr>
            </w:pPr>
            <w:r w:rsidRPr="007938ED">
              <w:rPr>
                <w:rFonts w:asciiTheme="majorHAnsi" w:hAnsiTheme="majorHAnsi"/>
                <w:sz w:val="18"/>
                <w:szCs w:val="12"/>
              </w:rPr>
              <w:t>TRC Levelized Cost ($/kWh)</w:t>
            </w:r>
          </w:p>
        </w:tc>
        <w:tc>
          <w:tcPr>
            <w:tcW w:w="0" w:type="auto"/>
            <w:hideMark/>
          </w:tcPr>
          <w:p w:rsidRPr="007938ED" w:rsidR="00D31E46" w:rsidRDefault="00D31E46" w14:paraId="55BD4FF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AB23928"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02479FB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0C7878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1A606AD" w14:textId="77777777">
            <w:pPr>
              <w:rPr>
                <w:rFonts w:asciiTheme="majorHAnsi" w:hAnsiTheme="majorHAnsi"/>
                <w:sz w:val="18"/>
                <w:szCs w:val="12"/>
              </w:rPr>
            </w:pPr>
            <w:r w:rsidRPr="007938ED">
              <w:rPr>
                <w:rFonts w:asciiTheme="majorHAnsi" w:hAnsiTheme="majorHAnsi"/>
                <w:sz w:val="18"/>
                <w:szCs w:val="12"/>
              </w:rPr>
              <w:t>TRC Levelized Cost ($/kWh)</w:t>
            </w:r>
          </w:p>
        </w:tc>
      </w:tr>
      <w:tr w:rsidRPr="007938ED" w:rsidR="00CE6F7B" w:rsidTr="007938ED" w14:paraId="4A78224E" w14:textId="77777777">
        <w:trPr>
          <w:trHeight w:val="1200"/>
        </w:trPr>
        <w:tc>
          <w:tcPr>
            <w:tcW w:w="0" w:type="auto"/>
            <w:noWrap/>
            <w:hideMark/>
          </w:tcPr>
          <w:p w:rsidRPr="007938ED" w:rsidR="00D31E46" w:rsidP="00D31E46" w:rsidRDefault="00D31E46" w14:paraId="656087F5" w14:textId="77777777">
            <w:pPr>
              <w:rPr>
                <w:rFonts w:asciiTheme="majorHAnsi" w:hAnsiTheme="majorHAnsi"/>
                <w:sz w:val="18"/>
                <w:szCs w:val="12"/>
              </w:rPr>
            </w:pPr>
            <w:r w:rsidRPr="007938ED">
              <w:rPr>
                <w:rFonts w:asciiTheme="majorHAnsi" w:hAnsiTheme="majorHAnsi"/>
                <w:sz w:val="18"/>
                <w:szCs w:val="12"/>
              </w:rPr>
              <w:t>42</w:t>
            </w:r>
          </w:p>
        </w:tc>
        <w:tc>
          <w:tcPr>
            <w:tcW w:w="0" w:type="auto"/>
            <w:hideMark/>
          </w:tcPr>
          <w:p w:rsidRPr="007938ED" w:rsidR="00D31E46" w:rsidRDefault="00D31E46" w14:paraId="434C9E77"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6D681A9D" w14:textId="77777777">
            <w:pPr>
              <w:rPr>
                <w:rFonts w:asciiTheme="majorHAnsi" w:hAnsiTheme="majorHAnsi"/>
                <w:sz w:val="18"/>
                <w:szCs w:val="12"/>
              </w:rPr>
            </w:pPr>
            <w:r w:rsidRPr="007938ED">
              <w:rPr>
                <w:rFonts w:asciiTheme="majorHAnsi" w:hAnsiTheme="majorHAnsi"/>
                <w:sz w:val="18"/>
                <w:szCs w:val="12"/>
              </w:rPr>
              <w:t>TRC Levelized Cost ($/therm)</w:t>
            </w:r>
          </w:p>
        </w:tc>
        <w:tc>
          <w:tcPr>
            <w:tcW w:w="0" w:type="auto"/>
            <w:hideMark/>
          </w:tcPr>
          <w:p w:rsidRPr="007938ED" w:rsidR="00D31E46" w:rsidRDefault="00D31E46" w14:paraId="4DD1DBA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6E3FDEB"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7390E3F4"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88601B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7FC05D1" w14:textId="77777777">
            <w:pPr>
              <w:rPr>
                <w:rFonts w:asciiTheme="majorHAnsi" w:hAnsiTheme="majorHAnsi"/>
                <w:sz w:val="18"/>
                <w:szCs w:val="12"/>
              </w:rPr>
            </w:pPr>
            <w:r w:rsidRPr="007938ED">
              <w:rPr>
                <w:rFonts w:asciiTheme="majorHAnsi" w:hAnsiTheme="majorHAnsi"/>
                <w:sz w:val="18"/>
                <w:szCs w:val="12"/>
              </w:rPr>
              <w:t>TRC Levelized Cost ($/therm)</w:t>
            </w:r>
          </w:p>
        </w:tc>
      </w:tr>
      <w:tr w:rsidRPr="007938ED" w:rsidR="00CE6F7B" w:rsidTr="007938ED" w14:paraId="23A0CB14" w14:textId="77777777">
        <w:trPr>
          <w:trHeight w:val="1200"/>
        </w:trPr>
        <w:tc>
          <w:tcPr>
            <w:tcW w:w="0" w:type="auto"/>
            <w:noWrap/>
            <w:hideMark/>
          </w:tcPr>
          <w:p w:rsidRPr="007938ED" w:rsidR="00D31E46" w:rsidP="00D31E46" w:rsidRDefault="00D31E46" w14:paraId="7DC8DC14" w14:textId="77777777">
            <w:pPr>
              <w:rPr>
                <w:rFonts w:asciiTheme="majorHAnsi" w:hAnsiTheme="majorHAnsi"/>
                <w:sz w:val="18"/>
                <w:szCs w:val="12"/>
              </w:rPr>
            </w:pPr>
            <w:r w:rsidRPr="007938ED">
              <w:rPr>
                <w:rFonts w:asciiTheme="majorHAnsi" w:hAnsiTheme="majorHAnsi"/>
                <w:sz w:val="18"/>
                <w:szCs w:val="12"/>
              </w:rPr>
              <w:t>43</w:t>
            </w:r>
          </w:p>
        </w:tc>
        <w:tc>
          <w:tcPr>
            <w:tcW w:w="0" w:type="auto"/>
            <w:hideMark/>
          </w:tcPr>
          <w:p w:rsidRPr="007938ED" w:rsidR="00D31E46" w:rsidRDefault="00D31E46" w14:paraId="1DAFF1FD"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01E3412B" w14:textId="77777777">
            <w:pPr>
              <w:rPr>
                <w:rFonts w:asciiTheme="majorHAnsi" w:hAnsiTheme="majorHAnsi"/>
                <w:sz w:val="18"/>
                <w:szCs w:val="12"/>
              </w:rPr>
            </w:pPr>
            <w:r w:rsidRPr="007938ED">
              <w:rPr>
                <w:rFonts w:asciiTheme="majorHAnsi" w:hAnsiTheme="majorHAnsi"/>
                <w:sz w:val="18"/>
                <w:szCs w:val="12"/>
              </w:rPr>
              <w:t>First year annual kW gross</w:t>
            </w:r>
          </w:p>
        </w:tc>
        <w:tc>
          <w:tcPr>
            <w:tcW w:w="0" w:type="auto"/>
            <w:hideMark/>
          </w:tcPr>
          <w:p w:rsidRPr="007938ED" w:rsidR="00D31E46" w:rsidRDefault="00D31E46" w14:paraId="0647C25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9F6AA5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6F2BC2B"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9299B0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C2C896D" w14:textId="77777777">
            <w:pPr>
              <w:rPr>
                <w:rFonts w:asciiTheme="majorHAnsi" w:hAnsiTheme="majorHAnsi"/>
                <w:sz w:val="18"/>
                <w:szCs w:val="12"/>
              </w:rPr>
            </w:pPr>
            <w:r w:rsidRPr="007938ED">
              <w:rPr>
                <w:rFonts w:asciiTheme="majorHAnsi" w:hAnsiTheme="majorHAnsi"/>
                <w:sz w:val="18"/>
                <w:szCs w:val="12"/>
              </w:rPr>
              <w:t>First year annual kW gross</w:t>
            </w:r>
          </w:p>
        </w:tc>
      </w:tr>
      <w:tr w:rsidRPr="007938ED" w:rsidR="00CE6F7B" w:rsidTr="007938ED" w14:paraId="1E4FE958" w14:textId="77777777">
        <w:trPr>
          <w:trHeight w:val="1200"/>
        </w:trPr>
        <w:tc>
          <w:tcPr>
            <w:tcW w:w="0" w:type="auto"/>
            <w:noWrap/>
            <w:hideMark/>
          </w:tcPr>
          <w:p w:rsidRPr="007938ED" w:rsidR="00D31E46" w:rsidP="00D31E46" w:rsidRDefault="00D31E46" w14:paraId="6A9B85BF" w14:textId="77777777">
            <w:pPr>
              <w:rPr>
                <w:rFonts w:asciiTheme="majorHAnsi" w:hAnsiTheme="majorHAnsi"/>
                <w:sz w:val="18"/>
                <w:szCs w:val="12"/>
              </w:rPr>
            </w:pPr>
            <w:r w:rsidRPr="007938ED">
              <w:rPr>
                <w:rFonts w:asciiTheme="majorHAnsi" w:hAnsiTheme="majorHAnsi"/>
                <w:sz w:val="18"/>
                <w:szCs w:val="12"/>
              </w:rPr>
              <w:t>44</w:t>
            </w:r>
          </w:p>
        </w:tc>
        <w:tc>
          <w:tcPr>
            <w:tcW w:w="0" w:type="auto"/>
            <w:hideMark/>
          </w:tcPr>
          <w:p w:rsidRPr="007938ED" w:rsidR="00D31E46" w:rsidRDefault="00D31E46" w14:paraId="6B66D52A"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630C91DC" w14:textId="77777777">
            <w:pPr>
              <w:rPr>
                <w:rFonts w:asciiTheme="majorHAnsi" w:hAnsiTheme="majorHAnsi"/>
                <w:sz w:val="18"/>
                <w:szCs w:val="12"/>
              </w:rPr>
            </w:pPr>
            <w:r w:rsidRPr="007938ED">
              <w:rPr>
                <w:rFonts w:asciiTheme="majorHAnsi" w:hAnsiTheme="majorHAnsi"/>
                <w:sz w:val="18"/>
                <w:szCs w:val="12"/>
              </w:rPr>
              <w:t>First year annual kW net</w:t>
            </w:r>
          </w:p>
        </w:tc>
        <w:tc>
          <w:tcPr>
            <w:tcW w:w="0" w:type="auto"/>
            <w:hideMark/>
          </w:tcPr>
          <w:p w:rsidRPr="007938ED" w:rsidR="00D31E46" w:rsidRDefault="00D31E46" w14:paraId="74448A7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4803C5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6979213"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FCBACC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3B0523F" w14:textId="77777777">
            <w:pPr>
              <w:rPr>
                <w:rFonts w:asciiTheme="majorHAnsi" w:hAnsiTheme="majorHAnsi"/>
                <w:sz w:val="18"/>
                <w:szCs w:val="12"/>
              </w:rPr>
            </w:pPr>
            <w:r w:rsidRPr="007938ED">
              <w:rPr>
                <w:rFonts w:asciiTheme="majorHAnsi" w:hAnsiTheme="majorHAnsi"/>
                <w:sz w:val="18"/>
                <w:szCs w:val="12"/>
              </w:rPr>
              <w:t>First year annual kW net</w:t>
            </w:r>
          </w:p>
        </w:tc>
      </w:tr>
      <w:tr w:rsidRPr="007938ED" w:rsidR="00CE6F7B" w:rsidTr="007938ED" w14:paraId="0C0DCFDC" w14:textId="77777777">
        <w:trPr>
          <w:trHeight w:val="1200"/>
        </w:trPr>
        <w:tc>
          <w:tcPr>
            <w:tcW w:w="0" w:type="auto"/>
            <w:noWrap/>
            <w:hideMark/>
          </w:tcPr>
          <w:p w:rsidRPr="007938ED" w:rsidR="00D31E46" w:rsidP="00D31E46" w:rsidRDefault="00D31E46" w14:paraId="7AB7A01E" w14:textId="77777777">
            <w:pPr>
              <w:rPr>
                <w:rFonts w:asciiTheme="majorHAnsi" w:hAnsiTheme="majorHAnsi"/>
                <w:sz w:val="18"/>
                <w:szCs w:val="12"/>
              </w:rPr>
            </w:pPr>
            <w:r w:rsidRPr="007938ED">
              <w:rPr>
                <w:rFonts w:asciiTheme="majorHAnsi" w:hAnsiTheme="majorHAnsi"/>
                <w:sz w:val="18"/>
                <w:szCs w:val="12"/>
              </w:rPr>
              <w:t>45</w:t>
            </w:r>
          </w:p>
        </w:tc>
        <w:tc>
          <w:tcPr>
            <w:tcW w:w="0" w:type="auto"/>
            <w:hideMark/>
          </w:tcPr>
          <w:p w:rsidRPr="007938ED" w:rsidR="00D31E46" w:rsidRDefault="00D31E46" w14:paraId="7186A63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55A38DFB" w14:textId="77777777">
            <w:pPr>
              <w:rPr>
                <w:rFonts w:asciiTheme="majorHAnsi" w:hAnsiTheme="majorHAnsi"/>
                <w:sz w:val="18"/>
                <w:szCs w:val="12"/>
              </w:rPr>
            </w:pPr>
            <w:r w:rsidRPr="007938ED">
              <w:rPr>
                <w:rFonts w:asciiTheme="majorHAnsi" w:hAnsiTheme="majorHAnsi"/>
                <w:sz w:val="18"/>
                <w:szCs w:val="12"/>
              </w:rPr>
              <w:t>First year annual kWh gross</w:t>
            </w:r>
          </w:p>
        </w:tc>
        <w:tc>
          <w:tcPr>
            <w:tcW w:w="0" w:type="auto"/>
            <w:hideMark/>
          </w:tcPr>
          <w:p w:rsidRPr="007938ED" w:rsidR="00D31E46" w:rsidRDefault="00D31E46" w14:paraId="7E8AB5B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A6A1E0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40E9F6D"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006EAE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46D316C" w14:textId="77777777">
            <w:pPr>
              <w:rPr>
                <w:rFonts w:asciiTheme="majorHAnsi" w:hAnsiTheme="majorHAnsi"/>
                <w:sz w:val="18"/>
                <w:szCs w:val="12"/>
              </w:rPr>
            </w:pPr>
            <w:r w:rsidRPr="007938ED">
              <w:rPr>
                <w:rFonts w:asciiTheme="majorHAnsi" w:hAnsiTheme="majorHAnsi"/>
                <w:sz w:val="18"/>
                <w:szCs w:val="12"/>
              </w:rPr>
              <w:t>First year annual kWh gross</w:t>
            </w:r>
          </w:p>
        </w:tc>
      </w:tr>
      <w:tr w:rsidRPr="007938ED" w:rsidR="00CE6F7B" w:rsidTr="007938ED" w14:paraId="75D437B2" w14:textId="77777777">
        <w:trPr>
          <w:trHeight w:val="1200"/>
        </w:trPr>
        <w:tc>
          <w:tcPr>
            <w:tcW w:w="0" w:type="auto"/>
            <w:noWrap/>
            <w:hideMark/>
          </w:tcPr>
          <w:p w:rsidRPr="007938ED" w:rsidR="00D31E46" w:rsidP="00D31E46" w:rsidRDefault="00D31E46" w14:paraId="08EBE0F3" w14:textId="77777777">
            <w:pPr>
              <w:rPr>
                <w:rFonts w:asciiTheme="majorHAnsi" w:hAnsiTheme="majorHAnsi"/>
                <w:sz w:val="18"/>
                <w:szCs w:val="12"/>
              </w:rPr>
            </w:pPr>
            <w:r w:rsidRPr="007938ED">
              <w:rPr>
                <w:rFonts w:asciiTheme="majorHAnsi" w:hAnsiTheme="majorHAnsi"/>
                <w:sz w:val="18"/>
                <w:szCs w:val="12"/>
              </w:rPr>
              <w:t>46</w:t>
            </w:r>
          </w:p>
        </w:tc>
        <w:tc>
          <w:tcPr>
            <w:tcW w:w="0" w:type="auto"/>
            <w:hideMark/>
          </w:tcPr>
          <w:p w:rsidRPr="007938ED" w:rsidR="00D31E46" w:rsidRDefault="00D31E46" w14:paraId="5C217C54"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0BAB893F" w14:textId="77777777">
            <w:pPr>
              <w:rPr>
                <w:rFonts w:asciiTheme="majorHAnsi" w:hAnsiTheme="majorHAnsi"/>
                <w:sz w:val="18"/>
                <w:szCs w:val="12"/>
              </w:rPr>
            </w:pPr>
            <w:r w:rsidRPr="007938ED">
              <w:rPr>
                <w:rFonts w:asciiTheme="majorHAnsi" w:hAnsiTheme="majorHAnsi"/>
                <w:sz w:val="18"/>
                <w:szCs w:val="12"/>
              </w:rPr>
              <w:t>First year annual kWh net</w:t>
            </w:r>
          </w:p>
        </w:tc>
        <w:tc>
          <w:tcPr>
            <w:tcW w:w="0" w:type="auto"/>
            <w:hideMark/>
          </w:tcPr>
          <w:p w:rsidRPr="007938ED" w:rsidR="00D31E46" w:rsidRDefault="00D31E46" w14:paraId="4EBCEA7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07C8484"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3F4A442"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B4E257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FFFDD28" w14:textId="77777777">
            <w:pPr>
              <w:rPr>
                <w:rFonts w:asciiTheme="majorHAnsi" w:hAnsiTheme="majorHAnsi"/>
                <w:sz w:val="18"/>
                <w:szCs w:val="12"/>
              </w:rPr>
            </w:pPr>
            <w:r w:rsidRPr="007938ED">
              <w:rPr>
                <w:rFonts w:asciiTheme="majorHAnsi" w:hAnsiTheme="majorHAnsi"/>
                <w:sz w:val="18"/>
                <w:szCs w:val="12"/>
              </w:rPr>
              <w:t>First year annual kWh net</w:t>
            </w:r>
          </w:p>
        </w:tc>
      </w:tr>
      <w:tr w:rsidRPr="007938ED" w:rsidR="00CE6F7B" w:rsidTr="007938ED" w14:paraId="05B40DBD" w14:textId="77777777">
        <w:trPr>
          <w:trHeight w:val="1200"/>
        </w:trPr>
        <w:tc>
          <w:tcPr>
            <w:tcW w:w="0" w:type="auto"/>
            <w:noWrap/>
            <w:hideMark/>
          </w:tcPr>
          <w:p w:rsidRPr="007938ED" w:rsidR="00D31E46" w:rsidP="00D31E46" w:rsidRDefault="00D31E46" w14:paraId="6969A4A4" w14:textId="77777777">
            <w:pPr>
              <w:rPr>
                <w:rFonts w:asciiTheme="majorHAnsi" w:hAnsiTheme="majorHAnsi"/>
                <w:sz w:val="18"/>
                <w:szCs w:val="12"/>
              </w:rPr>
            </w:pPr>
            <w:r w:rsidRPr="007938ED">
              <w:rPr>
                <w:rFonts w:asciiTheme="majorHAnsi" w:hAnsiTheme="majorHAnsi"/>
                <w:sz w:val="18"/>
                <w:szCs w:val="12"/>
              </w:rPr>
              <w:lastRenderedPageBreak/>
              <w:t>47</w:t>
            </w:r>
          </w:p>
        </w:tc>
        <w:tc>
          <w:tcPr>
            <w:tcW w:w="0" w:type="auto"/>
            <w:hideMark/>
          </w:tcPr>
          <w:p w:rsidRPr="007938ED" w:rsidR="00D31E46" w:rsidRDefault="00D31E46" w14:paraId="14DE26E2"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298676E2" w14:textId="77777777">
            <w:pPr>
              <w:rPr>
                <w:rFonts w:asciiTheme="majorHAnsi" w:hAnsiTheme="majorHAnsi"/>
                <w:sz w:val="18"/>
                <w:szCs w:val="12"/>
              </w:rPr>
            </w:pPr>
            <w:r w:rsidRPr="007938ED">
              <w:rPr>
                <w:rFonts w:asciiTheme="majorHAnsi" w:hAnsiTheme="majorHAnsi"/>
                <w:sz w:val="18"/>
                <w:szCs w:val="12"/>
              </w:rPr>
              <w:t>First year annual Therm gross</w:t>
            </w:r>
          </w:p>
        </w:tc>
        <w:tc>
          <w:tcPr>
            <w:tcW w:w="0" w:type="auto"/>
            <w:hideMark/>
          </w:tcPr>
          <w:p w:rsidRPr="007938ED" w:rsidR="00D31E46" w:rsidRDefault="00D31E46" w14:paraId="268B7A3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FDC8013"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92A288D"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162864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BC668EC" w14:textId="77777777">
            <w:pPr>
              <w:rPr>
                <w:rFonts w:asciiTheme="majorHAnsi" w:hAnsiTheme="majorHAnsi"/>
                <w:sz w:val="18"/>
                <w:szCs w:val="12"/>
              </w:rPr>
            </w:pPr>
            <w:r w:rsidRPr="007938ED">
              <w:rPr>
                <w:rFonts w:asciiTheme="majorHAnsi" w:hAnsiTheme="majorHAnsi"/>
                <w:sz w:val="18"/>
                <w:szCs w:val="12"/>
              </w:rPr>
              <w:t>First year annual Therm gross</w:t>
            </w:r>
          </w:p>
        </w:tc>
      </w:tr>
      <w:tr w:rsidRPr="007938ED" w:rsidR="00CE6F7B" w:rsidTr="007938ED" w14:paraId="34985D4F" w14:textId="77777777">
        <w:trPr>
          <w:trHeight w:val="1200"/>
        </w:trPr>
        <w:tc>
          <w:tcPr>
            <w:tcW w:w="0" w:type="auto"/>
            <w:noWrap/>
            <w:hideMark/>
          </w:tcPr>
          <w:p w:rsidRPr="007938ED" w:rsidR="00D31E46" w:rsidP="00D31E46" w:rsidRDefault="00D31E46" w14:paraId="677FC3A1" w14:textId="77777777">
            <w:pPr>
              <w:rPr>
                <w:rFonts w:asciiTheme="majorHAnsi" w:hAnsiTheme="majorHAnsi"/>
                <w:sz w:val="18"/>
                <w:szCs w:val="12"/>
              </w:rPr>
            </w:pPr>
            <w:r w:rsidRPr="007938ED">
              <w:rPr>
                <w:rFonts w:asciiTheme="majorHAnsi" w:hAnsiTheme="majorHAnsi"/>
                <w:sz w:val="18"/>
                <w:szCs w:val="12"/>
              </w:rPr>
              <w:t>48</w:t>
            </w:r>
          </w:p>
        </w:tc>
        <w:tc>
          <w:tcPr>
            <w:tcW w:w="0" w:type="auto"/>
            <w:hideMark/>
          </w:tcPr>
          <w:p w:rsidRPr="007938ED" w:rsidR="00D31E46" w:rsidRDefault="00D31E46" w14:paraId="2B80EBA1"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0BDC47CC" w14:textId="77777777">
            <w:pPr>
              <w:rPr>
                <w:rFonts w:asciiTheme="majorHAnsi" w:hAnsiTheme="majorHAnsi"/>
                <w:sz w:val="18"/>
                <w:szCs w:val="12"/>
              </w:rPr>
            </w:pPr>
            <w:r w:rsidRPr="007938ED">
              <w:rPr>
                <w:rFonts w:asciiTheme="majorHAnsi" w:hAnsiTheme="majorHAnsi"/>
                <w:sz w:val="18"/>
                <w:szCs w:val="12"/>
              </w:rPr>
              <w:t>First year annual Therm net</w:t>
            </w:r>
          </w:p>
        </w:tc>
        <w:tc>
          <w:tcPr>
            <w:tcW w:w="0" w:type="auto"/>
            <w:hideMark/>
          </w:tcPr>
          <w:p w:rsidRPr="007938ED" w:rsidR="00D31E46" w:rsidRDefault="00D31E46" w14:paraId="1CBB1B7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118E969"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3BF4ACB"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CA52BE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7932FAB" w14:textId="77777777">
            <w:pPr>
              <w:rPr>
                <w:rFonts w:asciiTheme="majorHAnsi" w:hAnsiTheme="majorHAnsi"/>
                <w:sz w:val="18"/>
                <w:szCs w:val="12"/>
              </w:rPr>
            </w:pPr>
            <w:r w:rsidRPr="007938ED">
              <w:rPr>
                <w:rFonts w:asciiTheme="majorHAnsi" w:hAnsiTheme="majorHAnsi"/>
                <w:sz w:val="18"/>
                <w:szCs w:val="12"/>
              </w:rPr>
              <w:t>First year annual Therm net</w:t>
            </w:r>
          </w:p>
        </w:tc>
      </w:tr>
      <w:tr w:rsidRPr="007938ED" w:rsidR="00CE6F7B" w:rsidTr="007938ED" w14:paraId="5595A452" w14:textId="77777777">
        <w:trPr>
          <w:trHeight w:val="1200"/>
        </w:trPr>
        <w:tc>
          <w:tcPr>
            <w:tcW w:w="0" w:type="auto"/>
            <w:noWrap/>
            <w:hideMark/>
          </w:tcPr>
          <w:p w:rsidRPr="007938ED" w:rsidR="00D31E46" w:rsidP="00D31E46" w:rsidRDefault="00D31E46" w14:paraId="54405D4A" w14:textId="77777777">
            <w:pPr>
              <w:rPr>
                <w:rFonts w:asciiTheme="majorHAnsi" w:hAnsiTheme="majorHAnsi"/>
                <w:sz w:val="18"/>
                <w:szCs w:val="12"/>
              </w:rPr>
            </w:pPr>
            <w:r w:rsidRPr="007938ED">
              <w:rPr>
                <w:rFonts w:asciiTheme="majorHAnsi" w:hAnsiTheme="majorHAnsi"/>
                <w:sz w:val="18"/>
                <w:szCs w:val="12"/>
              </w:rPr>
              <w:t>49</w:t>
            </w:r>
          </w:p>
        </w:tc>
        <w:tc>
          <w:tcPr>
            <w:tcW w:w="0" w:type="auto"/>
            <w:hideMark/>
          </w:tcPr>
          <w:p w:rsidRPr="007938ED" w:rsidR="00D31E46" w:rsidRDefault="00D31E46" w14:paraId="4447C590"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1072EB73" w14:textId="77777777">
            <w:pPr>
              <w:rPr>
                <w:rFonts w:asciiTheme="majorHAnsi" w:hAnsiTheme="majorHAnsi"/>
                <w:sz w:val="18"/>
                <w:szCs w:val="12"/>
              </w:rPr>
            </w:pPr>
            <w:r w:rsidRPr="007938ED">
              <w:rPr>
                <w:rFonts w:asciiTheme="majorHAnsi" w:hAnsiTheme="majorHAnsi"/>
                <w:sz w:val="18"/>
                <w:szCs w:val="12"/>
              </w:rPr>
              <w:t>Lifecycle ex-ante kW gross</w:t>
            </w:r>
          </w:p>
        </w:tc>
        <w:tc>
          <w:tcPr>
            <w:tcW w:w="0" w:type="auto"/>
            <w:hideMark/>
          </w:tcPr>
          <w:p w:rsidRPr="007938ED" w:rsidR="00D31E46" w:rsidRDefault="00D31E46" w14:paraId="23BF4ED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D40E43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D814A0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4020C9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DA8F395" w14:textId="77777777">
            <w:pPr>
              <w:rPr>
                <w:rFonts w:asciiTheme="majorHAnsi" w:hAnsiTheme="majorHAnsi"/>
                <w:sz w:val="18"/>
                <w:szCs w:val="12"/>
              </w:rPr>
            </w:pPr>
            <w:r w:rsidRPr="007938ED">
              <w:rPr>
                <w:rFonts w:asciiTheme="majorHAnsi" w:hAnsiTheme="majorHAnsi"/>
                <w:sz w:val="18"/>
                <w:szCs w:val="12"/>
              </w:rPr>
              <w:t>Lifecycle ex-ante kW gross</w:t>
            </w:r>
          </w:p>
        </w:tc>
      </w:tr>
      <w:tr w:rsidRPr="007938ED" w:rsidR="00CE6F7B" w:rsidTr="007938ED" w14:paraId="4D3443F9" w14:textId="77777777">
        <w:trPr>
          <w:trHeight w:val="1200"/>
        </w:trPr>
        <w:tc>
          <w:tcPr>
            <w:tcW w:w="0" w:type="auto"/>
            <w:noWrap/>
            <w:hideMark/>
          </w:tcPr>
          <w:p w:rsidRPr="007938ED" w:rsidR="00D31E46" w:rsidP="00D31E46" w:rsidRDefault="00D31E46" w14:paraId="68CDCE1B" w14:textId="77777777">
            <w:pPr>
              <w:rPr>
                <w:rFonts w:asciiTheme="majorHAnsi" w:hAnsiTheme="majorHAnsi"/>
                <w:sz w:val="18"/>
                <w:szCs w:val="12"/>
              </w:rPr>
            </w:pPr>
            <w:r w:rsidRPr="007938ED">
              <w:rPr>
                <w:rFonts w:asciiTheme="majorHAnsi" w:hAnsiTheme="majorHAnsi"/>
                <w:sz w:val="18"/>
                <w:szCs w:val="12"/>
              </w:rPr>
              <w:t>50</w:t>
            </w:r>
          </w:p>
        </w:tc>
        <w:tc>
          <w:tcPr>
            <w:tcW w:w="0" w:type="auto"/>
            <w:hideMark/>
          </w:tcPr>
          <w:p w:rsidRPr="007938ED" w:rsidR="00D31E46" w:rsidRDefault="00D31E46" w14:paraId="3A68C65D"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608EAE7B" w14:textId="77777777">
            <w:pPr>
              <w:rPr>
                <w:rFonts w:asciiTheme="majorHAnsi" w:hAnsiTheme="majorHAnsi"/>
                <w:sz w:val="18"/>
                <w:szCs w:val="12"/>
              </w:rPr>
            </w:pPr>
            <w:r w:rsidRPr="007938ED">
              <w:rPr>
                <w:rFonts w:asciiTheme="majorHAnsi" w:hAnsiTheme="majorHAnsi"/>
                <w:sz w:val="18"/>
                <w:szCs w:val="12"/>
              </w:rPr>
              <w:t>Lifecycle ex-ante kW net</w:t>
            </w:r>
          </w:p>
        </w:tc>
        <w:tc>
          <w:tcPr>
            <w:tcW w:w="0" w:type="auto"/>
            <w:hideMark/>
          </w:tcPr>
          <w:p w:rsidRPr="007938ED" w:rsidR="00D31E46" w:rsidRDefault="00D31E46" w14:paraId="5CC8969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64562D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EED98F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C12F54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E59919E" w14:textId="77777777">
            <w:pPr>
              <w:rPr>
                <w:rFonts w:asciiTheme="majorHAnsi" w:hAnsiTheme="majorHAnsi"/>
                <w:sz w:val="18"/>
                <w:szCs w:val="12"/>
              </w:rPr>
            </w:pPr>
            <w:r w:rsidRPr="007938ED">
              <w:rPr>
                <w:rFonts w:asciiTheme="majorHAnsi" w:hAnsiTheme="majorHAnsi"/>
                <w:sz w:val="18"/>
                <w:szCs w:val="12"/>
              </w:rPr>
              <w:t>Lifecycle ex-ante kW net</w:t>
            </w:r>
          </w:p>
        </w:tc>
      </w:tr>
      <w:tr w:rsidRPr="007938ED" w:rsidR="00CE6F7B" w:rsidTr="007938ED" w14:paraId="66F6004C" w14:textId="77777777">
        <w:trPr>
          <w:trHeight w:val="2694"/>
        </w:trPr>
        <w:tc>
          <w:tcPr>
            <w:tcW w:w="0" w:type="auto"/>
            <w:noWrap/>
            <w:hideMark/>
          </w:tcPr>
          <w:p w:rsidRPr="007938ED" w:rsidR="00D31E46" w:rsidP="00D31E46" w:rsidRDefault="00D31E46" w14:paraId="69207EBF" w14:textId="77777777">
            <w:pPr>
              <w:rPr>
                <w:rFonts w:asciiTheme="majorHAnsi" w:hAnsiTheme="majorHAnsi"/>
                <w:sz w:val="18"/>
                <w:szCs w:val="12"/>
              </w:rPr>
            </w:pPr>
            <w:r w:rsidRPr="007938ED">
              <w:rPr>
                <w:rFonts w:asciiTheme="majorHAnsi" w:hAnsiTheme="majorHAnsi"/>
                <w:sz w:val="18"/>
                <w:szCs w:val="12"/>
              </w:rPr>
              <w:lastRenderedPageBreak/>
              <w:t>51</w:t>
            </w:r>
          </w:p>
        </w:tc>
        <w:tc>
          <w:tcPr>
            <w:tcW w:w="0" w:type="auto"/>
            <w:hideMark/>
          </w:tcPr>
          <w:p w:rsidRPr="007938ED" w:rsidR="00D31E46" w:rsidRDefault="00D31E46" w14:paraId="1EAB56AE"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2E291D44" w14:textId="77777777">
            <w:pPr>
              <w:rPr>
                <w:rFonts w:asciiTheme="majorHAnsi" w:hAnsiTheme="majorHAnsi"/>
                <w:sz w:val="18"/>
                <w:szCs w:val="12"/>
              </w:rPr>
            </w:pPr>
            <w:r w:rsidRPr="007938ED">
              <w:rPr>
                <w:rFonts w:asciiTheme="majorHAnsi" w:hAnsiTheme="majorHAnsi"/>
                <w:sz w:val="18"/>
                <w:szCs w:val="12"/>
              </w:rPr>
              <w:t>Lifecycle ex-ante kWh gross</w:t>
            </w:r>
          </w:p>
        </w:tc>
        <w:tc>
          <w:tcPr>
            <w:tcW w:w="0" w:type="auto"/>
            <w:hideMark/>
          </w:tcPr>
          <w:p w:rsidRPr="007938ED" w:rsidR="00D31E46" w:rsidRDefault="00D31E46" w14:paraId="7A547B3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606D734"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F7A959F"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3CCAC34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9B2AF25" w14:textId="77777777">
            <w:pPr>
              <w:rPr>
                <w:rFonts w:asciiTheme="majorHAnsi" w:hAnsiTheme="majorHAnsi"/>
                <w:sz w:val="18"/>
                <w:szCs w:val="12"/>
              </w:rPr>
            </w:pPr>
            <w:r w:rsidRPr="007938ED">
              <w:rPr>
                <w:rFonts w:asciiTheme="majorHAnsi" w:hAnsiTheme="majorHAnsi"/>
                <w:sz w:val="18"/>
                <w:szCs w:val="12"/>
              </w:rPr>
              <w:t>Lifecycle ex-ante kWh gross</w:t>
            </w:r>
          </w:p>
        </w:tc>
      </w:tr>
      <w:tr w:rsidRPr="007938ED" w:rsidR="00CE6F7B" w:rsidTr="007938ED" w14:paraId="587C0D0E" w14:textId="77777777">
        <w:trPr>
          <w:trHeight w:val="1200"/>
        </w:trPr>
        <w:tc>
          <w:tcPr>
            <w:tcW w:w="0" w:type="auto"/>
            <w:noWrap/>
            <w:hideMark/>
          </w:tcPr>
          <w:p w:rsidRPr="007938ED" w:rsidR="00D31E46" w:rsidP="00D31E46" w:rsidRDefault="00D31E46" w14:paraId="067645FE" w14:textId="77777777">
            <w:pPr>
              <w:rPr>
                <w:rFonts w:asciiTheme="majorHAnsi" w:hAnsiTheme="majorHAnsi"/>
                <w:sz w:val="18"/>
                <w:szCs w:val="12"/>
              </w:rPr>
            </w:pPr>
            <w:r w:rsidRPr="007938ED">
              <w:rPr>
                <w:rFonts w:asciiTheme="majorHAnsi" w:hAnsiTheme="majorHAnsi"/>
                <w:sz w:val="18"/>
                <w:szCs w:val="12"/>
              </w:rPr>
              <w:t>52</w:t>
            </w:r>
          </w:p>
        </w:tc>
        <w:tc>
          <w:tcPr>
            <w:tcW w:w="0" w:type="auto"/>
            <w:hideMark/>
          </w:tcPr>
          <w:p w:rsidRPr="007938ED" w:rsidR="00D31E46" w:rsidRDefault="00D31E46" w14:paraId="0267E7B6"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6730DAB3" w14:textId="77777777">
            <w:pPr>
              <w:rPr>
                <w:rFonts w:asciiTheme="majorHAnsi" w:hAnsiTheme="majorHAnsi"/>
                <w:sz w:val="18"/>
                <w:szCs w:val="12"/>
              </w:rPr>
            </w:pPr>
            <w:r w:rsidRPr="007938ED">
              <w:rPr>
                <w:rFonts w:asciiTheme="majorHAnsi" w:hAnsiTheme="majorHAnsi"/>
                <w:sz w:val="18"/>
                <w:szCs w:val="12"/>
              </w:rPr>
              <w:t>Lifecycle ex-ante kWh net</w:t>
            </w:r>
          </w:p>
        </w:tc>
        <w:tc>
          <w:tcPr>
            <w:tcW w:w="0" w:type="auto"/>
            <w:hideMark/>
          </w:tcPr>
          <w:p w:rsidRPr="007938ED" w:rsidR="00D31E46" w:rsidRDefault="00D31E46" w14:paraId="5842FDF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D15BDA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6199019"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7DBA068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498E452" w14:textId="77777777">
            <w:pPr>
              <w:rPr>
                <w:rFonts w:asciiTheme="majorHAnsi" w:hAnsiTheme="majorHAnsi"/>
                <w:sz w:val="18"/>
                <w:szCs w:val="12"/>
              </w:rPr>
            </w:pPr>
            <w:r w:rsidRPr="007938ED">
              <w:rPr>
                <w:rFonts w:asciiTheme="majorHAnsi" w:hAnsiTheme="majorHAnsi"/>
                <w:sz w:val="18"/>
                <w:szCs w:val="12"/>
              </w:rPr>
              <w:t>Lifecycle ex-ante kWh net</w:t>
            </w:r>
          </w:p>
        </w:tc>
      </w:tr>
      <w:tr w:rsidRPr="007938ED" w:rsidR="00CE6F7B" w:rsidTr="007938ED" w14:paraId="1224C882" w14:textId="77777777">
        <w:trPr>
          <w:trHeight w:val="1200"/>
        </w:trPr>
        <w:tc>
          <w:tcPr>
            <w:tcW w:w="0" w:type="auto"/>
            <w:noWrap/>
            <w:hideMark/>
          </w:tcPr>
          <w:p w:rsidRPr="007938ED" w:rsidR="00D31E46" w:rsidP="00D31E46" w:rsidRDefault="00D31E46" w14:paraId="2A0DC82D" w14:textId="77777777">
            <w:pPr>
              <w:rPr>
                <w:rFonts w:asciiTheme="majorHAnsi" w:hAnsiTheme="majorHAnsi"/>
                <w:sz w:val="18"/>
                <w:szCs w:val="12"/>
              </w:rPr>
            </w:pPr>
            <w:r w:rsidRPr="007938ED">
              <w:rPr>
                <w:rFonts w:asciiTheme="majorHAnsi" w:hAnsiTheme="majorHAnsi"/>
                <w:sz w:val="18"/>
                <w:szCs w:val="12"/>
              </w:rPr>
              <w:t>53</w:t>
            </w:r>
          </w:p>
        </w:tc>
        <w:tc>
          <w:tcPr>
            <w:tcW w:w="0" w:type="auto"/>
            <w:hideMark/>
          </w:tcPr>
          <w:p w:rsidRPr="007938ED" w:rsidR="00D31E46" w:rsidRDefault="00D31E46" w14:paraId="6DC52403"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3F0373BC" w14:textId="77777777">
            <w:pPr>
              <w:rPr>
                <w:rFonts w:asciiTheme="majorHAnsi" w:hAnsiTheme="majorHAnsi"/>
                <w:sz w:val="18"/>
                <w:szCs w:val="12"/>
              </w:rPr>
            </w:pPr>
            <w:r w:rsidRPr="007938ED">
              <w:rPr>
                <w:rFonts w:asciiTheme="majorHAnsi" w:hAnsiTheme="majorHAnsi"/>
                <w:sz w:val="18"/>
                <w:szCs w:val="12"/>
              </w:rPr>
              <w:t>Lifecycle ex-ante Therm gross</w:t>
            </w:r>
          </w:p>
        </w:tc>
        <w:tc>
          <w:tcPr>
            <w:tcW w:w="0" w:type="auto"/>
            <w:hideMark/>
          </w:tcPr>
          <w:p w:rsidRPr="007938ED" w:rsidR="00D31E46" w:rsidRDefault="00D31E46" w14:paraId="027BDBD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4ACF009"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98186ED"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5922140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B6739E5" w14:textId="77777777">
            <w:pPr>
              <w:rPr>
                <w:rFonts w:asciiTheme="majorHAnsi" w:hAnsiTheme="majorHAnsi"/>
                <w:sz w:val="18"/>
                <w:szCs w:val="12"/>
              </w:rPr>
            </w:pPr>
            <w:r w:rsidRPr="007938ED">
              <w:rPr>
                <w:rFonts w:asciiTheme="majorHAnsi" w:hAnsiTheme="majorHAnsi"/>
                <w:sz w:val="18"/>
                <w:szCs w:val="12"/>
              </w:rPr>
              <w:t>Lifecycle ex-ante Therm gross</w:t>
            </w:r>
          </w:p>
        </w:tc>
      </w:tr>
      <w:tr w:rsidRPr="007938ED" w:rsidR="00CE6F7B" w:rsidTr="007938ED" w14:paraId="688482AC" w14:textId="77777777">
        <w:trPr>
          <w:trHeight w:val="1200"/>
        </w:trPr>
        <w:tc>
          <w:tcPr>
            <w:tcW w:w="0" w:type="auto"/>
            <w:noWrap/>
            <w:hideMark/>
          </w:tcPr>
          <w:p w:rsidRPr="007938ED" w:rsidR="00D31E46" w:rsidP="00D31E46" w:rsidRDefault="00D31E46" w14:paraId="282CCD30" w14:textId="77777777">
            <w:pPr>
              <w:rPr>
                <w:rFonts w:asciiTheme="majorHAnsi" w:hAnsiTheme="majorHAnsi"/>
                <w:sz w:val="18"/>
                <w:szCs w:val="12"/>
              </w:rPr>
            </w:pPr>
            <w:r w:rsidRPr="007938ED">
              <w:rPr>
                <w:rFonts w:asciiTheme="majorHAnsi" w:hAnsiTheme="majorHAnsi"/>
                <w:sz w:val="18"/>
                <w:szCs w:val="12"/>
              </w:rPr>
              <w:t>54</w:t>
            </w:r>
          </w:p>
        </w:tc>
        <w:tc>
          <w:tcPr>
            <w:tcW w:w="0" w:type="auto"/>
            <w:hideMark/>
          </w:tcPr>
          <w:p w:rsidRPr="007938ED" w:rsidR="00D31E46" w:rsidRDefault="00D31E46" w14:paraId="59C8797C"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Single Family Customers</w:t>
            </w:r>
          </w:p>
        </w:tc>
        <w:tc>
          <w:tcPr>
            <w:tcW w:w="0" w:type="auto"/>
            <w:hideMark/>
          </w:tcPr>
          <w:p w:rsidRPr="007938ED" w:rsidR="00D31E46" w:rsidRDefault="00D31E46" w14:paraId="7AE97C16" w14:textId="77777777">
            <w:pPr>
              <w:rPr>
                <w:rFonts w:asciiTheme="majorHAnsi" w:hAnsiTheme="majorHAnsi"/>
                <w:sz w:val="18"/>
                <w:szCs w:val="12"/>
              </w:rPr>
            </w:pPr>
            <w:r w:rsidRPr="007938ED">
              <w:rPr>
                <w:rFonts w:asciiTheme="majorHAnsi" w:hAnsiTheme="majorHAnsi"/>
                <w:sz w:val="18"/>
                <w:szCs w:val="12"/>
              </w:rPr>
              <w:t>Lifecycle ex-ante Therm net</w:t>
            </w:r>
          </w:p>
        </w:tc>
        <w:tc>
          <w:tcPr>
            <w:tcW w:w="0" w:type="auto"/>
            <w:hideMark/>
          </w:tcPr>
          <w:p w:rsidRPr="007938ED" w:rsidR="00D31E46" w:rsidRDefault="00D31E46" w14:paraId="6A4A435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E072BDD"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42A9866"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6125561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064DD23" w14:textId="77777777">
            <w:pPr>
              <w:rPr>
                <w:rFonts w:asciiTheme="majorHAnsi" w:hAnsiTheme="majorHAnsi"/>
                <w:sz w:val="18"/>
                <w:szCs w:val="12"/>
              </w:rPr>
            </w:pPr>
            <w:r w:rsidRPr="007938ED">
              <w:rPr>
                <w:rFonts w:asciiTheme="majorHAnsi" w:hAnsiTheme="majorHAnsi"/>
                <w:sz w:val="18"/>
                <w:szCs w:val="12"/>
              </w:rPr>
              <w:t>Lifecycle ex-ante Therm net</w:t>
            </w:r>
          </w:p>
        </w:tc>
      </w:tr>
      <w:tr w:rsidRPr="007938ED" w:rsidR="00CE6F7B" w:rsidTr="007938ED" w14:paraId="5CB235E1" w14:textId="77777777">
        <w:trPr>
          <w:trHeight w:val="2915"/>
        </w:trPr>
        <w:tc>
          <w:tcPr>
            <w:tcW w:w="0" w:type="auto"/>
            <w:noWrap/>
            <w:hideMark/>
          </w:tcPr>
          <w:p w:rsidRPr="007938ED" w:rsidR="00D31E46" w:rsidP="00D31E46" w:rsidRDefault="00D31E46" w14:paraId="3E95DD2C" w14:textId="77777777">
            <w:pPr>
              <w:rPr>
                <w:rFonts w:asciiTheme="majorHAnsi" w:hAnsiTheme="majorHAnsi"/>
                <w:sz w:val="18"/>
                <w:szCs w:val="12"/>
              </w:rPr>
            </w:pPr>
            <w:r w:rsidRPr="007938ED">
              <w:rPr>
                <w:rFonts w:asciiTheme="majorHAnsi" w:hAnsiTheme="majorHAnsi"/>
                <w:sz w:val="18"/>
                <w:szCs w:val="12"/>
              </w:rPr>
              <w:lastRenderedPageBreak/>
              <w:t>55</w:t>
            </w:r>
          </w:p>
        </w:tc>
        <w:tc>
          <w:tcPr>
            <w:tcW w:w="0" w:type="auto"/>
            <w:hideMark/>
          </w:tcPr>
          <w:p w:rsidRPr="007938ED" w:rsidR="00D31E46" w:rsidRDefault="00D31E46" w14:paraId="1652AEEA" w14:textId="77777777">
            <w:pPr>
              <w:rPr>
                <w:rFonts w:asciiTheme="majorHAnsi" w:hAnsiTheme="majorHAnsi"/>
                <w:sz w:val="18"/>
                <w:szCs w:val="12"/>
              </w:rPr>
            </w:pPr>
            <w:r w:rsidRPr="007938ED">
              <w:rPr>
                <w:rFonts w:asciiTheme="majorHAnsi" w:hAnsiTheme="majorHAnsi"/>
                <w:sz w:val="18"/>
                <w:szCs w:val="12"/>
              </w:rPr>
              <w:t>Greenhouse gasses (MT CO2eq) Net kWh savings, reported on an annual basis</w:t>
            </w:r>
          </w:p>
        </w:tc>
        <w:tc>
          <w:tcPr>
            <w:tcW w:w="0" w:type="auto"/>
            <w:hideMark/>
          </w:tcPr>
          <w:p w:rsidRPr="007938ED" w:rsidR="00D31E46" w:rsidRDefault="00D31E46" w14:paraId="7D0CF6E2" w14:textId="77777777">
            <w:pPr>
              <w:rPr>
                <w:rFonts w:asciiTheme="majorHAnsi" w:hAnsiTheme="majorHAnsi"/>
                <w:sz w:val="18"/>
                <w:szCs w:val="12"/>
              </w:rPr>
            </w:pPr>
            <w:r w:rsidRPr="007938ED">
              <w:rPr>
                <w:rFonts w:asciiTheme="majorHAnsi" w:hAnsiTheme="majorHAnsi"/>
                <w:sz w:val="18"/>
                <w:szCs w:val="12"/>
              </w:rPr>
              <w:t>CO2-equivalent of net annual kWh savings</w:t>
            </w:r>
          </w:p>
        </w:tc>
        <w:tc>
          <w:tcPr>
            <w:tcW w:w="0" w:type="auto"/>
            <w:hideMark/>
          </w:tcPr>
          <w:p w:rsidRPr="007938ED" w:rsidR="00D31E46" w:rsidRDefault="00D31E46" w14:paraId="75683EE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B42E9A2" w14:textId="77777777">
            <w:pPr>
              <w:rPr>
                <w:rFonts w:asciiTheme="majorHAnsi" w:hAnsiTheme="majorHAnsi"/>
                <w:sz w:val="18"/>
                <w:szCs w:val="12"/>
              </w:rPr>
            </w:pPr>
            <w:r w:rsidRPr="007938ED">
              <w:rPr>
                <w:rFonts w:asciiTheme="majorHAnsi" w:hAnsiTheme="majorHAnsi"/>
                <w:sz w:val="18"/>
                <w:szCs w:val="12"/>
              </w:rPr>
              <w:t>GHG</w:t>
            </w:r>
          </w:p>
        </w:tc>
        <w:tc>
          <w:tcPr>
            <w:tcW w:w="0" w:type="auto"/>
            <w:hideMark/>
          </w:tcPr>
          <w:p w:rsidRPr="007938ED" w:rsidR="00D31E46" w:rsidP="00D31E46" w:rsidRDefault="00D31E46" w14:paraId="1109B61C"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3C9C03D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84D6897" w14:textId="77777777">
            <w:pPr>
              <w:rPr>
                <w:rFonts w:asciiTheme="majorHAnsi" w:hAnsiTheme="majorHAnsi"/>
                <w:sz w:val="18"/>
                <w:szCs w:val="12"/>
              </w:rPr>
            </w:pPr>
            <w:r w:rsidRPr="007938ED">
              <w:rPr>
                <w:rFonts w:asciiTheme="majorHAnsi" w:hAnsiTheme="majorHAnsi"/>
                <w:sz w:val="18"/>
                <w:szCs w:val="12"/>
              </w:rPr>
              <w:t>MT CO2eq</w:t>
            </w:r>
          </w:p>
        </w:tc>
      </w:tr>
      <w:tr w:rsidRPr="007938ED" w:rsidR="00CE6F7B" w:rsidTr="007938ED" w14:paraId="5D63507F" w14:textId="77777777">
        <w:trPr>
          <w:trHeight w:val="1800"/>
        </w:trPr>
        <w:tc>
          <w:tcPr>
            <w:tcW w:w="0" w:type="auto"/>
            <w:noWrap/>
            <w:hideMark/>
          </w:tcPr>
          <w:p w:rsidRPr="007938ED" w:rsidR="00D31E46" w:rsidP="00D31E46" w:rsidRDefault="00D31E46" w14:paraId="3BC9EE74" w14:textId="77777777">
            <w:pPr>
              <w:rPr>
                <w:rFonts w:asciiTheme="majorHAnsi" w:hAnsiTheme="majorHAnsi"/>
                <w:sz w:val="18"/>
                <w:szCs w:val="12"/>
              </w:rPr>
            </w:pPr>
            <w:r w:rsidRPr="007938ED">
              <w:rPr>
                <w:rFonts w:asciiTheme="majorHAnsi" w:hAnsiTheme="majorHAnsi"/>
                <w:sz w:val="18"/>
                <w:szCs w:val="12"/>
              </w:rPr>
              <w:t>56</w:t>
            </w:r>
          </w:p>
        </w:tc>
        <w:tc>
          <w:tcPr>
            <w:tcW w:w="0" w:type="auto"/>
            <w:hideMark/>
          </w:tcPr>
          <w:p w:rsidRPr="007938ED" w:rsidR="00D31E46" w:rsidRDefault="00D31E46" w14:paraId="4CCD9954"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06800668" w14:textId="77777777">
            <w:pPr>
              <w:rPr>
                <w:rFonts w:asciiTheme="majorHAnsi" w:hAnsiTheme="majorHAnsi"/>
                <w:sz w:val="18"/>
                <w:szCs w:val="12"/>
              </w:rPr>
            </w:pPr>
            <w:r w:rsidRPr="007938ED">
              <w:rPr>
                <w:rFonts w:asciiTheme="majorHAnsi" w:hAnsiTheme="majorHAnsi"/>
                <w:sz w:val="18"/>
                <w:szCs w:val="12"/>
              </w:rPr>
              <w:t>Average lifecycle ex-ante kW net savings per participant - Opt-in - Downstream</w:t>
            </w:r>
          </w:p>
        </w:tc>
        <w:tc>
          <w:tcPr>
            <w:tcW w:w="0" w:type="auto"/>
            <w:hideMark/>
          </w:tcPr>
          <w:p w:rsidRPr="007938ED" w:rsidR="00D31E46" w:rsidRDefault="00D31E46" w14:paraId="788283E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20BBACB"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5709D14A"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EAEF20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887D0D6" w14:textId="77777777">
            <w:pPr>
              <w:rPr>
                <w:rFonts w:asciiTheme="majorHAnsi" w:hAnsiTheme="majorHAnsi"/>
                <w:sz w:val="18"/>
                <w:szCs w:val="12"/>
              </w:rPr>
            </w:pPr>
            <w:r w:rsidRPr="007938ED">
              <w:rPr>
                <w:rFonts w:asciiTheme="majorHAnsi" w:hAnsiTheme="majorHAnsi"/>
                <w:sz w:val="18"/>
                <w:szCs w:val="12"/>
              </w:rPr>
              <w:t>Lifecycle NET kW</w:t>
            </w:r>
          </w:p>
        </w:tc>
      </w:tr>
      <w:tr w:rsidRPr="007938ED" w:rsidR="00CE6F7B" w:rsidTr="007938ED" w14:paraId="7A88DF11" w14:textId="77777777">
        <w:trPr>
          <w:trHeight w:val="1200"/>
        </w:trPr>
        <w:tc>
          <w:tcPr>
            <w:tcW w:w="0" w:type="auto"/>
            <w:noWrap/>
            <w:hideMark/>
          </w:tcPr>
          <w:p w:rsidRPr="007938ED" w:rsidR="00D31E46" w:rsidP="00D31E46" w:rsidRDefault="00D31E46" w14:paraId="4613FF2A" w14:textId="77777777">
            <w:pPr>
              <w:rPr>
                <w:rFonts w:asciiTheme="majorHAnsi" w:hAnsiTheme="majorHAnsi"/>
                <w:sz w:val="18"/>
                <w:szCs w:val="12"/>
              </w:rPr>
            </w:pPr>
            <w:r w:rsidRPr="007938ED">
              <w:rPr>
                <w:rFonts w:asciiTheme="majorHAnsi" w:hAnsiTheme="majorHAnsi"/>
                <w:sz w:val="18"/>
                <w:szCs w:val="12"/>
              </w:rPr>
              <w:t>57</w:t>
            </w:r>
          </w:p>
        </w:tc>
        <w:tc>
          <w:tcPr>
            <w:tcW w:w="0" w:type="auto"/>
            <w:hideMark/>
          </w:tcPr>
          <w:p w:rsidRPr="007938ED" w:rsidR="00D31E46" w:rsidRDefault="00D31E46" w14:paraId="0830BEBC"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5111E8EB" w14:textId="77777777">
            <w:pPr>
              <w:rPr>
                <w:rFonts w:asciiTheme="majorHAnsi" w:hAnsiTheme="majorHAnsi"/>
                <w:sz w:val="18"/>
                <w:szCs w:val="12"/>
              </w:rPr>
            </w:pPr>
            <w:r w:rsidRPr="007938ED">
              <w:rPr>
                <w:rFonts w:asciiTheme="majorHAnsi" w:hAnsiTheme="majorHAnsi"/>
                <w:sz w:val="18"/>
                <w:szCs w:val="12"/>
              </w:rPr>
              <w:t>Average lifecycle ex-ante kWh net savings per participant - Opt-in - Downstream</w:t>
            </w:r>
          </w:p>
        </w:tc>
        <w:tc>
          <w:tcPr>
            <w:tcW w:w="0" w:type="auto"/>
            <w:hideMark/>
          </w:tcPr>
          <w:p w:rsidRPr="007938ED" w:rsidR="00D31E46" w:rsidRDefault="00D31E46" w14:paraId="3721692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7CC82BF"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1BC090FC"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586E4D8"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3060F61" w14:textId="77777777">
            <w:pPr>
              <w:rPr>
                <w:rFonts w:asciiTheme="majorHAnsi" w:hAnsiTheme="majorHAnsi"/>
                <w:sz w:val="18"/>
                <w:szCs w:val="12"/>
              </w:rPr>
            </w:pPr>
            <w:r w:rsidRPr="007938ED">
              <w:rPr>
                <w:rFonts w:asciiTheme="majorHAnsi" w:hAnsiTheme="majorHAnsi"/>
                <w:sz w:val="18"/>
                <w:szCs w:val="12"/>
              </w:rPr>
              <w:t>Lifecycle NET kWh</w:t>
            </w:r>
          </w:p>
        </w:tc>
      </w:tr>
      <w:tr w:rsidRPr="007938ED" w:rsidR="00CE6F7B" w:rsidTr="007938ED" w14:paraId="5822AF7D" w14:textId="77777777">
        <w:trPr>
          <w:trHeight w:val="1200"/>
        </w:trPr>
        <w:tc>
          <w:tcPr>
            <w:tcW w:w="0" w:type="auto"/>
            <w:noWrap/>
            <w:hideMark/>
          </w:tcPr>
          <w:p w:rsidRPr="007938ED" w:rsidR="00D31E46" w:rsidP="00D31E46" w:rsidRDefault="00D31E46" w14:paraId="6FE27F6A" w14:textId="77777777">
            <w:pPr>
              <w:rPr>
                <w:rFonts w:asciiTheme="majorHAnsi" w:hAnsiTheme="majorHAnsi"/>
                <w:sz w:val="18"/>
                <w:szCs w:val="12"/>
              </w:rPr>
            </w:pPr>
            <w:r w:rsidRPr="007938ED">
              <w:rPr>
                <w:rFonts w:asciiTheme="majorHAnsi" w:hAnsiTheme="majorHAnsi"/>
                <w:sz w:val="18"/>
                <w:szCs w:val="12"/>
              </w:rPr>
              <w:t>58</w:t>
            </w:r>
          </w:p>
        </w:tc>
        <w:tc>
          <w:tcPr>
            <w:tcW w:w="0" w:type="auto"/>
            <w:hideMark/>
          </w:tcPr>
          <w:p w:rsidRPr="007938ED" w:rsidR="00D31E46" w:rsidRDefault="00D31E46" w14:paraId="5F3F099B"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10606224" w14:textId="77777777">
            <w:pPr>
              <w:rPr>
                <w:rFonts w:asciiTheme="majorHAnsi" w:hAnsiTheme="majorHAnsi"/>
                <w:sz w:val="18"/>
                <w:szCs w:val="12"/>
              </w:rPr>
            </w:pPr>
            <w:r w:rsidRPr="007938ED">
              <w:rPr>
                <w:rFonts w:asciiTheme="majorHAnsi" w:hAnsiTheme="majorHAnsi"/>
                <w:sz w:val="18"/>
                <w:szCs w:val="12"/>
              </w:rPr>
              <w:t>Average lifecycle ex-ante Therm net savings per participant - Opt-in - Downstream</w:t>
            </w:r>
          </w:p>
        </w:tc>
        <w:tc>
          <w:tcPr>
            <w:tcW w:w="0" w:type="auto"/>
            <w:hideMark/>
          </w:tcPr>
          <w:p w:rsidRPr="007938ED" w:rsidR="00D31E46" w:rsidRDefault="00D31E46" w14:paraId="5CA1C8F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5A73C97"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3BCC41AD"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6005501"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75C9C1F4" w14:textId="77777777">
            <w:pPr>
              <w:rPr>
                <w:rFonts w:asciiTheme="majorHAnsi" w:hAnsiTheme="majorHAnsi"/>
                <w:sz w:val="18"/>
                <w:szCs w:val="12"/>
              </w:rPr>
            </w:pPr>
            <w:r w:rsidRPr="007938ED">
              <w:rPr>
                <w:rFonts w:asciiTheme="majorHAnsi" w:hAnsiTheme="majorHAnsi"/>
                <w:sz w:val="18"/>
                <w:szCs w:val="12"/>
              </w:rPr>
              <w:t>Lifecycle NET Therms</w:t>
            </w:r>
          </w:p>
        </w:tc>
      </w:tr>
      <w:tr w:rsidRPr="007938ED" w:rsidR="00CE6F7B" w:rsidTr="007938ED" w14:paraId="6DCDEF66" w14:textId="77777777">
        <w:trPr>
          <w:trHeight w:val="1200"/>
        </w:trPr>
        <w:tc>
          <w:tcPr>
            <w:tcW w:w="0" w:type="auto"/>
            <w:noWrap/>
            <w:hideMark/>
          </w:tcPr>
          <w:p w:rsidRPr="007938ED" w:rsidR="00D31E46" w:rsidP="00D31E46" w:rsidRDefault="00D31E46" w14:paraId="45B3465F" w14:textId="77777777">
            <w:pPr>
              <w:rPr>
                <w:rFonts w:asciiTheme="majorHAnsi" w:hAnsiTheme="majorHAnsi"/>
                <w:sz w:val="18"/>
                <w:szCs w:val="12"/>
              </w:rPr>
            </w:pPr>
            <w:r w:rsidRPr="007938ED">
              <w:rPr>
                <w:rFonts w:asciiTheme="majorHAnsi" w:hAnsiTheme="majorHAnsi"/>
                <w:sz w:val="18"/>
                <w:szCs w:val="12"/>
              </w:rPr>
              <w:lastRenderedPageBreak/>
              <w:t>59</w:t>
            </w:r>
          </w:p>
        </w:tc>
        <w:tc>
          <w:tcPr>
            <w:tcW w:w="0" w:type="auto"/>
            <w:hideMark/>
          </w:tcPr>
          <w:p w:rsidRPr="007938ED" w:rsidR="00D31E46" w:rsidRDefault="00D31E46" w14:paraId="099F7CF0"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4688AF2C" w14:textId="77777777">
            <w:pPr>
              <w:rPr>
                <w:rFonts w:asciiTheme="majorHAnsi" w:hAnsiTheme="majorHAnsi"/>
                <w:sz w:val="18"/>
                <w:szCs w:val="12"/>
              </w:rPr>
            </w:pPr>
            <w:r w:rsidRPr="007938ED">
              <w:rPr>
                <w:rFonts w:asciiTheme="majorHAnsi" w:hAnsiTheme="majorHAnsi"/>
                <w:sz w:val="18"/>
                <w:szCs w:val="12"/>
              </w:rPr>
              <w:t>Average lifecycle ex-ante kW net savings per participant - Opt-in - Midstream</w:t>
            </w:r>
          </w:p>
        </w:tc>
        <w:tc>
          <w:tcPr>
            <w:tcW w:w="0" w:type="auto"/>
            <w:hideMark/>
          </w:tcPr>
          <w:p w:rsidRPr="007938ED" w:rsidR="00D31E46" w:rsidRDefault="00D31E46" w14:paraId="04B4F65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D5C1D49"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41DC48A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ADBB49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9ABC5BF" w14:textId="77777777">
            <w:pPr>
              <w:rPr>
                <w:rFonts w:asciiTheme="majorHAnsi" w:hAnsiTheme="majorHAnsi"/>
                <w:sz w:val="18"/>
                <w:szCs w:val="12"/>
              </w:rPr>
            </w:pPr>
            <w:r w:rsidRPr="007938ED">
              <w:rPr>
                <w:rFonts w:asciiTheme="majorHAnsi" w:hAnsiTheme="majorHAnsi"/>
                <w:sz w:val="18"/>
                <w:szCs w:val="12"/>
              </w:rPr>
              <w:t>Lifecycle NET kW</w:t>
            </w:r>
          </w:p>
        </w:tc>
      </w:tr>
      <w:tr w:rsidRPr="007938ED" w:rsidR="00CE6F7B" w:rsidTr="007938ED" w14:paraId="090AA82C" w14:textId="77777777">
        <w:trPr>
          <w:trHeight w:val="1200"/>
        </w:trPr>
        <w:tc>
          <w:tcPr>
            <w:tcW w:w="0" w:type="auto"/>
            <w:noWrap/>
            <w:hideMark/>
          </w:tcPr>
          <w:p w:rsidRPr="007938ED" w:rsidR="00D31E46" w:rsidP="00D31E46" w:rsidRDefault="00D31E46" w14:paraId="1066130B" w14:textId="77777777">
            <w:pPr>
              <w:rPr>
                <w:rFonts w:asciiTheme="majorHAnsi" w:hAnsiTheme="majorHAnsi"/>
                <w:sz w:val="18"/>
                <w:szCs w:val="12"/>
              </w:rPr>
            </w:pPr>
            <w:r w:rsidRPr="007938ED">
              <w:rPr>
                <w:rFonts w:asciiTheme="majorHAnsi" w:hAnsiTheme="majorHAnsi"/>
                <w:sz w:val="18"/>
                <w:szCs w:val="12"/>
              </w:rPr>
              <w:t>60</w:t>
            </w:r>
          </w:p>
        </w:tc>
        <w:tc>
          <w:tcPr>
            <w:tcW w:w="0" w:type="auto"/>
            <w:hideMark/>
          </w:tcPr>
          <w:p w:rsidRPr="007938ED" w:rsidR="00D31E46" w:rsidRDefault="00D31E46" w14:paraId="36F5518E"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7C469624" w14:textId="77777777">
            <w:pPr>
              <w:rPr>
                <w:rFonts w:asciiTheme="majorHAnsi" w:hAnsiTheme="majorHAnsi"/>
                <w:sz w:val="18"/>
                <w:szCs w:val="12"/>
              </w:rPr>
            </w:pPr>
            <w:r w:rsidRPr="007938ED">
              <w:rPr>
                <w:rFonts w:asciiTheme="majorHAnsi" w:hAnsiTheme="majorHAnsi"/>
                <w:sz w:val="18"/>
                <w:szCs w:val="12"/>
              </w:rPr>
              <w:t>Average lifecycle ex-ante kWh net savings per participant - Opt-in - Midstream</w:t>
            </w:r>
          </w:p>
        </w:tc>
        <w:tc>
          <w:tcPr>
            <w:tcW w:w="0" w:type="auto"/>
            <w:hideMark/>
          </w:tcPr>
          <w:p w:rsidRPr="007938ED" w:rsidR="00D31E46" w:rsidRDefault="00D31E46" w14:paraId="3AFACFF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3087445"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3661507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E59819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ACD177B" w14:textId="77777777">
            <w:pPr>
              <w:rPr>
                <w:rFonts w:asciiTheme="majorHAnsi" w:hAnsiTheme="majorHAnsi"/>
                <w:sz w:val="18"/>
                <w:szCs w:val="12"/>
              </w:rPr>
            </w:pPr>
            <w:r w:rsidRPr="007938ED">
              <w:rPr>
                <w:rFonts w:asciiTheme="majorHAnsi" w:hAnsiTheme="majorHAnsi"/>
                <w:sz w:val="18"/>
                <w:szCs w:val="12"/>
              </w:rPr>
              <w:t>Lifecycle NET kWh</w:t>
            </w:r>
          </w:p>
        </w:tc>
      </w:tr>
      <w:tr w:rsidRPr="007938ED" w:rsidR="00CE6F7B" w:rsidTr="007938ED" w14:paraId="14FA02BD" w14:textId="77777777">
        <w:trPr>
          <w:trHeight w:val="1200"/>
        </w:trPr>
        <w:tc>
          <w:tcPr>
            <w:tcW w:w="0" w:type="auto"/>
            <w:noWrap/>
            <w:hideMark/>
          </w:tcPr>
          <w:p w:rsidRPr="007938ED" w:rsidR="00D31E46" w:rsidP="00D31E46" w:rsidRDefault="00D31E46" w14:paraId="78E25555" w14:textId="77777777">
            <w:pPr>
              <w:rPr>
                <w:rFonts w:asciiTheme="majorHAnsi" w:hAnsiTheme="majorHAnsi"/>
                <w:sz w:val="18"/>
                <w:szCs w:val="12"/>
              </w:rPr>
            </w:pPr>
            <w:r w:rsidRPr="007938ED">
              <w:rPr>
                <w:rFonts w:asciiTheme="majorHAnsi" w:hAnsiTheme="majorHAnsi"/>
                <w:sz w:val="18"/>
                <w:szCs w:val="12"/>
              </w:rPr>
              <w:t>61</w:t>
            </w:r>
          </w:p>
        </w:tc>
        <w:tc>
          <w:tcPr>
            <w:tcW w:w="0" w:type="auto"/>
            <w:hideMark/>
          </w:tcPr>
          <w:p w:rsidRPr="007938ED" w:rsidR="00D31E46" w:rsidRDefault="00D31E46" w14:paraId="1DF0844F"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2F1089DD" w14:textId="77777777">
            <w:pPr>
              <w:rPr>
                <w:rFonts w:asciiTheme="majorHAnsi" w:hAnsiTheme="majorHAnsi"/>
                <w:sz w:val="18"/>
                <w:szCs w:val="12"/>
              </w:rPr>
            </w:pPr>
            <w:r w:rsidRPr="007938ED">
              <w:rPr>
                <w:rFonts w:asciiTheme="majorHAnsi" w:hAnsiTheme="majorHAnsi"/>
                <w:sz w:val="18"/>
                <w:szCs w:val="12"/>
              </w:rPr>
              <w:t>Average lifecycle ex-ante Therm net savings per participant - Opt-in - Midstream</w:t>
            </w:r>
          </w:p>
        </w:tc>
        <w:tc>
          <w:tcPr>
            <w:tcW w:w="0" w:type="auto"/>
            <w:hideMark/>
          </w:tcPr>
          <w:p w:rsidRPr="007938ED" w:rsidR="00D31E46" w:rsidRDefault="00D31E46" w14:paraId="2885C1D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E6A5E27"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41AABA1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DB2AA0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A309611" w14:textId="77777777">
            <w:pPr>
              <w:rPr>
                <w:rFonts w:asciiTheme="majorHAnsi" w:hAnsiTheme="majorHAnsi"/>
                <w:sz w:val="18"/>
                <w:szCs w:val="12"/>
              </w:rPr>
            </w:pPr>
            <w:r w:rsidRPr="007938ED">
              <w:rPr>
                <w:rFonts w:asciiTheme="majorHAnsi" w:hAnsiTheme="majorHAnsi"/>
                <w:sz w:val="18"/>
                <w:szCs w:val="12"/>
              </w:rPr>
              <w:t>Lifecycle NET Therms</w:t>
            </w:r>
          </w:p>
        </w:tc>
      </w:tr>
      <w:tr w:rsidRPr="007938ED" w:rsidR="00CE6F7B" w:rsidTr="007938ED" w14:paraId="6CB6858B" w14:textId="77777777">
        <w:trPr>
          <w:trHeight w:val="1200"/>
        </w:trPr>
        <w:tc>
          <w:tcPr>
            <w:tcW w:w="0" w:type="auto"/>
            <w:noWrap/>
            <w:hideMark/>
          </w:tcPr>
          <w:p w:rsidRPr="007938ED" w:rsidR="00D31E46" w:rsidP="00D31E46" w:rsidRDefault="00D31E46" w14:paraId="5647CA1A" w14:textId="77777777">
            <w:pPr>
              <w:rPr>
                <w:rFonts w:asciiTheme="majorHAnsi" w:hAnsiTheme="majorHAnsi"/>
                <w:sz w:val="18"/>
                <w:szCs w:val="12"/>
              </w:rPr>
            </w:pPr>
            <w:r w:rsidRPr="007938ED">
              <w:rPr>
                <w:rFonts w:asciiTheme="majorHAnsi" w:hAnsiTheme="majorHAnsi"/>
                <w:sz w:val="18"/>
                <w:szCs w:val="12"/>
              </w:rPr>
              <w:t>62</w:t>
            </w:r>
          </w:p>
        </w:tc>
        <w:tc>
          <w:tcPr>
            <w:tcW w:w="0" w:type="auto"/>
            <w:hideMark/>
          </w:tcPr>
          <w:p w:rsidRPr="007938ED" w:rsidR="00D31E46" w:rsidRDefault="00D31E46" w14:paraId="1B211F30"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60B642D0" w14:textId="77777777">
            <w:pPr>
              <w:rPr>
                <w:rFonts w:asciiTheme="majorHAnsi" w:hAnsiTheme="majorHAnsi"/>
                <w:sz w:val="18"/>
                <w:szCs w:val="12"/>
              </w:rPr>
            </w:pPr>
            <w:r w:rsidRPr="007938ED">
              <w:rPr>
                <w:rFonts w:asciiTheme="majorHAnsi" w:hAnsiTheme="majorHAnsi"/>
                <w:sz w:val="18"/>
                <w:szCs w:val="12"/>
              </w:rPr>
              <w:t>Average lifecycle ex-ante kW net savings per participant - Opt-out</w:t>
            </w:r>
          </w:p>
        </w:tc>
        <w:tc>
          <w:tcPr>
            <w:tcW w:w="0" w:type="auto"/>
            <w:hideMark/>
          </w:tcPr>
          <w:p w:rsidRPr="007938ED" w:rsidR="00D31E46" w:rsidRDefault="00D31E46" w14:paraId="4B2DFF4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EA62459"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06CD4BF8"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CE8103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DC2940D" w14:textId="77777777">
            <w:pPr>
              <w:rPr>
                <w:rFonts w:asciiTheme="majorHAnsi" w:hAnsiTheme="majorHAnsi"/>
                <w:sz w:val="18"/>
                <w:szCs w:val="12"/>
              </w:rPr>
            </w:pPr>
            <w:r w:rsidRPr="007938ED">
              <w:rPr>
                <w:rFonts w:asciiTheme="majorHAnsi" w:hAnsiTheme="majorHAnsi"/>
                <w:sz w:val="18"/>
                <w:szCs w:val="12"/>
              </w:rPr>
              <w:t>Lifecycle NET kW</w:t>
            </w:r>
          </w:p>
        </w:tc>
      </w:tr>
      <w:tr w:rsidRPr="007938ED" w:rsidR="00CE6F7B" w:rsidTr="007938ED" w14:paraId="0F21AE08" w14:textId="77777777">
        <w:trPr>
          <w:trHeight w:val="1200"/>
        </w:trPr>
        <w:tc>
          <w:tcPr>
            <w:tcW w:w="0" w:type="auto"/>
            <w:noWrap/>
            <w:hideMark/>
          </w:tcPr>
          <w:p w:rsidRPr="007938ED" w:rsidR="00D31E46" w:rsidP="00D31E46" w:rsidRDefault="00D31E46" w14:paraId="312E28FF" w14:textId="77777777">
            <w:pPr>
              <w:rPr>
                <w:rFonts w:asciiTheme="majorHAnsi" w:hAnsiTheme="majorHAnsi"/>
                <w:sz w:val="18"/>
                <w:szCs w:val="12"/>
              </w:rPr>
            </w:pPr>
            <w:r w:rsidRPr="007938ED">
              <w:rPr>
                <w:rFonts w:asciiTheme="majorHAnsi" w:hAnsiTheme="majorHAnsi"/>
                <w:sz w:val="18"/>
                <w:szCs w:val="12"/>
              </w:rPr>
              <w:t>63</w:t>
            </w:r>
          </w:p>
        </w:tc>
        <w:tc>
          <w:tcPr>
            <w:tcW w:w="0" w:type="auto"/>
            <w:hideMark/>
          </w:tcPr>
          <w:p w:rsidRPr="007938ED" w:rsidR="00D31E46" w:rsidRDefault="00D31E46" w14:paraId="52E79015"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188F607B" w14:textId="77777777">
            <w:pPr>
              <w:rPr>
                <w:rFonts w:asciiTheme="majorHAnsi" w:hAnsiTheme="majorHAnsi"/>
                <w:sz w:val="18"/>
                <w:szCs w:val="12"/>
              </w:rPr>
            </w:pPr>
            <w:r w:rsidRPr="007938ED">
              <w:rPr>
                <w:rFonts w:asciiTheme="majorHAnsi" w:hAnsiTheme="majorHAnsi"/>
                <w:sz w:val="18"/>
                <w:szCs w:val="12"/>
              </w:rPr>
              <w:t>Average lifecycle ex-ante kWh net savings per participant - Opt-out</w:t>
            </w:r>
          </w:p>
        </w:tc>
        <w:tc>
          <w:tcPr>
            <w:tcW w:w="0" w:type="auto"/>
            <w:hideMark/>
          </w:tcPr>
          <w:p w:rsidRPr="007938ED" w:rsidR="00D31E46" w:rsidRDefault="00D31E46" w14:paraId="4F7502E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6FD6F46"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53A2A6F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1EC706E"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6A1FADD" w14:textId="77777777">
            <w:pPr>
              <w:rPr>
                <w:rFonts w:asciiTheme="majorHAnsi" w:hAnsiTheme="majorHAnsi"/>
                <w:sz w:val="18"/>
                <w:szCs w:val="12"/>
              </w:rPr>
            </w:pPr>
            <w:r w:rsidRPr="007938ED">
              <w:rPr>
                <w:rFonts w:asciiTheme="majorHAnsi" w:hAnsiTheme="majorHAnsi"/>
                <w:sz w:val="18"/>
                <w:szCs w:val="12"/>
              </w:rPr>
              <w:t>Lifecycle NET kWh</w:t>
            </w:r>
          </w:p>
        </w:tc>
      </w:tr>
      <w:tr w:rsidRPr="007938ED" w:rsidR="00CE6F7B" w:rsidTr="007938ED" w14:paraId="02088007" w14:textId="77777777">
        <w:trPr>
          <w:trHeight w:val="1200"/>
        </w:trPr>
        <w:tc>
          <w:tcPr>
            <w:tcW w:w="0" w:type="auto"/>
            <w:noWrap/>
            <w:hideMark/>
          </w:tcPr>
          <w:p w:rsidRPr="007938ED" w:rsidR="00D31E46" w:rsidP="00D31E46" w:rsidRDefault="00D31E46" w14:paraId="1A1E0FCC" w14:textId="77777777">
            <w:pPr>
              <w:rPr>
                <w:rFonts w:asciiTheme="majorHAnsi" w:hAnsiTheme="majorHAnsi"/>
                <w:sz w:val="18"/>
                <w:szCs w:val="12"/>
              </w:rPr>
            </w:pPr>
            <w:r w:rsidRPr="007938ED">
              <w:rPr>
                <w:rFonts w:asciiTheme="majorHAnsi" w:hAnsiTheme="majorHAnsi"/>
                <w:sz w:val="18"/>
                <w:szCs w:val="12"/>
              </w:rPr>
              <w:lastRenderedPageBreak/>
              <w:t>64</w:t>
            </w:r>
          </w:p>
        </w:tc>
        <w:tc>
          <w:tcPr>
            <w:tcW w:w="0" w:type="auto"/>
            <w:hideMark/>
          </w:tcPr>
          <w:p w:rsidRPr="007938ED" w:rsidR="00D31E46" w:rsidRDefault="00D31E46" w14:paraId="0E50C301"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4B55B230" w14:textId="77777777">
            <w:pPr>
              <w:rPr>
                <w:rFonts w:asciiTheme="majorHAnsi" w:hAnsiTheme="majorHAnsi"/>
                <w:sz w:val="18"/>
                <w:szCs w:val="12"/>
              </w:rPr>
            </w:pPr>
            <w:r w:rsidRPr="007938ED">
              <w:rPr>
                <w:rFonts w:asciiTheme="majorHAnsi" w:hAnsiTheme="majorHAnsi"/>
                <w:sz w:val="18"/>
                <w:szCs w:val="12"/>
              </w:rPr>
              <w:t>Average lifecycle ex-ante Therm net savings per participant - Opt-out</w:t>
            </w:r>
          </w:p>
        </w:tc>
        <w:tc>
          <w:tcPr>
            <w:tcW w:w="0" w:type="auto"/>
            <w:hideMark/>
          </w:tcPr>
          <w:p w:rsidRPr="007938ED" w:rsidR="00D31E46" w:rsidRDefault="00D31E46" w14:paraId="31A1B77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40792B7"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51944B7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11F53DE"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9E1445C" w14:textId="77777777">
            <w:pPr>
              <w:rPr>
                <w:rFonts w:asciiTheme="majorHAnsi" w:hAnsiTheme="majorHAnsi"/>
                <w:sz w:val="18"/>
                <w:szCs w:val="12"/>
              </w:rPr>
            </w:pPr>
            <w:r w:rsidRPr="007938ED">
              <w:rPr>
                <w:rFonts w:asciiTheme="majorHAnsi" w:hAnsiTheme="majorHAnsi"/>
                <w:sz w:val="18"/>
                <w:szCs w:val="12"/>
              </w:rPr>
              <w:t>Lifecycle NET Therms</w:t>
            </w:r>
          </w:p>
        </w:tc>
      </w:tr>
      <w:tr w:rsidRPr="007938ED" w:rsidR="00CE6F7B" w:rsidTr="007938ED" w14:paraId="1758592C" w14:textId="77777777">
        <w:trPr>
          <w:trHeight w:val="1200"/>
        </w:trPr>
        <w:tc>
          <w:tcPr>
            <w:tcW w:w="0" w:type="auto"/>
            <w:noWrap/>
            <w:hideMark/>
          </w:tcPr>
          <w:p w:rsidRPr="007938ED" w:rsidR="00D31E46" w:rsidP="00D31E46" w:rsidRDefault="00D31E46" w14:paraId="1B2430A9" w14:textId="77777777">
            <w:pPr>
              <w:rPr>
                <w:rFonts w:asciiTheme="majorHAnsi" w:hAnsiTheme="majorHAnsi"/>
                <w:sz w:val="18"/>
                <w:szCs w:val="12"/>
              </w:rPr>
            </w:pPr>
            <w:r w:rsidRPr="007938ED">
              <w:rPr>
                <w:rFonts w:asciiTheme="majorHAnsi" w:hAnsiTheme="majorHAnsi"/>
                <w:sz w:val="18"/>
                <w:szCs w:val="12"/>
              </w:rPr>
              <w:t>65</w:t>
            </w:r>
          </w:p>
        </w:tc>
        <w:tc>
          <w:tcPr>
            <w:tcW w:w="0" w:type="auto"/>
            <w:hideMark/>
          </w:tcPr>
          <w:p w:rsidRPr="007938ED" w:rsidR="00D31E46" w:rsidRDefault="00D31E46" w14:paraId="566B8C00"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76E6CD37" w14:textId="77777777">
            <w:pPr>
              <w:rPr>
                <w:rFonts w:asciiTheme="majorHAnsi" w:hAnsiTheme="majorHAnsi"/>
                <w:sz w:val="18"/>
                <w:szCs w:val="12"/>
              </w:rPr>
            </w:pPr>
            <w:r w:rsidRPr="007938ED">
              <w:rPr>
                <w:rFonts w:asciiTheme="majorHAnsi" w:hAnsiTheme="majorHAnsi"/>
                <w:sz w:val="18"/>
                <w:szCs w:val="12"/>
              </w:rPr>
              <w:t>Average lifecycle ex-ante kW net savings per participant - Opt-in - Upstream</w:t>
            </w:r>
          </w:p>
        </w:tc>
        <w:tc>
          <w:tcPr>
            <w:tcW w:w="0" w:type="auto"/>
            <w:hideMark/>
          </w:tcPr>
          <w:p w:rsidRPr="007938ED" w:rsidR="00D31E46" w:rsidRDefault="00D31E46" w14:paraId="0F5BA26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9731BB8"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5FFB3FCD"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4CB932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0D85C43" w14:textId="77777777">
            <w:pPr>
              <w:rPr>
                <w:rFonts w:asciiTheme="majorHAnsi" w:hAnsiTheme="majorHAnsi"/>
                <w:sz w:val="18"/>
                <w:szCs w:val="12"/>
              </w:rPr>
            </w:pPr>
            <w:r w:rsidRPr="007938ED">
              <w:rPr>
                <w:rFonts w:asciiTheme="majorHAnsi" w:hAnsiTheme="majorHAnsi"/>
                <w:sz w:val="18"/>
                <w:szCs w:val="12"/>
              </w:rPr>
              <w:t>Lifecycle NET kW</w:t>
            </w:r>
          </w:p>
        </w:tc>
      </w:tr>
      <w:tr w:rsidRPr="007938ED" w:rsidR="00CE6F7B" w:rsidTr="007938ED" w14:paraId="13A10E14" w14:textId="77777777">
        <w:trPr>
          <w:trHeight w:val="1200"/>
        </w:trPr>
        <w:tc>
          <w:tcPr>
            <w:tcW w:w="0" w:type="auto"/>
            <w:noWrap/>
            <w:hideMark/>
          </w:tcPr>
          <w:p w:rsidRPr="007938ED" w:rsidR="00D31E46" w:rsidP="00D31E46" w:rsidRDefault="00D31E46" w14:paraId="3361B6DD" w14:textId="77777777">
            <w:pPr>
              <w:rPr>
                <w:rFonts w:asciiTheme="majorHAnsi" w:hAnsiTheme="majorHAnsi"/>
                <w:sz w:val="18"/>
                <w:szCs w:val="12"/>
              </w:rPr>
            </w:pPr>
            <w:r w:rsidRPr="007938ED">
              <w:rPr>
                <w:rFonts w:asciiTheme="majorHAnsi" w:hAnsiTheme="majorHAnsi"/>
                <w:sz w:val="18"/>
                <w:szCs w:val="12"/>
              </w:rPr>
              <w:t>66</w:t>
            </w:r>
          </w:p>
        </w:tc>
        <w:tc>
          <w:tcPr>
            <w:tcW w:w="0" w:type="auto"/>
            <w:hideMark/>
          </w:tcPr>
          <w:p w:rsidRPr="007938ED" w:rsidR="00D31E46" w:rsidRDefault="00D31E46" w14:paraId="46B119DF"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133A54D5" w14:textId="77777777">
            <w:pPr>
              <w:rPr>
                <w:rFonts w:asciiTheme="majorHAnsi" w:hAnsiTheme="majorHAnsi"/>
                <w:sz w:val="18"/>
                <w:szCs w:val="12"/>
              </w:rPr>
            </w:pPr>
            <w:r w:rsidRPr="007938ED">
              <w:rPr>
                <w:rFonts w:asciiTheme="majorHAnsi" w:hAnsiTheme="majorHAnsi"/>
                <w:sz w:val="18"/>
                <w:szCs w:val="12"/>
              </w:rPr>
              <w:t>Average lifecycle ex-ante kWh net savings per participant - Opt-in - Upstream</w:t>
            </w:r>
          </w:p>
        </w:tc>
        <w:tc>
          <w:tcPr>
            <w:tcW w:w="0" w:type="auto"/>
            <w:hideMark/>
          </w:tcPr>
          <w:p w:rsidRPr="007938ED" w:rsidR="00D31E46" w:rsidRDefault="00D31E46" w14:paraId="3FD53A8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233545C"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36384F46"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946020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DC898F6" w14:textId="77777777">
            <w:pPr>
              <w:rPr>
                <w:rFonts w:asciiTheme="majorHAnsi" w:hAnsiTheme="majorHAnsi"/>
                <w:sz w:val="18"/>
                <w:szCs w:val="12"/>
              </w:rPr>
            </w:pPr>
            <w:r w:rsidRPr="007938ED">
              <w:rPr>
                <w:rFonts w:asciiTheme="majorHAnsi" w:hAnsiTheme="majorHAnsi"/>
                <w:sz w:val="18"/>
                <w:szCs w:val="12"/>
              </w:rPr>
              <w:t>Lifecycle NET kWh</w:t>
            </w:r>
          </w:p>
        </w:tc>
      </w:tr>
      <w:tr w:rsidRPr="007938ED" w:rsidR="00CE6F7B" w:rsidTr="007938ED" w14:paraId="1BDB9339" w14:textId="77777777">
        <w:trPr>
          <w:trHeight w:val="1200"/>
        </w:trPr>
        <w:tc>
          <w:tcPr>
            <w:tcW w:w="0" w:type="auto"/>
            <w:noWrap/>
            <w:hideMark/>
          </w:tcPr>
          <w:p w:rsidRPr="007938ED" w:rsidR="00D31E46" w:rsidP="00D31E46" w:rsidRDefault="00D31E46" w14:paraId="24A5E0B8" w14:textId="77777777">
            <w:pPr>
              <w:rPr>
                <w:rFonts w:asciiTheme="majorHAnsi" w:hAnsiTheme="majorHAnsi"/>
                <w:sz w:val="18"/>
                <w:szCs w:val="12"/>
              </w:rPr>
            </w:pPr>
            <w:r w:rsidRPr="007938ED">
              <w:rPr>
                <w:rFonts w:asciiTheme="majorHAnsi" w:hAnsiTheme="majorHAnsi"/>
                <w:sz w:val="18"/>
                <w:szCs w:val="12"/>
              </w:rPr>
              <w:t>67</w:t>
            </w:r>
          </w:p>
        </w:tc>
        <w:tc>
          <w:tcPr>
            <w:tcW w:w="0" w:type="auto"/>
            <w:hideMark/>
          </w:tcPr>
          <w:p w:rsidRPr="007938ED" w:rsidR="00D31E46" w:rsidRDefault="00D31E46" w14:paraId="0AAAC951" w14:textId="77777777">
            <w:pPr>
              <w:rPr>
                <w:rFonts w:asciiTheme="majorHAnsi" w:hAnsiTheme="majorHAnsi"/>
                <w:sz w:val="18"/>
                <w:szCs w:val="12"/>
              </w:rPr>
            </w:pPr>
            <w:r w:rsidRPr="007938ED">
              <w:rPr>
                <w:rFonts w:asciiTheme="majorHAnsi" w:hAnsiTheme="majorHAnsi"/>
                <w:sz w:val="18"/>
                <w:szCs w:val="12"/>
              </w:rPr>
              <w:t>Average savings per participant in both opt‐in and opt‐out programs (broken down by downstream, midstream and upstream, as feasible)</w:t>
            </w:r>
          </w:p>
        </w:tc>
        <w:tc>
          <w:tcPr>
            <w:tcW w:w="0" w:type="auto"/>
            <w:hideMark/>
          </w:tcPr>
          <w:p w:rsidRPr="007938ED" w:rsidR="00D31E46" w:rsidRDefault="00D31E46" w14:paraId="54F9CD11" w14:textId="77777777">
            <w:pPr>
              <w:rPr>
                <w:rFonts w:asciiTheme="majorHAnsi" w:hAnsiTheme="majorHAnsi"/>
                <w:sz w:val="18"/>
                <w:szCs w:val="12"/>
              </w:rPr>
            </w:pPr>
            <w:r w:rsidRPr="007938ED">
              <w:rPr>
                <w:rFonts w:asciiTheme="majorHAnsi" w:hAnsiTheme="majorHAnsi"/>
                <w:sz w:val="18"/>
                <w:szCs w:val="12"/>
              </w:rPr>
              <w:t>Average lifecycle ex-ante Therm net savings per participant - Opt-in - Upstream</w:t>
            </w:r>
          </w:p>
        </w:tc>
        <w:tc>
          <w:tcPr>
            <w:tcW w:w="0" w:type="auto"/>
            <w:hideMark/>
          </w:tcPr>
          <w:p w:rsidRPr="007938ED" w:rsidR="00D31E46" w:rsidRDefault="00D31E46" w14:paraId="0E3CD83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F3ED9E5"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3939F6F7"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FC4343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5146E63" w14:textId="77777777">
            <w:pPr>
              <w:rPr>
                <w:rFonts w:asciiTheme="majorHAnsi" w:hAnsiTheme="majorHAnsi"/>
                <w:sz w:val="18"/>
                <w:szCs w:val="12"/>
              </w:rPr>
            </w:pPr>
            <w:r w:rsidRPr="007938ED">
              <w:rPr>
                <w:rFonts w:asciiTheme="majorHAnsi" w:hAnsiTheme="majorHAnsi"/>
                <w:sz w:val="18"/>
                <w:szCs w:val="12"/>
              </w:rPr>
              <w:t>Lifecycle NET Therms</w:t>
            </w:r>
          </w:p>
        </w:tc>
      </w:tr>
      <w:tr w:rsidRPr="007938ED" w:rsidR="00CE6F7B" w:rsidTr="007938ED" w14:paraId="4E3C845C" w14:textId="77777777">
        <w:trPr>
          <w:trHeight w:val="1200"/>
        </w:trPr>
        <w:tc>
          <w:tcPr>
            <w:tcW w:w="0" w:type="auto"/>
            <w:noWrap/>
            <w:hideMark/>
          </w:tcPr>
          <w:p w:rsidRPr="007938ED" w:rsidR="00D31E46" w:rsidP="00D31E46" w:rsidRDefault="00D31E46" w14:paraId="51ABC194" w14:textId="77777777">
            <w:pPr>
              <w:rPr>
                <w:rFonts w:asciiTheme="majorHAnsi" w:hAnsiTheme="majorHAnsi"/>
                <w:sz w:val="18"/>
                <w:szCs w:val="12"/>
              </w:rPr>
            </w:pPr>
            <w:r w:rsidRPr="007938ED">
              <w:rPr>
                <w:rFonts w:asciiTheme="majorHAnsi" w:hAnsiTheme="majorHAnsi"/>
                <w:sz w:val="18"/>
                <w:szCs w:val="12"/>
              </w:rPr>
              <w:t>68</w:t>
            </w:r>
          </w:p>
        </w:tc>
        <w:tc>
          <w:tcPr>
            <w:tcW w:w="0" w:type="auto"/>
            <w:hideMark/>
          </w:tcPr>
          <w:p w:rsidRPr="007938ED" w:rsidR="00D31E46" w:rsidRDefault="00D31E46" w14:paraId="452E3CBB" w14:textId="77777777">
            <w:pPr>
              <w:rPr>
                <w:rFonts w:asciiTheme="majorHAnsi" w:hAnsiTheme="majorHAnsi"/>
                <w:sz w:val="18"/>
                <w:szCs w:val="12"/>
              </w:rPr>
            </w:pPr>
            <w:r w:rsidRPr="007938ED">
              <w:rPr>
                <w:rFonts w:asciiTheme="majorHAnsi" w:hAnsiTheme="majorHAnsi"/>
                <w:sz w:val="18"/>
                <w:szCs w:val="12"/>
              </w:rPr>
              <w:t>Percent of participation relative to eligible population</w:t>
            </w:r>
          </w:p>
        </w:tc>
        <w:tc>
          <w:tcPr>
            <w:tcW w:w="0" w:type="auto"/>
            <w:hideMark/>
          </w:tcPr>
          <w:p w:rsidRPr="007938ED" w:rsidR="00D31E46" w:rsidRDefault="00D31E46" w14:paraId="19DCB657" w14:textId="77777777">
            <w:pPr>
              <w:rPr>
                <w:rFonts w:asciiTheme="majorHAnsi" w:hAnsiTheme="majorHAnsi"/>
                <w:sz w:val="18"/>
                <w:szCs w:val="12"/>
              </w:rPr>
            </w:pPr>
            <w:r w:rsidRPr="007938ED">
              <w:rPr>
                <w:rFonts w:asciiTheme="majorHAnsi" w:hAnsiTheme="majorHAnsi"/>
                <w:sz w:val="18"/>
                <w:szCs w:val="12"/>
              </w:rPr>
              <w:t>Percent of participation relative to eligible population</w:t>
            </w:r>
          </w:p>
        </w:tc>
        <w:tc>
          <w:tcPr>
            <w:tcW w:w="0" w:type="auto"/>
            <w:hideMark/>
          </w:tcPr>
          <w:p w:rsidRPr="007938ED" w:rsidR="00D31E46" w:rsidRDefault="00D31E46" w14:paraId="434BEA5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26AEBEB"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6AE9730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8EFD46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3B33D1E"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7E4016E0" w14:textId="77777777">
        <w:trPr>
          <w:trHeight w:val="1200"/>
        </w:trPr>
        <w:tc>
          <w:tcPr>
            <w:tcW w:w="0" w:type="auto"/>
            <w:noWrap/>
            <w:hideMark/>
          </w:tcPr>
          <w:p w:rsidRPr="007938ED" w:rsidR="00D31E46" w:rsidP="00D31E46" w:rsidRDefault="00D31E46" w14:paraId="02AE9CCF" w14:textId="77777777">
            <w:pPr>
              <w:rPr>
                <w:rFonts w:asciiTheme="majorHAnsi" w:hAnsiTheme="majorHAnsi"/>
                <w:sz w:val="18"/>
                <w:szCs w:val="12"/>
              </w:rPr>
            </w:pPr>
            <w:r w:rsidRPr="007938ED">
              <w:rPr>
                <w:rFonts w:asciiTheme="majorHAnsi" w:hAnsiTheme="majorHAnsi"/>
                <w:sz w:val="18"/>
                <w:szCs w:val="12"/>
              </w:rPr>
              <w:lastRenderedPageBreak/>
              <w:t>69</w:t>
            </w:r>
          </w:p>
        </w:tc>
        <w:tc>
          <w:tcPr>
            <w:tcW w:w="0" w:type="auto"/>
            <w:hideMark/>
          </w:tcPr>
          <w:p w:rsidRPr="007938ED" w:rsidR="00D31E46" w:rsidRDefault="00D31E46" w14:paraId="7FC26D70" w14:textId="77777777">
            <w:pPr>
              <w:rPr>
                <w:rFonts w:asciiTheme="majorHAnsi" w:hAnsiTheme="majorHAnsi"/>
                <w:sz w:val="18"/>
                <w:szCs w:val="12"/>
              </w:rPr>
            </w:pPr>
            <w:r w:rsidRPr="007938ED">
              <w:rPr>
                <w:rFonts w:asciiTheme="majorHAnsi" w:hAnsiTheme="majorHAnsi"/>
                <w:sz w:val="18"/>
                <w:szCs w:val="12"/>
              </w:rPr>
              <w:t>Percent of participation in disadvantaged communities</w:t>
            </w:r>
          </w:p>
        </w:tc>
        <w:tc>
          <w:tcPr>
            <w:tcW w:w="0" w:type="auto"/>
            <w:hideMark/>
          </w:tcPr>
          <w:p w:rsidRPr="007938ED" w:rsidR="00D31E46" w:rsidRDefault="00D31E46" w14:paraId="60ED6364" w14:textId="77777777">
            <w:pPr>
              <w:rPr>
                <w:rFonts w:asciiTheme="majorHAnsi" w:hAnsiTheme="majorHAnsi"/>
                <w:sz w:val="18"/>
                <w:szCs w:val="12"/>
              </w:rPr>
            </w:pPr>
            <w:r w:rsidRPr="007938ED">
              <w:rPr>
                <w:rFonts w:asciiTheme="majorHAnsi" w:hAnsiTheme="majorHAnsi"/>
                <w:sz w:val="18"/>
                <w:szCs w:val="12"/>
              </w:rPr>
              <w:t>Percent of participation in disadvantaged communities</w:t>
            </w:r>
          </w:p>
        </w:tc>
        <w:tc>
          <w:tcPr>
            <w:tcW w:w="0" w:type="auto"/>
            <w:hideMark/>
          </w:tcPr>
          <w:p w:rsidRPr="007938ED" w:rsidR="00D31E46" w:rsidRDefault="00D31E46" w14:paraId="0E0ACDE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F8A7B00"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0E9D858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C18F77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4DA857E"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47258F8B" w14:textId="77777777">
        <w:trPr>
          <w:trHeight w:val="1200"/>
        </w:trPr>
        <w:tc>
          <w:tcPr>
            <w:tcW w:w="0" w:type="auto"/>
            <w:noWrap/>
            <w:hideMark/>
          </w:tcPr>
          <w:p w:rsidRPr="007938ED" w:rsidR="00D31E46" w:rsidP="00D31E46" w:rsidRDefault="00D31E46" w14:paraId="7BBA82FC" w14:textId="77777777">
            <w:pPr>
              <w:rPr>
                <w:rFonts w:asciiTheme="majorHAnsi" w:hAnsiTheme="majorHAnsi"/>
                <w:sz w:val="18"/>
                <w:szCs w:val="12"/>
              </w:rPr>
            </w:pPr>
            <w:r w:rsidRPr="007938ED">
              <w:rPr>
                <w:rFonts w:asciiTheme="majorHAnsi" w:hAnsiTheme="majorHAnsi"/>
                <w:sz w:val="18"/>
                <w:szCs w:val="12"/>
              </w:rPr>
              <w:t>70</w:t>
            </w:r>
          </w:p>
        </w:tc>
        <w:tc>
          <w:tcPr>
            <w:tcW w:w="0" w:type="auto"/>
            <w:hideMark/>
          </w:tcPr>
          <w:p w:rsidRPr="007938ED" w:rsidR="00D31E46" w:rsidRDefault="00D31E46" w14:paraId="3D40083D" w14:textId="77777777">
            <w:pPr>
              <w:rPr>
                <w:rFonts w:asciiTheme="majorHAnsi" w:hAnsiTheme="majorHAnsi"/>
                <w:sz w:val="18"/>
                <w:szCs w:val="12"/>
              </w:rPr>
            </w:pPr>
            <w:r w:rsidRPr="007938ED">
              <w:rPr>
                <w:rFonts w:asciiTheme="majorHAnsi" w:hAnsiTheme="majorHAnsi"/>
                <w:sz w:val="18"/>
                <w:szCs w:val="12"/>
              </w:rPr>
              <w:t>Percent of participation by customers defined as “hard‐to‐reach”</w:t>
            </w:r>
          </w:p>
        </w:tc>
        <w:tc>
          <w:tcPr>
            <w:tcW w:w="0" w:type="auto"/>
            <w:hideMark/>
          </w:tcPr>
          <w:p w:rsidRPr="007938ED" w:rsidR="00D31E46" w:rsidRDefault="00D31E46" w14:paraId="5C88EE64" w14:textId="77777777">
            <w:pPr>
              <w:rPr>
                <w:rFonts w:asciiTheme="majorHAnsi" w:hAnsiTheme="majorHAnsi"/>
                <w:sz w:val="18"/>
                <w:szCs w:val="12"/>
              </w:rPr>
            </w:pPr>
            <w:r w:rsidRPr="007938ED">
              <w:rPr>
                <w:rFonts w:asciiTheme="majorHAnsi" w:hAnsiTheme="majorHAnsi"/>
                <w:sz w:val="18"/>
                <w:szCs w:val="12"/>
              </w:rPr>
              <w:t>Percent of participation by customers defined as “hard‐to‐reach”</w:t>
            </w:r>
          </w:p>
        </w:tc>
        <w:tc>
          <w:tcPr>
            <w:tcW w:w="0" w:type="auto"/>
            <w:hideMark/>
          </w:tcPr>
          <w:p w:rsidRPr="007938ED" w:rsidR="00D31E46" w:rsidRDefault="00D31E46" w14:paraId="0C2E513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7ED76A0"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1BECD05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7004E0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1BE2887"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0B03F268" w14:textId="77777777">
        <w:trPr>
          <w:trHeight w:val="1200"/>
        </w:trPr>
        <w:tc>
          <w:tcPr>
            <w:tcW w:w="0" w:type="auto"/>
            <w:noWrap/>
            <w:hideMark/>
          </w:tcPr>
          <w:p w:rsidRPr="007938ED" w:rsidR="00D31E46" w:rsidP="00D31E46" w:rsidRDefault="00D31E46" w14:paraId="0700B2CC" w14:textId="77777777">
            <w:pPr>
              <w:rPr>
                <w:rFonts w:asciiTheme="majorHAnsi" w:hAnsiTheme="majorHAnsi"/>
                <w:sz w:val="18"/>
                <w:szCs w:val="12"/>
              </w:rPr>
            </w:pPr>
            <w:r w:rsidRPr="007938ED">
              <w:rPr>
                <w:rFonts w:asciiTheme="majorHAnsi" w:hAnsiTheme="majorHAnsi"/>
                <w:sz w:val="18"/>
                <w:szCs w:val="12"/>
              </w:rPr>
              <w:t>71</w:t>
            </w:r>
          </w:p>
        </w:tc>
        <w:tc>
          <w:tcPr>
            <w:tcW w:w="0" w:type="auto"/>
            <w:hideMark/>
          </w:tcPr>
          <w:p w:rsidRPr="007938ED" w:rsidR="00D31E46" w:rsidRDefault="00D31E46" w14:paraId="40D7F3C8"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37B017EC" w14:textId="77777777">
            <w:pPr>
              <w:rPr>
                <w:rFonts w:asciiTheme="majorHAnsi" w:hAnsiTheme="majorHAnsi"/>
                <w:sz w:val="18"/>
                <w:szCs w:val="12"/>
              </w:rPr>
            </w:pPr>
            <w:r w:rsidRPr="007938ED">
              <w:rPr>
                <w:rFonts w:asciiTheme="majorHAnsi" w:hAnsiTheme="majorHAnsi"/>
                <w:sz w:val="18"/>
                <w:szCs w:val="12"/>
              </w:rPr>
              <w:t>PAC Levelized Cost ($/kW)</w:t>
            </w:r>
          </w:p>
        </w:tc>
        <w:tc>
          <w:tcPr>
            <w:tcW w:w="0" w:type="auto"/>
            <w:hideMark/>
          </w:tcPr>
          <w:p w:rsidRPr="007938ED" w:rsidR="00D31E46" w:rsidRDefault="00D31E46" w14:paraId="7992918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6E5A4E3"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32F35ED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D898DA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10B568B" w14:textId="77777777">
            <w:pPr>
              <w:rPr>
                <w:rFonts w:asciiTheme="majorHAnsi" w:hAnsiTheme="majorHAnsi"/>
                <w:sz w:val="18"/>
                <w:szCs w:val="12"/>
              </w:rPr>
            </w:pPr>
            <w:r w:rsidRPr="007938ED">
              <w:rPr>
                <w:rFonts w:asciiTheme="majorHAnsi" w:hAnsiTheme="majorHAnsi"/>
                <w:sz w:val="18"/>
                <w:szCs w:val="12"/>
              </w:rPr>
              <w:t>PAC Levelized Cost ($/kW)</w:t>
            </w:r>
          </w:p>
        </w:tc>
      </w:tr>
      <w:tr w:rsidRPr="007938ED" w:rsidR="00CE6F7B" w:rsidTr="007938ED" w14:paraId="4A197D2D" w14:textId="77777777">
        <w:trPr>
          <w:trHeight w:val="1200"/>
        </w:trPr>
        <w:tc>
          <w:tcPr>
            <w:tcW w:w="0" w:type="auto"/>
            <w:noWrap/>
            <w:hideMark/>
          </w:tcPr>
          <w:p w:rsidRPr="007938ED" w:rsidR="00D31E46" w:rsidP="00D31E46" w:rsidRDefault="00D31E46" w14:paraId="31774671" w14:textId="77777777">
            <w:pPr>
              <w:rPr>
                <w:rFonts w:asciiTheme="majorHAnsi" w:hAnsiTheme="majorHAnsi"/>
                <w:sz w:val="18"/>
                <w:szCs w:val="12"/>
              </w:rPr>
            </w:pPr>
            <w:r w:rsidRPr="007938ED">
              <w:rPr>
                <w:rFonts w:asciiTheme="majorHAnsi" w:hAnsiTheme="majorHAnsi"/>
                <w:sz w:val="18"/>
                <w:szCs w:val="12"/>
              </w:rPr>
              <w:t>72</w:t>
            </w:r>
          </w:p>
        </w:tc>
        <w:tc>
          <w:tcPr>
            <w:tcW w:w="0" w:type="auto"/>
            <w:hideMark/>
          </w:tcPr>
          <w:p w:rsidRPr="007938ED" w:rsidR="00D31E46" w:rsidRDefault="00D31E46" w14:paraId="47D61B8A"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7BEB69B3" w14:textId="77777777">
            <w:pPr>
              <w:rPr>
                <w:rFonts w:asciiTheme="majorHAnsi" w:hAnsiTheme="majorHAnsi"/>
                <w:sz w:val="18"/>
                <w:szCs w:val="12"/>
              </w:rPr>
            </w:pPr>
            <w:r w:rsidRPr="007938ED">
              <w:rPr>
                <w:rFonts w:asciiTheme="majorHAnsi" w:hAnsiTheme="majorHAnsi"/>
                <w:sz w:val="18"/>
                <w:szCs w:val="12"/>
              </w:rPr>
              <w:t>PAC Levelized Cost ($/kWh)</w:t>
            </w:r>
          </w:p>
        </w:tc>
        <w:tc>
          <w:tcPr>
            <w:tcW w:w="0" w:type="auto"/>
            <w:hideMark/>
          </w:tcPr>
          <w:p w:rsidRPr="007938ED" w:rsidR="00D31E46" w:rsidRDefault="00D31E46" w14:paraId="1142FFC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25C140B"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3179C928"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826D13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435AC22" w14:textId="77777777">
            <w:pPr>
              <w:rPr>
                <w:rFonts w:asciiTheme="majorHAnsi" w:hAnsiTheme="majorHAnsi"/>
                <w:sz w:val="18"/>
                <w:szCs w:val="12"/>
              </w:rPr>
            </w:pPr>
            <w:r w:rsidRPr="007938ED">
              <w:rPr>
                <w:rFonts w:asciiTheme="majorHAnsi" w:hAnsiTheme="majorHAnsi"/>
                <w:sz w:val="18"/>
                <w:szCs w:val="12"/>
              </w:rPr>
              <w:t>PAC Levelized Cost ($/kWh)</w:t>
            </w:r>
          </w:p>
        </w:tc>
      </w:tr>
      <w:tr w:rsidRPr="007938ED" w:rsidR="00CE6F7B" w:rsidTr="007938ED" w14:paraId="1A56DBEB" w14:textId="77777777">
        <w:trPr>
          <w:trHeight w:val="1200"/>
        </w:trPr>
        <w:tc>
          <w:tcPr>
            <w:tcW w:w="0" w:type="auto"/>
            <w:noWrap/>
            <w:hideMark/>
          </w:tcPr>
          <w:p w:rsidRPr="007938ED" w:rsidR="00D31E46" w:rsidP="00D31E46" w:rsidRDefault="00D31E46" w14:paraId="4EE405AF" w14:textId="77777777">
            <w:pPr>
              <w:rPr>
                <w:rFonts w:asciiTheme="majorHAnsi" w:hAnsiTheme="majorHAnsi"/>
                <w:sz w:val="18"/>
                <w:szCs w:val="12"/>
              </w:rPr>
            </w:pPr>
            <w:r w:rsidRPr="007938ED">
              <w:rPr>
                <w:rFonts w:asciiTheme="majorHAnsi" w:hAnsiTheme="majorHAnsi"/>
                <w:sz w:val="18"/>
                <w:szCs w:val="12"/>
              </w:rPr>
              <w:t>73</w:t>
            </w:r>
          </w:p>
        </w:tc>
        <w:tc>
          <w:tcPr>
            <w:tcW w:w="0" w:type="auto"/>
            <w:hideMark/>
          </w:tcPr>
          <w:p w:rsidRPr="007938ED" w:rsidR="00D31E46" w:rsidRDefault="00D31E46" w14:paraId="1CBAD85A"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470ABD00" w14:textId="77777777">
            <w:pPr>
              <w:rPr>
                <w:rFonts w:asciiTheme="majorHAnsi" w:hAnsiTheme="majorHAnsi"/>
                <w:sz w:val="18"/>
                <w:szCs w:val="12"/>
              </w:rPr>
            </w:pPr>
            <w:r w:rsidRPr="007938ED">
              <w:rPr>
                <w:rFonts w:asciiTheme="majorHAnsi" w:hAnsiTheme="majorHAnsi"/>
                <w:sz w:val="18"/>
                <w:szCs w:val="12"/>
              </w:rPr>
              <w:t>PAC Levelized Cost ($/therm)</w:t>
            </w:r>
          </w:p>
        </w:tc>
        <w:tc>
          <w:tcPr>
            <w:tcW w:w="0" w:type="auto"/>
            <w:hideMark/>
          </w:tcPr>
          <w:p w:rsidRPr="007938ED" w:rsidR="00D31E46" w:rsidRDefault="00D31E46" w14:paraId="02018DB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0A61107"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4DE7FCD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7DB463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2211608" w14:textId="77777777">
            <w:pPr>
              <w:rPr>
                <w:rFonts w:asciiTheme="majorHAnsi" w:hAnsiTheme="majorHAnsi"/>
                <w:sz w:val="18"/>
                <w:szCs w:val="12"/>
              </w:rPr>
            </w:pPr>
            <w:r w:rsidRPr="007938ED">
              <w:rPr>
                <w:rFonts w:asciiTheme="majorHAnsi" w:hAnsiTheme="majorHAnsi"/>
                <w:sz w:val="18"/>
                <w:szCs w:val="12"/>
              </w:rPr>
              <w:t>PAC Levelized Cost ($/therm)</w:t>
            </w:r>
          </w:p>
        </w:tc>
      </w:tr>
      <w:tr w:rsidRPr="007938ED" w:rsidR="00CE6F7B" w:rsidTr="007938ED" w14:paraId="39D6C6CF" w14:textId="77777777">
        <w:trPr>
          <w:trHeight w:val="1200"/>
        </w:trPr>
        <w:tc>
          <w:tcPr>
            <w:tcW w:w="0" w:type="auto"/>
            <w:noWrap/>
            <w:hideMark/>
          </w:tcPr>
          <w:p w:rsidRPr="007938ED" w:rsidR="00D31E46" w:rsidP="00D31E46" w:rsidRDefault="00D31E46" w14:paraId="113F83E4" w14:textId="77777777">
            <w:pPr>
              <w:rPr>
                <w:rFonts w:asciiTheme="majorHAnsi" w:hAnsiTheme="majorHAnsi"/>
                <w:sz w:val="18"/>
                <w:szCs w:val="12"/>
              </w:rPr>
            </w:pPr>
            <w:r w:rsidRPr="007938ED">
              <w:rPr>
                <w:rFonts w:asciiTheme="majorHAnsi" w:hAnsiTheme="majorHAnsi"/>
                <w:sz w:val="18"/>
                <w:szCs w:val="12"/>
              </w:rPr>
              <w:t>74</w:t>
            </w:r>
          </w:p>
        </w:tc>
        <w:tc>
          <w:tcPr>
            <w:tcW w:w="0" w:type="auto"/>
            <w:hideMark/>
          </w:tcPr>
          <w:p w:rsidRPr="007938ED" w:rsidR="00D31E46" w:rsidRDefault="00D31E46" w14:paraId="4CB37A2C"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1C62DA9B" w14:textId="77777777">
            <w:pPr>
              <w:rPr>
                <w:rFonts w:asciiTheme="majorHAnsi" w:hAnsiTheme="majorHAnsi"/>
                <w:sz w:val="18"/>
                <w:szCs w:val="12"/>
              </w:rPr>
            </w:pPr>
            <w:r w:rsidRPr="007938ED">
              <w:rPr>
                <w:rFonts w:asciiTheme="majorHAnsi" w:hAnsiTheme="majorHAnsi"/>
                <w:sz w:val="18"/>
                <w:szCs w:val="12"/>
              </w:rPr>
              <w:t>TRC Levelized Cost ($/kW)</w:t>
            </w:r>
          </w:p>
        </w:tc>
        <w:tc>
          <w:tcPr>
            <w:tcW w:w="0" w:type="auto"/>
            <w:hideMark/>
          </w:tcPr>
          <w:p w:rsidRPr="007938ED" w:rsidR="00D31E46" w:rsidRDefault="00D31E46" w14:paraId="1769200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6FDD34E"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42A0245D"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49FD32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273A6E7" w14:textId="77777777">
            <w:pPr>
              <w:rPr>
                <w:rFonts w:asciiTheme="majorHAnsi" w:hAnsiTheme="majorHAnsi"/>
                <w:sz w:val="18"/>
                <w:szCs w:val="12"/>
              </w:rPr>
            </w:pPr>
            <w:r w:rsidRPr="007938ED">
              <w:rPr>
                <w:rFonts w:asciiTheme="majorHAnsi" w:hAnsiTheme="majorHAnsi"/>
                <w:sz w:val="18"/>
                <w:szCs w:val="12"/>
              </w:rPr>
              <w:t>TRC Levelized Cost ($/kW)</w:t>
            </w:r>
          </w:p>
        </w:tc>
      </w:tr>
      <w:tr w:rsidRPr="007938ED" w:rsidR="00CE6F7B" w:rsidTr="007938ED" w14:paraId="6558035C" w14:textId="77777777">
        <w:trPr>
          <w:trHeight w:val="1200"/>
        </w:trPr>
        <w:tc>
          <w:tcPr>
            <w:tcW w:w="0" w:type="auto"/>
            <w:noWrap/>
            <w:hideMark/>
          </w:tcPr>
          <w:p w:rsidRPr="007938ED" w:rsidR="00D31E46" w:rsidP="00D31E46" w:rsidRDefault="00D31E46" w14:paraId="7F95B356" w14:textId="77777777">
            <w:pPr>
              <w:rPr>
                <w:rFonts w:asciiTheme="majorHAnsi" w:hAnsiTheme="majorHAnsi"/>
                <w:sz w:val="18"/>
                <w:szCs w:val="12"/>
              </w:rPr>
            </w:pPr>
            <w:r w:rsidRPr="007938ED">
              <w:rPr>
                <w:rFonts w:asciiTheme="majorHAnsi" w:hAnsiTheme="majorHAnsi"/>
                <w:sz w:val="18"/>
                <w:szCs w:val="12"/>
              </w:rPr>
              <w:lastRenderedPageBreak/>
              <w:t>75</w:t>
            </w:r>
          </w:p>
        </w:tc>
        <w:tc>
          <w:tcPr>
            <w:tcW w:w="0" w:type="auto"/>
            <w:hideMark/>
          </w:tcPr>
          <w:p w:rsidRPr="007938ED" w:rsidR="00D31E46" w:rsidRDefault="00D31E46" w14:paraId="2D0DD6AA"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06F10B4F" w14:textId="77777777">
            <w:pPr>
              <w:rPr>
                <w:rFonts w:asciiTheme="majorHAnsi" w:hAnsiTheme="majorHAnsi"/>
                <w:sz w:val="18"/>
                <w:szCs w:val="12"/>
              </w:rPr>
            </w:pPr>
            <w:r w:rsidRPr="007938ED">
              <w:rPr>
                <w:rFonts w:asciiTheme="majorHAnsi" w:hAnsiTheme="majorHAnsi"/>
                <w:sz w:val="18"/>
                <w:szCs w:val="12"/>
              </w:rPr>
              <w:t>TRC Levelized Cost ($/kWh)</w:t>
            </w:r>
          </w:p>
        </w:tc>
        <w:tc>
          <w:tcPr>
            <w:tcW w:w="0" w:type="auto"/>
            <w:hideMark/>
          </w:tcPr>
          <w:p w:rsidRPr="007938ED" w:rsidR="00D31E46" w:rsidRDefault="00D31E46" w14:paraId="684B771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2259430"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66B2CA8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411909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0E5A782" w14:textId="77777777">
            <w:pPr>
              <w:rPr>
                <w:rFonts w:asciiTheme="majorHAnsi" w:hAnsiTheme="majorHAnsi"/>
                <w:sz w:val="18"/>
                <w:szCs w:val="12"/>
              </w:rPr>
            </w:pPr>
            <w:r w:rsidRPr="007938ED">
              <w:rPr>
                <w:rFonts w:asciiTheme="majorHAnsi" w:hAnsiTheme="majorHAnsi"/>
                <w:sz w:val="18"/>
                <w:szCs w:val="12"/>
              </w:rPr>
              <w:t>TRC Levelized Cost ($/kWh)</w:t>
            </w:r>
          </w:p>
        </w:tc>
      </w:tr>
      <w:tr w:rsidRPr="007938ED" w:rsidR="00CE6F7B" w:rsidTr="007938ED" w14:paraId="65775A0C" w14:textId="77777777">
        <w:trPr>
          <w:trHeight w:val="1200"/>
        </w:trPr>
        <w:tc>
          <w:tcPr>
            <w:tcW w:w="0" w:type="auto"/>
            <w:noWrap/>
            <w:hideMark/>
          </w:tcPr>
          <w:p w:rsidRPr="007938ED" w:rsidR="00D31E46" w:rsidP="00D31E46" w:rsidRDefault="00D31E46" w14:paraId="7C85D827" w14:textId="77777777">
            <w:pPr>
              <w:rPr>
                <w:rFonts w:asciiTheme="majorHAnsi" w:hAnsiTheme="majorHAnsi"/>
                <w:sz w:val="18"/>
                <w:szCs w:val="12"/>
              </w:rPr>
            </w:pPr>
            <w:r w:rsidRPr="007938ED">
              <w:rPr>
                <w:rFonts w:asciiTheme="majorHAnsi" w:hAnsiTheme="majorHAnsi"/>
                <w:sz w:val="18"/>
                <w:szCs w:val="12"/>
              </w:rPr>
              <w:t>76</w:t>
            </w:r>
          </w:p>
        </w:tc>
        <w:tc>
          <w:tcPr>
            <w:tcW w:w="0" w:type="auto"/>
            <w:hideMark/>
          </w:tcPr>
          <w:p w:rsidRPr="007938ED" w:rsidR="00D31E46" w:rsidRDefault="00D31E46" w14:paraId="35C25A69"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7C134CED" w14:textId="77777777">
            <w:pPr>
              <w:rPr>
                <w:rFonts w:asciiTheme="majorHAnsi" w:hAnsiTheme="majorHAnsi"/>
                <w:sz w:val="18"/>
                <w:szCs w:val="12"/>
              </w:rPr>
            </w:pPr>
            <w:r w:rsidRPr="007938ED">
              <w:rPr>
                <w:rFonts w:asciiTheme="majorHAnsi" w:hAnsiTheme="majorHAnsi"/>
                <w:sz w:val="18"/>
                <w:szCs w:val="12"/>
              </w:rPr>
              <w:t>TRC Levelized Cost ($/therm)</w:t>
            </w:r>
          </w:p>
        </w:tc>
        <w:tc>
          <w:tcPr>
            <w:tcW w:w="0" w:type="auto"/>
            <w:hideMark/>
          </w:tcPr>
          <w:p w:rsidRPr="007938ED" w:rsidR="00D31E46" w:rsidRDefault="00D31E46" w14:paraId="0B7B17B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C486A85"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512B30E7"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0FFFDC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7B7E920" w14:textId="77777777">
            <w:pPr>
              <w:rPr>
                <w:rFonts w:asciiTheme="majorHAnsi" w:hAnsiTheme="majorHAnsi"/>
                <w:sz w:val="18"/>
                <w:szCs w:val="12"/>
              </w:rPr>
            </w:pPr>
            <w:r w:rsidRPr="007938ED">
              <w:rPr>
                <w:rFonts w:asciiTheme="majorHAnsi" w:hAnsiTheme="majorHAnsi"/>
                <w:sz w:val="18"/>
                <w:szCs w:val="12"/>
              </w:rPr>
              <w:t>TRC Levelized Cost ($/therm)</w:t>
            </w:r>
          </w:p>
        </w:tc>
      </w:tr>
      <w:tr w:rsidRPr="007938ED" w:rsidR="00CE6F7B" w:rsidTr="007938ED" w14:paraId="7BC69E54" w14:textId="77777777">
        <w:trPr>
          <w:trHeight w:val="1200"/>
        </w:trPr>
        <w:tc>
          <w:tcPr>
            <w:tcW w:w="0" w:type="auto"/>
            <w:noWrap/>
            <w:hideMark/>
          </w:tcPr>
          <w:p w:rsidRPr="007938ED" w:rsidR="00D31E46" w:rsidP="00D31E46" w:rsidRDefault="00D31E46" w14:paraId="2EC6799E" w14:textId="77777777">
            <w:pPr>
              <w:rPr>
                <w:rFonts w:asciiTheme="majorHAnsi" w:hAnsiTheme="majorHAnsi"/>
                <w:sz w:val="18"/>
                <w:szCs w:val="12"/>
              </w:rPr>
            </w:pPr>
            <w:r w:rsidRPr="007938ED">
              <w:rPr>
                <w:rFonts w:asciiTheme="majorHAnsi" w:hAnsiTheme="majorHAnsi"/>
                <w:sz w:val="18"/>
                <w:szCs w:val="12"/>
              </w:rPr>
              <w:t>77</w:t>
            </w:r>
          </w:p>
        </w:tc>
        <w:tc>
          <w:tcPr>
            <w:tcW w:w="0" w:type="auto"/>
            <w:hideMark/>
          </w:tcPr>
          <w:p w:rsidRPr="007938ED" w:rsidR="00D31E46" w:rsidRDefault="00D31E46" w14:paraId="0F347486" w14:textId="77777777">
            <w:pPr>
              <w:rPr>
                <w:rFonts w:asciiTheme="majorHAnsi" w:hAnsiTheme="majorHAnsi"/>
                <w:sz w:val="18"/>
                <w:szCs w:val="12"/>
              </w:rPr>
            </w:pPr>
            <w:r w:rsidRPr="007938ED">
              <w:rPr>
                <w:rFonts w:asciiTheme="majorHAnsi" w:hAnsiTheme="majorHAnsi"/>
                <w:sz w:val="18"/>
                <w:szCs w:val="12"/>
              </w:rPr>
              <w:t>Average energy use intensity of single family homes (average usage per household – not adjusted)</w:t>
            </w:r>
          </w:p>
        </w:tc>
        <w:tc>
          <w:tcPr>
            <w:tcW w:w="0" w:type="auto"/>
            <w:hideMark/>
          </w:tcPr>
          <w:p w:rsidRPr="007938ED" w:rsidR="00D31E46" w:rsidRDefault="00D31E46" w14:paraId="6A66EF26" w14:textId="77777777">
            <w:pPr>
              <w:rPr>
                <w:rFonts w:asciiTheme="majorHAnsi" w:hAnsiTheme="majorHAnsi"/>
                <w:sz w:val="18"/>
                <w:szCs w:val="12"/>
              </w:rPr>
            </w:pPr>
            <w:r w:rsidRPr="007938ED">
              <w:rPr>
                <w:rFonts w:asciiTheme="majorHAnsi" w:hAnsiTheme="majorHAnsi"/>
                <w:sz w:val="18"/>
                <w:szCs w:val="12"/>
              </w:rPr>
              <w:t>Average electric and gas usage per household</w:t>
            </w:r>
          </w:p>
        </w:tc>
        <w:tc>
          <w:tcPr>
            <w:tcW w:w="0" w:type="auto"/>
            <w:hideMark/>
          </w:tcPr>
          <w:p w:rsidRPr="007938ED" w:rsidR="00D31E46" w:rsidRDefault="00D31E46" w14:paraId="09F1870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1D60BE9" w14:textId="77777777">
            <w:pPr>
              <w:rPr>
                <w:rFonts w:asciiTheme="majorHAnsi" w:hAnsiTheme="majorHAnsi"/>
                <w:sz w:val="18"/>
                <w:szCs w:val="12"/>
              </w:rPr>
            </w:pPr>
            <w:r w:rsidRPr="007938ED">
              <w:rPr>
                <w:rFonts w:asciiTheme="majorHAnsi" w:hAnsiTheme="majorHAnsi"/>
                <w:sz w:val="18"/>
                <w:szCs w:val="12"/>
              </w:rPr>
              <w:t>Energy intensity</w:t>
            </w:r>
          </w:p>
        </w:tc>
        <w:tc>
          <w:tcPr>
            <w:tcW w:w="0" w:type="auto"/>
            <w:hideMark/>
          </w:tcPr>
          <w:p w:rsidRPr="007938ED" w:rsidR="00D31E46" w:rsidP="00D31E46" w:rsidRDefault="00D31E46" w14:paraId="5B93A07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980DA1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F3C6A4A" w14:textId="77777777">
            <w:pPr>
              <w:rPr>
                <w:rFonts w:asciiTheme="majorHAnsi" w:hAnsiTheme="majorHAnsi"/>
                <w:sz w:val="18"/>
                <w:szCs w:val="12"/>
              </w:rPr>
            </w:pPr>
            <w:r w:rsidRPr="007938ED">
              <w:rPr>
                <w:rFonts w:asciiTheme="majorHAnsi" w:hAnsiTheme="majorHAnsi"/>
                <w:sz w:val="18"/>
                <w:szCs w:val="12"/>
              </w:rPr>
              <w:t>Btu</w:t>
            </w:r>
          </w:p>
        </w:tc>
      </w:tr>
      <w:tr w:rsidRPr="007938ED" w:rsidR="00CE6F7B" w:rsidTr="007938ED" w14:paraId="0B9577CA" w14:textId="77777777">
        <w:trPr>
          <w:trHeight w:val="1200"/>
        </w:trPr>
        <w:tc>
          <w:tcPr>
            <w:tcW w:w="0" w:type="auto"/>
            <w:noWrap/>
            <w:hideMark/>
          </w:tcPr>
          <w:p w:rsidRPr="007938ED" w:rsidR="00D31E46" w:rsidP="00D31E46" w:rsidRDefault="00D31E46" w14:paraId="0DB4E9B1" w14:textId="77777777">
            <w:pPr>
              <w:rPr>
                <w:rFonts w:asciiTheme="majorHAnsi" w:hAnsiTheme="majorHAnsi"/>
                <w:sz w:val="18"/>
                <w:szCs w:val="12"/>
              </w:rPr>
            </w:pPr>
            <w:r w:rsidRPr="007938ED">
              <w:rPr>
                <w:rFonts w:asciiTheme="majorHAnsi" w:hAnsiTheme="majorHAnsi"/>
                <w:sz w:val="18"/>
                <w:szCs w:val="12"/>
              </w:rPr>
              <w:t>78</w:t>
            </w:r>
          </w:p>
        </w:tc>
        <w:tc>
          <w:tcPr>
            <w:tcW w:w="0" w:type="auto"/>
            <w:hideMark/>
          </w:tcPr>
          <w:p w:rsidRPr="007938ED" w:rsidR="00D31E46" w:rsidRDefault="00D31E46" w14:paraId="7075D170"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72F0A0FB" w14:textId="77777777">
            <w:pPr>
              <w:rPr>
                <w:rFonts w:asciiTheme="majorHAnsi" w:hAnsiTheme="majorHAnsi"/>
                <w:sz w:val="18"/>
                <w:szCs w:val="12"/>
              </w:rPr>
            </w:pPr>
            <w:r w:rsidRPr="007938ED">
              <w:rPr>
                <w:rFonts w:asciiTheme="majorHAnsi" w:hAnsiTheme="majorHAnsi"/>
                <w:sz w:val="18"/>
                <w:szCs w:val="12"/>
              </w:rPr>
              <w:t>First year annual kW gross - In Unit</w:t>
            </w:r>
          </w:p>
        </w:tc>
        <w:tc>
          <w:tcPr>
            <w:tcW w:w="0" w:type="auto"/>
            <w:hideMark/>
          </w:tcPr>
          <w:p w:rsidRPr="007938ED" w:rsidR="00D31E46" w:rsidRDefault="00D31E46" w14:paraId="145CC19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57B497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5BE605B"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3833BC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C992E64" w14:textId="77777777">
            <w:pPr>
              <w:rPr>
                <w:rFonts w:asciiTheme="majorHAnsi" w:hAnsiTheme="majorHAnsi"/>
                <w:sz w:val="18"/>
                <w:szCs w:val="12"/>
              </w:rPr>
            </w:pPr>
            <w:r w:rsidRPr="007938ED">
              <w:rPr>
                <w:rFonts w:asciiTheme="majorHAnsi" w:hAnsiTheme="majorHAnsi"/>
                <w:sz w:val="18"/>
                <w:szCs w:val="12"/>
              </w:rPr>
              <w:t>First year annual kW gross</w:t>
            </w:r>
          </w:p>
        </w:tc>
      </w:tr>
      <w:tr w:rsidRPr="007938ED" w:rsidR="00CE6F7B" w:rsidTr="007938ED" w14:paraId="7D2DDF82" w14:textId="77777777">
        <w:trPr>
          <w:trHeight w:val="1200"/>
        </w:trPr>
        <w:tc>
          <w:tcPr>
            <w:tcW w:w="0" w:type="auto"/>
            <w:noWrap/>
            <w:hideMark/>
          </w:tcPr>
          <w:p w:rsidRPr="007938ED" w:rsidR="00D31E46" w:rsidP="00D31E46" w:rsidRDefault="00D31E46" w14:paraId="00214279" w14:textId="77777777">
            <w:pPr>
              <w:rPr>
                <w:rFonts w:asciiTheme="majorHAnsi" w:hAnsiTheme="majorHAnsi"/>
                <w:sz w:val="18"/>
                <w:szCs w:val="12"/>
              </w:rPr>
            </w:pPr>
            <w:r w:rsidRPr="007938ED">
              <w:rPr>
                <w:rFonts w:asciiTheme="majorHAnsi" w:hAnsiTheme="majorHAnsi"/>
                <w:sz w:val="18"/>
                <w:szCs w:val="12"/>
              </w:rPr>
              <w:t>79</w:t>
            </w:r>
          </w:p>
        </w:tc>
        <w:tc>
          <w:tcPr>
            <w:tcW w:w="0" w:type="auto"/>
            <w:hideMark/>
          </w:tcPr>
          <w:p w:rsidRPr="007938ED" w:rsidR="00D31E46" w:rsidRDefault="00D31E46" w14:paraId="16FFD761"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6FF65949" w14:textId="77777777">
            <w:pPr>
              <w:rPr>
                <w:rFonts w:asciiTheme="majorHAnsi" w:hAnsiTheme="majorHAnsi"/>
                <w:sz w:val="18"/>
                <w:szCs w:val="12"/>
              </w:rPr>
            </w:pPr>
            <w:r w:rsidRPr="007938ED">
              <w:rPr>
                <w:rFonts w:asciiTheme="majorHAnsi" w:hAnsiTheme="majorHAnsi"/>
                <w:sz w:val="18"/>
                <w:szCs w:val="12"/>
              </w:rPr>
              <w:t>First year annual kW net - In Unit</w:t>
            </w:r>
          </w:p>
        </w:tc>
        <w:tc>
          <w:tcPr>
            <w:tcW w:w="0" w:type="auto"/>
            <w:hideMark/>
          </w:tcPr>
          <w:p w:rsidRPr="007938ED" w:rsidR="00D31E46" w:rsidRDefault="00D31E46" w14:paraId="58CC44C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F78657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8DA06EF"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F48E43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A676F83" w14:textId="77777777">
            <w:pPr>
              <w:rPr>
                <w:rFonts w:asciiTheme="majorHAnsi" w:hAnsiTheme="majorHAnsi"/>
                <w:sz w:val="18"/>
                <w:szCs w:val="12"/>
              </w:rPr>
            </w:pPr>
            <w:r w:rsidRPr="007938ED">
              <w:rPr>
                <w:rFonts w:asciiTheme="majorHAnsi" w:hAnsiTheme="majorHAnsi"/>
                <w:sz w:val="18"/>
                <w:szCs w:val="12"/>
              </w:rPr>
              <w:t>First year annual kW net</w:t>
            </w:r>
          </w:p>
        </w:tc>
      </w:tr>
      <w:tr w:rsidRPr="007938ED" w:rsidR="00CE6F7B" w:rsidTr="007938ED" w14:paraId="3528E6A1" w14:textId="77777777">
        <w:trPr>
          <w:trHeight w:val="1200"/>
        </w:trPr>
        <w:tc>
          <w:tcPr>
            <w:tcW w:w="0" w:type="auto"/>
            <w:noWrap/>
            <w:hideMark/>
          </w:tcPr>
          <w:p w:rsidRPr="007938ED" w:rsidR="00D31E46" w:rsidP="00D31E46" w:rsidRDefault="00D31E46" w14:paraId="63E48625" w14:textId="77777777">
            <w:pPr>
              <w:rPr>
                <w:rFonts w:asciiTheme="majorHAnsi" w:hAnsiTheme="majorHAnsi"/>
                <w:sz w:val="18"/>
                <w:szCs w:val="12"/>
              </w:rPr>
            </w:pPr>
            <w:r w:rsidRPr="007938ED">
              <w:rPr>
                <w:rFonts w:asciiTheme="majorHAnsi" w:hAnsiTheme="majorHAnsi"/>
                <w:sz w:val="18"/>
                <w:szCs w:val="12"/>
              </w:rPr>
              <w:lastRenderedPageBreak/>
              <w:t>80</w:t>
            </w:r>
          </w:p>
        </w:tc>
        <w:tc>
          <w:tcPr>
            <w:tcW w:w="0" w:type="auto"/>
            <w:hideMark/>
          </w:tcPr>
          <w:p w:rsidRPr="007938ED" w:rsidR="00D31E46" w:rsidRDefault="00D31E46" w14:paraId="50FB2676"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4DFF61B8" w14:textId="77777777">
            <w:pPr>
              <w:rPr>
                <w:rFonts w:asciiTheme="majorHAnsi" w:hAnsiTheme="majorHAnsi"/>
                <w:sz w:val="18"/>
                <w:szCs w:val="12"/>
              </w:rPr>
            </w:pPr>
            <w:r w:rsidRPr="007938ED">
              <w:rPr>
                <w:rFonts w:asciiTheme="majorHAnsi" w:hAnsiTheme="majorHAnsi"/>
                <w:sz w:val="18"/>
                <w:szCs w:val="12"/>
              </w:rPr>
              <w:t>First year annual kWh gross - In Unit</w:t>
            </w:r>
          </w:p>
        </w:tc>
        <w:tc>
          <w:tcPr>
            <w:tcW w:w="0" w:type="auto"/>
            <w:hideMark/>
          </w:tcPr>
          <w:p w:rsidRPr="007938ED" w:rsidR="00D31E46" w:rsidRDefault="00D31E46" w14:paraId="5954BC6A"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2CD0FE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FE862F1"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12896B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D2A91D2" w14:textId="77777777">
            <w:pPr>
              <w:rPr>
                <w:rFonts w:asciiTheme="majorHAnsi" w:hAnsiTheme="majorHAnsi"/>
                <w:sz w:val="18"/>
                <w:szCs w:val="12"/>
              </w:rPr>
            </w:pPr>
            <w:r w:rsidRPr="007938ED">
              <w:rPr>
                <w:rFonts w:asciiTheme="majorHAnsi" w:hAnsiTheme="majorHAnsi"/>
                <w:sz w:val="18"/>
                <w:szCs w:val="12"/>
              </w:rPr>
              <w:t>First year annual kWh gross</w:t>
            </w:r>
          </w:p>
        </w:tc>
      </w:tr>
      <w:tr w:rsidRPr="007938ED" w:rsidR="00CE6F7B" w:rsidTr="007938ED" w14:paraId="76ABBD47" w14:textId="77777777">
        <w:trPr>
          <w:trHeight w:val="1200"/>
        </w:trPr>
        <w:tc>
          <w:tcPr>
            <w:tcW w:w="0" w:type="auto"/>
            <w:noWrap/>
            <w:hideMark/>
          </w:tcPr>
          <w:p w:rsidRPr="007938ED" w:rsidR="00D31E46" w:rsidP="00D31E46" w:rsidRDefault="00D31E46" w14:paraId="7D247C73" w14:textId="77777777">
            <w:pPr>
              <w:rPr>
                <w:rFonts w:asciiTheme="majorHAnsi" w:hAnsiTheme="majorHAnsi"/>
                <w:sz w:val="18"/>
                <w:szCs w:val="12"/>
              </w:rPr>
            </w:pPr>
            <w:r w:rsidRPr="007938ED">
              <w:rPr>
                <w:rFonts w:asciiTheme="majorHAnsi" w:hAnsiTheme="majorHAnsi"/>
                <w:sz w:val="18"/>
                <w:szCs w:val="12"/>
              </w:rPr>
              <w:t>81</w:t>
            </w:r>
          </w:p>
        </w:tc>
        <w:tc>
          <w:tcPr>
            <w:tcW w:w="0" w:type="auto"/>
            <w:hideMark/>
          </w:tcPr>
          <w:p w:rsidRPr="007938ED" w:rsidR="00D31E46" w:rsidRDefault="00D31E46" w14:paraId="7BC734AF"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243D0B32" w14:textId="77777777">
            <w:pPr>
              <w:rPr>
                <w:rFonts w:asciiTheme="majorHAnsi" w:hAnsiTheme="majorHAnsi"/>
                <w:sz w:val="18"/>
                <w:szCs w:val="12"/>
              </w:rPr>
            </w:pPr>
            <w:r w:rsidRPr="007938ED">
              <w:rPr>
                <w:rFonts w:asciiTheme="majorHAnsi" w:hAnsiTheme="majorHAnsi"/>
                <w:sz w:val="18"/>
                <w:szCs w:val="12"/>
              </w:rPr>
              <w:t>First year annual kWh net - In Unit</w:t>
            </w:r>
          </w:p>
        </w:tc>
        <w:tc>
          <w:tcPr>
            <w:tcW w:w="0" w:type="auto"/>
            <w:hideMark/>
          </w:tcPr>
          <w:p w:rsidRPr="007938ED" w:rsidR="00D31E46" w:rsidRDefault="00D31E46" w14:paraId="54E34D1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F12241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6000017"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9105BD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3A0B0CE" w14:textId="77777777">
            <w:pPr>
              <w:rPr>
                <w:rFonts w:asciiTheme="majorHAnsi" w:hAnsiTheme="majorHAnsi"/>
                <w:sz w:val="18"/>
                <w:szCs w:val="12"/>
              </w:rPr>
            </w:pPr>
            <w:r w:rsidRPr="007938ED">
              <w:rPr>
                <w:rFonts w:asciiTheme="majorHAnsi" w:hAnsiTheme="majorHAnsi"/>
                <w:sz w:val="18"/>
                <w:szCs w:val="12"/>
              </w:rPr>
              <w:t>First year annual kWh net</w:t>
            </w:r>
          </w:p>
        </w:tc>
      </w:tr>
      <w:tr w:rsidRPr="007938ED" w:rsidR="00CE6F7B" w:rsidTr="007938ED" w14:paraId="63F80E38" w14:textId="77777777">
        <w:trPr>
          <w:trHeight w:val="1200"/>
        </w:trPr>
        <w:tc>
          <w:tcPr>
            <w:tcW w:w="0" w:type="auto"/>
            <w:noWrap/>
            <w:hideMark/>
          </w:tcPr>
          <w:p w:rsidRPr="007938ED" w:rsidR="00D31E46" w:rsidP="00D31E46" w:rsidRDefault="00D31E46" w14:paraId="3589431B" w14:textId="77777777">
            <w:pPr>
              <w:rPr>
                <w:rFonts w:asciiTheme="majorHAnsi" w:hAnsiTheme="majorHAnsi"/>
                <w:sz w:val="18"/>
                <w:szCs w:val="12"/>
              </w:rPr>
            </w:pPr>
            <w:r w:rsidRPr="007938ED">
              <w:rPr>
                <w:rFonts w:asciiTheme="majorHAnsi" w:hAnsiTheme="majorHAnsi"/>
                <w:sz w:val="18"/>
                <w:szCs w:val="12"/>
              </w:rPr>
              <w:t>82</w:t>
            </w:r>
          </w:p>
        </w:tc>
        <w:tc>
          <w:tcPr>
            <w:tcW w:w="0" w:type="auto"/>
            <w:hideMark/>
          </w:tcPr>
          <w:p w:rsidRPr="007938ED" w:rsidR="00D31E46" w:rsidRDefault="00D31E46" w14:paraId="6DE03574"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4D6F8A64" w14:textId="77777777">
            <w:pPr>
              <w:rPr>
                <w:rFonts w:asciiTheme="majorHAnsi" w:hAnsiTheme="majorHAnsi"/>
                <w:sz w:val="18"/>
                <w:szCs w:val="12"/>
              </w:rPr>
            </w:pPr>
            <w:r w:rsidRPr="007938ED">
              <w:rPr>
                <w:rFonts w:asciiTheme="majorHAnsi" w:hAnsiTheme="majorHAnsi"/>
                <w:sz w:val="18"/>
                <w:szCs w:val="12"/>
              </w:rPr>
              <w:t>First year annual Therm gross - In Unit</w:t>
            </w:r>
          </w:p>
        </w:tc>
        <w:tc>
          <w:tcPr>
            <w:tcW w:w="0" w:type="auto"/>
            <w:hideMark/>
          </w:tcPr>
          <w:p w:rsidRPr="007938ED" w:rsidR="00D31E46" w:rsidRDefault="00D31E46" w14:paraId="4B1D03D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329C71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4C8AC94"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1918C1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7B7745E" w14:textId="77777777">
            <w:pPr>
              <w:rPr>
                <w:rFonts w:asciiTheme="majorHAnsi" w:hAnsiTheme="majorHAnsi"/>
                <w:sz w:val="18"/>
                <w:szCs w:val="12"/>
              </w:rPr>
            </w:pPr>
            <w:r w:rsidRPr="007938ED">
              <w:rPr>
                <w:rFonts w:asciiTheme="majorHAnsi" w:hAnsiTheme="majorHAnsi"/>
                <w:sz w:val="18"/>
                <w:szCs w:val="12"/>
              </w:rPr>
              <w:t>First year annual Therm gross</w:t>
            </w:r>
          </w:p>
        </w:tc>
      </w:tr>
      <w:tr w:rsidRPr="007938ED" w:rsidR="00CE6F7B" w:rsidTr="007938ED" w14:paraId="3F2625AC" w14:textId="77777777">
        <w:trPr>
          <w:trHeight w:val="1200"/>
        </w:trPr>
        <w:tc>
          <w:tcPr>
            <w:tcW w:w="0" w:type="auto"/>
            <w:noWrap/>
            <w:hideMark/>
          </w:tcPr>
          <w:p w:rsidRPr="007938ED" w:rsidR="00D31E46" w:rsidP="00D31E46" w:rsidRDefault="00D31E46" w14:paraId="3E465801" w14:textId="77777777">
            <w:pPr>
              <w:rPr>
                <w:rFonts w:asciiTheme="majorHAnsi" w:hAnsiTheme="majorHAnsi"/>
                <w:sz w:val="18"/>
                <w:szCs w:val="12"/>
              </w:rPr>
            </w:pPr>
            <w:r w:rsidRPr="007938ED">
              <w:rPr>
                <w:rFonts w:asciiTheme="majorHAnsi" w:hAnsiTheme="majorHAnsi"/>
                <w:sz w:val="18"/>
                <w:szCs w:val="12"/>
              </w:rPr>
              <w:t>83</w:t>
            </w:r>
          </w:p>
        </w:tc>
        <w:tc>
          <w:tcPr>
            <w:tcW w:w="0" w:type="auto"/>
            <w:hideMark/>
          </w:tcPr>
          <w:p w:rsidRPr="007938ED" w:rsidR="00D31E46" w:rsidRDefault="00D31E46" w14:paraId="2BAAFA2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594B7133" w14:textId="77777777">
            <w:pPr>
              <w:rPr>
                <w:rFonts w:asciiTheme="majorHAnsi" w:hAnsiTheme="majorHAnsi"/>
                <w:sz w:val="18"/>
                <w:szCs w:val="12"/>
              </w:rPr>
            </w:pPr>
            <w:r w:rsidRPr="007938ED">
              <w:rPr>
                <w:rFonts w:asciiTheme="majorHAnsi" w:hAnsiTheme="majorHAnsi"/>
                <w:sz w:val="18"/>
                <w:szCs w:val="12"/>
              </w:rPr>
              <w:t>First year annual Therm net - In Unit</w:t>
            </w:r>
          </w:p>
        </w:tc>
        <w:tc>
          <w:tcPr>
            <w:tcW w:w="0" w:type="auto"/>
            <w:hideMark/>
          </w:tcPr>
          <w:p w:rsidRPr="007938ED" w:rsidR="00D31E46" w:rsidRDefault="00D31E46" w14:paraId="3E4292D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B08D9E4"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D9BBCBF"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AA4B8B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C4F0957" w14:textId="77777777">
            <w:pPr>
              <w:rPr>
                <w:rFonts w:asciiTheme="majorHAnsi" w:hAnsiTheme="majorHAnsi"/>
                <w:sz w:val="18"/>
                <w:szCs w:val="12"/>
              </w:rPr>
            </w:pPr>
            <w:r w:rsidRPr="007938ED">
              <w:rPr>
                <w:rFonts w:asciiTheme="majorHAnsi" w:hAnsiTheme="majorHAnsi"/>
                <w:sz w:val="18"/>
                <w:szCs w:val="12"/>
              </w:rPr>
              <w:t>First year annual Therm net</w:t>
            </w:r>
          </w:p>
        </w:tc>
      </w:tr>
      <w:tr w:rsidRPr="007938ED" w:rsidR="00CE6F7B" w:rsidTr="007938ED" w14:paraId="716536E6" w14:textId="77777777">
        <w:trPr>
          <w:trHeight w:val="1200"/>
        </w:trPr>
        <w:tc>
          <w:tcPr>
            <w:tcW w:w="0" w:type="auto"/>
            <w:noWrap/>
            <w:hideMark/>
          </w:tcPr>
          <w:p w:rsidRPr="007938ED" w:rsidR="00D31E46" w:rsidP="00D31E46" w:rsidRDefault="00D31E46" w14:paraId="358013DF" w14:textId="77777777">
            <w:pPr>
              <w:rPr>
                <w:rFonts w:asciiTheme="majorHAnsi" w:hAnsiTheme="majorHAnsi"/>
                <w:sz w:val="18"/>
                <w:szCs w:val="12"/>
              </w:rPr>
            </w:pPr>
            <w:r w:rsidRPr="007938ED">
              <w:rPr>
                <w:rFonts w:asciiTheme="majorHAnsi" w:hAnsiTheme="majorHAnsi"/>
                <w:sz w:val="18"/>
                <w:szCs w:val="12"/>
              </w:rPr>
              <w:t>84</w:t>
            </w:r>
          </w:p>
        </w:tc>
        <w:tc>
          <w:tcPr>
            <w:tcW w:w="0" w:type="auto"/>
            <w:hideMark/>
          </w:tcPr>
          <w:p w:rsidRPr="007938ED" w:rsidR="00D31E46" w:rsidRDefault="00D31E46" w14:paraId="0D872A6E"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w:t>
            </w:r>
            <w:r w:rsidRPr="007938ED">
              <w:rPr>
                <w:rFonts w:asciiTheme="majorHAnsi" w:hAnsiTheme="majorHAnsi"/>
                <w:sz w:val="18"/>
                <w:szCs w:val="12"/>
              </w:rPr>
              <w:lastRenderedPageBreak/>
              <w:t>unit, common area, and master metered accounts)</w:t>
            </w:r>
          </w:p>
        </w:tc>
        <w:tc>
          <w:tcPr>
            <w:tcW w:w="0" w:type="auto"/>
            <w:hideMark/>
          </w:tcPr>
          <w:p w:rsidRPr="007938ED" w:rsidR="00D31E46" w:rsidRDefault="00D31E46" w14:paraId="15737E54" w14:textId="77777777">
            <w:pPr>
              <w:rPr>
                <w:rFonts w:asciiTheme="majorHAnsi" w:hAnsiTheme="majorHAnsi"/>
                <w:sz w:val="18"/>
                <w:szCs w:val="12"/>
              </w:rPr>
            </w:pPr>
            <w:r w:rsidRPr="007938ED">
              <w:rPr>
                <w:rFonts w:asciiTheme="majorHAnsi" w:hAnsiTheme="majorHAnsi"/>
                <w:sz w:val="18"/>
                <w:szCs w:val="12"/>
              </w:rPr>
              <w:lastRenderedPageBreak/>
              <w:t>Lifecycle ex-ante kW gross - In Unit</w:t>
            </w:r>
          </w:p>
        </w:tc>
        <w:tc>
          <w:tcPr>
            <w:tcW w:w="0" w:type="auto"/>
            <w:hideMark/>
          </w:tcPr>
          <w:p w:rsidRPr="007938ED" w:rsidR="00D31E46" w:rsidRDefault="00D31E46" w14:paraId="0AC2111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2177301"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8A3D5A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048AE9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F5F2D9A" w14:textId="77777777">
            <w:pPr>
              <w:rPr>
                <w:rFonts w:asciiTheme="majorHAnsi" w:hAnsiTheme="majorHAnsi"/>
                <w:sz w:val="18"/>
                <w:szCs w:val="12"/>
              </w:rPr>
            </w:pPr>
            <w:r w:rsidRPr="007938ED">
              <w:rPr>
                <w:rFonts w:asciiTheme="majorHAnsi" w:hAnsiTheme="majorHAnsi"/>
                <w:sz w:val="18"/>
                <w:szCs w:val="12"/>
              </w:rPr>
              <w:t>Lifecycle ex-ante kW gross</w:t>
            </w:r>
          </w:p>
        </w:tc>
      </w:tr>
      <w:tr w:rsidRPr="007938ED" w:rsidR="00CE6F7B" w:rsidTr="007938ED" w14:paraId="635CABC5" w14:textId="77777777">
        <w:trPr>
          <w:trHeight w:val="1200"/>
        </w:trPr>
        <w:tc>
          <w:tcPr>
            <w:tcW w:w="0" w:type="auto"/>
            <w:noWrap/>
            <w:hideMark/>
          </w:tcPr>
          <w:p w:rsidRPr="007938ED" w:rsidR="00D31E46" w:rsidP="00D31E46" w:rsidRDefault="00D31E46" w14:paraId="52F7FA1C" w14:textId="77777777">
            <w:pPr>
              <w:rPr>
                <w:rFonts w:asciiTheme="majorHAnsi" w:hAnsiTheme="majorHAnsi"/>
                <w:sz w:val="18"/>
                <w:szCs w:val="12"/>
              </w:rPr>
            </w:pPr>
            <w:r w:rsidRPr="007938ED">
              <w:rPr>
                <w:rFonts w:asciiTheme="majorHAnsi" w:hAnsiTheme="majorHAnsi"/>
                <w:sz w:val="18"/>
                <w:szCs w:val="12"/>
              </w:rPr>
              <w:t>85</w:t>
            </w:r>
          </w:p>
        </w:tc>
        <w:tc>
          <w:tcPr>
            <w:tcW w:w="0" w:type="auto"/>
            <w:hideMark/>
          </w:tcPr>
          <w:p w:rsidRPr="007938ED" w:rsidR="00D31E46" w:rsidRDefault="00D31E46" w14:paraId="0E42D506"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34F2FA48" w14:textId="77777777">
            <w:pPr>
              <w:rPr>
                <w:rFonts w:asciiTheme="majorHAnsi" w:hAnsiTheme="majorHAnsi"/>
                <w:sz w:val="18"/>
                <w:szCs w:val="12"/>
              </w:rPr>
            </w:pPr>
            <w:r w:rsidRPr="007938ED">
              <w:rPr>
                <w:rFonts w:asciiTheme="majorHAnsi" w:hAnsiTheme="majorHAnsi"/>
                <w:sz w:val="18"/>
                <w:szCs w:val="12"/>
              </w:rPr>
              <w:t>Lifecycle ex-ante kW net - In Unit</w:t>
            </w:r>
          </w:p>
        </w:tc>
        <w:tc>
          <w:tcPr>
            <w:tcW w:w="0" w:type="auto"/>
            <w:hideMark/>
          </w:tcPr>
          <w:p w:rsidRPr="007938ED" w:rsidR="00D31E46" w:rsidRDefault="00D31E46" w14:paraId="6878715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FA15153"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AB9CFD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568551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E94F3DF" w14:textId="77777777">
            <w:pPr>
              <w:rPr>
                <w:rFonts w:asciiTheme="majorHAnsi" w:hAnsiTheme="majorHAnsi"/>
                <w:sz w:val="18"/>
                <w:szCs w:val="12"/>
              </w:rPr>
            </w:pPr>
            <w:r w:rsidRPr="007938ED">
              <w:rPr>
                <w:rFonts w:asciiTheme="majorHAnsi" w:hAnsiTheme="majorHAnsi"/>
                <w:sz w:val="18"/>
                <w:szCs w:val="12"/>
              </w:rPr>
              <w:t>Lifecycle ex-ante kW net</w:t>
            </w:r>
          </w:p>
        </w:tc>
      </w:tr>
      <w:tr w:rsidRPr="007938ED" w:rsidR="00CE6F7B" w:rsidTr="007938ED" w14:paraId="6696E52E" w14:textId="77777777">
        <w:trPr>
          <w:trHeight w:val="1200"/>
        </w:trPr>
        <w:tc>
          <w:tcPr>
            <w:tcW w:w="0" w:type="auto"/>
            <w:noWrap/>
            <w:hideMark/>
          </w:tcPr>
          <w:p w:rsidRPr="007938ED" w:rsidR="00D31E46" w:rsidP="00D31E46" w:rsidRDefault="00D31E46" w14:paraId="753684D9" w14:textId="77777777">
            <w:pPr>
              <w:rPr>
                <w:rFonts w:asciiTheme="majorHAnsi" w:hAnsiTheme="majorHAnsi"/>
                <w:sz w:val="18"/>
                <w:szCs w:val="12"/>
              </w:rPr>
            </w:pPr>
            <w:r w:rsidRPr="007938ED">
              <w:rPr>
                <w:rFonts w:asciiTheme="majorHAnsi" w:hAnsiTheme="majorHAnsi"/>
                <w:sz w:val="18"/>
                <w:szCs w:val="12"/>
              </w:rPr>
              <w:t>86</w:t>
            </w:r>
          </w:p>
        </w:tc>
        <w:tc>
          <w:tcPr>
            <w:tcW w:w="0" w:type="auto"/>
            <w:hideMark/>
          </w:tcPr>
          <w:p w:rsidRPr="007938ED" w:rsidR="00D31E46" w:rsidRDefault="00D31E46" w14:paraId="47936255"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7C302720" w14:textId="77777777">
            <w:pPr>
              <w:rPr>
                <w:rFonts w:asciiTheme="majorHAnsi" w:hAnsiTheme="majorHAnsi"/>
                <w:sz w:val="18"/>
                <w:szCs w:val="12"/>
              </w:rPr>
            </w:pPr>
            <w:r w:rsidRPr="007938ED">
              <w:rPr>
                <w:rFonts w:asciiTheme="majorHAnsi" w:hAnsiTheme="majorHAnsi"/>
                <w:sz w:val="18"/>
                <w:szCs w:val="12"/>
              </w:rPr>
              <w:t>Lifecycle ex-ante kWh gross - In Unit</w:t>
            </w:r>
          </w:p>
        </w:tc>
        <w:tc>
          <w:tcPr>
            <w:tcW w:w="0" w:type="auto"/>
            <w:hideMark/>
          </w:tcPr>
          <w:p w:rsidRPr="007938ED" w:rsidR="00D31E46" w:rsidRDefault="00D31E46" w14:paraId="5E59E51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9B5B37D"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AB394FC"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2667417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2475BBA" w14:textId="77777777">
            <w:pPr>
              <w:rPr>
                <w:rFonts w:asciiTheme="majorHAnsi" w:hAnsiTheme="majorHAnsi"/>
                <w:sz w:val="18"/>
                <w:szCs w:val="12"/>
              </w:rPr>
            </w:pPr>
            <w:r w:rsidRPr="007938ED">
              <w:rPr>
                <w:rFonts w:asciiTheme="majorHAnsi" w:hAnsiTheme="majorHAnsi"/>
                <w:sz w:val="18"/>
                <w:szCs w:val="12"/>
              </w:rPr>
              <w:t>Lifecycle ex-ante kWh gross</w:t>
            </w:r>
          </w:p>
        </w:tc>
      </w:tr>
      <w:tr w:rsidRPr="007938ED" w:rsidR="00CE6F7B" w:rsidTr="007938ED" w14:paraId="62B23E80" w14:textId="77777777">
        <w:trPr>
          <w:trHeight w:val="1200"/>
        </w:trPr>
        <w:tc>
          <w:tcPr>
            <w:tcW w:w="0" w:type="auto"/>
            <w:noWrap/>
            <w:hideMark/>
          </w:tcPr>
          <w:p w:rsidRPr="007938ED" w:rsidR="00D31E46" w:rsidP="00D31E46" w:rsidRDefault="00D31E46" w14:paraId="45E30428" w14:textId="77777777">
            <w:pPr>
              <w:rPr>
                <w:rFonts w:asciiTheme="majorHAnsi" w:hAnsiTheme="majorHAnsi"/>
                <w:sz w:val="18"/>
                <w:szCs w:val="12"/>
              </w:rPr>
            </w:pPr>
            <w:r w:rsidRPr="007938ED">
              <w:rPr>
                <w:rFonts w:asciiTheme="majorHAnsi" w:hAnsiTheme="majorHAnsi"/>
                <w:sz w:val="18"/>
                <w:szCs w:val="12"/>
              </w:rPr>
              <w:t>87</w:t>
            </w:r>
          </w:p>
        </w:tc>
        <w:tc>
          <w:tcPr>
            <w:tcW w:w="0" w:type="auto"/>
            <w:hideMark/>
          </w:tcPr>
          <w:p w:rsidRPr="007938ED" w:rsidR="00D31E46" w:rsidRDefault="00D31E46" w14:paraId="31234255"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30B47B84" w14:textId="77777777">
            <w:pPr>
              <w:rPr>
                <w:rFonts w:asciiTheme="majorHAnsi" w:hAnsiTheme="majorHAnsi"/>
                <w:sz w:val="18"/>
                <w:szCs w:val="12"/>
              </w:rPr>
            </w:pPr>
            <w:r w:rsidRPr="007938ED">
              <w:rPr>
                <w:rFonts w:asciiTheme="majorHAnsi" w:hAnsiTheme="majorHAnsi"/>
                <w:sz w:val="18"/>
                <w:szCs w:val="12"/>
              </w:rPr>
              <w:t>Lifecycle ex-ante kWh net - In Unit</w:t>
            </w:r>
          </w:p>
        </w:tc>
        <w:tc>
          <w:tcPr>
            <w:tcW w:w="0" w:type="auto"/>
            <w:hideMark/>
          </w:tcPr>
          <w:p w:rsidRPr="007938ED" w:rsidR="00D31E46" w:rsidRDefault="00D31E46" w14:paraId="16F3391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BE2F64A"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D0F25D0"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692A677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AD118D4" w14:textId="77777777">
            <w:pPr>
              <w:rPr>
                <w:rFonts w:asciiTheme="majorHAnsi" w:hAnsiTheme="majorHAnsi"/>
                <w:sz w:val="18"/>
                <w:szCs w:val="12"/>
              </w:rPr>
            </w:pPr>
            <w:r w:rsidRPr="007938ED">
              <w:rPr>
                <w:rFonts w:asciiTheme="majorHAnsi" w:hAnsiTheme="majorHAnsi"/>
                <w:sz w:val="18"/>
                <w:szCs w:val="12"/>
              </w:rPr>
              <w:t>Lifecycle ex-ante kWh net</w:t>
            </w:r>
          </w:p>
        </w:tc>
      </w:tr>
      <w:tr w:rsidRPr="007938ED" w:rsidR="00CE6F7B" w:rsidTr="007938ED" w14:paraId="5F632F19" w14:textId="77777777">
        <w:trPr>
          <w:trHeight w:val="1200"/>
        </w:trPr>
        <w:tc>
          <w:tcPr>
            <w:tcW w:w="0" w:type="auto"/>
            <w:noWrap/>
            <w:hideMark/>
          </w:tcPr>
          <w:p w:rsidRPr="007938ED" w:rsidR="00D31E46" w:rsidP="00D31E46" w:rsidRDefault="00D31E46" w14:paraId="6B14AB42" w14:textId="77777777">
            <w:pPr>
              <w:rPr>
                <w:rFonts w:asciiTheme="majorHAnsi" w:hAnsiTheme="majorHAnsi"/>
                <w:sz w:val="18"/>
                <w:szCs w:val="12"/>
              </w:rPr>
            </w:pPr>
            <w:r w:rsidRPr="007938ED">
              <w:rPr>
                <w:rFonts w:asciiTheme="majorHAnsi" w:hAnsiTheme="majorHAnsi"/>
                <w:sz w:val="18"/>
                <w:szCs w:val="12"/>
              </w:rPr>
              <w:t>88</w:t>
            </w:r>
          </w:p>
        </w:tc>
        <w:tc>
          <w:tcPr>
            <w:tcW w:w="0" w:type="auto"/>
            <w:hideMark/>
          </w:tcPr>
          <w:p w:rsidRPr="007938ED" w:rsidR="00D31E46" w:rsidRDefault="00D31E46" w14:paraId="12FAFF5C"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422333FB" w14:textId="77777777">
            <w:pPr>
              <w:rPr>
                <w:rFonts w:asciiTheme="majorHAnsi" w:hAnsiTheme="majorHAnsi"/>
                <w:sz w:val="18"/>
                <w:szCs w:val="12"/>
              </w:rPr>
            </w:pPr>
            <w:r w:rsidRPr="007938ED">
              <w:rPr>
                <w:rFonts w:asciiTheme="majorHAnsi" w:hAnsiTheme="majorHAnsi"/>
                <w:sz w:val="18"/>
                <w:szCs w:val="12"/>
              </w:rPr>
              <w:t>Lifecycle ex-ante Therm gross - In Unit</w:t>
            </w:r>
          </w:p>
        </w:tc>
        <w:tc>
          <w:tcPr>
            <w:tcW w:w="0" w:type="auto"/>
            <w:hideMark/>
          </w:tcPr>
          <w:p w:rsidRPr="007938ED" w:rsidR="00D31E46" w:rsidRDefault="00D31E46" w14:paraId="5B8DE99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E46412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83E8170"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30F85A5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2AF6FDC" w14:textId="77777777">
            <w:pPr>
              <w:rPr>
                <w:rFonts w:asciiTheme="majorHAnsi" w:hAnsiTheme="majorHAnsi"/>
                <w:sz w:val="18"/>
                <w:szCs w:val="12"/>
              </w:rPr>
            </w:pPr>
            <w:r w:rsidRPr="007938ED">
              <w:rPr>
                <w:rFonts w:asciiTheme="majorHAnsi" w:hAnsiTheme="majorHAnsi"/>
                <w:sz w:val="18"/>
                <w:szCs w:val="12"/>
              </w:rPr>
              <w:t>Lifecycle ex-ante Therm gross</w:t>
            </w:r>
          </w:p>
        </w:tc>
      </w:tr>
      <w:tr w:rsidRPr="007938ED" w:rsidR="00CE6F7B" w:rsidTr="007938ED" w14:paraId="008D09A8" w14:textId="77777777">
        <w:trPr>
          <w:trHeight w:val="1200"/>
        </w:trPr>
        <w:tc>
          <w:tcPr>
            <w:tcW w:w="0" w:type="auto"/>
            <w:noWrap/>
            <w:hideMark/>
          </w:tcPr>
          <w:p w:rsidRPr="007938ED" w:rsidR="00D31E46" w:rsidP="00D31E46" w:rsidRDefault="00D31E46" w14:paraId="7B12CCA9" w14:textId="77777777">
            <w:pPr>
              <w:rPr>
                <w:rFonts w:asciiTheme="majorHAnsi" w:hAnsiTheme="majorHAnsi"/>
                <w:sz w:val="18"/>
                <w:szCs w:val="12"/>
              </w:rPr>
            </w:pPr>
            <w:r w:rsidRPr="007938ED">
              <w:rPr>
                <w:rFonts w:asciiTheme="majorHAnsi" w:hAnsiTheme="majorHAnsi"/>
                <w:sz w:val="18"/>
                <w:szCs w:val="12"/>
              </w:rPr>
              <w:lastRenderedPageBreak/>
              <w:t>89</w:t>
            </w:r>
          </w:p>
        </w:tc>
        <w:tc>
          <w:tcPr>
            <w:tcW w:w="0" w:type="auto"/>
            <w:hideMark/>
          </w:tcPr>
          <w:p w:rsidRPr="007938ED" w:rsidR="00D31E46" w:rsidRDefault="00D31E46" w14:paraId="1B4275E5"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5FB18777" w14:textId="77777777">
            <w:pPr>
              <w:rPr>
                <w:rFonts w:asciiTheme="majorHAnsi" w:hAnsiTheme="majorHAnsi"/>
                <w:sz w:val="18"/>
                <w:szCs w:val="12"/>
              </w:rPr>
            </w:pPr>
            <w:r w:rsidRPr="007938ED">
              <w:rPr>
                <w:rFonts w:asciiTheme="majorHAnsi" w:hAnsiTheme="majorHAnsi"/>
                <w:sz w:val="18"/>
                <w:szCs w:val="12"/>
              </w:rPr>
              <w:t>Lifecycle ex-ante Therm net - In Unit</w:t>
            </w:r>
          </w:p>
        </w:tc>
        <w:tc>
          <w:tcPr>
            <w:tcW w:w="0" w:type="auto"/>
            <w:hideMark/>
          </w:tcPr>
          <w:p w:rsidRPr="007938ED" w:rsidR="00D31E46" w:rsidRDefault="00D31E46" w14:paraId="38A6BFB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014AC82"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42AF4CE"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5EFE6D2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1AE8E11" w14:textId="77777777">
            <w:pPr>
              <w:rPr>
                <w:rFonts w:asciiTheme="majorHAnsi" w:hAnsiTheme="majorHAnsi"/>
                <w:sz w:val="18"/>
                <w:szCs w:val="12"/>
              </w:rPr>
            </w:pPr>
            <w:r w:rsidRPr="007938ED">
              <w:rPr>
                <w:rFonts w:asciiTheme="majorHAnsi" w:hAnsiTheme="majorHAnsi"/>
                <w:sz w:val="18"/>
                <w:szCs w:val="12"/>
              </w:rPr>
              <w:t>Lifecycle ex-ante Therm net</w:t>
            </w:r>
          </w:p>
        </w:tc>
      </w:tr>
      <w:tr w:rsidRPr="007938ED" w:rsidR="00CE6F7B" w:rsidTr="007938ED" w14:paraId="716DF8C8" w14:textId="77777777">
        <w:trPr>
          <w:trHeight w:val="1200"/>
        </w:trPr>
        <w:tc>
          <w:tcPr>
            <w:tcW w:w="0" w:type="auto"/>
            <w:noWrap/>
            <w:hideMark/>
          </w:tcPr>
          <w:p w:rsidRPr="007938ED" w:rsidR="00D31E46" w:rsidP="00D31E46" w:rsidRDefault="00D31E46" w14:paraId="3DB81F97" w14:textId="77777777">
            <w:pPr>
              <w:rPr>
                <w:rFonts w:asciiTheme="majorHAnsi" w:hAnsiTheme="majorHAnsi"/>
                <w:sz w:val="18"/>
                <w:szCs w:val="12"/>
              </w:rPr>
            </w:pPr>
            <w:r w:rsidRPr="007938ED">
              <w:rPr>
                <w:rFonts w:asciiTheme="majorHAnsi" w:hAnsiTheme="majorHAnsi"/>
                <w:sz w:val="18"/>
                <w:szCs w:val="12"/>
              </w:rPr>
              <w:t>90</w:t>
            </w:r>
          </w:p>
        </w:tc>
        <w:tc>
          <w:tcPr>
            <w:tcW w:w="0" w:type="auto"/>
            <w:hideMark/>
          </w:tcPr>
          <w:p w:rsidRPr="007938ED" w:rsidR="00D31E46" w:rsidRDefault="00D31E46" w14:paraId="5BA0A81D"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3D5E580C" w14:textId="77777777">
            <w:pPr>
              <w:rPr>
                <w:rFonts w:asciiTheme="majorHAnsi" w:hAnsiTheme="majorHAnsi"/>
                <w:sz w:val="18"/>
                <w:szCs w:val="12"/>
              </w:rPr>
            </w:pPr>
            <w:r w:rsidRPr="007938ED">
              <w:rPr>
                <w:rFonts w:asciiTheme="majorHAnsi" w:hAnsiTheme="majorHAnsi"/>
                <w:sz w:val="18"/>
                <w:szCs w:val="12"/>
              </w:rPr>
              <w:t>First year annual kW gross - Master Metered</w:t>
            </w:r>
          </w:p>
        </w:tc>
        <w:tc>
          <w:tcPr>
            <w:tcW w:w="0" w:type="auto"/>
            <w:hideMark/>
          </w:tcPr>
          <w:p w:rsidRPr="007938ED" w:rsidR="00D31E46" w:rsidRDefault="00D31E46" w14:paraId="6764935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8750EF4"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DCB6FC5"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608BBD32"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BE5FED4" w14:textId="77777777">
            <w:pPr>
              <w:rPr>
                <w:rFonts w:asciiTheme="majorHAnsi" w:hAnsiTheme="majorHAnsi"/>
                <w:sz w:val="18"/>
                <w:szCs w:val="12"/>
              </w:rPr>
            </w:pPr>
            <w:r w:rsidRPr="007938ED">
              <w:rPr>
                <w:rFonts w:asciiTheme="majorHAnsi" w:hAnsiTheme="majorHAnsi"/>
                <w:sz w:val="18"/>
                <w:szCs w:val="12"/>
              </w:rPr>
              <w:t>First year annual kW gross</w:t>
            </w:r>
          </w:p>
        </w:tc>
      </w:tr>
      <w:tr w:rsidRPr="007938ED" w:rsidR="00CE6F7B" w:rsidTr="007938ED" w14:paraId="35490BF6" w14:textId="77777777">
        <w:trPr>
          <w:trHeight w:val="1200"/>
        </w:trPr>
        <w:tc>
          <w:tcPr>
            <w:tcW w:w="0" w:type="auto"/>
            <w:noWrap/>
            <w:hideMark/>
          </w:tcPr>
          <w:p w:rsidRPr="007938ED" w:rsidR="00D31E46" w:rsidP="00D31E46" w:rsidRDefault="00D31E46" w14:paraId="22EE14E8" w14:textId="77777777">
            <w:pPr>
              <w:rPr>
                <w:rFonts w:asciiTheme="majorHAnsi" w:hAnsiTheme="majorHAnsi"/>
                <w:sz w:val="18"/>
                <w:szCs w:val="12"/>
              </w:rPr>
            </w:pPr>
            <w:r w:rsidRPr="007938ED">
              <w:rPr>
                <w:rFonts w:asciiTheme="majorHAnsi" w:hAnsiTheme="majorHAnsi"/>
                <w:sz w:val="18"/>
                <w:szCs w:val="12"/>
              </w:rPr>
              <w:t>91</w:t>
            </w:r>
          </w:p>
        </w:tc>
        <w:tc>
          <w:tcPr>
            <w:tcW w:w="0" w:type="auto"/>
            <w:hideMark/>
          </w:tcPr>
          <w:p w:rsidRPr="007938ED" w:rsidR="00D31E46" w:rsidRDefault="00D31E46" w14:paraId="22A4D2B0"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28336B94" w14:textId="77777777">
            <w:pPr>
              <w:rPr>
                <w:rFonts w:asciiTheme="majorHAnsi" w:hAnsiTheme="majorHAnsi"/>
                <w:sz w:val="18"/>
                <w:szCs w:val="12"/>
              </w:rPr>
            </w:pPr>
            <w:r w:rsidRPr="007938ED">
              <w:rPr>
                <w:rFonts w:asciiTheme="majorHAnsi" w:hAnsiTheme="majorHAnsi"/>
                <w:sz w:val="18"/>
                <w:szCs w:val="12"/>
              </w:rPr>
              <w:t>First year annual kW net - Master Metered</w:t>
            </w:r>
          </w:p>
        </w:tc>
        <w:tc>
          <w:tcPr>
            <w:tcW w:w="0" w:type="auto"/>
            <w:hideMark/>
          </w:tcPr>
          <w:p w:rsidRPr="007938ED" w:rsidR="00D31E46" w:rsidRDefault="00D31E46" w14:paraId="57B2C4B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0325471"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5DE14FF"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3D838FA"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90EBBD8" w14:textId="77777777">
            <w:pPr>
              <w:rPr>
                <w:rFonts w:asciiTheme="majorHAnsi" w:hAnsiTheme="majorHAnsi"/>
                <w:sz w:val="18"/>
                <w:szCs w:val="12"/>
              </w:rPr>
            </w:pPr>
            <w:r w:rsidRPr="007938ED">
              <w:rPr>
                <w:rFonts w:asciiTheme="majorHAnsi" w:hAnsiTheme="majorHAnsi"/>
                <w:sz w:val="18"/>
                <w:szCs w:val="12"/>
              </w:rPr>
              <w:t>First year annual kW net</w:t>
            </w:r>
          </w:p>
        </w:tc>
      </w:tr>
      <w:tr w:rsidRPr="007938ED" w:rsidR="00CE6F7B" w:rsidTr="007938ED" w14:paraId="2E3E6765" w14:textId="77777777">
        <w:trPr>
          <w:trHeight w:val="1200"/>
        </w:trPr>
        <w:tc>
          <w:tcPr>
            <w:tcW w:w="0" w:type="auto"/>
            <w:noWrap/>
            <w:hideMark/>
          </w:tcPr>
          <w:p w:rsidRPr="007938ED" w:rsidR="00D31E46" w:rsidP="00D31E46" w:rsidRDefault="00D31E46" w14:paraId="4E5CA293" w14:textId="77777777">
            <w:pPr>
              <w:rPr>
                <w:rFonts w:asciiTheme="majorHAnsi" w:hAnsiTheme="majorHAnsi"/>
                <w:sz w:val="18"/>
                <w:szCs w:val="12"/>
              </w:rPr>
            </w:pPr>
            <w:r w:rsidRPr="007938ED">
              <w:rPr>
                <w:rFonts w:asciiTheme="majorHAnsi" w:hAnsiTheme="majorHAnsi"/>
                <w:sz w:val="18"/>
                <w:szCs w:val="12"/>
              </w:rPr>
              <w:t>92</w:t>
            </w:r>
          </w:p>
        </w:tc>
        <w:tc>
          <w:tcPr>
            <w:tcW w:w="0" w:type="auto"/>
            <w:hideMark/>
          </w:tcPr>
          <w:p w:rsidRPr="007938ED" w:rsidR="00D31E46" w:rsidRDefault="00D31E46" w14:paraId="52D5C2CF"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6D9F5E22" w14:textId="77777777">
            <w:pPr>
              <w:rPr>
                <w:rFonts w:asciiTheme="majorHAnsi" w:hAnsiTheme="majorHAnsi"/>
                <w:sz w:val="18"/>
                <w:szCs w:val="12"/>
              </w:rPr>
            </w:pPr>
            <w:r w:rsidRPr="007938ED">
              <w:rPr>
                <w:rFonts w:asciiTheme="majorHAnsi" w:hAnsiTheme="majorHAnsi"/>
                <w:sz w:val="18"/>
                <w:szCs w:val="12"/>
              </w:rPr>
              <w:t>First year annual kWh gross - Master Metered</w:t>
            </w:r>
          </w:p>
        </w:tc>
        <w:tc>
          <w:tcPr>
            <w:tcW w:w="0" w:type="auto"/>
            <w:hideMark/>
          </w:tcPr>
          <w:p w:rsidRPr="007938ED" w:rsidR="00D31E46" w:rsidRDefault="00D31E46" w14:paraId="15EB1D8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7D7F870"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362D653"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71C50EE2"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FD8E10C" w14:textId="77777777">
            <w:pPr>
              <w:rPr>
                <w:rFonts w:asciiTheme="majorHAnsi" w:hAnsiTheme="majorHAnsi"/>
                <w:sz w:val="18"/>
                <w:szCs w:val="12"/>
              </w:rPr>
            </w:pPr>
            <w:r w:rsidRPr="007938ED">
              <w:rPr>
                <w:rFonts w:asciiTheme="majorHAnsi" w:hAnsiTheme="majorHAnsi"/>
                <w:sz w:val="18"/>
                <w:szCs w:val="12"/>
              </w:rPr>
              <w:t>First year annual kWh gross</w:t>
            </w:r>
          </w:p>
        </w:tc>
      </w:tr>
      <w:tr w:rsidRPr="007938ED" w:rsidR="00CE6F7B" w:rsidTr="007938ED" w14:paraId="2A00C734" w14:textId="77777777">
        <w:trPr>
          <w:trHeight w:val="1200"/>
        </w:trPr>
        <w:tc>
          <w:tcPr>
            <w:tcW w:w="0" w:type="auto"/>
            <w:noWrap/>
            <w:hideMark/>
          </w:tcPr>
          <w:p w:rsidRPr="007938ED" w:rsidR="00D31E46" w:rsidP="00D31E46" w:rsidRDefault="00D31E46" w14:paraId="2B1165F5" w14:textId="77777777">
            <w:pPr>
              <w:rPr>
                <w:rFonts w:asciiTheme="majorHAnsi" w:hAnsiTheme="majorHAnsi"/>
                <w:sz w:val="18"/>
                <w:szCs w:val="12"/>
              </w:rPr>
            </w:pPr>
            <w:r w:rsidRPr="007938ED">
              <w:rPr>
                <w:rFonts w:asciiTheme="majorHAnsi" w:hAnsiTheme="majorHAnsi"/>
                <w:sz w:val="18"/>
                <w:szCs w:val="12"/>
              </w:rPr>
              <w:t>93</w:t>
            </w:r>
          </w:p>
        </w:tc>
        <w:tc>
          <w:tcPr>
            <w:tcW w:w="0" w:type="auto"/>
            <w:hideMark/>
          </w:tcPr>
          <w:p w:rsidRPr="007938ED" w:rsidR="00D31E46" w:rsidRDefault="00D31E46" w14:paraId="558140CB"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w:t>
            </w:r>
            <w:r w:rsidRPr="007938ED">
              <w:rPr>
                <w:rFonts w:asciiTheme="majorHAnsi" w:hAnsiTheme="majorHAnsi"/>
                <w:sz w:val="18"/>
                <w:szCs w:val="12"/>
              </w:rPr>
              <w:lastRenderedPageBreak/>
              <w:t>unit, common area, and master metered accounts)</w:t>
            </w:r>
          </w:p>
        </w:tc>
        <w:tc>
          <w:tcPr>
            <w:tcW w:w="0" w:type="auto"/>
            <w:hideMark/>
          </w:tcPr>
          <w:p w:rsidRPr="007938ED" w:rsidR="00D31E46" w:rsidRDefault="00D31E46" w14:paraId="5A9F8EF3" w14:textId="77777777">
            <w:pPr>
              <w:rPr>
                <w:rFonts w:asciiTheme="majorHAnsi" w:hAnsiTheme="majorHAnsi"/>
                <w:sz w:val="18"/>
                <w:szCs w:val="12"/>
              </w:rPr>
            </w:pPr>
            <w:r w:rsidRPr="007938ED">
              <w:rPr>
                <w:rFonts w:asciiTheme="majorHAnsi" w:hAnsiTheme="majorHAnsi"/>
                <w:sz w:val="18"/>
                <w:szCs w:val="12"/>
              </w:rPr>
              <w:lastRenderedPageBreak/>
              <w:t>First year annual kWh net - Master Metered</w:t>
            </w:r>
          </w:p>
        </w:tc>
        <w:tc>
          <w:tcPr>
            <w:tcW w:w="0" w:type="auto"/>
            <w:hideMark/>
          </w:tcPr>
          <w:p w:rsidRPr="007938ED" w:rsidR="00D31E46" w:rsidRDefault="00D31E46" w14:paraId="363BED0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3FFE1F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A8D30DF"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598E149"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507742E" w14:textId="77777777">
            <w:pPr>
              <w:rPr>
                <w:rFonts w:asciiTheme="majorHAnsi" w:hAnsiTheme="majorHAnsi"/>
                <w:sz w:val="18"/>
                <w:szCs w:val="12"/>
              </w:rPr>
            </w:pPr>
            <w:r w:rsidRPr="007938ED">
              <w:rPr>
                <w:rFonts w:asciiTheme="majorHAnsi" w:hAnsiTheme="majorHAnsi"/>
                <w:sz w:val="18"/>
                <w:szCs w:val="12"/>
              </w:rPr>
              <w:t>First year annual kWh net</w:t>
            </w:r>
          </w:p>
        </w:tc>
      </w:tr>
      <w:tr w:rsidRPr="007938ED" w:rsidR="00CE6F7B" w:rsidTr="007938ED" w14:paraId="0B4BA486" w14:textId="77777777">
        <w:trPr>
          <w:trHeight w:val="1200"/>
        </w:trPr>
        <w:tc>
          <w:tcPr>
            <w:tcW w:w="0" w:type="auto"/>
            <w:noWrap/>
            <w:hideMark/>
          </w:tcPr>
          <w:p w:rsidRPr="007938ED" w:rsidR="00D31E46" w:rsidP="00D31E46" w:rsidRDefault="00D31E46" w14:paraId="7AE6DC18" w14:textId="77777777">
            <w:pPr>
              <w:rPr>
                <w:rFonts w:asciiTheme="majorHAnsi" w:hAnsiTheme="majorHAnsi"/>
                <w:sz w:val="18"/>
                <w:szCs w:val="12"/>
              </w:rPr>
            </w:pPr>
            <w:r w:rsidRPr="007938ED">
              <w:rPr>
                <w:rFonts w:asciiTheme="majorHAnsi" w:hAnsiTheme="majorHAnsi"/>
                <w:sz w:val="18"/>
                <w:szCs w:val="12"/>
              </w:rPr>
              <w:t>94</w:t>
            </w:r>
          </w:p>
        </w:tc>
        <w:tc>
          <w:tcPr>
            <w:tcW w:w="0" w:type="auto"/>
            <w:hideMark/>
          </w:tcPr>
          <w:p w:rsidRPr="007938ED" w:rsidR="00D31E46" w:rsidRDefault="00D31E46" w14:paraId="05968C7E"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7B987657" w14:textId="77777777">
            <w:pPr>
              <w:rPr>
                <w:rFonts w:asciiTheme="majorHAnsi" w:hAnsiTheme="majorHAnsi"/>
                <w:sz w:val="18"/>
                <w:szCs w:val="12"/>
              </w:rPr>
            </w:pPr>
            <w:r w:rsidRPr="007938ED">
              <w:rPr>
                <w:rFonts w:asciiTheme="majorHAnsi" w:hAnsiTheme="majorHAnsi"/>
                <w:sz w:val="18"/>
                <w:szCs w:val="12"/>
              </w:rPr>
              <w:t>First year annual Therm gross - Master Metered</w:t>
            </w:r>
          </w:p>
        </w:tc>
        <w:tc>
          <w:tcPr>
            <w:tcW w:w="0" w:type="auto"/>
            <w:hideMark/>
          </w:tcPr>
          <w:p w:rsidRPr="007938ED" w:rsidR="00D31E46" w:rsidRDefault="00D31E46" w14:paraId="2300ED2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595D8D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0AC7F62"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49F8CF9"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7EFF30A" w14:textId="77777777">
            <w:pPr>
              <w:rPr>
                <w:rFonts w:asciiTheme="majorHAnsi" w:hAnsiTheme="majorHAnsi"/>
                <w:sz w:val="18"/>
                <w:szCs w:val="12"/>
              </w:rPr>
            </w:pPr>
            <w:r w:rsidRPr="007938ED">
              <w:rPr>
                <w:rFonts w:asciiTheme="majorHAnsi" w:hAnsiTheme="majorHAnsi"/>
                <w:sz w:val="18"/>
                <w:szCs w:val="12"/>
              </w:rPr>
              <w:t>First year annual Therm gross</w:t>
            </w:r>
          </w:p>
        </w:tc>
      </w:tr>
      <w:tr w:rsidRPr="007938ED" w:rsidR="00CE6F7B" w:rsidTr="007938ED" w14:paraId="55BB4974" w14:textId="77777777">
        <w:trPr>
          <w:trHeight w:val="1200"/>
        </w:trPr>
        <w:tc>
          <w:tcPr>
            <w:tcW w:w="0" w:type="auto"/>
            <w:noWrap/>
            <w:hideMark/>
          </w:tcPr>
          <w:p w:rsidRPr="007938ED" w:rsidR="00D31E46" w:rsidP="00D31E46" w:rsidRDefault="00D31E46" w14:paraId="6FF34CA5" w14:textId="77777777">
            <w:pPr>
              <w:rPr>
                <w:rFonts w:asciiTheme="majorHAnsi" w:hAnsiTheme="majorHAnsi"/>
                <w:sz w:val="18"/>
                <w:szCs w:val="12"/>
              </w:rPr>
            </w:pPr>
            <w:r w:rsidRPr="007938ED">
              <w:rPr>
                <w:rFonts w:asciiTheme="majorHAnsi" w:hAnsiTheme="majorHAnsi"/>
                <w:sz w:val="18"/>
                <w:szCs w:val="12"/>
              </w:rPr>
              <w:t>95</w:t>
            </w:r>
          </w:p>
        </w:tc>
        <w:tc>
          <w:tcPr>
            <w:tcW w:w="0" w:type="auto"/>
            <w:hideMark/>
          </w:tcPr>
          <w:p w:rsidRPr="007938ED" w:rsidR="00D31E46" w:rsidRDefault="00D31E46" w14:paraId="63D036F9"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45D9D0FD" w14:textId="77777777">
            <w:pPr>
              <w:rPr>
                <w:rFonts w:asciiTheme="majorHAnsi" w:hAnsiTheme="majorHAnsi"/>
                <w:sz w:val="18"/>
                <w:szCs w:val="12"/>
              </w:rPr>
            </w:pPr>
            <w:r w:rsidRPr="007938ED">
              <w:rPr>
                <w:rFonts w:asciiTheme="majorHAnsi" w:hAnsiTheme="majorHAnsi"/>
                <w:sz w:val="18"/>
                <w:szCs w:val="12"/>
              </w:rPr>
              <w:t>First year annual Therm net - Master Metered</w:t>
            </w:r>
          </w:p>
        </w:tc>
        <w:tc>
          <w:tcPr>
            <w:tcW w:w="0" w:type="auto"/>
            <w:hideMark/>
          </w:tcPr>
          <w:p w:rsidRPr="007938ED" w:rsidR="00D31E46" w:rsidRDefault="00D31E46" w14:paraId="50334E4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B4EE7D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D21DC9A"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718FF8D"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5108496" w14:textId="77777777">
            <w:pPr>
              <w:rPr>
                <w:rFonts w:asciiTheme="majorHAnsi" w:hAnsiTheme="majorHAnsi"/>
                <w:sz w:val="18"/>
                <w:szCs w:val="12"/>
              </w:rPr>
            </w:pPr>
            <w:r w:rsidRPr="007938ED">
              <w:rPr>
                <w:rFonts w:asciiTheme="majorHAnsi" w:hAnsiTheme="majorHAnsi"/>
                <w:sz w:val="18"/>
                <w:szCs w:val="12"/>
              </w:rPr>
              <w:t>First year annual Therm net</w:t>
            </w:r>
          </w:p>
        </w:tc>
      </w:tr>
      <w:tr w:rsidRPr="007938ED" w:rsidR="00CE6F7B" w:rsidTr="007938ED" w14:paraId="62190794" w14:textId="77777777">
        <w:trPr>
          <w:trHeight w:val="1200"/>
        </w:trPr>
        <w:tc>
          <w:tcPr>
            <w:tcW w:w="0" w:type="auto"/>
            <w:noWrap/>
            <w:hideMark/>
          </w:tcPr>
          <w:p w:rsidRPr="007938ED" w:rsidR="00D31E46" w:rsidP="00D31E46" w:rsidRDefault="00D31E46" w14:paraId="0CFDD49D" w14:textId="77777777">
            <w:pPr>
              <w:rPr>
                <w:rFonts w:asciiTheme="majorHAnsi" w:hAnsiTheme="majorHAnsi"/>
                <w:sz w:val="18"/>
                <w:szCs w:val="12"/>
              </w:rPr>
            </w:pPr>
            <w:r w:rsidRPr="007938ED">
              <w:rPr>
                <w:rFonts w:asciiTheme="majorHAnsi" w:hAnsiTheme="majorHAnsi"/>
                <w:sz w:val="18"/>
                <w:szCs w:val="12"/>
              </w:rPr>
              <w:t>96</w:t>
            </w:r>
          </w:p>
        </w:tc>
        <w:tc>
          <w:tcPr>
            <w:tcW w:w="0" w:type="auto"/>
            <w:hideMark/>
          </w:tcPr>
          <w:p w:rsidRPr="007938ED" w:rsidR="00D31E46" w:rsidRDefault="00D31E46" w14:paraId="00D24CFA"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1EDFC04E" w14:textId="77777777">
            <w:pPr>
              <w:rPr>
                <w:rFonts w:asciiTheme="majorHAnsi" w:hAnsiTheme="majorHAnsi"/>
                <w:sz w:val="18"/>
                <w:szCs w:val="12"/>
              </w:rPr>
            </w:pPr>
            <w:r w:rsidRPr="007938ED">
              <w:rPr>
                <w:rFonts w:asciiTheme="majorHAnsi" w:hAnsiTheme="majorHAnsi"/>
                <w:sz w:val="18"/>
                <w:szCs w:val="12"/>
              </w:rPr>
              <w:t>Lifecycle ex-ante kW gross - Master Metered</w:t>
            </w:r>
          </w:p>
        </w:tc>
        <w:tc>
          <w:tcPr>
            <w:tcW w:w="0" w:type="auto"/>
            <w:hideMark/>
          </w:tcPr>
          <w:p w:rsidRPr="007938ED" w:rsidR="00D31E46" w:rsidRDefault="00D31E46" w14:paraId="08E12DA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1A04EC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DFBA70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A42F76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61A1809" w14:textId="77777777">
            <w:pPr>
              <w:rPr>
                <w:rFonts w:asciiTheme="majorHAnsi" w:hAnsiTheme="majorHAnsi"/>
                <w:sz w:val="18"/>
                <w:szCs w:val="12"/>
              </w:rPr>
            </w:pPr>
            <w:r w:rsidRPr="007938ED">
              <w:rPr>
                <w:rFonts w:asciiTheme="majorHAnsi" w:hAnsiTheme="majorHAnsi"/>
                <w:sz w:val="18"/>
                <w:szCs w:val="12"/>
              </w:rPr>
              <w:t>Lifecycle ex-ante kW gross</w:t>
            </w:r>
          </w:p>
        </w:tc>
      </w:tr>
      <w:tr w:rsidRPr="007938ED" w:rsidR="00CE6F7B" w:rsidTr="007938ED" w14:paraId="53E28BFB" w14:textId="77777777">
        <w:trPr>
          <w:trHeight w:val="1200"/>
        </w:trPr>
        <w:tc>
          <w:tcPr>
            <w:tcW w:w="0" w:type="auto"/>
            <w:noWrap/>
            <w:hideMark/>
          </w:tcPr>
          <w:p w:rsidRPr="007938ED" w:rsidR="00D31E46" w:rsidP="00D31E46" w:rsidRDefault="00D31E46" w14:paraId="7544B1C6" w14:textId="77777777">
            <w:pPr>
              <w:rPr>
                <w:rFonts w:asciiTheme="majorHAnsi" w:hAnsiTheme="majorHAnsi"/>
                <w:sz w:val="18"/>
                <w:szCs w:val="12"/>
              </w:rPr>
            </w:pPr>
            <w:r w:rsidRPr="007938ED">
              <w:rPr>
                <w:rFonts w:asciiTheme="majorHAnsi" w:hAnsiTheme="majorHAnsi"/>
                <w:sz w:val="18"/>
                <w:szCs w:val="12"/>
              </w:rPr>
              <w:t>97</w:t>
            </w:r>
          </w:p>
        </w:tc>
        <w:tc>
          <w:tcPr>
            <w:tcW w:w="0" w:type="auto"/>
            <w:hideMark/>
          </w:tcPr>
          <w:p w:rsidRPr="007938ED" w:rsidR="00D31E46" w:rsidRDefault="00D31E46" w14:paraId="6764E02E"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23F92A3E" w14:textId="77777777">
            <w:pPr>
              <w:rPr>
                <w:rFonts w:asciiTheme="majorHAnsi" w:hAnsiTheme="majorHAnsi"/>
                <w:sz w:val="18"/>
                <w:szCs w:val="12"/>
              </w:rPr>
            </w:pPr>
            <w:r w:rsidRPr="007938ED">
              <w:rPr>
                <w:rFonts w:asciiTheme="majorHAnsi" w:hAnsiTheme="majorHAnsi"/>
                <w:sz w:val="18"/>
                <w:szCs w:val="12"/>
              </w:rPr>
              <w:t>Lifecycle ex-ante kW net - Master Metered</w:t>
            </w:r>
          </w:p>
        </w:tc>
        <w:tc>
          <w:tcPr>
            <w:tcW w:w="0" w:type="auto"/>
            <w:hideMark/>
          </w:tcPr>
          <w:p w:rsidRPr="007938ED" w:rsidR="00D31E46" w:rsidRDefault="00D31E46" w14:paraId="28D644B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F17298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6A0DBF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424386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C938F05" w14:textId="77777777">
            <w:pPr>
              <w:rPr>
                <w:rFonts w:asciiTheme="majorHAnsi" w:hAnsiTheme="majorHAnsi"/>
                <w:sz w:val="18"/>
                <w:szCs w:val="12"/>
              </w:rPr>
            </w:pPr>
            <w:r w:rsidRPr="007938ED">
              <w:rPr>
                <w:rFonts w:asciiTheme="majorHAnsi" w:hAnsiTheme="majorHAnsi"/>
                <w:sz w:val="18"/>
                <w:szCs w:val="12"/>
              </w:rPr>
              <w:t>Lifecycle ex-ante kW net</w:t>
            </w:r>
          </w:p>
        </w:tc>
      </w:tr>
      <w:tr w:rsidRPr="007938ED" w:rsidR="00CE6F7B" w:rsidTr="007938ED" w14:paraId="55BE926D" w14:textId="77777777">
        <w:trPr>
          <w:trHeight w:val="1200"/>
        </w:trPr>
        <w:tc>
          <w:tcPr>
            <w:tcW w:w="0" w:type="auto"/>
            <w:noWrap/>
            <w:hideMark/>
          </w:tcPr>
          <w:p w:rsidRPr="007938ED" w:rsidR="00D31E46" w:rsidP="00D31E46" w:rsidRDefault="00D31E46" w14:paraId="3520FBDE" w14:textId="77777777">
            <w:pPr>
              <w:rPr>
                <w:rFonts w:asciiTheme="majorHAnsi" w:hAnsiTheme="majorHAnsi"/>
                <w:sz w:val="18"/>
                <w:szCs w:val="12"/>
              </w:rPr>
            </w:pPr>
            <w:r w:rsidRPr="007938ED">
              <w:rPr>
                <w:rFonts w:asciiTheme="majorHAnsi" w:hAnsiTheme="majorHAnsi"/>
                <w:sz w:val="18"/>
                <w:szCs w:val="12"/>
              </w:rPr>
              <w:lastRenderedPageBreak/>
              <w:t>98</w:t>
            </w:r>
          </w:p>
        </w:tc>
        <w:tc>
          <w:tcPr>
            <w:tcW w:w="0" w:type="auto"/>
            <w:hideMark/>
          </w:tcPr>
          <w:p w:rsidRPr="007938ED" w:rsidR="00D31E46" w:rsidRDefault="00D31E46" w14:paraId="4D6B4BC3"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2846690F" w14:textId="77777777">
            <w:pPr>
              <w:rPr>
                <w:rFonts w:asciiTheme="majorHAnsi" w:hAnsiTheme="majorHAnsi"/>
                <w:sz w:val="18"/>
                <w:szCs w:val="12"/>
              </w:rPr>
            </w:pPr>
            <w:r w:rsidRPr="007938ED">
              <w:rPr>
                <w:rFonts w:asciiTheme="majorHAnsi" w:hAnsiTheme="majorHAnsi"/>
                <w:sz w:val="18"/>
                <w:szCs w:val="12"/>
              </w:rPr>
              <w:t>Lifecycle ex-ante kWh gross - Master Metered</w:t>
            </w:r>
          </w:p>
        </w:tc>
        <w:tc>
          <w:tcPr>
            <w:tcW w:w="0" w:type="auto"/>
            <w:hideMark/>
          </w:tcPr>
          <w:p w:rsidRPr="007938ED" w:rsidR="00D31E46" w:rsidRDefault="00D31E46" w14:paraId="3039298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BFB3261"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EC88344"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3D607AE1"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956E5E7" w14:textId="77777777">
            <w:pPr>
              <w:rPr>
                <w:rFonts w:asciiTheme="majorHAnsi" w:hAnsiTheme="majorHAnsi"/>
                <w:sz w:val="18"/>
                <w:szCs w:val="12"/>
              </w:rPr>
            </w:pPr>
            <w:r w:rsidRPr="007938ED">
              <w:rPr>
                <w:rFonts w:asciiTheme="majorHAnsi" w:hAnsiTheme="majorHAnsi"/>
                <w:sz w:val="18"/>
                <w:szCs w:val="12"/>
              </w:rPr>
              <w:t>Lifecycle ex-ante kWh gross</w:t>
            </w:r>
          </w:p>
        </w:tc>
      </w:tr>
      <w:tr w:rsidRPr="007938ED" w:rsidR="00CE6F7B" w:rsidTr="007938ED" w14:paraId="74AD2F7D" w14:textId="77777777">
        <w:trPr>
          <w:trHeight w:val="1200"/>
        </w:trPr>
        <w:tc>
          <w:tcPr>
            <w:tcW w:w="0" w:type="auto"/>
            <w:noWrap/>
            <w:hideMark/>
          </w:tcPr>
          <w:p w:rsidRPr="007938ED" w:rsidR="00D31E46" w:rsidP="00D31E46" w:rsidRDefault="00D31E46" w14:paraId="0B0452B1" w14:textId="77777777">
            <w:pPr>
              <w:rPr>
                <w:rFonts w:asciiTheme="majorHAnsi" w:hAnsiTheme="majorHAnsi"/>
                <w:sz w:val="18"/>
                <w:szCs w:val="12"/>
              </w:rPr>
            </w:pPr>
            <w:r w:rsidRPr="007938ED">
              <w:rPr>
                <w:rFonts w:asciiTheme="majorHAnsi" w:hAnsiTheme="majorHAnsi"/>
                <w:sz w:val="18"/>
                <w:szCs w:val="12"/>
              </w:rPr>
              <w:t>99</w:t>
            </w:r>
          </w:p>
        </w:tc>
        <w:tc>
          <w:tcPr>
            <w:tcW w:w="0" w:type="auto"/>
            <w:hideMark/>
          </w:tcPr>
          <w:p w:rsidRPr="007938ED" w:rsidR="00D31E46" w:rsidRDefault="00D31E46" w14:paraId="3FE503C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4FCEBAF7" w14:textId="77777777">
            <w:pPr>
              <w:rPr>
                <w:rFonts w:asciiTheme="majorHAnsi" w:hAnsiTheme="majorHAnsi"/>
                <w:sz w:val="18"/>
                <w:szCs w:val="12"/>
              </w:rPr>
            </w:pPr>
            <w:r w:rsidRPr="007938ED">
              <w:rPr>
                <w:rFonts w:asciiTheme="majorHAnsi" w:hAnsiTheme="majorHAnsi"/>
                <w:sz w:val="18"/>
                <w:szCs w:val="12"/>
              </w:rPr>
              <w:t>Lifecycle ex-ante kWh net - Master Metered</w:t>
            </w:r>
          </w:p>
        </w:tc>
        <w:tc>
          <w:tcPr>
            <w:tcW w:w="0" w:type="auto"/>
            <w:hideMark/>
          </w:tcPr>
          <w:p w:rsidRPr="007938ED" w:rsidR="00D31E46" w:rsidRDefault="00D31E46" w14:paraId="48E76F1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19EC67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3317529"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4B68984F"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06A7F6A1" w14:textId="77777777">
            <w:pPr>
              <w:rPr>
                <w:rFonts w:asciiTheme="majorHAnsi" w:hAnsiTheme="majorHAnsi"/>
                <w:sz w:val="18"/>
                <w:szCs w:val="12"/>
              </w:rPr>
            </w:pPr>
            <w:r w:rsidRPr="007938ED">
              <w:rPr>
                <w:rFonts w:asciiTheme="majorHAnsi" w:hAnsiTheme="majorHAnsi"/>
                <w:sz w:val="18"/>
                <w:szCs w:val="12"/>
              </w:rPr>
              <w:t>Lifecycle ex-ante kWh net</w:t>
            </w:r>
          </w:p>
        </w:tc>
      </w:tr>
      <w:tr w:rsidRPr="007938ED" w:rsidR="00CE6F7B" w:rsidTr="007938ED" w14:paraId="34381D68" w14:textId="77777777">
        <w:trPr>
          <w:trHeight w:val="1200"/>
        </w:trPr>
        <w:tc>
          <w:tcPr>
            <w:tcW w:w="0" w:type="auto"/>
            <w:noWrap/>
            <w:hideMark/>
          </w:tcPr>
          <w:p w:rsidRPr="007938ED" w:rsidR="00D31E46" w:rsidP="00D31E46" w:rsidRDefault="00D31E46" w14:paraId="3303C6AC" w14:textId="77777777">
            <w:pPr>
              <w:rPr>
                <w:rFonts w:asciiTheme="majorHAnsi" w:hAnsiTheme="majorHAnsi"/>
                <w:sz w:val="18"/>
                <w:szCs w:val="12"/>
              </w:rPr>
            </w:pPr>
            <w:r w:rsidRPr="007938ED">
              <w:rPr>
                <w:rFonts w:asciiTheme="majorHAnsi" w:hAnsiTheme="majorHAnsi"/>
                <w:sz w:val="18"/>
                <w:szCs w:val="12"/>
              </w:rPr>
              <w:t>100</w:t>
            </w:r>
          </w:p>
        </w:tc>
        <w:tc>
          <w:tcPr>
            <w:tcW w:w="0" w:type="auto"/>
            <w:hideMark/>
          </w:tcPr>
          <w:p w:rsidRPr="007938ED" w:rsidR="00D31E46" w:rsidRDefault="00D31E46" w14:paraId="32E97C7E"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4259B69B" w14:textId="77777777">
            <w:pPr>
              <w:rPr>
                <w:rFonts w:asciiTheme="majorHAnsi" w:hAnsiTheme="majorHAnsi"/>
                <w:sz w:val="18"/>
                <w:szCs w:val="12"/>
              </w:rPr>
            </w:pPr>
            <w:r w:rsidRPr="007938ED">
              <w:rPr>
                <w:rFonts w:asciiTheme="majorHAnsi" w:hAnsiTheme="majorHAnsi"/>
                <w:sz w:val="18"/>
                <w:szCs w:val="12"/>
              </w:rPr>
              <w:t>Lifecycle ex-ante Therm gross - Master Metered</w:t>
            </w:r>
          </w:p>
        </w:tc>
        <w:tc>
          <w:tcPr>
            <w:tcW w:w="0" w:type="auto"/>
            <w:hideMark/>
          </w:tcPr>
          <w:p w:rsidRPr="007938ED" w:rsidR="00D31E46" w:rsidRDefault="00D31E46" w14:paraId="06BF211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D644AF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B9CABA4"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04717831"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01C9977" w14:textId="77777777">
            <w:pPr>
              <w:rPr>
                <w:rFonts w:asciiTheme="majorHAnsi" w:hAnsiTheme="majorHAnsi"/>
                <w:sz w:val="18"/>
                <w:szCs w:val="12"/>
              </w:rPr>
            </w:pPr>
            <w:r w:rsidRPr="007938ED">
              <w:rPr>
                <w:rFonts w:asciiTheme="majorHAnsi" w:hAnsiTheme="majorHAnsi"/>
                <w:sz w:val="18"/>
                <w:szCs w:val="12"/>
              </w:rPr>
              <w:t>Lifecycle ex-ante Therm gross</w:t>
            </w:r>
          </w:p>
        </w:tc>
      </w:tr>
      <w:tr w:rsidRPr="007938ED" w:rsidR="00CE6F7B" w:rsidTr="007938ED" w14:paraId="3986860B" w14:textId="77777777">
        <w:trPr>
          <w:trHeight w:val="1200"/>
        </w:trPr>
        <w:tc>
          <w:tcPr>
            <w:tcW w:w="0" w:type="auto"/>
            <w:noWrap/>
            <w:hideMark/>
          </w:tcPr>
          <w:p w:rsidRPr="007938ED" w:rsidR="00D31E46" w:rsidP="00D31E46" w:rsidRDefault="00D31E46" w14:paraId="67CCFAF1" w14:textId="77777777">
            <w:pPr>
              <w:rPr>
                <w:rFonts w:asciiTheme="majorHAnsi" w:hAnsiTheme="majorHAnsi"/>
                <w:sz w:val="18"/>
                <w:szCs w:val="12"/>
              </w:rPr>
            </w:pPr>
            <w:r w:rsidRPr="007938ED">
              <w:rPr>
                <w:rFonts w:asciiTheme="majorHAnsi" w:hAnsiTheme="majorHAnsi"/>
                <w:sz w:val="18"/>
                <w:szCs w:val="12"/>
              </w:rPr>
              <w:t>101</w:t>
            </w:r>
          </w:p>
        </w:tc>
        <w:tc>
          <w:tcPr>
            <w:tcW w:w="0" w:type="auto"/>
            <w:hideMark/>
          </w:tcPr>
          <w:p w:rsidRPr="007938ED" w:rsidR="00D31E46" w:rsidRDefault="00D31E46" w14:paraId="3DC3D96D"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1D78F754" w14:textId="77777777">
            <w:pPr>
              <w:rPr>
                <w:rFonts w:asciiTheme="majorHAnsi" w:hAnsiTheme="majorHAnsi"/>
                <w:sz w:val="18"/>
                <w:szCs w:val="12"/>
              </w:rPr>
            </w:pPr>
            <w:r w:rsidRPr="007938ED">
              <w:rPr>
                <w:rFonts w:asciiTheme="majorHAnsi" w:hAnsiTheme="majorHAnsi"/>
                <w:sz w:val="18"/>
                <w:szCs w:val="12"/>
              </w:rPr>
              <w:t>Lifecycle ex-ante Therm net - Master Metered</w:t>
            </w:r>
          </w:p>
        </w:tc>
        <w:tc>
          <w:tcPr>
            <w:tcW w:w="0" w:type="auto"/>
            <w:hideMark/>
          </w:tcPr>
          <w:p w:rsidRPr="007938ED" w:rsidR="00D31E46" w:rsidRDefault="00D31E46" w14:paraId="44B504F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F8D55F1"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C26FE4E"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1EF6C4A3"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7BE273EF" w14:textId="77777777">
            <w:pPr>
              <w:rPr>
                <w:rFonts w:asciiTheme="majorHAnsi" w:hAnsiTheme="majorHAnsi"/>
                <w:sz w:val="18"/>
                <w:szCs w:val="12"/>
              </w:rPr>
            </w:pPr>
            <w:r w:rsidRPr="007938ED">
              <w:rPr>
                <w:rFonts w:asciiTheme="majorHAnsi" w:hAnsiTheme="majorHAnsi"/>
                <w:sz w:val="18"/>
                <w:szCs w:val="12"/>
              </w:rPr>
              <w:t>Lifecycle ex-ante Therm net</w:t>
            </w:r>
          </w:p>
        </w:tc>
      </w:tr>
      <w:tr w:rsidRPr="007938ED" w:rsidR="00CE6F7B" w:rsidTr="007938ED" w14:paraId="3C1E6C1A" w14:textId="77777777">
        <w:trPr>
          <w:trHeight w:val="1200"/>
        </w:trPr>
        <w:tc>
          <w:tcPr>
            <w:tcW w:w="0" w:type="auto"/>
            <w:noWrap/>
            <w:hideMark/>
          </w:tcPr>
          <w:p w:rsidRPr="007938ED" w:rsidR="00D31E46" w:rsidP="00D31E46" w:rsidRDefault="00D31E46" w14:paraId="78D13553" w14:textId="77777777">
            <w:pPr>
              <w:rPr>
                <w:rFonts w:asciiTheme="majorHAnsi" w:hAnsiTheme="majorHAnsi"/>
                <w:sz w:val="18"/>
                <w:szCs w:val="12"/>
              </w:rPr>
            </w:pPr>
            <w:r w:rsidRPr="007938ED">
              <w:rPr>
                <w:rFonts w:asciiTheme="majorHAnsi" w:hAnsiTheme="majorHAnsi"/>
                <w:sz w:val="18"/>
                <w:szCs w:val="12"/>
              </w:rPr>
              <w:t>102</w:t>
            </w:r>
          </w:p>
        </w:tc>
        <w:tc>
          <w:tcPr>
            <w:tcW w:w="0" w:type="auto"/>
            <w:hideMark/>
          </w:tcPr>
          <w:p w:rsidRPr="007938ED" w:rsidR="00D31E46" w:rsidRDefault="00D31E46" w14:paraId="0CF7AF7C"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w:t>
            </w:r>
            <w:r w:rsidRPr="007938ED">
              <w:rPr>
                <w:rFonts w:asciiTheme="majorHAnsi" w:hAnsiTheme="majorHAnsi"/>
                <w:sz w:val="18"/>
                <w:szCs w:val="12"/>
              </w:rPr>
              <w:lastRenderedPageBreak/>
              <w:t>unit, common area, and master metered accounts)</w:t>
            </w:r>
          </w:p>
        </w:tc>
        <w:tc>
          <w:tcPr>
            <w:tcW w:w="0" w:type="auto"/>
            <w:hideMark/>
          </w:tcPr>
          <w:p w:rsidRPr="007938ED" w:rsidR="00D31E46" w:rsidRDefault="00D31E46" w14:paraId="1513E51E" w14:textId="77777777">
            <w:pPr>
              <w:rPr>
                <w:rFonts w:asciiTheme="majorHAnsi" w:hAnsiTheme="majorHAnsi"/>
                <w:sz w:val="18"/>
                <w:szCs w:val="12"/>
              </w:rPr>
            </w:pPr>
            <w:r w:rsidRPr="007938ED">
              <w:rPr>
                <w:rFonts w:asciiTheme="majorHAnsi" w:hAnsiTheme="majorHAnsi"/>
                <w:sz w:val="18"/>
                <w:szCs w:val="12"/>
              </w:rPr>
              <w:lastRenderedPageBreak/>
              <w:t>First year annual kW gross - Common Area</w:t>
            </w:r>
          </w:p>
        </w:tc>
        <w:tc>
          <w:tcPr>
            <w:tcW w:w="0" w:type="auto"/>
            <w:hideMark/>
          </w:tcPr>
          <w:p w:rsidRPr="007938ED" w:rsidR="00D31E46" w:rsidRDefault="00D31E46" w14:paraId="374964C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5ACC91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0AB4F2C"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6709205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42A0C15" w14:textId="77777777">
            <w:pPr>
              <w:rPr>
                <w:rFonts w:asciiTheme="majorHAnsi" w:hAnsiTheme="majorHAnsi"/>
                <w:sz w:val="18"/>
                <w:szCs w:val="12"/>
              </w:rPr>
            </w:pPr>
            <w:r w:rsidRPr="007938ED">
              <w:rPr>
                <w:rFonts w:asciiTheme="majorHAnsi" w:hAnsiTheme="majorHAnsi"/>
                <w:sz w:val="18"/>
                <w:szCs w:val="12"/>
              </w:rPr>
              <w:t>First year annual kW gross</w:t>
            </w:r>
          </w:p>
        </w:tc>
      </w:tr>
      <w:tr w:rsidRPr="007938ED" w:rsidR="00CE6F7B" w:rsidTr="007938ED" w14:paraId="63184FF7" w14:textId="77777777">
        <w:trPr>
          <w:trHeight w:val="1200"/>
        </w:trPr>
        <w:tc>
          <w:tcPr>
            <w:tcW w:w="0" w:type="auto"/>
            <w:noWrap/>
            <w:hideMark/>
          </w:tcPr>
          <w:p w:rsidRPr="007938ED" w:rsidR="00D31E46" w:rsidP="00D31E46" w:rsidRDefault="00D31E46" w14:paraId="7625FF8D" w14:textId="77777777">
            <w:pPr>
              <w:rPr>
                <w:rFonts w:asciiTheme="majorHAnsi" w:hAnsiTheme="majorHAnsi"/>
                <w:sz w:val="18"/>
                <w:szCs w:val="12"/>
              </w:rPr>
            </w:pPr>
            <w:r w:rsidRPr="007938ED">
              <w:rPr>
                <w:rFonts w:asciiTheme="majorHAnsi" w:hAnsiTheme="majorHAnsi"/>
                <w:sz w:val="18"/>
                <w:szCs w:val="12"/>
              </w:rPr>
              <w:t>103</w:t>
            </w:r>
          </w:p>
        </w:tc>
        <w:tc>
          <w:tcPr>
            <w:tcW w:w="0" w:type="auto"/>
            <w:hideMark/>
          </w:tcPr>
          <w:p w:rsidRPr="007938ED" w:rsidR="00D31E46" w:rsidRDefault="00D31E46" w14:paraId="2AC9C9D2"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1A505209" w14:textId="77777777">
            <w:pPr>
              <w:rPr>
                <w:rFonts w:asciiTheme="majorHAnsi" w:hAnsiTheme="majorHAnsi"/>
                <w:sz w:val="18"/>
                <w:szCs w:val="12"/>
              </w:rPr>
            </w:pPr>
            <w:r w:rsidRPr="007938ED">
              <w:rPr>
                <w:rFonts w:asciiTheme="majorHAnsi" w:hAnsiTheme="majorHAnsi"/>
                <w:sz w:val="18"/>
                <w:szCs w:val="12"/>
              </w:rPr>
              <w:t>First year annual kW net - Common Area</w:t>
            </w:r>
          </w:p>
        </w:tc>
        <w:tc>
          <w:tcPr>
            <w:tcW w:w="0" w:type="auto"/>
            <w:hideMark/>
          </w:tcPr>
          <w:p w:rsidRPr="007938ED" w:rsidR="00D31E46" w:rsidRDefault="00D31E46" w14:paraId="1667E77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B27323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9BE6976"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8E0828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7FD14EC" w14:textId="77777777">
            <w:pPr>
              <w:rPr>
                <w:rFonts w:asciiTheme="majorHAnsi" w:hAnsiTheme="majorHAnsi"/>
                <w:sz w:val="18"/>
                <w:szCs w:val="12"/>
              </w:rPr>
            </w:pPr>
            <w:r w:rsidRPr="007938ED">
              <w:rPr>
                <w:rFonts w:asciiTheme="majorHAnsi" w:hAnsiTheme="majorHAnsi"/>
                <w:sz w:val="18"/>
                <w:szCs w:val="12"/>
              </w:rPr>
              <w:t>First year annual kW net</w:t>
            </w:r>
          </w:p>
        </w:tc>
      </w:tr>
      <w:tr w:rsidRPr="007938ED" w:rsidR="00CE6F7B" w:rsidTr="007938ED" w14:paraId="4D5016C4" w14:textId="77777777">
        <w:trPr>
          <w:trHeight w:val="1200"/>
        </w:trPr>
        <w:tc>
          <w:tcPr>
            <w:tcW w:w="0" w:type="auto"/>
            <w:noWrap/>
            <w:hideMark/>
          </w:tcPr>
          <w:p w:rsidRPr="007938ED" w:rsidR="00D31E46" w:rsidP="00D31E46" w:rsidRDefault="00D31E46" w14:paraId="36C09358" w14:textId="77777777">
            <w:pPr>
              <w:rPr>
                <w:rFonts w:asciiTheme="majorHAnsi" w:hAnsiTheme="majorHAnsi"/>
                <w:sz w:val="18"/>
                <w:szCs w:val="12"/>
              </w:rPr>
            </w:pPr>
            <w:r w:rsidRPr="007938ED">
              <w:rPr>
                <w:rFonts w:asciiTheme="majorHAnsi" w:hAnsiTheme="majorHAnsi"/>
                <w:sz w:val="18"/>
                <w:szCs w:val="12"/>
              </w:rPr>
              <w:t>104</w:t>
            </w:r>
          </w:p>
        </w:tc>
        <w:tc>
          <w:tcPr>
            <w:tcW w:w="0" w:type="auto"/>
            <w:hideMark/>
          </w:tcPr>
          <w:p w:rsidRPr="007938ED" w:rsidR="00D31E46" w:rsidRDefault="00D31E46" w14:paraId="14E15DEE"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24DD2777" w14:textId="77777777">
            <w:pPr>
              <w:rPr>
                <w:rFonts w:asciiTheme="majorHAnsi" w:hAnsiTheme="majorHAnsi"/>
                <w:sz w:val="18"/>
                <w:szCs w:val="12"/>
              </w:rPr>
            </w:pPr>
            <w:r w:rsidRPr="007938ED">
              <w:rPr>
                <w:rFonts w:asciiTheme="majorHAnsi" w:hAnsiTheme="majorHAnsi"/>
                <w:sz w:val="18"/>
                <w:szCs w:val="12"/>
              </w:rPr>
              <w:t>First year annual kWh gross - Common Area</w:t>
            </w:r>
          </w:p>
        </w:tc>
        <w:tc>
          <w:tcPr>
            <w:tcW w:w="0" w:type="auto"/>
            <w:hideMark/>
          </w:tcPr>
          <w:p w:rsidRPr="007938ED" w:rsidR="00D31E46" w:rsidRDefault="00D31E46" w14:paraId="533FB5F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E34348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3D0AFB5"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7F18C3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89D1589" w14:textId="77777777">
            <w:pPr>
              <w:rPr>
                <w:rFonts w:asciiTheme="majorHAnsi" w:hAnsiTheme="majorHAnsi"/>
                <w:sz w:val="18"/>
                <w:szCs w:val="12"/>
              </w:rPr>
            </w:pPr>
            <w:r w:rsidRPr="007938ED">
              <w:rPr>
                <w:rFonts w:asciiTheme="majorHAnsi" w:hAnsiTheme="majorHAnsi"/>
                <w:sz w:val="18"/>
                <w:szCs w:val="12"/>
              </w:rPr>
              <w:t>First year annual kWh gross</w:t>
            </w:r>
          </w:p>
        </w:tc>
      </w:tr>
      <w:tr w:rsidRPr="007938ED" w:rsidR="00CE6F7B" w:rsidTr="007938ED" w14:paraId="33CC59A4" w14:textId="77777777">
        <w:trPr>
          <w:trHeight w:val="1200"/>
        </w:trPr>
        <w:tc>
          <w:tcPr>
            <w:tcW w:w="0" w:type="auto"/>
            <w:noWrap/>
            <w:hideMark/>
          </w:tcPr>
          <w:p w:rsidRPr="007938ED" w:rsidR="00D31E46" w:rsidP="00D31E46" w:rsidRDefault="00D31E46" w14:paraId="1486298F" w14:textId="77777777">
            <w:pPr>
              <w:rPr>
                <w:rFonts w:asciiTheme="majorHAnsi" w:hAnsiTheme="majorHAnsi"/>
                <w:sz w:val="18"/>
                <w:szCs w:val="12"/>
              </w:rPr>
            </w:pPr>
            <w:r w:rsidRPr="007938ED">
              <w:rPr>
                <w:rFonts w:asciiTheme="majorHAnsi" w:hAnsiTheme="majorHAnsi"/>
                <w:sz w:val="18"/>
                <w:szCs w:val="12"/>
              </w:rPr>
              <w:t>105</w:t>
            </w:r>
          </w:p>
        </w:tc>
        <w:tc>
          <w:tcPr>
            <w:tcW w:w="0" w:type="auto"/>
            <w:hideMark/>
          </w:tcPr>
          <w:p w:rsidRPr="007938ED" w:rsidR="00D31E46" w:rsidRDefault="00D31E46" w14:paraId="79F509F2"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488B6F31" w14:textId="77777777">
            <w:pPr>
              <w:rPr>
                <w:rFonts w:asciiTheme="majorHAnsi" w:hAnsiTheme="majorHAnsi"/>
                <w:sz w:val="18"/>
                <w:szCs w:val="12"/>
              </w:rPr>
            </w:pPr>
            <w:r w:rsidRPr="007938ED">
              <w:rPr>
                <w:rFonts w:asciiTheme="majorHAnsi" w:hAnsiTheme="majorHAnsi"/>
                <w:sz w:val="18"/>
                <w:szCs w:val="12"/>
              </w:rPr>
              <w:t>First year annual kWh net - Common Area</w:t>
            </w:r>
          </w:p>
        </w:tc>
        <w:tc>
          <w:tcPr>
            <w:tcW w:w="0" w:type="auto"/>
            <w:hideMark/>
          </w:tcPr>
          <w:p w:rsidRPr="007938ED" w:rsidR="00D31E46" w:rsidRDefault="00D31E46" w14:paraId="2835826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7D81D22"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8E25CEC"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F138CB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C0A5784" w14:textId="77777777">
            <w:pPr>
              <w:rPr>
                <w:rFonts w:asciiTheme="majorHAnsi" w:hAnsiTheme="majorHAnsi"/>
                <w:sz w:val="18"/>
                <w:szCs w:val="12"/>
              </w:rPr>
            </w:pPr>
            <w:r w:rsidRPr="007938ED">
              <w:rPr>
                <w:rFonts w:asciiTheme="majorHAnsi" w:hAnsiTheme="majorHAnsi"/>
                <w:sz w:val="18"/>
                <w:szCs w:val="12"/>
              </w:rPr>
              <w:t>First year annual kWh net</w:t>
            </w:r>
          </w:p>
        </w:tc>
      </w:tr>
      <w:tr w:rsidRPr="007938ED" w:rsidR="00CE6F7B" w:rsidTr="007938ED" w14:paraId="617F291B" w14:textId="77777777">
        <w:trPr>
          <w:trHeight w:val="1200"/>
        </w:trPr>
        <w:tc>
          <w:tcPr>
            <w:tcW w:w="0" w:type="auto"/>
            <w:noWrap/>
            <w:hideMark/>
          </w:tcPr>
          <w:p w:rsidRPr="007938ED" w:rsidR="00D31E46" w:rsidP="00D31E46" w:rsidRDefault="00D31E46" w14:paraId="4197B7A1" w14:textId="77777777">
            <w:pPr>
              <w:rPr>
                <w:rFonts w:asciiTheme="majorHAnsi" w:hAnsiTheme="majorHAnsi"/>
                <w:sz w:val="18"/>
                <w:szCs w:val="12"/>
              </w:rPr>
            </w:pPr>
            <w:r w:rsidRPr="007938ED">
              <w:rPr>
                <w:rFonts w:asciiTheme="majorHAnsi" w:hAnsiTheme="majorHAnsi"/>
                <w:sz w:val="18"/>
                <w:szCs w:val="12"/>
              </w:rPr>
              <w:t>106</w:t>
            </w:r>
          </w:p>
        </w:tc>
        <w:tc>
          <w:tcPr>
            <w:tcW w:w="0" w:type="auto"/>
            <w:hideMark/>
          </w:tcPr>
          <w:p w:rsidRPr="007938ED" w:rsidR="00D31E46" w:rsidRDefault="00D31E46" w14:paraId="746C672A"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7DBEA1A0" w14:textId="77777777">
            <w:pPr>
              <w:rPr>
                <w:rFonts w:asciiTheme="majorHAnsi" w:hAnsiTheme="majorHAnsi"/>
                <w:sz w:val="18"/>
                <w:szCs w:val="12"/>
              </w:rPr>
            </w:pPr>
            <w:r w:rsidRPr="007938ED">
              <w:rPr>
                <w:rFonts w:asciiTheme="majorHAnsi" w:hAnsiTheme="majorHAnsi"/>
                <w:sz w:val="18"/>
                <w:szCs w:val="12"/>
              </w:rPr>
              <w:t>First year annual Therm gross - Common Area</w:t>
            </w:r>
          </w:p>
        </w:tc>
        <w:tc>
          <w:tcPr>
            <w:tcW w:w="0" w:type="auto"/>
            <w:hideMark/>
          </w:tcPr>
          <w:p w:rsidRPr="007938ED" w:rsidR="00D31E46" w:rsidRDefault="00D31E46" w14:paraId="154B829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CDCCFD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E1F2D4D"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D19988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9FE07D4" w14:textId="77777777">
            <w:pPr>
              <w:rPr>
                <w:rFonts w:asciiTheme="majorHAnsi" w:hAnsiTheme="majorHAnsi"/>
                <w:sz w:val="18"/>
                <w:szCs w:val="12"/>
              </w:rPr>
            </w:pPr>
            <w:r w:rsidRPr="007938ED">
              <w:rPr>
                <w:rFonts w:asciiTheme="majorHAnsi" w:hAnsiTheme="majorHAnsi"/>
                <w:sz w:val="18"/>
                <w:szCs w:val="12"/>
              </w:rPr>
              <w:t>First year annual Therm gross</w:t>
            </w:r>
          </w:p>
        </w:tc>
      </w:tr>
      <w:tr w:rsidRPr="007938ED" w:rsidR="00CE6F7B" w:rsidTr="007938ED" w14:paraId="67EF55AB" w14:textId="77777777">
        <w:trPr>
          <w:trHeight w:val="1200"/>
        </w:trPr>
        <w:tc>
          <w:tcPr>
            <w:tcW w:w="0" w:type="auto"/>
            <w:noWrap/>
            <w:hideMark/>
          </w:tcPr>
          <w:p w:rsidRPr="007938ED" w:rsidR="00D31E46" w:rsidP="00D31E46" w:rsidRDefault="00D31E46" w14:paraId="6658C986" w14:textId="77777777">
            <w:pPr>
              <w:rPr>
                <w:rFonts w:asciiTheme="majorHAnsi" w:hAnsiTheme="majorHAnsi"/>
                <w:sz w:val="18"/>
                <w:szCs w:val="12"/>
              </w:rPr>
            </w:pPr>
            <w:r w:rsidRPr="007938ED">
              <w:rPr>
                <w:rFonts w:asciiTheme="majorHAnsi" w:hAnsiTheme="majorHAnsi"/>
                <w:sz w:val="18"/>
                <w:szCs w:val="12"/>
              </w:rPr>
              <w:lastRenderedPageBreak/>
              <w:t>107</w:t>
            </w:r>
          </w:p>
        </w:tc>
        <w:tc>
          <w:tcPr>
            <w:tcW w:w="0" w:type="auto"/>
            <w:hideMark/>
          </w:tcPr>
          <w:p w:rsidRPr="007938ED" w:rsidR="00D31E46" w:rsidRDefault="00D31E46" w14:paraId="7737F5EA"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38E202DA" w14:textId="77777777">
            <w:pPr>
              <w:rPr>
                <w:rFonts w:asciiTheme="majorHAnsi" w:hAnsiTheme="majorHAnsi"/>
                <w:sz w:val="18"/>
                <w:szCs w:val="12"/>
              </w:rPr>
            </w:pPr>
            <w:r w:rsidRPr="007938ED">
              <w:rPr>
                <w:rFonts w:asciiTheme="majorHAnsi" w:hAnsiTheme="majorHAnsi"/>
                <w:sz w:val="18"/>
                <w:szCs w:val="12"/>
              </w:rPr>
              <w:t>First year annual Therm net - Common Area</w:t>
            </w:r>
          </w:p>
        </w:tc>
        <w:tc>
          <w:tcPr>
            <w:tcW w:w="0" w:type="auto"/>
            <w:hideMark/>
          </w:tcPr>
          <w:p w:rsidRPr="007938ED" w:rsidR="00D31E46" w:rsidRDefault="00D31E46" w14:paraId="51942DF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CB3AB6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3C460DE"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FC5108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61893EA" w14:textId="77777777">
            <w:pPr>
              <w:rPr>
                <w:rFonts w:asciiTheme="majorHAnsi" w:hAnsiTheme="majorHAnsi"/>
                <w:sz w:val="18"/>
                <w:szCs w:val="12"/>
              </w:rPr>
            </w:pPr>
            <w:r w:rsidRPr="007938ED">
              <w:rPr>
                <w:rFonts w:asciiTheme="majorHAnsi" w:hAnsiTheme="majorHAnsi"/>
                <w:sz w:val="18"/>
                <w:szCs w:val="12"/>
              </w:rPr>
              <w:t>First year annual Therm net</w:t>
            </w:r>
          </w:p>
        </w:tc>
      </w:tr>
      <w:tr w:rsidRPr="007938ED" w:rsidR="00CE6F7B" w:rsidTr="007938ED" w14:paraId="636EDFE0" w14:textId="77777777">
        <w:trPr>
          <w:trHeight w:val="1200"/>
        </w:trPr>
        <w:tc>
          <w:tcPr>
            <w:tcW w:w="0" w:type="auto"/>
            <w:noWrap/>
            <w:hideMark/>
          </w:tcPr>
          <w:p w:rsidRPr="007938ED" w:rsidR="00D31E46" w:rsidP="00D31E46" w:rsidRDefault="00D31E46" w14:paraId="63B65CE8" w14:textId="77777777">
            <w:pPr>
              <w:rPr>
                <w:rFonts w:asciiTheme="majorHAnsi" w:hAnsiTheme="majorHAnsi"/>
                <w:sz w:val="18"/>
                <w:szCs w:val="12"/>
              </w:rPr>
            </w:pPr>
            <w:r w:rsidRPr="007938ED">
              <w:rPr>
                <w:rFonts w:asciiTheme="majorHAnsi" w:hAnsiTheme="majorHAnsi"/>
                <w:sz w:val="18"/>
                <w:szCs w:val="12"/>
              </w:rPr>
              <w:t>108</w:t>
            </w:r>
          </w:p>
        </w:tc>
        <w:tc>
          <w:tcPr>
            <w:tcW w:w="0" w:type="auto"/>
            <w:hideMark/>
          </w:tcPr>
          <w:p w:rsidRPr="007938ED" w:rsidR="00D31E46" w:rsidRDefault="00D31E46" w14:paraId="66171DAD"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1FDA572F" w14:textId="77777777">
            <w:pPr>
              <w:rPr>
                <w:rFonts w:asciiTheme="majorHAnsi" w:hAnsiTheme="majorHAnsi"/>
                <w:sz w:val="18"/>
                <w:szCs w:val="12"/>
              </w:rPr>
            </w:pPr>
            <w:r w:rsidRPr="007938ED">
              <w:rPr>
                <w:rFonts w:asciiTheme="majorHAnsi" w:hAnsiTheme="majorHAnsi"/>
                <w:sz w:val="18"/>
                <w:szCs w:val="12"/>
              </w:rPr>
              <w:t>Lifecycle ex-ante kW gross - Common Area</w:t>
            </w:r>
          </w:p>
        </w:tc>
        <w:tc>
          <w:tcPr>
            <w:tcW w:w="0" w:type="auto"/>
            <w:hideMark/>
          </w:tcPr>
          <w:p w:rsidRPr="007938ED" w:rsidR="00D31E46" w:rsidRDefault="00D31E46" w14:paraId="164F57A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CE36B20"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B919E5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C734E4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E8F1D96" w14:textId="77777777">
            <w:pPr>
              <w:rPr>
                <w:rFonts w:asciiTheme="majorHAnsi" w:hAnsiTheme="majorHAnsi"/>
                <w:sz w:val="18"/>
                <w:szCs w:val="12"/>
              </w:rPr>
            </w:pPr>
            <w:r w:rsidRPr="007938ED">
              <w:rPr>
                <w:rFonts w:asciiTheme="majorHAnsi" w:hAnsiTheme="majorHAnsi"/>
                <w:sz w:val="18"/>
                <w:szCs w:val="12"/>
              </w:rPr>
              <w:t>Lifecycle ex-ante kW gross</w:t>
            </w:r>
          </w:p>
        </w:tc>
      </w:tr>
      <w:tr w:rsidRPr="007938ED" w:rsidR="00CE6F7B" w:rsidTr="007938ED" w14:paraId="2F897163" w14:textId="77777777">
        <w:trPr>
          <w:trHeight w:val="1200"/>
        </w:trPr>
        <w:tc>
          <w:tcPr>
            <w:tcW w:w="0" w:type="auto"/>
            <w:noWrap/>
            <w:hideMark/>
          </w:tcPr>
          <w:p w:rsidRPr="007938ED" w:rsidR="00D31E46" w:rsidP="00D31E46" w:rsidRDefault="00D31E46" w14:paraId="2F8F9328" w14:textId="77777777">
            <w:pPr>
              <w:rPr>
                <w:rFonts w:asciiTheme="majorHAnsi" w:hAnsiTheme="majorHAnsi"/>
                <w:sz w:val="18"/>
                <w:szCs w:val="12"/>
              </w:rPr>
            </w:pPr>
            <w:r w:rsidRPr="007938ED">
              <w:rPr>
                <w:rFonts w:asciiTheme="majorHAnsi" w:hAnsiTheme="majorHAnsi"/>
                <w:sz w:val="18"/>
                <w:szCs w:val="12"/>
              </w:rPr>
              <w:t>109</w:t>
            </w:r>
          </w:p>
        </w:tc>
        <w:tc>
          <w:tcPr>
            <w:tcW w:w="0" w:type="auto"/>
            <w:hideMark/>
          </w:tcPr>
          <w:p w:rsidRPr="007938ED" w:rsidR="00D31E46" w:rsidRDefault="00D31E46" w14:paraId="320D25E5"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3D739D28" w14:textId="77777777">
            <w:pPr>
              <w:rPr>
                <w:rFonts w:asciiTheme="majorHAnsi" w:hAnsiTheme="majorHAnsi"/>
                <w:sz w:val="18"/>
                <w:szCs w:val="12"/>
              </w:rPr>
            </w:pPr>
            <w:r w:rsidRPr="007938ED">
              <w:rPr>
                <w:rFonts w:asciiTheme="majorHAnsi" w:hAnsiTheme="majorHAnsi"/>
                <w:sz w:val="18"/>
                <w:szCs w:val="12"/>
              </w:rPr>
              <w:t>Lifecycle ex-ante kW net - Common Area</w:t>
            </w:r>
          </w:p>
        </w:tc>
        <w:tc>
          <w:tcPr>
            <w:tcW w:w="0" w:type="auto"/>
            <w:hideMark/>
          </w:tcPr>
          <w:p w:rsidRPr="007938ED" w:rsidR="00D31E46" w:rsidRDefault="00D31E46" w14:paraId="1760CEA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7E42B83"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7663ACD"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7EA87D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B6A13E0" w14:textId="77777777">
            <w:pPr>
              <w:rPr>
                <w:rFonts w:asciiTheme="majorHAnsi" w:hAnsiTheme="majorHAnsi"/>
                <w:sz w:val="18"/>
                <w:szCs w:val="12"/>
              </w:rPr>
            </w:pPr>
            <w:r w:rsidRPr="007938ED">
              <w:rPr>
                <w:rFonts w:asciiTheme="majorHAnsi" w:hAnsiTheme="majorHAnsi"/>
                <w:sz w:val="18"/>
                <w:szCs w:val="12"/>
              </w:rPr>
              <w:t>Lifecycle ex-ante kW net</w:t>
            </w:r>
          </w:p>
        </w:tc>
      </w:tr>
      <w:tr w:rsidRPr="007938ED" w:rsidR="00CE6F7B" w:rsidTr="007938ED" w14:paraId="7993499B" w14:textId="77777777">
        <w:trPr>
          <w:trHeight w:val="1200"/>
        </w:trPr>
        <w:tc>
          <w:tcPr>
            <w:tcW w:w="0" w:type="auto"/>
            <w:noWrap/>
            <w:hideMark/>
          </w:tcPr>
          <w:p w:rsidRPr="007938ED" w:rsidR="00D31E46" w:rsidP="00D31E46" w:rsidRDefault="00D31E46" w14:paraId="46CFA3ED" w14:textId="77777777">
            <w:pPr>
              <w:rPr>
                <w:rFonts w:asciiTheme="majorHAnsi" w:hAnsiTheme="majorHAnsi"/>
                <w:sz w:val="18"/>
                <w:szCs w:val="12"/>
              </w:rPr>
            </w:pPr>
            <w:r w:rsidRPr="007938ED">
              <w:rPr>
                <w:rFonts w:asciiTheme="majorHAnsi" w:hAnsiTheme="majorHAnsi"/>
                <w:sz w:val="18"/>
                <w:szCs w:val="12"/>
              </w:rPr>
              <w:t>110</w:t>
            </w:r>
          </w:p>
        </w:tc>
        <w:tc>
          <w:tcPr>
            <w:tcW w:w="0" w:type="auto"/>
            <w:hideMark/>
          </w:tcPr>
          <w:p w:rsidRPr="007938ED" w:rsidR="00D31E46" w:rsidRDefault="00D31E46" w14:paraId="26D0A772"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2DB48CEB" w14:textId="77777777">
            <w:pPr>
              <w:rPr>
                <w:rFonts w:asciiTheme="majorHAnsi" w:hAnsiTheme="majorHAnsi"/>
                <w:sz w:val="18"/>
                <w:szCs w:val="12"/>
              </w:rPr>
            </w:pPr>
            <w:r w:rsidRPr="007938ED">
              <w:rPr>
                <w:rFonts w:asciiTheme="majorHAnsi" w:hAnsiTheme="majorHAnsi"/>
                <w:sz w:val="18"/>
                <w:szCs w:val="12"/>
              </w:rPr>
              <w:t>Lifecycle ex-ante kWh gross - Common Area</w:t>
            </w:r>
          </w:p>
        </w:tc>
        <w:tc>
          <w:tcPr>
            <w:tcW w:w="0" w:type="auto"/>
            <w:hideMark/>
          </w:tcPr>
          <w:p w:rsidRPr="007938ED" w:rsidR="00D31E46" w:rsidRDefault="00D31E46" w14:paraId="028ED84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D0D065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7BA42C8"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7FA0BC1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45C7221" w14:textId="77777777">
            <w:pPr>
              <w:rPr>
                <w:rFonts w:asciiTheme="majorHAnsi" w:hAnsiTheme="majorHAnsi"/>
                <w:sz w:val="18"/>
                <w:szCs w:val="12"/>
              </w:rPr>
            </w:pPr>
            <w:r w:rsidRPr="007938ED">
              <w:rPr>
                <w:rFonts w:asciiTheme="majorHAnsi" w:hAnsiTheme="majorHAnsi"/>
                <w:sz w:val="18"/>
                <w:szCs w:val="12"/>
              </w:rPr>
              <w:t>Lifecycle ex-ante kWh gross</w:t>
            </w:r>
          </w:p>
        </w:tc>
      </w:tr>
      <w:tr w:rsidRPr="007938ED" w:rsidR="00CE6F7B" w:rsidTr="007938ED" w14:paraId="7E4911B9" w14:textId="77777777">
        <w:trPr>
          <w:trHeight w:val="1200"/>
        </w:trPr>
        <w:tc>
          <w:tcPr>
            <w:tcW w:w="0" w:type="auto"/>
            <w:noWrap/>
            <w:hideMark/>
          </w:tcPr>
          <w:p w:rsidRPr="007938ED" w:rsidR="00D31E46" w:rsidP="00D31E46" w:rsidRDefault="00D31E46" w14:paraId="227BB58C" w14:textId="77777777">
            <w:pPr>
              <w:rPr>
                <w:rFonts w:asciiTheme="majorHAnsi" w:hAnsiTheme="majorHAnsi"/>
                <w:sz w:val="18"/>
                <w:szCs w:val="12"/>
              </w:rPr>
            </w:pPr>
            <w:r w:rsidRPr="007938ED">
              <w:rPr>
                <w:rFonts w:asciiTheme="majorHAnsi" w:hAnsiTheme="majorHAnsi"/>
                <w:sz w:val="18"/>
                <w:szCs w:val="12"/>
              </w:rPr>
              <w:t>111</w:t>
            </w:r>
          </w:p>
        </w:tc>
        <w:tc>
          <w:tcPr>
            <w:tcW w:w="0" w:type="auto"/>
            <w:hideMark/>
          </w:tcPr>
          <w:p w:rsidRPr="007938ED" w:rsidR="00D31E46" w:rsidRDefault="00D31E46" w14:paraId="7EF0879C"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w:t>
            </w:r>
            <w:r w:rsidRPr="007938ED">
              <w:rPr>
                <w:rFonts w:asciiTheme="majorHAnsi" w:hAnsiTheme="majorHAnsi"/>
                <w:sz w:val="18"/>
                <w:szCs w:val="12"/>
              </w:rPr>
              <w:lastRenderedPageBreak/>
              <w:t>unit, common area, and master metered accounts)</w:t>
            </w:r>
          </w:p>
        </w:tc>
        <w:tc>
          <w:tcPr>
            <w:tcW w:w="0" w:type="auto"/>
            <w:hideMark/>
          </w:tcPr>
          <w:p w:rsidRPr="007938ED" w:rsidR="00D31E46" w:rsidRDefault="00D31E46" w14:paraId="6C8F5E03" w14:textId="77777777">
            <w:pPr>
              <w:rPr>
                <w:rFonts w:asciiTheme="majorHAnsi" w:hAnsiTheme="majorHAnsi"/>
                <w:sz w:val="18"/>
                <w:szCs w:val="12"/>
              </w:rPr>
            </w:pPr>
            <w:r w:rsidRPr="007938ED">
              <w:rPr>
                <w:rFonts w:asciiTheme="majorHAnsi" w:hAnsiTheme="majorHAnsi"/>
                <w:sz w:val="18"/>
                <w:szCs w:val="12"/>
              </w:rPr>
              <w:lastRenderedPageBreak/>
              <w:t>Lifecycle ex-ante kWh net - Common Area</w:t>
            </w:r>
          </w:p>
        </w:tc>
        <w:tc>
          <w:tcPr>
            <w:tcW w:w="0" w:type="auto"/>
            <w:hideMark/>
          </w:tcPr>
          <w:p w:rsidRPr="007938ED" w:rsidR="00D31E46" w:rsidRDefault="00D31E46" w14:paraId="53167A1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057D9C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54B151D"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0C75E79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242F8A2" w14:textId="77777777">
            <w:pPr>
              <w:rPr>
                <w:rFonts w:asciiTheme="majorHAnsi" w:hAnsiTheme="majorHAnsi"/>
                <w:sz w:val="18"/>
                <w:szCs w:val="12"/>
              </w:rPr>
            </w:pPr>
            <w:r w:rsidRPr="007938ED">
              <w:rPr>
                <w:rFonts w:asciiTheme="majorHAnsi" w:hAnsiTheme="majorHAnsi"/>
                <w:sz w:val="18"/>
                <w:szCs w:val="12"/>
              </w:rPr>
              <w:t>Lifecycle ex-ante kWh net</w:t>
            </w:r>
          </w:p>
        </w:tc>
      </w:tr>
      <w:tr w:rsidRPr="007938ED" w:rsidR="00CE6F7B" w:rsidTr="007938ED" w14:paraId="5CD187A0" w14:textId="77777777">
        <w:trPr>
          <w:trHeight w:val="1200"/>
        </w:trPr>
        <w:tc>
          <w:tcPr>
            <w:tcW w:w="0" w:type="auto"/>
            <w:noWrap/>
            <w:hideMark/>
          </w:tcPr>
          <w:p w:rsidRPr="007938ED" w:rsidR="00D31E46" w:rsidP="00D31E46" w:rsidRDefault="00D31E46" w14:paraId="5439F339" w14:textId="77777777">
            <w:pPr>
              <w:rPr>
                <w:rFonts w:asciiTheme="majorHAnsi" w:hAnsiTheme="majorHAnsi"/>
                <w:sz w:val="18"/>
                <w:szCs w:val="12"/>
              </w:rPr>
            </w:pPr>
            <w:r w:rsidRPr="007938ED">
              <w:rPr>
                <w:rFonts w:asciiTheme="majorHAnsi" w:hAnsiTheme="majorHAnsi"/>
                <w:sz w:val="18"/>
                <w:szCs w:val="12"/>
              </w:rPr>
              <w:t>112</w:t>
            </w:r>
          </w:p>
        </w:tc>
        <w:tc>
          <w:tcPr>
            <w:tcW w:w="0" w:type="auto"/>
            <w:hideMark/>
          </w:tcPr>
          <w:p w:rsidRPr="007938ED" w:rsidR="00D31E46" w:rsidRDefault="00D31E46" w14:paraId="4E34A5DA"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54CB755C" w14:textId="77777777">
            <w:pPr>
              <w:rPr>
                <w:rFonts w:asciiTheme="majorHAnsi" w:hAnsiTheme="majorHAnsi"/>
                <w:sz w:val="18"/>
                <w:szCs w:val="12"/>
              </w:rPr>
            </w:pPr>
            <w:r w:rsidRPr="007938ED">
              <w:rPr>
                <w:rFonts w:asciiTheme="majorHAnsi" w:hAnsiTheme="majorHAnsi"/>
                <w:sz w:val="18"/>
                <w:szCs w:val="12"/>
              </w:rPr>
              <w:t>Lifecycle ex-ante Therm gross - Common Area</w:t>
            </w:r>
          </w:p>
        </w:tc>
        <w:tc>
          <w:tcPr>
            <w:tcW w:w="0" w:type="auto"/>
            <w:hideMark/>
          </w:tcPr>
          <w:p w:rsidRPr="007938ED" w:rsidR="00D31E46" w:rsidRDefault="00D31E46" w14:paraId="1C622A1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CF625E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A19BFF4"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18E5B8C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FEF5D0D" w14:textId="77777777">
            <w:pPr>
              <w:rPr>
                <w:rFonts w:asciiTheme="majorHAnsi" w:hAnsiTheme="majorHAnsi"/>
                <w:sz w:val="18"/>
                <w:szCs w:val="12"/>
              </w:rPr>
            </w:pPr>
            <w:r w:rsidRPr="007938ED">
              <w:rPr>
                <w:rFonts w:asciiTheme="majorHAnsi" w:hAnsiTheme="majorHAnsi"/>
                <w:sz w:val="18"/>
                <w:szCs w:val="12"/>
              </w:rPr>
              <w:t>Lifecycle ex-ante Therm gross</w:t>
            </w:r>
          </w:p>
        </w:tc>
      </w:tr>
      <w:tr w:rsidRPr="007938ED" w:rsidR="00CE6F7B" w:rsidTr="007938ED" w14:paraId="07D40BDF" w14:textId="77777777">
        <w:trPr>
          <w:trHeight w:val="1200"/>
        </w:trPr>
        <w:tc>
          <w:tcPr>
            <w:tcW w:w="0" w:type="auto"/>
            <w:noWrap/>
            <w:hideMark/>
          </w:tcPr>
          <w:p w:rsidRPr="007938ED" w:rsidR="00D31E46" w:rsidP="00D31E46" w:rsidRDefault="00D31E46" w14:paraId="6D4CDF09" w14:textId="77777777">
            <w:pPr>
              <w:rPr>
                <w:rFonts w:asciiTheme="majorHAnsi" w:hAnsiTheme="majorHAnsi"/>
                <w:sz w:val="18"/>
                <w:szCs w:val="12"/>
              </w:rPr>
            </w:pPr>
            <w:r w:rsidRPr="007938ED">
              <w:rPr>
                <w:rFonts w:asciiTheme="majorHAnsi" w:hAnsiTheme="majorHAnsi"/>
                <w:sz w:val="18"/>
                <w:szCs w:val="12"/>
              </w:rPr>
              <w:t>113</w:t>
            </w:r>
          </w:p>
        </w:tc>
        <w:tc>
          <w:tcPr>
            <w:tcW w:w="0" w:type="auto"/>
            <w:hideMark/>
          </w:tcPr>
          <w:p w:rsidRPr="007938ED" w:rsidR="00D31E46" w:rsidRDefault="00D31E46" w14:paraId="39155B46"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for multifamily customers (in‐unit, common area, and master metered accounts)</w:t>
            </w:r>
          </w:p>
        </w:tc>
        <w:tc>
          <w:tcPr>
            <w:tcW w:w="0" w:type="auto"/>
            <w:hideMark/>
          </w:tcPr>
          <w:p w:rsidRPr="007938ED" w:rsidR="00D31E46" w:rsidRDefault="00D31E46" w14:paraId="035B61C7" w14:textId="77777777">
            <w:pPr>
              <w:rPr>
                <w:rFonts w:asciiTheme="majorHAnsi" w:hAnsiTheme="majorHAnsi"/>
                <w:sz w:val="18"/>
                <w:szCs w:val="12"/>
              </w:rPr>
            </w:pPr>
            <w:r w:rsidRPr="007938ED">
              <w:rPr>
                <w:rFonts w:asciiTheme="majorHAnsi" w:hAnsiTheme="majorHAnsi"/>
                <w:sz w:val="18"/>
                <w:szCs w:val="12"/>
              </w:rPr>
              <w:t>Lifecycle ex-ante Therm net - Common Area</w:t>
            </w:r>
          </w:p>
        </w:tc>
        <w:tc>
          <w:tcPr>
            <w:tcW w:w="0" w:type="auto"/>
            <w:hideMark/>
          </w:tcPr>
          <w:p w:rsidRPr="007938ED" w:rsidR="00D31E46" w:rsidRDefault="00D31E46" w14:paraId="63C2BE7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112F89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FD856C9"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798615E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802A080" w14:textId="77777777">
            <w:pPr>
              <w:rPr>
                <w:rFonts w:asciiTheme="majorHAnsi" w:hAnsiTheme="majorHAnsi"/>
                <w:sz w:val="18"/>
                <w:szCs w:val="12"/>
              </w:rPr>
            </w:pPr>
            <w:r w:rsidRPr="007938ED">
              <w:rPr>
                <w:rFonts w:asciiTheme="majorHAnsi" w:hAnsiTheme="majorHAnsi"/>
                <w:sz w:val="18"/>
                <w:szCs w:val="12"/>
              </w:rPr>
              <w:t>Lifecycle ex-ante Therm net</w:t>
            </w:r>
          </w:p>
        </w:tc>
      </w:tr>
      <w:tr w:rsidRPr="007938ED" w:rsidR="00CE6F7B" w:rsidTr="007938ED" w14:paraId="1577EAA8" w14:textId="77777777">
        <w:trPr>
          <w:trHeight w:val="1200"/>
        </w:trPr>
        <w:tc>
          <w:tcPr>
            <w:tcW w:w="0" w:type="auto"/>
            <w:noWrap/>
            <w:hideMark/>
          </w:tcPr>
          <w:p w:rsidRPr="007938ED" w:rsidR="00D31E46" w:rsidP="00D31E46" w:rsidRDefault="00D31E46" w14:paraId="6CD8146B" w14:textId="77777777">
            <w:pPr>
              <w:rPr>
                <w:rFonts w:asciiTheme="majorHAnsi" w:hAnsiTheme="majorHAnsi"/>
                <w:sz w:val="18"/>
                <w:szCs w:val="12"/>
              </w:rPr>
            </w:pPr>
            <w:r w:rsidRPr="007938ED">
              <w:rPr>
                <w:rFonts w:asciiTheme="majorHAnsi" w:hAnsiTheme="majorHAnsi"/>
                <w:sz w:val="18"/>
                <w:szCs w:val="12"/>
              </w:rPr>
              <w:t>114</w:t>
            </w:r>
          </w:p>
        </w:tc>
        <w:tc>
          <w:tcPr>
            <w:tcW w:w="0" w:type="auto"/>
            <w:hideMark/>
          </w:tcPr>
          <w:p w:rsidRPr="007938ED" w:rsidR="00D31E46" w:rsidRDefault="00D31E46" w14:paraId="389445BB" w14:textId="77777777">
            <w:pPr>
              <w:rPr>
                <w:rFonts w:asciiTheme="majorHAnsi" w:hAnsiTheme="majorHAnsi"/>
                <w:sz w:val="18"/>
                <w:szCs w:val="12"/>
              </w:rPr>
            </w:pPr>
            <w:r w:rsidRPr="007938ED">
              <w:rPr>
                <w:rFonts w:asciiTheme="majorHAnsi" w:hAnsiTheme="majorHAnsi"/>
                <w:sz w:val="18"/>
                <w:szCs w:val="12"/>
              </w:rPr>
              <w:t>Greenhouse gasses (MT CO2eq) Net kWh savings, reported on an annual basis</w:t>
            </w:r>
          </w:p>
        </w:tc>
        <w:tc>
          <w:tcPr>
            <w:tcW w:w="0" w:type="auto"/>
            <w:hideMark/>
          </w:tcPr>
          <w:p w:rsidRPr="007938ED" w:rsidR="00D31E46" w:rsidRDefault="00D31E46" w14:paraId="2B43F053" w14:textId="77777777">
            <w:pPr>
              <w:rPr>
                <w:rFonts w:asciiTheme="majorHAnsi" w:hAnsiTheme="majorHAnsi"/>
                <w:sz w:val="18"/>
                <w:szCs w:val="12"/>
              </w:rPr>
            </w:pPr>
            <w:r w:rsidRPr="007938ED">
              <w:rPr>
                <w:rFonts w:asciiTheme="majorHAnsi" w:hAnsiTheme="majorHAnsi"/>
                <w:sz w:val="18"/>
                <w:szCs w:val="12"/>
              </w:rPr>
              <w:t>CO2-equivalent of net annual kWh savings</w:t>
            </w:r>
          </w:p>
        </w:tc>
        <w:tc>
          <w:tcPr>
            <w:tcW w:w="0" w:type="auto"/>
            <w:hideMark/>
          </w:tcPr>
          <w:p w:rsidRPr="007938ED" w:rsidR="00D31E46" w:rsidRDefault="00D31E46" w14:paraId="68676E6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3024AFD" w14:textId="77777777">
            <w:pPr>
              <w:rPr>
                <w:rFonts w:asciiTheme="majorHAnsi" w:hAnsiTheme="majorHAnsi"/>
                <w:sz w:val="18"/>
                <w:szCs w:val="12"/>
              </w:rPr>
            </w:pPr>
            <w:r w:rsidRPr="007938ED">
              <w:rPr>
                <w:rFonts w:asciiTheme="majorHAnsi" w:hAnsiTheme="majorHAnsi"/>
                <w:sz w:val="18"/>
                <w:szCs w:val="12"/>
              </w:rPr>
              <w:t>GHG</w:t>
            </w:r>
          </w:p>
        </w:tc>
        <w:tc>
          <w:tcPr>
            <w:tcW w:w="0" w:type="auto"/>
            <w:hideMark/>
          </w:tcPr>
          <w:p w:rsidRPr="007938ED" w:rsidR="00D31E46" w:rsidP="00D31E46" w:rsidRDefault="00D31E46" w14:paraId="6A03BE40"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2CA67E2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A41B2E0" w14:textId="77777777">
            <w:pPr>
              <w:rPr>
                <w:rFonts w:asciiTheme="majorHAnsi" w:hAnsiTheme="majorHAnsi"/>
                <w:sz w:val="18"/>
                <w:szCs w:val="12"/>
              </w:rPr>
            </w:pPr>
            <w:r w:rsidRPr="007938ED">
              <w:rPr>
                <w:rFonts w:asciiTheme="majorHAnsi" w:hAnsiTheme="majorHAnsi"/>
                <w:sz w:val="18"/>
                <w:szCs w:val="12"/>
              </w:rPr>
              <w:t>MT CO2eq</w:t>
            </w:r>
          </w:p>
        </w:tc>
      </w:tr>
      <w:tr w:rsidRPr="007938ED" w:rsidR="00CE6F7B" w:rsidTr="007938ED" w14:paraId="7848AA7F" w14:textId="77777777">
        <w:trPr>
          <w:trHeight w:val="1200"/>
        </w:trPr>
        <w:tc>
          <w:tcPr>
            <w:tcW w:w="0" w:type="auto"/>
            <w:noWrap/>
            <w:hideMark/>
          </w:tcPr>
          <w:p w:rsidRPr="007938ED" w:rsidR="00D31E46" w:rsidP="00D31E46" w:rsidRDefault="00D31E46" w14:paraId="3471FA1C" w14:textId="77777777">
            <w:pPr>
              <w:rPr>
                <w:rFonts w:asciiTheme="majorHAnsi" w:hAnsiTheme="majorHAnsi"/>
                <w:sz w:val="18"/>
                <w:szCs w:val="12"/>
              </w:rPr>
            </w:pPr>
            <w:r w:rsidRPr="007938ED">
              <w:rPr>
                <w:rFonts w:asciiTheme="majorHAnsi" w:hAnsiTheme="majorHAnsi"/>
                <w:sz w:val="18"/>
                <w:szCs w:val="12"/>
              </w:rPr>
              <w:t>115</w:t>
            </w:r>
          </w:p>
        </w:tc>
        <w:tc>
          <w:tcPr>
            <w:tcW w:w="0" w:type="auto"/>
            <w:hideMark/>
          </w:tcPr>
          <w:p w:rsidRPr="007938ED" w:rsidR="00D31E46" w:rsidRDefault="00D31E46" w14:paraId="1394DE2A" w14:textId="77777777">
            <w:pPr>
              <w:rPr>
                <w:rFonts w:asciiTheme="majorHAnsi" w:hAnsiTheme="majorHAnsi"/>
                <w:sz w:val="18"/>
                <w:szCs w:val="12"/>
              </w:rPr>
            </w:pPr>
            <w:r w:rsidRPr="007938ED">
              <w:rPr>
                <w:rFonts w:asciiTheme="majorHAnsi" w:hAnsiTheme="majorHAnsi"/>
                <w:sz w:val="18"/>
                <w:szCs w:val="12"/>
              </w:rPr>
              <w:t>Energy savings (kWh, kw, therms) per project (building)</w:t>
            </w:r>
          </w:p>
        </w:tc>
        <w:tc>
          <w:tcPr>
            <w:tcW w:w="0" w:type="auto"/>
            <w:hideMark/>
          </w:tcPr>
          <w:p w:rsidRPr="007938ED" w:rsidR="00D31E46" w:rsidRDefault="00D31E46" w14:paraId="511BAA81" w14:textId="77777777">
            <w:pPr>
              <w:rPr>
                <w:rFonts w:asciiTheme="majorHAnsi" w:hAnsiTheme="majorHAnsi"/>
                <w:sz w:val="18"/>
                <w:szCs w:val="12"/>
              </w:rPr>
            </w:pPr>
            <w:r w:rsidRPr="007938ED">
              <w:rPr>
                <w:rFonts w:asciiTheme="majorHAnsi" w:hAnsiTheme="majorHAnsi"/>
                <w:sz w:val="18"/>
                <w:szCs w:val="12"/>
              </w:rPr>
              <w:t>Lifecycle ex-ante kW net per project (building)</w:t>
            </w:r>
          </w:p>
        </w:tc>
        <w:tc>
          <w:tcPr>
            <w:tcW w:w="0" w:type="auto"/>
            <w:hideMark/>
          </w:tcPr>
          <w:p w:rsidRPr="007938ED" w:rsidR="00D31E46" w:rsidRDefault="00D31E46" w14:paraId="2D68E80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C998A11"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195272E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B0E379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B77A6D9" w14:textId="77777777">
            <w:pPr>
              <w:rPr>
                <w:rFonts w:asciiTheme="majorHAnsi" w:hAnsiTheme="majorHAnsi"/>
                <w:sz w:val="18"/>
                <w:szCs w:val="12"/>
              </w:rPr>
            </w:pPr>
            <w:r w:rsidRPr="007938ED">
              <w:rPr>
                <w:rFonts w:asciiTheme="majorHAnsi" w:hAnsiTheme="majorHAnsi"/>
                <w:sz w:val="18"/>
                <w:szCs w:val="12"/>
              </w:rPr>
              <w:t>Lifecycle NET kW</w:t>
            </w:r>
          </w:p>
        </w:tc>
      </w:tr>
      <w:tr w:rsidRPr="007938ED" w:rsidR="00CE6F7B" w:rsidTr="007938ED" w14:paraId="66DBF2F2" w14:textId="77777777">
        <w:trPr>
          <w:trHeight w:val="1200"/>
        </w:trPr>
        <w:tc>
          <w:tcPr>
            <w:tcW w:w="0" w:type="auto"/>
            <w:noWrap/>
            <w:hideMark/>
          </w:tcPr>
          <w:p w:rsidRPr="007938ED" w:rsidR="00D31E46" w:rsidP="00D31E46" w:rsidRDefault="00D31E46" w14:paraId="16C1B7E9" w14:textId="77777777">
            <w:pPr>
              <w:rPr>
                <w:rFonts w:asciiTheme="majorHAnsi" w:hAnsiTheme="majorHAnsi"/>
                <w:sz w:val="18"/>
                <w:szCs w:val="12"/>
              </w:rPr>
            </w:pPr>
            <w:r w:rsidRPr="007938ED">
              <w:rPr>
                <w:rFonts w:asciiTheme="majorHAnsi" w:hAnsiTheme="majorHAnsi"/>
                <w:sz w:val="18"/>
                <w:szCs w:val="12"/>
              </w:rPr>
              <w:lastRenderedPageBreak/>
              <w:t>116</w:t>
            </w:r>
          </w:p>
        </w:tc>
        <w:tc>
          <w:tcPr>
            <w:tcW w:w="0" w:type="auto"/>
            <w:hideMark/>
          </w:tcPr>
          <w:p w:rsidRPr="007938ED" w:rsidR="00D31E46" w:rsidRDefault="00D31E46" w14:paraId="20B91D2B" w14:textId="77777777">
            <w:pPr>
              <w:rPr>
                <w:rFonts w:asciiTheme="majorHAnsi" w:hAnsiTheme="majorHAnsi"/>
                <w:sz w:val="18"/>
                <w:szCs w:val="12"/>
              </w:rPr>
            </w:pPr>
            <w:r w:rsidRPr="007938ED">
              <w:rPr>
                <w:rFonts w:asciiTheme="majorHAnsi" w:hAnsiTheme="majorHAnsi"/>
                <w:sz w:val="18"/>
                <w:szCs w:val="12"/>
              </w:rPr>
              <w:t>Energy savings (kWh, kw, therms) per project (building)</w:t>
            </w:r>
          </w:p>
        </w:tc>
        <w:tc>
          <w:tcPr>
            <w:tcW w:w="0" w:type="auto"/>
            <w:hideMark/>
          </w:tcPr>
          <w:p w:rsidRPr="007938ED" w:rsidR="00D31E46" w:rsidRDefault="00D31E46" w14:paraId="78A0C4F2" w14:textId="77777777">
            <w:pPr>
              <w:rPr>
                <w:rFonts w:asciiTheme="majorHAnsi" w:hAnsiTheme="majorHAnsi"/>
                <w:sz w:val="18"/>
                <w:szCs w:val="12"/>
              </w:rPr>
            </w:pPr>
            <w:r w:rsidRPr="007938ED">
              <w:rPr>
                <w:rFonts w:asciiTheme="majorHAnsi" w:hAnsiTheme="majorHAnsi"/>
                <w:sz w:val="18"/>
                <w:szCs w:val="12"/>
              </w:rPr>
              <w:t>Lifecycle ex-ante kWh net per project (building)</w:t>
            </w:r>
          </w:p>
        </w:tc>
        <w:tc>
          <w:tcPr>
            <w:tcW w:w="0" w:type="auto"/>
            <w:hideMark/>
          </w:tcPr>
          <w:p w:rsidRPr="007938ED" w:rsidR="00D31E46" w:rsidRDefault="00D31E46" w14:paraId="4AB07F4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010DC3A"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51DD97CD"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D1581B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D1D448E" w14:textId="77777777">
            <w:pPr>
              <w:rPr>
                <w:rFonts w:asciiTheme="majorHAnsi" w:hAnsiTheme="majorHAnsi"/>
                <w:sz w:val="18"/>
                <w:szCs w:val="12"/>
              </w:rPr>
            </w:pPr>
            <w:r w:rsidRPr="007938ED">
              <w:rPr>
                <w:rFonts w:asciiTheme="majorHAnsi" w:hAnsiTheme="majorHAnsi"/>
                <w:sz w:val="18"/>
                <w:szCs w:val="12"/>
              </w:rPr>
              <w:t>Lifecycle NET kWh</w:t>
            </w:r>
          </w:p>
        </w:tc>
      </w:tr>
      <w:tr w:rsidRPr="007938ED" w:rsidR="00CE6F7B" w:rsidTr="007938ED" w14:paraId="01A91EEB" w14:textId="77777777">
        <w:trPr>
          <w:trHeight w:val="1200"/>
        </w:trPr>
        <w:tc>
          <w:tcPr>
            <w:tcW w:w="0" w:type="auto"/>
            <w:noWrap/>
            <w:hideMark/>
          </w:tcPr>
          <w:p w:rsidRPr="007938ED" w:rsidR="00D31E46" w:rsidP="00D31E46" w:rsidRDefault="00D31E46" w14:paraId="1F041564" w14:textId="77777777">
            <w:pPr>
              <w:rPr>
                <w:rFonts w:asciiTheme="majorHAnsi" w:hAnsiTheme="majorHAnsi"/>
                <w:sz w:val="18"/>
                <w:szCs w:val="12"/>
              </w:rPr>
            </w:pPr>
            <w:r w:rsidRPr="007938ED">
              <w:rPr>
                <w:rFonts w:asciiTheme="majorHAnsi" w:hAnsiTheme="majorHAnsi"/>
                <w:sz w:val="18"/>
                <w:szCs w:val="12"/>
              </w:rPr>
              <w:t>117</w:t>
            </w:r>
          </w:p>
        </w:tc>
        <w:tc>
          <w:tcPr>
            <w:tcW w:w="0" w:type="auto"/>
            <w:hideMark/>
          </w:tcPr>
          <w:p w:rsidRPr="007938ED" w:rsidR="00D31E46" w:rsidRDefault="00D31E46" w14:paraId="7AB5713F" w14:textId="77777777">
            <w:pPr>
              <w:rPr>
                <w:rFonts w:asciiTheme="majorHAnsi" w:hAnsiTheme="majorHAnsi"/>
                <w:sz w:val="18"/>
                <w:szCs w:val="12"/>
              </w:rPr>
            </w:pPr>
            <w:r w:rsidRPr="007938ED">
              <w:rPr>
                <w:rFonts w:asciiTheme="majorHAnsi" w:hAnsiTheme="majorHAnsi"/>
                <w:sz w:val="18"/>
                <w:szCs w:val="12"/>
              </w:rPr>
              <w:t>Energy savings (kWh, kw, therms) per project (building)</w:t>
            </w:r>
          </w:p>
        </w:tc>
        <w:tc>
          <w:tcPr>
            <w:tcW w:w="0" w:type="auto"/>
            <w:hideMark/>
          </w:tcPr>
          <w:p w:rsidRPr="007938ED" w:rsidR="00D31E46" w:rsidRDefault="00D31E46" w14:paraId="1DC66883" w14:textId="77777777">
            <w:pPr>
              <w:rPr>
                <w:rFonts w:asciiTheme="majorHAnsi" w:hAnsiTheme="majorHAnsi"/>
                <w:sz w:val="18"/>
                <w:szCs w:val="12"/>
              </w:rPr>
            </w:pPr>
            <w:r w:rsidRPr="007938ED">
              <w:rPr>
                <w:rFonts w:asciiTheme="majorHAnsi" w:hAnsiTheme="majorHAnsi"/>
                <w:sz w:val="18"/>
                <w:szCs w:val="12"/>
              </w:rPr>
              <w:t>Lifecycle ex-ante Therm net per project (building)</w:t>
            </w:r>
          </w:p>
        </w:tc>
        <w:tc>
          <w:tcPr>
            <w:tcW w:w="0" w:type="auto"/>
            <w:hideMark/>
          </w:tcPr>
          <w:p w:rsidRPr="007938ED" w:rsidR="00D31E46" w:rsidRDefault="00D31E46" w14:paraId="5FA42F5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8B9474B"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36F0D98B"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0D6866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0EF269C" w14:textId="77777777">
            <w:pPr>
              <w:rPr>
                <w:rFonts w:asciiTheme="majorHAnsi" w:hAnsiTheme="majorHAnsi"/>
                <w:sz w:val="18"/>
                <w:szCs w:val="12"/>
              </w:rPr>
            </w:pPr>
            <w:r w:rsidRPr="007938ED">
              <w:rPr>
                <w:rFonts w:asciiTheme="majorHAnsi" w:hAnsiTheme="majorHAnsi"/>
                <w:sz w:val="18"/>
                <w:szCs w:val="12"/>
              </w:rPr>
              <w:t>Lifecycle NET Therms</w:t>
            </w:r>
          </w:p>
        </w:tc>
      </w:tr>
      <w:tr w:rsidRPr="007938ED" w:rsidR="00CE6F7B" w:rsidTr="007938ED" w14:paraId="3D55C5CA" w14:textId="77777777">
        <w:trPr>
          <w:trHeight w:val="1200"/>
        </w:trPr>
        <w:tc>
          <w:tcPr>
            <w:tcW w:w="0" w:type="auto"/>
            <w:noWrap/>
            <w:hideMark/>
          </w:tcPr>
          <w:p w:rsidRPr="007938ED" w:rsidR="00D31E46" w:rsidP="00D31E46" w:rsidRDefault="00D31E46" w14:paraId="5013D498" w14:textId="77777777">
            <w:pPr>
              <w:rPr>
                <w:rFonts w:asciiTheme="majorHAnsi" w:hAnsiTheme="majorHAnsi"/>
                <w:sz w:val="18"/>
                <w:szCs w:val="12"/>
              </w:rPr>
            </w:pPr>
            <w:r w:rsidRPr="007938ED">
              <w:rPr>
                <w:rFonts w:asciiTheme="majorHAnsi" w:hAnsiTheme="majorHAnsi"/>
                <w:sz w:val="18"/>
                <w:szCs w:val="12"/>
              </w:rPr>
              <w:t>118</w:t>
            </w:r>
          </w:p>
        </w:tc>
        <w:tc>
          <w:tcPr>
            <w:tcW w:w="0" w:type="auto"/>
            <w:hideMark/>
          </w:tcPr>
          <w:p w:rsidRPr="007938ED" w:rsidR="00D31E46" w:rsidRDefault="00D31E46" w14:paraId="23CFA00A" w14:textId="77777777">
            <w:pPr>
              <w:rPr>
                <w:rFonts w:asciiTheme="majorHAnsi" w:hAnsiTheme="majorHAnsi"/>
                <w:sz w:val="18"/>
                <w:szCs w:val="12"/>
              </w:rPr>
            </w:pPr>
            <w:r w:rsidRPr="007938ED">
              <w:rPr>
                <w:rFonts w:asciiTheme="majorHAnsi" w:hAnsiTheme="majorHAnsi"/>
                <w:sz w:val="18"/>
                <w:szCs w:val="12"/>
              </w:rPr>
              <w:t>Average savings per participant Savings per project (property)</w:t>
            </w:r>
          </w:p>
        </w:tc>
        <w:tc>
          <w:tcPr>
            <w:tcW w:w="0" w:type="auto"/>
            <w:hideMark/>
          </w:tcPr>
          <w:p w:rsidRPr="007938ED" w:rsidR="00D31E46" w:rsidRDefault="00D31E46" w14:paraId="6F3B763F" w14:textId="77777777">
            <w:pPr>
              <w:rPr>
                <w:rFonts w:asciiTheme="majorHAnsi" w:hAnsiTheme="majorHAnsi"/>
                <w:sz w:val="18"/>
                <w:szCs w:val="12"/>
              </w:rPr>
            </w:pPr>
            <w:r w:rsidRPr="007938ED">
              <w:rPr>
                <w:rFonts w:asciiTheme="majorHAnsi" w:hAnsiTheme="majorHAnsi"/>
                <w:sz w:val="18"/>
                <w:szCs w:val="12"/>
              </w:rPr>
              <w:t>Lifecycle ex-ante kW net per project (property)</w:t>
            </w:r>
          </w:p>
        </w:tc>
        <w:tc>
          <w:tcPr>
            <w:tcW w:w="0" w:type="auto"/>
            <w:hideMark/>
          </w:tcPr>
          <w:p w:rsidRPr="007938ED" w:rsidR="00D31E46" w:rsidRDefault="00D31E46" w14:paraId="57344E3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CA878A8"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36298A1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2A4668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7FD5940" w14:textId="77777777">
            <w:pPr>
              <w:rPr>
                <w:rFonts w:asciiTheme="majorHAnsi" w:hAnsiTheme="majorHAnsi"/>
                <w:sz w:val="18"/>
                <w:szCs w:val="12"/>
              </w:rPr>
            </w:pPr>
            <w:r w:rsidRPr="007938ED">
              <w:rPr>
                <w:rFonts w:asciiTheme="majorHAnsi" w:hAnsiTheme="majorHAnsi"/>
                <w:sz w:val="18"/>
                <w:szCs w:val="12"/>
              </w:rPr>
              <w:t>Lifecycle NET kW</w:t>
            </w:r>
          </w:p>
        </w:tc>
      </w:tr>
      <w:tr w:rsidRPr="007938ED" w:rsidR="00CE6F7B" w:rsidTr="007938ED" w14:paraId="20B1EDE6" w14:textId="77777777">
        <w:trPr>
          <w:trHeight w:val="1200"/>
        </w:trPr>
        <w:tc>
          <w:tcPr>
            <w:tcW w:w="0" w:type="auto"/>
            <w:noWrap/>
            <w:hideMark/>
          </w:tcPr>
          <w:p w:rsidRPr="007938ED" w:rsidR="00D31E46" w:rsidP="00D31E46" w:rsidRDefault="00D31E46" w14:paraId="1E91B28C" w14:textId="77777777">
            <w:pPr>
              <w:rPr>
                <w:rFonts w:asciiTheme="majorHAnsi" w:hAnsiTheme="majorHAnsi"/>
                <w:sz w:val="18"/>
                <w:szCs w:val="12"/>
              </w:rPr>
            </w:pPr>
            <w:r w:rsidRPr="007938ED">
              <w:rPr>
                <w:rFonts w:asciiTheme="majorHAnsi" w:hAnsiTheme="majorHAnsi"/>
                <w:sz w:val="18"/>
                <w:szCs w:val="12"/>
              </w:rPr>
              <w:t>119</w:t>
            </w:r>
          </w:p>
        </w:tc>
        <w:tc>
          <w:tcPr>
            <w:tcW w:w="0" w:type="auto"/>
            <w:hideMark/>
          </w:tcPr>
          <w:p w:rsidRPr="007938ED" w:rsidR="00D31E46" w:rsidRDefault="00D31E46" w14:paraId="567B685E" w14:textId="77777777">
            <w:pPr>
              <w:rPr>
                <w:rFonts w:asciiTheme="majorHAnsi" w:hAnsiTheme="majorHAnsi"/>
                <w:sz w:val="18"/>
                <w:szCs w:val="12"/>
              </w:rPr>
            </w:pPr>
            <w:r w:rsidRPr="007938ED">
              <w:rPr>
                <w:rFonts w:asciiTheme="majorHAnsi" w:hAnsiTheme="majorHAnsi"/>
                <w:sz w:val="18"/>
                <w:szCs w:val="12"/>
              </w:rPr>
              <w:t>Average savings per participant Savings per project (property)</w:t>
            </w:r>
          </w:p>
        </w:tc>
        <w:tc>
          <w:tcPr>
            <w:tcW w:w="0" w:type="auto"/>
            <w:hideMark/>
          </w:tcPr>
          <w:p w:rsidRPr="007938ED" w:rsidR="00D31E46" w:rsidRDefault="00D31E46" w14:paraId="575FD13D" w14:textId="77777777">
            <w:pPr>
              <w:rPr>
                <w:rFonts w:asciiTheme="majorHAnsi" w:hAnsiTheme="majorHAnsi"/>
                <w:sz w:val="18"/>
                <w:szCs w:val="12"/>
              </w:rPr>
            </w:pPr>
            <w:r w:rsidRPr="007938ED">
              <w:rPr>
                <w:rFonts w:asciiTheme="majorHAnsi" w:hAnsiTheme="majorHAnsi"/>
                <w:sz w:val="18"/>
                <w:szCs w:val="12"/>
              </w:rPr>
              <w:t>Lifecycle ex-ante kWh net per project (property)</w:t>
            </w:r>
          </w:p>
        </w:tc>
        <w:tc>
          <w:tcPr>
            <w:tcW w:w="0" w:type="auto"/>
            <w:hideMark/>
          </w:tcPr>
          <w:p w:rsidRPr="007938ED" w:rsidR="00D31E46" w:rsidRDefault="00D31E46" w14:paraId="11EAEB0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C4630AB"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2BC60FE0"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685BD2A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5AE0992" w14:textId="77777777">
            <w:pPr>
              <w:rPr>
                <w:rFonts w:asciiTheme="majorHAnsi" w:hAnsiTheme="majorHAnsi"/>
                <w:sz w:val="18"/>
                <w:szCs w:val="12"/>
              </w:rPr>
            </w:pPr>
            <w:r w:rsidRPr="007938ED">
              <w:rPr>
                <w:rFonts w:asciiTheme="majorHAnsi" w:hAnsiTheme="majorHAnsi"/>
                <w:sz w:val="18"/>
                <w:szCs w:val="12"/>
              </w:rPr>
              <w:t>Lifecycle NET kWh</w:t>
            </w:r>
          </w:p>
        </w:tc>
      </w:tr>
      <w:tr w:rsidRPr="007938ED" w:rsidR="00CE6F7B" w:rsidTr="007938ED" w14:paraId="37512B71" w14:textId="77777777">
        <w:trPr>
          <w:trHeight w:val="1200"/>
        </w:trPr>
        <w:tc>
          <w:tcPr>
            <w:tcW w:w="0" w:type="auto"/>
            <w:noWrap/>
            <w:hideMark/>
          </w:tcPr>
          <w:p w:rsidRPr="007938ED" w:rsidR="00D31E46" w:rsidP="00D31E46" w:rsidRDefault="00D31E46" w14:paraId="65004B72" w14:textId="77777777">
            <w:pPr>
              <w:rPr>
                <w:rFonts w:asciiTheme="majorHAnsi" w:hAnsiTheme="majorHAnsi"/>
                <w:sz w:val="18"/>
                <w:szCs w:val="12"/>
              </w:rPr>
            </w:pPr>
            <w:r w:rsidRPr="007938ED">
              <w:rPr>
                <w:rFonts w:asciiTheme="majorHAnsi" w:hAnsiTheme="majorHAnsi"/>
                <w:sz w:val="18"/>
                <w:szCs w:val="12"/>
              </w:rPr>
              <w:t>120</w:t>
            </w:r>
          </w:p>
        </w:tc>
        <w:tc>
          <w:tcPr>
            <w:tcW w:w="0" w:type="auto"/>
            <w:hideMark/>
          </w:tcPr>
          <w:p w:rsidRPr="007938ED" w:rsidR="00D31E46" w:rsidRDefault="00D31E46" w14:paraId="575B4BC6" w14:textId="77777777">
            <w:pPr>
              <w:rPr>
                <w:rFonts w:asciiTheme="majorHAnsi" w:hAnsiTheme="majorHAnsi"/>
                <w:sz w:val="18"/>
                <w:szCs w:val="12"/>
              </w:rPr>
            </w:pPr>
            <w:r w:rsidRPr="007938ED">
              <w:rPr>
                <w:rFonts w:asciiTheme="majorHAnsi" w:hAnsiTheme="majorHAnsi"/>
                <w:sz w:val="18"/>
                <w:szCs w:val="12"/>
              </w:rPr>
              <w:t>Average savings per participant Savings per project (property)</w:t>
            </w:r>
          </w:p>
        </w:tc>
        <w:tc>
          <w:tcPr>
            <w:tcW w:w="0" w:type="auto"/>
            <w:hideMark/>
          </w:tcPr>
          <w:p w:rsidRPr="007938ED" w:rsidR="00D31E46" w:rsidRDefault="00D31E46" w14:paraId="6476D254" w14:textId="77777777">
            <w:pPr>
              <w:rPr>
                <w:rFonts w:asciiTheme="majorHAnsi" w:hAnsiTheme="majorHAnsi"/>
                <w:sz w:val="18"/>
                <w:szCs w:val="12"/>
              </w:rPr>
            </w:pPr>
            <w:r w:rsidRPr="007938ED">
              <w:rPr>
                <w:rFonts w:asciiTheme="majorHAnsi" w:hAnsiTheme="majorHAnsi"/>
                <w:sz w:val="18"/>
                <w:szCs w:val="12"/>
              </w:rPr>
              <w:t>Lifecycle ex-ante Therm net per project (property)</w:t>
            </w:r>
          </w:p>
        </w:tc>
        <w:tc>
          <w:tcPr>
            <w:tcW w:w="0" w:type="auto"/>
            <w:hideMark/>
          </w:tcPr>
          <w:p w:rsidRPr="007938ED" w:rsidR="00D31E46" w:rsidRDefault="00D31E46" w14:paraId="3D6FD3D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61E5AC3"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558CB026"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14E7C5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B041974" w14:textId="77777777">
            <w:pPr>
              <w:rPr>
                <w:rFonts w:asciiTheme="majorHAnsi" w:hAnsiTheme="majorHAnsi"/>
                <w:sz w:val="18"/>
                <w:szCs w:val="12"/>
              </w:rPr>
            </w:pPr>
            <w:r w:rsidRPr="007938ED">
              <w:rPr>
                <w:rFonts w:asciiTheme="majorHAnsi" w:hAnsiTheme="majorHAnsi"/>
                <w:sz w:val="18"/>
                <w:szCs w:val="12"/>
              </w:rPr>
              <w:t>Lifecycle NET Therms</w:t>
            </w:r>
          </w:p>
        </w:tc>
      </w:tr>
      <w:tr w:rsidRPr="007938ED" w:rsidR="00CE6F7B" w:rsidTr="007938ED" w14:paraId="68E89F3B" w14:textId="77777777">
        <w:trPr>
          <w:trHeight w:val="1200"/>
        </w:trPr>
        <w:tc>
          <w:tcPr>
            <w:tcW w:w="0" w:type="auto"/>
            <w:noWrap/>
            <w:hideMark/>
          </w:tcPr>
          <w:p w:rsidRPr="007938ED" w:rsidR="00D31E46" w:rsidP="00D31E46" w:rsidRDefault="00D31E46" w14:paraId="3FFC5FA6" w14:textId="77777777">
            <w:pPr>
              <w:rPr>
                <w:rFonts w:asciiTheme="majorHAnsi" w:hAnsiTheme="majorHAnsi"/>
                <w:sz w:val="18"/>
                <w:szCs w:val="12"/>
              </w:rPr>
            </w:pPr>
            <w:r w:rsidRPr="007938ED">
              <w:rPr>
                <w:rFonts w:asciiTheme="majorHAnsi" w:hAnsiTheme="majorHAnsi"/>
                <w:sz w:val="18"/>
                <w:szCs w:val="12"/>
              </w:rPr>
              <w:t>121</w:t>
            </w:r>
          </w:p>
        </w:tc>
        <w:tc>
          <w:tcPr>
            <w:tcW w:w="0" w:type="auto"/>
            <w:hideMark/>
          </w:tcPr>
          <w:p w:rsidRPr="007938ED" w:rsidR="00D31E46" w:rsidRDefault="00D31E46" w14:paraId="4FEE35BA" w14:textId="77777777">
            <w:pPr>
              <w:rPr>
                <w:rFonts w:asciiTheme="majorHAnsi" w:hAnsiTheme="majorHAnsi"/>
                <w:sz w:val="18"/>
                <w:szCs w:val="12"/>
              </w:rPr>
            </w:pPr>
            <w:r w:rsidRPr="007938ED">
              <w:rPr>
                <w:rFonts w:asciiTheme="majorHAnsi" w:hAnsiTheme="majorHAnsi"/>
                <w:sz w:val="18"/>
                <w:szCs w:val="12"/>
              </w:rPr>
              <w:t>Energy savings (kWh, kw, therms) per square foot</w:t>
            </w:r>
          </w:p>
        </w:tc>
        <w:tc>
          <w:tcPr>
            <w:tcW w:w="0" w:type="auto"/>
            <w:hideMark/>
          </w:tcPr>
          <w:p w:rsidRPr="007938ED" w:rsidR="00D31E46" w:rsidRDefault="00D31E46" w14:paraId="008FF2EC" w14:textId="77777777">
            <w:pPr>
              <w:rPr>
                <w:rFonts w:asciiTheme="majorHAnsi" w:hAnsiTheme="majorHAnsi"/>
                <w:sz w:val="18"/>
                <w:szCs w:val="12"/>
              </w:rPr>
            </w:pPr>
            <w:r w:rsidRPr="007938ED">
              <w:rPr>
                <w:rFonts w:asciiTheme="majorHAnsi" w:hAnsiTheme="majorHAnsi"/>
                <w:sz w:val="18"/>
                <w:szCs w:val="12"/>
              </w:rPr>
              <w:t>Lifecycle ex-ante kW net per square foot</w:t>
            </w:r>
          </w:p>
        </w:tc>
        <w:tc>
          <w:tcPr>
            <w:tcW w:w="0" w:type="auto"/>
            <w:hideMark/>
          </w:tcPr>
          <w:p w:rsidRPr="007938ED" w:rsidR="00D31E46" w:rsidRDefault="00D31E46" w14:paraId="2D66ECC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0955140"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5B5ADEE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82518A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22ECFD9" w14:textId="77777777">
            <w:pPr>
              <w:rPr>
                <w:rFonts w:asciiTheme="majorHAnsi" w:hAnsiTheme="majorHAnsi"/>
                <w:sz w:val="18"/>
                <w:szCs w:val="12"/>
              </w:rPr>
            </w:pPr>
            <w:r w:rsidRPr="007938ED">
              <w:rPr>
                <w:rFonts w:asciiTheme="majorHAnsi" w:hAnsiTheme="majorHAnsi"/>
                <w:sz w:val="18"/>
                <w:szCs w:val="12"/>
              </w:rPr>
              <w:t>Lifecycle NET kW</w:t>
            </w:r>
          </w:p>
        </w:tc>
      </w:tr>
      <w:tr w:rsidRPr="007938ED" w:rsidR="00CE6F7B" w:rsidTr="007938ED" w14:paraId="705D6A9D" w14:textId="77777777">
        <w:trPr>
          <w:trHeight w:val="1200"/>
        </w:trPr>
        <w:tc>
          <w:tcPr>
            <w:tcW w:w="0" w:type="auto"/>
            <w:noWrap/>
            <w:hideMark/>
          </w:tcPr>
          <w:p w:rsidRPr="007938ED" w:rsidR="00D31E46" w:rsidP="00D31E46" w:rsidRDefault="00D31E46" w14:paraId="3F318DC0" w14:textId="77777777">
            <w:pPr>
              <w:rPr>
                <w:rFonts w:asciiTheme="majorHAnsi" w:hAnsiTheme="majorHAnsi"/>
                <w:sz w:val="18"/>
                <w:szCs w:val="12"/>
              </w:rPr>
            </w:pPr>
            <w:r w:rsidRPr="007938ED">
              <w:rPr>
                <w:rFonts w:asciiTheme="majorHAnsi" w:hAnsiTheme="majorHAnsi"/>
                <w:sz w:val="18"/>
                <w:szCs w:val="12"/>
              </w:rPr>
              <w:lastRenderedPageBreak/>
              <w:t>122</w:t>
            </w:r>
          </w:p>
        </w:tc>
        <w:tc>
          <w:tcPr>
            <w:tcW w:w="0" w:type="auto"/>
            <w:hideMark/>
          </w:tcPr>
          <w:p w:rsidRPr="007938ED" w:rsidR="00D31E46" w:rsidRDefault="00D31E46" w14:paraId="6B17C721" w14:textId="77777777">
            <w:pPr>
              <w:rPr>
                <w:rFonts w:asciiTheme="majorHAnsi" w:hAnsiTheme="majorHAnsi"/>
                <w:sz w:val="18"/>
                <w:szCs w:val="12"/>
              </w:rPr>
            </w:pPr>
            <w:r w:rsidRPr="007938ED">
              <w:rPr>
                <w:rFonts w:asciiTheme="majorHAnsi" w:hAnsiTheme="majorHAnsi"/>
                <w:sz w:val="18"/>
                <w:szCs w:val="12"/>
              </w:rPr>
              <w:t>Energy savings (kWh, kw, therms) per square foot</w:t>
            </w:r>
          </w:p>
        </w:tc>
        <w:tc>
          <w:tcPr>
            <w:tcW w:w="0" w:type="auto"/>
            <w:hideMark/>
          </w:tcPr>
          <w:p w:rsidRPr="007938ED" w:rsidR="00D31E46" w:rsidRDefault="00D31E46" w14:paraId="0A3F28AA" w14:textId="77777777">
            <w:pPr>
              <w:rPr>
                <w:rFonts w:asciiTheme="majorHAnsi" w:hAnsiTheme="majorHAnsi"/>
                <w:sz w:val="18"/>
                <w:szCs w:val="12"/>
              </w:rPr>
            </w:pPr>
            <w:r w:rsidRPr="007938ED">
              <w:rPr>
                <w:rFonts w:asciiTheme="majorHAnsi" w:hAnsiTheme="majorHAnsi"/>
                <w:sz w:val="18"/>
                <w:szCs w:val="12"/>
              </w:rPr>
              <w:t>Lifecycle ex-ante kWh net per square foot</w:t>
            </w:r>
          </w:p>
        </w:tc>
        <w:tc>
          <w:tcPr>
            <w:tcW w:w="0" w:type="auto"/>
            <w:hideMark/>
          </w:tcPr>
          <w:p w:rsidRPr="007938ED" w:rsidR="00D31E46" w:rsidRDefault="00D31E46" w14:paraId="3407B5F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6DD4F2D"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133347E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159C7C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C52D25F" w14:textId="77777777">
            <w:pPr>
              <w:rPr>
                <w:rFonts w:asciiTheme="majorHAnsi" w:hAnsiTheme="majorHAnsi"/>
                <w:sz w:val="18"/>
                <w:szCs w:val="12"/>
              </w:rPr>
            </w:pPr>
            <w:r w:rsidRPr="007938ED">
              <w:rPr>
                <w:rFonts w:asciiTheme="majorHAnsi" w:hAnsiTheme="majorHAnsi"/>
                <w:sz w:val="18"/>
                <w:szCs w:val="12"/>
              </w:rPr>
              <w:t>Lifecycle NET kWh</w:t>
            </w:r>
          </w:p>
        </w:tc>
      </w:tr>
      <w:tr w:rsidRPr="007938ED" w:rsidR="00CE6F7B" w:rsidTr="007938ED" w14:paraId="69F9EAC0" w14:textId="77777777">
        <w:trPr>
          <w:trHeight w:val="1200"/>
        </w:trPr>
        <w:tc>
          <w:tcPr>
            <w:tcW w:w="0" w:type="auto"/>
            <w:noWrap/>
            <w:hideMark/>
          </w:tcPr>
          <w:p w:rsidRPr="007938ED" w:rsidR="00D31E46" w:rsidP="00D31E46" w:rsidRDefault="00D31E46" w14:paraId="4ACFFCA6" w14:textId="77777777">
            <w:pPr>
              <w:rPr>
                <w:rFonts w:asciiTheme="majorHAnsi" w:hAnsiTheme="majorHAnsi"/>
                <w:sz w:val="18"/>
                <w:szCs w:val="12"/>
              </w:rPr>
            </w:pPr>
            <w:r w:rsidRPr="007938ED">
              <w:rPr>
                <w:rFonts w:asciiTheme="majorHAnsi" w:hAnsiTheme="majorHAnsi"/>
                <w:sz w:val="18"/>
                <w:szCs w:val="12"/>
              </w:rPr>
              <w:t>123</w:t>
            </w:r>
          </w:p>
        </w:tc>
        <w:tc>
          <w:tcPr>
            <w:tcW w:w="0" w:type="auto"/>
            <w:hideMark/>
          </w:tcPr>
          <w:p w:rsidRPr="007938ED" w:rsidR="00D31E46" w:rsidRDefault="00D31E46" w14:paraId="281C50A3" w14:textId="77777777">
            <w:pPr>
              <w:rPr>
                <w:rFonts w:asciiTheme="majorHAnsi" w:hAnsiTheme="majorHAnsi"/>
                <w:sz w:val="18"/>
                <w:szCs w:val="12"/>
              </w:rPr>
            </w:pPr>
            <w:r w:rsidRPr="007938ED">
              <w:rPr>
                <w:rFonts w:asciiTheme="majorHAnsi" w:hAnsiTheme="majorHAnsi"/>
                <w:sz w:val="18"/>
                <w:szCs w:val="12"/>
              </w:rPr>
              <w:t>Energy savings (kWh, kw, therms) per square foot</w:t>
            </w:r>
          </w:p>
        </w:tc>
        <w:tc>
          <w:tcPr>
            <w:tcW w:w="0" w:type="auto"/>
            <w:hideMark/>
          </w:tcPr>
          <w:p w:rsidRPr="007938ED" w:rsidR="00D31E46" w:rsidRDefault="00D31E46" w14:paraId="614E3902" w14:textId="77777777">
            <w:pPr>
              <w:rPr>
                <w:rFonts w:asciiTheme="majorHAnsi" w:hAnsiTheme="majorHAnsi"/>
                <w:sz w:val="18"/>
                <w:szCs w:val="12"/>
              </w:rPr>
            </w:pPr>
            <w:r w:rsidRPr="007938ED">
              <w:rPr>
                <w:rFonts w:asciiTheme="majorHAnsi" w:hAnsiTheme="majorHAnsi"/>
                <w:sz w:val="18"/>
                <w:szCs w:val="12"/>
              </w:rPr>
              <w:t>Lifecycle ex-ante Therm net per square foot</w:t>
            </w:r>
          </w:p>
        </w:tc>
        <w:tc>
          <w:tcPr>
            <w:tcW w:w="0" w:type="auto"/>
            <w:hideMark/>
          </w:tcPr>
          <w:p w:rsidRPr="007938ED" w:rsidR="00D31E46" w:rsidRDefault="00D31E46" w14:paraId="10EDD99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FC25EB7"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2EB83D9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D1EA82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C26077C" w14:textId="77777777">
            <w:pPr>
              <w:rPr>
                <w:rFonts w:asciiTheme="majorHAnsi" w:hAnsiTheme="majorHAnsi"/>
                <w:sz w:val="18"/>
                <w:szCs w:val="12"/>
              </w:rPr>
            </w:pPr>
            <w:r w:rsidRPr="007938ED">
              <w:rPr>
                <w:rFonts w:asciiTheme="majorHAnsi" w:hAnsiTheme="majorHAnsi"/>
                <w:sz w:val="18"/>
                <w:szCs w:val="12"/>
              </w:rPr>
              <w:t>Lifecycle NET Therms</w:t>
            </w:r>
          </w:p>
        </w:tc>
      </w:tr>
      <w:tr w:rsidRPr="007938ED" w:rsidR="00CE6F7B" w:rsidTr="007938ED" w14:paraId="5782EEB3" w14:textId="77777777">
        <w:trPr>
          <w:trHeight w:val="1200"/>
        </w:trPr>
        <w:tc>
          <w:tcPr>
            <w:tcW w:w="0" w:type="auto"/>
            <w:noWrap/>
            <w:hideMark/>
          </w:tcPr>
          <w:p w:rsidRPr="007938ED" w:rsidR="00D31E46" w:rsidP="00D31E46" w:rsidRDefault="00D31E46" w14:paraId="33AFA543" w14:textId="77777777">
            <w:pPr>
              <w:rPr>
                <w:rFonts w:asciiTheme="majorHAnsi" w:hAnsiTheme="majorHAnsi"/>
                <w:sz w:val="18"/>
                <w:szCs w:val="12"/>
              </w:rPr>
            </w:pPr>
            <w:r w:rsidRPr="007938ED">
              <w:rPr>
                <w:rFonts w:asciiTheme="majorHAnsi" w:hAnsiTheme="majorHAnsi"/>
                <w:sz w:val="18"/>
                <w:szCs w:val="12"/>
              </w:rPr>
              <w:t>124</w:t>
            </w:r>
          </w:p>
        </w:tc>
        <w:tc>
          <w:tcPr>
            <w:tcW w:w="0" w:type="auto"/>
            <w:hideMark/>
          </w:tcPr>
          <w:p w:rsidRPr="007938ED" w:rsidR="00D31E46" w:rsidRDefault="00D31E46" w14:paraId="7463C930"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(by unit, and property)</w:t>
            </w:r>
          </w:p>
        </w:tc>
        <w:tc>
          <w:tcPr>
            <w:tcW w:w="0" w:type="auto"/>
            <w:hideMark/>
          </w:tcPr>
          <w:p w:rsidRPr="007938ED" w:rsidR="00D31E46" w:rsidRDefault="00D31E46" w14:paraId="332A2C13"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by property</w:t>
            </w:r>
          </w:p>
        </w:tc>
        <w:tc>
          <w:tcPr>
            <w:tcW w:w="0" w:type="auto"/>
            <w:hideMark/>
          </w:tcPr>
          <w:p w:rsidRPr="007938ED" w:rsidR="00D31E46" w:rsidRDefault="00D31E46" w14:paraId="73E9B5A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7E9F4CC"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15611426"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84EA7B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C84A38C"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4B83719" w14:textId="77777777">
        <w:trPr>
          <w:trHeight w:val="1200"/>
        </w:trPr>
        <w:tc>
          <w:tcPr>
            <w:tcW w:w="0" w:type="auto"/>
            <w:noWrap/>
            <w:hideMark/>
          </w:tcPr>
          <w:p w:rsidRPr="007938ED" w:rsidR="00D31E46" w:rsidP="00D31E46" w:rsidRDefault="00D31E46" w14:paraId="550C35BF" w14:textId="77777777">
            <w:pPr>
              <w:rPr>
                <w:rFonts w:asciiTheme="majorHAnsi" w:hAnsiTheme="majorHAnsi"/>
                <w:sz w:val="18"/>
                <w:szCs w:val="12"/>
              </w:rPr>
            </w:pPr>
            <w:r w:rsidRPr="007938ED">
              <w:rPr>
                <w:rFonts w:asciiTheme="majorHAnsi" w:hAnsiTheme="majorHAnsi"/>
                <w:sz w:val="18"/>
                <w:szCs w:val="12"/>
              </w:rPr>
              <w:t>125</w:t>
            </w:r>
          </w:p>
        </w:tc>
        <w:tc>
          <w:tcPr>
            <w:tcW w:w="0" w:type="auto"/>
            <w:hideMark/>
          </w:tcPr>
          <w:p w:rsidRPr="007938ED" w:rsidR="00D31E46" w:rsidRDefault="00D31E46" w14:paraId="5076CFBB"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(by unit, and property)</w:t>
            </w:r>
          </w:p>
        </w:tc>
        <w:tc>
          <w:tcPr>
            <w:tcW w:w="0" w:type="auto"/>
            <w:hideMark/>
          </w:tcPr>
          <w:p w:rsidRPr="007938ED" w:rsidR="00D31E46" w:rsidRDefault="00D31E46" w14:paraId="790C0F9F"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by unit</w:t>
            </w:r>
          </w:p>
        </w:tc>
        <w:tc>
          <w:tcPr>
            <w:tcW w:w="0" w:type="auto"/>
            <w:hideMark/>
          </w:tcPr>
          <w:p w:rsidRPr="007938ED" w:rsidR="00D31E46" w:rsidRDefault="00D31E46" w14:paraId="5EC04D0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25818EE"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58C120F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419F6DA"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731FC43C"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3E7DF4CD" w14:textId="77777777">
        <w:trPr>
          <w:trHeight w:val="1200"/>
        </w:trPr>
        <w:tc>
          <w:tcPr>
            <w:tcW w:w="0" w:type="auto"/>
            <w:noWrap/>
            <w:hideMark/>
          </w:tcPr>
          <w:p w:rsidRPr="007938ED" w:rsidR="00D31E46" w:rsidP="00D31E46" w:rsidRDefault="00D31E46" w14:paraId="4A2672F4" w14:textId="77777777">
            <w:pPr>
              <w:rPr>
                <w:rFonts w:asciiTheme="majorHAnsi" w:hAnsiTheme="majorHAnsi"/>
                <w:sz w:val="18"/>
                <w:szCs w:val="12"/>
              </w:rPr>
            </w:pPr>
            <w:r w:rsidRPr="007938ED">
              <w:rPr>
                <w:rFonts w:asciiTheme="majorHAnsi" w:hAnsiTheme="majorHAnsi"/>
                <w:sz w:val="18"/>
                <w:szCs w:val="12"/>
              </w:rPr>
              <w:t>126</w:t>
            </w:r>
          </w:p>
        </w:tc>
        <w:tc>
          <w:tcPr>
            <w:tcW w:w="0" w:type="auto"/>
            <w:hideMark/>
          </w:tcPr>
          <w:p w:rsidRPr="007938ED" w:rsidR="00D31E46" w:rsidRDefault="00D31E46" w14:paraId="4014CF4F" w14:textId="77777777">
            <w:pPr>
              <w:rPr>
                <w:rFonts w:asciiTheme="majorHAnsi" w:hAnsiTheme="majorHAnsi"/>
                <w:sz w:val="18"/>
                <w:szCs w:val="12"/>
              </w:rPr>
            </w:pPr>
            <w:r w:rsidRPr="007938ED">
              <w:rPr>
                <w:rFonts w:asciiTheme="majorHAnsi" w:hAnsiTheme="majorHAnsi"/>
                <w:sz w:val="18"/>
                <w:szCs w:val="12"/>
              </w:rPr>
              <w:t>Percent of square feet of eligible population participating (by property)</w:t>
            </w:r>
          </w:p>
        </w:tc>
        <w:tc>
          <w:tcPr>
            <w:tcW w:w="0" w:type="auto"/>
            <w:hideMark/>
          </w:tcPr>
          <w:p w:rsidRPr="007938ED" w:rsidR="00D31E46" w:rsidRDefault="00D31E46" w14:paraId="7961ED47" w14:textId="77777777">
            <w:pPr>
              <w:rPr>
                <w:rFonts w:asciiTheme="majorHAnsi" w:hAnsiTheme="majorHAnsi"/>
                <w:sz w:val="18"/>
                <w:szCs w:val="12"/>
              </w:rPr>
            </w:pPr>
            <w:r w:rsidRPr="007938ED">
              <w:rPr>
                <w:rFonts w:asciiTheme="majorHAnsi" w:hAnsiTheme="majorHAnsi"/>
                <w:sz w:val="18"/>
                <w:szCs w:val="12"/>
              </w:rPr>
              <w:t xml:space="preserve"> Percent of square feet of eligible population participating (by property)</w:t>
            </w:r>
          </w:p>
        </w:tc>
        <w:tc>
          <w:tcPr>
            <w:tcW w:w="0" w:type="auto"/>
            <w:hideMark/>
          </w:tcPr>
          <w:p w:rsidRPr="007938ED" w:rsidR="00D31E46" w:rsidRDefault="00D31E46" w14:paraId="3CD8A5F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E64DC03"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5E5937A7"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FB8F65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5CEED9A"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7D44ABE9" w14:textId="77777777">
        <w:trPr>
          <w:trHeight w:val="1200"/>
        </w:trPr>
        <w:tc>
          <w:tcPr>
            <w:tcW w:w="0" w:type="auto"/>
            <w:noWrap/>
            <w:hideMark/>
          </w:tcPr>
          <w:p w:rsidRPr="007938ED" w:rsidR="00D31E46" w:rsidP="00D31E46" w:rsidRDefault="00D31E46" w14:paraId="01253DBC" w14:textId="77777777">
            <w:pPr>
              <w:rPr>
                <w:rFonts w:asciiTheme="majorHAnsi" w:hAnsiTheme="majorHAnsi"/>
                <w:sz w:val="18"/>
                <w:szCs w:val="12"/>
              </w:rPr>
            </w:pPr>
            <w:r w:rsidRPr="007938ED">
              <w:rPr>
                <w:rFonts w:asciiTheme="majorHAnsi" w:hAnsiTheme="majorHAnsi"/>
                <w:sz w:val="18"/>
                <w:szCs w:val="12"/>
              </w:rPr>
              <w:t>127</w:t>
            </w:r>
          </w:p>
        </w:tc>
        <w:tc>
          <w:tcPr>
            <w:tcW w:w="0" w:type="auto"/>
            <w:hideMark/>
          </w:tcPr>
          <w:p w:rsidRPr="007938ED" w:rsidR="00D31E46" w:rsidRDefault="00D31E46" w14:paraId="0CBDFFEF" w14:textId="77777777">
            <w:pPr>
              <w:rPr>
                <w:rFonts w:asciiTheme="majorHAnsi" w:hAnsiTheme="majorHAnsi"/>
                <w:sz w:val="18"/>
                <w:szCs w:val="12"/>
              </w:rPr>
            </w:pPr>
            <w:r w:rsidRPr="007938ED">
              <w:rPr>
                <w:rFonts w:asciiTheme="majorHAnsi" w:hAnsiTheme="majorHAnsi"/>
                <w:sz w:val="18"/>
                <w:szCs w:val="12"/>
              </w:rPr>
              <w:t>Percent of participation in disadvantaged communities</w:t>
            </w:r>
          </w:p>
        </w:tc>
        <w:tc>
          <w:tcPr>
            <w:tcW w:w="0" w:type="auto"/>
            <w:hideMark/>
          </w:tcPr>
          <w:p w:rsidRPr="007938ED" w:rsidR="00D31E46" w:rsidRDefault="00D31E46" w14:paraId="701034DC" w14:textId="77777777">
            <w:pPr>
              <w:rPr>
                <w:rFonts w:asciiTheme="majorHAnsi" w:hAnsiTheme="majorHAnsi"/>
                <w:sz w:val="18"/>
                <w:szCs w:val="12"/>
              </w:rPr>
            </w:pPr>
            <w:r w:rsidRPr="007938ED">
              <w:rPr>
                <w:rFonts w:asciiTheme="majorHAnsi" w:hAnsiTheme="majorHAnsi"/>
                <w:sz w:val="18"/>
                <w:szCs w:val="12"/>
              </w:rPr>
              <w:t>Percent of participation in disadvantaged communities</w:t>
            </w:r>
          </w:p>
        </w:tc>
        <w:tc>
          <w:tcPr>
            <w:tcW w:w="0" w:type="auto"/>
            <w:hideMark/>
          </w:tcPr>
          <w:p w:rsidRPr="007938ED" w:rsidR="00D31E46" w:rsidRDefault="00D31E46" w14:paraId="38C8DAB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C7C5BCE"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19DAAAD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4D85B4F"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B33CCCD"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7B861EE1" w14:textId="77777777">
        <w:trPr>
          <w:trHeight w:val="1200"/>
        </w:trPr>
        <w:tc>
          <w:tcPr>
            <w:tcW w:w="0" w:type="auto"/>
            <w:noWrap/>
            <w:hideMark/>
          </w:tcPr>
          <w:p w:rsidRPr="007938ED" w:rsidR="00D31E46" w:rsidP="00D31E46" w:rsidRDefault="00D31E46" w14:paraId="4E8408DF" w14:textId="77777777">
            <w:pPr>
              <w:rPr>
                <w:rFonts w:asciiTheme="majorHAnsi" w:hAnsiTheme="majorHAnsi"/>
                <w:sz w:val="18"/>
                <w:szCs w:val="12"/>
              </w:rPr>
            </w:pPr>
            <w:r w:rsidRPr="007938ED">
              <w:rPr>
                <w:rFonts w:asciiTheme="majorHAnsi" w:hAnsiTheme="majorHAnsi"/>
                <w:sz w:val="18"/>
                <w:szCs w:val="12"/>
              </w:rPr>
              <w:lastRenderedPageBreak/>
              <w:t>128</w:t>
            </w:r>
          </w:p>
        </w:tc>
        <w:tc>
          <w:tcPr>
            <w:tcW w:w="0" w:type="auto"/>
            <w:hideMark/>
          </w:tcPr>
          <w:p w:rsidRPr="007938ED" w:rsidR="00D31E46" w:rsidRDefault="00D31E46" w14:paraId="3A553D56" w14:textId="77777777">
            <w:pPr>
              <w:rPr>
                <w:rFonts w:asciiTheme="majorHAnsi" w:hAnsiTheme="majorHAnsi"/>
                <w:sz w:val="18"/>
                <w:szCs w:val="12"/>
              </w:rPr>
            </w:pPr>
            <w:r w:rsidRPr="007938ED">
              <w:rPr>
                <w:rFonts w:asciiTheme="majorHAnsi" w:hAnsiTheme="majorHAnsi"/>
                <w:sz w:val="18"/>
                <w:szCs w:val="12"/>
              </w:rPr>
              <w:t>Percent of participation by customers defined as “hard‐to‐reach”</w:t>
            </w:r>
          </w:p>
        </w:tc>
        <w:tc>
          <w:tcPr>
            <w:tcW w:w="0" w:type="auto"/>
            <w:hideMark/>
          </w:tcPr>
          <w:p w:rsidRPr="007938ED" w:rsidR="00D31E46" w:rsidRDefault="00D31E46" w14:paraId="731EDC6A" w14:textId="77777777">
            <w:pPr>
              <w:rPr>
                <w:rFonts w:asciiTheme="majorHAnsi" w:hAnsiTheme="majorHAnsi"/>
                <w:sz w:val="18"/>
                <w:szCs w:val="12"/>
              </w:rPr>
            </w:pPr>
            <w:r w:rsidRPr="007938ED">
              <w:rPr>
                <w:rFonts w:asciiTheme="majorHAnsi" w:hAnsiTheme="majorHAnsi"/>
                <w:sz w:val="18"/>
                <w:szCs w:val="12"/>
              </w:rPr>
              <w:t xml:space="preserve"> Percent of participation by customers defined as “hard‐to‐reach”</w:t>
            </w:r>
          </w:p>
        </w:tc>
        <w:tc>
          <w:tcPr>
            <w:tcW w:w="0" w:type="auto"/>
            <w:hideMark/>
          </w:tcPr>
          <w:p w:rsidRPr="007938ED" w:rsidR="00D31E46" w:rsidRDefault="00D31E46" w14:paraId="01FAB5F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A24588C"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2F6597BA"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77A9320"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46B180A"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42A75AC8" w14:textId="77777777">
        <w:trPr>
          <w:trHeight w:val="1200"/>
        </w:trPr>
        <w:tc>
          <w:tcPr>
            <w:tcW w:w="0" w:type="auto"/>
            <w:noWrap/>
            <w:hideMark/>
          </w:tcPr>
          <w:p w:rsidRPr="007938ED" w:rsidR="00D31E46" w:rsidP="00D31E46" w:rsidRDefault="00D31E46" w14:paraId="635BA97A" w14:textId="77777777">
            <w:pPr>
              <w:rPr>
                <w:rFonts w:asciiTheme="majorHAnsi" w:hAnsiTheme="majorHAnsi"/>
                <w:sz w:val="18"/>
                <w:szCs w:val="12"/>
              </w:rPr>
            </w:pPr>
            <w:r w:rsidRPr="007938ED">
              <w:rPr>
                <w:rFonts w:asciiTheme="majorHAnsi" w:hAnsiTheme="majorHAnsi"/>
                <w:sz w:val="18"/>
                <w:szCs w:val="12"/>
              </w:rPr>
              <w:t>129</w:t>
            </w:r>
          </w:p>
        </w:tc>
        <w:tc>
          <w:tcPr>
            <w:tcW w:w="0" w:type="auto"/>
            <w:hideMark/>
          </w:tcPr>
          <w:p w:rsidRPr="007938ED" w:rsidR="00D31E46" w:rsidRDefault="00D31E46" w14:paraId="4E81A461" w14:textId="77777777">
            <w:pPr>
              <w:rPr>
                <w:rFonts w:asciiTheme="majorHAnsi" w:hAnsiTheme="majorHAnsi"/>
                <w:sz w:val="18"/>
                <w:szCs w:val="12"/>
              </w:rPr>
            </w:pPr>
            <w:r w:rsidRPr="007938ED">
              <w:rPr>
                <w:rFonts w:asciiTheme="majorHAnsi" w:hAnsiTheme="majorHAnsi"/>
                <w:sz w:val="18"/>
                <w:szCs w:val="12"/>
              </w:rPr>
              <w:t>Percent of benchmarked multi‐family properties relative to the eligible population</w:t>
            </w:r>
          </w:p>
        </w:tc>
        <w:tc>
          <w:tcPr>
            <w:tcW w:w="0" w:type="auto"/>
            <w:hideMark/>
          </w:tcPr>
          <w:p w:rsidRPr="007938ED" w:rsidR="00D31E46" w:rsidRDefault="00D31E46" w14:paraId="5E8C0F21" w14:textId="77777777">
            <w:pPr>
              <w:rPr>
                <w:rFonts w:asciiTheme="majorHAnsi" w:hAnsiTheme="majorHAnsi"/>
                <w:sz w:val="18"/>
                <w:szCs w:val="12"/>
              </w:rPr>
            </w:pPr>
            <w:r w:rsidRPr="007938ED">
              <w:rPr>
                <w:rFonts w:asciiTheme="majorHAnsi" w:hAnsiTheme="majorHAnsi"/>
                <w:sz w:val="18"/>
                <w:szCs w:val="12"/>
              </w:rPr>
              <w:t>Percent of benchmarked multi‐family properties relative to the eligible population</w:t>
            </w:r>
          </w:p>
        </w:tc>
        <w:tc>
          <w:tcPr>
            <w:tcW w:w="0" w:type="auto"/>
            <w:hideMark/>
          </w:tcPr>
          <w:p w:rsidRPr="007938ED" w:rsidR="00D31E46" w:rsidRDefault="00D31E46" w14:paraId="3E2D426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95A167A" w14:textId="77777777">
            <w:pPr>
              <w:rPr>
                <w:rFonts w:asciiTheme="majorHAnsi" w:hAnsiTheme="majorHAnsi"/>
                <w:sz w:val="18"/>
                <w:szCs w:val="12"/>
              </w:rPr>
            </w:pPr>
            <w:r w:rsidRPr="007938ED">
              <w:rPr>
                <w:rFonts w:asciiTheme="majorHAnsi" w:hAnsiTheme="majorHAnsi"/>
                <w:sz w:val="18"/>
                <w:szCs w:val="12"/>
              </w:rPr>
              <w:t>Benchmarking</w:t>
            </w:r>
          </w:p>
        </w:tc>
        <w:tc>
          <w:tcPr>
            <w:tcW w:w="0" w:type="auto"/>
            <w:hideMark/>
          </w:tcPr>
          <w:p w:rsidRPr="007938ED" w:rsidR="00D31E46" w:rsidP="00D31E46" w:rsidRDefault="00D31E46" w14:paraId="401D4014"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D301F79"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7A34477C"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4CAD0D2" w14:textId="77777777">
        <w:trPr>
          <w:trHeight w:val="1200"/>
        </w:trPr>
        <w:tc>
          <w:tcPr>
            <w:tcW w:w="0" w:type="auto"/>
            <w:noWrap/>
            <w:hideMark/>
          </w:tcPr>
          <w:p w:rsidRPr="007938ED" w:rsidR="00D31E46" w:rsidP="00D31E46" w:rsidRDefault="00D31E46" w14:paraId="29527284" w14:textId="77777777">
            <w:pPr>
              <w:rPr>
                <w:rFonts w:asciiTheme="majorHAnsi" w:hAnsiTheme="majorHAnsi"/>
                <w:sz w:val="18"/>
                <w:szCs w:val="12"/>
              </w:rPr>
            </w:pPr>
            <w:r w:rsidRPr="007938ED">
              <w:rPr>
                <w:rFonts w:asciiTheme="majorHAnsi" w:hAnsiTheme="majorHAnsi"/>
                <w:sz w:val="18"/>
                <w:szCs w:val="12"/>
              </w:rPr>
              <w:t>130</w:t>
            </w:r>
          </w:p>
        </w:tc>
        <w:tc>
          <w:tcPr>
            <w:tcW w:w="0" w:type="auto"/>
            <w:hideMark/>
          </w:tcPr>
          <w:p w:rsidRPr="007938ED" w:rsidR="00D31E46" w:rsidRDefault="00D31E46" w14:paraId="5AFFECD8" w14:textId="77777777">
            <w:pPr>
              <w:rPr>
                <w:rFonts w:asciiTheme="majorHAnsi" w:hAnsiTheme="majorHAnsi"/>
                <w:sz w:val="18"/>
                <w:szCs w:val="12"/>
              </w:rPr>
            </w:pPr>
            <w:r w:rsidRPr="007938ED">
              <w:rPr>
                <w:rFonts w:asciiTheme="majorHAnsi" w:hAnsiTheme="majorHAnsi"/>
                <w:sz w:val="18"/>
                <w:szCs w:val="12"/>
              </w:rPr>
              <w:t>Percent of benchmarking by properties defined as “hard‐to‐reach”</w:t>
            </w:r>
          </w:p>
        </w:tc>
        <w:tc>
          <w:tcPr>
            <w:tcW w:w="0" w:type="auto"/>
            <w:hideMark/>
          </w:tcPr>
          <w:p w:rsidRPr="007938ED" w:rsidR="00D31E46" w:rsidRDefault="00D31E46" w14:paraId="272E11D5" w14:textId="77777777">
            <w:pPr>
              <w:rPr>
                <w:rFonts w:asciiTheme="majorHAnsi" w:hAnsiTheme="majorHAnsi"/>
                <w:sz w:val="18"/>
                <w:szCs w:val="12"/>
              </w:rPr>
            </w:pPr>
            <w:r w:rsidRPr="007938ED">
              <w:rPr>
                <w:rFonts w:asciiTheme="majorHAnsi" w:hAnsiTheme="majorHAnsi"/>
                <w:sz w:val="18"/>
                <w:szCs w:val="12"/>
              </w:rPr>
              <w:t>Percent of benchmarking by properties defined as “hard‐to‐reach”</w:t>
            </w:r>
          </w:p>
        </w:tc>
        <w:tc>
          <w:tcPr>
            <w:tcW w:w="0" w:type="auto"/>
            <w:hideMark/>
          </w:tcPr>
          <w:p w:rsidRPr="007938ED" w:rsidR="00D31E46" w:rsidRDefault="00D31E46" w14:paraId="2D6ED96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097AAD3" w14:textId="77777777">
            <w:pPr>
              <w:rPr>
                <w:rFonts w:asciiTheme="majorHAnsi" w:hAnsiTheme="majorHAnsi"/>
                <w:sz w:val="18"/>
                <w:szCs w:val="12"/>
              </w:rPr>
            </w:pPr>
            <w:r w:rsidRPr="007938ED">
              <w:rPr>
                <w:rFonts w:asciiTheme="majorHAnsi" w:hAnsiTheme="majorHAnsi"/>
                <w:sz w:val="18"/>
                <w:szCs w:val="12"/>
              </w:rPr>
              <w:t>Benchmarking</w:t>
            </w:r>
          </w:p>
        </w:tc>
        <w:tc>
          <w:tcPr>
            <w:tcW w:w="0" w:type="auto"/>
            <w:hideMark/>
          </w:tcPr>
          <w:p w:rsidRPr="007938ED" w:rsidR="00D31E46" w:rsidP="00D31E46" w:rsidRDefault="00D31E46" w14:paraId="2581290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7100393"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6C661F47"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558BA5C" w14:textId="77777777">
        <w:trPr>
          <w:trHeight w:val="1200"/>
        </w:trPr>
        <w:tc>
          <w:tcPr>
            <w:tcW w:w="0" w:type="auto"/>
            <w:noWrap/>
            <w:hideMark/>
          </w:tcPr>
          <w:p w:rsidRPr="007938ED" w:rsidR="00D31E46" w:rsidP="00D31E46" w:rsidRDefault="00D31E46" w14:paraId="13B9BCAB" w14:textId="77777777">
            <w:pPr>
              <w:rPr>
                <w:rFonts w:asciiTheme="majorHAnsi" w:hAnsiTheme="majorHAnsi"/>
                <w:sz w:val="18"/>
                <w:szCs w:val="12"/>
              </w:rPr>
            </w:pPr>
            <w:r w:rsidRPr="007938ED">
              <w:rPr>
                <w:rFonts w:asciiTheme="majorHAnsi" w:hAnsiTheme="majorHAnsi"/>
                <w:sz w:val="18"/>
                <w:szCs w:val="12"/>
              </w:rPr>
              <w:t>131</w:t>
            </w:r>
          </w:p>
        </w:tc>
        <w:tc>
          <w:tcPr>
            <w:tcW w:w="0" w:type="auto"/>
            <w:hideMark/>
          </w:tcPr>
          <w:p w:rsidRPr="007938ED" w:rsidR="00D31E46" w:rsidRDefault="00D31E46" w14:paraId="57879E52"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08D1A475" w14:textId="77777777">
            <w:pPr>
              <w:rPr>
                <w:rFonts w:asciiTheme="majorHAnsi" w:hAnsiTheme="majorHAnsi"/>
                <w:sz w:val="18"/>
                <w:szCs w:val="12"/>
              </w:rPr>
            </w:pPr>
            <w:r w:rsidRPr="007938ED">
              <w:rPr>
                <w:rFonts w:asciiTheme="majorHAnsi" w:hAnsiTheme="majorHAnsi"/>
                <w:sz w:val="18"/>
                <w:szCs w:val="12"/>
              </w:rPr>
              <w:t>PAC Levelized Cost ($/kW)</w:t>
            </w:r>
          </w:p>
        </w:tc>
        <w:tc>
          <w:tcPr>
            <w:tcW w:w="0" w:type="auto"/>
            <w:hideMark/>
          </w:tcPr>
          <w:p w:rsidRPr="007938ED" w:rsidR="00D31E46" w:rsidRDefault="00D31E46" w14:paraId="6D9EC8D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F8C8E23"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4E35DC6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355803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2237554" w14:textId="77777777">
            <w:pPr>
              <w:rPr>
                <w:rFonts w:asciiTheme="majorHAnsi" w:hAnsiTheme="majorHAnsi"/>
                <w:sz w:val="18"/>
                <w:szCs w:val="12"/>
              </w:rPr>
            </w:pPr>
            <w:r w:rsidRPr="007938ED">
              <w:rPr>
                <w:rFonts w:asciiTheme="majorHAnsi" w:hAnsiTheme="majorHAnsi"/>
                <w:sz w:val="18"/>
                <w:szCs w:val="12"/>
              </w:rPr>
              <w:t>PAC Levelized Cost ($/kW)</w:t>
            </w:r>
          </w:p>
        </w:tc>
      </w:tr>
      <w:tr w:rsidRPr="007938ED" w:rsidR="00CE6F7B" w:rsidTr="007938ED" w14:paraId="5C075332" w14:textId="77777777">
        <w:trPr>
          <w:trHeight w:val="1200"/>
        </w:trPr>
        <w:tc>
          <w:tcPr>
            <w:tcW w:w="0" w:type="auto"/>
            <w:noWrap/>
            <w:hideMark/>
          </w:tcPr>
          <w:p w:rsidRPr="007938ED" w:rsidR="00D31E46" w:rsidP="00D31E46" w:rsidRDefault="00D31E46" w14:paraId="57F220A8" w14:textId="77777777">
            <w:pPr>
              <w:rPr>
                <w:rFonts w:asciiTheme="majorHAnsi" w:hAnsiTheme="majorHAnsi"/>
                <w:sz w:val="18"/>
                <w:szCs w:val="12"/>
              </w:rPr>
            </w:pPr>
            <w:r w:rsidRPr="007938ED">
              <w:rPr>
                <w:rFonts w:asciiTheme="majorHAnsi" w:hAnsiTheme="majorHAnsi"/>
                <w:sz w:val="18"/>
                <w:szCs w:val="12"/>
              </w:rPr>
              <w:t>132</w:t>
            </w:r>
          </w:p>
        </w:tc>
        <w:tc>
          <w:tcPr>
            <w:tcW w:w="0" w:type="auto"/>
            <w:hideMark/>
          </w:tcPr>
          <w:p w:rsidRPr="007938ED" w:rsidR="00D31E46" w:rsidRDefault="00D31E46" w14:paraId="7EDBB793"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4E1E8DD8" w14:textId="77777777">
            <w:pPr>
              <w:rPr>
                <w:rFonts w:asciiTheme="majorHAnsi" w:hAnsiTheme="majorHAnsi"/>
                <w:sz w:val="18"/>
                <w:szCs w:val="12"/>
              </w:rPr>
            </w:pPr>
            <w:r w:rsidRPr="007938ED">
              <w:rPr>
                <w:rFonts w:asciiTheme="majorHAnsi" w:hAnsiTheme="majorHAnsi"/>
                <w:sz w:val="18"/>
                <w:szCs w:val="12"/>
              </w:rPr>
              <w:t>PAC Levelized Cost ($/kWh)</w:t>
            </w:r>
          </w:p>
        </w:tc>
        <w:tc>
          <w:tcPr>
            <w:tcW w:w="0" w:type="auto"/>
            <w:hideMark/>
          </w:tcPr>
          <w:p w:rsidRPr="007938ED" w:rsidR="00D31E46" w:rsidRDefault="00D31E46" w14:paraId="053472A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81F730B"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798D48E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C33CDC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A6ABDFD" w14:textId="77777777">
            <w:pPr>
              <w:rPr>
                <w:rFonts w:asciiTheme="majorHAnsi" w:hAnsiTheme="majorHAnsi"/>
                <w:sz w:val="18"/>
                <w:szCs w:val="12"/>
              </w:rPr>
            </w:pPr>
            <w:r w:rsidRPr="007938ED">
              <w:rPr>
                <w:rFonts w:asciiTheme="majorHAnsi" w:hAnsiTheme="majorHAnsi"/>
                <w:sz w:val="18"/>
                <w:szCs w:val="12"/>
              </w:rPr>
              <w:t>PAC Levelized Cost ($/kWh)</w:t>
            </w:r>
          </w:p>
        </w:tc>
      </w:tr>
      <w:tr w:rsidRPr="007938ED" w:rsidR="00CE6F7B" w:rsidTr="007938ED" w14:paraId="3EC91050" w14:textId="77777777">
        <w:trPr>
          <w:trHeight w:val="1200"/>
        </w:trPr>
        <w:tc>
          <w:tcPr>
            <w:tcW w:w="0" w:type="auto"/>
            <w:noWrap/>
            <w:hideMark/>
          </w:tcPr>
          <w:p w:rsidRPr="007938ED" w:rsidR="00D31E46" w:rsidP="00D31E46" w:rsidRDefault="00D31E46" w14:paraId="200F9F86" w14:textId="77777777">
            <w:pPr>
              <w:rPr>
                <w:rFonts w:asciiTheme="majorHAnsi" w:hAnsiTheme="majorHAnsi"/>
                <w:sz w:val="18"/>
                <w:szCs w:val="12"/>
              </w:rPr>
            </w:pPr>
            <w:r w:rsidRPr="007938ED">
              <w:rPr>
                <w:rFonts w:asciiTheme="majorHAnsi" w:hAnsiTheme="majorHAnsi"/>
                <w:sz w:val="18"/>
                <w:szCs w:val="12"/>
              </w:rPr>
              <w:t>133</w:t>
            </w:r>
          </w:p>
        </w:tc>
        <w:tc>
          <w:tcPr>
            <w:tcW w:w="0" w:type="auto"/>
            <w:hideMark/>
          </w:tcPr>
          <w:p w:rsidRPr="007938ED" w:rsidR="00D31E46" w:rsidRDefault="00D31E46" w14:paraId="1267A2E9"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2CE18635" w14:textId="77777777">
            <w:pPr>
              <w:rPr>
                <w:rFonts w:asciiTheme="majorHAnsi" w:hAnsiTheme="majorHAnsi"/>
                <w:sz w:val="18"/>
                <w:szCs w:val="12"/>
              </w:rPr>
            </w:pPr>
            <w:r w:rsidRPr="007938ED">
              <w:rPr>
                <w:rFonts w:asciiTheme="majorHAnsi" w:hAnsiTheme="majorHAnsi"/>
                <w:sz w:val="18"/>
                <w:szCs w:val="12"/>
              </w:rPr>
              <w:t>PAC Levelized Cost ($/therm)</w:t>
            </w:r>
          </w:p>
        </w:tc>
        <w:tc>
          <w:tcPr>
            <w:tcW w:w="0" w:type="auto"/>
            <w:hideMark/>
          </w:tcPr>
          <w:p w:rsidRPr="007938ED" w:rsidR="00D31E46" w:rsidRDefault="00D31E46" w14:paraId="62E6769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E6183A9"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3E04B25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53A026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D7A101E" w14:textId="77777777">
            <w:pPr>
              <w:rPr>
                <w:rFonts w:asciiTheme="majorHAnsi" w:hAnsiTheme="majorHAnsi"/>
                <w:sz w:val="18"/>
                <w:szCs w:val="12"/>
              </w:rPr>
            </w:pPr>
            <w:r w:rsidRPr="007938ED">
              <w:rPr>
                <w:rFonts w:asciiTheme="majorHAnsi" w:hAnsiTheme="majorHAnsi"/>
                <w:sz w:val="18"/>
                <w:szCs w:val="12"/>
              </w:rPr>
              <w:t>PAC Levelized Cost ($/therm)</w:t>
            </w:r>
          </w:p>
        </w:tc>
      </w:tr>
      <w:tr w:rsidRPr="007938ED" w:rsidR="00CE6F7B" w:rsidTr="007938ED" w14:paraId="0620E55A" w14:textId="77777777">
        <w:trPr>
          <w:trHeight w:val="1200"/>
        </w:trPr>
        <w:tc>
          <w:tcPr>
            <w:tcW w:w="0" w:type="auto"/>
            <w:noWrap/>
            <w:hideMark/>
          </w:tcPr>
          <w:p w:rsidRPr="007938ED" w:rsidR="00D31E46" w:rsidP="00D31E46" w:rsidRDefault="00D31E46" w14:paraId="4283967E" w14:textId="77777777">
            <w:pPr>
              <w:rPr>
                <w:rFonts w:asciiTheme="majorHAnsi" w:hAnsiTheme="majorHAnsi"/>
                <w:sz w:val="18"/>
                <w:szCs w:val="12"/>
              </w:rPr>
            </w:pPr>
            <w:r w:rsidRPr="007938ED">
              <w:rPr>
                <w:rFonts w:asciiTheme="majorHAnsi" w:hAnsiTheme="majorHAnsi"/>
                <w:sz w:val="18"/>
                <w:szCs w:val="12"/>
              </w:rPr>
              <w:lastRenderedPageBreak/>
              <w:t>134</w:t>
            </w:r>
          </w:p>
        </w:tc>
        <w:tc>
          <w:tcPr>
            <w:tcW w:w="0" w:type="auto"/>
            <w:hideMark/>
          </w:tcPr>
          <w:p w:rsidRPr="007938ED" w:rsidR="00D31E46" w:rsidRDefault="00D31E46" w14:paraId="4D3139E9"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74878D30" w14:textId="77777777">
            <w:pPr>
              <w:rPr>
                <w:rFonts w:asciiTheme="majorHAnsi" w:hAnsiTheme="majorHAnsi"/>
                <w:sz w:val="18"/>
                <w:szCs w:val="12"/>
              </w:rPr>
            </w:pPr>
            <w:r w:rsidRPr="007938ED">
              <w:rPr>
                <w:rFonts w:asciiTheme="majorHAnsi" w:hAnsiTheme="majorHAnsi"/>
                <w:sz w:val="18"/>
                <w:szCs w:val="12"/>
              </w:rPr>
              <w:t>TRC Levelized Cost ($/kW)</w:t>
            </w:r>
          </w:p>
        </w:tc>
        <w:tc>
          <w:tcPr>
            <w:tcW w:w="0" w:type="auto"/>
            <w:hideMark/>
          </w:tcPr>
          <w:p w:rsidRPr="007938ED" w:rsidR="00D31E46" w:rsidRDefault="00D31E46" w14:paraId="0F4059B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2BE448E"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4858C038"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FD30CD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EA18966" w14:textId="77777777">
            <w:pPr>
              <w:rPr>
                <w:rFonts w:asciiTheme="majorHAnsi" w:hAnsiTheme="majorHAnsi"/>
                <w:sz w:val="18"/>
                <w:szCs w:val="12"/>
              </w:rPr>
            </w:pPr>
            <w:r w:rsidRPr="007938ED">
              <w:rPr>
                <w:rFonts w:asciiTheme="majorHAnsi" w:hAnsiTheme="majorHAnsi"/>
                <w:sz w:val="18"/>
                <w:szCs w:val="12"/>
              </w:rPr>
              <w:t>TRC Levelized Cost ($/kW)</w:t>
            </w:r>
          </w:p>
        </w:tc>
      </w:tr>
      <w:tr w:rsidRPr="007938ED" w:rsidR="00CE6F7B" w:rsidTr="007938ED" w14:paraId="52455F54" w14:textId="77777777">
        <w:trPr>
          <w:trHeight w:val="1200"/>
        </w:trPr>
        <w:tc>
          <w:tcPr>
            <w:tcW w:w="0" w:type="auto"/>
            <w:noWrap/>
            <w:hideMark/>
          </w:tcPr>
          <w:p w:rsidRPr="007938ED" w:rsidR="00D31E46" w:rsidP="00D31E46" w:rsidRDefault="00D31E46" w14:paraId="370B5243" w14:textId="77777777">
            <w:pPr>
              <w:rPr>
                <w:rFonts w:asciiTheme="majorHAnsi" w:hAnsiTheme="majorHAnsi"/>
                <w:sz w:val="18"/>
                <w:szCs w:val="12"/>
              </w:rPr>
            </w:pPr>
            <w:r w:rsidRPr="007938ED">
              <w:rPr>
                <w:rFonts w:asciiTheme="majorHAnsi" w:hAnsiTheme="majorHAnsi"/>
                <w:sz w:val="18"/>
                <w:szCs w:val="12"/>
              </w:rPr>
              <w:t>135</w:t>
            </w:r>
          </w:p>
        </w:tc>
        <w:tc>
          <w:tcPr>
            <w:tcW w:w="0" w:type="auto"/>
            <w:hideMark/>
          </w:tcPr>
          <w:p w:rsidRPr="007938ED" w:rsidR="00D31E46" w:rsidRDefault="00D31E46" w14:paraId="485FA064"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1799042E" w14:textId="77777777">
            <w:pPr>
              <w:rPr>
                <w:rFonts w:asciiTheme="majorHAnsi" w:hAnsiTheme="majorHAnsi"/>
                <w:sz w:val="18"/>
                <w:szCs w:val="12"/>
              </w:rPr>
            </w:pPr>
            <w:r w:rsidRPr="007938ED">
              <w:rPr>
                <w:rFonts w:asciiTheme="majorHAnsi" w:hAnsiTheme="majorHAnsi"/>
                <w:sz w:val="18"/>
                <w:szCs w:val="12"/>
              </w:rPr>
              <w:t>TRC Levelized Cost ($/kWh)</w:t>
            </w:r>
          </w:p>
        </w:tc>
        <w:tc>
          <w:tcPr>
            <w:tcW w:w="0" w:type="auto"/>
            <w:hideMark/>
          </w:tcPr>
          <w:p w:rsidRPr="007938ED" w:rsidR="00D31E46" w:rsidRDefault="00D31E46" w14:paraId="6442291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92FED30"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1EAB385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99DE6C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9AC4E52" w14:textId="77777777">
            <w:pPr>
              <w:rPr>
                <w:rFonts w:asciiTheme="majorHAnsi" w:hAnsiTheme="majorHAnsi"/>
                <w:sz w:val="18"/>
                <w:szCs w:val="12"/>
              </w:rPr>
            </w:pPr>
            <w:r w:rsidRPr="007938ED">
              <w:rPr>
                <w:rFonts w:asciiTheme="majorHAnsi" w:hAnsiTheme="majorHAnsi"/>
                <w:sz w:val="18"/>
                <w:szCs w:val="12"/>
              </w:rPr>
              <w:t>TRC Levelized Cost ($/kWh)</w:t>
            </w:r>
          </w:p>
        </w:tc>
      </w:tr>
      <w:tr w:rsidRPr="007938ED" w:rsidR="00CE6F7B" w:rsidTr="007938ED" w14:paraId="3B8FF56C" w14:textId="77777777">
        <w:trPr>
          <w:trHeight w:val="1200"/>
        </w:trPr>
        <w:tc>
          <w:tcPr>
            <w:tcW w:w="0" w:type="auto"/>
            <w:noWrap/>
            <w:hideMark/>
          </w:tcPr>
          <w:p w:rsidRPr="007938ED" w:rsidR="00D31E46" w:rsidP="00D31E46" w:rsidRDefault="00D31E46" w14:paraId="4A66F48E" w14:textId="77777777">
            <w:pPr>
              <w:rPr>
                <w:rFonts w:asciiTheme="majorHAnsi" w:hAnsiTheme="majorHAnsi"/>
                <w:sz w:val="18"/>
                <w:szCs w:val="12"/>
              </w:rPr>
            </w:pPr>
            <w:r w:rsidRPr="007938ED">
              <w:rPr>
                <w:rFonts w:asciiTheme="majorHAnsi" w:hAnsiTheme="majorHAnsi"/>
                <w:sz w:val="18"/>
                <w:szCs w:val="12"/>
              </w:rPr>
              <w:t>136</w:t>
            </w:r>
          </w:p>
        </w:tc>
        <w:tc>
          <w:tcPr>
            <w:tcW w:w="0" w:type="auto"/>
            <w:hideMark/>
          </w:tcPr>
          <w:p w:rsidRPr="007938ED" w:rsidR="00D31E46" w:rsidRDefault="00D31E46" w14:paraId="6AC0B9A9"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7E9F6C92" w14:textId="77777777">
            <w:pPr>
              <w:rPr>
                <w:rFonts w:asciiTheme="majorHAnsi" w:hAnsiTheme="majorHAnsi"/>
                <w:sz w:val="18"/>
                <w:szCs w:val="12"/>
              </w:rPr>
            </w:pPr>
            <w:r w:rsidRPr="007938ED">
              <w:rPr>
                <w:rFonts w:asciiTheme="majorHAnsi" w:hAnsiTheme="majorHAnsi"/>
                <w:sz w:val="18"/>
                <w:szCs w:val="12"/>
              </w:rPr>
              <w:t>TRC Levelized Cost ($/therm)</w:t>
            </w:r>
          </w:p>
        </w:tc>
        <w:tc>
          <w:tcPr>
            <w:tcW w:w="0" w:type="auto"/>
            <w:hideMark/>
          </w:tcPr>
          <w:p w:rsidRPr="007938ED" w:rsidR="00D31E46" w:rsidRDefault="00D31E46" w14:paraId="4515179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5380EE5"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62A042C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92DBE9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AF607A4" w14:textId="77777777">
            <w:pPr>
              <w:rPr>
                <w:rFonts w:asciiTheme="majorHAnsi" w:hAnsiTheme="majorHAnsi"/>
                <w:sz w:val="18"/>
                <w:szCs w:val="12"/>
              </w:rPr>
            </w:pPr>
            <w:r w:rsidRPr="007938ED">
              <w:rPr>
                <w:rFonts w:asciiTheme="majorHAnsi" w:hAnsiTheme="majorHAnsi"/>
                <w:sz w:val="18"/>
                <w:szCs w:val="12"/>
              </w:rPr>
              <w:t>TRC Levelized Cost ($/therm)</w:t>
            </w:r>
          </w:p>
        </w:tc>
      </w:tr>
      <w:tr w:rsidRPr="007938ED" w:rsidR="00CE6F7B" w:rsidTr="007938ED" w14:paraId="694A4033" w14:textId="77777777">
        <w:trPr>
          <w:trHeight w:val="1200"/>
        </w:trPr>
        <w:tc>
          <w:tcPr>
            <w:tcW w:w="0" w:type="auto"/>
            <w:noWrap/>
            <w:hideMark/>
          </w:tcPr>
          <w:p w:rsidRPr="007938ED" w:rsidR="00D31E46" w:rsidP="00D31E46" w:rsidRDefault="00D31E46" w14:paraId="1CC6F7B8" w14:textId="77777777">
            <w:pPr>
              <w:rPr>
                <w:rFonts w:asciiTheme="majorHAnsi" w:hAnsiTheme="majorHAnsi"/>
                <w:sz w:val="18"/>
                <w:szCs w:val="12"/>
              </w:rPr>
            </w:pPr>
            <w:r w:rsidRPr="007938ED">
              <w:rPr>
                <w:rFonts w:asciiTheme="majorHAnsi" w:hAnsiTheme="majorHAnsi"/>
                <w:sz w:val="18"/>
                <w:szCs w:val="12"/>
              </w:rPr>
              <w:t>137</w:t>
            </w:r>
          </w:p>
        </w:tc>
        <w:tc>
          <w:tcPr>
            <w:tcW w:w="0" w:type="auto"/>
            <w:hideMark/>
          </w:tcPr>
          <w:p w:rsidRPr="007938ED" w:rsidR="00D31E46" w:rsidRDefault="00D31E46" w14:paraId="181A0C43" w14:textId="77777777">
            <w:pPr>
              <w:rPr>
                <w:rFonts w:asciiTheme="majorHAnsi" w:hAnsiTheme="majorHAnsi"/>
                <w:sz w:val="18"/>
                <w:szCs w:val="12"/>
              </w:rPr>
            </w:pPr>
            <w:r w:rsidRPr="007938ED">
              <w:rPr>
                <w:rFonts w:asciiTheme="majorHAnsi" w:hAnsiTheme="majorHAnsi"/>
                <w:sz w:val="18"/>
                <w:szCs w:val="12"/>
              </w:rPr>
              <w:t>Average energy use intensity of multifamily units. including in‐unit accounts)</w:t>
            </w:r>
          </w:p>
        </w:tc>
        <w:tc>
          <w:tcPr>
            <w:tcW w:w="0" w:type="auto"/>
            <w:hideMark/>
          </w:tcPr>
          <w:p w:rsidRPr="007938ED" w:rsidR="00D31E46" w:rsidRDefault="00D31E46" w14:paraId="3A552594" w14:textId="77777777">
            <w:pPr>
              <w:rPr>
                <w:rFonts w:asciiTheme="majorHAnsi" w:hAnsiTheme="majorHAnsi"/>
                <w:sz w:val="18"/>
                <w:szCs w:val="12"/>
              </w:rPr>
            </w:pPr>
            <w:r w:rsidRPr="007938ED">
              <w:rPr>
                <w:rFonts w:asciiTheme="majorHAnsi" w:hAnsiTheme="majorHAnsi"/>
                <w:sz w:val="18"/>
                <w:szCs w:val="12"/>
              </w:rPr>
              <w:t>Average electric and gas usage per unit</w:t>
            </w:r>
          </w:p>
        </w:tc>
        <w:tc>
          <w:tcPr>
            <w:tcW w:w="0" w:type="auto"/>
            <w:hideMark/>
          </w:tcPr>
          <w:p w:rsidRPr="007938ED" w:rsidR="00D31E46" w:rsidRDefault="00D31E46" w14:paraId="6F8F844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FD30FCE" w14:textId="77777777">
            <w:pPr>
              <w:rPr>
                <w:rFonts w:asciiTheme="majorHAnsi" w:hAnsiTheme="majorHAnsi"/>
                <w:sz w:val="18"/>
                <w:szCs w:val="12"/>
              </w:rPr>
            </w:pPr>
            <w:r w:rsidRPr="007938ED">
              <w:rPr>
                <w:rFonts w:asciiTheme="majorHAnsi" w:hAnsiTheme="majorHAnsi"/>
                <w:sz w:val="18"/>
                <w:szCs w:val="12"/>
              </w:rPr>
              <w:t>Energy intensity</w:t>
            </w:r>
          </w:p>
        </w:tc>
        <w:tc>
          <w:tcPr>
            <w:tcW w:w="0" w:type="auto"/>
            <w:hideMark/>
          </w:tcPr>
          <w:p w:rsidRPr="007938ED" w:rsidR="00D31E46" w:rsidP="00D31E46" w:rsidRDefault="00D31E46" w14:paraId="0F1234A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87B4E1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D6F1375" w14:textId="77777777">
            <w:pPr>
              <w:rPr>
                <w:rFonts w:asciiTheme="majorHAnsi" w:hAnsiTheme="majorHAnsi"/>
                <w:sz w:val="18"/>
                <w:szCs w:val="12"/>
              </w:rPr>
            </w:pPr>
            <w:r w:rsidRPr="007938ED">
              <w:rPr>
                <w:rFonts w:asciiTheme="majorHAnsi" w:hAnsiTheme="majorHAnsi"/>
                <w:sz w:val="18"/>
                <w:szCs w:val="12"/>
              </w:rPr>
              <w:t>Btu</w:t>
            </w:r>
          </w:p>
        </w:tc>
      </w:tr>
      <w:tr w:rsidRPr="007938ED" w:rsidR="00CE6F7B" w:rsidTr="007938ED" w14:paraId="6399CA03" w14:textId="77777777">
        <w:trPr>
          <w:trHeight w:val="1200"/>
        </w:trPr>
        <w:tc>
          <w:tcPr>
            <w:tcW w:w="0" w:type="auto"/>
            <w:noWrap/>
            <w:hideMark/>
          </w:tcPr>
          <w:p w:rsidRPr="007938ED" w:rsidR="00D31E46" w:rsidP="00D31E46" w:rsidRDefault="00D31E46" w14:paraId="608DD66B" w14:textId="77777777">
            <w:pPr>
              <w:rPr>
                <w:rFonts w:asciiTheme="majorHAnsi" w:hAnsiTheme="majorHAnsi"/>
                <w:sz w:val="18"/>
                <w:szCs w:val="12"/>
              </w:rPr>
            </w:pPr>
            <w:r w:rsidRPr="007938ED">
              <w:rPr>
                <w:rFonts w:asciiTheme="majorHAnsi" w:hAnsiTheme="majorHAnsi"/>
                <w:sz w:val="18"/>
                <w:szCs w:val="12"/>
              </w:rPr>
              <w:t>138</w:t>
            </w:r>
          </w:p>
        </w:tc>
        <w:tc>
          <w:tcPr>
            <w:tcW w:w="0" w:type="auto"/>
            <w:hideMark/>
          </w:tcPr>
          <w:p w:rsidRPr="007938ED" w:rsidR="00D31E46" w:rsidRDefault="00D31E46" w14:paraId="3C67A44F" w14:textId="77777777">
            <w:pPr>
              <w:rPr>
                <w:rFonts w:asciiTheme="majorHAnsi" w:hAnsiTheme="majorHAnsi"/>
                <w:sz w:val="18"/>
                <w:szCs w:val="12"/>
              </w:rPr>
            </w:pPr>
            <w:r w:rsidRPr="007938ED">
              <w:rPr>
                <w:rFonts w:asciiTheme="majorHAnsi" w:hAnsiTheme="majorHAnsi"/>
                <w:sz w:val="18"/>
                <w:szCs w:val="12"/>
              </w:rPr>
              <w:t>Average energy use intensity of multifamily buildings (average usage per square foot – not adjusted</w:t>
            </w:r>
          </w:p>
        </w:tc>
        <w:tc>
          <w:tcPr>
            <w:tcW w:w="0" w:type="auto"/>
            <w:hideMark/>
          </w:tcPr>
          <w:p w:rsidRPr="007938ED" w:rsidR="00D31E46" w:rsidRDefault="00D31E46" w14:paraId="6F173194" w14:textId="77777777">
            <w:pPr>
              <w:rPr>
                <w:rFonts w:asciiTheme="majorHAnsi" w:hAnsiTheme="majorHAnsi"/>
                <w:sz w:val="18"/>
                <w:szCs w:val="12"/>
              </w:rPr>
            </w:pPr>
            <w:r w:rsidRPr="007938ED">
              <w:rPr>
                <w:rFonts w:asciiTheme="majorHAnsi" w:hAnsiTheme="majorHAnsi"/>
                <w:sz w:val="18"/>
                <w:szCs w:val="12"/>
              </w:rPr>
              <w:t>Average electric and gas usage per square foot</w:t>
            </w:r>
          </w:p>
        </w:tc>
        <w:tc>
          <w:tcPr>
            <w:tcW w:w="0" w:type="auto"/>
            <w:hideMark/>
          </w:tcPr>
          <w:p w:rsidRPr="007938ED" w:rsidR="00D31E46" w:rsidRDefault="00D31E46" w14:paraId="67D5F486"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61298F7" w14:textId="77777777">
            <w:pPr>
              <w:rPr>
                <w:rFonts w:asciiTheme="majorHAnsi" w:hAnsiTheme="majorHAnsi"/>
                <w:sz w:val="18"/>
                <w:szCs w:val="12"/>
              </w:rPr>
            </w:pPr>
            <w:r w:rsidRPr="007938ED">
              <w:rPr>
                <w:rFonts w:asciiTheme="majorHAnsi" w:hAnsiTheme="majorHAnsi"/>
                <w:sz w:val="18"/>
                <w:szCs w:val="12"/>
              </w:rPr>
              <w:t>Energy intensity</w:t>
            </w:r>
          </w:p>
        </w:tc>
        <w:tc>
          <w:tcPr>
            <w:tcW w:w="0" w:type="auto"/>
            <w:hideMark/>
          </w:tcPr>
          <w:p w:rsidRPr="007938ED" w:rsidR="00D31E46" w:rsidP="00D31E46" w:rsidRDefault="00D31E46" w14:paraId="6282FEDD"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6785AE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243F1A2" w14:textId="77777777">
            <w:pPr>
              <w:rPr>
                <w:rFonts w:asciiTheme="majorHAnsi" w:hAnsiTheme="majorHAnsi"/>
                <w:sz w:val="18"/>
                <w:szCs w:val="12"/>
              </w:rPr>
            </w:pPr>
            <w:r w:rsidRPr="007938ED">
              <w:rPr>
                <w:rFonts w:asciiTheme="majorHAnsi" w:hAnsiTheme="majorHAnsi"/>
                <w:sz w:val="18"/>
                <w:szCs w:val="12"/>
              </w:rPr>
              <w:t>Btu</w:t>
            </w:r>
          </w:p>
        </w:tc>
      </w:tr>
      <w:tr w:rsidRPr="007938ED" w:rsidR="00CE6F7B" w:rsidTr="007938ED" w14:paraId="263027E2" w14:textId="77777777">
        <w:trPr>
          <w:trHeight w:val="1200"/>
        </w:trPr>
        <w:tc>
          <w:tcPr>
            <w:tcW w:w="0" w:type="auto"/>
            <w:noWrap/>
            <w:hideMark/>
          </w:tcPr>
          <w:p w:rsidRPr="007938ED" w:rsidR="00D31E46" w:rsidP="00D31E46" w:rsidRDefault="00D31E46" w14:paraId="1DE7C017" w14:textId="77777777">
            <w:pPr>
              <w:rPr>
                <w:rFonts w:asciiTheme="majorHAnsi" w:hAnsiTheme="majorHAnsi"/>
                <w:sz w:val="18"/>
                <w:szCs w:val="12"/>
              </w:rPr>
            </w:pPr>
            <w:r w:rsidRPr="007938ED">
              <w:rPr>
                <w:rFonts w:asciiTheme="majorHAnsi" w:hAnsiTheme="majorHAnsi"/>
                <w:sz w:val="18"/>
                <w:szCs w:val="12"/>
              </w:rPr>
              <w:t>139</w:t>
            </w:r>
          </w:p>
        </w:tc>
        <w:tc>
          <w:tcPr>
            <w:tcW w:w="0" w:type="auto"/>
            <w:hideMark/>
          </w:tcPr>
          <w:p w:rsidRPr="007938ED" w:rsidR="00D31E46" w:rsidRDefault="00D31E46" w14:paraId="5EC0F484"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2B7154B4" w14:textId="77777777">
            <w:pPr>
              <w:rPr>
                <w:rFonts w:asciiTheme="majorHAnsi" w:hAnsiTheme="majorHAnsi"/>
                <w:sz w:val="18"/>
                <w:szCs w:val="12"/>
              </w:rPr>
            </w:pPr>
            <w:r w:rsidRPr="007938ED">
              <w:rPr>
                <w:rFonts w:asciiTheme="majorHAnsi" w:hAnsiTheme="majorHAnsi"/>
                <w:sz w:val="18"/>
                <w:szCs w:val="12"/>
              </w:rPr>
              <w:t>First year annual kW gross</w:t>
            </w:r>
          </w:p>
        </w:tc>
        <w:tc>
          <w:tcPr>
            <w:tcW w:w="0" w:type="auto"/>
            <w:hideMark/>
          </w:tcPr>
          <w:p w:rsidRPr="007938ED" w:rsidR="00D31E46" w:rsidRDefault="00D31E46" w14:paraId="35CB54A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47C8880"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88D88EA"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78CA60D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6F2A853"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4C919448" w14:textId="77777777">
        <w:trPr>
          <w:trHeight w:val="1200"/>
        </w:trPr>
        <w:tc>
          <w:tcPr>
            <w:tcW w:w="0" w:type="auto"/>
            <w:noWrap/>
            <w:hideMark/>
          </w:tcPr>
          <w:p w:rsidRPr="007938ED" w:rsidR="00D31E46" w:rsidP="00D31E46" w:rsidRDefault="00D31E46" w14:paraId="2076D7A1" w14:textId="77777777">
            <w:pPr>
              <w:rPr>
                <w:rFonts w:asciiTheme="majorHAnsi" w:hAnsiTheme="majorHAnsi"/>
                <w:sz w:val="18"/>
                <w:szCs w:val="12"/>
              </w:rPr>
            </w:pPr>
            <w:r w:rsidRPr="007938ED">
              <w:rPr>
                <w:rFonts w:asciiTheme="majorHAnsi" w:hAnsiTheme="majorHAnsi"/>
                <w:sz w:val="18"/>
                <w:szCs w:val="12"/>
              </w:rPr>
              <w:lastRenderedPageBreak/>
              <w:t>140</w:t>
            </w:r>
          </w:p>
        </w:tc>
        <w:tc>
          <w:tcPr>
            <w:tcW w:w="0" w:type="auto"/>
            <w:hideMark/>
          </w:tcPr>
          <w:p w:rsidRPr="007938ED" w:rsidR="00D31E46" w:rsidRDefault="00D31E46" w14:paraId="0A3AFCC1"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13FF339C" w14:textId="77777777">
            <w:pPr>
              <w:rPr>
                <w:rFonts w:asciiTheme="majorHAnsi" w:hAnsiTheme="majorHAnsi"/>
                <w:sz w:val="18"/>
                <w:szCs w:val="12"/>
              </w:rPr>
            </w:pPr>
            <w:r w:rsidRPr="007938ED">
              <w:rPr>
                <w:rFonts w:asciiTheme="majorHAnsi" w:hAnsiTheme="majorHAnsi"/>
                <w:sz w:val="18"/>
                <w:szCs w:val="12"/>
              </w:rPr>
              <w:t>First year annual kW net</w:t>
            </w:r>
          </w:p>
        </w:tc>
        <w:tc>
          <w:tcPr>
            <w:tcW w:w="0" w:type="auto"/>
            <w:hideMark/>
          </w:tcPr>
          <w:p w:rsidRPr="007938ED" w:rsidR="00D31E46" w:rsidRDefault="00D31E46" w14:paraId="406BA3B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C7383B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691933E"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9CAAA8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EFD0ABB"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74B3042C" w14:textId="77777777">
        <w:trPr>
          <w:trHeight w:val="1200"/>
        </w:trPr>
        <w:tc>
          <w:tcPr>
            <w:tcW w:w="0" w:type="auto"/>
            <w:noWrap/>
            <w:hideMark/>
          </w:tcPr>
          <w:p w:rsidRPr="007938ED" w:rsidR="00D31E46" w:rsidP="00D31E46" w:rsidRDefault="00D31E46" w14:paraId="07F25AD0" w14:textId="77777777">
            <w:pPr>
              <w:rPr>
                <w:rFonts w:asciiTheme="majorHAnsi" w:hAnsiTheme="majorHAnsi"/>
                <w:sz w:val="18"/>
                <w:szCs w:val="12"/>
              </w:rPr>
            </w:pPr>
            <w:r w:rsidRPr="007938ED">
              <w:rPr>
                <w:rFonts w:asciiTheme="majorHAnsi" w:hAnsiTheme="majorHAnsi"/>
                <w:sz w:val="18"/>
                <w:szCs w:val="12"/>
              </w:rPr>
              <w:t>141</w:t>
            </w:r>
          </w:p>
        </w:tc>
        <w:tc>
          <w:tcPr>
            <w:tcW w:w="0" w:type="auto"/>
            <w:hideMark/>
          </w:tcPr>
          <w:p w:rsidRPr="007938ED" w:rsidR="00D31E46" w:rsidRDefault="00D31E46" w14:paraId="77928A11"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4BC7AA55" w14:textId="77777777">
            <w:pPr>
              <w:rPr>
                <w:rFonts w:asciiTheme="majorHAnsi" w:hAnsiTheme="majorHAnsi"/>
                <w:sz w:val="18"/>
                <w:szCs w:val="12"/>
              </w:rPr>
            </w:pPr>
            <w:r w:rsidRPr="007938ED">
              <w:rPr>
                <w:rFonts w:asciiTheme="majorHAnsi" w:hAnsiTheme="majorHAnsi"/>
                <w:sz w:val="18"/>
                <w:szCs w:val="12"/>
              </w:rPr>
              <w:t>First year annual kWh gross</w:t>
            </w:r>
          </w:p>
        </w:tc>
        <w:tc>
          <w:tcPr>
            <w:tcW w:w="0" w:type="auto"/>
            <w:hideMark/>
          </w:tcPr>
          <w:p w:rsidRPr="007938ED" w:rsidR="00D31E46" w:rsidRDefault="00D31E46" w14:paraId="45DE57F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DE19DC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36FEA6F"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781953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1473B1A"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50143A82" w14:textId="77777777">
        <w:trPr>
          <w:trHeight w:val="1200"/>
        </w:trPr>
        <w:tc>
          <w:tcPr>
            <w:tcW w:w="0" w:type="auto"/>
            <w:noWrap/>
            <w:hideMark/>
          </w:tcPr>
          <w:p w:rsidRPr="007938ED" w:rsidR="00D31E46" w:rsidP="00D31E46" w:rsidRDefault="00D31E46" w14:paraId="12B400E0" w14:textId="77777777">
            <w:pPr>
              <w:rPr>
                <w:rFonts w:asciiTheme="majorHAnsi" w:hAnsiTheme="majorHAnsi"/>
                <w:sz w:val="18"/>
                <w:szCs w:val="12"/>
              </w:rPr>
            </w:pPr>
            <w:r w:rsidRPr="007938ED">
              <w:rPr>
                <w:rFonts w:asciiTheme="majorHAnsi" w:hAnsiTheme="majorHAnsi"/>
                <w:sz w:val="18"/>
                <w:szCs w:val="12"/>
              </w:rPr>
              <w:t>142</w:t>
            </w:r>
          </w:p>
        </w:tc>
        <w:tc>
          <w:tcPr>
            <w:tcW w:w="0" w:type="auto"/>
            <w:hideMark/>
          </w:tcPr>
          <w:p w:rsidRPr="007938ED" w:rsidR="00D31E46" w:rsidRDefault="00D31E46" w14:paraId="1E9252A4"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6E791912" w14:textId="77777777">
            <w:pPr>
              <w:rPr>
                <w:rFonts w:asciiTheme="majorHAnsi" w:hAnsiTheme="majorHAnsi"/>
                <w:sz w:val="18"/>
                <w:szCs w:val="12"/>
              </w:rPr>
            </w:pPr>
            <w:r w:rsidRPr="007938ED">
              <w:rPr>
                <w:rFonts w:asciiTheme="majorHAnsi" w:hAnsiTheme="majorHAnsi"/>
                <w:sz w:val="18"/>
                <w:szCs w:val="12"/>
              </w:rPr>
              <w:t>First year annual kWh net</w:t>
            </w:r>
          </w:p>
        </w:tc>
        <w:tc>
          <w:tcPr>
            <w:tcW w:w="0" w:type="auto"/>
            <w:hideMark/>
          </w:tcPr>
          <w:p w:rsidRPr="007938ED" w:rsidR="00D31E46" w:rsidRDefault="00D31E46" w14:paraId="36C3A9E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B5A893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B4FE671"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3484B8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7854E28"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794AABE0" w14:textId="77777777">
        <w:trPr>
          <w:trHeight w:val="1200"/>
        </w:trPr>
        <w:tc>
          <w:tcPr>
            <w:tcW w:w="0" w:type="auto"/>
            <w:noWrap/>
            <w:hideMark/>
          </w:tcPr>
          <w:p w:rsidRPr="007938ED" w:rsidR="00D31E46" w:rsidP="00D31E46" w:rsidRDefault="00D31E46" w14:paraId="33156F4F" w14:textId="77777777">
            <w:pPr>
              <w:rPr>
                <w:rFonts w:asciiTheme="majorHAnsi" w:hAnsiTheme="majorHAnsi"/>
                <w:sz w:val="18"/>
                <w:szCs w:val="12"/>
              </w:rPr>
            </w:pPr>
            <w:r w:rsidRPr="007938ED">
              <w:rPr>
                <w:rFonts w:asciiTheme="majorHAnsi" w:hAnsiTheme="majorHAnsi"/>
                <w:sz w:val="18"/>
                <w:szCs w:val="12"/>
              </w:rPr>
              <w:t>143</w:t>
            </w:r>
          </w:p>
        </w:tc>
        <w:tc>
          <w:tcPr>
            <w:tcW w:w="0" w:type="auto"/>
            <w:hideMark/>
          </w:tcPr>
          <w:p w:rsidRPr="007938ED" w:rsidR="00D31E46" w:rsidRDefault="00D31E46" w14:paraId="585BFA9F"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5BAA8631" w14:textId="77777777">
            <w:pPr>
              <w:rPr>
                <w:rFonts w:asciiTheme="majorHAnsi" w:hAnsiTheme="majorHAnsi"/>
                <w:sz w:val="18"/>
                <w:szCs w:val="12"/>
              </w:rPr>
            </w:pPr>
            <w:r w:rsidRPr="007938ED">
              <w:rPr>
                <w:rFonts w:asciiTheme="majorHAnsi" w:hAnsiTheme="majorHAnsi"/>
                <w:sz w:val="18"/>
                <w:szCs w:val="12"/>
              </w:rPr>
              <w:t>First year annual Therm gross</w:t>
            </w:r>
          </w:p>
        </w:tc>
        <w:tc>
          <w:tcPr>
            <w:tcW w:w="0" w:type="auto"/>
            <w:hideMark/>
          </w:tcPr>
          <w:p w:rsidRPr="007938ED" w:rsidR="00D31E46" w:rsidRDefault="00D31E46" w14:paraId="37EAFD3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D01D52A"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A5B9B73"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76779E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7BC2E58"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3DE72588" w14:textId="77777777">
        <w:trPr>
          <w:trHeight w:val="1200"/>
        </w:trPr>
        <w:tc>
          <w:tcPr>
            <w:tcW w:w="0" w:type="auto"/>
            <w:noWrap/>
            <w:hideMark/>
          </w:tcPr>
          <w:p w:rsidRPr="007938ED" w:rsidR="00D31E46" w:rsidP="00D31E46" w:rsidRDefault="00D31E46" w14:paraId="40B09C46" w14:textId="77777777">
            <w:pPr>
              <w:rPr>
                <w:rFonts w:asciiTheme="majorHAnsi" w:hAnsiTheme="majorHAnsi"/>
                <w:sz w:val="18"/>
                <w:szCs w:val="12"/>
              </w:rPr>
            </w:pPr>
            <w:r w:rsidRPr="007938ED">
              <w:rPr>
                <w:rFonts w:asciiTheme="majorHAnsi" w:hAnsiTheme="majorHAnsi"/>
                <w:sz w:val="18"/>
                <w:szCs w:val="12"/>
              </w:rPr>
              <w:t>144</w:t>
            </w:r>
          </w:p>
        </w:tc>
        <w:tc>
          <w:tcPr>
            <w:tcW w:w="0" w:type="auto"/>
            <w:hideMark/>
          </w:tcPr>
          <w:p w:rsidRPr="007938ED" w:rsidR="00D31E46" w:rsidRDefault="00D31E46" w14:paraId="5267F27C"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78CE5CB4" w14:textId="77777777">
            <w:pPr>
              <w:rPr>
                <w:rFonts w:asciiTheme="majorHAnsi" w:hAnsiTheme="majorHAnsi"/>
                <w:sz w:val="18"/>
                <w:szCs w:val="12"/>
              </w:rPr>
            </w:pPr>
            <w:r w:rsidRPr="007938ED">
              <w:rPr>
                <w:rFonts w:asciiTheme="majorHAnsi" w:hAnsiTheme="majorHAnsi"/>
                <w:sz w:val="18"/>
                <w:szCs w:val="12"/>
              </w:rPr>
              <w:t>First year annual Therm net</w:t>
            </w:r>
          </w:p>
        </w:tc>
        <w:tc>
          <w:tcPr>
            <w:tcW w:w="0" w:type="auto"/>
            <w:hideMark/>
          </w:tcPr>
          <w:p w:rsidRPr="007938ED" w:rsidR="00D31E46" w:rsidRDefault="00D31E46" w14:paraId="1FC7678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FDC069A"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6F62A3E"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CBF86B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AA097AA"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3D1A5EDD" w14:textId="77777777">
        <w:trPr>
          <w:trHeight w:val="1200"/>
        </w:trPr>
        <w:tc>
          <w:tcPr>
            <w:tcW w:w="0" w:type="auto"/>
            <w:noWrap/>
            <w:hideMark/>
          </w:tcPr>
          <w:p w:rsidRPr="007938ED" w:rsidR="00D31E46" w:rsidP="00D31E46" w:rsidRDefault="00D31E46" w14:paraId="6797A4E6" w14:textId="77777777">
            <w:pPr>
              <w:rPr>
                <w:rFonts w:asciiTheme="majorHAnsi" w:hAnsiTheme="majorHAnsi"/>
                <w:sz w:val="18"/>
                <w:szCs w:val="12"/>
              </w:rPr>
            </w:pPr>
            <w:r w:rsidRPr="007938ED">
              <w:rPr>
                <w:rFonts w:asciiTheme="majorHAnsi" w:hAnsiTheme="majorHAnsi"/>
                <w:sz w:val="18"/>
                <w:szCs w:val="12"/>
              </w:rPr>
              <w:t>145</w:t>
            </w:r>
          </w:p>
        </w:tc>
        <w:tc>
          <w:tcPr>
            <w:tcW w:w="0" w:type="auto"/>
            <w:hideMark/>
          </w:tcPr>
          <w:p w:rsidRPr="007938ED" w:rsidR="00D31E46" w:rsidRDefault="00D31E46" w14:paraId="3F9E0B3C"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2D21C40E" w14:textId="77777777">
            <w:pPr>
              <w:rPr>
                <w:rFonts w:asciiTheme="majorHAnsi" w:hAnsiTheme="majorHAnsi"/>
                <w:sz w:val="18"/>
                <w:szCs w:val="12"/>
              </w:rPr>
            </w:pPr>
            <w:r w:rsidRPr="007938ED">
              <w:rPr>
                <w:rFonts w:asciiTheme="majorHAnsi" w:hAnsiTheme="majorHAnsi"/>
                <w:sz w:val="18"/>
                <w:szCs w:val="12"/>
              </w:rPr>
              <w:t>Lifecycle ex-ante kW gross</w:t>
            </w:r>
          </w:p>
        </w:tc>
        <w:tc>
          <w:tcPr>
            <w:tcW w:w="0" w:type="auto"/>
            <w:hideMark/>
          </w:tcPr>
          <w:p w:rsidRPr="007938ED" w:rsidR="00D31E46" w:rsidRDefault="00D31E46" w14:paraId="036B1CF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F42D4F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1F1128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85F7B4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2088D1D"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46161940" w14:textId="77777777">
        <w:trPr>
          <w:trHeight w:val="1200"/>
        </w:trPr>
        <w:tc>
          <w:tcPr>
            <w:tcW w:w="0" w:type="auto"/>
            <w:noWrap/>
            <w:hideMark/>
          </w:tcPr>
          <w:p w:rsidRPr="007938ED" w:rsidR="00D31E46" w:rsidP="00D31E46" w:rsidRDefault="00D31E46" w14:paraId="37B60925" w14:textId="77777777">
            <w:pPr>
              <w:rPr>
                <w:rFonts w:asciiTheme="majorHAnsi" w:hAnsiTheme="majorHAnsi"/>
                <w:sz w:val="18"/>
                <w:szCs w:val="12"/>
              </w:rPr>
            </w:pPr>
            <w:r w:rsidRPr="007938ED">
              <w:rPr>
                <w:rFonts w:asciiTheme="majorHAnsi" w:hAnsiTheme="majorHAnsi"/>
                <w:sz w:val="18"/>
                <w:szCs w:val="12"/>
              </w:rPr>
              <w:lastRenderedPageBreak/>
              <w:t>146</w:t>
            </w:r>
          </w:p>
        </w:tc>
        <w:tc>
          <w:tcPr>
            <w:tcW w:w="0" w:type="auto"/>
            <w:hideMark/>
          </w:tcPr>
          <w:p w:rsidRPr="007938ED" w:rsidR="00D31E46" w:rsidRDefault="00D31E46" w14:paraId="5D89A782"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04EC029E" w14:textId="77777777">
            <w:pPr>
              <w:rPr>
                <w:rFonts w:asciiTheme="majorHAnsi" w:hAnsiTheme="majorHAnsi"/>
                <w:sz w:val="18"/>
                <w:szCs w:val="12"/>
              </w:rPr>
            </w:pPr>
            <w:r w:rsidRPr="007938ED">
              <w:rPr>
                <w:rFonts w:asciiTheme="majorHAnsi" w:hAnsiTheme="majorHAnsi"/>
                <w:sz w:val="18"/>
                <w:szCs w:val="12"/>
              </w:rPr>
              <w:t>Lifecycle ex-ante kW net</w:t>
            </w:r>
          </w:p>
        </w:tc>
        <w:tc>
          <w:tcPr>
            <w:tcW w:w="0" w:type="auto"/>
            <w:hideMark/>
          </w:tcPr>
          <w:p w:rsidRPr="007938ED" w:rsidR="00D31E46" w:rsidRDefault="00D31E46" w14:paraId="6D2D197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6363780"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8FC2AE7"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D06AE1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450AD53"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238064F9" w14:textId="77777777">
        <w:trPr>
          <w:trHeight w:val="1200"/>
        </w:trPr>
        <w:tc>
          <w:tcPr>
            <w:tcW w:w="0" w:type="auto"/>
            <w:noWrap/>
            <w:hideMark/>
          </w:tcPr>
          <w:p w:rsidRPr="007938ED" w:rsidR="00D31E46" w:rsidP="00D31E46" w:rsidRDefault="00D31E46" w14:paraId="58D38CC2" w14:textId="77777777">
            <w:pPr>
              <w:rPr>
                <w:rFonts w:asciiTheme="majorHAnsi" w:hAnsiTheme="majorHAnsi"/>
                <w:sz w:val="18"/>
                <w:szCs w:val="12"/>
              </w:rPr>
            </w:pPr>
            <w:r w:rsidRPr="007938ED">
              <w:rPr>
                <w:rFonts w:asciiTheme="majorHAnsi" w:hAnsiTheme="majorHAnsi"/>
                <w:sz w:val="18"/>
                <w:szCs w:val="12"/>
              </w:rPr>
              <w:t>147</w:t>
            </w:r>
          </w:p>
        </w:tc>
        <w:tc>
          <w:tcPr>
            <w:tcW w:w="0" w:type="auto"/>
            <w:hideMark/>
          </w:tcPr>
          <w:p w:rsidRPr="007938ED" w:rsidR="00D31E46" w:rsidRDefault="00D31E46" w14:paraId="46CBC684"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128BA034" w14:textId="77777777">
            <w:pPr>
              <w:rPr>
                <w:rFonts w:asciiTheme="majorHAnsi" w:hAnsiTheme="majorHAnsi"/>
                <w:sz w:val="18"/>
                <w:szCs w:val="12"/>
              </w:rPr>
            </w:pPr>
            <w:r w:rsidRPr="007938ED">
              <w:rPr>
                <w:rFonts w:asciiTheme="majorHAnsi" w:hAnsiTheme="majorHAnsi"/>
                <w:sz w:val="18"/>
                <w:szCs w:val="12"/>
              </w:rPr>
              <w:t>Lifecycle ex-ante kWh gross</w:t>
            </w:r>
          </w:p>
        </w:tc>
        <w:tc>
          <w:tcPr>
            <w:tcW w:w="0" w:type="auto"/>
            <w:hideMark/>
          </w:tcPr>
          <w:p w:rsidRPr="007938ED" w:rsidR="00D31E46" w:rsidRDefault="00D31E46" w14:paraId="118DB41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442E852"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5D73EF9"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7D979E3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C9E6473"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796C6F8A" w14:textId="77777777">
        <w:trPr>
          <w:trHeight w:val="1200"/>
        </w:trPr>
        <w:tc>
          <w:tcPr>
            <w:tcW w:w="0" w:type="auto"/>
            <w:noWrap/>
            <w:hideMark/>
          </w:tcPr>
          <w:p w:rsidRPr="007938ED" w:rsidR="00D31E46" w:rsidP="00D31E46" w:rsidRDefault="00D31E46" w14:paraId="0FAE6C17" w14:textId="77777777">
            <w:pPr>
              <w:rPr>
                <w:rFonts w:asciiTheme="majorHAnsi" w:hAnsiTheme="majorHAnsi"/>
                <w:sz w:val="18"/>
                <w:szCs w:val="12"/>
              </w:rPr>
            </w:pPr>
            <w:r w:rsidRPr="007938ED">
              <w:rPr>
                <w:rFonts w:asciiTheme="majorHAnsi" w:hAnsiTheme="majorHAnsi"/>
                <w:sz w:val="18"/>
                <w:szCs w:val="12"/>
              </w:rPr>
              <w:t>148</w:t>
            </w:r>
          </w:p>
        </w:tc>
        <w:tc>
          <w:tcPr>
            <w:tcW w:w="0" w:type="auto"/>
            <w:hideMark/>
          </w:tcPr>
          <w:p w:rsidRPr="007938ED" w:rsidR="00D31E46" w:rsidRDefault="00D31E46" w14:paraId="31757AB5"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02F14F1E" w14:textId="77777777">
            <w:pPr>
              <w:rPr>
                <w:rFonts w:asciiTheme="majorHAnsi" w:hAnsiTheme="majorHAnsi"/>
                <w:sz w:val="18"/>
                <w:szCs w:val="12"/>
              </w:rPr>
            </w:pPr>
            <w:r w:rsidRPr="007938ED">
              <w:rPr>
                <w:rFonts w:asciiTheme="majorHAnsi" w:hAnsiTheme="majorHAnsi"/>
                <w:sz w:val="18"/>
                <w:szCs w:val="12"/>
              </w:rPr>
              <w:t>Lifecycle ex-ante kWh net</w:t>
            </w:r>
          </w:p>
        </w:tc>
        <w:tc>
          <w:tcPr>
            <w:tcW w:w="0" w:type="auto"/>
            <w:hideMark/>
          </w:tcPr>
          <w:p w:rsidRPr="007938ED" w:rsidR="00D31E46" w:rsidRDefault="00D31E46" w14:paraId="7E74F1C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76D9014"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13D462D"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56BA104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B103FCD"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361E4921" w14:textId="77777777">
        <w:trPr>
          <w:trHeight w:val="1200"/>
        </w:trPr>
        <w:tc>
          <w:tcPr>
            <w:tcW w:w="0" w:type="auto"/>
            <w:noWrap/>
            <w:hideMark/>
          </w:tcPr>
          <w:p w:rsidRPr="007938ED" w:rsidR="00D31E46" w:rsidP="00D31E46" w:rsidRDefault="00D31E46" w14:paraId="4FFFF9B1" w14:textId="77777777">
            <w:pPr>
              <w:rPr>
                <w:rFonts w:asciiTheme="majorHAnsi" w:hAnsiTheme="majorHAnsi"/>
                <w:sz w:val="18"/>
                <w:szCs w:val="12"/>
              </w:rPr>
            </w:pPr>
            <w:r w:rsidRPr="007938ED">
              <w:rPr>
                <w:rFonts w:asciiTheme="majorHAnsi" w:hAnsiTheme="majorHAnsi"/>
                <w:sz w:val="18"/>
                <w:szCs w:val="12"/>
              </w:rPr>
              <w:t>149</w:t>
            </w:r>
          </w:p>
        </w:tc>
        <w:tc>
          <w:tcPr>
            <w:tcW w:w="0" w:type="auto"/>
            <w:hideMark/>
          </w:tcPr>
          <w:p w:rsidRPr="007938ED" w:rsidR="00D31E46" w:rsidRDefault="00D31E46" w14:paraId="2A1ADF2F"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63F0C66B" w14:textId="77777777">
            <w:pPr>
              <w:rPr>
                <w:rFonts w:asciiTheme="majorHAnsi" w:hAnsiTheme="majorHAnsi"/>
                <w:sz w:val="18"/>
                <w:szCs w:val="12"/>
              </w:rPr>
            </w:pPr>
            <w:r w:rsidRPr="007938ED">
              <w:rPr>
                <w:rFonts w:asciiTheme="majorHAnsi" w:hAnsiTheme="majorHAnsi"/>
                <w:sz w:val="18"/>
                <w:szCs w:val="12"/>
              </w:rPr>
              <w:t>Lifecycle ex-ante Therm gross</w:t>
            </w:r>
          </w:p>
        </w:tc>
        <w:tc>
          <w:tcPr>
            <w:tcW w:w="0" w:type="auto"/>
            <w:hideMark/>
          </w:tcPr>
          <w:p w:rsidRPr="007938ED" w:rsidR="00D31E46" w:rsidRDefault="00D31E46" w14:paraId="26F8E77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5D5807A"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AAE8888"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74B8BCC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E2FAD75"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133D6BEC" w14:textId="77777777">
        <w:trPr>
          <w:trHeight w:val="1200"/>
        </w:trPr>
        <w:tc>
          <w:tcPr>
            <w:tcW w:w="0" w:type="auto"/>
            <w:noWrap/>
            <w:hideMark/>
          </w:tcPr>
          <w:p w:rsidRPr="007938ED" w:rsidR="00D31E46" w:rsidP="00D31E46" w:rsidRDefault="00D31E46" w14:paraId="42E858EB" w14:textId="77777777">
            <w:pPr>
              <w:rPr>
                <w:rFonts w:asciiTheme="majorHAnsi" w:hAnsiTheme="majorHAnsi"/>
                <w:sz w:val="18"/>
                <w:szCs w:val="12"/>
              </w:rPr>
            </w:pPr>
            <w:r w:rsidRPr="007938ED">
              <w:rPr>
                <w:rFonts w:asciiTheme="majorHAnsi" w:hAnsiTheme="majorHAnsi"/>
                <w:sz w:val="18"/>
                <w:szCs w:val="12"/>
              </w:rPr>
              <w:t>150</w:t>
            </w:r>
          </w:p>
        </w:tc>
        <w:tc>
          <w:tcPr>
            <w:tcW w:w="0" w:type="auto"/>
            <w:hideMark/>
          </w:tcPr>
          <w:p w:rsidRPr="007938ED" w:rsidR="00D31E46" w:rsidRDefault="00D31E46" w14:paraId="66A818B8"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w:t>
            </w:r>
          </w:p>
        </w:tc>
        <w:tc>
          <w:tcPr>
            <w:tcW w:w="0" w:type="auto"/>
            <w:hideMark/>
          </w:tcPr>
          <w:p w:rsidRPr="007938ED" w:rsidR="00D31E46" w:rsidRDefault="00D31E46" w14:paraId="59C93384" w14:textId="77777777">
            <w:pPr>
              <w:rPr>
                <w:rFonts w:asciiTheme="majorHAnsi" w:hAnsiTheme="majorHAnsi"/>
                <w:sz w:val="18"/>
                <w:szCs w:val="12"/>
              </w:rPr>
            </w:pPr>
            <w:r w:rsidRPr="007938ED">
              <w:rPr>
                <w:rFonts w:asciiTheme="majorHAnsi" w:hAnsiTheme="majorHAnsi"/>
                <w:sz w:val="18"/>
                <w:szCs w:val="12"/>
              </w:rPr>
              <w:t>Lifecycle ex-ante Therm net</w:t>
            </w:r>
          </w:p>
        </w:tc>
        <w:tc>
          <w:tcPr>
            <w:tcW w:w="0" w:type="auto"/>
            <w:hideMark/>
          </w:tcPr>
          <w:p w:rsidRPr="007938ED" w:rsidR="00D31E46" w:rsidRDefault="00D31E46" w14:paraId="16CA45A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8DE73A0"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906B32B"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51143DA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08D2E7F"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75D25234" w14:textId="77777777">
        <w:trPr>
          <w:trHeight w:val="1200"/>
        </w:trPr>
        <w:tc>
          <w:tcPr>
            <w:tcW w:w="0" w:type="auto"/>
            <w:noWrap/>
            <w:hideMark/>
          </w:tcPr>
          <w:p w:rsidRPr="007938ED" w:rsidR="00D31E46" w:rsidP="00D31E46" w:rsidRDefault="00D31E46" w14:paraId="3661EF89" w14:textId="77777777">
            <w:pPr>
              <w:rPr>
                <w:rFonts w:asciiTheme="majorHAnsi" w:hAnsiTheme="majorHAnsi"/>
                <w:sz w:val="18"/>
                <w:szCs w:val="12"/>
              </w:rPr>
            </w:pPr>
            <w:r w:rsidRPr="007938ED">
              <w:rPr>
                <w:rFonts w:asciiTheme="majorHAnsi" w:hAnsiTheme="majorHAnsi"/>
                <w:sz w:val="18"/>
                <w:szCs w:val="12"/>
              </w:rPr>
              <w:t>151</w:t>
            </w:r>
          </w:p>
        </w:tc>
        <w:tc>
          <w:tcPr>
            <w:tcW w:w="0" w:type="auto"/>
            <w:hideMark/>
          </w:tcPr>
          <w:p w:rsidRPr="007938ED" w:rsidR="00D31E46" w:rsidRDefault="00D31E46" w14:paraId="662F3A73"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3CE24C42" w14:textId="77777777">
            <w:pPr>
              <w:rPr>
                <w:rFonts w:asciiTheme="majorHAnsi" w:hAnsiTheme="majorHAnsi"/>
                <w:sz w:val="18"/>
                <w:szCs w:val="12"/>
              </w:rPr>
            </w:pPr>
            <w:r w:rsidRPr="007938ED">
              <w:rPr>
                <w:rFonts w:asciiTheme="majorHAnsi" w:hAnsiTheme="majorHAnsi"/>
                <w:sz w:val="18"/>
                <w:szCs w:val="12"/>
              </w:rPr>
              <w:t>Percent first year annual kW gross</w:t>
            </w:r>
          </w:p>
        </w:tc>
        <w:tc>
          <w:tcPr>
            <w:tcW w:w="0" w:type="auto"/>
            <w:hideMark/>
          </w:tcPr>
          <w:p w:rsidRPr="007938ED" w:rsidR="00D31E46" w:rsidRDefault="00D31E46" w14:paraId="50944AD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407927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18AA4D8"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EE29C22"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68C7788"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6220F5C3" w14:textId="77777777">
        <w:trPr>
          <w:trHeight w:val="1200"/>
        </w:trPr>
        <w:tc>
          <w:tcPr>
            <w:tcW w:w="0" w:type="auto"/>
            <w:noWrap/>
            <w:hideMark/>
          </w:tcPr>
          <w:p w:rsidRPr="007938ED" w:rsidR="00D31E46" w:rsidP="00D31E46" w:rsidRDefault="00D31E46" w14:paraId="20A87EC4" w14:textId="77777777">
            <w:pPr>
              <w:rPr>
                <w:rFonts w:asciiTheme="majorHAnsi" w:hAnsiTheme="majorHAnsi"/>
                <w:sz w:val="18"/>
                <w:szCs w:val="12"/>
              </w:rPr>
            </w:pPr>
            <w:r w:rsidRPr="007938ED">
              <w:rPr>
                <w:rFonts w:asciiTheme="majorHAnsi" w:hAnsiTheme="majorHAnsi"/>
                <w:sz w:val="18"/>
                <w:szCs w:val="12"/>
              </w:rPr>
              <w:lastRenderedPageBreak/>
              <w:t>152</w:t>
            </w:r>
          </w:p>
        </w:tc>
        <w:tc>
          <w:tcPr>
            <w:tcW w:w="0" w:type="auto"/>
            <w:hideMark/>
          </w:tcPr>
          <w:p w:rsidRPr="007938ED" w:rsidR="00D31E46" w:rsidRDefault="00D31E46" w14:paraId="7B13F200"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4737F12C" w14:textId="77777777">
            <w:pPr>
              <w:rPr>
                <w:rFonts w:asciiTheme="majorHAnsi" w:hAnsiTheme="majorHAnsi"/>
                <w:sz w:val="18"/>
                <w:szCs w:val="12"/>
              </w:rPr>
            </w:pPr>
            <w:r w:rsidRPr="007938ED">
              <w:rPr>
                <w:rFonts w:asciiTheme="majorHAnsi" w:hAnsiTheme="majorHAnsi"/>
                <w:sz w:val="18"/>
                <w:szCs w:val="12"/>
              </w:rPr>
              <w:t>Percent first year annual kW net</w:t>
            </w:r>
          </w:p>
        </w:tc>
        <w:tc>
          <w:tcPr>
            <w:tcW w:w="0" w:type="auto"/>
            <w:hideMark/>
          </w:tcPr>
          <w:p w:rsidRPr="007938ED" w:rsidR="00D31E46" w:rsidRDefault="00D31E46" w14:paraId="482BF28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9044B8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4D2917A"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6D23AC77"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0C9C4573"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475A113A" w14:textId="77777777">
        <w:trPr>
          <w:trHeight w:val="1200"/>
        </w:trPr>
        <w:tc>
          <w:tcPr>
            <w:tcW w:w="0" w:type="auto"/>
            <w:noWrap/>
            <w:hideMark/>
          </w:tcPr>
          <w:p w:rsidRPr="007938ED" w:rsidR="00D31E46" w:rsidP="00D31E46" w:rsidRDefault="00D31E46" w14:paraId="25812165" w14:textId="77777777">
            <w:pPr>
              <w:rPr>
                <w:rFonts w:asciiTheme="majorHAnsi" w:hAnsiTheme="majorHAnsi"/>
                <w:sz w:val="18"/>
                <w:szCs w:val="12"/>
              </w:rPr>
            </w:pPr>
            <w:r w:rsidRPr="007938ED">
              <w:rPr>
                <w:rFonts w:asciiTheme="majorHAnsi" w:hAnsiTheme="majorHAnsi"/>
                <w:sz w:val="18"/>
                <w:szCs w:val="12"/>
              </w:rPr>
              <w:t>153</w:t>
            </w:r>
          </w:p>
        </w:tc>
        <w:tc>
          <w:tcPr>
            <w:tcW w:w="0" w:type="auto"/>
            <w:hideMark/>
          </w:tcPr>
          <w:p w:rsidRPr="007938ED" w:rsidR="00D31E46" w:rsidRDefault="00D31E46" w14:paraId="65EAD43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7CDC287B" w14:textId="77777777">
            <w:pPr>
              <w:rPr>
                <w:rFonts w:asciiTheme="majorHAnsi" w:hAnsiTheme="majorHAnsi"/>
                <w:sz w:val="18"/>
                <w:szCs w:val="12"/>
              </w:rPr>
            </w:pPr>
            <w:r w:rsidRPr="007938ED">
              <w:rPr>
                <w:rFonts w:asciiTheme="majorHAnsi" w:hAnsiTheme="majorHAnsi"/>
                <w:sz w:val="18"/>
                <w:szCs w:val="12"/>
              </w:rPr>
              <w:t>Percent first year annual kWh gross</w:t>
            </w:r>
          </w:p>
        </w:tc>
        <w:tc>
          <w:tcPr>
            <w:tcW w:w="0" w:type="auto"/>
            <w:hideMark/>
          </w:tcPr>
          <w:p w:rsidRPr="007938ED" w:rsidR="00D31E46" w:rsidRDefault="00D31E46" w14:paraId="2509E31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75A565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FAFA8D7"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0ED1A66"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31A69D0"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42AEC4BC" w14:textId="77777777">
        <w:trPr>
          <w:trHeight w:val="1200"/>
        </w:trPr>
        <w:tc>
          <w:tcPr>
            <w:tcW w:w="0" w:type="auto"/>
            <w:noWrap/>
            <w:hideMark/>
          </w:tcPr>
          <w:p w:rsidRPr="007938ED" w:rsidR="00D31E46" w:rsidP="00D31E46" w:rsidRDefault="00D31E46" w14:paraId="6553BA0B" w14:textId="77777777">
            <w:pPr>
              <w:rPr>
                <w:rFonts w:asciiTheme="majorHAnsi" w:hAnsiTheme="majorHAnsi"/>
                <w:sz w:val="18"/>
                <w:szCs w:val="12"/>
              </w:rPr>
            </w:pPr>
            <w:r w:rsidRPr="007938ED">
              <w:rPr>
                <w:rFonts w:asciiTheme="majorHAnsi" w:hAnsiTheme="majorHAnsi"/>
                <w:sz w:val="18"/>
                <w:szCs w:val="12"/>
              </w:rPr>
              <w:t>154</w:t>
            </w:r>
          </w:p>
        </w:tc>
        <w:tc>
          <w:tcPr>
            <w:tcW w:w="0" w:type="auto"/>
            <w:hideMark/>
          </w:tcPr>
          <w:p w:rsidRPr="007938ED" w:rsidR="00D31E46" w:rsidRDefault="00D31E46" w14:paraId="58152398"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3E0351C4" w14:textId="77777777">
            <w:pPr>
              <w:rPr>
                <w:rFonts w:asciiTheme="majorHAnsi" w:hAnsiTheme="majorHAnsi"/>
                <w:sz w:val="18"/>
                <w:szCs w:val="12"/>
              </w:rPr>
            </w:pPr>
            <w:r w:rsidRPr="007938ED">
              <w:rPr>
                <w:rFonts w:asciiTheme="majorHAnsi" w:hAnsiTheme="majorHAnsi"/>
                <w:sz w:val="18"/>
                <w:szCs w:val="12"/>
              </w:rPr>
              <w:t>Percent first year annual kWh net</w:t>
            </w:r>
          </w:p>
        </w:tc>
        <w:tc>
          <w:tcPr>
            <w:tcW w:w="0" w:type="auto"/>
            <w:hideMark/>
          </w:tcPr>
          <w:p w:rsidRPr="007938ED" w:rsidR="00D31E46" w:rsidRDefault="00D31E46" w14:paraId="206493F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D8E04D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C5C5ADC"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E1690F2"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2C38AC1"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04310F61" w14:textId="77777777">
        <w:trPr>
          <w:trHeight w:val="1200"/>
        </w:trPr>
        <w:tc>
          <w:tcPr>
            <w:tcW w:w="0" w:type="auto"/>
            <w:noWrap/>
            <w:hideMark/>
          </w:tcPr>
          <w:p w:rsidRPr="007938ED" w:rsidR="00D31E46" w:rsidP="00D31E46" w:rsidRDefault="00D31E46" w14:paraId="45BE4A18" w14:textId="77777777">
            <w:pPr>
              <w:rPr>
                <w:rFonts w:asciiTheme="majorHAnsi" w:hAnsiTheme="majorHAnsi"/>
                <w:sz w:val="18"/>
                <w:szCs w:val="12"/>
              </w:rPr>
            </w:pPr>
            <w:r w:rsidRPr="007938ED">
              <w:rPr>
                <w:rFonts w:asciiTheme="majorHAnsi" w:hAnsiTheme="majorHAnsi"/>
                <w:sz w:val="18"/>
                <w:szCs w:val="12"/>
              </w:rPr>
              <w:t>155</w:t>
            </w:r>
          </w:p>
        </w:tc>
        <w:tc>
          <w:tcPr>
            <w:tcW w:w="0" w:type="auto"/>
            <w:hideMark/>
          </w:tcPr>
          <w:p w:rsidRPr="007938ED" w:rsidR="00D31E46" w:rsidRDefault="00D31E46" w14:paraId="302D66D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58CF2410" w14:textId="77777777">
            <w:pPr>
              <w:rPr>
                <w:rFonts w:asciiTheme="majorHAnsi" w:hAnsiTheme="majorHAnsi"/>
                <w:sz w:val="18"/>
                <w:szCs w:val="12"/>
              </w:rPr>
            </w:pPr>
            <w:r w:rsidRPr="007938ED">
              <w:rPr>
                <w:rFonts w:asciiTheme="majorHAnsi" w:hAnsiTheme="majorHAnsi"/>
                <w:sz w:val="18"/>
                <w:szCs w:val="12"/>
              </w:rPr>
              <w:t>Percent first year annual Therm gross</w:t>
            </w:r>
          </w:p>
        </w:tc>
        <w:tc>
          <w:tcPr>
            <w:tcW w:w="0" w:type="auto"/>
            <w:hideMark/>
          </w:tcPr>
          <w:p w:rsidRPr="007938ED" w:rsidR="00D31E46" w:rsidRDefault="00D31E46" w14:paraId="1DA7717A"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BB90BD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509267B"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B160691"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7069FE5"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4C1BE24" w14:textId="77777777">
        <w:trPr>
          <w:trHeight w:val="1200"/>
        </w:trPr>
        <w:tc>
          <w:tcPr>
            <w:tcW w:w="0" w:type="auto"/>
            <w:noWrap/>
            <w:hideMark/>
          </w:tcPr>
          <w:p w:rsidRPr="007938ED" w:rsidR="00D31E46" w:rsidP="00D31E46" w:rsidRDefault="00D31E46" w14:paraId="6927A107" w14:textId="77777777">
            <w:pPr>
              <w:rPr>
                <w:rFonts w:asciiTheme="majorHAnsi" w:hAnsiTheme="majorHAnsi"/>
                <w:sz w:val="18"/>
                <w:szCs w:val="12"/>
              </w:rPr>
            </w:pPr>
            <w:r w:rsidRPr="007938ED">
              <w:rPr>
                <w:rFonts w:asciiTheme="majorHAnsi" w:hAnsiTheme="majorHAnsi"/>
                <w:sz w:val="18"/>
                <w:szCs w:val="12"/>
              </w:rPr>
              <w:t>156</w:t>
            </w:r>
          </w:p>
        </w:tc>
        <w:tc>
          <w:tcPr>
            <w:tcW w:w="0" w:type="auto"/>
            <w:hideMark/>
          </w:tcPr>
          <w:p w:rsidRPr="007938ED" w:rsidR="00D31E46" w:rsidRDefault="00D31E46" w14:paraId="30596A80"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71578BFC" w14:textId="77777777">
            <w:pPr>
              <w:rPr>
                <w:rFonts w:asciiTheme="majorHAnsi" w:hAnsiTheme="majorHAnsi"/>
                <w:sz w:val="18"/>
                <w:szCs w:val="12"/>
              </w:rPr>
            </w:pPr>
            <w:r w:rsidRPr="007938ED">
              <w:rPr>
                <w:rFonts w:asciiTheme="majorHAnsi" w:hAnsiTheme="majorHAnsi"/>
                <w:sz w:val="18"/>
                <w:szCs w:val="12"/>
              </w:rPr>
              <w:t>Percent first year annual Therm net</w:t>
            </w:r>
          </w:p>
        </w:tc>
        <w:tc>
          <w:tcPr>
            <w:tcW w:w="0" w:type="auto"/>
            <w:hideMark/>
          </w:tcPr>
          <w:p w:rsidRPr="007938ED" w:rsidR="00D31E46" w:rsidRDefault="00D31E46" w14:paraId="46A23A6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8A87FC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33ACBC2"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1A7C2D9"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BEAAB7D"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682BAC7A" w14:textId="77777777">
        <w:trPr>
          <w:trHeight w:val="1200"/>
        </w:trPr>
        <w:tc>
          <w:tcPr>
            <w:tcW w:w="0" w:type="auto"/>
            <w:noWrap/>
            <w:hideMark/>
          </w:tcPr>
          <w:p w:rsidRPr="007938ED" w:rsidR="00D31E46" w:rsidP="00D31E46" w:rsidRDefault="00D31E46" w14:paraId="37A83BED" w14:textId="77777777">
            <w:pPr>
              <w:rPr>
                <w:rFonts w:asciiTheme="majorHAnsi" w:hAnsiTheme="majorHAnsi"/>
                <w:sz w:val="18"/>
                <w:szCs w:val="12"/>
              </w:rPr>
            </w:pPr>
            <w:r w:rsidRPr="007938ED">
              <w:rPr>
                <w:rFonts w:asciiTheme="majorHAnsi" w:hAnsiTheme="majorHAnsi"/>
                <w:sz w:val="18"/>
                <w:szCs w:val="12"/>
              </w:rPr>
              <w:lastRenderedPageBreak/>
              <w:t>157</w:t>
            </w:r>
          </w:p>
        </w:tc>
        <w:tc>
          <w:tcPr>
            <w:tcW w:w="0" w:type="auto"/>
            <w:hideMark/>
          </w:tcPr>
          <w:p w:rsidRPr="007938ED" w:rsidR="00D31E46" w:rsidRDefault="00D31E46" w14:paraId="4C0FCC90"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15278582" w14:textId="77777777">
            <w:pPr>
              <w:rPr>
                <w:rFonts w:asciiTheme="majorHAnsi" w:hAnsiTheme="majorHAnsi"/>
                <w:sz w:val="18"/>
                <w:szCs w:val="12"/>
              </w:rPr>
            </w:pPr>
            <w:r w:rsidRPr="007938ED">
              <w:rPr>
                <w:rFonts w:asciiTheme="majorHAnsi" w:hAnsiTheme="majorHAnsi"/>
                <w:sz w:val="18"/>
                <w:szCs w:val="12"/>
              </w:rPr>
              <w:t>Percent lifecycle ex-ante kW gross</w:t>
            </w:r>
          </w:p>
        </w:tc>
        <w:tc>
          <w:tcPr>
            <w:tcW w:w="0" w:type="auto"/>
            <w:hideMark/>
          </w:tcPr>
          <w:p w:rsidRPr="007938ED" w:rsidR="00D31E46" w:rsidRDefault="00D31E46" w14:paraId="283993D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3EA2B4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98AF9C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39DA0A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1294AE9"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0EC72865" w14:textId="77777777">
        <w:trPr>
          <w:trHeight w:val="1200"/>
        </w:trPr>
        <w:tc>
          <w:tcPr>
            <w:tcW w:w="0" w:type="auto"/>
            <w:noWrap/>
            <w:hideMark/>
          </w:tcPr>
          <w:p w:rsidRPr="007938ED" w:rsidR="00D31E46" w:rsidP="00D31E46" w:rsidRDefault="00D31E46" w14:paraId="6E84AA5F" w14:textId="77777777">
            <w:pPr>
              <w:rPr>
                <w:rFonts w:asciiTheme="majorHAnsi" w:hAnsiTheme="majorHAnsi"/>
                <w:sz w:val="18"/>
                <w:szCs w:val="12"/>
              </w:rPr>
            </w:pPr>
            <w:r w:rsidRPr="007938ED">
              <w:rPr>
                <w:rFonts w:asciiTheme="majorHAnsi" w:hAnsiTheme="majorHAnsi"/>
                <w:sz w:val="18"/>
                <w:szCs w:val="12"/>
              </w:rPr>
              <w:t>158</w:t>
            </w:r>
          </w:p>
        </w:tc>
        <w:tc>
          <w:tcPr>
            <w:tcW w:w="0" w:type="auto"/>
            <w:hideMark/>
          </w:tcPr>
          <w:p w:rsidRPr="007938ED" w:rsidR="00D31E46" w:rsidRDefault="00D31E46" w14:paraId="7288E77C"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09256C52" w14:textId="77777777">
            <w:pPr>
              <w:rPr>
                <w:rFonts w:asciiTheme="majorHAnsi" w:hAnsiTheme="majorHAnsi"/>
                <w:sz w:val="18"/>
                <w:szCs w:val="12"/>
              </w:rPr>
            </w:pPr>
            <w:r w:rsidRPr="007938ED">
              <w:rPr>
                <w:rFonts w:asciiTheme="majorHAnsi" w:hAnsiTheme="majorHAnsi"/>
                <w:sz w:val="18"/>
                <w:szCs w:val="12"/>
              </w:rPr>
              <w:t>Percent lifecycle ex-ante kW net</w:t>
            </w:r>
          </w:p>
        </w:tc>
        <w:tc>
          <w:tcPr>
            <w:tcW w:w="0" w:type="auto"/>
            <w:hideMark/>
          </w:tcPr>
          <w:p w:rsidRPr="007938ED" w:rsidR="00D31E46" w:rsidRDefault="00D31E46" w14:paraId="7BB94B6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E8E581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5D5D0C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6B84AF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7220283"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9F1C0AB" w14:textId="77777777">
        <w:trPr>
          <w:trHeight w:val="1200"/>
        </w:trPr>
        <w:tc>
          <w:tcPr>
            <w:tcW w:w="0" w:type="auto"/>
            <w:noWrap/>
            <w:hideMark/>
          </w:tcPr>
          <w:p w:rsidRPr="007938ED" w:rsidR="00D31E46" w:rsidP="00D31E46" w:rsidRDefault="00D31E46" w14:paraId="09656524" w14:textId="77777777">
            <w:pPr>
              <w:rPr>
                <w:rFonts w:asciiTheme="majorHAnsi" w:hAnsiTheme="majorHAnsi"/>
                <w:sz w:val="18"/>
                <w:szCs w:val="12"/>
              </w:rPr>
            </w:pPr>
            <w:r w:rsidRPr="007938ED">
              <w:rPr>
                <w:rFonts w:asciiTheme="majorHAnsi" w:hAnsiTheme="majorHAnsi"/>
                <w:sz w:val="18"/>
                <w:szCs w:val="12"/>
              </w:rPr>
              <w:t>159</w:t>
            </w:r>
          </w:p>
        </w:tc>
        <w:tc>
          <w:tcPr>
            <w:tcW w:w="0" w:type="auto"/>
            <w:hideMark/>
          </w:tcPr>
          <w:p w:rsidRPr="007938ED" w:rsidR="00D31E46" w:rsidRDefault="00D31E46" w14:paraId="11E5BD45"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359AB378" w14:textId="77777777">
            <w:pPr>
              <w:rPr>
                <w:rFonts w:asciiTheme="majorHAnsi" w:hAnsiTheme="majorHAnsi"/>
                <w:sz w:val="18"/>
                <w:szCs w:val="12"/>
              </w:rPr>
            </w:pPr>
            <w:r w:rsidRPr="007938ED">
              <w:rPr>
                <w:rFonts w:asciiTheme="majorHAnsi" w:hAnsiTheme="majorHAnsi"/>
                <w:sz w:val="18"/>
                <w:szCs w:val="12"/>
              </w:rPr>
              <w:t>Percent lifecycle ex-ante kWh gross</w:t>
            </w:r>
          </w:p>
        </w:tc>
        <w:tc>
          <w:tcPr>
            <w:tcW w:w="0" w:type="auto"/>
            <w:hideMark/>
          </w:tcPr>
          <w:p w:rsidRPr="007938ED" w:rsidR="00D31E46" w:rsidRDefault="00D31E46" w14:paraId="0AE3CD4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047BA1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ABC051D"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A1CF8C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481FDC9"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0DDE62EE" w14:textId="77777777">
        <w:trPr>
          <w:trHeight w:val="1200"/>
        </w:trPr>
        <w:tc>
          <w:tcPr>
            <w:tcW w:w="0" w:type="auto"/>
            <w:noWrap/>
            <w:hideMark/>
          </w:tcPr>
          <w:p w:rsidRPr="007938ED" w:rsidR="00D31E46" w:rsidP="00D31E46" w:rsidRDefault="00D31E46" w14:paraId="3A791FE3" w14:textId="77777777">
            <w:pPr>
              <w:rPr>
                <w:rFonts w:asciiTheme="majorHAnsi" w:hAnsiTheme="majorHAnsi"/>
                <w:sz w:val="18"/>
                <w:szCs w:val="12"/>
              </w:rPr>
            </w:pPr>
            <w:r w:rsidRPr="007938ED">
              <w:rPr>
                <w:rFonts w:asciiTheme="majorHAnsi" w:hAnsiTheme="majorHAnsi"/>
                <w:sz w:val="18"/>
                <w:szCs w:val="12"/>
              </w:rPr>
              <w:t>160</w:t>
            </w:r>
          </w:p>
        </w:tc>
        <w:tc>
          <w:tcPr>
            <w:tcW w:w="0" w:type="auto"/>
            <w:hideMark/>
          </w:tcPr>
          <w:p w:rsidRPr="007938ED" w:rsidR="00D31E46" w:rsidRDefault="00D31E46" w14:paraId="53C9110B"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639FBB12" w14:textId="77777777">
            <w:pPr>
              <w:rPr>
                <w:rFonts w:asciiTheme="majorHAnsi" w:hAnsiTheme="majorHAnsi"/>
                <w:sz w:val="18"/>
                <w:szCs w:val="12"/>
              </w:rPr>
            </w:pPr>
            <w:r w:rsidRPr="007938ED">
              <w:rPr>
                <w:rFonts w:asciiTheme="majorHAnsi" w:hAnsiTheme="majorHAnsi"/>
                <w:sz w:val="18"/>
                <w:szCs w:val="12"/>
              </w:rPr>
              <w:t>Percent lifecycle ex-ante kWh net</w:t>
            </w:r>
          </w:p>
        </w:tc>
        <w:tc>
          <w:tcPr>
            <w:tcW w:w="0" w:type="auto"/>
            <w:hideMark/>
          </w:tcPr>
          <w:p w:rsidRPr="007938ED" w:rsidR="00D31E46" w:rsidRDefault="00D31E46" w14:paraId="01D886D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AB9D61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658524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55A728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9E83FA4"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4594A39" w14:textId="77777777">
        <w:trPr>
          <w:trHeight w:val="1200"/>
        </w:trPr>
        <w:tc>
          <w:tcPr>
            <w:tcW w:w="0" w:type="auto"/>
            <w:noWrap/>
            <w:hideMark/>
          </w:tcPr>
          <w:p w:rsidRPr="007938ED" w:rsidR="00D31E46" w:rsidP="00D31E46" w:rsidRDefault="00D31E46" w14:paraId="2785EA9A" w14:textId="77777777">
            <w:pPr>
              <w:rPr>
                <w:rFonts w:asciiTheme="majorHAnsi" w:hAnsiTheme="majorHAnsi"/>
                <w:sz w:val="18"/>
                <w:szCs w:val="12"/>
              </w:rPr>
            </w:pPr>
            <w:r w:rsidRPr="007938ED">
              <w:rPr>
                <w:rFonts w:asciiTheme="majorHAnsi" w:hAnsiTheme="majorHAnsi"/>
                <w:sz w:val="18"/>
                <w:szCs w:val="12"/>
              </w:rPr>
              <w:t>161</w:t>
            </w:r>
          </w:p>
        </w:tc>
        <w:tc>
          <w:tcPr>
            <w:tcW w:w="0" w:type="auto"/>
            <w:hideMark/>
          </w:tcPr>
          <w:p w:rsidRPr="007938ED" w:rsidR="00D31E46" w:rsidRDefault="00D31E46" w14:paraId="5785DAE1"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452AC7C6" w14:textId="77777777">
            <w:pPr>
              <w:rPr>
                <w:rFonts w:asciiTheme="majorHAnsi" w:hAnsiTheme="majorHAnsi"/>
                <w:sz w:val="18"/>
                <w:szCs w:val="12"/>
              </w:rPr>
            </w:pPr>
            <w:r w:rsidRPr="007938ED">
              <w:rPr>
                <w:rFonts w:asciiTheme="majorHAnsi" w:hAnsiTheme="majorHAnsi"/>
                <w:sz w:val="18"/>
                <w:szCs w:val="12"/>
              </w:rPr>
              <w:t>Percent lifecycle ex-ante Therm gross</w:t>
            </w:r>
          </w:p>
        </w:tc>
        <w:tc>
          <w:tcPr>
            <w:tcW w:w="0" w:type="auto"/>
            <w:hideMark/>
          </w:tcPr>
          <w:p w:rsidRPr="007938ED" w:rsidR="00D31E46" w:rsidRDefault="00D31E46" w14:paraId="153ECF3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59F89F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47C38D8"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C9DA33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68A57DC"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1D2E00BB" w14:textId="77777777">
        <w:trPr>
          <w:trHeight w:val="1200"/>
        </w:trPr>
        <w:tc>
          <w:tcPr>
            <w:tcW w:w="0" w:type="auto"/>
            <w:noWrap/>
            <w:hideMark/>
          </w:tcPr>
          <w:p w:rsidRPr="007938ED" w:rsidR="00D31E46" w:rsidP="00D31E46" w:rsidRDefault="00D31E46" w14:paraId="10812222" w14:textId="77777777">
            <w:pPr>
              <w:rPr>
                <w:rFonts w:asciiTheme="majorHAnsi" w:hAnsiTheme="majorHAnsi"/>
                <w:sz w:val="18"/>
                <w:szCs w:val="12"/>
              </w:rPr>
            </w:pPr>
            <w:r w:rsidRPr="007938ED">
              <w:rPr>
                <w:rFonts w:asciiTheme="majorHAnsi" w:hAnsiTheme="majorHAnsi"/>
                <w:sz w:val="18"/>
                <w:szCs w:val="12"/>
              </w:rPr>
              <w:lastRenderedPageBreak/>
              <w:t>162</w:t>
            </w:r>
          </w:p>
        </w:tc>
        <w:tc>
          <w:tcPr>
            <w:tcW w:w="0" w:type="auto"/>
            <w:hideMark/>
          </w:tcPr>
          <w:p w:rsidRPr="007938ED" w:rsidR="00D31E46" w:rsidRDefault="00D31E46" w14:paraId="45073962"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as a percentage of overall sectoral usage</w:t>
            </w:r>
          </w:p>
        </w:tc>
        <w:tc>
          <w:tcPr>
            <w:tcW w:w="0" w:type="auto"/>
            <w:hideMark/>
          </w:tcPr>
          <w:p w:rsidRPr="007938ED" w:rsidR="00D31E46" w:rsidRDefault="00D31E46" w14:paraId="413145EF" w14:textId="77777777">
            <w:pPr>
              <w:rPr>
                <w:rFonts w:asciiTheme="majorHAnsi" w:hAnsiTheme="majorHAnsi"/>
                <w:sz w:val="18"/>
                <w:szCs w:val="12"/>
              </w:rPr>
            </w:pPr>
            <w:r w:rsidRPr="007938ED">
              <w:rPr>
                <w:rFonts w:asciiTheme="majorHAnsi" w:hAnsiTheme="majorHAnsi"/>
                <w:sz w:val="18"/>
                <w:szCs w:val="12"/>
              </w:rPr>
              <w:t>Percent lifecycle ex-ante Therm net</w:t>
            </w:r>
          </w:p>
        </w:tc>
        <w:tc>
          <w:tcPr>
            <w:tcW w:w="0" w:type="auto"/>
            <w:hideMark/>
          </w:tcPr>
          <w:p w:rsidRPr="007938ED" w:rsidR="00D31E46" w:rsidRDefault="00D31E46" w14:paraId="1A54B9C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F685DAA"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1DE1016"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F1BE0D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B8DE243"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11417CD9" w14:textId="77777777">
        <w:trPr>
          <w:trHeight w:val="1200"/>
        </w:trPr>
        <w:tc>
          <w:tcPr>
            <w:tcW w:w="0" w:type="auto"/>
            <w:noWrap/>
            <w:hideMark/>
          </w:tcPr>
          <w:p w:rsidRPr="007938ED" w:rsidR="00D31E46" w:rsidP="00D31E46" w:rsidRDefault="00D31E46" w14:paraId="08DEB7FD" w14:textId="77777777">
            <w:pPr>
              <w:rPr>
                <w:rFonts w:asciiTheme="majorHAnsi" w:hAnsiTheme="majorHAnsi"/>
                <w:sz w:val="18"/>
                <w:szCs w:val="12"/>
              </w:rPr>
            </w:pPr>
            <w:r w:rsidRPr="007938ED">
              <w:rPr>
                <w:rFonts w:asciiTheme="majorHAnsi" w:hAnsiTheme="majorHAnsi"/>
                <w:sz w:val="18"/>
                <w:szCs w:val="12"/>
              </w:rPr>
              <w:t>163</w:t>
            </w:r>
          </w:p>
        </w:tc>
        <w:tc>
          <w:tcPr>
            <w:tcW w:w="0" w:type="auto"/>
            <w:hideMark/>
          </w:tcPr>
          <w:p w:rsidRPr="007938ED" w:rsidR="00D31E46" w:rsidRDefault="00D31E46" w14:paraId="63452546" w14:textId="77777777">
            <w:pPr>
              <w:rPr>
                <w:rFonts w:asciiTheme="majorHAnsi" w:hAnsiTheme="majorHAnsi"/>
                <w:sz w:val="18"/>
                <w:szCs w:val="12"/>
              </w:rPr>
            </w:pPr>
            <w:r w:rsidRPr="007938ED">
              <w:rPr>
                <w:rFonts w:asciiTheme="majorHAnsi" w:hAnsiTheme="majorHAnsi"/>
                <w:sz w:val="18"/>
                <w:szCs w:val="12"/>
              </w:rPr>
              <w:t>Greenhouse gasses (MT CO2eq) Net kWh savings, reported on an annual basis</w:t>
            </w:r>
          </w:p>
        </w:tc>
        <w:tc>
          <w:tcPr>
            <w:tcW w:w="0" w:type="auto"/>
            <w:hideMark/>
          </w:tcPr>
          <w:p w:rsidRPr="007938ED" w:rsidR="00D31E46" w:rsidRDefault="00D31E46" w14:paraId="6EB3C964" w14:textId="77777777">
            <w:pPr>
              <w:rPr>
                <w:rFonts w:asciiTheme="majorHAnsi" w:hAnsiTheme="majorHAnsi"/>
                <w:sz w:val="18"/>
                <w:szCs w:val="12"/>
              </w:rPr>
            </w:pPr>
            <w:r w:rsidRPr="007938ED">
              <w:rPr>
                <w:rFonts w:asciiTheme="majorHAnsi" w:hAnsiTheme="majorHAnsi"/>
                <w:sz w:val="18"/>
                <w:szCs w:val="12"/>
              </w:rPr>
              <w:t>CO2-equivalent of net annual kWh savings</w:t>
            </w:r>
          </w:p>
        </w:tc>
        <w:tc>
          <w:tcPr>
            <w:tcW w:w="0" w:type="auto"/>
            <w:hideMark/>
          </w:tcPr>
          <w:p w:rsidRPr="007938ED" w:rsidR="00D31E46" w:rsidRDefault="00D31E46" w14:paraId="0241EEC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672F07C" w14:textId="77777777">
            <w:pPr>
              <w:rPr>
                <w:rFonts w:asciiTheme="majorHAnsi" w:hAnsiTheme="majorHAnsi"/>
                <w:sz w:val="18"/>
                <w:szCs w:val="12"/>
              </w:rPr>
            </w:pPr>
            <w:r w:rsidRPr="007938ED">
              <w:rPr>
                <w:rFonts w:asciiTheme="majorHAnsi" w:hAnsiTheme="majorHAnsi"/>
                <w:sz w:val="18"/>
                <w:szCs w:val="12"/>
              </w:rPr>
              <w:t>GHG</w:t>
            </w:r>
          </w:p>
        </w:tc>
        <w:tc>
          <w:tcPr>
            <w:tcW w:w="0" w:type="auto"/>
            <w:hideMark/>
          </w:tcPr>
          <w:p w:rsidRPr="007938ED" w:rsidR="00D31E46" w:rsidP="00D31E46" w:rsidRDefault="00D31E46" w14:paraId="72809FDC"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4B81B17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981BD21" w14:textId="77777777">
            <w:pPr>
              <w:rPr>
                <w:rFonts w:asciiTheme="majorHAnsi" w:hAnsiTheme="majorHAnsi"/>
                <w:sz w:val="18"/>
                <w:szCs w:val="12"/>
              </w:rPr>
            </w:pPr>
            <w:r w:rsidRPr="007938ED">
              <w:rPr>
                <w:rFonts w:asciiTheme="majorHAnsi" w:hAnsiTheme="majorHAnsi"/>
                <w:sz w:val="18"/>
                <w:szCs w:val="12"/>
              </w:rPr>
              <w:t>MT CO2eq</w:t>
            </w:r>
          </w:p>
        </w:tc>
      </w:tr>
      <w:tr w:rsidRPr="007938ED" w:rsidR="00CE6F7B" w:rsidTr="007938ED" w14:paraId="5AAE65CC" w14:textId="77777777">
        <w:trPr>
          <w:trHeight w:val="1200"/>
        </w:trPr>
        <w:tc>
          <w:tcPr>
            <w:tcW w:w="0" w:type="auto"/>
            <w:noWrap/>
            <w:hideMark/>
          </w:tcPr>
          <w:p w:rsidRPr="007938ED" w:rsidR="00D31E46" w:rsidP="00D31E46" w:rsidRDefault="00D31E46" w14:paraId="185F4CDA" w14:textId="77777777">
            <w:pPr>
              <w:rPr>
                <w:rFonts w:asciiTheme="majorHAnsi" w:hAnsiTheme="majorHAnsi"/>
                <w:sz w:val="18"/>
                <w:szCs w:val="12"/>
              </w:rPr>
            </w:pPr>
            <w:r w:rsidRPr="007938ED">
              <w:rPr>
                <w:rFonts w:asciiTheme="majorHAnsi" w:hAnsiTheme="majorHAnsi"/>
                <w:sz w:val="18"/>
                <w:szCs w:val="12"/>
              </w:rPr>
              <w:t>164</w:t>
            </w:r>
          </w:p>
        </w:tc>
        <w:tc>
          <w:tcPr>
            <w:tcW w:w="0" w:type="auto"/>
            <w:hideMark/>
          </w:tcPr>
          <w:p w:rsidRPr="007938ED" w:rsidR="00D31E46" w:rsidRDefault="00D31E46" w14:paraId="1B140DA1" w14:textId="77777777">
            <w:pPr>
              <w:rPr>
                <w:rFonts w:asciiTheme="majorHAnsi" w:hAnsiTheme="majorHAnsi"/>
                <w:sz w:val="18"/>
                <w:szCs w:val="12"/>
              </w:rPr>
            </w:pPr>
            <w:r w:rsidRPr="007938ED">
              <w:rPr>
                <w:rFonts w:asciiTheme="majorHAnsi" w:hAnsiTheme="majorHAnsi"/>
                <w:sz w:val="18"/>
                <w:szCs w:val="12"/>
              </w:rPr>
              <w:t>Energy savings (gross kWh, therms) as a fraction of total project consumption</w:t>
            </w:r>
          </w:p>
        </w:tc>
        <w:tc>
          <w:tcPr>
            <w:tcW w:w="0" w:type="auto"/>
            <w:noWrap/>
            <w:hideMark/>
          </w:tcPr>
          <w:p w:rsidRPr="007938ED" w:rsidR="00D31E46" w:rsidRDefault="00D31E46" w14:paraId="6B5BA96F" w14:textId="77777777">
            <w:pPr>
              <w:rPr>
                <w:rFonts w:asciiTheme="majorHAnsi" w:hAnsiTheme="majorHAnsi"/>
                <w:sz w:val="18"/>
                <w:szCs w:val="12"/>
              </w:rPr>
            </w:pPr>
            <w:r w:rsidRPr="007938ED">
              <w:rPr>
                <w:rFonts w:asciiTheme="majorHAnsi" w:hAnsiTheme="majorHAnsi"/>
                <w:sz w:val="18"/>
                <w:szCs w:val="12"/>
              </w:rPr>
              <w:t>Percent lifecycle gross kW</w:t>
            </w:r>
          </w:p>
        </w:tc>
        <w:tc>
          <w:tcPr>
            <w:tcW w:w="0" w:type="auto"/>
            <w:hideMark/>
          </w:tcPr>
          <w:p w:rsidRPr="007938ED" w:rsidR="00D31E46" w:rsidRDefault="00D31E46" w14:paraId="3680004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796C468"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1DF9C138"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176495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1E8CA88"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3727B3E6" w14:textId="77777777">
        <w:trPr>
          <w:trHeight w:val="1200"/>
        </w:trPr>
        <w:tc>
          <w:tcPr>
            <w:tcW w:w="0" w:type="auto"/>
            <w:noWrap/>
            <w:hideMark/>
          </w:tcPr>
          <w:p w:rsidRPr="007938ED" w:rsidR="00D31E46" w:rsidP="00D31E46" w:rsidRDefault="00D31E46" w14:paraId="6F842B42" w14:textId="77777777">
            <w:pPr>
              <w:rPr>
                <w:rFonts w:asciiTheme="majorHAnsi" w:hAnsiTheme="majorHAnsi"/>
                <w:sz w:val="18"/>
                <w:szCs w:val="12"/>
              </w:rPr>
            </w:pPr>
            <w:r w:rsidRPr="007938ED">
              <w:rPr>
                <w:rFonts w:asciiTheme="majorHAnsi" w:hAnsiTheme="majorHAnsi"/>
                <w:sz w:val="18"/>
                <w:szCs w:val="12"/>
              </w:rPr>
              <w:t>165</w:t>
            </w:r>
          </w:p>
        </w:tc>
        <w:tc>
          <w:tcPr>
            <w:tcW w:w="0" w:type="auto"/>
            <w:hideMark/>
          </w:tcPr>
          <w:p w:rsidRPr="007938ED" w:rsidR="00D31E46" w:rsidRDefault="00D31E46" w14:paraId="3C7C8640" w14:textId="77777777">
            <w:pPr>
              <w:rPr>
                <w:rFonts w:asciiTheme="majorHAnsi" w:hAnsiTheme="majorHAnsi"/>
                <w:sz w:val="18"/>
                <w:szCs w:val="12"/>
              </w:rPr>
            </w:pPr>
            <w:r w:rsidRPr="007938ED">
              <w:rPr>
                <w:rFonts w:asciiTheme="majorHAnsi" w:hAnsiTheme="majorHAnsi"/>
                <w:sz w:val="18"/>
                <w:szCs w:val="12"/>
              </w:rPr>
              <w:t>Energy savings (gross kWh, therms) as a fraction of total project consumption</w:t>
            </w:r>
          </w:p>
        </w:tc>
        <w:tc>
          <w:tcPr>
            <w:tcW w:w="0" w:type="auto"/>
            <w:noWrap/>
            <w:hideMark/>
          </w:tcPr>
          <w:p w:rsidRPr="007938ED" w:rsidR="00D31E46" w:rsidRDefault="00D31E46" w14:paraId="10372815" w14:textId="77777777">
            <w:pPr>
              <w:rPr>
                <w:rFonts w:asciiTheme="majorHAnsi" w:hAnsiTheme="majorHAnsi"/>
                <w:sz w:val="18"/>
                <w:szCs w:val="12"/>
              </w:rPr>
            </w:pPr>
            <w:r w:rsidRPr="007938ED">
              <w:rPr>
                <w:rFonts w:asciiTheme="majorHAnsi" w:hAnsiTheme="majorHAnsi"/>
                <w:sz w:val="18"/>
                <w:szCs w:val="12"/>
              </w:rPr>
              <w:t>Percent lifecycle gross kWh</w:t>
            </w:r>
          </w:p>
        </w:tc>
        <w:tc>
          <w:tcPr>
            <w:tcW w:w="0" w:type="auto"/>
            <w:hideMark/>
          </w:tcPr>
          <w:p w:rsidRPr="007938ED" w:rsidR="00D31E46" w:rsidRDefault="00D31E46" w14:paraId="2F09778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93A93D1"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7745676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C9BE5C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3C9FE25"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D49201D" w14:textId="77777777">
        <w:trPr>
          <w:trHeight w:val="1200"/>
        </w:trPr>
        <w:tc>
          <w:tcPr>
            <w:tcW w:w="0" w:type="auto"/>
            <w:noWrap/>
            <w:hideMark/>
          </w:tcPr>
          <w:p w:rsidRPr="007938ED" w:rsidR="00D31E46" w:rsidP="00D31E46" w:rsidRDefault="00D31E46" w14:paraId="092D4BF6" w14:textId="77777777">
            <w:pPr>
              <w:rPr>
                <w:rFonts w:asciiTheme="majorHAnsi" w:hAnsiTheme="majorHAnsi"/>
                <w:sz w:val="18"/>
                <w:szCs w:val="12"/>
              </w:rPr>
            </w:pPr>
            <w:r w:rsidRPr="007938ED">
              <w:rPr>
                <w:rFonts w:asciiTheme="majorHAnsi" w:hAnsiTheme="majorHAnsi"/>
                <w:sz w:val="18"/>
                <w:szCs w:val="12"/>
              </w:rPr>
              <w:t>166</w:t>
            </w:r>
          </w:p>
        </w:tc>
        <w:tc>
          <w:tcPr>
            <w:tcW w:w="0" w:type="auto"/>
            <w:hideMark/>
          </w:tcPr>
          <w:p w:rsidRPr="007938ED" w:rsidR="00D31E46" w:rsidRDefault="00D31E46" w14:paraId="29C7C1D5" w14:textId="77777777">
            <w:pPr>
              <w:rPr>
                <w:rFonts w:asciiTheme="majorHAnsi" w:hAnsiTheme="majorHAnsi"/>
                <w:sz w:val="18"/>
                <w:szCs w:val="12"/>
              </w:rPr>
            </w:pPr>
            <w:r w:rsidRPr="007938ED">
              <w:rPr>
                <w:rFonts w:asciiTheme="majorHAnsi" w:hAnsiTheme="majorHAnsi"/>
                <w:sz w:val="18"/>
                <w:szCs w:val="12"/>
              </w:rPr>
              <w:t>Energy savings (gross kWh, therms) as a fraction of total project consumption</w:t>
            </w:r>
          </w:p>
        </w:tc>
        <w:tc>
          <w:tcPr>
            <w:tcW w:w="0" w:type="auto"/>
            <w:noWrap/>
            <w:hideMark/>
          </w:tcPr>
          <w:p w:rsidRPr="007938ED" w:rsidR="00D31E46" w:rsidRDefault="00D31E46" w14:paraId="6F63DB52" w14:textId="77777777">
            <w:pPr>
              <w:rPr>
                <w:rFonts w:asciiTheme="majorHAnsi" w:hAnsiTheme="majorHAnsi"/>
                <w:sz w:val="18"/>
                <w:szCs w:val="12"/>
              </w:rPr>
            </w:pPr>
            <w:r w:rsidRPr="007938ED">
              <w:rPr>
                <w:rFonts w:asciiTheme="majorHAnsi" w:hAnsiTheme="majorHAnsi"/>
                <w:sz w:val="18"/>
                <w:szCs w:val="12"/>
              </w:rPr>
              <w:t>Percent lifecycle gross Therms</w:t>
            </w:r>
          </w:p>
        </w:tc>
        <w:tc>
          <w:tcPr>
            <w:tcW w:w="0" w:type="auto"/>
            <w:hideMark/>
          </w:tcPr>
          <w:p w:rsidRPr="007938ED" w:rsidR="00D31E46" w:rsidRDefault="00D31E46" w14:paraId="64E1DBE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7BE750D"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709D53C7"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EA3F44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2DE17EF"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7005FC80" w14:textId="77777777">
        <w:trPr>
          <w:trHeight w:val="1200"/>
        </w:trPr>
        <w:tc>
          <w:tcPr>
            <w:tcW w:w="0" w:type="auto"/>
            <w:noWrap/>
            <w:hideMark/>
          </w:tcPr>
          <w:p w:rsidRPr="007938ED" w:rsidR="00D31E46" w:rsidP="00D31E46" w:rsidRDefault="00D31E46" w14:paraId="6961CEC7" w14:textId="77777777">
            <w:pPr>
              <w:rPr>
                <w:rFonts w:asciiTheme="majorHAnsi" w:hAnsiTheme="majorHAnsi"/>
                <w:sz w:val="18"/>
                <w:szCs w:val="12"/>
              </w:rPr>
            </w:pPr>
            <w:r w:rsidRPr="007938ED">
              <w:rPr>
                <w:rFonts w:asciiTheme="majorHAnsi" w:hAnsiTheme="majorHAnsi"/>
                <w:sz w:val="18"/>
                <w:szCs w:val="12"/>
              </w:rPr>
              <w:t>167</w:t>
            </w:r>
          </w:p>
        </w:tc>
        <w:tc>
          <w:tcPr>
            <w:tcW w:w="0" w:type="auto"/>
            <w:hideMark/>
          </w:tcPr>
          <w:p w:rsidRPr="007938ED" w:rsidR="00D31E46" w:rsidRDefault="00D31E46" w14:paraId="684684C1"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medium, and large customers</w:t>
            </w:r>
          </w:p>
        </w:tc>
        <w:tc>
          <w:tcPr>
            <w:tcW w:w="0" w:type="auto"/>
            <w:hideMark/>
          </w:tcPr>
          <w:p w:rsidRPr="007938ED" w:rsidR="00D31E46" w:rsidRDefault="00D31E46" w14:paraId="745FBF7E"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large customers</w:t>
            </w:r>
          </w:p>
        </w:tc>
        <w:tc>
          <w:tcPr>
            <w:tcW w:w="0" w:type="auto"/>
            <w:hideMark/>
          </w:tcPr>
          <w:p w:rsidRPr="007938ED" w:rsidR="00D31E46" w:rsidRDefault="00D31E46" w14:paraId="18424DB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2AD4D5C"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0D7DAC6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94A8C3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BF1A2F9"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56A0FDC2" w14:textId="77777777">
        <w:trPr>
          <w:trHeight w:val="1200"/>
        </w:trPr>
        <w:tc>
          <w:tcPr>
            <w:tcW w:w="0" w:type="auto"/>
            <w:noWrap/>
            <w:hideMark/>
          </w:tcPr>
          <w:p w:rsidRPr="007938ED" w:rsidR="00D31E46" w:rsidP="00D31E46" w:rsidRDefault="00D31E46" w14:paraId="30B4B6BB" w14:textId="77777777">
            <w:pPr>
              <w:rPr>
                <w:rFonts w:asciiTheme="majorHAnsi" w:hAnsiTheme="majorHAnsi"/>
                <w:sz w:val="18"/>
                <w:szCs w:val="12"/>
              </w:rPr>
            </w:pPr>
            <w:r w:rsidRPr="007938ED">
              <w:rPr>
                <w:rFonts w:asciiTheme="majorHAnsi" w:hAnsiTheme="majorHAnsi"/>
                <w:sz w:val="18"/>
                <w:szCs w:val="12"/>
              </w:rPr>
              <w:lastRenderedPageBreak/>
              <w:t>168</w:t>
            </w:r>
          </w:p>
        </w:tc>
        <w:tc>
          <w:tcPr>
            <w:tcW w:w="0" w:type="auto"/>
            <w:hideMark/>
          </w:tcPr>
          <w:p w:rsidRPr="007938ED" w:rsidR="00D31E46" w:rsidRDefault="00D31E46" w14:paraId="1FD30412"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medium, and large customers</w:t>
            </w:r>
          </w:p>
        </w:tc>
        <w:tc>
          <w:tcPr>
            <w:tcW w:w="0" w:type="auto"/>
            <w:hideMark/>
          </w:tcPr>
          <w:p w:rsidRPr="007938ED" w:rsidR="00D31E46" w:rsidRDefault="00D31E46" w14:paraId="7D4FDBBC"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medium customers</w:t>
            </w:r>
          </w:p>
        </w:tc>
        <w:tc>
          <w:tcPr>
            <w:tcW w:w="0" w:type="auto"/>
            <w:hideMark/>
          </w:tcPr>
          <w:p w:rsidRPr="007938ED" w:rsidR="00D31E46" w:rsidRDefault="00D31E46" w14:paraId="7BADBA2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2CB3193"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5839B24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8798B36"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9DE77A7"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4957DA6A" w14:textId="77777777">
        <w:trPr>
          <w:trHeight w:val="1200"/>
        </w:trPr>
        <w:tc>
          <w:tcPr>
            <w:tcW w:w="0" w:type="auto"/>
            <w:noWrap/>
            <w:hideMark/>
          </w:tcPr>
          <w:p w:rsidRPr="007938ED" w:rsidR="00D31E46" w:rsidP="00D31E46" w:rsidRDefault="00D31E46" w14:paraId="7933EF3D" w14:textId="77777777">
            <w:pPr>
              <w:rPr>
                <w:rFonts w:asciiTheme="majorHAnsi" w:hAnsiTheme="majorHAnsi"/>
                <w:sz w:val="18"/>
                <w:szCs w:val="12"/>
              </w:rPr>
            </w:pPr>
            <w:r w:rsidRPr="007938ED">
              <w:rPr>
                <w:rFonts w:asciiTheme="majorHAnsi" w:hAnsiTheme="majorHAnsi"/>
                <w:sz w:val="18"/>
                <w:szCs w:val="12"/>
              </w:rPr>
              <w:t>169</w:t>
            </w:r>
          </w:p>
        </w:tc>
        <w:tc>
          <w:tcPr>
            <w:tcW w:w="0" w:type="auto"/>
            <w:hideMark/>
          </w:tcPr>
          <w:p w:rsidRPr="007938ED" w:rsidR="00D31E46" w:rsidRDefault="00D31E46" w14:paraId="586DE95A"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medium, and large customers</w:t>
            </w:r>
          </w:p>
        </w:tc>
        <w:tc>
          <w:tcPr>
            <w:tcW w:w="0" w:type="auto"/>
            <w:hideMark/>
          </w:tcPr>
          <w:p w:rsidRPr="007938ED" w:rsidR="00D31E46" w:rsidRDefault="00D31E46" w14:paraId="0B9DF4A5"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customers</w:t>
            </w:r>
          </w:p>
        </w:tc>
        <w:tc>
          <w:tcPr>
            <w:tcW w:w="0" w:type="auto"/>
            <w:hideMark/>
          </w:tcPr>
          <w:p w:rsidRPr="007938ED" w:rsidR="00D31E46" w:rsidRDefault="00D31E46" w14:paraId="45BF145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E7C2280"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0B445AA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8556299"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5EB46371"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1BA3274D" w14:textId="77777777">
        <w:trPr>
          <w:trHeight w:val="1200"/>
        </w:trPr>
        <w:tc>
          <w:tcPr>
            <w:tcW w:w="0" w:type="auto"/>
            <w:noWrap/>
            <w:hideMark/>
          </w:tcPr>
          <w:p w:rsidRPr="007938ED" w:rsidR="00D31E46" w:rsidP="00D31E46" w:rsidRDefault="00D31E46" w14:paraId="4A62F1B8" w14:textId="77777777">
            <w:pPr>
              <w:rPr>
                <w:rFonts w:asciiTheme="majorHAnsi" w:hAnsiTheme="majorHAnsi"/>
                <w:sz w:val="18"/>
                <w:szCs w:val="12"/>
              </w:rPr>
            </w:pPr>
            <w:r w:rsidRPr="007938ED">
              <w:rPr>
                <w:rFonts w:asciiTheme="majorHAnsi" w:hAnsiTheme="majorHAnsi"/>
                <w:sz w:val="18"/>
                <w:szCs w:val="12"/>
              </w:rPr>
              <w:t>170</w:t>
            </w:r>
          </w:p>
        </w:tc>
        <w:tc>
          <w:tcPr>
            <w:tcW w:w="0" w:type="auto"/>
            <w:hideMark/>
          </w:tcPr>
          <w:p w:rsidRPr="007938ED" w:rsidR="00D31E46" w:rsidRDefault="00D31E46" w14:paraId="50DFF82F" w14:textId="77777777">
            <w:pPr>
              <w:rPr>
                <w:rFonts w:asciiTheme="majorHAnsi" w:hAnsiTheme="majorHAnsi"/>
                <w:sz w:val="18"/>
                <w:szCs w:val="12"/>
              </w:rPr>
            </w:pPr>
            <w:r w:rsidRPr="007938ED">
              <w:rPr>
                <w:rFonts w:asciiTheme="majorHAnsi" w:hAnsiTheme="majorHAnsi"/>
                <w:sz w:val="18"/>
                <w:szCs w:val="12"/>
              </w:rPr>
              <w:t>Percent of square feet of eligible population</w:t>
            </w:r>
          </w:p>
        </w:tc>
        <w:tc>
          <w:tcPr>
            <w:tcW w:w="0" w:type="auto"/>
            <w:hideMark/>
          </w:tcPr>
          <w:p w:rsidRPr="007938ED" w:rsidR="00D31E46" w:rsidRDefault="00D31E46" w14:paraId="3B4102D5" w14:textId="77777777">
            <w:pPr>
              <w:rPr>
                <w:rFonts w:asciiTheme="majorHAnsi" w:hAnsiTheme="majorHAnsi"/>
                <w:sz w:val="18"/>
                <w:szCs w:val="12"/>
              </w:rPr>
            </w:pPr>
            <w:r w:rsidRPr="007938ED">
              <w:rPr>
                <w:rFonts w:asciiTheme="majorHAnsi" w:hAnsiTheme="majorHAnsi"/>
                <w:sz w:val="18"/>
                <w:szCs w:val="12"/>
              </w:rPr>
              <w:t>Percent of square feet of eligible population</w:t>
            </w:r>
          </w:p>
        </w:tc>
        <w:tc>
          <w:tcPr>
            <w:tcW w:w="0" w:type="auto"/>
            <w:hideMark/>
          </w:tcPr>
          <w:p w:rsidRPr="007938ED" w:rsidR="00D31E46" w:rsidRDefault="00D31E46" w14:paraId="4816847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2E48FF7"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3573BC3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40765E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ADC9740"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50B3F67B" w14:textId="77777777">
        <w:trPr>
          <w:trHeight w:val="1419"/>
        </w:trPr>
        <w:tc>
          <w:tcPr>
            <w:tcW w:w="0" w:type="auto"/>
            <w:noWrap/>
            <w:hideMark/>
          </w:tcPr>
          <w:p w:rsidRPr="007938ED" w:rsidR="00D31E46" w:rsidP="00D31E46" w:rsidRDefault="00D31E46" w14:paraId="5D277F86" w14:textId="77777777">
            <w:pPr>
              <w:rPr>
                <w:rFonts w:asciiTheme="majorHAnsi" w:hAnsiTheme="majorHAnsi"/>
                <w:sz w:val="18"/>
                <w:szCs w:val="12"/>
              </w:rPr>
            </w:pPr>
            <w:r w:rsidRPr="007938ED">
              <w:rPr>
                <w:rFonts w:asciiTheme="majorHAnsi" w:hAnsiTheme="majorHAnsi"/>
                <w:sz w:val="18"/>
                <w:szCs w:val="12"/>
              </w:rPr>
              <w:t>171</w:t>
            </w:r>
          </w:p>
        </w:tc>
        <w:tc>
          <w:tcPr>
            <w:tcW w:w="0" w:type="auto"/>
            <w:hideMark/>
          </w:tcPr>
          <w:p w:rsidRPr="007938ED" w:rsidR="00D31E46" w:rsidRDefault="00D31E46" w14:paraId="4F542D9E" w14:textId="77777777">
            <w:pPr>
              <w:rPr>
                <w:rFonts w:asciiTheme="majorHAnsi" w:hAnsiTheme="majorHAnsi"/>
                <w:sz w:val="18"/>
                <w:szCs w:val="12"/>
              </w:rPr>
            </w:pPr>
            <w:r w:rsidRPr="007938ED">
              <w:rPr>
                <w:rFonts w:asciiTheme="majorHAnsi" w:hAnsiTheme="majorHAnsi"/>
                <w:sz w:val="18"/>
                <w:szCs w:val="12"/>
              </w:rPr>
              <w:t>Percent of participation by customers defined as “hard‐to‐reach”</w:t>
            </w:r>
          </w:p>
        </w:tc>
        <w:tc>
          <w:tcPr>
            <w:tcW w:w="0" w:type="auto"/>
            <w:hideMark/>
          </w:tcPr>
          <w:p w:rsidRPr="007938ED" w:rsidR="00D31E46" w:rsidRDefault="00D31E46" w14:paraId="6B66DC7D" w14:textId="77777777">
            <w:pPr>
              <w:rPr>
                <w:rFonts w:asciiTheme="majorHAnsi" w:hAnsiTheme="majorHAnsi"/>
                <w:sz w:val="18"/>
                <w:szCs w:val="12"/>
              </w:rPr>
            </w:pPr>
            <w:r w:rsidRPr="007938ED">
              <w:rPr>
                <w:rFonts w:asciiTheme="majorHAnsi" w:hAnsiTheme="majorHAnsi"/>
                <w:sz w:val="18"/>
                <w:szCs w:val="12"/>
              </w:rPr>
              <w:t>Percent of participation by customers defined as “hard‐to‐reach”</w:t>
            </w:r>
          </w:p>
        </w:tc>
        <w:tc>
          <w:tcPr>
            <w:tcW w:w="0" w:type="auto"/>
            <w:hideMark/>
          </w:tcPr>
          <w:p w:rsidRPr="007938ED" w:rsidR="00D31E46" w:rsidRDefault="00D31E46" w14:paraId="64259C4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1E9F73D"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57BE9AA7"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63FDB0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AC34828"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6B3A7C4E" w14:textId="77777777">
        <w:trPr>
          <w:trHeight w:val="1200"/>
        </w:trPr>
        <w:tc>
          <w:tcPr>
            <w:tcW w:w="0" w:type="auto"/>
            <w:noWrap/>
            <w:hideMark/>
          </w:tcPr>
          <w:p w:rsidRPr="007938ED" w:rsidR="00D31E46" w:rsidP="00D31E46" w:rsidRDefault="00D31E46" w14:paraId="23039F42" w14:textId="77777777">
            <w:pPr>
              <w:rPr>
                <w:rFonts w:asciiTheme="majorHAnsi" w:hAnsiTheme="majorHAnsi"/>
                <w:sz w:val="18"/>
                <w:szCs w:val="12"/>
              </w:rPr>
            </w:pPr>
            <w:r w:rsidRPr="007938ED">
              <w:rPr>
                <w:rFonts w:asciiTheme="majorHAnsi" w:hAnsiTheme="majorHAnsi"/>
                <w:sz w:val="18"/>
                <w:szCs w:val="12"/>
              </w:rPr>
              <w:t>172</w:t>
            </w:r>
          </w:p>
        </w:tc>
        <w:tc>
          <w:tcPr>
            <w:tcW w:w="0" w:type="auto"/>
            <w:hideMark/>
          </w:tcPr>
          <w:p w:rsidRPr="007938ED" w:rsidR="00D31E46" w:rsidRDefault="00D31E46" w14:paraId="5D0160E5" w14:textId="77777777">
            <w:pPr>
              <w:rPr>
                <w:rFonts w:asciiTheme="majorHAnsi" w:hAnsiTheme="majorHAnsi"/>
                <w:sz w:val="18"/>
                <w:szCs w:val="12"/>
              </w:rPr>
            </w:pPr>
            <w:r w:rsidRPr="007938ED">
              <w:rPr>
                <w:rFonts w:asciiTheme="majorHAnsi" w:hAnsiTheme="majorHAnsi"/>
                <w:sz w:val="18"/>
                <w:szCs w:val="12"/>
              </w:rPr>
              <w:t>Percent of benchmarked square feet of eligible population</w:t>
            </w:r>
          </w:p>
        </w:tc>
        <w:tc>
          <w:tcPr>
            <w:tcW w:w="0" w:type="auto"/>
            <w:hideMark/>
          </w:tcPr>
          <w:p w:rsidRPr="007938ED" w:rsidR="00D31E46" w:rsidRDefault="00D31E46" w14:paraId="18EF1AB1" w14:textId="77777777">
            <w:pPr>
              <w:rPr>
                <w:rFonts w:asciiTheme="majorHAnsi" w:hAnsiTheme="majorHAnsi"/>
                <w:sz w:val="18"/>
                <w:szCs w:val="12"/>
              </w:rPr>
            </w:pPr>
            <w:r w:rsidRPr="007938ED">
              <w:rPr>
                <w:rFonts w:asciiTheme="majorHAnsi" w:hAnsiTheme="majorHAnsi"/>
                <w:sz w:val="18"/>
                <w:szCs w:val="12"/>
              </w:rPr>
              <w:t>Percent of benchmarked square feet of eligible population</w:t>
            </w:r>
          </w:p>
        </w:tc>
        <w:tc>
          <w:tcPr>
            <w:tcW w:w="0" w:type="auto"/>
            <w:hideMark/>
          </w:tcPr>
          <w:p w:rsidRPr="007938ED" w:rsidR="00D31E46" w:rsidRDefault="00D31E46" w14:paraId="27DFC88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F1D914E" w14:textId="77777777">
            <w:pPr>
              <w:rPr>
                <w:rFonts w:asciiTheme="majorHAnsi" w:hAnsiTheme="majorHAnsi"/>
                <w:sz w:val="18"/>
                <w:szCs w:val="12"/>
              </w:rPr>
            </w:pPr>
            <w:r w:rsidRPr="007938ED">
              <w:rPr>
                <w:rFonts w:asciiTheme="majorHAnsi" w:hAnsiTheme="majorHAnsi"/>
                <w:sz w:val="18"/>
                <w:szCs w:val="12"/>
              </w:rPr>
              <w:t>Benchmarking</w:t>
            </w:r>
          </w:p>
        </w:tc>
        <w:tc>
          <w:tcPr>
            <w:tcW w:w="0" w:type="auto"/>
            <w:hideMark/>
          </w:tcPr>
          <w:p w:rsidRPr="007938ED" w:rsidR="00D31E46" w:rsidP="00D31E46" w:rsidRDefault="00D31E46" w14:paraId="3C5C2D2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73C5C5A"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21AFAADC"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5B67EF02" w14:textId="77777777">
        <w:trPr>
          <w:trHeight w:val="1200"/>
        </w:trPr>
        <w:tc>
          <w:tcPr>
            <w:tcW w:w="0" w:type="auto"/>
            <w:noWrap/>
            <w:hideMark/>
          </w:tcPr>
          <w:p w:rsidRPr="007938ED" w:rsidR="00D31E46" w:rsidP="00D31E46" w:rsidRDefault="00D31E46" w14:paraId="3DBFB9FE" w14:textId="77777777">
            <w:pPr>
              <w:rPr>
                <w:rFonts w:asciiTheme="majorHAnsi" w:hAnsiTheme="majorHAnsi"/>
                <w:sz w:val="18"/>
                <w:szCs w:val="12"/>
              </w:rPr>
            </w:pPr>
            <w:r w:rsidRPr="007938ED">
              <w:rPr>
                <w:rFonts w:asciiTheme="majorHAnsi" w:hAnsiTheme="majorHAnsi"/>
                <w:sz w:val="18"/>
                <w:szCs w:val="12"/>
              </w:rPr>
              <w:lastRenderedPageBreak/>
              <w:t>173</w:t>
            </w:r>
          </w:p>
        </w:tc>
        <w:tc>
          <w:tcPr>
            <w:tcW w:w="0" w:type="auto"/>
            <w:hideMark/>
          </w:tcPr>
          <w:p w:rsidRPr="007938ED" w:rsidR="00D31E46" w:rsidRDefault="00D31E46" w14:paraId="7F4F1046" w14:textId="77777777">
            <w:pPr>
              <w:rPr>
                <w:rFonts w:asciiTheme="majorHAnsi" w:hAnsiTheme="majorHAnsi"/>
                <w:sz w:val="18"/>
                <w:szCs w:val="12"/>
              </w:rPr>
            </w:pPr>
            <w:r w:rsidRPr="007938ED">
              <w:rPr>
                <w:rFonts w:asciiTheme="majorHAnsi" w:hAnsiTheme="majorHAnsi"/>
                <w:sz w:val="18"/>
                <w:szCs w:val="12"/>
              </w:rPr>
              <w:t>Percent of benchmarked customers relative to eligible population for large customers</w:t>
            </w:r>
          </w:p>
        </w:tc>
        <w:tc>
          <w:tcPr>
            <w:tcW w:w="0" w:type="auto"/>
            <w:hideMark/>
          </w:tcPr>
          <w:p w:rsidRPr="007938ED" w:rsidR="00D31E46" w:rsidRDefault="00D31E46" w14:paraId="173046D1" w14:textId="77777777">
            <w:pPr>
              <w:rPr>
                <w:rFonts w:asciiTheme="majorHAnsi" w:hAnsiTheme="majorHAnsi"/>
                <w:sz w:val="18"/>
                <w:szCs w:val="12"/>
              </w:rPr>
            </w:pPr>
            <w:r w:rsidRPr="007938ED">
              <w:rPr>
                <w:rFonts w:asciiTheme="majorHAnsi" w:hAnsiTheme="majorHAnsi"/>
                <w:sz w:val="18"/>
                <w:szCs w:val="12"/>
              </w:rPr>
              <w:t>Percent of benchmarked customers relative to eligible population for large customers</w:t>
            </w:r>
          </w:p>
        </w:tc>
        <w:tc>
          <w:tcPr>
            <w:tcW w:w="0" w:type="auto"/>
            <w:hideMark/>
          </w:tcPr>
          <w:p w:rsidRPr="007938ED" w:rsidR="00D31E46" w:rsidRDefault="00D31E46" w14:paraId="32197D4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6E87706" w14:textId="77777777">
            <w:pPr>
              <w:rPr>
                <w:rFonts w:asciiTheme="majorHAnsi" w:hAnsiTheme="majorHAnsi"/>
                <w:sz w:val="18"/>
                <w:szCs w:val="12"/>
              </w:rPr>
            </w:pPr>
            <w:r w:rsidRPr="007938ED">
              <w:rPr>
                <w:rFonts w:asciiTheme="majorHAnsi" w:hAnsiTheme="majorHAnsi"/>
                <w:sz w:val="18"/>
                <w:szCs w:val="12"/>
              </w:rPr>
              <w:t>Benchmarking</w:t>
            </w:r>
          </w:p>
        </w:tc>
        <w:tc>
          <w:tcPr>
            <w:tcW w:w="0" w:type="auto"/>
            <w:hideMark/>
          </w:tcPr>
          <w:p w:rsidRPr="007938ED" w:rsidR="00D31E46" w:rsidP="00D31E46" w:rsidRDefault="00D31E46" w14:paraId="6F2ACD4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8134F60"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77D9037E"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100ABB0C" w14:textId="77777777">
        <w:trPr>
          <w:trHeight w:val="1200"/>
        </w:trPr>
        <w:tc>
          <w:tcPr>
            <w:tcW w:w="0" w:type="auto"/>
            <w:noWrap/>
            <w:hideMark/>
          </w:tcPr>
          <w:p w:rsidRPr="007938ED" w:rsidR="00D31E46" w:rsidP="00D31E46" w:rsidRDefault="00D31E46" w14:paraId="3D4911D8" w14:textId="77777777">
            <w:pPr>
              <w:rPr>
                <w:rFonts w:asciiTheme="majorHAnsi" w:hAnsiTheme="majorHAnsi"/>
                <w:sz w:val="18"/>
                <w:szCs w:val="12"/>
              </w:rPr>
            </w:pPr>
            <w:r w:rsidRPr="007938ED">
              <w:rPr>
                <w:rFonts w:asciiTheme="majorHAnsi" w:hAnsiTheme="majorHAnsi"/>
                <w:sz w:val="18"/>
                <w:szCs w:val="12"/>
              </w:rPr>
              <w:t>174</w:t>
            </w:r>
          </w:p>
        </w:tc>
        <w:tc>
          <w:tcPr>
            <w:tcW w:w="0" w:type="auto"/>
            <w:hideMark/>
          </w:tcPr>
          <w:p w:rsidRPr="007938ED" w:rsidR="00D31E46" w:rsidRDefault="00D31E46" w14:paraId="373E5772" w14:textId="77777777">
            <w:pPr>
              <w:rPr>
                <w:rFonts w:asciiTheme="majorHAnsi" w:hAnsiTheme="majorHAnsi"/>
                <w:sz w:val="18"/>
                <w:szCs w:val="12"/>
              </w:rPr>
            </w:pPr>
            <w:r w:rsidRPr="007938ED">
              <w:rPr>
                <w:rFonts w:asciiTheme="majorHAnsi" w:hAnsiTheme="majorHAnsi"/>
                <w:sz w:val="18"/>
                <w:szCs w:val="12"/>
              </w:rPr>
              <w:t>Percent of benchmarked customers relative to eligible population for medium customers</w:t>
            </w:r>
          </w:p>
        </w:tc>
        <w:tc>
          <w:tcPr>
            <w:tcW w:w="0" w:type="auto"/>
            <w:hideMark/>
          </w:tcPr>
          <w:p w:rsidRPr="007938ED" w:rsidR="00D31E46" w:rsidRDefault="00D31E46" w14:paraId="6DAD914B" w14:textId="77777777">
            <w:pPr>
              <w:rPr>
                <w:rFonts w:asciiTheme="majorHAnsi" w:hAnsiTheme="majorHAnsi"/>
                <w:sz w:val="18"/>
                <w:szCs w:val="12"/>
              </w:rPr>
            </w:pPr>
            <w:r w:rsidRPr="007938ED">
              <w:rPr>
                <w:rFonts w:asciiTheme="majorHAnsi" w:hAnsiTheme="majorHAnsi"/>
                <w:sz w:val="18"/>
                <w:szCs w:val="12"/>
              </w:rPr>
              <w:t>Percent of benchmarked customers relative to eligible population for medium customers</w:t>
            </w:r>
          </w:p>
        </w:tc>
        <w:tc>
          <w:tcPr>
            <w:tcW w:w="0" w:type="auto"/>
            <w:hideMark/>
          </w:tcPr>
          <w:p w:rsidRPr="007938ED" w:rsidR="00D31E46" w:rsidRDefault="00D31E46" w14:paraId="36ABE52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B81F8A1" w14:textId="77777777">
            <w:pPr>
              <w:rPr>
                <w:rFonts w:asciiTheme="majorHAnsi" w:hAnsiTheme="majorHAnsi"/>
                <w:sz w:val="18"/>
                <w:szCs w:val="12"/>
              </w:rPr>
            </w:pPr>
            <w:r w:rsidRPr="007938ED">
              <w:rPr>
                <w:rFonts w:asciiTheme="majorHAnsi" w:hAnsiTheme="majorHAnsi"/>
                <w:sz w:val="18"/>
                <w:szCs w:val="12"/>
              </w:rPr>
              <w:t>Benchmarking</w:t>
            </w:r>
          </w:p>
        </w:tc>
        <w:tc>
          <w:tcPr>
            <w:tcW w:w="0" w:type="auto"/>
            <w:hideMark/>
          </w:tcPr>
          <w:p w:rsidRPr="007938ED" w:rsidR="00D31E46" w:rsidP="00D31E46" w:rsidRDefault="00D31E46" w14:paraId="442C29E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D516999"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674D0020"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6132D0B3" w14:textId="77777777">
        <w:trPr>
          <w:trHeight w:val="1200"/>
        </w:trPr>
        <w:tc>
          <w:tcPr>
            <w:tcW w:w="0" w:type="auto"/>
            <w:noWrap/>
            <w:hideMark/>
          </w:tcPr>
          <w:p w:rsidRPr="007938ED" w:rsidR="00D31E46" w:rsidP="00D31E46" w:rsidRDefault="00D31E46" w14:paraId="06B672A9" w14:textId="77777777">
            <w:pPr>
              <w:rPr>
                <w:rFonts w:asciiTheme="majorHAnsi" w:hAnsiTheme="majorHAnsi"/>
                <w:sz w:val="18"/>
                <w:szCs w:val="12"/>
              </w:rPr>
            </w:pPr>
            <w:r w:rsidRPr="007938ED">
              <w:rPr>
                <w:rFonts w:asciiTheme="majorHAnsi" w:hAnsiTheme="majorHAnsi"/>
                <w:sz w:val="18"/>
                <w:szCs w:val="12"/>
              </w:rPr>
              <w:t>175</w:t>
            </w:r>
          </w:p>
        </w:tc>
        <w:tc>
          <w:tcPr>
            <w:tcW w:w="0" w:type="auto"/>
            <w:hideMark/>
          </w:tcPr>
          <w:p w:rsidRPr="007938ED" w:rsidR="00D31E46" w:rsidRDefault="00D31E46" w14:paraId="205972D2" w14:textId="77777777">
            <w:pPr>
              <w:rPr>
                <w:rFonts w:asciiTheme="majorHAnsi" w:hAnsiTheme="majorHAnsi"/>
                <w:sz w:val="18"/>
                <w:szCs w:val="12"/>
              </w:rPr>
            </w:pPr>
            <w:r w:rsidRPr="007938ED">
              <w:rPr>
                <w:rFonts w:asciiTheme="majorHAnsi" w:hAnsiTheme="majorHAnsi"/>
                <w:sz w:val="18"/>
                <w:szCs w:val="12"/>
              </w:rPr>
              <w:t>Percent of benchmarked customers relative to eligible population for small  customers</w:t>
            </w:r>
          </w:p>
        </w:tc>
        <w:tc>
          <w:tcPr>
            <w:tcW w:w="0" w:type="auto"/>
            <w:hideMark/>
          </w:tcPr>
          <w:p w:rsidRPr="007938ED" w:rsidR="00D31E46" w:rsidRDefault="00D31E46" w14:paraId="2296A953" w14:textId="77777777">
            <w:pPr>
              <w:rPr>
                <w:rFonts w:asciiTheme="majorHAnsi" w:hAnsiTheme="majorHAnsi"/>
                <w:sz w:val="18"/>
                <w:szCs w:val="12"/>
              </w:rPr>
            </w:pPr>
            <w:r w:rsidRPr="007938ED">
              <w:rPr>
                <w:rFonts w:asciiTheme="majorHAnsi" w:hAnsiTheme="majorHAnsi"/>
                <w:sz w:val="18"/>
                <w:szCs w:val="12"/>
              </w:rPr>
              <w:t>Percent of benchmarked customers relative to eligible population for small  customers</w:t>
            </w:r>
          </w:p>
        </w:tc>
        <w:tc>
          <w:tcPr>
            <w:tcW w:w="0" w:type="auto"/>
            <w:hideMark/>
          </w:tcPr>
          <w:p w:rsidRPr="007938ED" w:rsidR="00D31E46" w:rsidRDefault="00D31E46" w14:paraId="08EA902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9A7CD3B" w14:textId="77777777">
            <w:pPr>
              <w:rPr>
                <w:rFonts w:asciiTheme="majorHAnsi" w:hAnsiTheme="majorHAnsi"/>
                <w:sz w:val="18"/>
                <w:szCs w:val="12"/>
              </w:rPr>
            </w:pPr>
            <w:r w:rsidRPr="007938ED">
              <w:rPr>
                <w:rFonts w:asciiTheme="majorHAnsi" w:hAnsiTheme="majorHAnsi"/>
                <w:sz w:val="18"/>
                <w:szCs w:val="12"/>
              </w:rPr>
              <w:t>Benchmarking</w:t>
            </w:r>
          </w:p>
        </w:tc>
        <w:tc>
          <w:tcPr>
            <w:tcW w:w="0" w:type="auto"/>
            <w:hideMark/>
          </w:tcPr>
          <w:p w:rsidRPr="007938ED" w:rsidR="00D31E46" w:rsidP="00D31E46" w:rsidRDefault="00D31E46" w14:paraId="25790D5A"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0020306"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583AC20A"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55419FD9" w14:textId="77777777">
        <w:trPr>
          <w:trHeight w:val="1200"/>
        </w:trPr>
        <w:tc>
          <w:tcPr>
            <w:tcW w:w="0" w:type="auto"/>
            <w:noWrap/>
            <w:hideMark/>
          </w:tcPr>
          <w:p w:rsidRPr="007938ED" w:rsidR="00D31E46" w:rsidP="00D31E46" w:rsidRDefault="00D31E46" w14:paraId="757D3F69" w14:textId="77777777">
            <w:pPr>
              <w:rPr>
                <w:rFonts w:asciiTheme="majorHAnsi" w:hAnsiTheme="majorHAnsi"/>
                <w:sz w:val="18"/>
                <w:szCs w:val="12"/>
              </w:rPr>
            </w:pPr>
            <w:r w:rsidRPr="007938ED">
              <w:rPr>
                <w:rFonts w:asciiTheme="majorHAnsi" w:hAnsiTheme="majorHAnsi"/>
                <w:sz w:val="18"/>
                <w:szCs w:val="12"/>
              </w:rPr>
              <w:t>176</w:t>
            </w:r>
          </w:p>
        </w:tc>
        <w:tc>
          <w:tcPr>
            <w:tcW w:w="0" w:type="auto"/>
            <w:hideMark/>
          </w:tcPr>
          <w:p w:rsidRPr="007938ED" w:rsidR="00D31E46" w:rsidRDefault="00D31E46" w14:paraId="60F69DEC" w14:textId="77777777">
            <w:pPr>
              <w:rPr>
                <w:rFonts w:asciiTheme="majorHAnsi" w:hAnsiTheme="majorHAnsi"/>
                <w:sz w:val="18"/>
                <w:szCs w:val="12"/>
              </w:rPr>
            </w:pPr>
            <w:r w:rsidRPr="007938ED">
              <w:rPr>
                <w:rFonts w:asciiTheme="majorHAnsi" w:hAnsiTheme="majorHAnsi"/>
                <w:sz w:val="18"/>
                <w:szCs w:val="12"/>
              </w:rPr>
              <w:t>Percent of benchmarking by customers defined as “hard‐to‐reach”</w:t>
            </w:r>
          </w:p>
        </w:tc>
        <w:tc>
          <w:tcPr>
            <w:tcW w:w="0" w:type="auto"/>
            <w:hideMark/>
          </w:tcPr>
          <w:p w:rsidRPr="007938ED" w:rsidR="00D31E46" w:rsidRDefault="00D31E46" w14:paraId="70154D75" w14:textId="77777777">
            <w:pPr>
              <w:rPr>
                <w:rFonts w:asciiTheme="majorHAnsi" w:hAnsiTheme="majorHAnsi"/>
                <w:sz w:val="18"/>
                <w:szCs w:val="12"/>
              </w:rPr>
            </w:pPr>
            <w:r w:rsidRPr="007938ED">
              <w:rPr>
                <w:rFonts w:asciiTheme="majorHAnsi" w:hAnsiTheme="majorHAnsi"/>
                <w:sz w:val="18"/>
                <w:szCs w:val="12"/>
              </w:rPr>
              <w:t>Percent of benchmarking by customers defined as “hard‐to‐reach”</w:t>
            </w:r>
          </w:p>
        </w:tc>
        <w:tc>
          <w:tcPr>
            <w:tcW w:w="0" w:type="auto"/>
            <w:hideMark/>
          </w:tcPr>
          <w:p w:rsidRPr="007938ED" w:rsidR="00D31E46" w:rsidRDefault="00D31E46" w14:paraId="7C4982D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B2CECA3" w14:textId="77777777">
            <w:pPr>
              <w:rPr>
                <w:rFonts w:asciiTheme="majorHAnsi" w:hAnsiTheme="majorHAnsi"/>
                <w:sz w:val="18"/>
                <w:szCs w:val="12"/>
              </w:rPr>
            </w:pPr>
            <w:r w:rsidRPr="007938ED">
              <w:rPr>
                <w:rFonts w:asciiTheme="majorHAnsi" w:hAnsiTheme="majorHAnsi"/>
                <w:sz w:val="18"/>
                <w:szCs w:val="12"/>
              </w:rPr>
              <w:t>Benchmarking</w:t>
            </w:r>
          </w:p>
        </w:tc>
        <w:tc>
          <w:tcPr>
            <w:tcW w:w="0" w:type="auto"/>
            <w:hideMark/>
          </w:tcPr>
          <w:p w:rsidRPr="007938ED" w:rsidR="00D31E46" w:rsidP="00D31E46" w:rsidRDefault="00D31E46" w14:paraId="757EF92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32992D5"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0CF2AF74"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4B210633" w14:textId="77777777">
        <w:trPr>
          <w:trHeight w:val="1200"/>
        </w:trPr>
        <w:tc>
          <w:tcPr>
            <w:tcW w:w="0" w:type="auto"/>
            <w:noWrap/>
            <w:hideMark/>
          </w:tcPr>
          <w:p w:rsidRPr="007938ED" w:rsidR="00D31E46" w:rsidP="00D31E46" w:rsidRDefault="00D31E46" w14:paraId="519E3633" w14:textId="77777777">
            <w:pPr>
              <w:rPr>
                <w:rFonts w:asciiTheme="majorHAnsi" w:hAnsiTheme="majorHAnsi"/>
                <w:sz w:val="18"/>
                <w:szCs w:val="12"/>
              </w:rPr>
            </w:pPr>
            <w:r w:rsidRPr="007938ED">
              <w:rPr>
                <w:rFonts w:asciiTheme="majorHAnsi" w:hAnsiTheme="majorHAnsi"/>
                <w:sz w:val="18"/>
                <w:szCs w:val="12"/>
              </w:rPr>
              <w:t>177</w:t>
            </w:r>
          </w:p>
        </w:tc>
        <w:tc>
          <w:tcPr>
            <w:tcW w:w="0" w:type="auto"/>
            <w:hideMark/>
          </w:tcPr>
          <w:p w:rsidRPr="007938ED" w:rsidR="00D31E46" w:rsidRDefault="00D31E46" w14:paraId="3D9231B9"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2C8A4EF7" w14:textId="77777777">
            <w:pPr>
              <w:rPr>
                <w:rFonts w:asciiTheme="majorHAnsi" w:hAnsiTheme="majorHAnsi"/>
                <w:sz w:val="18"/>
                <w:szCs w:val="12"/>
              </w:rPr>
            </w:pPr>
            <w:r w:rsidRPr="007938ED">
              <w:rPr>
                <w:rFonts w:asciiTheme="majorHAnsi" w:hAnsiTheme="majorHAnsi"/>
                <w:sz w:val="18"/>
                <w:szCs w:val="12"/>
              </w:rPr>
              <w:t>PAC Levelized Cost ($/kW)</w:t>
            </w:r>
          </w:p>
        </w:tc>
        <w:tc>
          <w:tcPr>
            <w:tcW w:w="0" w:type="auto"/>
            <w:hideMark/>
          </w:tcPr>
          <w:p w:rsidRPr="007938ED" w:rsidR="00D31E46" w:rsidRDefault="00D31E46" w14:paraId="51041B8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5A0833A"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19D70D9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A31BC5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1141973" w14:textId="77777777">
            <w:pPr>
              <w:rPr>
                <w:rFonts w:asciiTheme="majorHAnsi" w:hAnsiTheme="majorHAnsi"/>
                <w:sz w:val="18"/>
                <w:szCs w:val="12"/>
              </w:rPr>
            </w:pPr>
            <w:r w:rsidRPr="007938ED">
              <w:rPr>
                <w:rFonts w:asciiTheme="majorHAnsi" w:hAnsiTheme="majorHAnsi"/>
                <w:sz w:val="18"/>
                <w:szCs w:val="12"/>
              </w:rPr>
              <w:t>PAC Levelized Cost ($/kW)</w:t>
            </w:r>
          </w:p>
        </w:tc>
      </w:tr>
      <w:tr w:rsidRPr="007938ED" w:rsidR="00CE6F7B" w:rsidTr="007938ED" w14:paraId="7B429C24" w14:textId="77777777">
        <w:trPr>
          <w:trHeight w:val="1200"/>
        </w:trPr>
        <w:tc>
          <w:tcPr>
            <w:tcW w:w="0" w:type="auto"/>
            <w:noWrap/>
            <w:hideMark/>
          </w:tcPr>
          <w:p w:rsidRPr="007938ED" w:rsidR="00D31E46" w:rsidP="00D31E46" w:rsidRDefault="00D31E46" w14:paraId="4CF7BFEC" w14:textId="77777777">
            <w:pPr>
              <w:rPr>
                <w:rFonts w:asciiTheme="majorHAnsi" w:hAnsiTheme="majorHAnsi"/>
                <w:sz w:val="18"/>
                <w:szCs w:val="12"/>
              </w:rPr>
            </w:pPr>
            <w:r w:rsidRPr="007938ED">
              <w:rPr>
                <w:rFonts w:asciiTheme="majorHAnsi" w:hAnsiTheme="majorHAnsi"/>
                <w:sz w:val="18"/>
                <w:szCs w:val="12"/>
              </w:rPr>
              <w:t>178</w:t>
            </w:r>
          </w:p>
        </w:tc>
        <w:tc>
          <w:tcPr>
            <w:tcW w:w="0" w:type="auto"/>
            <w:hideMark/>
          </w:tcPr>
          <w:p w:rsidRPr="007938ED" w:rsidR="00D31E46" w:rsidRDefault="00D31E46" w14:paraId="578AA211"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7C783E23" w14:textId="77777777">
            <w:pPr>
              <w:rPr>
                <w:rFonts w:asciiTheme="majorHAnsi" w:hAnsiTheme="majorHAnsi"/>
                <w:sz w:val="18"/>
                <w:szCs w:val="12"/>
              </w:rPr>
            </w:pPr>
            <w:r w:rsidRPr="007938ED">
              <w:rPr>
                <w:rFonts w:asciiTheme="majorHAnsi" w:hAnsiTheme="majorHAnsi"/>
                <w:sz w:val="18"/>
                <w:szCs w:val="12"/>
              </w:rPr>
              <w:t>PAC Levelized Cost ($/kWh)</w:t>
            </w:r>
          </w:p>
        </w:tc>
        <w:tc>
          <w:tcPr>
            <w:tcW w:w="0" w:type="auto"/>
            <w:hideMark/>
          </w:tcPr>
          <w:p w:rsidRPr="007938ED" w:rsidR="00D31E46" w:rsidRDefault="00D31E46" w14:paraId="2BF4CE5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99D6CD2"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5764A67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B538FA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FB9F03F" w14:textId="77777777">
            <w:pPr>
              <w:rPr>
                <w:rFonts w:asciiTheme="majorHAnsi" w:hAnsiTheme="majorHAnsi"/>
                <w:sz w:val="18"/>
                <w:szCs w:val="12"/>
              </w:rPr>
            </w:pPr>
            <w:r w:rsidRPr="007938ED">
              <w:rPr>
                <w:rFonts w:asciiTheme="majorHAnsi" w:hAnsiTheme="majorHAnsi"/>
                <w:sz w:val="18"/>
                <w:szCs w:val="12"/>
              </w:rPr>
              <w:t>PAC Levelized Cost ($/kWh)</w:t>
            </w:r>
          </w:p>
        </w:tc>
      </w:tr>
      <w:tr w:rsidRPr="007938ED" w:rsidR="00CE6F7B" w:rsidTr="007938ED" w14:paraId="7DC133CF" w14:textId="77777777">
        <w:trPr>
          <w:trHeight w:val="1200"/>
        </w:trPr>
        <w:tc>
          <w:tcPr>
            <w:tcW w:w="0" w:type="auto"/>
            <w:noWrap/>
            <w:hideMark/>
          </w:tcPr>
          <w:p w:rsidRPr="007938ED" w:rsidR="00D31E46" w:rsidP="00D31E46" w:rsidRDefault="00D31E46" w14:paraId="456D0990" w14:textId="77777777">
            <w:pPr>
              <w:rPr>
                <w:rFonts w:asciiTheme="majorHAnsi" w:hAnsiTheme="majorHAnsi"/>
                <w:sz w:val="18"/>
                <w:szCs w:val="12"/>
              </w:rPr>
            </w:pPr>
            <w:r w:rsidRPr="007938ED">
              <w:rPr>
                <w:rFonts w:asciiTheme="majorHAnsi" w:hAnsiTheme="majorHAnsi"/>
                <w:sz w:val="18"/>
                <w:szCs w:val="12"/>
              </w:rPr>
              <w:lastRenderedPageBreak/>
              <w:t>179</w:t>
            </w:r>
          </w:p>
        </w:tc>
        <w:tc>
          <w:tcPr>
            <w:tcW w:w="0" w:type="auto"/>
            <w:hideMark/>
          </w:tcPr>
          <w:p w:rsidRPr="007938ED" w:rsidR="00D31E46" w:rsidRDefault="00D31E46" w14:paraId="0314B627"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4C9CABAB" w14:textId="77777777">
            <w:pPr>
              <w:rPr>
                <w:rFonts w:asciiTheme="majorHAnsi" w:hAnsiTheme="majorHAnsi"/>
                <w:sz w:val="18"/>
                <w:szCs w:val="12"/>
              </w:rPr>
            </w:pPr>
            <w:r w:rsidRPr="007938ED">
              <w:rPr>
                <w:rFonts w:asciiTheme="majorHAnsi" w:hAnsiTheme="majorHAnsi"/>
                <w:sz w:val="18"/>
                <w:szCs w:val="12"/>
              </w:rPr>
              <w:t>PAC Levelized Cost ($/therm)</w:t>
            </w:r>
          </w:p>
        </w:tc>
        <w:tc>
          <w:tcPr>
            <w:tcW w:w="0" w:type="auto"/>
            <w:hideMark/>
          </w:tcPr>
          <w:p w:rsidRPr="007938ED" w:rsidR="00D31E46" w:rsidRDefault="00D31E46" w14:paraId="31728D2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29CD27B"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2543619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503E4CE"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16D6B7C" w14:textId="77777777">
            <w:pPr>
              <w:rPr>
                <w:rFonts w:asciiTheme="majorHAnsi" w:hAnsiTheme="majorHAnsi"/>
                <w:sz w:val="18"/>
                <w:szCs w:val="12"/>
              </w:rPr>
            </w:pPr>
            <w:r w:rsidRPr="007938ED">
              <w:rPr>
                <w:rFonts w:asciiTheme="majorHAnsi" w:hAnsiTheme="majorHAnsi"/>
                <w:sz w:val="18"/>
                <w:szCs w:val="12"/>
              </w:rPr>
              <w:t>PAC Levelized Cost ($/therm)</w:t>
            </w:r>
          </w:p>
        </w:tc>
      </w:tr>
      <w:tr w:rsidRPr="007938ED" w:rsidR="00CE6F7B" w:rsidTr="007938ED" w14:paraId="44918BFB" w14:textId="77777777">
        <w:trPr>
          <w:trHeight w:val="1200"/>
        </w:trPr>
        <w:tc>
          <w:tcPr>
            <w:tcW w:w="0" w:type="auto"/>
            <w:noWrap/>
            <w:hideMark/>
          </w:tcPr>
          <w:p w:rsidRPr="007938ED" w:rsidR="00D31E46" w:rsidP="00D31E46" w:rsidRDefault="00D31E46" w14:paraId="77ED7C24" w14:textId="77777777">
            <w:pPr>
              <w:rPr>
                <w:rFonts w:asciiTheme="majorHAnsi" w:hAnsiTheme="majorHAnsi"/>
                <w:sz w:val="18"/>
                <w:szCs w:val="12"/>
              </w:rPr>
            </w:pPr>
            <w:r w:rsidRPr="007938ED">
              <w:rPr>
                <w:rFonts w:asciiTheme="majorHAnsi" w:hAnsiTheme="majorHAnsi"/>
                <w:sz w:val="18"/>
                <w:szCs w:val="12"/>
              </w:rPr>
              <w:t>180</w:t>
            </w:r>
          </w:p>
        </w:tc>
        <w:tc>
          <w:tcPr>
            <w:tcW w:w="0" w:type="auto"/>
            <w:hideMark/>
          </w:tcPr>
          <w:p w:rsidRPr="007938ED" w:rsidR="00D31E46" w:rsidRDefault="00D31E46" w14:paraId="6CC0594D"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2A2ED24A" w14:textId="77777777">
            <w:pPr>
              <w:rPr>
                <w:rFonts w:asciiTheme="majorHAnsi" w:hAnsiTheme="majorHAnsi"/>
                <w:sz w:val="18"/>
                <w:szCs w:val="12"/>
              </w:rPr>
            </w:pPr>
            <w:r w:rsidRPr="007938ED">
              <w:rPr>
                <w:rFonts w:asciiTheme="majorHAnsi" w:hAnsiTheme="majorHAnsi"/>
                <w:sz w:val="18"/>
                <w:szCs w:val="12"/>
              </w:rPr>
              <w:t>TRC Levelized Cost ($/kW)</w:t>
            </w:r>
          </w:p>
        </w:tc>
        <w:tc>
          <w:tcPr>
            <w:tcW w:w="0" w:type="auto"/>
            <w:hideMark/>
          </w:tcPr>
          <w:p w:rsidRPr="007938ED" w:rsidR="00D31E46" w:rsidRDefault="00D31E46" w14:paraId="6146295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BACBAE2"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0C8A467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FBF3A2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6278120" w14:textId="77777777">
            <w:pPr>
              <w:rPr>
                <w:rFonts w:asciiTheme="majorHAnsi" w:hAnsiTheme="majorHAnsi"/>
                <w:sz w:val="18"/>
                <w:szCs w:val="12"/>
              </w:rPr>
            </w:pPr>
            <w:r w:rsidRPr="007938ED">
              <w:rPr>
                <w:rFonts w:asciiTheme="majorHAnsi" w:hAnsiTheme="majorHAnsi"/>
                <w:sz w:val="18"/>
                <w:szCs w:val="12"/>
              </w:rPr>
              <w:t>TRC Levelized Cost ($/kW)</w:t>
            </w:r>
          </w:p>
        </w:tc>
      </w:tr>
      <w:tr w:rsidRPr="007938ED" w:rsidR="00CE6F7B" w:rsidTr="007938ED" w14:paraId="17E1DC84" w14:textId="77777777">
        <w:trPr>
          <w:trHeight w:val="1200"/>
        </w:trPr>
        <w:tc>
          <w:tcPr>
            <w:tcW w:w="0" w:type="auto"/>
            <w:noWrap/>
            <w:hideMark/>
          </w:tcPr>
          <w:p w:rsidRPr="007938ED" w:rsidR="00D31E46" w:rsidP="00D31E46" w:rsidRDefault="00D31E46" w14:paraId="1EB3F07B" w14:textId="77777777">
            <w:pPr>
              <w:rPr>
                <w:rFonts w:asciiTheme="majorHAnsi" w:hAnsiTheme="majorHAnsi"/>
                <w:sz w:val="18"/>
                <w:szCs w:val="12"/>
              </w:rPr>
            </w:pPr>
            <w:r w:rsidRPr="007938ED">
              <w:rPr>
                <w:rFonts w:asciiTheme="majorHAnsi" w:hAnsiTheme="majorHAnsi"/>
                <w:sz w:val="18"/>
                <w:szCs w:val="12"/>
              </w:rPr>
              <w:t>181</w:t>
            </w:r>
          </w:p>
        </w:tc>
        <w:tc>
          <w:tcPr>
            <w:tcW w:w="0" w:type="auto"/>
            <w:hideMark/>
          </w:tcPr>
          <w:p w:rsidRPr="007938ED" w:rsidR="00D31E46" w:rsidRDefault="00D31E46" w14:paraId="781D5F6B"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19E289AE" w14:textId="77777777">
            <w:pPr>
              <w:rPr>
                <w:rFonts w:asciiTheme="majorHAnsi" w:hAnsiTheme="majorHAnsi"/>
                <w:sz w:val="18"/>
                <w:szCs w:val="12"/>
              </w:rPr>
            </w:pPr>
            <w:r w:rsidRPr="007938ED">
              <w:rPr>
                <w:rFonts w:asciiTheme="majorHAnsi" w:hAnsiTheme="majorHAnsi"/>
                <w:sz w:val="18"/>
                <w:szCs w:val="12"/>
              </w:rPr>
              <w:t>TRC Levelized Cost ($/kWh)</w:t>
            </w:r>
          </w:p>
        </w:tc>
        <w:tc>
          <w:tcPr>
            <w:tcW w:w="0" w:type="auto"/>
            <w:hideMark/>
          </w:tcPr>
          <w:p w:rsidRPr="007938ED" w:rsidR="00D31E46" w:rsidRDefault="00D31E46" w14:paraId="22C88ACA"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281322A"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316E336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BB5B39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4B827F6" w14:textId="77777777">
            <w:pPr>
              <w:rPr>
                <w:rFonts w:asciiTheme="majorHAnsi" w:hAnsiTheme="majorHAnsi"/>
                <w:sz w:val="18"/>
                <w:szCs w:val="12"/>
              </w:rPr>
            </w:pPr>
            <w:r w:rsidRPr="007938ED">
              <w:rPr>
                <w:rFonts w:asciiTheme="majorHAnsi" w:hAnsiTheme="majorHAnsi"/>
                <w:sz w:val="18"/>
                <w:szCs w:val="12"/>
              </w:rPr>
              <w:t>TRC Levelized Cost ($/kWh)</w:t>
            </w:r>
          </w:p>
        </w:tc>
      </w:tr>
      <w:tr w:rsidRPr="007938ED" w:rsidR="00CE6F7B" w:rsidTr="007938ED" w14:paraId="7D7F8C6C" w14:textId="77777777">
        <w:trPr>
          <w:trHeight w:val="1200"/>
        </w:trPr>
        <w:tc>
          <w:tcPr>
            <w:tcW w:w="0" w:type="auto"/>
            <w:noWrap/>
            <w:hideMark/>
          </w:tcPr>
          <w:p w:rsidRPr="007938ED" w:rsidR="00D31E46" w:rsidP="00D31E46" w:rsidRDefault="00D31E46" w14:paraId="4ED566C1" w14:textId="77777777">
            <w:pPr>
              <w:rPr>
                <w:rFonts w:asciiTheme="majorHAnsi" w:hAnsiTheme="majorHAnsi"/>
                <w:sz w:val="18"/>
                <w:szCs w:val="12"/>
              </w:rPr>
            </w:pPr>
            <w:r w:rsidRPr="007938ED">
              <w:rPr>
                <w:rFonts w:asciiTheme="majorHAnsi" w:hAnsiTheme="majorHAnsi"/>
                <w:sz w:val="18"/>
                <w:szCs w:val="12"/>
              </w:rPr>
              <w:t>182</w:t>
            </w:r>
          </w:p>
        </w:tc>
        <w:tc>
          <w:tcPr>
            <w:tcW w:w="0" w:type="auto"/>
            <w:hideMark/>
          </w:tcPr>
          <w:p w:rsidRPr="007938ED" w:rsidR="00D31E46" w:rsidRDefault="00D31E46" w14:paraId="6BD3D9CB"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39573F3A" w14:textId="77777777">
            <w:pPr>
              <w:rPr>
                <w:rFonts w:asciiTheme="majorHAnsi" w:hAnsiTheme="majorHAnsi"/>
                <w:sz w:val="18"/>
                <w:szCs w:val="12"/>
              </w:rPr>
            </w:pPr>
            <w:r w:rsidRPr="007938ED">
              <w:rPr>
                <w:rFonts w:asciiTheme="majorHAnsi" w:hAnsiTheme="majorHAnsi"/>
                <w:sz w:val="18"/>
                <w:szCs w:val="12"/>
              </w:rPr>
              <w:t>TRC Levelized Cost ($/therm)</w:t>
            </w:r>
          </w:p>
        </w:tc>
        <w:tc>
          <w:tcPr>
            <w:tcW w:w="0" w:type="auto"/>
            <w:hideMark/>
          </w:tcPr>
          <w:p w:rsidRPr="007938ED" w:rsidR="00D31E46" w:rsidRDefault="00D31E46" w14:paraId="63215EE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2436F2F"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400D23A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31EC09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DCF871F" w14:textId="77777777">
            <w:pPr>
              <w:rPr>
                <w:rFonts w:asciiTheme="majorHAnsi" w:hAnsiTheme="majorHAnsi"/>
                <w:sz w:val="18"/>
                <w:szCs w:val="12"/>
              </w:rPr>
            </w:pPr>
            <w:r w:rsidRPr="007938ED">
              <w:rPr>
                <w:rFonts w:asciiTheme="majorHAnsi" w:hAnsiTheme="majorHAnsi"/>
                <w:sz w:val="18"/>
                <w:szCs w:val="12"/>
              </w:rPr>
              <w:t>TRC Levelized Cost ($/therm)</w:t>
            </w:r>
          </w:p>
        </w:tc>
      </w:tr>
      <w:tr w:rsidRPr="007938ED" w:rsidR="00CE6F7B" w:rsidTr="007938ED" w14:paraId="0CF8ECCC" w14:textId="77777777">
        <w:trPr>
          <w:trHeight w:val="1200"/>
        </w:trPr>
        <w:tc>
          <w:tcPr>
            <w:tcW w:w="0" w:type="auto"/>
            <w:noWrap/>
            <w:hideMark/>
          </w:tcPr>
          <w:p w:rsidRPr="007938ED" w:rsidR="00D31E46" w:rsidP="00D31E46" w:rsidRDefault="00D31E46" w14:paraId="213AF51C" w14:textId="77777777">
            <w:pPr>
              <w:rPr>
                <w:rFonts w:asciiTheme="majorHAnsi" w:hAnsiTheme="majorHAnsi"/>
                <w:sz w:val="18"/>
                <w:szCs w:val="12"/>
              </w:rPr>
            </w:pPr>
            <w:r w:rsidRPr="007938ED">
              <w:rPr>
                <w:rFonts w:asciiTheme="majorHAnsi" w:hAnsiTheme="majorHAnsi"/>
                <w:sz w:val="18"/>
                <w:szCs w:val="12"/>
              </w:rPr>
              <w:t>183</w:t>
            </w:r>
          </w:p>
        </w:tc>
        <w:tc>
          <w:tcPr>
            <w:tcW w:w="0" w:type="auto"/>
            <w:hideMark/>
          </w:tcPr>
          <w:p w:rsidRPr="007938ED" w:rsidR="00D31E46" w:rsidRDefault="00D31E46" w14:paraId="6DD9FFF9" w14:textId="77777777">
            <w:pPr>
              <w:rPr>
                <w:rFonts w:asciiTheme="majorHAnsi" w:hAnsiTheme="majorHAnsi"/>
                <w:sz w:val="18"/>
                <w:szCs w:val="12"/>
              </w:rPr>
            </w:pPr>
            <w:r w:rsidRPr="007938ED">
              <w:rPr>
                <w:rFonts w:asciiTheme="majorHAnsi" w:hAnsiTheme="majorHAnsi"/>
                <w:sz w:val="18"/>
                <w:szCs w:val="12"/>
              </w:rPr>
              <w:t>Fraction of total projects utilizing Normalized Metered Energy Consumption (NMEC) to estimate savings</w:t>
            </w:r>
          </w:p>
        </w:tc>
        <w:tc>
          <w:tcPr>
            <w:tcW w:w="0" w:type="auto"/>
            <w:hideMark/>
          </w:tcPr>
          <w:p w:rsidRPr="007938ED" w:rsidR="00D31E46" w:rsidRDefault="00D31E46" w14:paraId="5F3DD443" w14:textId="77777777">
            <w:pPr>
              <w:rPr>
                <w:rFonts w:asciiTheme="majorHAnsi" w:hAnsiTheme="majorHAnsi"/>
                <w:sz w:val="18"/>
                <w:szCs w:val="12"/>
              </w:rPr>
            </w:pPr>
            <w:r w:rsidRPr="007938ED">
              <w:rPr>
                <w:rFonts w:asciiTheme="majorHAnsi" w:hAnsiTheme="majorHAnsi"/>
                <w:sz w:val="18"/>
                <w:szCs w:val="12"/>
              </w:rPr>
              <w:t>Percent of total projects utilizing Normalized Metered Energy Consumption (NMEC) to estimate savings</w:t>
            </w:r>
          </w:p>
        </w:tc>
        <w:tc>
          <w:tcPr>
            <w:tcW w:w="0" w:type="auto"/>
            <w:hideMark/>
          </w:tcPr>
          <w:p w:rsidRPr="007938ED" w:rsidR="00D31E46" w:rsidRDefault="00D31E46" w14:paraId="62050241"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75345160" w14:textId="77777777">
            <w:pPr>
              <w:rPr>
                <w:rFonts w:asciiTheme="majorHAnsi" w:hAnsiTheme="majorHAnsi"/>
                <w:sz w:val="18"/>
                <w:szCs w:val="12"/>
              </w:rPr>
            </w:pPr>
            <w:r w:rsidRPr="007938ED">
              <w:rPr>
                <w:rFonts w:asciiTheme="majorHAnsi" w:hAnsiTheme="majorHAnsi"/>
                <w:sz w:val="18"/>
                <w:szCs w:val="12"/>
              </w:rPr>
              <w:t>NMEC</w:t>
            </w:r>
          </w:p>
        </w:tc>
        <w:tc>
          <w:tcPr>
            <w:tcW w:w="0" w:type="auto"/>
            <w:hideMark/>
          </w:tcPr>
          <w:p w:rsidRPr="007938ED" w:rsidR="00D31E46" w:rsidP="00D31E46" w:rsidRDefault="00D31E46" w14:paraId="7322C0F0"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750BB24"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0F28029D"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455455F3" w14:textId="77777777">
        <w:trPr>
          <w:trHeight w:val="1200"/>
        </w:trPr>
        <w:tc>
          <w:tcPr>
            <w:tcW w:w="0" w:type="auto"/>
            <w:noWrap/>
            <w:hideMark/>
          </w:tcPr>
          <w:p w:rsidRPr="007938ED" w:rsidR="00D31E46" w:rsidP="00D31E46" w:rsidRDefault="00D31E46" w14:paraId="44A10495" w14:textId="77777777">
            <w:pPr>
              <w:rPr>
                <w:rFonts w:asciiTheme="majorHAnsi" w:hAnsiTheme="majorHAnsi"/>
                <w:sz w:val="18"/>
                <w:szCs w:val="12"/>
              </w:rPr>
            </w:pPr>
            <w:r w:rsidRPr="007938ED">
              <w:rPr>
                <w:rFonts w:asciiTheme="majorHAnsi" w:hAnsiTheme="majorHAnsi"/>
                <w:sz w:val="18"/>
                <w:szCs w:val="12"/>
              </w:rPr>
              <w:t>184</w:t>
            </w:r>
          </w:p>
        </w:tc>
        <w:tc>
          <w:tcPr>
            <w:tcW w:w="0" w:type="auto"/>
            <w:hideMark/>
          </w:tcPr>
          <w:p w:rsidRPr="007938ED" w:rsidR="00D31E46" w:rsidRDefault="00D31E46" w14:paraId="7039A3FD" w14:textId="77777777">
            <w:pPr>
              <w:rPr>
                <w:rFonts w:asciiTheme="majorHAnsi" w:hAnsiTheme="majorHAnsi"/>
                <w:sz w:val="18"/>
                <w:szCs w:val="12"/>
              </w:rPr>
            </w:pPr>
            <w:r w:rsidRPr="007938ED">
              <w:rPr>
                <w:rFonts w:asciiTheme="majorHAnsi" w:hAnsiTheme="majorHAnsi"/>
                <w:sz w:val="18"/>
                <w:szCs w:val="12"/>
              </w:rPr>
              <w:t>Fraction of total savings (gross kWh and therm) derived from NMEC analysis</w:t>
            </w:r>
          </w:p>
        </w:tc>
        <w:tc>
          <w:tcPr>
            <w:tcW w:w="0" w:type="auto"/>
            <w:hideMark/>
          </w:tcPr>
          <w:p w:rsidRPr="007938ED" w:rsidR="00D31E46" w:rsidRDefault="00D31E46" w14:paraId="6E551545" w14:textId="77777777">
            <w:pPr>
              <w:rPr>
                <w:rFonts w:asciiTheme="majorHAnsi" w:hAnsiTheme="majorHAnsi"/>
                <w:sz w:val="18"/>
                <w:szCs w:val="12"/>
              </w:rPr>
            </w:pPr>
            <w:r w:rsidRPr="007938ED">
              <w:rPr>
                <w:rFonts w:asciiTheme="majorHAnsi" w:hAnsiTheme="majorHAnsi"/>
                <w:sz w:val="18"/>
                <w:szCs w:val="12"/>
              </w:rPr>
              <w:t>Percent of total savings (gross kWh and therm) derived from NMEC analysis</w:t>
            </w:r>
          </w:p>
        </w:tc>
        <w:tc>
          <w:tcPr>
            <w:tcW w:w="0" w:type="auto"/>
            <w:hideMark/>
          </w:tcPr>
          <w:p w:rsidRPr="007938ED" w:rsidR="00D31E46" w:rsidRDefault="00D31E46" w14:paraId="511DFBB7"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064E7ADE" w14:textId="77777777">
            <w:pPr>
              <w:rPr>
                <w:rFonts w:asciiTheme="majorHAnsi" w:hAnsiTheme="majorHAnsi"/>
                <w:sz w:val="18"/>
                <w:szCs w:val="12"/>
              </w:rPr>
            </w:pPr>
            <w:r w:rsidRPr="007938ED">
              <w:rPr>
                <w:rFonts w:asciiTheme="majorHAnsi" w:hAnsiTheme="majorHAnsi"/>
                <w:sz w:val="18"/>
                <w:szCs w:val="12"/>
              </w:rPr>
              <w:t>NMEC</w:t>
            </w:r>
          </w:p>
        </w:tc>
        <w:tc>
          <w:tcPr>
            <w:tcW w:w="0" w:type="auto"/>
            <w:hideMark/>
          </w:tcPr>
          <w:p w:rsidRPr="007938ED" w:rsidR="00D31E46" w:rsidP="00D31E46" w:rsidRDefault="00D31E46" w14:paraId="0BCC52E5"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3894D02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002C535"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6FE47773" w14:textId="77777777">
        <w:trPr>
          <w:trHeight w:val="1200"/>
        </w:trPr>
        <w:tc>
          <w:tcPr>
            <w:tcW w:w="0" w:type="auto"/>
            <w:noWrap/>
            <w:hideMark/>
          </w:tcPr>
          <w:p w:rsidRPr="007938ED" w:rsidR="00D31E46" w:rsidP="00D31E46" w:rsidRDefault="00D31E46" w14:paraId="4F7220FF" w14:textId="77777777">
            <w:pPr>
              <w:rPr>
                <w:rFonts w:asciiTheme="majorHAnsi" w:hAnsiTheme="majorHAnsi"/>
                <w:sz w:val="18"/>
                <w:szCs w:val="12"/>
              </w:rPr>
            </w:pPr>
            <w:r w:rsidRPr="007938ED">
              <w:rPr>
                <w:rFonts w:asciiTheme="majorHAnsi" w:hAnsiTheme="majorHAnsi"/>
                <w:sz w:val="18"/>
                <w:szCs w:val="12"/>
              </w:rPr>
              <w:lastRenderedPageBreak/>
              <w:t>185</w:t>
            </w:r>
          </w:p>
        </w:tc>
        <w:tc>
          <w:tcPr>
            <w:tcW w:w="0" w:type="auto"/>
            <w:hideMark/>
          </w:tcPr>
          <w:p w:rsidRPr="007938ED" w:rsidR="00D31E46" w:rsidRDefault="00D31E46" w14:paraId="6868A8AE" w14:textId="77777777">
            <w:pPr>
              <w:rPr>
                <w:rFonts w:asciiTheme="majorHAnsi" w:hAnsiTheme="majorHAnsi"/>
                <w:sz w:val="18"/>
                <w:szCs w:val="12"/>
              </w:rPr>
            </w:pPr>
            <w:r w:rsidRPr="007938ED">
              <w:rPr>
                <w:rFonts w:asciiTheme="majorHAnsi" w:hAnsiTheme="majorHAnsi"/>
                <w:sz w:val="18"/>
                <w:szCs w:val="12"/>
              </w:rPr>
              <w:t>Improvement in customer satisfaction</w:t>
            </w:r>
          </w:p>
        </w:tc>
        <w:tc>
          <w:tcPr>
            <w:tcW w:w="0" w:type="auto"/>
            <w:hideMark/>
          </w:tcPr>
          <w:p w:rsidRPr="007938ED" w:rsidR="00D31E46" w:rsidRDefault="00D31E46" w14:paraId="121C1772" w14:textId="77777777">
            <w:pPr>
              <w:rPr>
                <w:rFonts w:asciiTheme="majorHAnsi" w:hAnsiTheme="majorHAnsi"/>
                <w:sz w:val="18"/>
                <w:szCs w:val="12"/>
              </w:rPr>
            </w:pPr>
            <w:r w:rsidRPr="007938ED">
              <w:rPr>
                <w:rFonts w:asciiTheme="majorHAnsi" w:hAnsiTheme="majorHAnsi"/>
                <w:sz w:val="18"/>
                <w:szCs w:val="12"/>
              </w:rPr>
              <w:t>Percent Improvement in customer satisfaction</w:t>
            </w:r>
          </w:p>
        </w:tc>
        <w:tc>
          <w:tcPr>
            <w:tcW w:w="0" w:type="auto"/>
            <w:hideMark/>
          </w:tcPr>
          <w:p w:rsidRPr="007938ED" w:rsidR="00D31E46" w:rsidRDefault="00D31E46" w14:paraId="5ABC2A0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7FA568E4" w14:textId="77777777">
            <w:pPr>
              <w:rPr>
                <w:rFonts w:asciiTheme="majorHAnsi" w:hAnsiTheme="majorHAnsi"/>
                <w:sz w:val="18"/>
                <w:szCs w:val="12"/>
              </w:rPr>
            </w:pPr>
            <w:r w:rsidRPr="007938ED">
              <w:rPr>
                <w:rFonts w:asciiTheme="majorHAnsi" w:hAnsiTheme="majorHAnsi"/>
                <w:sz w:val="18"/>
                <w:szCs w:val="12"/>
              </w:rPr>
              <w:t>Satisfaction</w:t>
            </w:r>
          </w:p>
        </w:tc>
        <w:tc>
          <w:tcPr>
            <w:tcW w:w="0" w:type="auto"/>
            <w:hideMark/>
          </w:tcPr>
          <w:p w:rsidRPr="007938ED" w:rsidR="00D31E46" w:rsidP="00D31E46" w:rsidRDefault="00D31E46" w14:paraId="07B5F9ED"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B41BFC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46633F7"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174078DB" w14:textId="77777777">
        <w:trPr>
          <w:trHeight w:val="1200"/>
        </w:trPr>
        <w:tc>
          <w:tcPr>
            <w:tcW w:w="0" w:type="auto"/>
            <w:noWrap/>
            <w:hideMark/>
          </w:tcPr>
          <w:p w:rsidRPr="007938ED" w:rsidR="00D31E46" w:rsidP="00D31E46" w:rsidRDefault="00D31E46" w14:paraId="2AC7661F" w14:textId="77777777">
            <w:pPr>
              <w:rPr>
                <w:rFonts w:asciiTheme="majorHAnsi" w:hAnsiTheme="majorHAnsi"/>
                <w:sz w:val="18"/>
                <w:szCs w:val="12"/>
              </w:rPr>
            </w:pPr>
            <w:r w:rsidRPr="007938ED">
              <w:rPr>
                <w:rFonts w:asciiTheme="majorHAnsi" w:hAnsiTheme="majorHAnsi"/>
                <w:sz w:val="18"/>
                <w:szCs w:val="12"/>
              </w:rPr>
              <w:t>186</w:t>
            </w:r>
          </w:p>
        </w:tc>
        <w:tc>
          <w:tcPr>
            <w:tcW w:w="0" w:type="auto"/>
            <w:hideMark/>
          </w:tcPr>
          <w:p w:rsidRPr="007938ED" w:rsidR="00D31E46" w:rsidRDefault="00D31E46" w14:paraId="3EA58A1B" w14:textId="77777777">
            <w:pPr>
              <w:rPr>
                <w:rFonts w:asciiTheme="majorHAnsi" w:hAnsiTheme="majorHAnsi"/>
                <w:sz w:val="18"/>
                <w:szCs w:val="12"/>
              </w:rPr>
            </w:pPr>
            <w:r w:rsidRPr="007938ED">
              <w:rPr>
                <w:rFonts w:asciiTheme="majorHAnsi" w:hAnsiTheme="majorHAnsi"/>
                <w:sz w:val="18"/>
                <w:szCs w:val="12"/>
              </w:rPr>
              <w:t>Improvement in trade ally satisfaction</w:t>
            </w:r>
          </w:p>
        </w:tc>
        <w:tc>
          <w:tcPr>
            <w:tcW w:w="0" w:type="auto"/>
            <w:hideMark/>
          </w:tcPr>
          <w:p w:rsidRPr="007938ED" w:rsidR="00D31E46" w:rsidRDefault="00D31E46" w14:paraId="6FAFF54A" w14:textId="77777777">
            <w:pPr>
              <w:rPr>
                <w:rFonts w:asciiTheme="majorHAnsi" w:hAnsiTheme="majorHAnsi"/>
                <w:sz w:val="18"/>
                <w:szCs w:val="12"/>
              </w:rPr>
            </w:pPr>
            <w:r w:rsidRPr="007938ED">
              <w:rPr>
                <w:rFonts w:asciiTheme="majorHAnsi" w:hAnsiTheme="majorHAnsi"/>
                <w:sz w:val="18"/>
                <w:szCs w:val="12"/>
              </w:rPr>
              <w:t>Percent Improvement in trade ally satisfaction</w:t>
            </w:r>
          </w:p>
        </w:tc>
        <w:tc>
          <w:tcPr>
            <w:tcW w:w="0" w:type="auto"/>
            <w:hideMark/>
          </w:tcPr>
          <w:p w:rsidRPr="007938ED" w:rsidR="00D31E46" w:rsidRDefault="00D31E46" w14:paraId="4C61FCA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626C512" w14:textId="77777777">
            <w:pPr>
              <w:rPr>
                <w:rFonts w:asciiTheme="majorHAnsi" w:hAnsiTheme="majorHAnsi"/>
                <w:sz w:val="18"/>
                <w:szCs w:val="12"/>
              </w:rPr>
            </w:pPr>
            <w:r w:rsidRPr="007938ED">
              <w:rPr>
                <w:rFonts w:asciiTheme="majorHAnsi" w:hAnsiTheme="majorHAnsi"/>
                <w:sz w:val="18"/>
                <w:szCs w:val="12"/>
              </w:rPr>
              <w:t>Satisfaction</w:t>
            </w:r>
          </w:p>
        </w:tc>
        <w:tc>
          <w:tcPr>
            <w:tcW w:w="0" w:type="auto"/>
            <w:hideMark/>
          </w:tcPr>
          <w:p w:rsidRPr="007938ED" w:rsidR="00D31E46" w:rsidP="00D31E46" w:rsidRDefault="00D31E46" w14:paraId="7863300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036A3B6"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B3339E3"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1AE19DF2" w14:textId="77777777">
        <w:trPr>
          <w:trHeight w:val="1200"/>
        </w:trPr>
        <w:tc>
          <w:tcPr>
            <w:tcW w:w="0" w:type="auto"/>
            <w:noWrap/>
            <w:hideMark/>
          </w:tcPr>
          <w:p w:rsidRPr="007938ED" w:rsidR="00D31E46" w:rsidP="00D31E46" w:rsidRDefault="00D31E46" w14:paraId="1F6936AA" w14:textId="77777777">
            <w:pPr>
              <w:rPr>
                <w:rFonts w:asciiTheme="majorHAnsi" w:hAnsiTheme="majorHAnsi"/>
                <w:sz w:val="18"/>
                <w:szCs w:val="12"/>
              </w:rPr>
            </w:pPr>
            <w:r w:rsidRPr="007938ED">
              <w:rPr>
                <w:rFonts w:asciiTheme="majorHAnsi" w:hAnsiTheme="majorHAnsi"/>
                <w:sz w:val="18"/>
                <w:szCs w:val="12"/>
              </w:rPr>
              <w:t>187</w:t>
            </w:r>
          </w:p>
        </w:tc>
        <w:tc>
          <w:tcPr>
            <w:tcW w:w="0" w:type="auto"/>
            <w:hideMark/>
          </w:tcPr>
          <w:p w:rsidRPr="007938ED" w:rsidR="00D31E46" w:rsidRDefault="00D31E46" w14:paraId="2262C7B7" w14:textId="77777777">
            <w:pPr>
              <w:rPr>
                <w:rFonts w:asciiTheme="majorHAnsi" w:hAnsiTheme="majorHAnsi"/>
                <w:sz w:val="18"/>
                <w:szCs w:val="12"/>
              </w:rPr>
            </w:pPr>
            <w:r w:rsidRPr="007938ED">
              <w:rPr>
                <w:rFonts w:asciiTheme="majorHAnsi" w:hAnsiTheme="majorHAnsi"/>
                <w:sz w:val="18"/>
                <w:szCs w:val="12"/>
              </w:rPr>
              <w:t>Fraction of total investments made by ratepayers and private capital</w:t>
            </w:r>
          </w:p>
        </w:tc>
        <w:tc>
          <w:tcPr>
            <w:tcW w:w="0" w:type="auto"/>
            <w:hideMark/>
          </w:tcPr>
          <w:p w:rsidRPr="007938ED" w:rsidR="00D31E46" w:rsidRDefault="00D31E46" w14:paraId="4294748C" w14:textId="77777777">
            <w:pPr>
              <w:rPr>
                <w:rFonts w:asciiTheme="majorHAnsi" w:hAnsiTheme="majorHAnsi"/>
                <w:sz w:val="18"/>
                <w:szCs w:val="12"/>
              </w:rPr>
            </w:pPr>
            <w:r w:rsidRPr="007938ED">
              <w:rPr>
                <w:rFonts w:asciiTheme="majorHAnsi" w:hAnsiTheme="majorHAnsi"/>
                <w:sz w:val="18"/>
                <w:szCs w:val="12"/>
              </w:rPr>
              <w:t>Percent of total investments made by ratepayers and private capital</w:t>
            </w:r>
          </w:p>
        </w:tc>
        <w:tc>
          <w:tcPr>
            <w:tcW w:w="0" w:type="auto"/>
            <w:hideMark/>
          </w:tcPr>
          <w:p w:rsidRPr="007938ED" w:rsidR="00D31E46" w:rsidRDefault="00D31E46" w14:paraId="5447FA1F"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8535A3D" w14:textId="77777777">
            <w:pPr>
              <w:rPr>
                <w:rFonts w:asciiTheme="majorHAnsi" w:hAnsiTheme="majorHAnsi"/>
                <w:sz w:val="18"/>
                <w:szCs w:val="12"/>
              </w:rPr>
            </w:pPr>
            <w:r w:rsidRPr="007938ED">
              <w:rPr>
                <w:rFonts w:asciiTheme="majorHAnsi" w:hAnsiTheme="majorHAnsi"/>
                <w:sz w:val="18"/>
                <w:szCs w:val="12"/>
              </w:rPr>
              <w:t>Investment in EE</w:t>
            </w:r>
          </w:p>
        </w:tc>
        <w:tc>
          <w:tcPr>
            <w:tcW w:w="0" w:type="auto"/>
            <w:hideMark/>
          </w:tcPr>
          <w:p w:rsidRPr="007938ED" w:rsidR="00D31E46" w:rsidP="00D31E46" w:rsidRDefault="00D31E46" w14:paraId="60B9D456" w14:textId="77777777">
            <w:pPr>
              <w:rPr>
                <w:rFonts w:asciiTheme="majorHAnsi" w:hAnsiTheme="majorHAnsi"/>
                <w:sz w:val="18"/>
                <w:szCs w:val="12"/>
              </w:rPr>
            </w:pPr>
            <w:r w:rsidRPr="007938ED">
              <w:rPr>
                <w:rFonts w:asciiTheme="majorHAnsi" w:hAnsiTheme="majorHAnsi"/>
                <w:sz w:val="18"/>
                <w:szCs w:val="12"/>
              </w:rPr>
              <w:t>pause</w:t>
            </w:r>
          </w:p>
        </w:tc>
        <w:tc>
          <w:tcPr>
            <w:tcW w:w="0" w:type="auto"/>
            <w:hideMark/>
          </w:tcPr>
          <w:p w:rsidRPr="007938ED" w:rsidR="00D31E46" w:rsidP="00D31E46" w:rsidRDefault="00D31E46" w14:paraId="5413E2F3"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9F659D9"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77678DCA" w14:textId="77777777">
        <w:trPr>
          <w:trHeight w:val="1200"/>
        </w:trPr>
        <w:tc>
          <w:tcPr>
            <w:tcW w:w="0" w:type="auto"/>
            <w:noWrap/>
            <w:hideMark/>
          </w:tcPr>
          <w:p w:rsidRPr="007938ED" w:rsidR="00D31E46" w:rsidP="00D31E46" w:rsidRDefault="00D31E46" w14:paraId="5C7504A9" w14:textId="77777777">
            <w:pPr>
              <w:rPr>
                <w:rFonts w:asciiTheme="majorHAnsi" w:hAnsiTheme="majorHAnsi"/>
                <w:sz w:val="18"/>
                <w:szCs w:val="12"/>
              </w:rPr>
            </w:pPr>
            <w:r w:rsidRPr="007938ED">
              <w:rPr>
                <w:rFonts w:asciiTheme="majorHAnsi" w:hAnsiTheme="majorHAnsi"/>
                <w:sz w:val="18"/>
                <w:szCs w:val="12"/>
              </w:rPr>
              <w:t>188</w:t>
            </w:r>
          </w:p>
        </w:tc>
        <w:tc>
          <w:tcPr>
            <w:tcW w:w="0" w:type="auto"/>
            <w:hideMark/>
          </w:tcPr>
          <w:p w:rsidRPr="007938ED" w:rsidR="00D31E46" w:rsidRDefault="00D31E46" w14:paraId="1040A6A2"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1B454329" w14:textId="77777777">
            <w:pPr>
              <w:rPr>
                <w:rFonts w:asciiTheme="majorHAnsi" w:hAnsiTheme="majorHAnsi"/>
                <w:sz w:val="18"/>
                <w:szCs w:val="12"/>
              </w:rPr>
            </w:pPr>
            <w:r w:rsidRPr="007938ED">
              <w:rPr>
                <w:rFonts w:asciiTheme="majorHAnsi" w:hAnsiTheme="majorHAnsi"/>
                <w:sz w:val="18"/>
                <w:szCs w:val="12"/>
              </w:rPr>
              <w:t>First year annual kW gross</w:t>
            </w:r>
          </w:p>
        </w:tc>
        <w:tc>
          <w:tcPr>
            <w:tcW w:w="0" w:type="auto"/>
            <w:hideMark/>
          </w:tcPr>
          <w:p w:rsidRPr="007938ED" w:rsidR="00D31E46" w:rsidRDefault="00D31E46" w14:paraId="4B2E391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751D05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8B3A740"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F241AD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7259239" w14:textId="77777777">
            <w:pPr>
              <w:rPr>
                <w:rFonts w:asciiTheme="majorHAnsi" w:hAnsiTheme="majorHAnsi"/>
                <w:sz w:val="18"/>
                <w:szCs w:val="12"/>
              </w:rPr>
            </w:pPr>
            <w:r w:rsidRPr="007938ED">
              <w:rPr>
                <w:rFonts w:asciiTheme="majorHAnsi" w:hAnsiTheme="majorHAnsi"/>
                <w:sz w:val="18"/>
                <w:szCs w:val="12"/>
              </w:rPr>
              <w:t>First year annual kW gross</w:t>
            </w:r>
          </w:p>
        </w:tc>
      </w:tr>
      <w:tr w:rsidRPr="007938ED" w:rsidR="00CE6F7B" w:rsidTr="007938ED" w14:paraId="5CA49818" w14:textId="77777777">
        <w:trPr>
          <w:trHeight w:val="1200"/>
        </w:trPr>
        <w:tc>
          <w:tcPr>
            <w:tcW w:w="0" w:type="auto"/>
            <w:noWrap/>
            <w:hideMark/>
          </w:tcPr>
          <w:p w:rsidRPr="007938ED" w:rsidR="00D31E46" w:rsidP="00D31E46" w:rsidRDefault="00D31E46" w14:paraId="5AB76C9A" w14:textId="77777777">
            <w:pPr>
              <w:rPr>
                <w:rFonts w:asciiTheme="majorHAnsi" w:hAnsiTheme="majorHAnsi"/>
                <w:sz w:val="18"/>
                <w:szCs w:val="12"/>
              </w:rPr>
            </w:pPr>
            <w:r w:rsidRPr="007938ED">
              <w:rPr>
                <w:rFonts w:asciiTheme="majorHAnsi" w:hAnsiTheme="majorHAnsi"/>
                <w:sz w:val="18"/>
                <w:szCs w:val="12"/>
              </w:rPr>
              <w:t>189</w:t>
            </w:r>
          </w:p>
        </w:tc>
        <w:tc>
          <w:tcPr>
            <w:tcW w:w="0" w:type="auto"/>
            <w:hideMark/>
          </w:tcPr>
          <w:p w:rsidRPr="007938ED" w:rsidR="00D31E46" w:rsidRDefault="00D31E46" w14:paraId="49CE3147"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064548C3" w14:textId="77777777">
            <w:pPr>
              <w:rPr>
                <w:rFonts w:asciiTheme="majorHAnsi" w:hAnsiTheme="majorHAnsi"/>
                <w:sz w:val="18"/>
                <w:szCs w:val="12"/>
              </w:rPr>
            </w:pPr>
            <w:r w:rsidRPr="007938ED">
              <w:rPr>
                <w:rFonts w:asciiTheme="majorHAnsi" w:hAnsiTheme="majorHAnsi"/>
                <w:sz w:val="18"/>
                <w:szCs w:val="12"/>
              </w:rPr>
              <w:t>First year annual kW net</w:t>
            </w:r>
          </w:p>
        </w:tc>
        <w:tc>
          <w:tcPr>
            <w:tcW w:w="0" w:type="auto"/>
            <w:hideMark/>
          </w:tcPr>
          <w:p w:rsidRPr="007938ED" w:rsidR="00D31E46" w:rsidRDefault="00D31E46" w14:paraId="2B051DC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E5368CD"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0E86BB2"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F7862CE"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8735C31" w14:textId="77777777">
            <w:pPr>
              <w:rPr>
                <w:rFonts w:asciiTheme="majorHAnsi" w:hAnsiTheme="majorHAnsi"/>
                <w:sz w:val="18"/>
                <w:szCs w:val="12"/>
              </w:rPr>
            </w:pPr>
            <w:r w:rsidRPr="007938ED">
              <w:rPr>
                <w:rFonts w:asciiTheme="majorHAnsi" w:hAnsiTheme="majorHAnsi"/>
                <w:sz w:val="18"/>
                <w:szCs w:val="12"/>
              </w:rPr>
              <w:t>First year annual kW net</w:t>
            </w:r>
          </w:p>
        </w:tc>
      </w:tr>
      <w:tr w:rsidRPr="007938ED" w:rsidR="00CE6F7B" w:rsidTr="007938ED" w14:paraId="4FA15250" w14:textId="77777777">
        <w:trPr>
          <w:trHeight w:val="1200"/>
        </w:trPr>
        <w:tc>
          <w:tcPr>
            <w:tcW w:w="0" w:type="auto"/>
            <w:noWrap/>
            <w:hideMark/>
          </w:tcPr>
          <w:p w:rsidRPr="007938ED" w:rsidR="00D31E46" w:rsidP="00D31E46" w:rsidRDefault="00D31E46" w14:paraId="316BB7D2" w14:textId="77777777">
            <w:pPr>
              <w:rPr>
                <w:rFonts w:asciiTheme="majorHAnsi" w:hAnsiTheme="majorHAnsi"/>
                <w:sz w:val="18"/>
                <w:szCs w:val="12"/>
              </w:rPr>
            </w:pPr>
            <w:r w:rsidRPr="007938ED">
              <w:rPr>
                <w:rFonts w:asciiTheme="majorHAnsi" w:hAnsiTheme="majorHAnsi"/>
                <w:sz w:val="18"/>
                <w:szCs w:val="12"/>
              </w:rPr>
              <w:t>190</w:t>
            </w:r>
          </w:p>
        </w:tc>
        <w:tc>
          <w:tcPr>
            <w:tcW w:w="0" w:type="auto"/>
            <w:hideMark/>
          </w:tcPr>
          <w:p w:rsidRPr="007938ED" w:rsidR="00D31E46" w:rsidRDefault="00D31E46" w14:paraId="0C77CABC"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6AA940CC" w14:textId="77777777">
            <w:pPr>
              <w:rPr>
                <w:rFonts w:asciiTheme="majorHAnsi" w:hAnsiTheme="majorHAnsi"/>
                <w:sz w:val="18"/>
                <w:szCs w:val="12"/>
              </w:rPr>
            </w:pPr>
            <w:r w:rsidRPr="007938ED">
              <w:rPr>
                <w:rFonts w:asciiTheme="majorHAnsi" w:hAnsiTheme="majorHAnsi"/>
                <w:sz w:val="18"/>
                <w:szCs w:val="12"/>
              </w:rPr>
              <w:t>First year annual kWh gross</w:t>
            </w:r>
          </w:p>
        </w:tc>
        <w:tc>
          <w:tcPr>
            <w:tcW w:w="0" w:type="auto"/>
            <w:hideMark/>
          </w:tcPr>
          <w:p w:rsidRPr="007938ED" w:rsidR="00D31E46" w:rsidRDefault="00D31E46" w14:paraId="7A27BC4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16EFEC1"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A3021D4"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38EBB8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5BDDBAD" w14:textId="77777777">
            <w:pPr>
              <w:rPr>
                <w:rFonts w:asciiTheme="majorHAnsi" w:hAnsiTheme="majorHAnsi"/>
                <w:sz w:val="18"/>
                <w:szCs w:val="12"/>
              </w:rPr>
            </w:pPr>
            <w:r w:rsidRPr="007938ED">
              <w:rPr>
                <w:rFonts w:asciiTheme="majorHAnsi" w:hAnsiTheme="majorHAnsi"/>
                <w:sz w:val="18"/>
                <w:szCs w:val="12"/>
              </w:rPr>
              <w:t>First year annual kWh gross</w:t>
            </w:r>
          </w:p>
        </w:tc>
      </w:tr>
      <w:tr w:rsidRPr="007938ED" w:rsidR="00CE6F7B" w:rsidTr="007938ED" w14:paraId="7EB19D87" w14:textId="77777777">
        <w:trPr>
          <w:trHeight w:val="1200"/>
        </w:trPr>
        <w:tc>
          <w:tcPr>
            <w:tcW w:w="0" w:type="auto"/>
            <w:noWrap/>
            <w:hideMark/>
          </w:tcPr>
          <w:p w:rsidRPr="007938ED" w:rsidR="00D31E46" w:rsidP="00D31E46" w:rsidRDefault="00D31E46" w14:paraId="7ADFB86D" w14:textId="77777777">
            <w:pPr>
              <w:rPr>
                <w:rFonts w:asciiTheme="majorHAnsi" w:hAnsiTheme="majorHAnsi"/>
                <w:sz w:val="18"/>
                <w:szCs w:val="12"/>
              </w:rPr>
            </w:pPr>
            <w:r w:rsidRPr="007938ED">
              <w:rPr>
                <w:rFonts w:asciiTheme="majorHAnsi" w:hAnsiTheme="majorHAnsi"/>
                <w:sz w:val="18"/>
                <w:szCs w:val="12"/>
              </w:rPr>
              <w:lastRenderedPageBreak/>
              <w:t>191</w:t>
            </w:r>
          </w:p>
        </w:tc>
        <w:tc>
          <w:tcPr>
            <w:tcW w:w="0" w:type="auto"/>
            <w:hideMark/>
          </w:tcPr>
          <w:p w:rsidRPr="007938ED" w:rsidR="00D31E46" w:rsidRDefault="00D31E46" w14:paraId="73B326FB"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3AEB4EEA" w14:textId="77777777">
            <w:pPr>
              <w:rPr>
                <w:rFonts w:asciiTheme="majorHAnsi" w:hAnsiTheme="majorHAnsi"/>
                <w:sz w:val="18"/>
                <w:szCs w:val="12"/>
              </w:rPr>
            </w:pPr>
            <w:r w:rsidRPr="007938ED">
              <w:rPr>
                <w:rFonts w:asciiTheme="majorHAnsi" w:hAnsiTheme="majorHAnsi"/>
                <w:sz w:val="18"/>
                <w:szCs w:val="12"/>
              </w:rPr>
              <w:t>First year annual kWh net</w:t>
            </w:r>
          </w:p>
        </w:tc>
        <w:tc>
          <w:tcPr>
            <w:tcW w:w="0" w:type="auto"/>
            <w:hideMark/>
          </w:tcPr>
          <w:p w:rsidRPr="007938ED" w:rsidR="00D31E46" w:rsidRDefault="00D31E46" w14:paraId="703F37DA"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44EA60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8440987"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52E2F4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7D76E5C" w14:textId="77777777">
            <w:pPr>
              <w:rPr>
                <w:rFonts w:asciiTheme="majorHAnsi" w:hAnsiTheme="majorHAnsi"/>
                <w:sz w:val="18"/>
                <w:szCs w:val="12"/>
              </w:rPr>
            </w:pPr>
            <w:r w:rsidRPr="007938ED">
              <w:rPr>
                <w:rFonts w:asciiTheme="majorHAnsi" w:hAnsiTheme="majorHAnsi"/>
                <w:sz w:val="18"/>
                <w:szCs w:val="12"/>
              </w:rPr>
              <w:t>First year annual kWh net</w:t>
            </w:r>
          </w:p>
        </w:tc>
      </w:tr>
      <w:tr w:rsidRPr="007938ED" w:rsidR="00CE6F7B" w:rsidTr="007938ED" w14:paraId="365836D8" w14:textId="77777777">
        <w:trPr>
          <w:trHeight w:val="1200"/>
        </w:trPr>
        <w:tc>
          <w:tcPr>
            <w:tcW w:w="0" w:type="auto"/>
            <w:noWrap/>
            <w:hideMark/>
          </w:tcPr>
          <w:p w:rsidRPr="007938ED" w:rsidR="00D31E46" w:rsidP="00D31E46" w:rsidRDefault="00D31E46" w14:paraId="7EF549A3" w14:textId="77777777">
            <w:pPr>
              <w:rPr>
                <w:rFonts w:asciiTheme="majorHAnsi" w:hAnsiTheme="majorHAnsi"/>
                <w:sz w:val="18"/>
                <w:szCs w:val="12"/>
              </w:rPr>
            </w:pPr>
            <w:r w:rsidRPr="007938ED">
              <w:rPr>
                <w:rFonts w:asciiTheme="majorHAnsi" w:hAnsiTheme="majorHAnsi"/>
                <w:sz w:val="18"/>
                <w:szCs w:val="12"/>
              </w:rPr>
              <w:t>192</w:t>
            </w:r>
          </w:p>
        </w:tc>
        <w:tc>
          <w:tcPr>
            <w:tcW w:w="0" w:type="auto"/>
            <w:hideMark/>
          </w:tcPr>
          <w:p w:rsidRPr="007938ED" w:rsidR="00D31E46" w:rsidRDefault="00D31E46" w14:paraId="2316ED53"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419B4D6A" w14:textId="77777777">
            <w:pPr>
              <w:rPr>
                <w:rFonts w:asciiTheme="majorHAnsi" w:hAnsiTheme="majorHAnsi"/>
                <w:sz w:val="18"/>
                <w:szCs w:val="12"/>
              </w:rPr>
            </w:pPr>
            <w:r w:rsidRPr="007938ED">
              <w:rPr>
                <w:rFonts w:asciiTheme="majorHAnsi" w:hAnsiTheme="majorHAnsi"/>
                <w:sz w:val="18"/>
                <w:szCs w:val="12"/>
              </w:rPr>
              <w:t>First year annual Therm gross</w:t>
            </w:r>
          </w:p>
        </w:tc>
        <w:tc>
          <w:tcPr>
            <w:tcW w:w="0" w:type="auto"/>
            <w:hideMark/>
          </w:tcPr>
          <w:p w:rsidRPr="007938ED" w:rsidR="00D31E46" w:rsidRDefault="00D31E46" w14:paraId="7DF5A13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335ABC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D0C603D"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6ED4E7A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8C846FC" w14:textId="77777777">
            <w:pPr>
              <w:rPr>
                <w:rFonts w:asciiTheme="majorHAnsi" w:hAnsiTheme="majorHAnsi"/>
                <w:sz w:val="18"/>
                <w:szCs w:val="12"/>
              </w:rPr>
            </w:pPr>
            <w:r w:rsidRPr="007938ED">
              <w:rPr>
                <w:rFonts w:asciiTheme="majorHAnsi" w:hAnsiTheme="majorHAnsi"/>
                <w:sz w:val="18"/>
                <w:szCs w:val="12"/>
              </w:rPr>
              <w:t>First year annual Therm gross</w:t>
            </w:r>
          </w:p>
        </w:tc>
      </w:tr>
      <w:tr w:rsidRPr="007938ED" w:rsidR="00CE6F7B" w:rsidTr="007938ED" w14:paraId="5CE435BB" w14:textId="77777777">
        <w:trPr>
          <w:trHeight w:val="1200"/>
        </w:trPr>
        <w:tc>
          <w:tcPr>
            <w:tcW w:w="0" w:type="auto"/>
            <w:noWrap/>
            <w:hideMark/>
          </w:tcPr>
          <w:p w:rsidRPr="007938ED" w:rsidR="00D31E46" w:rsidP="00D31E46" w:rsidRDefault="00D31E46" w14:paraId="713CDBB3" w14:textId="77777777">
            <w:pPr>
              <w:rPr>
                <w:rFonts w:asciiTheme="majorHAnsi" w:hAnsiTheme="majorHAnsi"/>
                <w:sz w:val="18"/>
                <w:szCs w:val="12"/>
              </w:rPr>
            </w:pPr>
            <w:r w:rsidRPr="007938ED">
              <w:rPr>
                <w:rFonts w:asciiTheme="majorHAnsi" w:hAnsiTheme="majorHAnsi"/>
                <w:sz w:val="18"/>
                <w:szCs w:val="12"/>
              </w:rPr>
              <w:t>193</w:t>
            </w:r>
          </w:p>
        </w:tc>
        <w:tc>
          <w:tcPr>
            <w:tcW w:w="0" w:type="auto"/>
            <w:hideMark/>
          </w:tcPr>
          <w:p w:rsidRPr="007938ED" w:rsidR="00D31E46" w:rsidRDefault="00D31E46" w14:paraId="46C55D0F"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1C8FEC2E" w14:textId="77777777">
            <w:pPr>
              <w:rPr>
                <w:rFonts w:asciiTheme="majorHAnsi" w:hAnsiTheme="majorHAnsi"/>
                <w:sz w:val="18"/>
                <w:szCs w:val="12"/>
              </w:rPr>
            </w:pPr>
            <w:r w:rsidRPr="007938ED">
              <w:rPr>
                <w:rFonts w:asciiTheme="majorHAnsi" w:hAnsiTheme="majorHAnsi"/>
                <w:sz w:val="18"/>
                <w:szCs w:val="12"/>
              </w:rPr>
              <w:t>First year annual Therm net</w:t>
            </w:r>
          </w:p>
        </w:tc>
        <w:tc>
          <w:tcPr>
            <w:tcW w:w="0" w:type="auto"/>
            <w:hideMark/>
          </w:tcPr>
          <w:p w:rsidRPr="007938ED" w:rsidR="00D31E46" w:rsidRDefault="00D31E46" w14:paraId="5864717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062748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C1DD1CF"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F06DFD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5C54B3C" w14:textId="77777777">
            <w:pPr>
              <w:rPr>
                <w:rFonts w:asciiTheme="majorHAnsi" w:hAnsiTheme="majorHAnsi"/>
                <w:sz w:val="18"/>
                <w:szCs w:val="12"/>
              </w:rPr>
            </w:pPr>
            <w:r w:rsidRPr="007938ED">
              <w:rPr>
                <w:rFonts w:asciiTheme="majorHAnsi" w:hAnsiTheme="majorHAnsi"/>
                <w:sz w:val="18"/>
                <w:szCs w:val="12"/>
              </w:rPr>
              <w:t>First year annual Therm net</w:t>
            </w:r>
          </w:p>
        </w:tc>
      </w:tr>
      <w:tr w:rsidRPr="007938ED" w:rsidR="00CE6F7B" w:rsidTr="007938ED" w14:paraId="50D8F69F" w14:textId="77777777">
        <w:trPr>
          <w:trHeight w:val="1200"/>
        </w:trPr>
        <w:tc>
          <w:tcPr>
            <w:tcW w:w="0" w:type="auto"/>
            <w:noWrap/>
            <w:hideMark/>
          </w:tcPr>
          <w:p w:rsidRPr="007938ED" w:rsidR="00D31E46" w:rsidP="00D31E46" w:rsidRDefault="00D31E46" w14:paraId="39EE2738" w14:textId="77777777">
            <w:pPr>
              <w:rPr>
                <w:rFonts w:asciiTheme="majorHAnsi" w:hAnsiTheme="majorHAnsi"/>
                <w:sz w:val="18"/>
                <w:szCs w:val="12"/>
              </w:rPr>
            </w:pPr>
            <w:r w:rsidRPr="007938ED">
              <w:rPr>
                <w:rFonts w:asciiTheme="majorHAnsi" w:hAnsiTheme="majorHAnsi"/>
                <w:sz w:val="18"/>
                <w:szCs w:val="12"/>
              </w:rPr>
              <w:t>194</w:t>
            </w:r>
          </w:p>
        </w:tc>
        <w:tc>
          <w:tcPr>
            <w:tcW w:w="0" w:type="auto"/>
            <w:hideMark/>
          </w:tcPr>
          <w:p w:rsidRPr="007938ED" w:rsidR="00D31E46" w:rsidRDefault="00D31E46" w14:paraId="0063527C"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7D6008EE" w14:textId="77777777">
            <w:pPr>
              <w:rPr>
                <w:rFonts w:asciiTheme="majorHAnsi" w:hAnsiTheme="majorHAnsi"/>
                <w:sz w:val="18"/>
                <w:szCs w:val="12"/>
              </w:rPr>
            </w:pPr>
            <w:r w:rsidRPr="007938ED">
              <w:rPr>
                <w:rFonts w:asciiTheme="majorHAnsi" w:hAnsiTheme="majorHAnsi"/>
                <w:sz w:val="18"/>
                <w:szCs w:val="12"/>
              </w:rPr>
              <w:t>Lifecycle ex-ante kW gross</w:t>
            </w:r>
          </w:p>
        </w:tc>
        <w:tc>
          <w:tcPr>
            <w:tcW w:w="0" w:type="auto"/>
            <w:hideMark/>
          </w:tcPr>
          <w:p w:rsidRPr="007938ED" w:rsidR="00D31E46" w:rsidRDefault="00D31E46" w14:paraId="684380E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0B5227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FF8156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B5B13E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016416E" w14:textId="77777777">
            <w:pPr>
              <w:rPr>
                <w:rFonts w:asciiTheme="majorHAnsi" w:hAnsiTheme="majorHAnsi"/>
                <w:sz w:val="18"/>
                <w:szCs w:val="12"/>
              </w:rPr>
            </w:pPr>
            <w:r w:rsidRPr="007938ED">
              <w:rPr>
                <w:rFonts w:asciiTheme="majorHAnsi" w:hAnsiTheme="majorHAnsi"/>
                <w:sz w:val="18"/>
                <w:szCs w:val="12"/>
              </w:rPr>
              <w:t>Lifecycle ex-ante kW gross</w:t>
            </w:r>
          </w:p>
        </w:tc>
      </w:tr>
      <w:tr w:rsidRPr="007938ED" w:rsidR="00CE6F7B" w:rsidTr="007938ED" w14:paraId="4A8F5705" w14:textId="77777777">
        <w:trPr>
          <w:trHeight w:val="1200"/>
        </w:trPr>
        <w:tc>
          <w:tcPr>
            <w:tcW w:w="0" w:type="auto"/>
            <w:noWrap/>
            <w:hideMark/>
          </w:tcPr>
          <w:p w:rsidRPr="007938ED" w:rsidR="00D31E46" w:rsidP="00D31E46" w:rsidRDefault="00D31E46" w14:paraId="2E7A0D8D" w14:textId="77777777">
            <w:pPr>
              <w:rPr>
                <w:rFonts w:asciiTheme="majorHAnsi" w:hAnsiTheme="majorHAnsi"/>
                <w:sz w:val="18"/>
                <w:szCs w:val="12"/>
              </w:rPr>
            </w:pPr>
            <w:r w:rsidRPr="007938ED">
              <w:rPr>
                <w:rFonts w:asciiTheme="majorHAnsi" w:hAnsiTheme="majorHAnsi"/>
                <w:sz w:val="18"/>
                <w:szCs w:val="12"/>
              </w:rPr>
              <w:t>195</w:t>
            </w:r>
          </w:p>
        </w:tc>
        <w:tc>
          <w:tcPr>
            <w:tcW w:w="0" w:type="auto"/>
            <w:hideMark/>
          </w:tcPr>
          <w:p w:rsidRPr="007938ED" w:rsidR="00D31E46" w:rsidRDefault="00D31E46" w14:paraId="1B66A142"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4B451BF2" w14:textId="77777777">
            <w:pPr>
              <w:rPr>
                <w:rFonts w:asciiTheme="majorHAnsi" w:hAnsiTheme="majorHAnsi"/>
                <w:sz w:val="18"/>
                <w:szCs w:val="12"/>
              </w:rPr>
            </w:pPr>
            <w:r w:rsidRPr="007938ED">
              <w:rPr>
                <w:rFonts w:asciiTheme="majorHAnsi" w:hAnsiTheme="majorHAnsi"/>
                <w:sz w:val="18"/>
                <w:szCs w:val="12"/>
              </w:rPr>
              <w:t>Lifecycle ex-ante kW net</w:t>
            </w:r>
          </w:p>
        </w:tc>
        <w:tc>
          <w:tcPr>
            <w:tcW w:w="0" w:type="auto"/>
            <w:hideMark/>
          </w:tcPr>
          <w:p w:rsidRPr="007938ED" w:rsidR="00D31E46" w:rsidRDefault="00D31E46" w14:paraId="354DEAE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9389D0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BEC9624"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E48CE4E"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A1F3709" w14:textId="77777777">
            <w:pPr>
              <w:rPr>
                <w:rFonts w:asciiTheme="majorHAnsi" w:hAnsiTheme="majorHAnsi"/>
                <w:sz w:val="18"/>
                <w:szCs w:val="12"/>
              </w:rPr>
            </w:pPr>
            <w:r w:rsidRPr="007938ED">
              <w:rPr>
                <w:rFonts w:asciiTheme="majorHAnsi" w:hAnsiTheme="majorHAnsi"/>
                <w:sz w:val="18"/>
                <w:szCs w:val="12"/>
              </w:rPr>
              <w:t>Lifecycle ex-ante kW net</w:t>
            </w:r>
          </w:p>
        </w:tc>
      </w:tr>
      <w:tr w:rsidRPr="007938ED" w:rsidR="00CE6F7B" w:rsidTr="007938ED" w14:paraId="5E9A3641" w14:textId="77777777">
        <w:trPr>
          <w:trHeight w:val="1200"/>
        </w:trPr>
        <w:tc>
          <w:tcPr>
            <w:tcW w:w="0" w:type="auto"/>
            <w:noWrap/>
            <w:hideMark/>
          </w:tcPr>
          <w:p w:rsidRPr="007938ED" w:rsidR="00D31E46" w:rsidP="00D31E46" w:rsidRDefault="00D31E46" w14:paraId="780A333B" w14:textId="77777777">
            <w:pPr>
              <w:rPr>
                <w:rFonts w:asciiTheme="majorHAnsi" w:hAnsiTheme="majorHAnsi"/>
                <w:sz w:val="18"/>
                <w:szCs w:val="12"/>
              </w:rPr>
            </w:pPr>
            <w:r w:rsidRPr="007938ED">
              <w:rPr>
                <w:rFonts w:asciiTheme="majorHAnsi" w:hAnsiTheme="majorHAnsi"/>
                <w:sz w:val="18"/>
                <w:szCs w:val="12"/>
              </w:rPr>
              <w:t>196</w:t>
            </w:r>
          </w:p>
        </w:tc>
        <w:tc>
          <w:tcPr>
            <w:tcW w:w="0" w:type="auto"/>
            <w:hideMark/>
          </w:tcPr>
          <w:p w:rsidRPr="007938ED" w:rsidR="00D31E46" w:rsidRDefault="00D31E46" w14:paraId="3A5C4529"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00D610F0" w14:textId="77777777">
            <w:pPr>
              <w:rPr>
                <w:rFonts w:asciiTheme="majorHAnsi" w:hAnsiTheme="majorHAnsi"/>
                <w:sz w:val="18"/>
                <w:szCs w:val="12"/>
              </w:rPr>
            </w:pPr>
            <w:r w:rsidRPr="007938ED">
              <w:rPr>
                <w:rFonts w:asciiTheme="majorHAnsi" w:hAnsiTheme="majorHAnsi"/>
                <w:sz w:val="18"/>
                <w:szCs w:val="12"/>
              </w:rPr>
              <w:t>Lifecycle ex-ante kWh gross</w:t>
            </w:r>
          </w:p>
        </w:tc>
        <w:tc>
          <w:tcPr>
            <w:tcW w:w="0" w:type="auto"/>
            <w:hideMark/>
          </w:tcPr>
          <w:p w:rsidRPr="007938ED" w:rsidR="00D31E46" w:rsidRDefault="00D31E46" w14:paraId="2F546EE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52F51B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35F7905"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50B27D3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A79D2D5" w14:textId="77777777">
            <w:pPr>
              <w:rPr>
                <w:rFonts w:asciiTheme="majorHAnsi" w:hAnsiTheme="majorHAnsi"/>
                <w:sz w:val="18"/>
                <w:szCs w:val="12"/>
              </w:rPr>
            </w:pPr>
            <w:r w:rsidRPr="007938ED">
              <w:rPr>
                <w:rFonts w:asciiTheme="majorHAnsi" w:hAnsiTheme="majorHAnsi"/>
                <w:sz w:val="18"/>
                <w:szCs w:val="12"/>
              </w:rPr>
              <w:t>Lifecycle ex-ante kWh gross</w:t>
            </w:r>
          </w:p>
        </w:tc>
      </w:tr>
      <w:tr w:rsidRPr="007938ED" w:rsidR="00CE6F7B" w:rsidTr="007938ED" w14:paraId="38A8FAA4" w14:textId="77777777">
        <w:trPr>
          <w:trHeight w:val="1200"/>
        </w:trPr>
        <w:tc>
          <w:tcPr>
            <w:tcW w:w="0" w:type="auto"/>
            <w:noWrap/>
            <w:hideMark/>
          </w:tcPr>
          <w:p w:rsidRPr="007938ED" w:rsidR="00D31E46" w:rsidP="00D31E46" w:rsidRDefault="00D31E46" w14:paraId="5D2045A3" w14:textId="77777777">
            <w:pPr>
              <w:rPr>
                <w:rFonts w:asciiTheme="majorHAnsi" w:hAnsiTheme="majorHAnsi"/>
                <w:sz w:val="18"/>
                <w:szCs w:val="12"/>
              </w:rPr>
            </w:pPr>
            <w:r w:rsidRPr="007938ED">
              <w:rPr>
                <w:rFonts w:asciiTheme="majorHAnsi" w:hAnsiTheme="majorHAnsi"/>
                <w:sz w:val="18"/>
                <w:szCs w:val="12"/>
              </w:rPr>
              <w:lastRenderedPageBreak/>
              <w:t>197</w:t>
            </w:r>
          </w:p>
        </w:tc>
        <w:tc>
          <w:tcPr>
            <w:tcW w:w="0" w:type="auto"/>
            <w:hideMark/>
          </w:tcPr>
          <w:p w:rsidRPr="007938ED" w:rsidR="00D31E46" w:rsidRDefault="00D31E46" w14:paraId="3A1C58E1"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6C8A8155" w14:textId="77777777">
            <w:pPr>
              <w:rPr>
                <w:rFonts w:asciiTheme="majorHAnsi" w:hAnsiTheme="majorHAnsi"/>
                <w:sz w:val="18"/>
                <w:szCs w:val="12"/>
              </w:rPr>
            </w:pPr>
            <w:r w:rsidRPr="007938ED">
              <w:rPr>
                <w:rFonts w:asciiTheme="majorHAnsi" w:hAnsiTheme="majorHAnsi"/>
                <w:sz w:val="18"/>
                <w:szCs w:val="12"/>
              </w:rPr>
              <w:t>Lifecycle ex-ante kWh net</w:t>
            </w:r>
          </w:p>
        </w:tc>
        <w:tc>
          <w:tcPr>
            <w:tcW w:w="0" w:type="auto"/>
            <w:hideMark/>
          </w:tcPr>
          <w:p w:rsidRPr="007938ED" w:rsidR="00D31E46" w:rsidRDefault="00D31E46" w14:paraId="189092A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D57561A"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A8F1530"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7E2CA21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153030E" w14:textId="77777777">
            <w:pPr>
              <w:rPr>
                <w:rFonts w:asciiTheme="majorHAnsi" w:hAnsiTheme="majorHAnsi"/>
                <w:sz w:val="18"/>
                <w:szCs w:val="12"/>
              </w:rPr>
            </w:pPr>
            <w:r w:rsidRPr="007938ED">
              <w:rPr>
                <w:rFonts w:asciiTheme="majorHAnsi" w:hAnsiTheme="majorHAnsi"/>
                <w:sz w:val="18"/>
                <w:szCs w:val="12"/>
              </w:rPr>
              <w:t>Lifecycle ex-ante kWh net</w:t>
            </w:r>
          </w:p>
        </w:tc>
      </w:tr>
      <w:tr w:rsidRPr="007938ED" w:rsidR="00CE6F7B" w:rsidTr="007938ED" w14:paraId="4754F46A" w14:textId="77777777">
        <w:trPr>
          <w:trHeight w:val="1200"/>
        </w:trPr>
        <w:tc>
          <w:tcPr>
            <w:tcW w:w="0" w:type="auto"/>
            <w:noWrap/>
            <w:hideMark/>
          </w:tcPr>
          <w:p w:rsidRPr="007938ED" w:rsidR="00D31E46" w:rsidP="00D31E46" w:rsidRDefault="00D31E46" w14:paraId="45A43527" w14:textId="77777777">
            <w:pPr>
              <w:rPr>
                <w:rFonts w:asciiTheme="majorHAnsi" w:hAnsiTheme="majorHAnsi"/>
                <w:sz w:val="18"/>
                <w:szCs w:val="12"/>
              </w:rPr>
            </w:pPr>
            <w:r w:rsidRPr="007938ED">
              <w:rPr>
                <w:rFonts w:asciiTheme="majorHAnsi" w:hAnsiTheme="majorHAnsi"/>
                <w:sz w:val="18"/>
                <w:szCs w:val="12"/>
              </w:rPr>
              <w:t>198</w:t>
            </w:r>
          </w:p>
        </w:tc>
        <w:tc>
          <w:tcPr>
            <w:tcW w:w="0" w:type="auto"/>
            <w:hideMark/>
          </w:tcPr>
          <w:p w:rsidRPr="007938ED" w:rsidR="00D31E46" w:rsidRDefault="00D31E46" w14:paraId="4797EF43"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2AC2ABDE" w14:textId="77777777">
            <w:pPr>
              <w:rPr>
                <w:rFonts w:asciiTheme="majorHAnsi" w:hAnsiTheme="majorHAnsi"/>
                <w:sz w:val="18"/>
                <w:szCs w:val="12"/>
              </w:rPr>
            </w:pPr>
            <w:r w:rsidRPr="007938ED">
              <w:rPr>
                <w:rFonts w:asciiTheme="majorHAnsi" w:hAnsiTheme="majorHAnsi"/>
                <w:sz w:val="18"/>
                <w:szCs w:val="12"/>
              </w:rPr>
              <w:t>Lifecycle ex-ante Therm gross</w:t>
            </w:r>
          </w:p>
        </w:tc>
        <w:tc>
          <w:tcPr>
            <w:tcW w:w="0" w:type="auto"/>
            <w:hideMark/>
          </w:tcPr>
          <w:p w:rsidRPr="007938ED" w:rsidR="00D31E46" w:rsidRDefault="00D31E46" w14:paraId="094824EA"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FBCE081"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BFD70E1"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44E0548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D17DBB7" w14:textId="77777777">
            <w:pPr>
              <w:rPr>
                <w:rFonts w:asciiTheme="majorHAnsi" w:hAnsiTheme="majorHAnsi"/>
                <w:sz w:val="18"/>
                <w:szCs w:val="12"/>
              </w:rPr>
            </w:pPr>
            <w:r w:rsidRPr="007938ED">
              <w:rPr>
                <w:rFonts w:asciiTheme="majorHAnsi" w:hAnsiTheme="majorHAnsi"/>
                <w:sz w:val="18"/>
                <w:szCs w:val="12"/>
              </w:rPr>
              <w:t>Lifecycle ex-ante Therm gross</w:t>
            </w:r>
          </w:p>
        </w:tc>
      </w:tr>
      <w:tr w:rsidRPr="007938ED" w:rsidR="00CE6F7B" w:rsidTr="007938ED" w14:paraId="53F01F67" w14:textId="77777777">
        <w:trPr>
          <w:trHeight w:val="1200"/>
        </w:trPr>
        <w:tc>
          <w:tcPr>
            <w:tcW w:w="0" w:type="auto"/>
            <w:noWrap/>
            <w:hideMark/>
          </w:tcPr>
          <w:p w:rsidRPr="007938ED" w:rsidR="00D31E46" w:rsidP="00D31E46" w:rsidRDefault="00D31E46" w14:paraId="213166F1" w14:textId="77777777">
            <w:pPr>
              <w:rPr>
                <w:rFonts w:asciiTheme="majorHAnsi" w:hAnsiTheme="majorHAnsi"/>
                <w:sz w:val="18"/>
                <w:szCs w:val="12"/>
              </w:rPr>
            </w:pPr>
            <w:r w:rsidRPr="007938ED">
              <w:rPr>
                <w:rFonts w:asciiTheme="majorHAnsi" w:hAnsiTheme="majorHAnsi"/>
                <w:sz w:val="18"/>
                <w:szCs w:val="12"/>
              </w:rPr>
              <w:t>199</w:t>
            </w:r>
          </w:p>
        </w:tc>
        <w:tc>
          <w:tcPr>
            <w:tcW w:w="0" w:type="auto"/>
            <w:hideMark/>
          </w:tcPr>
          <w:p w:rsidRPr="007938ED" w:rsidR="00D31E46" w:rsidRDefault="00D31E46" w14:paraId="7F46FC9F" w14:textId="77777777">
            <w:pPr>
              <w:rPr>
                <w:rFonts w:asciiTheme="majorHAnsi" w:hAnsiTheme="majorHAnsi"/>
                <w:sz w:val="18"/>
                <w:szCs w:val="12"/>
              </w:rPr>
            </w:pPr>
            <w:r w:rsidRPr="007938ED">
              <w:rPr>
                <w:rFonts w:asciiTheme="majorHAnsi" w:hAnsiTheme="majorHAnsi"/>
                <w:sz w:val="18"/>
                <w:szCs w:val="12"/>
              </w:rPr>
              <w:t>First year annual and lifecycle ex‐ante (pre‐evaluation) gas, electric, and demand savings (gross and net) across Public Sector programs</w:t>
            </w:r>
          </w:p>
        </w:tc>
        <w:tc>
          <w:tcPr>
            <w:tcW w:w="0" w:type="auto"/>
            <w:hideMark/>
          </w:tcPr>
          <w:p w:rsidRPr="007938ED" w:rsidR="00D31E46" w:rsidRDefault="00D31E46" w14:paraId="61564E21" w14:textId="77777777">
            <w:pPr>
              <w:rPr>
                <w:rFonts w:asciiTheme="majorHAnsi" w:hAnsiTheme="majorHAnsi"/>
                <w:sz w:val="18"/>
                <w:szCs w:val="12"/>
              </w:rPr>
            </w:pPr>
            <w:r w:rsidRPr="007938ED">
              <w:rPr>
                <w:rFonts w:asciiTheme="majorHAnsi" w:hAnsiTheme="majorHAnsi"/>
                <w:sz w:val="18"/>
                <w:szCs w:val="12"/>
              </w:rPr>
              <w:t>Lifecycle ex-ante Therm net</w:t>
            </w:r>
          </w:p>
        </w:tc>
        <w:tc>
          <w:tcPr>
            <w:tcW w:w="0" w:type="auto"/>
            <w:hideMark/>
          </w:tcPr>
          <w:p w:rsidRPr="007938ED" w:rsidR="00D31E46" w:rsidRDefault="00D31E46" w14:paraId="4700374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E54AEB3"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1BEED0F"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54991ECE"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13FB42F" w14:textId="77777777">
            <w:pPr>
              <w:rPr>
                <w:rFonts w:asciiTheme="majorHAnsi" w:hAnsiTheme="majorHAnsi"/>
                <w:sz w:val="18"/>
                <w:szCs w:val="12"/>
              </w:rPr>
            </w:pPr>
            <w:r w:rsidRPr="007938ED">
              <w:rPr>
                <w:rFonts w:asciiTheme="majorHAnsi" w:hAnsiTheme="majorHAnsi"/>
                <w:sz w:val="18"/>
                <w:szCs w:val="12"/>
              </w:rPr>
              <w:t>Lifecycle ex-ante Therm net</w:t>
            </w:r>
          </w:p>
        </w:tc>
      </w:tr>
      <w:tr w:rsidRPr="007938ED" w:rsidR="00CE6F7B" w:rsidTr="007938ED" w14:paraId="3F0D4584" w14:textId="77777777">
        <w:trPr>
          <w:trHeight w:val="1200"/>
        </w:trPr>
        <w:tc>
          <w:tcPr>
            <w:tcW w:w="0" w:type="auto"/>
            <w:noWrap/>
            <w:hideMark/>
          </w:tcPr>
          <w:p w:rsidRPr="007938ED" w:rsidR="00D31E46" w:rsidP="00D31E46" w:rsidRDefault="00D31E46" w14:paraId="3DF19254" w14:textId="77777777">
            <w:pPr>
              <w:rPr>
                <w:rFonts w:asciiTheme="majorHAnsi" w:hAnsiTheme="majorHAnsi"/>
                <w:sz w:val="18"/>
                <w:szCs w:val="12"/>
              </w:rPr>
            </w:pPr>
            <w:r w:rsidRPr="007938ED">
              <w:rPr>
                <w:rFonts w:asciiTheme="majorHAnsi" w:hAnsiTheme="majorHAnsi"/>
                <w:sz w:val="18"/>
                <w:szCs w:val="12"/>
              </w:rPr>
              <w:t>200</w:t>
            </w:r>
          </w:p>
        </w:tc>
        <w:tc>
          <w:tcPr>
            <w:tcW w:w="0" w:type="auto"/>
            <w:hideMark/>
          </w:tcPr>
          <w:p w:rsidRPr="007938ED" w:rsidR="00D31E46" w:rsidRDefault="00D31E46" w14:paraId="7787672C" w14:textId="77777777">
            <w:pPr>
              <w:rPr>
                <w:rFonts w:asciiTheme="majorHAnsi" w:hAnsiTheme="majorHAnsi"/>
                <w:sz w:val="18"/>
                <w:szCs w:val="12"/>
              </w:rPr>
            </w:pPr>
            <w:r w:rsidRPr="007938ED">
              <w:rPr>
                <w:rFonts w:asciiTheme="majorHAnsi" w:hAnsiTheme="majorHAnsi"/>
                <w:sz w:val="18"/>
                <w:szCs w:val="12"/>
              </w:rPr>
              <w:t>Greenhouse gasses (MT CO2eq) based on net lifecycle kWh and Therms savings, reported on an annual basis, incorporating average fuel/technology mix</w:t>
            </w:r>
          </w:p>
        </w:tc>
        <w:tc>
          <w:tcPr>
            <w:tcW w:w="0" w:type="auto"/>
            <w:hideMark/>
          </w:tcPr>
          <w:p w:rsidRPr="007938ED" w:rsidR="00D31E46" w:rsidRDefault="00D31E46" w14:paraId="208DE7D7" w14:textId="77777777">
            <w:pPr>
              <w:rPr>
                <w:rFonts w:asciiTheme="majorHAnsi" w:hAnsiTheme="majorHAnsi"/>
                <w:sz w:val="18"/>
                <w:szCs w:val="12"/>
              </w:rPr>
            </w:pPr>
            <w:r w:rsidRPr="007938ED">
              <w:rPr>
                <w:rFonts w:asciiTheme="majorHAnsi" w:hAnsiTheme="majorHAnsi"/>
                <w:sz w:val="18"/>
                <w:szCs w:val="12"/>
              </w:rPr>
              <w:t>CO2-equivalent of net annual kWh savings</w:t>
            </w:r>
          </w:p>
        </w:tc>
        <w:tc>
          <w:tcPr>
            <w:tcW w:w="0" w:type="auto"/>
            <w:hideMark/>
          </w:tcPr>
          <w:p w:rsidRPr="007938ED" w:rsidR="00D31E46" w:rsidRDefault="00D31E46" w14:paraId="7F03E97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4204336" w14:textId="77777777">
            <w:pPr>
              <w:rPr>
                <w:rFonts w:asciiTheme="majorHAnsi" w:hAnsiTheme="majorHAnsi"/>
                <w:sz w:val="18"/>
                <w:szCs w:val="12"/>
              </w:rPr>
            </w:pPr>
            <w:r w:rsidRPr="007938ED">
              <w:rPr>
                <w:rFonts w:asciiTheme="majorHAnsi" w:hAnsiTheme="majorHAnsi"/>
                <w:sz w:val="18"/>
                <w:szCs w:val="12"/>
              </w:rPr>
              <w:t>GHG</w:t>
            </w:r>
          </w:p>
        </w:tc>
        <w:tc>
          <w:tcPr>
            <w:tcW w:w="0" w:type="auto"/>
            <w:hideMark/>
          </w:tcPr>
          <w:p w:rsidRPr="007938ED" w:rsidR="00D31E46" w:rsidP="00D31E46" w:rsidRDefault="00D31E46" w14:paraId="74BF4575"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68D8875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5CD4642" w14:textId="77777777">
            <w:pPr>
              <w:rPr>
                <w:rFonts w:asciiTheme="majorHAnsi" w:hAnsiTheme="majorHAnsi"/>
                <w:sz w:val="18"/>
                <w:szCs w:val="12"/>
              </w:rPr>
            </w:pPr>
            <w:r w:rsidRPr="007938ED">
              <w:rPr>
                <w:rFonts w:asciiTheme="majorHAnsi" w:hAnsiTheme="majorHAnsi"/>
                <w:sz w:val="18"/>
                <w:szCs w:val="12"/>
              </w:rPr>
              <w:t>MT CO2eq</w:t>
            </w:r>
          </w:p>
        </w:tc>
      </w:tr>
      <w:tr w:rsidRPr="007938ED" w:rsidR="00CE6F7B" w:rsidTr="007938ED" w14:paraId="1CCAC8CB" w14:textId="77777777">
        <w:trPr>
          <w:trHeight w:val="1200"/>
        </w:trPr>
        <w:tc>
          <w:tcPr>
            <w:tcW w:w="0" w:type="auto"/>
            <w:noWrap/>
            <w:hideMark/>
          </w:tcPr>
          <w:p w:rsidRPr="007938ED" w:rsidR="00D31E46" w:rsidP="00D31E46" w:rsidRDefault="00D31E46" w14:paraId="7B30B63C" w14:textId="77777777">
            <w:pPr>
              <w:rPr>
                <w:rFonts w:asciiTheme="majorHAnsi" w:hAnsiTheme="majorHAnsi"/>
                <w:sz w:val="18"/>
                <w:szCs w:val="12"/>
              </w:rPr>
            </w:pPr>
            <w:r w:rsidRPr="007938ED">
              <w:rPr>
                <w:rFonts w:asciiTheme="majorHAnsi" w:hAnsiTheme="majorHAnsi"/>
                <w:sz w:val="18"/>
                <w:szCs w:val="12"/>
              </w:rPr>
              <w:t>201</w:t>
            </w:r>
          </w:p>
        </w:tc>
        <w:tc>
          <w:tcPr>
            <w:tcW w:w="0" w:type="auto"/>
            <w:hideMark/>
          </w:tcPr>
          <w:p w:rsidRPr="007938ED" w:rsidR="00D31E46" w:rsidRDefault="00D31E46" w14:paraId="16CC2179" w14:textId="77777777">
            <w:pPr>
              <w:rPr>
                <w:rFonts w:asciiTheme="majorHAnsi" w:hAnsiTheme="majorHAnsi"/>
                <w:sz w:val="18"/>
                <w:szCs w:val="12"/>
              </w:rPr>
            </w:pPr>
            <w:r w:rsidRPr="007938ED">
              <w:rPr>
                <w:rFonts w:asciiTheme="majorHAnsi" w:hAnsiTheme="majorHAnsi"/>
                <w:sz w:val="18"/>
                <w:szCs w:val="12"/>
              </w:rPr>
              <w:t>Average percent energy savings (kWh, kw, therms) per project building or facility</w:t>
            </w:r>
          </w:p>
        </w:tc>
        <w:tc>
          <w:tcPr>
            <w:tcW w:w="0" w:type="auto"/>
            <w:hideMark/>
          </w:tcPr>
          <w:p w:rsidRPr="007938ED" w:rsidR="00D31E46" w:rsidRDefault="00D31E46" w14:paraId="302CD43B" w14:textId="77777777">
            <w:pPr>
              <w:rPr>
                <w:rFonts w:asciiTheme="majorHAnsi" w:hAnsiTheme="majorHAnsi"/>
                <w:sz w:val="18"/>
                <w:szCs w:val="12"/>
              </w:rPr>
            </w:pPr>
            <w:r w:rsidRPr="007938ED">
              <w:rPr>
                <w:rFonts w:asciiTheme="majorHAnsi" w:hAnsiTheme="majorHAnsi"/>
                <w:sz w:val="18"/>
                <w:szCs w:val="12"/>
              </w:rPr>
              <w:t>Percent annual net kW per project building or facility</w:t>
            </w:r>
          </w:p>
        </w:tc>
        <w:tc>
          <w:tcPr>
            <w:tcW w:w="0" w:type="auto"/>
            <w:hideMark/>
          </w:tcPr>
          <w:p w:rsidRPr="007938ED" w:rsidR="00D31E46" w:rsidRDefault="00D31E46" w14:paraId="42D6BAE4"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42CCA667"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401894A3"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0A0AF52E"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16C8F85" w14:textId="77777777">
            <w:pPr>
              <w:rPr>
                <w:rFonts w:asciiTheme="majorHAnsi" w:hAnsiTheme="majorHAnsi"/>
                <w:sz w:val="18"/>
                <w:szCs w:val="12"/>
              </w:rPr>
            </w:pPr>
            <w:r w:rsidRPr="007938ED">
              <w:rPr>
                <w:rFonts w:asciiTheme="majorHAnsi" w:hAnsiTheme="majorHAnsi"/>
                <w:sz w:val="18"/>
                <w:szCs w:val="12"/>
              </w:rPr>
              <w:t>Percent annual NET kW</w:t>
            </w:r>
          </w:p>
        </w:tc>
      </w:tr>
      <w:tr w:rsidRPr="007938ED" w:rsidR="00CE6F7B" w:rsidTr="007938ED" w14:paraId="7C035B8B" w14:textId="77777777">
        <w:trPr>
          <w:trHeight w:val="1200"/>
        </w:trPr>
        <w:tc>
          <w:tcPr>
            <w:tcW w:w="0" w:type="auto"/>
            <w:noWrap/>
            <w:hideMark/>
          </w:tcPr>
          <w:p w:rsidRPr="007938ED" w:rsidR="00D31E46" w:rsidP="00D31E46" w:rsidRDefault="00D31E46" w14:paraId="2A85E7AB" w14:textId="77777777">
            <w:pPr>
              <w:rPr>
                <w:rFonts w:asciiTheme="majorHAnsi" w:hAnsiTheme="majorHAnsi"/>
                <w:sz w:val="18"/>
                <w:szCs w:val="12"/>
              </w:rPr>
            </w:pPr>
            <w:r w:rsidRPr="007938ED">
              <w:rPr>
                <w:rFonts w:asciiTheme="majorHAnsi" w:hAnsiTheme="majorHAnsi"/>
                <w:sz w:val="18"/>
                <w:szCs w:val="12"/>
              </w:rPr>
              <w:t>202</w:t>
            </w:r>
          </w:p>
        </w:tc>
        <w:tc>
          <w:tcPr>
            <w:tcW w:w="0" w:type="auto"/>
            <w:hideMark/>
          </w:tcPr>
          <w:p w:rsidRPr="007938ED" w:rsidR="00D31E46" w:rsidRDefault="00D31E46" w14:paraId="6E154F61" w14:textId="77777777">
            <w:pPr>
              <w:rPr>
                <w:rFonts w:asciiTheme="majorHAnsi" w:hAnsiTheme="majorHAnsi"/>
                <w:sz w:val="18"/>
                <w:szCs w:val="12"/>
              </w:rPr>
            </w:pPr>
            <w:r w:rsidRPr="007938ED">
              <w:rPr>
                <w:rFonts w:asciiTheme="majorHAnsi" w:hAnsiTheme="majorHAnsi"/>
                <w:sz w:val="18"/>
                <w:szCs w:val="12"/>
              </w:rPr>
              <w:t>Average percent energy savings (kWh, kw, therms) per project building or facility</w:t>
            </w:r>
          </w:p>
        </w:tc>
        <w:tc>
          <w:tcPr>
            <w:tcW w:w="0" w:type="auto"/>
            <w:hideMark/>
          </w:tcPr>
          <w:p w:rsidRPr="007938ED" w:rsidR="00D31E46" w:rsidRDefault="00D31E46" w14:paraId="42932849" w14:textId="77777777">
            <w:pPr>
              <w:rPr>
                <w:rFonts w:asciiTheme="majorHAnsi" w:hAnsiTheme="majorHAnsi"/>
                <w:sz w:val="18"/>
                <w:szCs w:val="12"/>
              </w:rPr>
            </w:pPr>
            <w:r w:rsidRPr="007938ED">
              <w:rPr>
                <w:rFonts w:asciiTheme="majorHAnsi" w:hAnsiTheme="majorHAnsi"/>
                <w:sz w:val="18"/>
                <w:szCs w:val="12"/>
              </w:rPr>
              <w:t>Percent annual net kWh per project building or facility</w:t>
            </w:r>
          </w:p>
        </w:tc>
        <w:tc>
          <w:tcPr>
            <w:tcW w:w="0" w:type="auto"/>
            <w:hideMark/>
          </w:tcPr>
          <w:p w:rsidRPr="007938ED" w:rsidR="00D31E46" w:rsidRDefault="00D31E46" w14:paraId="227D4FA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3C65E9C0"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2CC53F0C"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26107019"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5FA94686" w14:textId="77777777">
            <w:pPr>
              <w:rPr>
                <w:rFonts w:asciiTheme="majorHAnsi" w:hAnsiTheme="majorHAnsi"/>
                <w:sz w:val="18"/>
                <w:szCs w:val="12"/>
              </w:rPr>
            </w:pPr>
            <w:r w:rsidRPr="007938ED">
              <w:rPr>
                <w:rFonts w:asciiTheme="majorHAnsi" w:hAnsiTheme="majorHAnsi"/>
                <w:sz w:val="18"/>
                <w:szCs w:val="12"/>
              </w:rPr>
              <w:t>Percent annual NET kWh</w:t>
            </w:r>
          </w:p>
        </w:tc>
      </w:tr>
      <w:tr w:rsidRPr="007938ED" w:rsidR="00CE6F7B" w:rsidTr="007938ED" w14:paraId="2E0EC45D" w14:textId="77777777">
        <w:trPr>
          <w:trHeight w:val="1200"/>
        </w:trPr>
        <w:tc>
          <w:tcPr>
            <w:tcW w:w="0" w:type="auto"/>
            <w:noWrap/>
            <w:hideMark/>
          </w:tcPr>
          <w:p w:rsidRPr="007938ED" w:rsidR="00D31E46" w:rsidP="00D31E46" w:rsidRDefault="00D31E46" w14:paraId="27DBCDAC" w14:textId="77777777">
            <w:pPr>
              <w:rPr>
                <w:rFonts w:asciiTheme="majorHAnsi" w:hAnsiTheme="majorHAnsi"/>
                <w:sz w:val="18"/>
                <w:szCs w:val="12"/>
              </w:rPr>
            </w:pPr>
            <w:r w:rsidRPr="007938ED">
              <w:rPr>
                <w:rFonts w:asciiTheme="majorHAnsi" w:hAnsiTheme="majorHAnsi"/>
                <w:sz w:val="18"/>
                <w:szCs w:val="12"/>
              </w:rPr>
              <w:lastRenderedPageBreak/>
              <w:t>203</w:t>
            </w:r>
          </w:p>
        </w:tc>
        <w:tc>
          <w:tcPr>
            <w:tcW w:w="0" w:type="auto"/>
            <w:hideMark/>
          </w:tcPr>
          <w:p w:rsidRPr="007938ED" w:rsidR="00D31E46" w:rsidRDefault="00D31E46" w14:paraId="366E01CC" w14:textId="77777777">
            <w:pPr>
              <w:rPr>
                <w:rFonts w:asciiTheme="majorHAnsi" w:hAnsiTheme="majorHAnsi"/>
                <w:sz w:val="18"/>
                <w:szCs w:val="12"/>
              </w:rPr>
            </w:pPr>
            <w:r w:rsidRPr="007938ED">
              <w:rPr>
                <w:rFonts w:asciiTheme="majorHAnsi" w:hAnsiTheme="majorHAnsi"/>
                <w:sz w:val="18"/>
                <w:szCs w:val="12"/>
              </w:rPr>
              <w:t>Average percent energy savings (kWh, kw, therms) per project building or facility</w:t>
            </w:r>
          </w:p>
        </w:tc>
        <w:tc>
          <w:tcPr>
            <w:tcW w:w="0" w:type="auto"/>
            <w:hideMark/>
          </w:tcPr>
          <w:p w:rsidRPr="007938ED" w:rsidR="00D31E46" w:rsidRDefault="00D31E46" w14:paraId="3547BF6F" w14:textId="77777777">
            <w:pPr>
              <w:rPr>
                <w:rFonts w:asciiTheme="majorHAnsi" w:hAnsiTheme="majorHAnsi"/>
                <w:sz w:val="18"/>
                <w:szCs w:val="12"/>
              </w:rPr>
            </w:pPr>
            <w:r w:rsidRPr="007938ED">
              <w:rPr>
                <w:rFonts w:asciiTheme="majorHAnsi" w:hAnsiTheme="majorHAnsi"/>
                <w:sz w:val="18"/>
                <w:szCs w:val="12"/>
              </w:rPr>
              <w:t>Percent annual net Therms per project building or facility</w:t>
            </w:r>
          </w:p>
        </w:tc>
        <w:tc>
          <w:tcPr>
            <w:tcW w:w="0" w:type="auto"/>
            <w:hideMark/>
          </w:tcPr>
          <w:p w:rsidRPr="007938ED" w:rsidR="00D31E46" w:rsidRDefault="00D31E46" w14:paraId="1C87D460"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21EB328E"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56FF369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7DE4A3A"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45D240DA" w14:textId="77777777">
            <w:pPr>
              <w:rPr>
                <w:rFonts w:asciiTheme="majorHAnsi" w:hAnsiTheme="majorHAnsi"/>
                <w:sz w:val="18"/>
                <w:szCs w:val="12"/>
              </w:rPr>
            </w:pPr>
            <w:r w:rsidRPr="007938ED">
              <w:rPr>
                <w:rFonts w:asciiTheme="majorHAnsi" w:hAnsiTheme="majorHAnsi"/>
                <w:sz w:val="18"/>
                <w:szCs w:val="12"/>
              </w:rPr>
              <w:t>Percent annual NET Therms</w:t>
            </w:r>
          </w:p>
        </w:tc>
      </w:tr>
      <w:tr w:rsidRPr="007938ED" w:rsidR="00CE6F7B" w:rsidTr="007938ED" w14:paraId="00BB2909" w14:textId="77777777">
        <w:trPr>
          <w:trHeight w:val="1200"/>
        </w:trPr>
        <w:tc>
          <w:tcPr>
            <w:tcW w:w="0" w:type="auto"/>
            <w:noWrap/>
            <w:hideMark/>
          </w:tcPr>
          <w:p w:rsidRPr="007938ED" w:rsidR="00D31E46" w:rsidP="00D31E46" w:rsidRDefault="00D31E46" w14:paraId="078FDD1C" w14:textId="77777777">
            <w:pPr>
              <w:rPr>
                <w:rFonts w:asciiTheme="majorHAnsi" w:hAnsiTheme="majorHAnsi"/>
                <w:sz w:val="18"/>
                <w:szCs w:val="12"/>
              </w:rPr>
            </w:pPr>
            <w:r w:rsidRPr="007938ED">
              <w:rPr>
                <w:rFonts w:asciiTheme="majorHAnsi" w:hAnsiTheme="majorHAnsi"/>
                <w:sz w:val="18"/>
                <w:szCs w:val="12"/>
              </w:rPr>
              <w:t>204</w:t>
            </w:r>
          </w:p>
        </w:tc>
        <w:tc>
          <w:tcPr>
            <w:tcW w:w="0" w:type="auto"/>
            <w:hideMark/>
          </w:tcPr>
          <w:p w:rsidRPr="007938ED" w:rsidR="00D31E46" w:rsidRDefault="00D31E46" w14:paraId="35222CED" w14:textId="77777777">
            <w:pPr>
              <w:rPr>
                <w:rFonts w:asciiTheme="majorHAnsi" w:hAnsiTheme="majorHAnsi"/>
                <w:sz w:val="18"/>
                <w:szCs w:val="12"/>
              </w:rPr>
            </w:pPr>
            <w:r w:rsidRPr="007938ED">
              <w:rPr>
                <w:rFonts w:asciiTheme="majorHAnsi" w:hAnsiTheme="majorHAnsi"/>
                <w:sz w:val="18"/>
                <w:szCs w:val="12"/>
              </w:rPr>
              <w:t>Average annual energy savings (kWh, kw, therms) per project building floor plan area</w:t>
            </w:r>
          </w:p>
        </w:tc>
        <w:tc>
          <w:tcPr>
            <w:tcW w:w="0" w:type="auto"/>
            <w:hideMark/>
          </w:tcPr>
          <w:p w:rsidRPr="007938ED" w:rsidR="00D31E46" w:rsidRDefault="00D31E46" w14:paraId="7B224AF3" w14:textId="77777777">
            <w:pPr>
              <w:rPr>
                <w:rFonts w:asciiTheme="majorHAnsi" w:hAnsiTheme="majorHAnsi"/>
                <w:sz w:val="18"/>
                <w:szCs w:val="12"/>
              </w:rPr>
            </w:pPr>
            <w:r w:rsidRPr="007938ED">
              <w:rPr>
                <w:rFonts w:asciiTheme="majorHAnsi" w:hAnsiTheme="majorHAnsi"/>
                <w:sz w:val="18"/>
                <w:szCs w:val="12"/>
              </w:rPr>
              <w:t>Average annual net kw savings per project building floor plan area</w:t>
            </w:r>
          </w:p>
        </w:tc>
        <w:tc>
          <w:tcPr>
            <w:tcW w:w="0" w:type="auto"/>
            <w:hideMark/>
          </w:tcPr>
          <w:p w:rsidRPr="007938ED" w:rsidR="00D31E46" w:rsidRDefault="00D31E46" w14:paraId="6DA237B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0340A055"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6153948D"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E76BD7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C505435" w14:textId="77777777">
            <w:pPr>
              <w:rPr>
                <w:rFonts w:asciiTheme="majorHAnsi" w:hAnsiTheme="majorHAnsi"/>
                <w:sz w:val="18"/>
                <w:szCs w:val="12"/>
              </w:rPr>
            </w:pPr>
            <w:r w:rsidRPr="007938ED">
              <w:rPr>
                <w:rFonts w:asciiTheme="majorHAnsi" w:hAnsiTheme="majorHAnsi"/>
                <w:sz w:val="18"/>
                <w:szCs w:val="12"/>
              </w:rPr>
              <w:t>Annual NET kW</w:t>
            </w:r>
          </w:p>
        </w:tc>
      </w:tr>
      <w:tr w:rsidRPr="007938ED" w:rsidR="00CE6F7B" w:rsidTr="007938ED" w14:paraId="5E6B16C0" w14:textId="77777777">
        <w:trPr>
          <w:trHeight w:val="1200"/>
        </w:trPr>
        <w:tc>
          <w:tcPr>
            <w:tcW w:w="0" w:type="auto"/>
            <w:noWrap/>
            <w:hideMark/>
          </w:tcPr>
          <w:p w:rsidRPr="007938ED" w:rsidR="00D31E46" w:rsidP="00D31E46" w:rsidRDefault="00D31E46" w14:paraId="2721DF17" w14:textId="77777777">
            <w:pPr>
              <w:rPr>
                <w:rFonts w:asciiTheme="majorHAnsi" w:hAnsiTheme="majorHAnsi"/>
                <w:sz w:val="18"/>
                <w:szCs w:val="12"/>
              </w:rPr>
            </w:pPr>
            <w:r w:rsidRPr="007938ED">
              <w:rPr>
                <w:rFonts w:asciiTheme="majorHAnsi" w:hAnsiTheme="majorHAnsi"/>
                <w:sz w:val="18"/>
                <w:szCs w:val="12"/>
              </w:rPr>
              <w:t>205</w:t>
            </w:r>
          </w:p>
        </w:tc>
        <w:tc>
          <w:tcPr>
            <w:tcW w:w="0" w:type="auto"/>
            <w:hideMark/>
          </w:tcPr>
          <w:p w:rsidRPr="007938ED" w:rsidR="00D31E46" w:rsidRDefault="00D31E46" w14:paraId="59783E43" w14:textId="77777777">
            <w:pPr>
              <w:rPr>
                <w:rFonts w:asciiTheme="majorHAnsi" w:hAnsiTheme="majorHAnsi"/>
                <w:sz w:val="18"/>
                <w:szCs w:val="12"/>
              </w:rPr>
            </w:pPr>
            <w:r w:rsidRPr="007938ED">
              <w:rPr>
                <w:rFonts w:asciiTheme="majorHAnsi" w:hAnsiTheme="majorHAnsi"/>
                <w:sz w:val="18"/>
                <w:szCs w:val="12"/>
              </w:rPr>
              <w:t>Average annual energy savings (kWh, kw, therms) per project building floor plan area</w:t>
            </w:r>
          </w:p>
        </w:tc>
        <w:tc>
          <w:tcPr>
            <w:tcW w:w="0" w:type="auto"/>
            <w:hideMark/>
          </w:tcPr>
          <w:p w:rsidRPr="007938ED" w:rsidR="00D31E46" w:rsidRDefault="00D31E46" w14:paraId="74F96B90" w14:textId="77777777">
            <w:pPr>
              <w:rPr>
                <w:rFonts w:asciiTheme="majorHAnsi" w:hAnsiTheme="majorHAnsi"/>
                <w:sz w:val="18"/>
                <w:szCs w:val="12"/>
              </w:rPr>
            </w:pPr>
            <w:r w:rsidRPr="007938ED">
              <w:rPr>
                <w:rFonts w:asciiTheme="majorHAnsi" w:hAnsiTheme="majorHAnsi"/>
                <w:sz w:val="18"/>
                <w:szCs w:val="12"/>
              </w:rPr>
              <w:t>Average annual net kw savings per project building floor plan area</w:t>
            </w:r>
          </w:p>
        </w:tc>
        <w:tc>
          <w:tcPr>
            <w:tcW w:w="0" w:type="auto"/>
            <w:hideMark/>
          </w:tcPr>
          <w:p w:rsidRPr="007938ED" w:rsidR="00D31E46" w:rsidRDefault="00D31E46" w14:paraId="1FA065F5"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774182E"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6BD0950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BF2BC4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A2D1427" w14:textId="77777777">
            <w:pPr>
              <w:rPr>
                <w:rFonts w:asciiTheme="majorHAnsi" w:hAnsiTheme="majorHAnsi"/>
                <w:sz w:val="18"/>
                <w:szCs w:val="12"/>
              </w:rPr>
            </w:pPr>
            <w:r w:rsidRPr="007938ED">
              <w:rPr>
                <w:rFonts w:asciiTheme="majorHAnsi" w:hAnsiTheme="majorHAnsi"/>
                <w:sz w:val="18"/>
                <w:szCs w:val="12"/>
              </w:rPr>
              <w:t>Annual NET kWh</w:t>
            </w:r>
          </w:p>
        </w:tc>
      </w:tr>
      <w:tr w:rsidRPr="007938ED" w:rsidR="00CE6F7B" w:rsidTr="007938ED" w14:paraId="256D9D90" w14:textId="77777777">
        <w:trPr>
          <w:trHeight w:val="1200"/>
        </w:trPr>
        <w:tc>
          <w:tcPr>
            <w:tcW w:w="0" w:type="auto"/>
            <w:noWrap/>
            <w:hideMark/>
          </w:tcPr>
          <w:p w:rsidRPr="007938ED" w:rsidR="00D31E46" w:rsidP="00D31E46" w:rsidRDefault="00D31E46" w14:paraId="4D54A3E2" w14:textId="77777777">
            <w:pPr>
              <w:rPr>
                <w:rFonts w:asciiTheme="majorHAnsi" w:hAnsiTheme="majorHAnsi"/>
                <w:sz w:val="18"/>
                <w:szCs w:val="12"/>
              </w:rPr>
            </w:pPr>
            <w:r w:rsidRPr="007938ED">
              <w:rPr>
                <w:rFonts w:asciiTheme="majorHAnsi" w:hAnsiTheme="majorHAnsi"/>
                <w:sz w:val="18"/>
                <w:szCs w:val="12"/>
              </w:rPr>
              <w:t>206</w:t>
            </w:r>
          </w:p>
        </w:tc>
        <w:tc>
          <w:tcPr>
            <w:tcW w:w="0" w:type="auto"/>
            <w:hideMark/>
          </w:tcPr>
          <w:p w:rsidRPr="007938ED" w:rsidR="00D31E46" w:rsidRDefault="00D31E46" w14:paraId="431FF0AA" w14:textId="77777777">
            <w:pPr>
              <w:rPr>
                <w:rFonts w:asciiTheme="majorHAnsi" w:hAnsiTheme="majorHAnsi"/>
                <w:sz w:val="18"/>
                <w:szCs w:val="12"/>
              </w:rPr>
            </w:pPr>
            <w:r w:rsidRPr="007938ED">
              <w:rPr>
                <w:rFonts w:asciiTheme="majorHAnsi" w:hAnsiTheme="majorHAnsi"/>
                <w:sz w:val="18"/>
                <w:szCs w:val="12"/>
              </w:rPr>
              <w:t>Average annual energy savings (kWh, kw, therms) per project building floor plan area</w:t>
            </w:r>
          </w:p>
        </w:tc>
        <w:tc>
          <w:tcPr>
            <w:tcW w:w="0" w:type="auto"/>
            <w:hideMark/>
          </w:tcPr>
          <w:p w:rsidRPr="007938ED" w:rsidR="00D31E46" w:rsidRDefault="00D31E46" w14:paraId="3B608240" w14:textId="77777777">
            <w:pPr>
              <w:rPr>
                <w:rFonts w:asciiTheme="majorHAnsi" w:hAnsiTheme="majorHAnsi"/>
                <w:sz w:val="18"/>
                <w:szCs w:val="12"/>
              </w:rPr>
            </w:pPr>
            <w:r w:rsidRPr="007938ED">
              <w:rPr>
                <w:rFonts w:asciiTheme="majorHAnsi" w:hAnsiTheme="majorHAnsi"/>
                <w:sz w:val="18"/>
                <w:szCs w:val="12"/>
              </w:rPr>
              <w:t>Average annual net Therm savings per project building floor plan area</w:t>
            </w:r>
          </w:p>
        </w:tc>
        <w:tc>
          <w:tcPr>
            <w:tcW w:w="0" w:type="auto"/>
            <w:hideMark/>
          </w:tcPr>
          <w:p w:rsidRPr="007938ED" w:rsidR="00D31E46" w:rsidRDefault="00D31E46" w14:paraId="00719896"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20F762F9" w14:textId="77777777">
            <w:pPr>
              <w:rPr>
                <w:rFonts w:asciiTheme="majorHAnsi" w:hAnsiTheme="majorHAnsi"/>
                <w:sz w:val="18"/>
                <w:szCs w:val="12"/>
              </w:rPr>
            </w:pPr>
            <w:r w:rsidRPr="007938ED">
              <w:rPr>
                <w:rFonts w:asciiTheme="majorHAnsi" w:hAnsiTheme="majorHAnsi"/>
                <w:sz w:val="18"/>
                <w:szCs w:val="12"/>
              </w:rPr>
              <w:t>Depth of interventions</w:t>
            </w:r>
          </w:p>
        </w:tc>
        <w:tc>
          <w:tcPr>
            <w:tcW w:w="0" w:type="auto"/>
            <w:hideMark/>
          </w:tcPr>
          <w:p w:rsidRPr="007938ED" w:rsidR="00D31E46" w:rsidP="00D31E46" w:rsidRDefault="00D31E46" w14:paraId="4D9CB1F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F63347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BE0AD84" w14:textId="77777777">
            <w:pPr>
              <w:rPr>
                <w:rFonts w:asciiTheme="majorHAnsi" w:hAnsiTheme="majorHAnsi"/>
                <w:sz w:val="18"/>
                <w:szCs w:val="12"/>
              </w:rPr>
            </w:pPr>
            <w:r w:rsidRPr="007938ED">
              <w:rPr>
                <w:rFonts w:asciiTheme="majorHAnsi" w:hAnsiTheme="majorHAnsi"/>
                <w:sz w:val="18"/>
                <w:szCs w:val="12"/>
              </w:rPr>
              <w:t>Annual NET Therms</w:t>
            </w:r>
          </w:p>
        </w:tc>
      </w:tr>
      <w:tr w:rsidRPr="007938ED" w:rsidR="00CE6F7B" w:rsidTr="007938ED" w14:paraId="0A7E8BF4" w14:textId="77777777">
        <w:trPr>
          <w:trHeight w:val="1200"/>
        </w:trPr>
        <w:tc>
          <w:tcPr>
            <w:tcW w:w="0" w:type="auto"/>
            <w:noWrap/>
            <w:hideMark/>
          </w:tcPr>
          <w:p w:rsidRPr="007938ED" w:rsidR="00D31E46" w:rsidP="00D31E46" w:rsidRDefault="00D31E46" w14:paraId="7942537C" w14:textId="77777777">
            <w:pPr>
              <w:rPr>
                <w:rFonts w:asciiTheme="majorHAnsi" w:hAnsiTheme="majorHAnsi"/>
                <w:sz w:val="18"/>
                <w:szCs w:val="12"/>
              </w:rPr>
            </w:pPr>
            <w:r w:rsidRPr="007938ED">
              <w:rPr>
                <w:rFonts w:asciiTheme="majorHAnsi" w:hAnsiTheme="majorHAnsi"/>
                <w:sz w:val="18"/>
                <w:szCs w:val="12"/>
              </w:rPr>
              <w:t>207</w:t>
            </w:r>
          </w:p>
        </w:tc>
        <w:tc>
          <w:tcPr>
            <w:tcW w:w="0" w:type="auto"/>
            <w:hideMark/>
          </w:tcPr>
          <w:p w:rsidRPr="007938ED" w:rsidR="00D31E46" w:rsidRDefault="00D31E46" w14:paraId="0089A267" w14:textId="77777777">
            <w:pPr>
              <w:rPr>
                <w:rFonts w:asciiTheme="majorHAnsi" w:hAnsiTheme="majorHAnsi"/>
                <w:sz w:val="18"/>
                <w:szCs w:val="12"/>
              </w:rPr>
            </w:pPr>
            <w:r w:rsidRPr="007938ED">
              <w:rPr>
                <w:rFonts w:asciiTheme="majorHAnsi" w:hAnsiTheme="majorHAnsi"/>
                <w:sz w:val="18"/>
                <w:szCs w:val="12"/>
              </w:rPr>
              <w:t>Average annual energy savings (kWh, kW therms) per annual flow through project water/wastewater facilities</w:t>
            </w:r>
          </w:p>
        </w:tc>
        <w:tc>
          <w:tcPr>
            <w:tcW w:w="0" w:type="auto"/>
            <w:hideMark/>
          </w:tcPr>
          <w:p w:rsidRPr="007938ED" w:rsidR="00D31E46" w:rsidRDefault="00D31E46" w14:paraId="3B2801B1" w14:textId="77777777">
            <w:pPr>
              <w:rPr>
                <w:rFonts w:asciiTheme="majorHAnsi" w:hAnsiTheme="majorHAnsi"/>
                <w:sz w:val="18"/>
                <w:szCs w:val="12"/>
              </w:rPr>
            </w:pPr>
            <w:r w:rsidRPr="007938ED">
              <w:rPr>
                <w:rFonts w:asciiTheme="majorHAnsi" w:hAnsiTheme="majorHAnsi"/>
                <w:sz w:val="18"/>
                <w:szCs w:val="12"/>
              </w:rPr>
              <w:t>Average annual Net kW savings per annual flow through project water/wastewater facilities</w:t>
            </w:r>
          </w:p>
        </w:tc>
        <w:tc>
          <w:tcPr>
            <w:tcW w:w="0" w:type="auto"/>
            <w:hideMark/>
          </w:tcPr>
          <w:p w:rsidRPr="007938ED" w:rsidR="00D31E46" w:rsidRDefault="00D31E46" w14:paraId="08D5A697"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0764B225" w14:textId="77777777">
            <w:pPr>
              <w:rPr>
                <w:rFonts w:asciiTheme="majorHAnsi" w:hAnsiTheme="majorHAnsi"/>
                <w:sz w:val="18"/>
                <w:szCs w:val="12"/>
              </w:rPr>
            </w:pPr>
            <w:r w:rsidRPr="007938ED">
              <w:rPr>
                <w:rFonts w:asciiTheme="majorHAnsi" w:hAnsiTheme="majorHAnsi"/>
                <w:sz w:val="18"/>
                <w:szCs w:val="12"/>
              </w:rPr>
              <w:t>Water</w:t>
            </w:r>
          </w:p>
        </w:tc>
        <w:tc>
          <w:tcPr>
            <w:tcW w:w="0" w:type="auto"/>
            <w:hideMark/>
          </w:tcPr>
          <w:p w:rsidRPr="007938ED" w:rsidR="00D31E46" w:rsidP="00D31E46" w:rsidRDefault="00D31E46" w14:paraId="3D12ED4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A25098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9EBEA0C" w14:textId="77777777">
            <w:pPr>
              <w:rPr>
                <w:rFonts w:asciiTheme="majorHAnsi" w:hAnsiTheme="majorHAnsi"/>
                <w:sz w:val="18"/>
                <w:szCs w:val="12"/>
              </w:rPr>
            </w:pPr>
            <w:r w:rsidRPr="007938ED">
              <w:rPr>
                <w:rFonts w:asciiTheme="majorHAnsi" w:hAnsiTheme="majorHAnsi"/>
                <w:sz w:val="18"/>
                <w:szCs w:val="12"/>
              </w:rPr>
              <w:t>Annual NET kW</w:t>
            </w:r>
          </w:p>
        </w:tc>
      </w:tr>
      <w:tr w:rsidRPr="007938ED" w:rsidR="00CE6F7B" w:rsidTr="007938ED" w14:paraId="6E959E59" w14:textId="77777777">
        <w:trPr>
          <w:trHeight w:val="1200"/>
        </w:trPr>
        <w:tc>
          <w:tcPr>
            <w:tcW w:w="0" w:type="auto"/>
            <w:noWrap/>
            <w:hideMark/>
          </w:tcPr>
          <w:p w:rsidRPr="007938ED" w:rsidR="00D31E46" w:rsidP="00D31E46" w:rsidRDefault="00D31E46" w14:paraId="33CBCEF5" w14:textId="77777777">
            <w:pPr>
              <w:rPr>
                <w:rFonts w:asciiTheme="majorHAnsi" w:hAnsiTheme="majorHAnsi"/>
                <w:sz w:val="18"/>
                <w:szCs w:val="12"/>
              </w:rPr>
            </w:pPr>
            <w:r w:rsidRPr="007938ED">
              <w:rPr>
                <w:rFonts w:asciiTheme="majorHAnsi" w:hAnsiTheme="majorHAnsi"/>
                <w:sz w:val="18"/>
                <w:szCs w:val="12"/>
              </w:rPr>
              <w:t>208</w:t>
            </w:r>
          </w:p>
        </w:tc>
        <w:tc>
          <w:tcPr>
            <w:tcW w:w="0" w:type="auto"/>
            <w:hideMark/>
          </w:tcPr>
          <w:p w:rsidRPr="007938ED" w:rsidR="00D31E46" w:rsidRDefault="00D31E46" w14:paraId="2CCF5323" w14:textId="77777777">
            <w:pPr>
              <w:rPr>
                <w:rFonts w:asciiTheme="majorHAnsi" w:hAnsiTheme="majorHAnsi"/>
                <w:sz w:val="18"/>
                <w:szCs w:val="12"/>
              </w:rPr>
            </w:pPr>
            <w:r w:rsidRPr="007938ED">
              <w:rPr>
                <w:rFonts w:asciiTheme="majorHAnsi" w:hAnsiTheme="majorHAnsi"/>
                <w:sz w:val="18"/>
                <w:szCs w:val="12"/>
              </w:rPr>
              <w:t>Average annual energy savings (kWh, kW therms) per annual flow through project water/wastewater facilities</w:t>
            </w:r>
          </w:p>
        </w:tc>
        <w:tc>
          <w:tcPr>
            <w:tcW w:w="0" w:type="auto"/>
            <w:hideMark/>
          </w:tcPr>
          <w:p w:rsidRPr="007938ED" w:rsidR="00D31E46" w:rsidRDefault="00D31E46" w14:paraId="28B54028" w14:textId="77777777">
            <w:pPr>
              <w:rPr>
                <w:rFonts w:asciiTheme="majorHAnsi" w:hAnsiTheme="majorHAnsi"/>
                <w:sz w:val="18"/>
                <w:szCs w:val="12"/>
              </w:rPr>
            </w:pPr>
            <w:r w:rsidRPr="007938ED">
              <w:rPr>
                <w:rFonts w:asciiTheme="majorHAnsi" w:hAnsiTheme="majorHAnsi"/>
                <w:sz w:val="18"/>
                <w:szCs w:val="12"/>
              </w:rPr>
              <w:t>Average annual Net kWh savings per annual flow through project water/wastewater facilities</w:t>
            </w:r>
          </w:p>
        </w:tc>
        <w:tc>
          <w:tcPr>
            <w:tcW w:w="0" w:type="auto"/>
            <w:hideMark/>
          </w:tcPr>
          <w:p w:rsidRPr="007938ED" w:rsidR="00D31E46" w:rsidRDefault="00D31E46" w14:paraId="4C6AFB3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3F34987E" w14:textId="77777777">
            <w:pPr>
              <w:rPr>
                <w:rFonts w:asciiTheme="majorHAnsi" w:hAnsiTheme="majorHAnsi"/>
                <w:sz w:val="18"/>
                <w:szCs w:val="12"/>
              </w:rPr>
            </w:pPr>
            <w:r w:rsidRPr="007938ED">
              <w:rPr>
                <w:rFonts w:asciiTheme="majorHAnsi" w:hAnsiTheme="majorHAnsi"/>
                <w:sz w:val="18"/>
                <w:szCs w:val="12"/>
              </w:rPr>
              <w:t>Water</w:t>
            </w:r>
          </w:p>
        </w:tc>
        <w:tc>
          <w:tcPr>
            <w:tcW w:w="0" w:type="auto"/>
            <w:hideMark/>
          </w:tcPr>
          <w:p w:rsidRPr="007938ED" w:rsidR="00D31E46" w:rsidP="00D31E46" w:rsidRDefault="00D31E46" w14:paraId="5FCAEAF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6A60E9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B8A2AB8" w14:textId="77777777">
            <w:pPr>
              <w:rPr>
                <w:rFonts w:asciiTheme="majorHAnsi" w:hAnsiTheme="majorHAnsi"/>
                <w:sz w:val="18"/>
                <w:szCs w:val="12"/>
              </w:rPr>
            </w:pPr>
            <w:r w:rsidRPr="007938ED">
              <w:rPr>
                <w:rFonts w:asciiTheme="majorHAnsi" w:hAnsiTheme="majorHAnsi"/>
                <w:sz w:val="18"/>
                <w:szCs w:val="12"/>
              </w:rPr>
              <w:t>Annual NET kWh</w:t>
            </w:r>
          </w:p>
        </w:tc>
      </w:tr>
      <w:tr w:rsidRPr="007938ED" w:rsidR="00CE6F7B" w:rsidTr="007938ED" w14:paraId="6D7C85EC" w14:textId="77777777">
        <w:trPr>
          <w:trHeight w:val="1200"/>
        </w:trPr>
        <w:tc>
          <w:tcPr>
            <w:tcW w:w="0" w:type="auto"/>
            <w:noWrap/>
            <w:hideMark/>
          </w:tcPr>
          <w:p w:rsidRPr="007938ED" w:rsidR="00D31E46" w:rsidP="00D31E46" w:rsidRDefault="00D31E46" w14:paraId="7CE89D70" w14:textId="77777777">
            <w:pPr>
              <w:rPr>
                <w:rFonts w:asciiTheme="majorHAnsi" w:hAnsiTheme="majorHAnsi"/>
                <w:sz w:val="18"/>
                <w:szCs w:val="12"/>
              </w:rPr>
            </w:pPr>
            <w:r w:rsidRPr="007938ED">
              <w:rPr>
                <w:rFonts w:asciiTheme="majorHAnsi" w:hAnsiTheme="majorHAnsi"/>
                <w:sz w:val="18"/>
                <w:szCs w:val="12"/>
              </w:rPr>
              <w:lastRenderedPageBreak/>
              <w:t>209</w:t>
            </w:r>
          </w:p>
        </w:tc>
        <w:tc>
          <w:tcPr>
            <w:tcW w:w="0" w:type="auto"/>
            <w:hideMark/>
          </w:tcPr>
          <w:p w:rsidRPr="007938ED" w:rsidR="00D31E46" w:rsidRDefault="00D31E46" w14:paraId="02ECBB1E" w14:textId="77777777">
            <w:pPr>
              <w:rPr>
                <w:rFonts w:asciiTheme="majorHAnsi" w:hAnsiTheme="majorHAnsi"/>
                <w:sz w:val="18"/>
                <w:szCs w:val="12"/>
              </w:rPr>
            </w:pPr>
            <w:r w:rsidRPr="007938ED">
              <w:rPr>
                <w:rFonts w:asciiTheme="majorHAnsi" w:hAnsiTheme="majorHAnsi"/>
                <w:sz w:val="18"/>
                <w:szCs w:val="12"/>
              </w:rPr>
              <w:t>Average annual energy savings (kWh, kW therms) per annual flow through project water/wastewater facilities</w:t>
            </w:r>
          </w:p>
        </w:tc>
        <w:tc>
          <w:tcPr>
            <w:tcW w:w="0" w:type="auto"/>
            <w:hideMark/>
          </w:tcPr>
          <w:p w:rsidRPr="007938ED" w:rsidR="00D31E46" w:rsidRDefault="00D31E46" w14:paraId="4ED310E4" w14:textId="77777777">
            <w:pPr>
              <w:rPr>
                <w:rFonts w:asciiTheme="majorHAnsi" w:hAnsiTheme="majorHAnsi"/>
                <w:sz w:val="18"/>
                <w:szCs w:val="12"/>
              </w:rPr>
            </w:pPr>
            <w:r w:rsidRPr="007938ED">
              <w:rPr>
                <w:rFonts w:asciiTheme="majorHAnsi" w:hAnsiTheme="majorHAnsi"/>
                <w:sz w:val="18"/>
                <w:szCs w:val="12"/>
              </w:rPr>
              <w:t>Average annual Net Therms savings per annual flow through project water/wastewater facilities</w:t>
            </w:r>
          </w:p>
        </w:tc>
        <w:tc>
          <w:tcPr>
            <w:tcW w:w="0" w:type="auto"/>
            <w:hideMark/>
          </w:tcPr>
          <w:p w:rsidRPr="007938ED" w:rsidR="00D31E46" w:rsidRDefault="00D31E46" w14:paraId="123BCE01"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B5AB84F" w14:textId="77777777">
            <w:pPr>
              <w:rPr>
                <w:rFonts w:asciiTheme="majorHAnsi" w:hAnsiTheme="majorHAnsi"/>
                <w:sz w:val="18"/>
                <w:szCs w:val="12"/>
              </w:rPr>
            </w:pPr>
            <w:r w:rsidRPr="007938ED">
              <w:rPr>
                <w:rFonts w:asciiTheme="majorHAnsi" w:hAnsiTheme="majorHAnsi"/>
                <w:sz w:val="18"/>
                <w:szCs w:val="12"/>
              </w:rPr>
              <w:t>Water</w:t>
            </w:r>
          </w:p>
        </w:tc>
        <w:tc>
          <w:tcPr>
            <w:tcW w:w="0" w:type="auto"/>
            <w:hideMark/>
          </w:tcPr>
          <w:p w:rsidRPr="007938ED" w:rsidR="00D31E46" w:rsidP="00D31E46" w:rsidRDefault="00D31E46" w14:paraId="025D6E2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558155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F3709B7" w14:textId="77777777">
            <w:pPr>
              <w:rPr>
                <w:rFonts w:asciiTheme="majorHAnsi" w:hAnsiTheme="majorHAnsi"/>
                <w:sz w:val="18"/>
                <w:szCs w:val="12"/>
              </w:rPr>
            </w:pPr>
            <w:r w:rsidRPr="007938ED">
              <w:rPr>
                <w:rFonts w:asciiTheme="majorHAnsi" w:hAnsiTheme="majorHAnsi"/>
                <w:sz w:val="18"/>
                <w:szCs w:val="12"/>
              </w:rPr>
              <w:t>Annual NET Therms</w:t>
            </w:r>
          </w:p>
        </w:tc>
      </w:tr>
      <w:tr w:rsidRPr="007938ED" w:rsidR="00CE6F7B" w:rsidTr="007938ED" w14:paraId="52FAE355" w14:textId="77777777">
        <w:trPr>
          <w:trHeight w:val="1200"/>
        </w:trPr>
        <w:tc>
          <w:tcPr>
            <w:tcW w:w="0" w:type="auto"/>
            <w:noWrap/>
            <w:hideMark/>
          </w:tcPr>
          <w:p w:rsidRPr="007938ED" w:rsidR="00D31E46" w:rsidP="00D31E46" w:rsidRDefault="00D31E46" w14:paraId="5D2AA3C5" w14:textId="77777777">
            <w:pPr>
              <w:rPr>
                <w:rFonts w:asciiTheme="majorHAnsi" w:hAnsiTheme="majorHAnsi"/>
                <w:sz w:val="18"/>
                <w:szCs w:val="12"/>
              </w:rPr>
            </w:pPr>
            <w:r w:rsidRPr="007938ED">
              <w:rPr>
                <w:rFonts w:asciiTheme="majorHAnsi" w:hAnsiTheme="majorHAnsi"/>
                <w:sz w:val="18"/>
                <w:szCs w:val="12"/>
              </w:rPr>
              <w:t>210</w:t>
            </w:r>
          </w:p>
        </w:tc>
        <w:tc>
          <w:tcPr>
            <w:tcW w:w="0" w:type="auto"/>
            <w:hideMark/>
          </w:tcPr>
          <w:p w:rsidRPr="007938ED" w:rsidR="00D31E46" w:rsidRDefault="00D31E46" w14:paraId="47D9B247" w14:textId="77777777">
            <w:pPr>
              <w:rPr>
                <w:rFonts w:asciiTheme="majorHAnsi" w:hAnsiTheme="majorHAnsi"/>
                <w:sz w:val="18"/>
                <w:szCs w:val="12"/>
              </w:rPr>
            </w:pPr>
            <w:r w:rsidRPr="007938ED">
              <w:rPr>
                <w:rFonts w:asciiTheme="majorHAnsi" w:hAnsiTheme="majorHAnsi"/>
                <w:sz w:val="18"/>
                <w:szCs w:val="12"/>
              </w:rPr>
              <w:t>Percent of Public Sector accounts participating in programs</w:t>
            </w:r>
          </w:p>
        </w:tc>
        <w:tc>
          <w:tcPr>
            <w:tcW w:w="0" w:type="auto"/>
            <w:hideMark/>
          </w:tcPr>
          <w:p w:rsidRPr="007938ED" w:rsidR="00D31E46" w:rsidRDefault="00D31E46" w14:paraId="05993559" w14:textId="77777777">
            <w:pPr>
              <w:rPr>
                <w:rFonts w:asciiTheme="majorHAnsi" w:hAnsiTheme="majorHAnsi"/>
                <w:sz w:val="18"/>
                <w:szCs w:val="12"/>
              </w:rPr>
            </w:pPr>
            <w:r w:rsidRPr="007938ED">
              <w:rPr>
                <w:rFonts w:asciiTheme="majorHAnsi" w:hAnsiTheme="majorHAnsi"/>
                <w:sz w:val="18"/>
                <w:szCs w:val="12"/>
              </w:rPr>
              <w:t>Percent of Public Sector accounts participating in programs</w:t>
            </w:r>
          </w:p>
        </w:tc>
        <w:tc>
          <w:tcPr>
            <w:tcW w:w="0" w:type="auto"/>
            <w:hideMark/>
          </w:tcPr>
          <w:p w:rsidRPr="007938ED" w:rsidR="00D31E46" w:rsidRDefault="00D31E46" w14:paraId="61A04BD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D8AF70F"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3734E6D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389CC7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87671DC"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639F0941" w14:textId="77777777">
        <w:trPr>
          <w:trHeight w:val="1200"/>
        </w:trPr>
        <w:tc>
          <w:tcPr>
            <w:tcW w:w="0" w:type="auto"/>
            <w:noWrap/>
            <w:hideMark/>
          </w:tcPr>
          <w:p w:rsidRPr="007938ED" w:rsidR="00D31E46" w:rsidP="00D31E46" w:rsidRDefault="00D31E46" w14:paraId="7DF0089F" w14:textId="77777777">
            <w:pPr>
              <w:rPr>
                <w:rFonts w:asciiTheme="majorHAnsi" w:hAnsiTheme="majorHAnsi"/>
                <w:sz w:val="18"/>
                <w:szCs w:val="12"/>
              </w:rPr>
            </w:pPr>
            <w:r w:rsidRPr="007938ED">
              <w:rPr>
                <w:rFonts w:asciiTheme="majorHAnsi" w:hAnsiTheme="majorHAnsi"/>
                <w:sz w:val="18"/>
                <w:szCs w:val="12"/>
              </w:rPr>
              <w:t>211</w:t>
            </w:r>
          </w:p>
        </w:tc>
        <w:tc>
          <w:tcPr>
            <w:tcW w:w="0" w:type="auto"/>
            <w:hideMark/>
          </w:tcPr>
          <w:p w:rsidRPr="007938ED" w:rsidR="00D31E46" w:rsidRDefault="00D31E46" w14:paraId="7C87A64E" w14:textId="77777777">
            <w:pPr>
              <w:rPr>
                <w:rFonts w:asciiTheme="majorHAnsi" w:hAnsiTheme="majorHAnsi"/>
                <w:sz w:val="18"/>
                <w:szCs w:val="12"/>
              </w:rPr>
            </w:pPr>
            <w:r w:rsidRPr="007938ED">
              <w:rPr>
                <w:rFonts w:asciiTheme="majorHAnsi" w:hAnsiTheme="majorHAnsi"/>
                <w:sz w:val="18"/>
                <w:szCs w:val="12"/>
              </w:rPr>
              <w:t>Percent of estimated floorplan area (i.e., ft2) of all Public Sector buildings participating in building projects—estimate within +/‐15% of sector‐wide building area, +/‐5% of project building area</w:t>
            </w:r>
          </w:p>
        </w:tc>
        <w:tc>
          <w:tcPr>
            <w:tcW w:w="0" w:type="auto"/>
            <w:hideMark/>
          </w:tcPr>
          <w:p w:rsidRPr="007938ED" w:rsidR="00D31E46" w:rsidRDefault="00D31E46" w14:paraId="7B0409ED" w14:textId="77777777">
            <w:pPr>
              <w:rPr>
                <w:rFonts w:asciiTheme="majorHAnsi" w:hAnsiTheme="majorHAnsi"/>
                <w:sz w:val="18"/>
                <w:szCs w:val="12"/>
              </w:rPr>
            </w:pPr>
            <w:r w:rsidRPr="007938ED">
              <w:rPr>
                <w:rFonts w:asciiTheme="majorHAnsi" w:hAnsiTheme="majorHAnsi"/>
                <w:sz w:val="18"/>
                <w:szCs w:val="12"/>
              </w:rPr>
              <w:t>Percent of estimated floorplan area (i.e., ft2) of all Public Sector buildings participating in building projects</w:t>
            </w:r>
          </w:p>
        </w:tc>
        <w:tc>
          <w:tcPr>
            <w:tcW w:w="0" w:type="auto"/>
            <w:hideMark/>
          </w:tcPr>
          <w:p w:rsidRPr="007938ED" w:rsidR="00D31E46" w:rsidRDefault="00D31E46" w14:paraId="64FDB23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73AB088D"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0373ECE2"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1533DB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17293DB"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027A45DA" w14:textId="77777777">
        <w:trPr>
          <w:trHeight w:val="1200"/>
        </w:trPr>
        <w:tc>
          <w:tcPr>
            <w:tcW w:w="0" w:type="auto"/>
            <w:noWrap/>
            <w:hideMark/>
          </w:tcPr>
          <w:p w:rsidRPr="007938ED" w:rsidR="00D31E46" w:rsidP="00D31E46" w:rsidRDefault="00D31E46" w14:paraId="6732F481" w14:textId="77777777">
            <w:pPr>
              <w:rPr>
                <w:rFonts w:asciiTheme="majorHAnsi" w:hAnsiTheme="majorHAnsi"/>
                <w:sz w:val="18"/>
                <w:szCs w:val="12"/>
              </w:rPr>
            </w:pPr>
            <w:r w:rsidRPr="007938ED">
              <w:rPr>
                <w:rFonts w:asciiTheme="majorHAnsi" w:hAnsiTheme="majorHAnsi"/>
                <w:sz w:val="18"/>
                <w:szCs w:val="12"/>
              </w:rPr>
              <w:t>212</w:t>
            </w:r>
          </w:p>
        </w:tc>
        <w:tc>
          <w:tcPr>
            <w:tcW w:w="0" w:type="auto"/>
            <w:hideMark/>
          </w:tcPr>
          <w:p w:rsidRPr="007938ED" w:rsidR="00D31E46" w:rsidRDefault="00D31E46" w14:paraId="28DAD64D" w14:textId="77777777">
            <w:pPr>
              <w:rPr>
                <w:rFonts w:asciiTheme="majorHAnsi" w:hAnsiTheme="majorHAnsi"/>
                <w:sz w:val="18"/>
                <w:szCs w:val="12"/>
              </w:rPr>
            </w:pPr>
            <w:r w:rsidRPr="007938ED">
              <w:rPr>
                <w:rFonts w:asciiTheme="majorHAnsi" w:hAnsiTheme="majorHAnsi"/>
                <w:sz w:val="18"/>
                <w:szCs w:val="12"/>
              </w:rPr>
              <w:t>Percent of Public Sector water/wastewater flow (i.e.,</w:t>
            </w:r>
            <w:r w:rsidRPr="007938ED">
              <w:rPr>
                <w:rFonts w:asciiTheme="majorHAnsi" w:hAnsiTheme="majorHAnsi"/>
                <w:sz w:val="18"/>
                <w:szCs w:val="12"/>
              </w:rPr>
              <w:br/>
              <w:t>annual average Million Gallons per Day) enrolled in</w:t>
            </w:r>
            <w:r w:rsidRPr="007938ED">
              <w:rPr>
                <w:rFonts w:asciiTheme="majorHAnsi" w:hAnsiTheme="majorHAnsi"/>
                <w:sz w:val="18"/>
                <w:szCs w:val="12"/>
              </w:rPr>
              <w:br/>
              <w:t>non‐building water/wastewater programs—</w:t>
            </w:r>
            <w:r w:rsidRPr="007938ED">
              <w:rPr>
                <w:rFonts w:asciiTheme="majorHAnsi" w:hAnsiTheme="majorHAnsi"/>
                <w:sz w:val="18"/>
                <w:szCs w:val="12"/>
              </w:rPr>
              <w:br/>
              <w:t>estimate within +/‐20% of flow through eligible</w:t>
            </w:r>
            <w:r w:rsidRPr="007938ED">
              <w:rPr>
                <w:rFonts w:asciiTheme="majorHAnsi" w:hAnsiTheme="majorHAnsi"/>
                <w:sz w:val="18"/>
                <w:szCs w:val="12"/>
              </w:rPr>
              <w:br/>
              <w:t>facilities (treatment facilities pumping stations),</w:t>
            </w:r>
            <w:r w:rsidRPr="007938ED">
              <w:rPr>
                <w:rFonts w:asciiTheme="majorHAnsi" w:hAnsiTheme="majorHAnsi"/>
                <w:sz w:val="18"/>
                <w:szCs w:val="12"/>
              </w:rPr>
              <w:br/>
              <w:t>+/‐10% of flow through project facilities</w:t>
            </w:r>
          </w:p>
        </w:tc>
        <w:tc>
          <w:tcPr>
            <w:tcW w:w="0" w:type="auto"/>
            <w:hideMark/>
          </w:tcPr>
          <w:p w:rsidRPr="007938ED" w:rsidR="00D31E46" w:rsidRDefault="00D31E46" w14:paraId="6E5C0EDA" w14:textId="77777777">
            <w:pPr>
              <w:rPr>
                <w:rFonts w:asciiTheme="majorHAnsi" w:hAnsiTheme="majorHAnsi"/>
                <w:sz w:val="18"/>
                <w:szCs w:val="12"/>
              </w:rPr>
            </w:pPr>
            <w:r w:rsidRPr="007938ED">
              <w:rPr>
                <w:rFonts w:asciiTheme="majorHAnsi" w:hAnsiTheme="majorHAnsi"/>
                <w:sz w:val="18"/>
                <w:szCs w:val="12"/>
              </w:rPr>
              <w:t>Percent of Public Sector water/wastewater flow enrolled in non‐building water/wastewater programs</w:t>
            </w:r>
          </w:p>
        </w:tc>
        <w:tc>
          <w:tcPr>
            <w:tcW w:w="0" w:type="auto"/>
            <w:hideMark/>
          </w:tcPr>
          <w:p w:rsidRPr="007938ED" w:rsidR="00D31E46" w:rsidRDefault="00D31E46" w14:paraId="5CB2BAF4"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4FBB02EC" w14:textId="77777777">
            <w:pPr>
              <w:rPr>
                <w:rFonts w:asciiTheme="majorHAnsi" w:hAnsiTheme="majorHAnsi"/>
                <w:sz w:val="18"/>
                <w:szCs w:val="12"/>
              </w:rPr>
            </w:pPr>
            <w:r w:rsidRPr="007938ED">
              <w:rPr>
                <w:rFonts w:asciiTheme="majorHAnsi" w:hAnsiTheme="majorHAnsi"/>
                <w:sz w:val="18"/>
                <w:szCs w:val="12"/>
              </w:rPr>
              <w:t>Water</w:t>
            </w:r>
          </w:p>
        </w:tc>
        <w:tc>
          <w:tcPr>
            <w:tcW w:w="0" w:type="auto"/>
            <w:hideMark/>
          </w:tcPr>
          <w:p w:rsidRPr="007938ED" w:rsidR="00D31E46" w:rsidP="00D31E46" w:rsidRDefault="00D31E46" w14:paraId="546C013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E782B0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3183370"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1F118A68" w14:textId="77777777">
        <w:trPr>
          <w:trHeight w:val="1200"/>
        </w:trPr>
        <w:tc>
          <w:tcPr>
            <w:tcW w:w="0" w:type="auto"/>
            <w:noWrap/>
            <w:hideMark/>
          </w:tcPr>
          <w:p w:rsidRPr="007938ED" w:rsidR="00D31E46" w:rsidP="00D31E46" w:rsidRDefault="00D31E46" w14:paraId="27D680E8" w14:textId="77777777">
            <w:pPr>
              <w:rPr>
                <w:rFonts w:asciiTheme="majorHAnsi" w:hAnsiTheme="majorHAnsi"/>
                <w:sz w:val="18"/>
                <w:szCs w:val="12"/>
              </w:rPr>
            </w:pPr>
            <w:r w:rsidRPr="007938ED">
              <w:rPr>
                <w:rFonts w:asciiTheme="majorHAnsi" w:hAnsiTheme="majorHAnsi"/>
                <w:sz w:val="18"/>
                <w:szCs w:val="12"/>
              </w:rPr>
              <w:lastRenderedPageBreak/>
              <w:t>213</w:t>
            </w:r>
          </w:p>
        </w:tc>
        <w:tc>
          <w:tcPr>
            <w:tcW w:w="0" w:type="auto"/>
            <w:hideMark/>
          </w:tcPr>
          <w:p w:rsidRPr="007938ED" w:rsidR="00D31E46" w:rsidRDefault="00D31E46" w14:paraId="6B1C0D69"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2E3B70C7" w14:textId="77777777">
            <w:pPr>
              <w:rPr>
                <w:rFonts w:asciiTheme="majorHAnsi" w:hAnsiTheme="majorHAnsi"/>
                <w:sz w:val="18"/>
                <w:szCs w:val="12"/>
              </w:rPr>
            </w:pPr>
            <w:r w:rsidRPr="007938ED">
              <w:rPr>
                <w:rFonts w:asciiTheme="majorHAnsi" w:hAnsiTheme="majorHAnsi"/>
                <w:sz w:val="18"/>
                <w:szCs w:val="12"/>
              </w:rPr>
              <w:t>PAC Levelized Cost ($/kW)</w:t>
            </w:r>
          </w:p>
        </w:tc>
        <w:tc>
          <w:tcPr>
            <w:tcW w:w="0" w:type="auto"/>
            <w:hideMark/>
          </w:tcPr>
          <w:p w:rsidRPr="007938ED" w:rsidR="00D31E46" w:rsidRDefault="00D31E46" w14:paraId="3962510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BCBE92B"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28BCC5C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CFB3A4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CF6B1D7" w14:textId="77777777">
            <w:pPr>
              <w:rPr>
                <w:rFonts w:asciiTheme="majorHAnsi" w:hAnsiTheme="majorHAnsi"/>
                <w:sz w:val="18"/>
                <w:szCs w:val="12"/>
              </w:rPr>
            </w:pPr>
            <w:r w:rsidRPr="007938ED">
              <w:rPr>
                <w:rFonts w:asciiTheme="majorHAnsi" w:hAnsiTheme="majorHAnsi"/>
                <w:sz w:val="18"/>
                <w:szCs w:val="12"/>
              </w:rPr>
              <w:t>PAC Levelized Cost ($/kW)</w:t>
            </w:r>
          </w:p>
        </w:tc>
      </w:tr>
      <w:tr w:rsidRPr="007938ED" w:rsidR="00CE6F7B" w:rsidTr="007938ED" w14:paraId="6AC74D97" w14:textId="77777777">
        <w:trPr>
          <w:trHeight w:val="1200"/>
        </w:trPr>
        <w:tc>
          <w:tcPr>
            <w:tcW w:w="0" w:type="auto"/>
            <w:noWrap/>
            <w:hideMark/>
          </w:tcPr>
          <w:p w:rsidRPr="007938ED" w:rsidR="00D31E46" w:rsidP="00D31E46" w:rsidRDefault="00D31E46" w14:paraId="7EF770A6" w14:textId="77777777">
            <w:pPr>
              <w:rPr>
                <w:rFonts w:asciiTheme="majorHAnsi" w:hAnsiTheme="majorHAnsi"/>
                <w:sz w:val="18"/>
                <w:szCs w:val="12"/>
              </w:rPr>
            </w:pPr>
            <w:r w:rsidRPr="007938ED">
              <w:rPr>
                <w:rFonts w:asciiTheme="majorHAnsi" w:hAnsiTheme="majorHAnsi"/>
                <w:sz w:val="18"/>
                <w:szCs w:val="12"/>
              </w:rPr>
              <w:t>214</w:t>
            </w:r>
          </w:p>
        </w:tc>
        <w:tc>
          <w:tcPr>
            <w:tcW w:w="0" w:type="auto"/>
            <w:hideMark/>
          </w:tcPr>
          <w:p w:rsidRPr="007938ED" w:rsidR="00D31E46" w:rsidRDefault="00D31E46" w14:paraId="75A98B56"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045345FA" w14:textId="77777777">
            <w:pPr>
              <w:rPr>
                <w:rFonts w:asciiTheme="majorHAnsi" w:hAnsiTheme="majorHAnsi"/>
                <w:sz w:val="18"/>
                <w:szCs w:val="12"/>
              </w:rPr>
            </w:pPr>
            <w:r w:rsidRPr="007938ED">
              <w:rPr>
                <w:rFonts w:asciiTheme="majorHAnsi" w:hAnsiTheme="majorHAnsi"/>
                <w:sz w:val="18"/>
                <w:szCs w:val="12"/>
              </w:rPr>
              <w:t>PAC Levelized Cost ($/kWh)</w:t>
            </w:r>
          </w:p>
        </w:tc>
        <w:tc>
          <w:tcPr>
            <w:tcW w:w="0" w:type="auto"/>
            <w:hideMark/>
          </w:tcPr>
          <w:p w:rsidRPr="007938ED" w:rsidR="00D31E46" w:rsidRDefault="00D31E46" w14:paraId="09B0324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786B3CD"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15AC94A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8D02BC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52B5778" w14:textId="77777777">
            <w:pPr>
              <w:rPr>
                <w:rFonts w:asciiTheme="majorHAnsi" w:hAnsiTheme="majorHAnsi"/>
                <w:sz w:val="18"/>
                <w:szCs w:val="12"/>
              </w:rPr>
            </w:pPr>
            <w:r w:rsidRPr="007938ED">
              <w:rPr>
                <w:rFonts w:asciiTheme="majorHAnsi" w:hAnsiTheme="majorHAnsi"/>
                <w:sz w:val="18"/>
                <w:szCs w:val="12"/>
              </w:rPr>
              <w:t>PAC Levelized Cost ($/kWh)</w:t>
            </w:r>
          </w:p>
        </w:tc>
      </w:tr>
      <w:tr w:rsidRPr="007938ED" w:rsidR="00CE6F7B" w:rsidTr="007938ED" w14:paraId="3F3006C2" w14:textId="77777777">
        <w:trPr>
          <w:trHeight w:val="1200"/>
        </w:trPr>
        <w:tc>
          <w:tcPr>
            <w:tcW w:w="0" w:type="auto"/>
            <w:noWrap/>
            <w:hideMark/>
          </w:tcPr>
          <w:p w:rsidRPr="007938ED" w:rsidR="00D31E46" w:rsidP="00D31E46" w:rsidRDefault="00D31E46" w14:paraId="7AF88021" w14:textId="77777777">
            <w:pPr>
              <w:rPr>
                <w:rFonts w:asciiTheme="majorHAnsi" w:hAnsiTheme="majorHAnsi"/>
                <w:sz w:val="18"/>
                <w:szCs w:val="12"/>
              </w:rPr>
            </w:pPr>
            <w:r w:rsidRPr="007938ED">
              <w:rPr>
                <w:rFonts w:asciiTheme="majorHAnsi" w:hAnsiTheme="majorHAnsi"/>
                <w:sz w:val="18"/>
                <w:szCs w:val="12"/>
              </w:rPr>
              <w:t>215</w:t>
            </w:r>
          </w:p>
        </w:tc>
        <w:tc>
          <w:tcPr>
            <w:tcW w:w="0" w:type="auto"/>
            <w:hideMark/>
          </w:tcPr>
          <w:p w:rsidRPr="007938ED" w:rsidR="00D31E46" w:rsidRDefault="00D31E46" w14:paraId="2A586FF2"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1DCB576E" w14:textId="77777777">
            <w:pPr>
              <w:rPr>
                <w:rFonts w:asciiTheme="majorHAnsi" w:hAnsiTheme="majorHAnsi"/>
                <w:sz w:val="18"/>
                <w:szCs w:val="12"/>
              </w:rPr>
            </w:pPr>
            <w:r w:rsidRPr="007938ED">
              <w:rPr>
                <w:rFonts w:asciiTheme="majorHAnsi" w:hAnsiTheme="majorHAnsi"/>
                <w:sz w:val="18"/>
                <w:szCs w:val="12"/>
              </w:rPr>
              <w:t>PAC Levelized Cost ($/therm)</w:t>
            </w:r>
          </w:p>
        </w:tc>
        <w:tc>
          <w:tcPr>
            <w:tcW w:w="0" w:type="auto"/>
            <w:hideMark/>
          </w:tcPr>
          <w:p w:rsidRPr="007938ED" w:rsidR="00D31E46" w:rsidRDefault="00D31E46" w14:paraId="1CE5D98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8D5C25E"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7B8E52D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E0CA88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6AABD60" w14:textId="77777777">
            <w:pPr>
              <w:rPr>
                <w:rFonts w:asciiTheme="majorHAnsi" w:hAnsiTheme="majorHAnsi"/>
                <w:sz w:val="18"/>
                <w:szCs w:val="12"/>
              </w:rPr>
            </w:pPr>
            <w:r w:rsidRPr="007938ED">
              <w:rPr>
                <w:rFonts w:asciiTheme="majorHAnsi" w:hAnsiTheme="majorHAnsi"/>
                <w:sz w:val="18"/>
                <w:szCs w:val="12"/>
              </w:rPr>
              <w:t>PAC Levelized Cost ($/therm)</w:t>
            </w:r>
          </w:p>
        </w:tc>
      </w:tr>
      <w:tr w:rsidRPr="007938ED" w:rsidR="00CE6F7B" w:rsidTr="007938ED" w14:paraId="25A9448F" w14:textId="77777777">
        <w:trPr>
          <w:trHeight w:val="1200"/>
        </w:trPr>
        <w:tc>
          <w:tcPr>
            <w:tcW w:w="0" w:type="auto"/>
            <w:noWrap/>
            <w:hideMark/>
          </w:tcPr>
          <w:p w:rsidRPr="007938ED" w:rsidR="00D31E46" w:rsidP="00D31E46" w:rsidRDefault="00D31E46" w14:paraId="3080161F" w14:textId="77777777">
            <w:pPr>
              <w:rPr>
                <w:rFonts w:asciiTheme="majorHAnsi" w:hAnsiTheme="majorHAnsi"/>
                <w:sz w:val="18"/>
                <w:szCs w:val="12"/>
              </w:rPr>
            </w:pPr>
            <w:r w:rsidRPr="007938ED">
              <w:rPr>
                <w:rFonts w:asciiTheme="majorHAnsi" w:hAnsiTheme="majorHAnsi"/>
                <w:sz w:val="18"/>
                <w:szCs w:val="12"/>
              </w:rPr>
              <w:t>216</w:t>
            </w:r>
          </w:p>
        </w:tc>
        <w:tc>
          <w:tcPr>
            <w:tcW w:w="0" w:type="auto"/>
            <w:hideMark/>
          </w:tcPr>
          <w:p w:rsidRPr="007938ED" w:rsidR="00D31E46" w:rsidRDefault="00D31E46" w14:paraId="3CDD6E57"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15DED999" w14:textId="77777777">
            <w:pPr>
              <w:rPr>
                <w:rFonts w:asciiTheme="majorHAnsi" w:hAnsiTheme="majorHAnsi"/>
                <w:sz w:val="18"/>
                <w:szCs w:val="12"/>
              </w:rPr>
            </w:pPr>
            <w:r w:rsidRPr="007938ED">
              <w:rPr>
                <w:rFonts w:asciiTheme="majorHAnsi" w:hAnsiTheme="majorHAnsi"/>
                <w:sz w:val="18"/>
                <w:szCs w:val="12"/>
              </w:rPr>
              <w:t>TRC Levelized Cost ($/kW)</w:t>
            </w:r>
          </w:p>
        </w:tc>
        <w:tc>
          <w:tcPr>
            <w:tcW w:w="0" w:type="auto"/>
            <w:hideMark/>
          </w:tcPr>
          <w:p w:rsidRPr="007938ED" w:rsidR="00D31E46" w:rsidRDefault="00D31E46" w14:paraId="214E7BD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AF14529"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74F72B3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942618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2A3816F" w14:textId="77777777">
            <w:pPr>
              <w:rPr>
                <w:rFonts w:asciiTheme="majorHAnsi" w:hAnsiTheme="majorHAnsi"/>
                <w:sz w:val="18"/>
                <w:szCs w:val="12"/>
              </w:rPr>
            </w:pPr>
            <w:r w:rsidRPr="007938ED">
              <w:rPr>
                <w:rFonts w:asciiTheme="majorHAnsi" w:hAnsiTheme="majorHAnsi"/>
                <w:sz w:val="18"/>
                <w:szCs w:val="12"/>
              </w:rPr>
              <w:t>TRC Levelized Cost ($/kW)</w:t>
            </w:r>
          </w:p>
        </w:tc>
      </w:tr>
      <w:tr w:rsidRPr="007938ED" w:rsidR="00CE6F7B" w:rsidTr="007938ED" w14:paraId="27F12773" w14:textId="77777777">
        <w:trPr>
          <w:trHeight w:val="1200"/>
        </w:trPr>
        <w:tc>
          <w:tcPr>
            <w:tcW w:w="0" w:type="auto"/>
            <w:noWrap/>
            <w:hideMark/>
          </w:tcPr>
          <w:p w:rsidRPr="007938ED" w:rsidR="00D31E46" w:rsidP="00D31E46" w:rsidRDefault="00D31E46" w14:paraId="69B7F57E" w14:textId="77777777">
            <w:pPr>
              <w:rPr>
                <w:rFonts w:asciiTheme="majorHAnsi" w:hAnsiTheme="majorHAnsi"/>
                <w:sz w:val="18"/>
                <w:szCs w:val="12"/>
              </w:rPr>
            </w:pPr>
            <w:r w:rsidRPr="007938ED">
              <w:rPr>
                <w:rFonts w:asciiTheme="majorHAnsi" w:hAnsiTheme="majorHAnsi"/>
                <w:sz w:val="18"/>
                <w:szCs w:val="12"/>
              </w:rPr>
              <w:t>217</w:t>
            </w:r>
          </w:p>
        </w:tc>
        <w:tc>
          <w:tcPr>
            <w:tcW w:w="0" w:type="auto"/>
            <w:hideMark/>
          </w:tcPr>
          <w:p w:rsidRPr="007938ED" w:rsidR="00D31E46" w:rsidRDefault="00D31E46" w14:paraId="5151D0EB"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4AC8A1A9" w14:textId="77777777">
            <w:pPr>
              <w:rPr>
                <w:rFonts w:asciiTheme="majorHAnsi" w:hAnsiTheme="majorHAnsi"/>
                <w:sz w:val="18"/>
                <w:szCs w:val="12"/>
              </w:rPr>
            </w:pPr>
            <w:r w:rsidRPr="007938ED">
              <w:rPr>
                <w:rFonts w:asciiTheme="majorHAnsi" w:hAnsiTheme="majorHAnsi"/>
                <w:sz w:val="18"/>
                <w:szCs w:val="12"/>
              </w:rPr>
              <w:t>TRC Levelized Cost ($/kWh)</w:t>
            </w:r>
          </w:p>
        </w:tc>
        <w:tc>
          <w:tcPr>
            <w:tcW w:w="0" w:type="auto"/>
            <w:hideMark/>
          </w:tcPr>
          <w:p w:rsidRPr="007938ED" w:rsidR="00D31E46" w:rsidRDefault="00D31E46" w14:paraId="0DEEA58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750799E"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055672E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081B1F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A966D6F" w14:textId="77777777">
            <w:pPr>
              <w:rPr>
                <w:rFonts w:asciiTheme="majorHAnsi" w:hAnsiTheme="majorHAnsi"/>
                <w:sz w:val="18"/>
                <w:szCs w:val="12"/>
              </w:rPr>
            </w:pPr>
            <w:r w:rsidRPr="007938ED">
              <w:rPr>
                <w:rFonts w:asciiTheme="majorHAnsi" w:hAnsiTheme="majorHAnsi"/>
                <w:sz w:val="18"/>
                <w:szCs w:val="12"/>
              </w:rPr>
              <w:t>TRC Levelized Cost ($/kWh)</w:t>
            </w:r>
          </w:p>
        </w:tc>
      </w:tr>
      <w:tr w:rsidRPr="007938ED" w:rsidR="00CE6F7B" w:rsidTr="007938ED" w14:paraId="1179E814" w14:textId="77777777">
        <w:trPr>
          <w:trHeight w:val="1200"/>
        </w:trPr>
        <w:tc>
          <w:tcPr>
            <w:tcW w:w="0" w:type="auto"/>
            <w:noWrap/>
            <w:hideMark/>
          </w:tcPr>
          <w:p w:rsidRPr="007938ED" w:rsidR="00D31E46" w:rsidP="00D31E46" w:rsidRDefault="00D31E46" w14:paraId="69831E5F" w14:textId="77777777">
            <w:pPr>
              <w:rPr>
                <w:rFonts w:asciiTheme="majorHAnsi" w:hAnsiTheme="majorHAnsi"/>
                <w:sz w:val="18"/>
                <w:szCs w:val="12"/>
              </w:rPr>
            </w:pPr>
            <w:r w:rsidRPr="007938ED">
              <w:rPr>
                <w:rFonts w:asciiTheme="majorHAnsi" w:hAnsiTheme="majorHAnsi"/>
                <w:sz w:val="18"/>
                <w:szCs w:val="12"/>
              </w:rPr>
              <w:t>218</w:t>
            </w:r>
          </w:p>
        </w:tc>
        <w:tc>
          <w:tcPr>
            <w:tcW w:w="0" w:type="auto"/>
            <w:hideMark/>
          </w:tcPr>
          <w:p w:rsidRPr="007938ED" w:rsidR="00D31E46" w:rsidRDefault="00D31E46" w14:paraId="66311A2C"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04C5E6E6" w14:textId="77777777">
            <w:pPr>
              <w:rPr>
                <w:rFonts w:asciiTheme="majorHAnsi" w:hAnsiTheme="majorHAnsi"/>
                <w:sz w:val="18"/>
                <w:szCs w:val="12"/>
              </w:rPr>
            </w:pPr>
            <w:r w:rsidRPr="007938ED">
              <w:rPr>
                <w:rFonts w:asciiTheme="majorHAnsi" w:hAnsiTheme="majorHAnsi"/>
                <w:sz w:val="18"/>
                <w:szCs w:val="12"/>
              </w:rPr>
              <w:t>TRC Levelized Cost ($/therm)</w:t>
            </w:r>
          </w:p>
        </w:tc>
        <w:tc>
          <w:tcPr>
            <w:tcW w:w="0" w:type="auto"/>
            <w:hideMark/>
          </w:tcPr>
          <w:p w:rsidRPr="007938ED" w:rsidR="00D31E46" w:rsidRDefault="00D31E46" w14:paraId="3737C20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11B2A0E"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3A295F0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02FB12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0AC6A62" w14:textId="77777777">
            <w:pPr>
              <w:rPr>
                <w:rFonts w:asciiTheme="majorHAnsi" w:hAnsiTheme="majorHAnsi"/>
                <w:sz w:val="18"/>
                <w:szCs w:val="12"/>
              </w:rPr>
            </w:pPr>
            <w:r w:rsidRPr="007938ED">
              <w:rPr>
                <w:rFonts w:asciiTheme="majorHAnsi" w:hAnsiTheme="majorHAnsi"/>
                <w:sz w:val="18"/>
                <w:szCs w:val="12"/>
              </w:rPr>
              <w:t>TRC Levelized Cost ($/therm)</w:t>
            </w:r>
          </w:p>
        </w:tc>
      </w:tr>
      <w:tr w:rsidRPr="007938ED" w:rsidR="00CE6F7B" w:rsidTr="007938ED" w14:paraId="4BDB0275" w14:textId="77777777">
        <w:trPr>
          <w:trHeight w:val="1200"/>
        </w:trPr>
        <w:tc>
          <w:tcPr>
            <w:tcW w:w="0" w:type="auto"/>
            <w:noWrap/>
            <w:hideMark/>
          </w:tcPr>
          <w:p w:rsidRPr="007938ED" w:rsidR="00D31E46" w:rsidP="00D31E46" w:rsidRDefault="00D31E46" w14:paraId="0CC8FCC5" w14:textId="77777777">
            <w:pPr>
              <w:rPr>
                <w:rFonts w:asciiTheme="majorHAnsi" w:hAnsiTheme="majorHAnsi"/>
                <w:sz w:val="18"/>
                <w:szCs w:val="12"/>
              </w:rPr>
            </w:pPr>
            <w:r w:rsidRPr="007938ED">
              <w:rPr>
                <w:rFonts w:asciiTheme="majorHAnsi" w:hAnsiTheme="majorHAnsi"/>
                <w:sz w:val="18"/>
                <w:szCs w:val="12"/>
              </w:rPr>
              <w:lastRenderedPageBreak/>
              <w:t>219</w:t>
            </w:r>
          </w:p>
        </w:tc>
        <w:tc>
          <w:tcPr>
            <w:tcW w:w="0" w:type="auto"/>
            <w:hideMark/>
          </w:tcPr>
          <w:p w:rsidRPr="007938ED" w:rsidR="00D31E46" w:rsidRDefault="00D31E46" w14:paraId="1595B935" w14:textId="77777777">
            <w:pPr>
              <w:rPr>
                <w:rFonts w:asciiTheme="majorHAnsi" w:hAnsiTheme="majorHAnsi"/>
                <w:sz w:val="18"/>
                <w:szCs w:val="12"/>
              </w:rPr>
            </w:pPr>
            <w:r w:rsidRPr="007938ED">
              <w:rPr>
                <w:rFonts w:asciiTheme="majorHAnsi" w:hAnsiTheme="majorHAnsi"/>
                <w:sz w:val="18"/>
                <w:szCs w:val="12"/>
              </w:rPr>
              <w:t>Total program‐backed financing distributed to Public Sector customers requiring repayment (i.e., loans, OBF)</w:t>
            </w:r>
          </w:p>
        </w:tc>
        <w:tc>
          <w:tcPr>
            <w:tcW w:w="0" w:type="auto"/>
            <w:hideMark/>
          </w:tcPr>
          <w:p w:rsidRPr="007938ED" w:rsidR="00D31E46" w:rsidRDefault="00D31E46" w14:paraId="2BEEDD1A" w14:textId="77777777">
            <w:pPr>
              <w:rPr>
                <w:rFonts w:asciiTheme="majorHAnsi" w:hAnsiTheme="majorHAnsi"/>
                <w:sz w:val="18"/>
                <w:szCs w:val="12"/>
              </w:rPr>
            </w:pPr>
            <w:r w:rsidRPr="007938ED">
              <w:rPr>
                <w:rFonts w:asciiTheme="majorHAnsi" w:hAnsiTheme="majorHAnsi"/>
                <w:sz w:val="18"/>
                <w:szCs w:val="12"/>
              </w:rPr>
              <w:t>Total program‐backed financing distributed to Public Sector customers requiring repayment</w:t>
            </w:r>
          </w:p>
        </w:tc>
        <w:tc>
          <w:tcPr>
            <w:tcW w:w="0" w:type="auto"/>
            <w:hideMark/>
          </w:tcPr>
          <w:p w:rsidRPr="007938ED" w:rsidR="00D31E46" w:rsidRDefault="00D31E46" w14:paraId="05A506C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27022CC8" w14:textId="77777777">
            <w:pPr>
              <w:rPr>
                <w:rFonts w:asciiTheme="majorHAnsi" w:hAnsiTheme="majorHAnsi"/>
                <w:sz w:val="18"/>
                <w:szCs w:val="12"/>
              </w:rPr>
            </w:pPr>
            <w:r w:rsidRPr="007938ED">
              <w:rPr>
                <w:rFonts w:asciiTheme="majorHAnsi" w:hAnsiTheme="majorHAnsi"/>
                <w:sz w:val="18"/>
                <w:szCs w:val="12"/>
              </w:rPr>
              <w:t>Investment in EE</w:t>
            </w:r>
          </w:p>
        </w:tc>
        <w:tc>
          <w:tcPr>
            <w:tcW w:w="0" w:type="auto"/>
            <w:hideMark/>
          </w:tcPr>
          <w:p w:rsidRPr="007938ED" w:rsidR="00D31E46" w:rsidP="00D31E46" w:rsidRDefault="00D31E46" w14:paraId="197CAD61"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5F1428F8"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3749DEB" w14:textId="77777777">
            <w:pPr>
              <w:rPr>
                <w:rFonts w:asciiTheme="majorHAnsi" w:hAnsiTheme="majorHAnsi"/>
                <w:sz w:val="18"/>
                <w:szCs w:val="12"/>
              </w:rPr>
            </w:pPr>
            <w:r w:rsidRPr="007938ED">
              <w:rPr>
                <w:rFonts w:asciiTheme="majorHAnsi" w:hAnsiTheme="majorHAnsi"/>
                <w:sz w:val="18"/>
                <w:szCs w:val="12"/>
              </w:rPr>
              <w:t>$</w:t>
            </w:r>
          </w:p>
        </w:tc>
      </w:tr>
      <w:tr w:rsidRPr="007938ED" w:rsidR="00CE6F7B" w:rsidTr="007938ED" w14:paraId="3A9C4E9E" w14:textId="77777777">
        <w:trPr>
          <w:trHeight w:val="1200"/>
        </w:trPr>
        <w:tc>
          <w:tcPr>
            <w:tcW w:w="0" w:type="auto"/>
            <w:noWrap/>
            <w:hideMark/>
          </w:tcPr>
          <w:p w:rsidRPr="007938ED" w:rsidR="00D31E46" w:rsidP="00D31E46" w:rsidRDefault="00D31E46" w14:paraId="2BFA2449" w14:textId="77777777">
            <w:pPr>
              <w:rPr>
                <w:rFonts w:asciiTheme="majorHAnsi" w:hAnsiTheme="majorHAnsi"/>
                <w:sz w:val="18"/>
                <w:szCs w:val="12"/>
              </w:rPr>
            </w:pPr>
            <w:r w:rsidRPr="007938ED">
              <w:rPr>
                <w:rFonts w:asciiTheme="majorHAnsi" w:hAnsiTheme="majorHAnsi"/>
                <w:sz w:val="18"/>
                <w:szCs w:val="12"/>
              </w:rPr>
              <w:t>220</w:t>
            </w:r>
          </w:p>
        </w:tc>
        <w:tc>
          <w:tcPr>
            <w:tcW w:w="0" w:type="auto"/>
            <w:hideMark/>
          </w:tcPr>
          <w:p w:rsidRPr="007938ED" w:rsidR="00D31E46" w:rsidRDefault="00D31E46" w14:paraId="364EDFEF" w14:textId="77777777">
            <w:pPr>
              <w:rPr>
                <w:rFonts w:asciiTheme="majorHAnsi" w:hAnsiTheme="majorHAnsi"/>
                <w:sz w:val="18"/>
                <w:szCs w:val="12"/>
              </w:rPr>
            </w:pPr>
            <w:r w:rsidRPr="007938ED">
              <w:rPr>
                <w:rFonts w:asciiTheme="majorHAnsi" w:hAnsiTheme="majorHAnsi"/>
                <w:sz w:val="18"/>
                <w:szCs w:val="12"/>
              </w:rPr>
              <w:t>Percent of Public Sector buildings with current benchmark</w:t>
            </w:r>
          </w:p>
        </w:tc>
        <w:tc>
          <w:tcPr>
            <w:tcW w:w="0" w:type="auto"/>
            <w:hideMark/>
          </w:tcPr>
          <w:p w:rsidRPr="007938ED" w:rsidR="00D31E46" w:rsidRDefault="00D31E46" w14:paraId="0AF19E62" w14:textId="77777777">
            <w:pPr>
              <w:rPr>
                <w:rFonts w:asciiTheme="majorHAnsi" w:hAnsiTheme="majorHAnsi"/>
                <w:sz w:val="18"/>
                <w:szCs w:val="12"/>
              </w:rPr>
            </w:pPr>
            <w:r w:rsidRPr="007938ED">
              <w:rPr>
                <w:rFonts w:asciiTheme="majorHAnsi" w:hAnsiTheme="majorHAnsi"/>
                <w:sz w:val="18"/>
                <w:szCs w:val="12"/>
              </w:rPr>
              <w:t>Percent of Public Sector buildings with current benchmark</w:t>
            </w:r>
          </w:p>
        </w:tc>
        <w:tc>
          <w:tcPr>
            <w:tcW w:w="0" w:type="auto"/>
            <w:hideMark/>
          </w:tcPr>
          <w:p w:rsidRPr="007938ED" w:rsidR="00D31E46" w:rsidRDefault="00D31E46" w14:paraId="7255BEC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E8607A7" w14:textId="77777777">
            <w:pPr>
              <w:rPr>
                <w:rFonts w:asciiTheme="majorHAnsi" w:hAnsiTheme="majorHAnsi"/>
                <w:sz w:val="18"/>
                <w:szCs w:val="12"/>
              </w:rPr>
            </w:pPr>
            <w:r w:rsidRPr="007938ED">
              <w:rPr>
                <w:rFonts w:asciiTheme="majorHAnsi" w:hAnsiTheme="majorHAnsi"/>
                <w:sz w:val="18"/>
                <w:szCs w:val="12"/>
              </w:rPr>
              <w:t>Benchmarking</w:t>
            </w:r>
          </w:p>
        </w:tc>
        <w:tc>
          <w:tcPr>
            <w:tcW w:w="0" w:type="auto"/>
            <w:hideMark/>
          </w:tcPr>
          <w:p w:rsidRPr="007938ED" w:rsidR="00D31E46" w:rsidP="00D31E46" w:rsidRDefault="00D31E46" w14:paraId="56E086A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E99BD14"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6AF7AC5D"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55B7D34" w14:textId="77777777">
        <w:trPr>
          <w:trHeight w:val="1200"/>
        </w:trPr>
        <w:tc>
          <w:tcPr>
            <w:tcW w:w="0" w:type="auto"/>
            <w:noWrap/>
            <w:hideMark/>
          </w:tcPr>
          <w:p w:rsidRPr="007938ED" w:rsidR="00D31E46" w:rsidP="00D31E46" w:rsidRDefault="00D31E46" w14:paraId="1980CD5B" w14:textId="77777777">
            <w:pPr>
              <w:rPr>
                <w:rFonts w:asciiTheme="majorHAnsi" w:hAnsiTheme="majorHAnsi"/>
                <w:sz w:val="18"/>
                <w:szCs w:val="12"/>
              </w:rPr>
            </w:pPr>
            <w:r w:rsidRPr="007938ED">
              <w:rPr>
                <w:rFonts w:asciiTheme="majorHAnsi" w:hAnsiTheme="majorHAnsi"/>
                <w:sz w:val="18"/>
                <w:szCs w:val="12"/>
              </w:rPr>
              <w:t>221</w:t>
            </w:r>
          </w:p>
        </w:tc>
        <w:tc>
          <w:tcPr>
            <w:tcW w:w="0" w:type="auto"/>
            <w:hideMark/>
          </w:tcPr>
          <w:p w:rsidRPr="007938ED" w:rsidR="00D31E46" w:rsidRDefault="00D31E46" w14:paraId="7D52DA3F" w14:textId="77777777">
            <w:pPr>
              <w:rPr>
                <w:rFonts w:asciiTheme="majorHAnsi" w:hAnsiTheme="majorHAnsi"/>
                <w:sz w:val="18"/>
                <w:szCs w:val="12"/>
              </w:rPr>
            </w:pPr>
            <w:r w:rsidRPr="007938ED">
              <w:rPr>
                <w:rFonts w:asciiTheme="majorHAnsi" w:hAnsiTheme="majorHAnsi"/>
                <w:sz w:val="18"/>
                <w:szCs w:val="12"/>
              </w:rPr>
              <w:t>Average energy use intensity of all Public Sector buildings</w:t>
            </w:r>
          </w:p>
        </w:tc>
        <w:tc>
          <w:tcPr>
            <w:tcW w:w="0" w:type="auto"/>
            <w:hideMark/>
          </w:tcPr>
          <w:p w:rsidRPr="007938ED" w:rsidR="00D31E46" w:rsidRDefault="00D31E46" w14:paraId="6E8B99F2" w14:textId="77777777">
            <w:pPr>
              <w:rPr>
                <w:rFonts w:asciiTheme="majorHAnsi" w:hAnsiTheme="majorHAnsi"/>
                <w:sz w:val="18"/>
                <w:szCs w:val="12"/>
              </w:rPr>
            </w:pPr>
            <w:r w:rsidRPr="007938ED">
              <w:rPr>
                <w:rFonts w:asciiTheme="majorHAnsi" w:hAnsiTheme="majorHAnsi"/>
                <w:sz w:val="18"/>
                <w:szCs w:val="12"/>
              </w:rPr>
              <w:t xml:space="preserve"> Average energy use intensity of all Public Sector buildings</w:t>
            </w:r>
          </w:p>
        </w:tc>
        <w:tc>
          <w:tcPr>
            <w:tcW w:w="0" w:type="auto"/>
            <w:hideMark/>
          </w:tcPr>
          <w:p w:rsidRPr="007938ED" w:rsidR="00D31E46" w:rsidRDefault="00D31E46" w14:paraId="7C9DCAE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C7CFE37" w14:textId="77777777">
            <w:pPr>
              <w:rPr>
                <w:rFonts w:asciiTheme="majorHAnsi" w:hAnsiTheme="majorHAnsi"/>
                <w:sz w:val="18"/>
                <w:szCs w:val="12"/>
              </w:rPr>
            </w:pPr>
            <w:r w:rsidRPr="007938ED">
              <w:rPr>
                <w:rFonts w:asciiTheme="majorHAnsi" w:hAnsiTheme="majorHAnsi"/>
                <w:sz w:val="18"/>
                <w:szCs w:val="12"/>
              </w:rPr>
              <w:t>Energy intensity</w:t>
            </w:r>
          </w:p>
        </w:tc>
        <w:tc>
          <w:tcPr>
            <w:tcW w:w="0" w:type="auto"/>
            <w:hideMark/>
          </w:tcPr>
          <w:p w:rsidRPr="007938ED" w:rsidR="00D31E46" w:rsidP="00D31E46" w:rsidRDefault="00D31E46" w14:paraId="7231742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E41AC6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880842C" w14:textId="77777777">
            <w:pPr>
              <w:rPr>
                <w:rFonts w:asciiTheme="majorHAnsi" w:hAnsiTheme="majorHAnsi"/>
                <w:sz w:val="18"/>
                <w:szCs w:val="12"/>
              </w:rPr>
            </w:pPr>
            <w:r w:rsidRPr="007938ED">
              <w:rPr>
                <w:rFonts w:asciiTheme="majorHAnsi" w:hAnsiTheme="majorHAnsi"/>
                <w:sz w:val="18"/>
                <w:szCs w:val="12"/>
              </w:rPr>
              <w:t>Btu</w:t>
            </w:r>
          </w:p>
        </w:tc>
      </w:tr>
      <w:tr w:rsidRPr="007938ED" w:rsidR="00CE6F7B" w:rsidTr="007938ED" w14:paraId="1D668909" w14:textId="77777777">
        <w:trPr>
          <w:trHeight w:val="1200"/>
        </w:trPr>
        <w:tc>
          <w:tcPr>
            <w:tcW w:w="0" w:type="auto"/>
            <w:noWrap/>
            <w:hideMark/>
          </w:tcPr>
          <w:p w:rsidRPr="007938ED" w:rsidR="00D31E46" w:rsidP="00D31E46" w:rsidRDefault="00D31E46" w14:paraId="41DEF8FA" w14:textId="77777777">
            <w:pPr>
              <w:rPr>
                <w:rFonts w:asciiTheme="majorHAnsi" w:hAnsiTheme="majorHAnsi"/>
                <w:sz w:val="18"/>
                <w:szCs w:val="12"/>
              </w:rPr>
            </w:pPr>
            <w:r w:rsidRPr="007938ED">
              <w:rPr>
                <w:rFonts w:asciiTheme="majorHAnsi" w:hAnsiTheme="majorHAnsi"/>
                <w:sz w:val="18"/>
                <w:szCs w:val="12"/>
              </w:rPr>
              <w:t>222</w:t>
            </w:r>
          </w:p>
        </w:tc>
        <w:tc>
          <w:tcPr>
            <w:tcW w:w="0" w:type="auto"/>
            <w:hideMark/>
          </w:tcPr>
          <w:p w:rsidRPr="007938ED" w:rsidR="00D31E46" w:rsidRDefault="00D31E46" w14:paraId="2202546E" w14:textId="77777777">
            <w:pPr>
              <w:rPr>
                <w:rFonts w:asciiTheme="majorHAnsi" w:hAnsiTheme="majorHAnsi"/>
                <w:sz w:val="18"/>
                <w:szCs w:val="12"/>
              </w:rPr>
            </w:pPr>
            <w:r w:rsidRPr="007938ED">
              <w:rPr>
                <w:rFonts w:asciiTheme="majorHAnsi" w:hAnsiTheme="majorHAnsi"/>
                <w:sz w:val="18"/>
                <w:szCs w:val="12"/>
              </w:rPr>
              <w:t>Percent of floorplan area of all Public Sector buildings with current benchmark</w:t>
            </w:r>
          </w:p>
        </w:tc>
        <w:tc>
          <w:tcPr>
            <w:tcW w:w="0" w:type="auto"/>
            <w:hideMark/>
          </w:tcPr>
          <w:p w:rsidRPr="007938ED" w:rsidR="00D31E46" w:rsidRDefault="00D31E46" w14:paraId="4E6DCFFC" w14:textId="77777777">
            <w:pPr>
              <w:rPr>
                <w:rFonts w:asciiTheme="majorHAnsi" w:hAnsiTheme="majorHAnsi"/>
                <w:sz w:val="18"/>
                <w:szCs w:val="12"/>
              </w:rPr>
            </w:pPr>
            <w:r w:rsidRPr="007938ED">
              <w:rPr>
                <w:rFonts w:asciiTheme="majorHAnsi" w:hAnsiTheme="majorHAnsi"/>
                <w:sz w:val="18"/>
                <w:szCs w:val="12"/>
              </w:rPr>
              <w:t>Percent of floorplan area of all Public Sector buildings with current benchmark</w:t>
            </w:r>
          </w:p>
        </w:tc>
        <w:tc>
          <w:tcPr>
            <w:tcW w:w="0" w:type="auto"/>
            <w:hideMark/>
          </w:tcPr>
          <w:p w:rsidRPr="007938ED" w:rsidR="00D31E46" w:rsidRDefault="00D31E46" w14:paraId="65D0D016"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6CBB828" w14:textId="77777777">
            <w:pPr>
              <w:rPr>
                <w:rFonts w:asciiTheme="majorHAnsi" w:hAnsiTheme="majorHAnsi"/>
                <w:sz w:val="18"/>
                <w:szCs w:val="12"/>
              </w:rPr>
            </w:pPr>
            <w:r w:rsidRPr="007938ED">
              <w:rPr>
                <w:rFonts w:asciiTheme="majorHAnsi" w:hAnsiTheme="majorHAnsi"/>
                <w:sz w:val="18"/>
                <w:szCs w:val="12"/>
              </w:rPr>
              <w:t>Benchmarking</w:t>
            </w:r>
          </w:p>
        </w:tc>
        <w:tc>
          <w:tcPr>
            <w:tcW w:w="0" w:type="auto"/>
            <w:hideMark/>
          </w:tcPr>
          <w:p w:rsidRPr="007938ED" w:rsidR="00D31E46" w:rsidP="00D31E46" w:rsidRDefault="00D31E46" w14:paraId="20649A0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E7664B9"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2F02E70C"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75ADCF76" w14:textId="77777777">
        <w:trPr>
          <w:trHeight w:val="1200"/>
        </w:trPr>
        <w:tc>
          <w:tcPr>
            <w:tcW w:w="0" w:type="auto"/>
            <w:noWrap/>
            <w:hideMark/>
          </w:tcPr>
          <w:p w:rsidRPr="007938ED" w:rsidR="00D31E46" w:rsidP="00D31E46" w:rsidRDefault="00D31E46" w14:paraId="01A3D14D" w14:textId="77777777">
            <w:pPr>
              <w:rPr>
                <w:rFonts w:asciiTheme="majorHAnsi" w:hAnsiTheme="majorHAnsi"/>
                <w:sz w:val="18"/>
                <w:szCs w:val="12"/>
              </w:rPr>
            </w:pPr>
            <w:r w:rsidRPr="007938ED">
              <w:rPr>
                <w:rFonts w:asciiTheme="majorHAnsi" w:hAnsiTheme="majorHAnsi"/>
                <w:sz w:val="18"/>
                <w:szCs w:val="12"/>
              </w:rPr>
              <w:t>223</w:t>
            </w:r>
          </w:p>
        </w:tc>
        <w:tc>
          <w:tcPr>
            <w:tcW w:w="0" w:type="auto"/>
            <w:hideMark/>
          </w:tcPr>
          <w:p w:rsidRPr="007938ED" w:rsidR="00D31E46" w:rsidRDefault="00D31E46" w14:paraId="04A11ED7"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3428C37F" w14:textId="77777777">
            <w:pPr>
              <w:rPr>
                <w:rFonts w:asciiTheme="majorHAnsi" w:hAnsiTheme="majorHAnsi"/>
                <w:sz w:val="18"/>
                <w:szCs w:val="12"/>
              </w:rPr>
            </w:pPr>
            <w:r w:rsidRPr="007938ED">
              <w:rPr>
                <w:rFonts w:asciiTheme="majorHAnsi" w:hAnsiTheme="majorHAnsi"/>
                <w:sz w:val="18"/>
                <w:szCs w:val="12"/>
              </w:rPr>
              <w:t>First year annual kW gross</w:t>
            </w:r>
          </w:p>
        </w:tc>
        <w:tc>
          <w:tcPr>
            <w:tcW w:w="0" w:type="auto"/>
            <w:hideMark/>
          </w:tcPr>
          <w:p w:rsidRPr="007938ED" w:rsidR="00D31E46" w:rsidRDefault="00D31E46" w14:paraId="1AE0B69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9CA6690"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4CD6304"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765C513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EA39C3E"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2E450E3B" w14:textId="77777777">
        <w:trPr>
          <w:trHeight w:val="1200"/>
        </w:trPr>
        <w:tc>
          <w:tcPr>
            <w:tcW w:w="0" w:type="auto"/>
            <w:noWrap/>
            <w:hideMark/>
          </w:tcPr>
          <w:p w:rsidRPr="007938ED" w:rsidR="00D31E46" w:rsidP="00D31E46" w:rsidRDefault="00D31E46" w14:paraId="27FCD303" w14:textId="77777777">
            <w:pPr>
              <w:rPr>
                <w:rFonts w:asciiTheme="majorHAnsi" w:hAnsiTheme="majorHAnsi"/>
                <w:sz w:val="18"/>
                <w:szCs w:val="12"/>
              </w:rPr>
            </w:pPr>
            <w:r w:rsidRPr="007938ED">
              <w:rPr>
                <w:rFonts w:asciiTheme="majorHAnsi" w:hAnsiTheme="majorHAnsi"/>
                <w:sz w:val="18"/>
                <w:szCs w:val="12"/>
              </w:rPr>
              <w:t>224</w:t>
            </w:r>
          </w:p>
        </w:tc>
        <w:tc>
          <w:tcPr>
            <w:tcW w:w="0" w:type="auto"/>
            <w:hideMark/>
          </w:tcPr>
          <w:p w:rsidRPr="007938ED" w:rsidR="00D31E46" w:rsidRDefault="00D31E46" w14:paraId="2937D85B"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5E73F2B9" w14:textId="77777777">
            <w:pPr>
              <w:rPr>
                <w:rFonts w:asciiTheme="majorHAnsi" w:hAnsiTheme="majorHAnsi"/>
                <w:sz w:val="18"/>
                <w:szCs w:val="12"/>
              </w:rPr>
            </w:pPr>
            <w:r w:rsidRPr="007938ED">
              <w:rPr>
                <w:rFonts w:asciiTheme="majorHAnsi" w:hAnsiTheme="majorHAnsi"/>
                <w:sz w:val="18"/>
                <w:szCs w:val="12"/>
              </w:rPr>
              <w:t>First year annual kW net</w:t>
            </w:r>
          </w:p>
        </w:tc>
        <w:tc>
          <w:tcPr>
            <w:tcW w:w="0" w:type="auto"/>
            <w:hideMark/>
          </w:tcPr>
          <w:p w:rsidRPr="007938ED" w:rsidR="00D31E46" w:rsidRDefault="00D31E46" w14:paraId="213390F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24DA4A1"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7B19E37"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40F62C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D4D01A6"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37C38D2B" w14:textId="77777777">
        <w:trPr>
          <w:trHeight w:val="1200"/>
        </w:trPr>
        <w:tc>
          <w:tcPr>
            <w:tcW w:w="0" w:type="auto"/>
            <w:noWrap/>
            <w:hideMark/>
          </w:tcPr>
          <w:p w:rsidRPr="007938ED" w:rsidR="00D31E46" w:rsidP="00D31E46" w:rsidRDefault="00D31E46" w14:paraId="2A3FA781" w14:textId="77777777">
            <w:pPr>
              <w:rPr>
                <w:rFonts w:asciiTheme="majorHAnsi" w:hAnsiTheme="majorHAnsi"/>
                <w:sz w:val="18"/>
                <w:szCs w:val="12"/>
              </w:rPr>
            </w:pPr>
            <w:r w:rsidRPr="007938ED">
              <w:rPr>
                <w:rFonts w:asciiTheme="majorHAnsi" w:hAnsiTheme="majorHAnsi"/>
                <w:sz w:val="18"/>
                <w:szCs w:val="12"/>
              </w:rPr>
              <w:lastRenderedPageBreak/>
              <w:t>225</w:t>
            </w:r>
          </w:p>
        </w:tc>
        <w:tc>
          <w:tcPr>
            <w:tcW w:w="0" w:type="auto"/>
            <w:hideMark/>
          </w:tcPr>
          <w:p w:rsidRPr="007938ED" w:rsidR="00D31E46" w:rsidRDefault="00D31E46" w14:paraId="6709D0EF"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7EA14F31" w14:textId="77777777">
            <w:pPr>
              <w:rPr>
                <w:rFonts w:asciiTheme="majorHAnsi" w:hAnsiTheme="majorHAnsi"/>
                <w:sz w:val="18"/>
                <w:szCs w:val="12"/>
              </w:rPr>
            </w:pPr>
            <w:r w:rsidRPr="007938ED">
              <w:rPr>
                <w:rFonts w:asciiTheme="majorHAnsi" w:hAnsiTheme="majorHAnsi"/>
                <w:sz w:val="18"/>
                <w:szCs w:val="12"/>
              </w:rPr>
              <w:t>First year annual kWh gross</w:t>
            </w:r>
          </w:p>
        </w:tc>
        <w:tc>
          <w:tcPr>
            <w:tcW w:w="0" w:type="auto"/>
            <w:hideMark/>
          </w:tcPr>
          <w:p w:rsidRPr="007938ED" w:rsidR="00D31E46" w:rsidRDefault="00D31E46" w14:paraId="0D67F9F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8EE7464"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EF4087B"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2F61C9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6B3B8C2"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493541B1" w14:textId="77777777">
        <w:trPr>
          <w:trHeight w:val="1200"/>
        </w:trPr>
        <w:tc>
          <w:tcPr>
            <w:tcW w:w="0" w:type="auto"/>
            <w:noWrap/>
            <w:hideMark/>
          </w:tcPr>
          <w:p w:rsidRPr="007938ED" w:rsidR="00D31E46" w:rsidP="00D31E46" w:rsidRDefault="00D31E46" w14:paraId="640B8848" w14:textId="77777777">
            <w:pPr>
              <w:rPr>
                <w:rFonts w:asciiTheme="majorHAnsi" w:hAnsiTheme="majorHAnsi"/>
                <w:sz w:val="18"/>
                <w:szCs w:val="12"/>
              </w:rPr>
            </w:pPr>
            <w:r w:rsidRPr="007938ED">
              <w:rPr>
                <w:rFonts w:asciiTheme="majorHAnsi" w:hAnsiTheme="majorHAnsi"/>
                <w:sz w:val="18"/>
                <w:szCs w:val="12"/>
              </w:rPr>
              <w:t>226</w:t>
            </w:r>
          </w:p>
        </w:tc>
        <w:tc>
          <w:tcPr>
            <w:tcW w:w="0" w:type="auto"/>
            <w:hideMark/>
          </w:tcPr>
          <w:p w:rsidRPr="007938ED" w:rsidR="00D31E46" w:rsidRDefault="00D31E46" w14:paraId="29780DF2"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7DBBC3F1" w14:textId="77777777">
            <w:pPr>
              <w:rPr>
                <w:rFonts w:asciiTheme="majorHAnsi" w:hAnsiTheme="majorHAnsi"/>
                <w:sz w:val="18"/>
                <w:szCs w:val="12"/>
              </w:rPr>
            </w:pPr>
            <w:r w:rsidRPr="007938ED">
              <w:rPr>
                <w:rFonts w:asciiTheme="majorHAnsi" w:hAnsiTheme="majorHAnsi"/>
                <w:sz w:val="18"/>
                <w:szCs w:val="12"/>
              </w:rPr>
              <w:t>First year annual kWh net</w:t>
            </w:r>
          </w:p>
        </w:tc>
        <w:tc>
          <w:tcPr>
            <w:tcW w:w="0" w:type="auto"/>
            <w:hideMark/>
          </w:tcPr>
          <w:p w:rsidRPr="007938ED" w:rsidR="00D31E46" w:rsidRDefault="00D31E46" w14:paraId="2758FC3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BD1D4E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BE27258"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949898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52E385E"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2EFC8A4D" w14:textId="77777777">
        <w:trPr>
          <w:trHeight w:val="1200"/>
        </w:trPr>
        <w:tc>
          <w:tcPr>
            <w:tcW w:w="0" w:type="auto"/>
            <w:noWrap/>
            <w:hideMark/>
          </w:tcPr>
          <w:p w:rsidRPr="007938ED" w:rsidR="00D31E46" w:rsidP="00D31E46" w:rsidRDefault="00D31E46" w14:paraId="1B261173" w14:textId="77777777">
            <w:pPr>
              <w:rPr>
                <w:rFonts w:asciiTheme="majorHAnsi" w:hAnsiTheme="majorHAnsi"/>
                <w:sz w:val="18"/>
                <w:szCs w:val="12"/>
              </w:rPr>
            </w:pPr>
            <w:r w:rsidRPr="007938ED">
              <w:rPr>
                <w:rFonts w:asciiTheme="majorHAnsi" w:hAnsiTheme="majorHAnsi"/>
                <w:sz w:val="18"/>
                <w:szCs w:val="12"/>
              </w:rPr>
              <w:t>227</w:t>
            </w:r>
          </w:p>
        </w:tc>
        <w:tc>
          <w:tcPr>
            <w:tcW w:w="0" w:type="auto"/>
            <w:hideMark/>
          </w:tcPr>
          <w:p w:rsidRPr="007938ED" w:rsidR="00D31E46" w:rsidRDefault="00D31E46" w14:paraId="1E781CB4"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00F1FA83" w14:textId="77777777">
            <w:pPr>
              <w:rPr>
                <w:rFonts w:asciiTheme="majorHAnsi" w:hAnsiTheme="majorHAnsi"/>
                <w:sz w:val="18"/>
                <w:szCs w:val="12"/>
              </w:rPr>
            </w:pPr>
            <w:r w:rsidRPr="007938ED">
              <w:rPr>
                <w:rFonts w:asciiTheme="majorHAnsi" w:hAnsiTheme="majorHAnsi"/>
                <w:sz w:val="18"/>
                <w:szCs w:val="12"/>
              </w:rPr>
              <w:t>First year annual Therm gross</w:t>
            </w:r>
          </w:p>
        </w:tc>
        <w:tc>
          <w:tcPr>
            <w:tcW w:w="0" w:type="auto"/>
            <w:hideMark/>
          </w:tcPr>
          <w:p w:rsidRPr="007938ED" w:rsidR="00D31E46" w:rsidRDefault="00D31E46" w14:paraId="5E24344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DF5721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C269E71"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09936D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0D964CC"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13957C9D" w14:textId="77777777">
        <w:trPr>
          <w:trHeight w:val="1200"/>
        </w:trPr>
        <w:tc>
          <w:tcPr>
            <w:tcW w:w="0" w:type="auto"/>
            <w:noWrap/>
            <w:hideMark/>
          </w:tcPr>
          <w:p w:rsidRPr="007938ED" w:rsidR="00D31E46" w:rsidP="00D31E46" w:rsidRDefault="00D31E46" w14:paraId="29527B8D" w14:textId="77777777">
            <w:pPr>
              <w:rPr>
                <w:rFonts w:asciiTheme="majorHAnsi" w:hAnsiTheme="majorHAnsi"/>
                <w:sz w:val="18"/>
                <w:szCs w:val="12"/>
              </w:rPr>
            </w:pPr>
            <w:r w:rsidRPr="007938ED">
              <w:rPr>
                <w:rFonts w:asciiTheme="majorHAnsi" w:hAnsiTheme="majorHAnsi"/>
                <w:sz w:val="18"/>
                <w:szCs w:val="12"/>
              </w:rPr>
              <w:t>228</w:t>
            </w:r>
          </w:p>
        </w:tc>
        <w:tc>
          <w:tcPr>
            <w:tcW w:w="0" w:type="auto"/>
            <w:hideMark/>
          </w:tcPr>
          <w:p w:rsidRPr="007938ED" w:rsidR="00D31E46" w:rsidRDefault="00D31E46" w14:paraId="5C5A8B74"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18A4BE51" w14:textId="77777777">
            <w:pPr>
              <w:rPr>
                <w:rFonts w:asciiTheme="majorHAnsi" w:hAnsiTheme="majorHAnsi"/>
                <w:sz w:val="18"/>
                <w:szCs w:val="12"/>
              </w:rPr>
            </w:pPr>
            <w:r w:rsidRPr="007938ED">
              <w:rPr>
                <w:rFonts w:asciiTheme="majorHAnsi" w:hAnsiTheme="majorHAnsi"/>
                <w:sz w:val="18"/>
                <w:szCs w:val="12"/>
              </w:rPr>
              <w:t>First year annual Therm net</w:t>
            </w:r>
          </w:p>
        </w:tc>
        <w:tc>
          <w:tcPr>
            <w:tcW w:w="0" w:type="auto"/>
            <w:hideMark/>
          </w:tcPr>
          <w:p w:rsidRPr="007938ED" w:rsidR="00D31E46" w:rsidRDefault="00D31E46" w14:paraId="0325EB1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0B7A32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FFAB694"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03B517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EB01154"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74D0D517" w14:textId="77777777">
        <w:trPr>
          <w:trHeight w:val="1200"/>
        </w:trPr>
        <w:tc>
          <w:tcPr>
            <w:tcW w:w="0" w:type="auto"/>
            <w:noWrap/>
            <w:hideMark/>
          </w:tcPr>
          <w:p w:rsidRPr="007938ED" w:rsidR="00D31E46" w:rsidP="00D31E46" w:rsidRDefault="00D31E46" w14:paraId="68DA563E" w14:textId="77777777">
            <w:pPr>
              <w:rPr>
                <w:rFonts w:asciiTheme="majorHAnsi" w:hAnsiTheme="majorHAnsi"/>
                <w:sz w:val="18"/>
                <w:szCs w:val="12"/>
              </w:rPr>
            </w:pPr>
            <w:r w:rsidRPr="007938ED">
              <w:rPr>
                <w:rFonts w:asciiTheme="majorHAnsi" w:hAnsiTheme="majorHAnsi"/>
                <w:sz w:val="18"/>
                <w:szCs w:val="12"/>
              </w:rPr>
              <w:t>229</w:t>
            </w:r>
          </w:p>
        </w:tc>
        <w:tc>
          <w:tcPr>
            <w:tcW w:w="0" w:type="auto"/>
            <w:hideMark/>
          </w:tcPr>
          <w:p w:rsidRPr="007938ED" w:rsidR="00D31E46" w:rsidRDefault="00D31E46" w14:paraId="1B2B861B"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6FC47DC4" w14:textId="77777777">
            <w:pPr>
              <w:rPr>
                <w:rFonts w:asciiTheme="majorHAnsi" w:hAnsiTheme="majorHAnsi"/>
                <w:sz w:val="18"/>
                <w:szCs w:val="12"/>
              </w:rPr>
            </w:pPr>
            <w:r w:rsidRPr="007938ED">
              <w:rPr>
                <w:rFonts w:asciiTheme="majorHAnsi" w:hAnsiTheme="majorHAnsi"/>
                <w:sz w:val="18"/>
                <w:szCs w:val="12"/>
              </w:rPr>
              <w:t>Lifecycle ex-ante kW gross</w:t>
            </w:r>
          </w:p>
        </w:tc>
        <w:tc>
          <w:tcPr>
            <w:tcW w:w="0" w:type="auto"/>
            <w:hideMark/>
          </w:tcPr>
          <w:p w:rsidRPr="007938ED" w:rsidR="00D31E46" w:rsidRDefault="00D31E46" w14:paraId="6019BEB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6B74049"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F2A126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C0FCF4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58EDD69"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431EC0D1" w14:textId="77777777">
        <w:trPr>
          <w:trHeight w:val="1200"/>
        </w:trPr>
        <w:tc>
          <w:tcPr>
            <w:tcW w:w="0" w:type="auto"/>
            <w:noWrap/>
            <w:hideMark/>
          </w:tcPr>
          <w:p w:rsidRPr="007938ED" w:rsidR="00D31E46" w:rsidP="00D31E46" w:rsidRDefault="00D31E46" w14:paraId="0A8BCC4B" w14:textId="77777777">
            <w:pPr>
              <w:rPr>
                <w:rFonts w:asciiTheme="majorHAnsi" w:hAnsiTheme="majorHAnsi"/>
                <w:sz w:val="18"/>
                <w:szCs w:val="12"/>
              </w:rPr>
            </w:pPr>
            <w:r w:rsidRPr="007938ED">
              <w:rPr>
                <w:rFonts w:asciiTheme="majorHAnsi" w:hAnsiTheme="majorHAnsi"/>
                <w:sz w:val="18"/>
                <w:szCs w:val="12"/>
              </w:rPr>
              <w:t>230</w:t>
            </w:r>
          </w:p>
        </w:tc>
        <w:tc>
          <w:tcPr>
            <w:tcW w:w="0" w:type="auto"/>
            <w:hideMark/>
          </w:tcPr>
          <w:p w:rsidRPr="007938ED" w:rsidR="00D31E46" w:rsidRDefault="00D31E46" w14:paraId="30291351"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32D6DB80" w14:textId="77777777">
            <w:pPr>
              <w:rPr>
                <w:rFonts w:asciiTheme="majorHAnsi" w:hAnsiTheme="majorHAnsi"/>
                <w:sz w:val="18"/>
                <w:szCs w:val="12"/>
              </w:rPr>
            </w:pPr>
            <w:r w:rsidRPr="007938ED">
              <w:rPr>
                <w:rFonts w:asciiTheme="majorHAnsi" w:hAnsiTheme="majorHAnsi"/>
                <w:sz w:val="18"/>
                <w:szCs w:val="12"/>
              </w:rPr>
              <w:t>Lifecycle ex-ante kW net</w:t>
            </w:r>
          </w:p>
        </w:tc>
        <w:tc>
          <w:tcPr>
            <w:tcW w:w="0" w:type="auto"/>
            <w:hideMark/>
          </w:tcPr>
          <w:p w:rsidRPr="007938ED" w:rsidR="00D31E46" w:rsidRDefault="00D31E46" w14:paraId="77AF858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3A1950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8E0293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A99980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16AA3E8"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36EAA841" w14:textId="77777777">
        <w:trPr>
          <w:trHeight w:val="1200"/>
        </w:trPr>
        <w:tc>
          <w:tcPr>
            <w:tcW w:w="0" w:type="auto"/>
            <w:noWrap/>
            <w:hideMark/>
          </w:tcPr>
          <w:p w:rsidRPr="007938ED" w:rsidR="00D31E46" w:rsidP="00D31E46" w:rsidRDefault="00D31E46" w14:paraId="0DD7DAFC" w14:textId="77777777">
            <w:pPr>
              <w:rPr>
                <w:rFonts w:asciiTheme="majorHAnsi" w:hAnsiTheme="majorHAnsi"/>
                <w:sz w:val="18"/>
                <w:szCs w:val="12"/>
              </w:rPr>
            </w:pPr>
            <w:r w:rsidRPr="007938ED">
              <w:rPr>
                <w:rFonts w:asciiTheme="majorHAnsi" w:hAnsiTheme="majorHAnsi"/>
                <w:sz w:val="18"/>
                <w:szCs w:val="12"/>
              </w:rPr>
              <w:lastRenderedPageBreak/>
              <w:t>231</w:t>
            </w:r>
          </w:p>
        </w:tc>
        <w:tc>
          <w:tcPr>
            <w:tcW w:w="0" w:type="auto"/>
            <w:hideMark/>
          </w:tcPr>
          <w:p w:rsidRPr="007938ED" w:rsidR="00D31E46" w:rsidRDefault="00D31E46" w14:paraId="2CF8ACD8"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5B0BB641" w14:textId="77777777">
            <w:pPr>
              <w:rPr>
                <w:rFonts w:asciiTheme="majorHAnsi" w:hAnsiTheme="majorHAnsi"/>
                <w:sz w:val="18"/>
                <w:szCs w:val="12"/>
              </w:rPr>
            </w:pPr>
            <w:r w:rsidRPr="007938ED">
              <w:rPr>
                <w:rFonts w:asciiTheme="majorHAnsi" w:hAnsiTheme="majorHAnsi"/>
                <w:sz w:val="18"/>
                <w:szCs w:val="12"/>
              </w:rPr>
              <w:t>Lifecycle ex-ante kWh gross</w:t>
            </w:r>
          </w:p>
        </w:tc>
        <w:tc>
          <w:tcPr>
            <w:tcW w:w="0" w:type="auto"/>
            <w:hideMark/>
          </w:tcPr>
          <w:p w:rsidRPr="007938ED" w:rsidR="00D31E46" w:rsidRDefault="00D31E46" w14:paraId="6B5BC90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B3B330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9229E7D"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70270BA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4F71B9A"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6816B829" w14:textId="77777777">
        <w:trPr>
          <w:trHeight w:val="1200"/>
        </w:trPr>
        <w:tc>
          <w:tcPr>
            <w:tcW w:w="0" w:type="auto"/>
            <w:noWrap/>
            <w:hideMark/>
          </w:tcPr>
          <w:p w:rsidRPr="007938ED" w:rsidR="00D31E46" w:rsidP="00D31E46" w:rsidRDefault="00D31E46" w14:paraId="6345A020" w14:textId="77777777">
            <w:pPr>
              <w:rPr>
                <w:rFonts w:asciiTheme="majorHAnsi" w:hAnsiTheme="majorHAnsi"/>
                <w:sz w:val="18"/>
                <w:szCs w:val="12"/>
              </w:rPr>
            </w:pPr>
            <w:r w:rsidRPr="007938ED">
              <w:rPr>
                <w:rFonts w:asciiTheme="majorHAnsi" w:hAnsiTheme="majorHAnsi"/>
                <w:sz w:val="18"/>
                <w:szCs w:val="12"/>
              </w:rPr>
              <w:t>232</w:t>
            </w:r>
          </w:p>
        </w:tc>
        <w:tc>
          <w:tcPr>
            <w:tcW w:w="0" w:type="auto"/>
            <w:hideMark/>
          </w:tcPr>
          <w:p w:rsidRPr="007938ED" w:rsidR="00D31E46" w:rsidRDefault="00D31E46" w14:paraId="011CD5A7"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4A3D1BF8" w14:textId="77777777">
            <w:pPr>
              <w:rPr>
                <w:rFonts w:asciiTheme="majorHAnsi" w:hAnsiTheme="majorHAnsi"/>
                <w:sz w:val="18"/>
                <w:szCs w:val="12"/>
              </w:rPr>
            </w:pPr>
            <w:r w:rsidRPr="007938ED">
              <w:rPr>
                <w:rFonts w:asciiTheme="majorHAnsi" w:hAnsiTheme="majorHAnsi"/>
                <w:sz w:val="18"/>
                <w:szCs w:val="12"/>
              </w:rPr>
              <w:t>Lifecycle ex-ante kWh net</w:t>
            </w:r>
          </w:p>
        </w:tc>
        <w:tc>
          <w:tcPr>
            <w:tcW w:w="0" w:type="auto"/>
            <w:hideMark/>
          </w:tcPr>
          <w:p w:rsidRPr="007938ED" w:rsidR="00D31E46" w:rsidRDefault="00D31E46" w14:paraId="2566CAB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37AC62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811E9C4"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7241E53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5041140"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290E235A" w14:textId="77777777">
        <w:trPr>
          <w:trHeight w:val="1200"/>
        </w:trPr>
        <w:tc>
          <w:tcPr>
            <w:tcW w:w="0" w:type="auto"/>
            <w:noWrap/>
            <w:hideMark/>
          </w:tcPr>
          <w:p w:rsidRPr="007938ED" w:rsidR="00D31E46" w:rsidP="00D31E46" w:rsidRDefault="00D31E46" w14:paraId="4AA3FD06" w14:textId="77777777">
            <w:pPr>
              <w:rPr>
                <w:rFonts w:asciiTheme="majorHAnsi" w:hAnsiTheme="majorHAnsi"/>
                <w:sz w:val="18"/>
                <w:szCs w:val="12"/>
              </w:rPr>
            </w:pPr>
            <w:r w:rsidRPr="007938ED">
              <w:rPr>
                <w:rFonts w:asciiTheme="majorHAnsi" w:hAnsiTheme="majorHAnsi"/>
                <w:sz w:val="18"/>
                <w:szCs w:val="12"/>
              </w:rPr>
              <w:t>233</w:t>
            </w:r>
          </w:p>
        </w:tc>
        <w:tc>
          <w:tcPr>
            <w:tcW w:w="0" w:type="auto"/>
            <w:hideMark/>
          </w:tcPr>
          <w:p w:rsidRPr="007938ED" w:rsidR="00D31E46" w:rsidRDefault="00D31E46" w14:paraId="102E99E3"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66D2509C" w14:textId="77777777">
            <w:pPr>
              <w:rPr>
                <w:rFonts w:asciiTheme="majorHAnsi" w:hAnsiTheme="majorHAnsi"/>
                <w:sz w:val="18"/>
                <w:szCs w:val="12"/>
              </w:rPr>
            </w:pPr>
            <w:r w:rsidRPr="007938ED">
              <w:rPr>
                <w:rFonts w:asciiTheme="majorHAnsi" w:hAnsiTheme="majorHAnsi"/>
                <w:sz w:val="18"/>
                <w:szCs w:val="12"/>
              </w:rPr>
              <w:t>Lifecycle ex-ante Therm gross</w:t>
            </w:r>
          </w:p>
        </w:tc>
        <w:tc>
          <w:tcPr>
            <w:tcW w:w="0" w:type="auto"/>
            <w:hideMark/>
          </w:tcPr>
          <w:p w:rsidRPr="007938ED" w:rsidR="00D31E46" w:rsidRDefault="00D31E46" w14:paraId="2D6B64E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C0A27B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CA35E3D"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22634F8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6EEFA88"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6C15D4AE" w14:textId="77777777">
        <w:trPr>
          <w:trHeight w:val="1200"/>
        </w:trPr>
        <w:tc>
          <w:tcPr>
            <w:tcW w:w="0" w:type="auto"/>
            <w:noWrap/>
            <w:hideMark/>
          </w:tcPr>
          <w:p w:rsidRPr="007938ED" w:rsidR="00D31E46" w:rsidP="00D31E46" w:rsidRDefault="00D31E46" w14:paraId="1E6EF569" w14:textId="77777777">
            <w:pPr>
              <w:rPr>
                <w:rFonts w:asciiTheme="majorHAnsi" w:hAnsiTheme="majorHAnsi"/>
                <w:sz w:val="18"/>
                <w:szCs w:val="12"/>
              </w:rPr>
            </w:pPr>
            <w:r w:rsidRPr="007938ED">
              <w:rPr>
                <w:rFonts w:asciiTheme="majorHAnsi" w:hAnsiTheme="majorHAnsi"/>
                <w:sz w:val="18"/>
                <w:szCs w:val="12"/>
              </w:rPr>
              <w:t>234</w:t>
            </w:r>
          </w:p>
        </w:tc>
        <w:tc>
          <w:tcPr>
            <w:tcW w:w="0" w:type="auto"/>
            <w:hideMark/>
          </w:tcPr>
          <w:p w:rsidRPr="007938ED" w:rsidR="00D31E46" w:rsidRDefault="00D31E46" w14:paraId="21C97C16" w14:textId="77777777">
            <w:pPr>
              <w:rPr>
                <w:rFonts w:asciiTheme="majorHAnsi" w:hAnsiTheme="majorHAnsi"/>
                <w:sz w:val="18"/>
                <w:szCs w:val="12"/>
              </w:rPr>
            </w:pPr>
            <w:r w:rsidRPr="007938ED">
              <w:rPr>
                <w:rFonts w:asciiTheme="majorHAnsi" w:hAnsiTheme="majorHAnsi"/>
                <w:sz w:val="18"/>
                <w:szCs w:val="12"/>
              </w:rPr>
              <w:t>First year annualized and lifecycle ex‐ante (pre‐evaluation) gas, electric, and demand savings (gross and net) in industrial sector</w:t>
            </w:r>
          </w:p>
        </w:tc>
        <w:tc>
          <w:tcPr>
            <w:tcW w:w="0" w:type="auto"/>
            <w:hideMark/>
          </w:tcPr>
          <w:p w:rsidRPr="007938ED" w:rsidR="00D31E46" w:rsidRDefault="00D31E46" w14:paraId="49AA21A5" w14:textId="77777777">
            <w:pPr>
              <w:rPr>
                <w:rFonts w:asciiTheme="majorHAnsi" w:hAnsiTheme="majorHAnsi"/>
                <w:sz w:val="18"/>
                <w:szCs w:val="12"/>
              </w:rPr>
            </w:pPr>
            <w:r w:rsidRPr="007938ED">
              <w:rPr>
                <w:rFonts w:asciiTheme="majorHAnsi" w:hAnsiTheme="majorHAnsi"/>
                <w:sz w:val="18"/>
                <w:szCs w:val="12"/>
              </w:rPr>
              <w:t>Lifecycle ex-ante Therm net</w:t>
            </w:r>
          </w:p>
        </w:tc>
        <w:tc>
          <w:tcPr>
            <w:tcW w:w="0" w:type="auto"/>
            <w:hideMark/>
          </w:tcPr>
          <w:p w:rsidRPr="007938ED" w:rsidR="00D31E46" w:rsidRDefault="00D31E46" w14:paraId="1ED9A5F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EC195BB"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399F0F7"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43BDF8E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A020F67"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118B59B4" w14:textId="77777777">
        <w:trPr>
          <w:trHeight w:val="1200"/>
        </w:trPr>
        <w:tc>
          <w:tcPr>
            <w:tcW w:w="0" w:type="auto"/>
            <w:noWrap/>
            <w:hideMark/>
          </w:tcPr>
          <w:p w:rsidRPr="007938ED" w:rsidR="00D31E46" w:rsidP="00D31E46" w:rsidRDefault="00D31E46" w14:paraId="1C8D177E" w14:textId="77777777">
            <w:pPr>
              <w:rPr>
                <w:rFonts w:asciiTheme="majorHAnsi" w:hAnsiTheme="majorHAnsi"/>
                <w:sz w:val="18"/>
                <w:szCs w:val="12"/>
              </w:rPr>
            </w:pPr>
            <w:r w:rsidRPr="007938ED">
              <w:rPr>
                <w:rFonts w:asciiTheme="majorHAnsi" w:hAnsiTheme="majorHAnsi"/>
                <w:sz w:val="18"/>
                <w:szCs w:val="12"/>
              </w:rPr>
              <w:t>235</w:t>
            </w:r>
          </w:p>
        </w:tc>
        <w:tc>
          <w:tcPr>
            <w:tcW w:w="0" w:type="auto"/>
            <w:hideMark/>
          </w:tcPr>
          <w:p w:rsidRPr="007938ED" w:rsidR="00D31E46" w:rsidRDefault="00D31E46" w14:paraId="6BCAEF0C" w14:textId="77777777">
            <w:pPr>
              <w:rPr>
                <w:rFonts w:asciiTheme="majorHAnsi" w:hAnsiTheme="majorHAnsi"/>
                <w:sz w:val="18"/>
                <w:szCs w:val="12"/>
              </w:rPr>
            </w:pPr>
            <w:r w:rsidRPr="007938ED">
              <w:rPr>
                <w:rFonts w:asciiTheme="majorHAnsi" w:hAnsiTheme="majorHAnsi"/>
                <w:sz w:val="18"/>
                <w:szCs w:val="12"/>
              </w:rPr>
              <w:t>Greenhouse gasses (MT CO2eq) Net kWh savings, reported on an annual basis</w:t>
            </w:r>
          </w:p>
        </w:tc>
        <w:tc>
          <w:tcPr>
            <w:tcW w:w="0" w:type="auto"/>
            <w:hideMark/>
          </w:tcPr>
          <w:p w:rsidRPr="007938ED" w:rsidR="00D31E46" w:rsidRDefault="00D31E46" w14:paraId="63419AFD" w14:textId="77777777">
            <w:pPr>
              <w:rPr>
                <w:rFonts w:asciiTheme="majorHAnsi" w:hAnsiTheme="majorHAnsi"/>
                <w:sz w:val="18"/>
                <w:szCs w:val="12"/>
              </w:rPr>
            </w:pPr>
            <w:r w:rsidRPr="007938ED">
              <w:rPr>
                <w:rFonts w:asciiTheme="majorHAnsi" w:hAnsiTheme="majorHAnsi"/>
                <w:sz w:val="18"/>
                <w:szCs w:val="12"/>
              </w:rPr>
              <w:t>CO2-equivalent of net annual kWh savings</w:t>
            </w:r>
          </w:p>
        </w:tc>
        <w:tc>
          <w:tcPr>
            <w:tcW w:w="0" w:type="auto"/>
            <w:hideMark/>
          </w:tcPr>
          <w:p w:rsidRPr="007938ED" w:rsidR="00D31E46" w:rsidRDefault="00D31E46" w14:paraId="66E3D10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CD6A959" w14:textId="77777777">
            <w:pPr>
              <w:rPr>
                <w:rFonts w:asciiTheme="majorHAnsi" w:hAnsiTheme="majorHAnsi"/>
                <w:sz w:val="18"/>
                <w:szCs w:val="12"/>
              </w:rPr>
            </w:pPr>
            <w:r w:rsidRPr="007938ED">
              <w:rPr>
                <w:rFonts w:asciiTheme="majorHAnsi" w:hAnsiTheme="majorHAnsi"/>
                <w:sz w:val="18"/>
                <w:szCs w:val="12"/>
              </w:rPr>
              <w:t>GHG</w:t>
            </w:r>
          </w:p>
        </w:tc>
        <w:tc>
          <w:tcPr>
            <w:tcW w:w="0" w:type="auto"/>
            <w:hideMark/>
          </w:tcPr>
          <w:p w:rsidRPr="007938ED" w:rsidR="00D31E46" w:rsidP="00D31E46" w:rsidRDefault="00D31E46" w14:paraId="622B90D3"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3C5FD22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30E2AC3" w14:textId="77777777">
            <w:pPr>
              <w:rPr>
                <w:rFonts w:asciiTheme="majorHAnsi" w:hAnsiTheme="majorHAnsi"/>
                <w:sz w:val="18"/>
                <w:szCs w:val="12"/>
              </w:rPr>
            </w:pPr>
            <w:r w:rsidRPr="007938ED">
              <w:rPr>
                <w:rFonts w:asciiTheme="majorHAnsi" w:hAnsiTheme="majorHAnsi"/>
                <w:sz w:val="18"/>
                <w:szCs w:val="12"/>
              </w:rPr>
              <w:t>MT CO2eq</w:t>
            </w:r>
          </w:p>
        </w:tc>
      </w:tr>
      <w:tr w:rsidRPr="007938ED" w:rsidR="00CE6F7B" w:rsidTr="007938ED" w14:paraId="433AD1B1" w14:textId="77777777">
        <w:trPr>
          <w:trHeight w:val="1200"/>
        </w:trPr>
        <w:tc>
          <w:tcPr>
            <w:tcW w:w="0" w:type="auto"/>
            <w:noWrap/>
            <w:hideMark/>
          </w:tcPr>
          <w:p w:rsidRPr="007938ED" w:rsidR="00D31E46" w:rsidP="00D31E46" w:rsidRDefault="00D31E46" w14:paraId="29FD0038" w14:textId="77777777">
            <w:pPr>
              <w:rPr>
                <w:rFonts w:asciiTheme="majorHAnsi" w:hAnsiTheme="majorHAnsi"/>
                <w:sz w:val="18"/>
                <w:szCs w:val="12"/>
              </w:rPr>
            </w:pPr>
            <w:r w:rsidRPr="007938ED">
              <w:rPr>
                <w:rFonts w:asciiTheme="majorHAnsi" w:hAnsiTheme="majorHAnsi"/>
                <w:sz w:val="18"/>
                <w:szCs w:val="12"/>
              </w:rPr>
              <w:t>236</w:t>
            </w:r>
          </w:p>
        </w:tc>
        <w:tc>
          <w:tcPr>
            <w:tcW w:w="0" w:type="auto"/>
            <w:hideMark/>
          </w:tcPr>
          <w:p w:rsidRPr="007938ED" w:rsidR="00D31E46" w:rsidRDefault="00D31E46" w14:paraId="69FE362A"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medium and large customers</w:t>
            </w:r>
          </w:p>
        </w:tc>
        <w:tc>
          <w:tcPr>
            <w:tcW w:w="0" w:type="auto"/>
            <w:hideMark/>
          </w:tcPr>
          <w:p w:rsidRPr="007938ED" w:rsidR="00D31E46" w:rsidRDefault="00D31E46" w14:paraId="5870D095"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large customers</w:t>
            </w:r>
          </w:p>
        </w:tc>
        <w:tc>
          <w:tcPr>
            <w:tcW w:w="0" w:type="auto"/>
            <w:hideMark/>
          </w:tcPr>
          <w:p w:rsidRPr="007938ED" w:rsidR="00D31E46" w:rsidRDefault="00D31E46" w14:paraId="7AFED07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C90A4D3"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740FF7A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39CF36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7326433"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32F4EF34" w14:textId="77777777">
        <w:trPr>
          <w:trHeight w:val="1200"/>
        </w:trPr>
        <w:tc>
          <w:tcPr>
            <w:tcW w:w="0" w:type="auto"/>
            <w:noWrap/>
            <w:hideMark/>
          </w:tcPr>
          <w:p w:rsidRPr="007938ED" w:rsidR="00D31E46" w:rsidP="00D31E46" w:rsidRDefault="00D31E46" w14:paraId="428B52FC" w14:textId="77777777">
            <w:pPr>
              <w:rPr>
                <w:rFonts w:asciiTheme="majorHAnsi" w:hAnsiTheme="majorHAnsi"/>
                <w:sz w:val="18"/>
                <w:szCs w:val="12"/>
              </w:rPr>
            </w:pPr>
            <w:r w:rsidRPr="007938ED">
              <w:rPr>
                <w:rFonts w:asciiTheme="majorHAnsi" w:hAnsiTheme="majorHAnsi"/>
                <w:sz w:val="18"/>
                <w:szCs w:val="12"/>
              </w:rPr>
              <w:lastRenderedPageBreak/>
              <w:t>237</w:t>
            </w:r>
          </w:p>
        </w:tc>
        <w:tc>
          <w:tcPr>
            <w:tcW w:w="0" w:type="auto"/>
            <w:hideMark/>
          </w:tcPr>
          <w:p w:rsidRPr="007938ED" w:rsidR="00D31E46" w:rsidRDefault="00D31E46" w14:paraId="75FB65A9"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medium and large customers</w:t>
            </w:r>
          </w:p>
        </w:tc>
        <w:tc>
          <w:tcPr>
            <w:tcW w:w="0" w:type="auto"/>
            <w:hideMark/>
          </w:tcPr>
          <w:p w:rsidRPr="007938ED" w:rsidR="00D31E46" w:rsidRDefault="00D31E46" w14:paraId="4877F59C"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medium customers</w:t>
            </w:r>
          </w:p>
        </w:tc>
        <w:tc>
          <w:tcPr>
            <w:tcW w:w="0" w:type="auto"/>
            <w:hideMark/>
          </w:tcPr>
          <w:p w:rsidRPr="007938ED" w:rsidR="00D31E46" w:rsidRDefault="00D31E46" w14:paraId="3D164D3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B9C43BE"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54DF9BED"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16DAD0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79324BC"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5919335B" w14:textId="77777777">
        <w:trPr>
          <w:trHeight w:val="1200"/>
        </w:trPr>
        <w:tc>
          <w:tcPr>
            <w:tcW w:w="0" w:type="auto"/>
            <w:noWrap/>
            <w:hideMark/>
          </w:tcPr>
          <w:p w:rsidRPr="007938ED" w:rsidR="00D31E46" w:rsidP="00D31E46" w:rsidRDefault="00D31E46" w14:paraId="79896C7D" w14:textId="77777777">
            <w:pPr>
              <w:rPr>
                <w:rFonts w:asciiTheme="majorHAnsi" w:hAnsiTheme="majorHAnsi"/>
                <w:sz w:val="18"/>
                <w:szCs w:val="12"/>
              </w:rPr>
            </w:pPr>
            <w:r w:rsidRPr="007938ED">
              <w:rPr>
                <w:rFonts w:asciiTheme="majorHAnsi" w:hAnsiTheme="majorHAnsi"/>
                <w:sz w:val="18"/>
                <w:szCs w:val="12"/>
              </w:rPr>
              <w:t>238</w:t>
            </w:r>
          </w:p>
        </w:tc>
        <w:tc>
          <w:tcPr>
            <w:tcW w:w="0" w:type="auto"/>
            <w:hideMark/>
          </w:tcPr>
          <w:p w:rsidRPr="007938ED" w:rsidR="00D31E46" w:rsidRDefault="00D31E46" w14:paraId="2813E602"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medium and large customers</w:t>
            </w:r>
          </w:p>
        </w:tc>
        <w:tc>
          <w:tcPr>
            <w:tcW w:w="0" w:type="auto"/>
            <w:hideMark/>
          </w:tcPr>
          <w:p w:rsidRPr="007938ED" w:rsidR="00D31E46" w:rsidRDefault="00D31E46" w14:paraId="1E6B921A"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customers</w:t>
            </w:r>
          </w:p>
        </w:tc>
        <w:tc>
          <w:tcPr>
            <w:tcW w:w="0" w:type="auto"/>
            <w:hideMark/>
          </w:tcPr>
          <w:p w:rsidRPr="007938ED" w:rsidR="00D31E46" w:rsidRDefault="00D31E46" w14:paraId="1FD0ABD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35D1A05"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45BBED2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586125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37A6249"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F666498" w14:textId="77777777">
        <w:trPr>
          <w:trHeight w:val="1200"/>
        </w:trPr>
        <w:tc>
          <w:tcPr>
            <w:tcW w:w="0" w:type="auto"/>
            <w:noWrap/>
            <w:hideMark/>
          </w:tcPr>
          <w:p w:rsidRPr="007938ED" w:rsidR="00D31E46" w:rsidP="00D31E46" w:rsidRDefault="00D31E46" w14:paraId="36D403AC" w14:textId="77777777">
            <w:pPr>
              <w:rPr>
                <w:rFonts w:asciiTheme="majorHAnsi" w:hAnsiTheme="majorHAnsi"/>
                <w:sz w:val="18"/>
                <w:szCs w:val="12"/>
              </w:rPr>
            </w:pPr>
            <w:r w:rsidRPr="007938ED">
              <w:rPr>
                <w:rFonts w:asciiTheme="majorHAnsi" w:hAnsiTheme="majorHAnsi"/>
                <w:sz w:val="18"/>
                <w:szCs w:val="12"/>
              </w:rPr>
              <w:t>239</w:t>
            </w:r>
          </w:p>
        </w:tc>
        <w:tc>
          <w:tcPr>
            <w:tcW w:w="0" w:type="auto"/>
            <w:hideMark/>
          </w:tcPr>
          <w:p w:rsidRPr="007938ED" w:rsidR="00D31E46" w:rsidRDefault="00D31E46" w14:paraId="7E9DC09C" w14:textId="77777777">
            <w:pPr>
              <w:rPr>
                <w:rFonts w:asciiTheme="majorHAnsi" w:hAnsiTheme="majorHAnsi"/>
                <w:sz w:val="18"/>
                <w:szCs w:val="12"/>
              </w:rPr>
            </w:pPr>
            <w:r w:rsidRPr="007938ED">
              <w:rPr>
                <w:rFonts w:asciiTheme="majorHAnsi" w:hAnsiTheme="majorHAnsi"/>
                <w:sz w:val="18"/>
                <w:szCs w:val="12"/>
              </w:rPr>
              <w:t>Percent of customers participating that have not received an incentive for the past three years, annually, by small, medium and large customer categories</w:t>
            </w:r>
          </w:p>
        </w:tc>
        <w:tc>
          <w:tcPr>
            <w:tcW w:w="0" w:type="auto"/>
            <w:hideMark/>
          </w:tcPr>
          <w:p w:rsidRPr="007938ED" w:rsidR="00D31E46" w:rsidRDefault="00D31E46" w14:paraId="04F32CCB" w14:textId="77777777">
            <w:pPr>
              <w:rPr>
                <w:rFonts w:asciiTheme="majorHAnsi" w:hAnsiTheme="majorHAnsi"/>
                <w:sz w:val="18"/>
                <w:szCs w:val="12"/>
              </w:rPr>
            </w:pPr>
            <w:r w:rsidRPr="007938ED">
              <w:rPr>
                <w:rFonts w:asciiTheme="majorHAnsi" w:hAnsiTheme="majorHAnsi"/>
                <w:sz w:val="18"/>
                <w:szCs w:val="12"/>
              </w:rPr>
              <w:t>Percent of large customers participating in reporting year that have not received an incentive for the past three years</w:t>
            </w:r>
          </w:p>
        </w:tc>
        <w:tc>
          <w:tcPr>
            <w:tcW w:w="0" w:type="auto"/>
            <w:hideMark/>
          </w:tcPr>
          <w:p w:rsidRPr="007938ED" w:rsidR="00D31E46" w:rsidRDefault="00D31E46" w14:paraId="000A0EA3"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CE0411C" w14:textId="77777777">
            <w:pPr>
              <w:rPr>
                <w:rFonts w:asciiTheme="majorHAnsi" w:hAnsiTheme="majorHAnsi"/>
                <w:sz w:val="18"/>
                <w:szCs w:val="12"/>
              </w:rPr>
            </w:pPr>
            <w:r w:rsidRPr="007938ED">
              <w:rPr>
                <w:rFonts w:asciiTheme="majorHAnsi" w:hAnsiTheme="majorHAnsi"/>
                <w:sz w:val="18"/>
                <w:szCs w:val="12"/>
              </w:rPr>
              <w:t>New participation</w:t>
            </w:r>
          </w:p>
        </w:tc>
        <w:tc>
          <w:tcPr>
            <w:tcW w:w="0" w:type="auto"/>
            <w:hideMark/>
          </w:tcPr>
          <w:p w:rsidRPr="007938ED" w:rsidR="00D31E46" w:rsidP="00D31E46" w:rsidRDefault="00D31E46" w14:paraId="622E83F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D8AB74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DA649B4"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513A8C21" w14:textId="77777777">
        <w:trPr>
          <w:trHeight w:val="1200"/>
        </w:trPr>
        <w:tc>
          <w:tcPr>
            <w:tcW w:w="0" w:type="auto"/>
            <w:noWrap/>
            <w:hideMark/>
          </w:tcPr>
          <w:p w:rsidRPr="007938ED" w:rsidR="00D31E46" w:rsidP="00D31E46" w:rsidRDefault="00D31E46" w14:paraId="062DEBC5" w14:textId="77777777">
            <w:pPr>
              <w:rPr>
                <w:rFonts w:asciiTheme="majorHAnsi" w:hAnsiTheme="majorHAnsi"/>
                <w:sz w:val="18"/>
                <w:szCs w:val="12"/>
              </w:rPr>
            </w:pPr>
            <w:r w:rsidRPr="007938ED">
              <w:rPr>
                <w:rFonts w:asciiTheme="majorHAnsi" w:hAnsiTheme="majorHAnsi"/>
                <w:sz w:val="18"/>
                <w:szCs w:val="12"/>
              </w:rPr>
              <w:t>240</w:t>
            </w:r>
          </w:p>
        </w:tc>
        <w:tc>
          <w:tcPr>
            <w:tcW w:w="0" w:type="auto"/>
            <w:hideMark/>
          </w:tcPr>
          <w:p w:rsidRPr="007938ED" w:rsidR="00D31E46" w:rsidRDefault="00D31E46" w14:paraId="2ABAA229" w14:textId="77777777">
            <w:pPr>
              <w:rPr>
                <w:rFonts w:asciiTheme="majorHAnsi" w:hAnsiTheme="majorHAnsi"/>
                <w:sz w:val="18"/>
                <w:szCs w:val="12"/>
              </w:rPr>
            </w:pPr>
            <w:r w:rsidRPr="007938ED">
              <w:rPr>
                <w:rFonts w:asciiTheme="majorHAnsi" w:hAnsiTheme="majorHAnsi"/>
                <w:sz w:val="18"/>
                <w:szCs w:val="12"/>
              </w:rPr>
              <w:t>Percent of customers participating that have not received an incentive for the past three years, annually, by small, medium and large customer categories</w:t>
            </w:r>
          </w:p>
        </w:tc>
        <w:tc>
          <w:tcPr>
            <w:tcW w:w="0" w:type="auto"/>
            <w:hideMark/>
          </w:tcPr>
          <w:p w:rsidRPr="007938ED" w:rsidR="00D31E46" w:rsidRDefault="00D31E46" w14:paraId="54EBBE35" w14:textId="77777777">
            <w:pPr>
              <w:rPr>
                <w:rFonts w:asciiTheme="majorHAnsi" w:hAnsiTheme="majorHAnsi"/>
                <w:sz w:val="18"/>
                <w:szCs w:val="12"/>
              </w:rPr>
            </w:pPr>
            <w:r w:rsidRPr="007938ED">
              <w:rPr>
                <w:rFonts w:asciiTheme="majorHAnsi" w:hAnsiTheme="majorHAnsi"/>
                <w:sz w:val="18"/>
                <w:szCs w:val="12"/>
              </w:rPr>
              <w:t>Percent of medium customers participating in reporting year that have not received an incentive for the past three years</w:t>
            </w:r>
          </w:p>
        </w:tc>
        <w:tc>
          <w:tcPr>
            <w:tcW w:w="0" w:type="auto"/>
            <w:hideMark/>
          </w:tcPr>
          <w:p w:rsidRPr="007938ED" w:rsidR="00D31E46" w:rsidRDefault="00D31E46" w14:paraId="72ECE3BF"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04EA1731" w14:textId="77777777">
            <w:pPr>
              <w:rPr>
                <w:rFonts w:asciiTheme="majorHAnsi" w:hAnsiTheme="majorHAnsi"/>
                <w:sz w:val="18"/>
                <w:szCs w:val="12"/>
              </w:rPr>
            </w:pPr>
            <w:r w:rsidRPr="007938ED">
              <w:rPr>
                <w:rFonts w:asciiTheme="majorHAnsi" w:hAnsiTheme="majorHAnsi"/>
                <w:sz w:val="18"/>
                <w:szCs w:val="12"/>
              </w:rPr>
              <w:t>New participation</w:t>
            </w:r>
          </w:p>
        </w:tc>
        <w:tc>
          <w:tcPr>
            <w:tcW w:w="0" w:type="auto"/>
            <w:hideMark/>
          </w:tcPr>
          <w:p w:rsidRPr="007938ED" w:rsidR="00D31E46" w:rsidP="00D31E46" w:rsidRDefault="00D31E46" w14:paraId="23886F92"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42CF36E"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B839011"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01416E0" w14:textId="77777777">
        <w:trPr>
          <w:trHeight w:val="1200"/>
        </w:trPr>
        <w:tc>
          <w:tcPr>
            <w:tcW w:w="0" w:type="auto"/>
            <w:noWrap/>
            <w:hideMark/>
          </w:tcPr>
          <w:p w:rsidRPr="007938ED" w:rsidR="00D31E46" w:rsidP="00D31E46" w:rsidRDefault="00D31E46" w14:paraId="4E1EB16B" w14:textId="77777777">
            <w:pPr>
              <w:rPr>
                <w:rFonts w:asciiTheme="majorHAnsi" w:hAnsiTheme="majorHAnsi"/>
                <w:sz w:val="18"/>
                <w:szCs w:val="12"/>
              </w:rPr>
            </w:pPr>
            <w:r w:rsidRPr="007938ED">
              <w:rPr>
                <w:rFonts w:asciiTheme="majorHAnsi" w:hAnsiTheme="majorHAnsi"/>
                <w:sz w:val="18"/>
                <w:szCs w:val="12"/>
              </w:rPr>
              <w:t>241</w:t>
            </w:r>
          </w:p>
        </w:tc>
        <w:tc>
          <w:tcPr>
            <w:tcW w:w="0" w:type="auto"/>
            <w:hideMark/>
          </w:tcPr>
          <w:p w:rsidRPr="007938ED" w:rsidR="00D31E46" w:rsidRDefault="00D31E46" w14:paraId="0A893123" w14:textId="77777777">
            <w:pPr>
              <w:rPr>
                <w:rFonts w:asciiTheme="majorHAnsi" w:hAnsiTheme="majorHAnsi"/>
                <w:sz w:val="18"/>
                <w:szCs w:val="12"/>
              </w:rPr>
            </w:pPr>
            <w:r w:rsidRPr="007938ED">
              <w:rPr>
                <w:rFonts w:asciiTheme="majorHAnsi" w:hAnsiTheme="majorHAnsi"/>
                <w:sz w:val="18"/>
                <w:szCs w:val="12"/>
              </w:rPr>
              <w:t>Percent of customers participating that have not received an incentive for the past three years, annually, by small, medium and large customer categories</w:t>
            </w:r>
          </w:p>
        </w:tc>
        <w:tc>
          <w:tcPr>
            <w:tcW w:w="0" w:type="auto"/>
            <w:hideMark/>
          </w:tcPr>
          <w:p w:rsidRPr="007938ED" w:rsidR="00D31E46" w:rsidRDefault="00D31E46" w14:paraId="4C2EC855" w14:textId="77777777">
            <w:pPr>
              <w:rPr>
                <w:rFonts w:asciiTheme="majorHAnsi" w:hAnsiTheme="majorHAnsi"/>
                <w:sz w:val="18"/>
                <w:szCs w:val="12"/>
              </w:rPr>
            </w:pPr>
            <w:r w:rsidRPr="007938ED">
              <w:rPr>
                <w:rFonts w:asciiTheme="majorHAnsi" w:hAnsiTheme="majorHAnsi"/>
                <w:sz w:val="18"/>
                <w:szCs w:val="12"/>
              </w:rPr>
              <w:t>Percent of small customers participating in reporting year that have not received an incentive for the past three years</w:t>
            </w:r>
          </w:p>
        </w:tc>
        <w:tc>
          <w:tcPr>
            <w:tcW w:w="0" w:type="auto"/>
            <w:hideMark/>
          </w:tcPr>
          <w:p w:rsidRPr="007938ED" w:rsidR="00D31E46" w:rsidRDefault="00D31E46" w14:paraId="39C83CB2"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51CD4E02" w14:textId="77777777">
            <w:pPr>
              <w:rPr>
                <w:rFonts w:asciiTheme="majorHAnsi" w:hAnsiTheme="majorHAnsi"/>
                <w:sz w:val="18"/>
                <w:szCs w:val="12"/>
              </w:rPr>
            </w:pPr>
            <w:r w:rsidRPr="007938ED">
              <w:rPr>
                <w:rFonts w:asciiTheme="majorHAnsi" w:hAnsiTheme="majorHAnsi"/>
                <w:sz w:val="18"/>
                <w:szCs w:val="12"/>
              </w:rPr>
              <w:t>New participation</w:t>
            </w:r>
          </w:p>
        </w:tc>
        <w:tc>
          <w:tcPr>
            <w:tcW w:w="0" w:type="auto"/>
            <w:hideMark/>
          </w:tcPr>
          <w:p w:rsidRPr="007938ED" w:rsidR="00D31E46" w:rsidP="00D31E46" w:rsidRDefault="00D31E46" w14:paraId="4C36784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0B1BFB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E14D3F5"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17A667F7" w14:textId="77777777">
        <w:trPr>
          <w:trHeight w:val="1200"/>
        </w:trPr>
        <w:tc>
          <w:tcPr>
            <w:tcW w:w="0" w:type="auto"/>
            <w:noWrap/>
            <w:hideMark/>
          </w:tcPr>
          <w:p w:rsidRPr="007938ED" w:rsidR="00D31E46" w:rsidP="00D31E46" w:rsidRDefault="00D31E46" w14:paraId="3DBE640B" w14:textId="77777777">
            <w:pPr>
              <w:rPr>
                <w:rFonts w:asciiTheme="majorHAnsi" w:hAnsiTheme="majorHAnsi"/>
                <w:sz w:val="18"/>
                <w:szCs w:val="12"/>
              </w:rPr>
            </w:pPr>
            <w:r w:rsidRPr="007938ED">
              <w:rPr>
                <w:rFonts w:asciiTheme="majorHAnsi" w:hAnsiTheme="majorHAnsi"/>
                <w:sz w:val="18"/>
                <w:szCs w:val="12"/>
              </w:rPr>
              <w:lastRenderedPageBreak/>
              <w:t>242</w:t>
            </w:r>
          </w:p>
        </w:tc>
        <w:tc>
          <w:tcPr>
            <w:tcW w:w="0" w:type="auto"/>
            <w:hideMark/>
          </w:tcPr>
          <w:p w:rsidRPr="007938ED" w:rsidR="00D31E46" w:rsidRDefault="00D31E46" w14:paraId="4C10DD93"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3E11399A" w14:textId="77777777">
            <w:pPr>
              <w:rPr>
                <w:rFonts w:asciiTheme="majorHAnsi" w:hAnsiTheme="majorHAnsi"/>
                <w:sz w:val="18"/>
                <w:szCs w:val="12"/>
              </w:rPr>
            </w:pPr>
            <w:r w:rsidRPr="007938ED">
              <w:rPr>
                <w:rFonts w:asciiTheme="majorHAnsi" w:hAnsiTheme="majorHAnsi"/>
                <w:sz w:val="18"/>
                <w:szCs w:val="12"/>
              </w:rPr>
              <w:t>PAC Levelized Cost ($/kW)</w:t>
            </w:r>
          </w:p>
        </w:tc>
        <w:tc>
          <w:tcPr>
            <w:tcW w:w="0" w:type="auto"/>
            <w:hideMark/>
          </w:tcPr>
          <w:p w:rsidRPr="007938ED" w:rsidR="00D31E46" w:rsidRDefault="00D31E46" w14:paraId="35DBA3A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6234924"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52B9B86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9E333F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C4D2C39"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1CB58BF9" w14:textId="77777777">
        <w:trPr>
          <w:trHeight w:val="1200"/>
        </w:trPr>
        <w:tc>
          <w:tcPr>
            <w:tcW w:w="0" w:type="auto"/>
            <w:noWrap/>
            <w:hideMark/>
          </w:tcPr>
          <w:p w:rsidRPr="007938ED" w:rsidR="00D31E46" w:rsidP="00D31E46" w:rsidRDefault="00D31E46" w14:paraId="65EF3FBA" w14:textId="77777777">
            <w:pPr>
              <w:rPr>
                <w:rFonts w:asciiTheme="majorHAnsi" w:hAnsiTheme="majorHAnsi"/>
                <w:sz w:val="18"/>
                <w:szCs w:val="12"/>
              </w:rPr>
            </w:pPr>
            <w:r w:rsidRPr="007938ED">
              <w:rPr>
                <w:rFonts w:asciiTheme="majorHAnsi" w:hAnsiTheme="majorHAnsi"/>
                <w:sz w:val="18"/>
                <w:szCs w:val="12"/>
              </w:rPr>
              <w:t>243</w:t>
            </w:r>
          </w:p>
        </w:tc>
        <w:tc>
          <w:tcPr>
            <w:tcW w:w="0" w:type="auto"/>
            <w:hideMark/>
          </w:tcPr>
          <w:p w:rsidRPr="007938ED" w:rsidR="00D31E46" w:rsidRDefault="00D31E46" w14:paraId="266CA9F9"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31C18269" w14:textId="77777777">
            <w:pPr>
              <w:rPr>
                <w:rFonts w:asciiTheme="majorHAnsi" w:hAnsiTheme="majorHAnsi"/>
                <w:sz w:val="18"/>
                <w:szCs w:val="12"/>
              </w:rPr>
            </w:pPr>
            <w:r w:rsidRPr="007938ED">
              <w:rPr>
                <w:rFonts w:asciiTheme="majorHAnsi" w:hAnsiTheme="majorHAnsi"/>
                <w:sz w:val="18"/>
                <w:szCs w:val="12"/>
              </w:rPr>
              <w:t>PAC Levelized Cost ($/kWh)</w:t>
            </w:r>
          </w:p>
        </w:tc>
        <w:tc>
          <w:tcPr>
            <w:tcW w:w="0" w:type="auto"/>
            <w:hideMark/>
          </w:tcPr>
          <w:p w:rsidRPr="007938ED" w:rsidR="00D31E46" w:rsidRDefault="00D31E46" w14:paraId="67B4BE8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BFE065B"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7B46853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B712C4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FBC7A89"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24FE2082" w14:textId="77777777">
        <w:trPr>
          <w:trHeight w:val="1200"/>
        </w:trPr>
        <w:tc>
          <w:tcPr>
            <w:tcW w:w="0" w:type="auto"/>
            <w:noWrap/>
            <w:hideMark/>
          </w:tcPr>
          <w:p w:rsidRPr="007938ED" w:rsidR="00D31E46" w:rsidP="00D31E46" w:rsidRDefault="00D31E46" w14:paraId="7BC79DC1" w14:textId="77777777">
            <w:pPr>
              <w:rPr>
                <w:rFonts w:asciiTheme="majorHAnsi" w:hAnsiTheme="majorHAnsi"/>
                <w:sz w:val="18"/>
                <w:szCs w:val="12"/>
              </w:rPr>
            </w:pPr>
            <w:r w:rsidRPr="007938ED">
              <w:rPr>
                <w:rFonts w:asciiTheme="majorHAnsi" w:hAnsiTheme="majorHAnsi"/>
                <w:sz w:val="18"/>
                <w:szCs w:val="12"/>
              </w:rPr>
              <w:t>244</w:t>
            </w:r>
          </w:p>
        </w:tc>
        <w:tc>
          <w:tcPr>
            <w:tcW w:w="0" w:type="auto"/>
            <w:hideMark/>
          </w:tcPr>
          <w:p w:rsidRPr="007938ED" w:rsidR="00D31E46" w:rsidRDefault="00D31E46" w14:paraId="33FBEE33"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62EDE262" w14:textId="77777777">
            <w:pPr>
              <w:rPr>
                <w:rFonts w:asciiTheme="majorHAnsi" w:hAnsiTheme="majorHAnsi"/>
                <w:sz w:val="18"/>
                <w:szCs w:val="12"/>
              </w:rPr>
            </w:pPr>
            <w:r w:rsidRPr="007938ED">
              <w:rPr>
                <w:rFonts w:asciiTheme="majorHAnsi" w:hAnsiTheme="majorHAnsi"/>
                <w:sz w:val="18"/>
                <w:szCs w:val="12"/>
              </w:rPr>
              <w:t>PAC Levelized Cost ($/therm)</w:t>
            </w:r>
          </w:p>
        </w:tc>
        <w:tc>
          <w:tcPr>
            <w:tcW w:w="0" w:type="auto"/>
            <w:hideMark/>
          </w:tcPr>
          <w:p w:rsidRPr="007938ED" w:rsidR="00D31E46" w:rsidRDefault="00D31E46" w14:paraId="5B12AAD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6318AEB"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65AB40C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5E0B8E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9217E7B"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7D65F7F6" w14:textId="77777777">
        <w:trPr>
          <w:trHeight w:val="1200"/>
        </w:trPr>
        <w:tc>
          <w:tcPr>
            <w:tcW w:w="0" w:type="auto"/>
            <w:noWrap/>
            <w:hideMark/>
          </w:tcPr>
          <w:p w:rsidRPr="007938ED" w:rsidR="00D31E46" w:rsidP="00D31E46" w:rsidRDefault="00D31E46" w14:paraId="4431DD50" w14:textId="77777777">
            <w:pPr>
              <w:rPr>
                <w:rFonts w:asciiTheme="majorHAnsi" w:hAnsiTheme="majorHAnsi"/>
                <w:sz w:val="18"/>
                <w:szCs w:val="12"/>
              </w:rPr>
            </w:pPr>
            <w:r w:rsidRPr="007938ED">
              <w:rPr>
                <w:rFonts w:asciiTheme="majorHAnsi" w:hAnsiTheme="majorHAnsi"/>
                <w:sz w:val="18"/>
                <w:szCs w:val="12"/>
              </w:rPr>
              <w:t>245</w:t>
            </w:r>
          </w:p>
        </w:tc>
        <w:tc>
          <w:tcPr>
            <w:tcW w:w="0" w:type="auto"/>
            <w:hideMark/>
          </w:tcPr>
          <w:p w:rsidRPr="007938ED" w:rsidR="00D31E46" w:rsidRDefault="00D31E46" w14:paraId="480427D8"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627964E1" w14:textId="77777777">
            <w:pPr>
              <w:rPr>
                <w:rFonts w:asciiTheme="majorHAnsi" w:hAnsiTheme="majorHAnsi"/>
                <w:sz w:val="18"/>
                <w:szCs w:val="12"/>
              </w:rPr>
            </w:pPr>
            <w:r w:rsidRPr="007938ED">
              <w:rPr>
                <w:rFonts w:asciiTheme="majorHAnsi" w:hAnsiTheme="majorHAnsi"/>
                <w:sz w:val="18"/>
                <w:szCs w:val="12"/>
              </w:rPr>
              <w:t>TRC Levelized Cost ($/kW)</w:t>
            </w:r>
          </w:p>
        </w:tc>
        <w:tc>
          <w:tcPr>
            <w:tcW w:w="0" w:type="auto"/>
            <w:hideMark/>
          </w:tcPr>
          <w:p w:rsidRPr="007938ED" w:rsidR="00D31E46" w:rsidRDefault="00D31E46" w14:paraId="661FFCA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42C889A"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6B817866"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60F4D60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BC34620"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5C77DF99" w14:textId="77777777">
        <w:trPr>
          <w:trHeight w:val="1200"/>
        </w:trPr>
        <w:tc>
          <w:tcPr>
            <w:tcW w:w="0" w:type="auto"/>
            <w:noWrap/>
            <w:hideMark/>
          </w:tcPr>
          <w:p w:rsidRPr="007938ED" w:rsidR="00D31E46" w:rsidP="00D31E46" w:rsidRDefault="00D31E46" w14:paraId="4BE69D5D" w14:textId="77777777">
            <w:pPr>
              <w:rPr>
                <w:rFonts w:asciiTheme="majorHAnsi" w:hAnsiTheme="majorHAnsi"/>
                <w:sz w:val="18"/>
                <w:szCs w:val="12"/>
              </w:rPr>
            </w:pPr>
            <w:r w:rsidRPr="007938ED">
              <w:rPr>
                <w:rFonts w:asciiTheme="majorHAnsi" w:hAnsiTheme="majorHAnsi"/>
                <w:sz w:val="18"/>
                <w:szCs w:val="12"/>
              </w:rPr>
              <w:t>246</w:t>
            </w:r>
          </w:p>
        </w:tc>
        <w:tc>
          <w:tcPr>
            <w:tcW w:w="0" w:type="auto"/>
            <w:hideMark/>
          </w:tcPr>
          <w:p w:rsidRPr="007938ED" w:rsidR="00D31E46" w:rsidRDefault="00D31E46" w14:paraId="692FE282"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6D117A61" w14:textId="77777777">
            <w:pPr>
              <w:rPr>
                <w:rFonts w:asciiTheme="majorHAnsi" w:hAnsiTheme="majorHAnsi"/>
                <w:sz w:val="18"/>
                <w:szCs w:val="12"/>
              </w:rPr>
            </w:pPr>
            <w:r w:rsidRPr="007938ED">
              <w:rPr>
                <w:rFonts w:asciiTheme="majorHAnsi" w:hAnsiTheme="majorHAnsi"/>
                <w:sz w:val="18"/>
                <w:szCs w:val="12"/>
              </w:rPr>
              <w:t>TRC Levelized Cost ($/kWh)</w:t>
            </w:r>
          </w:p>
        </w:tc>
        <w:tc>
          <w:tcPr>
            <w:tcW w:w="0" w:type="auto"/>
            <w:hideMark/>
          </w:tcPr>
          <w:p w:rsidRPr="007938ED" w:rsidR="00D31E46" w:rsidRDefault="00D31E46" w14:paraId="5290BD5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5BBC3CA"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5F52DD6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905453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A3C0AD2"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19EF56F6" w14:textId="77777777">
        <w:trPr>
          <w:trHeight w:val="1200"/>
        </w:trPr>
        <w:tc>
          <w:tcPr>
            <w:tcW w:w="0" w:type="auto"/>
            <w:noWrap/>
            <w:hideMark/>
          </w:tcPr>
          <w:p w:rsidRPr="007938ED" w:rsidR="00D31E46" w:rsidP="00D31E46" w:rsidRDefault="00D31E46" w14:paraId="7DC9CB18" w14:textId="77777777">
            <w:pPr>
              <w:rPr>
                <w:rFonts w:asciiTheme="majorHAnsi" w:hAnsiTheme="majorHAnsi"/>
                <w:sz w:val="18"/>
                <w:szCs w:val="12"/>
              </w:rPr>
            </w:pPr>
            <w:r w:rsidRPr="007938ED">
              <w:rPr>
                <w:rFonts w:asciiTheme="majorHAnsi" w:hAnsiTheme="majorHAnsi"/>
                <w:sz w:val="18"/>
                <w:szCs w:val="12"/>
              </w:rPr>
              <w:t>247</w:t>
            </w:r>
          </w:p>
        </w:tc>
        <w:tc>
          <w:tcPr>
            <w:tcW w:w="0" w:type="auto"/>
            <w:hideMark/>
          </w:tcPr>
          <w:p w:rsidRPr="007938ED" w:rsidR="00D31E46" w:rsidRDefault="00D31E46" w14:paraId="418141BE"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16C3F0C4" w14:textId="77777777">
            <w:pPr>
              <w:rPr>
                <w:rFonts w:asciiTheme="majorHAnsi" w:hAnsiTheme="majorHAnsi"/>
                <w:sz w:val="18"/>
                <w:szCs w:val="12"/>
              </w:rPr>
            </w:pPr>
            <w:r w:rsidRPr="007938ED">
              <w:rPr>
                <w:rFonts w:asciiTheme="majorHAnsi" w:hAnsiTheme="majorHAnsi"/>
                <w:sz w:val="18"/>
                <w:szCs w:val="12"/>
              </w:rPr>
              <w:t>TRC Levelized Cost ($/therm)</w:t>
            </w:r>
          </w:p>
        </w:tc>
        <w:tc>
          <w:tcPr>
            <w:tcW w:w="0" w:type="auto"/>
            <w:hideMark/>
          </w:tcPr>
          <w:p w:rsidRPr="007938ED" w:rsidR="00D31E46" w:rsidRDefault="00D31E46" w14:paraId="75F8416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FF20115"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1220556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D7A056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D2EDD5F"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6ED1DE5F" w14:textId="77777777">
        <w:trPr>
          <w:trHeight w:val="1200"/>
        </w:trPr>
        <w:tc>
          <w:tcPr>
            <w:tcW w:w="0" w:type="auto"/>
            <w:noWrap/>
            <w:hideMark/>
          </w:tcPr>
          <w:p w:rsidRPr="007938ED" w:rsidR="00D31E46" w:rsidP="00D31E46" w:rsidRDefault="00D31E46" w14:paraId="0DE7DFDB" w14:textId="77777777">
            <w:pPr>
              <w:rPr>
                <w:rFonts w:asciiTheme="majorHAnsi" w:hAnsiTheme="majorHAnsi"/>
                <w:sz w:val="18"/>
                <w:szCs w:val="12"/>
              </w:rPr>
            </w:pPr>
            <w:r w:rsidRPr="007938ED">
              <w:rPr>
                <w:rFonts w:asciiTheme="majorHAnsi" w:hAnsiTheme="majorHAnsi"/>
                <w:sz w:val="18"/>
                <w:szCs w:val="12"/>
              </w:rPr>
              <w:lastRenderedPageBreak/>
              <w:t>248</w:t>
            </w:r>
          </w:p>
        </w:tc>
        <w:tc>
          <w:tcPr>
            <w:tcW w:w="0" w:type="auto"/>
            <w:hideMark/>
          </w:tcPr>
          <w:p w:rsidRPr="007938ED" w:rsidR="00D31E46" w:rsidRDefault="00D31E46" w14:paraId="138388C9"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382351A6" w14:textId="77777777">
            <w:pPr>
              <w:rPr>
                <w:rFonts w:asciiTheme="majorHAnsi" w:hAnsiTheme="majorHAnsi"/>
                <w:sz w:val="18"/>
                <w:szCs w:val="12"/>
              </w:rPr>
            </w:pPr>
            <w:r w:rsidRPr="007938ED">
              <w:rPr>
                <w:rFonts w:asciiTheme="majorHAnsi" w:hAnsiTheme="majorHAnsi"/>
                <w:sz w:val="18"/>
                <w:szCs w:val="12"/>
              </w:rPr>
              <w:t>Percent first year annual kW gross</w:t>
            </w:r>
          </w:p>
        </w:tc>
        <w:tc>
          <w:tcPr>
            <w:tcW w:w="0" w:type="auto"/>
            <w:hideMark/>
          </w:tcPr>
          <w:p w:rsidRPr="007938ED" w:rsidR="00D31E46" w:rsidRDefault="00D31E46" w14:paraId="3E0023D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66C0DC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A5A66BD"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9241E6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9AF22AC" w14:textId="77777777">
            <w:pPr>
              <w:rPr>
                <w:rFonts w:asciiTheme="majorHAnsi" w:hAnsiTheme="majorHAnsi"/>
                <w:sz w:val="18"/>
                <w:szCs w:val="12"/>
              </w:rPr>
            </w:pPr>
            <w:r w:rsidRPr="007938ED">
              <w:rPr>
                <w:rFonts w:asciiTheme="majorHAnsi" w:hAnsiTheme="majorHAnsi"/>
                <w:sz w:val="18"/>
                <w:szCs w:val="12"/>
              </w:rPr>
              <w:t>Percent first year annual kW gross</w:t>
            </w:r>
          </w:p>
        </w:tc>
      </w:tr>
      <w:tr w:rsidRPr="007938ED" w:rsidR="00CE6F7B" w:rsidTr="007938ED" w14:paraId="048A4E0B" w14:textId="77777777">
        <w:trPr>
          <w:trHeight w:val="1200"/>
        </w:trPr>
        <w:tc>
          <w:tcPr>
            <w:tcW w:w="0" w:type="auto"/>
            <w:noWrap/>
            <w:hideMark/>
          </w:tcPr>
          <w:p w:rsidRPr="007938ED" w:rsidR="00D31E46" w:rsidP="00D31E46" w:rsidRDefault="00D31E46" w14:paraId="044CE411" w14:textId="77777777">
            <w:pPr>
              <w:rPr>
                <w:rFonts w:asciiTheme="majorHAnsi" w:hAnsiTheme="majorHAnsi"/>
                <w:sz w:val="18"/>
                <w:szCs w:val="12"/>
              </w:rPr>
            </w:pPr>
            <w:r w:rsidRPr="007938ED">
              <w:rPr>
                <w:rFonts w:asciiTheme="majorHAnsi" w:hAnsiTheme="majorHAnsi"/>
                <w:sz w:val="18"/>
                <w:szCs w:val="12"/>
              </w:rPr>
              <w:t>249</w:t>
            </w:r>
          </w:p>
        </w:tc>
        <w:tc>
          <w:tcPr>
            <w:tcW w:w="0" w:type="auto"/>
            <w:hideMark/>
          </w:tcPr>
          <w:p w:rsidRPr="007938ED" w:rsidR="00D31E46" w:rsidRDefault="00D31E46" w14:paraId="14D615E7"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7412FB75" w14:textId="77777777">
            <w:pPr>
              <w:rPr>
                <w:rFonts w:asciiTheme="majorHAnsi" w:hAnsiTheme="majorHAnsi"/>
                <w:sz w:val="18"/>
                <w:szCs w:val="12"/>
              </w:rPr>
            </w:pPr>
            <w:r w:rsidRPr="007938ED">
              <w:rPr>
                <w:rFonts w:asciiTheme="majorHAnsi" w:hAnsiTheme="majorHAnsi"/>
                <w:sz w:val="18"/>
                <w:szCs w:val="12"/>
              </w:rPr>
              <w:t>Percent first year annual kW net</w:t>
            </w:r>
          </w:p>
        </w:tc>
        <w:tc>
          <w:tcPr>
            <w:tcW w:w="0" w:type="auto"/>
            <w:hideMark/>
          </w:tcPr>
          <w:p w:rsidRPr="007938ED" w:rsidR="00D31E46" w:rsidRDefault="00D31E46" w14:paraId="1745AEB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74C7C0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C3EA7FA"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ABF0BB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E307877" w14:textId="77777777">
            <w:pPr>
              <w:rPr>
                <w:rFonts w:asciiTheme="majorHAnsi" w:hAnsiTheme="majorHAnsi"/>
                <w:sz w:val="18"/>
                <w:szCs w:val="12"/>
              </w:rPr>
            </w:pPr>
            <w:r w:rsidRPr="007938ED">
              <w:rPr>
                <w:rFonts w:asciiTheme="majorHAnsi" w:hAnsiTheme="majorHAnsi"/>
                <w:sz w:val="18"/>
                <w:szCs w:val="12"/>
              </w:rPr>
              <w:t>Percent first year annual kW net</w:t>
            </w:r>
          </w:p>
        </w:tc>
      </w:tr>
      <w:tr w:rsidRPr="007938ED" w:rsidR="00CE6F7B" w:rsidTr="007938ED" w14:paraId="2C5B4396" w14:textId="77777777">
        <w:trPr>
          <w:trHeight w:val="1200"/>
        </w:trPr>
        <w:tc>
          <w:tcPr>
            <w:tcW w:w="0" w:type="auto"/>
            <w:noWrap/>
            <w:hideMark/>
          </w:tcPr>
          <w:p w:rsidRPr="007938ED" w:rsidR="00D31E46" w:rsidP="00D31E46" w:rsidRDefault="00D31E46" w14:paraId="48E0A32F" w14:textId="77777777">
            <w:pPr>
              <w:rPr>
                <w:rFonts w:asciiTheme="majorHAnsi" w:hAnsiTheme="majorHAnsi"/>
                <w:sz w:val="18"/>
                <w:szCs w:val="12"/>
              </w:rPr>
            </w:pPr>
            <w:r w:rsidRPr="007938ED">
              <w:rPr>
                <w:rFonts w:asciiTheme="majorHAnsi" w:hAnsiTheme="majorHAnsi"/>
                <w:sz w:val="18"/>
                <w:szCs w:val="12"/>
              </w:rPr>
              <w:t>250</w:t>
            </w:r>
          </w:p>
        </w:tc>
        <w:tc>
          <w:tcPr>
            <w:tcW w:w="0" w:type="auto"/>
            <w:hideMark/>
          </w:tcPr>
          <w:p w:rsidRPr="007938ED" w:rsidR="00D31E46" w:rsidRDefault="00D31E46" w14:paraId="6CE11BD6"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12F5D1D0" w14:textId="77777777">
            <w:pPr>
              <w:rPr>
                <w:rFonts w:asciiTheme="majorHAnsi" w:hAnsiTheme="majorHAnsi"/>
                <w:sz w:val="18"/>
                <w:szCs w:val="12"/>
              </w:rPr>
            </w:pPr>
            <w:r w:rsidRPr="007938ED">
              <w:rPr>
                <w:rFonts w:asciiTheme="majorHAnsi" w:hAnsiTheme="majorHAnsi"/>
                <w:sz w:val="18"/>
                <w:szCs w:val="12"/>
              </w:rPr>
              <w:t>Percent first year annual kWh gross</w:t>
            </w:r>
          </w:p>
        </w:tc>
        <w:tc>
          <w:tcPr>
            <w:tcW w:w="0" w:type="auto"/>
            <w:hideMark/>
          </w:tcPr>
          <w:p w:rsidRPr="007938ED" w:rsidR="00D31E46" w:rsidRDefault="00D31E46" w14:paraId="7B7ECFC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AF626D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03CD142"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834B1F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89AF950" w14:textId="77777777">
            <w:pPr>
              <w:rPr>
                <w:rFonts w:asciiTheme="majorHAnsi" w:hAnsiTheme="majorHAnsi"/>
                <w:sz w:val="18"/>
                <w:szCs w:val="12"/>
              </w:rPr>
            </w:pPr>
            <w:r w:rsidRPr="007938ED">
              <w:rPr>
                <w:rFonts w:asciiTheme="majorHAnsi" w:hAnsiTheme="majorHAnsi"/>
                <w:sz w:val="18"/>
                <w:szCs w:val="12"/>
              </w:rPr>
              <w:t>Percent first year annual kWh gross</w:t>
            </w:r>
          </w:p>
        </w:tc>
      </w:tr>
      <w:tr w:rsidRPr="007938ED" w:rsidR="00CE6F7B" w:rsidTr="007938ED" w14:paraId="1EA2E3B3" w14:textId="77777777">
        <w:trPr>
          <w:trHeight w:val="1200"/>
        </w:trPr>
        <w:tc>
          <w:tcPr>
            <w:tcW w:w="0" w:type="auto"/>
            <w:noWrap/>
            <w:hideMark/>
          </w:tcPr>
          <w:p w:rsidRPr="007938ED" w:rsidR="00D31E46" w:rsidP="00D31E46" w:rsidRDefault="00D31E46" w14:paraId="443C9CF2" w14:textId="77777777">
            <w:pPr>
              <w:rPr>
                <w:rFonts w:asciiTheme="majorHAnsi" w:hAnsiTheme="majorHAnsi"/>
                <w:sz w:val="18"/>
                <w:szCs w:val="12"/>
              </w:rPr>
            </w:pPr>
            <w:r w:rsidRPr="007938ED">
              <w:rPr>
                <w:rFonts w:asciiTheme="majorHAnsi" w:hAnsiTheme="majorHAnsi"/>
                <w:sz w:val="18"/>
                <w:szCs w:val="12"/>
              </w:rPr>
              <w:t>251</w:t>
            </w:r>
          </w:p>
        </w:tc>
        <w:tc>
          <w:tcPr>
            <w:tcW w:w="0" w:type="auto"/>
            <w:hideMark/>
          </w:tcPr>
          <w:p w:rsidRPr="007938ED" w:rsidR="00D31E46" w:rsidRDefault="00D31E46" w14:paraId="645DC661"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7C90689A" w14:textId="77777777">
            <w:pPr>
              <w:rPr>
                <w:rFonts w:asciiTheme="majorHAnsi" w:hAnsiTheme="majorHAnsi"/>
                <w:sz w:val="18"/>
                <w:szCs w:val="12"/>
              </w:rPr>
            </w:pPr>
            <w:r w:rsidRPr="007938ED">
              <w:rPr>
                <w:rFonts w:asciiTheme="majorHAnsi" w:hAnsiTheme="majorHAnsi"/>
                <w:sz w:val="18"/>
                <w:szCs w:val="12"/>
              </w:rPr>
              <w:t>Percent first year annual kWh net</w:t>
            </w:r>
          </w:p>
        </w:tc>
        <w:tc>
          <w:tcPr>
            <w:tcW w:w="0" w:type="auto"/>
            <w:hideMark/>
          </w:tcPr>
          <w:p w:rsidRPr="007938ED" w:rsidR="00D31E46" w:rsidRDefault="00D31E46" w14:paraId="4B09D55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349DB3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36CD0A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08DB5E5"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787C525" w14:textId="77777777">
            <w:pPr>
              <w:rPr>
                <w:rFonts w:asciiTheme="majorHAnsi" w:hAnsiTheme="majorHAnsi"/>
                <w:sz w:val="18"/>
                <w:szCs w:val="12"/>
              </w:rPr>
            </w:pPr>
            <w:r w:rsidRPr="007938ED">
              <w:rPr>
                <w:rFonts w:asciiTheme="majorHAnsi" w:hAnsiTheme="majorHAnsi"/>
                <w:sz w:val="18"/>
                <w:szCs w:val="12"/>
              </w:rPr>
              <w:t>Percent first year annual kWh net</w:t>
            </w:r>
          </w:p>
        </w:tc>
      </w:tr>
      <w:tr w:rsidRPr="007938ED" w:rsidR="00CE6F7B" w:rsidTr="007938ED" w14:paraId="7448D164" w14:textId="77777777">
        <w:trPr>
          <w:trHeight w:val="1200"/>
        </w:trPr>
        <w:tc>
          <w:tcPr>
            <w:tcW w:w="0" w:type="auto"/>
            <w:noWrap/>
            <w:hideMark/>
          </w:tcPr>
          <w:p w:rsidRPr="007938ED" w:rsidR="00D31E46" w:rsidP="00D31E46" w:rsidRDefault="00D31E46" w14:paraId="6A0619E6" w14:textId="77777777">
            <w:pPr>
              <w:rPr>
                <w:rFonts w:asciiTheme="majorHAnsi" w:hAnsiTheme="majorHAnsi"/>
                <w:sz w:val="18"/>
                <w:szCs w:val="12"/>
              </w:rPr>
            </w:pPr>
            <w:r w:rsidRPr="007938ED">
              <w:rPr>
                <w:rFonts w:asciiTheme="majorHAnsi" w:hAnsiTheme="majorHAnsi"/>
                <w:sz w:val="18"/>
                <w:szCs w:val="12"/>
              </w:rPr>
              <w:t>252</w:t>
            </w:r>
          </w:p>
        </w:tc>
        <w:tc>
          <w:tcPr>
            <w:tcW w:w="0" w:type="auto"/>
            <w:hideMark/>
          </w:tcPr>
          <w:p w:rsidRPr="007938ED" w:rsidR="00D31E46" w:rsidRDefault="00D31E46" w14:paraId="071C7E86"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6B2E98B8" w14:textId="77777777">
            <w:pPr>
              <w:rPr>
                <w:rFonts w:asciiTheme="majorHAnsi" w:hAnsiTheme="majorHAnsi"/>
                <w:sz w:val="18"/>
                <w:szCs w:val="12"/>
              </w:rPr>
            </w:pPr>
            <w:r w:rsidRPr="007938ED">
              <w:rPr>
                <w:rFonts w:asciiTheme="majorHAnsi" w:hAnsiTheme="majorHAnsi"/>
                <w:sz w:val="18"/>
                <w:szCs w:val="12"/>
              </w:rPr>
              <w:t>Percent first year annual Therm gross</w:t>
            </w:r>
          </w:p>
        </w:tc>
        <w:tc>
          <w:tcPr>
            <w:tcW w:w="0" w:type="auto"/>
            <w:hideMark/>
          </w:tcPr>
          <w:p w:rsidRPr="007938ED" w:rsidR="00D31E46" w:rsidRDefault="00D31E46" w14:paraId="75A5B3F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0F604F0"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9284EE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A685E3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0F363CE" w14:textId="77777777">
            <w:pPr>
              <w:rPr>
                <w:rFonts w:asciiTheme="majorHAnsi" w:hAnsiTheme="majorHAnsi"/>
                <w:sz w:val="18"/>
                <w:szCs w:val="12"/>
              </w:rPr>
            </w:pPr>
            <w:r w:rsidRPr="007938ED">
              <w:rPr>
                <w:rFonts w:asciiTheme="majorHAnsi" w:hAnsiTheme="majorHAnsi"/>
                <w:sz w:val="18"/>
                <w:szCs w:val="12"/>
              </w:rPr>
              <w:t>Percent first year annual Therm gross</w:t>
            </w:r>
          </w:p>
        </w:tc>
      </w:tr>
      <w:tr w:rsidRPr="007938ED" w:rsidR="00CE6F7B" w:rsidTr="007938ED" w14:paraId="67BDABF9" w14:textId="77777777">
        <w:trPr>
          <w:trHeight w:val="1200"/>
        </w:trPr>
        <w:tc>
          <w:tcPr>
            <w:tcW w:w="0" w:type="auto"/>
            <w:noWrap/>
            <w:hideMark/>
          </w:tcPr>
          <w:p w:rsidRPr="007938ED" w:rsidR="00D31E46" w:rsidP="00D31E46" w:rsidRDefault="00D31E46" w14:paraId="2895D753" w14:textId="77777777">
            <w:pPr>
              <w:rPr>
                <w:rFonts w:asciiTheme="majorHAnsi" w:hAnsiTheme="majorHAnsi"/>
                <w:sz w:val="18"/>
                <w:szCs w:val="12"/>
              </w:rPr>
            </w:pPr>
            <w:r w:rsidRPr="007938ED">
              <w:rPr>
                <w:rFonts w:asciiTheme="majorHAnsi" w:hAnsiTheme="majorHAnsi"/>
                <w:sz w:val="18"/>
                <w:szCs w:val="12"/>
              </w:rPr>
              <w:t>253</w:t>
            </w:r>
          </w:p>
        </w:tc>
        <w:tc>
          <w:tcPr>
            <w:tcW w:w="0" w:type="auto"/>
            <w:hideMark/>
          </w:tcPr>
          <w:p w:rsidRPr="007938ED" w:rsidR="00D31E46" w:rsidRDefault="00D31E46" w14:paraId="17725782"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1893CD3A" w14:textId="77777777">
            <w:pPr>
              <w:rPr>
                <w:rFonts w:asciiTheme="majorHAnsi" w:hAnsiTheme="majorHAnsi"/>
                <w:sz w:val="18"/>
                <w:szCs w:val="12"/>
              </w:rPr>
            </w:pPr>
            <w:r w:rsidRPr="007938ED">
              <w:rPr>
                <w:rFonts w:asciiTheme="majorHAnsi" w:hAnsiTheme="majorHAnsi"/>
                <w:sz w:val="18"/>
                <w:szCs w:val="12"/>
              </w:rPr>
              <w:t>Percent first year annual Therm net</w:t>
            </w:r>
          </w:p>
        </w:tc>
        <w:tc>
          <w:tcPr>
            <w:tcW w:w="0" w:type="auto"/>
            <w:hideMark/>
          </w:tcPr>
          <w:p w:rsidRPr="007938ED" w:rsidR="00D31E46" w:rsidRDefault="00D31E46" w14:paraId="7934E9F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E01400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10385A6"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F2AF11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D6F091E" w14:textId="77777777">
            <w:pPr>
              <w:rPr>
                <w:rFonts w:asciiTheme="majorHAnsi" w:hAnsiTheme="majorHAnsi"/>
                <w:sz w:val="18"/>
                <w:szCs w:val="12"/>
              </w:rPr>
            </w:pPr>
            <w:r w:rsidRPr="007938ED">
              <w:rPr>
                <w:rFonts w:asciiTheme="majorHAnsi" w:hAnsiTheme="majorHAnsi"/>
                <w:sz w:val="18"/>
                <w:szCs w:val="12"/>
              </w:rPr>
              <w:t>Percent first year annual Therm net</w:t>
            </w:r>
          </w:p>
        </w:tc>
      </w:tr>
      <w:tr w:rsidRPr="007938ED" w:rsidR="00CE6F7B" w:rsidTr="007938ED" w14:paraId="2392CBE7" w14:textId="77777777">
        <w:trPr>
          <w:trHeight w:val="1200"/>
        </w:trPr>
        <w:tc>
          <w:tcPr>
            <w:tcW w:w="0" w:type="auto"/>
            <w:noWrap/>
            <w:hideMark/>
          </w:tcPr>
          <w:p w:rsidRPr="007938ED" w:rsidR="00D31E46" w:rsidP="00D31E46" w:rsidRDefault="00D31E46" w14:paraId="727B54C2" w14:textId="77777777">
            <w:pPr>
              <w:rPr>
                <w:rFonts w:asciiTheme="majorHAnsi" w:hAnsiTheme="majorHAnsi"/>
                <w:sz w:val="18"/>
                <w:szCs w:val="12"/>
              </w:rPr>
            </w:pPr>
            <w:r w:rsidRPr="007938ED">
              <w:rPr>
                <w:rFonts w:asciiTheme="majorHAnsi" w:hAnsiTheme="majorHAnsi"/>
                <w:sz w:val="18"/>
                <w:szCs w:val="12"/>
              </w:rPr>
              <w:lastRenderedPageBreak/>
              <w:t>254</w:t>
            </w:r>
          </w:p>
        </w:tc>
        <w:tc>
          <w:tcPr>
            <w:tcW w:w="0" w:type="auto"/>
            <w:hideMark/>
          </w:tcPr>
          <w:p w:rsidRPr="007938ED" w:rsidR="00D31E46" w:rsidRDefault="00D31E46" w14:paraId="006F8680"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51877EE4" w14:textId="77777777">
            <w:pPr>
              <w:rPr>
                <w:rFonts w:asciiTheme="majorHAnsi" w:hAnsiTheme="majorHAnsi"/>
                <w:sz w:val="18"/>
                <w:szCs w:val="12"/>
              </w:rPr>
            </w:pPr>
            <w:r w:rsidRPr="007938ED">
              <w:rPr>
                <w:rFonts w:asciiTheme="majorHAnsi" w:hAnsiTheme="majorHAnsi"/>
                <w:sz w:val="18"/>
                <w:szCs w:val="12"/>
              </w:rPr>
              <w:t>Percent lifecycle ex-ante kW gross</w:t>
            </w:r>
          </w:p>
        </w:tc>
        <w:tc>
          <w:tcPr>
            <w:tcW w:w="0" w:type="auto"/>
            <w:hideMark/>
          </w:tcPr>
          <w:p w:rsidRPr="007938ED" w:rsidR="00D31E46" w:rsidRDefault="00D31E46" w14:paraId="561BD8F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55FE68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B1CB977"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803E8F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90C2FCE" w14:textId="77777777">
            <w:pPr>
              <w:rPr>
                <w:rFonts w:asciiTheme="majorHAnsi" w:hAnsiTheme="majorHAnsi"/>
                <w:sz w:val="18"/>
                <w:szCs w:val="12"/>
              </w:rPr>
            </w:pPr>
            <w:r w:rsidRPr="007938ED">
              <w:rPr>
                <w:rFonts w:asciiTheme="majorHAnsi" w:hAnsiTheme="majorHAnsi"/>
                <w:sz w:val="18"/>
                <w:szCs w:val="12"/>
              </w:rPr>
              <w:t>Percent lifecycle ex-ante kW gross</w:t>
            </w:r>
          </w:p>
        </w:tc>
      </w:tr>
      <w:tr w:rsidRPr="007938ED" w:rsidR="00CE6F7B" w:rsidTr="007938ED" w14:paraId="287CE5BA" w14:textId="77777777">
        <w:trPr>
          <w:trHeight w:val="1200"/>
        </w:trPr>
        <w:tc>
          <w:tcPr>
            <w:tcW w:w="0" w:type="auto"/>
            <w:noWrap/>
            <w:hideMark/>
          </w:tcPr>
          <w:p w:rsidRPr="007938ED" w:rsidR="00D31E46" w:rsidP="00D31E46" w:rsidRDefault="00D31E46" w14:paraId="51A51D21" w14:textId="77777777">
            <w:pPr>
              <w:rPr>
                <w:rFonts w:asciiTheme="majorHAnsi" w:hAnsiTheme="majorHAnsi"/>
                <w:sz w:val="18"/>
                <w:szCs w:val="12"/>
              </w:rPr>
            </w:pPr>
            <w:r w:rsidRPr="007938ED">
              <w:rPr>
                <w:rFonts w:asciiTheme="majorHAnsi" w:hAnsiTheme="majorHAnsi"/>
                <w:sz w:val="18"/>
                <w:szCs w:val="12"/>
              </w:rPr>
              <w:t>255</w:t>
            </w:r>
          </w:p>
        </w:tc>
        <w:tc>
          <w:tcPr>
            <w:tcW w:w="0" w:type="auto"/>
            <w:hideMark/>
          </w:tcPr>
          <w:p w:rsidRPr="007938ED" w:rsidR="00D31E46" w:rsidRDefault="00D31E46" w14:paraId="465B6E61"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3CA64E96" w14:textId="77777777">
            <w:pPr>
              <w:rPr>
                <w:rFonts w:asciiTheme="majorHAnsi" w:hAnsiTheme="majorHAnsi"/>
                <w:sz w:val="18"/>
                <w:szCs w:val="12"/>
              </w:rPr>
            </w:pPr>
            <w:r w:rsidRPr="007938ED">
              <w:rPr>
                <w:rFonts w:asciiTheme="majorHAnsi" w:hAnsiTheme="majorHAnsi"/>
                <w:sz w:val="18"/>
                <w:szCs w:val="12"/>
              </w:rPr>
              <w:t>Percent lifecycle ex-ante kW net</w:t>
            </w:r>
          </w:p>
        </w:tc>
        <w:tc>
          <w:tcPr>
            <w:tcW w:w="0" w:type="auto"/>
            <w:hideMark/>
          </w:tcPr>
          <w:p w:rsidRPr="007938ED" w:rsidR="00D31E46" w:rsidRDefault="00D31E46" w14:paraId="5321B80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F9E58E2"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8C4BC9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E844C5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472859F" w14:textId="77777777">
            <w:pPr>
              <w:rPr>
                <w:rFonts w:asciiTheme="majorHAnsi" w:hAnsiTheme="majorHAnsi"/>
                <w:sz w:val="18"/>
                <w:szCs w:val="12"/>
              </w:rPr>
            </w:pPr>
            <w:r w:rsidRPr="007938ED">
              <w:rPr>
                <w:rFonts w:asciiTheme="majorHAnsi" w:hAnsiTheme="majorHAnsi"/>
                <w:sz w:val="18"/>
                <w:szCs w:val="12"/>
              </w:rPr>
              <w:t>Percent lifecycle ex-ante kW net</w:t>
            </w:r>
          </w:p>
        </w:tc>
      </w:tr>
      <w:tr w:rsidRPr="007938ED" w:rsidR="00CE6F7B" w:rsidTr="007938ED" w14:paraId="5DFB8870" w14:textId="77777777">
        <w:trPr>
          <w:trHeight w:val="1200"/>
        </w:trPr>
        <w:tc>
          <w:tcPr>
            <w:tcW w:w="0" w:type="auto"/>
            <w:noWrap/>
            <w:hideMark/>
          </w:tcPr>
          <w:p w:rsidRPr="007938ED" w:rsidR="00D31E46" w:rsidP="00D31E46" w:rsidRDefault="00D31E46" w14:paraId="5A85D68D" w14:textId="77777777">
            <w:pPr>
              <w:rPr>
                <w:rFonts w:asciiTheme="majorHAnsi" w:hAnsiTheme="majorHAnsi"/>
                <w:sz w:val="18"/>
                <w:szCs w:val="12"/>
              </w:rPr>
            </w:pPr>
            <w:r w:rsidRPr="007938ED">
              <w:rPr>
                <w:rFonts w:asciiTheme="majorHAnsi" w:hAnsiTheme="majorHAnsi"/>
                <w:sz w:val="18"/>
                <w:szCs w:val="12"/>
              </w:rPr>
              <w:t>256</w:t>
            </w:r>
          </w:p>
        </w:tc>
        <w:tc>
          <w:tcPr>
            <w:tcW w:w="0" w:type="auto"/>
            <w:hideMark/>
          </w:tcPr>
          <w:p w:rsidRPr="007938ED" w:rsidR="00D31E46" w:rsidRDefault="00D31E46" w14:paraId="5B84D216"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117C814B" w14:textId="77777777">
            <w:pPr>
              <w:rPr>
                <w:rFonts w:asciiTheme="majorHAnsi" w:hAnsiTheme="majorHAnsi"/>
                <w:sz w:val="18"/>
                <w:szCs w:val="12"/>
              </w:rPr>
            </w:pPr>
            <w:r w:rsidRPr="007938ED">
              <w:rPr>
                <w:rFonts w:asciiTheme="majorHAnsi" w:hAnsiTheme="majorHAnsi"/>
                <w:sz w:val="18"/>
                <w:szCs w:val="12"/>
              </w:rPr>
              <w:t>Percent lifecycle ex-ante kWh gross</w:t>
            </w:r>
          </w:p>
        </w:tc>
        <w:tc>
          <w:tcPr>
            <w:tcW w:w="0" w:type="auto"/>
            <w:hideMark/>
          </w:tcPr>
          <w:p w:rsidRPr="007938ED" w:rsidR="00D31E46" w:rsidRDefault="00D31E46" w14:paraId="7078D1EA"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619FCA2"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DFDD228"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D74134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915A22E" w14:textId="77777777">
            <w:pPr>
              <w:rPr>
                <w:rFonts w:asciiTheme="majorHAnsi" w:hAnsiTheme="majorHAnsi"/>
                <w:sz w:val="18"/>
                <w:szCs w:val="12"/>
              </w:rPr>
            </w:pPr>
            <w:r w:rsidRPr="007938ED">
              <w:rPr>
                <w:rFonts w:asciiTheme="majorHAnsi" w:hAnsiTheme="majorHAnsi"/>
                <w:sz w:val="18"/>
                <w:szCs w:val="12"/>
              </w:rPr>
              <w:t>Percent lifecycle ex-ante kWh gross</w:t>
            </w:r>
          </w:p>
        </w:tc>
      </w:tr>
      <w:tr w:rsidRPr="007938ED" w:rsidR="00CE6F7B" w:rsidTr="007938ED" w14:paraId="33C1CF50" w14:textId="77777777">
        <w:trPr>
          <w:trHeight w:val="1200"/>
        </w:trPr>
        <w:tc>
          <w:tcPr>
            <w:tcW w:w="0" w:type="auto"/>
            <w:noWrap/>
            <w:hideMark/>
          </w:tcPr>
          <w:p w:rsidRPr="007938ED" w:rsidR="00D31E46" w:rsidP="00D31E46" w:rsidRDefault="00D31E46" w14:paraId="15AE26B4" w14:textId="77777777">
            <w:pPr>
              <w:rPr>
                <w:rFonts w:asciiTheme="majorHAnsi" w:hAnsiTheme="majorHAnsi"/>
                <w:sz w:val="18"/>
                <w:szCs w:val="12"/>
              </w:rPr>
            </w:pPr>
            <w:r w:rsidRPr="007938ED">
              <w:rPr>
                <w:rFonts w:asciiTheme="majorHAnsi" w:hAnsiTheme="majorHAnsi"/>
                <w:sz w:val="18"/>
                <w:szCs w:val="12"/>
              </w:rPr>
              <w:t>257</w:t>
            </w:r>
          </w:p>
        </w:tc>
        <w:tc>
          <w:tcPr>
            <w:tcW w:w="0" w:type="auto"/>
            <w:hideMark/>
          </w:tcPr>
          <w:p w:rsidRPr="007938ED" w:rsidR="00D31E46" w:rsidRDefault="00D31E46" w14:paraId="550F7E16"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4E6502C2" w14:textId="77777777">
            <w:pPr>
              <w:rPr>
                <w:rFonts w:asciiTheme="majorHAnsi" w:hAnsiTheme="majorHAnsi"/>
                <w:sz w:val="18"/>
                <w:szCs w:val="12"/>
              </w:rPr>
            </w:pPr>
            <w:r w:rsidRPr="007938ED">
              <w:rPr>
                <w:rFonts w:asciiTheme="majorHAnsi" w:hAnsiTheme="majorHAnsi"/>
                <w:sz w:val="18"/>
                <w:szCs w:val="12"/>
              </w:rPr>
              <w:t>Percent lifecycle ex-ante kWh net</w:t>
            </w:r>
          </w:p>
        </w:tc>
        <w:tc>
          <w:tcPr>
            <w:tcW w:w="0" w:type="auto"/>
            <w:hideMark/>
          </w:tcPr>
          <w:p w:rsidRPr="007938ED" w:rsidR="00D31E46" w:rsidRDefault="00D31E46" w14:paraId="1427B47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2438AA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42B1CD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4FCF98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7FCAE90" w14:textId="77777777">
            <w:pPr>
              <w:rPr>
                <w:rFonts w:asciiTheme="majorHAnsi" w:hAnsiTheme="majorHAnsi"/>
                <w:sz w:val="18"/>
                <w:szCs w:val="12"/>
              </w:rPr>
            </w:pPr>
            <w:r w:rsidRPr="007938ED">
              <w:rPr>
                <w:rFonts w:asciiTheme="majorHAnsi" w:hAnsiTheme="majorHAnsi"/>
                <w:sz w:val="18"/>
                <w:szCs w:val="12"/>
              </w:rPr>
              <w:t>Percent lifecycle ex-ante kWh net</w:t>
            </w:r>
          </w:p>
        </w:tc>
      </w:tr>
      <w:tr w:rsidRPr="007938ED" w:rsidR="00CE6F7B" w:rsidTr="007938ED" w14:paraId="1144EB8F" w14:textId="77777777">
        <w:trPr>
          <w:trHeight w:val="1200"/>
        </w:trPr>
        <w:tc>
          <w:tcPr>
            <w:tcW w:w="0" w:type="auto"/>
            <w:noWrap/>
            <w:hideMark/>
          </w:tcPr>
          <w:p w:rsidRPr="007938ED" w:rsidR="00D31E46" w:rsidP="00D31E46" w:rsidRDefault="00D31E46" w14:paraId="2D3AF36D" w14:textId="77777777">
            <w:pPr>
              <w:rPr>
                <w:rFonts w:asciiTheme="majorHAnsi" w:hAnsiTheme="majorHAnsi"/>
                <w:sz w:val="18"/>
                <w:szCs w:val="12"/>
              </w:rPr>
            </w:pPr>
            <w:r w:rsidRPr="007938ED">
              <w:rPr>
                <w:rFonts w:asciiTheme="majorHAnsi" w:hAnsiTheme="majorHAnsi"/>
                <w:sz w:val="18"/>
                <w:szCs w:val="12"/>
              </w:rPr>
              <w:t>258</w:t>
            </w:r>
          </w:p>
        </w:tc>
        <w:tc>
          <w:tcPr>
            <w:tcW w:w="0" w:type="auto"/>
            <w:hideMark/>
          </w:tcPr>
          <w:p w:rsidRPr="007938ED" w:rsidR="00D31E46" w:rsidRDefault="00D31E46" w14:paraId="49995B63"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1B53C70C" w14:textId="77777777">
            <w:pPr>
              <w:rPr>
                <w:rFonts w:asciiTheme="majorHAnsi" w:hAnsiTheme="majorHAnsi"/>
                <w:sz w:val="18"/>
                <w:szCs w:val="12"/>
              </w:rPr>
            </w:pPr>
            <w:r w:rsidRPr="007938ED">
              <w:rPr>
                <w:rFonts w:asciiTheme="majorHAnsi" w:hAnsiTheme="majorHAnsi"/>
                <w:sz w:val="18"/>
                <w:szCs w:val="12"/>
              </w:rPr>
              <w:t>Percent lifecycle ex-ante Therm gross</w:t>
            </w:r>
          </w:p>
        </w:tc>
        <w:tc>
          <w:tcPr>
            <w:tcW w:w="0" w:type="auto"/>
            <w:hideMark/>
          </w:tcPr>
          <w:p w:rsidRPr="007938ED" w:rsidR="00D31E46" w:rsidRDefault="00D31E46" w14:paraId="7807E84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266F29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2755C0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B57615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23E0B51" w14:textId="77777777">
            <w:pPr>
              <w:rPr>
                <w:rFonts w:asciiTheme="majorHAnsi" w:hAnsiTheme="majorHAnsi"/>
                <w:sz w:val="18"/>
                <w:szCs w:val="12"/>
              </w:rPr>
            </w:pPr>
            <w:r w:rsidRPr="007938ED">
              <w:rPr>
                <w:rFonts w:asciiTheme="majorHAnsi" w:hAnsiTheme="majorHAnsi"/>
                <w:sz w:val="18"/>
                <w:szCs w:val="12"/>
              </w:rPr>
              <w:t>Percent lifecycle ex-ante Therm gross</w:t>
            </w:r>
          </w:p>
        </w:tc>
      </w:tr>
      <w:tr w:rsidRPr="007938ED" w:rsidR="00CE6F7B" w:rsidTr="007938ED" w14:paraId="040DA3BD" w14:textId="77777777">
        <w:trPr>
          <w:trHeight w:val="1200"/>
        </w:trPr>
        <w:tc>
          <w:tcPr>
            <w:tcW w:w="0" w:type="auto"/>
            <w:noWrap/>
            <w:hideMark/>
          </w:tcPr>
          <w:p w:rsidRPr="007938ED" w:rsidR="00D31E46" w:rsidP="00D31E46" w:rsidRDefault="00D31E46" w14:paraId="1C0D8B38" w14:textId="77777777">
            <w:pPr>
              <w:rPr>
                <w:rFonts w:asciiTheme="majorHAnsi" w:hAnsiTheme="majorHAnsi"/>
                <w:sz w:val="18"/>
                <w:szCs w:val="12"/>
              </w:rPr>
            </w:pPr>
            <w:r w:rsidRPr="007938ED">
              <w:rPr>
                <w:rFonts w:asciiTheme="majorHAnsi" w:hAnsiTheme="majorHAnsi"/>
                <w:sz w:val="18"/>
                <w:szCs w:val="12"/>
              </w:rPr>
              <w:t>259</w:t>
            </w:r>
          </w:p>
        </w:tc>
        <w:tc>
          <w:tcPr>
            <w:tcW w:w="0" w:type="auto"/>
            <w:hideMark/>
          </w:tcPr>
          <w:p w:rsidRPr="007938ED" w:rsidR="00D31E46" w:rsidRDefault="00D31E46" w14:paraId="4EA294A5" w14:textId="77777777">
            <w:pPr>
              <w:rPr>
                <w:rFonts w:asciiTheme="majorHAnsi" w:hAnsiTheme="majorHAnsi"/>
                <w:sz w:val="18"/>
                <w:szCs w:val="12"/>
              </w:rPr>
            </w:pPr>
            <w:r w:rsidRPr="007938ED">
              <w:rPr>
                <w:rFonts w:asciiTheme="majorHAnsi" w:hAnsiTheme="majorHAnsi"/>
                <w:sz w:val="18"/>
                <w:szCs w:val="12"/>
              </w:rPr>
              <w:t>Reduction in consumption (proposed by SCE and SDG&amp;E)</w:t>
            </w:r>
          </w:p>
        </w:tc>
        <w:tc>
          <w:tcPr>
            <w:tcW w:w="0" w:type="auto"/>
            <w:hideMark/>
          </w:tcPr>
          <w:p w:rsidRPr="007938ED" w:rsidR="00D31E46" w:rsidRDefault="00D31E46" w14:paraId="4E2D6BB6" w14:textId="77777777">
            <w:pPr>
              <w:rPr>
                <w:rFonts w:asciiTheme="majorHAnsi" w:hAnsiTheme="majorHAnsi"/>
                <w:sz w:val="18"/>
                <w:szCs w:val="12"/>
              </w:rPr>
            </w:pPr>
            <w:r w:rsidRPr="007938ED">
              <w:rPr>
                <w:rFonts w:asciiTheme="majorHAnsi" w:hAnsiTheme="majorHAnsi"/>
                <w:sz w:val="18"/>
                <w:szCs w:val="12"/>
              </w:rPr>
              <w:t>Percent lifecycle ex-ante Therm net</w:t>
            </w:r>
          </w:p>
        </w:tc>
        <w:tc>
          <w:tcPr>
            <w:tcW w:w="0" w:type="auto"/>
            <w:hideMark/>
          </w:tcPr>
          <w:p w:rsidRPr="007938ED" w:rsidR="00D31E46" w:rsidRDefault="00D31E46" w14:paraId="3F8A02E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C9F27D3"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0C7887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1CA392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5FE9E5A" w14:textId="77777777">
            <w:pPr>
              <w:rPr>
                <w:rFonts w:asciiTheme="majorHAnsi" w:hAnsiTheme="majorHAnsi"/>
                <w:sz w:val="18"/>
                <w:szCs w:val="12"/>
              </w:rPr>
            </w:pPr>
            <w:r w:rsidRPr="007938ED">
              <w:rPr>
                <w:rFonts w:asciiTheme="majorHAnsi" w:hAnsiTheme="majorHAnsi"/>
                <w:sz w:val="18"/>
                <w:szCs w:val="12"/>
              </w:rPr>
              <w:t>Percent lifecycle ex-ante Therm net</w:t>
            </w:r>
          </w:p>
        </w:tc>
      </w:tr>
      <w:tr w:rsidRPr="007938ED" w:rsidR="00CE6F7B" w:rsidTr="007938ED" w14:paraId="3D9C9D1E" w14:textId="77777777">
        <w:trPr>
          <w:trHeight w:val="1200"/>
        </w:trPr>
        <w:tc>
          <w:tcPr>
            <w:tcW w:w="0" w:type="auto"/>
            <w:noWrap/>
            <w:hideMark/>
          </w:tcPr>
          <w:p w:rsidRPr="007938ED" w:rsidR="00D31E46" w:rsidP="00D31E46" w:rsidRDefault="00D31E46" w14:paraId="1A4F3040" w14:textId="77777777">
            <w:pPr>
              <w:rPr>
                <w:rFonts w:asciiTheme="majorHAnsi" w:hAnsiTheme="majorHAnsi"/>
                <w:sz w:val="18"/>
                <w:szCs w:val="12"/>
              </w:rPr>
            </w:pPr>
            <w:r w:rsidRPr="007938ED">
              <w:rPr>
                <w:rFonts w:asciiTheme="majorHAnsi" w:hAnsiTheme="majorHAnsi"/>
                <w:sz w:val="18"/>
                <w:szCs w:val="12"/>
              </w:rPr>
              <w:lastRenderedPageBreak/>
              <w:t>260</w:t>
            </w:r>
          </w:p>
        </w:tc>
        <w:tc>
          <w:tcPr>
            <w:tcW w:w="0" w:type="auto"/>
            <w:hideMark/>
          </w:tcPr>
          <w:p w:rsidRPr="007938ED" w:rsidR="00D31E46" w:rsidRDefault="00D31E46" w14:paraId="6AFACFA1"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32FC3F29" w14:textId="77777777">
            <w:pPr>
              <w:rPr>
                <w:rFonts w:asciiTheme="majorHAnsi" w:hAnsiTheme="majorHAnsi"/>
                <w:sz w:val="18"/>
                <w:szCs w:val="12"/>
              </w:rPr>
            </w:pPr>
            <w:r w:rsidRPr="007938ED">
              <w:rPr>
                <w:rFonts w:asciiTheme="majorHAnsi" w:hAnsiTheme="majorHAnsi"/>
                <w:sz w:val="18"/>
                <w:szCs w:val="12"/>
              </w:rPr>
              <w:t>First year annual kW gross</w:t>
            </w:r>
          </w:p>
        </w:tc>
        <w:tc>
          <w:tcPr>
            <w:tcW w:w="0" w:type="auto"/>
            <w:hideMark/>
          </w:tcPr>
          <w:p w:rsidRPr="007938ED" w:rsidR="00D31E46" w:rsidRDefault="00D31E46" w14:paraId="120FE27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67079A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3F8B864"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7C6A64D"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AE6A6DF"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6841E640" w14:textId="77777777">
        <w:trPr>
          <w:trHeight w:val="1200"/>
        </w:trPr>
        <w:tc>
          <w:tcPr>
            <w:tcW w:w="0" w:type="auto"/>
            <w:noWrap/>
            <w:hideMark/>
          </w:tcPr>
          <w:p w:rsidRPr="007938ED" w:rsidR="00D31E46" w:rsidP="00D31E46" w:rsidRDefault="00D31E46" w14:paraId="3C445526" w14:textId="77777777">
            <w:pPr>
              <w:rPr>
                <w:rFonts w:asciiTheme="majorHAnsi" w:hAnsiTheme="majorHAnsi"/>
                <w:sz w:val="18"/>
                <w:szCs w:val="12"/>
              </w:rPr>
            </w:pPr>
            <w:r w:rsidRPr="007938ED">
              <w:rPr>
                <w:rFonts w:asciiTheme="majorHAnsi" w:hAnsiTheme="majorHAnsi"/>
                <w:sz w:val="18"/>
                <w:szCs w:val="12"/>
              </w:rPr>
              <w:t>261</w:t>
            </w:r>
          </w:p>
        </w:tc>
        <w:tc>
          <w:tcPr>
            <w:tcW w:w="0" w:type="auto"/>
            <w:hideMark/>
          </w:tcPr>
          <w:p w:rsidRPr="007938ED" w:rsidR="00D31E46" w:rsidRDefault="00D31E46" w14:paraId="24837710"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627B55A3" w14:textId="77777777">
            <w:pPr>
              <w:rPr>
                <w:rFonts w:asciiTheme="majorHAnsi" w:hAnsiTheme="majorHAnsi"/>
                <w:sz w:val="18"/>
                <w:szCs w:val="12"/>
              </w:rPr>
            </w:pPr>
            <w:r w:rsidRPr="007938ED">
              <w:rPr>
                <w:rFonts w:asciiTheme="majorHAnsi" w:hAnsiTheme="majorHAnsi"/>
                <w:sz w:val="18"/>
                <w:szCs w:val="12"/>
              </w:rPr>
              <w:t>First year annual kW net</w:t>
            </w:r>
          </w:p>
        </w:tc>
        <w:tc>
          <w:tcPr>
            <w:tcW w:w="0" w:type="auto"/>
            <w:hideMark/>
          </w:tcPr>
          <w:p w:rsidRPr="007938ED" w:rsidR="00D31E46" w:rsidRDefault="00D31E46" w14:paraId="30912A3A"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C0DCF02"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48CB54B2"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B7D09C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6EC09D4"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22B72DD3" w14:textId="77777777">
        <w:trPr>
          <w:trHeight w:val="1200"/>
        </w:trPr>
        <w:tc>
          <w:tcPr>
            <w:tcW w:w="0" w:type="auto"/>
            <w:noWrap/>
            <w:hideMark/>
          </w:tcPr>
          <w:p w:rsidRPr="007938ED" w:rsidR="00D31E46" w:rsidP="00D31E46" w:rsidRDefault="00D31E46" w14:paraId="432B1618" w14:textId="77777777">
            <w:pPr>
              <w:rPr>
                <w:rFonts w:asciiTheme="majorHAnsi" w:hAnsiTheme="majorHAnsi"/>
                <w:sz w:val="18"/>
                <w:szCs w:val="12"/>
              </w:rPr>
            </w:pPr>
            <w:r w:rsidRPr="007938ED">
              <w:rPr>
                <w:rFonts w:asciiTheme="majorHAnsi" w:hAnsiTheme="majorHAnsi"/>
                <w:sz w:val="18"/>
                <w:szCs w:val="12"/>
              </w:rPr>
              <w:t>262</w:t>
            </w:r>
          </w:p>
        </w:tc>
        <w:tc>
          <w:tcPr>
            <w:tcW w:w="0" w:type="auto"/>
            <w:hideMark/>
          </w:tcPr>
          <w:p w:rsidRPr="007938ED" w:rsidR="00D31E46" w:rsidRDefault="00D31E46" w14:paraId="66FB5F52"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5484CD5D" w14:textId="77777777">
            <w:pPr>
              <w:rPr>
                <w:rFonts w:asciiTheme="majorHAnsi" w:hAnsiTheme="majorHAnsi"/>
                <w:sz w:val="18"/>
                <w:szCs w:val="12"/>
              </w:rPr>
            </w:pPr>
            <w:r w:rsidRPr="007938ED">
              <w:rPr>
                <w:rFonts w:asciiTheme="majorHAnsi" w:hAnsiTheme="majorHAnsi"/>
                <w:sz w:val="18"/>
                <w:szCs w:val="12"/>
              </w:rPr>
              <w:t>First year annual kWh gross</w:t>
            </w:r>
          </w:p>
        </w:tc>
        <w:tc>
          <w:tcPr>
            <w:tcW w:w="0" w:type="auto"/>
            <w:hideMark/>
          </w:tcPr>
          <w:p w:rsidRPr="007938ED" w:rsidR="00D31E46" w:rsidRDefault="00D31E46" w14:paraId="05C75D4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C5317C2"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AC33D94"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F1E10E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F7B92AF"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75148D8C" w14:textId="77777777">
        <w:trPr>
          <w:trHeight w:val="1200"/>
        </w:trPr>
        <w:tc>
          <w:tcPr>
            <w:tcW w:w="0" w:type="auto"/>
            <w:noWrap/>
            <w:hideMark/>
          </w:tcPr>
          <w:p w:rsidRPr="007938ED" w:rsidR="00D31E46" w:rsidP="00D31E46" w:rsidRDefault="00D31E46" w14:paraId="6865C0DB" w14:textId="77777777">
            <w:pPr>
              <w:rPr>
                <w:rFonts w:asciiTheme="majorHAnsi" w:hAnsiTheme="majorHAnsi"/>
                <w:sz w:val="18"/>
                <w:szCs w:val="12"/>
              </w:rPr>
            </w:pPr>
            <w:r w:rsidRPr="007938ED">
              <w:rPr>
                <w:rFonts w:asciiTheme="majorHAnsi" w:hAnsiTheme="majorHAnsi"/>
                <w:sz w:val="18"/>
                <w:szCs w:val="12"/>
              </w:rPr>
              <w:t>263</w:t>
            </w:r>
          </w:p>
        </w:tc>
        <w:tc>
          <w:tcPr>
            <w:tcW w:w="0" w:type="auto"/>
            <w:hideMark/>
          </w:tcPr>
          <w:p w:rsidRPr="007938ED" w:rsidR="00D31E46" w:rsidRDefault="00D31E46" w14:paraId="22A47D28"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1B623B14" w14:textId="77777777">
            <w:pPr>
              <w:rPr>
                <w:rFonts w:asciiTheme="majorHAnsi" w:hAnsiTheme="majorHAnsi"/>
                <w:sz w:val="18"/>
                <w:szCs w:val="12"/>
              </w:rPr>
            </w:pPr>
            <w:r w:rsidRPr="007938ED">
              <w:rPr>
                <w:rFonts w:asciiTheme="majorHAnsi" w:hAnsiTheme="majorHAnsi"/>
                <w:sz w:val="18"/>
                <w:szCs w:val="12"/>
              </w:rPr>
              <w:t>First year annual kWh net</w:t>
            </w:r>
          </w:p>
        </w:tc>
        <w:tc>
          <w:tcPr>
            <w:tcW w:w="0" w:type="auto"/>
            <w:hideMark/>
          </w:tcPr>
          <w:p w:rsidRPr="007938ED" w:rsidR="00D31E46" w:rsidRDefault="00D31E46" w14:paraId="2281360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20344A6"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26D696C"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A723B4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B5849D0"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0A58E6B3" w14:textId="77777777">
        <w:trPr>
          <w:trHeight w:val="1200"/>
        </w:trPr>
        <w:tc>
          <w:tcPr>
            <w:tcW w:w="0" w:type="auto"/>
            <w:noWrap/>
            <w:hideMark/>
          </w:tcPr>
          <w:p w:rsidRPr="007938ED" w:rsidR="00D31E46" w:rsidP="00D31E46" w:rsidRDefault="00D31E46" w14:paraId="30871DA9" w14:textId="77777777">
            <w:pPr>
              <w:rPr>
                <w:rFonts w:asciiTheme="majorHAnsi" w:hAnsiTheme="majorHAnsi"/>
                <w:sz w:val="18"/>
                <w:szCs w:val="12"/>
              </w:rPr>
            </w:pPr>
            <w:r w:rsidRPr="007938ED">
              <w:rPr>
                <w:rFonts w:asciiTheme="majorHAnsi" w:hAnsiTheme="majorHAnsi"/>
                <w:sz w:val="18"/>
                <w:szCs w:val="12"/>
              </w:rPr>
              <w:t>264</w:t>
            </w:r>
          </w:p>
        </w:tc>
        <w:tc>
          <w:tcPr>
            <w:tcW w:w="0" w:type="auto"/>
            <w:hideMark/>
          </w:tcPr>
          <w:p w:rsidRPr="007938ED" w:rsidR="00D31E46" w:rsidRDefault="00D31E46" w14:paraId="4A89A227"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1D1E9021" w14:textId="77777777">
            <w:pPr>
              <w:rPr>
                <w:rFonts w:asciiTheme="majorHAnsi" w:hAnsiTheme="majorHAnsi"/>
                <w:sz w:val="18"/>
                <w:szCs w:val="12"/>
              </w:rPr>
            </w:pPr>
            <w:r w:rsidRPr="007938ED">
              <w:rPr>
                <w:rFonts w:asciiTheme="majorHAnsi" w:hAnsiTheme="majorHAnsi"/>
                <w:sz w:val="18"/>
                <w:szCs w:val="12"/>
              </w:rPr>
              <w:t>First year annual Therm gross</w:t>
            </w:r>
          </w:p>
        </w:tc>
        <w:tc>
          <w:tcPr>
            <w:tcW w:w="0" w:type="auto"/>
            <w:hideMark/>
          </w:tcPr>
          <w:p w:rsidRPr="007938ED" w:rsidR="00D31E46" w:rsidRDefault="00D31E46" w14:paraId="388C134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0CCB46E"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7832C2CA"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E67AFB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ACC4AA7"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5301E727" w14:textId="77777777">
        <w:trPr>
          <w:trHeight w:val="1200"/>
        </w:trPr>
        <w:tc>
          <w:tcPr>
            <w:tcW w:w="0" w:type="auto"/>
            <w:noWrap/>
            <w:hideMark/>
          </w:tcPr>
          <w:p w:rsidRPr="007938ED" w:rsidR="00D31E46" w:rsidP="00D31E46" w:rsidRDefault="00D31E46" w14:paraId="0F972896" w14:textId="77777777">
            <w:pPr>
              <w:rPr>
                <w:rFonts w:asciiTheme="majorHAnsi" w:hAnsiTheme="majorHAnsi"/>
                <w:sz w:val="18"/>
                <w:szCs w:val="12"/>
              </w:rPr>
            </w:pPr>
            <w:r w:rsidRPr="007938ED">
              <w:rPr>
                <w:rFonts w:asciiTheme="majorHAnsi" w:hAnsiTheme="majorHAnsi"/>
                <w:sz w:val="18"/>
                <w:szCs w:val="12"/>
              </w:rPr>
              <w:t>265</w:t>
            </w:r>
          </w:p>
        </w:tc>
        <w:tc>
          <w:tcPr>
            <w:tcW w:w="0" w:type="auto"/>
            <w:hideMark/>
          </w:tcPr>
          <w:p w:rsidRPr="007938ED" w:rsidR="00D31E46" w:rsidRDefault="00D31E46" w14:paraId="34FCC7E0"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608CBDDB" w14:textId="77777777">
            <w:pPr>
              <w:rPr>
                <w:rFonts w:asciiTheme="majorHAnsi" w:hAnsiTheme="majorHAnsi"/>
                <w:sz w:val="18"/>
                <w:szCs w:val="12"/>
              </w:rPr>
            </w:pPr>
            <w:r w:rsidRPr="007938ED">
              <w:rPr>
                <w:rFonts w:asciiTheme="majorHAnsi" w:hAnsiTheme="majorHAnsi"/>
                <w:sz w:val="18"/>
                <w:szCs w:val="12"/>
              </w:rPr>
              <w:t>First year annual Therm net</w:t>
            </w:r>
          </w:p>
        </w:tc>
        <w:tc>
          <w:tcPr>
            <w:tcW w:w="0" w:type="auto"/>
            <w:hideMark/>
          </w:tcPr>
          <w:p w:rsidRPr="007938ED" w:rsidR="00D31E46" w:rsidRDefault="00D31E46" w14:paraId="125C607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CED69E7"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3B04B75B"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EFB026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E97721F"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5C60A961" w14:textId="77777777">
        <w:trPr>
          <w:trHeight w:val="1200"/>
        </w:trPr>
        <w:tc>
          <w:tcPr>
            <w:tcW w:w="0" w:type="auto"/>
            <w:noWrap/>
            <w:hideMark/>
          </w:tcPr>
          <w:p w:rsidRPr="007938ED" w:rsidR="00D31E46" w:rsidP="00D31E46" w:rsidRDefault="00D31E46" w14:paraId="0B0D9F7C" w14:textId="77777777">
            <w:pPr>
              <w:rPr>
                <w:rFonts w:asciiTheme="majorHAnsi" w:hAnsiTheme="majorHAnsi"/>
                <w:sz w:val="18"/>
                <w:szCs w:val="12"/>
              </w:rPr>
            </w:pPr>
            <w:r w:rsidRPr="007938ED">
              <w:rPr>
                <w:rFonts w:asciiTheme="majorHAnsi" w:hAnsiTheme="majorHAnsi"/>
                <w:sz w:val="18"/>
                <w:szCs w:val="12"/>
              </w:rPr>
              <w:lastRenderedPageBreak/>
              <w:t>266</w:t>
            </w:r>
          </w:p>
        </w:tc>
        <w:tc>
          <w:tcPr>
            <w:tcW w:w="0" w:type="auto"/>
            <w:hideMark/>
          </w:tcPr>
          <w:p w:rsidRPr="007938ED" w:rsidR="00D31E46" w:rsidRDefault="00D31E46" w14:paraId="24AC0322"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7600F3D5" w14:textId="77777777">
            <w:pPr>
              <w:rPr>
                <w:rFonts w:asciiTheme="majorHAnsi" w:hAnsiTheme="majorHAnsi"/>
                <w:sz w:val="18"/>
                <w:szCs w:val="12"/>
              </w:rPr>
            </w:pPr>
            <w:r w:rsidRPr="007938ED">
              <w:rPr>
                <w:rFonts w:asciiTheme="majorHAnsi" w:hAnsiTheme="majorHAnsi"/>
                <w:sz w:val="18"/>
                <w:szCs w:val="12"/>
              </w:rPr>
              <w:t>Lifecycle ex-ante kW gross</w:t>
            </w:r>
          </w:p>
        </w:tc>
        <w:tc>
          <w:tcPr>
            <w:tcW w:w="0" w:type="auto"/>
            <w:hideMark/>
          </w:tcPr>
          <w:p w:rsidRPr="007938ED" w:rsidR="00D31E46" w:rsidRDefault="00D31E46" w14:paraId="1D97335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C990E9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6D147A4"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5B62C6E"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8D3473B"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167F471C" w14:textId="77777777">
        <w:trPr>
          <w:trHeight w:val="1200"/>
        </w:trPr>
        <w:tc>
          <w:tcPr>
            <w:tcW w:w="0" w:type="auto"/>
            <w:noWrap/>
            <w:hideMark/>
          </w:tcPr>
          <w:p w:rsidRPr="007938ED" w:rsidR="00D31E46" w:rsidP="00D31E46" w:rsidRDefault="00D31E46" w14:paraId="034ECD54" w14:textId="77777777">
            <w:pPr>
              <w:rPr>
                <w:rFonts w:asciiTheme="majorHAnsi" w:hAnsiTheme="majorHAnsi"/>
                <w:sz w:val="18"/>
                <w:szCs w:val="12"/>
              </w:rPr>
            </w:pPr>
            <w:r w:rsidRPr="007938ED">
              <w:rPr>
                <w:rFonts w:asciiTheme="majorHAnsi" w:hAnsiTheme="majorHAnsi"/>
                <w:sz w:val="18"/>
                <w:szCs w:val="12"/>
              </w:rPr>
              <w:t>267</w:t>
            </w:r>
          </w:p>
        </w:tc>
        <w:tc>
          <w:tcPr>
            <w:tcW w:w="0" w:type="auto"/>
            <w:hideMark/>
          </w:tcPr>
          <w:p w:rsidRPr="007938ED" w:rsidR="00D31E46" w:rsidRDefault="00D31E46" w14:paraId="0127AFE4"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6A935CEC" w14:textId="77777777">
            <w:pPr>
              <w:rPr>
                <w:rFonts w:asciiTheme="majorHAnsi" w:hAnsiTheme="majorHAnsi"/>
                <w:sz w:val="18"/>
                <w:szCs w:val="12"/>
              </w:rPr>
            </w:pPr>
            <w:r w:rsidRPr="007938ED">
              <w:rPr>
                <w:rFonts w:asciiTheme="majorHAnsi" w:hAnsiTheme="majorHAnsi"/>
                <w:sz w:val="18"/>
                <w:szCs w:val="12"/>
              </w:rPr>
              <w:t>Lifecycle ex-ante kW net</w:t>
            </w:r>
          </w:p>
        </w:tc>
        <w:tc>
          <w:tcPr>
            <w:tcW w:w="0" w:type="auto"/>
            <w:hideMark/>
          </w:tcPr>
          <w:p w:rsidRPr="007938ED" w:rsidR="00D31E46" w:rsidRDefault="00D31E46" w14:paraId="3260C92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612D5AF"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B9C6A9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AB24920"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4AC066C"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13BD6EB2" w14:textId="77777777">
        <w:trPr>
          <w:trHeight w:val="1200"/>
        </w:trPr>
        <w:tc>
          <w:tcPr>
            <w:tcW w:w="0" w:type="auto"/>
            <w:noWrap/>
            <w:hideMark/>
          </w:tcPr>
          <w:p w:rsidRPr="007938ED" w:rsidR="00D31E46" w:rsidP="00D31E46" w:rsidRDefault="00D31E46" w14:paraId="2BD7C9E6" w14:textId="77777777">
            <w:pPr>
              <w:rPr>
                <w:rFonts w:asciiTheme="majorHAnsi" w:hAnsiTheme="majorHAnsi"/>
                <w:sz w:val="18"/>
                <w:szCs w:val="12"/>
              </w:rPr>
            </w:pPr>
            <w:r w:rsidRPr="007938ED">
              <w:rPr>
                <w:rFonts w:asciiTheme="majorHAnsi" w:hAnsiTheme="majorHAnsi"/>
                <w:sz w:val="18"/>
                <w:szCs w:val="12"/>
              </w:rPr>
              <w:t>268</w:t>
            </w:r>
          </w:p>
        </w:tc>
        <w:tc>
          <w:tcPr>
            <w:tcW w:w="0" w:type="auto"/>
            <w:hideMark/>
          </w:tcPr>
          <w:p w:rsidRPr="007938ED" w:rsidR="00D31E46" w:rsidRDefault="00D31E46" w14:paraId="10695666"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3424325D" w14:textId="77777777">
            <w:pPr>
              <w:rPr>
                <w:rFonts w:asciiTheme="majorHAnsi" w:hAnsiTheme="majorHAnsi"/>
                <w:sz w:val="18"/>
                <w:szCs w:val="12"/>
              </w:rPr>
            </w:pPr>
            <w:r w:rsidRPr="007938ED">
              <w:rPr>
                <w:rFonts w:asciiTheme="majorHAnsi" w:hAnsiTheme="majorHAnsi"/>
                <w:sz w:val="18"/>
                <w:szCs w:val="12"/>
              </w:rPr>
              <w:t>Lifecycle ex-ante kWh gross</w:t>
            </w:r>
          </w:p>
        </w:tc>
        <w:tc>
          <w:tcPr>
            <w:tcW w:w="0" w:type="auto"/>
            <w:hideMark/>
          </w:tcPr>
          <w:p w:rsidRPr="007938ED" w:rsidR="00D31E46" w:rsidRDefault="00D31E46" w14:paraId="6BACF32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4F9D392"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5F367A27"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47F91C8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AC7881C"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09395C98" w14:textId="77777777">
        <w:trPr>
          <w:trHeight w:val="1200"/>
        </w:trPr>
        <w:tc>
          <w:tcPr>
            <w:tcW w:w="0" w:type="auto"/>
            <w:noWrap/>
            <w:hideMark/>
          </w:tcPr>
          <w:p w:rsidRPr="007938ED" w:rsidR="00D31E46" w:rsidP="00D31E46" w:rsidRDefault="00D31E46" w14:paraId="654C51F1" w14:textId="77777777">
            <w:pPr>
              <w:rPr>
                <w:rFonts w:asciiTheme="majorHAnsi" w:hAnsiTheme="majorHAnsi"/>
                <w:sz w:val="18"/>
                <w:szCs w:val="12"/>
              </w:rPr>
            </w:pPr>
            <w:r w:rsidRPr="007938ED">
              <w:rPr>
                <w:rFonts w:asciiTheme="majorHAnsi" w:hAnsiTheme="majorHAnsi"/>
                <w:sz w:val="18"/>
                <w:szCs w:val="12"/>
              </w:rPr>
              <w:t>269</w:t>
            </w:r>
          </w:p>
        </w:tc>
        <w:tc>
          <w:tcPr>
            <w:tcW w:w="0" w:type="auto"/>
            <w:hideMark/>
          </w:tcPr>
          <w:p w:rsidRPr="007938ED" w:rsidR="00D31E46" w:rsidRDefault="00D31E46" w14:paraId="3BF07BFE"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13D19944" w14:textId="77777777">
            <w:pPr>
              <w:rPr>
                <w:rFonts w:asciiTheme="majorHAnsi" w:hAnsiTheme="majorHAnsi"/>
                <w:sz w:val="18"/>
                <w:szCs w:val="12"/>
              </w:rPr>
            </w:pPr>
            <w:r w:rsidRPr="007938ED">
              <w:rPr>
                <w:rFonts w:asciiTheme="majorHAnsi" w:hAnsiTheme="majorHAnsi"/>
                <w:sz w:val="18"/>
                <w:szCs w:val="12"/>
              </w:rPr>
              <w:t>Lifecycle ex-ante kWh net</w:t>
            </w:r>
          </w:p>
        </w:tc>
        <w:tc>
          <w:tcPr>
            <w:tcW w:w="0" w:type="auto"/>
            <w:hideMark/>
          </w:tcPr>
          <w:p w:rsidRPr="007938ED" w:rsidR="00D31E46" w:rsidRDefault="00D31E46" w14:paraId="6AF17EF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DA0016D"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E6381A6"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1A7188F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0A0F08F"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32016C52" w14:textId="77777777">
        <w:trPr>
          <w:trHeight w:val="1200"/>
        </w:trPr>
        <w:tc>
          <w:tcPr>
            <w:tcW w:w="0" w:type="auto"/>
            <w:noWrap/>
            <w:hideMark/>
          </w:tcPr>
          <w:p w:rsidRPr="007938ED" w:rsidR="00D31E46" w:rsidP="00D31E46" w:rsidRDefault="00D31E46" w14:paraId="78A1E0FF" w14:textId="77777777">
            <w:pPr>
              <w:rPr>
                <w:rFonts w:asciiTheme="majorHAnsi" w:hAnsiTheme="majorHAnsi"/>
                <w:sz w:val="18"/>
                <w:szCs w:val="12"/>
              </w:rPr>
            </w:pPr>
            <w:r w:rsidRPr="007938ED">
              <w:rPr>
                <w:rFonts w:asciiTheme="majorHAnsi" w:hAnsiTheme="majorHAnsi"/>
                <w:sz w:val="18"/>
                <w:szCs w:val="12"/>
              </w:rPr>
              <w:t>270</w:t>
            </w:r>
          </w:p>
        </w:tc>
        <w:tc>
          <w:tcPr>
            <w:tcW w:w="0" w:type="auto"/>
            <w:hideMark/>
          </w:tcPr>
          <w:p w:rsidRPr="007938ED" w:rsidR="00D31E46" w:rsidRDefault="00D31E46" w14:paraId="75419629"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702AA917" w14:textId="77777777">
            <w:pPr>
              <w:rPr>
                <w:rFonts w:asciiTheme="majorHAnsi" w:hAnsiTheme="majorHAnsi"/>
                <w:sz w:val="18"/>
                <w:szCs w:val="12"/>
              </w:rPr>
            </w:pPr>
            <w:r w:rsidRPr="007938ED">
              <w:rPr>
                <w:rFonts w:asciiTheme="majorHAnsi" w:hAnsiTheme="majorHAnsi"/>
                <w:sz w:val="18"/>
                <w:szCs w:val="12"/>
              </w:rPr>
              <w:t>Lifecycle ex-ante Therm gross</w:t>
            </w:r>
          </w:p>
        </w:tc>
        <w:tc>
          <w:tcPr>
            <w:tcW w:w="0" w:type="auto"/>
            <w:hideMark/>
          </w:tcPr>
          <w:p w:rsidRPr="007938ED" w:rsidR="00D31E46" w:rsidRDefault="00D31E46" w14:paraId="2FA5BD7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46307B5"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662B4D12"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26388CB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627B5F3C"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1A8E9E9F" w14:textId="77777777">
        <w:trPr>
          <w:trHeight w:val="1200"/>
        </w:trPr>
        <w:tc>
          <w:tcPr>
            <w:tcW w:w="0" w:type="auto"/>
            <w:noWrap/>
            <w:hideMark/>
          </w:tcPr>
          <w:p w:rsidRPr="007938ED" w:rsidR="00D31E46" w:rsidP="00D31E46" w:rsidRDefault="00D31E46" w14:paraId="7BA5525D" w14:textId="77777777">
            <w:pPr>
              <w:rPr>
                <w:rFonts w:asciiTheme="majorHAnsi" w:hAnsiTheme="majorHAnsi"/>
                <w:sz w:val="18"/>
                <w:szCs w:val="12"/>
              </w:rPr>
            </w:pPr>
            <w:r w:rsidRPr="007938ED">
              <w:rPr>
                <w:rFonts w:asciiTheme="majorHAnsi" w:hAnsiTheme="majorHAnsi"/>
                <w:sz w:val="18"/>
                <w:szCs w:val="12"/>
              </w:rPr>
              <w:t>271</w:t>
            </w:r>
          </w:p>
        </w:tc>
        <w:tc>
          <w:tcPr>
            <w:tcW w:w="0" w:type="auto"/>
            <w:hideMark/>
          </w:tcPr>
          <w:p w:rsidRPr="007938ED" w:rsidR="00D31E46" w:rsidRDefault="00D31E46" w14:paraId="1055AC0E" w14:textId="77777777">
            <w:pPr>
              <w:rPr>
                <w:rFonts w:asciiTheme="majorHAnsi" w:hAnsiTheme="majorHAnsi"/>
                <w:sz w:val="18"/>
                <w:szCs w:val="12"/>
              </w:rPr>
            </w:pPr>
            <w:r w:rsidRPr="007938ED">
              <w:rPr>
                <w:rFonts w:asciiTheme="majorHAnsi" w:hAnsiTheme="majorHAnsi"/>
                <w:sz w:val="18"/>
                <w:szCs w:val="12"/>
              </w:rPr>
              <w:t>First year and lifecycle ex ante (pre‐evaluation) annualized gas, electric, and demand savings in agriculture sector, gross and net</w:t>
            </w:r>
          </w:p>
        </w:tc>
        <w:tc>
          <w:tcPr>
            <w:tcW w:w="0" w:type="auto"/>
            <w:noWrap/>
            <w:hideMark/>
          </w:tcPr>
          <w:p w:rsidRPr="007938ED" w:rsidR="00D31E46" w:rsidRDefault="00D31E46" w14:paraId="41B648B6" w14:textId="77777777">
            <w:pPr>
              <w:rPr>
                <w:rFonts w:asciiTheme="majorHAnsi" w:hAnsiTheme="majorHAnsi"/>
                <w:sz w:val="18"/>
                <w:szCs w:val="12"/>
              </w:rPr>
            </w:pPr>
            <w:r w:rsidRPr="007938ED">
              <w:rPr>
                <w:rFonts w:asciiTheme="majorHAnsi" w:hAnsiTheme="majorHAnsi"/>
                <w:sz w:val="18"/>
                <w:szCs w:val="12"/>
              </w:rPr>
              <w:t>Lifecycle ex-ante Therm net</w:t>
            </w:r>
          </w:p>
        </w:tc>
        <w:tc>
          <w:tcPr>
            <w:tcW w:w="0" w:type="auto"/>
            <w:hideMark/>
          </w:tcPr>
          <w:p w:rsidRPr="007938ED" w:rsidR="00D31E46" w:rsidRDefault="00D31E46" w14:paraId="09104DB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182A9B8"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CB5C6D2"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04992B0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3136822"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6A0DC731" w14:textId="77777777">
        <w:trPr>
          <w:trHeight w:val="1200"/>
        </w:trPr>
        <w:tc>
          <w:tcPr>
            <w:tcW w:w="0" w:type="auto"/>
            <w:noWrap/>
            <w:hideMark/>
          </w:tcPr>
          <w:p w:rsidRPr="007938ED" w:rsidR="00D31E46" w:rsidP="00D31E46" w:rsidRDefault="00D31E46" w14:paraId="6C67EB11" w14:textId="77777777">
            <w:pPr>
              <w:rPr>
                <w:rFonts w:asciiTheme="majorHAnsi" w:hAnsiTheme="majorHAnsi"/>
                <w:sz w:val="18"/>
                <w:szCs w:val="12"/>
              </w:rPr>
            </w:pPr>
            <w:r w:rsidRPr="007938ED">
              <w:rPr>
                <w:rFonts w:asciiTheme="majorHAnsi" w:hAnsiTheme="majorHAnsi"/>
                <w:sz w:val="18"/>
                <w:szCs w:val="12"/>
              </w:rPr>
              <w:lastRenderedPageBreak/>
              <w:t>272</w:t>
            </w:r>
          </w:p>
        </w:tc>
        <w:tc>
          <w:tcPr>
            <w:tcW w:w="0" w:type="auto"/>
            <w:hideMark/>
          </w:tcPr>
          <w:p w:rsidRPr="007938ED" w:rsidR="00D31E46" w:rsidRDefault="00D31E46" w14:paraId="69B1C995" w14:textId="77777777">
            <w:pPr>
              <w:rPr>
                <w:rFonts w:asciiTheme="majorHAnsi" w:hAnsiTheme="majorHAnsi"/>
                <w:sz w:val="18"/>
                <w:szCs w:val="12"/>
              </w:rPr>
            </w:pPr>
            <w:r w:rsidRPr="007938ED">
              <w:rPr>
                <w:rFonts w:asciiTheme="majorHAnsi" w:hAnsiTheme="majorHAnsi"/>
                <w:sz w:val="18"/>
                <w:szCs w:val="12"/>
              </w:rPr>
              <w:t>Greenhouse gasses (MT CO2eq) Net kWh savings, reported on an annual basis</w:t>
            </w:r>
          </w:p>
        </w:tc>
        <w:tc>
          <w:tcPr>
            <w:tcW w:w="0" w:type="auto"/>
            <w:hideMark/>
          </w:tcPr>
          <w:p w:rsidRPr="007938ED" w:rsidR="00D31E46" w:rsidRDefault="00D31E46" w14:paraId="648F543C" w14:textId="77777777">
            <w:pPr>
              <w:rPr>
                <w:rFonts w:asciiTheme="majorHAnsi" w:hAnsiTheme="majorHAnsi"/>
                <w:sz w:val="18"/>
                <w:szCs w:val="12"/>
              </w:rPr>
            </w:pPr>
            <w:r w:rsidRPr="007938ED">
              <w:rPr>
                <w:rFonts w:asciiTheme="majorHAnsi" w:hAnsiTheme="majorHAnsi"/>
                <w:sz w:val="18"/>
                <w:szCs w:val="12"/>
              </w:rPr>
              <w:t>CO2-equivalent of net annual kWh savings</w:t>
            </w:r>
          </w:p>
        </w:tc>
        <w:tc>
          <w:tcPr>
            <w:tcW w:w="0" w:type="auto"/>
            <w:hideMark/>
          </w:tcPr>
          <w:p w:rsidRPr="007938ED" w:rsidR="00D31E46" w:rsidRDefault="00D31E46" w14:paraId="699F6C5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40C510D" w14:textId="77777777">
            <w:pPr>
              <w:rPr>
                <w:rFonts w:asciiTheme="majorHAnsi" w:hAnsiTheme="majorHAnsi"/>
                <w:sz w:val="18"/>
                <w:szCs w:val="12"/>
              </w:rPr>
            </w:pPr>
            <w:r w:rsidRPr="007938ED">
              <w:rPr>
                <w:rFonts w:asciiTheme="majorHAnsi" w:hAnsiTheme="majorHAnsi"/>
                <w:sz w:val="18"/>
                <w:szCs w:val="12"/>
              </w:rPr>
              <w:t>GHG</w:t>
            </w:r>
          </w:p>
        </w:tc>
        <w:tc>
          <w:tcPr>
            <w:tcW w:w="0" w:type="auto"/>
            <w:hideMark/>
          </w:tcPr>
          <w:p w:rsidRPr="007938ED" w:rsidR="00D31E46" w:rsidP="00D31E46" w:rsidRDefault="00D31E46" w14:paraId="078E147A"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70B43AFF"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D484F0F" w14:textId="77777777">
            <w:pPr>
              <w:rPr>
                <w:rFonts w:asciiTheme="majorHAnsi" w:hAnsiTheme="majorHAnsi"/>
                <w:sz w:val="18"/>
                <w:szCs w:val="12"/>
              </w:rPr>
            </w:pPr>
            <w:r w:rsidRPr="007938ED">
              <w:rPr>
                <w:rFonts w:asciiTheme="majorHAnsi" w:hAnsiTheme="majorHAnsi"/>
                <w:sz w:val="18"/>
                <w:szCs w:val="12"/>
              </w:rPr>
              <w:t>MT CO2eq</w:t>
            </w:r>
          </w:p>
        </w:tc>
      </w:tr>
      <w:tr w:rsidRPr="007938ED" w:rsidR="00CE6F7B" w:rsidTr="007938ED" w14:paraId="1A72B47C" w14:textId="77777777">
        <w:trPr>
          <w:trHeight w:val="1200"/>
        </w:trPr>
        <w:tc>
          <w:tcPr>
            <w:tcW w:w="0" w:type="auto"/>
            <w:noWrap/>
            <w:hideMark/>
          </w:tcPr>
          <w:p w:rsidRPr="007938ED" w:rsidR="00D31E46" w:rsidP="00D31E46" w:rsidRDefault="00D31E46" w14:paraId="2D9F8D5A" w14:textId="77777777">
            <w:pPr>
              <w:rPr>
                <w:rFonts w:asciiTheme="majorHAnsi" w:hAnsiTheme="majorHAnsi"/>
                <w:sz w:val="18"/>
                <w:szCs w:val="12"/>
              </w:rPr>
            </w:pPr>
            <w:r w:rsidRPr="007938ED">
              <w:rPr>
                <w:rFonts w:asciiTheme="majorHAnsi" w:hAnsiTheme="majorHAnsi"/>
                <w:sz w:val="18"/>
                <w:szCs w:val="12"/>
              </w:rPr>
              <w:t>273</w:t>
            </w:r>
          </w:p>
        </w:tc>
        <w:tc>
          <w:tcPr>
            <w:tcW w:w="0" w:type="auto"/>
            <w:hideMark/>
          </w:tcPr>
          <w:p w:rsidRPr="007938ED" w:rsidR="00D31E46" w:rsidRDefault="00D31E46" w14:paraId="5CFE7469"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medium and large customers</w:t>
            </w:r>
          </w:p>
        </w:tc>
        <w:tc>
          <w:tcPr>
            <w:tcW w:w="0" w:type="auto"/>
            <w:hideMark/>
          </w:tcPr>
          <w:p w:rsidRPr="007938ED" w:rsidR="00D31E46" w:rsidRDefault="00D31E46" w14:paraId="28C4BB42"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large customers</w:t>
            </w:r>
          </w:p>
        </w:tc>
        <w:tc>
          <w:tcPr>
            <w:tcW w:w="0" w:type="auto"/>
            <w:hideMark/>
          </w:tcPr>
          <w:p w:rsidRPr="007938ED" w:rsidR="00D31E46" w:rsidRDefault="00D31E46" w14:paraId="1E50A80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74AA7E1"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261710F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DF2D6B4"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823A4B6"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718F92D5" w14:textId="77777777">
        <w:trPr>
          <w:trHeight w:val="1200"/>
        </w:trPr>
        <w:tc>
          <w:tcPr>
            <w:tcW w:w="0" w:type="auto"/>
            <w:noWrap/>
            <w:hideMark/>
          </w:tcPr>
          <w:p w:rsidRPr="007938ED" w:rsidR="00D31E46" w:rsidP="00D31E46" w:rsidRDefault="00D31E46" w14:paraId="3D82AEC5" w14:textId="77777777">
            <w:pPr>
              <w:rPr>
                <w:rFonts w:asciiTheme="majorHAnsi" w:hAnsiTheme="majorHAnsi"/>
                <w:sz w:val="18"/>
                <w:szCs w:val="12"/>
              </w:rPr>
            </w:pPr>
            <w:r w:rsidRPr="007938ED">
              <w:rPr>
                <w:rFonts w:asciiTheme="majorHAnsi" w:hAnsiTheme="majorHAnsi"/>
                <w:sz w:val="18"/>
                <w:szCs w:val="12"/>
              </w:rPr>
              <w:t>274</w:t>
            </w:r>
          </w:p>
        </w:tc>
        <w:tc>
          <w:tcPr>
            <w:tcW w:w="0" w:type="auto"/>
            <w:hideMark/>
          </w:tcPr>
          <w:p w:rsidRPr="007938ED" w:rsidR="00D31E46" w:rsidRDefault="00D31E46" w14:paraId="59779E78"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medium and large customers</w:t>
            </w:r>
          </w:p>
        </w:tc>
        <w:tc>
          <w:tcPr>
            <w:tcW w:w="0" w:type="auto"/>
            <w:hideMark/>
          </w:tcPr>
          <w:p w:rsidRPr="007938ED" w:rsidR="00D31E46" w:rsidRDefault="00D31E46" w14:paraId="5D0758CE"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medium customers</w:t>
            </w:r>
          </w:p>
        </w:tc>
        <w:tc>
          <w:tcPr>
            <w:tcW w:w="0" w:type="auto"/>
            <w:hideMark/>
          </w:tcPr>
          <w:p w:rsidRPr="007938ED" w:rsidR="00D31E46" w:rsidRDefault="00D31E46" w14:paraId="7DE6B04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6064F2B"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0B17EC5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FD225D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C025BFC"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346997D3" w14:textId="77777777">
        <w:trPr>
          <w:trHeight w:val="1200"/>
        </w:trPr>
        <w:tc>
          <w:tcPr>
            <w:tcW w:w="0" w:type="auto"/>
            <w:noWrap/>
            <w:hideMark/>
          </w:tcPr>
          <w:p w:rsidRPr="007938ED" w:rsidR="00D31E46" w:rsidP="00D31E46" w:rsidRDefault="00D31E46" w14:paraId="2C00EFBD" w14:textId="77777777">
            <w:pPr>
              <w:rPr>
                <w:rFonts w:asciiTheme="majorHAnsi" w:hAnsiTheme="majorHAnsi"/>
                <w:sz w:val="18"/>
                <w:szCs w:val="12"/>
              </w:rPr>
            </w:pPr>
            <w:r w:rsidRPr="007938ED">
              <w:rPr>
                <w:rFonts w:asciiTheme="majorHAnsi" w:hAnsiTheme="majorHAnsi"/>
                <w:sz w:val="18"/>
                <w:szCs w:val="12"/>
              </w:rPr>
              <w:t>275</w:t>
            </w:r>
          </w:p>
        </w:tc>
        <w:tc>
          <w:tcPr>
            <w:tcW w:w="0" w:type="auto"/>
            <w:hideMark/>
          </w:tcPr>
          <w:p w:rsidRPr="007938ED" w:rsidR="00D31E46" w:rsidRDefault="00D31E46" w14:paraId="3AF9F0F7"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medium and large customers</w:t>
            </w:r>
          </w:p>
        </w:tc>
        <w:tc>
          <w:tcPr>
            <w:tcW w:w="0" w:type="auto"/>
            <w:hideMark/>
          </w:tcPr>
          <w:p w:rsidRPr="007938ED" w:rsidR="00D31E46" w:rsidRDefault="00D31E46" w14:paraId="219DFC43" w14:textId="77777777">
            <w:pPr>
              <w:rPr>
                <w:rFonts w:asciiTheme="majorHAnsi" w:hAnsiTheme="majorHAnsi"/>
                <w:sz w:val="18"/>
                <w:szCs w:val="12"/>
              </w:rPr>
            </w:pPr>
            <w:r w:rsidRPr="007938ED">
              <w:rPr>
                <w:rFonts w:asciiTheme="majorHAnsi" w:hAnsiTheme="majorHAnsi"/>
                <w:sz w:val="18"/>
                <w:szCs w:val="12"/>
              </w:rPr>
              <w:t>Percent of participation relative to eligible population for small customers</w:t>
            </w:r>
          </w:p>
        </w:tc>
        <w:tc>
          <w:tcPr>
            <w:tcW w:w="0" w:type="auto"/>
            <w:hideMark/>
          </w:tcPr>
          <w:p w:rsidRPr="007938ED" w:rsidR="00D31E46" w:rsidRDefault="00D31E46" w14:paraId="44E3699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35671C3" w14:textId="77777777">
            <w:pPr>
              <w:rPr>
                <w:rFonts w:asciiTheme="majorHAnsi" w:hAnsiTheme="majorHAnsi"/>
                <w:sz w:val="18"/>
                <w:szCs w:val="12"/>
              </w:rPr>
            </w:pPr>
            <w:r w:rsidRPr="007938ED">
              <w:rPr>
                <w:rFonts w:asciiTheme="majorHAnsi" w:hAnsiTheme="majorHAnsi"/>
                <w:sz w:val="18"/>
                <w:szCs w:val="12"/>
              </w:rPr>
              <w:t>Penetration</w:t>
            </w:r>
          </w:p>
        </w:tc>
        <w:tc>
          <w:tcPr>
            <w:tcW w:w="0" w:type="auto"/>
            <w:hideMark/>
          </w:tcPr>
          <w:p w:rsidRPr="007938ED" w:rsidR="00D31E46" w:rsidP="00D31E46" w:rsidRDefault="00D31E46" w14:paraId="0657309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9F0CAA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59B5DC9"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31A5868B" w14:textId="77777777">
        <w:trPr>
          <w:trHeight w:val="1200"/>
        </w:trPr>
        <w:tc>
          <w:tcPr>
            <w:tcW w:w="0" w:type="auto"/>
            <w:noWrap/>
            <w:hideMark/>
          </w:tcPr>
          <w:p w:rsidRPr="007938ED" w:rsidR="00D31E46" w:rsidP="00D31E46" w:rsidRDefault="00D31E46" w14:paraId="51F24F25" w14:textId="77777777">
            <w:pPr>
              <w:rPr>
                <w:rFonts w:asciiTheme="majorHAnsi" w:hAnsiTheme="majorHAnsi"/>
                <w:sz w:val="18"/>
                <w:szCs w:val="12"/>
              </w:rPr>
            </w:pPr>
            <w:r w:rsidRPr="007938ED">
              <w:rPr>
                <w:rFonts w:asciiTheme="majorHAnsi" w:hAnsiTheme="majorHAnsi"/>
                <w:sz w:val="18"/>
                <w:szCs w:val="12"/>
              </w:rPr>
              <w:t>276</w:t>
            </w:r>
          </w:p>
        </w:tc>
        <w:tc>
          <w:tcPr>
            <w:tcW w:w="0" w:type="auto"/>
            <w:hideMark/>
          </w:tcPr>
          <w:p w:rsidRPr="007938ED" w:rsidR="00D31E46" w:rsidRDefault="00D31E46" w14:paraId="57D321F2"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59CA2325" w14:textId="77777777">
            <w:pPr>
              <w:rPr>
                <w:rFonts w:asciiTheme="majorHAnsi" w:hAnsiTheme="majorHAnsi"/>
                <w:sz w:val="18"/>
                <w:szCs w:val="12"/>
              </w:rPr>
            </w:pPr>
            <w:r w:rsidRPr="007938ED">
              <w:rPr>
                <w:rFonts w:asciiTheme="majorHAnsi" w:hAnsiTheme="majorHAnsi"/>
                <w:sz w:val="18"/>
                <w:szCs w:val="12"/>
              </w:rPr>
              <w:t>PAC Levelized Cost ($/kW)</w:t>
            </w:r>
          </w:p>
        </w:tc>
        <w:tc>
          <w:tcPr>
            <w:tcW w:w="0" w:type="auto"/>
            <w:hideMark/>
          </w:tcPr>
          <w:p w:rsidRPr="007938ED" w:rsidR="00D31E46" w:rsidRDefault="00D31E46" w14:paraId="3AB3214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5115F2B"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067CA01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616069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607BB34"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637BC2AE" w14:textId="77777777">
        <w:trPr>
          <w:trHeight w:val="1200"/>
        </w:trPr>
        <w:tc>
          <w:tcPr>
            <w:tcW w:w="0" w:type="auto"/>
            <w:noWrap/>
            <w:hideMark/>
          </w:tcPr>
          <w:p w:rsidRPr="007938ED" w:rsidR="00D31E46" w:rsidP="00D31E46" w:rsidRDefault="00D31E46" w14:paraId="3627555E" w14:textId="77777777">
            <w:pPr>
              <w:rPr>
                <w:rFonts w:asciiTheme="majorHAnsi" w:hAnsiTheme="majorHAnsi"/>
                <w:sz w:val="18"/>
                <w:szCs w:val="12"/>
              </w:rPr>
            </w:pPr>
            <w:r w:rsidRPr="007938ED">
              <w:rPr>
                <w:rFonts w:asciiTheme="majorHAnsi" w:hAnsiTheme="majorHAnsi"/>
                <w:sz w:val="18"/>
                <w:szCs w:val="12"/>
              </w:rPr>
              <w:t>277</w:t>
            </w:r>
          </w:p>
        </w:tc>
        <w:tc>
          <w:tcPr>
            <w:tcW w:w="0" w:type="auto"/>
            <w:hideMark/>
          </w:tcPr>
          <w:p w:rsidRPr="007938ED" w:rsidR="00D31E46" w:rsidRDefault="00D31E46" w14:paraId="1E02CCF2"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6C7D1290" w14:textId="77777777">
            <w:pPr>
              <w:rPr>
                <w:rFonts w:asciiTheme="majorHAnsi" w:hAnsiTheme="majorHAnsi"/>
                <w:sz w:val="18"/>
                <w:szCs w:val="12"/>
              </w:rPr>
            </w:pPr>
            <w:r w:rsidRPr="007938ED">
              <w:rPr>
                <w:rFonts w:asciiTheme="majorHAnsi" w:hAnsiTheme="majorHAnsi"/>
                <w:sz w:val="18"/>
                <w:szCs w:val="12"/>
              </w:rPr>
              <w:t>PAC Levelized Cost ($/kWh)</w:t>
            </w:r>
          </w:p>
        </w:tc>
        <w:tc>
          <w:tcPr>
            <w:tcW w:w="0" w:type="auto"/>
            <w:hideMark/>
          </w:tcPr>
          <w:p w:rsidRPr="007938ED" w:rsidR="00D31E46" w:rsidRDefault="00D31E46" w14:paraId="153E166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9EF0DAC"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32EC2A32"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91B882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043C8D1"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6E939F63" w14:textId="77777777">
        <w:trPr>
          <w:trHeight w:val="1200"/>
        </w:trPr>
        <w:tc>
          <w:tcPr>
            <w:tcW w:w="0" w:type="auto"/>
            <w:noWrap/>
            <w:hideMark/>
          </w:tcPr>
          <w:p w:rsidRPr="007938ED" w:rsidR="00D31E46" w:rsidP="00D31E46" w:rsidRDefault="00D31E46" w14:paraId="1DE8755D" w14:textId="77777777">
            <w:pPr>
              <w:rPr>
                <w:rFonts w:asciiTheme="majorHAnsi" w:hAnsiTheme="majorHAnsi"/>
                <w:sz w:val="18"/>
                <w:szCs w:val="12"/>
              </w:rPr>
            </w:pPr>
            <w:r w:rsidRPr="007938ED">
              <w:rPr>
                <w:rFonts w:asciiTheme="majorHAnsi" w:hAnsiTheme="majorHAnsi"/>
                <w:sz w:val="18"/>
                <w:szCs w:val="12"/>
              </w:rPr>
              <w:lastRenderedPageBreak/>
              <w:t>278</w:t>
            </w:r>
          </w:p>
        </w:tc>
        <w:tc>
          <w:tcPr>
            <w:tcW w:w="0" w:type="auto"/>
            <w:hideMark/>
          </w:tcPr>
          <w:p w:rsidRPr="007938ED" w:rsidR="00D31E46" w:rsidRDefault="00D31E46" w14:paraId="79EB36B1"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4F9E1032" w14:textId="77777777">
            <w:pPr>
              <w:rPr>
                <w:rFonts w:asciiTheme="majorHAnsi" w:hAnsiTheme="majorHAnsi"/>
                <w:sz w:val="18"/>
                <w:szCs w:val="12"/>
              </w:rPr>
            </w:pPr>
            <w:r w:rsidRPr="007938ED">
              <w:rPr>
                <w:rFonts w:asciiTheme="majorHAnsi" w:hAnsiTheme="majorHAnsi"/>
                <w:sz w:val="18"/>
                <w:szCs w:val="12"/>
              </w:rPr>
              <w:t>PAC Levelized Cost ($/therm)</w:t>
            </w:r>
          </w:p>
        </w:tc>
        <w:tc>
          <w:tcPr>
            <w:tcW w:w="0" w:type="auto"/>
            <w:hideMark/>
          </w:tcPr>
          <w:p w:rsidRPr="007938ED" w:rsidR="00D31E46" w:rsidRDefault="00D31E46" w14:paraId="7DE03D9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EA75ACB"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1552D35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581C5C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E8C7C90"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315CC6EC" w14:textId="77777777">
        <w:trPr>
          <w:trHeight w:val="1200"/>
        </w:trPr>
        <w:tc>
          <w:tcPr>
            <w:tcW w:w="0" w:type="auto"/>
            <w:noWrap/>
            <w:hideMark/>
          </w:tcPr>
          <w:p w:rsidRPr="007938ED" w:rsidR="00D31E46" w:rsidP="00D31E46" w:rsidRDefault="00D31E46" w14:paraId="30569B91" w14:textId="77777777">
            <w:pPr>
              <w:rPr>
                <w:rFonts w:asciiTheme="majorHAnsi" w:hAnsiTheme="majorHAnsi"/>
                <w:sz w:val="18"/>
                <w:szCs w:val="12"/>
              </w:rPr>
            </w:pPr>
            <w:r w:rsidRPr="007938ED">
              <w:rPr>
                <w:rFonts w:asciiTheme="majorHAnsi" w:hAnsiTheme="majorHAnsi"/>
                <w:sz w:val="18"/>
                <w:szCs w:val="12"/>
              </w:rPr>
              <w:t>279</w:t>
            </w:r>
          </w:p>
        </w:tc>
        <w:tc>
          <w:tcPr>
            <w:tcW w:w="0" w:type="auto"/>
            <w:hideMark/>
          </w:tcPr>
          <w:p w:rsidRPr="007938ED" w:rsidR="00D31E46" w:rsidRDefault="00D31E46" w14:paraId="059AD43C"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1FCCAB02" w14:textId="77777777">
            <w:pPr>
              <w:rPr>
                <w:rFonts w:asciiTheme="majorHAnsi" w:hAnsiTheme="majorHAnsi"/>
                <w:sz w:val="18"/>
                <w:szCs w:val="12"/>
              </w:rPr>
            </w:pPr>
            <w:r w:rsidRPr="007938ED">
              <w:rPr>
                <w:rFonts w:asciiTheme="majorHAnsi" w:hAnsiTheme="majorHAnsi"/>
                <w:sz w:val="18"/>
                <w:szCs w:val="12"/>
              </w:rPr>
              <w:t>TRC Levelized Cost ($/kW)</w:t>
            </w:r>
          </w:p>
        </w:tc>
        <w:tc>
          <w:tcPr>
            <w:tcW w:w="0" w:type="auto"/>
            <w:hideMark/>
          </w:tcPr>
          <w:p w:rsidRPr="007938ED" w:rsidR="00D31E46" w:rsidRDefault="00D31E46" w14:paraId="09C941D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8EEE3D1"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4FA68A3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310354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FD960A0"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7752F08F" w14:textId="77777777">
        <w:trPr>
          <w:trHeight w:val="1200"/>
        </w:trPr>
        <w:tc>
          <w:tcPr>
            <w:tcW w:w="0" w:type="auto"/>
            <w:noWrap/>
            <w:hideMark/>
          </w:tcPr>
          <w:p w:rsidRPr="007938ED" w:rsidR="00D31E46" w:rsidP="00D31E46" w:rsidRDefault="00D31E46" w14:paraId="4F481BAF" w14:textId="77777777">
            <w:pPr>
              <w:rPr>
                <w:rFonts w:asciiTheme="majorHAnsi" w:hAnsiTheme="majorHAnsi"/>
                <w:sz w:val="18"/>
                <w:szCs w:val="12"/>
              </w:rPr>
            </w:pPr>
            <w:r w:rsidRPr="007938ED">
              <w:rPr>
                <w:rFonts w:asciiTheme="majorHAnsi" w:hAnsiTheme="majorHAnsi"/>
                <w:sz w:val="18"/>
                <w:szCs w:val="12"/>
              </w:rPr>
              <w:t>280</w:t>
            </w:r>
          </w:p>
        </w:tc>
        <w:tc>
          <w:tcPr>
            <w:tcW w:w="0" w:type="auto"/>
            <w:hideMark/>
          </w:tcPr>
          <w:p w:rsidRPr="007938ED" w:rsidR="00D31E46" w:rsidRDefault="00D31E46" w14:paraId="1C5ADB26"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6495FAB9" w14:textId="77777777">
            <w:pPr>
              <w:rPr>
                <w:rFonts w:asciiTheme="majorHAnsi" w:hAnsiTheme="majorHAnsi"/>
                <w:sz w:val="18"/>
                <w:szCs w:val="12"/>
              </w:rPr>
            </w:pPr>
            <w:r w:rsidRPr="007938ED">
              <w:rPr>
                <w:rFonts w:asciiTheme="majorHAnsi" w:hAnsiTheme="majorHAnsi"/>
                <w:sz w:val="18"/>
                <w:szCs w:val="12"/>
              </w:rPr>
              <w:t>TRC Levelized Cost ($/kWh)</w:t>
            </w:r>
          </w:p>
        </w:tc>
        <w:tc>
          <w:tcPr>
            <w:tcW w:w="0" w:type="auto"/>
            <w:hideMark/>
          </w:tcPr>
          <w:p w:rsidRPr="007938ED" w:rsidR="00D31E46" w:rsidRDefault="00D31E46" w14:paraId="68C074B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A4A1401"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46EE3272"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B120F3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EDE759D"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2EBB8614" w14:textId="77777777">
        <w:trPr>
          <w:trHeight w:val="1200"/>
        </w:trPr>
        <w:tc>
          <w:tcPr>
            <w:tcW w:w="0" w:type="auto"/>
            <w:noWrap/>
            <w:hideMark/>
          </w:tcPr>
          <w:p w:rsidRPr="007938ED" w:rsidR="00D31E46" w:rsidP="00D31E46" w:rsidRDefault="00D31E46" w14:paraId="43E386B3" w14:textId="77777777">
            <w:pPr>
              <w:rPr>
                <w:rFonts w:asciiTheme="majorHAnsi" w:hAnsiTheme="majorHAnsi"/>
                <w:sz w:val="18"/>
                <w:szCs w:val="12"/>
              </w:rPr>
            </w:pPr>
            <w:r w:rsidRPr="007938ED">
              <w:rPr>
                <w:rFonts w:asciiTheme="majorHAnsi" w:hAnsiTheme="majorHAnsi"/>
                <w:sz w:val="18"/>
                <w:szCs w:val="12"/>
              </w:rPr>
              <w:t>281</w:t>
            </w:r>
          </w:p>
        </w:tc>
        <w:tc>
          <w:tcPr>
            <w:tcW w:w="0" w:type="auto"/>
            <w:hideMark/>
          </w:tcPr>
          <w:p w:rsidRPr="007938ED" w:rsidR="00D31E46" w:rsidRDefault="00D31E46" w14:paraId="0AB35879" w14:textId="77777777">
            <w:pPr>
              <w:rPr>
                <w:rFonts w:asciiTheme="majorHAnsi" w:hAnsiTheme="majorHAnsi"/>
                <w:sz w:val="18"/>
                <w:szCs w:val="12"/>
              </w:rPr>
            </w:pPr>
            <w:r w:rsidRPr="007938ED">
              <w:rPr>
                <w:rFonts w:asciiTheme="majorHAnsi" w:hAnsiTheme="majorHAnsi"/>
                <w:sz w:val="18"/>
                <w:szCs w:val="12"/>
              </w:rPr>
              <w:t>Levelized cost of energy efficiency per kWh, therm and kW (use both TRC and PAC)</w:t>
            </w:r>
          </w:p>
        </w:tc>
        <w:tc>
          <w:tcPr>
            <w:tcW w:w="0" w:type="auto"/>
            <w:hideMark/>
          </w:tcPr>
          <w:p w:rsidRPr="007938ED" w:rsidR="00D31E46" w:rsidRDefault="00D31E46" w14:paraId="1D55CC76" w14:textId="77777777">
            <w:pPr>
              <w:rPr>
                <w:rFonts w:asciiTheme="majorHAnsi" w:hAnsiTheme="majorHAnsi"/>
                <w:sz w:val="18"/>
                <w:szCs w:val="12"/>
              </w:rPr>
            </w:pPr>
            <w:r w:rsidRPr="007938ED">
              <w:rPr>
                <w:rFonts w:asciiTheme="majorHAnsi" w:hAnsiTheme="majorHAnsi"/>
                <w:sz w:val="18"/>
                <w:szCs w:val="12"/>
              </w:rPr>
              <w:t>TRC Levelized Cost ($/therm)</w:t>
            </w:r>
          </w:p>
        </w:tc>
        <w:tc>
          <w:tcPr>
            <w:tcW w:w="0" w:type="auto"/>
            <w:hideMark/>
          </w:tcPr>
          <w:p w:rsidRPr="007938ED" w:rsidR="00D31E46" w:rsidRDefault="00D31E46" w14:paraId="7F918EA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E1B6B73" w14:textId="77777777">
            <w:pPr>
              <w:rPr>
                <w:rFonts w:asciiTheme="majorHAnsi" w:hAnsiTheme="majorHAnsi"/>
                <w:sz w:val="18"/>
                <w:szCs w:val="12"/>
              </w:rPr>
            </w:pPr>
            <w:r w:rsidRPr="007938ED">
              <w:rPr>
                <w:rFonts w:asciiTheme="majorHAnsi" w:hAnsiTheme="majorHAnsi"/>
                <w:sz w:val="18"/>
                <w:szCs w:val="12"/>
              </w:rPr>
              <w:t>Cost per unit saved</w:t>
            </w:r>
          </w:p>
        </w:tc>
        <w:tc>
          <w:tcPr>
            <w:tcW w:w="0" w:type="auto"/>
            <w:hideMark/>
          </w:tcPr>
          <w:p w:rsidRPr="007938ED" w:rsidR="00D31E46" w:rsidP="00D31E46" w:rsidRDefault="00D31E46" w14:paraId="4CF5E422"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03DBF8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BE942FC"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12EF06A8" w14:textId="77777777">
        <w:trPr>
          <w:trHeight w:val="1200"/>
        </w:trPr>
        <w:tc>
          <w:tcPr>
            <w:tcW w:w="0" w:type="auto"/>
            <w:noWrap/>
            <w:hideMark/>
          </w:tcPr>
          <w:p w:rsidRPr="007938ED" w:rsidR="00D31E46" w:rsidP="00D31E46" w:rsidRDefault="00D31E46" w14:paraId="6B138082" w14:textId="77777777">
            <w:pPr>
              <w:rPr>
                <w:rFonts w:asciiTheme="majorHAnsi" w:hAnsiTheme="majorHAnsi"/>
                <w:sz w:val="18"/>
                <w:szCs w:val="12"/>
              </w:rPr>
            </w:pPr>
            <w:r w:rsidRPr="007938ED">
              <w:rPr>
                <w:rFonts w:asciiTheme="majorHAnsi" w:hAnsiTheme="majorHAnsi"/>
                <w:sz w:val="18"/>
                <w:szCs w:val="12"/>
              </w:rPr>
              <w:t>282</w:t>
            </w:r>
          </w:p>
        </w:tc>
        <w:tc>
          <w:tcPr>
            <w:tcW w:w="0" w:type="auto"/>
            <w:hideMark/>
          </w:tcPr>
          <w:p w:rsidRPr="007938ED" w:rsidR="00D31E46" w:rsidRDefault="00D31E46" w14:paraId="6635F3DC" w14:textId="77777777">
            <w:pPr>
              <w:rPr>
                <w:rFonts w:asciiTheme="majorHAnsi" w:hAnsiTheme="majorHAnsi"/>
                <w:sz w:val="18"/>
                <w:szCs w:val="12"/>
              </w:rPr>
            </w:pPr>
            <w:r w:rsidRPr="007938ED">
              <w:rPr>
                <w:rFonts w:asciiTheme="majorHAnsi" w:hAnsiTheme="majorHAnsi"/>
                <w:sz w:val="18"/>
                <w:szCs w:val="12"/>
              </w:rPr>
              <w:t>Net Energy Savings: GWH</w:t>
            </w:r>
          </w:p>
        </w:tc>
        <w:tc>
          <w:tcPr>
            <w:tcW w:w="0" w:type="auto"/>
            <w:hideMark/>
          </w:tcPr>
          <w:p w:rsidRPr="007938ED" w:rsidR="00D31E46" w:rsidRDefault="00D31E46" w14:paraId="3ED929D8" w14:textId="77777777">
            <w:pPr>
              <w:rPr>
                <w:rFonts w:asciiTheme="majorHAnsi" w:hAnsiTheme="majorHAnsi"/>
                <w:sz w:val="18"/>
                <w:szCs w:val="12"/>
              </w:rPr>
            </w:pPr>
            <w:r w:rsidRPr="007938ED">
              <w:rPr>
                <w:rFonts w:asciiTheme="majorHAnsi" w:hAnsiTheme="majorHAnsi"/>
                <w:sz w:val="18"/>
                <w:szCs w:val="12"/>
              </w:rPr>
              <w:t>Net GWh savings</w:t>
            </w:r>
          </w:p>
        </w:tc>
        <w:tc>
          <w:tcPr>
            <w:tcW w:w="0" w:type="auto"/>
            <w:hideMark/>
          </w:tcPr>
          <w:p w:rsidRPr="007938ED" w:rsidR="00D31E46" w:rsidRDefault="00D31E46" w14:paraId="2C27250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4C4440C"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28737DA4"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71A7CB0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D24AC33" w14:textId="77777777">
            <w:pPr>
              <w:rPr>
                <w:rFonts w:asciiTheme="majorHAnsi" w:hAnsiTheme="majorHAnsi"/>
                <w:sz w:val="18"/>
                <w:szCs w:val="12"/>
              </w:rPr>
            </w:pPr>
            <w:r w:rsidRPr="007938ED">
              <w:rPr>
                <w:rFonts w:asciiTheme="majorHAnsi" w:hAnsiTheme="majorHAnsi"/>
                <w:sz w:val="18"/>
                <w:szCs w:val="12"/>
              </w:rPr>
              <w:t>Net GWh</w:t>
            </w:r>
          </w:p>
        </w:tc>
      </w:tr>
      <w:tr w:rsidRPr="007938ED" w:rsidR="00CE6F7B" w:rsidTr="007938ED" w14:paraId="3BE422B3" w14:textId="77777777">
        <w:trPr>
          <w:trHeight w:val="1200"/>
        </w:trPr>
        <w:tc>
          <w:tcPr>
            <w:tcW w:w="0" w:type="auto"/>
            <w:noWrap/>
            <w:hideMark/>
          </w:tcPr>
          <w:p w:rsidRPr="007938ED" w:rsidR="00D31E46" w:rsidP="00D31E46" w:rsidRDefault="00D31E46" w14:paraId="76DF249C" w14:textId="77777777">
            <w:pPr>
              <w:rPr>
                <w:rFonts w:asciiTheme="majorHAnsi" w:hAnsiTheme="majorHAnsi"/>
                <w:sz w:val="18"/>
                <w:szCs w:val="12"/>
              </w:rPr>
            </w:pPr>
            <w:r w:rsidRPr="007938ED">
              <w:rPr>
                <w:rFonts w:asciiTheme="majorHAnsi" w:hAnsiTheme="majorHAnsi"/>
                <w:sz w:val="18"/>
                <w:szCs w:val="12"/>
              </w:rPr>
              <w:t>283</w:t>
            </w:r>
          </w:p>
        </w:tc>
        <w:tc>
          <w:tcPr>
            <w:tcW w:w="0" w:type="auto"/>
            <w:hideMark/>
          </w:tcPr>
          <w:p w:rsidRPr="007938ED" w:rsidR="00D31E46" w:rsidRDefault="00D31E46" w14:paraId="698C5CBF" w14:textId="77777777">
            <w:pPr>
              <w:rPr>
                <w:rFonts w:asciiTheme="majorHAnsi" w:hAnsiTheme="majorHAnsi"/>
                <w:sz w:val="18"/>
                <w:szCs w:val="12"/>
              </w:rPr>
            </w:pPr>
            <w:r w:rsidRPr="007938ED">
              <w:rPr>
                <w:rFonts w:asciiTheme="majorHAnsi" w:hAnsiTheme="majorHAnsi"/>
                <w:sz w:val="18"/>
                <w:szCs w:val="12"/>
              </w:rPr>
              <w:t>Net Energy Savings: MM Therms</w:t>
            </w:r>
          </w:p>
        </w:tc>
        <w:tc>
          <w:tcPr>
            <w:tcW w:w="0" w:type="auto"/>
            <w:hideMark/>
          </w:tcPr>
          <w:p w:rsidRPr="007938ED" w:rsidR="00D31E46" w:rsidRDefault="00D31E46" w14:paraId="48CEF0C4" w14:textId="77777777">
            <w:pPr>
              <w:rPr>
                <w:rFonts w:asciiTheme="majorHAnsi" w:hAnsiTheme="majorHAnsi"/>
                <w:sz w:val="18"/>
                <w:szCs w:val="12"/>
              </w:rPr>
            </w:pPr>
            <w:r w:rsidRPr="007938ED">
              <w:rPr>
                <w:rFonts w:asciiTheme="majorHAnsi" w:hAnsiTheme="majorHAnsi"/>
                <w:sz w:val="18"/>
                <w:szCs w:val="12"/>
              </w:rPr>
              <w:t>Net MMTherms savings</w:t>
            </w:r>
          </w:p>
        </w:tc>
        <w:tc>
          <w:tcPr>
            <w:tcW w:w="0" w:type="auto"/>
            <w:hideMark/>
          </w:tcPr>
          <w:p w:rsidRPr="007938ED" w:rsidR="00D31E46" w:rsidRDefault="00D31E46" w14:paraId="45F75FD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E240C93"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080344F6"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007957E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A2D034B" w14:textId="77777777">
            <w:pPr>
              <w:rPr>
                <w:rFonts w:asciiTheme="majorHAnsi" w:hAnsiTheme="majorHAnsi"/>
                <w:sz w:val="18"/>
                <w:szCs w:val="12"/>
              </w:rPr>
            </w:pPr>
            <w:r w:rsidRPr="007938ED">
              <w:rPr>
                <w:rFonts w:asciiTheme="majorHAnsi" w:hAnsiTheme="majorHAnsi"/>
                <w:sz w:val="18"/>
                <w:szCs w:val="12"/>
              </w:rPr>
              <w:t>Net MMTherms</w:t>
            </w:r>
          </w:p>
        </w:tc>
      </w:tr>
      <w:tr w:rsidRPr="007938ED" w:rsidR="00CE6F7B" w:rsidTr="007938ED" w14:paraId="1E5BD43A" w14:textId="77777777">
        <w:trPr>
          <w:trHeight w:val="1200"/>
        </w:trPr>
        <w:tc>
          <w:tcPr>
            <w:tcW w:w="0" w:type="auto"/>
            <w:noWrap/>
            <w:hideMark/>
          </w:tcPr>
          <w:p w:rsidRPr="007938ED" w:rsidR="00D31E46" w:rsidP="00D31E46" w:rsidRDefault="00D31E46" w14:paraId="3A13F2C9" w14:textId="77777777">
            <w:pPr>
              <w:rPr>
                <w:rFonts w:asciiTheme="majorHAnsi" w:hAnsiTheme="majorHAnsi"/>
                <w:sz w:val="18"/>
                <w:szCs w:val="12"/>
              </w:rPr>
            </w:pPr>
            <w:r w:rsidRPr="007938ED">
              <w:rPr>
                <w:rFonts w:asciiTheme="majorHAnsi" w:hAnsiTheme="majorHAnsi"/>
                <w:sz w:val="18"/>
                <w:szCs w:val="12"/>
              </w:rPr>
              <w:lastRenderedPageBreak/>
              <w:t>284</w:t>
            </w:r>
          </w:p>
        </w:tc>
        <w:tc>
          <w:tcPr>
            <w:tcW w:w="0" w:type="auto"/>
            <w:hideMark/>
          </w:tcPr>
          <w:p w:rsidRPr="007938ED" w:rsidR="00D31E46" w:rsidRDefault="00D31E46" w14:paraId="2A55E6FB" w14:textId="77777777">
            <w:pPr>
              <w:rPr>
                <w:rFonts w:asciiTheme="majorHAnsi" w:hAnsiTheme="majorHAnsi"/>
                <w:sz w:val="18"/>
                <w:szCs w:val="12"/>
              </w:rPr>
            </w:pPr>
            <w:r w:rsidRPr="007938ED">
              <w:rPr>
                <w:rFonts w:asciiTheme="majorHAnsi" w:hAnsiTheme="majorHAnsi"/>
                <w:sz w:val="18"/>
                <w:szCs w:val="12"/>
              </w:rPr>
              <w:t>Net Energy Savings: MW</w:t>
            </w:r>
          </w:p>
        </w:tc>
        <w:tc>
          <w:tcPr>
            <w:tcW w:w="0" w:type="auto"/>
            <w:hideMark/>
          </w:tcPr>
          <w:p w:rsidRPr="007938ED" w:rsidR="00D31E46" w:rsidRDefault="00D31E46" w14:paraId="3C8AFC7B" w14:textId="77777777">
            <w:pPr>
              <w:rPr>
                <w:rFonts w:asciiTheme="majorHAnsi" w:hAnsiTheme="majorHAnsi"/>
                <w:sz w:val="18"/>
                <w:szCs w:val="12"/>
              </w:rPr>
            </w:pPr>
            <w:r w:rsidRPr="007938ED">
              <w:rPr>
                <w:rFonts w:asciiTheme="majorHAnsi" w:hAnsiTheme="majorHAnsi"/>
                <w:sz w:val="18"/>
                <w:szCs w:val="12"/>
              </w:rPr>
              <w:t>Net MW savings</w:t>
            </w:r>
          </w:p>
        </w:tc>
        <w:tc>
          <w:tcPr>
            <w:tcW w:w="0" w:type="auto"/>
            <w:hideMark/>
          </w:tcPr>
          <w:p w:rsidRPr="007938ED" w:rsidR="00D31E46" w:rsidRDefault="00D31E46" w14:paraId="3B04D79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3CFC50D" w14:textId="77777777">
            <w:pPr>
              <w:rPr>
                <w:rFonts w:asciiTheme="majorHAnsi" w:hAnsiTheme="majorHAnsi"/>
                <w:sz w:val="18"/>
                <w:szCs w:val="12"/>
              </w:rPr>
            </w:pPr>
            <w:r w:rsidRPr="007938ED">
              <w:rPr>
                <w:rFonts w:asciiTheme="majorHAnsi" w:hAnsiTheme="majorHAnsi"/>
                <w:sz w:val="18"/>
                <w:szCs w:val="12"/>
              </w:rPr>
              <w:t>Energy Savings</w:t>
            </w:r>
          </w:p>
        </w:tc>
        <w:tc>
          <w:tcPr>
            <w:tcW w:w="0" w:type="auto"/>
            <w:hideMark/>
          </w:tcPr>
          <w:p w:rsidRPr="007938ED" w:rsidR="00D31E46" w:rsidP="00D31E46" w:rsidRDefault="00D31E46" w14:paraId="14C74D9B" w14:textId="77777777">
            <w:pPr>
              <w:rPr>
                <w:rFonts w:asciiTheme="majorHAnsi" w:hAnsiTheme="majorHAnsi"/>
                <w:sz w:val="18"/>
                <w:szCs w:val="12"/>
              </w:rPr>
            </w:pPr>
            <w:r w:rsidRPr="007938ED">
              <w:rPr>
                <w:rFonts w:asciiTheme="majorHAnsi" w:hAnsiTheme="majorHAnsi"/>
                <w:sz w:val="18"/>
                <w:szCs w:val="12"/>
              </w:rPr>
              <w:t>Keep as Metric</w:t>
            </w:r>
          </w:p>
        </w:tc>
        <w:tc>
          <w:tcPr>
            <w:tcW w:w="0" w:type="auto"/>
            <w:hideMark/>
          </w:tcPr>
          <w:p w:rsidRPr="007938ED" w:rsidR="00D31E46" w:rsidP="00D31E46" w:rsidRDefault="00D31E46" w14:paraId="3CF8EA8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44A383A" w14:textId="77777777">
            <w:pPr>
              <w:rPr>
                <w:rFonts w:asciiTheme="majorHAnsi" w:hAnsiTheme="majorHAnsi"/>
                <w:sz w:val="18"/>
                <w:szCs w:val="12"/>
              </w:rPr>
            </w:pPr>
            <w:r w:rsidRPr="007938ED">
              <w:rPr>
                <w:rFonts w:asciiTheme="majorHAnsi" w:hAnsiTheme="majorHAnsi"/>
                <w:sz w:val="18"/>
                <w:szCs w:val="12"/>
              </w:rPr>
              <w:t>Net MW</w:t>
            </w:r>
          </w:p>
        </w:tc>
      </w:tr>
      <w:tr w:rsidRPr="007938ED" w:rsidR="00CE6F7B" w:rsidTr="007938ED" w14:paraId="71C98BAB" w14:textId="77777777">
        <w:trPr>
          <w:trHeight w:val="1200"/>
        </w:trPr>
        <w:tc>
          <w:tcPr>
            <w:tcW w:w="0" w:type="auto"/>
            <w:noWrap/>
            <w:hideMark/>
          </w:tcPr>
          <w:p w:rsidRPr="007938ED" w:rsidR="00D31E46" w:rsidP="00D31E46" w:rsidRDefault="00D31E46" w14:paraId="43E96FAA" w14:textId="77777777">
            <w:pPr>
              <w:rPr>
                <w:rFonts w:asciiTheme="majorHAnsi" w:hAnsiTheme="majorHAnsi"/>
                <w:sz w:val="18"/>
                <w:szCs w:val="12"/>
              </w:rPr>
            </w:pPr>
            <w:r w:rsidRPr="007938ED">
              <w:rPr>
                <w:rFonts w:asciiTheme="majorHAnsi" w:hAnsiTheme="majorHAnsi"/>
                <w:sz w:val="18"/>
                <w:szCs w:val="12"/>
              </w:rPr>
              <w:t>285</w:t>
            </w:r>
          </w:p>
        </w:tc>
        <w:tc>
          <w:tcPr>
            <w:tcW w:w="0" w:type="auto"/>
            <w:hideMark/>
          </w:tcPr>
          <w:p w:rsidRPr="007938ED" w:rsidR="00D31E46" w:rsidRDefault="00D31E46" w14:paraId="6D6DA83E" w14:textId="77777777">
            <w:pPr>
              <w:rPr>
                <w:rFonts w:asciiTheme="majorHAnsi" w:hAnsiTheme="majorHAnsi"/>
                <w:sz w:val="18"/>
                <w:szCs w:val="12"/>
              </w:rPr>
            </w:pPr>
            <w:r w:rsidRPr="007938ED">
              <w:rPr>
                <w:rFonts w:asciiTheme="majorHAnsi" w:hAnsiTheme="majorHAnsi"/>
                <w:sz w:val="18"/>
                <w:szCs w:val="12"/>
              </w:rPr>
              <w:t>Number of measures supported by CASE studies in rulemaking cycle (current work)</w:t>
            </w:r>
          </w:p>
        </w:tc>
        <w:tc>
          <w:tcPr>
            <w:tcW w:w="0" w:type="auto"/>
            <w:hideMark/>
          </w:tcPr>
          <w:p w:rsidRPr="007938ED" w:rsidR="00D31E46" w:rsidRDefault="00D31E46" w14:paraId="22DC4A69" w14:textId="77777777">
            <w:pPr>
              <w:rPr>
                <w:rFonts w:asciiTheme="majorHAnsi" w:hAnsiTheme="majorHAnsi"/>
                <w:sz w:val="18"/>
                <w:szCs w:val="12"/>
              </w:rPr>
            </w:pPr>
            <w:r w:rsidRPr="007938ED">
              <w:rPr>
                <w:rFonts w:asciiTheme="majorHAnsi" w:hAnsiTheme="majorHAnsi"/>
                <w:sz w:val="18"/>
                <w:szCs w:val="12"/>
              </w:rPr>
              <w:t>Number of measures supported by CASE studies in rulemaking cycle (current work)</w:t>
            </w:r>
          </w:p>
        </w:tc>
        <w:tc>
          <w:tcPr>
            <w:tcW w:w="0" w:type="auto"/>
            <w:hideMark/>
          </w:tcPr>
          <w:p w:rsidRPr="007938ED" w:rsidR="00D31E46" w:rsidRDefault="00D31E46" w14:paraId="781F699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822E90C" w14:textId="77777777">
            <w:pPr>
              <w:rPr>
                <w:rFonts w:asciiTheme="majorHAnsi" w:hAnsiTheme="majorHAnsi"/>
                <w:sz w:val="18"/>
                <w:szCs w:val="12"/>
              </w:rPr>
            </w:pPr>
            <w:r w:rsidRPr="007938ED">
              <w:rPr>
                <w:rFonts w:asciiTheme="majorHAnsi" w:hAnsiTheme="majorHAnsi"/>
                <w:sz w:val="18"/>
                <w:szCs w:val="12"/>
              </w:rPr>
              <w:t>Advocacy</w:t>
            </w:r>
          </w:p>
        </w:tc>
        <w:tc>
          <w:tcPr>
            <w:tcW w:w="0" w:type="auto"/>
            <w:hideMark/>
          </w:tcPr>
          <w:p w:rsidRPr="007938ED" w:rsidR="00D31E46" w:rsidP="00D31E46" w:rsidRDefault="00D31E46" w14:paraId="1E5362E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0050C56"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5CB6F45D"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1923B7EF" w14:textId="77777777">
        <w:trPr>
          <w:trHeight w:val="1200"/>
        </w:trPr>
        <w:tc>
          <w:tcPr>
            <w:tcW w:w="0" w:type="auto"/>
            <w:noWrap/>
            <w:hideMark/>
          </w:tcPr>
          <w:p w:rsidRPr="007938ED" w:rsidR="00D31E46" w:rsidP="00D31E46" w:rsidRDefault="00D31E46" w14:paraId="5C001ECC" w14:textId="77777777">
            <w:pPr>
              <w:rPr>
                <w:rFonts w:asciiTheme="majorHAnsi" w:hAnsiTheme="majorHAnsi"/>
                <w:sz w:val="18"/>
                <w:szCs w:val="12"/>
              </w:rPr>
            </w:pPr>
            <w:r w:rsidRPr="007938ED">
              <w:rPr>
                <w:rFonts w:asciiTheme="majorHAnsi" w:hAnsiTheme="majorHAnsi"/>
                <w:sz w:val="18"/>
                <w:szCs w:val="12"/>
              </w:rPr>
              <w:t>286</w:t>
            </w:r>
          </w:p>
        </w:tc>
        <w:tc>
          <w:tcPr>
            <w:tcW w:w="0" w:type="auto"/>
            <w:hideMark/>
          </w:tcPr>
          <w:p w:rsidRPr="007938ED" w:rsidR="00D31E46" w:rsidRDefault="00D31E46" w14:paraId="0BAA65BC" w14:textId="77777777">
            <w:pPr>
              <w:rPr>
                <w:rFonts w:asciiTheme="majorHAnsi" w:hAnsiTheme="majorHAnsi"/>
                <w:sz w:val="18"/>
                <w:szCs w:val="12"/>
              </w:rPr>
            </w:pPr>
            <w:r w:rsidRPr="007938ED">
              <w:rPr>
                <w:rFonts w:asciiTheme="majorHAnsi" w:hAnsiTheme="majorHAnsi"/>
                <w:sz w:val="18"/>
                <w:szCs w:val="12"/>
              </w:rPr>
              <w:t>Number of measures adopted by CEC in rulemaking cycle (indicator of past work)</w:t>
            </w:r>
          </w:p>
        </w:tc>
        <w:tc>
          <w:tcPr>
            <w:tcW w:w="0" w:type="auto"/>
            <w:hideMark/>
          </w:tcPr>
          <w:p w:rsidRPr="007938ED" w:rsidR="00D31E46" w:rsidRDefault="00D31E46" w14:paraId="230D86CF" w14:textId="77777777">
            <w:pPr>
              <w:rPr>
                <w:rFonts w:asciiTheme="majorHAnsi" w:hAnsiTheme="majorHAnsi"/>
                <w:sz w:val="18"/>
                <w:szCs w:val="12"/>
              </w:rPr>
            </w:pPr>
            <w:r w:rsidRPr="007938ED">
              <w:rPr>
                <w:rFonts w:asciiTheme="majorHAnsi" w:hAnsiTheme="majorHAnsi"/>
                <w:sz w:val="18"/>
                <w:szCs w:val="12"/>
              </w:rPr>
              <w:t>Number of measures adopted by CEC in rulemaking cycle (indicator of past work)</w:t>
            </w:r>
          </w:p>
        </w:tc>
        <w:tc>
          <w:tcPr>
            <w:tcW w:w="0" w:type="auto"/>
            <w:hideMark/>
          </w:tcPr>
          <w:p w:rsidRPr="007938ED" w:rsidR="00D31E46" w:rsidRDefault="00D31E46" w14:paraId="58F97EC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68262E0" w14:textId="77777777">
            <w:pPr>
              <w:rPr>
                <w:rFonts w:asciiTheme="majorHAnsi" w:hAnsiTheme="majorHAnsi"/>
                <w:sz w:val="18"/>
                <w:szCs w:val="12"/>
              </w:rPr>
            </w:pPr>
            <w:r w:rsidRPr="007938ED">
              <w:rPr>
                <w:rFonts w:asciiTheme="majorHAnsi" w:hAnsiTheme="majorHAnsi"/>
                <w:sz w:val="18"/>
                <w:szCs w:val="12"/>
              </w:rPr>
              <w:t>Advocacy</w:t>
            </w:r>
          </w:p>
        </w:tc>
        <w:tc>
          <w:tcPr>
            <w:tcW w:w="0" w:type="auto"/>
            <w:hideMark/>
          </w:tcPr>
          <w:p w:rsidRPr="007938ED" w:rsidR="00D31E46" w:rsidP="00D31E46" w:rsidRDefault="00D31E46" w14:paraId="03181481"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DD74658"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56B281A0"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7F54AD7E" w14:textId="77777777">
        <w:trPr>
          <w:trHeight w:val="1200"/>
        </w:trPr>
        <w:tc>
          <w:tcPr>
            <w:tcW w:w="0" w:type="auto"/>
            <w:noWrap/>
            <w:hideMark/>
          </w:tcPr>
          <w:p w:rsidRPr="007938ED" w:rsidR="00D31E46" w:rsidP="00D31E46" w:rsidRDefault="00D31E46" w14:paraId="0A541961" w14:textId="77777777">
            <w:pPr>
              <w:rPr>
                <w:rFonts w:asciiTheme="majorHAnsi" w:hAnsiTheme="majorHAnsi"/>
                <w:sz w:val="18"/>
                <w:szCs w:val="12"/>
              </w:rPr>
            </w:pPr>
            <w:r w:rsidRPr="007938ED">
              <w:rPr>
                <w:rFonts w:asciiTheme="majorHAnsi" w:hAnsiTheme="majorHAnsi"/>
                <w:sz w:val="18"/>
                <w:szCs w:val="12"/>
              </w:rPr>
              <w:t>287</w:t>
            </w:r>
          </w:p>
        </w:tc>
        <w:tc>
          <w:tcPr>
            <w:tcW w:w="0" w:type="auto"/>
            <w:hideMark/>
          </w:tcPr>
          <w:p w:rsidRPr="007938ED" w:rsidR="00D31E46" w:rsidRDefault="00D31E46" w14:paraId="575E51A3" w14:textId="77777777">
            <w:pPr>
              <w:rPr>
                <w:rFonts w:asciiTheme="majorHAnsi" w:hAnsiTheme="majorHAnsi"/>
                <w:sz w:val="18"/>
                <w:szCs w:val="12"/>
              </w:rPr>
            </w:pPr>
            <w:r w:rsidRPr="007938ED">
              <w:rPr>
                <w:rFonts w:asciiTheme="majorHAnsi" w:hAnsiTheme="majorHAnsi"/>
                <w:sz w:val="18"/>
                <w:szCs w:val="12"/>
              </w:rPr>
              <w:t>Number of T-20 measures supported by CASE studies in rulemaking cycle (current work)</w:t>
            </w:r>
          </w:p>
        </w:tc>
        <w:tc>
          <w:tcPr>
            <w:tcW w:w="0" w:type="auto"/>
            <w:hideMark/>
          </w:tcPr>
          <w:p w:rsidRPr="007938ED" w:rsidR="00D31E46" w:rsidRDefault="00D31E46" w14:paraId="586ECB48" w14:textId="77777777">
            <w:pPr>
              <w:rPr>
                <w:rFonts w:asciiTheme="majorHAnsi" w:hAnsiTheme="majorHAnsi"/>
                <w:sz w:val="18"/>
                <w:szCs w:val="12"/>
              </w:rPr>
            </w:pPr>
            <w:r w:rsidRPr="007938ED">
              <w:rPr>
                <w:rFonts w:asciiTheme="majorHAnsi" w:hAnsiTheme="majorHAnsi"/>
                <w:sz w:val="18"/>
                <w:szCs w:val="12"/>
              </w:rPr>
              <w:t>Number of T-20 measures supported by CASE studies in rulemaking cycle (current work)</w:t>
            </w:r>
          </w:p>
        </w:tc>
        <w:tc>
          <w:tcPr>
            <w:tcW w:w="0" w:type="auto"/>
            <w:hideMark/>
          </w:tcPr>
          <w:p w:rsidRPr="007938ED" w:rsidR="00D31E46" w:rsidRDefault="00D31E46" w14:paraId="2D7966A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5647BF9" w14:textId="77777777">
            <w:pPr>
              <w:rPr>
                <w:rFonts w:asciiTheme="majorHAnsi" w:hAnsiTheme="majorHAnsi"/>
                <w:sz w:val="18"/>
                <w:szCs w:val="12"/>
              </w:rPr>
            </w:pPr>
            <w:r w:rsidRPr="007938ED">
              <w:rPr>
                <w:rFonts w:asciiTheme="majorHAnsi" w:hAnsiTheme="majorHAnsi"/>
                <w:sz w:val="18"/>
                <w:szCs w:val="12"/>
              </w:rPr>
              <w:t>Advocacy</w:t>
            </w:r>
          </w:p>
        </w:tc>
        <w:tc>
          <w:tcPr>
            <w:tcW w:w="0" w:type="auto"/>
            <w:hideMark/>
          </w:tcPr>
          <w:p w:rsidRPr="007938ED" w:rsidR="00D31E46" w:rsidP="00D31E46" w:rsidRDefault="00D31E46" w14:paraId="1AF4CEB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CABBC84"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236BF2F7"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497EEBBA" w14:textId="77777777">
        <w:trPr>
          <w:trHeight w:val="1200"/>
        </w:trPr>
        <w:tc>
          <w:tcPr>
            <w:tcW w:w="0" w:type="auto"/>
            <w:noWrap/>
            <w:hideMark/>
          </w:tcPr>
          <w:p w:rsidRPr="007938ED" w:rsidR="00D31E46" w:rsidP="00D31E46" w:rsidRDefault="00D31E46" w14:paraId="6E90AAB7" w14:textId="77777777">
            <w:pPr>
              <w:rPr>
                <w:rFonts w:asciiTheme="majorHAnsi" w:hAnsiTheme="majorHAnsi"/>
                <w:sz w:val="18"/>
                <w:szCs w:val="12"/>
              </w:rPr>
            </w:pPr>
            <w:r w:rsidRPr="007938ED">
              <w:rPr>
                <w:rFonts w:asciiTheme="majorHAnsi" w:hAnsiTheme="majorHAnsi"/>
                <w:sz w:val="18"/>
                <w:szCs w:val="12"/>
              </w:rPr>
              <w:t>288</w:t>
            </w:r>
          </w:p>
        </w:tc>
        <w:tc>
          <w:tcPr>
            <w:tcW w:w="0" w:type="auto"/>
            <w:hideMark/>
          </w:tcPr>
          <w:p w:rsidRPr="007938ED" w:rsidR="00D31E46" w:rsidRDefault="00D31E46" w14:paraId="3EF216B5" w14:textId="77777777">
            <w:pPr>
              <w:rPr>
                <w:rFonts w:asciiTheme="majorHAnsi" w:hAnsiTheme="majorHAnsi"/>
                <w:sz w:val="18"/>
                <w:szCs w:val="12"/>
              </w:rPr>
            </w:pPr>
            <w:r w:rsidRPr="007938ED">
              <w:rPr>
                <w:rFonts w:asciiTheme="majorHAnsi" w:hAnsiTheme="majorHAnsi"/>
                <w:sz w:val="18"/>
                <w:szCs w:val="12"/>
              </w:rPr>
              <w:t>Number of measures adopted by CEC in current year</w:t>
            </w:r>
          </w:p>
        </w:tc>
        <w:tc>
          <w:tcPr>
            <w:tcW w:w="0" w:type="auto"/>
            <w:hideMark/>
          </w:tcPr>
          <w:p w:rsidRPr="007938ED" w:rsidR="00D31E46" w:rsidRDefault="00D31E46" w14:paraId="685DEAB4" w14:textId="77777777">
            <w:pPr>
              <w:rPr>
                <w:rFonts w:asciiTheme="majorHAnsi" w:hAnsiTheme="majorHAnsi"/>
                <w:sz w:val="18"/>
                <w:szCs w:val="12"/>
              </w:rPr>
            </w:pPr>
            <w:r w:rsidRPr="007938ED">
              <w:rPr>
                <w:rFonts w:asciiTheme="majorHAnsi" w:hAnsiTheme="majorHAnsi"/>
                <w:sz w:val="18"/>
                <w:szCs w:val="12"/>
              </w:rPr>
              <w:t>Number of measures adopted by CEC in current year</w:t>
            </w:r>
          </w:p>
        </w:tc>
        <w:tc>
          <w:tcPr>
            <w:tcW w:w="0" w:type="auto"/>
            <w:hideMark/>
          </w:tcPr>
          <w:p w:rsidRPr="007938ED" w:rsidR="00D31E46" w:rsidRDefault="00D31E46" w14:paraId="7601EA22"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2800606" w14:textId="77777777">
            <w:pPr>
              <w:rPr>
                <w:rFonts w:asciiTheme="majorHAnsi" w:hAnsiTheme="majorHAnsi"/>
                <w:sz w:val="18"/>
                <w:szCs w:val="12"/>
              </w:rPr>
            </w:pPr>
            <w:r w:rsidRPr="007938ED">
              <w:rPr>
                <w:rFonts w:asciiTheme="majorHAnsi" w:hAnsiTheme="majorHAnsi"/>
                <w:sz w:val="18"/>
                <w:szCs w:val="12"/>
              </w:rPr>
              <w:t>Advocacy</w:t>
            </w:r>
          </w:p>
        </w:tc>
        <w:tc>
          <w:tcPr>
            <w:tcW w:w="0" w:type="auto"/>
            <w:hideMark/>
          </w:tcPr>
          <w:p w:rsidRPr="007938ED" w:rsidR="00D31E46" w:rsidP="00D31E46" w:rsidRDefault="00D31E46" w14:paraId="4473EEC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E9BC632"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290F42B5"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4EACA6EB" w14:textId="77777777">
        <w:trPr>
          <w:trHeight w:val="1200"/>
        </w:trPr>
        <w:tc>
          <w:tcPr>
            <w:tcW w:w="0" w:type="auto"/>
            <w:noWrap/>
            <w:hideMark/>
          </w:tcPr>
          <w:p w:rsidRPr="007938ED" w:rsidR="00D31E46" w:rsidP="00D31E46" w:rsidRDefault="00D31E46" w14:paraId="25260D79" w14:textId="77777777">
            <w:pPr>
              <w:rPr>
                <w:rFonts w:asciiTheme="majorHAnsi" w:hAnsiTheme="majorHAnsi"/>
                <w:sz w:val="18"/>
                <w:szCs w:val="12"/>
              </w:rPr>
            </w:pPr>
            <w:r w:rsidRPr="007938ED">
              <w:rPr>
                <w:rFonts w:asciiTheme="majorHAnsi" w:hAnsiTheme="majorHAnsi"/>
                <w:sz w:val="18"/>
                <w:szCs w:val="12"/>
              </w:rPr>
              <w:t>289</w:t>
            </w:r>
          </w:p>
        </w:tc>
        <w:tc>
          <w:tcPr>
            <w:tcW w:w="0" w:type="auto"/>
            <w:hideMark/>
          </w:tcPr>
          <w:p w:rsidRPr="007938ED" w:rsidR="00D31E46" w:rsidRDefault="00D31E46" w14:paraId="3FDF98B3" w14:textId="77777777">
            <w:pPr>
              <w:rPr>
                <w:rFonts w:asciiTheme="majorHAnsi" w:hAnsiTheme="majorHAnsi"/>
                <w:sz w:val="18"/>
                <w:szCs w:val="12"/>
              </w:rPr>
            </w:pPr>
            <w:r w:rsidRPr="007938ED">
              <w:rPr>
                <w:rFonts w:asciiTheme="majorHAnsi" w:hAnsiTheme="majorHAnsi"/>
                <w:sz w:val="18"/>
                <w:szCs w:val="12"/>
              </w:rPr>
              <w:t>Number of federal standards adopted for which a utility advocated (IOUs to list advocated activites)</w:t>
            </w:r>
          </w:p>
        </w:tc>
        <w:tc>
          <w:tcPr>
            <w:tcW w:w="0" w:type="auto"/>
            <w:hideMark/>
          </w:tcPr>
          <w:p w:rsidRPr="007938ED" w:rsidR="00D31E46" w:rsidRDefault="00D31E46" w14:paraId="7FF1D846" w14:textId="77777777">
            <w:pPr>
              <w:rPr>
                <w:rFonts w:asciiTheme="majorHAnsi" w:hAnsiTheme="majorHAnsi"/>
                <w:sz w:val="18"/>
                <w:szCs w:val="12"/>
              </w:rPr>
            </w:pPr>
            <w:r w:rsidRPr="007938ED">
              <w:rPr>
                <w:rFonts w:asciiTheme="majorHAnsi" w:hAnsiTheme="majorHAnsi"/>
                <w:sz w:val="18"/>
                <w:szCs w:val="12"/>
              </w:rPr>
              <w:t>Number of federal standards adopted for which a utility advocated (IOUs to list advocated activites)</w:t>
            </w:r>
          </w:p>
        </w:tc>
        <w:tc>
          <w:tcPr>
            <w:tcW w:w="0" w:type="auto"/>
            <w:hideMark/>
          </w:tcPr>
          <w:p w:rsidRPr="007938ED" w:rsidR="00D31E46" w:rsidRDefault="00D31E46" w14:paraId="7C03000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A25A7B3" w14:textId="77777777">
            <w:pPr>
              <w:rPr>
                <w:rFonts w:asciiTheme="majorHAnsi" w:hAnsiTheme="majorHAnsi"/>
                <w:sz w:val="18"/>
                <w:szCs w:val="12"/>
              </w:rPr>
            </w:pPr>
            <w:r w:rsidRPr="007938ED">
              <w:rPr>
                <w:rFonts w:asciiTheme="majorHAnsi" w:hAnsiTheme="majorHAnsi"/>
                <w:sz w:val="18"/>
                <w:szCs w:val="12"/>
              </w:rPr>
              <w:t>Advocacy</w:t>
            </w:r>
          </w:p>
        </w:tc>
        <w:tc>
          <w:tcPr>
            <w:tcW w:w="0" w:type="auto"/>
            <w:hideMark/>
          </w:tcPr>
          <w:p w:rsidRPr="007938ED" w:rsidR="00D31E46" w:rsidP="00D31E46" w:rsidRDefault="00D31E46" w14:paraId="319F41B0"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45A7D79A"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5307008B"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2624719B" w14:textId="77777777">
        <w:trPr>
          <w:trHeight w:val="1200"/>
        </w:trPr>
        <w:tc>
          <w:tcPr>
            <w:tcW w:w="0" w:type="auto"/>
            <w:noWrap/>
            <w:hideMark/>
          </w:tcPr>
          <w:p w:rsidRPr="007938ED" w:rsidR="00D31E46" w:rsidP="00D31E46" w:rsidRDefault="00D31E46" w14:paraId="508C57B7" w14:textId="77777777">
            <w:pPr>
              <w:rPr>
                <w:rFonts w:asciiTheme="majorHAnsi" w:hAnsiTheme="majorHAnsi"/>
                <w:sz w:val="18"/>
                <w:szCs w:val="12"/>
              </w:rPr>
            </w:pPr>
            <w:r w:rsidRPr="007938ED">
              <w:rPr>
                <w:rFonts w:asciiTheme="majorHAnsi" w:hAnsiTheme="majorHAnsi"/>
                <w:sz w:val="18"/>
                <w:szCs w:val="12"/>
              </w:rPr>
              <w:lastRenderedPageBreak/>
              <w:t>290</w:t>
            </w:r>
          </w:p>
        </w:tc>
        <w:tc>
          <w:tcPr>
            <w:tcW w:w="0" w:type="auto"/>
            <w:hideMark/>
          </w:tcPr>
          <w:p w:rsidRPr="007938ED" w:rsidR="00D31E46" w:rsidRDefault="00D31E46" w14:paraId="330DF939" w14:textId="77777777">
            <w:pPr>
              <w:rPr>
                <w:rFonts w:asciiTheme="majorHAnsi" w:hAnsiTheme="majorHAnsi"/>
                <w:sz w:val="18"/>
                <w:szCs w:val="12"/>
              </w:rPr>
            </w:pPr>
            <w:r w:rsidRPr="007938ED">
              <w:rPr>
                <w:rFonts w:asciiTheme="majorHAnsi" w:hAnsiTheme="majorHAnsi"/>
                <w:sz w:val="18"/>
                <w:szCs w:val="12"/>
              </w:rPr>
              <w:t>Percent of federal standards adopted for which a utility advocated (#IOU supported / # DOE adopted)</w:t>
            </w:r>
          </w:p>
        </w:tc>
        <w:tc>
          <w:tcPr>
            <w:tcW w:w="0" w:type="auto"/>
            <w:hideMark/>
          </w:tcPr>
          <w:p w:rsidRPr="007938ED" w:rsidR="00D31E46" w:rsidRDefault="00D31E46" w14:paraId="3A1ECF35" w14:textId="77777777">
            <w:pPr>
              <w:rPr>
                <w:rFonts w:asciiTheme="majorHAnsi" w:hAnsiTheme="majorHAnsi"/>
                <w:sz w:val="18"/>
                <w:szCs w:val="12"/>
              </w:rPr>
            </w:pPr>
            <w:r w:rsidRPr="007938ED">
              <w:rPr>
                <w:rFonts w:asciiTheme="majorHAnsi" w:hAnsiTheme="majorHAnsi"/>
                <w:sz w:val="18"/>
                <w:szCs w:val="12"/>
              </w:rPr>
              <w:t>Percent of federal standards adopted for which a utility advocated (#IOU supported / # DOE adopted)</w:t>
            </w:r>
          </w:p>
        </w:tc>
        <w:tc>
          <w:tcPr>
            <w:tcW w:w="0" w:type="auto"/>
            <w:hideMark/>
          </w:tcPr>
          <w:p w:rsidRPr="007938ED" w:rsidR="00D31E46" w:rsidRDefault="00D31E46" w14:paraId="4AFFF36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5828A2E2" w14:textId="77777777">
            <w:pPr>
              <w:rPr>
                <w:rFonts w:asciiTheme="majorHAnsi" w:hAnsiTheme="majorHAnsi"/>
                <w:sz w:val="18"/>
                <w:szCs w:val="12"/>
              </w:rPr>
            </w:pPr>
            <w:r w:rsidRPr="007938ED">
              <w:rPr>
                <w:rFonts w:asciiTheme="majorHAnsi" w:hAnsiTheme="majorHAnsi"/>
                <w:sz w:val="18"/>
                <w:szCs w:val="12"/>
              </w:rPr>
              <w:t>Advocacy</w:t>
            </w:r>
          </w:p>
        </w:tc>
        <w:tc>
          <w:tcPr>
            <w:tcW w:w="0" w:type="auto"/>
            <w:hideMark/>
          </w:tcPr>
          <w:p w:rsidRPr="007938ED" w:rsidR="00D31E46" w:rsidP="00D31E46" w:rsidRDefault="00D31E46" w14:paraId="29FD9F5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1D72514" w14:textId="77777777">
            <w:pPr>
              <w:rPr>
                <w:rFonts w:asciiTheme="majorHAnsi" w:hAnsiTheme="majorHAnsi"/>
                <w:sz w:val="18"/>
                <w:szCs w:val="12"/>
              </w:rPr>
            </w:pPr>
            <w:r w:rsidRPr="007938ED">
              <w:rPr>
                <w:rFonts w:asciiTheme="majorHAnsi" w:hAnsiTheme="majorHAnsi"/>
                <w:sz w:val="18"/>
                <w:szCs w:val="12"/>
              </w:rPr>
              <w:t xml:space="preserve">N </w:t>
            </w:r>
          </w:p>
        </w:tc>
        <w:tc>
          <w:tcPr>
            <w:tcW w:w="0" w:type="auto"/>
            <w:hideMark/>
          </w:tcPr>
          <w:p w:rsidRPr="007938ED" w:rsidR="00D31E46" w:rsidP="00D31E46" w:rsidRDefault="00D31E46" w14:paraId="35B61A87"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03DB1818" w14:textId="77777777">
        <w:trPr>
          <w:trHeight w:val="1200"/>
        </w:trPr>
        <w:tc>
          <w:tcPr>
            <w:tcW w:w="0" w:type="auto"/>
            <w:noWrap/>
            <w:hideMark/>
          </w:tcPr>
          <w:p w:rsidRPr="007938ED" w:rsidR="00D31E46" w:rsidP="00D31E46" w:rsidRDefault="00D31E46" w14:paraId="5F271981" w14:textId="77777777">
            <w:pPr>
              <w:rPr>
                <w:rFonts w:asciiTheme="majorHAnsi" w:hAnsiTheme="majorHAnsi"/>
                <w:sz w:val="18"/>
                <w:szCs w:val="12"/>
              </w:rPr>
            </w:pPr>
            <w:r w:rsidRPr="007938ED">
              <w:rPr>
                <w:rFonts w:asciiTheme="majorHAnsi" w:hAnsiTheme="majorHAnsi"/>
                <w:sz w:val="18"/>
                <w:szCs w:val="12"/>
              </w:rPr>
              <w:t>291</w:t>
            </w:r>
          </w:p>
        </w:tc>
        <w:tc>
          <w:tcPr>
            <w:tcW w:w="0" w:type="auto"/>
            <w:hideMark/>
          </w:tcPr>
          <w:p w:rsidRPr="007938ED" w:rsidR="00D31E46" w:rsidRDefault="00D31E46" w14:paraId="7A0A4DAA" w14:textId="77777777">
            <w:pPr>
              <w:rPr>
                <w:rFonts w:asciiTheme="majorHAnsi" w:hAnsiTheme="majorHAnsi"/>
                <w:sz w:val="18"/>
                <w:szCs w:val="12"/>
              </w:rPr>
            </w:pPr>
            <w:r w:rsidRPr="007938ED">
              <w:rPr>
                <w:rFonts w:asciiTheme="majorHAnsi" w:hAnsiTheme="majorHAnsi"/>
                <w:sz w:val="18"/>
                <w:szCs w:val="12"/>
              </w:rPr>
              <w:t>The number of local government Reach Codes implemented (this is a joint IOU and REN effort)</w:t>
            </w:r>
          </w:p>
        </w:tc>
        <w:tc>
          <w:tcPr>
            <w:tcW w:w="0" w:type="auto"/>
            <w:hideMark/>
          </w:tcPr>
          <w:p w:rsidRPr="007938ED" w:rsidR="00D31E46" w:rsidRDefault="00D31E46" w14:paraId="785270DC" w14:textId="77777777">
            <w:pPr>
              <w:rPr>
                <w:rFonts w:asciiTheme="majorHAnsi" w:hAnsiTheme="majorHAnsi"/>
                <w:sz w:val="18"/>
                <w:szCs w:val="12"/>
              </w:rPr>
            </w:pPr>
            <w:r w:rsidRPr="007938ED">
              <w:rPr>
                <w:rFonts w:asciiTheme="majorHAnsi" w:hAnsiTheme="majorHAnsi"/>
                <w:sz w:val="18"/>
                <w:szCs w:val="12"/>
              </w:rPr>
              <w:t>The number of local government Reach Codes implemented (this is a joint IOU and REN effort)</w:t>
            </w:r>
          </w:p>
        </w:tc>
        <w:tc>
          <w:tcPr>
            <w:tcW w:w="0" w:type="auto"/>
            <w:hideMark/>
          </w:tcPr>
          <w:p w:rsidRPr="007938ED" w:rsidR="00D31E46" w:rsidRDefault="00D31E46" w14:paraId="0DC09CB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149B908" w14:textId="77777777">
            <w:pPr>
              <w:rPr>
                <w:rFonts w:asciiTheme="majorHAnsi" w:hAnsiTheme="majorHAnsi"/>
                <w:sz w:val="18"/>
                <w:szCs w:val="12"/>
              </w:rPr>
            </w:pPr>
            <w:r w:rsidRPr="007938ED">
              <w:rPr>
                <w:rFonts w:asciiTheme="majorHAnsi" w:hAnsiTheme="majorHAnsi"/>
                <w:sz w:val="18"/>
                <w:szCs w:val="12"/>
              </w:rPr>
              <w:t>Reach Codes</w:t>
            </w:r>
          </w:p>
        </w:tc>
        <w:tc>
          <w:tcPr>
            <w:tcW w:w="0" w:type="auto"/>
            <w:hideMark/>
          </w:tcPr>
          <w:p w:rsidRPr="007938ED" w:rsidR="00D31E46" w:rsidP="00D31E46" w:rsidRDefault="00D31E46" w14:paraId="744C2E7C"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9A04F4C"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060EE104"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51844785" w14:textId="77777777">
        <w:trPr>
          <w:trHeight w:val="1200"/>
        </w:trPr>
        <w:tc>
          <w:tcPr>
            <w:tcW w:w="0" w:type="auto"/>
            <w:noWrap/>
            <w:hideMark/>
          </w:tcPr>
          <w:p w:rsidRPr="007938ED" w:rsidR="00D31E46" w:rsidP="00D31E46" w:rsidRDefault="00D31E46" w14:paraId="073808B2" w14:textId="77777777">
            <w:pPr>
              <w:rPr>
                <w:rFonts w:asciiTheme="majorHAnsi" w:hAnsiTheme="majorHAnsi"/>
                <w:sz w:val="18"/>
                <w:szCs w:val="12"/>
              </w:rPr>
            </w:pPr>
            <w:r w:rsidRPr="007938ED">
              <w:rPr>
                <w:rFonts w:asciiTheme="majorHAnsi" w:hAnsiTheme="majorHAnsi"/>
                <w:sz w:val="18"/>
                <w:szCs w:val="12"/>
              </w:rPr>
              <w:t>292</w:t>
            </w:r>
          </w:p>
        </w:tc>
        <w:tc>
          <w:tcPr>
            <w:tcW w:w="0" w:type="auto"/>
            <w:hideMark/>
          </w:tcPr>
          <w:p w:rsidRPr="007938ED" w:rsidR="00D31E46" w:rsidRDefault="00D31E46" w14:paraId="0BB23C14" w14:textId="77777777">
            <w:pPr>
              <w:rPr>
                <w:rFonts w:asciiTheme="majorHAnsi" w:hAnsiTheme="majorHAnsi"/>
                <w:sz w:val="18"/>
                <w:szCs w:val="12"/>
              </w:rPr>
            </w:pPr>
            <w:r w:rsidRPr="007938ED">
              <w:rPr>
                <w:rFonts w:asciiTheme="majorHAnsi" w:hAnsiTheme="majorHAnsi"/>
                <w:sz w:val="18"/>
                <w:szCs w:val="12"/>
              </w:rPr>
              <w:t>Number of training activities (classes, webinars) held, number of market actors participants by segment (e.g. building officials, builders, architects, etc.) and the the total size (number of the target audience) by sector. (M) Number of training activities</w:t>
            </w:r>
          </w:p>
        </w:tc>
        <w:tc>
          <w:tcPr>
            <w:tcW w:w="0" w:type="auto"/>
            <w:hideMark/>
          </w:tcPr>
          <w:p w:rsidRPr="007938ED" w:rsidR="00D31E46" w:rsidRDefault="00D31E46" w14:paraId="4FB79392" w14:textId="77777777">
            <w:pPr>
              <w:rPr>
                <w:rFonts w:asciiTheme="majorHAnsi" w:hAnsiTheme="majorHAnsi"/>
                <w:sz w:val="18"/>
                <w:szCs w:val="12"/>
              </w:rPr>
            </w:pPr>
            <w:r w:rsidRPr="007938ED">
              <w:rPr>
                <w:rFonts w:asciiTheme="majorHAnsi" w:hAnsiTheme="majorHAnsi"/>
                <w:sz w:val="18"/>
                <w:szCs w:val="12"/>
              </w:rPr>
              <w:t>Number of training activities (classes, webinars) held, number of market actors participants by segment (e.g. building officials, builders, architects, etc.) and the the total size (number of the target audience) by sector. (M) Number of training activities</w:t>
            </w:r>
          </w:p>
        </w:tc>
        <w:tc>
          <w:tcPr>
            <w:tcW w:w="0" w:type="auto"/>
            <w:hideMark/>
          </w:tcPr>
          <w:p w:rsidRPr="007938ED" w:rsidR="00D31E46" w:rsidRDefault="00D31E46" w14:paraId="50A52CB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BB253A8" w14:textId="77777777">
            <w:pPr>
              <w:rPr>
                <w:rFonts w:asciiTheme="majorHAnsi" w:hAnsiTheme="majorHAnsi"/>
                <w:sz w:val="18"/>
                <w:szCs w:val="12"/>
              </w:rPr>
            </w:pPr>
            <w:r w:rsidRPr="007938ED">
              <w:rPr>
                <w:rFonts w:asciiTheme="majorHAnsi" w:hAnsiTheme="majorHAnsi"/>
                <w:sz w:val="18"/>
                <w:szCs w:val="12"/>
              </w:rPr>
              <w:t>Compliance Improvement</w:t>
            </w:r>
          </w:p>
        </w:tc>
        <w:tc>
          <w:tcPr>
            <w:tcW w:w="0" w:type="auto"/>
            <w:hideMark/>
          </w:tcPr>
          <w:p w:rsidRPr="007938ED" w:rsidR="00D31E46" w:rsidP="00D31E46" w:rsidRDefault="00D31E46" w14:paraId="33403DAE"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28B1A8C"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D863AA2"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54D8CBDC" w14:textId="77777777">
        <w:trPr>
          <w:trHeight w:val="1200"/>
        </w:trPr>
        <w:tc>
          <w:tcPr>
            <w:tcW w:w="0" w:type="auto"/>
            <w:noWrap/>
            <w:hideMark/>
          </w:tcPr>
          <w:p w:rsidRPr="007938ED" w:rsidR="00D31E46" w:rsidP="00D31E46" w:rsidRDefault="00D31E46" w14:paraId="5AB89E18" w14:textId="77777777">
            <w:pPr>
              <w:rPr>
                <w:rFonts w:asciiTheme="majorHAnsi" w:hAnsiTheme="majorHAnsi"/>
                <w:sz w:val="18"/>
                <w:szCs w:val="12"/>
              </w:rPr>
            </w:pPr>
            <w:r w:rsidRPr="007938ED">
              <w:rPr>
                <w:rFonts w:asciiTheme="majorHAnsi" w:hAnsiTheme="majorHAnsi"/>
                <w:sz w:val="18"/>
                <w:szCs w:val="12"/>
              </w:rPr>
              <w:t>293</w:t>
            </w:r>
          </w:p>
        </w:tc>
        <w:tc>
          <w:tcPr>
            <w:tcW w:w="0" w:type="auto"/>
            <w:hideMark/>
          </w:tcPr>
          <w:p w:rsidRPr="007938ED" w:rsidR="00D31E46" w:rsidRDefault="00D31E46" w14:paraId="7795E452" w14:textId="77777777">
            <w:pPr>
              <w:rPr>
                <w:rFonts w:asciiTheme="majorHAnsi" w:hAnsiTheme="majorHAnsi"/>
                <w:sz w:val="18"/>
                <w:szCs w:val="12"/>
              </w:rPr>
            </w:pPr>
            <w:r w:rsidRPr="007938ED">
              <w:rPr>
                <w:rFonts w:asciiTheme="majorHAnsi" w:hAnsiTheme="majorHAnsi"/>
                <w:sz w:val="18"/>
                <w:szCs w:val="12"/>
              </w:rPr>
              <w:t>Number of training activities (classes, webinars) held, number of market actors participants by segment (e.g. building officials, builders, architects, etc.) and the the total size (number of the target audience) by sector. (M) Number of participants</w:t>
            </w:r>
          </w:p>
        </w:tc>
        <w:tc>
          <w:tcPr>
            <w:tcW w:w="0" w:type="auto"/>
            <w:hideMark/>
          </w:tcPr>
          <w:p w:rsidRPr="007938ED" w:rsidR="00D31E46" w:rsidRDefault="00D31E46" w14:paraId="4C650351" w14:textId="77777777">
            <w:pPr>
              <w:rPr>
                <w:rFonts w:asciiTheme="majorHAnsi" w:hAnsiTheme="majorHAnsi"/>
                <w:sz w:val="18"/>
                <w:szCs w:val="12"/>
              </w:rPr>
            </w:pPr>
            <w:r w:rsidRPr="007938ED">
              <w:rPr>
                <w:rFonts w:asciiTheme="majorHAnsi" w:hAnsiTheme="majorHAnsi"/>
                <w:sz w:val="18"/>
                <w:szCs w:val="12"/>
              </w:rPr>
              <w:t>Number of training activities (classes, webinars) held, number of market actors participants by segment (e.g. building officials, builders, architects, etc.) and the the total size (number of the target audience) by sector. (M) Number of participants</w:t>
            </w:r>
          </w:p>
        </w:tc>
        <w:tc>
          <w:tcPr>
            <w:tcW w:w="0" w:type="auto"/>
            <w:hideMark/>
          </w:tcPr>
          <w:p w:rsidRPr="007938ED" w:rsidR="00D31E46" w:rsidRDefault="00D31E46" w14:paraId="5A3D190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4F73E18" w14:textId="77777777">
            <w:pPr>
              <w:rPr>
                <w:rFonts w:asciiTheme="majorHAnsi" w:hAnsiTheme="majorHAnsi"/>
                <w:sz w:val="18"/>
                <w:szCs w:val="12"/>
              </w:rPr>
            </w:pPr>
            <w:r w:rsidRPr="007938ED">
              <w:rPr>
                <w:rFonts w:asciiTheme="majorHAnsi" w:hAnsiTheme="majorHAnsi"/>
                <w:sz w:val="18"/>
                <w:szCs w:val="12"/>
              </w:rPr>
              <w:t>Compliance Improvement</w:t>
            </w:r>
          </w:p>
        </w:tc>
        <w:tc>
          <w:tcPr>
            <w:tcW w:w="0" w:type="auto"/>
            <w:hideMark/>
          </w:tcPr>
          <w:p w:rsidRPr="007938ED" w:rsidR="00D31E46" w:rsidP="00D31E46" w:rsidRDefault="00D31E46" w14:paraId="4C162344"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0853CDFC"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211EDB4"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5B2CA81B" w14:textId="77777777">
        <w:trPr>
          <w:trHeight w:val="1200"/>
        </w:trPr>
        <w:tc>
          <w:tcPr>
            <w:tcW w:w="0" w:type="auto"/>
            <w:noWrap/>
            <w:hideMark/>
          </w:tcPr>
          <w:p w:rsidRPr="007938ED" w:rsidR="00D31E46" w:rsidP="00D31E46" w:rsidRDefault="00D31E46" w14:paraId="1C119CFA" w14:textId="77777777">
            <w:pPr>
              <w:rPr>
                <w:rFonts w:asciiTheme="majorHAnsi" w:hAnsiTheme="majorHAnsi"/>
                <w:sz w:val="18"/>
                <w:szCs w:val="12"/>
              </w:rPr>
            </w:pPr>
            <w:r w:rsidRPr="007938ED">
              <w:rPr>
                <w:rFonts w:asciiTheme="majorHAnsi" w:hAnsiTheme="majorHAnsi"/>
                <w:sz w:val="18"/>
                <w:szCs w:val="12"/>
              </w:rPr>
              <w:lastRenderedPageBreak/>
              <w:t>294</w:t>
            </w:r>
          </w:p>
        </w:tc>
        <w:tc>
          <w:tcPr>
            <w:tcW w:w="0" w:type="auto"/>
            <w:hideMark/>
          </w:tcPr>
          <w:p w:rsidRPr="007938ED" w:rsidR="00D31E46" w:rsidRDefault="00D31E46" w14:paraId="6ABFE56E" w14:textId="77777777">
            <w:pPr>
              <w:rPr>
                <w:rFonts w:asciiTheme="majorHAnsi" w:hAnsiTheme="majorHAnsi"/>
                <w:sz w:val="18"/>
                <w:szCs w:val="12"/>
              </w:rPr>
            </w:pPr>
            <w:r w:rsidRPr="007938ED">
              <w:rPr>
                <w:rFonts w:asciiTheme="majorHAnsi" w:hAnsiTheme="majorHAnsi"/>
                <w:sz w:val="18"/>
                <w:szCs w:val="12"/>
              </w:rPr>
              <w:t>Increase in code compliance knowledge pre/post training</w:t>
            </w:r>
          </w:p>
        </w:tc>
        <w:tc>
          <w:tcPr>
            <w:tcW w:w="0" w:type="auto"/>
            <w:hideMark/>
          </w:tcPr>
          <w:p w:rsidRPr="007938ED" w:rsidR="00D31E46" w:rsidRDefault="00D31E46" w14:paraId="5ED19928" w14:textId="77777777">
            <w:pPr>
              <w:rPr>
                <w:rFonts w:asciiTheme="majorHAnsi" w:hAnsiTheme="majorHAnsi"/>
                <w:sz w:val="18"/>
                <w:szCs w:val="12"/>
              </w:rPr>
            </w:pPr>
            <w:r w:rsidRPr="007938ED">
              <w:rPr>
                <w:rFonts w:asciiTheme="majorHAnsi" w:hAnsiTheme="majorHAnsi"/>
                <w:sz w:val="18"/>
                <w:szCs w:val="12"/>
              </w:rPr>
              <w:t>Increase in code compliance knowledge pre/post training</w:t>
            </w:r>
          </w:p>
        </w:tc>
        <w:tc>
          <w:tcPr>
            <w:tcW w:w="0" w:type="auto"/>
            <w:hideMark/>
          </w:tcPr>
          <w:p w:rsidRPr="007938ED" w:rsidR="00D31E46" w:rsidRDefault="00D31E46" w14:paraId="29ED787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633140C" w14:textId="77777777">
            <w:pPr>
              <w:rPr>
                <w:rFonts w:asciiTheme="majorHAnsi" w:hAnsiTheme="majorHAnsi"/>
                <w:sz w:val="18"/>
                <w:szCs w:val="12"/>
              </w:rPr>
            </w:pPr>
            <w:r w:rsidRPr="007938ED">
              <w:rPr>
                <w:rFonts w:asciiTheme="majorHAnsi" w:hAnsiTheme="majorHAnsi"/>
                <w:sz w:val="18"/>
                <w:szCs w:val="12"/>
              </w:rPr>
              <w:t>Compliance Improvement</w:t>
            </w:r>
          </w:p>
        </w:tc>
        <w:tc>
          <w:tcPr>
            <w:tcW w:w="0" w:type="auto"/>
            <w:hideMark/>
          </w:tcPr>
          <w:p w:rsidRPr="007938ED" w:rsidR="00D31E46" w:rsidP="00D31E46" w:rsidRDefault="00D31E46" w14:paraId="4094C748"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6ADF478"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7A8854DD" w14:textId="77777777">
            <w:pPr>
              <w:rPr>
                <w:rFonts w:asciiTheme="majorHAnsi" w:hAnsiTheme="majorHAnsi"/>
                <w:sz w:val="18"/>
                <w:szCs w:val="12"/>
              </w:rPr>
            </w:pPr>
            <w:r w:rsidRPr="007938ED">
              <w:rPr>
                <w:rFonts w:asciiTheme="majorHAnsi" w:hAnsiTheme="majorHAnsi"/>
                <w:sz w:val="18"/>
                <w:szCs w:val="12"/>
              </w:rPr>
              <w:t>Score</w:t>
            </w:r>
          </w:p>
        </w:tc>
      </w:tr>
      <w:tr w:rsidRPr="007938ED" w:rsidR="00CE6F7B" w:rsidTr="007938ED" w14:paraId="70314A9D" w14:textId="77777777">
        <w:trPr>
          <w:trHeight w:val="1200"/>
        </w:trPr>
        <w:tc>
          <w:tcPr>
            <w:tcW w:w="0" w:type="auto"/>
            <w:noWrap/>
            <w:hideMark/>
          </w:tcPr>
          <w:p w:rsidRPr="007938ED" w:rsidR="00D31E46" w:rsidP="00D31E46" w:rsidRDefault="00D31E46" w14:paraId="5B39FD88" w14:textId="77777777">
            <w:pPr>
              <w:rPr>
                <w:rFonts w:asciiTheme="majorHAnsi" w:hAnsiTheme="majorHAnsi"/>
                <w:sz w:val="18"/>
                <w:szCs w:val="12"/>
              </w:rPr>
            </w:pPr>
            <w:r w:rsidRPr="007938ED">
              <w:rPr>
                <w:rFonts w:asciiTheme="majorHAnsi" w:hAnsiTheme="majorHAnsi"/>
                <w:sz w:val="18"/>
                <w:szCs w:val="12"/>
              </w:rPr>
              <w:t>295</w:t>
            </w:r>
          </w:p>
        </w:tc>
        <w:tc>
          <w:tcPr>
            <w:tcW w:w="0" w:type="auto"/>
            <w:hideMark/>
          </w:tcPr>
          <w:p w:rsidRPr="007938ED" w:rsidR="00D31E46" w:rsidRDefault="00D31E46" w14:paraId="5AC02F8F" w14:textId="77777777">
            <w:pPr>
              <w:rPr>
                <w:rFonts w:asciiTheme="majorHAnsi" w:hAnsiTheme="majorHAnsi"/>
                <w:sz w:val="18"/>
                <w:szCs w:val="12"/>
              </w:rPr>
            </w:pPr>
            <w:r w:rsidRPr="007938ED">
              <w:rPr>
                <w:rFonts w:asciiTheme="majorHAnsi" w:hAnsiTheme="majorHAnsi"/>
                <w:sz w:val="18"/>
                <w:szCs w:val="12"/>
              </w:rPr>
              <w:t>The percentage increase in closed permits for building projects triggering energy code compliance within participating jurisdictions</w:t>
            </w:r>
          </w:p>
        </w:tc>
        <w:tc>
          <w:tcPr>
            <w:tcW w:w="0" w:type="auto"/>
            <w:hideMark/>
          </w:tcPr>
          <w:p w:rsidRPr="007938ED" w:rsidR="00D31E46" w:rsidRDefault="00D31E46" w14:paraId="19ED6308" w14:textId="77777777">
            <w:pPr>
              <w:rPr>
                <w:rFonts w:asciiTheme="majorHAnsi" w:hAnsiTheme="majorHAnsi"/>
                <w:sz w:val="18"/>
                <w:szCs w:val="12"/>
              </w:rPr>
            </w:pPr>
            <w:r w:rsidRPr="007938ED">
              <w:rPr>
                <w:rFonts w:asciiTheme="majorHAnsi" w:hAnsiTheme="majorHAnsi"/>
                <w:sz w:val="18"/>
                <w:szCs w:val="12"/>
              </w:rPr>
              <w:t>The percentage increase in closed permits for building projects triggering energy code compliance within participating jurisdictions</w:t>
            </w:r>
          </w:p>
        </w:tc>
        <w:tc>
          <w:tcPr>
            <w:tcW w:w="0" w:type="auto"/>
            <w:hideMark/>
          </w:tcPr>
          <w:p w:rsidRPr="007938ED" w:rsidR="00D31E46" w:rsidRDefault="00D31E46" w14:paraId="42FCFAD4"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E2F7772" w14:textId="77777777">
            <w:pPr>
              <w:rPr>
                <w:rFonts w:asciiTheme="majorHAnsi" w:hAnsiTheme="majorHAnsi"/>
                <w:sz w:val="18"/>
                <w:szCs w:val="12"/>
              </w:rPr>
            </w:pPr>
            <w:r w:rsidRPr="007938ED">
              <w:rPr>
                <w:rFonts w:asciiTheme="majorHAnsi" w:hAnsiTheme="majorHAnsi"/>
                <w:sz w:val="18"/>
                <w:szCs w:val="12"/>
              </w:rPr>
              <w:t>Compliance Improvement</w:t>
            </w:r>
          </w:p>
        </w:tc>
        <w:tc>
          <w:tcPr>
            <w:tcW w:w="0" w:type="auto"/>
            <w:hideMark/>
          </w:tcPr>
          <w:p w:rsidRPr="007938ED" w:rsidR="00D31E46" w:rsidP="00D31E46" w:rsidRDefault="00D31E46" w14:paraId="7E0647D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1FF3E5A"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807D989"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69948EB4" w14:textId="77777777">
        <w:trPr>
          <w:trHeight w:val="1200"/>
        </w:trPr>
        <w:tc>
          <w:tcPr>
            <w:tcW w:w="0" w:type="auto"/>
            <w:noWrap/>
            <w:hideMark/>
          </w:tcPr>
          <w:p w:rsidRPr="007938ED" w:rsidR="00D31E46" w:rsidP="00D31E46" w:rsidRDefault="00D31E46" w14:paraId="2E084DD1" w14:textId="77777777">
            <w:pPr>
              <w:rPr>
                <w:rFonts w:asciiTheme="majorHAnsi" w:hAnsiTheme="majorHAnsi"/>
                <w:sz w:val="18"/>
                <w:szCs w:val="12"/>
              </w:rPr>
            </w:pPr>
            <w:r w:rsidRPr="007938ED">
              <w:rPr>
                <w:rFonts w:asciiTheme="majorHAnsi" w:hAnsiTheme="majorHAnsi"/>
                <w:sz w:val="18"/>
                <w:szCs w:val="12"/>
              </w:rPr>
              <w:t>296</w:t>
            </w:r>
          </w:p>
        </w:tc>
        <w:tc>
          <w:tcPr>
            <w:tcW w:w="0" w:type="auto"/>
            <w:hideMark/>
          </w:tcPr>
          <w:p w:rsidRPr="007938ED" w:rsidR="00D31E46" w:rsidRDefault="00D31E46" w14:paraId="0F9E0A3E" w14:textId="77777777">
            <w:pPr>
              <w:rPr>
                <w:rFonts w:asciiTheme="majorHAnsi" w:hAnsiTheme="majorHAnsi"/>
                <w:sz w:val="18"/>
                <w:szCs w:val="12"/>
              </w:rPr>
            </w:pPr>
            <w:r w:rsidRPr="007938ED">
              <w:rPr>
                <w:rFonts w:asciiTheme="majorHAnsi" w:hAnsiTheme="majorHAnsi"/>
                <w:sz w:val="18"/>
                <w:szCs w:val="12"/>
              </w:rPr>
              <w:t>Number and percent of jurisdictions with staff participating in an Energy Policy Forum</w:t>
            </w:r>
          </w:p>
        </w:tc>
        <w:tc>
          <w:tcPr>
            <w:tcW w:w="0" w:type="auto"/>
            <w:hideMark/>
          </w:tcPr>
          <w:p w:rsidRPr="007938ED" w:rsidR="00D31E46" w:rsidRDefault="00D31E46" w14:paraId="3CFBB2A8" w14:textId="77777777">
            <w:pPr>
              <w:rPr>
                <w:rFonts w:asciiTheme="majorHAnsi" w:hAnsiTheme="majorHAnsi"/>
                <w:sz w:val="18"/>
                <w:szCs w:val="12"/>
              </w:rPr>
            </w:pPr>
            <w:r w:rsidRPr="007938ED">
              <w:rPr>
                <w:rFonts w:asciiTheme="majorHAnsi" w:hAnsiTheme="majorHAnsi"/>
                <w:sz w:val="18"/>
                <w:szCs w:val="12"/>
              </w:rPr>
              <w:t>Number and percent of jurisdictions with staff participating in an Energy Policy Forum</w:t>
            </w:r>
          </w:p>
        </w:tc>
        <w:tc>
          <w:tcPr>
            <w:tcW w:w="0" w:type="auto"/>
            <w:hideMark/>
          </w:tcPr>
          <w:p w:rsidRPr="007938ED" w:rsidR="00D31E46" w:rsidRDefault="00D31E46" w14:paraId="1F01B17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F022BA7" w14:textId="77777777">
            <w:pPr>
              <w:rPr>
                <w:rFonts w:asciiTheme="majorHAnsi" w:hAnsiTheme="majorHAnsi"/>
                <w:sz w:val="18"/>
                <w:szCs w:val="12"/>
              </w:rPr>
            </w:pPr>
            <w:r w:rsidRPr="007938ED">
              <w:rPr>
                <w:rFonts w:asciiTheme="majorHAnsi" w:hAnsiTheme="majorHAnsi"/>
                <w:sz w:val="18"/>
                <w:szCs w:val="12"/>
              </w:rPr>
              <w:t>Compliance Improvement</w:t>
            </w:r>
          </w:p>
        </w:tc>
        <w:tc>
          <w:tcPr>
            <w:tcW w:w="0" w:type="auto"/>
            <w:hideMark/>
          </w:tcPr>
          <w:p w:rsidRPr="007938ED" w:rsidR="00D31E46" w:rsidP="00D31E46" w:rsidRDefault="00D31E46" w14:paraId="31515E17"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993699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474628B5"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5A049F1C" w14:textId="77777777">
        <w:trPr>
          <w:trHeight w:val="1200"/>
        </w:trPr>
        <w:tc>
          <w:tcPr>
            <w:tcW w:w="0" w:type="auto"/>
            <w:noWrap/>
            <w:hideMark/>
          </w:tcPr>
          <w:p w:rsidRPr="007938ED" w:rsidR="00D31E46" w:rsidP="00D31E46" w:rsidRDefault="00D31E46" w14:paraId="03337F43" w14:textId="77777777">
            <w:pPr>
              <w:rPr>
                <w:rFonts w:asciiTheme="majorHAnsi" w:hAnsiTheme="majorHAnsi"/>
                <w:sz w:val="18"/>
                <w:szCs w:val="12"/>
              </w:rPr>
            </w:pPr>
            <w:r w:rsidRPr="007938ED">
              <w:rPr>
                <w:rFonts w:asciiTheme="majorHAnsi" w:hAnsiTheme="majorHAnsi"/>
                <w:sz w:val="18"/>
                <w:szCs w:val="12"/>
              </w:rPr>
              <w:t>297</w:t>
            </w:r>
          </w:p>
        </w:tc>
        <w:tc>
          <w:tcPr>
            <w:tcW w:w="0" w:type="auto"/>
            <w:hideMark/>
          </w:tcPr>
          <w:p w:rsidRPr="007938ED" w:rsidR="00D31E46" w:rsidRDefault="00D31E46" w14:paraId="69A5E815" w14:textId="77777777">
            <w:pPr>
              <w:rPr>
                <w:rFonts w:asciiTheme="majorHAnsi" w:hAnsiTheme="majorHAnsi"/>
                <w:sz w:val="18"/>
                <w:szCs w:val="12"/>
              </w:rPr>
            </w:pPr>
            <w:r w:rsidRPr="007938ED">
              <w:rPr>
                <w:rFonts w:asciiTheme="majorHAnsi" w:hAnsiTheme="majorHAnsi"/>
                <w:sz w:val="18"/>
                <w:szCs w:val="12"/>
              </w:rPr>
              <w:t>Number and percent of jurisdictions with staff participating in an Energy Policy Forum</w:t>
            </w:r>
          </w:p>
        </w:tc>
        <w:tc>
          <w:tcPr>
            <w:tcW w:w="0" w:type="auto"/>
            <w:hideMark/>
          </w:tcPr>
          <w:p w:rsidRPr="007938ED" w:rsidR="00D31E46" w:rsidRDefault="00D31E46" w14:paraId="1CC5570F" w14:textId="77777777">
            <w:pPr>
              <w:rPr>
                <w:rFonts w:asciiTheme="majorHAnsi" w:hAnsiTheme="majorHAnsi"/>
                <w:sz w:val="18"/>
                <w:szCs w:val="12"/>
              </w:rPr>
            </w:pPr>
            <w:r w:rsidRPr="007938ED">
              <w:rPr>
                <w:rFonts w:asciiTheme="majorHAnsi" w:hAnsiTheme="majorHAnsi"/>
                <w:sz w:val="18"/>
                <w:szCs w:val="12"/>
              </w:rPr>
              <w:t>Number and percent of jurisdictions with staff participating in an Energy Policy Forum</w:t>
            </w:r>
          </w:p>
        </w:tc>
        <w:tc>
          <w:tcPr>
            <w:tcW w:w="0" w:type="auto"/>
            <w:hideMark/>
          </w:tcPr>
          <w:p w:rsidRPr="007938ED" w:rsidR="00D31E46" w:rsidRDefault="00D31E46" w14:paraId="59A9945E"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59ADC3A5" w14:textId="77777777">
            <w:pPr>
              <w:rPr>
                <w:rFonts w:asciiTheme="majorHAnsi" w:hAnsiTheme="majorHAnsi"/>
                <w:sz w:val="18"/>
                <w:szCs w:val="12"/>
              </w:rPr>
            </w:pPr>
            <w:r w:rsidRPr="007938ED">
              <w:rPr>
                <w:rFonts w:asciiTheme="majorHAnsi" w:hAnsiTheme="majorHAnsi"/>
                <w:sz w:val="18"/>
                <w:szCs w:val="12"/>
              </w:rPr>
              <w:t>Compliance Improvement</w:t>
            </w:r>
          </w:p>
        </w:tc>
        <w:tc>
          <w:tcPr>
            <w:tcW w:w="0" w:type="auto"/>
            <w:hideMark/>
          </w:tcPr>
          <w:p w:rsidRPr="007938ED" w:rsidR="00D31E46" w:rsidP="00D31E46" w:rsidRDefault="00D31E46" w14:paraId="7A37878D"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3F581AAB"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203E212"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56CFB013" w14:textId="77777777">
        <w:trPr>
          <w:trHeight w:val="1200"/>
        </w:trPr>
        <w:tc>
          <w:tcPr>
            <w:tcW w:w="0" w:type="auto"/>
            <w:noWrap/>
            <w:hideMark/>
          </w:tcPr>
          <w:p w:rsidRPr="007938ED" w:rsidR="00D31E46" w:rsidP="00D31E46" w:rsidRDefault="00D31E46" w14:paraId="7E58D574" w14:textId="77777777">
            <w:pPr>
              <w:rPr>
                <w:rFonts w:asciiTheme="majorHAnsi" w:hAnsiTheme="majorHAnsi"/>
                <w:sz w:val="18"/>
                <w:szCs w:val="12"/>
              </w:rPr>
            </w:pPr>
            <w:r w:rsidRPr="007938ED">
              <w:rPr>
                <w:rFonts w:asciiTheme="majorHAnsi" w:hAnsiTheme="majorHAnsi"/>
                <w:sz w:val="18"/>
                <w:szCs w:val="12"/>
              </w:rPr>
              <w:t>298</w:t>
            </w:r>
          </w:p>
        </w:tc>
        <w:tc>
          <w:tcPr>
            <w:tcW w:w="0" w:type="auto"/>
            <w:hideMark/>
          </w:tcPr>
          <w:p w:rsidRPr="007938ED" w:rsidR="00D31E46" w:rsidRDefault="00D31E46" w14:paraId="3101ACA4" w14:textId="77777777">
            <w:pPr>
              <w:rPr>
                <w:rFonts w:asciiTheme="majorHAnsi" w:hAnsiTheme="majorHAnsi"/>
                <w:sz w:val="18"/>
                <w:szCs w:val="12"/>
              </w:rPr>
            </w:pPr>
            <w:r w:rsidRPr="007938ED">
              <w:rPr>
                <w:rFonts w:asciiTheme="majorHAnsi" w:hAnsiTheme="majorHAnsi"/>
                <w:sz w:val="18"/>
                <w:szCs w:val="12"/>
              </w:rPr>
              <w:t xml:space="preserve">Number and percent of jurisdictions receiving Energy Policy technical assistance. </w:t>
            </w:r>
          </w:p>
        </w:tc>
        <w:tc>
          <w:tcPr>
            <w:tcW w:w="0" w:type="auto"/>
            <w:hideMark/>
          </w:tcPr>
          <w:p w:rsidRPr="007938ED" w:rsidR="00D31E46" w:rsidRDefault="00D31E46" w14:paraId="2848DFD4" w14:textId="77777777">
            <w:pPr>
              <w:rPr>
                <w:rFonts w:asciiTheme="majorHAnsi" w:hAnsiTheme="majorHAnsi"/>
                <w:sz w:val="18"/>
                <w:szCs w:val="12"/>
              </w:rPr>
            </w:pPr>
            <w:r w:rsidRPr="007938ED">
              <w:rPr>
                <w:rFonts w:asciiTheme="majorHAnsi" w:hAnsiTheme="majorHAnsi"/>
                <w:sz w:val="18"/>
                <w:szCs w:val="12"/>
              </w:rPr>
              <w:t xml:space="preserve">Number and percent of jurisdictions receiving Energy Policy technical assistance. </w:t>
            </w:r>
          </w:p>
        </w:tc>
        <w:tc>
          <w:tcPr>
            <w:tcW w:w="0" w:type="auto"/>
            <w:hideMark/>
          </w:tcPr>
          <w:p w:rsidRPr="007938ED" w:rsidR="00D31E46" w:rsidRDefault="00D31E46" w14:paraId="0EBF901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607DEE1" w14:textId="77777777">
            <w:pPr>
              <w:rPr>
                <w:rFonts w:asciiTheme="majorHAnsi" w:hAnsiTheme="majorHAnsi"/>
                <w:sz w:val="18"/>
                <w:szCs w:val="12"/>
              </w:rPr>
            </w:pPr>
            <w:r w:rsidRPr="007938ED">
              <w:rPr>
                <w:rFonts w:asciiTheme="majorHAnsi" w:hAnsiTheme="majorHAnsi"/>
                <w:sz w:val="18"/>
                <w:szCs w:val="12"/>
              </w:rPr>
              <w:t>Compliance Improvement</w:t>
            </w:r>
          </w:p>
        </w:tc>
        <w:tc>
          <w:tcPr>
            <w:tcW w:w="0" w:type="auto"/>
            <w:hideMark/>
          </w:tcPr>
          <w:p w:rsidRPr="007938ED" w:rsidR="00D31E46" w:rsidP="00D31E46" w:rsidRDefault="00D31E46" w14:paraId="56FE48B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4393CD2"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2DF2D0A"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5A0E82B3" w14:textId="77777777">
        <w:trPr>
          <w:trHeight w:val="1200"/>
        </w:trPr>
        <w:tc>
          <w:tcPr>
            <w:tcW w:w="0" w:type="auto"/>
            <w:noWrap/>
            <w:hideMark/>
          </w:tcPr>
          <w:p w:rsidRPr="007938ED" w:rsidR="00D31E46" w:rsidP="00D31E46" w:rsidRDefault="00D31E46" w14:paraId="78A2A1C4" w14:textId="77777777">
            <w:pPr>
              <w:rPr>
                <w:rFonts w:asciiTheme="majorHAnsi" w:hAnsiTheme="majorHAnsi"/>
                <w:sz w:val="18"/>
                <w:szCs w:val="12"/>
              </w:rPr>
            </w:pPr>
            <w:r w:rsidRPr="007938ED">
              <w:rPr>
                <w:rFonts w:asciiTheme="majorHAnsi" w:hAnsiTheme="majorHAnsi"/>
                <w:sz w:val="18"/>
                <w:szCs w:val="12"/>
              </w:rPr>
              <w:t>299</w:t>
            </w:r>
          </w:p>
        </w:tc>
        <w:tc>
          <w:tcPr>
            <w:tcW w:w="0" w:type="auto"/>
            <w:hideMark/>
          </w:tcPr>
          <w:p w:rsidRPr="007938ED" w:rsidR="00D31E46" w:rsidRDefault="00D31E46" w14:paraId="1224C661" w14:textId="77777777">
            <w:pPr>
              <w:rPr>
                <w:rFonts w:asciiTheme="majorHAnsi" w:hAnsiTheme="majorHAnsi"/>
                <w:sz w:val="18"/>
                <w:szCs w:val="12"/>
              </w:rPr>
            </w:pPr>
            <w:r w:rsidRPr="007938ED">
              <w:rPr>
                <w:rFonts w:asciiTheme="majorHAnsi" w:hAnsiTheme="majorHAnsi"/>
                <w:sz w:val="18"/>
                <w:szCs w:val="12"/>
              </w:rPr>
              <w:t xml:space="preserve">Number and percent of jurisdictions receiving Energy Policy technical assistance. </w:t>
            </w:r>
          </w:p>
        </w:tc>
        <w:tc>
          <w:tcPr>
            <w:tcW w:w="0" w:type="auto"/>
            <w:hideMark/>
          </w:tcPr>
          <w:p w:rsidRPr="007938ED" w:rsidR="00D31E46" w:rsidRDefault="00D31E46" w14:paraId="27DB398D" w14:textId="77777777">
            <w:pPr>
              <w:rPr>
                <w:rFonts w:asciiTheme="majorHAnsi" w:hAnsiTheme="majorHAnsi"/>
                <w:sz w:val="18"/>
                <w:szCs w:val="12"/>
              </w:rPr>
            </w:pPr>
            <w:r w:rsidRPr="007938ED">
              <w:rPr>
                <w:rFonts w:asciiTheme="majorHAnsi" w:hAnsiTheme="majorHAnsi"/>
                <w:sz w:val="18"/>
                <w:szCs w:val="12"/>
              </w:rPr>
              <w:t xml:space="preserve">Number and percent of jurisdictions receiving Energy Policy technical assistance. </w:t>
            </w:r>
          </w:p>
        </w:tc>
        <w:tc>
          <w:tcPr>
            <w:tcW w:w="0" w:type="auto"/>
            <w:hideMark/>
          </w:tcPr>
          <w:p w:rsidRPr="007938ED" w:rsidR="00D31E46" w:rsidRDefault="00D31E46" w14:paraId="203BA68C"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2B7117E9" w14:textId="77777777">
            <w:pPr>
              <w:rPr>
                <w:rFonts w:asciiTheme="majorHAnsi" w:hAnsiTheme="majorHAnsi"/>
                <w:sz w:val="18"/>
                <w:szCs w:val="12"/>
              </w:rPr>
            </w:pPr>
            <w:r w:rsidRPr="007938ED">
              <w:rPr>
                <w:rFonts w:asciiTheme="majorHAnsi" w:hAnsiTheme="majorHAnsi"/>
                <w:sz w:val="18"/>
                <w:szCs w:val="12"/>
              </w:rPr>
              <w:t>Compliance Improvement</w:t>
            </w:r>
          </w:p>
        </w:tc>
        <w:tc>
          <w:tcPr>
            <w:tcW w:w="0" w:type="auto"/>
            <w:hideMark/>
          </w:tcPr>
          <w:p w:rsidRPr="007938ED" w:rsidR="00D31E46" w:rsidP="00D31E46" w:rsidRDefault="00D31E46" w14:paraId="2CAF115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338622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51AA3E6"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431DF204" w14:textId="77777777">
        <w:trPr>
          <w:trHeight w:val="1200"/>
        </w:trPr>
        <w:tc>
          <w:tcPr>
            <w:tcW w:w="0" w:type="auto"/>
            <w:noWrap/>
            <w:hideMark/>
          </w:tcPr>
          <w:p w:rsidRPr="007938ED" w:rsidR="00D31E46" w:rsidP="00D31E46" w:rsidRDefault="00D31E46" w14:paraId="79B8E630" w14:textId="77777777">
            <w:pPr>
              <w:rPr>
                <w:rFonts w:asciiTheme="majorHAnsi" w:hAnsiTheme="majorHAnsi"/>
                <w:sz w:val="18"/>
                <w:szCs w:val="12"/>
              </w:rPr>
            </w:pPr>
            <w:r w:rsidRPr="007938ED">
              <w:rPr>
                <w:rFonts w:asciiTheme="majorHAnsi" w:hAnsiTheme="majorHAnsi"/>
                <w:sz w:val="18"/>
                <w:szCs w:val="12"/>
              </w:rPr>
              <w:lastRenderedPageBreak/>
              <w:t>300</w:t>
            </w:r>
          </w:p>
        </w:tc>
        <w:tc>
          <w:tcPr>
            <w:tcW w:w="0" w:type="auto"/>
            <w:hideMark/>
          </w:tcPr>
          <w:p w:rsidRPr="007938ED" w:rsidR="00D31E46" w:rsidRDefault="00D31E46" w14:paraId="4563C57C" w14:textId="77777777">
            <w:pPr>
              <w:rPr>
                <w:rFonts w:asciiTheme="majorHAnsi" w:hAnsiTheme="majorHAnsi"/>
                <w:sz w:val="18"/>
                <w:szCs w:val="12"/>
              </w:rPr>
            </w:pPr>
            <w:r w:rsidRPr="007938ED">
              <w:rPr>
                <w:rFonts w:asciiTheme="majorHAnsi" w:hAnsiTheme="majorHAnsi"/>
                <w:sz w:val="18"/>
                <w:szCs w:val="12"/>
              </w:rPr>
              <w:t>Buildings receiving enhanced code compliance support and delivering compliance data to program evaluators</w:t>
            </w:r>
          </w:p>
        </w:tc>
        <w:tc>
          <w:tcPr>
            <w:tcW w:w="0" w:type="auto"/>
            <w:hideMark/>
          </w:tcPr>
          <w:p w:rsidRPr="007938ED" w:rsidR="00D31E46" w:rsidRDefault="00D31E46" w14:paraId="1F9BFE3D" w14:textId="77777777">
            <w:pPr>
              <w:rPr>
                <w:rFonts w:asciiTheme="majorHAnsi" w:hAnsiTheme="majorHAnsi"/>
                <w:sz w:val="18"/>
                <w:szCs w:val="12"/>
              </w:rPr>
            </w:pPr>
            <w:r w:rsidRPr="007938ED">
              <w:rPr>
                <w:rFonts w:asciiTheme="majorHAnsi" w:hAnsiTheme="majorHAnsi"/>
                <w:sz w:val="18"/>
                <w:szCs w:val="12"/>
              </w:rPr>
              <w:t>Buildings receiving enhanced code compliance support and delivering compliance data to program evaluators</w:t>
            </w:r>
          </w:p>
        </w:tc>
        <w:tc>
          <w:tcPr>
            <w:tcW w:w="0" w:type="auto"/>
            <w:hideMark/>
          </w:tcPr>
          <w:p w:rsidRPr="007938ED" w:rsidR="00D31E46" w:rsidRDefault="00D31E46" w14:paraId="3E753BFB"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328AF383" w14:textId="77777777">
            <w:pPr>
              <w:rPr>
                <w:rFonts w:asciiTheme="majorHAnsi" w:hAnsiTheme="majorHAnsi"/>
                <w:sz w:val="18"/>
                <w:szCs w:val="12"/>
              </w:rPr>
            </w:pPr>
            <w:r w:rsidRPr="007938ED">
              <w:rPr>
                <w:rFonts w:asciiTheme="majorHAnsi" w:hAnsiTheme="majorHAnsi"/>
                <w:sz w:val="18"/>
                <w:szCs w:val="12"/>
              </w:rPr>
              <w:t>Compliance Improvement</w:t>
            </w:r>
          </w:p>
        </w:tc>
        <w:tc>
          <w:tcPr>
            <w:tcW w:w="0" w:type="auto"/>
            <w:hideMark/>
          </w:tcPr>
          <w:p w:rsidRPr="007938ED" w:rsidR="00D31E46" w:rsidP="00D31E46" w:rsidRDefault="00D31E46" w14:paraId="17ACAE93"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6B209E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732CE38"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639F9EFE" w14:textId="77777777">
        <w:trPr>
          <w:trHeight w:val="1200"/>
        </w:trPr>
        <w:tc>
          <w:tcPr>
            <w:tcW w:w="0" w:type="auto"/>
            <w:hideMark/>
          </w:tcPr>
          <w:p w:rsidRPr="007938ED" w:rsidR="00D31E46" w:rsidP="00D31E46" w:rsidRDefault="00D31E46" w14:paraId="6EDA5BB7" w14:textId="77777777">
            <w:pPr>
              <w:rPr>
                <w:rFonts w:asciiTheme="majorHAnsi" w:hAnsiTheme="majorHAnsi"/>
                <w:sz w:val="18"/>
                <w:szCs w:val="12"/>
              </w:rPr>
            </w:pPr>
            <w:r w:rsidRPr="007938ED">
              <w:rPr>
                <w:rFonts w:asciiTheme="majorHAnsi" w:hAnsiTheme="majorHAnsi"/>
                <w:sz w:val="18"/>
                <w:szCs w:val="12"/>
              </w:rPr>
              <w:t>301</w:t>
            </w:r>
          </w:p>
        </w:tc>
        <w:tc>
          <w:tcPr>
            <w:tcW w:w="0" w:type="auto"/>
            <w:hideMark/>
          </w:tcPr>
          <w:p w:rsidRPr="007938ED" w:rsidR="00D31E46" w:rsidRDefault="00D31E46" w14:paraId="49FD7AA2" w14:textId="77777777">
            <w:pPr>
              <w:rPr>
                <w:rFonts w:asciiTheme="majorHAnsi" w:hAnsiTheme="majorHAnsi"/>
                <w:sz w:val="18"/>
                <w:szCs w:val="12"/>
              </w:rPr>
            </w:pPr>
            <w:r w:rsidRPr="007938ED">
              <w:rPr>
                <w:rFonts w:asciiTheme="majorHAnsi" w:hAnsiTheme="majorHAnsi"/>
                <w:sz w:val="18"/>
                <w:szCs w:val="12"/>
              </w:rPr>
              <w:t xml:space="preserve">Number of collaborations by Business Plan sector to jointly develop or share training materials or resources. </w:t>
            </w:r>
          </w:p>
        </w:tc>
        <w:tc>
          <w:tcPr>
            <w:tcW w:w="0" w:type="auto"/>
            <w:hideMark/>
          </w:tcPr>
          <w:p w:rsidRPr="007938ED" w:rsidR="00D31E46" w:rsidRDefault="00D31E46" w14:paraId="1C567C22" w14:textId="77777777">
            <w:pPr>
              <w:rPr>
                <w:rFonts w:asciiTheme="majorHAnsi" w:hAnsiTheme="majorHAnsi"/>
                <w:sz w:val="18"/>
                <w:szCs w:val="12"/>
              </w:rPr>
            </w:pPr>
            <w:r w:rsidRPr="007938ED">
              <w:rPr>
                <w:rFonts w:asciiTheme="majorHAnsi" w:hAnsiTheme="majorHAnsi"/>
                <w:sz w:val="18"/>
                <w:szCs w:val="12"/>
              </w:rPr>
              <w:t xml:space="preserve">Number of collaborations by Business Plan sector to jointly develop or share training materials or resources. </w:t>
            </w:r>
          </w:p>
        </w:tc>
        <w:tc>
          <w:tcPr>
            <w:tcW w:w="0" w:type="auto"/>
            <w:hideMark/>
          </w:tcPr>
          <w:p w:rsidRPr="007938ED" w:rsidR="00D31E46" w:rsidRDefault="00D31E46" w14:paraId="3CE4F1A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6186512" w14:textId="77777777">
            <w:pPr>
              <w:rPr>
                <w:rFonts w:asciiTheme="majorHAnsi" w:hAnsiTheme="majorHAnsi"/>
                <w:sz w:val="18"/>
                <w:szCs w:val="12"/>
              </w:rPr>
            </w:pPr>
            <w:r w:rsidRPr="007938ED">
              <w:rPr>
                <w:rFonts w:asciiTheme="majorHAnsi" w:hAnsiTheme="majorHAnsi"/>
                <w:sz w:val="18"/>
                <w:szCs w:val="12"/>
              </w:rPr>
              <w:t>WE&amp;T</w:t>
            </w:r>
          </w:p>
        </w:tc>
        <w:tc>
          <w:tcPr>
            <w:tcW w:w="0" w:type="auto"/>
            <w:hideMark/>
          </w:tcPr>
          <w:p w:rsidRPr="007938ED" w:rsidR="00D31E46" w:rsidP="00D31E46" w:rsidRDefault="00D31E46" w14:paraId="60EA3A9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4D728B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D410D15"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4B5A18B1" w14:textId="77777777">
        <w:trPr>
          <w:trHeight w:val="1200"/>
        </w:trPr>
        <w:tc>
          <w:tcPr>
            <w:tcW w:w="0" w:type="auto"/>
            <w:hideMark/>
          </w:tcPr>
          <w:p w:rsidRPr="007938ED" w:rsidR="00D31E46" w:rsidP="00D31E46" w:rsidRDefault="00D31E46" w14:paraId="7DA3513C" w14:textId="77777777">
            <w:pPr>
              <w:rPr>
                <w:rFonts w:asciiTheme="majorHAnsi" w:hAnsiTheme="majorHAnsi"/>
                <w:sz w:val="18"/>
                <w:szCs w:val="12"/>
              </w:rPr>
            </w:pPr>
            <w:r w:rsidRPr="007938ED">
              <w:rPr>
                <w:rFonts w:asciiTheme="majorHAnsi" w:hAnsiTheme="majorHAnsi"/>
                <w:sz w:val="18"/>
                <w:szCs w:val="12"/>
              </w:rPr>
              <w:t>302</w:t>
            </w:r>
          </w:p>
        </w:tc>
        <w:tc>
          <w:tcPr>
            <w:tcW w:w="0" w:type="auto"/>
            <w:hideMark/>
          </w:tcPr>
          <w:p w:rsidRPr="007938ED" w:rsidR="00D31E46" w:rsidRDefault="00D31E46" w14:paraId="7D705844" w14:textId="77777777">
            <w:pPr>
              <w:rPr>
                <w:rFonts w:asciiTheme="majorHAnsi" w:hAnsiTheme="majorHAnsi"/>
                <w:sz w:val="18"/>
                <w:szCs w:val="12"/>
              </w:rPr>
            </w:pPr>
            <w:r w:rsidRPr="007938ED">
              <w:rPr>
                <w:rFonts w:asciiTheme="majorHAnsi" w:hAnsiTheme="majorHAnsi"/>
                <w:sz w:val="18"/>
                <w:szCs w:val="12"/>
              </w:rPr>
              <w:t>Number of participants by sector</w:t>
            </w:r>
          </w:p>
        </w:tc>
        <w:tc>
          <w:tcPr>
            <w:tcW w:w="0" w:type="auto"/>
            <w:hideMark/>
          </w:tcPr>
          <w:p w:rsidRPr="007938ED" w:rsidR="00D31E46" w:rsidRDefault="00D31E46" w14:paraId="59F71114" w14:textId="77777777">
            <w:pPr>
              <w:rPr>
                <w:rFonts w:asciiTheme="majorHAnsi" w:hAnsiTheme="majorHAnsi"/>
                <w:sz w:val="18"/>
                <w:szCs w:val="12"/>
              </w:rPr>
            </w:pPr>
            <w:r w:rsidRPr="007938ED">
              <w:rPr>
                <w:rFonts w:asciiTheme="majorHAnsi" w:hAnsiTheme="majorHAnsi"/>
                <w:sz w:val="18"/>
                <w:szCs w:val="12"/>
              </w:rPr>
              <w:t>Number of participants by sector</w:t>
            </w:r>
          </w:p>
        </w:tc>
        <w:tc>
          <w:tcPr>
            <w:tcW w:w="0" w:type="auto"/>
            <w:hideMark/>
          </w:tcPr>
          <w:p w:rsidRPr="007938ED" w:rsidR="00D31E46" w:rsidRDefault="00D31E46" w14:paraId="7657072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3BA49AD" w14:textId="77777777">
            <w:pPr>
              <w:rPr>
                <w:rFonts w:asciiTheme="majorHAnsi" w:hAnsiTheme="majorHAnsi"/>
                <w:sz w:val="18"/>
                <w:szCs w:val="12"/>
              </w:rPr>
            </w:pPr>
            <w:r w:rsidRPr="007938ED">
              <w:rPr>
                <w:rFonts w:asciiTheme="majorHAnsi" w:hAnsiTheme="majorHAnsi"/>
                <w:sz w:val="18"/>
                <w:szCs w:val="12"/>
              </w:rPr>
              <w:t>WE&amp;T</w:t>
            </w:r>
          </w:p>
        </w:tc>
        <w:tc>
          <w:tcPr>
            <w:tcW w:w="0" w:type="auto"/>
            <w:hideMark/>
          </w:tcPr>
          <w:p w:rsidRPr="007938ED" w:rsidR="00D31E46" w:rsidP="00D31E46" w:rsidRDefault="00D31E46" w14:paraId="1CA9118B"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D12D4F8"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7680EEE7"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5B35D83D" w14:textId="77777777">
        <w:trPr>
          <w:trHeight w:val="1200"/>
        </w:trPr>
        <w:tc>
          <w:tcPr>
            <w:tcW w:w="0" w:type="auto"/>
            <w:hideMark/>
          </w:tcPr>
          <w:p w:rsidRPr="007938ED" w:rsidR="00D31E46" w:rsidP="00D31E46" w:rsidRDefault="00D31E46" w14:paraId="5A72130B" w14:textId="77777777">
            <w:pPr>
              <w:rPr>
                <w:rFonts w:asciiTheme="majorHAnsi" w:hAnsiTheme="majorHAnsi"/>
                <w:sz w:val="18"/>
                <w:szCs w:val="12"/>
              </w:rPr>
            </w:pPr>
            <w:r w:rsidRPr="007938ED">
              <w:rPr>
                <w:rFonts w:asciiTheme="majorHAnsi" w:hAnsiTheme="majorHAnsi"/>
                <w:sz w:val="18"/>
                <w:szCs w:val="12"/>
              </w:rPr>
              <w:t>303</w:t>
            </w:r>
          </w:p>
        </w:tc>
        <w:tc>
          <w:tcPr>
            <w:tcW w:w="0" w:type="auto"/>
            <w:hideMark/>
          </w:tcPr>
          <w:p w:rsidRPr="007938ED" w:rsidR="00D31E46" w:rsidRDefault="00D31E46" w14:paraId="6551778B" w14:textId="77777777">
            <w:pPr>
              <w:rPr>
                <w:rFonts w:asciiTheme="majorHAnsi" w:hAnsiTheme="majorHAnsi"/>
                <w:sz w:val="18"/>
                <w:szCs w:val="12"/>
              </w:rPr>
            </w:pPr>
            <w:r w:rsidRPr="007938ED">
              <w:rPr>
                <w:rFonts w:asciiTheme="majorHAnsi" w:hAnsiTheme="majorHAnsi"/>
                <w:sz w:val="18"/>
                <w:szCs w:val="12"/>
              </w:rPr>
              <w:t>Percent of participation relative to eligible target population for curriculum</w:t>
            </w:r>
          </w:p>
        </w:tc>
        <w:tc>
          <w:tcPr>
            <w:tcW w:w="0" w:type="auto"/>
            <w:hideMark/>
          </w:tcPr>
          <w:p w:rsidRPr="007938ED" w:rsidR="00D31E46" w:rsidRDefault="00D31E46" w14:paraId="0163F494" w14:textId="77777777">
            <w:pPr>
              <w:rPr>
                <w:rFonts w:asciiTheme="majorHAnsi" w:hAnsiTheme="majorHAnsi"/>
                <w:sz w:val="18"/>
                <w:szCs w:val="12"/>
              </w:rPr>
            </w:pPr>
            <w:r w:rsidRPr="007938ED">
              <w:rPr>
                <w:rFonts w:asciiTheme="majorHAnsi" w:hAnsiTheme="majorHAnsi"/>
                <w:sz w:val="18"/>
                <w:szCs w:val="12"/>
              </w:rPr>
              <w:t>Percent of participation relative to eligible target population for curriculum</w:t>
            </w:r>
          </w:p>
        </w:tc>
        <w:tc>
          <w:tcPr>
            <w:tcW w:w="0" w:type="auto"/>
            <w:hideMark/>
          </w:tcPr>
          <w:p w:rsidRPr="007938ED" w:rsidR="00D31E46" w:rsidRDefault="00D31E46" w14:paraId="72AA868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2F74B00" w14:textId="77777777">
            <w:pPr>
              <w:rPr>
                <w:rFonts w:asciiTheme="majorHAnsi" w:hAnsiTheme="majorHAnsi"/>
                <w:sz w:val="18"/>
                <w:szCs w:val="12"/>
              </w:rPr>
            </w:pPr>
            <w:r w:rsidRPr="007938ED">
              <w:rPr>
                <w:rFonts w:asciiTheme="majorHAnsi" w:hAnsiTheme="majorHAnsi"/>
                <w:sz w:val="18"/>
                <w:szCs w:val="12"/>
              </w:rPr>
              <w:t>WE&amp;T</w:t>
            </w:r>
          </w:p>
        </w:tc>
        <w:tc>
          <w:tcPr>
            <w:tcW w:w="0" w:type="auto"/>
            <w:hideMark/>
          </w:tcPr>
          <w:p w:rsidRPr="007938ED" w:rsidR="00D31E46" w:rsidP="00D31E46" w:rsidRDefault="00D31E46" w14:paraId="3405044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F83253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253772A5" w14:textId="77777777">
            <w:pPr>
              <w:rPr>
                <w:rFonts w:asciiTheme="majorHAnsi" w:hAnsiTheme="majorHAnsi"/>
                <w:sz w:val="18"/>
                <w:szCs w:val="12"/>
              </w:rPr>
            </w:pPr>
            <w:r w:rsidRPr="007938ED">
              <w:rPr>
                <w:rFonts w:asciiTheme="majorHAnsi" w:hAnsiTheme="majorHAnsi"/>
                <w:sz w:val="18"/>
                <w:szCs w:val="12"/>
              </w:rPr>
              <w:t>Percentage</w:t>
            </w:r>
          </w:p>
        </w:tc>
      </w:tr>
      <w:tr w:rsidRPr="007938ED" w:rsidR="00CE6F7B" w:rsidTr="007938ED" w14:paraId="5E9AD526" w14:textId="77777777">
        <w:trPr>
          <w:trHeight w:val="1200"/>
        </w:trPr>
        <w:tc>
          <w:tcPr>
            <w:tcW w:w="0" w:type="auto"/>
            <w:hideMark/>
          </w:tcPr>
          <w:p w:rsidRPr="007938ED" w:rsidR="00D31E46" w:rsidP="00D31E46" w:rsidRDefault="00D31E46" w14:paraId="3BB5941F" w14:textId="77777777">
            <w:pPr>
              <w:rPr>
                <w:rFonts w:asciiTheme="majorHAnsi" w:hAnsiTheme="majorHAnsi"/>
                <w:sz w:val="18"/>
                <w:szCs w:val="12"/>
              </w:rPr>
            </w:pPr>
            <w:r w:rsidRPr="007938ED">
              <w:rPr>
                <w:rFonts w:asciiTheme="majorHAnsi" w:hAnsiTheme="majorHAnsi"/>
                <w:sz w:val="18"/>
                <w:szCs w:val="12"/>
              </w:rPr>
              <w:t>304</w:t>
            </w:r>
          </w:p>
        </w:tc>
        <w:tc>
          <w:tcPr>
            <w:tcW w:w="0" w:type="auto"/>
            <w:hideMark/>
          </w:tcPr>
          <w:p w:rsidRPr="007938ED" w:rsidR="00D31E46" w:rsidRDefault="00D31E46" w14:paraId="40003BAF" w14:textId="77777777">
            <w:pPr>
              <w:rPr>
                <w:rFonts w:asciiTheme="majorHAnsi" w:hAnsiTheme="majorHAnsi"/>
                <w:sz w:val="18"/>
                <w:szCs w:val="12"/>
              </w:rPr>
            </w:pPr>
            <w:r w:rsidRPr="007938ED">
              <w:rPr>
                <w:rFonts w:asciiTheme="majorHAnsi" w:hAnsiTheme="majorHAnsi"/>
                <w:sz w:val="18"/>
                <w:szCs w:val="12"/>
              </w:rPr>
              <w:t xml:space="preserve">Percent of total WE&amp;T training program participants that meet the definition of disadvantaged worker.  </w:t>
            </w:r>
          </w:p>
        </w:tc>
        <w:tc>
          <w:tcPr>
            <w:tcW w:w="0" w:type="auto"/>
            <w:hideMark/>
          </w:tcPr>
          <w:p w:rsidRPr="007938ED" w:rsidR="00D31E46" w:rsidRDefault="00D31E46" w14:paraId="63FE7AEB" w14:textId="77777777">
            <w:pPr>
              <w:rPr>
                <w:rFonts w:asciiTheme="majorHAnsi" w:hAnsiTheme="majorHAnsi"/>
                <w:sz w:val="18"/>
                <w:szCs w:val="12"/>
              </w:rPr>
            </w:pPr>
            <w:r w:rsidRPr="007938ED">
              <w:rPr>
                <w:rFonts w:asciiTheme="majorHAnsi" w:hAnsiTheme="majorHAnsi"/>
                <w:sz w:val="18"/>
                <w:szCs w:val="12"/>
              </w:rPr>
              <w:t xml:space="preserve">Percent of total WE&amp;T training program participants that meet the definition of disadvantaged worker.  </w:t>
            </w:r>
          </w:p>
        </w:tc>
        <w:tc>
          <w:tcPr>
            <w:tcW w:w="0" w:type="auto"/>
            <w:hideMark/>
          </w:tcPr>
          <w:p w:rsidRPr="007938ED" w:rsidR="00D31E46" w:rsidRDefault="00D31E46" w14:paraId="34BE7B1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A85D70A" w14:textId="77777777">
            <w:pPr>
              <w:rPr>
                <w:rFonts w:asciiTheme="majorHAnsi" w:hAnsiTheme="majorHAnsi"/>
                <w:sz w:val="18"/>
                <w:szCs w:val="12"/>
              </w:rPr>
            </w:pPr>
            <w:r w:rsidRPr="007938ED">
              <w:rPr>
                <w:rFonts w:asciiTheme="majorHAnsi" w:hAnsiTheme="majorHAnsi"/>
                <w:sz w:val="18"/>
                <w:szCs w:val="12"/>
              </w:rPr>
              <w:t>WE&amp;T</w:t>
            </w:r>
          </w:p>
        </w:tc>
        <w:tc>
          <w:tcPr>
            <w:tcW w:w="0" w:type="auto"/>
            <w:hideMark/>
          </w:tcPr>
          <w:p w:rsidRPr="007938ED" w:rsidR="00D31E46" w:rsidP="00D31E46" w:rsidRDefault="00D31E46" w14:paraId="4B974365"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5014C57"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DDA667F" w14:textId="77777777">
            <w:pPr>
              <w:rPr>
                <w:rFonts w:asciiTheme="majorHAnsi" w:hAnsiTheme="majorHAnsi"/>
                <w:sz w:val="18"/>
                <w:szCs w:val="12"/>
              </w:rPr>
            </w:pPr>
            <w:r w:rsidRPr="007938ED">
              <w:rPr>
                <w:rFonts w:asciiTheme="majorHAnsi" w:hAnsiTheme="majorHAnsi"/>
                <w:sz w:val="18"/>
                <w:szCs w:val="12"/>
              </w:rPr>
              <w:t>Percentage</w:t>
            </w:r>
          </w:p>
        </w:tc>
      </w:tr>
      <w:tr w:rsidRPr="007938ED" w:rsidR="00CE6F7B" w:rsidTr="007938ED" w14:paraId="2B5BEEE9" w14:textId="77777777">
        <w:trPr>
          <w:trHeight w:val="1200"/>
        </w:trPr>
        <w:tc>
          <w:tcPr>
            <w:tcW w:w="0" w:type="auto"/>
            <w:hideMark/>
          </w:tcPr>
          <w:p w:rsidRPr="007938ED" w:rsidR="00D31E46" w:rsidP="00D31E46" w:rsidRDefault="00D31E46" w14:paraId="74F009CA" w14:textId="77777777">
            <w:pPr>
              <w:rPr>
                <w:rFonts w:asciiTheme="majorHAnsi" w:hAnsiTheme="majorHAnsi"/>
                <w:sz w:val="18"/>
                <w:szCs w:val="12"/>
              </w:rPr>
            </w:pPr>
            <w:r w:rsidRPr="007938ED">
              <w:rPr>
                <w:rFonts w:asciiTheme="majorHAnsi" w:hAnsiTheme="majorHAnsi"/>
                <w:sz w:val="18"/>
                <w:szCs w:val="12"/>
              </w:rPr>
              <w:t>305</w:t>
            </w:r>
          </w:p>
        </w:tc>
        <w:tc>
          <w:tcPr>
            <w:tcW w:w="0" w:type="auto"/>
            <w:hideMark/>
          </w:tcPr>
          <w:p w:rsidRPr="007938ED" w:rsidR="00D31E46" w:rsidRDefault="00D31E46" w14:paraId="37B4754E" w14:textId="77777777">
            <w:pPr>
              <w:rPr>
                <w:rFonts w:asciiTheme="majorHAnsi" w:hAnsiTheme="majorHAnsi"/>
                <w:sz w:val="18"/>
                <w:szCs w:val="12"/>
              </w:rPr>
            </w:pPr>
            <w:r w:rsidRPr="007938ED">
              <w:rPr>
                <w:rFonts w:asciiTheme="majorHAnsi" w:hAnsiTheme="majorHAnsi"/>
                <w:sz w:val="18"/>
                <w:szCs w:val="12"/>
              </w:rPr>
              <w:t>Percent of incentive dollars spent on contracts* with a demonstrated commitment to provide career pathways to disadvantaged workers</w:t>
            </w:r>
          </w:p>
        </w:tc>
        <w:tc>
          <w:tcPr>
            <w:tcW w:w="0" w:type="auto"/>
            <w:hideMark/>
          </w:tcPr>
          <w:p w:rsidRPr="007938ED" w:rsidR="00D31E46" w:rsidRDefault="00D31E46" w14:paraId="210512F8" w14:textId="77777777">
            <w:pPr>
              <w:rPr>
                <w:rFonts w:asciiTheme="majorHAnsi" w:hAnsiTheme="majorHAnsi"/>
                <w:sz w:val="18"/>
                <w:szCs w:val="12"/>
              </w:rPr>
            </w:pPr>
            <w:r w:rsidRPr="007938ED">
              <w:rPr>
                <w:rFonts w:asciiTheme="majorHAnsi" w:hAnsiTheme="majorHAnsi"/>
                <w:sz w:val="18"/>
                <w:szCs w:val="12"/>
              </w:rPr>
              <w:t>Percent of incentive dollars spent on contracts* with a demonstrated commitment to provide career pathways to disadvantaged workers</w:t>
            </w:r>
          </w:p>
        </w:tc>
        <w:tc>
          <w:tcPr>
            <w:tcW w:w="0" w:type="auto"/>
            <w:hideMark/>
          </w:tcPr>
          <w:p w:rsidRPr="007938ED" w:rsidR="00D31E46" w:rsidRDefault="00D31E46" w14:paraId="5AB58191"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03890D7" w14:textId="77777777">
            <w:pPr>
              <w:rPr>
                <w:rFonts w:asciiTheme="majorHAnsi" w:hAnsiTheme="majorHAnsi"/>
                <w:sz w:val="18"/>
                <w:szCs w:val="12"/>
              </w:rPr>
            </w:pPr>
            <w:r w:rsidRPr="007938ED">
              <w:rPr>
                <w:rFonts w:asciiTheme="majorHAnsi" w:hAnsiTheme="majorHAnsi"/>
                <w:sz w:val="18"/>
                <w:szCs w:val="12"/>
              </w:rPr>
              <w:t>WE&amp;T</w:t>
            </w:r>
          </w:p>
        </w:tc>
        <w:tc>
          <w:tcPr>
            <w:tcW w:w="0" w:type="auto"/>
            <w:hideMark/>
          </w:tcPr>
          <w:p w:rsidRPr="007938ED" w:rsidR="00D31E46" w:rsidP="00D31E46" w:rsidRDefault="00D31E46" w14:paraId="15193092"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026907D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25D964E" w14:textId="77777777">
            <w:pPr>
              <w:rPr>
                <w:rFonts w:asciiTheme="majorHAnsi" w:hAnsiTheme="majorHAnsi"/>
                <w:sz w:val="18"/>
                <w:szCs w:val="12"/>
              </w:rPr>
            </w:pPr>
            <w:r w:rsidRPr="007938ED">
              <w:rPr>
                <w:rFonts w:asciiTheme="majorHAnsi" w:hAnsiTheme="majorHAnsi"/>
                <w:sz w:val="18"/>
                <w:szCs w:val="12"/>
              </w:rPr>
              <w:t>Percentage</w:t>
            </w:r>
          </w:p>
        </w:tc>
      </w:tr>
      <w:tr w:rsidRPr="007938ED" w:rsidR="00CE6F7B" w:rsidTr="007938ED" w14:paraId="376BB0CC" w14:textId="77777777">
        <w:trPr>
          <w:trHeight w:val="1200"/>
        </w:trPr>
        <w:tc>
          <w:tcPr>
            <w:tcW w:w="0" w:type="auto"/>
            <w:hideMark/>
          </w:tcPr>
          <w:p w:rsidRPr="007938ED" w:rsidR="00D31E46" w:rsidP="00D31E46" w:rsidRDefault="00D31E46" w14:paraId="00E922A4" w14:textId="77777777">
            <w:pPr>
              <w:rPr>
                <w:rFonts w:asciiTheme="majorHAnsi" w:hAnsiTheme="majorHAnsi"/>
                <w:sz w:val="18"/>
                <w:szCs w:val="12"/>
              </w:rPr>
            </w:pPr>
            <w:r w:rsidRPr="007938ED">
              <w:rPr>
                <w:rFonts w:asciiTheme="majorHAnsi" w:hAnsiTheme="majorHAnsi"/>
                <w:sz w:val="18"/>
                <w:szCs w:val="12"/>
              </w:rPr>
              <w:lastRenderedPageBreak/>
              <w:t>306</w:t>
            </w:r>
          </w:p>
        </w:tc>
        <w:tc>
          <w:tcPr>
            <w:tcW w:w="0" w:type="auto"/>
            <w:hideMark/>
          </w:tcPr>
          <w:p w:rsidRPr="007938ED" w:rsidR="00D31E46" w:rsidRDefault="00D31E46" w14:paraId="0AE2A9E6" w14:textId="77777777">
            <w:pPr>
              <w:rPr>
                <w:rFonts w:asciiTheme="majorHAnsi" w:hAnsiTheme="majorHAnsi"/>
                <w:sz w:val="18"/>
                <w:szCs w:val="12"/>
              </w:rPr>
            </w:pPr>
            <w:r w:rsidRPr="007938ED">
              <w:rPr>
                <w:rFonts w:asciiTheme="majorHAnsi" w:hAnsiTheme="majorHAnsi"/>
                <w:sz w:val="18"/>
                <w:szCs w:val="12"/>
              </w:rPr>
              <w:t xml:space="preserve">Number Career &amp; Workforce Readiness (CWR) participants who have been employed for 12 months after receiving the training </w:t>
            </w:r>
          </w:p>
        </w:tc>
        <w:tc>
          <w:tcPr>
            <w:tcW w:w="0" w:type="auto"/>
            <w:hideMark/>
          </w:tcPr>
          <w:p w:rsidRPr="007938ED" w:rsidR="00D31E46" w:rsidRDefault="00D31E46" w14:paraId="349C9880" w14:textId="77777777">
            <w:pPr>
              <w:rPr>
                <w:rFonts w:asciiTheme="majorHAnsi" w:hAnsiTheme="majorHAnsi"/>
                <w:sz w:val="18"/>
                <w:szCs w:val="12"/>
              </w:rPr>
            </w:pPr>
            <w:r w:rsidRPr="007938ED">
              <w:rPr>
                <w:rFonts w:asciiTheme="majorHAnsi" w:hAnsiTheme="majorHAnsi"/>
                <w:sz w:val="18"/>
                <w:szCs w:val="12"/>
              </w:rPr>
              <w:t xml:space="preserve">Number Career &amp; Workforce Readiness (CWR) participants who have been employed for 12 months after receiving the training </w:t>
            </w:r>
          </w:p>
        </w:tc>
        <w:tc>
          <w:tcPr>
            <w:tcW w:w="0" w:type="auto"/>
            <w:hideMark/>
          </w:tcPr>
          <w:p w:rsidRPr="007938ED" w:rsidR="00D31E46" w:rsidRDefault="00D31E46" w14:paraId="76933176"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07DD84F4" w14:textId="77777777">
            <w:pPr>
              <w:rPr>
                <w:rFonts w:asciiTheme="majorHAnsi" w:hAnsiTheme="majorHAnsi"/>
                <w:sz w:val="18"/>
                <w:szCs w:val="12"/>
              </w:rPr>
            </w:pPr>
            <w:r w:rsidRPr="007938ED">
              <w:rPr>
                <w:rFonts w:asciiTheme="majorHAnsi" w:hAnsiTheme="majorHAnsi"/>
                <w:sz w:val="18"/>
                <w:szCs w:val="12"/>
              </w:rPr>
              <w:t>WE&amp;T</w:t>
            </w:r>
          </w:p>
        </w:tc>
        <w:tc>
          <w:tcPr>
            <w:tcW w:w="0" w:type="auto"/>
            <w:hideMark/>
          </w:tcPr>
          <w:p w:rsidRPr="007938ED" w:rsidR="00D31E46" w:rsidP="00D31E46" w:rsidRDefault="00D31E46" w14:paraId="584230EC"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E5BB4FB"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F3B0CED"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73335B1C" w14:textId="77777777">
        <w:trPr>
          <w:trHeight w:val="1200"/>
        </w:trPr>
        <w:tc>
          <w:tcPr>
            <w:tcW w:w="0" w:type="auto"/>
            <w:hideMark/>
          </w:tcPr>
          <w:p w:rsidRPr="007938ED" w:rsidR="00D31E46" w:rsidP="00D31E46" w:rsidRDefault="00D31E46" w14:paraId="396A4DA3" w14:textId="77777777">
            <w:pPr>
              <w:rPr>
                <w:rFonts w:asciiTheme="majorHAnsi" w:hAnsiTheme="majorHAnsi"/>
                <w:sz w:val="18"/>
                <w:szCs w:val="12"/>
              </w:rPr>
            </w:pPr>
            <w:r w:rsidRPr="007938ED">
              <w:rPr>
                <w:rFonts w:asciiTheme="majorHAnsi" w:hAnsiTheme="majorHAnsi"/>
                <w:sz w:val="18"/>
                <w:szCs w:val="12"/>
              </w:rPr>
              <w:t>307</w:t>
            </w:r>
          </w:p>
        </w:tc>
        <w:tc>
          <w:tcPr>
            <w:tcW w:w="0" w:type="auto"/>
            <w:hideMark/>
          </w:tcPr>
          <w:p w:rsidRPr="007938ED" w:rsidR="00D31E46" w:rsidRDefault="00D31E46" w14:paraId="3E3143A7" w14:textId="77777777">
            <w:pPr>
              <w:rPr>
                <w:rFonts w:asciiTheme="majorHAnsi" w:hAnsiTheme="majorHAnsi"/>
                <w:sz w:val="18"/>
                <w:szCs w:val="12"/>
              </w:rPr>
            </w:pPr>
            <w:r w:rsidRPr="007938ED">
              <w:rPr>
                <w:rFonts w:asciiTheme="majorHAnsi" w:hAnsiTheme="majorHAnsi"/>
                <w:sz w:val="18"/>
                <w:szCs w:val="12"/>
              </w:rPr>
              <w:t xml:space="preserve"> Number of TPMs initiated (gas and electric combined), including one technology-focused pilot (TFP) TPM  *This number will be updated once all third party contracts have been awarded. </w:t>
            </w:r>
          </w:p>
        </w:tc>
        <w:tc>
          <w:tcPr>
            <w:tcW w:w="0" w:type="auto"/>
            <w:hideMark/>
          </w:tcPr>
          <w:p w:rsidRPr="007938ED" w:rsidR="00D31E46" w:rsidRDefault="00D31E46" w14:paraId="02FD248E" w14:textId="77777777">
            <w:pPr>
              <w:rPr>
                <w:rFonts w:asciiTheme="majorHAnsi" w:hAnsiTheme="majorHAnsi"/>
                <w:sz w:val="18"/>
                <w:szCs w:val="12"/>
              </w:rPr>
            </w:pPr>
            <w:r w:rsidRPr="007938ED">
              <w:rPr>
                <w:rFonts w:asciiTheme="majorHAnsi" w:hAnsiTheme="majorHAnsi"/>
                <w:sz w:val="18"/>
                <w:szCs w:val="12"/>
              </w:rPr>
              <w:t xml:space="preserve">Number of TPMs initiated (gas and electric combined), including one technology-focused pilot (TFP) TPM </w:t>
            </w:r>
          </w:p>
        </w:tc>
        <w:tc>
          <w:tcPr>
            <w:tcW w:w="0" w:type="auto"/>
            <w:hideMark/>
          </w:tcPr>
          <w:p w:rsidRPr="007938ED" w:rsidR="00D31E46" w:rsidRDefault="00D31E46" w14:paraId="4470089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907759D"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4E37B4D7"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A218DC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0448AD77"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7A509210" w14:textId="77777777">
        <w:trPr>
          <w:trHeight w:val="1200"/>
        </w:trPr>
        <w:tc>
          <w:tcPr>
            <w:tcW w:w="0" w:type="auto"/>
            <w:hideMark/>
          </w:tcPr>
          <w:p w:rsidRPr="007938ED" w:rsidR="00D31E46" w:rsidP="00D31E46" w:rsidRDefault="00D31E46" w14:paraId="143B39CF" w14:textId="77777777">
            <w:pPr>
              <w:rPr>
                <w:rFonts w:asciiTheme="majorHAnsi" w:hAnsiTheme="majorHAnsi"/>
                <w:sz w:val="18"/>
                <w:szCs w:val="12"/>
              </w:rPr>
            </w:pPr>
            <w:r w:rsidRPr="007938ED">
              <w:rPr>
                <w:rFonts w:asciiTheme="majorHAnsi" w:hAnsiTheme="majorHAnsi"/>
                <w:sz w:val="18"/>
                <w:szCs w:val="12"/>
              </w:rPr>
              <w:t>308</w:t>
            </w:r>
          </w:p>
        </w:tc>
        <w:tc>
          <w:tcPr>
            <w:tcW w:w="0" w:type="auto"/>
            <w:hideMark/>
          </w:tcPr>
          <w:p w:rsidRPr="007938ED" w:rsidR="00D31E46" w:rsidRDefault="00D31E46" w14:paraId="3F257EC2" w14:textId="77777777">
            <w:pPr>
              <w:rPr>
                <w:rFonts w:asciiTheme="majorHAnsi" w:hAnsiTheme="majorHAnsi"/>
                <w:sz w:val="18"/>
                <w:szCs w:val="12"/>
              </w:rPr>
            </w:pPr>
            <w:r w:rsidRPr="007938ED">
              <w:rPr>
                <w:rFonts w:asciiTheme="majorHAnsi" w:hAnsiTheme="majorHAnsi"/>
                <w:sz w:val="18"/>
                <w:szCs w:val="12"/>
              </w:rPr>
              <w:t>Number of TPMs updated *This number will be updated once all third party contracts have been awarded.</w:t>
            </w:r>
          </w:p>
        </w:tc>
        <w:tc>
          <w:tcPr>
            <w:tcW w:w="0" w:type="auto"/>
            <w:hideMark/>
          </w:tcPr>
          <w:p w:rsidRPr="007938ED" w:rsidR="00D31E46" w:rsidRDefault="00D31E46" w14:paraId="1C7CBA09" w14:textId="77777777">
            <w:pPr>
              <w:rPr>
                <w:rFonts w:asciiTheme="majorHAnsi" w:hAnsiTheme="majorHAnsi"/>
                <w:sz w:val="18"/>
                <w:szCs w:val="12"/>
              </w:rPr>
            </w:pPr>
            <w:r w:rsidRPr="007938ED">
              <w:rPr>
                <w:rFonts w:asciiTheme="majorHAnsi" w:hAnsiTheme="majorHAnsi"/>
                <w:sz w:val="18"/>
                <w:szCs w:val="12"/>
              </w:rPr>
              <w:t>Number of TPMs updated</w:t>
            </w:r>
          </w:p>
        </w:tc>
        <w:tc>
          <w:tcPr>
            <w:tcW w:w="0" w:type="auto"/>
            <w:hideMark/>
          </w:tcPr>
          <w:p w:rsidRPr="007938ED" w:rsidR="00D31E46" w:rsidRDefault="00D31E46" w14:paraId="77F9B1C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125F636"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68634411"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33720D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4F3715B" w14:textId="77777777">
            <w:pPr>
              <w:rPr>
                <w:rFonts w:asciiTheme="majorHAnsi" w:hAnsiTheme="majorHAnsi"/>
                <w:sz w:val="18"/>
                <w:szCs w:val="12"/>
              </w:rPr>
            </w:pPr>
            <w:r w:rsidRPr="007938ED">
              <w:rPr>
                <w:rFonts w:asciiTheme="majorHAnsi" w:hAnsiTheme="majorHAnsi"/>
                <w:sz w:val="18"/>
                <w:szCs w:val="12"/>
              </w:rPr>
              <w:t>Count of TPMs</w:t>
            </w:r>
          </w:p>
        </w:tc>
      </w:tr>
      <w:tr w:rsidRPr="007938ED" w:rsidR="00CE6F7B" w:rsidTr="007938ED" w14:paraId="687AE4E0" w14:textId="77777777">
        <w:trPr>
          <w:trHeight w:val="1200"/>
        </w:trPr>
        <w:tc>
          <w:tcPr>
            <w:tcW w:w="0" w:type="auto"/>
            <w:hideMark/>
          </w:tcPr>
          <w:p w:rsidRPr="007938ED" w:rsidR="00D31E46" w:rsidP="00D31E46" w:rsidRDefault="00D31E46" w14:paraId="00006022" w14:textId="77777777">
            <w:pPr>
              <w:rPr>
                <w:rFonts w:asciiTheme="majorHAnsi" w:hAnsiTheme="majorHAnsi"/>
                <w:sz w:val="18"/>
                <w:szCs w:val="12"/>
              </w:rPr>
            </w:pPr>
            <w:r w:rsidRPr="007938ED">
              <w:rPr>
                <w:rFonts w:asciiTheme="majorHAnsi" w:hAnsiTheme="majorHAnsi"/>
                <w:sz w:val="18"/>
                <w:szCs w:val="12"/>
              </w:rPr>
              <w:t>309</w:t>
            </w:r>
          </w:p>
        </w:tc>
        <w:tc>
          <w:tcPr>
            <w:tcW w:w="0" w:type="auto"/>
            <w:hideMark/>
          </w:tcPr>
          <w:p w:rsidRPr="007938ED" w:rsidR="00D31E46" w:rsidRDefault="00D31E46" w14:paraId="2974B69E" w14:textId="77777777">
            <w:pPr>
              <w:rPr>
                <w:rFonts w:asciiTheme="majorHAnsi" w:hAnsiTheme="majorHAnsi"/>
                <w:sz w:val="18"/>
                <w:szCs w:val="12"/>
              </w:rPr>
            </w:pPr>
            <w:r w:rsidRPr="007938ED">
              <w:rPr>
                <w:rFonts w:asciiTheme="majorHAnsi" w:hAnsiTheme="majorHAnsi"/>
                <w:sz w:val="18"/>
                <w:szCs w:val="12"/>
              </w:rPr>
              <w:t>Number of projects initiated *This number will be updated once all third party contracts have been awarded.</w:t>
            </w:r>
          </w:p>
        </w:tc>
        <w:tc>
          <w:tcPr>
            <w:tcW w:w="0" w:type="auto"/>
            <w:hideMark/>
          </w:tcPr>
          <w:p w:rsidRPr="007938ED" w:rsidR="00D31E46" w:rsidRDefault="00D31E46" w14:paraId="7D8EA310" w14:textId="77777777">
            <w:pPr>
              <w:rPr>
                <w:rFonts w:asciiTheme="majorHAnsi" w:hAnsiTheme="majorHAnsi"/>
                <w:sz w:val="18"/>
                <w:szCs w:val="12"/>
              </w:rPr>
            </w:pPr>
            <w:r w:rsidRPr="007938ED">
              <w:rPr>
                <w:rFonts w:asciiTheme="majorHAnsi" w:hAnsiTheme="majorHAnsi"/>
                <w:sz w:val="18"/>
                <w:szCs w:val="12"/>
              </w:rPr>
              <w:t>Number of projects initiated</w:t>
            </w:r>
          </w:p>
        </w:tc>
        <w:tc>
          <w:tcPr>
            <w:tcW w:w="0" w:type="auto"/>
            <w:hideMark/>
          </w:tcPr>
          <w:p w:rsidRPr="007938ED" w:rsidR="00D31E46" w:rsidRDefault="00D31E46" w14:paraId="6412985E"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386C3C38"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2B4F03AA"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14C6A00"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B8B424A" w14:textId="77777777">
            <w:pPr>
              <w:rPr>
                <w:rFonts w:asciiTheme="majorHAnsi" w:hAnsiTheme="majorHAnsi"/>
                <w:sz w:val="18"/>
                <w:szCs w:val="12"/>
              </w:rPr>
            </w:pPr>
            <w:r w:rsidRPr="007938ED">
              <w:rPr>
                <w:rFonts w:asciiTheme="majorHAnsi" w:hAnsiTheme="majorHAnsi"/>
                <w:sz w:val="18"/>
                <w:szCs w:val="12"/>
              </w:rPr>
              <w:t>Count of Projects</w:t>
            </w:r>
          </w:p>
        </w:tc>
      </w:tr>
      <w:tr w:rsidRPr="007938ED" w:rsidR="00CE6F7B" w:rsidTr="007938ED" w14:paraId="123B7C01" w14:textId="77777777">
        <w:trPr>
          <w:trHeight w:val="1200"/>
        </w:trPr>
        <w:tc>
          <w:tcPr>
            <w:tcW w:w="0" w:type="auto"/>
            <w:hideMark/>
          </w:tcPr>
          <w:p w:rsidRPr="007938ED" w:rsidR="00D31E46" w:rsidP="00D31E46" w:rsidRDefault="00D31E46" w14:paraId="4DAB56F7" w14:textId="77777777">
            <w:pPr>
              <w:rPr>
                <w:rFonts w:asciiTheme="majorHAnsi" w:hAnsiTheme="majorHAnsi"/>
                <w:sz w:val="18"/>
                <w:szCs w:val="12"/>
              </w:rPr>
            </w:pPr>
            <w:r w:rsidRPr="007938ED">
              <w:rPr>
                <w:rFonts w:asciiTheme="majorHAnsi" w:hAnsiTheme="majorHAnsi"/>
                <w:sz w:val="18"/>
                <w:szCs w:val="12"/>
              </w:rPr>
              <w:t>310</w:t>
            </w:r>
          </w:p>
        </w:tc>
        <w:tc>
          <w:tcPr>
            <w:tcW w:w="0" w:type="auto"/>
            <w:hideMark/>
          </w:tcPr>
          <w:p w:rsidRPr="007938ED" w:rsidR="00D31E46" w:rsidRDefault="00D31E46" w14:paraId="413429A8" w14:textId="77777777">
            <w:pPr>
              <w:rPr>
                <w:rFonts w:asciiTheme="majorHAnsi" w:hAnsiTheme="majorHAnsi"/>
                <w:sz w:val="18"/>
                <w:szCs w:val="12"/>
              </w:rPr>
            </w:pPr>
            <w:r w:rsidRPr="007938ED">
              <w:rPr>
                <w:rFonts w:asciiTheme="majorHAnsi" w:hAnsiTheme="majorHAnsi"/>
                <w:sz w:val="18"/>
                <w:szCs w:val="12"/>
              </w:rPr>
              <w:t>Number of outreach events with technology developers with products &lt;1 year from commercialization, including new technology vendors, manufacturers, and entrepreneurs. *This number will be updated once all third party contracts have been awarded.</w:t>
            </w:r>
          </w:p>
        </w:tc>
        <w:tc>
          <w:tcPr>
            <w:tcW w:w="0" w:type="auto"/>
            <w:hideMark/>
          </w:tcPr>
          <w:p w:rsidRPr="007938ED" w:rsidR="00D31E46" w:rsidRDefault="00D31E46" w14:paraId="092EE967" w14:textId="77777777">
            <w:pPr>
              <w:rPr>
                <w:rFonts w:asciiTheme="majorHAnsi" w:hAnsiTheme="majorHAnsi"/>
                <w:sz w:val="18"/>
                <w:szCs w:val="12"/>
              </w:rPr>
            </w:pPr>
            <w:r w:rsidRPr="007938ED">
              <w:rPr>
                <w:rFonts w:asciiTheme="majorHAnsi" w:hAnsiTheme="majorHAnsi"/>
                <w:sz w:val="18"/>
                <w:szCs w:val="12"/>
              </w:rPr>
              <w:t>Number of outreach events with technology developers with products &lt;1 year from commercialization, including new technology vendors, manufacturers, and entrepreneurs</w:t>
            </w:r>
          </w:p>
        </w:tc>
        <w:tc>
          <w:tcPr>
            <w:tcW w:w="0" w:type="auto"/>
            <w:hideMark/>
          </w:tcPr>
          <w:p w:rsidRPr="007938ED" w:rsidR="00D31E46" w:rsidRDefault="00D31E46" w14:paraId="67BCBFF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F1CBB92"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1C54B844"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792DD594"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E67768A" w14:textId="77777777">
            <w:pPr>
              <w:rPr>
                <w:rFonts w:asciiTheme="majorHAnsi" w:hAnsiTheme="majorHAnsi"/>
                <w:sz w:val="18"/>
                <w:szCs w:val="12"/>
              </w:rPr>
            </w:pPr>
            <w:r w:rsidRPr="007938ED">
              <w:rPr>
                <w:rFonts w:asciiTheme="majorHAnsi" w:hAnsiTheme="majorHAnsi"/>
                <w:sz w:val="18"/>
                <w:szCs w:val="12"/>
              </w:rPr>
              <w:t>Count of Events</w:t>
            </w:r>
          </w:p>
        </w:tc>
      </w:tr>
      <w:tr w:rsidRPr="007938ED" w:rsidR="00CE6F7B" w:rsidTr="007938ED" w14:paraId="6DE7B0D3" w14:textId="77777777">
        <w:trPr>
          <w:trHeight w:val="1200"/>
        </w:trPr>
        <w:tc>
          <w:tcPr>
            <w:tcW w:w="0" w:type="auto"/>
            <w:hideMark/>
          </w:tcPr>
          <w:p w:rsidRPr="007938ED" w:rsidR="00D31E46" w:rsidP="00D31E46" w:rsidRDefault="00D31E46" w14:paraId="0F10ED2F" w14:textId="77777777">
            <w:pPr>
              <w:rPr>
                <w:rFonts w:asciiTheme="majorHAnsi" w:hAnsiTheme="majorHAnsi"/>
                <w:sz w:val="18"/>
                <w:szCs w:val="12"/>
              </w:rPr>
            </w:pPr>
            <w:r w:rsidRPr="007938ED">
              <w:rPr>
                <w:rFonts w:asciiTheme="majorHAnsi" w:hAnsiTheme="majorHAnsi"/>
                <w:sz w:val="18"/>
                <w:szCs w:val="12"/>
              </w:rPr>
              <w:lastRenderedPageBreak/>
              <w:t>311</w:t>
            </w:r>
          </w:p>
        </w:tc>
        <w:tc>
          <w:tcPr>
            <w:tcW w:w="0" w:type="auto"/>
            <w:hideMark/>
          </w:tcPr>
          <w:p w:rsidRPr="007938ED" w:rsidR="00D31E46" w:rsidRDefault="00D31E46" w14:paraId="1767EE1B" w14:textId="77777777">
            <w:pPr>
              <w:rPr>
                <w:rFonts w:asciiTheme="majorHAnsi" w:hAnsiTheme="majorHAnsi"/>
                <w:sz w:val="18"/>
                <w:szCs w:val="12"/>
              </w:rPr>
            </w:pPr>
            <w:r w:rsidRPr="007938ED">
              <w:rPr>
                <w:rFonts w:asciiTheme="majorHAnsi" w:hAnsiTheme="majorHAnsi"/>
                <w:sz w:val="18"/>
                <w:szCs w:val="12"/>
              </w:rPr>
              <w:t>Number of outreach events with technology developers with products &lt;5 years from commercialization, including new technology vendors, manufacturers, and entrepreneurs. *This number will be updated once all third party contracts have been awarded.</w:t>
            </w:r>
          </w:p>
        </w:tc>
        <w:tc>
          <w:tcPr>
            <w:tcW w:w="0" w:type="auto"/>
            <w:hideMark/>
          </w:tcPr>
          <w:p w:rsidRPr="007938ED" w:rsidR="00D31E46" w:rsidRDefault="00D31E46" w14:paraId="092646F9" w14:textId="77777777">
            <w:pPr>
              <w:rPr>
                <w:rFonts w:asciiTheme="majorHAnsi" w:hAnsiTheme="majorHAnsi"/>
                <w:sz w:val="18"/>
                <w:szCs w:val="12"/>
              </w:rPr>
            </w:pPr>
            <w:r w:rsidRPr="007938ED">
              <w:rPr>
                <w:rFonts w:asciiTheme="majorHAnsi" w:hAnsiTheme="majorHAnsi"/>
                <w:sz w:val="18"/>
                <w:szCs w:val="12"/>
              </w:rPr>
              <w:t>Number of outreach events with technology developers with products &lt;5 years from commercialization, including new technology vendors, manufacturers, and entrepreneurs</w:t>
            </w:r>
          </w:p>
        </w:tc>
        <w:tc>
          <w:tcPr>
            <w:tcW w:w="0" w:type="auto"/>
            <w:hideMark/>
          </w:tcPr>
          <w:p w:rsidRPr="007938ED" w:rsidR="00D31E46" w:rsidRDefault="00D31E46" w14:paraId="1C7D64AC"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18BE664"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3F123DE1"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9DCB961"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3C09381" w14:textId="77777777">
            <w:pPr>
              <w:rPr>
                <w:rFonts w:asciiTheme="majorHAnsi" w:hAnsiTheme="majorHAnsi"/>
                <w:sz w:val="18"/>
                <w:szCs w:val="12"/>
              </w:rPr>
            </w:pPr>
            <w:r w:rsidRPr="007938ED">
              <w:rPr>
                <w:rFonts w:asciiTheme="majorHAnsi" w:hAnsiTheme="majorHAnsi"/>
                <w:sz w:val="18"/>
                <w:szCs w:val="12"/>
              </w:rPr>
              <w:t>Count of Events</w:t>
            </w:r>
          </w:p>
        </w:tc>
      </w:tr>
      <w:tr w:rsidRPr="007938ED" w:rsidR="00CE6F7B" w:rsidTr="007938ED" w14:paraId="52B531D2" w14:textId="77777777">
        <w:trPr>
          <w:trHeight w:val="1200"/>
        </w:trPr>
        <w:tc>
          <w:tcPr>
            <w:tcW w:w="0" w:type="auto"/>
            <w:hideMark/>
          </w:tcPr>
          <w:p w:rsidRPr="007938ED" w:rsidR="00D31E46" w:rsidP="00D31E46" w:rsidRDefault="00D31E46" w14:paraId="6C777D3E" w14:textId="77777777">
            <w:pPr>
              <w:rPr>
                <w:rFonts w:asciiTheme="majorHAnsi" w:hAnsiTheme="majorHAnsi"/>
                <w:sz w:val="18"/>
                <w:szCs w:val="12"/>
              </w:rPr>
            </w:pPr>
            <w:r w:rsidRPr="007938ED">
              <w:rPr>
                <w:rFonts w:asciiTheme="majorHAnsi" w:hAnsiTheme="majorHAnsi"/>
                <w:sz w:val="18"/>
                <w:szCs w:val="12"/>
              </w:rPr>
              <w:t>312</w:t>
            </w:r>
          </w:p>
        </w:tc>
        <w:tc>
          <w:tcPr>
            <w:tcW w:w="0" w:type="auto"/>
            <w:hideMark/>
          </w:tcPr>
          <w:p w:rsidRPr="007938ED" w:rsidR="00D31E46" w:rsidRDefault="00D31E46" w14:paraId="3F0CB79F" w14:textId="77777777">
            <w:pPr>
              <w:rPr>
                <w:rFonts w:asciiTheme="majorHAnsi" w:hAnsiTheme="majorHAnsi"/>
                <w:sz w:val="18"/>
                <w:szCs w:val="12"/>
              </w:rPr>
            </w:pPr>
            <w:r w:rsidRPr="007938ED">
              <w:rPr>
                <w:rFonts w:asciiTheme="majorHAnsi" w:hAnsiTheme="majorHAnsi"/>
                <w:sz w:val="18"/>
                <w:szCs w:val="12"/>
              </w:rPr>
              <w:t>Number of projects initiated with cooperation from other internal IOU programs associated with each Technology-focused Pilot  *This number will be updated once all third party contracts have been awarded.</w:t>
            </w:r>
          </w:p>
        </w:tc>
        <w:tc>
          <w:tcPr>
            <w:tcW w:w="0" w:type="auto"/>
            <w:hideMark/>
          </w:tcPr>
          <w:p w:rsidRPr="007938ED" w:rsidR="00D31E46" w:rsidRDefault="00D31E46" w14:paraId="65ED3197" w14:textId="77777777">
            <w:pPr>
              <w:rPr>
                <w:rFonts w:asciiTheme="majorHAnsi" w:hAnsiTheme="majorHAnsi"/>
                <w:sz w:val="18"/>
                <w:szCs w:val="12"/>
              </w:rPr>
            </w:pPr>
            <w:r w:rsidRPr="007938ED">
              <w:rPr>
                <w:rFonts w:asciiTheme="majorHAnsi" w:hAnsiTheme="majorHAnsi"/>
                <w:sz w:val="18"/>
                <w:szCs w:val="12"/>
              </w:rPr>
              <w:t xml:space="preserve">Number of projects initiated with cooperation from other internal IOU programs associated with each Technology-focused Pilot  </w:t>
            </w:r>
          </w:p>
        </w:tc>
        <w:tc>
          <w:tcPr>
            <w:tcW w:w="0" w:type="auto"/>
            <w:hideMark/>
          </w:tcPr>
          <w:p w:rsidRPr="007938ED" w:rsidR="00D31E46" w:rsidRDefault="00D31E46" w14:paraId="57945E1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1EAC2AA"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563AEEF0"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DED5EB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0657005A" w14:textId="77777777">
            <w:pPr>
              <w:rPr>
                <w:rFonts w:asciiTheme="majorHAnsi" w:hAnsiTheme="majorHAnsi"/>
                <w:sz w:val="18"/>
                <w:szCs w:val="12"/>
              </w:rPr>
            </w:pPr>
            <w:r w:rsidRPr="007938ED">
              <w:rPr>
                <w:rFonts w:asciiTheme="majorHAnsi" w:hAnsiTheme="majorHAnsi"/>
                <w:sz w:val="18"/>
                <w:szCs w:val="12"/>
              </w:rPr>
              <w:t>Count of TFPs</w:t>
            </w:r>
          </w:p>
        </w:tc>
      </w:tr>
      <w:tr w:rsidRPr="007938ED" w:rsidR="00CE6F7B" w:rsidTr="007938ED" w14:paraId="38F88C9F" w14:textId="77777777">
        <w:trPr>
          <w:trHeight w:val="1200"/>
        </w:trPr>
        <w:tc>
          <w:tcPr>
            <w:tcW w:w="0" w:type="auto"/>
            <w:hideMark/>
          </w:tcPr>
          <w:p w:rsidRPr="007938ED" w:rsidR="00D31E46" w:rsidP="00D31E46" w:rsidRDefault="00D31E46" w14:paraId="0C4516D1" w14:textId="77777777">
            <w:pPr>
              <w:rPr>
                <w:rFonts w:asciiTheme="majorHAnsi" w:hAnsiTheme="majorHAnsi"/>
                <w:sz w:val="18"/>
                <w:szCs w:val="12"/>
              </w:rPr>
            </w:pPr>
            <w:r w:rsidRPr="007938ED">
              <w:rPr>
                <w:rFonts w:asciiTheme="majorHAnsi" w:hAnsiTheme="majorHAnsi"/>
                <w:sz w:val="18"/>
                <w:szCs w:val="12"/>
              </w:rPr>
              <w:t>313</w:t>
            </w:r>
          </w:p>
        </w:tc>
        <w:tc>
          <w:tcPr>
            <w:tcW w:w="0" w:type="auto"/>
            <w:hideMark/>
          </w:tcPr>
          <w:p w:rsidRPr="007938ED" w:rsidR="00D31E46" w:rsidRDefault="00D31E46" w14:paraId="5188F504" w14:textId="77777777">
            <w:pPr>
              <w:rPr>
                <w:rFonts w:asciiTheme="majorHAnsi" w:hAnsiTheme="majorHAnsi"/>
                <w:sz w:val="18"/>
                <w:szCs w:val="12"/>
              </w:rPr>
            </w:pPr>
            <w:r w:rsidRPr="007938ED">
              <w:rPr>
                <w:rFonts w:asciiTheme="majorHAnsi" w:hAnsiTheme="majorHAnsi"/>
                <w:sz w:val="18"/>
                <w:szCs w:val="12"/>
              </w:rPr>
              <w:t>Number of Technology-Focused Pilot (TFP) initiated as part of the TFP TPM. *This number will be updated once all third party contracts have been awarded.</w:t>
            </w:r>
          </w:p>
        </w:tc>
        <w:tc>
          <w:tcPr>
            <w:tcW w:w="0" w:type="auto"/>
            <w:hideMark/>
          </w:tcPr>
          <w:p w:rsidRPr="007938ED" w:rsidR="00D31E46" w:rsidRDefault="00D31E46" w14:paraId="0E2C70EC" w14:textId="77777777">
            <w:pPr>
              <w:rPr>
                <w:rFonts w:asciiTheme="majorHAnsi" w:hAnsiTheme="majorHAnsi"/>
                <w:sz w:val="18"/>
                <w:szCs w:val="12"/>
              </w:rPr>
            </w:pPr>
            <w:r w:rsidRPr="007938ED">
              <w:rPr>
                <w:rFonts w:asciiTheme="majorHAnsi" w:hAnsiTheme="majorHAnsi"/>
                <w:sz w:val="18"/>
                <w:szCs w:val="12"/>
              </w:rPr>
              <w:t>Number of Technology-Focused Pilot (TFP) initiated as part of the TFP TPM</w:t>
            </w:r>
          </w:p>
        </w:tc>
        <w:tc>
          <w:tcPr>
            <w:tcW w:w="0" w:type="auto"/>
            <w:hideMark/>
          </w:tcPr>
          <w:p w:rsidRPr="007938ED" w:rsidR="00D31E46" w:rsidRDefault="00D31E46" w14:paraId="59F4D8B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12B9DAF"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214CFFF1"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22039153"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7DEAEFA5" w14:textId="77777777">
            <w:pPr>
              <w:rPr>
                <w:rFonts w:asciiTheme="majorHAnsi" w:hAnsiTheme="majorHAnsi"/>
                <w:sz w:val="18"/>
                <w:szCs w:val="12"/>
              </w:rPr>
            </w:pPr>
            <w:r w:rsidRPr="007938ED">
              <w:rPr>
                <w:rFonts w:asciiTheme="majorHAnsi" w:hAnsiTheme="majorHAnsi"/>
                <w:sz w:val="18"/>
                <w:szCs w:val="12"/>
              </w:rPr>
              <w:t>Count of TFPs</w:t>
            </w:r>
          </w:p>
        </w:tc>
      </w:tr>
      <w:tr w:rsidRPr="007938ED" w:rsidR="00CE6F7B" w:rsidTr="007938ED" w14:paraId="1E2A7433" w14:textId="77777777">
        <w:trPr>
          <w:trHeight w:val="1200"/>
        </w:trPr>
        <w:tc>
          <w:tcPr>
            <w:tcW w:w="0" w:type="auto"/>
            <w:hideMark/>
          </w:tcPr>
          <w:p w:rsidRPr="007938ED" w:rsidR="00D31E46" w:rsidP="00D31E46" w:rsidRDefault="00D31E46" w14:paraId="32377705" w14:textId="77777777">
            <w:pPr>
              <w:rPr>
                <w:rFonts w:asciiTheme="majorHAnsi" w:hAnsiTheme="majorHAnsi"/>
                <w:sz w:val="18"/>
                <w:szCs w:val="12"/>
              </w:rPr>
            </w:pPr>
            <w:r w:rsidRPr="007938ED">
              <w:rPr>
                <w:rFonts w:asciiTheme="majorHAnsi" w:hAnsiTheme="majorHAnsi"/>
                <w:sz w:val="18"/>
                <w:szCs w:val="12"/>
              </w:rPr>
              <w:t>314</w:t>
            </w:r>
          </w:p>
        </w:tc>
        <w:tc>
          <w:tcPr>
            <w:tcW w:w="0" w:type="auto"/>
            <w:hideMark/>
          </w:tcPr>
          <w:p w:rsidRPr="007938ED" w:rsidR="00D31E46" w:rsidRDefault="00D31E46" w14:paraId="14DDCAB1" w14:textId="77777777">
            <w:pPr>
              <w:rPr>
                <w:rFonts w:asciiTheme="majorHAnsi" w:hAnsiTheme="majorHAnsi"/>
                <w:sz w:val="18"/>
                <w:szCs w:val="12"/>
              </w:rPr>
            </w:pPr>
            <w:r w:rsidRPr="007938ED">
              <w:rPr>
                <w:rFonts w:asciiTheme="majorHAnsi" w:hAnsiTheme="majorHAnsi"/>
                <w:sz w:val="18"/>
                <w:szCs w:val="12"/>
              </w:rPr>
              <w:t>Prior year: % of new measures added to the portfolio that were previously ETP technologies *The PAs believe this is not suited for a metric with targets because ETP does not make decisions about new measures.</w:t>
            </w:r>
          </w:p>
        </w:tc>
        <w:tc>
          <w:tcPr>
            <w:tcW w:w="0" w:type="auto"/>
            <w:hideMark/>
          </w:tcPr>
          <w:p w:rsidRPr="007938ED" w:rsidR="00D31E46" w:rsidRDefault="00D31E46" w14:paraId="1BB5B3E8" w14:textId="77777777">
            <w:pPr>
              <w:rPr>
                <w:rFonts w:asciiTheme="majorHAnsi" w:hAnsiTheme="majorHAnsi"/>
                <w:sz w:val="18"/>
                <w:szCs w:val="12"/>
              </w:rPr>
            </w:pPr>
            <w:r w:rsidRPr="007938ED">
              <w:rPr>
                <w:rFonts w:asciiTheme="majorHAnsi" w:hAnsiTheme="majorHAnsi"/>
                <w:sz w:val="18"/>
                <w:szCs w:val="12"/>
              </w:rPr>
              <w:t>Prior year: % of new measures added to the portfolio that were previously ETP technologies</w:t>
            </w:r>
          </w:p>
        </w:tc>
        <w:tc>
          <w:tcPr>
            <w:tcW w:w="0" w:type="auto"/>
            <w:hideMark/>
          </w:tcPr>
          <w:p w:rsidRPr="007938ED" w:rsidR="00D31E46" w:rsidRDefault="00D31E46" w14:paraId="24C3895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C77F7E9"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216E9FC8"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BF47221"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BCB37D9" w14:textId="77777777">
            <w:pPr>
              <w:rPr>
                <w:rFonts w:asciiTheme="majorHAnsi" w:hAnsiTheme="majorHAnsi"/>
                <w:sz w:val="18"/>
                <w:szCs w:val="12"/>
              </w:rPr>
            </w:pPr>
            <w:r w:rsidRPr="007938ED">
              <w:rPr>
                <w:rFonts w:asciiTheme="majorHAnsi" w:hAnsiTheme="majorHAnsi"/>
                <w:sz w:val="18"/>
                <w:szCs w:val="12"/>
              </w:rPr>
              <w:t>Percent of New Measures</w:t>
            </w:r>
          </w:p>
        </w:tc>
      </w:tr>
      <w:tr w:rsidRPr="007938ED" w:rsidR="00CE6F7B" w:rsidTr="007938ED" w14:paraId="0B5EFDF6" w14:textId="77777777">
        <w:trPr>
          <w:trHeight w:val="1200"/>
        </w:trPr>
        <w:tc>
          <w:tcPr>
            <w:tcW w:w="0" w:type="auto"/>
            <w:hideMark/>
          </w:tcPr>
          <w:p w:rsidRPr="007938ED" w:rsidR="00D31E46" w:rsidP="00D31E46" w:rsidRDefault="00D31E46" w14:paraId="5DB87F60" w14:textId="77777777">
            <w:pPr>
              <w:rPr>
                <w:rFonts w:asciiTheme="majorHAnsi" w:hAnsiTheme="majorHAnsi"/>
                <w:sz w:val="18"/>
                <w:szCs w:val="12"/>
              </w:rPr>
            </w:pPr>
            <w:r w:rsidRPr="007938ED">
              <w:rPr>
                <w:rFonts w:asciiTheme="majorHAnsi" w:hAnsiTheme="majorHAnsi"/>
                <w:sz w:val="18"/>
                <w:szCs w:val="12"/>
              </w:rPr>
              <w:lastRenderedPageBreak/>
              <w:t>315</w:t>
            </w:r>
          </w:p>
        </w:tc>
        <w:tc>
          <w:tcPr>
            <w:tcW w:w="0" w:type="auto"/>
            <w:hideMark/>
          </w:tcPr>
          <w:p w:rsidRPr="007938ED" w:rsidR="00D31E46" w:rsidRDefault="00D31E46" w14:paraId="09FB5E38" w14:textId="77777777">
            <w:pPr>
              <w:rPr>
                <w:rFonts w:asciiTheme="majorHAnsi" w:hAnsiTheme="majorHAnsi"/>
                <w:sz w:val="18"/>
                <w:szCs w:val="12"/>
              </w:rPr>
            </w:pPr>
            <w:r w:rsidRPr="007938ED">
              <w:rPr>
                <w:rFonts w:asciiTheme="majorHAnsi" w:hAnsiTheme="majorHAnsi"/>
                <w:sz w:val="18"/>
                <w:szCs w:val="12"/>
              </w:rPr>
              <w:t>Prior Year: # of new measures added to the portfolio that were previously ETP technologies. *The PAs believe this is not suited for a metric with targets because ETP does not make decisions about new measures.</w:t>
            </w:r>
          </w:p>
        </w:tc>
        <w:tc>
          <w:tcPr>
            <w:tcW w:w="0" w:type="auto"/>
            <w:hideMark/>
          </w:tcPr>
          <w:p w:rsidRPr="007938ED" w:rsidR="00D31E46" w:rsidRDefault="00D31E46" w14:paraId="0B5A43BE" w14:textId="77777777">
            <w:pPr>
              <w:rPr>
                <w:rFonts w:asciiTheme="majorHAnsi" w:hAnsiTheme="majorHAnsi"/>
                <w:sz w:val="18"/>
                <w:szCs w:val="12"/>
              </w:rPr>
            </w:pPr>
            <w:r w:rsidRPr="007938ED">
              <w:rPr>
                <w:rFonts w:asciiTheme="majorHAnsi" w:hAnsiTheme="majorHAnsi"/>
                <w:sz w:val="18"/>
                <w:szCs w:val="12"/>
              </w:rPr>
              <w:t>Prior Year: # of new measures added to the portfolio that were previously ETP technologies</w:t>
            </w:r>
          </w:p>
        </w:tc>
        <w:tc>
          <w:tcPr>
            <w:tcW w:w="0" w:type="auto"/>
            <w:hideMark/>
          </w:tcPr>
          <w:p w:rsidRPr="007938ED" w:rsidR="00D31E46" w:rsidRDefault="00D31E46" w14:paraId="20E588BF"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0BBCE1F"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5FDF40B8"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12C2BB4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3980E07" w14:textId="77777777">
            <w:pPr>
              <w:rPr>
                <w:rFonts w:asciiTheme="majorHAnsi" w:hAnsiTheme="majorHAnsi"/>
                <w:sz w:val="18"/>
                <w:szCs w:val="12"/>
              </w:rPr>
            </w:pPr>
            <w:r w:rsidRPr="007938ED">
              <w:rPr>
                <w:rFonts w:asciiTheme="majorHAnsi" w:hAnsiTheme="majorHAnsi"/>
                <w:sz w:val="18"/>
                <w:szCs w:val="12"/>
              </w:rPr>
              <w:t>Count of New Measures</w:t>
            </w:r>
          </w:p>
        </w:tc>
      </w:tr>
      <w:tr w:rsidRPr="007938ED" w:rsidR="00CE6F7B" w:rsidTr="007938ED" w14:paraId="0989FED0" w14:textId="77777777">
        <w:trPr>
          <w:trHeight w:val="1200"/>
        </w:trPr>
        <w:tc>
          <w:tcPr>
            <w:tcW w:w="0" w:type="auto"/>
            <w:hideMark/>
          </w:tcPr>
          <w:p w:rsidRPr="007938ED" w:rsidR="00D31E46" w:rsidP="00D31E46" w:rsidRDefault="00D31E46" w14:paraId="56416A8E" w14:textId="77777777">
            <w:pPr>
              <w:rPr>
                <w:rFonts w:asciiTheme="majorHAnsi" w:hAnsiTheme="majorHAnsi"/>
                <w:sz w:val="18"/>
                <w:szCs w:val="12"/>
              </w:rPr>
            </w:pPr>
            <w:r w:rsidRPr="007938ED">
              <w:rPr>
                <w:rFonts w:asciiTheme="majorHAnsi" w:hAnsiTheme="majorHAnsi"/>
                <w:sz w:val="18"/>
                <w:szCs w:val="12"/>
              </w:rPr>
              <w:t>316</w:t>
            </w:r>
          </w:p>
        </w:tc>
        <w:tc>
          <w:tcPr>
            <w:tcW w:w="0" w:type="auto"/>
            <w:hideMark/>
          </w:tcPr>
          <w:p w:rsidRPr="007938ED" w:rsidR="00D31E46" w:rsidRDefault="00D31E46" w14:paraId="26A1BF86" w14:textId="77777777">
            <w:pPr>
              <w:rPr>
                <w:rFonts w:asciiTheme="majorHAnsi" w:hAnsiTheme="majorHAnsi"/>
                <w:sz w:val="18"/>
                <w:szCs w:val="12"/>
              </w:rPr>
            </w:pPr>
            <w:r w:rsidRPr="007938ED">
              <w:rPr>
                <w:rFonts w:asciiTheme="majorHAnsi" w:hAnsiTheme="majorHAnsi"/>
                <w:sz w:val="18"/>
                <w:szCs w:val="12"/>
              </w:rPr>
              <w:t>Prior year: % of new codes or standards that were previously ETP technologies. *The PAs believe this is not suited for a metric with targets because ETP does not make decisions about new codes or standards.</w:t>
            </w:r>
          </w:p>
        </w:tc>
        <w:tc>
          <w:tcPr>
            <w:tcW w:w="0" w:type="auto"/>
            <w:hideMark/>
          </w:tcPr>
          <w:p w:rsidRPr="007938ED" w:rsidR="00D31E46" w:rsidRDefault="00D31E46" w14:paraId="263D4DC6" w14:textId="77777777">
            <w:pPr>
              <w:rPr>
                <w:rFonts w:asciiTheme="majorHAnsi" w:hAnsiTheme="majorHAnsi"/>
                <w:sz w:val="18"/>
                <w:szCs w:val="12"/>
              </w:rPr>
            </w:pPr>
            <w:r w:rsidRPr="007938ED">
              <w:rPr>
                <w:rFonts w:asciiTheme="majorHAnsi" w:hAnsiTheme="majorHAnsi"/>
                <w:sz w:val="18"/>
                <w:szCs w:val="12"/>
              </w:rPr>
              <w:t>Prior year: % of new codes or standards that were previously ETP technologies</w:t>
            </w:r>
          </w:p>
        </w:tc>
        <w:tc>
          <w:tcPr>
            <w:tcW w:w="0" w:type="auto"/>
            <w:hideMark/>
          </w:tcPr>
          <w:p w:rsidRPr="007938ED" w:rsidR="00D31E46" w:rsidRDefault="00D31E46" w14:paraId="18DD737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02A310C5"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44C7110F"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3E64ED6"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556B1ED0"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889FBD7" w14:textId="77777777">
        <w:trPr>
          <w:trHeight w:val="1200"/>
        </w:trPr>
        <w:tc>
          <w:tcPr>
            <w:tcW w:w="0" w:type="auto"/>
            <w:hideMark/>
          </w:tcPr>
          <w:p w:rsidRPr="007938ED" w:rsidR="00D31E46" w:rsidP="00D31E46" w:rsidRDefault="00D31E46" w14:paraId="0E011E99" w14:textId="77777777">
            <w:pPr>
              <w:rPr>
                <w:rFonts w:asciiTheme="majorHAnsi" w:hAnsiTheme="majorHAnsi"/>
                <w:sz w:val="18"/>
                <w:szCs w:val="12"/>
              </w:rPr>
            </w:pPr>
            <w:r w:rsidRPr="007938ED">
              <w:rPr>
                <w:rFonts w:asciiTheme="majorHAnsi" w:hAnsiTheme="majorHAnsi"/>
                <w:sz w:val="18"/>
                <w:szCs w:val="12"/>
              </w:rPr>
              <w:t>317</w:t>
            </w:r>
          </w:p>
        </w:tc>
        <w:tc>
          <w:tcPr>
            <w:tcW w:w="0" w:type="auto"/>
            <w:hideMark/>
          </w:tcPr>
          <w:p w:rsidRPr="007938ED" w:rsidR="00D31E46" w:rsidRDefault="00D31E46" w14:paraId="5BFF8D6D" w14:textId="77777777">
            <w:pPr>
              <w:rPr>
                <w:rFonts w:asciiTheme="majorHAnsi" w:hAnsiTheme="majorHAnsi"/>
                <w:sz w:val="18"/>
                <w:szCs w:val="12"/>
              </w:rPr>
            </w:pPr>
            <w:r w:rsidRPr="007938ED">
              <w:rPr>
                <w:rFonts w:asciiTheme="majorHAnsi" w:hAnsiTheme="majorHAnsi"/>
                <w:sz w:val="18"/>
                <w:szCs w:val="12"/>
              </w:rPr>
              <w:t>Prior Year: # of new codes and standards that were previously ETP technologies. *The PAs believe this is not suited for a metric with targets because ETP does not make decisions about new codes or standards.</w:t>
            </w:r>
          </w:p>
        </w:tc>
        <w:tc>
          <w:tcPr>
            <w:tcW w:w="0" w:type="auto"/>
            <w:hideMark/>
          </w:tcPr>
          <w:p w:rsidRPr="007938ED" w:rsidR="00D31E46" w:rsidRDefault="00D31E46" w14:paraId="75E17120" w14:textId="77777777">
            <w:pPr>
              <w:rPr>
                <w:rFonts w:asciiTheme="majorHAnsi" w:hAnsiTheme="majorHAnsi"/>
                <w:sz w:val="18"/>
                <w:szCs w:val="12"/>
              </w:rPr>
            </w:pPr>
            <w:r w:rsidRPr="007938ED">
              <w:rPr>
                <w:rFonts w:asciiTheme="majorHAnsi" w:hAnsiTheme="majorHAnsi"/>
                <w:sz w:val="18"/>
                <w:szCs w:val="12"/>
              </w:rPr>
              <w:t>Prior Year: # of new codes and standards that were previously ETP technologies</w:t>
            </w:r>
          </w:p>
        </w:tc>
        <w:tc>
          <w:tcPr>
            <w:tcW w:w="0" w:type="auto"/>
            <w:hideMark/>
          </w:tcPr>
          <w:p w:rsidRPr="007938ED" w:rsidR="00D31E46" w:rsidRDefault="00D31E46" w14:paraId="64BDD35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61623847"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1015DD0E"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1CE0CB9"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48CAD63F"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2C83A5CD" w14:textId="77777777">
        <w:trPr>
          <w:trHeight w:val="1200"/>
        </w:trPr>
        <w:tc>
          <w:tcPr>
            <w:tcW w:w="0" w:type="auto"/>
            <w:hideMark/>
          </w:tcPr>
          <w:p w:rsidRPr="007938ED" w:rsidR="00D31E46" w:rsidP="00D31E46" w:rsidRDefault="00D31E46" w14:paraId="508F2F7C" w14:textId="77777777">
            <w:pPr>
              <w:rPr>
                <w:rFonts w:asciiTheme="majorHAnsi" w:hAnsiTheme="majorHAnsi"/>
                <w:sz w:val="18"/>
                <w:szCs w:val="12"/>
              </w:rPr>
            </w:pPr>
            <w:r w:rsidRPr="007938ED">
              <w:rPr>
                <w:rFonts w:asciiTheme="majorHAnsi" w:hAnsiTheme="majorHAnsi"/>
                <w:sz w:val="18"/>
                <w:szCs w:val="12"/>
              </w:rPr>
              <w:t>318</w:t>
            </w:r>
          </w:p>
        </w:tc>
        <w:tc>
          <w:tcPr>
            <w:tcW w:w="0" w:type="auto"/>
            <w:hideMark/>
          </w:tcPr>
          <w:p w:rsidRPr="007938ED" w:rsidR="00D31E46" w:rsidRDefault="00D31E46" w14:paraId="201D93B9" w14:textId="77777777">
            <w:pPr>
              <w:rPr>
                <w:rFonts w:asciiTheme="majorHAnsi" w:hAnsiTheme="majorHAnsi"/>
                <w:sz w:val="18"/>
                <w:szCs w:val="12"/>
              </w:rPr>
            </w:pPr>
            <w:r w:rsidRPr="007938ED">
              <w:rPr>
                <w:rFonts w:asciiTheme="majorHAnsi" w:hAnsiTheme="majorHAnsi"/>
                <w:sz w:val="18"/>
                <w:szCs w:val="12"/>
              </w:rPr>
              <w:t xml:space="preserve">Savings of measures currently in the portfolio that were supported by ETP, added since 2009. Ex-ante with gross and net for all measures, with ex-post where available. *The PAs believe this is not suited for a metric with targets because ETP is a </w:t>
            </w:r>
            <w:r w:rsidRPr="007938ED">
              <w:rPr>
                <w:rFonts w:asciiTheme="majorHAnsi" w:hAnsiTheme="majorHAnsi"/>
                <w:sz w:val="18"/>
                <w:szCs w:val="12"/>
              </w:rPr>
              <w:lastRenderedPageBreak/>
              <w:t>non-resource program and does not claim any savings.</w:t>
            </w:r>
          </w:p>
        </w:tc>
        <w:tc>
          <w:tcPr>
            <w:tcW w:w="0" w:type="auto"/>
            <w:hideMark/>
          </w:tcPr>
          <w:p w:rsidRPr="007938ED" w:rsidR="00D31E46" w:rsidRDefault="00D31E46" w14:paraId="29B8D45C" w14:textId="77777777">
            <w:pPr>
              <w:rPr>
                <w:rFonts w:asciiTheme="majorHAnsi" w:hAnsiTheme="majorHAnsi"/>
                <w:sz w:val="18"/>
                <w:szCs w:val="12"/>
              </w:rPr>
            </w:pPr>
            <w:r w:rsidRPr="007938ED">
              <w:rPr>
                <w:rFonts w:asciiTheme="majorHAnsi" w:hAnsiTheme="majorHAnsi"/>
                <w:sz w:val="18"/>
                <w:szCs w:val="12"/>
              </w:rPr>
              <w:lastRenderedPageBreak/>
              <w:t>Savings of measures currently in the portfolio that were supported by ETP, added since 2009. Ex-ante with gross and net for all measures, with ex-post where available</w:t>
            </w:r>
          </w:p>
        </w:tc>
        <w:tc>
          <w:tcPr>
            <w:tcW w:w="0" w:type="auto"/>
            <w:hideMark/>
          </w:tcPr>
          <w:p w:rsidRPr="007938ED" w:rsidR="00D31E46" w:rsidRDefault="00D31E46" w14:paraId="32B79115"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745AD4B"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5715E7D8"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7E6C1BE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1476CC2D" w14:textId="77777777">
            <w:pPr>
              <w:rPr>
                <w:rFonts w:asciiTheme="majorHAnsi" w:hAnsiTheme="majorHAnsi"/>
                <w:sz w:val="18"/>
                <w:szCs w:val="12"/>
              </w:rPr>
            </w:pPr>
            <w:r w:rsidRPr="007938ED">
              <w:rPr>
                <w:rFonts w:asciiTheme="majorHAnsi" w:hAnsiTheme="majorHAnsi"/>
                <w:sz w:val="18"/>
                <w:szCs w:val="12"/>
              </w:rPr>
              <w:t xml:space="preserve">Lifecycle net kW    </w:t>
            </w:r>
          </w:p>
        </w:tc>
      </w:tr>
      <w:tr w:rsidRPr="007938ED" w:rsidR="00CE6F7B" w:rsidTr="007938ED" w14:paraId="4AA074D6" w14:textId="77777777">
        <w:trPr>
          <w:trHeight w:val="1200"/>
        </w:trPr>
        <w:tc>
          <w:tcPr>
            <w:tcW w:w="0" w:type="auto"/>
            <w:hideMark/>
          </w:tcPr>
          <w:p w:rsidRPr="007938ED" w:rsidR="00D31E46" w:rsidP="00D31E46" w:rsidRDefault="00D31E46" w14:paraId="517C7FF0" w14:textId="77777777">
            <w:pPr>
              <w:rPr>
                <w:rFonts w:asciiTheme="majorHAnsi" w:hAnsiTheme="majorHAnsi"/>
                <w:sz w:val="18"/>
                <w:szCs w:val="12"/>
              </w:rPr>
            </w:pPr>
            <w:r w:rsidRPr="007938ED">
              <w:rPr>
                <w:rFonts w:asciiTheme="majorHAnsi" w:hAnsiTheme="majorHAnsi"/>
                <w:sz w:val="18"/>
                <w:szCs w:val="12"/>
              </w:rPr>
              <w:t>319</w:t>
            </w:r>
          </w:p>
        </w:tc>
        <w:tc>
          <w:tcPr>
            <w:tcW w:w="0" w:type="auto"/>
            <w:hideMark/>
          </w:tcPr>
          <w:p w:rsidRPr="007938ED" w:rsidR="00D31E46" w:rsidRDefault="00D31E46" w14:paraId="30450B8E" w14:textId="77777777">
            <w:pPr>
              <w:rPr>
                <w:rFonts w:asciiTheme="majorHAnsi" w:hAnsiTheme="majorHAnsi"/>
                <w:sz w:val="18"/>
                <w:szCs w:val="12"/>
              </w:rPr>
            </w:pPr>
            <w:r w:rsidRPr="007938ED">
              <w:rPr>
                <w:rFonts w:asciiTheme="majorHAnsi" w:hAnsiTheme="majorHAnsi"/>
                <w:sz w:val="18"/>
                <w:szCs w:val="12"/>
              </w:rPr>
              <w:t>Savings of measures currently in the portfolio that were supported by ETP, added since 2009. Ex-ante with gross and net for all measures, with ex-post where available. *The PAs believe this is not suited for a metric with targets because ETP is a non-resource program and does not claim any savings.</w:t>
            </w:r>
          </w:p>
        </w:tc>
        <w:tc>
          <w:tcPr>
            <w:tcW w:w="0" w:type="auto"/>
            <w:hideMark/>
          </w:tcPr>
          <w:p w:rsidRPr="007938ED" w:rsidR="00D31E46" w:rsidRDefault="00D31E46" w14:paraId="63D9199B" w14:textId="77777777">
            <w:pPr>
              <w:rPr>
                <w:rFonts w:asciiTheme="majorHAnsi" w:hAnsiTheme="majorHAnsi"/>
                <w:sz w:val="18"/>
                <w:szCs w:val="12"/>
              </w:rPr>
            </w:pPr>
            <w:r w:rsidRPr="007938ED">
              <w:rPr>
                <w:rFonts w:asciiTheme="majorHAnsi" w:hAnsiTheme="majorHAnsi"/>
                <w:sz w:val="18"/>
                <w:szCs w:val="12"/>
              </w:rPr>
              <w:t>Savings of measures currently in the portfolio that were supported by ETP, added since 2009. Ex-ante with gross and net for all measures, with ex-post where available</w:t>
            </w:r>
          </w:p>
        </w:tc>
        <w:tc>
          <w:tcPr>
            <w:tcW w:w="0" w:type="auto"/>
            <w:hideMark/>
          </w:tcPr>
          <w:p w:rsidRPr="007938ED" w:rsidR="00D31E46" w:rsidRDefault="00D31E46" w14:paraId="1AB8330A"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78AD768"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14768348"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2197141C"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BEB3D6E" w14:textId="77777777">
            <w:pPr>
              <w:rPr>
                <w:rFonts w:asciiTheme="majorHAnsi" w:hAnsiTheme="majorHAnsi"/>
                <w:sz w:val="18"/>
                <w:szCs w:val="12"/>
              </w:rPr>
            </w:pPr>
            <w:r w:rsidRPr="007938ED">
              <w:rPr>
                <w:rFonts w:asciiTheme="majorHAnsi" w:hAnsiTheme="majorHAnsi"/>
                <w:sz w:val="18"/>
                <w:szCs w:val="12"/>
              </w:rPr>
              <w:t xml:space="preserve">Lifecycle net kWh    </w:t>
            </w:r>
          </w:p>
        </w:tc>
      </w:tr>
      <w:tr w:rsidRPr="007938ED" w:rsidR="00CE6F7B" w:rsidTr="007938ED" w14:paraId="7A23BB8A" w14:textId="77777777">
        <w:trPr>
          <w:trHeight w:val="1200"/>
        </w:trPr>
        <w:tc>
          <w:tcPr>
            <w:tcW w:w="0" w:type="auto"/>
            <w:hideMark/>
          </w:tcPr>
          <w:p w:rsidRPr="007938ED" w:rsidR="00D31E46" w:rsidP="00D31E46" w:rsidRDefault="00D31E46" w14:paraId="08AF0159" w14:textId="77777777">
            <w:pPr>
              <w:rPr>
                <w:rFonts w:asciiTheme="majorHAnsi" w:hAnsiTheme="majorHAnsi"/>
                <w:sz w:val="18"/>
                <w:szCs w:val="12"/>
              </w:rPr>
            </w:pPr>
            <w:r w:rsidRPr="007938ED">
              <w:rPr>
                <w:rFonts w:asciiTheme="majorHAnsi" w:hAnsiTheme="majorHAnsi"/>
                <w:sz w:val="18"/>
                <w:szCs w:val="12"/>
              </w:rPr>
              <w:t>320</w:t>
            </w:r>
          </w:p>
        </w:tc>
        <w:tc>
          <w:tcPr>
            <w:tcW w:w="0" w:type="auto"/>
            <w:hideMark/>
          </w:tcPr>
          <w:p w:rsidRPr="007938ED" w:rsidR="00D31E46" w:rsidRDefault="00D31E46" w14:paraId="3CD37160" w14:textId="77777777">
            <w:pPr>
              <w:rPr>
                <w:rFonts w:asciiTheme="majorHAnsi" w:hAnsiTheme="majorHAnsi"/>
                <w:sz w:val="18"/>
                <w:szCs w:val="12"/>
              </w:rPr>
            </w:pPr>
            <w:r w:rsidRPr="007938ED">
              <w:rPr>
                <w:rFonts w:asciiTheme="majorHAnsi" w:hAnsiTheme="majorHAnsi"/>
                <w:sz w:val="18"/>
                <w:szCs w:val="12"/>
              </w:rPr>
              <w:t>Savings of measures currently in the portfolio that were supported by ETP, added since 2009. Ex-ante with gross and net for all measures, with ex-post where available. *The PAs believe this is not suited for a metric with targets because ETP is a non-resource program and does not claim any savings.</w:t>
            </w:r>
          </w:p>
        </w:tc>
        <w:tc>
          <w:tcPr>
            <w:tcW w:w="0" w:type="auto"/>
            <w:hideMark/>
          </w:tcPr>
          <w:p w:rsidRPr="007938ED" w:rsidR="00D31E46" w:rsidRDefault="00D31E46" w14:paraId="16B132A4" w14:textId="77777777">
            <w:pPr>
              <w:rPr>
                <w:rFonts w:asciiTheme="majorHAnsi" w:hAnsiTheme="majorHAnsi"/>
                <w:sz w:val="18"/>
                <w:szCs w:val="12"/>
              </w:rPr>
            </w:pPr>
            <w:r w:rsidRPr="007938ED">
              <w:rPr>
                <w:rFonts w:asciiTheme="majorHAnsi" w:hAnsiTheme="majorHAnsi"/>
                <w:sz w:val="18"/>
                <w:szCs w:val="12"/>
              </w:rPr>
              <w:t>Savings of measures currently in the portfolio that were supported by ETP, added since 2009. Ex-ante with gross and net for all measures, with ex-post where available</w:t>
            </w:r>
          </w:p>
        </w:tc>
        <w:tc>
          <w:tcPr>
            <w:tcW w:w="0" w:type="auto"/>
            <w:hideMark/>
          </w:tcPr>
          <w:p w:rsidRPr="007938ED" w:rsidR="00D31E46" w:rsidRDefault="00D31E46" w14:paraId="26F06AF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045223B"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273F25B9"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3C97007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07F9183E" w14:textId="77777777">
            <w:pPr>
              <w:rPr>
                <w:rFonts w:asciiTheme="majorHAnsi" w:hAnsiTheme="majorHAnsi"/>
                <w:sz w:val="18"/>
                <w:szCs w:val="12"/>
              </w:rPr>
            </w:pPr>
            <w:r w:rsidRPr="007938ED">
              <w:rPr>
                <w:rFonts w:asciiTheme="majorHAnsi" w:hAnsiTheme="majorHAnsi"/>
                <w:sz w:val="18"/>
                <w:szCs w:val="12"/>
              </w:rPr>
              <w:t>Lifecycle net Therms</w:t>
            </w:r>
          </w:p>
        </w:tc>
      </w:tr>
      <w:tr w:rsidRPr="007938ED" w:rsidR="00CE6F7B" w:rsidTr="007938ED" w14:paraId="35274DDB" w14:textId="77777777">
        <w:trPr>
          <w:trHeight w:val="1200"/>
        </w:trPr>
        <w:tc>
          <w:tcPr>
            <w:tcW w:w="0" w:type="auto"/>
            <w:hideMark/>
          </w:tcPr>
          <w:p w:rsidRPr="007938ED" w:rsidR="00D31E46" w:rsidP="00D31E46" w:rsidRDefault="00D31E46" w14:paraId="47DEA61A" w14:textId="77777777">
            <w:pPr>
              <w:rPr>
                <w:rFonts w:asciiTheme="majorHAnsi" w:hAnsiTheme="majorHAnsi"/>
                <w:sz w:val="18"/>
                <w:szCs w:val="12"/>
              </w:rPr>
            </w:pPr>
            <w:r w:rsidRPr="007938ED">
              <w:rPr>
                <w:rFonts w:asciiTheme="majorHAnsi" w:hAnsiTheme="majorHAnsi"/>
                <w:sz w:val="18"/>
                <w:szCs w:val="12"/>
              </w:rPr>
              <w:t>321</w:t>
            </w:r>
          </w:p>
        </w:tc>
        <w:tc>
          <w:tcPr>
            <w:tcW w:w="0" w:type="auto"/>
            <w:hideMark/>
          </w:tcPr>
          <w:p w:rsidRPr="007938ED" w:rsidR="00D31E46" w:rsidRDefault="00D31E46" w14:paraId="43970EC8" w14:textId="77777777">
            <w:pPr>
              <w:rPr>
                <w:rFonts w:asciiTheme="majorHAnsi" w:hAnsiTheme="majorHAnsi"/>
                <w:sz w:val="18"/>
                <w:szCs w:val="12"/>
              </w:rPr>
            </w:pPr>
            <w:r w:rsidRPr="007938ED">
              <w:rPr>
                <w:rFonts w:asciiTheme="majorHAnsi" w:hAnsiTheme="majorHAnsi"/>
                <w:sz w:val="18"/>
                <w:szCs w:val="12"/>
              </w:rPr>
              <w:t xml:space="preserve">Number and source (as reported by submitter) of project ideas submitted OUTSIDE OF the annual TPM research planning process, for these categories of sources: </w:t>
            </w:r>
            <w:r w:rsidRPr="007938ED">
              <w:rPr>
                <w:rFonts w:asciiTheme="majorHAnsi" w:hAnsiTheme="majorHAnsi"/>
                <w:sz w:val="18"/>
                <w:szCs w:val="12"/>
              </w:rPr>
              <w:lastRenderedPageBreak/>
              <w:t>PA, national lab, manufacturer, entrepreneur, etc.) *The PAs believe this is not suited for a metric with targets because ETP does not control the number of submissions nor their sources. Targets are set in a way to avoid forcing ETP to arbitrarily change existing processes in a way that may negatively impact the effectiveness of the program. Targets and sources may be updated in collaboration with ED after all 3P contracts are awarded.</w:t>
            </w:r>
          </w:p>
        </w:tc>
        <w:tc>
          <w:tcPr>
            <w:tcW w:w="0" w:type="auto"/>
            <w:hideMark/>
          </w:tcPr>
          <w:p w:rsidRPr="007938ED" w:rsidR="00D31E46" w:rsidRDefault="00D31E46" w14:paraId="151EF89C" w14:textId="77777777">
            <w:pPr>
              <w:rPr>
                <w:rFonts w:asciiTheme="majorHAnsi" w:hAnsiTheme="majorHAnsi"/>
                <w:sz w:val="18"/>
                <w:szCs w:val="12"/>
              </w:rPr>
            </w:pPr>
            <w:r w:rsidRPr="007938ED">
              <w:rPr>
                <w:rFonts w:asciiTheme="majorHAnsi" w:hAnsiTheme="majorHAnsi"/>
                <w:sz w:val="18"/>
                <w:szCs w:val="12"/>
              </w:rPr>
              <w:lastRenderedPageBreak/>
              <w:t>Number and source (as reported by submitter) of project ideas submitted OUTSIDE OF the annual TPM research planning process by PA</w:t>
            </w:r>
          </w:p>
        </w:tc>
        <w:tc>
          <w:tcPr>
            <w:tcW w:w="0" w:type="auto"/>
            <w:hideMark/>
          </w:tcPr>
          <w:p w:rsidRPr="007938ED" w:rsidR="00D31E46" w:rsidRDefault="00D31E46" w14:paraId="60342600"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BA2CA15"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3F2F59AD"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69017B8"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0EAA777" w14:textId="77777777">
            <w:pPr>
              <w:rPr>
                <w:rFonts w:asciiTheme="majorHAnsi" w:hAnsiTheme="majorHAnsi"/>
                <w:sz w:val="18"/>
                <w:szCs w:val="12"/>
              </w:rPr>
            </w:pPr>
            <w:r w:rsidRPr="007938ED">
              <w:rPr>
                <w:rFonts w:asciiTheme="majorHAnsi" w:hAnsiTheme="majorHAnsi"/>
                <w:sz w:val="18"/>
                <w:szCs w:val="12"/>
              </w:rPr>
              <w:t>Count of project ideas by PA</w:t>
            </w:r>
          </w:p>
        </w:tc>
      </w:tr>
      <w:tr w:rsidRPr="007938ED" w:rsidR="00CE6F7B" w:rsidTr="007938ED" w14:paraId="618910F4" w14:textId="77777777">
        <w:trPr>
          <w:trHeight w:val="1200"/>
        </w:trPr>
        <w:tc>
          <w:tcPr>
            <w:tcW w:w="0" w:type="auto"/>
            <w:hideMark/>
          </w:tcPr>
          <w:p w:rsidRPr="007938ED" w:rsidR="00D31E46" w:rsidP="00D31E46" w:rsidRDefault="00D31E46" w14:paraId="3FE2AB4B" w14:textId="77777777">
            <w:pPr>
              <w:rPr>
                <w:rFonts w:asciiTheme="majorHAnsi" w:hAnsiTheme="majorHAnsi"/>
                <w:sz w:val="18"/>
                <w:szCs w:val="12"/>
              </w:rPr>
            </w:pPr>
            <w:r w:rsidRPr="007938ED">
              <w:rPr>
                <w:rFonts w:asciiTheme="majorHAnsi" w:hAnsiTheme="majorHAnsi"/>
                <w:sz w:val="18"/>
                <w:szCs w:val="12"/>
              </w:rPr>
              <w:t>322</w:t>
            </w:r>
          </w:p>
        </w:tc>
        <w:tc>
          <w:tcPr>
            <w:tcW w:w="0" w:type="auto"/>
            <w:hideMark/>
          </w:tcPr>
          <w:p w:rsidRPr="007938ED" w:rsidR="00D31E46" w:rsidRDefault="00D31E46" w14:paraId="75D222D3" w14:textId="77777777">
            <w:pPr>
              <w:rPr>
                <w:rFonts w:asciiTheme="majorHAnsi" w:hAnsiTheme="majorHAnsi"/>
                <w:sz w:val="18"/>
                <w:szCs w:val="12"/>
              </w:rPr>
            </w:pPr>
            <w:r w:rsidRPr="007938ED">
              <w:rPr>
                <w:rFonts w:asciiTheme="majorHAnsi" w:hAnsiTheme="majorHAnsi"/>
                <w:sz w:val="18"/>
                <w:szCs w:val="12"/>
              </w:rPr>
              <w:t xml:space="preserve">Number and source (as reported by submitter) of project ideas submitted OUTSIDE OF the annual TPM research planning process, for these categories of sources: PA, national lab, manufacturer, entrepreneur, etc.) *The PAs believe this is not suited for a metric with targets because ETP does not control the number of submissions nor their sources. Targets are set in a way to avoid forcing ETP to arbitrarily change existing processes in a way </w:t>
            </w:r>
            <w:r w:rsidRPr="007938ED">
              <w:rPr>
                <w:rFonts w:asciiTheme="majorHAnsi" w:hAnsiTheme="majorHAnsi"/>
                <w:sz w:val="18"/>
                <w:szCs w:val="12"/>
              </w:rPr>
              <w:lastRenderedPageBreak/>
              <w:t>that may negatively impact the effectiveness of the program. Targets and sources may be updated in collaboration with ED after all 3P contracts are awarded.</w:t>
            </w:r>
          </w:p>
        </w:tc>
        <w:tc>
          <w:tcPr>
            <w:tcW w:w="0" w:type="auto"/>
            <w:hideMark/>
          </w:tcPr>
          <w:p w:rsidRPr="007938ED" w:rsidR="00D31E46" w:rsidRDefault="00D31E46" w14:paraId="198EFCE7" w14:textId="77777777">
            <w:pPr>
              <w:rPr>
                <w:rFonts w:asciiTheme="majorHAnsi" w:hAnsiTheme="majorHAnsi"/>
                <w:sz w:val="18"/>
                <w:szCs w:val="12"/>
              </w:rPr>
            </w:pPr>
            <w:r w:rsidRPr="007938ED">
              <w:rPr>
                <w:rFonts w:asciiTheme="majorHAnsi" w:hAnsiTheme="majorHAnsi"/>
                <w:sz w:val="18"/>
                <w:szCs w:val="12"/>
              </w:rPr>
              <w:lastRenderedPageBreak/>
              <w:t>Number and source (as reported by submitter) of project ideas submitted OUTSIDE OF the annual TPM research planning process by National Lab</w:t>
            </w:r>
          </w:p>
        </w:tc>
        <w:tc>
          <w:tcPr>
            <w:tcW w:w="0" w:type="auto"/>
            <w:hideMark/>
          </w:tcPr>
          <w:p w:rsidRPr="007938ED" w:rsidR="00D31E46" w:rsidRDefault="00D31E46" w14:paraId="1D88F453"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A11D5CB"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094384B9"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7E47549E"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1862012" w14:textId="77777777">
            <w:pPr>
              <w:rPr>
                <w:rFonts w:asciiTheme="majorHAnsi" w:hAnsiTheme="majorHAnsi"/>
                <w:sz w:val="18"/>
                <w:szCs w:val="12"/>
              </w:rPr>
            </w:pPr>
            <w:r w:rsidRPr="007938ED">
              <w:rPr>
                <w:rFonts w:asciiTheme="majorHAnsi" w:hAnsiTheme="majorHAnsi"/>
                <w:sz w:val="18"/>
                <w:szCs w:val="12"/>
              </w:rPr>
              <w:t>Count of project ideas by national labs</w:t>
            </w:r>
          </w:p>
        </w:tc>
      </w:tr>
      <w:tr w:rsidRPr="007938ED" w:rsidR="00CE6F7B" w:rsidTr="007938ED" w14:paraId="461F420A" w14:textId="77777777">
        <w:trPr>
          <w:trHeight w:val="1200"/>
        </w:trPr>
        <w:tc>
          <w:tcPr>
            <w:tcW w:w="0" w:type="auto"/>
            <w:hideMark/>
          </w:tcPr>
          <w:p w:rsidRPr="007938ED" w:rsidR="00D31E46" w:rsidP="00D31E46" w:rsidRDefault="00D31E46" w14:paraId="625C463E" w14:textId="77777777">
            <w:pPr>
              <w:rPr>
                <w:rFonts w:asciiTheme="majorHAnsi" w:hAnsiTheme="majorHAnsi"/>
                <w:sz w:val="18"/>
                <w:szCs w:val="12"/>
              </w:rPr>
            </w:pPr>
            <w:r w:rsidRPr="007938ED">
              <w:rPr>
                <w:rFonts w:asciiTheme="majorHAnsi" w:hAnsiTheme="majorHAnsi"/>
                <w:sz w:val="18"/>
                <w:szCs w:val="12"/>
              </w:rPr>
              <w:t>323</w:t>
            </w:r>
          </w:p>
        </w:tc>
        <w:tc>
          <w:tcPr>
            <w:tcW w:w="0" w:type="auto"/>
            <w:hideMark/>
          </w:tcPr>
          <w:p w:rsidRPr="007938ED" w:rsidR="00D31E46" w:rsidRDefault="00D31E46" w14:paraId="08FF9E0E" w14:textId="77777777">
            <w:pPr>
              <w:rPr>
                <w:rFonts w:asciiTheme="majorHAnsi" w:hAnsiTheme="majorHAnsi"/>
                <w:sz w:val="18"/>
                <w:szCs w:val="12"/>
              </w:rPr>
            </w:pPr>
            <w:r w:rsidRPr="007938ED">
              <w:rPr>
                <w:rFonts w:asciiTheme="majorHAnsi" w:hAnsiTheme="majorHAnsi"/>
                <w:sz w:val="18"/>
                <w:szCs w:val="12"/>
              </w:rPr>
              <w:t>Number and source (as reported by submitter) of project ideas submitted OUTSIDE OF the annual TPM research planning process, for these categories of sources: PA, national lab, manufacturer, entrepreneur, etc.) *The PAs believe this is not suited for a metric with targets because ETP does not control the number of submissions nor their sources. Targets are set in a way to avoid forcing ETP to arbitrarily change existing processes in a way that may negatively impact the effectiveness of the program. Targets and sources may be updated in collaboration with ED after all 3P contracts are awarded.</w:t>
            </w:r>
          </w:p>
        </w:tc>
        <w:tc>
          <w:tcPr>
            <w:tcW w:w="0" w:type="auto"/>
            <w:hideMark/>
          </w:tcPr>
          <w:p w:rsidRPr="007938ED" w:rsidR="00D31E46" w:rsidRDefault="00D31E46" w14:paraId="515F3748" w14:textId="77777777">
            <w:pPr>
              <w:rPr>
                <w:rFonts w:asciiTheme="majorHAnsi" w:hAnsiTheme="majorHAnsi"/>
                <w:sz w:val="18"/>
                <w:szCs w:val="12"/>
              </w:rPr>
            </w:pPr>
            <w:r w:rsidRPr="007938ED">
              <w:rPr>
                <w:rFonts w:asciiTheme="majorHAnsi" w:hAnsiTheme="majorHAnsi"/>
                <w:sz w:val="18"/>
                <w:szCs w:val="12"/>
              </w:rPr>
              <w:t>Number and source (as reported by submitter) of project ideas submitted OUTSIDE OF the annual TPM research planning process by Manufacturer</w:t>
            </w:r>
          </w:p>
        </w:tc>
        <w:tc>
          <w:tcPr>
            <w:tcW w:w="0" w:type="auto"/>
            <w:hideMark/>
          </w:tcPr>
          <w:p w:rsidRPr="007938ED" w:rsidR="00D31E46" w:rsidRDefault="00D31E46" w14:paraId="4CD8A7D6"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2EAB9F0D"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09017531"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17F98683"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5AA9FB6C" w14:textId="77777777">
            <w:pPr>
              <w:rPr>
                <w:rFonts w:asciiTheme="majorHAnsi" w:hAnsiTheme="majorHAnsi"/>
                <w:sz w:val="18"/>
                <w:szCs w:val="12"/>
              </w:rPr>
            </w:pPr>
            <w:r w:rsidRPr="007938ED">
              <w:rPr>
                <w:rFonts w:asciiTheme="majorHAnsi" w:hAnsiTheme="majorHAnsi"/>
                <w:sz w:val="18"/>
                <w:szCs w:val="12"/>
              </w:rPr>
              <w:t>Count of project ideas by manufacturers</w:t>
            </w:r>
          </w:p>
        </w:tc>
      </w:tr>
      <w:tr w:rsidRPr="007938ED" w:rsidR="00CE6F7B" w:rsidTr="007938ED" w14:paraId="16F15376" w14:textId="77777777">
        <w:trPr>
          <w:trHeight w:val="1200"/>
        </w:trPr>
        <w:tc>
          <w:tcPr>
            <w:tcW w:w="0" w:type="auto"/>
            <w:hideMark/>
          </w:tcPr>
          <w:p w:rsidRPr="007938ED" w:rsidR="00D31E46" w:rsidP="00D31E46" w:rsidRDefault="00D31E46" w14:paraId="38355160" w14:textId="77777777">
            <w:pPr>
              <w:rPr>
                <w:rFonts w:asciiTheme="majorHAnsi" w:hAnsiTheme="majorHAnsi"/>
                <w:sz w:val="18"/>
                <w:szCs w:val="12"/>
              </w:rPr>
            </w:pPr>
            <w:r w:rsidRPr="007938ED">
              <w:rPr>
                <w:rFonts w:asciiTheme="majorHAnsi" w:hAnsiTheme="majorHAnsi"/>
                <w:sz w:val="18"/>
                <w:szCs w:val="12"/>
              </w:rPr>
              <w:lastRenderedPageBreak/>
              <w:t>324</w:t>
            </w:r>
          </w:p>
        </w:tc>
        <w:tc>
          <w:tcPr>
            <w:tcW w:w="0" w:type="auto"/>
            <w:hideMark/>
          </w:tcPr>
          <w:p w:rsidRPr="007938ED" w:rsidR="00D31E46" w:rsidRDefault="00D31E46" w14:paraId="707F9E3F" w14:textId="77777777">
            <w:pPr>
              <w:rPr>
                <w:rFonts w:asciiTheme="majorHAnsi" w:hAnsiTheme="majorHAnsi"/>
                <w:sz w:val="18"/>
                <w:szCs w:val="12"/>
              </w:rPr>
            </w:pPr>
            <w:r w:rsidRPr="007938ED">
              <w:rPr>
                <w:rFonts w:asciiTheme="majorHAnsi" w:hAnsiTheme="majorHAnsi"/>
                <w:sz w:val="18"/>
                <w:szCs w:val="12"/>
              </w:rPr>
              <w:t>Number and source (as reported by submitter) of project ideas submitted OUTSIDE OF the annual TPM research planning process, for these categories of sources: PA, national lab, manufacturer, entrepreneur, etc.) *The PAs believe this is not suited for a metric with targets because ETP does not control the number of submissions nor their sources. Targets are set in a way to avoid forcing ETP to arbitrarily change existing processes in a way that may negatively impact the effectiveness of the program. Targets and sources may be updated in collaboration with ED after all 3P contracts are awarded.</w:t>
            </w:r>
          </w:p>
        </w:tc>
        <w:tc>
          <w:tcPr>
            <w:tcW w:w="0" w:type="auto"/>
            <w:hideMark/>
          </w:tcPr>
          <w:p w:rsidRPr="007938ED" w:rsidR="00D31E46" w:rsidRDefault="00D31E46" w14:paraId="6AE6D6F0" w14:textId="77777777">
            <w:pPr>
              <w:rPr>
                <w:rFonts w:asciiTheme="majorHAnsi" w:hAnsiTheme="majorHAnsi"/>
                <w:sz w:val="18"/>
                <w:szCs w:val="12"/>
              </w:rPr>
            </w:pPr>
            <w:r w:rsidRPr="007938ED">
              <w:rPr>
                <w:rFonts w:asciiTheme="majorHAnsi" w:hAnsiTheme="majorHAnsi"/>
                <w:sz w:val="18"/>
                <w:szCs w:val="12"/>
              </w:rPr>
              <w:t>Number and source (as reported by submitter) of project ideas submitted OUTSIDE OF the annual TPM research planning process by Entrepreneur</w:t>
            </w:r>
          </w:p>
        </w:tc>
        <w:tc>
          <w:tcPr>
            <w:tcW w:w="0" w:type="auto"/>
            <w:hideMark/>
          </w:tcPr>
          <w:p w:rsidRPr="007938ED" w:rsidR="00D31E46" w:rsidRDefault="00D31E46" w14:paraId="34D09F5D"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27E7519"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085F1069"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20534D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5CC89B0E" w14:textId="77777777">
            <w:pPr>
              <w:rPr>
                <w:rFonts w:asciiTheme="majorHAnsi" w:hAnsiTheme="majorHAnsi"/>
                <w:sz w:val="18"/>
                <w:szCs w:val="12"/>
              </w:rPr>
            </w:pPr>
            <w:r w:rsidRPr="007938ED">
              <w:rPr>
                <w:rFonts w:asciiTheme="majorHAnsi" w:hAnsiTheme="majorHAnsi"/>
                <w:sz w:val="18"/>
                <w:szCs w:val="12"/>
              </w:rPr>
              <w:t>Count of project ideas by entrepreneurs</w:t>
            </w:r>
          </w:p>
        </w:tc>
      </w:tr>
      <w:tr w:rsidRPr="007938ED" w:rsidR="00CE6F7B" w:rsidTr="007938ED" w14:paraId="622E8E89" w14:textId="77777777">
        <w:trPr>
          <w:trHeight w:val="1200"/>
        </w:trPr>
        <w:tc>
          <w:tcPr>
            <w:tcW w:w="0" w:type="auto"/>
            <w:hideMark/>
          </w:tcPr>
          <w:p w:rsidRPr="007938ED" w:rsidR="00D31E46" w:rsidP="00D31E46" w:rsidRDefault="00D31E46" w14:paraId="431B9482" w14:textId="77777777">
            <w:pPr>
              <w:rPr>
                <w:rFonts w:asciiTheme="majorHAnsi" w:hAnsiTheme="majorHAnsi"/>
                <w:sz w:val="18"/>
                <w:szCs w:val="12"/>
              </w:rPr>
            </w:pPr>
            <w:r w:rsidRPr="007938ED">
              <w:rPr>
                <w:rFonts w:asciiTheme="majorHAnsi" w:hAnsiTheme="majorHAnsi"/>
                <w:sz w:val="18"/>
                <w:szCs w:val="12"/>
              </w:rPr>
              <w:t>325</w:t>
            </w:r>
          </w:p>
        </w:tc>
        <w:tc>
          <w:tcPr>
            <w:tcW w:w="0" w:type="auto"/>
            <w:hideMark/>
          </w:tcPr>
          <w:p w:rsidRPr="007938ED" w:rsidR="00D31E46" w:rsidRDefault="00D31E46" w14:paraId="141D1360" w14:textId="77777777">
            <w:pPr>
              <w:rPr>
                <w:rFonts w:asciiTheme="majorHAnsi" w:hAnsiTheme="majorHAnsi"/>
                <w:sz w:val="18"/>
                <w:szCs w:val="12"/>
              </w:rPr>
            </w:pPr>
            <w:r w:rsidRPr="007938ED">
              <w:rPr>
                <w:rFonts w:asciiTheme="majorHAnsi" w:hAnsiTheme="majorHAnsi"/>
                <w:sz w:val="18"/>
                <w:szCs w:val="12"/>
              </w:rPr>
              <w:t xml:space="preserve">Number and source (as reported by submitter) of project ideas submitted AS PART OF the annual TPM research planning process, for these categories of sources: PA, national lab, manufacturer, entrepreneur, etc.) *The PAs believe this is not suited for a metric with targets because ETP does not </w:t>
            </w:r>
            <w:r w:rsidRPr="007938ED">
              <w:rPr>
                <w:rFonts w:asciiTheme="majorHAnsi" w:hAnsiTheme="majorHAnsi"/>
                <w:sz w:val="18"/>
                <w:szCs w:val="12"/>
              </w:rPr>
              <w:lastRenderedPageBreak/>
              <w:t>control the number of submissions nor their sources. Targets are set in a way to avoid forcing ETP to arbitrarily change existing processes in a way that may negatively impact the effectiveness of the program. Targets and sources may be updated in collaboration with ED after all 3P contracts are awarded.</w:t>
            </w:r>
          </w:p>
        </w:tc>
        <w:tc>
          <w:tcPr>
            <w:tcW w:w="0" w:type="auto"/>
            <w:hideMark/>
          </w:tcPr>
          <w:p w:rsidRPr="007938ED" w:rsidR="00D31E46" w:rsidRDefault="00D31E46" w14:paraId="3A7CFCAD" w14:textId="77777777">
            <w:pPr>
              <w:rPr>
                <w:rFonts w:asciiTheme="majorHAnsi" w:hAnsiTheme="majorHAnsi"/>
                <w:sz w:val="18"/>
                <w:szCs w:val="12"/>
              </w:rPr>
            </w:pPr>
            <w:r w:rsidRPr="007938ED">
              <w:rPr>
                <w:rFonts w:asciiTheme="majorHAnsi" w:hAnsiTheme="majorHAnsi"/>
                <w:sz w:val="18"/>
                <w:szCs w:val="12"/>
              </w:rPr>
              <w:lastRenderedPageBreak/>
              <w:t>ETP-T7a Number and source (as reported by submitter) of project ideas submitted AS PART OF the annual TPM research planning process by PA</w:t>
            </w:r>
          </w:p>
        </w:tc>
        <w:tc>
          <w:tcPr>
            <w:tcW w:w="0" w:type="auto"/>
            <w:hideMark/>
          </w:tcPr>
          <w:p w:rsidRPr="007938ED" w:rsidR="00D31E46" w:rsidRDefault="00D31E46" w14:paraId="67F65887"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0AF3185"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0C0BAC89"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36E6C8EE"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4EB71F09" w14:textId="77777777">
            <w:pPr>
              <w:rPr>
                <w:rFonts w:asciiTheme="majorHAnsi" w:hAnsiTheme="majorHAnsi"/>
                <w:sz w:val="18"/>
                <w:szCs w:val="12"/>
              </w:rPr>
            </w:pPr>
            <w:r w:rsidRPr="007938ED">
              <w:rPr>
                <w:rFonts w:asciiTheme="majorHAnsi" w:hAnsiTheme="majorHAnsi"/>
                <w:sz w:val="18"/>
                <w:szCs w:val="12"/>
              </w:rPr>
              <w:t>Count of project ideas by PA</w:t>
            </w:r>
          </w:p>
        </w:tc>
      </w:tr>
      <w:tr w:rsidRPr="007938ED" w:rsidR="00CE6F7B" w:rsidTr="007938ED" w14:paraId="31524D18" w14:textId="77777777">
        <w:trPr>
          <w:trHeight w:val="1200"/>
        </w:trPr>
        <w:tc>
          <w:tcPr>
            <w:tcW w:w="0" w:type="auto"/>
            <w:hideMark/>
          </w:tcPr>
          <w:p w:rsidRPr="007938ED" w:rsidR="00D31E46" w:rsidP="00D31E46" w:rsidRDefault="00D31E46" w14:paraId="2F1EF7AF" w14:textId="77777777">
            <w:pPr>
              <w:rPr>
                <w:rFonts w:asciiTheme="majorHAnsi" w:hAnsiTheme="majorHAnsi"/>
                <w:sz w:val="18"/>
                <w:szCs w:val="12"/>
              </w:rPr>
            </w:pPr>
            <w:r w:rsidRPr="007938ED">
              <w:rPr>
                <w:rFonts w:asciiTheme="majorHAnsi" w:hAnsiTheme="majorHAnsi"/>
                <w:sz w:val="18"/>
                <w:szCs w:val="12"/>
              </w:rPr>
              <w:t>326</w:t>
            </w:r>
          </w:p>
        </w:tc>
        <w:tc>
          <w:tcPr>
            <w:tcW w:w="0" w:type="auto"/>
            <w:hideMark/>
          </w:tcPr>
          <w:p w:rsidRPr="007938ED" w:rsidR="00D31E46" w:rsidRDefault="00D31E46" w14:paraId="5210CD37" w14:textId="77777777">
            <w:pPr>
              <w:rPr>
                <w:rFonts w:asciiTheme="majorHAnsi" w:hAnsiTheme="majorHAnsi"/>
                <w:sz w:val="18"/>
                <w:szCs w:val="12"/>
              </w:rPr>
            </w:pPr>
            <w:r w:rsidRPr="007938ED">
              <w:rPr>
                <w:rFonts w:asciiTheme="majorHAnsi" w:hAnsiTheme="majorHAnsi"/>
                <w:sz w:val="18"/>
                <w:szCs w:val="12"/>
              </w:rPr>
              <w:t xml:space="preserve">Number and source (as reported by submitter) of project ideas submitted AS PART OF the annual TPM research planning process, for these categories of sources: PA, national lab, manufacturer, entrepreneur, etc.) *The PAs believe this is not suited for a metric with targets because ETP does not control the number of submissions nor their sources. Targets are set in a way to avoid forcing ETP to arbitrarily change existing processes in a way that may negatively impact the effectiveness of the program. Targets and sources may be updated in </w:t>
            </w:r>
            <w:r w:rsidRPr="007938ED">
              <w:rPr>
                <w:rFonts w:asciiTheme="majorHAnsi" w:hAnsiTheme="majorHAnsi"/>
                <w:sz w:val="18"/>
                <w:szCs w:val="12"/>
              </w:rPr>
              <w:lastRenderedPageBreak/>
              <w:t>collaboration with ED after all 3P contracts are awarded.</w:t>
            </w:r>
          </w:p>
        </w:tc>
        <w:tc>
          <w:tcPr>
            <w:tcW w:w="0" w:type="auto"/>
            <w:hideMark/>
          </w:tcPr>
          <w:p w:rsidRPr="007938ED" w:rsidR="00D31E46" w:rsidRDefault="00D31E46" w14:paraId="699D8C3F" w14:textId="77777777">
            <w:pPr>
              <w:rPr>
                <w:rFonts w:asciiTheme="majorHAnsi" w:hAnsiTheme="majorHAnsi"/>
                <w:sz w:val="18"/>
                <w:szCs w:val="12"/>
              </w:rPr>
            </w:pPr>
            <w:r w:rsidRPr="007938ED">
              <w:rPr>
                <w:rFonts w:asciiTheme="majorHAnsi" w:hAnsiTheme="majorHAnsi"/>
                <w:sz w:val="18"/>
                <w:szCs w:val="12"/>
              </w:rPr>
              <w:lastRenderedPageBreak/>
              <w:t>Number and source (as reported by submitter) of project ideas submitted AS PART OF the annual TPM research planning process by National Lab</w:t>
            </w:r>
          </w:p>
        </w:tc>
        <w:tc>
          <w:tcPr>
            <w:tcW w:w="0" w:type="auto"/>
            <w:hideMark/>
          </w:tcPr>
          <w:p w:rsidRPr="007938ED" w:rsidR="00D31E46" w:rsidRDefault="00D31E46" w14:paraId="5C1A41D9"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765D106C"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6B4C0355"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5E28B6B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5AF62E12" w14:textId="77777777">
            <w:pPr>
              <w:rPr>
                <w:rFonts w:asciiTheme="majorHAnsi" w:hAnsiTheme="majorHAnsi"/>
                <w:sz w:val="18"/>
                <w:szCs w:val="12"/>
              </w:rPr>
            </w:pPr>
            <w:r w:rsidRPr="007938ED">
              <w:rPr>
                <w:rFonts w:asciiTheme="majorHAnsi" w:hAnsiTheme="majorHAnsi"/>
                <w:sz w:val="18"/>
                <w:szCs w:val="12"/>
              </w:rPr>
              <w:t>Count of project ideas by national labs</w:t>
            </w:r>
          </w:p>
        </w:tc>
      </w:tr>
      <w:tr w:rsidRPr="007938ED" w:rsidR="00CE6F7B" w:rsidTr="007938ED" w14:paraId="5E648E2C" w14:textId="77777777">
        <w:trPr>
          <w:trHeight w:val="1200"/>
        </w:trPr>
        <w:tc>
          <w:tcPr>
            <w:tcW w:w="0" w:type="auto"/>
            <w:hideMark/>
          </w:tcPr>
          <w:p w:rsidRPr="007938ED" w:rsidR="00D31E46" w:rsidP="00D31E46" w:rsidRDefault="00D31E46" w14:paraId="3D64626B" w14:textId="77777777">
            <w:pPr>
              <w:rPr>
                <w:rFonts w:asciiTheme="majorHAnsi" w:hAnsiTheme="majorHAnsi"/>
                <w:sz w:val="18"/>
                <w:szCs w:val="12"/>
              </w:rPr>
            </w:pPr>
            <w:r w:rsidRPr="007938ED">
              <w:rPr>
                <w:rFonts w:asciiTheme="majorHAnsi" w:hAnsiTheme="majorHAnsi"/>
                <w:sz w:val="18"/>
                <w:szCs w:val="12"/>
              </w:rPr>
              <w:t>327</w:t>
            </w:r>
          </w:p>
        </w:tc>
        <w:tc>
          <w:tcPr>
            <w:tcW w:w="0" w:type="auto"/>
            <w:hideMark/>
          </w:tcPr>
          <w:p w:rsidRPr="007938ED" w:rsidR="00D31E46" w:rsidRDefault="00D31E46" w14:paraId="4F206E66" w14:textId="77777777">
            <w:pPr>
              <w:rPr>
                <w:rFonts w:asciiTheme="majorHAnsi" w:hAnsiTheme="majorHAnsi"/>
                <w:sz w:val="18"/>
                <w:szCs w:val="12"/>
              </w:rPr>
            </w:pPr>
            <w:r w:rsidRPr="007938ED">
              <w:rPr>
                <w:rFonts w:asciiTheme="majorHAnsi" w:hAnsiTheme="majorHAnsi"/>
                <w:sz w:val="18"/>
                <w:szCs w:val="12"/>
              </w:rPr>
              <w:t>Number and source (as reported by submitter) of project ideas submitted AS PART OF the annual TPM research planning process, for these categories of sources: PA, national lab, manufacturer, entrepreneur, etc.) *The PAs believe this is not suited for a metric with targets because ETP does not control the number of submissions nor their sources. Targets are set in a way to avoid forcing ETP to arbitrarily change existing processes in a way that may negatively impact the effectiveness of the program. Targets and sources may be updated in collaboration with ED after all 3P contracts are awarded.</w:t>
            </w:r>
          </w:p>
        </w:tc>
        <w:tc>
          <w:tcPr>
            <w:tcW w:w="0" w:type="auto"/>
            <w:hideMark/>
          </w:tcPr>
          <w:p w:rsidRPr="007938ED" w:rsidR="00D31E46" w:rsidRDefault="00D31E46" w14:paraId="2A381C7E" w14:textId="77777777">
            <w:pPr>
              <w:rPr>
                <w:rFonts w:asciiTheme="majorHAnsi" w:hAnsiTheme="majorHAnsi"/>
                <w:sz w:val="18"/>
                <w:szCs w:val="12"/>
              </w:rPr>
            </w:pPr>
            <w:r w:rsidRPr="007938ED">
              <w:rPr>
                <w:rFonts w:asciiTheme="majorHAnsi" w:hAnsiTheme="majorHAnsi"/>
                <w:sz w:val="18"/>
                <w:szCs w:val="12"/>
              </w:rPr>
              <w:t>Number and source (as reported by submitter) of project ideas submitted AS PART OF the annual TPM research planning process by Manufacturer</w:t>
            </w:r>
          </w:p>
        </w:tc>
        <w:tc>
          <w:tcPr>
            <w:tcW w:w="0" w:type="auto"/>
            <w:hideMark/>
          </w:tcPr>
          <w:p w:rsidRPr="007938ED" w:rsidR="00D31E46" w:rsidRDefault="00D31E46" w14:paraId="45A9D4A8"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F50046E"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5BC6A9CE"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6F6D265D"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4965B884" w14:textId="77777777">
            <w:pPr>
              <w:rPr>
                <w:rFonts w:asciiTheme="majorHAnsi" w:hAnsiTheme="majorHAnsi"/>
                <w:sz w:val="18"/>
                <w:szCs w:val="12"/>
              </w:rPr>
            </w:pPr>
            <w:r w:rsidRPr="007938ED">
              <w:rPr>
                <w:rFonts w:asciiTheme="majorHAnsi" w:hAnsiTheme="majorHAnsi"/>
                <w:sz w:val="18"/>
                <w:szCs w:val="12"/>
              </w:rPr>
              <w:t>Count of project ideas by manufacturers</w:t>
            </w:r>
          </w:p>
        </w:tc>
      </w:tr>
      <w:tr w:rsidRPr="007938ED" w:rsidR="00CE6F7B" w:rsidTr="007938ED" w14:paraId="4E00961C" w14:textId="77777777">
        <w:trPr>
          <w:trHeight w:val="1200"/>
        </w:trPr>
        <w:tc>
          <w:tcPr>
            <w:tcW w:w="0" w:type="auto"/>
            <w:hideMark/>
          </w:tcPr>
          <w:p w:rsidRPr="007938ED" w:rsidR="00D31E46" w:rsidP="00D31E46" w:rsidRDefault="00D31E46" w14:paraId="52AF0F3E" w14:textId="77777777">
            <w:pPr>
              <w:rPr>
                <w:rFonts w:asciiTheme="majorHAnsi" w:hAnsiTheme="majorHAnsi"/>
                <w:sz w:val="18"/>
                <w:szCs w:val="12"/>
              </w:rPr>
            </w:pPr>
            <w:r w:rsidRPr="007938ED">
              <w:rPr>
                <w:rFonts w:asciiTheme="majorHAnsi" w:hAnsiTheme="majorHAnsi"/>
                <w:sz w:val="18"/>
                <w:szCs w:val="12"/>
              </w:rPr>
              <w:t>328</w:t>
            </w:r>
          </w:p>
        </w:tc>
        <w:tc>
          <w:tcPr>
            <w:tcW w:w="0" w:type="auto"/>
            <w:hideMark/>
          </w:tcPr>
          <w:p w:rsidRPr="007938ED" w:rsidR="00D31E46" w:rsidRDefault="00D31E46" w14:paraId="20E88E86" w14:textId="77777777">
            <w:pPr>
              <w:rPr>
                <w:rFonts w:asciiTheme="majorHAnsi" w:hAnsiTheme="majorHAnsi"/>
                <w:sz w:val="18"/>
                <w:szCs w:val="12"/>
              </w:rPr>
            </w:pPr>
            <w:r w:rsidRPr="007938ED">
              <w:rPr>
                <w:rFonts w:asciiTheme="majorHAnsi" w:hAnsiTheme="majorHAnsi"/>
                <w:sz w:val="18"/>
                <w:szCs w:val="12"/>
              </w:rPr>
              <w:t xml:space="preserve">Number and source (as reported by submitter) of project ideas submitted AS PART OF the annual TPM research planning process, for </w:t>
            </w:r>
            <w:r w:rsidRPr="007938ED">
              <w:rPr>
                <w:rFonts w:asciiTheme="majorHAnsi" w:hAnsiTheme="majorHAnsi"/>
                <w:sz w:val="18"/>
                <w:szCs w:val="12"/>
              </w:rPr>
              <w:lastRenderedPageBreak/>
              <w:t>these categories of sources: PA, national lab, manufacturer, entrepreneur, etc.) *The PAs believe this is not suited for a metric with targets because ETP does not control the number of submissions nor their sources. Targets are set in a way to avoid forcing ETP to arbitrarily change existing processes in a way that may negatively impact the effectiveness of the program. Targets and sources may be updated in collaboration with ED after all 3P contracts are awarded.</w:t>
            </w:r>
          </w:p>
        </w:tc>
        <w:tc>
          <w:tcPr>
            <w:tcW w:w="0" w:type="auto"/>
            <w:hideMark/>
          </w:tcPr>
          <w:p w:rsidRPr="007938ED" w:rsidR="00D31E46" w:rsidRDefault="00D31E46" w14:paraId="14B06BB8" w14:textId="77777777">
            <w:pPr>
              <w:rPr>
                <w:rFonts w:asciiTheme="majorHAnsi" w:hAnsiTheme="majorHAnsi"/>
                <w:sz w:val="18"/>
                <w:szCs w:val="12"/>
              </w:rPr>
            </w:pPr>
            <w:r w:rsidRPr="007938ED">
              <w:rPr>
                <w:rFonts w:asciiTheme="majorHAnsi" w:hAnsiTheme="majorHAnsi"/>
                <w:sz w:val="18"/>
                <w:szCs w:val="12"/>
              </w:rPr>
              <w:lastRenderedPageBreak/>
              <w:t>Number and source (as reported by submitter) of project ideas submitted AS PART OF the annual TPM research planning process by Entrepreneur</w:t>
            </w:r>
          </w:p>
        </w:tc>
        <w:tc>
          <w:tcPr>
            <w:tcW w:w="0" w:type="auto"/>
            <w:hideMark/>
          </w:tcPr>
          <w:p w:rsidRPr="007938ED" w:rsidR="00D31E46" w:rsidRDefault="00D31E46" w14:paraId="4F213ECB"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4972E07D"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571B0715" w14:textId="77777777">
            <w:pPr>
              <w:rPr>
                <w:rFonts w:asciiTheme="majorHAnsi" w:hAnsiTheme="majorHAnsi"/>
                <w:sz w:val="18"/>
                <w:szCs w:val="12"/>
              </w:rPr>
            </w:pPr>
            <w:r w:rsidRPr="007938ED">
              <w:rPr>
                <w:rFonts w:asciiTheme="majorHAnsi" w:hAnsiTheme="majorHAnsi"/>
                <w:sz w:val="18"/>
                <w:szCs w:val="12"/>
              </w:rPr>
              <w:t>Convert to Indicator</w:t>
            </w:r>
          </w:p>
        </w:tc>
        <w:tc>
          <w:tcPr>
            <w:tcW w:w="0" w:type="auto"/>
            <w:hideMark/>
          </w:tcPr>
          <w:p w:rsidRPr="007938ED" w:rsidR="00D31E46" w:rsidP="00D31E46" w:rsidRDefault="00D31E46" w14:paraId="42EB8B24"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145CE1A" w14:textId="77777777">
            <w:pPr>
              <w:rPr>
                <w:rFonts w:asciiTheme="majorHAnsi" w:hAnsiTheme="majorHAnsi"/>
                <w:sz w:val="18"/>
                <w:szCs w:val="12"/>
              </w:rPr>
            </w:pPr>
            <w:r w:rsidRPr="007938ED">
              <w:rPr>
                <w:rFonts w:asciiTheme="majorHAnsi" w:hAnsiTheme="majorHAnsi"/>
                <w:sz w:val="18"/>
                <w:szCs w:val="12"/>
              </w:rPr>
              <w:t>Count of project ideas by entrepreneurs</w:t>
            </w:r>
          </w:p>
        </w:tc>
      </w:tr>
      <w:tr w:rsidRPr="007938ED" w:rsidR="00CE6F7B" w:rsidTr="007938ED" w14:paraId="59ED597D" w14:textId="77777777">
        <w:trPr>
          <w:trHeight w:val="1200"/>
        </w:trPr>
        <w:tc>
          <w:tcPr>
            <w:tcW w:w="0" w:type="auto"/>
            <w:hideMark/>
          </w:tcPr>
          <w:p w:rsidRPr="007938ED" w:rsidR="00D31E46" w:rsidP="00D31E46" w:rsidRDefault="00D31E46" w14:paraId="078B81C6" w14:textId="77777777">
            <w:pPr>
              <w:rPr>
                <w:rFonts w:asciiTheme="majorHAnsi" w:hAnsiTheme="majorHAnsi"/>
                <w:sz w:val="18"/>
                <w:szCs w:val="12"/>
              </w:rPr>
            </w:pPr>
            <w:r w:rsidRPr="007938ED">
              <w:rPr>
                <w:rFonts w:asciiTheme="majorHAnsi" w:hAnsiTheme="majorHAnsi"/>
                <w:sz w:val="18"/>
                <w:szCs w:val="12"/>
              </w:rPr>
              <w:t>329</w:t>
            </w:r>
          </w:p>
        </w:tc>
        <w:tc>
          <w:tcPr>
            <w:tcW w:w="0" w:type="auto"/>
            <w:hideMark/>
          </w:tcPr>
          <w:p w:rsidRPr="007938ED" w:rsidR="00D31E46" w:rsidRDefault="00D31E46" w14:paraId="0DFE34FE" w14:textId="77777777">
            <w:pPr>
              <w:rPr>
                <w:rFonts w:asciiTheme="majorHAnsi" w:hAnsiTheme="majorHAnsi"/>
                <w:sz w:val="18"/>
                <w:szCs w:val="12"/>
              </w:rPr>
            </w:pPr>
            <w:r w:rsidRPr="007938ED">
              <w:rPr>
                <w:rFonts w:asciiTheme="majorHAnsi" w:hAnsiTheme="majorHAnsi"/>
                <w:sz w:val="18"/>
                <w:szCs w:val="12"/>
              </w:rPr>
              <w:t>List of ETP projects aligned with statewide goals that were initiated in the reporting year with specificity as to what aspect of each goal it is fulfilling. Goals will also be labeled in the ETP database. A list of eligible goals will be developed collaboratively with ED.</w:t>
            </w:r>
          </w:p>
        </w:tc>
        <w:tc>
          <w:tcPr>
            <w:tcW w:w="0" w:type="auto"/>
            <w:hideMark/>
          </w:tcPr>
          <w:p w:rsidRPr="007938ED" w:rsidR="00D31E46" w:rsidRDefault="00D31E46" w14:paraId="6C43A041" w14:textId="77777777">
            <w:pPr>
              <w:rPr>
                <w:rFonts w:asciiTheme="majorHAnsi" w:hAnsiTheme="majorHAnsi"/>
                <w:sz w:val="18"/>
                <w:szCs w:val="12"/>
              </w:rPr>
            </w:pPr>
            <w:r w:rsidRPr="007938ED">
              <w:rPr>
                <w:rFonts w:asciiTheme="majorHAnsi" w:hAnsiTheme="majorHAnsi"/>
                <w:sz w:val="18"/>
                <w:szCs w:val="12"/>
              </w:rPr>
              <w:t>List of ETP projects aligned with statewide goals that were initiated in the reporting year with specificity as to what aspect of each goal it is fulfilling</w:t>
            </w:r>
          </w:p>
        </w:tc>
        <w:tc>
          <w:tcPr>
            <w:tcW w:w="0" w:type="auto"/>
            <w:hideMark/>
          </w:tcPr>
          <w:p w:rsidRPr="007938ED" w:rsidR="00D31E46" w:rsidRDefault="00D31E46" w14:paraId="7967CF5A" w14:textId="77777777">
            <w:pPr>
              <w:rPr>
                <w:rFonts w:asciiTheme="majorHAnsi" w:hAnsiTheme="majorHAnsi"/>
                <w:sz w:val="18"/>
                <w:szCs w:val="12"/>
              </w:rPr>
            </w:pPr>
            <w:r w:rsidRPr="007938ED">
              <w:rPr>
                <w:rFonts w:asciiTheme="majorHAnsi" w:hAnsiTheme="majorHAnsi"/>
                <w:sz w:val="18"/>
                <w:szCs w:val="12"/>
              </w:rPr>
              <w:t>Metric</w:t>
            </w:r>
          </w:p>
        </w:tc>
        <w:tc>
          <w:tcPr>
            <w:tcW w:w="0" w:type="auto"/>
            <w:hideMark/>
          </w:tcPr>
          <w:p w:rsidRPr="007938ED" w:rsidR="00D31E46" w:rsidP="00D31E46" w:rsidRDefault="00D31E46" w14:paraId="1E8AA5B6" w14:textId="77777777">
            <w:pPr>
              <w:rPr>
                <w:rFonts w:asciiTheme="majorHAnsi" w:hAnsiTheme="majorHAnsi"/>
                <w:sz w:val="18"/>
                <w:szCs w:val="12"/>
              </w:rPr>
            </w:pPr>
            <w:r w:rsidRPr="007938ED">
              <w:rPr>
                <w:rFonts w:asciiTheme="majorHAnsi" w:hAnsiTheme="majorHAnsi"/>
                <w:sz w:val="18"/>
                <w:szCs w:val="12"/>
              </w:rPr>
              <w:t>ETP</w:t>
            </w:r>
          </w:p>
        </w:tc>
        <w:tc>
          <w:tcPr>
            <w:tcW w:w="0" w:type="auto"/>
            <w:hideMark/>
          </w:tcPr>
          <w:p w:rsidRPr="007938ED" w:rsidR="00D31E46" w:rsidP="00D31E46" w:rsidRDefault="00D31E46" w14:paraId="4803EDE4" w14:textId="77777777">
            <w:pPr>
              <w:rPr>
                <w:rFonts w:asciiTheme="majorHAnsi" w:hAnsiTheme="majorHAnsi"/>
                <w:sz w:val="18"/>
                <w:szCs w:val="12"/>
              </w:rPr>
            </w:pPr>
            <w:r w:rsidRPr="007938ED">
              <w:rPr>
                <w:rFonts w:asciiTheme="majorHAnsi" w:hAnsiTheme="majorHAnsi"/>
                <w:sz w:val="18"/>
                <w:szCs w:val="12"/>
              </w:rPr>
              <w:t>Remove</w:t>
            </w:r>
          </w:p>
        </w:tc>
        <w:tc>
          <w:tcPr>
            <w:tcW w:w="0" w:type="auto"/>
            <w:hideMark/>
          </w:tcPr>
          <w:p w:rsidRPr="007938ED" w:rsidR="00D31E46" w:rsidP="00D31E46" w:rsidRDefault="00D31E46" w14:paraId="59CA1533" w14:textId="77777777">
            <w:pPr>
              <w:rPr>
                <w:rFonts w:asciiTheme="majorHAnsi" w:hAnsiTheme="majorHAnsi"/>
                <w:sz w:val="18"/>
                <w:szCs w:val="12"/>
              </w:rPr>
            </w:pPr>
            <w:r w:rsidRPr="007938ED">
              <w:rPr>
                <w:rFonts w:asciiTheme="majorHAnsi" w:hAnsiTheme="majorHAnsi"/>
                <w:sz w:val="18"/>
                <w:szCs w:val="12"/>
              </w:rPr>
              <w:t>N</w:t>
            </w:r>
          </w:p>
        </w:tc>
        <w:tc>
          <w:tcPr>
            <w:tcW w:w="0" w:type="auto"/>
            <w:hideMark/>
          </w:tcPr>
          <w:p w:rsidRPr="007938ED" w:rsidR="00D31E46" w:rsidP="00D31E46" w:rsidRDefault="00D31E46" w14:paraId="389C2968" w14:textId="77777777">
            <w:pPr>
              <w:rPr>
                <w:rFonts w:asciiTheme="majorHAnsi" w:hAnsiTheme="majorHAnsi"/>
                <w:sz w:val="18"/>
                <w:szCs w:val="12"/>
              </w:rPr>
            </w:pPr>
            <w:r w:rsidRPr="007938ED">
              <w:rPr>
                <w:rFonts w:asciiTheme="majorHAnsi" w:hAnsiTheme="majorHAnsi"/>
                <w:sz w:val="18"/>
                <w:szCs w:val="12"/>
              </w:rPr>
              <w:t>Number of lists</w:t>
            </w:r>
          </w:p>
        </w:tc>
      </w:tr>
      <w:tr w:rsidRPr="007938ED" w:rsidR="00CE6F7B" w:rsidTr="007938ED" w14:paraId="20B1F256" w14:textId="77777777">
        <w:trPr>
          <w:trHeight w:val="635"/>
        </w:trPr>
        <w:tc>
          <w:tcPr>
            <w:tcW w:w="0" w:type="auto"/>
            <w:noWrap/>
            <w:hideMark/>
          </w:tcPr>
          <w:p w:rsidRPr="007938ED" w:rsidR="00D31E46" w:rsidRDefault="00D31E46" w14:paraId="018F0108" w14:textId="77777777">
            <w:pPr>
              <w:rPr>
                <w:rFonts w:asciiTheme="majorHAnsi" w:hAnsiTheme="majorHAnsi"/>
                <w:sz w:val="18"/>
                <w:szCs w:val="12"/>
              </w:rPr>
            </w:pPr>
            <w:r w:rsidRPr="007938ED">
              <w:rPr>
                <w:rFonts w:asciiTheme="majorHAnsi" w:hAnsiTheme="majorHAnsi"/>
                <w:sz w:val="18"/>
                <w:szCs w:val="12"/>
              </w:rPr>
              <w:t>EQ1</w:t>
            </w:r>
          </w:p>
        </w:tc>
        <w:tc>
          <w:tcPr>
            <w:tcW w:w="0" w:type="auto"/>
            <w:noWrap/>
            <w:hideMark/>
          </w:tcPr>
          <w:p w:rsidRPr="007938ED" w:rsidR="00D31E46" w:rsidRDefault="00D31E46" w14:paraId="6627439B"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0B5977E4" w14:textId="77777777">
            <w:pPr>
              <w:rPr>
                <w:rFonts w:asciiTheme="majorHAnsi" w:hAnsiTheme="majorHAnsi"/>
                <w:sz w:val="18"/>
                <w:szCs w:val="12"/>
              </w:rPr>
            </w:pPr>
            <w:r w:rsidRPr="007938ED">
              <w:rPr>
                <w:rFonts w:asciiTheme="majorHAnsi" w:hAnsiTheme="majorHAnsi"/>
                <w:sz w:val="18"/>
                <w:szCs w:val="12"/>
              </w:rPr>
              <w:t xml:space="preserve">Count of equity target participants </w:t>
            </w:r>
            <w:r w:rsidRPr="007938ED">
              <w:rPr>
                <w:rFonts w:asciiTheme="majorHAnsi" w:hAnsiTheme="majorHAnsi"/>
                <w:b/>
                <w:bCs/>
                <w:sz w:val="18"/>
                <w:szCs w:val="12"/>
              </w:rPr>
              <w:t>in equity segment</w:t>
            </w:r>
            <w:r w:rsidRPr="007938ED">
              <w:rPr>
                <w:rFonts w:asciiTheme="majorHAnsi" w:hAnsiTheme="majorHAnsi"/>
                <w:sz w:val="18"/>
                <w:szCs w:val="12"/>
              </w:rPr>
              <w:t xml:space="preserve">, by sector (Q, S); </w:t>
            </w:r>
          </w:p>
        </w:tc>
        <w:tc>
          <w:tcPr>
            <w:tcW w:w="0" w:type="auto"/>
            <w:hideMark/>
          </w:tcPr>
          <w:p w:rsidRPr="007938ED" w:rsidR="00D31E46" w:rsidRDefault="00D31E46" w14:paraId="025917F6"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2EF8D956" w14:textId="77777777">
            <w:pPr>
              <w:rPr>
                <w:rFonts w:asciiTheme="majorHAnsi" w:hAnsiTheme="majorHAnsi"/>
                <w:sz w:val="18"/>
                <w:szCs w:val="12"/>
              </w:rPr>
            </w:pPr>
            <w:r w:rsidRPr="007938ED">
              <w:rPr>
                <w:rFonts w:asciiTheme="majorHAnsi" w:hAnsiTheme="majorHAnsi"/>
                <w:sz w:val="18"/>
                <w:szCs w:val="12"/>
              </w:rPr>
              <w:t>Address disparities in access to EE programs</w:t>
            </w:r>
          </w:p>
        </w:tc>
        <w:tc>
          <w:tcPr>
            <w:tcW w:w="0" w:type="auto"/>
            <w:hideMark/>
          </w:tcPr>
          <w:p w:rsidRPr="007938ED" w:rsidR="00D31E46" w:rsidP="00D31E46" w:rsidRDefault="00D31E46" w14:paraId="1BB68F17"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459C1D7A"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123AD09" w14:textId="77777777">
            <w:pPr>
              <w:rPr>
                <w:rFonts w:asciiTheme="majorHAnsi" w:hAnsiTheme="majorHAnsi"/>
                <w:sz w:val="18"/>
                <w:szCs w:val="12"/>
              </w:rPr>
            </w:pPr>
            <w:r w:rsidRPr="007938ED">
              <w:rPr>
                <w:rFonts w:asciiTheme="majorHAnsi" w:hAnsiTheme="majorHAnsi"/>
                <w:sz w:val="18"/>
                <w:szCs w:val="12"/>
              </w:rPr>
              <w:t>Counts</w:t>
            </w:r>
          </w:p>
        </w:tc>
      </w:tr>
      <w:tr w:rsidRPr="007938ED" w:rsidR="00CE6F7B" w:rsidTr="007938ED" w14:paraId="6645C5F4" w14:textId="77777777">
        <w:trPr>
          <w:trHeight w:val="1175"/>
        </w:trPr>
        <w:tc>
          <w:tcPr>
            <w:tcW w:w="0" w:type="auto"/>
            <w:noWrap/>
            <w:hideMark/>
          </w:tcPr>
          <w:p w:rsidRPr="007938ED" w:rsidR="00D31E46" w:rsidRDefault="00D31E46" w14:paraId="65AA8C54" w14:textId="77777777">
            <w:pPr>
              <w:rPr>
                <w:rFonts w:asciiTheme="majorHAnsi" w:hAnsiTheme="majorHAnsi"/>
                <w:sz w:val="18"/>
                <w:szCs w:val="12"/>
              </w:rPr>
            </w:pPr>
            <w:r w:rsidRPr="007938ED">
              <w:rPr>
                <w:rFonts w:asciiTheme="majorHAnsi" w:hAnsiTheme="majorHAnsi"/>
                <w:sz w:val="18"/>
                <w:szCs w:val="12"/>
              </w:rPr>
              <w:lastRenderedPageBreak/>
              <w:t>EQ10</w:t>
            </w:r>
          </w:p>
        </w:tc>
        <w:tc>
          <w:tcPr>
            <w:tcW w:w="0" w:type="auto"/>
            <w:noWrap/>
            <w:hideMark/>
          </w:tcPr>
          <w:p w:rsidRPr="007938ED" w:rsidR="00D31E46" w:rsidRDefault="00D31E46" w14:paraId="5AD67078"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6FA59265" w14:textId="77777777">
            <w:pPr>
              <w:rPr>
                <w:rFonts w:asciiTheme="majorHAnsi" w:hAnsiTheme="majorHAnsi"/>
                <w:sz w:val="18"/>
                <w:szCs w:val="12"/>
              </w:rPr>
            </w:pPr>
            <w:r w:rsidRPr="007938ED">
              <w:rPr>
                <w:rFonts w:asciiTheme="majorHAnsi" w:hAnsiTheme="majorHAnsi"/>
                <w:sz w:val="18"/>
                <w:szCs w:val="12"/>
              </w:rPr>
              <w:t>Median of equity target participants’ expected first-year bill savings in</w:t>
            </w:r>
            <w:r w:rsidRPr="007938ED">
              <w:rPr>
                <w:rFonts w:asciiTheme="majorHAnsi" w:hAnsiTheme="majorHAnsi"/>
                <w:b/>
                <w:bCs/>
                <w:sz w:val="18"/>
                <w:szCs w:val="12"/>
              </w:rPr>
              <w:t xml:space="preserve"> equity segment</w:t>
            </w:r>
            <w:r w:rsidRPr="007938ED">
              <w:rPr>
                <w:rFonts w:asciiTheme="majorHAnsi" w:hAnsiTheme="majorHAnsi"/>
                <w:sz w:val="18"/>
                <w:szCs w:val="12"/>
              </w:rPr>
              <w:t xml:space="preserve">, by sector (Q, S); </w:t>
            </w:r>
          </w:p>
        </w:tc>
        <w:tc>
          <w:tcPr>
            <w:tcW w:w="0" w:type="auto"/>
            <w:hideMark/>
          </w:tcPr>
          <w:p w:rsidRPr="007938ED" w:rsidR="00D31E46" w:rsidRDefault="00D31E46" w14:paraId="3DEE0EA0"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70B3D32F" w14:textId="77777777">
            <w:pPr>
              <w:rPr>
                <w:rFonts w:asciiTheme="majorHAnsi" w:hAnsiTheme="majorHAnsi"/>
                <w:sz w:val="18"/>
                <w:szCs w:val="12"/>
              </w:rPr>
            </w:pPr>
            <w:r w:rsidRPr="007938ED">
              <w:rPr>
                <w:rFonts w:asciiTheme="majorHAnsi" w:hAnsiTheme="majorHAnsi"/>
                <w:sz w:val="18"/>
                <w:szCs w:val="12"/>
              </w:rPr>
              <w:t>Promote resilience, health, comfort, safety, energy affordability and/or energy savings</w:t>
            </w:r>
          </w:p>
        </w:tc>
        <w:tc>
          <w:tcPr>
            <w:tcW w:w="0" w:type="auto"/>
            <w:hideMark/>
          </w:tcPr>
          <w:p w:rsidRPr="007938ED" w:rsidR="00D31E46" w:rsidP="00D31E46" w:rsidRDefault="00D31E46" w14:paraId="3DB9A1B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57DDC33"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8754787" w14:textId="77777777">
            <w:pPr>
              <w:rPr>
                <w:rFonts w:asciiTheme="majorHAnsi" w:hAnsiTheme="majorHAnsi"/>
                <w:sz w:val="18"/>
                <w:szCs w:val="12"/>
              </w:rPr>
            </w:pPr>
            <w:r w:rsidRPr="007938ED">
              <w:rPr>
                <w:rFonts w:asciiTheme="majorHAnsi" w:hAnsiTheme="majorHAnsi"/>
                <w:sz w:val="18"/>
                <w:szCs w:val="12"/>
              </w:rPr>
              <w:t>$</w:t>
            </w:r>
          </w:p>
        </w:tc>
      </w:tr>
      <w:tr w:rsidRPr="007938ED" w:rsidR="00CE6F7B" w:rsidTr="007938ED" w14:paraId="7E543959" w14:textId="77777777">
        <w:trPr>
          <w:trHeight w:val="1166"/>
        </w:trPr>
        <w:tc>
          <w:tcPr>
            <w:tcW w:w="0" w:type="auto"/>
            <w:noWrap/>
            <w:hideMark/>
          </w:tcPr>
          <w:p w:rsidRPr="007938ED" w:rsidR="00D31E46" w:rsidRDefault="00D31E46" w14:paraId="1DC81F86" w14:textId="77777777">
            <w:pPr>
              <w:rPr>
                <w:rFonts w:asciiTheme="majorHAnsi" w:hAnsiTheme="majorHAnsi"/>
                <w:sz w:val="18"/>
                <w:szCs w:val="12"/>
              </w:rPr>
            </w:pPr>
            <w:r w:rsidRPr="007938ED">
              <w:rPr>
                <w:rFonts w:asciiTheme="majorHAnsi" w:hAnsiTheme="majorHAnsi"/>
                <w:sz w:val="18"/>
                <w:szCs w:val="12"/>
              </w:rPr>
              <w:t>EQ11</w:t>
            </w:r>
          </w:p>
        </w:tc>
        <w:tc>
          <w:tcPr>
            <w:tcW w:w="0" w:type="auto"/>
            <w:noWrap/>
            <w:hideMark/>
          </w:tcPr>
          <w:p w:rsidRPr="007938ED" w:rsidR="00D31E46" w:rsidRDefault="00D31E46" w14:paraId="216E1127"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1694C4DC" w14:textId="77777777">
            <w:pPr>
              <w:rPr>
                <w:rFonts w:asciiTheme="majorHAnsi" w:hAnsiTheme="majorHAnsi"/>
                <w:sz w:val="18"/>
                <w:szCs w:val="12"/>
              </w:rPr>
            </w:pPr>
            <w:r w:rsidRPr="007938ED">
              <w:rPr>
                <w:rFonts w:asciiTheme="majorHAnsi" w:hAnsiTheme="majorHAnsi"/>
                <w:sz w:val="18"/>
                <w:szCs w:val="12"/>
              </w:rPr>
              <w:t>Percent of hard-to-reach customer participants i</w:t>
            </w:r>
            <w:r w:rsidRPr="007938ED">
              <w:rPr>
                <w:rFonts w:asciiTheme="majorHAnsi" w:hAnsiTheme="majorHAnsi"/>
                <w:b/>
                <w:bCs/>
                <w:sz w:val="18"/>
                <w:szCs w:val="12"/>
              </w:rPr>
              <w:t>n portfolio</w:t>
            </w:r>
            <w:r w:rsidRPr="007938ED">
              <w:rPr>
                <w:rFonts w:asciiTheme="majorHAnsi" w:hAnsiTheme="majorHAnsi"/>
                <w:sz w:val="18"/>
                <w:szCs w:val="12"/>
              </w:rPr>
              <w:t xml:space="preserve">, by residential single family / multi-family and commercial sector (A, P); </w:t>
            </w:r>
          </w:p>
        </w:tc>
        <w:tc>
          <w:tcPr>
            <w:tcW w:w="0" w:type="auto"/>
            <w:hideMark/>
          </w:tcPr>
          <w:p w:rsidRPr="007938ED" w:rsidR="00D31E46" w:rsidRDefault="00D31E46" w14:paraId="6450EE8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0FDBC39B" w14:textId="77777777">
            <w:pPr>
              <w:rPr>
                <w:rFonts w:asciiTheme="majorHAnsi" w:hAnsiTheme="majorHAnsi"/>
                <w:sz w:val="18"/>
                <w:szCs w:val="12"/>
              </w:rPr>
            </w:pPr>
            <w:r w:rsidRPr="007938ED">
              <w:rPr>
                <w:rFonts w:asciiTheme="majorHAnsi" w:hAnsiTheme="majorHAnsi"/>
                <w:sz w:val="18"/>
                <w:szCs w:val="12"/>
              </w:rPr>
              <w:t>Address disparities in access to EE programs</w:t>
            </w:r>
          </w:p>
        </w:tc>
        <w:tc>
          <w:tcPr>
            <w:tcW w:w="0" w:type="auto"/>
            <w:hideMark/>
          </w:tcPr>
          <w:p w:rsidRPr="007938ED" w:rsidR="00D31E46" w:rsidP="00D31E46" w:rsidRDefault="00D31E46" w14:paraId="7CEBCFDF"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7D92918C"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7AE6ABA8" w14:textId="77777777">
            <w:pPr>
              <w:rPr>
                <w:rFonts w:asciiTheme="majorHAnsi" w:hAnsiTheme="majorHAnsi"/>
                <w:sz w:val="18"/>
                <w:szCs w:val="12"/>
              </w:rPr>
            </w:pPr>
            <w:r w:rsidRPr="007938ED">
              <w:rPr>
                <w:rFonts w:asciiTheme="majorHAnsi" w:hAnsiTheme="majorHAnsi"/>
                <w:sz w:val="18"/>
                <w:szCs w:val="12"/>
              </w:rPr>
              <w:t>Percents</w:t>
            </w:r>
          </w:p>
        </w:tc>
      </w:tr>
      <w:tr w:rsidRPr="007938ED" w:rsidR="00CE6F7B" w:rsidTr="007938ED" w14:paraId="24817E4C" w14:textId="77777777">
        <w:trPr>
          <w:trHeight w:val="1166"/>
        </w:trPr>
        <w:tc>
          <w:tcPr>
            <w:tcW w:w="0" w:type="auto"/>
            <w:noWrap/>
            <w:hideMark/>
          </w:tcPr>
          <w:p w:rsidRPr="007938ED" w:rsidR="00D31E46" w:rsidRDefault="00D31E46" w14:paraId="00290C23" w14:textId="77777777">
            <w:pPr>
              <w:rPr>
                <w:rFonts w:asciiTheme="majorHAnsi" w:hAnsiTheme="majorHAnsi"/>
                <w:sz w:val="18"/>
                <w:szCs w:val="12"/>
              </w:rPr>
            </w:pPr>
            <w:r w:rsidRPr="007938ED">
              <w:rPr>
                <w:rFonts w:asciiTheme="majorHAnsi" w:hAnsiTheme="majorHAnsi"/>
                <w:sz w:val="18"/>
                <w:szCs w:val="12"/>
              </w:rPr>
              <w:t>EQ12</w:t>
            </w:r>
          </w:p>
        </w:tc>
        <w:tc>
          <w:tcPr>
            <w:tcW w:w="0" w:type="auto"/>
            <w:noWrap/>
            <w:hideMark/>
          </w:tcPr>
          <w:p w:rsidRPr="007938ED" w:rsidR="00D31E46" w:rsidRDefault="00D31E46" w14:paraId="41C3577B"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7DFFEF6F" w14:textId="77777777">
            <w:pPr>
              <w:rPr>
                <w:rFonts w:asciiTheme="majorHAnsi" w:hAnsiTheme="majorHAnsi"/>
                <w:sz w:val="18"/>
                <w:szCs w:val="12"/>
              </w:rPr>
            </w:pPr>
            <w:r w:rsidRPr="007938ED">
              <w:rPr>
                <w:rFonts w:asciiTheme="majorHAnsi" w:hAnsiTheme="majorHAnsi"/>
                <w:sz w:val="18"/>
                <w:szCs w:val="12"/>
              </w:rPr>
              <w:t xml:space="preserve">Percent of disadvantaged community customer participants in </w:t>
            </w:r>
            <w:r w:rsidRPr="007938ED">
              <w:rPr>
                <w:rFonts w:asciiTheme="majorHAnsi" w:hAnsiTheme="majorHAnsi"/>
                <w:b/>
                <w:bCs/>
                <w:sz w:val="18"/>
                <w:szCs w:val="12"/>
              </w:rPr>
              <w:t>portfolio</w:t>
            </w:r>
            <w:r w:rsidRPr="007938ED">
              <w:rPr>
                <w:rFonts w:asciiTheme="majorHAnsi" w:hAnsiTheme="majorHAnsi"/>
                <w:sz w:val="18"/>
                <w:szCs w:val="12"/>
              </w:rPr>
              <w:t xml:space="preserve">, by residential single-family / multi-family and commercial sector (A, P); </w:t>
            </w:r>
          </w:p>
        </w:tc>
        <w:tc>
          <w:tcPr>
            <w:tcW w:w="0" w:type="auto"/>
            <w:hideMark/>
          </w:tcPr>
          <w:p w:rsidRPr="007938ED" w:rsidR="00D31E46" w:rsidRDefault="00D31E46" w14:paraId="5E91772C"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0D95CAF3" w14:textId="77777777">
            <w:pPr>
              <w:rPr>
                <w:rFonts w:asciiTheme="majorHAnsi" w:hAnsiTheme="majorHAnsi"/>
                <w:sz w:val="18"/>
                <w:szCs w:val="12"/>
              </w:rPr>
            </w:pPr>
            <w:r w:rsidRPr="007938ED">
              <w:rPr>
                <w:rFonts w:asciiTheme="majorHAnsi" w:hAnsiTheme="majorHAnsi"/>
                <w:sz w:val="18"/>
                <w:szCs w:val="12"/>
              </w:rPr>
              <w:t>Address disparities in access to EE programs</w:t>
            </w:r>
          </w:p>
        </w:tc>
        <w:tc>
          <w:tcPr>
            <w:tcW w:w="0" w:type="auto"/>
            <w:hideMark/>
          </w:tcPr>
          <w:p w:rsidRPr="007938ED" w:rsidR="00D31E46" w:rsidP="00D31E46" w:rsidRDefault="00D31E46" w14:paraId="46977856"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3BF04D97"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0CDD653D" w14:textId="77777777">
            <w:pPr>
              <w:rPr>
                <w:rFonts w:asciiTheme="majorHAnsi" w:hAnsiTheme="majorHAnsi"/>
                <w:sz w:val="18"/>
                <w:szCs w:val="12"/>
              </w:rPr>
            </w:pPr>
            <w:r w:rsidRPr="007938ED">
              <w:rPr>
                <w:rFonts w:asciiTheme="majorHAnsi" w:hAnsiTheme="majorHAnsi"/>
                <w:sz w:val="18"/>
                <w:szCs w:val="12"/>
              </w:rPr>
              <w:t>Percents</w:t>
            </w:r>
          </w:p>
        </w:tc>
      </w:tr>
      <w:tr w:rsidRPr="007938ED" w:rsidR="00CE6F7B" w:rsidTr="007938ED" w14:paraId="3A43B1AA" w14:textId="77777777">
        <w:trPr>
          <w:trHeight w:val="635"/>
        </w:trPr>
        <w:tc>
          <w:tcPr>
            <w:tcW w:w="0" w:type="auto"/>
            <w:noWrap/>
            <w:hideMark/>
          </w:tcPr>
          <w:p w:rsidRPr="007938ED" w:rsidR="00D31E46" w:rsidRDefault="00D31E46" w14:paraId="16D6F8BD" w14:textId="77777777">
            <w:pPr>
              <w:rPr>
                <w:rFonts w:asciiTheme="majorHAnsi" w:hAnsiTheme="majorHAnsi"/>
                <w:sz w:val="18"/>
                <w:szCs w:val="12"/>
              </w:rPr>
            </w:pPr>
            <w:r w:rsidRPr="007938ED">
              <w:rPr>
                <w:rFonts w:asciiTheme="majorHAnsi" w:hAnsiTheme="majorHAnsi"/>
                <w:sz w:val="18"/>
                <w:szCs w:val="12"/>
              </w:rPr>
              <w:t>EQ13</w:t>
            </w:r>
          </w:p>
        </w:tc>
        <w:tc>
          <w:tcPr>
            <w:tcW w:w="0" w:type="auto"/>
            <w:noWrap/>
            <w:hideMark/>
          </w:tcPr>
          <w:p w:rsidRPr="007938ED" w:rsidR="00D31E46" w:rsidRDefault="00D31E46" w14:paraId="501116F1"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3AAA02CD" w14:textId="77777777">
            <w:pPr>
              <w:rPr>
                <w:rFonts w:asciiTheme="majorHAnsi" w:hAnsiTheme="majorHAnsi"/>
                <w:sz w:val="18"/>
                <w:szCs w:val="12"/>
              </w:rPr>
            </w:pPr>
            <w:r w:rsidRPr="007938ED">
              <w:rPr>
                <w:rFonts w:asciiTheme="majorHAnsi" w:hAnsiTheme="majorHAnsi"/>
                <w:sz w:val="18"/>
                <w:szCs w:val="12"/>
              </w:rPr>
              <w:t>Percent of equity target participants in</w:t>
            </w:r>
            <w:r w:rsidRPr="007938ED">
              <w:rPr>
                <w:rFonts w:asciiTheme="majorHAnsi" w:hAnsiTheme="majorHAnsi"/>
                <w:b/>
                <w:bCs/>
                <w:sz w:val="18"/>
                <w:szCs w:val="12"/>
              </w:rPr>
              <w:t xml:space="preserve"> equity segment,</w:t>
            </w:r>
            <w:r w:rsidRPr="007938ED">
              <w:rPr>
                <w:rFonts w:asciiTheme="majorHAnsi" w:hAnsiTheme="majorHAnsi"/>
                <w:sz w:val="18"/>
                <w:szCs w:val="12"/>
              </w:rPr>
              <w:t xml:space="preserve"> by sector (Q, S); </w:t>
            </w:r>
          </w:p>
        </w:tc>
        <w:tc>
          <w:tcPr>
            <w:tcW w:w="0" w:type="auto"/>
            <w:hideMark/>
          </w:tcPr>
          <w:p w:rsidRPr="007938ED" w:rsidR="00D31E46" w:rsidRDefault="00D31E46" w14:paraId="273A57D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044916D2" w14:textId="77777777">
            <w:pPr>
              <w:rPr>
                <w:rFonts w:asciiTheme="majorHAnsi" w:hAnsiTheme="majorHAnsi"/>
                <w:sz w:val="18"/>
                <w:szCs w:val="12"/>
              </w:rPr>
            </w:pPr>
            <w:r w:rsidRPr="007938ED">
              <w:rPr>
                <w:rFonts w:asciiTheme="majorHAnsi" w:hAnsiTheme="majorHAnsi"/>
                <w:sz w:val="18"/>
                <w:szCs w:val="12"/>
              </w:rPr>
              <w:t>Address disparities in access to EE programs</w:t>
            </w:r>
          </w:p>
        </w:tc>
        <w:tc>
          <w:tcPr>
            <w:tcW w:w="0" w:type="auto"/>
            <w:hideMark/>
          </w:tcPr>
          <w:p w:rsidRPr="007938ED" w:rsidR="00D31E46" w:rsidP="00D31E46" w:rsidRDefault="00D31E46" w14:paraId="02FD3AD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47C77863"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4A625AD6" w14:textId="77777777">
            <w:pPr>
              <w:rPr>
                <w:rFonts w:asciiTheme="majorHAnsi" w:hAnsiTheme="majorHAnsi"/>
                <w:sz w:val="18"/>
                <w:szCs w:val="12"/>
              </w:rPr>
            </w:pPr>
            <w:r w:rsidRPr="007938ED">
              <w:rPr>
                <w:rFonts w:asciiTheme="majorHAnsi" w:hAnsiTheme="majorHAnsi"/>
                <w:sz w:val="18"/>
                <w:szCs w:val="12"/>
              </w:rPr>
              <w:t>Percents</w:t>
            </w:r>
          </w:p>
        </w:tc>
      </w:tr>
      <w:tr w:rsidRPr="007938ED" w:rsidR="00CE6F7B" w:rsidTr="007938ED" w14:paraId="72F3CDD6" w14:textId="77777777">
        <w:trPr>
          <w:trHeight w:val="1175"/>
        </w:trPr>
        <w:tc>
          <w:tcPr>
            <w:tcW w:w="0" w:type="auto"/>
            <w:noWrap/>
            <w:hideMark/>
          </w:tcPr>
          <w:p w:rsidRPr="007938ED" w:rsidR="00D31E46" w:rsidRDefault="00D31E46" w14:paraId="52038C24" w14:textId="77777777">
            <w:pPr>
              <w:rPr>
                <w:rFonts w:asciiTheme="majorHAnsi" w:hAnsiTheme="majorHAnsi"/>
                <w:sz w:val="18"/>
                <w:szCs w:val="12"/>
              </w:rPr>
            </w:pPr>
            <w:r w:rsidRPr="007938ED">
              <w:rPr>
                <w:rFonts w:asciiTheme="majorHAnsi" w:hAnsiTheme="majorHAnsi"/>
                <w:sz w:val="18"/>
                <w:szCs w:val="12"/>
              </w:rPr>
              <w:t>EQ2</w:t>
            </w:r>
          </w:p>
        </w:tc>
        <w:tc>
          <w:tcPr>
            <w:tcW w:w="0" w:type="auto"/>
            <w:noWrap/>
            <w:hideMark/>
          </w:tcPr>
          <w:p w:rsidRPr="007938ED" w:rsidR="00D31E46" w:rsidRDefault="00D31E46" w14:paraId="6D24228F"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1E4EADDB" w14:textId="77777777">
            <w:pPr>
              <w:rPr>
                <w:rFonts w:asciiTheme="majorHAnsi" w:hAnsiTheme="majorHAnsi"/>
                <w:sz w:val="18"/>
                <w:szCs w:val="12"/>
              </w:rPr>
            </w:pPr>
            <w:r w:rsidRPr="007938ED">
              <w:rPr>
                <w:rFonts w:asciiTheme="majorHAnsi" w:hAnsiTheme="majorHAnsi"/>
                <w:sz w:val="18"/>
                <w:szCs w:val="12"/>
              </w:rPr>
              <w:t>Sum of equity target participants’ expected first-year bill savings</w:t>
            </w:r>
            <w:r w:rsidRPr="007938ED">
              <w:rPr>
                <w:rFonts w:asciiTheme="majorHAnsi" w:hAnsiTheme="majorHAnsi"/>
                <w:b/>
                <w:bCs/>
                <w:sz w:val="18"/>
                <w:szCs w:val="12"/>
              </w:rPr>
              <w:t xml:space="preserve"> in equity segment</w:t>
            </w:r>
            <w:r w:rsidRPr="007938ED">
              <w:rPr>
                <w:rFonts w:asciiTheme="majorHAnsi" w:hAnsiTheme="majorHAnsi"/>
                <w:sz w:val="18"/>
                <w:szCs w:val="12"/>
              </w:rPr>
              <w:t xml:space="preserve">, by sector (Q, S); </w:t>
            </w:r>
          </w:p>
        </w:tc>
        <w:tc>
          <w:tcPr>
            <w:tcW w:w="0" w:type="auto"/>
            <w:hideMark/>
          </w:tcPr>
          <w:p w:rsidRPr="007938ED" w:rsidR="00D31E46" w:rsidRDefault="00D31E46" w14:paraId="4B705F3C"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31024EE0" w14:textId="77777777">
            <w:pPr>
              <w:rPr>
                <w:rFonts w:asciiTheme="majorHAnsi" w:hAnsiTheme="majorHAnsi"/>
                <w:sz w:val="18"/>
                <w:szCs w:val="12"/>
              </w:rPr>
            </w:pPr>
            <w:r w:rsidRPr="007938ED">
              <w:rPr>
                <w:rFonts w:asciiTheme="majorHAnsi" w:hAnsiTheme="majorHAnsi"/>
                <w:sz w:val="18"/>
                <w:szCs w:val="12"/>
              </w:rPr>
              <w:t>Promote resilience, health, comfort, safety, energy affordability and/or energy savings</w:t>
            </w:r>
          </w:p>
        </w:tc>
        <w:tc>
          <w:tcPr>
            <w:tcW w:w="0" w:type="auto"/>
            <w:hideMark/>
          </w:tcPr>
          <w:p w:rsidRPr="007938ED" w:rsidR="00D31E46" w:rsidP="00D31E46" w:rsidRDefault="00D31E46" w14:paraId="4098A531"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3B061D0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749428F2" w14:textId="77777777">
            <w:pPr>
              <w:rPr>
                <w:rFonts w:asciiTheme="majorHAnsi" w:hAnsiTheme="majorHAnsi"/>
                <w:sz w:val="18"/>
                <w:szCs w:val="12"/>
              </w:rPr>
            </w:pPr>
            <w:r w:rsidRPr="007938ED">
              <w:rPr>
                <w:rFonts w:asciiTheme="majorHAnsi" w:hAnsiTheme="majorHAnsi"/>
                <w:sz w:val="18"/>
                <w:szCs w:val="12"/>
              </w:rPr>
              <w:t>$</w:t>
            </w:r>
          </w:p>
        </w:tc>
      </w:tr>
      <w:tr w:rsidRPr="007938ED" w:rsidR="00CE6F7B" w:rsidTr="007938ED" w14:paraId="36C2F00D" w14:textId="77777777">
        <w:trPr>
          <w:trHeight w:val="635"/>
        </w:trPr>
        <w:tc>
          <w:tcPr>
            <w:tcW w:w="0" w:type="auto"/>
            <w:noWrap/>
            <w:hideMark/>
          </w:tcPr>
          <w:p w:rsidRPr="007938ED" w:rsidR="00D31E46" w:rsidRDefault="00D31E46" w14:paraId="0E2C89C0" w14:textId="77777777">
            <w:pPr>
              <w:rPr>
                <w:rFonts w:asciiTheme="majorHAnsi" w:hAnsiTheme="majorHAnsi"/>
                <w:sz w:val="18"/>
                <w:szCs w:val="12"/>
              </w:rPr>
            </w:pPr>
            <w:r w:rsidRPr="007938ED">
              <w:rPr>
                <w:rFonts w:asciiTheme="majorHAnsi" w:hAnsiTheme="majorHAnsi"/>
                <w:sz w:val="18"/>
                <w:szCs w:val="12"/>
              </w:rPr>
              <w:t>EQ3</w:t>
            </w:r>
          </w:p>
        </w:tc>
        <w:tc>
          <w:tcPr>
            <w:tcW w:w="0" w:type="auto"/>
            <w:noWrap/>
            <w:hideMark/>
          </w:tcPr>
          <w:p w:rsidRPr="007938ED" w:rsidR="00D31E46" w:rsidRDefault="00D31E46" w14:paraId="5DAD39BB"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598C9080" w14:textId="77777777">
            <w:pPr>
              <w:rPr>
                <w:rFonts w:asciiTheme="majorHAnsi" w:hAnsiTheme="majorHAnsi"/>
                <w:sz w:val="18"/>
                <w:szCs w:val="12"/>
              </w:rPr>
            </w:pPr>
            <w:r w:rsidRPr="007938ED">
              <w:rPr>
                <w:rFonts w:asciiTheme="majorHAnsi" w:hAnsiTheme="majorHAnsi"/>
                <w:sz w:val="18"/>
                <w:szCs w:val="12"/>
              </w:rPr>
              <w:t xml:space="preserve">Count of equity target participants in </w:t>
            </w:r>
            <w:r w:rsidRPr="007938ED">
              <w:rPr>
                <w:rFonts w:asciiTheme="majorHAnsi" w:hAnsiTheme="majorHAnsi"/>
                <w:b/>
                <w:bCs/>
                <w:sz w:val="18"/>
                <w:szCs w:val="12"/>
              </w:rPr>
              <w:t>market support segment</w:t>
            </w:r>
            <w:r w:rsidRPr="007938ED">
              <w:rPr>
                <w:rFonts w:asciiTheme="majorHAnsi" w:hAnsiTheme="majorHAnsi"/>
                <w:sz w:val="18"/>
                <w:szCs w:val="12"/>
              </w:rPr>
              <w:t xml:space="preserve">, by sector (Q, S); </w:t>
            </w:r>
          </w:p>
        </w:tc>
        <w:tc>
          <w:tcPr>
            <w:tcW w:w="0" w:type="auto"/>
            <w:hideMark/>
          </w:tcPr>
          <w:p w:rsidRPr="007938ED" w:rsidR="00D31E46" w:rsidRDefault="00D31E46" w14:paraId="009068F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3F17F691" w14:textId="77777777">
            <w:pPr>
              <w:rPr>
                <w:rFonts w:asciiTheme="majorHAnsi" w:hAnsiTheme="majorHAnsi"/>
                <w:sz w:val="18"/>
                <w:szCs w:val="12"/>
              </w:rPr>
            </w:pPr>
            <w:r w:rsidRPr="007938ED">
              <w:rPr>
                <w:rFonts w:asciiTheme="majorHAnsi" w:hAnsiTheme="majorHAnsi"/>
                <w:sz w:val="18"/>
                <w:szCs w:val="12"/>
              </w:rPr>
              <w:t>Address disparities in access to EE programs</w:t>
            </w:r>
          </w:p>
        </w:tc>
        <w:tc>
          <w:tcPr>
            <w:tcW w:w="0" w:type="auto"/>
            <w:hideMark/>
          </w:tcPr>
          <w:p w:rsidRPr="007938ED" w:rsidR="00D31E46" w:rsidP="00D31E46" w:rsidRDefault="00D31E46" w14:paraId="155AF7E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5DE585C7"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4949FEDB" w14:textId="77777777">
            <w:pPr>
              <w:rPr>
                <w:rFonts w:asciiTheme="majorHAnsi" w:hAnsiTheme="majorHAnsi"/>
                <w:sz w:val="18"/>
                <w:szCs w:val="12"/>
              </w:rPr>
            </w:pPr>
            <w:r w:rsidRPr="007938ED">
              <w:rPr>
                <w:rFonts w:asciiTheme="majorHAnsi" w:hAnsiTheme="majorHAnsi"/>
                <w:sz w:val="18"/>
                <w:szCs w:val="12"/>
              </w:rPr>
              <w:t>Counts</w:t>
            </w:r>
          </w:p>
        </w:tc>
      </w:tr>
      <w:tr w:rsidRPr="007938ED" w:rsidR="00CE6F7B" w:rsidTr="007938ED" w14:paraId="422802F3" w14:textId="77777777">
        <w:trPr>
          <w:trHeight w:val="635"/>
        </w:trPr>
        <w:tc>
          <w:tcPr>
            <w:tcW w:w="0" w:type="auto"/>
            <w:noWrap/>
            <w:hideMark/>
          </w:tcPr>
          <w:p w:rsidRPr="007938ED" w:rsidR="00D31E46" w:rsidRDefault="00D31E46" w14:paraId="6F7FEA0D" w14:textId="77777777">
            <w:pPr>
              <w:rPr>
                <w:rFonts w:asciiTheme="majorHAnsi" w:hAnsiTheme="majorHAnsi"/>
                <w:sz w:val="18"/>
                <w:szCs w:val="12"/>
              </w:rPr>
            </w:pPr>
            <w:r w:rsidRPr="007938ED">
              <w:rPr>
                <w:rFonts w:asciiTheme="majorHAnsi" w:hAnsiTheme="majorHAnsi"/>
                <w:sz w:val="18"/>
                <w:szCs w:val="12"/>
              </w:rPr>
              <w:lastRenderedPageBreak/>
              <w:t>EQ4</w:t>
            </w:r>
          </w:p>
        </w:tc>
        <w:tc>
          <w:tcPr>
            <w:tcW w:w="0" w:type="auto"/>
            <w:noWrap/>
            <w:hideMark/>
          </w:tcPr>
          <w:p w:rsidRPr="007938ED" w:rsidR="00D31E46" w:rsidRDefault="00D31E46" w14:paraId="1942F1EE"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3847FF05" w14:textId="77777777">
            <w:pPr>
              <w:rPr>
                <w:rFonts w:asciiTheme="majorHAnsi" w:hAnsiTheme="majorHAnsi"/>
                <w:sz w:val="18"/>
                <w:szCs w:val="12"/>
              </w:rPr>
            </w:pPr>
            <w:r w:rsidRPr="007938ED">
              <w:rPr>
                <w:rFonts w:asciiTheme="majorHAnsi" w:hAnsiTheme="majorHAnsi"/>
                <w:sz w:val="18"/>
                <w:szCs w:val="12"/>
              </w:rPr>
              <w:t xml:space="preserve">Count of equity target participants in </w:t>
            </w:r>
            <w:r w:rsidRPr="007938ED">
              <w:rPr>
                <w:rFonts w:asciiTheme="majorHAnsi" w:hAnsiTheme="majorHAnsi"/>
                <w:b/>
                <w:bCs/>
                <w:sz w:val="18"/>
                <w:szCs w:val="12"/>
              </w:rPr>
              <w:t>resource acquisition segment</w:t>
            </w:r>
            <w:r w:rsidRPr="007938ED">
              <w:rPr>
                <w:rFonts w:asciiTheme="majorHAnsi" w:hAnsiTheme="majorHAnsi"/>
                <w:sz w:val="18"/>
                <w:szCs w:val="12"/>
              </w:rPr>
              <w:t xml:space="preserve">, by sector (Q, S); </w:t>
            </w:r>
          </w:p>
        </w:tc>
        <w:tc>
          <w:tcPr>
            <w:tcW w:w="0" w:type="auto"/>
            <w:hideMark/>
          </w:tcPr>
          <w:p w:rsidRPr="007938ED" w:rsidR="00D31E46" w:rsidRDefault="00D31E46" w14:paraId="3D0F2833"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09860E03" w14:textId="77777777">
            <w:pPr>
              <w:rPr>
                <w:rFonts w:asciiTheme="majorHAnsi" w:hAnsiTheme="majorHAnsi"/>
                <w:sz w:val="18"/>
                <w:szCs w:val="12"/>
              </w:rPr>
            </w:pPr>
            <w:r w:rsidRPr="007938ED">
              <w:rPr>
                <w:rFonts w:asciiTheme="majorHAnsi" w:hAnsiTheme="majorHAnsi"/>
                <w:sz w:val="18"/>
                <w:szCs w:val="12"/>
              </w:rPr>
              <w:t>Address disparities in access to EE programs</w:t>
            </w:r>
          </w:p>
        </w:tc>
        <w:tc>
          <w:tcPr>
            <w:tcW w:w="0" w:type="auto"/>
            <w:hideMark/>
          </w:tcPr>
          <w:p w:rsidRPr="007938ED" w:rsidR="00D31E46" w:rsidP="00D31E46" w:rsidRDefault="00D31E46" w14:paraId="76D448A0"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48F32387"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2A6C032" w14:textId="77777777">
            <w:pPr>
              <w:rPr>
                <w:rFonts w:asciiTheme="majorHAnsi" w:hAnsiTheme="majorHAnsi"/>
                <w:sz w:val="18"/>
                <w:szCs w:val="12"/>
              </w:rPr>
            </w:pPr>
            <w:r w:rsidRPr="007938ED">
              <w:rPr>
                <w:rFonts w:asciiTheme="majorHAnsi" w:hAnsiTheme="majorHAnsi"/>
                <w:sz w:val="18"/>
                <w:szCs w:val="12"/>
              </w:rPr>
              <w:t>Counts</w:t>
            </w:r>
          </w:p>
        </w:tc>
      </w:tr>
      <w:tr w:rsidRPr="007938ED" w:rsidR="00CE6F7B" w:rsidTr="007938ED" w14:paraId="2F7A33BA" w14:textId="77777777">
        <w:trPr>
          <w:trHeight w:val="900"/>
        </w:trPr>
        <w:tc>
          <w:tcPr>
            <w:tcW w:w="0" w:type="auto"/>
            <w:noWrap/>
            <w:hideMark/>
          </w:tcPr>
          <w:p w:rsidRPr="007938ED" w:rsidR="00D31E46" w:rsidRDefault="00D31E46" w14:paraId="1405F461" w14:textId="77777777">
            <w:pPr>
              <w:rPr>
                <w:rFonts w:asciiTheme="majorHAnsi" w:hAnsiTheme="majorHAnsi"/>
                <w:sz w:val="18"/>
                <w:szCs w:val="12"/>
              </w:rPr>
            </w:pPr>
            <w:r w:rsidRPr="007938ED">
              <w:rPr>
                <w:rFonts w:asciiTheme="majorHAnsi" w:hAnsiTheme="majorHAnsi"/>
                <w:sz w:val="18"/>
                <w:szCs w:val="12"/>
              </w:rPr>
              <w:t>EQ5</w:t>
            </w:r>
          </w:p>
        </w:tc>
        <w:tc>
          <w:tcPr>
            <w:tcW w:w="0" w:type="auto"/>
            <w:noWrap/>
            <w:hideMark/>
          </w:tcPr>
          <w:p w:rsidRPr="007938ED" w:rsidR="00D31E46" w:rsidRDefault="00D31E46" w14:paraId="437CE762"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29C572A5" w14:textId="77777777">
            <w:pPr>
              <w:rPr>
                <w:rFonts w:asciiTheme="majorHAnsi" w:hAnsiTheme="majorHAnsi"/>
                <w:sz w:val="18"/>
                <w:szCs w:val="12"/>
              </w:rPr>
            </w:pPr>
            <w:r w:rsidRPr="007938ED">
              <w:rPr>
                <w:rFonts w:asciiTheme="majorHAnsi" w:hAnsiTheme="majorHAnsi"/>
                <w:sz w:val="18"/>
                <w:szCs w:val="12"/>
              </w:rPr>
              <w:t xml:space="preserve">Sum of all equity segment participants’ greenhouse gas reductions (in tons of carbon dioxide equivalent) in </w:t>
            </w:r>
            <w:r w:rsidRPr="007938ED">
              <w:rPr>
                <w:rFonts w:asciiTheme="majorHAnsi" w:hAnsiTheme="majorHAnsi"/>
                <w:b/>
                <w:bCs/>
                <w:sz w:val="18"/>
                <w:szCs w:val="12"/>
              </w:rPr>
              <w:t>equity segment</w:t>
            </w:r>
            <w:r w:rsidRPr="007938ED">
              <w:rPr>
                <w:rFonts w:asciiTheme="majorHAnsi" w:hAnsiTheme="majorHAnsi"/>
                <w:sz w:val="18"/>
                <w:szCs w:val="12"/>
              </w:rPr>
              <w:t xml:space="preserve"> (Q, S); </w:t>
            </w:r>
          </w:p>
        </w:tc>
        <w:tc>
          <w:tcPr>
            <w:tcW w:w="0" w:type="auto"/>
            <w:hideMark/>
          </w:tcPr>
          <w:p w:rsidRPr="007938ED" w:rsidR="00D31E46" w:rsidRDefault="00D31E46" w14:paraId="16CBE7D4"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27897939" w14:textId="77777777">
            <w:pPr>
              <w:rPr>
                <w:rFonts w:asciiTheme="majorHAnsi" w:hAnsiTheme="majorHAnsi"/>
                <w:sz w:val="18"/>
                <w:szCs w:val="12"/>
              </w:rPr>
            </w:pPr>
            <w:r w:rsidRPr="007938ED">
              <w:rPr>
                <w:rFonts w:asciiTheme="majorHAnsi" w:hAnsiTheme="majorHAnsi"/>
                <w:sz w:val="18"/>
                <w:szCs w:val="12"/>
              </w:rPr>
              <w:t>Reduce energy-related GHG and criteria pollutant emissions</w:t>
            </w:r>
          </w:p>
        </w:tc>
        <w:tc>
          <w:tcPr>
            <w:tcW w:w="0" w:type="auto"/>
            <w:hideMark/>
          </w:tcPr>
          <w:p w:rsidRPr="007938ED" w:rsidR="00D31E46" w:rsidP="00D31E46" w:rsidRDefault="00D31E46" w14:paraId="5FFC44F0"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BEDA518"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6E377DE" w14:textId="77777777">
            <w:pPr>
              <w:rPr>
                <w:rFonts w:asciiTheme="majorHAnsi" w:hAnsiTheme="majorHAnsi"/>
                <w:sz w:val="18"/>
                <w:szCs w:val="12"/>
              </w:rPr>
            </w:pPr>
            <w:r w:rsidRPr="007938ED">
              <w:rPr>
                <w:rFonts w:asciiTheme="majorHAnsi" w:hAnsiTheme="majorHAnsi"/>
                <w:sz w:val="18"/>
                <w:szCs w:val="12"/>
              </w:rPr>
              <w:t>GHG</w:t>
            </w:r>
          </w:p>
        </w:tc>
      </w:tr>
      <w:tr w:rsidRPr="007938ED" w:rsidR="00CE6F7B" w:rsidTr="007938ED" w14:paraId="2F776F43" w14:textId="77777777">
        <w:trPr>
          <w:trHeight w:val="1175"/>
        </w:trPr>
        <w:tc>
          <w:tcPr>
            <w:tcW w:w="0" w:type="auto"/>
            <w:noWrap/>
            <w:hideMark/>
          </w:tcPr>
          <w:p w:rsidRPr="007938ED" w:rsidR="00D31E46" w:rsidRDefault="00D31E46" w14:paraId="7E1F2342" w14:textId="77777777">
            <w:pPr>
              <w:rPr>
                <w:rFonts w:asciiTheme="majorHAnsi" w:hAnsiTheme="majorHAnsi"/>
                <w:sz w:val="18"/>
                <w:szCs w:val="12"/>
              </w:rPr>
            </w:pPr>
            <w:r w:rsidRPr="007938ED">
              <w:rPr>
                <w:rFonts w:asciiTheme="majorHAnsi" w:hAnsiTheme="majorHAnsi"/>
                <w:sz w:val="18"/>
                <w:szCs w:val="12"/>
              </w:rPr>
              <w:t>EQ6</w:t>
            </w:r>
          </w:p>
        </w:tc>
        <w:tc>
          <w:tcPr>
            <w:tcW w:w="0" w:type="auto"/>
            <w:noWrap/>
            <w:hideMark/>
          </w:tcPr>
          <w:p w:rsidRPr="007938ED" w:rsidR="00D31E46" w:rsidRDefault="00D31E46" w14:paraId="0B98A021"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7943BCEB" w14:textId="77777777">
            <w:pPr>
              <w:rPr>
                <w:rFonts w:asciiTheme="majorHAnsi" w:hAnsiTheme="majorHAnsi"/>
                <w:sz w:val="18"/>
                <w:szCs w:val="12"/>
              </w:rPr>
            </w:pPr>
            <w:r w:rsidRPr="007938ED">
              <w:rPr>
                <w:rFonts w:asciiTheme="majorHAnsi" w:hAnsiTheme="majorHAnsi"/>
                <w:sz w:val="18"/>
                <w:szCs w:val="12"/>
              </w:rPr>
              <w:t>Sum of all equity segment participants’ kilowatt hour (kWh) savings in e</w:t>
            </w:r>
            <w:r w:rsidRPr="007938ED">
              <w:rPr>
                <w:rFonts w:asciiTheme="majorHAnsi" w:hAnsiTheme="majorHAnsi"/>
                <w:b/>
                <w:bCs/>
                <w:sz w:val="18"/>
                <w:szCs w:val="12"/>
              </w:rPr>
              <w:t>quity segment</w:t>
            </w:r>
            <w:r w:rsidRPr="007938ED">
              <w:rPr>
                <w:rFonts w:asciiTheme="majorHAnsi" w:hAnsiTheme="majorHAnsi"/>
                <w:sz w:val="18"/>
                <w:szCs w:val="12"/>
              </w:rPr>
              <w:t xml:space="preserve"> (Q, S); </w:t>
            </w:r>
          </w:p>
        </w:tc>
        <w:tc>
          <w:tcPr>
            <w:tcW w:w="0" w:type="auto"/>
            <w:hideMark/>
          </w:tcPr>
          <w:p w:rsidRPr="007938ED" w:rsidR="00D31E46" w:rsidRDefault="00D31E46" w14:paraId="36B386A5"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20414AC6" w14:textId="77777777">
            <w:pPr>
              <w:rPr>
                <w:rFonts w:asciiTheme="majorHAnsi" w:hAnsiTheme="majorHAnsi"/>
                <w:sz w:val="18"/>
                <w:szCs w:val="12"/>
              </w:rPr>
            </w:pPr>
            <w:r w:rsidRPr="007938ED">
              <w:rPr>
                <w:rFonts w:asciiTheme="majorHAnsi" w:hAnsiTheme="majorHAnsi"/>
                <w:sz w:val="18"/>
                <w:szCs w:val="12"/>
              </w:rPr>
              <w:t>Promote resilience, health, comfort, safety, energy affordability and/or energy savings</w:t>
            </w:r>
          </w:p>
        </w:tc>
        <w:tc>
          <w:tcPr>
            <w:tcW w:w="0" w:type="auto"/>
            <w:hideMark/>
          </w:tcPr>
          <w:p w:rsidRPr="007938ED" w:rsidR="00D31E46" w:rsidP="00D31E46" w:rsidRDefault="00D31E46" w14:paraId="03DE57D0"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03DB7DCA"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6755CD7" w14:textId="77777777">
            <w:pPr>
              <w:rPr>
                <w:rFonts w:asciiTheme="majorHAnsi" w:hAnsiTheme="majorHAnsi"/>
                <w:sz w:val="18"/>
                <w:szCs w:val="12"/>
              </w:rPr>
            </w:pPr>
            <w:r w:rsidRPr="007938ED">
              <w:rPr>
                <w:rFonts w:asciiTheme="majorHAnsi" w:hAnsiTheme="majorHAnsi"/>
                <w:sz w:val="18"/>
                <w:szCs w:val="12"/>
              </w:rPr>
              <w:t>kWh</w:t>
            </w:r>
          </w:p>
        </w:tc>
      </w:tr>
      <w:tr w:rsidRPr="007938ED" w:rsidR="00CE6F7B" w:rsidTr="007938ED" w14:paraId="1ADBF6A9" w14:textId="77777777">
        <w:trPr>
          <w:trHeight w:val="1175"/>
        </w:trPr>
        <w:tc>
          <w:tcPr>
            <w:tcW w:w="0" w:type="auto"/>
            <w:noWrap/>
            <w:hideMark/>
          </w:tcPr>
          <w:p w:rsidRPr="007938ED" w:rsidR="00D31E46" w:rsidRDefault="00D31E46" w14:paraId="13F417F0" w14:textId="77777777">
            <w:pPr>
              <w:rPr>
                <w:rFonts w:asciiTheme="majorHAnsi" w:hAnsiTheme="majorHAnsi"/>
                <w:sz w:val="18"/>
                <w:szCs w:val="12"/>
              </w:rPr>
            </w:pPr>
            <w:r w:rsidRPr="007938ED">
              <w:rPr>
                <w:rFonts w:asciiTheme="majorHAnsi" w:hAnsiTheme="majorHAnsi"/>
                <w:sz w:val="18"/>
                <w:szCs w:val="12"/>
              </w:rPr>
              <w:t>EQ7</w:t>
            </w:r>
          </w:p>
        </w:tc>
        <w:tc>
          <w:tcPr>
            <w:tcW w:w="0" w:type="auto"/>
            <w:noWrap/>
            <w:hideMark/>
          </w:tcPr>
          <w:p w:rsidRPr="007938ED" w:rsidR="00D31E46" w:rsidRDefault="00D31E46" w14:paraId="16470751"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3DF05996" w14:textId="77777777">
            <w:pPr>
              <w:rPr>
                <w:rFonts w:asciiTheme="majorHAnsi" w:hAnsiTheme="majorHAnsi"/>
                <w:sz w:val="18"/>
                <w:szCs w:val="12"/>
              </w:rPr>
            </w:pPr>
            <w:r w:rsidRPr="007938ED">
              <w:rPr>
                <w:rFonts w:asciiTheme="majorHAnsi" w:hAnsiTheme="majorHAnsi"/>
                <w:sz w:val="18"/>
                <w:szCs w:val="12"/>
              </w:rPr>
              <w:t xml:space="preserve">Sum of all equity segment participants’ kW savings in </w:t>
            </w:r>
            <w:r w:rsidRPr="007938ED">
              <w:rPr>
                <w:rFonts w:asciiTheme="majorHAnsi" w:hAnsiTheme="majorHAnsi"/>
                <w:b/>
                <w:bCs/>
                <w:sz w:val="18"/>
                <w:szCs w:val="12"/>
              </w:rPr>
              <w:t>equity segment</w:t>
            </w:r>
            <w:r w:rsidRPr="007938ED">
              <w:rPr>
                <w:rFonts w:asciiTheme="majorHAnsi" w:hAnsiTheme="majorHAnsi"/>
                <w:sz w:val="18"/>
                <w:szCs w:val="12"/>
              </w:rPr>
              <w:t xml:space="preserve"> (Q, S); </w:t>
            </w:r>
          </w:p>
        </w:tc>
        <w:tc>
          <w:tcPr>
            <w:tcW w:w="0" w:type="auto"/>
            <w:hideMark/>
          </w:tcPr>
          <w:p w:rsidRPr="007938ED" w:rsidR="00D31E46" w:rsidRDefault="00D31E46" w14:paraId="48A99AF2"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2DAA0C62" w14:textId="77777777">
            <w:pPr>
              <w:rPr>
                <w:rFonts w:asciiTheme="majorHAnsi" w:hAnsiTheme="majorHAnsi"/>
                <w:sz w:val="18"/>
                <w:szCs w:val="12"/>
              </w:rPr>
            </w:pPr>
            <w:r w:rsidRPr="007938ED">
              <w:rPr>
                <w:rFonts w:asciiTheme="majorHAnsi" w:hAnsiTheme="majorHAnsi"/>
                <w:sz w:val="18"/>
                <w:szCs w:val="12"/>
              </w:rPr>
              <w:t>Promote resilience, health, comfort, safety, energy affordability and/or energy savings</w:t>
            </w:r>
          </w:p>
        </w:tc>
        <w:tc>
          <w:tcPr>
            <w:tcW w:w="0" w:type="auto"/>
            <w:hideMark/>
          </w:tcPr>
          <w:p w:rsidRPr="007938ED" w:rsidR="00D31E46" w:rsidP="00D31E46" w:rsidRDefault="00D31E46" w14:paraId="6FA9D69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19ACB54"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0A773940" w14:textId="77777777">
            <w:pPr>
              <w:rPr>
                <w:rFonts w:asciiTheme="majorHAnsi" w:hAnsiTheme="majorHAnsi"/>
                <w:sz w:val="18"/>
                <w:szCs w:val="12"/>
              </w:rPr>
            </w:pPr>
            <w:r w:rsidRPr="007938ED">
              <w:rPr>
                <w:rFonts w:asciiTheme="majorHAnsi" w:hAnsiTheme="majorHAnsi"/>
                <w:sz w:val="18"/>
                <w:szCs w:val="12"/>
              </w:rPr>
              <w:t>kW</w:t>
            </w:r>
          </w:p>
        </w:tc>
      </w:tr>
      <w:tr w:rsidRPr="007938ED" w:rsidR="00CE6F7B" w:rsidTr="007938ED" w14:paraId="2AFDDCD8" w14:textId="77777777">
        <w:trPr>
          <w:trHeight w:val="1175"/>
        </w:trPr>
        <w:tc>
          <w:tcPr>
            <w:tcW w:w="0" w:type="auto"/>
            <w:noWrap/>
            <w:hideMark/>
          </w:tcPr>
          <w:p w:rsidRPr="007938ED" w:rsidR="00D31E46" w:rsidRDefault="00D31E46" w14:paraId="039283E5" w14:textId="77777777">
            <w:pPr>
              <w:rPr>
                <w:rFonts w:asciiTheme="majorHAnsi" w:hAnsiTheme="majorHAnsi"/>
                <w:sz w:val="18"/>
                <w:szCs w:val="12"/>
              </w:rPr>
            </w:pPr>
            <w:r w:rsidRPr="007938ED">
              <w:rPr>
                <w:rFonts w:asciiTheme="majorHAnsi" w:hAnsiTheme="majorHAnsi"/>
                <w:sz w:val="18"/>
                <w:szCs w:val="12"/>
              </w:rPr>
              <w:t>EQ8</w:t>
            </w:r>
          </w:p>
        </w:tc>
        <w:tc>
          <w:tcPr>
            <w:tcW w:w="0" w:type="auto"/>
            <w:noWrap/>
            <w:hideMark/>
          </w:tcPr>
          <w:p w:rsidRPr="007938ED" w:rsidR="00D31E46" w:rsidRDefault="00D31E46" w14:paraId="26DA9B25"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2B7EA1B3" w14:textId="77777777">
            <w:pPr>
              <w:rPr>
                <w:rFonts w:asciiTheme="majorHAnsi" w:hAnsiTheme="majorHAnsi"/>
                <w:sz w:val="18"/>
                <w:szCs w:val="12"/>
              </w:rPr>
            </w:pPr>
            <w:r w:rsidRPr="007938ED">
              <w:rPr>
                <w:rFonts w:asciiTheme="majorHAnsi" w:hAnsiTheme="majorHAnsi"/>
                <w:sz w:val="18"/>
                <w:szCs w:val="12"/>
              </w:rPr>
              <w:t xml:space="preserve">Sum of all equity segment participants’ therm savings in </w:t>
            </w:r>
            <w:r w:rsidRPr="007938ED">
              <w:rPr>
                <w:rFonts w:asciiTheme="majorHAnsi" w:hAnsiTheme="majorHAnsi"/>
                <w:b/>
                <w:bCs/>
                <w:sz w:val="18"/>
                <w:szCs w:val="12"/>
              </w:rPr>
              <w:t>equity segment</w:t>
            </w:r>
            <w:r w:rsidRPr="007938ED">
              <w:rPr>
                <w:rFonts w:asciiTheme="majorHAnsi" w:hAnsiTheme="majorHAnsi"/>
                <w:sz w:val="18"/>
                <w:szCs w:val="12"/>
              </w:rPr>
              <w:t xml:space="preserve"> (Q, S); </w:t>
            </w:r>
          </w:p>
        </w:tc>
        <w:tc>
          <w:tcPr>
            <w:tcW w:w="0" w:type="auto"/>
            <w:hideMark/>
          </w:tcPr>
          <w:p w:rsidRPr="007938ED" w:rsidR="00D31E46" w:rsidRDefault="00D31E46" w14:paraId="340E1FE7"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1CEAAC86" w14:textId="77777777">
            <w:pPr>
              <w:rPr>
                <w:rFonts w:asciiTheme="majorHAnsi" w:hAnsiTheme="majorHAnsi"/>
                <w:sz w:val="18"/>
                <w:szCs w:val="12"/>
              </w:rPr>
            </w:pPr>
            <w:r w:rsidRPr="007938ED">
              <w:rPr>
                <w:rFonts w:asciiTheme="majorHAnsi" w:hAnsiTheme="majorHAnsi"/>
                <w:sz w:val="18"/>
                <w:szCs w:val="12"/>
              </w:rPr>
              <w:t>Promote resilience, health, comfort, safety, energy affordability and/or energy savings</w:t>
            </w:r>
          </w:p>
        </w:tc>
        <w:tc>
          <w:tcPr>
            <w:tcW w:w="0" w:type="auto"/>
            <w:hideMark/>
          </w:tcPr>
          <w:p w:rsidRPr="007938ED" w:rsidR="00D31E46" w:rsidP="00D31E46" w:rsidRDefault="00D31E46" w14:paraId="71E94EB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E7DD1F8"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5BECEAF0" w14:textId="77777777">
            <w:pPr>
              <w:rPr>
                <w:rFonts w:asciiTheme="majorHAnsi" w:hAnsiTheme="majorHAnsi"/>
                <w:sz w:val="18"/>
                <w:szCs w:val="12"/>
              </w:rPr>
            </w:pPr>
            <w:r w:rsidRPr="007938ED">
              <w:rPr>
                <w:rFonts w:asciiTheme="majorHAnsi" w:hAnsiTheme="majorHAnsi"/>
                <w:sz w:val="18"/>
                <w:szCs w:val="12"/>
              </w:rPr>
              <w:t>Therm</w:t>
            </w:r>
          </w:p>
        </w:tc>
      </w:tr>
      <w:tr w:rsidRPr="007938ED" w:rsidR="00CE6F7B" w:rsidTr="007938ED" w14:paraId="6F6843A5" w14:textId="77777777">
        <w:trPr>
          <w:trHeight w:val="1175"/>
        </w:trPr>
        <w:tc>
          <w:tcPr>
            <w:tcW w:w="0" w:type="auto"/>
            <w:noWrap/>
            <w:hideMark/>
          </w:tcPr>
          <w:p w:rsidRPr="007938ED" w:rsidR="00D31E46" w:rsidRDefault="00D31E46" w14:paraId="680E1445" w14:textId="77777777">
            <w:pPr>
              <w:rPr>
                <w:rFonts w:asciiTheme="majorHAnsi" w:hAnsiTheme="majorHAnsi"/>
                <w:sz w:val="18"/>
                <w:szCs w:val="12"/>
              </w:rPr>
            </w:pPr>
            <w:r w:rsidRPr="007938ED">
              <w:rPr>
                <w:rFonts w:asciiTheme="majorHAnsi" w:hAnsiTheme="majorHAnsi"/>
                <w:sz w:val="18"/>
                <w:szCs w:val="12"/>
              </w:rPr>
              <w:lastRenderedPageBreak/>
              <w:t>EQ9</w:t>
            </w:r>
          </w:p>
        </w:tc>
        <w:tc>
          <w:tcPr>
            <w:tcW w:w="0" w:type="auto"/>
            <w:noWrap/>
            <w:hideMark/>
          </w:tcPr>
          <w:p w:rsidRPr="007938ED" w:rsidR="00D31E46" w:rsidRDefault="00D31E46" w14:paraId="7F2C980B"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6CD1DD4C" w14:textId="77777777">
            <w:pPr>
              <w:rPr>
                <w:rFonts w:asciiTheme="majorHAnsi" w:hAnsiTheme="majorHAnsi"/>
                <w:sz w:val="18"/>
                <w:szCs w:val="12"/>
              </w:rPr>
            </w:pPr>
            <w:r w:rsidRPr="007938ED">
              <w:rPr>
                <w:rFonts w:asciiTheme="majorHAnsi" w:hAnsiTheme="majorHAnsi"/>
                <w:sz w:val="18"/>
                <w:szCs w:val="12"/>
              </w:rPr>
              <w:t xml:space="preserve">Sum of all equity segment participants’ TSB in </w:t>
            </w:r>
            <w:r w:rsidRPr="007938ED">
              <w:rPr>
                <w:rFonts w:asciiTheme="majorHAnsi" w:hAnsiTheme="majorHAnsi"/>
                <w:b/>
                <w:bCs/>
                <w:sz w:val="18"/>
                <w:szCs w:val="12"/>
              </w:rPr>
              <w:t>equity segment</w:t>
            </w:r>
            <w:r w:rsidRPr="007938ED">
              <w:rPr>
                <w:rFonts w:asciiTheme="majorHAnsi" w:hAnsiTheme="majorHAnsi"/>
                <w:sz w:val="18"/>
                <w:szCs w:val="12"/>
              </w:rPr>
              <w:t xml:space="preserve"> (Q, S); </w:t>
            </w:r>
          </w:p>
        </w:tc>
        <w:tc>
          <w:tcPr>
            <w:tcW w:w="0" w:type="auto"/>
            <w:hideMark/>
          </w:tcPr>
          <w:p w:rsidRPr="007938ED" w:rsidR="00D31E46" w:rsidRDefault="00D31E46" w14:paraId="4A239DD3"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536A932C" w14:textId="77777777">
            <w:pPr>
              <w:rPr>
                <w:rFonts w:asciiTheme="majorHAnsi" w:hAnsiTheme="majorHAnsi"/>
                <w:sz w:val="18"/>
                <w:szCs w:val="12"/>
              </w:rPr>
            </w:pPr>
            <w:r w:rsidRPr="007938ED">
              <w:rPr>
                <w:rFonts w:asciiTheme="majorHAnsi" w:hAnsiTheme="majorHAnsi"/>
                <w:sz w:val="18"/>
                <w:szCs w:val="12"/>
              </w:rPr>
              <w:t>Promote resilience, health, comfort, safety, energy affordability and/or energy savings</w:t>
            </w:r>
          </w:p>
        </w:tc>
        <w:tc>
          <w:tcPr>
            <w:tcW w:w="0" w:type="auto"/>
            <w:hideMark/>
          </w:tcPr>
          <w:p w:rsidRPr="007938ED" w:rsidR="00D31E46" w:rsidP="00D31E46" w:rsidRDefault="00D31E46" w14:paraId="3A9CF1ED"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31F9DD00"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59A022EA" w14:textId="77777777">
            <w:pPr>
              <w:rPr>
                <w:rFonts w:asciiTheme="majorHAnsi" w:hAnsiTheme="majorHAnsi"/>
                <w:sz w:val="18"/>
                <w:szCs w:val="12"/>
              </w:rPr>
            </w:pPr>
            <w:r w:rsidRPr="007938ED">
              <w:rPr>
                <w:rFonts w:asciiTheme="majorHAnsi" w:hAnsiTheme="majorHAnsi"/>
                <w:sz w:val="18"/>
                <w:szCs w:val="12"/>
              </w:rPr>
              <w:t>Count of participants</w:t>
            </w:r>
          </w:p>
        </w:tc>
      </w:tr>
      <w:tr w:rsidRPr="007938ED" w:rsidR="00CE6F7B" w:rsidTr="007938ED" w14:paraId="62FDE3EB" w14:textId="77777777">
        <w:trPr>
          <w:trHeight w:val="583"/>
        </w:trPr>
        <w:tc>
          <w:tcPr>
            <w:tcW w:w="0" w:type="auto"/>
            <w:noWrap/>
            <w:hideMark/>
          </w:tcPr>
          <w:p w:rsidRPr="007938ED" w:rsidR="00D31E46" w:rsidRDefault="00D31E46" w14:paraId="0DF80C94" w14:textId="77777777">
            <w:pPr>
              <w:rPr>
                <w:rFonts w:asciiTheme="majorHAnsi" w:hAnsiTheme="majorHAnsi"/>
                <w:sz w:val="18"/>
                <w:szCs w:val="12"/>
              </w:rPr>
            </w:pPr>
            <w:r w:rsidRPr="007938ED">
              <w:rPr>
                <w:rFonts w:asciiTheme="majorHAnsi" w:hAnsiTheme="majorHAnsi"/>
                <w:sz w:val="18"/>
                <w:szCs w:val="12"/>
              </w:rPr>
              <w:t>MS1</w:t>
            </w:r>
          </w:p>
        </w:tc>
        <w:tc>
          <w:tcPr>
            <w:tcW w:w="0" w:type="auto"/>
            <w:noWrap/>
            <w:hideMark/>
          </w:tcPr>
          <w:p w:rsidRPr="007938ED" w:rsidR="00D31E46" w:rsidRDefault="00D31E46" w14:paraId="00073228"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2F1BD856" w14:textId="77777777">
            <w:pPr>
              <w:rPr>
                <w:rFonts w:asciiTheme="majorHAnsi" w:hAnsiTheme="majorHAnsi"/>
                <w:sz w:val="18"/>
                <w:szCs w:val="12"/>
              </w:rPr>
            </w:pPr>
            <w:r w:rsidRPr="007938ED">
              <w:rPr>
                <w:rFonts w:asciiTheme="majorHAnsi" w:hAnsiTheme="majorHAnsi"/>
                <w:sz w:val="18"/>
                <w:szCs w:val="12"/>
              </w:rPr>
              <w:t xml:space="preserve">Number of partners by type and purposes (Q, P); </w:t>
            </w:r>
          </w:p>
        </w:tc>
        <w:tc>
          <w:tcPr>
            <w:tcW w:w="0" w:type="auto"/>
            <w:hideMark/>
          </w:tcPr>
          <w:p w:rsidRPr="007938ED" w:rsidR="00D31E46" w:rsidRDefault="00D31E46" w14:paraId="5A4730BC"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78258D6F" w14:textId="77777777">
            <w:pPr>
              <w:rPr>
                <w:rFonts w:asciiTheme="majorHAnsi" w:hAnsiTheme="majorHAnsi"/>
                <w:sz w:val="18"/>
                <w:szCs w:val="12"/>
              </w:rPr>
            </w:pPr>
            <w:r w:rsidRPr="007938ED">
              <w:rPr>
                <w:rFonts w:asciiTheme="majorHAnsi" w:hAnsiTheme="majorHAnsi"/>
                <w:sz w:val="18"/>
                <w:szCs w:val="12"/>
              </w:rPr>
              <w:t>Partnerships</w:t>
            </w:r>
          </w:p>
        </w:tc>
        <w:tc>
          <w:tcPr>
            <w:tcW w:w="0" w:type="auto"/>
            <w:hideMark/>
          </w:tcPr>
          <w:p w:rsidRPr="007938ED" w:rsidR="00D31E46" w:rsidP="00D31E46" w:rsidRDefault="00D31E46" w14:paraId="53AFE62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E1DC96E"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77C53136"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541BC966" w14:textId="77777777">
        <w:trPr>
          <w:trHeight w:val="1458"/>
        </w:trPr>
        <w:tc>
          <w:tcPr>
            <w:tcW w:w="0" w:type="auto"/>
            <w:noWrap/>
            <w:hideMark/>
          </w:tcPr>
          <w:p w:rsidRPr="007938ED" w:rsidR="00D31E46" w:rsidRDefault="00D31E46" w14:paraId="411D9F97" w14:textId="77777777">
            <w:pPr>
              <w:rPr>
                <w:rFonts w:asciiTheme="majorHAnsi" w:hAnsiTheme="majorHAnsi"/>
                <w:sz w:val="18"/>
                <w:szCs w:val="12"/>
              </w:rPr>
            </w:pPr>
            <w:r w:rsidRPr="007938ED">
              <w:rPr>
                <w:rFonts w:asciiTheme="majorHAnsi" w:hAnsiTheme="majorHAnsi"/>
                <w:sz w:val="18"/>
                <w:szCs w:val="12"/>
              </w:rPr>
              <w:t>MS10</w:t>
            </w:r>
          </w:p>
        </w:tc>
        <w:tc>
          <w:tcPr>
            <w:tcW w:w="0" w:type="auto"/>
            <w:noWrap/>
            <w:hideMark/>
          </w:tcPr>
          <w:p w:rsidRPr="007938ED" w:rsidR="00D31E46" w:rsidRDefault="00D31E46" w14:paraId="288028F1"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57AF6B28" w14:textId="77777777">
            <w:pPr>
              <w:rPr>
                <w:rFonts w:asciiTheme="majorHAnsi" w:hAnsiTheme="majorHAnsi"/>
                <w:sz w:val="18"/>
                <w:szCs w:val="12"/>
              </w:rPr>
            </w:pPr>
            <w:r w:rsidRPr="007938ED">
              <w:rPr>
                <w:rFonts w:asciiTheme="majorHAnsi" w:hAnsiTheme="majorHAnsi"/>
                <w:sz w:val="18"/>
                <w:szCs w:val="12"/>
              </w:rPr>
              <w:t xml:space="preserve">Savings (lifecycle net kWh and therms, and kW) of measures currently in the portfolio that were supported by ETP, added since 2009. Ex ante with gross and net for all measures, with ex post where available (A, P); </w:t>
            </w:r>
          </w:p>
        </w:tc>
        <w:tc>
          <w:tcPr>
            <w:tcW w:w="0" w:type="auto"/>
            <w:hideMark/>
          </w:tcPr>
          <w:p w:rsidRPr="007938ED" w:rsidR="00D31E46" w:rsidRDefault="00D31E46" w14:paraId="7FAED3E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7104B7E8"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5D1041E1"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53BC45A8"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78C90D9A" w14:textId="77777777">
            <w:pPr>
              <w:rPr>
                <w:rFonts w:asciiTheme="majorHAnsi" w:hAnsiTheme="majorHAnsi"/>
                <w:sz w:val="18"/>
                <w:szCs w:val="12"/>
              </w:rPr>
            </w:pPr>
            <w:r w:rsidRPr="007938ED">
              <w:rPr>
                <w:rFonts w:asciiTheme="majorHAnsi" w:hAnsiTheme="majorHAnsi"/>
                <w:sz w:val="18"/>
                <w:szCs w:val="12"/>
              </w:rPr>
              <w:t>kWh, therms, kW</w:t>
            </w:r>
          </w:p>
        </w:tc>
      </w:tr>
      <w:tr w:rsidRPr="007938ED" w:rsidR="00CE6F7B" w:rsidTr="007938ED" w14:paraId="7F5D5675" w14:textId="77777777">
        <w:trPr>
          <w:trHeight w:val="875"/>
        </w:trPr>
        <w:tc>
          <w:tcPr>
            <w:tcW w:w="0" w:type="auto"/>
            <w:noWrap/>
            <w:hideMark/>
          </w:tcPr>
          <w:p w:rsidRPr="007938ED" w:rsidR="00D31E46" w:rsidRDefault="00D31E46" w14:paraId="490A4304" w14:textId="77777777">
            <w:pPr>
              <w:rPr>
                <w:rFonts w:asciiTheme="majorHAnsi" w:hAnsiTheme="majorHAnsi"/>
                <w:sz w:val="18"/>
                <w:szCs w:val="12"/>
              </w:rPr>
            </w:pPr>
            <w:r w:rsidRPr="007938ED">
              <w:rPr>
                <w:rFonts w:asciiTheme="majorHAnsi" w:hAnsiTheme="majorHAnsi"/>
                <w:sz w:val="18"/>
                <w:szCs w:val="12"/>
              </w:rPr>
              <w:t>MS11</w:t>
            </w:r>
          </w:p>
        </w:tc>
        <w:tc>
          <w:tcPr>
            <w:tcW w:w="0" w:type="auto"/>
            <w:noWrap/>
            <w:hideMark/>
          </w:tcPr>
          <w:p w:rsidRPr="007938ED" w:rsidR="00D31E46" w:rsidRDefault="00D31E46" w14:paraId="29B9DF0D"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5AAEAD18" w14:textId="77777777">
            <w:pPr>
              <w:rPr>
                <w:rFonts w:asciiTheme="majorHAnsi" w:hAnsiTheme="majorHAnsi"/>
                <w:sz w:val="18"/>
                <w:szCs w:val="12"/>
              </w:rPr>
            </w:pPr>
            <w:r w:rsidRPr="007938ED">
              <w:rPr>
                <w:rFonts w:asciiTheme="majorHAnsi" w:hAnsiTheme="majorHAnsi"/>
                <w:sz w:val="18"/>
                <w:szCs w:val="12"/>
              </w:rPr>
              <w:t xml:space="preserve">Number of new, validated technologies recommended to the California Technical Forum (A, P); </w:t>
            </w:r>
          </w:p>
        </w:tc>
        <w:tc>
          <w:tcPr>
            <w:tcW w:w="0" w:type="auto"/>
            <w:hideMark/>
          </w:tcPr>
          <w:p w:rsidRPr="007938ED" w:rsidR="00D31E46" w:rsidRDefault="00D31E46" w14:paraId="7A33547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1E3C8F3C"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144FAC3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4F8E9564"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C060E3F" w14:textId="77777777">
            <w:pPr>
              <w:rPr>
                <w:rFonts w:asciiTheme="majorHAnsi" w:hAnsiTheme="majorHAnsi"/>
                <w:sz w:val="18"/>
                <w:szCs w:val="12"/>
              </w:rPr>
            </w:pPr>
            <w:r w:rsidRPr="007938ED">
              <w:rPr>
                <w:rFonts w:asciiTheme="majorHAnsi" w:hAnsiTheme="majorHAnsi"/>
                <w:sz w:val="18"/>
                <w:szCs w:val="12"/>
              </w:rPr>
              <w:t>Count</w:t>
            </w:r>
          </w:p>
        </w:tc>
      </w:tr>
      <w:tr w:rsidRPr="007938ED" w:rsidR="00CE6F7B" w:rsidTr="007938ED" w14:paraId="11FF66DD" w14:textId="77777777">
        <w:trPr>
          <w:trHeight w:val="1458"/>
        </w:trPr>
        <w:tc>
          <w:tcPr>
            <w:tcW w:w="0" w:type="auto"/>
            <w:noWrap/>
            <w:hideMark/>
          </w:tcPr>
          <w:p w:rsidRPr="007938ED" w:rsidR="00D31E46" w:rsidRDefault="00D31E46" w14:paraId="3ACAC2F6" w14:textId="77777777">
            <w:pPr>
              <w:rPr>
                <w:rFonts w:asciiTheme="majorHAnsi" w:hAnsiTheme="majorHAnsi"/>
                <w:sz w:val="18"/>
                <w:szCs w:val="12"/>
              </w:rPr>
            </w:pPr>
            <w:r w:rsidRPr="007938ED">
              <w:rPr>
                <w:rFonts w:asciiTheme="majorHAnsi" w:hAnsiTheme="majorHAnsi"/>
                <w:sz w:val="18"/>
                <w:szCs w:val="12"/>
              </w:rPr>
              <w:t>MS12</w:t>
            </w:r>
          </w:p>
        </w:tc>
        <w:tc>
          <w:tcPr>
            <w:tcW w:w="0" w:type="auto"/>
            <w:noWrap/>
            <w:hideMark/>
          </w:tcPr>
          <w:p w:rsidRPr="007938ED" w:rsidR="00D31E46" w:rsidRDefault="00D31E46" w14:paraId="0FA625F8"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740B6352" w14:textId="77777777">
            <w:pPr>
              <w:rPr>
                <w:rFonts w:asciiTheme="majorHAnsi" w:hAnsiTheme="majorHAnsi"/>
                <w:sz w:val="18"/>
                <w:szCs w:val="12"/>
              </w:rPr>
            </w:pPr>
            <w:r w:rsidRPr="007938ED">
              <w:rPr>
                <w:rFonts w:asciiTheme="majorHAnsi" w:hAnsiTheme="majorHAnsi"/>
                <w:sz w:val="18"/>
                <w:szCs w:val="12"/>
              </w:rPr>
              <w:t xml:space="preserve">Cost-effectiveness of a technology prior to market support program relative to cost-effectiveness of a technology after intervention by the market support programs (percentage change in cost-effectiveness) (A, S); </w:t>
            </w:r>
          </w:p>
        </w:tc>
        <w:tc>
          <w:tcPr>
            <w:tcW w:w="0" w:type="auto"/>
            <w:hideMark/>
          </w:tcPr>
          <w:p w:rsidRPr="007938ED" w:rsidR="00D31E46" w:rsidRDefault="00D31E46" w14:paraId="73EE44E3"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16D59B4C"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1BB37C91"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4FBE84DE"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5AFC0958"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76DFF023" w14:textId="77777777">
        <w:trPr>
          <w:trHeight w:val="1166"/>
        </w:trPr>
        <w:tc>
          <w:tcPr>
            <w:tcW w:w="0" w:type="auto"/>
            <w:noWrap/>
            <w:hideMark/>
          </w:tcPr>
          <w:p w:rsidRPr="007938ED" w:rsidR="00D31E46" w:rsidRDefault="00D31E46" w14:paraId="0E19E35C" w14:textId="77777777">
            <w:pPr>
              <w:rPr>
                <w:rFonts w:asciiTheme="majorHAnsi" w:hAnsiTheme="majorHAnsi"/>
                <w:sz w:val="18"/>
                <w:szCs w:val="12"/>
              </w:rPr>
            </w:pPr>
            <w:r w:rsidRPr="007938ED">
              <w:rPr>
                <w:rFonts w:asciiTheme="majorHAnsi" w:hAnsiTheme="majorHAnsi"/>
                <w:sz w:val="18"/>
                <w:szCs w:val="12"/>
              </w:rPr>
              <w:t>MS13</w:t>
            </w:r>
          </w:p>
        </w:tc>
        <w:tc>
          <w:tcPr>
            <w:tcW w:w="0" w:type="auto"/>
            <w:noWrap/>
            <w:hideMark/>
          </w:tcPr>
          <w:p w:rsidRPr="007938ED" w:rsidR="00D31E46" w:rsidRDefault="00D31E46" w14:paraId="1234074F"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71090EBA" w14:textId="77777777">
            <w:pPr>
              <w:rPr>
                <w:rFonts w:asciiTheme="majorHAnsi" w:hAnsiTheme="majorHAnsi"/>
                <w:sz w:val="18"/>
                <w:szCs w:val="12"/>
              </w:rPr>
            </w:pPr>
            <w:r w:rsidRPr="007938ED">
              <w:rPr>
                <w:rFonts w:asciiTheme="majorHAnsi" w:hAnsiTheme="majorHAnsi"/>
                <w:sz w:val="18"/>
                <w:szCs w:val="12"/>
              </w:rPr>
              <w:t xml:space="preserve">Number of collaborations, with a contextual descriptions, by business plan sector to jointly develop or share training materials or resources (A, P); </w:t>
            </w:r>
          </w:p>
        </w:tc>
        <w:tc>
          <w:tcPr>
            <w:tcW w:w="0" w:type="auto"/>
            <w:hideMark/>
          </w:tcPr>
          <w:p w:rsidRPr="007938ED" w:rsidR="00D31E46" w:rsidRDefault="00D31E46" w14:paraId="0386FC25"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6C83D39B" w14:textId="77777777">
            <w:pPr>
              <w:rPr>
                <w:rFonts w:asciiTheme="majorHAnsi" w:hAnsiTheme="majorHAnsi"/>
                <w:sz w:val="18"/>
                <w:szCs w:val="12"/>
              </w:rPr>
            </w:pPr>
            <w:r w:rsidRPr="007938ED">
              <w:rPr>
                <w:rFonts w:asciiTheme="majorHAnsi" w:hAnsiTheme="majorHAnsi"/>
                <w:sz w:val="18"/>
                <w:szCs w:val="12"/>
              </w:rPr>
              <w:t>Supply</w:t>
            </w:r>
          </w:p>
        </w:tc>
        <w:tc>
          <w:tcPr>
            <w:tcW w:w="0" w:type="auto"/>
            <w:hideMark/>
          </w:tcPr>
          <w:p w:rsidRPr="007938ED" w:rsidR="00D31E46" w:rsidP="00D31E46" w:rsidRDefault="00D31E46" w14:paraId="1859DC0B" w14:textId="77777777">
            <w:pPr>
              <w:rPr>
                <w:rFonts w:asciiTheme="majorHAnsi" w:hAnsiTheme="majorHAnsi"/>
                <w:sz w:val="18"/>
                <w:szCs w:val="12"/>
              </w:rPr>
            </w:pPr>
            <w:r w:rsidRPr="007938ED">
              <w:rPr>
                <w:rFonts w:asciiTheme="majorHAnsi" w:hAnsiTheme="majorHAnsi"/>
                <w:sz w:val="18"/>
                <w:szCs w:val="12"/>
              </w:rPr>
              <w:t>Pause</w:t>
            </w:r>
          </w:p>
        </w:tc>
        <w:tc>
          <w:tcPr>
            <w:tcW w:w="0" w:type="auto"/>
            <w:hideMark/>
          </w:tcPr>
          <w:p w:rsidRPr="007938ED" w:rsidR="00D31E46" w:rsidP="00D31E46" w:rsidRDefault="00D31E46" w14:paraId="4A5B59DA"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D92E174" w14:textId="77777777">
            <w:pPr>
              <w:rPr>
                <w:rFonts w:asciiTheme="majorHAnsi" w:hAnsiTheme="majorHAnsi"/>
                <w:sz w:val="18"/>
                <w:szCs w:val="12"/>
              </w:rPr>
            </w:pPr>
            <w:r w:rsidRPr="007938ED">
              <w:rPr>
                <w:rFonts w:asciiTheme="majorHAnsi" w:hAnsiTheme="majorHAnsi"/>
                <w:sz w:val="18"/>
                <w:szCs w:val="12"/>
              </w:rPr>
              <w:t>TBD</w:t>
            </w:r>
          </w:p>
        </w:tc>
      </w:tr>
      <w:tr w:rsidRPr="007938ED" w:rsidR="00CE6F7B" w:rsidTr="007938ED" w14:paraId="6E4F1906" w14:textId="77777777">
        <w:trPr>
          <w:trHeight w:val="583"/>
        </w:trPr>
        <w:tc>
          <w:tcPr>
            <w:tcW w:w="0" w:type="auto"/>
            <w:noWrap/>
            <w:hideMark/>
          </w:tcPr>
          <w:p w:rsidRPr="007938ED" w:rsidR="00D31E46" w:rsidRDefault="00D31E46" w14:paraId="080C561F" w14:textId="77777777">
            <w:pPr>
              <w:rPr>
                <w:rFonts w:asciiTheme="majorHAnsi" w:hAnsiTheme="majorHAnsi"/>
                <w:sz w:val="18"/>
                <w:szCs w:val="12"/>
              </w:rPr>
            </w:pPr>
            <w:r w:rsidRPr="007938ED">
              <w:rPr>
                <w:rFonts w:asciiTheme="majorHAnsi" w:hAnsiTheme="majorHAnsi"/>
                <w:sz w:val="18"/>
                <w:szCs w:val="12"/>
              </w:rPr>
              <w:lastRenderedPageBreak/>
              <w:t>MS14</w:t>
            </w:r>
          </w:p>
        </w:tc>
        <w:tc>
          <w:tcPr>
            <w:tcW w:w="0" w:type="auto"/>
            <w:noWrap/>
            <w:hideMark/>
          </w:tcPr>
          <w:p w:rsidRPr="007938ED" w:rsidR="00D31E46" w:rsidRDefault="00D31E46" w14:paraId="5C5089D9"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18C53894" w14:textId="77777777">
            <w:pPr>
              <w:rPr>
                <w:rFonts w:asciiTheme="majorHAnsi" w:hAnsiTheme="majorHAnsi"/>
                <w:sz w:val="18"/>
                <w:szCs w:val="12"/>
              </w:rPr>
            </w:pPr>
            <w:r w:rsidRPr="007938ED">
              <w:rPr>
                <w:rFonts w:asciiTheme="majorHAnsi" w:hAnsiTheme="majorHAnsi"/>
                <w:sz w:val="18"/>
                <w:szCs w:val="12"/>
              </w:rPr>
              <w:t xml:space="preserve">Number of unique participants by sector that complete training (Q, S); </w:t>
            </w:r>
          </w:p>
        </w:tc>
        <w:tc>
          <w:tcPr>
            <w:tcW w:w="0" w:type="auto"/>
            <w:hideMark/>
          </w:tcPr>
          <w:p w:rsidRPr="007938ED" w:rsidR="00D31E46" w:rsidRDefault="00D31E46" w14:paraId="61184B13"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7C04F26A" w14:textId="77777777">
            <w:pPr>
              <w:rPr>
                <w:rFonts w:asciiTheme="majorHAnsi" w:hAnsiTheme="majorHAnsi"/>
                <w:sz w:val="18"/>
                <w:szCs w:val="12"/>
              </w:rPr>
            </w:pPr>
            <w:r w:rsidRPr="007938ED">
              <w:rPr>
                <w:rFonts w:asciiTheme="majorHAnsi" w:hAnsiTheme="majorHAnsi"/>
                <w:sz w:val="18"/>
                <w:szCs w:val="12"/>
              </w:rPr>
              <w:t>Supply</w:t>
            </w:r>
          </w:p>
        </w:tc>
        <w:tc>
          <w:tcPr>
            <w:tcW w:w="0" w:type="auto"/>
            <w:hideMark/>
          </w:tcPr>
          <w:p w:rsidRPr="007938ED" w:rsidR="00D31E46" w:rsidP="00D31E46" w:rsidRDefault="00D31E46" w14:paraId="64D4B68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4F6B5A2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46E1601" w14:textId="77777777">
            <w:pPr>
              <w:rPr>
                <w:rFonts w:asciiTheme="majorHAnsi" w:hAnsiTheme="majorHAnsi"/>
                <w:sz w:val="18"/>
                <w:szCs w:val="12"/>
              </w:rPr>
            </w:pPr>
            <w:r w:rsidRPr="007938ED">
              <w:rPr>
                <w:rFonts w:asciiTheme="majorHAnsi" w:hAnsiTheme="majorHAnsi"/>
                <w:sz w:val="18"/>
                <w:szCs w:val="12"/>
              </w:rPr>
              <w:t>counts</w:t>
            </w:r>
          </w:p>
        </w:tc>
      </w:tr>
      <w:tr w:rsidRPr="007938ED" w:rsidR="00CE6F7B" w:rsidTr="007938ED" w14:paraId="3C9C569F" w14:textId="77777777">
        <w:trPr>
          <w:trHeight w:val="1458"/>
        </w:trPr>
        <w:tc>
          <w:tcPr>
            <w:tcW w:w="0" w:type="auto"/>
            <w:noWrap/>
            <w:hideMark/>
          </w:tcPr>
          <w:p w:rsidRPr="007938ED" w:rsidR="00D31E46" w:rsidRDefault="00D31E46" w14:paraId="6B7FF443" w14:textId="77777777">
            <w:pPr>
              <w:rPr>
                <w:rFonts w:asciiTheme="majorHAnsi" w:hAnsiTheme="majorHAnsi"/>
                <w:sz w:val="18"/>
                <w:szCs w:val="12"/>
              </w:rPr>
            </w:pPr>
            <w:r w:rsidRPr="007938ED">
              <w:rPr>
                <w:rFonts w:asciiTheme="majorHAnsi" w:hAnsiTheme="majorHAnsi"/>
                <w:sz w:val="18"/>
                <w:szCs w:val="12"/>
              </w:rPr>
              <w:t>MS15</w:t>
            </w:r>
          </w:p>
        </w:tc>
        <w:tc>
          <w:tcPr>
            <w:tcW w:w="0" w:type="auto"/>
            <w:noWrap/>
            <w:hideMark/>
          </w:tcPr>
          <w:p w:rsidRPr="007938ED" w:rsidR="00D31E46" w:rsidRDefault="00D31E46" w14:paraId="26CA9C90"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45E4FB48" w14:textId="77777777">
            <w:pPr>
              <w:rPr>
                <w:rFonts w:asciiTheme="majorHAnsi" w:hAnsiTheme="majorHAnsi"/>
                <w:sz w:val="18"/>
                <w:szCs w:val="12"/>
              </w:rPr>
            </w:pPr>
            <w:r w:rsidRPr="007938ED">
              <w:rPr>
                <w:rFonts w:asciiTheme="majorHAnsi" w:hAnsiTheme="majorHAnsi"/>
                <w:sz w:val="18"/>
                <w:szCs w:val="12"/>
              </w:rPr>
              <w:t xml:space="preserve">Number of projects (outside of ETP) that validate the technical performance, market and market barrier knowledge, and/or effective program interventions of an emerging/under-utilized or existing energy efficient technology (A, P); </w:t>
            </w:r>
          </w:p>
        </w:tc>
        <w:tc>
          <w:tcPr>
            <w:tcW w:w="0" w:type="auto"/>
            <w:hideMark/>
          </w:tcPr>
          <w:p w:rsidRPr="007938ED" w:rsidR="00D31E46" w:rsidRDefault="00D31E46" w14:paraId="7C88D11E"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27CB758B"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436922E6" w14:textId="77777777">
            <w:pPr>
              <w:rPr>
                <w:rFonts w:asciiTheme="majorHAnsi" w:hAnsiTheme="majorHAnsi"/>
                <w:sz w:val="18"/>
                <w:szCs w:val="12"/>
              </w:rPr>
            </w:pPr>
            <w:r w:rsidRPr="007938ED">
              <w:rPr>
                <w:rFonts w:asciiTheme="majorHAnsi" w:hAnsiTheme="majorHAnsi"/>
                <w:sz w:val="18"/>
                <w:szCs w:val="12"/>
              </w:rPr>
              <w:t>Pause</w:t>
            </w:r>
          </w:p>
        </w:tc>
        <w:tc>
          <w:tcPr>
            <w:tcW w:w="0" w:type="auto"/>
            <w:hideMark/>
          </w:tcPr>
          <w:p w:rsidRPr="007938ED" w:rsidR="00D31E46" w:rsidP="00D31E46" w:rsidRDefault="00D31E46" w14:paraId="336C9D62"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8DE8B8C" w14:textId="77777777">
            <w:pPr>
              <w:rPr>
                <w:rFonts w:asciiTheme="majorHAnsi" w:hAnsiTheme="majorHAnsi"/>
                <w:sz w:val="18"/>
                <w:szCs w:val="12"/>
              </w:rPr>
            </w:pPr>
            <w:r w:rsidRPr="007938ED">
              <w:rPr>
                <w:rFonts w:asciiTheme="majorHAnsi" w:hAnsiTheme="majorHAnsi"/>
                <w:sz w:val="18"/>
                <w:szCs w:val="12"/>
              </w:rPr>
              <w:t>TBD</w:t>
            </w:r>
          </w:p>
        </w:tc>
      </w:tr>
      <w:tr w:rsidRPr="007938ED" w:rsidR="00CE6F7B" w:rsidTr="007938ED" w14:paraId="4895817D" w14:textId="77777777">
        <w:trPr>
          <w:trHeight w:val="875"/>
        </w:trPr>
        <w:tc>
          <w:tcPr>
            <w:tcW w:w="0" w:type="auto"/>
            <w:noWrap/>
            <w:hideMark/>
          </w:tcPr>
          <w:p w:rsidRPr="007938ED" w:rsidR="00D31E46" w:rsidRDefault="00D31E46" w14:paraId="54B3E6A8" w14:textId="77777777">
            <w:pPr>
              <w:rPr>
                <w:rFonts w:asciiTheme="majorHAnsi" w:hAnsiTheme="majorHAnsi"/>
                <w:sz w:val="18"/>
                <w:szCs w:val="12"/>
              </w:rPr>
            </w:pPr>
            <w:r w:rsidRPr="007938ED">
              <w:rPr>
                <w:rFonts w:asciiTheme="majorHAnsi" w:hAnsiTheme="majorHAnsi"/>
                <w:sz w:val="18"/>
                <w:szCs w:val="12"/>
              </w:rPr>
              <w:t>MS16</w:t>
            </w:r>
          </w:p>
        </w:tc>
        <w:tc>
          <w:tcPr>
            <w:tcW w:w="0" w:type="auto"/>
            <w:noWrap/>
            <w:hideMark/>
          </w:tcPr>
          <w:p w:rsidRPr="007938ED" w:rsidR="00D31E46" w:rsidRDefault="00D31E46" w14:paraId="14A48D28"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07C7EE02" w14:textId="77777777">
            <w:pPr>
              <w:rPr>
                <w:rFonts w:asciiTheme="majorHAnsi" w:hAnsiTheme="majorHAnsi"/>
                <w:sz w:val="18"/>
                <w:szCs w:val="12"/>
              </w:rPr>
            </w:pPr>
            <w:r w:rsidRPr="007938ED">
              <w:rPr>
                <w:rFonts w:asciiTheme="majorHAnsi" w:hAnsiTheme="majorHAnsi"/>
                <w:sz w:val="18"/>
                <w:szCs w:val="12"/>
              </w:rPr>
              <w:t xml:space="preserve">Total projects completed/measures installed and dollar value of consolidated programs by sector (Q, P); </w:t>
            </w:r>
          </w:p>
        </w:tc>
        <w:tc>
          <w:tcPr>
            <w:tcW w:w="0" w:type="auto"/>
            <w:hideMark/>
          </w:tcPr>
          <w:p w:rsidRPr="007938ED" w:rsidR="00D31E46" w:rsidRDefault="00D31E46" w14:paraId="1C02783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25CB1713" w14:textId="77777777">
            <w:pPr>
              <w:rPr>
                <w:rFonts w:asciiTheme="majorHAnsi" w:hAnsiTheme="majorHAnsi"/>
                <w:sz w:val="18"/>
                <w:szCs w:val="12"/>
              </w:rPr>
            </w:pPr>
            <w:r w:rsidRPr="007938ED">
              <w:rPr>
                <w:rFonts w:asciiTheme="majorHAnsi" w:hAnsiTheme="majorHAnsi"/>
                <w:sz w:val="18"/>
                <w:szCs w:val="12"/>
              </w:rPr>
              <w:t>Access to Capital</w:t>
            </w:r>
          </w:p>
        </w:tc>
        <w:tc>
          <w:tcPr>
            <w:tcW w:w="0" w:type="auto"/>
            <w:hideMark/>
          </w:tcPr>
          <w:p w:rsidRPr="007938ED" w:rsidR="00D31E46" w:rsidP="00D31E46" w:rsidRDefault="00D31E46" w14:paraId="7B40EABF" w14:textId="77777777">
            <w:pPr>
              <w:rPr>
                <w:rFonts w:asciiTheme="majorHAnsi" w:hAnsiTheme="majorHAnsi"/>
                <w:sz w:val="18"/>
                <w:szCs w:val="12"/>
              </w:rPr>
            </w:pPr>
            <w:r w:rsidRPr="007938ED">
              <w:rPr>
                <w:rFonts w:asciiTheme="majorHAnsi" w:hAnsiTheme="majorHAnsi"/>
                <w:sz w:val="18"/>
                <w:szCs w:val="12"/>
              </w:rPr>
              <w:t>Pause</w:t>
            </w:r>
          </w:p>
        </w:tc>
        <w:tc>
          <w:tcPr>
            <w:tcW w:w="0" w:type="auto"/>
            <w:hideMark/>
          </w:tcPr>
          <w:p w:rsidRPr="007938ED" w:rsidR="00D31E46" w:rsidP="00D31E46" w:rsidRDefault="00D31E46" w14:paraId="047AA018"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F5C7230" w14:textId="77777777">
            <w:pPr>
              <w:rPr>
                <w:rFonts w:asciiTheme="majorHAnsi" w:hAnsiTheme="majorHAnsi"/>
                <w:sz w:val="18"/>
                <w:szCs w:val="12"/>
              </w:rPr>
            </w:pPr>
            <w:r w:rsidRPr="007938ED">
              <w:rPr>
                <w:rFonts w:asciiTheme="majorHAnsi" w:hAnsiTheme="majorHAnsi"/>
                <w:sz w:val="18"/>
                <w:szCs w:val="12"/>
              </w:rPr>
              <w:t>TBD</w:t>
            </w:r>
          </w:p>
        </w:tc>
      </w:tr>
      <w:tr w:rsidRPr="007938ED" w:rsidR="00CE6F7B" w:rsidTr="007938ED" w14:paraId="30B4BD6F" w14:textId="77777777">
        <w:trPr>
          <w:trHeight w:val="583"/>
        </w:trPr>
        <w:tc>
          <w:tcPr>
            <w:tcW w:w="0" w:type="auto"/>
            <w:noWrap/>
            <w:hideMark/>
          </w:tcPr>
          <w:p w:rsidRPr="007938ED" w:rsidR="00D31E46" w:rsidRDefault="00D31E46" w14:paraId="2A958189" w14:textId="77777777">
            <w:pPr>
              <w:rPr>
                <w:rFonts w:asciiTheme="majorHAnsi" w:hAnsiTheme="majorHAnsi"/>
                <w:sz w:val="18"/>
                <w:szCs w:val="12"/>
              </w:rPr>
            </w:pPr>
            <w:r w:rsidRPr="007938ED">
              <w:rPr>
                <w:rFonts w:asciiTheme="majorHAnsi" w:hAnsiTheme="majorHAnsi"/>
                <w:sz w:val="18"/>
                <w:szCs w:val="12"/>
              </w:rPr>
              <w:t>MS17</w:t>
            </w:r>
          </w:p>
        </w:tc>
        <w:tc>
          <w:tcPr>
            <w:tcW w:w="0" w:type="auto"/>
            <w:noWrap/>
            <w:hideMark/>
          </w:tcPr>
          <w:p w:rsidRPr="007938ED" w:rsidR="00D31E46" w:rsidRDefault="00D31E46" w14:paraId="4497388A"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7860E2D1" w14:textId="77777777">
            <w:pPr>
              <w:rPr>
                <w:rFonts w:asciiTheme="majorHAnsi" w:hAnsiTheme="majorHAnsi"/>
                <w:sz w:val="18"/>
                <w:szCs w:val="12"/>
              </w:rPr>
            </w:pPr>
            <w:r w:rsidRPr="007938ED">
              <w:rPr>
                <w:rFonts w:asciiTheme="majorHAnsi" w:hAnsiTheme="majorHAnsi"/>
                <w:sz w:val="18"/>
                <w:szCs w:val="12"/>
              </w:rPr>
              <w:t xml:space="preserve">Ratio of ratepayer funds expended to private capital leveraged by sector (Q, P); </w:t>
            </w:r>
          </w:p>
        </w:tc>
        <w:tc>
          <w:tcPr>
            <w:tcW w:w="0" w:type="auto"/>
            <w:hideMark/>
          </w:tcPr>
          <w:p w:rsidRPr="007938ED" w:rsidR="00D31E46" w:rsidRDefault="00D31E46" w14:paraId="37EA6037"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3579F439" w14:textId="77777777">
            <w:pPr>
              <w:rPr>
                <w:rFonts w:asciiTheme="majorHAnsi" w:hAnsiTheme="majorHAnsi"/>
                <w:sz w:val="18"/>
                <w:szCs w:val="12"/>
              </w:rPr>
            </w:pPr>
            <w:r w:rsidRPr="007938ED">
              <w:rPr>
                <w:rFonts w:asciiTheme="majorHAnsi" w:hAnsiTheme="majorHAnsi"/>
                <w:sz w:val="18"/>
                <w:szCs w:val="12"/>
              </w:rPr>
              <w:t>Access to Capital</w:t>
            </w:r>
          </w:p>
        </w:tc>
        <w:tc>
          <w:tcPr>
            <w:tcW w:w="0" w:type="auto"/>
            <w:hideMark/>
          </w:tcPr>
          <w:p w:rsidRPr="007938ED" w:rsidR="00D31E46" w:rsidP="00D31E46" w:rsidRDefault="00D31E46" w14:paraId="229B0B2C" w14:textId="77777777">
            <w:pPr>
              <w:rPr>
                <w:rFonts w:asciiTheme="majorHAnsi" w:hAnsiTheme="majorHAnsi"/>
                <w:sz w:val="18"/>
                <w:szCs w:val="12"/>
              </w:rPr>
            </w:pPr>
            <w:r w:rsidRPr="007938ED">
              <w:rPr>
                <w:rFonts w:asciiTheme="majorHAnsi" w:hAnsiTheme="majorHAnsi"/>
                <w:sz w:val="18"/>
                <w:szCs w:val="12"/>
              </w:rPr>
              <w:t>Pause</w:t>
            </w:r>
          </w:p>
        </w:tc>
        <w:tc>
          <w:tcPr>
            <w:tcW w:w="0" w:type="auto"/>
            <w:hideMark/>
          </w:tcPr>
          <w:p w:rsidRPr="007938ED" w:rsidR="00D31E46" w:rsidP="00D31E46" w:rsidRDefault="00D31E46" w14:paraId="31085002"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6F218F9" w14:textId="77777777">
            <w:pPr>
              <w:rPr>
                <w:rFonts w:asciiTheme="majorHAnsi" w:hAnsiTheme="majorHAnsi"/>
                <w:sz w:val="18"/>
                <w:szCs w:val="12"/>
              </w:rPr>
            </w:pPr>
            <w:r w:rsidRPr="007938ED">
              <w:rPr>
                <w:rFonts w:asciiTheme="majorHAnsi" w:hAnsiTheme="majorHAnsi"/>
                <w:sz w:val="18"/>
                <w:szCs w:val="12"/>
              </w:rPr>
              <w:t>TBD</w:t>
            </w:r>
          </w:p>
        </w:tc>
      </w:tr>
      <w:tr w:rsidRPr="007938ED" w:rsidR="00CE6F7B" w:rsidTr="007938ED" w14:paraId="46D39071" w14:textId="77777777">
        <w:trPr>
          <w:trHeight w:val="583"/>
        </w:trPr>
        <w:tc>
          <w:tcPr>
            <w:tcW w:w="0" w:type="auto"/>
            <w:noWrap/>
            <w:hideMark/>
          </w:tcPr>
          <w:p w:rsidRPr="007938ED" w:rsidR="00D31E46" w:rsidRDefault="00D31E46" w14:paraId="20D40EE9" w14:textId="77777777">
            <w:pPr>
              <w:rPr>
                <w:rFonts w:asciiTheme="majorHAnsi" w:hAnsiTheme="majorHAnsi"/>
                <w:sz w:val="18"/>
                <w:szCs w:val="12"/>
              </w:rPr>
            </w:pPr>
            <w:r w:rsidRPr="007938ED">
              <w:rPr>
                <w:rFonts w:asciiTheme="majorHAnsi" w:hAnsiTheme="majorHAnsi"/>
                <w:sz w:val="18"/>
                <w:szCs w:val="12"/>
              </w:rPr>
              <w:t>MS18</w:t>
            </w:r>
          </w:p>
        </w:tc>
        <w:tc>
          <w:tcPr>
            <w:tcW w:w="0" w:type="auto"/>
            <w:noWrap/>
            <w:hideMark/>
          </w:tcPr>
          <w:p w:rsidRPr="007938ED" w:rsidR="00D31E46" w:rsidRDefault="00D31E46" w14:paraId="024CD458"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587AE353" w14:textId="77777777">
            <w:pPr>
              <w:rPr>
                <w:rFonts w:asciiTheme="majorHAnsi" w:hAnsiTheme="majorHAnsi"/>
                <w:sz w:val="18"/>
                <w:szCs w:val="12"/>
              </w:rPr>
            </w:pPr>
            <w:r w:rsidRPr="007938ED">
              <w:rPr>
                <w:rFonts w:asciiTheme="majorHAnsi" w:hAnsiTheme="majorHAnsi"/>
                <w:sz w:val="18"/>
                <w:szCs w:val="12"/>
              </w:rPr>
              <w:t xml:space="preserve">Percentage of partners that have taken action supporting energy efficiency by type (Q, P); </w:t>
            </w:r>
          </w:p>
        </w:tc>
        <w:tc>
          <w:tcPr>
            <w:tcW w:w="0" w:type="auto"/>
            <w:hideMark/>
          </w:tcPr>
          <w:p w:rsidRPr="007938ED" w:rsidR="00D31E46" w:rsidRDefault="00D31E46" w14:paraId="7D6FB933"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4220C666" w14:textId="77777777">
            <w:pPr>
              <w:rPr>
                <w:rFonts w:asciiTheme="majorHAnsi" w:hAnsiTheme="majorHAnsi"/>
                <w:sz w:val="18"/>
                <w:szCs w:val="12"/>
              </w:rPr>
            </w:pPr>
            <w:r w:rsidRPr="007938ED">
              <w:rPr>
                <w:rFonts w:asciiTheme="majorHAnsi" w:hAnsiTheme="majorHAnsi"/>
                <w:sz w:val="18"/>
                <w:szCs w:val="12"/>
              </w:rPr>
              <w:t>Partnerships</w:t>
            </w:r>
          </w:p>
        </w:tc>
        <w:tc>
          <w:tcPr>
            <w:tcW w:w="0" w:type="auto"/>
            <w:hideMark/>
          </w:tcPr>
          <w:p w:rsidRPr="007938ED" w:rsidR="00D31E46" w:rsidP="00D31E46" w:rsidRDefault="00D31E46" w14:paraId="7E680E0B"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78EFB7C6"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F6A29D5"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354EBAB1" w14:textId="77777777">
        <w:trPr>
          <w:trHeight w:val="1458"/>
        </w:trPr>
        <w:tc>
          <w:tcPr>
            <w:tcW w:w="0" w:type="auto"/>
            <w:noWrap/>
            <w:hideMark/>
          </w:tcPr>
          <w:p w:rsidRPr="007938ED" w:rsidR="00D31E46" w:rsidRDefault="00D31E46" w14:paraId="3D592481" w14:textId="77777777">
            <w:pPr>
              <w:rPr>
                <w:rFonts w:asciiTheme="majorHAnsi" w:hAnsiTheme="majorHAnsi"/>
                <w:sz w:val="18"/>
                <w:szCs w:val="12"/>
              </w:rPr>
            </w:pPr>
            <w:r w:rsidRPr="007938ED">
              <w:rPr>
                <w:rFonts w:asciiTheme="majorHAnsi" w:hAnsiTheme="majorHAnsi"/>
                <w:sz w:val="18"/>
                <w:szCs w:val="12"/>
              </w:rPr>
              <w:t>MS19</w:t>
            </w:r>
          </w:p>
        </w:tc>
        <w:tc>
          <w:tcPr>
            <w:tcW w:w="0" w:type="auto"/>
            <w:noWrap/>
            <w:hideMark/>
          </w:tcPr>
          <w:p w:rsidRPr="007938ED" w:rsidR="00D31E46" w:rsidRDefault="00D31E46" w14:paraId="1FDA4075"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12E788F2" w14:textId="77777777">
            <w:pPr>
              <w:rPr>
                <w:rFonts w:asciiTheme="majorHAnsi" w:hAnsiTheme="majorHAnsi"/>
                <w:sz w:val="18"/>
                <w:szCs w:val="12"/>
              </w:rPr>
            </w:pPr>
            <w:r w:rsidRPr="007938ED">
              <w:rPr>
                <w:rFonts w:asciiTheme="majorHAnsi" w:hAnsiTheme="majorHAnsi"/>
                <w:sz w:val="18"/>
                <w:szCs w:val="12"/>
              </w:rPr>
              <w:t xml:space="preserve">Number of contractors (that serve in the portfolio administrator service areas) with knowledge and trained by relevant market support programs to provide quality installations that optimize energy efficiency (Q, S); </w:t>
            </w:r>
          </w:p>
        </w:tc>
        <w:tc>
          <w:tcPr>
            <w:tcW w:w="0" w:type="auto"/>
            <w:hideMark/>
          </w:tcPr>
          <w:p w:rsidRPr="007938ED" w:rsidR="00D31E46" w:rsidRDefault="00D31E46" w14:paraId="577D677B"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00F7C309" w14:textId="77777777">
            <w:pPr>
              <w:rPr>
                <w:rFonts w:asciiTheme="majorHAnsi" w:hAnsiTheme="majorHAnsi"/>
                <w:sz w:val="18"/>
                <w:szCs w:val="12"/>
              </w:rPr>
            </w:pPr>
            <w:r w:rsidRPr="007938ED">
              <w:rPr>
                <w:rFonts w:asciiTheme="majorHAnsi" w:hAnsiTheme="majorHAnsi"/>
                <w:sz w:val="18"/>
                <w:szCs w:val="12"/>
              </w:rPr>
              <w:t>Supply</w:t>
            </w:r>
          </w:p>
        </w:tc>
        <w:tc>
          <w:tcPr>
            <w:tcW w:w="0" w:type="auto"/>
            <w:hideMark/>
          </w:tcPr>
          <w:p w:rsidRPr="007938ED" w:rsidR="00D31E46" w:rsidP="00D31E46" w:rsidRDefault="00D31E46" w14:paraId="3C01F295"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31C40E74"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496B52A7" w14:textId="77777777">
            <w:pPr>
              <w:rPr>
                <w:rFonts w:asciiTheme="majorHAnsi" w:hAnsiTheme="majorHAnsi"/>
                <w:sz w:val="18"/>
                <w:szCs w:val="12"/>
              </w:rPr>
            </w:pPr>
            <w:r w:rsidRPr="007938ED">
              <w:rPr>
                <w:rFonts w:asciiTheme="majorHAnsi" w:hAnsiTheme="majorHAnsi"/>
                <w:sz w:val="18"/>
                <w:szCs w:val="12"/>
              </w:rPr>
              <w:t>counts</w:t>
            </w:r>
          </w:p>
        </w:tc>
      </w:tr>
      <w:tr w:rsidRPr="007938ED" w:rsidR="00CE6F7B" w:rsidTr="007938ED" w14:paraId="4195B6BB" w14:textId="77777777">
        <w:trPr>
          <w:trHeight w:val="583"/>
        </w:trPr>
        <w:tc>
          <w:tcPr>
            <w:tcW w:w="0" w:type="auto"/>
            <w:noWrap/>
            <w:hideMark/>
          </w:tcPr>
          <w:p w:rsidRPr="007938ED" w:rsidR="00D31E46" w:rsidRDefault="00D31E46" w14:paraId="285CF2F7" w14:textId="77777777">
            <w:pPr>
              <w:rPr>
                <w:rFonts w:asciiTheme="majorHAnsi" w:hAnsiTheme="majorHAnsi"/>
                <w:sz w:val="18"/>
                <w:szCs w:val="12"/>
              </w:rPr>
            </w:pPr>
            <w:r w:rsidRPr="007938ED">
              <w:rPr>
                <w:rFonts w:asciiTheme="majorHAnsi" w:hAnsiTheme="majorHAnsi"/>
                <w:sz w:val="18"/>
                <w:szCs w:val="12"/>
              </w:rPr>
              <w:t>MS2</w:t>
            </w:r>
          </w:p>
        </w:tc>
        <w:tc>
          <w:tcPr>
            <w:tcW w:w="0" w:type="auto"/>
            <w:noWrap/>
            <w:hideMark/>
          </w:tcPr>
          <w:p w:rsidRPr="007938ED" w:rsidR="00D31E46" w:rsidRDefault="00D31E46" w14:paraId="10E1BF55"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3F75CBF0" w14:textId="77777777">
            <w:pPr>
              <w:rPr>
                <w:rFonts w:asciiTheme="majorHAnsi" w:hAnsiTheme="majorHAnsi"/>
                <w:sz w:val="18"/>
                <w:szCs w:val="12"/>
              </w:rPr>
            </w:pPr>
            <w:r w:rsidRPr="007938ED">
              <w:rPr>
                <w:rFonts w:asciiTheme="majorHAnsi" w:hAnsiTheme="majorHAnsi"/>
                <w:sz w:val="18"/>
                <w:szCs w:val="12"/>
              </w:rPr>
              <w:t xml:space="preserve">Dollar value of non-ratepayer in-kind funds/contributions utilized via partnerships (A, P); </w:t>
            </w:r>
          </w:p>
        </w:tc>
        <w:tc>
          <w:tcPr>
            <w:tcW w:w="0" w:type="auto"/>
            <w:hideMark/>
          </w:tcPr>
          <w:p w:rsidRPr="007938ED" w:rsidR="00D31E46" w:rsidRDefault="00D31E46" w14:paraId="251D888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790BBB25" w14:textId="77777777">
            <w:pPr>
              <w:rPr>
                <w:rFonts w:asciiTheme="majorHAnsi" w:hAnsiTheme="majorHAnsi"/>
                <w:sz w:val="18"/>
                <w:szCs w:val="12"/>
              </w:rPr>
            </w:pPr>
            <w:r w:rsidRPr="007938ED">
              <w:rPr>
                <w:rFonts w:asciiTheme="majorHAnsi" w:hAnsiTheme="majorHAnsi"/>
                <w:sz w:val="18"/>
                <w:szCs w:val="12"/>
              </w:rPr>
              <w:t>Partnerships</w:t>
            </w:r>
          </w:p>
        </w:tc>
        <w:tc>
          <w:tcPr>
            <w:tcW w:w="0" w:type="auto"/>
            <w:hideMark/>
          </w:tcPr>
          <w:p w:rsidRPr="007938ED" w:rsidR="00D31E46" w:rsidP="00D31E46" w:rsidRDefault="00D31E46" w14:paraId="5217704E"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83C2F88"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67F87462" w14:textId="77777777">
            <w:pPr>
              <w:rPr>
                <w:rFonts w:asciiTheme="majorHAnsi" w:hAnsiTheme="majorHAnsi"/>
                <w:sz w:val="18"/>
                <w:szCs w:val="12"/>
              </w:rPr>
            </w:pPr>
            <w:r w:rsidRPr="007938ED">
              <w:rPr>
                <w:rFonts w:asciiTheme="majorHAnsi" w:hAnsiTheme="majorHAnsi"/>
                <w:sz w:val="18"/>
                <w:szCs w:val="12"/>
              </w:rPr>
              <w:t>$</w:t>
            </w:r>
          </w:p>
        </w:tc>
      </w:tr>
      <w:tr w:rsidRPr="007938ED" w:rsidR="00CE6F7B" w:rsidTr="007938ED" w14:paraId="234127CE" w14:textId="77777777">
        <w:trPr>
          <w:trHeight w:val="583"/>
        </w:trPr>
        <w:tc>
          <w:tcPr>
            <w:tcW w:w="0" w:type="auto"/>
            <w:noWrap/>
            <w:hideMark/>
          </w:tcPr>
          <w:p w:rsidRPr="007938ED" w:rsidR="00D31E46" w:rsidRDefault="00D31E46" w14:paraId="279009B0" w14:textId="77777777">
            <w:pPr>
              <w:rPr>
                <w:rFonts w:asciiTheme="majorHAnsi" w:hAnsiTheme="majorHAnsi"/>
                <w:sz w:val="18"/>
                <w:szCs w:val="12"/>
              </w:rPr>
            </w:pPr>
            <w:r w:rsidRPr="007938ED">
              <w:rPr>
                <w:rFonts w:asciiTheme="majorHAnsi" w:hAnsiTheme="majorHAnsi"/>
                <w:sz w:val="18"/>
                <w:szCs w:val="12"/>
              </w:rPr>
              <w:t>MS20</w:t>
            </w:r>
          </w:p>
        </w:tc>
        <w:tc>
          <w:tcPr>
            <w:tcW w:w="0" w:type="auto"/>
            <w:noWrap/>
            <w:hideMark/>
          </w:tcPr>
          <w:p w:rsidRPr="007938ED" w:rsidR="00D31E46" w:rsidRDefault="00D31E46" w14:paraId="5BD0720A"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66B3BFF3" w14:textId="77777777">
            <w:pPr>
              <w:rPr>
                <w:rFonts w:asciiTheme="majorHAnsi" w:hAnsiTheme="majorHAnsi"/>
                <w:sz w:val="18"/>
                <w:szCs w:val="12"/>
              </w:rPr>
            </w:pPr>
            <w:r w:rsidRPr="007938ED">
              <w:rPr>
                <w:rFonts w:asciiTheme="majorHAnsi" w:hAnsiTheme="majorHAnsi"/>
                <w:sz w:val="18"/>
                <w:szCs w:val="12"/>
              </w:rPr>
              <w:t xml:space="preserve">Assessed value of the partnership by partners (A, P); </w:t>
            </w:r>
          </w:p>
        </w:tc>
        <w:tc>
          <w:tcPr>
            <w:tcW w:w="0" w:type="auto"/>
            <w:hideMark/>
          </w:tcPr>
          <w:p w:rsidRPr="007938ED" w:rsidR="00D31E46" w:rsidRDefault="00D31E46" w14:paraId="18D7B0B6"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25A2EB05" w14:textId="77777777">
            <w:pPr>
              <w:rPr>
                <w:rFonts w:asciiTheme="majorHAnsi" w:hAnsiTheme="majorHAnsi"/>
                <w:sz w:val="18"/>
                <w:szCs w:val="12"/>
              </w:rPr>
            </w:pPr>
            <w:r w:rsidRPr="007938ED">
              <w:rPr>
                <w:rFonts w:asciiTheme="majorHAnsi" w:hAnsiTheme="majorHAnsi"/>
                <w:sz w:val="18"/>
                <w:szCs w:val="12"/>
              </w:rPr>
              <w:t>Partnerships</w:t>
            </w:r>
          </w:p>
        </w:tc>
        <w:tc>
          <w:tcPr>
            <w:tcW w:w="0" w:type="auto"/>
            <w:hideMark/>
          </w:tcPr>
          <w:p w:rsidRPr="007938ED" w:rsidR="00D31E46" w:rsidP="00D31E46" w:rsidRDefault="00D31E46" w14:paraId="761EDB6E"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8D5092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FCC7F6C" w14:textId="77777777">
            <w:pPr>
              <w:rPr>
                <w:rFonts w:asciiTheme="majorHAnsi" w:hAnsiTheme="majorHAnsi"/>
                <w:sz w:val="18"/>
                <w:szCs w:val="12"/>
              </w:rPr>
            </w:pPr>
            <w:r w:rsidRPr="007938ED">
              <w:rPr>
                <w:rFonts w:asciiTheme="majorHAnsi" w:hAnsiTheme="majorHAnsi"/>
                <w:sz w:val="18"/>
                <w:szCs w:val="12"/>
              </w:rPr>
              <w:t>$</w:t>
            </w:r>
          </w:p>
        </w:tc>
      </w:tr>
      <w:tr w:rsidRPr="007938ED" w:rsidR="00CE6F7B" w:rsidTr="007938ED" w14:paraId="59CA99CB" w14:textId="77777777">
        <w:trPr>
          <w:trHeight w:val="875"/>
        </w:trPr>
        <w:tc>
          <w:tcPr>
            <w:tcW w:w="0" w:type="auto"/>
            <w:noWrap/>
            <w:hideMark/>
          </w:tcPr>
          <w:p w:rsidRPr="007938ED" w:rsidR="00D31E46" w:rsidRDefault="00D31E46" w14:paraId="15A0CDF3" w14:textId="77777777">
            <w:pPr>
              <w:rPr>
                <w:rFonts w:asciiTheme="majorHAnsi" w:hAnsiTheme="majorHAnsi"/>
                <w:sz w:val="18"/>
                <w:szCs w:val="12"/>
              </w:rPr>
            </w:pPr>
            <w:r w:rsidRPr="007938ED">
              <w:rPr>
                <w:rFonts w:asciiTheme="majorHAnsi" w:hAnsiTheme="majorHAnsi"/>
                <w:sz w:val="18"/>
                <w:szCs w:val="12"/>
              </w:rPr>
              <w:lastRenderedPageBreak/>
              <w:t>MS21</w:t>
            </w:r>
          </w:p>
        </w:tc>
        <w:tc>
          <w:tcPr>
            <w:tcW w:w="0" w:type="auto"/>
            <w:noWrap/>
            <w:hideMark/>
          </w:tcPr>
          <w:p w:rsidRPr="007938ED" w:rsidR="00D31E46" w:rsidRDefault="00D31E46" w14:paraId="55099B06"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6C8D1469" w14:textId="77777777">
            <w:pPr>
              <w:rPr>
                <w:rFonts w:asciiTheme="majorHAnsi" w:hAnsiTheme="majorHAnsi"/>
                <w:sz w:val="18"/>
                <w:szCs w:val="12"/>
              </w:rPr>
            </w:pPr>
            <w:r w:rsidRPr="007938ED">
              <w:rPr>
                <w:rFonts w:asciiTheme="majorHAnsi" w:hAnsiTheme="majorHAnsi"/>
                <w:sz w:val="18"/>
                <w:szCs w:val="12"/>
              </w:rPr>
              <w:t xml:space="preserve">Percent of market penetration of emerging/under-utilized or existing energy efficiency products or services (A, P); </w:t>
            </w:r>
          </w:p>
        </w:tc>
        <w:tc>
          <w:tcPr>
            <w:tcW w:w="0" w:type="auto"/>
            <w:hideMark/>
          </w:tcPr>
          <w:p w:rsidRPr="007938ED" w:rsidR="00D31E46" w:rsidRDefault="00D31E46" w14:paraId="7B54FB2C"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0634D115"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3345BD1D" w14:textId="77777777">
            <w:pPr>
              <w:rPr>
                <w:rFonts w:asciiTheme="majorHAnsi" w:hAnsiTheme="majorHAnsi"/>
                <w:sz w:val="18"/>
                <w:szCs w:val="12"/>
              </w:rPr>
            </w:pPr>
            <w:r w:rsidRPr="007938ED">
              <w:rPr>
                <w:rFonts w:asciiTheme="majorHAnsi" w:hAnsiTheme="majorHAnsi"/>
                <w:sz w:val="18"/>
                <w:szCs w:val="12"/>
              </w:rPr>
              <w:t>Pause</w:t>
            </w:r>
          </w:p>
        </w:tc>
        <w:tc>
          <w:tcPr>
            <w:tcW w:w="0" w:type="auto"/>
            <w:hideMark/>
          </w:tcPr>
          <w:p w:rsidRPr="007938ED" w:rsidR="00D31E46" w:rsidP="00D31E46" w:rsidRDefault="00D31E46" w14:paraId="1574DB01"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F026432" w14:textId="77777777">
            <w:pPr>
              <w:rPr>
                <w:rFonts w:asciiTheme="majorHAnsi" w:hAnsiTheme="majorHAnsi"/>
                <w:sz w:val="18"/>
                <w:szCs w:val="12"/>
              </w:rPr>
            </w:pPr>
            <w:r w:rsidRPr="007938ED">
              <w:rPr>
                <w:rFonts w:asciiTheme="majorHAnsi" w:hAnsiTheme="majorHAnsi"/>
                <w:sz w:val="18"/>
                <w:szCs w:val="12"/>
              </w:rPr>
              <w:t>TBD</w:t>
            </w:r>
          </w:p>
        </w:tc>
      </w:tr>
      <w:tr w:rsidRPr="007938ED" w:rsidR="00CE6F7B" w:rsidTr="007938ED" w14:paraId="705FB182" w14:textId="77777777">
        <w:trPr>
          <w:trHeight w:val="875"/>
        </w:trPr>
        <w:tc>
          <w:tcPr>
            <w:tcW w:w="0" w:type="auto"/>
            <w:noWrap/>
            <w:hideMark/>
          </w:tcPr>
          <w:p w:rsidRPr="007938ED" w:rsidR="00D31E46" w:rsidRDefault="00D31E46" w14:paraId="4C7AF376" w14:textId="77777777">
            <w:pPr>
              <w:rPr>
                <w:rFonts w:asciiTheme="majorHAnsi" w:hAnsiTheme="majorHAnsi"/>
                <w:sz w:val="18"/>
                <w:szCs w:val="12"/>
              </w:rPr>
            </w:pPr>
            <w:r w:rsidRPr="007938ED">
              <w:rPr>
                <w:rFonts w:asciiTheme="majorHAnsi" w:hAnsiTheme="majorHAnsi"/>
                <w:sz w:val="18"/>
                <w:szCs w:val="12"/>
              </w:rPr>
              <w:t>MS22</w:t>
            </w:r>
          </w:p>
        </w:tc>
        <w:tc>
          <w:tcPr>
            <w:tcW w:w="0" w:type="auto"/>
            <w:noWrap/>
            <w:hideMark/>
          </w:tcPr>
          <w:p w:rsidRPr="007938ED" w:rsidR="00D31E46" w:rsidRDefault="00D31E46" w14:paraId="23DAD33B"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1CE63E5A" w14:textId="77777777">
            <w:pPr>
              <w:rPr>
                <w:rFonts w:asciiTheme="majorHAnsi" w:hAnsiTheme="majorHAnsi"/>
                <w:sz w:val="18"/>
                <w:szCs w:val="12"/>
              </w:rPr>
            </w:pPr>
            <w:r w:rsidRPr="007938ED">
              <w:rPr>
                <w:rFonts w:asciiTheme="majorHAnsi" w:hAnsiTheme="majorHAnsi"/>
                <w:sz w:val="18"/>
                <w:szCs w:val="12"/>
              </w:rPr>
              <w:t xml:space="preserve">Percent of market participant awareness of emerging/under-utilized or existing energy efficiency products or services (A, P); </w:t>
            </w:r>
          </w:p>
        </w:tc>
        <w:tc>
          <w:tcPr>
            <w:tcW w:w="0" w:type="auto"/>
            <w:hideMark/>
          </w:tcPr>
          <w:p w:rsidRPr="007938ED" w:rsidR="00D31E46" w:rsidRDefault="00D31E46" w14:paraId="47F2B3D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44EA6BAA"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70313ECF" w14:textId="77777777">
            <w:pPr>
              <w:rPr>
                <w:rFonts w:asciiTheme="majorHAnsi" w:hAnsiTheme="majorHAnsi"/>
                <w:sz w:val="18"/>
                <w:szCs w:val="12"/>
              </w:rPr>
            </w:pPr>
            <w:r w:rsidRPr="007938ED">
              <w:rPr>
                <w:rFonts w:asciiTheme="majorHAnsi" w:hAnsiTheme="majorHAnsi"/>
                <w:sz w:val="18"/>
                <w:szCs w:val="12"/>
              </w:rPr>
              <w:t>Pause</w:t>
            </w:r>
          </w:p>
        </w:tc>
        <w:tc>
          <w:tcPr>
            <w:tcW w:w="0" w:type="auto"/>
            <w:hideMark/>
          </w:tcPr>
          <w:p w:rsidRPr="007938ED" w:rsidR="00D31E46" w:rsidP="00D31E46" w:rsidRDefault="00D31E46" w14:paraId="2C43742D"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2CCA842" w14:textId="77777777">
            <w:pPr>
              <w:rPr>
                <w:rFonts w:asciiTheme="majorHAnsi" w:hAnsiTheme="majorHAnsi"/>
                <w:sz w:val="18"/>
                <w:szCs w:val="12"/>
              </w:rPr>
            </w:pPr>
            <w:r w:rsidRPr="007938ED">
              <w:rPr>
                <w:rFonts w:asciiTheme="majorHAnsi" w:hAnsiTheme="majorHAnsi"/>
                <w:sz w:val="18"/>
                <w:szCs w:val="12"/>
              </w:rPr>
              <w:t>TBD</w:t>
            </w:r>
          </w:p>
        </w:tc>
      </w:tr>
      <w:tr w:rsidRPr="007938ED" w:rsidR="00CE6F7B" w:rsidTr="007938ED" w14:paraId="257352D2" w14:textId="77777777">
        <w:trPr>
          <w:trHeight w:val="875"/>
        </w:trPr>
        <w:tc>
          <w:tcPr>
            <w:tcW w:w="0" w:type="auto"/>
            <w:noWrap/>
            <w:hideMark/>
          </w:tcPr>
          <w:p w:rsidRPr="007938ED" w:rsidR="00D31E46" w:rsidRDefault="00D31E46" w14:paraId="2229B7A6" w14:textId="77777777">
            <w:pPr>
              <w:rPr>
                <w:rFonts w:asciiTheme="majorHAnsi" w:hAnsiTheme="majorHAnsi"/>
                <w:sz w:val="18"/>
                <w:szCs w:val="12"/>
              </w:rPr>
            </w:pPr>
            <w:r w:rsidRPr="007938ED">
              <w:rPr>
                <w:rFonts w:asciiTheme="majorHAnsi" w:hAnsiTheme="majorHAnsi"/>
                <w:sz w:val="18"/>
                <w:szCs w:val="12"/>
              </w:rPr>
              <w:t>MS23</w:t>
            </w:r>
          </w:p>
        </w:tc>
        <w:tc>
          <w:tcPr>
            <w:tcW w:w="0" w:type="auto"/>
            <w:noWrap/>
            <w:hideMark/>
          </w:tcPr>
          <w:p w:rsidRPr="007938ED" w:rsidR="00D31E46" w:rsidRDefault="00D31E46" w14:paraId="357712AD"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3414599B" w14:textId="77777777">
            <w:pPr>
              <w:rPr>
                <w:rFonts w:asciiTheme="majorHAnsi" w:hAnsiTheme="majorHAnsi"/>
                <w:sz w:val="18"/>
                <w:szCs w:val="12"/>
              </w:rPr>
            </w:pPr>
            <w:r w:rsidRPr="007938ED">
              <w:rPr>
                <w:rFonts w:asciiTheme="majorHAnsi" w:hAnsiTheme="majorHAnsi"/>
                <w:sz w:val="18"/>
                <w:szCs w:val="12"/>
              </w:rPr>
              <w:t xml:space="preserve">Aggregated confidence level in performance verification by production, project, and service (for relevant programs) (A, P); </w:t>
            </w:r>
          </w:p>
        </w:tc>
        <w:tc>
          <w:tcPr>
            <w:tcW w:w="0" w:type="auto"/>
            <w:hideMark/>
          </w:tcPr>
          <w:p w:rsidRPr="007938ED" w:rsidR="00D31E46" w:rsidRDefault="00D31E46" w14:paraId="0BBE523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1F65100D"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0325972C" w14:textId="77777777">
            <w:pPr>
              <w:rPr>
                <w:rFonts w:asciiTheme="majorHAnsi" w:hAnsiTheme="majorHAnsi"/>
                <w:sz w:val="18"/>
                <w:szCs w:val="12"/>
              </w:rPr>
            </w:pPr>
            <w:r w:rsidRPr="007938ED">
              <w:rPr>
                <w:rFonts w:asciiTheme="majorHAnsi" w:hAnsiTheme="majorHAnsi"/>
                <w:sz w:val="18"/>
                <w:szCs w:val="12"/>
              </w:rPr>
              <w:t>Pause</w:t>
            </w:r>
          </w:p>
        </w:tc>
        <w:tc>
          <w:tcPr>
            <w:tcW w:w="0" w:type="auto"/>
            <w:hideMark/>
          </w:tcPr>
          <w:p w:rsidRPr="007938ED" w:rsidR="00D31E46" w:rsidP="00D31E46" w:rsidRDefault="00D31E46" w14:paraId="54251B4B"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2E9501D0" w14:textId="77777777">
            <w:pPr>
              <w:rPr>
                <w:rFonts w:asciiTheme="majorHAnsi" w:hAnsiTheme="majorHAnsi"/>
                <w:sz w:val="18"/>
                <w:szCs w:val="12"/>
              </w:rPr>
            </w:pPr>
            <w:r w:rsidRPr="007938ED">
              <w:rPr>
                <w:rFonts w:asciiTheme="majorHAnsi" w:hAnsiTheme="majorHAnsi"/>
                <w:sz w:val="18"/>
                <w:szCs w:val="12"/>
              </w:rPr>
              <w:t>TBD</w:t>
            </w:r>
          </w:p>
        </w:tc>
      </w:tr>
      <w:tr w:rsidRPr="007938ED" w:rsidR="00CE6F7B" w:rsidTr="007938ED" w14:paraId="3127113C" w14:textId="77777777">
        <w:trPr>
          <w:trHeight w:val="875"/>
        </w:trPr>
        <w:tc>
          <w:tcPr>
            <w:tcW w:w="0" w:type="auto"/>
            <w:noWrap/>
            <w:hideMark/>
          </w:tcPr>
          <w:p w:rsidRPr="007938ED" w:rsidR="00D31E46" w:rsidRDefault="00D31E46" w14:paraId="543CF5FD" w14:textId="77777777">
            <w:pPr>
              <w:rPr>
                <w:rFonts w:asciiTheme="majorHAnsi" w:hAnsiTheme="majorHAnsi"/>
                <w:sz w:val="18"/>
                <w:szCs w:val="12"/>
              </w:rPr>
            </w:pPr>
            <w:r w:rsidRPr="007938ED">
              <w:rPr>
                <w:rFonts w:asciiTheme="majorHAnsi" w:hAnsiTheme="majorHAnsi"/>
                <w:sz w:val="18"/>
                <w:szCs w:val="12"/>
              </w:rPr>
              <w:t>MS24</w:t>
            </w:r>
          </w:p>
        </w:tc>
        <w:tc>
          <w:tcPr>
            <w:tcW w:w="0" w:type="auto"/>
            <w:noWrap/>
            <w:hideMark/>
          </w:tcPr>
          <w:p w:rsidRPr="007938ED" w:rsidR="00D31E46" w:rsidRDefault="00D31E46" w14:paraId="41B5D17D"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7732756F" w14:textId="77777777">
            <w:pPr>
              <w:rPr>
                <w:rFonts w:asciiTheme="majorHAnsi" w:hAnsiTheme="majorHAnsi"/>
                <w:sz w:val="18"/>
                <w:szCs w:val="12"/>
              </w:rPr>
            </w:pPr>
            <w:r w:rsidRPr="007938ED">
              <w:rPr>
                <w:rFonts w:asciiTheme="majorHAnsi" w:hAnsiTheme="majorHAnsi"/>
                <w:sz w:val="18"/>
                <w:szCs w:val="12"/>
              </w:rPr>
              <w:t xml:space="preserve">Differential of cost defrayed from customers (e.g., difference between comparable market rate products and program products) (A, P); </w:t>
            </w:r>
          </w:p>
        </w:tc>
        <w:tc>
          <w:tcPr>
            <w:tcW w:w="0" w:type="auto"/>
            <w:hideMark/>
          </w:tcPr>
          <w:p w:rsidRPr="007938ED" w:rsidR="00D31E46" w:rsidRDefault="00D31E46" w14:paraId="65D0190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7B5D55E4" w14:textId="77777777">
            <w:pPr>
              <w:rPr>
                <w:rFonts w:asciiTheme="majorHAnsi" w:hAnsiTheme="majorHAnsi"/>
                <w:sz w:val="18"/>
                <w:szCs w:val="12"/>
              </w:rPr>
            </w:pPr>
            <w:r w:rsidRPr="007938ED">
              <w:rPr>
                <w:rFonts w:asciiTheme="majorHAnsi" w:hAnsiTheme="majorHAnsi"/>
                <w:sz w:val="18"/>
                <w:szCs w:val="12"/>
              </w:rPr>
              <w:t>Access to Capital</w:t>
            </w:r>
          </w:p>
        </w:tc>
        <w:tc>
          <w:tcPr>
            <w:tcW w:w="0" w:type="auto"/>
            <w:hideMark/>
          </w:tcPr>
          <w:p w:rsidRPr="007938ED" w:rsidR="00D31E46" w:rsidP="00D31E46" w:rsidRDefault="00D31E46" w14:paraId="46B5140C" w14:textId="77777777">
            <w:pPr>
              <w:rPr>
                <w:rFonts w:asciiTheme="majorHAnsi" w:hAnsiTheme="majorHAnsi"/>
                <w:sz w:val="18"/>
                <w:szCs w:val="12"/>
              </w:rPr>
            </w:pPr>
            <w:r w:rsidRPr="007938ED">
              <w:rPr>
                <w:rFonts w:asciiTheme="majorHAnsi" w:hAnsiTheme="majorHAnsi"/>
                <w:sz w:val="18"/>
                <w:szCs w:val="12"/>
              </w:rPr>
              <w:t>Pause</w:t>
            </w:r>
          </w:p>
        </w:tc>
        <w:tc>
          <w:tcPr>
            <w:tcW w:w="0" w:type="auto"/>
            <w:hideMark/>
          </w:tcPr>
          <w:p w:rsidRPr="007938ED" w:rsidR="00D31E46" w:rsidP="00D31E46" w:rsidRDefault="00D31E46" w14:paraId="2BCEF2E4"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D48E933" w14:textId="77777777">
            <w:pPr>
              <w:rPr>
                <w:rFonts w:asciiTheme="majorHAnsi" w:hAnsiTheme="majorHAnsi"/>
                <w:sz w:val="18"/>
                <w:szCs w:val="12"/>
              </w:rPr>
            </w:pPr>
            <w:r w:rsidRPr="007938ED">
              <w:rPr>
                <w:rFonts w:asciiTheme="majorHAnsi" w:hAnsiTheme="majorHAnsi"/>
                <w:sz w:val="18"/>
                <w:szCs w:val="12"/>
              </w:rPr>
              <w:t>TBD</w:t>
            </w:r>
          </w:p>
        </w:tc>
      </w:tr>
      <w:tr w:rsidRPr="007938ED" w:rsidR="00CE6F7B" w:rsidTr="007938ED" w14:paraId="7EFD1E85" w14:textId="77777777">
        <w:trPr>
          <w:trHeight w:val="875"/>
        </w:trPr>
        <w:tc>
          <w:tcPr>
            <w:tcW w:w="0" w:type="auto"/>
            <w:noWrap/>
            <w:hideMark/>
          </w:tcPr>
          <w:p w:rsidRPr="007938ED" w:rsidR="00D31E46" w:rsidRDefault="00D31E46" w14:paraId="42CCFE1E" w14:textId="77777777">
            <w:pPr>
              <w:rPr>
                <w:rFonts w:asciiTheme="majorHAnsi" w:hAnsiTheme="majorHAnsi"/>
                <w:sz w:val="18"/>
                <w:szCs w:val="12"/>
              </w:rPr>
            </w:pPr>
            <w:r w:rsidRPr="007938ED">
              <w:rPr>
                <w:rFonts w:asciiTheme="majorHAnsi" w:hAnsiTheme="majorHAnsi"/>
                <w:sz w:val="18"/>
                <w:szCs w:val="12"/>
              </w:rPr>
              <w:t>MS25</w:t>
            </w:r>
          </w:p>
        </w:tc>
        <w:tc>
          <w:tcPr>
            <w:tcW w:w="0" w:type="auto"/>
            <w:noWrap/>
            <w:hideMark/>
          </w:tcPr>
          <w:p w:rsidRPr="007938ED" w:rsidR="00D31E46" w:rsidRDefault="00D31E46" w14:paraId="4D3D9E23"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4FE88B5E" w14:textId="77777777">
            <w:pPr>
              <w:rPr>
                <w:rFonts w:asciiTheme="majorHAnsi" w:hAnsiTheme="majorHAnsi"/>
                <w:sz w:val="18"/>
                <w:szCs w:val="12"/>
              </w:rPr>
            </w:pPr>
            <w:r w:rsidRPr="007938ED">
              <w:rPr>
                <w:rFonts w:asciiTheme="majorHAnsi" w:hAnsiTheme="majorHAnsi"/>
                <w:sz w:val="18"/>
                <w:szCs w:val="12"/>
              </w:rPr>
              <w:t xml:space="preserve">Comparisons between market-rate capital vs. capital accessed via energy efficiency programs (e.g., interest rate, monthly payment) (A, P); </w:t>
            </w:r>
          </w:p>
        </w:tc>
        <w:tc>
          <w:tcPr>
            <w:tcW w:w="0" w:type="auto"/>
            <w:hideMark/>
          </w:tcPr>
          <w:p w:rsidRPr="007938ED" w:rsidR="00D31E46" w:rsidRDefault="00D31E46" w14:paraId="27376925"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13C97BAC" w14:textId="77777777">
            <w:pPr>
              <w:rPr>
                <w:rFonts w:asciiTheme="majorHAnsi" w:hAnsiTheme="majorHAnsi"/>
                <w:sz w:val="18"/>
                <w:szCs w:val="12"/>
              </w:rPr>
            </w:pPr>
            <w:r w:rsidRPr="007938ED">
              <w:rPr>
                <w:rFonts w:asciiTheme="majorHAnsi" w:hAnsiTheme="majorHAnsi"/>
                <w:sz w:val="18"/>
                <w:szCs w:val="12"/>
              </w:rPr>
              <w:t>Access to Capital</w:t>
            </w:r>
          </w:p>
        </w:tc>
        <w:tc>
          <w:tcPr>
            <w:tcW w:w="0" w:type="auto"/>
            <w:hideMark/>
          </w:tcPr>
          <w:p w:rsidRPr="007938ED" w:rsidR="00D31E46" w:rsidP="00D31E46" w:rsidRDefault="00D31E46" w14:paraId="339A370C" w14:textId="77777777">
            <w:pPr>
              <w:rPr>
                <w:rFonts w:asciiTheme="majorHAnsi" w:hAnsiTheme="majorHAnsi"/>
                <w:sz w:val="18"/>
                <w:szCs w:val="12"/>
              </w:rPr>
            </w:pPr>
            <w:r w:rsidRPr="007938ED">
              <w:rPr>
                <w:rFonts w:asciiTheme="majorHAnsi" w:hAnsiTheme="majorHAnsi"/>
                <w:sz w:val="18"/>
                <w:szCs w:val="12"/>
              </w:rPr>
              <w:t>Pause</w:t>
            </w:r>
          </w:p>
        </w:tc>
        <w:tc>
          <w:tcPr>
            <w:tcW w:w="0" w:type="auto"/>
            <w:hideMark/>
          </w:tcPr>
          <w:p w:rsidRPr="007938ED" w:rsidR="00D31E46" w:rsidP="00D31E46" w:rsidRDefault="00D31E46" w14:paraId="3E3E9EBA"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035C1779" w14:textId="77777777">
            <w:pPr>
              <w:rPr>
                <w:rFonts w:asciiTheme="majorHAnsi" w:hAnsiTheme="majorHAnsi"/>
                <w:sz w:val="18"/>
                <w:szCs w:val="12"/>
              </w:rPr>
            </w:pPr>
            <w:r w:rsidRPr="007938ED">
              <w:rPr>
                <w:rFonts w:asciiTheme="majorHAnsi" w:hAnsiTheme="majorHAnsi"/>
                <w:sz w:val="18"/>
                <w:szCs w:val="12"/>
              </w:rPr>
              <w:t>TBD</w:t>
            </w:r>
          </w:p>
        </w:tc>
      </w:tr>
      <w:tr w:rsidRPr="007938ED" w:rsidR="00CE6F7B" w:rsidTr="007938ED" w14:paraId="7461AA2C" w14:textId="77777777">
        <w:trPr>
          <w:trHeight w:val="583"/>
        </w:trPr>
        <w:tc>
          <w:tcPr>
            <w:tcW w:w="0" w:type="auto"/>
            <w:noWrap/>
            <w:hideMark/>
          </w:tcPr>
          <w:p w:rsidRPr="007938ED" w:rsidR="00D31E46" w:rsidRDefault="00D31E46" w14:paraId="4F88E2E8" w14:textId="77777777">
            <w:pPr>
              <w:rPr>
                <w:rFonts w:asciiTheme="majorHAnsi" w:hAnsiTheme="majorHAnsi"/>
                <w:sz w:val="18"/>
                <w:szCs w:val="12"/>
              </w:rPr>
            </w:pPr>
            <w:r w:rsidRPr="007938ED">
              <w:rPr>
                <w:rFonts w:asciiTheme="majorHAnsi" w:hAnsiTheme="majorHAnsi"/>
                <w:sz w:val="18"/>
                <w:szCs w:val="12"/>
              </w:rPr>
              <w:t>MS3</w:t>
            </w:r>
          </w:p>
        </w:tc>
        <w:tc>
          <w:tcPr>
            <w:tcW w:w="0" w:type="auto"/>
            <w:noWrap/>
            <w:hideMark/>
          </w:tcPr>
          <w:p w:rsidRPr="007938ED" w:rsidR="00D31E46" w:rsidRDefault="00D31E46" w14:paraId="5175AB3B"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2A36E52E" w14:textId="77777777">
            <w:pPr>
              <w:rPr>
                <w:rFonts w:asciiTheme="majorHAnsi" w:hAnsiTheme="majorHAnsi"/>
                <w:sz w:val="18"/>
                <w:szCs w:val="12"/>
              </w:rPr>
            </w:pPr>
            <w:r w:rsidRPr="007938ED">
              <w:rPr>
                <w:rFonts w:asciiTheme="majorHAnsi" w:hAnsiTheme="majorHAnsi"/>
                <w:sz w:val="18"/>
                <w:szCs w:val="12"/>
              </w:rPr>
              <w:t xml:space="preserve">Percent of participation relative to eligible target population for curriculum (Q, S); </w:t>
            </w:r>
          </w:p>
        </w:tc>
        <w:tc>
          <w:tcPr>
            <w:tcW w:w="0" w:type="auto"/>
            <w:hideMark/>
          </w:tcPr>
          <w:p w:rsidRPr="007938ED" w:rsidR="00D31E46" w:rsidRDefault="00D31E46" w14:paraId="1702DB06"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63992954" w14:textId="77777777">
            <w:pPr>
              <w:rPr>
                <w:rFonts w:asciiTheme="majorHAnsi" w:hAnsiTheme="majorHAnsi"/>
                <w:sz w:val="18"/>
                <w:szCs w:val="12"/>
              </w:rPr>
            </w:pPr>
            <w:r w:rsidRPr="007938ED">
              <w:rPr>
                <w:rFonts w:asciiTheme="majorHAnsi" w:hAnsiTheme="majorHAnsi"/>
                <w:sz w:val="18"/>
                <w:szCs w:val="12"/>
              </w:rPr>
              <w:t>Supply</w:t>
            </w:r>
          </w:p>
        </w:tc>
        <w:tc>
          <w:tcPr>
            <w:tcW w:w="0" w:type="auto"/>
            <w:hideMark/>
          </w:tcPr>
          <w:p w:rsidRPr="007938ED" w:rsidR="00D31E46" w:rsidP="00D31E46" w:rsidRDefault="00D31E46" w14:paraId="05D3658B"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19EB39CC"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701518B4"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1BDBE5D4" w14:textId="77777777">
        <w:trPr>
          <w:trHeight w:val="583"/>
        </w:trPr>
        <w:tc>
          <w:tcPr>
            <w:tcW w:w="0" w:type="auto"/>
            <w:noWrap/>
            <w:hideMark/>
          </w:tcPr>
          <w:p w:rsidRPr="007938ED" w:rsidR="00D31E46" w:rsidRDefault="00D31E46" w14:paraId="61CA52B1" w14:textId="77777777">
            <w:pPr>
              <w:rPr>
                <w:rFonts w:asciiTheme="majorHAnsi" w:hAnsiTheme="majorHAnsi"/>
                <w:sz w:val="18"/>
                <w:szCs w:val="12"/>
              </w:rPr>
            </w:pPr>
            <w:r w:rsidRPr="007938ED">
              <w:rPr>
                <w:rFonts w:asciiTheme="majorHAnsi" w:hAnsiTheme="majorHAnsi"/>
                <w:sz w:val="18"/>
                <w:szCs w:val="12"/>
              </w:rPr>
              <w:t>MS4</w:t>
            </w:r>
          </w:p>
        </w:tc>
        <w:tc>
          <w:tcPr>
            <w:tcW w:w="0" w:type="auto"/>
            <w:noWrap/>
            <w:hideMark/>
          </w:tcPr>
          <w:p w:rsidRPr="007938ED" w:rsidR="00D31E46" w:rsidRDefault="00D31E46" w14:paraId="29D3421E"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289C4F5E" w14:textId="77777777">
            <w:pPr>
              <w:rPr>
                <w:rFonts w:asciiTheme="majorHAnsi" w:hAnsiTheme="majorHAnsi"/>
                <w:sz w:val="18"/>
                <w:szCs w:val="12"/>
              </w:rPr>
            </w:pPr>
            <w:r w:rsidRPr="007938ED">
              <w:rPr>
                <w:rFonts w:asciiTheme="majorHAnsi" w:hAnsiTheme="majorHAnsi"/>
                <w:sz w:val="18"/>
                <w:szCs w:val="12"/>
              </w:rPr>
              <w:t xml:space="preserve">Percent of total WE&amp;T program participants that meet the definition of disadvantaged worker (Q, S); </w:t>
            </w:r>
          </w:p>
        </w:tc>
        <w:tc>
          <w:tcPr>
            <w:tcW w:w="0" w:type="auto"/>
            <w:hideMark/>
          </w:tcPr>
          <w:p w:rsidRPr="007938ED" w:rsidR="00D31E46" w:rsidRDefault="00D31E46" w14:paraId="0F9D942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2B496F31" w14:textId="77777777">
            <w:pPr>
              <w:rPr>
                <w:rFonts w:asciiTheme="majorHAnsi" w:hAnsiTheme="majorHAnsi"/>
                <w:sz w:val="18"/>
                <w:szCs w:val="12"/>
              </w:rPr>
            </w:pPr>
            <w:r w:rsidRPr="007938ED">
              <w:rPr>
                <w:rFonts w:asciiTheme="majorHAnsi" w:hAnsiTheme="majorHAnsi"/>
                <w:sz w:val="18"/>
                <w:szCs w:val="12"/>
              </w:rPr>
              <w:t>Supply</w:t>
            </w:r>
          </w:p>
        </w:tc>
        <w:tc>
          <w:tcPr>
            <w:tcW w:w="0" w:type="auto"/>
            <w:hideMark/>
          </w:tcPr>
          <w:p w:rsidRPr="007938ED" w:rsidR="00D31E46" w:rsidP="00D31E46" w:rsidRDefault="00D31E46" w14:paraId="3B3B682B"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71180A64"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42539730"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59A48C61" w14:textId="77777777">
        <w:trPr>
          <w:trHeight w:val="875"/>
        </w:trPr>
        <w:tc>
          <w:tcPr>
            <w:tcW w:w="0" w:type="auto"/>
            <w:noWrap/>
            <w:hideMark/>
          </w:tcPr>
          <w:p w:rsidRPr="007938ED" w:rsidR="00D31E46" w:rsidRDefault="00D31E46" w14:paraId="5E0CC43D" w14:textId="77777777">
            <w:pPr>
              <w:rPr>
                <w:rFonts w:asciiTheme="majorHAnsi" w:hAnsiTheme="majorHAnsi"/>
                <w:sz w:val="18"/>
                <w:szCs w:val="12"/>
              </w:rPr>
            </w:pPr>
            <w:r w:rsidRPr="007938ED">
              <w:rPr>
                <w:rFonts w:asciiTheme="majorHAnsi" w:hAnsiTheme="majorHAnsi"/>
                <w:sz w:val="18"/>
                <w:szCs w:val="12"/>
              </w:rPr>
              <w:t>MS5</w:t>
            </w:r>
          </w:p>
        </w:tc>
        <w:tc>
          <w:tcPr>
            <w:tcW w:w="0" w:type="auto"/>
            <w:noWrap/>
            <w:hideMark/>
          </w:tcPr>
          <w:p w:rsidRPr="007938ED" w:rsidR="00D31E46" w:rsidRDefault="00D31E46" w14:paraId="2AD14A47"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3A1B51C5" w14:textId="77777777">
            <w:pPr>
              <w:rPr>
                <w:rFonts w:asciiTheme="majorHAnsi" w:hAnsiTheme="majorHAnsi"/>
                <w:sz w:val="18"/>
                <w:szCs w:val="12"/>
              </w:rPr>
            </w:pPr>
            <w:r w:rsidRPr="007938ED">
              <w:rPr>
                <w:rFonts w:asciiTheme="majorHAnsi" w:hAnsiTheme="majorHAnsi"/>
                <w:sz w:val="18"/>
                <w:szCs w:val="12"/>
              </w:rPr>
              <w:t xml:space="preserve">Number of career and workforce readiness participants who have been employed for 12 months after receiving the training (A, S); </w:t>
            </w:r>
          </w:p>
        </w:tc>
        <w:tc>
          <w:tcPr>
            <w:tcW w:w="0" w:type="auto"/>
            <w:hideMark/>
          </w:tcPr>
          <w:p w:rsidRPr="007938ED" w:rsidR="00D31E46" w:rsidRDefault="00D31E46" w14:paraId="451CD373"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7DE8B74B" w14:textId="77777777">
            <w:pPr>
              <w:rPr>
                <w:rFonts w:asciiTheme="majorHAnsi" w:hAnsiTheme="majorHAnsi"/>
                <w:sz w:val="18"/>
                <w:szCs w:val="12"/>
              </w:rPr>
            </w:pPr>
            <w:r w:rsidRPr="007938ED">
              <w:rPr>
                <w:rFonts w:asciiTheme="majorHAnsi" w:hAnsiTheme="majorHAnsi"/>
                <w:sz w:val="18"/>
                <w:szCs w:val="12"/>
              </w:rPr>
              <w:t>Supply</w:t>
            </w:r>
          </w:p>
        </w:tc>
        <w:tc>
          <w:tcPr>
            <w:tcW w:w="0" w:type="auto"/>
            <w:hideMark/>
          </w:tcPr>
          <w:p w:rsidRPr="007938ED" w:rsidR="00D31E46" w:rsidP="00D31E46" w:rsidRDefault="00D31E46" w14:paraId="63CCB440"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3F2BECC4"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1326FC2A" w14:textId="77777777">
            <w:pPr>
              <w:rPr>
                <w:rFonts w:asciiTheme="majorHAnsi" w:hAnsiTheme="majorHAnsi"/>
                <w:sz w:val="18"/>
                <w:szCs w:val="12"/>
              </w:rPr>
            </w:pPr>
            <w:r w:rsidRPr="007938ED">
              <w:rPr>
                <w:rFonts w:asciiTheme="majorHAnsi" w:hAnsiTheme="majorHAnsi"/>
                <w:sz w:val="18"/>
                <w:szCs w:val="12"/>
              </w:rPr>
              <w:t>Counts</w:t>
            </w:r>
          </w:p>
        </w:tc>
      </w:tr>
      <w:tr w:rsidRPr="007938ED" w:rsidR="00CE6F7B" w:rsidTr="007938ED" w14:paraId="0813AED3" w14:textId="77777777">
        <w:trPr>
          <w:trHeight w:val="875"/>
        </w:trPr>
        <w:tc>
          <w:tcPr>
            <w:tcW w:w="0" w:type="auto"/>
            <w:noWrap/>
            <w:hideMark/>
          </w:tcPr>
          <w:p w:rsidRPr="007938ED" w:rsidR="00D31E46" w:rsidRDefault="00D31E46" w14:paraId="18AA5D20" w14:textId="77777777">
            <w:pPr>
              <w:rPr>
                <w:rFonts w:asciiTheme="majorHAnsi" w:hAnsiTheme="majorHAnsi"/>
                <w:sz w:val="18"/>
                <w:szCs w:val="12"/>
              </w:rPr>
            </w:pPr>
            <w:r w:rsidRPr="007938ED">
              <w:rPr>
                <w:rFonts w:asciiTheme="majorHAnsi" w:hAnsiTheme="majorHAnsi"/>
                <w:sz w:val="18"/>
                <w:szCs w:val="12"/>
              </w:rPr>
              <w:lastRenderedPageBreak/>
              <w:t>MS6</w:t>
            </w:r>
          </w:p>
        </w:tc>
        <w:tc>
          <w:tcPr>
            <w:tcW w:w="0" w:type="auto"/>
            <w:noWrap/>
            <w:hideMark/>
          </w:tcPr>
          <w:p w:rsidRPr="007938ED" w:rsidR="00D31E46" w:rsidRDefault="00D31E46" w14:paraId="5AC36014"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1449B5BC" w14:textId="77777777">
            <w:pPr>
              <w:rPr>
                <w:rFonts w:asciiTheme="majorHAnsi" w:hAnsiTheme="majorHAnsi"/>
                <w:sz w:val="18"/>
                <w:szCs w:val="12"/>
              </w:rPr>
            </w:pPr>
            <w:r w:rsidRPr="007938ED">
              <w:rPr>
                <w:rFonts w:asciiTheme="majorHAnsi" w:hAnsiTheme="majorHAnsi"/>
                <w:sz w:val="18"/>
                <w:szCs w:val="12"/>
              </w:rPr>
              <w:t xml:space="preserve">Prior year percentage of new measures added to the portfolio that were previously emerging technology program (ETP) technologies (A, P); </w:t>
            </w:r>
          </w:p>
        </w:tc>
        <w:tc>
          <w:tcPr>
            <w:tcW w:w="0" w:type="auto"/>
            <w:hideMark/>
          </w:tcPr>
          <w:p w:rsidRPr="007938ED" w:rsidR="00D31E46" w:rsidRDefault="00D31E46" w14:paraId="6ACDB84C"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712434FE"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1511D802"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8986F35"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3AEF4415"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2999C127" w14:textId="77777777">
        <w:trPr>
          <w:trHeight w:val="583"/>
        </w:trPr>
        <w:tc>
          <w:tcPr>
            <w:tcW w:w="0" w:type="auto"/>
            <w:noWrap/>
            <w:hideMark/>
          </w:tcPr>
          <w:p w:rsidRPr="007938ED" w:rsidR="00D31E46" w:rsidRDefault="00D31E46" w14:paraId="76269C48" w14:textId="77777777">
            <w:pPr>
              <w:rPr>
                <w:rFonts w:asciiTheme="majorHAnsi" w:hAnsiTheme="majorHAnsi"/>
                <w:sz w:val="18"/>
                <w:szCs w:val="12"/>
              </w:rPr>
            </w:pPr>
            <w:r w:rsidRPr="007938ED">
              <w:rPr>
                <w:rFonts w:asciiTheme="majorHAnsi" w:hAnsiTheme="majorHAnsi"/>
                <w:sz w:val="18"/>
                <w:szCs w:val="12"/>
              </w:rPr>
              <w:t>MS7</w:t>
            </w:r>
          </w:p>
        </w:tc>
        <w:tc>
          <w:tcPr>
            <w:tcW w:w="0" w:type="auto"/>
            <w:noWrap/>
            <w:hideMark/>
          </w:tcPr>
          <w:p w:rsidRPr="007938ED" w:rsidR="00D31E46" w:rsidRDefault="00D31E46" w14:paraId="424668DF"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22321073" w14:textId="77777777">
            <w:pPr>
              <w:rPr>
                <w:rFonts w:asciiTheme="majorHAnsi" w:hAnsiTheme="majorHAnsi"/>
                <w:sz w:val="18"/>
                <w:szCs w:val="12"/>
              </w:rPr>
            </w:pPr>
            <w:r w:rsidRPr="007938ED">
              <w:rPr>
                <w:rFonts w:asciiTheme="majorHAnsi" w:hAnsiTheme="majorHAnsi"/>
                <w:sz w:val="18"/>
                <w:szCs w:val="12"/>
              </w:rPr>
              <w:t xml:space="preserve">Prior year number of new measures added to the portfolio that were previously ETP technologies (A, P); </w:t>
            </w:r>
          </w:p>
        </w:tc>
        <w:tc>
          <w:tcPr>
            <w:tcW w:w="0" w:type="auto"/>
            <w:hideMark/>
          </w:tcPr>
          <w:p w:rsidRPr="007938ED" w:rsidR="00D31E46" w:rsidRDefault="00D31E46" w14:paraId="75ADD2A8"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287770CB"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092ED5AB"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4C7C441"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5EC0E839" w14:textId="77777777">
            <w:pPr>
              <w:rPr>
                <w:rFonts w:asciiTheme="majorHAnsi" w:hAnsiTheme="majorHAnsi"/>
                <w:sz w:val="18"/>
                <w:szCs w:val="12"/>
              </w:rPr>
            </w:pPr>
            <w:r w:rsidRPr="007938ED">
              <w:rPr>
                <w:rFonts w:asciiTheme="majorHAnsi" w:hAnsiTheme="majorHAnsi"/>
                <w:sz w:val="18"/>
                <w:szCs w:val="12"/>
              </w:rPr>
              <w:t>Counts</w:t>
            </w:r>
          </w:p>
        </w:tc>
      </w:tr>
      <w:tr w:rsidRPr="007938ED" w:rsidR="00CE6F7B" w:rsidTr="007938ED" w14:paraId="28D0A50C" w14:textId="77777777">
        <w:trPr>
          <w:trHeight w:val="583"/>
        </w:trPr>
        <w:tc>
          <w:tcPr>
            <w:tcW w:w="0" w:type="auto"/>
            <w:noWrap/>
            <w:hideMark/>
          </w:tcPr>
          <w:p w:rsidRPr="007938ED" w:rsidR="00D31E46" w:rsidRDefault="00D31E46" w14:paraId="0A93C4F8" w14:textId="77777777">
            <w:pPr>
              <w:rPr>
                <w:rFonts w:asciiTheme="majorHAnsi" w:hAnsiTheme="majorHAnsi"/>
                <w:sz w:val="18"/>
                <w:szCs w:val="12"/>
              </w:rPr>
            </w:pPr>
            <w:r w:rsidRPr="007938ED">
              <w:rPr>
                <w:rFonts w:asciiTheme="majorHAnsi" w:hAnsiTheme="majorHAnsi"/>
                <w:sz w:val="18"/>
                <w:szCs w:val="12"/>
              </w:rPr>
              <w:t>MS8</w:t>
            </w:r>
          </w:p>
        </w:tc>
        <w:tc>
          <w:tcPr>
            <w:tcW w:w="0" w:type="auto"/>
            <w:noWrap/>
            <w:hideMark/>
          </w:tcPr>
          <w:p w:rsidRPr="007938ED" w:rsidR="00D31E46" w:rsidRDefault="00D31E46" w14:paraId="61F822BA"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07592219" w14:textId="77777777">
            <w:pPr>
              <w:rPr>
                <w:rFonts w:asciiTheme="majorHAnsi" w:hAnsiTheme="majorHAnsi"/>
                <w:sz w:val="18"/>
                <w:szCs w:val="12"/>
              </w:rPr>
            </w:pPr>
            <w:r w:rsidRPr="007938ED">
              <w:rPr>
                <w:rFonts w:asciiTheme="majorHAnsi" w:hAnsiTheme="majorHAnsi"/>
                <w:sz w:val="18"/>
                <w:szCs w:val="12"/>
              </w:rPr>
              <w:t xml:space="preserve">Prior year percentage of new codes or standards that were previously ETP technologies (A, P); </w:t>
            </w:r>
          </w:p>
        </w:tc>
        <w:tc>
          <w:tcPr>
            <w:tcW w:w="0" w:type="auto"/>
            <w:hideMark/>
          </w:tcPr>
          <w:p w:rsidRPr="007938ED" w:rsidR="00D31E46" w:rsidRDefault="00D31E46" w14:paraId="017DDB79"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545961E2"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040D0C66"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03A15636"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5F750F16" w14:textId="77777777">
            <w:pPr>
              <w:rPr>
                <w:rFonts w:asciiTheme="majorHAnsi" w:hAnsiTheme="majorHAnsi"/>
                <w:sz w:val="18"/>
                <w:szCs w:val="12"/>
              </w:rPr>
            </w:pPr>
            <w:r w:rsidRPr="007938ED">
              <w:rPr>
                <w:rFonts w:asciiTheme="majorHAnsi" w:hAnsiTheme="majorHAnsi"/>
                <w:sz w:val="18"/>
                <w:szCs w:val="12"/>
              </w:rPr>
              <w:t>Percent</w:t>
            </w:r>
          </w:p>
        </w:tc>
      </w:tr>
      <w:tr w:rsidRPr="007938ED" w:rsidR="00CE6F7B" w:rsidTr="007938ED" w14:paraId="69919E2B" w14:textId="77777777">
        <w:trPr>
          <w:trHeight w:val="592"/>
        </w:trPr>
        <w:tc>
          <w:tcPr>
            <w:tcW w:w="0" w:type="auto"/>
            <w:noWrap/>
            <w:hideMark/>
          </w:tcPr>
          <w:p w:rsidRPr="007938ED" w:rsidR="00D31E46" w:rsidRDefault="00D31E46" w14:paraId="67587FF8" w14:textId="77777777">
            <w:pPr>
              <w:rPr>
                <w:rFonts w:asciiTheme="majorHAnsi" w:hAnsiTheme="majorHAnsi"/>
                <w:sz w:val="18"/>
                <w:szCs w:val="12"/>
              </w:rPr>
            </w:pPr>
            <w:r w:rsidRPr="007938ED">
              <w:rPr>
                <w:rFonts w:asciiTheme="majorHAnsi" w:hAnsiTheme="majorHAnsi"/>
                <w:sz w:val="18"/>
                <w:szCs w:val="12"/>
              </w:rPr>
              <w:t>MS9</w:t>
            </w:r>
          </w:p>
        </w:tc>
        <w:tc>
          <w:tcPr>
            <w:tcW w:w="0" w:type="auto"/>
            <w:noWrap/>
            <w:hideMark/>
          </w:tcPr>
          <w:p w:rsidRPr="007938ED" w:rsidR="00D31E46" w:rsidRDefault="00D31E46" w14:paraId="4932394A" w14:textId="77777777">
            <w:pPr>
              <w:rPr>
                <w:rFonts w:asciiTheme="majorHAnsi" w:hAnsiTheme="majorHAnsi"/>
                <w:sz w:val="18"/>
                <w:szCs w:val="12"/>
              </w:rPr>
            </w:pPr>
            <w:r w:rsidRPr="007938ED">
              <w:rPr>
                <w:rFonts w:asciiTheme="majorHAnsi" w:hAnsiTheme="majorHAnsi"/>
                <w:sz w:val="18"/>
                <w:szCs w:val="12"/>
              </w:rPr>
              <w:t>Not applicable</w:t>
            </w:r>
          </w:p>
        </w:tc>
        <w:tc>
          <w:tcPr>
            <w:tcW w:w="0" w:type="auto"/>
            <w:hideMark/>
          </w:tcPr>
          <w:p w:rsidRPr="007938ED" w:rsidR="00D31E46" w:rsidRDefault="00D31E46" w14:paraId="26CCB0D0" w14:textId="77777777">
            <w:pPr>
              <w:rPr>
                <w:rFonts w:asciiTheme="majorHAnsi" w:hAnsiTheme="majorHAnsi"/>
                <w:sz w:val="18"/>
                <w:szCs w:val="12"/>
              </w:rPr>
            </w:pPr>
            <w:r w:rsidRPr="007938ED">
              <w:rPr>
                <w:rFonts w:asciiTheme="majorHAnsi" w:hAnsiTheme="majorHAnsi"/>
                <w:sz w:val="18"/>
                <w:szCs w:val="12"/>
              </w:rPr>
              <w:t xml:space="preserve">Prior year number of new codes and standards that were previously ETP technologies (A, P); </w:t>
            </w:r>
          </w:p>
        </w:tc>
        <w:tc>
          <w:tcPr>
            <w:tcW w:w="0" w:type="auto"/>
            <w:hideMark/>
          </w:tcPr>
          <w:p w:rsidRPr="007938ED" w:rsidR="00D31E46" w:rsidRDefault="00D31E46" w14:paraId="15A7E8BE"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RDefault="00D31E46" w14:paraId="659877F2" w14:textId="77777777">
            <w:pPr>
              <w:rPr>
                <w:rFonts w:asciiTheme="majorHAnsi" w:hAnsiTheme="majorHAnsi"/>
                <w:sz w:val="18"/>
                <w:szCs w:val="12"/>
              </w:rPr>
            </w:pPr>
            <w:r w:rsidRPr="007938ED">
              <w:rPr>
                <w:rFonts w:asciiTheme="majorHAnsi" w:hAnsiTheme="majorHAnsi"/>
                <w:sz w:val="18"/>
                <w:szCs w:val="12"/>
              </w:rPr>
              <w:t>Innovation and Accessibility</w:t>
            </w:r>
          </w:p>
        </w:tc>
        <w:tc>
          <w:tcPr>
            <w:tcW w:w="0" w:type="auto"/>
            <w:hideMark/>
          </w:tcPr>
          <w:p w:rsidRPr="007938ED" w:rsidR="00D31E46" w:rsidP="00D31E46" w:rsidRDefault="00D31E46" w14:paraId="253E5E3A" w14:textId="77777777">
            <w:pPr>
              <w:rPr>
                <w:rFonts w:asciiTheme="majorHAnsi" w:hAnsiTheme="majorHAnsi"/>
                <w:sz w:val="18"/>
                <w:szCs w:val="12"/>
              </w:rPr>
            </w:pPr>
            <w:r w:rsidRPr="007938ED">
              <w:rPr>
                <w:rFonts w:asciiTheme="majorHAnsi" w:hAnsiTheme="majorHAnsi"/>
                <w:sz w:val="18"/>
                <w:szCs w:val="12"/>
              </w:rPr>
              <w:t>Indicator</w:t>
            </w:r>
          </w:p>
        </w:tc>
        <w:tc>
          <w:tcPr>
            <w:tcW w:w="0" w:type="auto"/>
            <w:hideMark/>
          </w:tcPr>
          <w:p w:rsidRPr="007938ED" w:rsidR="00D31E46" w:rsidP="00D31E46" w:rsidRDefault="00D31E46" w14:paraId="64B18C58" w14:textId="77777777">
            <w:pPr>
              <w:rPr>
                <w:rFonts w:asciiTheme="majorHAnsi" w:hAnsiTheme="majorHAnsi"/>
                <w:sz w:val="18"/>
                <w:szCs w:val="12"/>
              </w:rPr>
            </w:pPr>
            <w:r w:rsidRPr="007938ED">
              <w:rPr>
                <w:rFonts w:asciiTheme="majorHAnsi" w:hAnsiTheme="majorHAnsi"/>
                <w:sz w:val="18"/>
                <w:szCs w:val="12"/>
              </w:rPr>
              <w:t>Y</w:t>
            </w:r>
          </w:p>
        </w:tc>
        <w:tc>
          <w:tcPr>
            <w:tcW w:w="0" w:type="auto"/>
            <w:hideMark/>
          </w:tcPr>
          <w:p w:rsidRPr="007938ED" w:rsidR="00D31E46" w:rsidP="00D31E46" w:rsidRDefault="00D31E46" w14:paraId="0A61EB6E" w14:textId="77777777">
            <w:pPr>
              <w:rPr>
                <w:rFonts w:asciiTheme="majorHAnsi" w:hAnsiTheme="majorHAnsi"/>
                <w:sz w:val="18"/>
                <w:szCs w:val="12"/>
              </w:rPr>
            </w:pPr>
            <w:r w:rsidRPr="007938ED">
              <w:rPr>
                <w:rFonts w:asciiTheme="majorHAnsi" w:hAnsiTheme="majorHAnsi"/>
                <w:sz w:val="18"/>
                <w:szCs w:val="12"/>
              </w:rPr>
              <w:t>Counts</w:t>
            </w:r>
          </w:p>
        </w:tc>
      </w:tr>
    </w:tbl>
    <w:p w:rsidR="00A855ED" w:rsidRDefault="00A855ED" w14:paraId="1352C233" w14:textId="77777777">
      <w:pPr>
        <w:rPr>
          <w:rFonts w:asciiTheme="majorHAnsi" w:hAnsiTheme="majorHAnsi"/>
        </w:rPr>
        <w:sectPr w:rsidR="00A855ED" w:rsidSect="00F30740">
          <w:headerReference w:type="default" r:id="rId22"/>
          <w:footerReference w:type="default" r:id="rId23"/>
          <w:headerReference w:type="first" r:id="rId24"/>
          <w:footerReference w:type="first" r:id="rId25"/>
          <w:pgSz w:w="15840" w:h="12240" w:orient="landscape" w:code="1"/>
          <w:pgMar w:top="1440" w:right="1440" w:bottom="1440" w:left="1440" w:header="720" w:footer="720" w:gutter="0"/>
          <w:cols w:space="720"/>
          <w:titlePg/>
          <w:docGrid w:linePitch="354"/>
        </w:sectPr>
      </w:pPr>
      <w:r w:rsidRPr="008160C5">
        <w:rPr>
          <w:rFonts w:ascii="Palatino Linotype" w:hAnsi="Palatino Linotype" w:cs="Arial"/>
          <w:noProof/>
          <w:sz w:val="24"/>
          <w:szCs w:val="24"/>
        </w:rPr>
        <mc:AlternateContent>
          <mc:Choice Requires="wps">
            <w:drawing>
              <wp:anchor distT="45720" distB="45720" distL="114300" distR="114300" simplePos="0" relativeHeight="251661312" behindDoc="0" locked="0" layoutInCell="1" allowOverlap="1" wp14:editId="323DD9F8" wp14:anchorId="0BC61F7D">
                <wp:simplePos x="0" y="0"/>
                <wp:positionH relativeFrom="column">
                  <wp:posOffset>3147060</wp:posOffset>
                </wp:positionH>
                <wp:positionV relativeFrom="paragraph">
                  <wp:posOffset>2598420</wp:posOffset>
                </wp:positionV>
                <wp:extent cx="1920240" cy="1404620"/>
                <wp:effectExtent l="0" t="0" r="0" b="0"/>
                <wp:wrapSquare wrapText="bothSides"/>
                <wp:docPr id="769159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404620"/>
                        </a:xfrm>
                        <a:prstGeom prst="rect">
                          <a:avLst/>
                        </a:prstGeom>
                        <a:noFill/>
                        <a:ln w="9525">
                          <a:noFill/>
                          <a:miter lim="800000"/>
                          <a:headEnd/>
                          <a:tailEnd/>
                        </a:ln>
                      </wps:spPr>
                      <wps:txbx>
                        <w:txbxContent>
                          <w:p w:rsidRPr="00A855ED" w:rsidR="00A855ED" w:rsidP="00A855ED" w:rsidRDefault="00A855ED" w14:paraId="64FDBDC4" w14:textId="67988846">
                            <w:pPr>
                              <w:rPr>
                                <w:rFonts w:ascii="Palatino Linotype" w:hAnsi="Palatino Linotype"/>
                                <w:b/>
                                <w:bCs/>
                                <w:sz w:val="24"/>
                                <w:szCs w:val="24"/>
                              </w:rPr>
                            </w:pPr>
                            <w:r w:rsidRPr="00A855ED">
                              <w:rPr>
                                <w:rFonts w:ascii="Palatino Linotype" w:hAnsi="Palatino Linotype"/>
                                <w:b/>
                                <w:bCs/>
                                <w:sz w:val="24"/>
                                <w:szCs w:val="24"/>
                              </w:rPr>
                              <w:t xml:space="preserve">END OF APPENDIX </w:t>
                            </w:r>
                            <w:r>
                              <w:rPr>
                                <w:rFonts w:ascii="Palatino Linotype" w:hAnsi="Palatino Linotype"/>
                                <w:b/>
                                <w:bCs/>
                                <w:sz w:val="24"/>
                                <w:szCs w:val="24"/>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247.8pt;margin-top:204.6pt;width:151.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" w14:anchorId="0BC61F7D">
                <v:textbox style="mso-fit-shape-to-text:t">
                  <w:txbxContent>
                    <w:p w:rsidRPr="00A855ED" w:rsidR="00A855ED" w:rsidP="00A855ED" w:rsidRDefault="00A855ED" w14:paraId="64FDBDC4" w14:textId="67988846">
                      <w:pPr>
                        <w:rPr>
                          <w:rFonts w:ascii="Palatino Linotype" w:hAnsi="Palatino Linotype"/>
                          <w:b/>
                          <w:bCs/>
                          <w:sz w:val="24"/>
                          <w:szCs w:val="24"/>
                        </w:rPr>
                      </w:pPr>
                      <w:r w:rsidRPr="00A855ED">
                        <w:rPr>
                          <w:rFonts w:ascii="Palatino Linotype" w:hAnsi="Palatino Linotype"/>
                          <w:b/>
                          <w:bCs/>
                          <w:sz w:val="24"/>
                          <w:szCs w:val="24"/>
                        </w:rPr>
                        <w:t xml:space="preserve">END OF APPENDIX </w:t>
                      </w:r>
                      <w:r>
                        <w:rPr>
                          <w:rFonts w:ascii="Palatino Linotype" w:hAnsi="Palatino Linotype"/>
                          <w:b/>
                          <w:bCs/>
                          <w:sz w:val="24"/>
                          <w:szCs w:val="24"/>
                        </w:rPr>
                        <w:t>B</w:t>
                      </w:r>
                    </w:p>
                  </w:txbxContent>
                </v:textbox>
                <w10:wrap type="square"/>
              </v:shape>
            </w:pict>
          </mc:Fallback>
        </mc:AlternateContent>
      </w:r>
      <w:r w:rsidRPr="00D31E46" w:rsidR="00D31E46">
        <w:rPr>
          <w:rFonts w:asciiTheme="majorHAnsi" w:hAnsiTheme="majorHAnsi"/>
        </w:rPr>
        <w:t xml:space="preserve"> </w:t>
      </w:r>
      <w:r w:rsidR="00630C1B">
        <w:rPr>
          <w:rFonts w:asciiTheme="majorHAnsi" w:hAnsiTheme="majorHAnsi"/>
        </w:rPr>
        <w:br w:type="page"/>
      </w:r>
    </w:p>
    <w:p w:rsidR="00630C1B" w:rsidRDefault="00630C1B" w14:paraId="5EF42B80" w14:textId="6291BB2A">
      <w:pPr>
        <w:rPr>
          <w:rFonts w:asciiTheme="majorHAnsi" w:hAnsiTheme="majorHAnsi"/>
        </w:rPr>
      </w:pPr>
    </w:p>
    <w:p w:rsidR="007534C6" w:rsidRDefault="007534C6" w14:paraId="0F00E067" w14:textId="77777777">
      <w:pPr>
        <w:rPr>
          <w:rFonts w:asciiTheme="majorHAnsi" w:hAnsiTheme="majorHAnsi"/>
        </w:rPr>
      </w:pPr>
    </w:p>
    <w:p w:rsidR="007534C6" w:rsidRDefault="007534C6" w14:paraId="2EF93790" w14:textId="77777777">
      <w:pPr>
        <w:rPr>
          <w:rFonts w:asciiTheme="majorHAnsi" w:hAnsiTheme="majorHAnsi"/>
        </w:rPr>
      </w:pPr>
    </w:p>
    <w:p w:rsidR="007534C6" w:rsidRDefault="007534C6" w14:paraId="78CB8A62" w14:textId="77777777">
      <w:pPr>
        <w:rPr>
          <w:rFonts w:asciiTheme="majorHAnsi" w:hAnsiTheme="majorHAnsi"/>
        </w:rPr>
      </w:pPr>
    </w:p>
    <w:p w:rsidR="007534C6" w:rsidRDefault="007534C6" w14:paraId="2225062D" w14:textId="77777777">
      <w:pPr>
        <w:rPr>
          <w:rFonts w:asciiTheme="majorHAnsi" w:hAnsiTheme="majorHAnsi"/>
        </w:rPr>
      </w:pPr>
    </w:p>
    <w:p w:rsidR="007534C6" w:rsidRDefault="007534C6" w14:paraId="73934709" w14:textId="77777777">
      <w:pPr>
        <w:rPr>
          <w:rFonts w:asciiTheme="majorHAnsi" w:hAnsiTheme="majorHAnsi"/>
        </w:rPr>
      </w:pPr>
    </w:p>
    <w:p w:rsidR="007534C6" w:rsidRDefault="007534C6" w14:paraId="025A0187" w14:textId="77777777">
      <w:pPr>
        <w:rPr>
          <w:rFonts w:asciiTheme="majorHAnsi" w:hAnsiTheme="majorHAnsi"/>
        </w:rPr>
      </w:pPr>
    </w:p>
    <w:p w:rsidR="007534C6" w:rsidRDefault="007534C6" w14:paraId="632C467D" w14:textId="77777777">
      <w:pPr>
        <w:rPr>
          <w:rFonts w:asciiTheme="majorHAnsi" w:hAnsiTheme="majorHAnsi"/>
        </w:rPr>
      </w:pPr>
    </w:p>
    <w:p w:rsidR="007534C6" w:rsidRDefault="007534C6" w14:paraId="71D2E9BB" w14:textId="77777777">
      <w:pPr>
        <w:rPr>
          <w:rFonts w:asciiTheme="majorHAnsi" w:hAnsiTheme="majorHAnsi"/>
        </w:rPr>
      </w:pPr>
    </w:p>
    <w:p w:rsidR="007534C6" w:rsidRDefault="007534C6" w14:paraId="7B5B90CE" w14:textId="77777777">
      <w:pPr>
        <w:rPr>
          <w:rFonts w:asciiTheme="majorHAnsi" w:hAnsiTheme="majorHAnsi"/>
        </w:rPr>
      </w:pPr>
    </w:p>
    <w:p w:rsidRPr="008160C5" w:rsidR="007534C6" w:rsidP="007534C6" w:rsidRDefault="007534C6" w14:paraId="44A499F5" w14:textId="75DFF691">
      <w:pPr>
        <w:jc w:val="center"/>
        <w:rPr>
          <w:sz w:val="48"/>
          <w:szCs w:val="48"/>
        </w:rPr>
      </w:pPr>
      <w:r w:rsidRPr="008160C5">
        <w:rPr>
          <w:rFonts w:asciiTheme="majorHAnsi" w:hAnsiTheme="majorHAnsi"/>
          <w:sz w:val="48"/>
          <w:szCs w:val="48"/>
        </w:rPr>
        <w:t xml:space="preserve">Appendix </w:t>
      </w:r>
      <w:r>
        <w:rPr>
          <w:rFonts w:asciiTheme="majorHAnsi" w:hAnsiTheme="majorHAnsi"/>
          <w:sz w:val="48"/>
          <w:szCs w:val="48"/>
        </w:rPr>
        <w:t>C</w:t>
      </w:r>
    </w:p>
    <w:p w:rsidR="007534C6" w:rsidRDefault="007534C6" w14:paraId="62467934" w14:textId="77777777">
      <w:pPr>
        <w:rPr>
          <w:rFonts w:asciiTheme="majorHAnsi" w:hAnsiTheme="majorHAnsi"/>
        </w:rPr>
      </w:pPr>
    </w:p>
    <w:p w:rsidR="00F30740" w:rsidRDefault="00F30740" w14:paraId="71B101E8" w14:textId="77777777">
      <w:pPr>
        <w:rPr>
          <w:rFonts w:asciiTheme="majorHAnsi" w:hAnsiTheme="majorHAnsi"/>
        </w:rPr>
      </w:pPr>
    </w:p>
    <w:p w:rsidR="00A855ED" w:rsidRDefault="00A855ED" w14:paraId="3E7F1CCE" w14:textId="77777777">
      <w:pPr>
        <w:rPr>
          <w:rFonts w:asciiTheme="majorHAnsi" w:hAnsiTheme="majorHAnsi"/>
        </w:rPr>
        <w:sectPr w:rsidR="00A855ED" w:rsidSect="005474D7">
          <w:headerReference w:type="first" r:id="rId26"/>
          <w:footerReference w:type="first" r:id="rId27"/>
          <w:pgSz w:w="12240" w:h="15840" w:code="1"/>
          <w:pgMar w:top="1440" w:right="1440" w:bottom="1440" w:left="1440" w:header="720" w:footer="720" w:gutter="0"/>
          <w:pgNumType w:start="1"/>
          <w:cols w:space="720"/>
          <w:titlePg/>
          <w:docGrid w:linePitch="354"/>
        </w:sectPr>
      </w:pPr>
    </w:p>
    <w:p w:rsidR="00A6553D" w:rsidP="00A73E71" w:rsidRDefault="00630C1B" w14:paraId="0741DAE3" w14:textId="4DEFB9A0">
      <w:pPr>
        <w:rPr>
          <w:rFonts w:asciiTheme="majorHAnsi" w:hAnsiTheme="majorHAnsi"/>
        </w:rPr>
      </w:pPr>
      <w:r>
        <w:rPr>
          <w:rFonts w:asciiTheme="majorHAnsi" w:hAnsiTheme="majorHAnsi"/>
        </w:rPr>
        <w:lastRenderedPageBreak/>
        <w:t>Appendix C</w:t>
      </w:r>
      <w:r w:rsidR="00AE2E92">
        <w:rPr>
          <w:rFonts w:asciiTheme="majorHAnsi" w:hAnsiTheme="majorHAnsi"/>
        </w:rPr>
        <w:t xml:space="preserve"> – Describing Participants</w:t>
      </w:r>
    </w:p>
    <w:p w:rsidR="00630C1B" w:rsidP="00A73E71" w:rsidRDefault="00630C1B" w14:paraId="332A6A90" w14:textId="77777777">
      <w:pPr>
        <w:rPr>
          <w:rFonts w:asciiTheme="majorHAnsi" w:hAnsiTheme="majorHAnsi"/>
        </w:rPr>
      </w:pPr>
    </w:p>
    <w:p w:rsidR="00630C1B" w:rsidP="005151A5" w:rsidRDefault="00630C1B" w14:paraId="019B6A50" w14:textId="77777777">
      <w:pPr>
        <w:rPr>
          <w:rFonts w:ascii="Palatino Linotype" w:hAnsi="Palatino Linotype" w:cs="Arial"/>
          <w:sz w:val="24"/>
          <w:szCs w:val="24"/>
        </w:rPr>
      </w:pPr>
      <w:r w:rsidRPr="00FC5005">
        <w:rPr>
          <w:rFonts w:ascii="Palatino Linotype" w:hAnsi="Palatino Linotype" w:cs="Arial"/>
          <w:sz w:val="24"/>
          <w:szCs w:val="24"/>
        </w:rPr>
        <w:t>Table 3 in the EMSWG report</w:t>
      </w:r>
      <w:r>
        <w:rPr>
          <w:rFonts w:ascii="Palatino Linotype" w:hAnsi="Palatino Linotype" w:cs="Arial"/>
          <w:sz w:val="24"/>
          <w:szCs w:val="24"/>
        </w:rPr>
        <w:t xml:space="preserve"> (replicated in Appendix C  below)</w:t>
      </w:r>
      <w:r w:rsidRPr="00FC5005">
        <w:rPr>
          <w:rFonts w:ascii="Palatino Linotype" w:hAnsi="Palatino Linotype" w:cs="Arial"/>
          <w:sz w:val="24"/>
          <w:szCs w:val="24"/>
        </w:rPr>
        <w:t xml:space="preserve"> offers a good starting place for describing </w:t>
      </w:r>
      <w:r w:rsidRPr="00F377A1">
        <w:rPr>
          <w:rFonts w:ascii="Palatino Linotype" w:hAnsi="Palatino Linotype" w:cs="Arial"/>
          <w:sz w:val="24"/>
          <w:szCs w:val="24"/>
        </w:rPr>
        <w:t xml:space="preserve">how to count participants. </w:t>
      </w:r>
    </w:p>
    <w:p w:rsidR="00630C1B" w:rsidP="005151A5" w:rsidRDefault="00630C1B" w14:paraId="424A35D6" w14:textId="77777777">
      <w:pPr>
        <w:rPr>
          <w:rFonts w:ascii="Palatino Linotype" w:hAnsi="Palatino Linotype" w:cs="Arial"/>
          <w:sz w:val="24"/>
          <w:szCs w:val="24"/>
        </w:rPr>
      </w:pPr>
    </w:p>
    <w:p w:rsidR="00630C1B" w:rsidP="005151A5" w:rsidRDefault="002D76AC" w14:paraId="3400241E" w14:textId="43DDF5DF">
      <w:pPr>
        <w:rPr>
          <w:rFonts w:ascii="Palatino Linotype" w:hAnsi="Palatino Linotype" w:cs="Arial"/>
          <w:sz w:val="24"/>
          <w:szCs w:val="24"/>
        </w:rPr>
      </w:pPr>
      <w:r>
        <w:rPr>
          <w:rFonts w:ascii="Palatino Linotype" w:hAnsi="Palatino Linotype" w:cs="Arial"/>
          <w:sz w:val="24"/>
          <w:szCs w:val="24"/>
        </w:rPr>
        <w:t xml:space="preserve">In seeking additional information about population and </w:t>
      </w:r>
      <w:r w:rsidR="00B40CC0">
        <w:rPr>
          <w:rFonts w:ascii="Palatino Linotype" w:hAnsi="Palatino Linotype" w:cs="Arial"/>
          <w:sz w:val="24"/>
          <w:szCs w:val="24"/>
        </w:rPr>
        <w:t xml:space="preserve">participants, </w:t>
      </w:r>
      <w:r w:rsidR="00630C1B">
        <w:rPr>
          <w:rFonts w:ascii="Palatino Linotype" w:hAnsi="Palatino Linotype" w:cs="Arial"/>
          <w:sz w:val="24"/>
          <w:szCs w:val="24"/>
        </w:rPr>
        <w:t xml:space="preserve">the Commission is </w:t>
      </w:r>
      <w:r w:rsidR="00B40CC0">
        <w:rPr>
          <w:rFonts w:ascii="Palatino Linotype" w:hAnsi="Palatino Linotype" w:cs="Arial"/>
          <w:sz w:val="24"/>
          <w:szCs w:val="24"/>
        </w:rPr>
        <w:t xml:space="preserve">not </w:t>
      </w:r>
      <w:r w:rsidR="00630C1B">
        <w:rPr>
          <w:rFonts w:ascii="Palatino Linotype" w:hAnsi="Palatino Linotype" w:cs="Arial"/>
          <w:sz w:val="24"/>
          <w:szCs w:val="24"/>
        </w:rPr>
        <w:t xml:space="preserve">interested in </w:t>
      </w:r>
      <w:r w:rsidR="00B40CC0">
        <w:rPr>
          <w:rFonts w:ascii="Palatino Linotype" w:hAnsi="Palatino Linotype" w:cs="Arial"/>
          <w:sz w:val="24"/>
          <w:szCs w:val="24"/>
        </w:rPr>
        <w:t xml:space="preserve">requesting </w:t>
      </w:r>
      <w:r w:rsidR="00630C1B">
        <w:rPr>
          <w:rFonts w:ascii="Palatino Linotype" w:hAnsi="Palatino Linotype" w:cs="Arial"/>
          <w:sz w:val="24"/>
          <w:szCs w:val="24"/>
        </w:rPr>
        <w:t xml:space="preserve">any additional </w:t>
      </w:r>
      <w:r w:rsidRPr="4B207E6F" w:rsidR="00630C1B">
        <w:rPr>
          <w:rFonts w:ascii="Palatino Linotype" w:hAnsi="Palatino Linotype" w:cs="Arial"/>
          <w:sz w:val="24"/>
          <w:szCs w:val="24"/>
        </w:rPr>
        <w:t xml:space="preserve">Publicly Identifiable Information (PII) </w:t>
      </w:r>
      <w:r w:rsidR="00630C1B">
        <w:rPr>
          <w:rFonts w:ascii="Palatino Linotype" w:hAnsi="Palatino Linotype" w:cs="Arial"/>
          <w:sz w:val="24"/>
          <w:szCs w:val="24"/>
        </w:rPr>
        <w:t xml:space="preserve">than what is already collected. Rather, we ask the PAs to collect and report data such that it can be easily compared to existing data sets that allow inferences about penetration of energy efficiency into different markets and audiences. The Commission </w:t>
      </w:r>
      <w:r w:rsidRPr="4B207E6F" w:rsidR="00630C1B">
        <w:rPr>
          <w:rFonts w:ascii="Palatino Linotype" w:hAnsi="Palatino Linotype" w:cs="Arial"/>
          <w:sz w:val="24"/>
          <w:szCs w:val="24"/>
        </w:rPr>
        <w:t>and other stakeholders should be able to compare and contrast activity between census tracts, service territories, disadvantaged and/or underserved communities, and other relevant breakdowns of the data.</w:t>
      </w:r>
    </w:p>
    <w:p w:rsidR="00630C1B" w:rsidP="00630C1B" w:rsidRDefault="00630C1B" w14:paraId="4BAF9D6E" w14:textId="5085CF86">
      <w:pPr>
        <w:rPr>
          <w:rFonts w:ascii="Palatino Linotype" w:hAnsi="Palatino Linotype" w:cs="Arial"/>
          <w:sz w:val="24"/>
          <w:szCs w:val="24"/>
        </w:rPr>
      </w:pPr>
    </w:p>
    <w:p w:rsidR="00630C1B" w:rsidP="00630C1B" w:rsidRDefault="00630C1B" w14:paraId="2B3764DF" w14:textId="77777777">
      <w:pPr>
        <w:jc w:val="both"/>
        <w:rPr>
          <w:rFonts w:ascii="Palatino Linotype" w:hAnsi="Palatino Linotype" w:cs="Arial"/>
          <w:sz w:val="24"/>
          <w:szCs w:val="24"/>
        </w:rPr>
      </w:pPr>
      <w:r>
        <w:rPr>
          <w:rFonts w:ascii="Palatino Linotype" w:hAnsi="Palatino Linotype" w:cs="Arial"/>
          <w:sz w:val="24"/>
          <w:szCs w:val="24"/>
        </w:rPr>
        <w:t>Table 1: Table 3 from the EMSWG Final Report: Possible Participant “Units” that Could be Counted</w:t>
      </w:r>
      <w:r>
        <w:rPr>
          <w:rStyle w:val="FootnoteReference"/>
          <w:rFonts w:ascii="Palatino Linotype" w:hAnsi="Palatino Linotype" w:cs="Arial"/>
          <w:sz w:val="24"/>
          <w:szCs w:val="24"/>
        </w:rPr>
        <w:footnoteReference w:id="10"/>
      </w:r>
    </w:p>
    <w:tbl>
      <w:tblPr>
        <w:tblStyle w:val="TableGrid"/>
        <w:tblW w:w="10075" w:type="dxa"/>
        <w:tblLayout w:type="fixed"/>
        <w:tblLook w:val="04A0" w:firstRow="1" w:lastRow="0" w:firstColumn="1" w:lastColumn="0" w:noHBand="0" w:noVBand="1"/>
      </w:tblPr>
      <w:tblGrid>
        <w:gridCol w:w="896"/>
        <w:gridCol w:w="1619"/>
        <w:gridCol w:w="1620"/>
        <w:gridCol w:w="1350"/>
        <w:gridCol w:w="1620"/>
        <w:gridCol w:w="1440"/>
        <w:gridCol w:w="1530"/>
      </w:tblGrid>
      <w:tr w:rsidRPr="009C21F9" w:rsidR="00630C1B" w14:paraId="2F1BBD03" w14:textId="77777777">
        <w:trPr>
          <w:trHeight w:val="1646"/>
        </w:trPr>
        <w:tc>
          <w:tcPr>
            <w:tcW w:w="896" w:type="dxa"/>
          </w:tcPr>
          <w:p w:rsidRPr="002102B9" w:rsidR="00630C1B" w:rsidRDefault="00630C1B" w14:paraId="072585AC" w14:textId="77777777">
            <w:pPr>
              <w:rPr>
                <w:rFonts w:ascii="Palatino Linotype" w:hAnsi="Palatino Linotype"/>
                <w:b/>
                <w:sz w:val="24"/>
                <w:szCs w:val="24"/>
              </w:rPr>
            </w:pPr>
            <w:r w:rsidRPr="002102B9">
              <w:rPr>
                <w:rFonts w:ascii="Palatino Linotype" w:hAnsi="Palatino Linotype"/>
                <w:b/>
                <w:sz w:val="24"/>
                <w:szCs w:val="24"/>
              </w:rPr>
              <w:t>Sector</w:t>
            </w:r>
          </w:p>
        </w:tc>
        <w:tc>
          <w:tcPr>
            <w:tcW w:w="1619" w:type="dxa"/>
          </w:tcPr>
          <w:p w:rsidRPr="002102B9" w:rsidR="00630C1B" w:rsidRDefault="00630C1B" w14:paraId="4585D5F9" w14:textId="77777777">
            <w:pPr>
              <w:rPr>
                <w:rFonts w:ascii="Palatino Linotype" w:hAnsi="Palatino Linotype"/>
                <w:b/>
                <w:sz w:val="24"/>
                <w:szCs w:val="24"/>
              </w:rPr>
            </w:pPr>
            <w:r w:rsidRPr="002102B9">
              <w:rPr>
                <w:rFonts w:ascii="Palatino Linotype" w:hAnsi="Palatino Linotype"/>
                <w:b/>
                <w:sz w:val="24"/>
                <w:szCs w:val="24"/>
              </w:rPr>
              <w:t xml:space="preserve">Residential </w:t>
            </w:r>
          </w:p>
          <w:p w:rsidRPr="002102B9" w:rsidR="00630C1B" w:rsidRDefault="00630C1B" w14:paraId="3A6E9E07" w14:textId="77777777">
            <w:pPr>
              <w:rPr>
                <w:rFonts w:ascii="Palatino Linotype" w:hAnsi="Palatino Linotype"/>
                <w:sz w:val="24"/>
                <w:szCs w:val="24"/>
              </w:rPr>
            </w:pPr>
            <w:r w:rsidRPr="002102B9">
              <w:rPr>
                <w:rFonts w:ascii="Palatino Linotype" w:hAnsi="Palatino Linotype"/>
                <w:sz w:val="24"/>
                <w:szCs w:val="24"/>
              </w:rPr>
              <w:t>(single and multi-</w:t>
            </w:r>
            <w:r w:rsidRPr="009C21F9">
              <w:rPr>
                <w:rFonts w:ascii="Palatino Linotype" w:hAnsi="Palatino Linotype"/>
                <w:sz w:val="24"/>
                <w:szCs w:val="24"/>
              </w:rPr>
              <w:t>family</w:t>
            </w:r>
            <w:r w:rsidRPr="002102B9">
              <w:rPr>
                <w:rFonts w:ascii="Palatino Linotype" w:hAnsi="Palatino Linotype"/>
                <w:sz w:val="24"/>
                <w:szCs w:val="24"/>
              </w:rPr>
              <w:t>)</w:t>
            </w:r>
          </w:p>
        </w:tc>
        <w:tc>
          <w:tcPr>
            <w:tcW w:w="1620" w:type="dxa"/>
          </w:tcPr>
          <w:p w:rsidRPr="002102B9" w:rsidR="00630C1B" w:rsidRDefault="00630C1B" w14:paraId="40B153F3" w14:textId="77777777">
            <w:pPr>
              <w:rPr>
                <w:rFonts w:ascii="Palatino Linotype" w:hAnsi="Palatino Linotype"/>
                <w:b/>
                <w:sz w:val="24"/>
                <w:szCs w:val="24"/>
              </w:rPr>
            </w:pPr>
            <w:r w:rsidRPr="002102B9">
              <w:rPr>
                <w:rFonts w:ascii="Palatino Linotype" w:hAnsi="Palatino Linotype"/>
                <w:b/>
                <w:sz w:val="24"/>
                <w:szCs w:val="24"/>
              </w:rPr>
              <w:t xml:space="preserve">Commercial </w:t>
            </w:r>
            <w:r w:rsidRPr="002102B9">
              <w:rPr>
                <w:rFonts w:ascii="Palatino Linotype" w:hAnsi="Palatino Linotype"/>
                <w:sz w:val="24"/>
                <w:szCs w:val="24"/>
              </w:rPr>
              <w:t>(small, medium, and large)</w:t>
            </w:r>
          </w:p>
        </w:tc>
        <w:tc>
          <w:tcPr>
            <w:tcW w:w="1350" w:type="dxa"/>
          </w:tcPr>
          <w:p w:rsidRPr="002102B9" w:rsidR="00630C1B" w:rsidRDefault="00630C1B" w14:paraId="6DEE7036" w14:textId="77777777">
            <w:pPr>
              <w:rPr>
                <w:rFonts w:ascii="Palatino Linotype" w:hAnsi="Palatino Linotype"/>
                <w:b/>
                <w:sz w:val="24"/>
                <w:szCs w:val="24"/>
              </w:rPr>
            </w:pPr>
            <w:r w:rsidRPr="002102B9">
              <w:rPr>
                <w:rFonts w:ascii="Palatino Linotype" w:hAnsi="Palatino Linotype"/>
                <w:b/>
                <w:sz w:val="24"/>
                <w:szCs w:val="24"/>
              </w:rPr>
              <w:t>Public</w:t>
            </w:r>
          </w:p>
        </w:tc>
        <w:tc>
          <w:tcPr>
            <w:tcW w:w="1620" w:type="dxa"/>
          </w:tcPr>
          <w:p w:rsidRPr="002102B9" w:rsidR="00630C1B" w:rsidRDefault="00630C1B" w14:paraId="6F53A6C6" w14:textId="77777777">
            <w:pPr>
              <w:rPr>
                <w:rFonts w:ascii="Palatino Linotype" w:hAnsi="Palatino Linotype"/>
                <w:b/>
                <w:sz w:val="24"/>
                <w:szCs w:val="24"/>
              </w:rPr>
            </w:pPr>
            <w:r w:rsidRPr="002102B9">
              <w:rPr>
                <w:rFonts w:ascii="Palatino Linotype" w:hAnsi="Palatino Linotype"/>
                <w:b/>
                <w:sz w:val="24"/>
                <w:szCs w:val="24"/>
              </w:rPr>
              <w:t>Agricultural</w:t>
            </w:r>
          </w:p>
        </w:tc>
        <w:tc>
          <w:tcPr>
            <w:tcW w:w="1440" w:type="dxa"/>
          </w:tcPr>
          <w:p w:rsidRPr="002102B9" w:rsidR="00630C1B" w:rsidRDefault="00630C1B" w14:paraId="7731EE24" w14:textId="77777777">
            <w:pPr>
              <w:rPr>
                <w:rFonts w:ascii="Palatino Linotype" w:hAnsi="Palatino Linotype"/>
                <w:b/>
                <w:sz w:val="24"/>
                <w:szCs w:val="24"/>
              </w:rPr>
            </w:pPr>
            <w:r w:rsidRPr="002102B9">
              <w:rPr>
                <w:rFonts w:ascii="Palatino Linotype" w:hAnsi="Palatino Linotype"/>
                <w:b/>
                <w:sz w:val="24"/>
                <w:szCs w:val="24"/>
              </w:rPr>
              <w:t>Industrial</w:t>
            </w:r>
          </w:p>
        </w:tc>
        <w:tc>
          <w:tcPr>
            <w:tcW w:w="1530" w:type="dxa"/>
          </w:tcPr>
          <w:p w:rsidRPr="002102B9" w:rsidR="00630C1B" w:rsidRDefault="00630C1B" w14:paraId="5189D0CA" w14:textId="77777777">
            <w:pPr>
              <w:rPr>
                <w:rFonts w:ascii="Palatino Linotype" w:hAnsi="Palatino Linotype"/>
                <w:b/>
                <w:sz w:val="24"/>
                <w:szCs w:val="24"/>
              </w:rPr>
            </w:pPr>
            <w:r w:rsidRPr="002102B9">
              <w:rPr>
                <w:rFonts w:ascii="Palatino Linotype" w:hAnsi="Palatino Linotype"/>
                <w:b/>
                <w:sz w:val="24"/>
                <w:szCs w:val="24"/>
              </w:rPr>
              <w:t xml:space="preserve">Cross-cutting </w:t>
            </w:r>
            <w:r w:rsidRPr="002102B9">
              <w:rPr>
                <w:rFonts w:ascii="Palatino Linotype" w:hAnsi="Palatino Linotype"/>
                <w:sz w:val="24"/>
                <w:szCs w:val="24"/>
              </w:rPr>
              <w:t xml:space="preserve">(Finance, WE&amp;T, </w:t>
            </w:r>
            <w:r>
              <w:rPr>
                <w:rFonts w:ascii="Palatino Linotype" w:hAnsi="Palatino Linotype"/>
                <w:sz w:val="24"/>
                <w:szCs w:val="24"/>
              </w:rPr>
              <w:t>I</w:t>
            </w:r>
            <w:r w:rsidRPr="002102B9">
              <w:rPr>
                <w:rFonts w:ascii="Palatino Linotype" w:hAnsi="Palatino Linotype"/>
                <w:sz w:val="24"/>
                <w:szCs w:val="24"/>
              </w:rPr>
              <w:t>DSM, C&amp;S)</w:t>
            </w:r>
          </w:p>
        </w:tc>
      </w:tr>
      <w:tr w:rsidRPr="009C21F9" w:rsidR="00630C1B" w14:paraId="76B85ED2" w14:textId="77777777">
        <w:trPr>
          <w:trHeight w:val="3490"/>
        </w:trPr>
        <w:tc>
          <w:tcPr>
            <w:tcW w:w="896" w:type="dxa"/>
          </w:tcPr>
          <w:p w:rsidRPr="002102B9" w:rsidR="00630C1B" w:rsidRDefault="00630C1B" w14:paraId="562ED795" w14:textId="77777777">
            <w:pPr>
              <w:rPr>
                <w:rFonts w:ascii="Palatino Linotype" w:hAnsi="Palatino Linotype"/>
                <w:b/>
                <w:sz w:val="24"/>
                <w:szCs w:val="24"/>
              </w:rPr>
            </w:pPr>
            <w:r w:rsidRPr="002102B9">
              <w:rPr>
                <w:rFonts w:ascii="Palatino Linotype" w:hAnsi="Palatino Linotype"/>
                <w:b/>
                <w:sz w:val="24"/>
                <w:szCs w:val="24"/>
              </w:rPr>
              <w:t>Unit</w:t>
            </w:r>
          </w:p>
        </w:tc>
        <w:tc>
          <w:tcPr>
            <w:tcW w:w="1619" w:type="dxa"/>
          </w:tcPr>
          <w:p w:rsidRPr="002102B9" w:rsidR="00630C1B" w:rsidRDefault="00630C1B" w14:paraId="5E115182" w14:textId="77777777">
            <w:pPr>
              <w:rPr>
                <w:rFonts w:ascii="Palatino Linotype" w:hAnsi="Palatino Linotype"/>
                <w:sz w:val="24"/>
                <w:szCs w:val="24"/>
              </w:rPr>
            </w:pPr>
            <w:r w:rsidRPr="002102B9">
              <w:rPr>
                <w:rFonts w:ascii="Palatino Linotype" w:hAnsi="Palatino Linotype"/>
                <w:sz w:val="24"/>
                <w:szCs w:val="24"/>
              </w:rPr>
              <w:t>Household</w:t>
            </w:r>
            <w:r>
              <w:rPr>
                <w:rFonts w:ascii="Palatino Linotype" w:hAnsi="Palatino Linotype"/>
                <w:sz w:val="24"/>
                <w:szCs w:val="24"/>
              </w:rPr>
              <w:t xml:space="preserve">s; </w:t>
            </w:r>
            <w:r w:rsidRPr="002102B9">
              <w:rPr>
                <w:rFonts w:ascii="Palatino Linotype" w:hAnsi="Palatino Linotype"/>
                <w:sz w:val="24"/>
                <w:szCs w:val="24"/>
              </w:rPr>
              <w:t>Multi-family building; Individual apartment; Community based organization and the populations they serve</w:t>
            </w:r>
          </w:p>
        </w:tc>
        <w:tc>
          <w:tcPr>
            <w:tcW w:w="1620" w:type="dxa"/>
          </w:tcPr>
          <w:p w:rsidRPr="002102B9" w:rsidR="00630C1B" w:rsidRDefault="00630C1B" w14:paraId="5970D505" w14:textId="77777777">
            <w:pPr>
              <w:rPr>
                <w:rFonts w:ascii="Palatino Linotype" w:hAnsi="Palatino Linotype"/>
                <w:sz w:val="24"/>
                <w:szCs w:val="24"/>
              </w:rPr>
            </w:pPr>
            <w:r w:rsidRPr="002102B9">
              <w:rPr>
                <w:rFonts w:ascii="Palatino Linotype" w:hAnsi="Palatino Linotype"/>
                <w:sz w:val="24"/>
                <w:szCs w:val="24"/>
              </w:rPr>
              <w:t>Business energy</w:t>
            </w:r>
          </w:p>
          <w:p w:rsidRPr="002102B9" w:rsidR="00630C1B" w:rsidRDefault="00630C1B" w14:paraId="58A91721" w14:textId="77777777">
            <w:pPr>
              <w:rPr>
                <w:rFonts w:ascii="Palatino Linotype" w:hAnsi="Palatino Linotype"/>
                <w:sz w:val="24"/>
                <w:szCs w:val="24"/>
              </w:rPr>
            </w:pPr>
            <w:r w:rsidRPr="002102B9">
              <w:rPr>
                <w:rFonts w:ascii="Palatino Linotype" w:hAnsi="Palatino Linotype"/>
                <w:sz w:val="24"/>
                <w:szCs w:val="24"/>
              </w:rPr>
              <w:t>account; Single-site</w:t>
            </w:r>
          </w:p>
          <w:p w:rsidRPr="002102B9" w:rsidR="00630C1B" w:rsidRDefault="00630C1B" w14:paraId="69E91F8F" w14:textId="77777777">
            <w:pPr>
              <w:rPr>
                <w:rFonts w:ascii="Palatino Linotype" w:hAnsi="Palatino Linotype"/>
                <w:sz w:val="24"/>
                <w:szCs w:val="24"/>
              </w:rPr>
            </w:pPr>
            <w:r w:rsidRPr="002102B9">
              <w:rPr>
                <w:rFonts w:ascii="Palatino Linotype" w:hAnsi="Palatino Linotype"/>
                <w:sz w:val="24"/>
                <w:szCs w:val="24"/>
              </w:rPr>
              <w:t>business;</w:t>
            </w:r>
          </w:p>
          <w:p w:rsidRPr="002102B9" w:rsidR="00630C1B" w:rsidRDefault="00630C1B" w14:paraId="2F6C913C" w14:textId="77777777">
            <w:pPr>
              <w:rPr>
                <w:rFonts w:ascii="Palatino Linotype" w:hAnsi="Palatino Linotype"/>
                <w:sz w:val="24"/>
                <w:szCs w:val="24"/>
              </w:rPr>
            </w:pPr>
            <w:r w:rsidRPr="002102B9">
              <w:rPr>
                <w:rFonts w:ascii="Palatino Linotype" w:hAnsi="Palatino Linotype"/>
                <w:sz w:val="24"/>
                <w:szCs w:val="24"/>
              </w:rPr>
              <w:t>Multi-site</w:t>
            </w:r>
          </w:p>
          <w:p w:rsidRPr="002102B9" w:rsidR="00630C1B" w:rsidRDefault="00630C1B" w14:paraId="730C6DEE" w14:textId="77777777">
            <w:pPr>
              <w:rPr>
                <w:rFonts w:ascii="Palatino Linotype" w:hAnsi="Palatino Linotype"/>
                <w:sz w:val="24"/>
                <w:szCs w:val="24"/>
              </w:rPr>
            </w:pPr>
            <w:r w:rsidRPr="002102B9">
              <w:rPr>
                <w:rFonts w:ascii="Palatino Linotype" w:hAnsi="Palatino Linotype"/>
                <w:sz w:val="24"/>
                <w:szCs w:val="24"/>
              </w:rPr>
              <w:t>business;</w:t>
            </w:r>
          </w:p>
          <w:p w:rsidRPr="002102B9" w:rsidR="00630C1B" w:rsidRDefault="00630C1B" w14:paraId="3EE23A13" w14:textId="77777777">
            <w:pPr>
              <w:rPr>
                <w:rFonts w:ascii="Palatino Linotype" w:hAnsi="Palatino Linotype"/>
                <w:sz w:val="24"/>
                <w:szCs w:val="24"/>
              </w:rPr>
            </w:pPr>
            <w:r w:rsidRPr="002102B9">
              <w:rPr>
                <w:rFonts w:ascii="Palatino Linotype" w:hAnsi="Palatino Linotype"/>
                <w:sz w:val="24"/>
                <w:szCs w:val="24"/>
              </w:rPr>
              <w:t>Non-res</w:t>
            </w:r>
          </w:p>
          <w:p w:rsidRPr="002102B9" w:rsidR="00630C1B" w:rsidRDefault="00630C1B" w14:paraId="07DAB310" w14:textId="77777777">
            <w:pPr>
              <w:rPr>
                <w:rFonts w:ascii="Palatino Linotype" w:hAnsi="Palatino Linotype"/>
                <w:sz w:val="24"/>
                <w:szCs w:val="24"/>
              </w:rPr>
            </w:pPr>
            <w:r w:rsidRPr="002102B9">
              <w:rPr>
                <w:rFonts w:ascii="Palatino Linotype" w:hAnsi="Palatino Linotype"/>
                <w:sz w:val="24"/>
                <w:szCs w:val="24"/>
              </w:rPr>
              <w:t>building;</w:t>
            </w:r>
          </w:p>
          <w:p w:rsidRPr="002102B9" w:rsidR="00630C1B" w:rsidRDefault="00630C1B" w14:paraId="6C141D37" w14:textId="77777777">
            <w:pPr>
              <w:rPr>
                <w:rFonts w:ascii="Palatino Linotype" w:hAnsi="Palatino Linotype"/>
                <w:sz w:val="24"/>
                <w:szCs w:val="24"/>
              </w:rPr>
            </w:pPr>
            <w:r w:rsidRPr="002102B9">
              <w:rPr>
                <w:rFonts w:ascii="Palatino Linotype" w:hAnsi="Palatino Linotype"/>
                <w:sz w:val="24"/>
                <w:szCs w:val="24"/>
              </w:rPr>
              <w:t>Business</w:t>
            </w:r>
          </w:p>
          <w:p w:rsidRPr="002102B9" w:rsidR="00630C1B" w:rsidRDefault="00630C1B" w14:paraId="5AB1ADDB" w14:textId="77777777">
            <w:pPr>
              <w:rPr>
                <w:rFonts w:ascii="Palatino Linotype" w:hAnsi="Palatino Linotype"/>
                <w:sz w:val="24"/>
                <w:szCs w:val="24"/>
              </w:rPr>
            </w:pPr>
            <w:r w:rsidRPr="002102B9">
              <w:rPr>
                <w:rFonts w:ascii="Palatino Linotype" w:hAnsi="Palatino Linotype"/>
                <w:sz w:val="24"/>
                <w:szCs w:val="24"/>
              </w:rPr>
              <w:t xml:space="preserve">owner; </w:t>
            </w:r>
            <w:r>
              <w:rPr>
                <w:rFonts w:ascii="Palatino Linotype" w:hAnsi="Palatino Linotype"/>
                <w:sz w:val="24"/>
                <w:szCs w:val="24"/>
              </w:rPr>
              <w:t>B</w:t>
            </w:r>
            <w:r w:rsidRPr="002102B9">
              <w:rPr>
                <w:rFonts w:ascii="Palatino Linotype" w:hAnsi="Palatino Linotype"/>
                <w:sz w:val="24"/>
                <w:szCs w:val="24"/>
              </w:rPr>
              <w:t>usiness staff</w:t>
            </w:r>
          </w:p>
        </w:tc>
        <w:tc>
          <w:tcPr>
            <w:tcW w:w="1350" w:type="dxa"/>
          </w:tcPr>
          <w:p w:rsidRPr="002102B9" w:rsidR="00630C1B" w:rsidRDefault="00630C1B" w14:paraId="6D679388" w14:textId="77777777">
            <w:pPr>
              <w:rPr>
                <w:rFonts w:ascii="Palatino Linotype" w:hAnsi="Palatino Linotype"/>
                <w:sz w:val="24"/>
                <w:szCs w:val="24"/>
              </w:rPr>
            </w:pPr>
            <w:r w:rsidRPr="002102B9">
              <w:rPr>
                <w:rFonts w:ascii="Palatino Linotype" w:hAnsi="Palatino Linotype"/>
                <w:sz w:val="24"/>
                <w:szCs w:val="24"/>
              </w:rPr>
              <w:t>Local govt;</w:t>
            </w:r>
          </w:p>
          <w:p w:rsidRPr="002A5264" w:rsidR="00630C1B" w:rsidRDefault="00630C1B" w14:paraId="3993B49A" w14:textId="77777777">
            <w:pPr>
              <w:rPr>
                <w:rFonts w:ascii="Palatino Linotype" w:hAnsi="Palatino Linotype"/>
                <w:sz w:val="24"/>
                <w:szCs w:val="24"/>
              </w:rPr>
            </w:pPr>
            <w:r>
              <w:rPr>
                <w:rFonts w:ascii="Palatino Linotype" w:hAnsi="Palatino Linotype"/>
                <w:sz w:val="24"/>
                <w:szCs w:val="24"/>
              </w:rPr>
              <w:t>P</w:t>
            </w:r>
            <w:r w:rsidRPr="002A5264">
              <w:rPr>
                <w:rFonts w:ascii="Palatino Linotype" w:hAnsi="Palatino Linotype"/>
                <w:sz w:val="24"/>
                <w:szCs w:val="24"/>
              </w:rPr>
              <w:t>ublic agency;</w:t>
            </w:r>
          </w:p>
          <w:p w:rsidRPr="002A5264" w:rsidR="00630C1B" w:rsidRDefault="00630C1B" w14:paraId="72845CDF" w14:textId="77777777">
            <w:pPr>
              <w:rPr>
                <w:rFonts w:ascii="Palatino Linotype" w:hAnsi="Palatino Linotype"/>
                <w:sz w:val="24"/>
                <w:szCs w:val="24"/>
              </w:rPr>
            </w:pPr>
            <w:r>
              <w:rPr>
                <w:rFonts w:ascii="Palatino Linotype" w:hAnsi="Palatino Linotype"/>
                <w:sz w:val="24"/>
                <w:szCs w:val="24"/>
              </w:rPr>
              <w:t>L</w:t>
            </w:r>
            <w:r w:rsidRPr="002A5264">
              <w:rPr>
                <w:rFonts w:ascii="Palatino Linotype" w:hAnsi="Palatino Linotype"/>
                <w:sz w:val="24"/>
                <w:szCs w:val="24"/>
              </w:rPr>
              <w:t>ocal govt</w:t>
            </w:r>
          </w:p>
          <w:p w:rsidRPr="002A5264" w:rsidR="00630C1B" w:rsidRDefault="00630C1B" w14:paraId="5AEBCA8D" w14:textId="77777777">
            <w:pPr>
              <w:rPr>
                <w:rFonts w:ascii="Palatino Linotype" w:hAnsi="Palatino Linotype"/>
                <w:sz w:val="24"/>
                <w:szCs w:val="24"/>
              </w:rPr>
            </w:pPr>
            <w:r w:rsidRPr="002A5264">
              <w:rPr>
                <w:rFonts w:ascii="Palatino Linotype" w:hAnsi="Palatino Linotype"/>
                <w:sz w:val="24"/>
                <w:szCs w:val="24"/>
              </w:rPr>
              <w:t>or public</w:t>
            </w:r>
          </w:p>
          <w:p w:rsidRPr="002A5264" w:rsidR="00630C1B" w:rsidRDefault="00630C1B" w14:paraId="22C660A9" w14:textId="77777777">
            <w:pPr>
              <w:rPr>
                <w:rFonts w:ascii="Palatino Linotype" w:hAnsi="Palatino Linotype"/>
                <w:sz w:val="24"/>
                <w:szCs w:val="24"/>
              </w:rPr>
            </w:pPr>
            <w:r w:rsidRPr="002A5264">
              <w:rPr>
                <w:rFonts w:ascii="Palatino Linotype" w:hAnsi="Palatino Linotype"/>
                <w:sz w:val="24"/>
                <w:szCs w:val="24"/>
              </w:rPr>
              <w:t>building;</w:t>
            </w:r>
          </w:p>
          <w:p w:rsidRPr="002A5264" w:rsidR="00630C1B" w:rsidRDefault="00630C1B" w14:paraId="2F76FA47" w14:textId="77777777">
            <w:pPr>
              <w:rPr>
                <w:rFonts w:ascii="Palatino Linotype" w:hAnsi="Palatino Linotype"/>
                <w:sz w:val="24"/>
                <w:szCs w:val="24"/>
              </w:rPr>
            </w:pPr>
            <w:r>
              <w:rPr>
                <w:rFonts w:ascii="Palatino Linotype" w:hAnsi="Palatino Linotype"/>
                <w:sz w:val="24"/>
                <w:szCs w:val="24"/>
              </w:rPr>
              <w:t>L</w:t>
            </w:r>
            <w:r w:rsidRPr="002A5264">
              <w:rPr>
                <w:rFonts w:ascii="Palatino Linotype" w:hAnsi="Palatino Linotype"/>
                <w:sz w:val="24"/>
                <w:szCs w:val="24"/>
              </w:rPr>
              <w:t>ocal govt</w:t>
            </w:r>
          </w:p>
          <w:p w:rsidRPr="002A5264" w:rsidR="00630C1B" w:rsidRDefault="00630C1B" w14:paraId="026C4931" w14:textId="77777777">
            <w:pPr>
              <w:rPr>
                <w:rFonts w:ascii="Palatino Linotype" w:hAnsi="Palatino Linotype"/>
                <w:sz w:val="24"/>
                <w:szCs w:val="24"/>
              </w:rPr>
            </w:pPr>
            <w:r w:rsidRPr="002A5264">
              <w:rPr>
                <w:rFonts w:ascii="Palatino Linotype" w:hAnsi="Palatino Linotype"/>
                <w:sz w:val="24"/>
                <w:szCs w:val="24"/>
              </w:rPr>
              <w:t>officials</w:t>
            </w:r>
          </w:p>
        </w:tc>
        <w:tc>
          <w:tcPr>
            <w:tcW w:w="1620" w:type="dxa"/>
          </w:tcPr>
          <w:p w:rsidRPr="002A5264" w:rsidR="00630C1B" w:rsidRDefault="00630C1B" w14:paraId="0F4096A6" w14:textId="77777777">
            <w:pPr>
              <w:rPr>
                <w:rFonts w:ascii="Palatino Linotype" w:hAnsi="Palatino Linotype"/>
                <w:sz w:val="24"/>
                <w:szCs w:val="24"/>
              </w:rPr>
            </w:pPr>
            <w:r w:rsidRPr="002A5264">
              <w:rPr>
                <w:rFonts w:ascii="Palatino Linotype" w:hAnsi="Palatino Linotype"/>
                <w:sz w:val="24"/>
                <w:szCs w:val="24"/>
              </w:rPr>
              <w:t>Farms;</w:t>
            </w:r>
          </w:p>
          <w:p w:rsidRPr="002A5264" w:rsidR="00630C1B" w:rsidRDefault="00630C1B" w14:paraId="3BE01A7A" w14:textId="77777777">
            <w:pPr>
              <w:rPr>
                <w:rFonts w:ascii="Palatino Linotype" w:hAnsi="Palatino Linotype"/>
                <w:sz w:val="24"/>
                <w:szCs w:val="24"/>
              </w:rPr>
            </w:pPr>
            <w:r w:rsidRPr="002A5264">
              <w:rPr>
                <w:rFonts w:ascii="Palatino Linotype" w:hAnsi="Palatino Linotype"/>
                <w:sz w:val="24"/>
                <w:szCs w:val="24"/>
              </w:rPr>
              <w:t>Buildings at</w:t>
            </w:r>
          </w:p>
          <w:p w:rsidRPr="002A5264" w:rsidR="00630C1B" w:rsidRDefault="00630C1B" w14:paraId="1F647F55" w14:textId="77777777">
            <w:pPr>
              <w:rPr>
                <w:rFonts w:ascii="Palatino Linotype" w:hAnsi="Palatino Linotype"/>
                <w:sz w:val="24"/>
                <w:szCs w:val="24"/>
              </w:rPr>
            </w:pPr>
            <w:r w:rsidRPr="002A5264">
              <w:rPr>
                <w:rFonts w:ascii="Palatino Linotype" w:hAnsi="Palatino Linotype"/>
                <w:sz w:val="24"/>
                <w:szCs w:val="24"/>
              </w:rPr>
              <w:t>a farm; Farm owners; Farm staff; Pumps or other meters not in a building</w:t>
            </w:r>
          </w:p>
        </w:tc>
        <w:tc>
          <w:tcPr>
            <w:tcW w:w="1440" w:type="dxa"/>
          </w:tcPr>
          <w:p w:rsidRPr="002A5264" w:rsidR="00630C1B" w:rsidRDefault="00630C1B" w14:paraId="6D759E84" w14:textId="77777777">
            <w:pPr>
              <w:rPr>
                <w:rFonts w:ascii="Palatino Linotype" w:hAnsi="Palatino Linotype"/>
                <w:sz w:val="24"/>
                <w:szCs w:val="24"/>
              </w:rPr>
            </w:pPr>
            <w:r w:rsidRPr="002A5264">
              <w:rPr>
                <w:rFonts w:ascii="Palatino Linotype" w:hAnsi="Palatino Linotype"/>
                <w:sz w:val="24"/>
                <w:szCs w:val="24"/>
              </w:rPr>
              <w:t>Facilities;</w:t>
            </w:r>
          </w:p>
          <w:p w:rsidRPr="002A5264" w:rsidR="00630C1B" w:rsidRDefault="00630C1B" w14:paraId="544F2876" w14:textId="77777777">
            <w:pPr>
              <w:rPr>
                <w:rFonts w:ascii="Palatino Linotype" w:hAnsi="Palatino Linotype"/>
                <w:sz w:val="24"/>
                <w:szCs w:val="24"/>
              </w:rPr>
            </w:pPr>
            <w:r w:rsidRPr="002A5264">
              <w:rPr>
                <w:rFonts w:ascii="Palatino Linotype" w:hAnsi="Palatino Linotype"/>
                <w:sz w:val="24"/>
                <w:szCs w:val="24"/>
              </w:rPr>
              <w:t>Individual</w:t>
            </w:r>
          </w:p>
          <w:p w:rsidRPr="002A5264" w:rsidR="00630C1B" w:rsidRDefault="00630C1B" w14:paraId="7BD0101A" w14:textId="77777777">
            <w:pPr>
              <w:rPr>
                <w:rFonts w:ascii="Palatino Linotype" w:hAnsi="Palatino Linotype"/>
                <w:sz w:val="24"/>
                <w:szCs w:val="24"/>
              </w:rPr>
            </w:pPr>
            <w:r w:rsidRPr="002A5264">
              <w:rPr>
                <w:rFonts w:ascii="Palatino Linotype" w:hAnsi="Palatino Linotype"/>
                <w:sz w:val="24"/>
                <w:szCs w:val="24"/>
              </w:rPr>
              <w:t>equipment</w:t>
            </w:r>
          </w:p>
          <w:p w:rsidRPr="002A5264" w:rsidR="00630C1B" w:rsidRDefault="00630C1B" w14:paraId="7806C275" w14:textId="77777777">
            <w:pPr>
              <w:rPr>
                <w:rFonts w:ascii="Palatino Linotype" w:hAnsi="Palatino Linotype"/>
                <w:sz w:val="24"/>
                <w:szCs w:val="24"/>
              </w:rPr>
            </w:pPr>
            <w:r w:rsidRPr="002A5264">
              <w:rPr>
                <w:rFonts w:ascii="Palatino Linotype" w:hAnsi="Palatino Linotype"/>
                <w:sz w:val="24"/>
                <w:szCs w:val="24"/>
              </w:rPr>
              <w:t>or processes</w:t>
            </w:r>
          </w:p>
          <w:p w:rsidRPr="002A5264" w:rsidR="00630C1B" w:rsidRDefault="00630C1B" w14:paraId="365EFD03" w14:textId="77777777">
            <w:pPr>
              <w:rPr>
                <w:rFonts w:ascii="Palatino Linotype" w:hAnsi="Palatino Linotype"/>
                <w:sz w:val="24"/>
                <w:szCs w:val="24"/>
              </w:rPr>
            </w:pPr>
            <w:r w:rsidRPr="002A5264">
              <w:rPr>
                <w:rFonts w:ascii="Palatino Linotype" w:hAnsi="Palatino Linotype"/>
                <w:sz w:val="24"/>
                <w:szCs w:val="24"/>
              </w:rPr>
              <w:t>within</w:t>
            </w:r>
          </w:p>
          <w:p w:rsidRPr="002A5264" w:rsidR="00630C1B" w:rsidRDefault="00630C1B" w14:paraId="751D3554" w14:textId="77777777">
            <w:pPr>
              <w:rPr>
                <w:rFonts w:ascii="Palatino Linotype" w:hAnsi="Palatino Linotype"/>
                <w:sz w:val="24"/>
                <w:szCs w:val="24"/>
              </w:rPr>
            </w:pPr>
            <w:r w:rsidRPr="002A5264">
              <w:rPr>
                <w:rFonts w:ascii="Palatino Linotype" w:hAnsi="Palatino Linotype"/>
                <w:sz w:val="24"/>
                <w:szCs w:val="24"/>
              </w:rPr>
              <w:t>facilities</w:t>
            </w:r>
          </w:p>
        </w:tc>
        <w:tc>
          <w:tcPr>
            <w:tcW w:w="1530" w:type="dxa"/>
          </w:tcPr>
          <w:p w:rsidRPr="002A5264" w:rsidR="00630C1B" w:rsidRDefault="00630C1B" w14:paraId="7C93BE2A" w14:textId="77777777">
            <w:pPr>
              <w:rPr>
                <w:rFonts w:ascii="Palatino Linotype" w:hAnsi="Palatino Linotype"/>
                <w:sz w:val="24"/>
                <w:szCs w:val="24"/>
              </w:rPr>
            </w:pPr>
            <w:r w:rsidRPr="002A5264">
              <w:rPr>
                <w:rFonts w:ascii="Palatino Linotype" w:hAnsi="Palatino Linotype"/>
                <w:sz w:val="24"/>
                <w:szCs w:val="24"/>
              </w:rPr>
              <w:t>Students;</w:t>
            </w:r>
          </w:p>
          <w:p w:rsidRPr="002A5264" w:rsidR="00630C1B" w:rsidRDefault="00630C1B" w14:paraId="4AF34BC4" w14:textId="77777777">
            <w:pPr>
              <w:rPr>
                <w:rFonts w:ascii="Palatino Linotype" w:hAnsi="Palatino Linotype"/>
                <w:sz w:val="24"/>
                <w:szCs w:val="24"/>
              </w:rPr>
            </w:pPr>
            <w:r w:rsidRPr="002A5264">
              <w:rPr>
                <w:rFonts w:ascii="Palatino Linotype" w:hAnsi="Palatino Linotype"/>
                <w:sz w:val="24"/>
                <w:szCs w:val="24"/>
              </w:rPr>
              <w:t>Transitional</w:t>
            </w:r>
          </w:p>
          <w:p w:rsidRPr="002A5264" w:rsidR="00630C1B" w:rsidRDefault="00630C1B" w14:paraId="72AE7771" w14:textId="77777777">
            <w:pPr>
              <w:rPr>
                <w:rFonts w:ascii="Palatino Linotype" w:hAnsi="Palatino Linotype"/>
                <w:sz w:val="24"/>
                <w:szCs w:val="24"/>
              </w:rPr>
            </w:pPr>
            <w:r w:rsidRPr="002A5264">
              <w:rPr>
                <w:rFonts w:ascii="Palatino Linotype" w:hAnsi="Palatino Linotype"/>
                <w:sz w:val="24"/>
                <w:szCs w:val="24"/>
              </w:rPr>
              <w:t>aged youth;</w:t>
            </w:r>
          </w:p>
          <w:p w:rsidRPr="002A5264" w:rsidR="00630C1B" w:rsidRDefault="00630C1B" w14:paraId="2A2910B4" w14:textId="77777777">
            <w:pPr>
              <w:rPr>
                <w:rFonts w:ascii="Palatino Linotype" w:hAnsi="Palatino Linotype"/>
                <w:sz w:val="24"/>
                <w:szCs w:val="24"/>
              </w:rPr>
            </w:pPr>
            <w:r w:rsidRPr="002A5264">
              <w:rPr>
                <w:rFonts w:ascii="Palatino Linotype" w:hAnsi="Palatino Linotype"/>
                <w:sz w:val="24"/>
                <w:szCs w:val="24"/>
              </w:rPr>
              <w:t>Workers</w:t>
            </w:r>
          </w:p>
          <w:p w:rsidRPr="002A5264" w:rsidR="00630C1B" w:rsidRDefault="00630C1B" w14:paraId="04729D8A" w14:textId="77777777">
            <w:pPr>
              <w:rPr>
                <w:rFonts w:ascii="Palatino Linotype" w:hAnsi="Palatino Linotype"/>
                <w:sz w:val="24"/>
                <w:szCs w:val="24"/>
              </w:rPr>
            </w:pPr>
            <w:r w:rsidRPr="002A5264">
              <w:rPr>
                <w:rFonts w:ascii="Palatino Linotype" w:hAnsi="Palatino Linotype"/>
                <w:sz w:val="24"/>
                <w:szCs w:val="24"/>
              </w:rPr>
              <w:t>(different</w:t>
            </w:r>
          </w:p>
          <w:p w:rsidRPr="002A5264" w:rsidR="00630C1B" w:rsidRDefault="00630C1B" w14:paraId="3C1269EF" w14:textId="37BEAF17">
            <w:pPr>
              <w:rPr>
                <w:rFonts w:ascii="Palatino Linotype" w:hAnsi="Palatino Linotype"/>
                <w:sz w:val="24"/>
                <w:szCs w:val="24"/>
              </w:rPr>
            </w:pPr>
            <w:r w:rsidRPr="002A5264">
              <w:rPr>
                <w:rFonts w:ascii="Palatino Linotype" w:hAnsi="Palatino Linotype"/>
                <w:sz w:val="24"/>
                <w:szCs w:val="24"/>
              </w:rPr>
              <w:t>than disadvan</w:t>
            </w:r>
            <w:r w:rsidR="005F04AE">
              <w:rPr>
                <w:rFonts w:ascii="Palatino Linotype" w:hAnsi="Palatino Linotype"/>
                <w:sz w:val="24"/>
                <w:szCs w:val="24"/>
              </w:rPr>
              <w:t>-</w:t>
            </w:r>
            <w:r w:rsidRPr="002A5264">
              <w:rPr>
                <w:rFonts w:ascii="Palatino Linotype" w:hAnsi="Palatino Linotype"/>
                <w:sz w:val="24"/>
                <w:szCs w:val="24"/>
              </w:rPr>
              <w:t>taged worker);</w:t>
            </w:r>
          </w:p>
          <w:p w:rsidRPr="002A5264" w:rsidR="00630C1B" w:rsidRDefault="00630C1B" w14:paraId="2976D582" w14:textId="77777777">
            <w:pPr>
              <w:rPr>
                <w:rFonts w:ascii="Palatino Linotype" w:hAnsi="Palatino Linotype"/>
                <w:sz w:val="24"/>
                <w:szCs w:val="24"/>
              </w:rPr>
            </w:pPr>
            <w:r w:rsidRPr="002A5264">
              <w:rPr>
                <w:rFonts w:ascii="Palatino Linotype" w:hAnsi="Palatino Linotype"/>
                <w:sz w:val="24"/>
                <w:szCs w:val="24"/>
              </w:rPr>
              <w:t>Workers of a specific</w:t>
            </w:r>
          </w:p>
          <w:p w:rsidRPr="002A5264" w:rsidR="00630C1B" w:rsidRDefault="00630C1B" w14:paraId="4EE9B457" w14:textId="77777777">
            <w:pPr>
              <w:rPr>
                <w:rFonts w:ascii="Palatino Linotype" w:hAnsi="Palatino Linotype"/>
                <w:sz w:val="24"/>
                <w:szCs w:val="24"/>
              </w:rPr>
            </w:pPr>
            <w:r w:rsidRPr="002A5264">
              <w:rPr>
                <w:rFonts w:ascii="Palatino Linotype" w:hAnsi="Palatino Linotype"/>
                <w:sz w:val="24"/>
                <w:szCs w:val="24"/>
              </w:rPr>
              <w:t>segment</w:t>
            </w:r>
          </w:p>
        </w:tc>
      </w:tr>
    </w:tbl>
    <w:p w:rsidR="00517C31" w:rsidP="00630C1B" w:rsidRDefault="00517C31" w14:paraId="022FBAC9" w14:textId="77777777">
      <w:pPr>
        <w:jc w:val="both"/>
        <w:rPr>
          <w:rFonts w:ascii="Palatino Linotype" w:hAnsi="Palatino Linotype" w:cs="Arial"/>
          <w:sz w:val="24"/>
          <w:szCs w:val="24"/>
        </w:rPr>
        <w:sectPr w:rsidR="00517C31" w:rsidSect="00517C31">
          <w:pgSz w:w="12240" w:h="15840" w:code="1"/>
          <w:pgMar w:top="1440" w:right="1440" w:bottom="1440" w:left="1440" w:header="720" w:footer="720" w:gutter="0"/>
          <w:cols w:space="720"/>
          <w:titlePg/>
          <w:docGrid w:linePitch="354"/>
        </w:sectPr>
      </w:pPr>
    </w:p>
    <w:p w:rsidR="00630C1B" w:rsidP="00630C1B" w:rsidRDefault="00630C1B" w14:paraId="1A1A89BD" w14:textId="77777777">
      <w:pPr>
        <w:jc w:val="both"/>
        <w:rPr>
          <w:rFonts w:ascii="Palatino Linotype" w:hAnsi="Palatino Linotype" w:cs="Arial"/>
          <w:sz w:val="24"/>
          <w:szCs w:val="24"/>
        </w:rPr>
      </w:pPr>
    </w:p>
    <w:p w:rsidRPr="00170A21" w:rsidR="0039309D" w:rsidP="00A4547A" w:rsidRDefault="0039309D" w14:paraId="4E594106" w14:textId="2878934B">
      <w:pPr>
        <w:rPr>
          <w:rFonts w:ascii="Palatino Linotype" w:hAnsi="Palatino Linotype" w:cs="Arial"/>
          <w:sz w:val="24"/>
          <w:szCs w:val="24"/>
        </w:rPr>
      </w:pPr>
      <w:r>
        <w:rPr>
          <w:rFonts w:ascii="Palatino Linotype" w:hAnsi="Palatino Linotype" w:cs="Arial"/>
          <w:bCs/>
          <w:sz w:val="24"/>
          <w:szCs w:val="24"/>
        </w:rPr>
        <w:t>The Commission</w:t>
      </w:r>
      <w:r w:rsidRPr="00170A21">
        <w:rPr>
          <w:rFonts w:ascii="Palatino Linotype" w:hAnsi="Palatino Linotype" w:cs="Arial"/>
          <w:sz w:val="24"/>
          <w:szCs w:val="24"/>
        </w:rPr>
        <w:t xml:space="preserve"> is providing the following </w:t>
      </w:r>
      <w:r w:rsidR="000615C5">
        <w:rPr>
          <w:rFonts w:ascii="Palatino Linotype" w:hAnsi="Palatino Linotype" w:cs="Arial"/>
          <w:sz w:val="24"/>
          <w:szCs w:val="24"/>
        </w:rPr>
        <w:t xml:space="preserve">example of a </w:t>
      </w:r>
      <w:r>
        <w:rPr>
          <w:rFonts w:ascii="Palatino Linotype" w:hAnsi="Palatino Linotype" w:cs="Arial"/>
          <w:sz w:val="24"/>
          <w:szCs w:val="24"/>
        </w:rPr>
        <w:t>“Bill Savings T</w:t>
      </w:r>
      <w:r w:rsidRPr="00170A21">
        <w:rPr>
          <w:rFonts w:ascii="Palatino Linotype" w:hAnsi="Palatino Linotype" w:cs="Arial"/>
          <w:sz w:val="24"/>
          <w:szCs w:val="24"/>
        </w:rPr>
        <w:t>able</w:t>
      </w:r>
      <w:r>
        <w:rPr>
          <w:rFonts w:ascii="Palatino Linotype" w:hAnsi="Palatino Linotype" w:cs="Arial"/>
          <w:sz w:val="24"/>
          <w:szCs w:val="24"/>
        </w:rPr>
        <w:t>”</w:t>
      </w:r>
      <w:r w:rsidRPr="00170A21">
        <w:rPr>
          <w:rFonts w:ascii="Palatino Linotype" w:hAnsi="Palatino Linotype" w:cs="Arial"/>
          <w:sz w:val="24"/>
          <w:szCs w:val="24"/>
        </w:rPr>
        <w:t xml:space="preserve"> to </w:t>
      </w:r>
      <w:r>
        <w:rPr>
          <w:rFonts w:ascii="Palatino Linotype" w:hAnsi="Palatino Linotype" w:cs="Arial"/>
          <w:bCs/>
          <w:sz w:val="24"/>
          <w:szCs w:val="24"/>
        </w:rPr>
        <w:t xml:space="preserve">clarify our expectations </w:t>
      </w:r>
      <w:r w:rsidRPr="00170A21">
        <w:rPr>
          <w:rFonts w:ascii="Palatino Linotype" w:hAnsi="Palatino Linotype" w:cs="Arial"/>
          <w:sz w:val="24"/>
          <w:szCs w:val="24"/>
        </w:rPr>
        <w:t>from PAs</w:t>
      </w:r>
      <w:r>
        <w:rPr>
          <w:rFonts w:ascii="Palatino Linotype" w:hAnsi="Palatino Linotype" w:cs="Arial"/>
          <w:sz w:val="24"/>
          <w:szCs w:val="24"/>
        </w:rPr>
        <w:t xml:space="preserve"> about what is anticipated to be reported quarterly and annually</w:t>
      </w:r>
      <w:r w:rsidRPr="00170A21">
        <w:rPr>
          <w:rFonts w:ascii="Palatino Linotype" w:hAnsi="Palatino Linotype" w:cs="Arial"/>
          <w:sz w:val="24"/>
          <w:szCs w:val="24"/>
        </w:rPr>
        <w:t xml:space="preserve">. </w:t>
      </w:r>
      <w:r>
        <w:rPr>
          <w:rFonts w:ascii="Palatino Linotype" w:hAnsi="Palatino Linotype" w:cs="Arial"/>
          <w:sz w:val="24"/>
          <w:szCs w:val="24"/>
        </w:rPr>
        <w:t xml:space="preserve"> PAs should work with </w:t>
      </w:r>
      <w:r w:rsidR="0079045B">
        <w:rPr>
          <w:rFonts w:ascii="Palatino Linotype" w:hAnsi="Palatino Linotype" w:cs="Arial"/>
          <w:sz w:val="24"/>
          <w:szCs w:val="24"/>
        </w:rPr>
        <w:t>Energy Division</w:t>
      </w:r>
      <w:r>
        <w:rPr>
          <w:rFonts w:ascii="Palatino Linotype" w:hAnsi="Palatino Linotype" w:cs="Arial"/>
          <w:sz w:val="24"/>
          <w:szCs w:val="24"/>
        </w:rPr>
        <w:t xml:space="preserve"> to make improvements where possible.</w:t>
      </w:r>
    </w:p>
    <w:p w:rsidR="0039309D" w:rsidP="0039309D" w:rsidRDefault="0039309D" w14:paraId="512071D9" w14:textId="77777777">
      <w:pPr>
        <w:jc w:val="both"/>
        <w:rPr>
          <w:rFonts w:ascii="Palatino Linotype" w:hAnsi="Palatino Linotype" w:cs="Arial"/>
          <w:b/>
          <w:sz w:val="22"/>
          <w:szCs w:val="22"/>
        </w:rPr>
        <w:sectPr w:rsidR="0039309D" w:rsidSect="00C85149">
          <w:pgSz w:w="12240" w:h="15840" w:code="1"/>
          <w:pgMar w:top="1440" w:right="1440" w:bottom="1440" w:left="1440" w:header="720" w:footer="720" w:gutter="0"/>
          <w:cols w:space="720"/>
          <w:titlePg/>
          <w:docGrid w:linePitch="354"/>
        </w:sectPr>
      </w:pPr>
    </w:p>
    <w:tbl>
      <w:tblPr>
        <w:tblStyle w:val="TableGrid"/>
        <w:tblW w:w="0" w:type="auto"/>
        <w:tblLayout w:type="fixed"/>
        <w:tblLook w:val="04A0" w:firstRow="1" w:lastRow="0" w:firstColumn="1" w:lastColumn="0" w:noHBand="0" w:noVBand="1"/>
      </w:tblPr>
      <w:tblGrid>
        <w:gridCol w:w="1165"/>
        <w:gridCol w:w="670"/>
        <w:gridCol w:w="741"/>
        <w:gridCol w:w="741"/>
        <w:gridCol w:w="741"/>
        <w:gridCol w:w="741"/>
        <w:gridCol w:w="741"/>
        <w:gridCol w:w="741"/>
        <w:gridCol w:w="741"/>
        <w:gridCol w:w="741"/>
        <w:gridCol w:w="741"/>
        <w:gridCol w:w="741"/>
        <w:gridCol w:w="741"/>
        <w:gridCol w:w="741"/>
        <w:gridCol w:w="741"/>
        <w:gridCol w:w="741"/>
        <w:gridCol w:w="741"/>
      </w:tblGrid>
      <w:tr w:rsidR="0039309D" w14:paraId="2EF7235D" w14:textId="77777777">
        <w:tc>
          <w:tcPr>
            <w:tcW w:w="1165" w:type="dxa"/>
            <w:vMerge w:val="restart"/>
          </w:tcPr>
          <w:p w:rsidRPr="00614979" w:rsidR="0039309D" w:rsidRDefault="0039309D" w14:paraId="64BC7689" w14:textId="77777777">
            <w:pPr>
              <w:rPr>
                <w:rFonts w:ascii="Palatino Linotype" w:hAnsi="Palatino Linotype" w:cs="Arial"/>
                <w:b/>
                <w:sz w:val="22"/>
                <w:szCs w:val="22"/>
              </w:rPr>
            </w:pPr>
            <w:r w:rsidRPr="00614979">
              <w:rPr>
                <w:rFonts w:ascii="Palatino Linotype" w:hAnsi="Palatino Linotype" w:cs="Arial"/>
                <w:b/>
                <w:sz w:val="22"/>
                <w:szCs w:val="22"/>
              </w:rPr>
              <w:lastRenderedPageBreak/>
              <w:t>Bill Savings by Sector and Segment</w:t>
            </w:r>
          </w:p>
        </w:tc>
        <w:tc>
          <w:tcPr>
            <w:tcW w:w="5857" w:type="dxa"/>
            <w:gridSpan w:val="8"/>
          </w:tcPr>
          <w:p w:rsidRPr="00614979" w:rsidR="0039309D" w:rsidRDefault="0039309D" w14:paraId="2D1C4468" w14:textId="77777777">
            <w:pPr>
              <w:jc w:val="center"/>
              <w:rPr>
                <w:rFonts w:ascii="Palatino Linotype" w:hAnsi="Palatino Linotype" w:cs="Arial"/>
                <w:b/>
                <w:sz w:val="22"/>
                <w:szCs w:val="22"/>
              </w:rPr>
            </w:pPr>
            <w:r w:rsidRPr="00614979">
              <w:rPr>
                <w:rFonts w:ascii="Palatino Linotype" w:hAnsi="Palatino Linotype" w:cs="Arial"/>
                <w:b/>
                <w:sz w:val="22"/>
                <w:szCs w:val="22"/>
              </w:rPr>
              <w:t>Participants</w:t>
            </w:r>
          </w:p>
        </w:tc>
        <w:tc>
          <w:tcPr>
            <w:tcW w:w="5928" w:type="dxa"/>
            <w:gridSpan w:val="8"/>
          </w:tcPr>
          <w:p w:rsidRPr="00614979" w:rsidR="0039309D" w:rsidRDefault="0039309D" w14:paraId="30790D11" w14:textId="77777777">
            <w:pPr>
              <w:jc w:val="center"/>
              <w:rPr>
                <w:rFonts w:ascii="Palatino Linotype" w:hAnsi="Palatino Linotype" w:cs="Arial"/>
                <w:b/>
                <w:sz w:val="22"/>
                <w:szCs w:val="22"/>
              </w:rPr>
            </w:pPr>
            <w:r w:rsidRPr="00614979">
              <w:rPr>
                <w:rFonts w:ascii="Palatino Linotype" w:hAnsi="Palatino Linotype" w:cs="Arial"/>
                <w:b/>
                <w:sz w:val="22"/>
                <w:szCs w:val="22"/>
              </w:rPr>
              <w:t>Non-Participants</w:t>
            </w:r>
          </w:p>
        </w:tc>
      </w:tr>
      <w:tr w:rsidR="0039309D" w14:paraId="3AEFD898" w14:textId="77777777">
        <w:tc>
          <w:tcPr>
            <w:tcW w:w="1165" w:type="dxa"/>
            <w:vMerge/>
          </w:tcPr>
          <w:p w:rsidRPr="00614979" w:rsidR="0039309D" w:rsidRDefault="0039309D" w14:paraId="5A14669F" w14:textId="77777777">
            <w:pPr>
              <w:rPr>
                <w:rFonts w:ascii="Palatino Linotype" w:hAnsi="Palatino Linotype" w:cs="Arial"/>
                <w:b/>
                <w:sz w:val="22"/>
                <w:szCs w:val="22"/>
              </w:rPr>
            </w:pPr>
          </w:p>
        </w:tc>
        <w:tc>
          <w:tcPr>
            <w:tcW w:w="2893" w:type="dxa"/>
            <w:gridSpan w:val="4"/>
          </w:tcPr>
          <w:p w:rsidRPr="00614979" w:rsidR="0039309D" w:rsidRDefault="0039309D" w14:paraId="5BB1D8AC" w14:textId="77777777">
            <w:pPr>
              <w:jc w:val="center"/>
              <w:rPr>
                <w:rFonts w:ascii="Palatino Linotype" w:hAnsi="Palatino Linotype" w:cs="Arial"/>
                <w:b/>
                <w:sz w:val="22"/>
                <w:szCs w:val="22"/>
              </w:rPr>
            </w:pPr>
            <w:r w:rsidRPr="00614979">
              <w:rPr>
                <w:rFonts w:ascii="Palatino Linotype" w:hAnsi="Palatino Linotype" w:cs="Arial"/>
                <w:b/>
                <w:sz w:val="22"/>
                <w:szCs w:val="22"/>
              </w:rPr>
              <w:t>Average</w:t>
            </w:r>
          </w:p>
        </w:tc>
        <w:tc>
          <w:tcPr>
            <w:tcW w:w="2964" w:type="dxa"/>
            <w:gridSpan w:val="4"/>
          </w:tcPr>
          <w:p w:rsidRPr="00614979" w:rsidR="0039309D" w:rsidRDefault="0039309D" w14:paraId="50D22270" w14:textId="77777777">
            <w:pPr>
              <w:jc w:val="center"/>
              <w:rPr>
                <w:rFonts w:ascii="Palatino Linotype" w:hAnsi="Palatino Linotype" w:cs="Arial"/>
                <w:b/>
                <w:sz w:val="22"/>
                <w:szCs w:val="22"/>
              </w:rPr>
            </w:pPr>
            <w:r w:rsidRPr="00614979">
              <w:rPr>
                <w:rFonts w:ascii="Palatino Linotype" w:hAnsi="Palatino Linotype" w:cs="Arial"/>
                <w:b/>
                <w:sz w:val="22"/>
                <w:szCs w:val="22"/>
              </w:rPr>
              <w:t>Total</w:t>
            </w:r>
          </w:p>
        </w:tc>
        <w:tc>
          <w:tcPr>
            <w:tcW w:w="2964" w:type="dxa"/>
            <w:gridSpan w:val="4"/>
          </w:tcPr>
          <w:p w:rsidRPr="00614979" w:rsidR="0039309D" w:rsidRDefault="0039309D" w14:paraId="2880085E" w14:textId="77777777">
            <w:pPr>
              <w:jc w:val="center"/>
              <w:rPr>
                <w:rFonts w:ascii="Palatino Linotype" w:hAnsi="Palatino Linotype" w:cs="Arial"/>
                <w:b/>
                <w:sz w:val="22"/>
                <w:szCs w:val="22"/>
              </w:rPr>
            </w:pPr>
            <w:r w:rsidRPr="00614979">
              <w:rPr>
                <w:rFonts w:ascii="Palatino Linotype" w:hAnsi="Palatino Linotype" w:cs="Arial"/>
                <w:b/>
                <w:sz w:val="22"/>
                <w:szCs w:val="22"/>
              </w:rPr>
              <w:t>Average</w:t>
            </w:r>
          </w:p>
        </w:tc>
        <w:tc>
          <w:tcPr>
            <w:tcW w:w="2964" w:type="dxa"/>
            <w:gridSpan w:val="4"/>
          </w:tcPr>
          <w:p w:rsidRPr="00614979" w:rsidR="0039309D" w:rsidRDefault="0039309D" w14:paraId="52CDC448" w14:textId="77777777">
            <w:pPr>
              <w:jc w:val="center"/>
              <w:rPr>
                <w:rFonts w:ascii="Palatino Linotype" w:hAnsi="Palatino Linotype" w:cs="Arial"/>
                <w:b/>
                <w:sz w:val="22"/>
                <w:szCs w:val="22"/>
              </w:rPr>
            </w:pPr>
            <w:r w:rsidRPr="00614979">
              <w:rPr>
                <w:rFonts w:ascii="Palatino Linotype" w:hAnsi="Palatino Linotype" w:cs="Arial"/>
                <w:b/>
                <w:sz w:val="22"/>
                <w:szCs w:val="22"/>
              </w:rPr>
              <w:t>Total</w:t>
            </w:r>
          </w:p>
        </w:tc>
      </w:tr>
      <w:tr w:rsidR="0039309D" w14:paraId="3D72FA62" w14:textId="77777777">
        <w:tc>
          <w:tcPr>
            <w:tcW w:w="1165" w:type="dxa"/>
            <w:vMerge/>
          </w:tcPr>
          <w:p w:rsidRPr="00614979" w:rsidR="0039309D" w:rsidRDefault="0039309D" w14:paraId="1E552247" w14:textId="77777777">
            <w:pPr>
              <w:rPr>
                <w:rFonts w:ascii="Palatino Linotype" w:hAnsi="Palatino Linotype" w:cs="Arial"/>
                <w:b/>
                <w:sz w:val="22"/>
                <w:szCs w:val="22"/>
              </w:rPr>
            </w:pPr>
          </w:p>
        </w:tc>
        <w:tc>
          <w:tcPr>
            <w:tcW w:w="1411" w:type="dxa"/>
            <w:gridSpan w:val="2"/>
          </w:tcPr>
          <w:p w:rsidRPr="00614979" w:rsidR="0039309D" w:rsidRDefault="0039309D" w14:paraId="4310B637" w14:textId="77777777">
            <w:pPr>
              <w:jc w:val="center"/>
              <w:rPr>
                <w:rFonts w:ascii="Palatino Linotype" w:hAnsi="Palatino Linotype" w:cs="Arial"/>
                <w:b/>
                <w:sz w:val="22"/>
                <w:szCs w:val="22"/>
              </w:rPr>
            </w:pPr>
            <w:r w:rsidRPr="00614979">
              <w:rPr>
                <w:rFonts w:ascii="Palatino Linotype" w:hAnsi="Palatino Linotype" w:cs="Arial"/>
                <w:b/>
                <w:sz w:val="22"/>
                <w:szCs w:val="22"/>
              </w:rPr>
              <w:t>Gas</w:t>
            </w:r>
          </w:p>
        </w:tc>
        <w:tc>
          <w:tcPr>
            <w:tcW w:w="1482" w:type="dxa"/>
            <w:gridSpan w:val="2"/>
          </w:tcPr>
          <w:p w:rsidRPr="00614979" w:rsidR="0039309D" w:rsidRDefault="0039309D" w14:paraId="732B2D33" w14:textId="77777777">
            <w:pPr>
              <w:jc w:val="center"/>
              <w:rPr>
                <w:rFonts w:ascii="Palatino Linotype" w:hAnsi="Palatino Linotype" w:cs="Arial"/>
                <w:b/>
                <w:sz w:val="22"/>
                <w:szCs w:val="22"/>
              </w:rPr>
            </w:pPr>
            <w:r w:rsidRPr="00614979">
              <w:rPr>
                <w:rFonts w:ascii="Palatino Linotype" w:hAnsi="Palatino Linotype" w:cs="Arial"/>
                <w:b/>
                <w:sz w:val="22"/>
                <w:szCs w:val="22"/>
              </w:rPr>
              <w:t>Electric</w:t>
            </w:r>
          </w:p>
        </w:tc>
        <w:tc>
          <w:tcPr>
            <w:tcW w:w="1482" w:type="dxa"/>
            <w:gridSpan w:val="2"/>
          </w:tcPr>
          <w:p w:rsidRPr="00614979" w:rsidR="0039309D" w:rsidRDefault="0039309D" w14:paraId="5A71F9D5" w14:textId="77777777">
            <w:pPr>
              <w:jc w:val="center"/>
              <w:rPr>
                <w:rFonts w:ascii="Palatino Linotype" w:hAnsi="Palatino Linotype" w:cs="Arial"/>
                <w:b/>
                <w:sz w:val="22"/>
                <w:szCs w:val="22"/>
              </w:rPr>
            </w:pPr>
            <w:r w:rsidRPr="00614979">
              <w:rPr>
                <w:rFonts w:ascii="Palatino Linotype" w:hAnsi="Palatino Linotype" w:cs="Arial"/>
                <w:b/>
                <w:sz w:val="22"/>
                <w:szCs w:val="22"/>
              </w:rPr>
              <w:t>Gas</w:t>
            </w:r>
          </w:p>
        </w:tc>
        <w:tc>
          <w:tcPr>
            <w:tcW w:w="1482" w:type="dxa"/>
            <w:gridSpan w:val="2"/>
          </w:tcPr>
          <w:p w:rsidRPr="00614979" w:rsidR="0039309D" w:rsidRDefault="0039309D" w14:paraId="618A4767" w14:textId="77777777">
            <w:pPr>
              <w:jc w:val="center"/>
              <w:rPr>
                <w:rFonts w:ascii="Palatino Linotype" w:hAnsi="Palatino Linotype" w:cs="Arial"/>
                <w:b/>
                <w:sz w:val="22"/>
                <w:szCs w:val="22"/>
              </w:rPr>
            </w:pPr>
            <w:r w:rsidRPr="00614979">
              <w:rPr>
                <w:rFonts w:ascii="Palatino Linotype" w:hAnsi="Palatino Linotype" w:cs="Arial"/>
                <w:b/>
                <w:sz w:val="22"/>
                <w:szCs w:val="22"/>
              </w:rPr>
              <w:t>Electric</w:t>
            </w:r>
          </w:p>
        </w:tc>
        <w:tc>
          <w:tcPr>
            <w:tcW w:w="1482" w:type="dxa"/>
            <w:gridSpan w:val="2"/>
          </w:tcPr>
          <w:p w:rsidRPr="00614979" w:rsidR="0039309D" w:rsidRDefault="0039309D" w14:paraId="10E23142" w14:textId="77777777">
            <w:pPr>
              <w:jc w:val="center"/>
              <w:rPr>
                <w:rFonts w:ascii="Palatino Linotype" w:hAnsi="Palatino Linotype" w:cs="Arial"/>
                <w:b/>
                <w:sz w:val="22"/>
                <w:szCs w:val="22"/>
              </w:rPr>
            </w:pPr>
            <w:r w:rsidRPr="00614979">
              <w:rPr>
                <w:rFonts w:ascii="Palatino Linotype" w:hAnsi="Palatino Linotype" w:cs="Arial"/>
                <w:b/>
                <w:sz w:val="22"/>
                <w:szCs w:val="22"/>
              </w:rPr>
              <w:t>Gas</w:t>
            </w:r>
          </w:p>
        </w:tc>
        <w:tc>
          <w:tcPr>
            <w:tcW w:w="1482" w:type="dxa"/>
            <w:gridSpan w:val="2"/>
          </w:tcPr>
          <w:p w:rsidRPr="00614979" w:rsidR="0039309D" w:rsidRDefault="0039309D" w14:paraId="50886799" w14:textId="77777777">
            <w:pPr>
              <w:jc w:val="center"/>
              <w:rPr>
                <w:rFonts w:ascii="Palatino Linotype" w:hAnsi="Palatino Linotype" w:cs="Arial"/>
                <w:b/>
                <w:sz w:val="22"/>
                <w:szCs w:val="22"/>
              </w:rPr>
            </w:pPr>
            <w:r w:rsidRPr="00614979">
              <w:rPr>
                <w:rFonts w:ascii="Palatino Linotype" w:hAnsi="Palatino Linotype" w:cs="Arial"/>
                <w:b/>
                <w:sz w:val="22"/>
                <w:szCs w:val="22"/>
              </w:rPr>
              <w:t>Electric</w:t>
            </w:r>
          </w:p>
        </w:tc>
        <w:tc>
          <w:tcPr>
            <w:tcW w:w="1482" w:type="dxa"/>
            <w:gridSpan w:val="2"/>
          </w:tcPr>
          <w:p w:rsidRPr="00614979" w:rsidR="0039309D" w:rsidRDefault="0039309D" w14:paraId="1BFB4262" w14:textId="77777777">
            <w:pPr>
              <w:jc w:val="center"/>
              <w:rPr>
                <w:rFonts w:ascii="Palatino Linotype" w:hAnsi="Palatino Linotype" w:cs="Arial"/>
                <w:b/>
                <w:sz w:val="22"/>
                <w:szCs w:val="22"/>
              </w:rPr>
            </w:pPr>
            <w:r w:rsidRPr="00614979">
              <w:rPr>
                <w:rFonts w:ascii="Palatino Linotype" w:hAnsi="Palatino Linotype" w:cs="Arial"/>
                <w:b/>
                <w:sz w:val="22"/>
                <w:szCs w:val="22"/>
              </w:rPr>
              <w:t>Gas</w:t>
            </w:r>
          </w:p>
        </w:tc>
        <w:tc>
          <w:tcPr>
            <w:tcW w:w="1482" w:type="dxa"/>
            <w:gridSpan w:val="2"/>
          </w:tcPr>
          <w:p w:rsidRPr="00614979" w:rsidR="0039309D" w:rsidRDefault="0039309D" w14:paraId="112E6F5D" w14:textId="77777777">
            <w:pPr>
              <w:jc w:val="center"/>
              <w:rPr>
                <w:rFonts w:ascii="Palatino Linotype" w:hAnsi="Palatino Linotype" w:cs="Arial"/>
                <w:b/>
                <w:sz w:val="22"/>
                <w:szCs w:val="22"/>
              </w:rPr>
            </w:pPr>
            <w:r w:rsidRPr="00614979">
              <w:rPr>
                <w:rFonts w:ascii="Palatino Linotype" w:hAnsi="Palatino Linotype" w:cs="Arial"/>
                <w:b/>
                <w:sz w:val="22"/>
                <w:szCs w:val="22"/>
              </w:rPr>
              <w:t>Electric</w:t>
            </w:r>
          </w:p>
        </w:tc>
      </w:tr>
      <w:tr w:rsidR="0039309D" w14:paraId="452A6177" w14:textId="77777777">
        <w:tc>
          <w:tcPr>
            <w:tcW w:w="1165" w:type="dxa"/>
            <w:vMerge/>
          </w:tcPr>
          <w:p w:rsidRPr="00614979" w:rsidR="0039309D" w:rsidRDefault="0039309D" w14:paraId="7EFC52E5" w14:textId="77777777">
            <w:pPr>
              <w:rPr>
                <w:rFonts w:ascii="Palatino Linotype" w:hAnsi="Palatino Linotype" w:cs="Arial"/>
                <w:b/>
                <w:sz w:val="22"/>
                <w:szCs w:val="22"/>
              </w:rPr>
            </w:pPr>
          </w:p>
        </w:tc>
        <w:tc>
          <w:tcPr>
            <w:tcW w:w="670" w:type="dxa"/>
          </w:tcPr>
          <w:p w:rsidRPr="00975C09" w:rsidR="0039309D" w:rsidRDefault="0039309D" w14:paraId="31051E78" w14:textId="77777777">
            <w:pPr>
              <w:rPr>
                <w:rFonts w:ascii="Palatino Linotype" w:hAnsi="Palatino Linotype" w:cs="Arial"/>
                <w:b/>
                <w:sz w:val="20"/>
              </w:rPr>
            </w:pPr>
            <w:r w:rsidRPr="00975C09">
              <w:rPr>
                <w:rFonts w:ascii="Palatino Linotype" w:hAnsi="Palatino Linotype" w:cs="Arial"/>
                <w:b/>
                <w:sz w:val="20"/>
              </w:rPr>
              <w:t xml:space="preserve">Bill </w:t>
            </w:r>
            <w:r>
              <w:rPr>
                <w:rFonts w:ascii="Palatino Linotype" w:hAnsi="Palatino Linotype" w:cs="Arial"/>
                <w:b/>
                <w:sz w:val="20"/>
              </w:rPr>
              <w:t>$</w:t>
            </w:r>
          </w:p>
        </w:tc>
        <w:tc>
          <w:tcPr>
            <w:tcW w:w="741" w:type="dxa"/>
          </w:tcPr>
          <w:p w:rsidRPr="00975C09" w:rsidR="0039309D" w:rsidRDefault="0039309D" w14:paraId="2C6E9E10" w14:textId="77777777">
            <w:pPr>
              <w:rPr>
                <w:rFonts w:ascii="Palatino Linotype" w:hAnsi="Palatino Linotype" w:cs="Arial"/>
                <w:b/>
                <w:sz w:val="20"/>
              </w:rPr>
            </w:pPr>
            <w:r w:rsidRPr="00975C09">
              <w:rPr>
                <w:rFonts w:ascii="Palatino Linotype" w:hAnsi="Palatino Linotype" w:cs="Arial"/>
                <w:b/>
                <w:sz w:val="20"/>
              </w:rPr>
              <w:t>Savings</w:t>
            </w:r>
            <w:r>
              <w:rPr>
                <w:rFonts w:ascii="Palatino Linotype" w:hAnsi="Palatino Linotype" w:cs="Arial"/>
                <w:b/>
                <w:sz w:val="20"/>
              </w:rPr>
              <w:t xml:space="preserve"> $</w:t>
            </w:r>
          </w:p>
        </w:tc>
        <w:tc>
          <w:tcPr>
            <w:tcW w:w="741" w:type="dxa"/>
          </w:tcPr>
          <w:p w:rsidRPr="00975C09" w:rsidR="0039309D" w:rsidRDefault="0039309D" w14:paraId="2AB295B2" w14:textId="77777777">
            <w:pPr>
              <w:rPr>
                <w:rFonts w:ascii="Palatino Linotype" w:hAnsi="Palatino Linotype" w:cs="Arial"/>
                <w:b/>
                <w:sz w:val="20"/>
              </w:rPr>
            </w:pPr>
            <w:r w:rsidRPr="00975C09">
              <w:rPr>
                <w:rFonts w:ascii="Palatino Linotype" w:hAnsi="Palatino Linotype" w:cs="Arial"/>
                <w:b/>
                <w:sz w:val="20"/>
              </w:rPr>
              <w:t>Bill</w:t>
            </w:r>
            <w:r>
              <w:rPr>
                <w:rFonts w:ascii="Palatino Linotype" w:hAnsi="Palatino Linotype" w:cs="Arial"/>
                <w:b/>
                <w:sz w:val="20"/>
              </w:rPr>
              <w:t xml:space="preserve"> $</w:t>
            </w:r>
          </w:p>
        </w:tc>
        <w:tc>
          <w:tcPr>
            <w:tcW w:w="741" w:type="dxa"/>
          </w:tcPr>
          <w:p w:rsidRPr="00975C09" w:rsidR="0039309D" w:rsidRDefault="0039309D" w14:paraId="202584E3" w14:textId="77777777">
            <w:pPr>
              <w:rPr>
                <w:rFonts w:ascii="Palatino Linotype" w:hAnsi="Palatino Linotype" w:cs="Arial"/>
                <w:b/>
                <w:sz w:val="20"/>
              </w:rPr>
            </w:pPr>
            <w:r w:rsidRPr="00975C09">
              <w:rPr>
                <w:rFonts w:ascii="Palatino Linotype" w:hAnsi="Palatino Linotype" w:cs="Arial"/>
                <w:b/>
                <w:sz w:val="20"/>
              </w:rPr>
              <w:t>Savings</w:t>
            </w:r>
            <w:r>
              <w:rPr>
                <w:rFonts w:ascii="Palatino Linotype" w:hAnsi="Palatino Linotype" w:cs="Arial"/>
                <w:b/>
                <w:sz w:val="20"/>
              </w:rPr>
              <w:t xml:space="preserve"> $</w:t>
            </w:r>
          </w:p>
        </w:tc>
        <w:tc>
          <w:tcPr>
            <w:tcW w:w="741" w:type="dxa"/>
          </w:tcPr>
          <w:p w:rsidRPr="00975C09" w:rsidR="0039309D" w:rsidRDefault="0039309D" w14:paraId="5A67CD48" w14:textId="77777777">
            <w:pPr>
              <w:rPr>
                <w:rFonts w:ascii="Palatino Linotype" w:hAnsi="Palatino Linotype" w:cs="Arial"/>
                <w:b/>
                <w:sz w:val="20"/>
              </w:rPr>
            </w:pPr>
            <w:r w:rsidRPr="00975C09">
              <w:rPr>
                <w:rFonts w:ascii="Palatino Linotype" w:hAnsi="Palatino Linotype" w:cs="Arial"/>
                <w:b/>
                <w:sz w:val="20"/>
              </w:rPr>
              <w:t xml:space="preserve">Bill </w:t>
            </w:r>
            <w:r>
              <w:rPr>
                <w:rFonts w:ascii="Palatino Linotype" w:hAnsi="Palatino Linotype" w:cs="Arial"/>
                <w:b/>
                <w:sz w:val="20"/>
              </w:rPr>
              <w:t xml:space="preserve"> $</w:t>
            </w:r>
          </w:p>
        </w:tc>
        <w:tc>
          <w:tcPr>
            <w:tcW w:w="741" w:type="dxa"/>
          </w:tcPr>
          <w:p w:rsidRPr="00975C09" w:rsidR="0039309D" w:rsidRDefault="0039309D" w14:paraId="5B3B34AC" w14:textId="77777777">
            <w:pPr>
              <w:rPr>
                <w:rFonts w:ascii="Palatino Linotype" w:hAnsi="Palatino Linotype" w:cs="Arial"/>
                <w:b/>
                <w:sz w:val="20"/>
              </w:rPr>
            </w:pPr>
            <w:r w:rsidRPr="00975C09">
              <w:rPr>
                <w:rFonts w:ascii="Palatino Linotype" w:hAnsi="Palatino Linotype" w:cs="Arial"/>
                <w:b/>
                <w:sz w:val="20"/>
              </w:rPr>
              <w:t>Savings</w:t>
            </w:r>
            <w:r>
              <w:rPr>
                <w:rFonts w:ascii="Palatino Linotype" w:hAnsi="Palatino Linotype" w:cs="Arial"/>
                <w:b/>
                <w:sz w:val="20"/>
              </w:rPr>
              <w:t xml:space="preserve"> $</w:t>
            </w:r>
          </w:p>
        </w:tc>
        <w:tc>
          <w:tcPr>
            <w:tcW w:w="741" w:type="dxa"/>
          </w:tcPr>
          <w:p w:rsidRPr="00975C09" w:rsidR="0039309D" w:rsidRDefault="0039309D" w14:paraId="09608B72" w14:textId="77777777">
            <w:pPr>
              <w:rPr>
                <w:rFonts w:ascii="Palatino Linotype" w:hAnsi="Palatino Linotype" w:cs="Arial"/>
                <w:b/>
                <w:sz w:val="20"/>
              </w:rPr>
            </w:pPr>
            <w:r w:rsidRPr="00975C09">
              <w:rPr>
                <w:rFonts w:ascii="Palatino Linotype" w:hAnsi="Palatino Linotype" w:cs="Arial"/>
                <w:b/>
                <w:sz w:val="20"/>
              </w:rPr>
              <w:t xml:space="preserve">Bill </w:t>
            </w:r>
            <w:r>
              <w:rPr>
                <w:rFonts w:ascii="Palatino Linotype" w:hAnsi="Palatino Linotype" w:cs="Arial"/>
                <w:b/>
                <w:sz w:val="20"/>
              </w:rPr>
              <w:t>$</w:t>
            </w:r>
          </w:p>
        </w:tc>
        <w:tc>
          <w:tcPr>
            <w:tcW w:w="741" w:type="dxa"/>
          </w:tcPr>
          <w:p w:rsidRPr="00975C09" w:rsidR="0039309D" w:rsidRDefault="0039309D" w14:paraId="57D24989" w14:textId="77777777">
            <w:pPr>
              <w:rPr>
                <w:rFonts w:ascii="Palatino Linotype" w:hAnsi="Palatino Linotype" w:cs="Arial"/>
                <w:b/>
                <w:sz w:val="20"/>
              </w:rPr>
            </w:pPr>
            <w:r w:rsidRPr="00975C09">
              <w:rPr>
                <w:rFonts w:ascii="Palatino Linotype" w:hAnsi="Palatino Linotype" w:cs="Arial"/>
                <w:b/>
                <w:sz w:val="20"/>
              </w:rPr>
              <w:t>Savings</w:t>
            </w:r>
            <w:r>
              <w:rPr>
                <w:rFonts w:ascii="Palatino Linotype" w:hAnsi="Palatino Linotype" w:cs="Arial"/>
                <w:b/>
                <w:sz w:val="20"/>
              </w:rPr>
              <w:t xml:space="preserve"> $</w:t>
            </w:r>
          </w:p>
        </w:tc>
        <w:tc>
          <w:tcPr>
            <w:tcW w:w="741" w:type="dxa"/>
          </w:tcPr>
          <w:p w:rsidRPr="00975C09" w:rsidR="0039309D" w:rsidRDefault="0039309D" w14:paraId="395C04A8" w14:textId="77777777">
            <w:pPr>
              <w:rPr>
                <w:rFonts w:ascii="Palatino Linotype" w:hAnsi="Palatino Linotype" w:cs="Arial"/>
                <w:b/>
                <w:sz w:val="20"/>
              </w:rPr>
            </w:pPr>
            <w:r w:rsidRPr="00975C09">
              <w:rPr>
                <w:rFonts w:ascii="Palatino Linotype" w:hAnsi="Palatino Linotype" w:cs="Arial"/>
                <w:b/>
                <w:sz w:val="20"/>
              </w:rPr>
              <w:t xml:space="preserve">Bill </w:t>
            </w:r>
            <w:r>
              <w:rPr>
                <w:rFonts w:ascii="Palatino Linotype" w:hAnsi="Palatino Linotype" w:cs="Arial"/>
                <w:b/>
                <w:sz w:val="20"/>
              </w:rPr>
              <w:t xml:space="preserve"> $</w:t>
            </w:r>
          </w:p>
        </w:tc>
        <w:tc>
          <w:tcPr>
            <w:tcW w:w="741" w:type="dxa"/>
          </w:tcPr>
          <w:p w:rsidRPr="00975C09" w:rsidR="0039309D" w:rsidRDefault="0039309D" w14:paraId="1A2B6C7D" w14:textId="77777777">
            <w:pPr>
              <w:rPr>
                <w:rFonts w:ascii="Palatino Linotype" w:hAnsi="Palatino Linotype" w:cs="Arial"/>
                <w:b/>
                <w:sz w:val="20"/>
              </w:rPr>
            </w:pPr>
            <w:r w:rsidRPr="00975C09">
              <w:rPr>
                <w:rFonts w:ascii="Palatino Linotype" w:hAnsi="Palatino Linotype" w:cs="Arial"/>
                <w:b/>
                <w:sz w:val="20"/>
              </w:rPr>
              <w:t>Savings</w:t>
            </w:r>
            <w:r>
              <w:rPr>
                <w:rFonts w:ascii="Palatino Linotype" w:hAnsi="Palatino Linotype" w:cs="Arial"/>
                <w:b/>
                <w:sz w:val="20"/>
              </w:rPr>
              <w:t xml:space="preserve"> $</w:t>
            </w:r>
          </w:p>
        </w:tc>
        <w:tc>
          <w:tcPr>
            <w:tcW w:w="741" w:type="dxa"/>
          </w:tcPr>
          <w:p w:rsidRPr="00975C09" w:rsidR="0039309D" w:rsidRDefault="0039309D" w14:paraId="0EEDA784" w14:textId="77777777">
            <w:pPr>
              <w:rPr>
                <w:rFonts w:ascii="Palatino Linotype" w:hAnsi="Palatino Linotype" w:cs="Arial"/>
                <w:b/>
                <w:sz w:val="20"/>
              </w:rPr>
            </w:pPr>
            <w:r w:rsidRPr="00975C09">
              <w:rPr>
                <w:rFonts w:ascii="Palatino Linotype" w:hAnsi="Palatino Linotype" w:cs="Arial"/>
                <w:b/>
                <w:sz w:val="20"/>
              </w:rPr>
              <w:t xml:space="preserve">Bill </w:t>
            </w:r>
            <w:r>
              <w:rPr>
                <w:rFonts w:ascii="Palatino Linotype" w:hAnsi="Palatino Linotype" w:cs="Arial"/>
                <w:b/>
                <w:sz w:val="20"/>
              </w:rPr>
              <w:t xml:space="preserve"> $</w:t>
            </w:r>
          </w:p>
        </w:tc>
        <w:tc>
          <w:tcPr>
            <w:tcW w:w="741" w:type="dxa"/>
          </w:tcPr>
          <w:p w:rsidRPr="00975C09" w:rsidR="0039309D" w:rsidRDefault="0039309D" w14:paraId="4E403DF5" w14:textId="77777777">
            <w:pPr>
              <w:rPr>
                <w:rFonts w:ascii="Palatino Linotype" w:hAnsi="Palatino Linotype" w:cs="Arial"/>
                <w:b/>
                <w:sz w:val="20"/>
              </w:rPr>
            </w:pPr>
            <w:r w:rsidRPr="00975C09">
              <w:rPr>
                <w:rFonts w:ascii="Palatino Linotype" w:hAnsi="Palatino Linotype" w:cs="Arial"/>
                <w:b/>
                <w:sz w:val="20"/>
              </w:rPr>
              <w:t>Savings</w:t>
            </w:r>
            <w:r>
              <w:rPr>
                <w:rFonts w:ascii="Palatino Linotype" w:hAnsi="Palatino Linotype" w:cs="Arial"/>
                <w:b/>
                <w:sz w:val="20"/>
              </w:rPr>
              <w:t xml:space="preserve"> $</w:t>
            </w:r>
          </w:p>
        </w:tc>
        <w:tc>
          <w:tcPr>
            <w:tcW w:w="741" w:type="dxa"/>
          </w:tcPr>
          <w:p w:rsidRPr="00975C09" w:rsidR="0039309D" w:rsidRDefault="0039309D" w14:paraId="1195B307" w14:textId="77777777">
            <w:pPr>
              <w:rPr>
                <w:rFonts w:ascii="Palatino Linotype" w:hAnsi="Palatino Linotype" w:cs="Arial"/>
                <w:b/>
                <w:sz w:val="20"/>
              </w:rPr>
            </w:pPr>
            <w:r w:rsidRPr="00975C09">
              <w:rPr>
                <w:rFonts w:ascii="Palatino Linotype" w:hAnsi="Palatino Linotype" w:cs="Arial"/>
                <w:b/>
                <w:sz w:val="20"/>
              </w:rPr>
              <w:t>Bill</w:t>
            </w:r>
            <w:r>
              <w:rPr>
                <w:rFonts w:ascii="Palatino Linotype" w:hAnsi="Palatino Linotype" w:cs="Arial"/>
                <w:b/>
                <w:sz w:val="20"/>
              </w:rPr>
              <w:t xml:space="preserve"> $</w:t>
            </w:r>
            <w:r w:rsidRPr="00975C09">
              <w:rPr>
                <w:rFonts w:ascii="Palatino Linotype" w:hAnsi="Palatino Linotype" w:cs="Arial"/>
                <w:b/>
                <w:sz w:val="20"/>
              </w:rPr>
              <w:t xml:space="preserve"> </w:t>
            </w:r>
          </w:p>
        </w:tc>
        <w:tc>
          <w:tcPr>
            <w:tcW w:w="741" w:type="dxa"/>
          </w:tcPr>
          <w:p w:rsidRPr="00975C09" w:rsidR="0039309D" w:rsidRDefault="0039309D" w14:paraId="3701D0E9" w14:textId="77777777">
            <w:pPr>
              <w:rPr>
                <w:rFonts w:ascii="Palatino Linotype" w:hAnsi="Palatino Linotype" w:cs="Arial"/>
                <w:b/>
                <w:sz w:val="20"/>
              </w:rPr>
            </w:pPr>
            <w:r w:rsidRPr="00975C09">
              <w:rPr>
                <w:rFonts w:ascii="Palatino Linotype" w:hAnsi="Palatino Linotype" w:cs="Arial"/>
                <w:b/>
                <w:sz w:val="20"/>
              </w:rPr>
              <w:t>Savings</w:t>
            </w:r>
            <w:r>
              <w:rPr>
                <w:rFonts w:ascii="Palatino Linotype" w:hAnsi="Palatino Linotype" w:cs="Arial"/>
                <w:b/>
                <w:sz w:val="20"/>
              </w:rPr>
              <w:t xml:space="preserve"> $</w:t>
            </w:r>
          </w:p>
        </w:tc>
        <w:tc>
          <w:tcPr>
            <w:tcW w:w="741" w:type="dxa"/>
          </w:tcPr>
          <w:p w:rsidRPr="00975C09" w:rsidR="0039309D" w:rsidRDefault="0039309D" w14:paraId="5BB84B6A" w14:textId="77777777">
            <w:pPr>
              <w:rPr>
                <w:rFonts w:ascii="Palatino Linotype" w:hAnsi="Palatino Linotype" w:cs="Arial"/>
                <w:b/>
                <w:sz w:val="20"/>
              </w:rPr>
            </w:pPr>
            <w:r w:rsidRPr="00975C09">
              <w:rPr>
                <w:rFonts w:ascii="Palatino Linotype" w:hAnsi="Palatino Linotype" w:cs="Arial"/>
                <w:b/>
                <w:sz w:val="20"/>
              </w:rPr>
              <w:t xml:space="preserve">Bill </w:t>
            </w:r>
            <w:r>
              <w:rPr>
                <w:rFonts w:ascii="Palatino Linotype" w:hAnsi="Palatino Linotype" w:cs="Arial"/>
                <w:b/>
                <w:sz w:val="20"/>
              </w:rPr>
              <w:t>$</w:t>
            </w:r>
          </w:p>
        </w:tc>
        <w:tc>
          <w:tcPr>
            <w:tcW w:w="741" w:type="dxa"/>
          </w:tcPr>
          <w:p w:rsidRPr="00975C09" w:rsidR="0039309D" w:rsidRDefault="0039309D" w14:paraId="48321A5E" w14:textId="77777777">
            <w:pPr>
              <w:rPr>
                <w:rFonts w:ascii="Palatino Linotype" w:hAnsi="Palatino Linotype" w:cs="Arial"/>
                <w:b/>
                <w:sz w:val="20"/>
              </w:rPr>
            </w:pPr>
            <w:r w:rsidRPr="00975C09">
              <w:rPr>
                <w:rFonts w:ascii="Palatino Linotype" w:hAnsi="Palatino Linotype" w:cs="Arial"/>
                <w:b/>
                <w:sz w:val="20"/>
              </w:rPr>
              <w:t>Savings</w:t>
            </w:r>
            <w:r>
              <w:rPr>
                <w:rFonts w:ascii="Palatino Linotype" w:hAnsi="Palatino Linotype" w:cs="Arial"/>
                <w:b/>
                <w:sz w:val="20"/>
              </w:rPr>
              <w:t xml:space="preserve"> $</w:t>
            </w:r>
          </w:p>
        </w:tc>
      </w:tr>
      <w:tr w:rsidR="0039309D" w14:paraId="6D938A13" w14:textId="77777777">
        <w:tc>
          <w:tcPr>
            <w:tcW w:w="1165" w:type="dxa"/>
          </w:tcPr>
          <w:p w:rsidRPr="00FE67C1" w:rsidR="0039309D" w:rsidRDefault="0039309D" w14:paraId="05E9D97E" w14:textId="77777777">
            <w:pPr>
              <w:rPr>
                <w:rFonts w:ascii="Palatino Linotype" w:hAnsi="Palatino Linotype" w:cs="Arial"/>
                <w:sz w:val="22"/>
                <w:szCs w:val="22"/>
              </w:rPr>
            </w:pPr>
            <w:r w:rsidRPr="00FE67C1">
              <w:rPr>
                <w:rFonts w:ascii="Palatino Linotype" w:hAnsi="Palatino Linotype" w:cs="Arial"/>
                <w:sz w:val="22"/>
                <w:szCs w:val="22"/>
              </w:rPr>
              <w:t>Res SF Equity Projected</w:t>
            </w:r>
          </w:p>
        </w:tc>
        <w:tc>
          <w:tcPr>
            <w:tcW w:w="670" w:type="dxa"/>
          </w:tcPr>
          <w:p w:rsidRPr="00FE67C1" w:rsidR="0039309D" w:rsidRDefault="0039309D" w14:paraId="77496048" w14:textId="77777777">
            <w:pPr>
              <w:rPr>
                <w:rFonts w:ascii="Palatino Linotype" w:hAnsi="Palatino Linotype" w:cs="Arial"/>
                <w:sz w:val="22"/>
                <w:szCs w:val="22"/>
              </w:rPr>
            </w:pPr>
          </w:p>
        </w:tc>
        <w:tc>
          <w:tcPr>
            <w:tcW w:w="741" w:type="dxa"/>
          </w:tcPr>
          <w:p w:rsidRPr="00FE67C1" w:rsidR="0039309D" w:rsidRDefault="0039309D" w14:paraId="54FF9C1F" w14:textId="77777777">
            <w:pPr>
              <w:rPr>
                <w:rFonts w:ascii="Palatino Linotype" w:hAnsi="Palatino Linotype" w:cs="Arial"/>
                <w:sz w:val="22"/>
                <w:szCs w:val="22"/>
              </w:rPr>
            </w:pPr>
          </w:p>
        </w:tc>
        <w:tc>
          <w:tcPr>
            <w:tcW w:w="741" w:type="dxa"/>
          </w:tcPr>
          <w:p w:rsidRPr="00FE67C1" w:rsidR="0039309D" w:rsidRDefault="0039309D" w14:paraId="6D1535BD" w14:textId="77777777">
            <w:pPr>
              <w:rPr>
                <w:rFonts w:ascii="Palatino Linotype" w:hAnsi="Palatino Linotype" w:cs="Arial"/>
                <w:sz w:val="22"/>
                <w:szCs w:val="22"/>
              </w:rPr>
            </w:pPr>
          </w:p>
        </w:tc>
        <w:tc>
          <w:tcPr>
            <w:tcW w:w="741" w:type="dxa"/>
          </w:tcPr>
          <w:p w:rsidRPr="00FE67C1" w:rsidR="0039309D" w:rsidRDefault="0039309D" w14:paraId="61BB83C0" w14:textId="77777777">
            <w:pPr>
              <w:rPr>
                <w:rFonts w:ascii="Palatino Linotype" w:hAnsi="Palatino Linotype" w:cs="Arial"/>
                <w:sz w:val="22"/>
                <w:szCs w:val="22"/>
              </w:rPr>
            </w:pPr>
          </w:p>
        </w:tc>
        <w:tc>
          <w:tcPr>
            <w:tcW w:w="741" w:type="dxa"/>
          </w:tcPr>
          <w:p w:rsidRPr="00FE67C1" w:rsidR="0039309D" w:rsidRDefault="0039309D" w14:paraId="71BA52C2" w14:textId="77777777">
            <w:pPr>
              <w:rPr>
                <w:rFonts w:ascii="Palatino Linotype" w:hAnsi="Palatino Linotype" w:cs="Arial"/>
                <w:sz w:val="22"/>
                <w:szCs w:val="22"/>
              </w:rPr>
            </w:pPr>
          </w:p>
        </w:tc>
        <w:tc>
          <w:tcPr>
            <w:tcW w:w="741" w:type="dxa"/>
          </w:tcPr>
          <w:p w:rsidRPr="00FE67C1" w:rsidR="0039309D" w:rsidRDefault="0039309D" w14:paraId="1405DFE7" w14:textId="77777777">
            <w:pPr>
              <w:rPr>
                <w:rFonts w:ascii="Palatino Linotype" w:hAnsi="Palatino Linotype" w:cs="Arial"/>
                <w:sz w:val="22"/>
                <w:szCs w:val="22"/>
              </w:rPr>
            </w:pPr>
          </w:p>
        </w:tc>
        <w:tc>
          <w:tcPr>
            <w:tcW w:w="741" w:type="dxa"/>
          </w:tcPr>
          <w:p w:rsidRPr="00FE67C1" w:rsidR="0039309D" w:rsidRDefault="0039309D" w14:paraId="406B6B79" w14:textId="77777777">
            <w:pPr>
              <w:rPr>
                <w:rFonts w:ascii="Palatino Linotype" w:hAnsi="Palatino Linotype" w:cs="Arial"/>
                <w:sz w:val="22"/>
                <w:szCs w:val="22"/>
              </w:rPr>
            </w:pPr>
          </w:p>
        </w:tc>
        <w:tc>
          <w:tcPr>
            <w:tcW w:w="741" w:type="dxa"/>
          </w:tcPr>
          <w:p w:rsidRPr="00FE67C1" w:rsidR="0039309D" w:rsidRDefault="0039309D" w14:paraId="7406D087" w14:textId="77777777">
            <w:pPr>
              <w:rPr>
                <w:rFonts w:ascii="Palatino Linotype" w:hAnsi="Palatino Linotype" w:cs="Arial"/>
                <w:sz w:val="22"/>
                <w:szCs w:val="22"/>
              </w:rPr>
            </w:pPr>
          </w:p>
        </w:tc>
        <w:tc>
          <w:tcPr>
            <w:tcW w:w="741" w:type="dxa"/>
          </w:tcPr>
          <w:p w:rsidRPr="00FE67C1" w:rsidR="0039309D" w:rsidRDefault="0039309D" w14:paraId="447AC780" w14:textId="77777777">
            <w:pPr>
              <w:rPr>
                <w:rFonts w:ascii="Palatino Linotype" w:hAnsi="Palatino Linotype" w:cs="Arial"/>
                <w:sz w:val="22"/>
                <w:szCs w:val="22"/>
              </w:rPr>
            </w:pPr>
          </w:p>
        </w:tc>
        <w:tc>
          <w:tcPr>
            <w:tcW w:w="741" w:type="dxa"/>
          </w:tcPr>
          <w:p w:rsidRPr="00FE67C1" w:rsidR="0039309D" w:rsidRDefault="0039309D" w14:paraId="3544481A" w14:textId="77777777">
            <w:pPr>
              <w:rPr>
                <w:rFonts w:ascii="Palatino Linotype" w:hAnsi="Palatino Linotype" w:cs="Arial"/>
                <w:sz w:val="22"/>
                <w:szCs w:val="22"/>
              </w:rPr>
            </w:pPr>
          </w:p>
        </w:tc>
        <w:tc>
          <w:tcPr>
            <w:tcW w:w="741" w:type="dxa"/>
          </w:tcPr>
          <w:p w:rsidRPr="00FE67C1" w:rsidR="0039309D" w:rsidRDefault="0039309D" w14:paraId="178ED5AE" w14:textId="77777777">
            <w:pPr>
              <w:rPr>
                <w:rFonts w:ascii="Palatino Linotype" w:hAnsi="Palatino Linotype" w:cs="Arial"/>
                <w:sz w:val="22"/>
                <w:szCs w:val="22"/>
              </w:rPr>
            </w:pPr>
          </w:p>
        </w:tc>
        <w:tc>
          <w:tcPr>
            <w:tcW w:w="741" w:type="dxa"/>
          </w:tcPr>
          <w:p w:rsidRPr="00FE67C1" w:rsidR="0039309D" w:rsidRDefault="0039309D" w14:paraId="5DA82B95" w14:textId="77777777">
            <w:pPr>
              <w:rPr>
                <w:rFonts w:ascii="Palatino Linotype" w:hAnsi="Palatino Linotype" w:cs="Arial"/>
                <w:sz w:val="22"/>
                <w:szCs w:val="22"/>
              </w:rPr>
            </w:pPr>
          </w:p>
        </w:tc>
        <w:tc>
          <w:tcPr>
            <w:tcW w:w="741" w:type="dxa"/>
          </w:tcPr>
          <w:p w:rsidRPr="00FE67C1" w:rsidR="0039309D" w:rsidRDefault="0039309D" w14:paraId="179CD5E3" w14:textId="77777777">
            <w:pPr>
              <w:rPr>
                <w:rFonts w:ascii="Palatino Linotype" w:hAnsi="Palatino Linotype" w:cs="Arial"/>
                <w:sz w:val="22"/>
                <w:szCs w:val="22"/>
              </w:rPr>
            </w:pPr>
          </w:p>
        </w:tc>
        <w:tc>
          <w:tcPr>
            <w:tcW w:w="741" w:type="dxa"/>
          </w:tcPr>
          <w:p w:rsidRPr="00FE67C1" w:rsidR="0039309D" w:rsidRDefault="0039309D" w14:paraId="76C6285F" w14:textId="77777777">
            <w:pPr>
              <w:rPr>
                <w:rFonts w:ascii="Palatino Linotype" w:hAnsi="Palatino Linotype" w:cs="Arial"/>
                <w:sz w:val="22"/>
                <w:szCs w:val="22"/>
              </w:rPr>
            </w:pPr>
          </w:p>
        </w:tc>
        <w:tc>
          <w:tcPr>
            <w:tcW w:w="741" w:type="dxa"/>
          </w:tcPr>
          <w:p w:rsidRPr="00FE67C1" w:rsidR="0039309D" w:rsidRDefault="0039309D" w14:paraId="2B07CC95" w14:textId="77777777">
            <w:pPr>
              <w:rPr>
                <w:rFonts w:ascii="Palatino Linotype" w:hAnsi="Palatino Linotype" w:cs="Arial"/>
                <w:sz w:val="22"/>
                <w:szCs w:val="22"/>
              </w:rPr>
            </w:pPr>
          </w:p>
        </w:tc>
        <w:tc>
          <w:tcPr>
            <w:tcW w:w="741" w:type="dxa"/>
          </w:tcPr>
          <w:p w:rsidRPr="00FE67C1" w:rsidR="0039309D" w:rsidRDefault="0039309D" w14:paraId="65404492" w14:textId="77777777">
            <w:pPr>
              <w:rPr>
                <w:rFonts w:ascii="Palatino Linotype" w:hAnsi="Palatino Linotype" w:cs="Arial"/>
                <w:sz w:val="22"/>
                <w:szCs w:val="22"/>
              </w:rPr>
            </w:pPr>
          </w:p>
        </w:tc>
      </w:tr>
      <w:tr w:rsidR="0039309D" w14:paraId="2161B5EF" w14:textId="77777777">
        <w:tc>
          <w:tcPr>
            <w:tcW w:w="1165" w:type="dxa"/>
          </w:tcPr>
          <w:p w:rsidRPr="00FE67C1" w:rsidR="0039309D" w:rsidRDefault="0039309D" w14:paraId="5024F077" w14:textId="77777777">
            <w:pPr>
              <w:rPr>
                <w:rFonts w:ascii="Palatino Linotype" w:hAnsi="Palatino Linotype" w:cs="Arial"/>
                <w:sz w:val="22"/>
                <w:szCs w:val="22"/>
              </w:rPr>
            </w:pPr>
            <w:r w:rsidRPr="00FE67C1">
              <w:rPr>
                <w:rFonts w:ascii="Palatino Linotype" w:hAnsi="Palatino Linotype" w:cs="Arial"/>
                <w:sz w:val="22"/>
                <w:szCs w:val="22"/>
              </w:rPr>
              <w:t>Res SF Equity Actual</w:t>
            </w:r>
          </w:p>
        </w:tc>
        <w:tc>
          <w:tcPr>
            <w:tcW w:w="670" w:type="dxa"/>
          </w:tcPr>
          <w:p w:rsidRPr="00FE67C1" w:rsidR="0039309D" w:rsidRDefault="0039309D" w14:paraId="3429DEEC" w14:textId="77777777">
            <w:pPr>
              <w:rPr>
                <w:rFonts w:ascii="Palatino Linotype" w:hAnsi="Palatino Linotype" w:cs="Arial"/>
                <w:sz w:val="22"/>
                <w:szCs w:val="22"/>
              </w:rPr>
            </w:pPr>
          </w:p>
        </w:tc>
        <w:tc>
          <w:tcPr>
            <w:tcW w:w="741" w:type="dxa"/>
          </w:tcPr>
          <w:p w:rsidRPr="00FE67C1" w:rsidR="0039309D" w:rsidRDefault="0039309D" w14:paraId="4559C778" w14:textId="77777777">
            <w:pPr>
              <w:rPr>
                <w:rFonts w:ascii="Palatino Linotype" w:hAnsi="Palatino Linotype" w:cs="Arial"/>
                <w:sz w:val="22"/>
                <w:szCs w:val="22"/>
              </w:rPr>
            </w:pPr>
          </w:p>
        </w:tc>
        <w:tc>
          <w:tcPr>
            <w:tcW w:w="741" w:type="dxa"/>
          </w:tcPr>
          <w:p w:rsidRPr="00FE67C1" w:rsidR="0039309D" w:rsidRDefault="0039309D" w14:paraId="2046283A" w14:textId="77777777">
            <w:pPr>
              <w:rPr>
                <w:rFonts w:ascii="Palatino Linotype" w:hAnsi="Palatino Linotype" w:cs="Arial"/>
                <w:sz w:val="22"/>
                <w:szCs w:val="22"/>
              </w:rPr>
            </w:pPr>
          </w:p>
        </w:tc>
        <w:tc>
          <w:tcPr>
            <w:tcW w:w="741" w:type="dxa"/>
          </w:tcPr>
          <w:p w:rsidRPr="00FE67C1" w:rsidR="0039309D" w:rsidRDefault="0039309D" w14:paraId="3E82068C" w14:textId="77777777">
            <w:pPr>
              <w:rPr>
                <w:rFonts w:ascii="Palatino Linotype" w:hAnsi="Palatino Linotype" w:cs="Arial"/>
                <w:sz w:val="22"/>
                <w:szCs w:val="22"/>
              </w:rPr>
            </w:pPr>
          </w:p>
        </w:tc>
        <w:tc>
          <w:tcPr>
            <w:tcW w:w="741" w:type="dxa"/>
          </w:tcPr>
          <w:p w:rsidRPr="00FE67C1" w:rsidR="0039309D" w:rsidRDefault="0039309D" w14:paraId="1D41FBA8" w14:textId="77777777">
            <w:pPr>
              <w:rPr>
                <w:rFonts w:ascii="Palatino Linotype" w:hAnsi="Palatino Linotype" w:cs="Arial"/>
                <w:sz w:val="22"/>
                <w:szCs w:val="22"/>
              </w:rPr>
            </w:pPr>
          </w:p>
        </w:tc>
        <w:tc>
          <w:tcPr>
            <w:tcW w:w="741" w:type="dxa"/>
          </w:tcPr>
          <w:p w:rsidRPr="00FE67C1" w:rsidR="0039309D" w:rsidRDefault="0039309D" w14:paraId="07602ADC" w14:textId="77777777">
            <w:pPr>
              <w:rPr>
                <w:rFonts w:ascii="Palatino Linotype" w:hAnsi="Palatino Linotype" w:cs="Arial"/>
                <w:sz w:val="22"/>
                <w:szCs w:val="22"/>
              </w:rPr>
            </w:pPr>
          </w:p>
        </w:tc>
        <w:tc>
          <w:tcPr>
            <w:tcW w:w="741" w:type="dxa"/>
          </w:tcPr>
          <w:p w:rsidRPr="00FE67C1" w:rsidR="0039309D" w:rsidRDefault="0039309D" w14:paraId="0F58F0B3" w14:textId="77777777">
            <w:pPr>
              <w:rPr>
                <w:rFonts w:ascii="Palatino Linotype" w:hAnsi="Palatino Linotype" w:cs="Arial"/>
                <w:sz w:val="22"/>
                <w:szCs w:val="22"/>
              </w:rPr>
            </w:pPr>
          </w:p>
        </w:tc>
        <w:tc>
          <w:tcPr>
            <w:tcW w:w="741" w:type="dxa"/>
          </w:tcPr>
          <w:p w:rsidRPr="00FE67C1" w:rsidR="0039309D" w:rsidRDefault="0039309D" w14:paraId="6216AE09" w14:textId="77777777">
            <w:pPr>
              <w:rPr>
                <w:rFonts w:ascii="Palatino Linotype" w:hAnsi="Palatino Linotype" w:cs="Arial"/>
                <w:sz w:val="22"/>
                <w:szCs w:val="22"/>
              </w:rPr>
            </w:pPr>
          </w:p>
        </w:tc>
        <w:tc>
          <w:tcPr>
            <w:tcW w:w="741" w:type="dxa"/>
          </w:tcPr>
          <w:p w:rsidRPr="00FE67C1" w:rsidR="0039309D" w:rsidRDefault="0039309D" w14:paraId="1B1F7327" w14:textId="77777777">
            <w:pPr>
              <w:rPr>
                <w:rFonts w:ascii="Palatino Linotype" w:hAnsi="Palatino Linotype" w:cs="Arial"/>
                <w:sz w:val="22"/>
                <w:szCs w:val="22"/>
              </w:rPr>
            </w:pPr>
          </w:p>
        </w:tc>
        <w:tc>
          <w:tcPr>
            <w:tcW w:w="741" w:type="dxa"/>
          </w:tcPr>
          <w:p w:rsidRPr="00FE67C1" w:rsidR="0039309D" w:rsidRDefault="0039309D" w14:paraId="20915784" w14:textId="77777777">
            <w:pPr>
              <w:rPr>
                <w:rFonts w:ascii="Palatino Linotype" w:hAnsi="Palatino Linotype" w:cs="Arial"/>
                <w:sz w:val="22"/>
                <w:szCs w:val="22"/>
              </w:rPr>
            </w:pPr>
          </w:p>
        </w:tc>
        <w:tc>
          <w:tcPr>
            <w:tcW w:w="741" w:type="dxa"/>
          </w:tcPr>
          <w:p w:rsidRPr="00FE67C1" w:rsidR="0039309D" w:rsidRDefault="0039309D" w14:paraId="02D72D36" w14:textId="77777777">
            <w:pPr>
              <w:rPr>
                <w:rFonts w:ascii="Palatino Linotype" w:hAnsi="Palatino Linotype" w:cs="Arial"/>
                <w:sz w:val="22"/>
                <w:szCs w:val="22"/>
              </w:rPr>
            </w:pPr>
          </w:p>
        </w:tc>
        <w:tc>
          <w:tcPr>
            <w:tcW w:w="741" w:type="dxa"/>
          </w:tcPr>
          <w:p w:rsidRPr="00FE67C1" w:rsidR="0039309D" w:rsidRDefault="0039309D" w14:paraId="13EE2452" w14:textId="77777777">
            <w:pPr>
              <w:rPr>
                <w:rFonts w:ascii="Palatino Linotype" w:hAnsi="Palatino Linotype" w:cs="Arial"/>
                <w:sz w:val="22"/>
                <w:szCs w:val="22"/>
              </w:rPr>
            </w:pPr>
          </w:p>
        </w:tc>
        <w:tc>
          <w:tcPr>
            <w:tcW w:w="741" w:type="dxa"/>
          </w:tcPr>
          <w:p w:rsidRPr="00FE67C1" w:rsidR="0039309D" w:rsidRDefault="0039309D" w14:paraId="31F41E02" w14:textId="77777777">
            <w:pPr>
              <w:rPr>
                <w:rFonts w:ascii="Palatino Linotype" w:hAnsi="Palatino Linotype" w:cs="Arial"/>
                <w:sz w:val="22"/>
                <w:szCs w:val="22"/>
              </w:rPr>
            </w:pPr>
          </w:p>
        </w:tc>
        <w:tc>
          <w:tcPr>
            <w:tcW w:w="741" w:type="dxa"/>
          </w:tcPr>
          <w:p w:rsidRPr="00FE67C1" w:rsidR="0039309D" w:rsidRDefault="0039309D" w14:paraId="7D2FF064" w14:textId="77777777">
            <w:pPr>
              <w:rPr>
                <w:rFonts w:ascii="Palatino Linotype" w:hAnsi="Palatino Linotype" w:cs="Arial"/>
                <w:sz w:val="22"/>
                <w:szCs w:val="22"/>
              </w:rPr>
            </w:pPr>
          </w:p>
        </w:tc>
        <w:tc>
          <w:tcPr>
            <w:tcW w:w="741" w:type="dxa"/>
          </w:tcPr>
          <w:p w:rsidRPr="00FE67C1" w:rsidR="0039309D" w:rsidRDefault="0039309D" w14:paraId="332618FA" w14:textId="77777777">
            <w:pPr>
              <w:rPr>
                <w:rFonts w:ascii="Palatino Linotype" w:hAnsi="Palatino Linotype" w:cs="Arial"/>
                <w:sz w:val="22"/>
                <w:szCs w:val="22"/>
              </w:rPr>
            </w:pPr>
          </w:p>
        </w:tc>
        <w:tc>
          <w:tcPr>
            <w:tcW w:w="741" w:type="dxa"/>
          </w:tcPr>
          <w:p w:rsidRPr="00FE67C1" w:rsidR="0039309D" w:rsidRDefault="0039309D" w14:paraId="5798F0FB" w14:textId="77777777">
            <w:pPr>
              <w:rPr>
                <w:rFonts w:ascii="Palatino Linotype" w:hAnsi="Palatino Linotype" w:cs="Arial"/>
                <w:sz w:val="22"/>
                <w:szCs w:val="22"/>
              </w:rPr>
            </w:pPr>
          </w:p>
        </w:tc>
      </w:tr>
      <w:tr w:rsidR="0039309D" w14:paraId="028A26FC" w14:textId="77777777">
        <w:tc>
          <w:tcPr>
            <w:tcW w:w="1165" w:type="dxa"/>
          </w:tcPr>
          <w:p w:rsidRPr="00FE67C1" w:rsidR="0039309D" w:rsidRDefault="0039309D" w14:paraId="3C8D691E" w14:textId="77777777">
            <w:pPr>
              <w:rPr>
                <w:rFonts w:ascii="Palatino Linotype" w:hAnsi="Palatino Linotype" w:cs="Arial"/>
                <w:sz w:val="22"/>
                <w:szCs w:val="22"/>
              </w:rPr>
            </w:pPr>
            <w:r w:rsidRPr="00FE67C1">
              <w:rPr>
                <w:rFonts w:ascii="Palatino Linotype" w:hAnsi="Palatino Linotype" w:cs="Arial"/>
                <w:sz w:val="22"/>
                <w:szCs w:val="22"/>
              </w:rPr>
              <w:t>Res SF RA Projected</w:t>
            </w:r>
          </w:p>
        </w:tc>
        <w:tc>
          <w:tcPr>
            <w:tcW w:w="670" w:type="dxa"/>
          </w:tcPr>
          <w:p w:rsidRPr="00FE67C1" w:rsidR="0039309D" w:rsidRDefault="0039309D" w14:paraId="18066ED4" w14:textId="77777777">
            <w:pPr>
              <w:rPr>
                <w:rFonts w:ascii="Palatino Linotype" w:hAnsi="Palatino Linotype" w:cs="Arial"/>
                <w:sz w:val="22"/>
                <w:szCs w:val="22"/>
              </w:rPr>
            </w:pPr>
          </w:p>
        </w:tc>
        <w:tc>
          <w:tcPr>
            <w:tcW w:w="741" w:type="dxa"/>
          </w:tcPr>
          <w:p w:rsidRPr="00FE67C1" w:rsidR="0039309D" w:rsidRDefault="0039309D" w14:paraId="49D68711" w14:textId="77777777">
            <w:pPr>
              <w:rPr>
                <w:rFonts w:ascii="Palatino Linotype" w:hAnsi="Palatino Linotype" w:cs="Arial"/>
                <w:sz w:val="22"/>
                <w:szCs w:val="22"/>
              </w:rPr>
            </w:pPr>
          </w:p>
        </w:tc>
        <w:tc>
          <w:tcPr>
            <w:tcW w:w="741" w:type="dxa"/>
          </w:tcPr>
          <w:p w:rsidRPr="00FE67C1" w:rsidR="0039309D" w:rsidRDefault="0039309D" w14:paraId="46087F07" w14:textId="77777777">
            <w:pPr>
              <w:rPr>
                <w:rFonts w:ascii="Palatino Linotype" w:hAnsi="Palatino Linotype" w:cs="Arial"/>
                <w:sz w:val="22"/>
                <w:szCs w:val="22"/>
              </w:rPr>
            </w:pPr>
          </w:p>
        </w:tc>
        <w:tc>
          <w:tcPr>
            <w:tcW w:w="741" w:type="dxa"/>
          </w:tcPr>
          <w:p w:rsidRPr="00FE67C1" w:rsidR="0039309D" w:rsidRDefault="0039309D" w14:paraId="4EFDFFF1" w14:textId="77777777">
            <w:pPr>
              <w:rPr>
                <w:rFonts w:ascii="Palatino Linotype" w:hAnsi="Palatino Linotype" w:cs="Arial"/>
                <w:sz w:val="22"/>
                <w:szCs w:val="22"/>
              </w:rPr>
            </w:pPr>
          </w:p>
        </w:tc>
        <w:tc>
          <w:tcPr>
            <w:tcW w:w="741" w:type="dxa"/>
          </w:tcPr>
          <w:p w:rsidRPr="00FE67C1" w:rsidR="0039309D" w:rsidRDefault="0039309D" w14:paraId="01509693" w14:textId="77777777">
            <w:pPr>
              <w:rPr>
                <w:rFonts w:ascii="Palatino Linotype" w:hAnsi="Palatino Linotype" w:cs="Arial"/>
                <w:sz w:val="22"/>
                <w:szCs w:val="22"/>
              </w:rPr>
            </w:pPr>
          </w:p>
        </w:tc>
        <w:tc>
          <w:tcPr>
            <w:tcW w:w="741" w:type="dxa"/>
          </w:tcPr>
          <w:p w:rsidRPr="00FE67C1" w:rsidR="0039309D" w:rsidRDefault="0039309D" w14:paraId="0BAD2699" w14:textId="77777777">
            <w:pPr>
              <w:rPr>
                <w:rFonts w:ascii="Palatino Linotype" w:hAnsi="Palatino Linotype" w:cs="Arial"/>
                <w:sz w:val="22"/>
                <w:szCs w:val="22"/>
              </w:rPr>
            </w:pPr>
          </w:p>
        </w:tc>
        <w:tc>
          <w:tcPr>
            <w:tcW w:w="741" w:type="dxa"/>
          </w:tcPr>
          <w:p w:rsidRPr="00FE67C1" w:rsidR="0039309D" w:rsidRDefault="0039309D" w14:paraId="0CAE80F8" w14:textId="77777777">
            <w:pPr>
              <w:rPr>
                <w:rFonts w:ascii="Palatino Linotype" w:hAnsi="Palatino Linotype" w:cs="Arial"/>
                <w:sz w:val="22"/>
                <w:szCs w:val="22"/>
              </w:rPr>
            </w:pPr>
          </w:p>
        </w:tc>
        <w:tc>
          <w:tcPr>
            <w:tcW w:w="741" w:type="dxa"/>
          </w:tcPr>
          <w:p w:rsidRPr="00FE67C1" w:rsidR="0039309D" w:rsidRDefault="0039309D" w14:paraId="1D9670B7" w14:textId="77777777">
            <w:pPr>
              <w:rPr>
                <w:rFonts w:ascii="Palatino Linotype" w:hAnsi="Palatino Linotype" w:cs="Arial"/>
                <w:sz w:val="22"/>
                <w:szCs w:val="22"/>
              </w:rPr>
            </w:pPr>
          </w:p>
        </w:tc>
        <w:tc>
          <w:tcPr>
            <w:tcW w:w="741" w:type="dxa"/>
          </w:tcPr>
          <w:p w:rsidRPr="00FE67C1" w:rsidR="0039309D" w:rsidRDefault="0039309D" w14:paraId="2F6EEAAB" w14:textId="77777777">
            <w:pPr>
              <w:rPr>
                <w:rFonts w:ascii="Palatino Linotype" w:hAnsi="Palatino Linotype" w:cs="Arial"/>
                <w:sz w:val="22"/>
                <w:szCs w:val="22"/>
              </w:rPr>
            </w:pPr>
          </w:p>
        </w:tc>
        <w:tc>
          <w:tcPr>
            <w:tcW w:w="741" w:type="dxa"/>
          </w:tcPr>
          <w:p w:rsidRPr="00FE67C1" w:rsidR="0039309D" w:rsidRDefault="0039309D" w14:paraId="4D2D7D92" w14:textId="77777777">
            <w:pPr>
              <w:rPr>
                <w:rFonts w:ascii="Palatino Linotype" w:hAnsi="Palatino Linotype" w:cs="Arial"/>
                <w:sz w:val="22"/>
                <w:szCs w:val="22"/>
              </w:rPr>
            </w:pPr>
          </w:p>
        </w:tc>
        <w:tc>
          <w:tcPr>
            <w:tcW w:w="741" w:type="dxa"/>
          </w:tcPr>
          <w:p w:rsidRPr="00FE67C1" w:rsidR="0039309D" w:rsidRDefault="0039309D" w14:paraId="65372B42" w14:textId="77777777">
            <w:pPr>
              <w:rPr>
                <w:rFonts w:ascii="Palatino Linotype" w:hAnsi="Palatino Linotype" w:cs="Arial"/>
                <w:sz w:val="22"/>
                <w:szCs w:val="22"/>
              </w:rPr>
            </w:pPr>
          </w:p>
        </w:tc>
        <w:tc>
          <w:tcPr>
            <w:tcW w:w="741" w:type="dxa"/>
          </w:tcPr>
          <w:p w:rsidRPr="00FE67C1" w:rsidR="0039309D" w:rsidRDefault="0039309D" w14:paraId="108363A3" w14:textId="77777777">
            <w:pPr>
              <w:rPr>
                <w:rFonts w:ascii="Palatino Linotype" w:hAnsi="Palatino Linotype" w:cs="Arial"/>
                <w:sz w:val="22"/>
                <w:szCs w:val="22"/>
              </w:rPr>
            </w:pPr>
          </w:p>
        </w:tc>
        <w:tc>
          <w:tcPr>
            <w:tcW w:w="741" w:type="dxa"/>
          </w:tcPr>
          <w:p w:rsidRPr="00FE67C1" w:rsidR="0039309D" w:rsidRDefault="0039309D" w14:paraId="1B9223D5" w14:textId="77777777">
            <w:pPr>
              <w:rPr>
                <w:rFonts w:ascii="Palatino Linotype" w:hAnsi="Palatino Linotype" w:cs="Arial"/>
                <w:sz w:val="22"/>
                <w:szCs w:val="22"/>
              </w:rPr>
            </w:pPr>
          </w:p>
        </w:tc>
        <w:tc>
          <w:tcPr>
            <w:tcW w:w="741" w:type="dxa"/>
          </w:tcPr>
          <w:p w:rsidRPr="00FE67C1" w:rsidR="0039309D" w:rsidRDefault="0039309D" w14:paraId="50755E05" w14:textId="77777777">
            <w:pPr>
              <w:rPr>
                <w:rFonts w:ascii="Palatino Linotype" w:hAnsi="Palatino Linotype" w:cs="Arial"/>
                <w:sz w:val="22"/>
                <w:szCs w:val="22"/>
              </w:rPr>
            </w:pPr>
          </w:p>
        </w:tc>
        <w:tc>
          <w:tcPr>
            <w:tcW w:w="741" w:type="dxa"/>
          </w:tcPr>
          <w:p w:rsidRPr="00FE67C1" w:rsidR="0039309D" w:rsidRDefault="0039309D" w14:paraId="41A4D622" w14:textId="77777777">
            <w:pPr>
              <w:rPr>
                <w:rFonts w:ascii="Palatino Linotype" w:hAnsi="Palatino Linotype" w:cs="Arial"/>
                <w:sz w:val="22"/>
                <w:szCs w:val="22"/>
              </w:rPr>
            </w:pPr>
          </w:p>
        </w:tc>
        <w:tc>
          <w:tcPr>
            <w:tcW w:w="741" w:type="dxa"/>
          </w:tcPr>
          <w:p w:rsidRPr="00FE67C1" w:rsidR="0039309D" w:rsidRDefault="0039309D" w14:paraId="6BB7BAE7" w14:textId="77777777">
            <w:pPr>
              <w:rPr>
                <w:rFonts w:ascii="Palatino Linotype" w:hAnsi="Palatino Linotype" w:cs="Arial"/>
                <w:sz w:val="22"/>
                <w:szCs w:val="22"/>
              </w:rPr>
            </w:pPr>
          </w:p>
        </w:tc>
      </w:tr>
      <w:tr w:rsidR="0039309D" w14:paraId="26761275" w14:textId="77777777">
        <w:tc>
          <w:tcPr>
            <w:tcW w:w="1165" w:type="dxa"/>
          </w:tcPr>
          <w:p w:rsidRPr="00FE67C1" w:rsidR="0039309D" w:rsidRDefault="0039309D" w14:paraId="090636CA" w14:textId="77777777">
            <w:pPr>
              <w:rPr>
                <w:rFonts w:ascii="Palatino Linotype" w:hAnsi="Palatino Linotype" w:cs="Arial"/>
                <w:sz w:val="22"/>
                <w:szCs w:val="22"/>
              </w:rPr>
            </w:pPr>
            <w:r w:rsidRPr="00FE67C1">
              <w:rPr>
                <w:rFonts w:ascii="Palatino Linotype" w:hAnsi="Palatino Linotype" w:cs="Arial"/>
                <w:sz w:val="22"/>
                <w:szCs w:val="22"/>
              </w:rPr>
              <w:t>Res SF RA Actual</w:t>
            </w:r>
          </w:p>
        </w:tc>
        <w:tc>
          <w:tcPr>
            <w:tcW w:w="670" w:type="dxa"/>
          </w:tcPr>
          <w:p w:rsidRPr="00FE67C1" w:rsidR="0039309D" w:rsidRDefault="0039309D" w14:paraId="4E70A16D" w14:textId="77777777">
            <w:pPr>
              <w:rPr>
                <w:rFonts w:ascii="Palatino Linotype" w:hAnsi="Palatino Linotype" w:cs="Arial"/>
                <w:sz w:val="22"/>
                <w:szCs w:val="22"/>
              </w:rPr>
            </w:pPr>
          </w:p>
        </w:tc>
        <w:tc>
          <w:tcPr>
            <w:tcW w:w="741" w:type="dxa"/>
          </w:tcPr>
          <w:p w:rsidRPr="00FE67C1" w:rsidR="0039309D" w:rsidRDefault="0039309D" w14:paraId="51EDAC5A" w14:textId="77777777">
            <w:pPr>
              <w:rPr>
                <w:rFonts w:ascii="Palatino Linotype" w:hAnsi="Palatino Linotype" w:cs="Arial"/>
                <w:sz w:val="22"/>
                <w:szCs w:val="22"/>
              </w:rPr>
            </w:pPr>
          </w:p>
        </w:tc>
        <w:tc>
          <w:tcPr>
            <w:tcW w:w="741" w:type="dxa"/>
          </w:tcPr>
          <w:p w:rsidRPr="00FE67C1" w:rsidR="0039309D" w:rsidRDefault="0039309D" w14:paraId="25F9DA7B" w14:textId="77777777">
            <w:pPr>
              <w:rPr>
                <w:rFonts w:ascii="Palatino Linotype" w:hAnsi="Palatino Linotype" w:cs="Arial"/>
                <w:sz w:val="22"/>
                <w:szCs w:val="22"/>
              </w:rPr>
            </w:pPr>
          </w:p>
        </w:tc>
        <w:tc>
          <w:tcPr>
            <w:tcW w:w="741" w:type="dxa"/>
          </w:tcPr>
          <w:p w:rsidRPr="00FE67C1" w:rsidR="0039309D" w:rsidRDefault="0039309D" w14:paraId="7D3F55BB" w14:textId="77777777">
            <w:pPr>
              <w:rPr>
                <w:rFonts w:ascii="Palatino Linotype" w:hAnsi="Palatino Linotype" w:cs="Arial"/>
                <w:sz w:val="22"/>
                <w:szCs w:val="22"/>
              </w:rPr>
            </w:pPr>
          </w:p>
        </w:tc>
        <w:tc>
          <w:tcPr>
            <w:tcW w:w="741" w:type="dxa"/>
          </w:tcPr>
          <w:p w:rsidRPr="00FE67C1" w:rsidR="0039309D" w:rsidRDefault="0039309D" w14:paraId="01C8D7DB" w14:textId="77777777">
            <w:pPr>
              <w:rPr>
                <w:rFonts w:ascii="Palatino Linotype" w:hAnsi="Palatino Linotype" w:cs="Arial"/>
                <w:sz w:val="22"/>
                <w:szCs w:val="22"/>
              </w:rPr>
            </w:pPr>
          </w:p>
        </w:tc>
        <w:tc>
          <w:tcPr>
            <w:tcW w:w="741" w:type="dxa"/>
          </w:tcPr>
          <w:p w:rsidRPr="00FE67C1" w:rsidR="0039309D" w:rsidRDefault="0039309D" w14:paraId="110D95D9" w14:textId="77777777">
            <w:pPr>
              <w:rPr>
                <w:rFonts w:ascii="Palatino Linotype" w:hAnsi="Palatino Linotype" w:cs="Arial"/>
                <w:sz w:val="22"/>
                <w:szCs w:val="22"/>
              </w:rPr>
            </w:pPr>
          </w:p>
        </w:tc>
        <w:tc>
          <w:tcPr>
            <w:tcW w:w="741" w:type="dxa"/>
          </w:tcPr>
          <w:p w:rsidRPr="00FE67C1" w:rsidR="0039309D" w:rsidRDefault="0039309D" w14:paraId="513A5C88" w14:textId="77777777">
            <w:pPr>
              <w:rPr>
                <w:rFonts w:ascii="Palatino Linotype" w:hAnsi="Palatino Linotype" w:cs="Arial"/>
                <w:sz w:val="22"/>
                <w:szCs w:val="22"/>
              </w:rPr>
            </w:pPr>
          </w:p>
        </w:tc>
        <w:tc>
          <w:tcPr>
            <w:tcW w:w="741" w:type="dxa"/>
          </w:tcPr>
          <w:p w:rsidRPr="00FE67C1" w:rsidR="0039309D" w:rsidRDefault="0039309D" w14:paraId="46FCAED0" w14:textId="77777777">
            <w:pPr>
              <w:rPr>
                <w:rFonts w:ascii="Palatino Linotype" w:hAnsi="Palatino Linotype" w:cs="Arial"/>
                <w:sz w:val="22"/>
                <w:szCs w:val="22"/>
              </w:rPr>
            </w:pPr>
          </w:p>
        </w:tc>
        <w:tc>
          <w:tcPr>
            <w:tcW w:w="741" w:type="dxa"/>
          </w:tcPr>
          <w:p w:rsidRPr="00FE67C1" w:rsidR="0039309D" w:rsidRDefault="0039309D" w14:paraId="66CB407F" w14:textId="77777777">
            <w:pPr>
              <w:rPr>
                <w:rFonts w:ascii="Palatino Linotype" w:hAnsi="Palatino Linotype" w:cs="Arial"/>
                <w:sz w:val="22"/>
                <w:szCs w:val="22"/>
              </w:rPr>
            </w:pPr>
          </w:p>
        </w:tc>
        <w:tc>
          <w:tcPr>
            <w:tcW w:w="741" w:type="dxa"/>
          </w:tcPr>
          <w:p w:rsidRPr="00FE67C1" w:rsidR="0039309D" w:rsidRDefault="0039309D" w14:paraId="1E76274C" w14:textId="77777777">
            <w:pPr>
              <w:rPr>
                <w:rFonts w:ascii="Palatino Linotype" w:hAnsi="Palatino Linotype" w:cs="Arial"/>
                <w:sz w:val="22"/>
                <w:szCs w:val="22"/>
              </w:rPr>
            </w:pPr>
          </w:p>
        </w:tc>
        <w:tc>
          <w:tcPr>
            <w:tcW w:w="741" w:type="dxa"/>
          </w:tcPr>
          <w:p w:rsidRPr="00FE67C1" w:rsidR="0039309D" w:rsidRDefault="0039309D" w14:paraId="35CE5C50" w14:textId="77777777">
            <w:pPr>
              <w:rPr>
                <w:rFonts w:ascii="Palatino Linotype" w:hAnsi="Palatino Linotype" w:cs="Arial"/>
                <w:sz w:val="22"/>
                <w:szCs w:val="22"/>
              </w:rPr>
            </w:pPr>
          </w:p>
        </w:tc>
        <w:tc>
          <w:tcPr>
            <w:tcW w:w="741" w:type="dxa"/>
          </w:tcPr>
          <w:p w:rsidRPr="00FE67C1" w:rsidR="0039309D" w:rsidRDefault="0039309D" w14:paraId="48B82A66" w14:textId="77777777">
            <w:pPr>
              <w:rPr>
                <w:rFonts w:ascii="Palatino Linotype" w:hAnsi="Palatino Linotype" w:cs="Arial"/>
                <w:sz w:val="22"/>
                <w:szCs w:val="22"/>
              </w:rPr>
            </w:pPr>
          </w:p>
        </w:tc>
        <w:tc>
          <w:tcPr>
            <w:tcW w:w="741" w:type="dxa"/>
          </w:tcPr>
          <w:p w:rsidRPr="00FE67C1" w:rsidR="0039309D" w:rsidRDefault="0039309D" w14:paraId="5C3F73E1" w14:textId="77777777">
            <w:pPr>
              <w:rPr>
                <w:rFonts w:ascii="Palatino Linotype" w:hAnsi="Palatino Linotype" w:cs="Arial"/>
                <w:sz w:val="22"/>
                <w:szCs w:val="22"/>
              </w:rPr>
            </w:pPr>
          </w:p>
        </w:tc>
        <w:tc>
          <w:tcPr>
            <w:tcW w:w="741" w:type="dxa"/>
          </w:tcPr>
          <w:p w:rsidRPr="00FE67C1" w:rsidR="0039309D" w:rsidRDefault="0039309D" w14:paraId="094D5D00" w14:textId="77777777">
            <w:pPr>
              <w:rPr>
                <w:rFonts w:ascii="Palatino Linotype" w:hAnsi="Palatino Linotype" w:cs="Arial"/>
                <w:sz w:val="22"/>
                <w:szCs w:val="22"/>
              </w:rPr>
            </w:pPr>
          </w:p>
        </w:tc>
        <w:tc>
          <w:tcPr>
            <w:tcW w:w="741" w:type="dxa"/>
          </w:tcPr>
          <w:p w:rsidRPr="00FE67C1" w:rsidR="0039309D" w:rsidRDefault="0039309D" w14:paraId="77F58FCE" w14:textId="77777777">
            <w:pPr>
              <w:rPr>
                <w:rFonts w:ascii="Palatino Linotype" w:hAnsi="Palatino Linotype" w:cs="Arial"/>
                <w:sz w:val="22"/>
                <w:szCs w:val="22"/>
              </w:rPr>
            </w:pPr>
          </w:p>
        </w:tc>
        <w:tc>
          <w:tcPr>
            <w:tcW w:w="741" w:type="dxa"/>
          </w:tcPr>
          <w:p w:rsidRPr="00FE67C1" w:rsidR="0039309D" w:rsidRDefault="0039309D" w14:paraId="229AC4A1" w14:textId="77777777">
            <w:pPr>
              <w:rPr>
                <w:rFonts w:ascii="Palatino Linotype" w:hAnsi="Palatino Linotype" w:cs="Arial"/>
                <w:sz w:val="22"/>
                <w:szCs w:val="22"/>
              </w:rPr>
            </w:pPr>
          </w:p>
        </w:tc>
      </w:tr>
      <w:tr w:rsidR="0039309D" w14:paraId="7E3C6676" w14:textId="77777777">
        <w:tc>
          <w:tcPr>
            <w:tcW w:w="1165" w:type="dxa"/>
          </w:tcPr>
          <w:p w:rsidRPr="00FE67C1" w:rsidR="0039309D" w:rsidRDefault="0039309D" w14:paraId="1AAECE4D" w14:textId="77777777">
            <w:pPr>
              <w:rPr>
                <w:rFonts w:ascii="Palatino Linotype" w:hAnsi="Palatino Linotype" w:cs="Arial"/>
                <w:sz w:val="22"/>
                <w:szCs w:val="22"/>
              </w:rPr>
            </w:pPr>
            <w:r w:rsidRPr="00FE67C1">
              <w:rPr>
                <w:rFonts w:ascii="Palatino Linotype" w:hAnsi="Palatino Linotype" w:cs="Arial"/>
                <w:sz w:val="22"/>
                <w:szCs w:val="22"/>
              </w:rPr>
              <w:t>Res MF Equity Projected</w:t>
            </w:r>
          </w:p>
        </w:tc>
        <w:tc>
          <w:tcPr>
            <w:tcW w:w="670" w:type="dxa"/>
          </w:tcPr>
          <w:p w:rsidRPr="00FE67C1" w:rsidR="0039309D" w:rsidRDefault="0039309D" w14:paraId="3F2D1180" w14:textId="77777777">
            <w:pPr>
              <w:rPr>
                <w:rFonts w:ascii="Palatino Linotype" w:hAnsi="Palatino Linotype" w:cs="Arial"/>
                <w:sz w:val="22"/>
                <w:szCs w:val="22"/>
              </w:rPr>
            </w:pPr>
          </w:p>
        </w:tc>
        <w:tc>
          <w:tcPr>
            <w:tcW w:w="741" w:type="dxa"/>
          </w:tcPr>
          <w:p w:rsidRPr="00FE67C1" w:rsidR="0039309D" w:rsidRDefault="0039309D" w14:paraId="3F0537D0" w14:textId="77777777">
            <w:pPr>
              <w:rPr>
                <w:rFonts w:ascii="Palatino Linotype" w:hAnsi="Palatino Linotype" w:cs="Arial"/>
                <w:sz w:val="22"/>
                <w:szCs w:val="22"/>
              </w:rPr>
            </w:pPr>
          </w:p>
        </w:tc>
        <w:tc>
          <w:tcPr>
            <w:tcW w:w="741" w:type="dxa"/>
          </w:tcPr>
          <w:p w:rsidRPr="00FE67C1" w:rsidR="0039309D" w:rsidRDefault="0039309D" w14:paraId="463AF802" w14:textId="77777777">
            <w:pPr>
              <w:rPr>
                <w:rFonts w:ascii="Palatino Linotype" w:hAnsi="Palatino Linotype" w:cs="Arial"/>
                <w:sz w:val="22"/>
                <w:szCs w:val="22"/>
              </w:rPr>
            </w:pPr>
          </w:p>
        </w:tc>
        <w:tc>
          <w:tcPr>
            <w:tcW w:w="741" w:type="dxa"/>
          </w:tcPr>
          <w:p w:rsidRPr="00FE67C1" w:rsidR="0039309D" w:rsidRDefault="0039309D" w14:paraId="5F494F93" w14:textId="77777777">
            <w:pPr>
              <w:rPr>
                <w:rFonts w:ascii="Palatino Linotype" w:hAnsi="Palatino Linotype" w:cs="Arial"/>
                <w:sz w:val="22"/>
                <w:szCs w:val="22"/>
              </w:rPr>
            </w:pPr>
          </w:p>
        </w:tc>
        <w:tc>
          <w:tcPr>
            <w:tcW w:w="741" w:type="dxa"/>
          </w:tcPr>
          <w:p w:rsidRPr="00FE67C1" w:rsidR="0039309D" w:rsidRDefault="0039309D" w14:paraId="1A7E94FE" w14:textId="77777777">
            <w:pPr>
              <w:rPr>
                <w:rFonts w:ascii="Palatino Linotype" w:hAnsi="Palatino Linotype" w:cs="Arial"/>
                <w:sz w:val="22"/>
                <w:szCs w:val="22"/>
              </w:rPr>
            </w:pPr>
          </w:p>
        </w:tc>
        <w:tc>
          <w:tcPr>
            <w:tcW w:w="741" w:type="dxa"/>
          </w:tcPr>
          <w:p w:rsidRPr="00FE67C1" w:rsidR="0039309D" w:rsidRDefault="0039309D" w14:paraId="05269EE8" w14:textId="77777777">
            <w:pPr>
              <w:rPr>
                <w:rFonts w:ascii="Palatino Linotype" w:hAnsi="Palatino Linotype" w:cs="Arial"/>
                <w:sz w:val="22"/>
                <w:szCs w:val="22"/>
              </w:rPr>
            </w:pPr>
          </w:p>
        </w:tc>
        <w:tc>
          <w:tcPr>
            <w:tcW w:w="741" w:type="dxa"/>
          </w:tcPr>
          <w:p w:rsidRPr="00FE67C1" w:rsidR="0039309D" w:rsidRDefault="0039309D" w14:paraId="35AADA76" w14:textId="77777777">
            <w:pPr>
              <w:rPr>
                <w:rFonts w:ascii="Palatino Linotype" w:hAnsi="Palatino Linotype" w:cs="Arial"/>
                <w:sz w:val="22"/>
                <w:szCs w:val="22"/>
              </w:rPr>
            </w:pPr>
          </w:p>
        </w:tc>
        <w:tc>
          <w:tcPr>
            <w:tcW w:w="741" w:type="dxa"/>
          </w:tcPr>
          <w:p w:rsidRPr="00FE67C1" w:rsidR="0039309D" w:rsidRDefault="0039309D" w14:paraId="768BB2D6" w14:textId="77777777">
            <w:pPr>
              <w:rPr>
                <w:rFonts w:ascii="Palatino Linotype" w:hAnsi="Palatino Linotype" w:cs="Arial"/>
                <w:sz w:val="22"/>
                <w:szCs w:val="22"/>
              </w:rPr>
            </w:pPr>
          </w:p>
        </w:tc>
        <w:tc>
          <w:tcPr>
            <w:tcW w:w="741" w:type="dxa"/>
          </w:tcPr>
          <w:p w:rsidRPr="00FE67C1" w:rsidR="0039309D" w:rsidRDefault="0039309D" w14:paraId="6858B101" w14:textId="77777777">
            <w:pPr>
              <w:rPr>
                <w:rFonts w:ascii="Palatino Linotype" w:hAnsi="Palatino Linotype" w:cs="Arial"/>
                <w:sz w:val="22"/>
                <w:szCs w:val="22"/>
              </w:rPr>
            </w:pPr>
          </w:p>
        </w:tc>
        <w:tc>
          <w:tcPr>
            <w:tcW w:w="741" w:type="dxa"/>
          </w:tcPr>
          <w:p w:rsidRPr="00FE67C1" w:rsidR="0039309D" w:rsidRDefault="0039309D" w14:paraId="2D8B578B" w14:textId="77777777">
            <w:pPr>
              <w:rPr>
                <w:rFonts w:ascii="Palatino Linotype" w:hAnsi="Palatino Linotype" w:cs="Arial"/>
                <w:sz w:val="22"/>
                <w:szCs w:val="22"/>
              </w:rPr>
            </w:pPr>
          </w:p>
        </w:tc>
        <w:tc>
          <w:tcPr>
            <w:tcW w:w="741" w:type="dxa"/>
          </w:tcPr>
          <w:p w:rsidRPr="00FE67C1" w:rsidR="0039309D" w:rsidRDefault="0039309D" w14:paraId="55AA43B7" w14:textId="77777777">
            <w:pPr>
              <w:rPr>
                <w:rFonts w:ascii="Palatino Linotype" w:hAnsi="Palatino Linotype" w:cs="Arial"/>
                <w:sz w:val="22"/>
                <w:szCs w:val="22"/>
              </w:rPr>
            </w:pPr>
          </w:p>
        </w:tc>
        <w:tc>
          <w:tcPr>
            <w:tcW w:w="741" w:type="dxa"/>
          </w:tcPr>
          <w:p w:rsidRPr="00FE67C1" w:rsidR="0039309D" w:rsidRDefault="0039309D" w14:paraId="7FF4A39C" w14:textId="77777777">
            <w:pPr>
              <w:rPr>
                <w:rFonts w:ascii="Palatino Linotype" w:hAnsi="Palatino Linotype" w:cs="Arial"/>
                <w:sz w:val="22"/>
                <w:szCs w:val="22"/>
              </w:rPr>
            </w:pPr>
          </w:p>
        </w:tc>
        <w:tc>
          <w:tcPr>
            <w:tcW w:w="741" w:type="dxa"/>
          </w:tcPr>
          <w:p w:rsidRPr="00FE67C1" w:rsidR="0039309D" w:rsidRDefault="0039309D" w14:paraId="67359998" w14:textId="77777777">
            <w:pPr>
              <w:rPr>
                <w:rFonts w:ascii="Palatino Linotype" w:hAnsi="Palatino Linotype" w:cs="Arial"/>
                <w:sz w:val="22"/>
                <w:szCs w:val="22"/>
              </w:rPr>
            </w:pPr>
          </w:p>
        </w:tc>
        <w:tc>
          <w:tcPr>
            <w:tcW w:w="741" w:type="dxa"/>
          </w:tcPr>
          <w:p w:rsidRPr="00FE67C1" w:rsidR="0039309D" w:rsidRDefault="0039309D" w14:paraId="0E525B3A" w14:textId="77777777">
            <w:pPr>
              <w:rPr>
                <w:rFonts w:ascii="Palatino Linotype" w:hAnsi="Palatino Linotype" w:cs="Arial"/>
                <w:sz w:val="22"/>
                <w:szCs w:val="22"/>
              </w:rPr>
            </w:pPr>
          </w:p>
        </w:tc>
        <w:tc>
          <w:tcPr>
            <w:tcW w:w="741" w:type="dxa"/>
          </w:tcPr>
          <w:p w:rsidRPr="00FE67C1" w:rsidR="0039309D" w:rsidRDefault="0039309D" w14:paraId="08826EFB" w14:textId="77777777">
            <w:pPr>
              <w:rPr>
                <w:rFonts w:ascii="Palatino Linotype" w:hAnsi="Palatino Linotype" w:cs="Arial"/>
                <w:sz w:val="22"/>
                <w:szCs w:val="22"/>
              </w:rPr>
            </w:pPr>
          </w:p>
        </w:tc>
        <w:tc>
          <w:tcPr>
            <w:tcW w:w="741" w:type="dxa"/>
          </w:tcPr>
          <w:p w:rsidRPr="00FE67C1" w:rsidR="0039309D" w:rsidRDefault="0039309D" w14:paraId="0EE83B6C" w14:textId="77777777">
            <w:pPr>
              <w:rPr>
                <w:rFonts w:ascii="Palatino Linotype" w:hAnsi="Palatino Linotype" w:cs="Arial"/>
                <w:sz w:val="22"/>
                <w:szCs w:val="22"/>
              </w:rPr>
            </w:pPr>
          </w:p>
        </w:tc>
      </w:tr>
      <w:tr w:rsidR="0039309D" w14:paraId="1825A8D8" w14:textId="77777777">
        <w:tc>
          <w:tcPr>
            <w:tcW w:w="1165" w:type="dxa"/>
          </w:tcPr>
          <w:p w:rsidRPr="00FE67C1" w:rsidR="0039309D" w:rsidRDefault="0039309D" w14:paraId="6E33C0F7" w14:textId="77777777">
            <w:pPr>
              <w:rPr>
                <w:rFonts w:ascii="Palatino Linotype" w:hAnsi="Palatino Linotype" w:cs="Arial"/>
                <w:sz w:val="22"/>
                <w:szCs w:val="22"/>
              </w:rPr>
            </w:pPr>
            <w:r w:rsidRPr="00FE67C1">
              <w:rPr>
                <w:rFonts w:ascii="Palatino Linotype" w:hAnsi="Palatino Linotype" w:cs="Arial"/>
                <w:sz w:val="22"/>
                <w:szCs w:val="22"/>
              </w:rPr>
              <w:t>Res MF Equity Actual</w:t>
            </w:r>
          </w:p>
        </w:tc>
        <w:tc>
          <w:tcPr>
            <w:tcW w:w="670" w:type="dxa"/>
          </w:tcPr>
          <w:p w:rsidRPr="00FE67C1" w:rsidR="0039309D" w:rsidRDefault="0039309D" w14:paraId="527EA68F" w14:textId="77777777">
            <w:pPr>
              <w:rPr>
                <w:rFonts w:ascii="Palatino Linotype" w:hAnsi="Palatino Linotype" w:cs="Arial"/>
                <w:sz w:val="22"/>
                <w:szCs w:val="22"/>
              </w:rPr>
            </w:pPr>
          </w:p>
        </w:tc>
        <w:tc>
          <w:tcPr>
            <w:tcW w:w="741" w:type="dxa"/>
          </w:tcPr>
          <w:p w:rsidRPr="00FE67C1" w:rsidR="0039309D" w:rsidRDefault="0039309D" w14:paraId="5FC8AC44" w14:textId="77777777">
            <w:pPr>
              <w:rPr>
                <w:rFonts w:ascii="Palatino Linotype" w:hAnsi="Palatino Linotype" w:cs="Arial"/>
                <w:sz w:val="22"/>
                <w:szCs w:val="22"/>
              </w:rPr>
            </w:pPr>
          </w:p>
        </w:tc>
        <w:tc>
          <w:tcPr>
            <w:tcW w:w="741" w:type="dxa"/>
          </w:tcPr>
          <w:p w:rsidRPr="00FE67C1" w:rsidR="0039309D" w:rsidRDefault="0039309D" w14:paraId="30859142" w14:textId="77777777">
            <w:pPr>
              <w:rPr>
                <w:rFonts w:ascii="Palatino Linotype" w:hAnsi="Palatino Linotype" w:cs="Arial"/>
                <w:sz w:val="22"/>
                <w:szCs w:val="22"/>
              </w:rPr>
            </w:pPr>
          </w:p>
        </w:tc>
        <w:tc>
          <w:tcPr>
            <w:tcW w:w="741" w:type="dxa"/>
          </w:tcPr>
          <w:p w:rsidRPr="00FE67C1" w:rsidR="0039309D" w:rsidRDefault="0039309D" w14:paraId="0F2261AD" w14:textId="77777777">
            <w:pPr>
              <w:rPr>
                <w:rFonts w:ascii="Palatino Linotype" w:hAnsi="Palatino Linotype" w:cs="Arial"/>
                <w:sz w:val="22"/>
                <w:szCs w:val="22"/>
              </w:rPr>
            </w:pPr>
          </w:p>
        </w:tc>
        <w:tc>
          <w:tcPr>
            <w:tcW w:w="741" w:type="dxa"/>
          </w:tcPr>
          <w:p w:rsidRPr="00FE67C1" w:rsidR="0039309D" w:rsidRDefault="0039309D" w14:paraId="3509F560" w14:textId="77777777">
            <w:pPr>
              <w:rPr>
                <w:rFonts w:ascii="Palatino Linotype" w:hAnsi="Palatino Linotype" w:cs="Arial"/>
                <w:sz w:val="22"/>
                <w:szCs w:val="22"/>
              </w:rPr>
            </w:pPr>
          </w:p>
        </w:tc>
        <w:tc>
          <w:tcPr>
            <w:tcW w:w="741" w:type="dxa"/>
          </w:tcPr>
          <w:p w:rsidRPr="00FE67C1" w:rsidR="0039309D" w:rsidRDefault="0039309D" w14:paraId="5A17414F" w14:textId="77777777">
            <w:pPr>
              <w:rPr>
                <w:rFonts w:ascii="Palatino Linotype" w:hAnsi="Palatino Linotype" w:cs="Arial"/>
                <w:sz w:val="22"/>
                <w:szCs w:val="22"/>
              </w:rPr>
            </w:pPr>
          </w:p>
        </w:tc>
        <w:tc>
          <w:tcPr>
            <w:tcW w:w="741" w:type="dxa"/>
          </w:tcPr>
          <w:p w:rsidRPr="00FE67C1" w:rsidR="0039309D" w:rsidRDefault="0039309D" w14:paraId="493160F2" w14:textId="77777777">
            <w:pPr>
              <w:rPr>
                <w:rFonts w:ascii="Palatino Linotype" w:hAnsi="Palatino Linotype" w:cs="Arial"/>
                <w:sz w:val="22"/>
                <w:szCs w:val="22"/>
              </w:rPr>
            </w:pPr>
          </w:p>
        </w:tc>
        <w:tc>
          <w:tcPr>
            <w:tcW w:w="741" w:type="dxa"/>
          </w:tcPr>
          <w:p w:rsidRPr="00FE67C1" w:rsidR="0039309D" w:rsidRDefault="0039309D" w14:paraId="0660F750" w14:textId="77777777">
            <w:pPr>
              <w:rPr>
                <w:rFonts w:ascii="Palatino Linotype" w:hAnsi="Palatino Linotype" w:cs="Arial"/>
                <w:sz w:val="22"/>
                <w:szCs w:val="22"/>
              </w:rPr>
            </w:pPr>
          </w:p>
        </w:tc>
        <w:tc>
          <w:tcPr>
            <w:tcW w:w="741" w:type="dxa"/>
          </w:tcPr>
          <w:p w:rsidRPr="00FE67C1" w:rsidR="0039309D" w:rsidRDefault="0039309D" w14:paraId="50FC71E8" w14:textId="77777777">
            <w:pPr>
              <w:rPr>
                <w:rFonts w:ascii="Palatino Linotype" w:hAnsi="Palatino Linotype" w:cs="Arial"/>
                <w:sz w:val="22"/>
                <w:szCs w:val="22"/>
              </w:rPr>
            </w:pPr>
          </w:p>
        </w:tc>
        <w:tc>
          <w:tcPr>
            <w:tcW w:w="741" w:type="dxa"/>
          </w:tcPr>
          <w:p w:rsidRPr="00FE67C1" w:rsidR="0039309D" w:rsidRDefault="0039309D" w14:paraId="7FAAB3CF" w14:textId="77777777">
            <w:pPr>
              <w:rPr>
                <w:rFonts w:ascii="Palatino Linotype" w:hAnsi="Palatino Linotype" w:cs="Arial"/>
                <w:sz w:val="22"/>
                <w:szCs w:val="22"/>
              </w:rPr>
            </w:pPr>
          </w:p>
        </w:tc>
        <w:tc>
          <w:tcPr>
            <w:tcW w:w="741" w:type="dxa"/>
          </w:tcPr>
          <w:p w:rsidRPr="00FE67C1" w:rsidR="0039309D" w:rsidRDefault="0039309D" w14:paraId="52C106EE" w14:textId="77777777">
            <w:pPr>
              <w:rPr>
                <w:rFonts w:ascii="Palatino Linotype" w:hAnsi="Palatino Linotype" w:cs="Arial"/>
                <w:sz w:val="22"/>
                <w:szCs w:val="22"/>
              </w:rPr>
            </w:pPr>
          </w:p>
        </w:tc>
        <w:tc>
          <w:tcPr>
            <w:tcW w:w="741" w:type="dxa"/>
          </w:tcPr>
          <w:p w:rsidRPr="00FE67C1" w:rsidR="0039309D" w:rsidRDefault="0039309D" w14:paraId="5233C6AE" w14:textId="77777777">
            <w:pPr>
              <w:rPr>
                <w:rFonts w:ascii="Palatino Linotype" w:hAnsi="Palatino Linotype" w:cs="Arial"/>
                <w:sz w:val="22"/>
                <w:szCs w:val="22"/>
              </w:rPr>
            </w:pPr>
          </w:p>
        </w:tc>
        <w:tc>
          <w:tcPr>
            <w:tcW w:w="741" w:type="dxa"/>
          </w:tcPr>
          <w:p w:rsidRPr="00FE67C1" w:rsidR="0039309D" w:rsidRDefault="0039309D" w14:paraId="2759E278" w14:textId="77777777">
            <w:pPr>
              <w:rPr>
                <w:rFonts w:ascii="Palatino Linotype" w:hAnsi="Palatino Linotype" w:cs="Arial"/>
                <w:sz w:val="22"/>
                <w:szCs w:val="22"/>
              </w:rPr>
            </w:pPr>
          </w:p>
        </w:tc>
        <w:tc>
          <w:tcPr>
            <w:tcW w:w="741" w:type="dxa"/>
          </w:tcPr>
          <w:p w:rsidRPr="00FE67C1" w:rsidR="0039309D" w:rsidRDefault="0039309D" w14:paraId="3E51E697" w14:textId="77777777">
            <w:pPr>
              <w:rPr>
                <w:rFonts w:ascii="Palatino Linotype" w:hAnsi="Palatino Linotype" w:cs="Arial"/>
                <w:sz w:val="22"/>
                <w:szCs w:val="22"/>
              </w:rPr>
            </w:pPr>
          </w:p>
        </w:tc>
        <w:tc>
          <w:tcPr>
            <w:tcW w:w="741" w:type="dxa"/>
          </w:tcPr>
          <w:p w:rsidRPr="00FE67C1" w:rsidR="0039309D" w:rsidRDefault="0039309D" w14:paraId="67081641" w14:textId="77777777">
            <w:pPr>
              <w:rPr>
                <w:rFonts w:ascii="Palatino Linotype" w:hAnsi="Palatino Linotype" w:cs="Arial"/>
                <w:sz w:val="22"/>
                <w:szCs w:val="22"/>
              </w:rPr>
            </w:pPr>
          </w:p>
        </w:tc>
        <w:tc>
          <w:tcPr>
            <w:tcW w:w="741" w:type="dxa"/>
          </w:tcPr>
          <w:p w:rsidRPr="00FE67C1" w:rsidR="0039309D" w:rsidRDefault="0039309D" w14:paraId="3C4AAEEE" w14:textId="77777777">
            <w:pPr>
              <w:rPr>
                <w:rFonts w:ascii="Palatino Linotype" w:hAnsi="Palatino Linotype" w:cs="Arial"/>
                <w:sz w:val="22"/>
                <w:szCs w:val="22"/>
              </w:rPr>
            </w:pPr>
          </w:p>
        </w:tc>
      </w:tr>
      <w:tr w:rsidR="0039309D" w14:paraId="3CC232B0" w14:textId="77777777">
        <w:tc>
          <w:tcPr>
            <w:tcW w:w="1165" w:type="dxa"/>
          </w:tcPr>
          <w:p w:rsidRPr="00FE67C1" w:rsidR="0039309D" w:rsidRDefault="0039309D" w14:paraId="77CB2BC6" w14:textId="77777777">
            <w:pPr>
              <w:rPr>
                <w:rFonts w:ascii="Palatino Linotype" w:hAnsi="Palatino Linotype" w:cs="Arial"/>
                <w:sz w:val="22"/>
                <w:szCs w:val="22"/>
              </w:rPr>
            </w:pPr>
            <w:r w:rsidRPr="00FE67C1">
              <w:rPr>
                <w:rFonts w:ascii="Palatino Linotype" w:hAnsi="Palatino Linotype" w:cs="Arial"/>
                <w:sz w:val="22"/>
                <w:szCs w:val="22"/>
              </w:rPr>
              <w:t>Res MF RA Projected</w:t>
            </w:r>
          </w:p>
        </w:tc>
        <w:tc>
          <w:tcPr>
            <w:tcW w:w="670" w:type="dxa"/>
          </w:tcPr>
          <w:p w:rsidRPr="00FE67C1" w:rsidR="0039309D" w:rsidRDefault="0039309D" w14:paraId="485B4BCE" w14:textId="77777777">
            <w:pPr>
              <w:rPr>
                <w:rFonts w:ascii="Palatino Linotype" w:hAnsi="Palatino Linotype" w:cs="Arial"/>
                <w:sz w:val="22"/>
                <w:szCs w:val="22"/>
              </w:rPr>
            </w:pPr>
          </w:p>
        </w:tc>
        <w:tc>
          <w:tcPr>
            <w:tcW w:w="741" w:type="dxa"/>
          </w:tcPr>
          <w:p w:rsidRPr="00FE67C1" w:rsidR="0039309D" w:rsidRDefault="0039309D" w14:paraId="717807DB" w14:textId="77777777">
            <w:pPr>
              <w:rPr>
                <w:rFonts w:ascii="Palatino Linotype" w:hAnsi="Palatino Linotype" w:cs="Arial"/>
                <w:sz w:val="22"/>
                <w:szCs w:val="22"/>
              </w:rPr>
            </w:pPr>
          </w:p>
        </w:tc>
        <w:tc>
          <w:tcPr>
            <w:tcW w:w="741" w:type="dxa"/>
          </w:tcPr>
          <w:p w:rsidRPr="00FE67C1" w:rsidR="0039309D" w:rsidRDefault="0039309D" w14:paraId="24D25D96" w14:textId="77777777">
            <w:pPr>
              <w:rPr>
                <w:rFonts w:ascii="Palatino Linotype" w:hAnsi="Palatino Linotype" w:cs="Arial"/>
                <w:sz w:val="22"/>
                <w:szCs w:val="22"/>
              </w:rPr>
            </w:pPr>
          </w:p>
        </w:tc>
        <w:tc>
          <w:tcPr>
            <w:tcW w:w="741" w:type="dxa"/>
          </w:tcPr>
          <w:p w:rsidRPr="00FE67C1" w:rsidR="0039309D" w:rsidRDefault="0039309D" w14:paraId="355D153D" w14:textId="77777777">
            <w:pPr>
              <w:rPr>
                <w:rFonts w:ascii="Palatino Linotype" w:hAnsi="Palatino Linotype" w:cs="Arial"/>
                <w:sz w:val="22"/>
                <w:szCs w:val="22"/>
              </w:rPr>
            </w:pPr>
          </w:p>
        </w:tc>
        <w:tc>
          <w:tcPr>
            <w:tcW w:w="741" w:type="dxa"/>
          </w:tcPr>
          <w:p w:rsidRPr="00FE67C1" w:rsidR="0039309D" w:rsidRDefault="0039309D" w14:paraId="4F04A584" w14:textId="77777777">
            <w:pPr>
              <w:rPr>
                <w:rFonts w:ascii="Palatino Linotype" w:hAnsi="Palatino Linotype" w:cs="Arial"/>
                <w:sz w:val="22"/>
                <w:szCs w:val="22"/>
              </w:rPr>
            </w:pPr>
          </w:p>
        </w:tc>
        <w:tc>
          <w:tcPr>
            <w:tcW w:w="741" w:type="dxa"/>
          </w:tcPr>
          <w:p w:rsidRPr="00FE67C1" w:rsidR="0039309D" w:rsidRDefault="0039309D" w14:paraId="004EA96D" w14:textId="77777777">
            <w:pPr>
              <w:rPr>
                <w:rFonts w:ascii="Palatino Linotype" w:hAnsi="Palatino Linotype" w:cs="Arial"/>
                <w:sz w:val="22"/>
                <w:szCs w:val="22"/>
              </w:rPr>
            </w:pPr>
          </w:p>
        </w:tc>
        <w:tc>
          <w:tcPr>
            <w:tcW w:w="741" w:type="dxa"/>
          </w:tcPr>
          <w:p w:rsidRPr="00FE67C1" w:rsidR="0039309D" w:rsidRDefault="0039309D" w14:paraId="64C6605C" w14:textId="77777777">
            <w:pPr>
              <w:rPr>
                <w:rFonts w:ascii="Palatino Linotype" w:hAnsi="Palatino Linotype" w:cs="Arial"/>
                <w:sz w:val="22"/>
                <w:szCs w:val="22"/>
              </w:rPr>
            </w:pPr>
          </w:p>
        </w:tc>
        <w:tc>
          <w:tcPr>
            <w:tcW w:w="741" w:type="dxa"/>
          </w:tcPr>
          <w:p w:rsidRPr="00FE67C1" w:rsidR="0039309D" w:rsidRDefault="0039309D" w14:paraId="296B983E" w14:textId="77777777">
            <w:pPr>
              <w:rPr>
                <w:rFonts w:ascii="Palatino Linotype" w:hAnsi="Palatino Linotype" w:cs="Arial"/>
                <w:sz w:val="22"/>
                <w:szCs w:val="22"/>
              </w:rPr>
            </w:pPr>
          </w:p>
        </w:tc>
        <w:tc>
          <w:tcPr>
            <w:tcW w:w="741" w:type="dxa"/>
          </w:tcPr>
          <w:p w:rsidRPr="00FE67C1" w:rsidR="0039309D" w:rsidRDefault="0039309D" w14:paraId="1FBC5D30" w14:textId="77777777">
            <w:pPr>
              <w:rPr>
                <w:rFonts w:ascii="Palatino Linotype" w:hAnsi="Palatino Linotype" w:cs="Arial"/>
                <w:sz w:val="22"/>
                <w:szCs w:val="22"/>
              </w:rPr>
            </w:pPr>
          </w:p>
        </w:tc>
        <w:tc>
          <w:tcPr>
            <w:tcW w:w="741" w:type="dxa"/>
          </w:tcPr>
          <w:p w:rsidRPr="00FE67C1" w:rsidR="0039309D" w:rsidRDefault="0039309D" w14:paraId="184FCC0A" w14:textId="77777777">
            <w:pPr>
              <w:rPr>
                <w:rFonts w:ascii="Palatino Linotype" w:hAnsi="Palatino Linotype" w:cs="Arial"/>
                <w:sz w:val="22"/>
                <w:szCs w:val="22"/>
              </w:rPr>
            </w:pPr>
          </w:p>
        </w:tc>
        <w:tc>
          <w:tcPr>
            <w:tcW w:w="741" w:type="dxa"/>
          </w:tcPr>
          <w:p w:rsidRPr="00FE67C1" w:rsidR="0039309D" w:rsidRDefault="0039309D" w14:paraId="485347B1" w14:textId="77777777">
            <w:pPr>
              <w:rPr>
                <w:rFonts w:ascii="Palatino Linotype" w:hAnsi="Palatino Linotype" w:cs="Arial"/>
                <w:sz w:val="22"/>
                <w:szCs w:val="22"/>
              </w:rPr>
            </w:pPr>
          </w:p>
        </w:tc>
        <w:tc>
          <w:tcPr>
            <w:tcW w:w="741" w:type="dxa"/>
          </w:tcPr>
          <w:p w:rsidRPr="00FE67C1" w:rsidR="0039309D" w:rsidRDefault="0039309D" w14:paraId="3DF223A6" w14:textId="77777777">
            <w:pPr>
              <w:rPr>
                <w:rFonts w:ascii="Palatino Linotype" w:hAnsi="Palatino Linotype" w:cs="Arial"/>
                <w:sz w:val="22"/>
                <w:szCs w:val="22"/>
              </w:rPr>
            </w:pPr>
          </w:p>
        </w:tc>
        <w:tc>
          <w:tcPr>
            <w:tcW w:w="741" w:type="dxa"/>
          </w:tcPr>
          <w:p w:rsidRPr="00FE67C1" w:rsidR="0039309D" w:rsidRDefault="0039309D" w14:paraId="0D4E62B0" w14:textId="77777777">
            <w:pPr>
              <w:rPr>
                <w:rFonts w:ascii="Palatino Linotype" w:hAnsi="Palatino Linotype" w:cs="Arial"/>
                <w:sz w:val="22"/>
                <w:szCs w:val="22"/>
              </w:rPr>
            </w:pPr>
          </w:p>
        </w:tc>
        <w:tc>
          <w:tcPr>
            <w:tcW w:w="741" w:type="dxa"/>
          </w:tcPr>
          <w:p w:rsidRPr="00FE67C1" w:rsidR="0039309D" w:rsidRDefault="0039309D" w14:paraId="132CA314" w14:textId="77777777">
            <w:pPr>
              <w:rPr>
                <w:rFonts w:ascii="Palatino Linotype" w:hAnsi="Palatino Linotype" w:cs="Arial"/>
                <w:sz w:val="22"/>
                <w:szCs w:val="22"/>
              </w:rPr>
            </w:pPr>
          </w:p>
        </w:tc>
        <w:tc>
          <w:tcPr>
            <w:tcW w:w="741" w:type="dxa"/>
          </w:tcPr>
          <w:p w:rsidRPr="00FE67C1" w:rsidR="0039309D" w:rsidRDefault="0039309D" w14:paraId="3278DF07" w14:textId="77777777">
            <w:pPr>
              <w:rPr>
                <w:rFonts w:ascii="Palatino Linotype" w:hAnsi="Palatino Linotype" w:cs="Arial"/>
                <w:sz w:val="22"/>
                <w:szCs w:val="22"/>
              </w:rPr>
            </w:pPr>
          </w:p>
        </w:tc>
        <w:tc>
          <w:tcPr>
            <w:tcW w:w="741" w:type="dxa"/>
          </w:tcPr>
          <w:p w:rsidRPr="00FE67C1" w:rsidR="0039309D" w:rsidRDefault="0039309D" w14:paraId="6210E230" w14:textId="77777777">
            <w:pPr>
              <w:rPr>
                <w:rFonts w:ascii="Palatino Linotype" w:hAnsi="Palatino Linotype" w:cs="Arial"/>
                <w:sz w:val="22"/>
                <w:szCs w:val="22"/>
              </w:rPr>
            </w:pPr>
          </w:p>
        </w:tc>
      </w:tr>
      <w:tr w:rsidR="0039309D" w14:paraId="17AE5105" w14:textId="77777777">
        <w:tc>
          <w:tcPr>
            <w:tcW w:w="1165" w:type="dxa"/>
          </w:tcPr>
          <w:p w:rsidRPr="00FE67C1" w:rsidR="0039309D" w:rsidRDefault="0039309D" w14:paraId="011F6F52" w14:textId="77777777">
            <w:pPr>
              <w:rPr>
                <w:rFonts w:ascii="Palatino Linotype" w:hAnsi="Palatino Linotype" w:cs="Arial"/>
                <w:sz w:val="22"/>
                <w:szCs w:val="22"/>
              </w:rPr>
            </w:pPr>
            <w:r w:rsidRPr="00FE67C1">
              <w:rPr>
                <w:rFonts w:ascii="Palatino Linotype" w:hAnsi="Palatino Linotype" w:cs="Arial"/>
                <w:sz w:val="22"/>
                <w:szCs w:val="22"/>
              </w:rPr>
              <w:t>Res MF RA Actual</w:t>
            </w:r>
          </w:p>
        </w:tc>
        <w:tc>
          <w:tcPr>
            <w:tcW w:w="670" w:type="dxa"/>
          </w:tcPr>
          <w:p w:rsidRPr="00FE67C1" w:rsidR="0039309D" w:rsidRDefault="0039309D" w14:paraId="2DFE470D" w14:textId="77777777">
            <w:pPr>
              <w:rPr>
                <w:rFonts w:ascii="Palatino Linotype" w:hAnsi="Palatino Linotype" w:cs="Arial"/>
                <w:sz w:val="22"/>
                <w:szCs w:val="22"/>
              </w:rPr>
            </w:pPr>
          </w:p>
        </w:tc>
        <w:tc>
          <w:tcPr>
            <w:tcW w:w="741" w:type="dxa"/>
          </w:tcPr>
          <w:p w:rsidRPr="00FE67C1" w:rsidR="0039309D" w:rsidRDefault="0039309D" w14:paraId="0EF88249" w14:textId="77777777">
            <w:pPr>
              <w:rPr>
                <w:rFonts w:ascii="Palatino Linotype" w:hAnsi="Palatino Linotype" w:cs="Arial"/>
                <w:sz w:val="22"/>
                <w:szCs w:val="22"/>
              </w:rPr>
            </w:pPr>
          </w:p>
        </w:tc>
        <w:tc>
          <w:tcPr>
            <w:tcW w:w="741" w:type="dxa"/>
          </w:tcPr>
          <w:p w:rsidRPr="00FE67C1" w:rsidR="0039309D" w:rsidRDefault="0039309D" w14:paraId="6EAAF136" w14:textId="77777777">
            <w:pPr>
              <w:rPr>
                <w:rFonts w:ascii="Palatino Linotype" w:hAnsi="Palatino Linotype" w:cs="Arial"/>
                <w:sz w:val="22"/>
                <w:szCs w:val="22"/>
              </w:rPr>
            </w:pPr>
          </w:p>
        </w:tc>
        <w:tc>
          <w:tcPr>
            <w:tcW w:w="741" w:type="dxa"/>
          </w:tcPr>
          <w:p w:rsidRPr="00FE67C1" w:rsidR="0039309D" w:rsidRDefault="0039309D" w14:paraId="2EF4A023" w14:textId="77777777">
            <w:pPr>
              <w:rPr>
                <w:rFonts w:ascii="Palatino Linotype" w:hAnsi="Palatino Linotype" w:cs="Arial"/>
                <w:sz w:val="22"/>
                <w:szCs w:val="22"/>
              </w:rPr>
            </w:pPr>
          </w:p>
        </w:tc>
        <w:tc>
          <w:tcPr>
            <w:tcW w:w="741" w:type="dxa"/>
          </w:tcPr>
          <w:p w:rsidRPr="00FE67C1" w:rsidR="0039309D" w:rsidRDefault="0039309D" w14:paraId="79B03627" w14:textId="77777777">
            <w:pPr>
              <w:rPr>
                <w:rFonts w:ascii="Palatino Linotype" w:hAnsi="Palatino Linotype" w:cs="Arial"/>
                <w:sz w:val="22"/>
                <w:szCs w:val="22"/>
              </w:rPr>
            </w:pPr>
          </w:p>
        </w:tc>
        <w:tc>
          <w:tcPr>
            <w:tcW w:w="741" w:type="dxa"/>
          </w:tcPr>
          <w:p w:rsidRPr="00FE67C1" w:rsidR="0039309D" w:rsidRDefault="0039309D" w14:paraId="781A7565" w14:textId="77777777">
            <w:pPr>
              <w:rPr>
                <w:rFonts w:ascii="Palatino Linotype" w:hAnsi="Palatino Linotype" w:cs="Arial"/>
                <w:sz w:val="22"/>
                <w:szCs w:val="22"/>
              </w:rPr>
            </w:pPr>
          </w:p>
        </w:tc>
        <w:tc>
          <w:tcPr>
            <w:tcW w:w="741" w:type="dxa"/>
          </w:tcPr>
          <w:p w:rsidRPr="00FE67C1" w:rsidR="0039309D" w:rsidRDefault="0039309D" w14:paraId="2A168E04" w14:textId="77777777">
            <w:pPr>
              <w:rPr>
                <w:rFonts w:ascii="Palatino Linotype" w:hAnsi="Palatino Linotype" w:cs="Arial"/>
                <w:sz w:val="22"/>
                <w:szCs w:val="22"/>
              </w:rPr>
            </w:pPr>
          </w:p>
        </w:tc>
        <w:tc>
          <w:tcPr>
            <w:tcW w:w="741" w:type="dxa"/>
          </w:tcPr>
          <w:p w:rsidRPr="00FE67C1" w:rsidR="0039309D" w:rsidRDefault="0039309D" w14:paraId="3E52FFB4" w14:textId="77777777">
            <w:pPr>
              <w:rPr>
                <w:rFonts w:ascii="Palatino Linotype" w:hAnsi="Palatino Linotype" w:cs="Arial"/>
                <w:sz w:val="22"/>
                <w:szCs w:val="22"/>
              </w:rPr>
            </w:pPr>
          </w:p>
        </w:tc>
        <w:tc>
          <w:tcPr>
            <w:tcW w:w="741" w:type="dxa"/>
          </w:tcPr>
          <w:p w:rsidRPr="00FE67C1" w:rsidR="0039309D" w:rsidRDefault="0039309D" w14:paraId="1128647A" w14:textId="77777777">
            <w:pPr>
              <w:rPr>
                <w:rFonts w:ascii="Palatino Linotype" w:hAnsi="Palatino Linotype" w:cs="Arial"/>
                <w:sz w:val="22"/>
                <w:szCs w:val="22"/>
              </w:rPr>
            </w:pPr>
          </w:p>
        </w:tc>
        <w:tc>
          <w:tcPr>
            <w:tcW w:w="741" w:type="dxa"/>
          </w:tcPr>
          <w:p w:rsidRPr="00FE67C1" w:rsidR="0039309D" w:rsidRDefault="0039309D" w14:paraId="55A345C1" w14:textId="77777777">
            <w:pPr>
              <w:rPr>
                <w:rFonts w:ascii="Palatino Linotype" w:hAnsi="Palatino Linotype" w:cs="Arial"/>
                <w:sz w:val="22"/>
                <w:szCs w:val="22"/>
              </w:rPr>
            </w:pPr>
          </w:p>
        </w:tc>
        <w:tc>
          <w:tcPr>
            <w:tcW w:w="741" w:type="dxa"/>
          </w:tcPr>
          <w:p w:rsidRPr="00FE67C1" w:rsidR="0039309D" w:rsidRDefault="0039309D" w14:paraId="73B7E81C" w14:textId="77777777">
            <w:pPr>
              <w:rPr>
                <w:rFonts w:ascii="Palatino Linotype" w:hAnsi="Palatino Linotype" w:cs="Arial"/>
                <w:sz w:val="22"/>
                <w:szCs w:val="22"/>
              </w:rPr>
            </w:pPr>
          </w:p>
        </w:tc>
        <w:tc>
          <w:tcPr>
            <w:tcW w:w="741" w:type="dxa"/>
          </w:tcPr>
          <w:p w:rsidRPr="00FE67C1" w:rsidR="0039309D" w:rsidRDefault="0039309D" w14:paraId="715062B2" w14:textId="77777777">
            <w:pPr>
              <w:rPr>
                <w:rFonts w:ascii="Palatino Linotype" w:hAnsi="Palatino Linotype" w:cs="Arial"/>
                <w:sz w:val="22"/>
                <w:szCs w:val="22"/>
              </w:rPr>
            </w:pPr>
          </w:p>
        </w:tc>
        <w:tc>
          <w:tcPr>
            <w:tcW w:w="741" w:type="dxa"/>
          </w:tcPr>
          <w:p w:rsidRPr="00FE67C1" w:rsidR="0039309D" w:rsidRDefault="0039309D" w14:paraId="33E72F7D" w14:textId="77777777">
            <w:pPr>
              <w:rPr>
                <w:rFonts w:ascii="Palatino Linotype" w:hAnsi="Palatino Linotype" w:cs="Arial"/>
                <w:sz w:val="22"/>
                <w:szCs w:val="22"/>
              </w:rPr>
            </w:pPr>
          </w:p>
        </w:tc>
        <w:tc>
          <w:tcPr>
            <w:tcW w:w="741" w:type="dxa"/>
          </w:tcPr>
          <w:p w:rsidRPr="00FE67C1" w:rsidR="0039309D" w:rsidRDefault="0039309D" w14:paraId="4715ACBF" w14:textId="77777777">
            <w:pPr>
              <w:rPr>
                <w:rFonts w:ascii="Palatino Linotype" w:hAnsi="Palatino Linotype" w:cs="Arial"/>
                <w:sz w:val="22"/>
                <w:szCs w:val="22"/>
              </w:rPr>
            </w:pPr>
          </w:p>
        </w:tc>
        <w:tc>
          <w:tcPr>
            <w:tcW w:w="741" w:type="dxa"/>
          </w:tcPr>
          <w:p w:rsidRPr="00FE67C1" w:rsidR="0039309D" w:rsidRDefault="0039309D" w14:paraId="2590E92A" w14:textId="77777777">
            <w:pPr>
              <w:rPr>
                <w:rFonts w:ascii="Palatino Linotype" w:hAnsi="Palatino Linotype" w:cs="Arial"/>
                <w:sz w:val="22"/>
                <w:szCs w:val="22"/>
              </w:rPr>
            </w:pPr>
          </w:p>
        </w:tc>
        <w:tc>
          <w:tcPr>
            <w:tcW w:w="741" w:type="dxa"/>
          </w:tcPr>
          <w:p w:rsidRPr="00FE67C1" w:rsidR="0039309D" w:rsidRDefault="0039309D" w14:paraId="434DB890" w14:textId="77777777">
            <w:pPr>
              <w:rPr>
                <w:rFonts w:ascii="Palatino Linotype" w:hAnsi="Palatino Linotype" w:cs="Arial"/>
                <w:sz w:val="22"/>
                <w:szCs w:val="22"/>
              </w:rPr>
            </w:pPr>
          </w:p>
        </w:tc>
      </w:tr>
      <w:tr w:rsidR="0039309D" w14:paraId="5B596550" w14:textId="77777777">
        <w:tc>
          <w:tcPr>
            <w:tcW w:w="1165" w:type="dxa"/>
          </w:tcPr>
          <w:p w:rsidRPr="00FE67C1" w:rsidR="0039309D" w:rsidRDefault="0039309D" w14:paraId="1566E517" w14:textId="77777777">
            <w:pPr>
              <w:rPr>
                <w:rFonts w:ascii="Palatino Linotype" w:hAnsi="Palatino Linotype" w:cs="Arial"/>
                <w:sz w:val="22"/>
                <w:szCs w:val="22"/>
              </w:rPr>
            </w:pPr>
            <w:r w:rsidRPr="00FE67C1">
              <w:rPr>
                <w:rFonts w:ascii="Palatino Linotype" w:hAnsi="Palatino Linotype" w:cs="Arial"/>
                <w:sz w:val="22"/>
                <w:szCs w:val="22"/>
              </w:rPr>
              <w:lastRenderedPageBreak/>
              <w:t>Sm Comm Equity Projected</w:t>
            </w:r>
          </w:p>
        </w:tc>
        <w:tc>
          <w:tcPr>
            <w:tcW w:w="670" w:type="dxa"/>
          </w:tcPr>
          <w:p w:rsidRPr="00FE67C1" w:rsidR="0039309D" w:rsidRDefault="0039309D" w14:paraId="276F66A5" w14:textId="77777777">
            <w:pPr>
              <w:rPr>
                <w:rFonts w:ascii="Palatino Linotype" w:hAnsi="Palatino Linotype" w:cs="Arial"/>
                <w:sz w:val="22"/>
                <w:szCs w:val="22"/>
              </w:rPr>
            </w:pPr>
          </w:p>
        </w:tc>
        <w:tc>
          <w:tcPr>
            <w:tcW w:w="741" w:type="dxa"/>
          </w:tcPr>
          <w:p w:rsidRPr="00FE67C1" w:rsidR="0039309D" w:rsidRDefault="0039309D" w14:paraId="77C17FC3" w14:textId="77777777">
            <w:pPr>
              <w:rPr>
                <w:rFonts w:ascii="Palatino Linotype" w:hAnsi="Palatino Linotype" w:cs="Arial"/>
                <w:sz w:val="22"/>
                <w:szCs w:val="22"/>
              </w:rPr>
            </w:pPr>
          </w:p>
        </w:tc>
        <w:tc>
          <w:tcPr>
            <w:tcW w:w="741" w:type="dxa"/>
          </w:tcPr>
          <w:p w:rsidRPr="00FE67C1" w:rsidR="0039309D" w:rsidRDefault="0039309D" w14:paraId="554F420B" w14:textId="77777777">
            <w:pPr>
              <w:rPr>
                <w:rFonts w:ascii="Palatino Linotype" w:hAnsi="Palatino Linotype" w:cs="Arial"/>
                <w:sz w:val="22"/>
                <w:szCs w:val="22"/>
              </w:rPr>
            </w:pPr>
          </w:p>
        </w:tc>
        <w:tc>
          <w:tcPr>
            <w:tcW w:w="741" w:type="dxa"/>
          </w:tcPr>
          <w:p w:rsidRPr="00FE67C1" w:rsidR="0039309D" w:rsidRDefault="0039309D" w14:paraId="5CA5708B" w14:textId="77777777">
            <w:pPr>
              <w:rPr>
                <w:rFonts w:ascii="Palatino Linotype" w:hAnsi="Palatino Linotype" w:cs="Arial"/>
                <w:sz w:val="22"/>
                <w:szCs w:val="22"/>
              </w:rPr>
            </w:pPr>
          </w:p>
        </w:tc>
        <w:tc>
          <w:tcPr>
            <w:tcW w:w="741" w:type="dxa"/>
          </w:tcPr>
          <w:p w:rsidRPr="00FE67C1" w:rsidR="0039309D" w:rsidRDefault="0039309D" w14:paraId="51DB6873" w14:textId="77777777">
            <w:pPr>
              <w:rPr>
                <w:rFonts w:ascii="Palatino Linotype" w:hAnsi="Palatino Linotype" w:cs="Arial"/>
                <w:sz w:val="22"/>
                <w:szCs w:val="22"/>
              </w:rPr>
            </w:pPr>
          </w:p>
        </w:tc>
        <w:tc>
          <w:tcPr>
            <w:tcW w:w="741" w:type="dxa"/>
          </w:tcPr>
          <w:p w:rsidRPr="00FE67C1" w:rsidR="0039309D" w:rsidRDefault="0039309D" w14:paraId="6942E974" w14:textId="77777777">
            <w:pPr>
              <w:rPr>
                <w:rFonts w:ascii="Palatino Linotype" w:hAnsi="Palatino Linotype" w:cs="Arial"/>
                <w:sz w:val="22"/>
                <w:szCs w:val="22"/>
              </w:rPr>
            </w:pPr>
          </w:p>
        </w:tc>
        <w:tc>
          <w:tcPr>
            <w:tcW w:w="741" w:type="dxa"/>
          </w:tcPr>
          <w:p w:rsidRPr="00FE67C1" w:rsidR="0039309D" w:rsidRDefault="0039309D" w14:paraId="4702F3A3" w14:textId="77777777">
            <w:pPr>
              <w:rPr>
                <w:rFonts w:ascii="Palatino Linotype" w:hAnsi="Palatino Linotype" w:cs="Arial"/>
                <w:sz w:val="22"/>
                <w:szCs w:val="22"/>
              </w:rPr>
            </w:pPr>
          </w:p>
        </w:tc>
        <w:tc>
          <w:tcPr>
            <w:tcW w:w="741" w:type="dxa"/>
          </w:tcPr>
          <w:p w:rsidRPr="00FE67C1" w:rsidR="0039309D" w:rsidRDefault="0039309D" w14:paraId="57498EA7" w14:textId="77777777">
            <w:pPr>
              <w:rPr>
                <w:rFonts w:ascii="Palatino Linotype" w:hAnsi="Palatino Linotype" w:cs="Arial"/>
                <w:sz w:val="22"/>
                <w:szCs w:val="22"/>
              </w:rPr>
            </w:pPr>
          </w:p>
        </w:tc>
        <w:tc>
          <w:tcPr>
            <w:tcW w:w="741" w:type="dxa"/>
          </w:tcPr>
          <w:p w:rsidRPr="00FE67C1" w:rsidR="0039309D" w:rsidRDefault="0039309D" w14:paraId="3BF27FB9" w14:textId="77777777">
            <w:pPr>
              <w:rPr>
                <w:rFonts w:ascii="Palatino Linotype" w:hAnsi="Palatino Linotype" w:cs="Arial"/>
                <w:sz w:val="22"/>
                <w:szCs w:val="22"/>
              </w:rPr>
            </w:pPr>
          </w:p>
        </w:tc>
        <w:tc>
          <w:tcPr>
            <w:tcW w:w="741" w:type="dxa"/>
          </w:tcPr>
          <w:p w:rsidRPr="00FE67C1" w:rsidR="0039309D" w:rsidRDefault="0039309D" w14:paraId="611ABAFD" w14:textId="77777777">
            <w:pPr>
              <w:rPr>
                <w:rFonts w:ascii="Palatino Linotype" w:hAnsi="Palatino Linotype" w:cs="Arial"/>
                <w:sz w:val="22"/>
                <w:szCs w:val="22"/>
              </w:rPr>
            </w:pPr>
          </w:p>
        </w:tc>
        <w:tc>
          <w:tcPr>
            <w:tcW w:w="741" w:type="dxa"/>
          </w:tcPr>
          <w:p w:rsidRPr="00FE67C1" w:rsidR="0039309D" w:rsidRDefault="0039309D" w14:paraId="5984737F" w14:textId="77777777">
            <w:pPr>
              <w:rPr>
                <w:rFonts w:ascii="Palatino Linotype" w:hAnsi="Palatino Linotype" w:cs="Arial"/>
                <w:sz w:val="22"/>
                <w:szCs w:val="22"/>
              </w:rPr>
            </w:pPr>
          </w:p>
        </w:tc>
        <w:tc>
          <w:tcPr>
            <w:tcW w:w="741" w:type="dxa"/>
          </w:tcPr>
          <w:p w:rsidRPr="00FE67C1" w:rsidR="0039309D" w:rsidRDefault="0039309D" w14:paraId="494FA514" w14:textId="77777777">
            <w:pPr>
              <w:rPr>
                <w:rFonts w:ascii="Palatino Linotype" w:hAnsi="Palatino Linotype" w:cs="Arial"/>
                <w:sz w:val="22"/>
                <w:szCs w:val="22"/>
              </w:rPr>
            </w:pPr>
          </w:p>
        </w:tc>
        <w:tc>
          <w:tcPr>
            <w:tcW w:w="741" w:type="dxa"/>
          </w:tcPr>
          <w:p w:rsidRPr="00FE67C1" w:rsidR="0039309D" w:rsidRDefault="0039309D" w14:paraId="0F7CD738" w14:textId="77777777">
            <w:pPr>
              <w:rPr>
                <w:rFonts w:ascii="Palatino Linotype" w:hAnsi="Palatino Linotype" w:cs="Arial"/>
                <w:sz w:val="22"/>
                <w:szCs w:val="22"/>
              </w:rPr>
            </w:pPr>
          </w:p>
        </w:tc>
        <w:tc>
          <w:tcPr>
            <w:tcW w:w="741" w:type="dxa"/>
          </w:tcPr>
          <w:p w:rsidRPr="00FE67C1" w:rsidR="0039309D" w:rsidRDefault="0039309D" w14:paraId="435948D9" w14:textId="77777777">
            <w:pPr>
              <w:rPr>
                <w:rFonts w:ascii="Palatino Linotype" w:hAnsi="Palatino Linotype" w:cs="Arial"/>
                <w:sz w:val="22"/>
                <w:szCs w:val="22"/>
              </w:rPr>
            </w:pPr>
          </w:p>
        </w:tc>
        <w:tc>
          <w:tcPr>
            <w:tcW w:w="741" w:type="dxa"/>
          </w:tcPr>
          <w:p w:rsidRPr="00FE67C1" w:rsidR="0039309D" w:rsidRDefault="0039309D" w14:paraId="534C8DF0" w14:textId="77777777">
            <w:pPr>
              <w:rPr>
                <w:rFonts w:ascii="Palatino Linotype" w:hAnsi="Palatino Linotype" w:cs="Arial"/>
                <w:sz w:val="22"/>
                <w:szCs w:val="22"/>
              </w:rPr>
            </w:pPr>
          </w:p>
        </w:tc>
        <w:tc>
          <w:tcPr>
            <w:tcW w:w="741" w:type="dxa"/>
          </w:tcPr>
          <w:p w:rsidRPr="00FE67C1" w:rsidR="0039309D" w:rsidRDefault="0039309D" w14:paraId="3AEE199D" w14:textId="77777777">
            <w:pPr>
              <w:rPr>
                <w:rFonts w:ascii="Palatino Linotype" w:hAnsi="Palatino Linotype" w:cs="Arial"/>
                <w:sz w:val="22"/>
                <w:szCs w:val="22"/>
              </w:rPr>
            </w:pPr>
          </w:p>
        </w:tc>
      </w:tr>
      <w:tr w:rsidR="0039309D" w14:paraId="0751AAA3" w14:textId="77777777">
        <w:tc>
          <w:tcPr>
            <w:tcW w:w="1165" w:type="dxa"/>
          </w:tcPr>
          <w:p w:rsidRPr="00FE67C1" w:rsidR="0039309D" w:rsidRDefault="0039309D" w14:paraId="0F90A0A2" w14:textId="77777777">
            <w:pPr>
              <w:rPr>
                <w:rFonts w:ascii="Palatino Linotype" w:hAnsi="Palatino Linotype" w:cs="Arial"/>
                <w:sz w:val="22"/>
                <w:szCs w:val="22"/>
              </w:rPr>
            </w:pPr>
            <w:r w:rsidRPr="00FE67C1">
              <w:rPr>
                <w:rFonts w:ascii="Palatino Linotype" w:hAnsi="Palatino Linotype" w:cs="Arial"/>
                <w:sz w:val="22"/>
                <w:szCs w:val="22"/>
              </w:rPr>
              <w:t>Sm Comm Equity Actual</w:t>
            </w:r>
          </w:p>
        </w:tc>
        <w:tc>
          <w:tcPr>
            <w:tcW w:w="670" w:type="dxa"/>
          </w:tcPr>
          <w:p w:rsidRPr="00FE67C1" w:rsidR="0039309D" w:rsidRDefault="0039309D" w14:paraId="3A6F0FEA" w14:textId="77777777">
            <w:pPr>
              <w:rPr>
                <w:rFonts w:ascii="Palatino Linotype" w:hAnsi="Palatino Linotype" w:cs="Arial"/>
                <w:sz w:val="22"/>
                <w:szCs w:val="22"/>
              </w:rPr>
            </w:pPr>
          </w:p>
        </w:tc>
        <w:tc>
          <w:tcPr>
            <w:tcW w:w="741" w:type="dxa"/>
          </w:tcPr>
          <w:p w:rsidRPr="00FE67C1" w:rsidR="0039309D" w:rsidRDefault="0039309D" w14:paraId="51C24C2A" w14:textId="77777777">
            <w:pPr>
              <w:rPr>
                <w:rFonts w:ascii="Palatino Linotype" w:hAnsi="Palatino Linotype" w:cs="Arial"/>
                <w:sz w:val="22"/>
                <w:szCs w:val="22"/>
              </w:rPr>
            </w:pPr>
          </w:p>
        </w:tc>
        <w:tc>
          <w:tcPr>
            <w:tcW w:w="741" w:type="dxa"/>
          </w:tcPr>
          <w:p w:rsidRPr="00FE67C1" w:rsidR="0039309D" w:rsidRDefault="0039309D" w14:paraId="25F0BE07" w14:textId="77777777">
            <w:pPr>
              <w:rPr>
                <w:rFonts w:ascii="Palatino Linotype" w:hAnsi="Palatino Linotype" w:cs="Arial"/>
                <w:sz w:val="22"/>
                <w:szCs w:val="22"/>
              </w:rPr>
            </w:pPr>
          </w:p>
        </w:tc>
        <w:tc>
          <w:tcPr>
            <w:tcW w:w="741" w:type="dxa"/>
          </w:tcPr>
          <w:p w:rsidRPr="00FE67C1" w:rsidR="0039309D" w:rsidRDefault="0039309D" w14:paraId="1FB6D30F" w14:textId="77777777">
            <w:pPr>
              <w:rPr>
                <w:rFonts w:ascii="Palatino Linotype" w:hAnsi="Palatino Linotype" w:cs="Arial"/>
                <w:sz w:val="22"/>
                <w:szCs w:val="22"/>
              </w:rPr>
            </w:pPr>
          </w:p>
        </w:tc>
        <w:tc>
          <w:tcPr>
            <w:tcW w:w="741" w:type="dxa"/>
          </w:tcPr>
          <w:p w:rsidRPr="00FE67C1" w:rsidR="0039309D" w:rsidRDefault="0039309D" w14:paraId="43CBA8FC" w14:textId="77777777">
            <w:pPr>
              <w:rPr>
                <w:rFonts w:ascii="Palatino Linotype" w:hAnsi="Palatino Linotype" w:cs="Arial"/>
                <w:sz w:val="22"/>
                <w:szCs w:val="22"/>
              </w:rPr>
            </w:pPr>
          </w:p>
        </w:tc>
        <w:tc>
          <w:tcPr>
            <w:tcW w:w="741" w:type="dxa"/>
          </w:tcPr>
          <w:p w:rsidRPr="00FE67C1" w:rsidR="0039309D" w:rsidRDefault="0039309D" w14:paraId="771EB0C6" w14:textId="77777777">
            <w:pPr>
              <w:rPr>
                <w:rFonts w:ascii="Palatino Linotype" w:hAnsi="Palatino Linotype" w:cs="Arial"/>
                <w:sz w:val="22"/>
                <w:szCs w:val="22"/>
              </w:rPr>
            </w:pPr>
          </w:p>
        </w:tc>
        <w:tc>
          <w:tcPr>
            <w:tcW w:w="741" w:type="dxa"/>
          </w:tcPr>
          <w:p w:rsidRPr="00FE67C1" w:rsidR="0039309D" w:rsidRDefault="0039309D" w14:paraId="6F7084FA" w14:textId="77777777">
            <w:pPr>
              <w:rPr>
                <w:rFonts w:ascii="Palatino Linotype" w:hAnsi="Palatino Linotype" w:cs="Arial"/>
                <w:sz w:val="22"/>
                <w:szCs w:val="22"/>
              </w:rPr>
            </w:pPr>
          </w:p>
        </w:tc>
        <w:tc>
          <w:tcPr>
            <w:tcW w:w="741" w:type="dxa"/>
          </w:tcPr>
          <w:p w:rsidRPr="00FE67C1" w:rsidR="0039309D" w:rsidRDefault="0039309D" w14:paraId="4AAA5E22" w14:textId="77777777">
            <w:pPr>
              <w:rPr>
                <w:rFonts w:ascii="Palatino Linotype" w:hAnsi="Palatino Linotype" w:cs="Arial"/>
                <w:sz w:val="22"/>
                <w:szCs w:val="22"/>
              </w:rPr>
            </w:pPr>
          </w:p>
        </w:tc>
        <w:tc>
          <w:tcPr>
            <w:tcW w:w="741" w:type="dxa"/>
          </w:tcPr>
          <w:p w:rsidRPr="00FE67C1" w:rsidR="0039309D" w:rsidRDefault="0039309D" w14:paraId="04EA2D2D" w14:textId="77777777">
            <w:pPr>
              <w:rPr>
                <w:rFonts w:ascii="Palatino Linotype" w:hAnsi="Palatino Linotype" w:cs="Arial"/>
                <w:sz w:val="22"/>
                <w:szCs w:val="22"/>
              </w:rPr>
            </w:pPr>
          </w:p>
        </w:tc>
        <w:tc>
          <w:tcPr>
            <w:tcW w:w="741" w:type="dxa"/>
          </w:tcPr>
          <w:p w:rsidRPr="00FE67C1" w:rsidR="0039309D" w:rsidRDefault="0039309D" w14:paraId="26D3BD43" w14:textId="77777777">
            <w:pPr>
              <w:rPr>
                <w:rFonts w:ascii="Palatino Linotype" w:hAnsi="Palatino Linotype" w:cs="Arial"/>
                <w:sz w:val="22"/>
                <w:szCs w:val="22"/>
              </w:rPr>
            </w:pPr>
          </w:p>
        </w:tc>
        <w:tc>
          <w:tcPr>
            <w:tcW w:w="741" w:type="dxa"/>
          </w:tcPr>
          <w:p w:rsidRPr="00FE67C1" w:rsidR="0039309D" w:rsidRDefault="0039309D" w14:paraId="241089BC" w14:textId="77777777">
            <w:pPr>
              <w:rPr>
                <w:rFonts w:ascii="Palatino Linotype" w:hAnsi="Palatino Linotype" w:cs="Arial"/>
                <w:sz w:val="22"/>
                <w:szCs w:val="22"/>
              </w:rPr>
            </w:pPr>
          </w:p>
        </w:tc>
        <w:tc>
          <w:tcPr>
            <w:tcW w:w="741" w:type="dxa"/>
          </w:tcPr>
          <w:p w:rsidRPr="00FE67C1" w:rsidR="0039309D" w:rsidRDefault="0039309D" w14:paraId="2980B555" w14:textId="77777777">
            <w:pPr>
              <w:rPr>
                <w:rFonts w:ascii="Palatino Linotype" w:hAnsi="Palatino Linotype" w:cs="Arial"/>
                <w:sz w:val="22"/>
                <w:szCs w:val="22"/>
              </w:rPr>
            </w:pPr>
          </w:p>
        </w:tc>
        <w:tc>
          <w:tcPr>
            <w:tcW w:w="741" w:type="dxa"/>
          </w:tcPr>
          <w:p w:rsidRPr="00FE67C1" w:rsidR="0039309D" w:rsidRDefault="0039309D" w14:paraId="49B95505" w14:textId="77777777">
            <w:pPr>
              <w:rPr>
                <w:rFonts w:ascii="Palatino Linotype" w:hAnsi="Palatino Linotype" w:cs="Arial"/>
                <w:sz w:val="22"/>
                <w:szCs w:val="22"/>
              </w:rPr>
            </w:pPr>
          </w:p>
        </w:tc>
        <w:tc>
          <w:tcPr>
            <w:tcW w:w="741" w:type="dxa"/>
          </w:tcPr>
          <w:p w:rsidRPr="00FE67C1" w:rsidR="0039309D" w:rsidRDefault="0039309D" w14:paraId="65FF842B" w14:textId="77777777">
            <w:pPr>
              <w:rPr>
                <w:rFonts w:ascii="Palatino Linotype" w:hAnsi="Palatino Linotype" w:cs="Arial"/>
                <w:sz w:val="22"/>
                <w:szCs w:val="22"/>
              </w:rPr>
            </w:pPr>
          </w:p>
        </w:tc>
        <w:tc>
          <w:tcPr>
            <w:tcW w:w="741" w:type="dxa"/>
          </w:tcPr>
          <w:p w:rsidRPr="00FE67C1" w:rsidR="0039309D" w:rsidRDefault="0039309D" w14:paraId="167E6048" w14:textId="77777777">
            <w:pPr>
              <w:rPr>
                <w:rFonts w:ascii="Palatino Linotype" w:hAnsi="Palatino Linotype" w:cs="Arial"/>
                <w:sz w:val="22"/>
                <w:szCs w:val="22"/>
              </w:rPr>
            </w:pPr>
          </w:p>
        </w:tc>
        <w:tc>
          <w:tcPr>
            <w:tcW w:w="741" w:type="dxa"/>
          </w:tcPr>
          <w:p w:rsidRPr="00FE67C1" w:rsidR="0039309D" w:rsidRDefault="0039309D" w14:paraId="09406AE6" w14:textId="77777777">
            <w:pPr>
              <w:rPr>
                <w:rFonts w:ascii="Palatino Linotype" w:hAnsi="Palatino Linotype" w:cs="Arial"/>
                <w:sz w:val="22"/>
                <w:szCs w:val="22"/>
              </w:rPr>
            </w:pPr>
          </w:p>
        </w:tc>
      </w:tr>
      <w:tr w:rsidR="0039309D" w14:paraId="705102D8" w14:textId="77777777">
        <w:tc>
          <w:tcPr>
            <w:tcW w:w="1165" w:type="dxa"/>
          </w:tcPr>
          <w:p w:rsidRPr="00FE67C1" w:rsidR="0039309D" w:rsidRDefault="0039309D" w14:paraId="630BE1B7" w14:textId="77777777">
            <w:pPr>
              <w:rPr>
                <w:rFonts w:ascii="Palatino Linotype" w:hAnsi="Palatino Linotype" w:cs="Arial"/>
                <w:sz w:val="22"/>
                <w:szCs w:val="22"/>
              </w:rPr>
            </w:pPr>
            <w:r w:rsidRPr="00FE67C1">
              <w:rPr>
                <w:rFonts w:ascii="Palatino Linotype" w:hAnsi="Palatino Linotype" w:cs="Arial"/>
                <w:sz w:val="22"/>
                <w:szCs w:val="22"/>
              </w:rPr>
              <w:t>Sm Comm RA Projected</w:t>
            </w:r>
          </w:p>
        </w:tc>
        <w:tc>
          <w:tcPr>
            <w:tcW w:w="670" w:type="dxa"/>
          </w:tcPr>
          <w:p w:rsidRPr="00FE67C1" w:rsidR="0039309D" w:rsidRDefault="0039309D" w14:paraId="59DF13A7" w14:textId="77777777">
            <w:pPr>
              <w:rPr>
                <w:rFonts w:ascii="Palatino Linotype" w:hAnsi="Palatino Linotype" w:cs="Arial"/>
                <w:sz w:val="22"/>
                <w:szCs w:val="22"/>
              </w:rPr>
            </w:pPr>
          </w:p>
        </w:tc>
        <w:tc>
          <w:tcPr>
            <w:tcW w:w="741" w:type="dxa"/>
          </w:tcPr>
          <w:p w:rsidRPr="00FE67C1" w:rsidR="0039309D" w:rsidRDefault="0039309D" w14:paraId="5E01D644" w14:textId="77777777">
            <w:pPr>
              <w:rPr>
                <w:rFonts w:ascii="Palatino Linotype" w:hAnsi="Palatino Linotype" w:cs="Arial"/>
                <w:sz w:val="22"/>
                <w:szCs w:val="22"/>
              </w:rPr>
            </w:pPr>
          </w:p>
        </w:tc>
        <w:tc>
          <w:tcPr>
            <w:tcW w:w="741" w:type="dxa"/>
          </w:tcPr>
          <w:p w:rsidRPr="00FE67C1" w:rsidR="0039309D" w:rsidRDefault="0039309D" w14:paraId="0785DE6D" w14:textId="77777777">
            <w:pPr>
              <w:rPr>
                <w:rFonts w:ascii="Palatino Linotype" w:hAnsi="Palatino Linotype" w:cs="Arial"/>
                <w:sz w:val="22"/>
                <w:szCs w:val="22"/>
              </w:rPr>
            </w:pPr>
          </w:p>
        </w:tc>
        <w:tc>
          <w:tcPr>
            <w:tcW w:w="741" w:type="dxa"/>
          </w:tcPr>
          <w:p w:rsidRPr="00FE67C1" w:rsidR="0039309D" w:rsidRDefault="0039309D" w14:paraId="35B2A868" w14:textId="77777777">
            <w:pPr>
              <w:rPr>
                <w:rFonts w:ascii="Palatino Linotype" w:hAnsi="Palatino Linotype" w:cs="Arial"/>
                <w:sz w:val="22"/>
                <w:szCs w:val="22"/>
              </w:rPr>
            </w:pPr>
          </w:p>
        </w:tc>
        <w:tc>
          <w:tcPr>
            <w:tcW w:w="741" w:type="dxa"/>
          </w:tcPr>
          <w:p w:rsidRPr="00FE67C1" w:rsidR="0039309D" w:rsidRDefault="0039309D" w14:paraId="21F36916" w14:textId="77777777">
            <w:pPr>
              <w:rPr>
                <w:rFonts w:ascii="Palatino Linotype" w:hAnsi="Palatino Linotype" w:cs="Arial"/>
                <w:sz w:val="22"/>
                <w:szCs w:val="22"/>
              </w:rPr>
            </w:pPr>
          </w:p>
        </w:tc>
        <w:tc>
          <w:tcPr>
            <w:tcW w:w="741" w:type="dxa"/>
          </w:tcPr>
          <w:p w:rsidRPr="00FE67C1" w:rsidR="0039309D" w:rsidRDefault="0039309D" w14:paraId="12133987" w14:textId="77777777">
            <w:pPr>
              <w:rPr>
                <w:rFonts w:ascii="Palatino Linotype" w:hAnsi="Palatino Linotype" w:cs="Arial"/>
                <w:sz w:val="22"/>
                <w:szCs w:val="22"/>
              </w:rPr>
            </w:pPr>
          </w:p>
        </w:tc>
        <w:tc>
          <w:tcPr>
            <w:tcW w:w="741" w:type="dxa"/>
          </w:tcPr>
          <w:p w:rsidRPr="00FE67C1" w:rsidR="0039309D" w:rsidRDefault="0039309D" w14:paraId="06929CEE" w14:textId="77777777">
            <w:pPr>
              <w:rPr>
                <w:rFonts w:ascii="Palatino Linotype" w:hAnsi="Palatino Linotype" w:cs="Arial"/>
                <w:sz w:val="22"/>
                <w:szCs w:val="22"/>
              </w:rPr>
            </w:pPr>
          </w:p>
        </w:tc>
        <w:tc>
          <w:tcPr>
            <w:tcW w:w="741" w:type="dxa"/>
          </w:tcPr>
          <w:p w:rsidRPr="00FE67C1" w:rsidR="0039309D" w:rsidRDefault="0039309D" w14:paraId="419B025F" w14:textId="77777777">
            <w:pPr>
              <w:rPr>
                <w:rFonts w:ascii="Palatino Linotype" w:hAnsi="Palatino Linotype" w:cs="Arial"/>
                <w:sz w:val="22"/>
                <w:szCs w:val="22"/>
              </w:rPr>
            </w:pPr>
          </w:p>
        </w:tc>
        <w:tc>
          <w:tcPr>
            <w:tcW w:w="741" w:type="dxa"/>
          </w:tcPr>
          <w:p w:rsidRPr="00FE67C1" w:rsidR="0039309D" w:rsidRDefault="0039309D" w14:paraId="72B6BAEB" w14:textId="77777777">
            <w:pPr>
              <w:rPr>
                <w:rFonts w:ascii="Palatino Linotype" w:hAnsi="Palatino Linotype" w:cs="Arial"/>
                <w:sz w:val="22"/>
                <w:szCs w:val="22"/>
              </w:rPr>
            </w:pPr>
          </w:p>
        </w:tc>
        <w:tc>
          <w:tcPr>
            <w:tcW w:w="741" w:type="dxa"/>
          </w:tcPr>
          <w:p w:rsidRPr="00FE67C1" w:rsidR="0039309D" w:rsidRDefault="0039309D" w14:paraId="672DC35A" w14:textId="77777777">
            <w:pPr>
              <w:rPr>
                <w:rFonts w:ascii="Palatino Linotype" w:hAnsi="Palatino Linotype" w:cs="Arial"/>
                <w:sz w:val="22"/>
                <w:szCs w:val="22"/>
              </w:rPr>
            </w:pPr>
          </w:p>
        </w:tc>
        <w:tc>
          <w:tcPr>
            <w:tcW w:w="741" w:type="dxa"/>
          </w:tcPr>
          <w:p w:rsidRPr="00FE67C1" w:rsidR="0039309D" w:rsidRDefault="0039309D" w14:paraId="61AC48CE" w14:textId="77777777">
            <w:pPr>
              <w:rPr>
                <w:rFonts w:ascii="Palatino Linotype" w:hAnsi="Palatino Linotype" w:cs="Arial"/>
                <w:sz w:val="22"/>
                <w:szCs w:val="22"/>
              </w:rPr>
            </w:pPr>
          </w:p>
        </w:tc>
        <w:tc>
          <w:tcPr>
            <w:tcW w:w="741" w:type="dxa"/>
          </w:tcPr>
          <w:p w:rsidRPr="00FE67C1" w:rsidR="0039309D" w:rsidRDefault="0039309D" w14:paraId="2972035E" w14:textId="77777777">
            <w:pPr>
              <w:rPr>
                <w:rFonts w:ascii="Palatino Linotype" w:hAnsi="Palatino Linotype" w:cs="Arial"/>
                <w:sz w:val="22"/>
                <w:szCs w:val="22"/>
              </w:rPr>
            </w:pPr>
          </w:p>
        </w:tc>
        <w:tc>
          <w:tcPr>
            <w:tcW w:w="741" w:type="dxa"/>
          </w:tcPr>
          <w:p w:rsidRPr="00FE67C1" w:rsidR="0039309D" w:rsidRDefault="0039309D" w14:paraId="15F802A5" w14:textId="77777777">
            <w:pPr>
              <w:rPr>
                <w:rFonts w:ascii="Palatino Linotype" w:hAnsi="Palatino Linotype" w:cs="Arial"/>
                <w:sz w:val="22"/>
                <w:szCs w:val="22"/>
              </w:rPr>
            </w:pPr>
          </w:p>
        </w:tc>
        <w:tc>
          <w:tcPr>
            <w:tcW w:w="741" w:type="dxa"/>
          </w:tcPr>
          <w:p w:rsidRPr="00FE67C1" w:rsidR="0039309D" w:rsidRDefault="0039309D" w14:paraId="668A3115" w14:textId="77777777">
            <w:pPr>
              <w:rPr>
                <w:rFonts w:ascii="Palatino Linotype" w:hAnsi="Palatino Linotype" w:cs="Arial"/>
                <w:sz w:val="22"/>
                <w:szCs w:val="22"/>
              </w:rPr>
            </w:pPr>
          </w:p>
        </w:tc>
        <w:tc>
          <w:tcPr>
            <w:tcW w:w="741" w:type="dxa"/>
          </w:tcPr>
          <w:p w:rsidRPr="00FE67C1" w:rsidR="0039309D" w:rsidRDefault="0039309D" w14:paraId="5E89D4DC" w14:textId="77777777">
            <w:pPr>
              <w:rPr>
                <w:rFonts w:ascii="Palatino Linotype" w:hAnsi="Palatino Linotype" w:cs="Arial"/>
                <w:sz w:val="22"/>
                <w:szCs w:val="22"/>
              </w:rPr>
            </w:pPr>
          </w:p>
        </w:tc>
        <w:tc>
          <w:tcPr>
            <w:tcW w:w="741" w:type="dxa"/>
          </w:tcPr>
          <w:p w:rsidRPr="00FE67C1" w:rsidR="0039309D" w:rsidRDefault="0039309D" w14:paraId="68B7DAC7" w14:textId="77777777">
            <w:pPr>
              <w:rPr>
                <w:rFonts w:ascii="Palatino Linotype" w:hAnsi="Palatino Linotype" w:cs="Arial"/>
                <w:sz w:val="22"/>
                <w:szCs w:val="22"/>
              </w:rPr>
            </w:pPr>
          </w:p>
        </w:tc>
      </w:tr>
      <w:tr w:rsidR="0039309D" w14:paraId="246EB3EF" w14:textId="77777777">
        <w:tc>
          <w:tcPr>
            <w:tcW w:w="1165" w:type="dxa"/>
          </w:tcPr>
          <w:p w:rsidRPr="00FE67C1" w:rsidR="0039309D" w:rsidRDefault="0039309D" w14:paraId="6EE710A7" w14:textId="77777777">
            <w:pPr>
              <w:rPr>
                <w:rFonts w:ascii="Palatino Linotype" w:hAnsi="Palatino Linotype" w:cs="Arial"/>
                <w:sz w:val="22"/>
                <w:szCs w:val="22"/>
              </w:rPr>
            </w:pPr>
            <w:r w:rsidRPr="00FE67C1">
              <w:rPr>
                <w:rFonts w:ascii="Palatino Linotype" w:hAnsi="Palatino Linotype" w:cs="Arial"/>
                <w:sz w:val="22"/>
                <w:szCs w:val="22"/>
              </w:rPr>
              <w:t>Sm Comm RA Actual</w:t>
            </w:r>
          </w:p>
        </w:tc>
        <w:tc>
          <w:tcPr>
            <w:tcW w:w="670" w:type="dxa"/>
          </w:tcPr>
          <w:p w:rsidRPr="00FE67C1" w:rsidR="0039309D" w:rsidRDefault="0039309D" w14:paraId="3176BDFF" w14:textId="77777777">
            <w:pPr>
              <w:rPr>
                <w:rFonts w:ascii="Palatino Linotype" w:hAnsi="Palatino Linotype" w:cs="Arial"/>
                <w:sz w:val="22"/>
                <w:szCs w:val="22"/>
              </w:rPr>
            </w:pPr>
          </w:p>
        </w:tc>
        <w:tc>
          <w:tcPr>
            <w:tcW w:w="741" w:type="dxa"/>
          </w:tcPr>
          <w:p w:rsidRPr="00FE67C1" w:rsidR="0039309D" w:rsidRDefault="0039309D" w14:paraId="3363A5B2" w14:textId="77777777">
            <w:pPr>
              <w:rPr>
                <w:rFonts w:ascii="Palatino Linotype" w:hAnsi="Palatino Linotype" w:cs="Arial"/>
                <w:sz w:val="22"/>
                <w:szCs w:val="22"/>
              </w:rPr>
            </w:pPr>
          </w:p>
        </w:tc>
        <w:tc>
          <w:tcPr>
            <w:tcW w:w="741" w:type="dxa"/>
          </w:tcPr>
          <w:p w:rsidRPr="00FE67C1" w:rsidR="0039309D" w:rsidRDefault="0039309D" w14:paraId="10D87123" w14:textId="77777777">
            <w:pPr>
              <w:rPr>
                <w:rFonts w:ascii="Palatino Linotype" w:hAnsi="Palatino Linotype" w:cs="Arial"/>
                <w:sz w:val="22"/>
                <w:szCs w:val="22"/>
              </w:rPr>
            </w:pPr>
          </w:p>
        </w:tc>
        <w:tc>
          <w:tcPr>
            <w:tcW w:w="741" w:type="dxa"/>
          </w:tcPr>
          <w:p w:rsidRPr="00FE67C1" w:rsidR="0039309D" w:rsidRDefault="0039309D" w14:paraId="5A790C87" w14:textId="77777777">
            <w:pPr>
              <w:rPr>
                <w:rFonts w:ascii="Palatino Linotype" w:hAnsi="Palatino Linotype" w:cs="Arial"/>
                <w:sz w:val="22"/>
                <w:szCs w:val="22"/>
              </w:rPr>
            </w:pPr>
          </w:p>
        </w:tc>
        <w:tc>
          <w:tcPr>
            <w:tcW w:w="741" w:type="dxa"/>
          </w:tcPr>
          <w:p w:rsidRPr="00FE67C1" w:rsidR="0039309D" w:rsidRDefault="0039309D" w14:paraId="70E27573" w14:textId="77777777">
            <w:pPr>
              <w:rPr>
                <w:rFonts w:ascii="Palatino Linotype" w:hAnsi="Palatino Linotype" w:cs="Arial"/>
                <w:sz w:val="22"/>
                <w:szCs w:val="22"/>
              </w:rPr>
            </w:pPr>
          </w:p>
        </w:tc>
        <w:tc>
          <w:tcPr>
            <w:tcW w:w="741" w:type="dxa"/>
          </w:tcPr>
          <w:p w:rsidRPr="00FE67C1" w:rsidR="0039309D" w:rsidRDefault="0039309D" w14:paraId="3AC0B7E3" w14:textId="77777777">
            <w:pPr>
              <w:rPr>
                <w:rFonts w:ascii="Palatino Linotype" w:hAnsi="Palatino Linotype" w:cs="Arial"/>
                <w:sz w:val="22"/>
                <w:szCs w:val="22"/>
              </w:rPr>
            </w:pPr>
          </w:p>
        </w:tc>
        <w:tc>
          <w:tcPr>
            <w:tcW w:w="741" w:type="dxa"/>
          </w:tcPr>
          <w:p w:rsidRPr="00FE67C1" w:rsidR="0039309D" w:rsidRDefault="0039309D" w14:paraId="0E5B43BA" w14:textId="77777777">
            <w:pPr>
              <w:rPr>
                <w:rFonts w:ascii="Palatino Linotype" w:hAnsi="Palatino Linotype" w:cs="Arial"/>
                <w:sz w:val="22"/>
                <w:szCs w:val="22"/>
              </w:rPr>
            </w:pPr>
          </w:p>
        </w:tc>
        <w:tc>
          <w:tcPr>
            <w:tcW w:w="741" w:type="dxa"/>
          </w:tcPr>
          <w:p w:rsidRPr="00FE67C1" w:rsidR="0039309D" w:rsidRDefault="0039309D" w14:paraId="5E41FC41" w14:textId="77777777">
            <w:pPr>
              <w:rPr>
                <w:rFonts w:ascii="Palatino Linotype" w:hAnsi="Palatino Linotype" w:cs="Arial"/>
                <w:sz w:val="22"/>
                <w:szCs w:val="22"/>
              </w:rPr>
            </w:pPr>
          </w:p>
        </w:tc>
        <w:tc>
          <w:tcPr>
            <w:tcW w:w="741" w:type="dxa"/>
          </w:tcPr>
          <w:p w:rsidRPr="00FE67C1" w:rsidR="0039309D" w:rsidRDefault="0039309D" w14:paraId="2477209B" w14:textId="77777777">
            <w:pPr>
              <w:rPr>
                <w:rFonts w:ascii="Palatino Linotype" w:hAnsi="Palatino Linotype" w:cs="Arial"/>
                <w:sz w:val="22"/>
                <w:szCs w:val="22"/>
              </w:rPr>
            </w:pPr>
          </w:p>
        </w:tc>
        <w:tc>
          <w:tcPr>
            <w:tcW w:w="741" w:type="dxa"/>
          </w:tcPr>
          <w:p w:rsidRPr="00FE67C1" w:rsidR="0039309D" w:rsidRDefault="0039309D" w14:paraId="092AAFBB" w14:textId="77777777">
            <w:pPr>
              <w:rPr>
                <w:rFonts w:ascii="Palatino Linotype" w:hAnsi="Palatino Linotype" w:cs="Arial"/>
                <w:sz w:val="22"/>
                <w:szCs w:val="22"/>
              </w:rPr>
            </w:pPr>
          </w:p>
        </w:tc>
        <w:tc>
          <w:tcPr>
            <w:tcW w:w="741" w:type="dxa"/>
          </w:tcPr>
          <w:p w:rsidRPr="00FE67C1" w:rsidR="0039309D" w:rsidRDefault="0039309D" w14:paraId="45A44F1B" w14:textId="77777777">
            <w:pPr>
              <w:rPr>
                <w:rFonts w:ascii="Palatino Linotype" w:hAnsi="Palatino Linotype" w:cs="Arial"/>
                <w:sz w:val="22"/>
                <w:szCs w:val="22"/>
              </w:rPr>
            </w:pPr>
          </w:p>
        </w:tc>
        <w:tc>
          <w:tcPr>
            <w:tcW w:w="741" w:type="dxa"/>
          </w:tcPr>
          <w:p w:rsidRPr="00FE67C1" w:rsidR="0039309D" w:rsidRDefault="0039309D" w14:paraId="4B7BA529" w14:textId="77777777">
            <w:pPr>
              <w:rPr>
                <w:rFonts w:ascii="Palatino Linotype" w:hAnsi="Palatino Linotype" w:cs="Arial"/>
                <w:sz w:val="22"/>
                <w:szCs w:val="22"/>
              </w:rPr>
            </w:pPr>
          </w:p>
        </w:tc>
        <w:tc>
          <w:tcPr>
            <w:tcW w:w="741" w:type="dxa"/>
          </w:tcPr>
          <w:p w:rsidRPr="00FE67C1" w:rsidR="0039309D" w:rsidRDefault="0039309D" w14:paraId="617BF461" w14:textId="77777777">
            <w:pPr>
              <w:rPr>
                <w:rFonts w:ascii="Palatino Linotype" w:hAnsi="Palatino Linotype" w:cs="Arial"/>
                <w:sz w:val="22"/>
                <w:szCs w:val="22"/>
              </w:rPr>
            </w:pPr>
          </w:p>
        </w:tc>
        <w:tc>
          <w:tcPr>
            <w:tcW w:w="741" w:type="dxa"/>
          </w:tcPr>
          <w:p w:rsidRPr="00FE67C1" w:rsidR="0039309D" w:rsidRDefault="0039309D" w14:paraId="6B5B08F3" w14:textId="77777777">
            <w:pPr>
              <w:rPr>
                <w:rFonts w:ascii="Palatino Linotype" w:hAnsi="Palatino Linotype" w:cs="Arial"/>
                <w:sz w:val="22"/>
                <w:szCs w:val="22"/>
              </w:rPr>
            </w:pPr>
          </w:p>
        </w:tc>
        <w:tc>
          <w:tcPr>
            <w:tcW w:w="741" w:type="dxa"/>
          </w:tcPr>
          <w:p w:rsidRPr="00FE67C1" w:rsidR="0039309D" w:rsidRDefault="0039309D" w14:paraId="1E7338B5" w14:textId="77777777">
            <w:pPr>
              <w:rPr>
                <w:rFonts w:ascii="Palatino Linotype" w:hAnsi="Palatino Linotype" w:cs="Arial"/>
                <w:sz w:val="22"/>
                <w:szCs w:val="22"/>
              </w:rPr>
            </w:pPr>
          </w:p>
        </w:tc>
        <w:tc>
          <w:tcPr>
            <w:tcW w:w="741" w:type="dxa"/>
          </w:tcPr>
          <w:p w:rsidRPr="00FE67C1" w:rsidR="0039309D" w:rsidRDefault="0039309D" w14:paraId="455336EB" w14:textId="77777777">
            <w:pPr>
              <w:rPr>
                <w:rFonts w:ascii="Palatino Linotype" w:hAnsi="Palatino Linotype" w:cs="Arial"/>
                <w:sz w:val="22"/>
                <w:szCs w:val="22"/>
              </w:rPr>
            </w:pPr>
          </w:p>
        </w:tc>
      </w:tr>
      <w:tr w:rsidR="0039309D" w14:paraId="6FC963B6" w14:textId="77777777">
        <w:tc>
          <w:tcPr>
            <w:tcW w:w="1165" w:type="dxa"/>
          </w:tcPr>
          <w:p w:rsidRPr="00FE67C1" w:rsidR="0039309D" w:rsidRDefault="0039309D" w14:paraId="45F99424" w14:textId="77777777">
            <w:pPr>
              <w:rPr>
                <w:rFonts w:ascii="Palatino Linotype" w:hAnsi="Palatino Linotype" w:cs="Arial"/>
                <w:sz w:val="22"/>
                <w:szCs w:val="22"/>
              </w:rPr>
            </w:pPr>
            <w:r>
              <w:rPr>
                <w:rFonts w:ascii="Palatino Linotype" w:hAnsi="Palatino Linotype" w:cs="Arial"/>
                <w:sz w:val="22"/>
                <w:szCs w:val="22"/>
              </w:rPr>
              <w:t>Med</w:t>
            </w:r>
            <w:r w:rsidRPr="00FE67C1">
              <w:rPr>
                <w:rFonts w:ascii="Palatino Linotype" w:hAnsi="Palatino Linotype" w:cs="Arial"/>
                <w:sz w:val="22"/>
                <w:szCs w:val="22"/>
              </w:rPr>
              <w:t xml:space="preserve"> Comm Equity Projected</w:t>
            </w:r>
          </w:p>
        </w:tc>
        <w:tc>
          <w:tcPr>
            <w:tcW w:w="670" w:type="dxa"/>
          </w:tcPr>
          <w:p w:rsidRPr="00FE67C1" w:rsidR="0039309D" w:rsidRDefault="0039309D" w14:paraId="12B50B63" w14:textId="77777777">
            <w:pPr>
              <w:rPr>
                <w:rFonts w:ascii="Palatino Linotype" w:hAnsi="Palatino Linotype" w:cs="Arial"/>
                <w:sz w:val="22"/>
                <w:szCs w:val="22"/>
              </w:rPr>
            </w:pPr>
          </w:p>
        </w:tc>
        <w:tc>
          <w:tcPr>
            <w:tcW w:w="741" w:type="dxa"/>
          </w:tcPr>
          <w:p w:rsidRPr="00FE67C1" w:rsidR="0039309D" w:rsidRDefault="0039309D" w14:paraId="4682946E" w14:textId="77777777">
            <w:pPr>
              <w:rPr>
                <w:rFonts w:ascii="Palatino Linotype" w:hAnsi="Palatino Linotype" w:cs="Arial"/>
                <w:sz w:val="22"/>
                <w:szCs w:val="22"/>
              </w:rPr>
            </w:pPr>
          </w:p>
        </w:tc>
        <w:tc>
          <w:tcPr>
            <w:tcW w:w="741" w:type="dxa"/>
          </w:tcPr>
          <w:p w:rsidRPr="00FE67C1" w:rsidR="0039309D" w:rsidRDefault="0039309D" w14:paraId="1A851408" w14:textId="77777777">
            <w:pPr>
              <w:rPr>
                <w:rFonts w:ascii="Palatino Linotype" w:hAnsi="Palatino Linotype" w:cs="Arial"/>
                <w:sz w:val="22"/>
                <w:szCs w:val="22"/>
              </w:rPr>
            </w:pPr>
          </w:p>
        </w:tc>
        <w:tc>
          <w:tcPr>
            <w:tcW w:w="741" w:type="dxa"/>
          </w:tcPr>
          <w:p w:rsidRPr="00FE67C1" w:rsidR="0039309D" w:rsidRDefault="0039309D" w14:paraId="7E5E4919" w14:textId="77777777">
            <w:pPr>
              <w:rPr>
                <w:rFonts w:ascii="Palatino Linotype" w:hAnsi="Palatino Linotype" w:cs="Arial"/>
                <w:sz w:val="22"/>
                <w:szCs w:val="22"/>
              </w:rPr>
            </w:pPr>
          </w:p>
        </w:tc>
        <w:tc>
          <w:tcPr>
            <w:tcW w:w="741" w:type="dxa"/>
          </w:tcPr>
          <w:p w:rsidRPr="00FE67C1" w:rsidR="0039309D" w:rsidRDefault="0039309D" w14:paraId="02274E41" w14:textId="77777777">
            <w:pPr>
              <w:rPr>
                <w:rFonts w:ascii="Palatino Linotype" w:hAnsi="Palatino Linotype" w:cs="Arial"/>
                <w:sz w:val="22"/>
                <w:szCs w:val="22"/>
              </w:rPr>
            </w:pPr>
          </w:p>
        </w:tc>
        <w:tc>
          <w:tcPr>
            <w:tcW w:w="741" w:type="dxa"/>
          </w:tcPr>
          <w:p w:rsidRPr="00FE67C1" w:rsidR="0039309D" w:rsidRDefault="0039309D" w14:paraId="38F1C4FE" w14:textId="77777777">
            <w:pPr>
              <w:rPr>
                <w:rFonts w:ascii="Palatino Linotype" w:hAnsi="Palatino Linotype" w:cs="Arial"/>
                <w:sz w:val="22"/>
                <w:szCs w:val="22"/>
              </w:rPr>
            </w:pPr>
          </w:p>
        </w:tc>
        <w:tc>
          <w:tcPr>
            <w:tcW w:w="741" w:type="dxa"/>
          </w:tcPr>
          <w:p w:rsidRPr="00FE67C1" w:rsidR="0039309D" w:rsidRDefault="0039309D" w14:paraId="2E1F12A7" w14:textId="77777777">
            <w:pPr>
              <w:rPr>
                <w:rFonts w:ascii="Palatino Linotype" w:hAnsi="Palatino Linotype" w:cs="Arial"/>
                <w:sz w:val="22"/>
                <w:szCs w:val="22"/>
              </w:rPr>
            </w:pPr>
          </w:p>
        </w:tc>
        <w:tc>
          <w:tcPr>
            <w:tcW w:w="741" w:type="dxa"/>
          </w:tcPr>
          <w:p w:rsidRPr="00FE67C1" w:rsidR="0039309D" w:rsidRDefault="0039309D" w14:paraId="791B5AFE" w14:textId="77777777">
            <w:pPr>
              <w:rPr>
                <w:rFonts w:ascii="Palatino Linotype" w:hAnsi="Palatino Linotype" w:cs="Arial"/>
                <w:sz w:val="22"/>
                <w:szCs w:val="22"/>
              </w:rPr>
            </w:pPr>
          </w:p>
        </w:tc>
        <w:tc>
          <w:tcPr>
            <w:tcW w:w="741" w:type="dxa"/>
          </w:tcPr>
          <w:p w:rsidRPr="00FE67C1" w:rsidR="0039309D" w:rsidRDefault="0039309D" w14:paraId="297EC9AC" w14:textId="77777777">
            <w:pPr>
              <w:rPr>
                <w:rFonts w:ascii="Palatino Linotype" w:hAnsi="Palatino Linotype" w:cs="Arial"/>
                <w:sz w:val="22"/>
                <w:szCs w:val="22"/>
              </w:rPr>
            </w:pPr>
          </w:p>
        </w:tc>
        <w:tc>
          <w:tcPr>
            <w:tcW w:w="741" w:type="dxa"/>
          </w:tcPr>
          <w:p w:rsidRPr="00FE67C1" w:rsidR="0039309D" w:rsidRDefault="0039309D" w14:paraId="000B87A8" w14:textId="77777777">
            <w:pPr>
              <w:rPr>
                <w:rFonts w:ascii="Palatino Linotype" w:hAnsi="Palatino Linotype" w:cs="Arial"/>
                <w:sz w:val="22"/>
                <w:szCs w:val="22"/>
              </w:rPr>
            </w:pPr>
          </w:p>
        </w:tc>
        <w:tc>
          <w:tcPr>
            <w:tcW w:w="741" w:type="dxa"/>
          </w:tcPr>
          <w:p w:rsidRPr="00FE67C1" w:rsidR="0039309D" w:rsidRDefault="0039309D" w14:paraId="555FE609" w14:textId="77777777">
            <w:pPr>
              <w:rPr>
                <w:rFonts w:ascii="Palatino Linotype" w:hAnsi="Palatino Linotype" w:cs="Arial"/>
                <w:sz w:val="22"/>
                <w:szCs w:val="22"/>
              </w:rPr>
            </w:pPr>
          </w:p>
        </w:tc>
        <w:tc>
          <w:tcPr>
            <w:tcW w:w="741" w:type="dxa"/>
          </w:tcPr>
          <w:p w:rsidRPr="00FE67C1" w:rsidR="0039309D" w:rsidRDefault="0039309D" w14:paraId="5B08D557" w14:textId="77777777">
            <w:pPr>
              <w:rPr>
                <w:rFonts w:ascii="Palatino Linotype" w:hAnsi="Palatino Linotype" w:cs="Arial"/>
                <w:sz w:val="22"/>
                <w:szCs w:val="22"/>
              </w:rPr>
            </w:pPr>
          </w:p>
        </w:tc>
        <w:tc>
          <w:tcPr>
            <w:tcW w:w="741" w:type="dxa"/>
          </w:tcPr>
          <w:p w:rsidRPr="00FE67C1" w:rsidR="0039309D" w:rsidRDefault="0039309D" w14:paraId="7CED4B8F" w14:textId="77777777">
            <w:pPr>
              <w:rPr>
                <w:rFonts w:ascii="Palatino Linotype" w:hAnsi="Palatino Linotype" w:cs="Arial"/>
                <w:sz w:val="22"/>
                <w:szCs w:val="22"/>
              </w:rPr>
            </w:pPr>
          </w:p>
        </w:tc>
        <w:tc>
          <w:tcPr>
            <w:tcW w:w="741" w:type="dxa"/>
          </w:tcPr>
          <w:p w:rsidRPr="00FE67C1" w:rsidR="0039309D" w:rsidRDefault="0039309D" w14:paraId="3678AECD" w14:textId="77777777">
            <w:pPr>
              <w:rPr>
                <w:rFonts w:ascii="Palatino Linotype" w:hAnsi="Palatino Linotype" w:cs="Arial"/>
                <w:sz w:val="22"/>
                <w:szCs w:val="22"/>
              </w:rPr>
            </w:pPr>
          </w:p>
        </w:tc>
        <w:tc>
          <w:tcPr>
            <w:tcW w:w="741" w:type="dxa"/>
          </w:tcPr>
          <w:p w:rsidRPr="00FE67C1" w:rsidR="0039309D" w:rsidRDefault="0039309D" w14:paraId="4ED6C012" w14:textId="77777777">
            <w:pPr>
              <w:rPr>
                <w:rFonts w:ascii="Palatino Linotype" w:hAnsi="Palatino Linotype" w:cs="Arial"/>
                <w:sz w:val="22"/>
                <w:szCs w:val="22"/>
              </w:rPr>
            </w:pPr>
          </w:p>
        </w:tc>
        <w:tc>
          <w:tcPr>
            <w:tcW w:w="741" w:type="dxa"/>
          </w:tcPr>
          <w:p w:rsidRPr="00FE67C1" w:rsidR="0039309D" w:rsidRDefault="0039309D" w14:paraId="1F9344F6" w14:textId="77777777">
            <w:pPr>
              <w:rPr>
                <w:rFonts w:ascii="Palatino Linotype" w:hAnsi="Palatino Linotype" w:cs="Arial"/>
                <w:sz w:val="22"/>
                <w:szCs w:val="22"/>
              </w:rPr>
            </w:pPr>
          </w:p>
        </w:tc>
      </w:tr>
      <w:tr w:rsidR="0039309D" w14:paraId="4E06CC75" w14:textId="77777777">
        <w:tc>
          <w:tcPr>
            <w:tcW w:w="1165" w:type="dxa"/>
          </w:tcPr>
          <w:p w:rsidRPr="00FE67C1" w:rsidR="0039309D" w:rsidRDefault="0039309D" w14:paraId="1C032EDC" w14:textId="77777777">
            <w:pPr>
              <w:rPr>
                <w:rFonts w:ascii="Palatino Linotype" w:hAnsi="Palatino Linotype" w:cs="Arial"/>
                <w:sz w:val="22"/>
                <w:szCs w:val="22"/>
              </w:rPr>
            </w:pPr>
            <w:r>
              <w:rPr>
                <w:rFonts w:ascii="Palatino Linotype" w:hAnsi="Palatino Linotype" w:cs="Arial"/>
                <w:sz w:val="22"/>
                <w:szCs w:val="22"/>
              </w:rPr>
              <w:t>Med</w:t>
            </w:r>
            <w:r w:rsidRPr="00FE67C1">
              <w:rPr>
                <w:rFonts w:ascii="Palatino Linotype" w:hAnsi="Palatino Linotype" w:cs="Arial"/>
                <w:sz w:val="22"/>
                <w:szCs w:val="22"/>
              </w:rPr>
              <w:t xml:space="preserve"> Comm Equity Actual</w:t>
            </w:r>
          </w:p>
        </w:tc>
        <w:tc>
          <w:tcPr>
            <w:tcW w:w="670" w:type="dxa"/>
          </w:tcPr>
          <w:p w:rsidRPr="00FE67C1" w:rsidR="0039309D" w:rsidRDefault="0039309D" w14:paraId="41297D92" w14:textId="77777777">
            <w:pPr>
              <w:rPr>
                <w:rFonts w:ascii="Palatino Linotype" w:hAnsi="Palatino Linotype" w:cs="Arial"/>
                <w:sz w:val="22"/>
                <w:szCs w:val="22"/>
              </w:rPr>
            </w:pPr>
          </w:p>
        </w:tc>
        <w:tc>
          <w:tcPr>
            <w:tcW w:w="741" w:type="dxa"/>
          </w:tcPr>
          <w:p w:rsidRPr="00FE67C1" w:rsidR="0039309D" w:rsidRDefault="0039309D" w14:paraId="6FC32719" w14:textId="77777777">
            <w:pPr>
              <w:rPr>
                <w:rFonts w:ascii="Palatino Linotype" w:hAnsi="Palatino Linotype" w:cs="Arial"/>
                <w:sz w:val="22"/>
                <w:szCs w:val="22"/>
              </w:rPr>
            </w:pPr>
          </w:p>
        </w:tc>
        <w:tc>
          <w:tcPr>
            <w:tcW w:w="741" w:type="dxa"/>
          </w:tcPr>
          <w:p w:rsidRPr="00FE67C1" w:rsidR="0039309D" w:rsidRDefault="0039309D" w14:paraId="2CBFDADA" w14:textId="77777777">
            <w:pPr>
              <w:rPr>
                <w:rFonts w:ascii="Palatino Linotype" w:hAnsi="Palatino Linotype" w:cs="Arial"/>
                <w:sz w:val="22"/>
                <w:szCs w:val="22"/>
              </w:rPr>
            </w:pPr>
          </w:p>
        </w:tc>
        <w:tc>
          <w:tcPr>
            <w:tcW w:w="741" w:type="dxa"/>
          </w:tcPr>
          <w:p w:rsidRPr="00FE67C1" w:rsidR="0039309D" w:rsidRDefault="0039309D" w14:paraId="573B9EE8" w14:textId="77777777">
            <w:pPr>
              <w:rPr>
                <w:rFonts w:ascii="Palatino Linotype" w:hAnsi="Palatino Linotype" w:cs="Arial"/>
                <w:sz w:val="22"/>
                <w:szCs w:val="22"/>
              </w:rPr>
            </w:pPr>
          </w:p>
        </w:tc>
        <w:tc>
          <w:tcPr>
            <w:tcW w:w="741" w:type="dxa"/>
          </w:tcPr>
          <w:p w:rsidRPr="00FE67C1" w:rsidR="0039309D" w:rsidRDefault="0039309D" w14:paraId="254C0F96" w14:textId="77777777">
            <w:pPr>
              <w:rPr>
                <w:rFonts w:ascii="Palatino Linotype" w:hAnsi="Palatino Linotype" w:cs="Arial"/>
                <w:sz w:val="22"/>
                <w:szCs w:val="22"/>
              </w:rPr>
            </w:pPr>
          </w:p>
        </w:tc>
        <w:tc>
          <w:tcPr>
            <w:tcW w:w="741" w:type="dxa"/>
          </w:tcPr>
          <w:p w:rsidRPr="00FE67C1" w:rsidR="0039309D" w:rsidRDefault="0039309D" w14:paraId="71FEB725" w14:textId="77777777">
            <w:pPr>
              <w:rPr>
                <w:rFonts w:ascii="Palatino Linotype" w:hAnsi="Palatino Linotype" w:cs="Arial"/>
                <w:sz w:val="22"/>
                <w:szCs w:val="22"/>
              </w:rPr>
            </w:pPr>
          </w:p>
        </w:tc>
        <w:tc>
          <w:tcPr>
            <w:tcW w:w="741" w:type="dxa"/>
          </w:tcPr>
          <w:p w:rsidRPr="00FE67C1" w:rsidR="0039309D" w:rsidRDefault="0039309D" w14:paraId="53C4F57C" w14:textId="77777777">
            <w:pPr>
              <w:rPr>
                <w:rFonts w:ascii="Palatino Linotype" w:hAnsi="Palatino Linotype" w:cs="Arial"/>
                <w:sz w:val="22"/>
                <w:szCs w:val="22"/>
              </w:rPr>
            </w:pPr>
          </w:p>
        </w:tc>
        <w:tc>
          <w:tcPr>
            <w:tcW w:w="741" w:type="dxa"/>
          </w:tcPr>
          <w:p w:rsidRPr="00FE67C1" w:rsidR="0039309D" w:rsidRDefault="0039309D" w14:paraId="460A7761" w14:textId="77777777">
            <w:pPr>
              <w:rPr>
                <w:rFonts w:ascii="Palatino Linotype" w:hAnsi="Palatino Linotype" w:cs="Arial"/>
                <w:sz w:val="22"/>
                <w:szCs w:val="22"/>
              </w:rPr>
            </w:pPr>
          </w:p>
        </w:tc>
        <w:tc>
          <w:tcPr>
            <w:tcW w:w="741" w:type="dxa"/>
          </w:tcPr>
          <w:p w:rsidRPr="00FE67C1" w:rsidR="0039309D" w:rsidRDefault="0039309D" w14:paraId="1A929C35" w14:textId="77777777">
            <w:pPr>
              <w:rPr>
                <w:rFonts w:ascii="Palatino Linotype" w:hAnsi="Palatino Linotype" w:cs="Arial"/>
                <w:sz w:val="22"/>
                <w:szCs w:val="22"/>
              </w:rPr>
            </w:pPr>
          </w:p>
        </w:tc>
        <w:tc>
          <w:tcPr>
            <w:tcW w:w="741" w:type="dxa"/>
          </w:tcPr>
          <w:p w:rsidRPr="00FE67C1" w:rsidR="0039309D" w:rsidRDefault="0039309D" w14:paraId="057F5A2D" w14:textId="77777777">
            <w:pPr>
              <w:rPr>
                <w:rFonts w:ascii="Palatino Linotype" w:hAnsi="Palatino Linotype" w:cs="Arial"/>
                <w:sz w:val="22"/>
                <w:szCs w:val="22"/>
              </w:rPr>
            </w:pPr>
          </w:p>
        </w:tc>
        <w:tc>
          <w:tcPr>
            <w:tcW w:w="741" w:type="dxa"/>
          </w:tcPr>
          <w:p w:rsidRPr="00FE67C1" w:rsidR="0039309D" w:rsidRDefault="0039309D" w14:paraId="01B31751" w14:textId="77777777">
            <w:pPr>
              <w:rPr>
                <w:rFonts w:ascii="Palatino Linotype" w:hAnsi="Palatino Linotype" w:cs="Arial"/>
                <w:sz w:val="22"/>
                <w:szCs w:val="22"/>
              </w:rPr>
            </w:pPr>
          </w:p>
        </w:tc>
        <w:tc>
          <w:tcPr>
            <w:tcW w:w="741" w:type="dxa"/>
          </w:tcPr>
          <w:p w:rsidRPr="00FE67C1" w:rsidR="0039309D" w:rsidRDefault="0039309D" w14:paraId="4E921CEC" w14:textId="77777777">
            <w:pPr>
              <w:rPr>
                <w:rFonts w:ascii="Palatino Linotype" w:hAnsi="Palatino Linotype" w:cs="Arial"/>
                <w:sz w:val="22"/>
                <w:szCs w:val="22"/>
              </w:rPr>
            </w:pPr>
          </w:p>
        </w:tc>
        <w:tc>
          <w:tcPr>
            <w:tcW w:w="741" w:type="dxa"/>
          </w:tcPr>
          <w:p w:rsidRPr="00FE67C1" w:rsidR="0039309D" w:rsidRDefault="0039309D" w14:paraId="566C60CD" w14:textId="77777777">
            <w:pPr>
              <w:rPr>
                <w:rFonts w:ascii="Palatino Linotype" w:hAnsi="Palatino Linotype" w:cs="Arial"/>
                <w:sz w:val="22"/>
                <w:szCs w:val="22"/>
              </w:rPr>
            </w:pPr>
          </w:p>
        </w:tc>
        <w:tc>
          <w:tcPr>
            <w:tcW w:w="741" w:type="dxa"/>
          </w:tcPr>
          <w:p w:rsidRPr="00FE67C1" w:rsidR="0039309D" w:rsidRDefault="0039309D" w14:paraId="16CA8BDD" w14:textId="77777777">
            <w:pPr>
              <w:rPr>
                <w:rFonts w:ascii="Palatino Linotype" w:hAnsi="Palatino Linotype" w:cs="Arial"/>
                <w:sz w:val="22"/>
                <w:szCs w:val="22"/>
              </w:rPr>
            </w:pPr>
          </w:p>
        </w:tc>
        <w:tc>
          <w:tcPr>
            <w:tcW w:w="741" w:type="dxa"/>
          </w:tcPr>
          <w:p w:rsidRPr="00FE67C1" w:rsidR="0039309D" w:rsidRDefault="0039309D" w14:paraId="73646CA2" w14:textId="77777777">
            <w:pPr>
              <w:rPr>
                <w:rFonts w:ascii="Palatino Linotype" w:hAnsi="Palatino Linotype" w:cs="Arial"/>
                <w:sz w:val="22"/>
                <w:szCs w:val="22"/>
              </w:rPr>
            </w:pPr>
          </w:p>
        </w:tc>
        <w:tc>
          <w:tcPr>
            <w:tcW w:w="741" w:type="dxa"/>
          </w:tcPr>
          <w:p w:rsidRPr="00FE67C1" w:rsidR="0039309D" w:rsidRDefault="0039309D" w14:paraId="6EA86A66" w14:textId="77777777">
            <w:pPr>
              <w:rPr>
                <w:rFonts w:ascii="Palatino Linotype" w:hAnsi="Palatino Linotype" w:cs="Arial"/>
                <w:sz w:val="22"/>
                <w:szCs w:val="22"/>
              </w:rPr>
            </w:pPr>
          </w:p>
        </w:tc>
      </w:tr>
      <w:tr w:rsidR="0039309D" w14:paraId="53E3211B" w14:textId="77777777">
        <w:tc>
          <w:tcPr>
            <w:tcW w:w="1165" w:type="dxa"/>
          </w:tcPr>
          <w:p w:rsidRPr="00FE67C1" w:rsidR="0039309D" w:rsidRDefault="0039309D" w14:paraId="75DE72A7" w14:textId="77777777">
            <w:pPr>
              <w:rPr>
                <w:rFonts w:ascii="Palatino Linotype" w:hAnsi="Palatino Linotype" w:cs="Arial"/>
                <w:sz w:val="22"/>
                <w:szCs w:val="22"/>
              </w:rPr>
            </w:pPr>
            <w:r>
              <w:rPr>
                <w:rFonts w:ascii="Palatino Linotype" w:hAnsi="Palatino Linotype" w:cs="Arial"/>
                <w:sz w:val="22"/>
                <w:szCs w:val="22"/>
              </w:rPr>
              <w:t>Med</w:t>
            </w:r>
            <w:r w:rsidRPr="00FE67C1">
              <w:rPr>
                <w:rFonts w:ascii="Palatino Linotype" w:hAnsi="Palatino Linotype" w:cs="Arial"/>
                <w:sz w:val="22"/>
                <w:szCs w:val="22"/>
              </w:rPr>
              <w:t xml:space="preserve"> Comm RA Projected</w:t>
            </w:r>
          </w:p>
        </w:tc>
        <w:tc>
          <w:tcPr>
            <w:tcW w:w="670" w:type="dxa"/>
          </w:tcPr>
          <w:p w:rsidRPr="00FE67C1" w:rsidR="0039309D" w:rsidRDefault="0039309D" w14:paraId="71E15BD0" w14:textId="77777777">
            <w:pPr>
              <w:rPr>
                <w:rFonts w:ascii="Palatino Linotype" w:hAnsi="Palatino Linotype" w:cs="Arial"/>
                <w:sz w:val="22"/>
                <w:szCs w:val="22"/>
              </w:rPr>
            </w:pPr>
          </w:p>
        </w:tc>
        <w:tc>
          <w:tcPr>
            <w:tcW w:w="741" w:type="dxa"/>
          </w:tcPr>
          <w:p w:rsidRPr="00FE67C1" w:rsidR="0039309D" w:rsidRDefault="0039309D" w14:paraId="6D8C312C" w14:textId="77777777">
            <w:pPr>
              <w:rPr>
                <w:rFonts w:ascii="Palatino Linotype" w:hAnsi="Palatino Linotype" w:cs="Arial"/>
                <w:sz w:val="22"/>
                <w:szCs w:val="22"/>
              </w:rPr>
            </w:pPr>
          </w:p>
        </w:tc>
        <w:tc>
          <w:tcPr>
            <w:tcW w:w="741" w:type="dxa"/>
          </w:tcPr>
          <w:p w:rsidRPr="00FE67C1" w:rsidR="0039309D" w:rsidRDefault="0039309D" w14:paraId="36475381" w14:textId="77777777">
            <w:pPr>
              <w:rPr>
                <w:rFonts w:ascii="Palatino Linotype" w:hAnsi="Palatino Linotype" w:cs="Arial"/>
                <w:sz w:val="22"/>
                <w:szCs w:val="22"/>
              </w:rPr>
            </w:pPr>
          </w:p>
        </w:tc>
        <w:tc>
          <w:tcPr>
            <w:tcW w:w="741" w:type="dxa"/>
          </w:tcPr>
          <w:p w:rsidRPr="00FE67C1" w:rsidR="0039309D" w:rsidRDefault="0039309D" w14:paraId="695B52B4" w14:textId="77777777">
            <w:pPr>
              <w:rPr>
                <w:rFonts w:ascii="Palatino Linotype" w:hAnsi="Palatino Linotype" w:cs="Arial"/>
                <w:sz w:val="22"/>
                <w:szCs w:val="22"/>
              </w:rPr>
            </w:pPr>
          </w:p>
        </w:tc>
        <w:tc>
          <w:tcPr>
            <w:tcW w:w="741" w:type="dxa"/>
          </w:tcPr>
          <w:p w:rsidRPr="00FE67C1" w:rsidR="0039309D" w:rsidRDefault="0039309D" w14:paraId="6F80B13C" w14:textId="77777777">
            <w:pPr>
              <w:rPr>
                <w:rFonts w:ascii="Palatino Linotype" w:hAnsi="Palatino Linotype" w:cs="Arial"/>
                <w:sz w:val="22"/>
                <w:szCs w:val="22"/>
              </w:rPr>
            </w:pPr>
          </w:p>
        </w:tc>
        <w:tc>
          <w:tcPr>
            <w:tcW w:w="741" w:type="dxa"/>
          </w:tcPr>
          <w:p w:rsidRPr="00FE67C1" w:rsidR="0039309D" w:rsidRDefault="0039309D" w14:paraId="371C2F94" w14:textId="77777777">
            <w:pPr>
              <w:rPr>
                <w:rFonts w:ascii="Palatino Linotype" w:hAnsi="Palatino Linotype" w:cs="Arial"/>
                <w:sz w:val="22"/>
                <w:szCs w:val="22"/>
              </w:rPr>
            </w:pPr>
          </w:p>
        </w:tc>
        <w:tc>
          <w:tcPr>
            <w:tcW w:w="741" w:type="dxa"/>
          </w:tcPr>
          <w:p w:rsidRPr="00FE67C1" w:rsidR="0039309D" w:rsidRDefault="0039309D" w14:paraId="4F5A0014" w14:textId="77777777">
            <w:pPr>
              <w:rPr>
                <w:rFonts w:ascii="Palatino Linotype" w:hAnsi="Palatino Linotype" w:cs="Arial"/>
                <w:sz w:val="22"/>
                <w:szCs w:val="22"/>
              </w:rPr>
            </w:pPr>
          </w:p>
        </w:tc>
        <w:tc>
          <w:tcPr>
            <w:tcW w:w="741" w:type="dxa"/>
          </w:tcPr>
          <w:p w:rsidRPr="00FE67C1" w:rsidR="0039309D" w:rsidRDefault="0039309D" w14:paraId="4AC1EBC3" w14:textId="77777777">
            <w:pPr>
              <w:rPr>
                <w:rFonts w:ascii="Palatino Linotype" w:hAnsi="Palatino Linotype" w:cs="Arial"/>
                <w:sz w:val="22"/>
                <w:szCs w:val="22"/>
              </w:rPr>
            </w:pPr>
          </w:p>
        </w:tc>
        <w:tc>
          <w:tcPr>
            <w:tcW w:w="741" w:type="dxa"/>
          </w:tcPr>
          <w:p w:rsidRPr="00FE67C1" w:rsidR="0039309D" w:rsidRDefault="0039309D" w14:paraId="0C7E7248" w14:textId="77777777">
            <w:pPr>
              <w:rPr>
                <w:rFonts w:ascii="Palatino Linotype" w:hAnsi="Palatino Linotype" w:cs="Arial"/>
                <w:sz w:val="22"/>
                <w:szCs w:val="22"/>
              </w:rPr>
            </w:pPr>
          </w:p>
        </w:tc>
        <w:tc>
          <w:tcPr>
            <w:tcW w:w="741" w:type="dxa"/>
          </w:tcPr>
          <w:p w:rsidRPr="00FE67C1" w:rsidR="0039309D" w:rsidRDefault="0039309D" w14:paraId="69F2F0D9" w14:textId="77777777">
            <w:pPr>
              <w:rPr>
                <w:rFonts w:ascii="Palatino Linotype" w:hAnsi="Palatino Linotype" w:cs="Arial"/>
                <w:sz w:val="22"/>
                <w:szCs w:val="22"/>
              </w:rPr>
            </w:pPr>
          </w:p>
        </w:tc>
        <w:tc>
          <w:tcPr>
            <w:tcW w:w="741" w:type="dxa"/>
          </w:tcPr>
          <w:p w:rsidRPr="00FE67C1" w:rsidR="0039309D" w:rsidRDefault="0039309D" w14:paraId="280E939E" w14:textId="77777777">
            <w:pPr>
              <w:rPr>
                <w:rFonts w:ascii="Palatino Linotype" w:hAnsi="Palatino Linotype" w:cs="Arial"/>
                <w:sz w:val="22"/>
                <w:szCs w:val="22"/>
              </w:rPr>
            </w:pPr>
          </w:p>
        </w:tc>
        <w:tc>
          <w:tcPr>
            <w:tcW w:w="741" w:type="dxa"/>
          </w:tcPr>
          <w:p w:rsidRPr="00FE67C1" w:rsidR="0039309D" w:rsidRDefault="0039309D" w14:paraId="5241E59F" w14:textId="77777777">
            <w:pPr>
              <w:rPr>
                <w:rFonts w:ascii="Palatino Linotype" w:hAnsi="Palatino Linotype" w:cs="Arial"/>
                <w:sz w:val="22"/>
                <w:szCs w:val="22"/>
              </w:rPr>
            </w:pPr>
          </w:p>
        </w:tc>
        <w:tc>
          <w:tcPr>
            <w:tcW w:w="741" w:type="dxa"/>
          </w:tcPr>
          <w:p w:rsidRPr="00FE67C1" w:rsidR="0039309D" w:rsidRDefault="0039309D" w14:paraId="4512DAB4" w14:textId="77777777">
            <w:pPr>
              <w:rPr>
                <w:rFonts w:ascii="Palatino Linotype" w:hAnsi="Palatino Linotype" w:cs="Arial"/>
                <w:sz w:val="22"/>
                <w:szCs w:val="22"/>
              </w:rPr>
            </w:pPr>
          </w:p>
        </w:tc>
        <w:tc>
          <w:tcPr>
            <w:tcW w:w="741" w:type="dxa"/>
          </w:tcPr>
          <w:p w:rsidRPr="00FE67C1" w:rsidR="0039309D" w:rsidRDefault="0039309D" w14:paraId="7F5D1257" w14:textId="77777777">
            <w:pPr>
              <w:rPr>
                <w:rFonts w:ascii="Palatino Linotype" w:hAnsi="Palatino Linotype" w:cs="Arial"/>
                <w:sz w:val="22"/>
                <w:szCs w:val="22"/>
              </w:rPr>
            </w:pPr>
          </w:p>
        </w:tc>
        <w:tc>
          <w:tcPr>
            <w:tcW w:w="741" w:type="dxa"/>
          </w:tcPr>
          <w:p w:rsidRPr="00FE67C1" w:rsidR="0039309D" w:rsidRDefault="0039309D" w14:paraId="3095837A" w14:textId="77777777">
            <w:pPr>
              <w:rPr>
                <w:rFonts w:ascii="Palatino Linotype" w:hAnsi="Palatino Linotype" w:cs="Arial"/>
                <w:sz w:val="22"/>
                <w:szCs w:val="22"/>
              </w:rPr>
            </w:pPr>
          </w:p>
        </w:tc>
        <w:tc>
          <w:tcPr>
            <w:tcW w:w="741" w:type="dxa"/>
          </w:tcPr>
          <w:p w:rsidRPr="00FE67C1" w:rsidR="0039309D" w:rsidRDefault="0039309D" w14:paraId="72E19A23" w14:textId="77777777">
            <w:pPr>
              <w:rPr>
                <w:rFonts w:ascii="Palatino Linotype" w:hAnsi="Palatino Linotype" w:cs="Arial"/>
                <w:sz w:val="22"/>
                <w:szCs w:val="22"/>
              </w:rPr>
            </w:pPr>
          </w:p>
        </w:tc>
      </w:tr>
      <w:tr w:rsidR="0039309D" w14:paraId="4A7B83B0" w14:textId="77777777">
        <w:tc>
          <w:tcPr>
            <w:tcW w:w="1165" w:type="dxa"/>
          </w:tcPr>
          <w:p w:rsidRPr="00FE67C1" w:rsidR="0039309D" w:rsidRDefault="0039309D" w14:paraId="4B79F455" w14:textId="77777777">
            <w:pPr>
              <w:rPr>
                <w:rFonts w:ascii="Palatino Linotype" w:hAnsi="Palatino Linotype" w:cs="Arial"/>
                <w:sz w:val="22"/>
                <w:szCs w:val="22"/>
              </w:rPr>
            </w:pPr>
            <w:r>
              <w:rPr>
                <w:rFonts w:ascii="Palatino Linotype" w:hAnsi="Palatino Linotype" w:cs="Arial"/>
                <w:sz w:val="22"/>
                <w:szCs w:val="22"/>
              </w:rPr>
              <w:t>Med</w:t>
            </w:r>
            <w:r w:rsidRPr="00FE67C1">
              <w:rPr>
                <w:rFonts w:ascii="Palatino Linotype" w:hAnsi="Palatino Linotype" w:cs="Arial"/>
                <w:sz w:val="22"/>
                <w:szCs w:val="22"/>
              </w:rPr>
              <w:t xml:space="preserve"> Comm </w:t>
            </w:r>
            <w:r w:rsidRPr="00FE67C1">
              <w:rPr>
                <w:rFonts w:ascii="Palatino Linotype" w:hAnsi="Palatino Linotype" w:cs="Arial"/>
                <w:sz w:val="22"/>
                <w:szCs w:val="22"/>
              </w:rPr>
              <w:lastRenderedPageBreak/>
              <w:t>RA Actual</w:t>
            </w:r>
          </w:p>
        </w:tc>
        <w:tc>
          <w:tcPr>
            <w:tcW w:w="670" w:type="dxa"/>
          </w:tcPr>
          <w:p w:rsidRPr="00FE67C1" w:rsidR="0039309D" w:rsidRDefault="0039309D" w14:paraId="209F2D75" w14:textId="77777777">
            <w:pPr>
              <w:rPr>
                <w:rFonts w:ascii="Palatino Linotype" w:hAnsi="Palatino Linotype" w:cs="Arial"/>
                <w:sz w:val="22"/>
                <w:szCs w:val="22"/>
              </w:rPr>
            </w:pPr>
          </w:p>
        </w:tc>
        <w:tc>
          <w:tcPr>
            <w:tcW w:w="741" w:type="dxa"/>
          </w:tcPr>
          <w:p w:rsidRPr="00FE67C1" w:rsidR="0039309D" w:rsidRDefault="0039309D" w14:paraId="159FAD69" w14:textId="77777777">
            <w:pPr>
              <w:rPr>
                <w:rFonts w:ascii="Palatino Linotype" w:hAnsi="Palatino Linotype" w:cs="Arial"/>
                <w:sz w:val="22"/>
                <w:szCs w:val="22"/>
              </w:rPr>
            </w:pPr>
          </w:p>
        </w:tc>
        <w:tc>
          <w:tcPr>
            <w:tcW w:w="741" w:type="dxa"/>
          </w:tcPr>
          <w:p w:rsidRPr="00FE67C1" w:rsidR="0039309D" w:rsidRDefault="0039309D" w14:paraId="29CC48B2" w14:textId="77777777">
            <w:pPr>
              <w:rPr>
                <w:rFonts w:ascii="Palatino Linotype" w:hAnsi="Palatino Linotype" w:cs="Arial"/>
                <w:sz w:val="22"/>
                <w:szCs w:val="22"/>
              </w:rPr>
            </w:pPr>
          </w:p>
        </w:tc>
        <w:tc>
          <w:tcPr>
            <w:tcW w:w="741" w:type="dxa"/>
          </w:tcPr>
          <w:p w:rsidRPr="00FE67C1" w:rsidR="0039309D" w:rsidRDefault="0039309D" w14:paraId="1D0DAD4F" w14:textId="77777777">
            <w:pPr>
              <w:rPr>
                <w:rFonts w:ascii="Palatino Linotype" w:hAnsi="Palatino Linotype" w:cs="Arial"/>
                <w:sz w:val="22"/>
                <w:szCs w:val="22"/>
              </w:rPr>
            </w:pPr>
          </w:p>
        </w:tc>
        <w:tc>
          <w:tcPr>
            <w:tcW w:w="741" w:type="dxa"/>
          </w:tcPr>
          <w:p w:rsidRPr="00FE67C1" w:rsidR="0039309D" w:rsidRDefault="0039309D" w14:paraId="30BE5E9B" w14:textId="77777777">
            <w:pPr>
              <w:rPr>
                <w:rFonts w:ascii="Palatino Linotype" w:hAnsi="Palatino Linotype" w:cs="Arial"/>
                <w:sz w:val="22"/>
                <w:szCs w:val="22"/>
              </w:rPr>
            </w:pPr>
          </w:p>
        </w:tc>
        <w:tc>
          <w:tcPr>
            <w:tcW w:w="741" w:type="dxa"/>
          </w:tcPr>
          <w:p w:rsidRPr="00FE67C1" w:rsidR="0039309D" w:rsidRDefault="0039309D" w14:paraId="12402EE9" w14:textId="77777777">
            <w:pPr>
              <w:rPr>
                <w:rFonts w:ascii="Palatino Linotype" w:hAnsi="Palatino Linotype" w:cs="Arial"/>
                <w:sz w:val="22"/>
                <w:szCs w:val="22"/>
              </w:rPr>
            </w:pPr>
          </w:p>
        </w:tc>
        <w:tc>
          <w:tcPr>
            <w:tcW w:w="741" w:type="dxa"/>
          </w:tcPr>
          <w:p w:rsidRPr="00FE67C1" w:rsidR="0039309D" w:rsidRDefault="0039309D" w14:paraId="435468E0" w14:textId="77777777">
            <w:pPr>
              <w:rPr>
                <w:rFonts w:ascii="Palatino Linotype" w:hAnsi="Palatino Linotype" w:cs="Arial"/>
                <w:sz w:val="22"/>
                <w:szCs w:val="22"/>
              </w:rPr>
            </w:pPr>
          </w:p>
        </w:tc>
        <w:tc>
          <w:tcPr>
            <w:tcW w:w="741" w:type="dxa"/>
          </w:tcPr>
          <w:p w:rsidRPr="00FE67C1" w:rsidR="0039309D" w:rsidRDefault="0039309D" w14:paraId="1848371D" w14:textId="77777777">
            <w:pPr>
              <w:rPr>
                <w:rFonts w:ascii="Palatino Linotype" w:hAnsi="Palatino Linotype" w:cs="Arial"/>
                <w:sz w:val="22"/>
                <w:szCs w:val="22"/>
              </w:rPr>
            </w:pPr>
          </w:p>
        </w:tc>
        <w:tc>
          <w:tcPr>
            <w:tcW w:w="741" w:type="dxa"/>
          </w:tcPr>
          <w:p w:rsidRPr="00FE67C1" w:rsidR="0039309D" w:rsidRDefault="0039309D" w14:paraId="25770FEE" w14:textId="77777777">
            <w:pPr>
              <w:rPr>
                <w:rFonts w:ascii="Palatino Linotype" w:hAnsi="Palatino Linotype" w:cs="Arial"/>
                <w:sz w:val="22"/>
                <w:szCs w:val="22"/>
              </w:rPr>
            </w:pPr>
          </w:p>
        </w:tc>
        <w:tc>
          <w:tcPr>
            <w:tcW w:w="741" w:type="dxa"/>
          </w:tcPr>
          <w:p w:rsidRPr="00FE67C1" w:rsidR="0039309D" w:rsidRDefault="0039309D" w14:paraId="63AAE05F" w14:textId="77777777">
            <w:pPr>
              <w:rPr>
                <w:rFonts w:ascii="Palatino Linotype" w:hAnsi="Palatino Linotype" w:cs="Arial"/>
                <w:sz w:val="22"/>
                <w:szCs w:val="22"/>
              </w:rPr>
            </w:pPr>
          </w:p>
        </w:tc>
        <w:tc>
          <w:tcPr>
            <w:tcW w:w="741" w:type="dxa"/>
          </w:tcPr>
          <w:p w:rsidRPr="00FE67C1" w:rsidR="0039309D" w:rsidRDefault="0039309D" w14:paraId="2D6E7E38" w14:textId="77777777">
            <w:pPr>
              <w:rPr>
                <w:rFonts w:ascii="Palatino Linotype" w:hAnsi="Palatino Linotype" w:cs="Arial"/>
                <w:sz w:val="22"/>
                <w:szCs w:val="22"/>
              </w:rPr>
            </w:pPr>
          </w:p>
        </w:tc>
        <w:tc>
          <w:tcPr>
            <w:tcW w:w="741" w:type="dxa"/>
          </w:tcPr>
          <w:p w:rsidRPr="00FE67C1" w:rsidR="0039309D" w:rsidRDefault="0039309D" w14:paraId="02ECFECB" w14:textId="77777777">
            <w:pPr>
              <w:rPr>
                <w:rFonts w:ascii="Palatino Linotype" w:hAnsi="Palatino Linotype" w:cs="Arial"/>
                <w:sz w:val="22"/>
                <w:szCs w:val="22"/>
              </w:rPr>
            </w:pPr>
          </w:p>
        </w:tc>
        <w:tc>
          <w:tcPr>
            <w:tcW w:w="741" w:type="dxa"/>
          </w:tcPr>
          <w:p w:rsidRPr="00FE67C1" w:rsidR="0039309D" w:rsidRDefault="0039309D" w14:paraId="58F75A0E" w14:textId="77777777">
            <w:pPr>
              <w:rPr>
                <w:rFonts w:ascii="Palatino Linotype" w:hAnsi="Palatino Linotype" w:cs="Arial"/>
                <w:sz w:val="22"/>
                <w:szCs w:val="22"/>
              </w:rPr>
            </w:pPr>
          </w:p>
        </w:tc>
        <w:tc>
          <w:tcPr>
            <w:tcW w:w="741" w:type="dxa"/>
          </w:tcPr>
          <w:p w:rsidRPr="00FE67C1" w:rsidR="0039309D" w:rsidRDefault="0039309D" w14:paraId="2446C0A7" w14:textId="77777777">
            <w:pPr>
              <w:rPr>
                <w:rFonts w:ascii="Palatino Linotype" w:hAnsi="Palatino Linotype" w:cs="Arial"/>
                <w:sz w:val="22"/>
                <w:szCs w:val="22"/>
              </w:rPr>
            </w:pPr>
          </w:p>
        </w:tc>
        <w:tc>
          <w:tcPr>
            <w:tcW w:w="741" w:type="dxa"/>
          </w:tcPr>
          <w:p w:rsidRPr="00FE67C1" w:rsidR="0039309D" w:rsidRDefault="0039309D" w14:paraId="495990EC" w14:textId="77777777">
            <w:pPr>
              <w:rPr>
                <w:rFonts w:ascii="Palatino Linotype" w:hAnsi="Palatino Linotype" w:cs="Arial"/>
                <w:sz w:val="22"/>
                <w:szCs w:val="22"/>
              </w:rPr>
            </w:pPr>
          </w:p>
        </w:tc>
        <w:tc>
          <w:tcPr>
            <w:tcW w:w="741" w:type="dxa"/>
          </w:tcPr>
          <w:p w:rsidRPr="00FE67C1" w:rsidR="0039309D" w:rsidRDefault="0039309D" w14:paraId="0C1987CD" w14:textId="77777777">
            <w:pPr>
              <w:rPr>
                <w:rFonts w:ascii="Palatino Linotype" w:hAnsi="Palatino Linotype" w:cs="Arial"/>
                <w:sz w:val="22"/>
                <w:szCs w:val="22"/>
              </w:rPr>
            </w:pPr>
          </w:p>
        </w:tc>
      </w:tr>
      <w:tr w:rsidR="0039309D" w14:paraId="09B750FE" w14:textId="77777777">
        <w:tc>
          <w:tcPr>
            <w:tcW w:w="1165" w:type="dxa"/>
          </w:tcPr>
          <w:p w:rsidRPr="00FE67C1" w:rsidR="0039309D" w:rsidRDefault="0039309D" w14:paraId="7F77C3F6" w14:textId="77777777">
            <w:pPr>
              <w:rPr>
                <w:rFonts w:ascii="Palatino Linotype" w:hAnsi="Palatino Linotype" w:cs="Arial"/>
                <w:sz w:val="22"/>
                <w:szCs w:val="22"/>
              </w:rPr>
            </w:pPr>
            <w:r>
              <w:rPr>
                <w:rFonts w:ascii="Palatino Linotype" w:hAnsi="Palatino Linotype" w:cs="Arial"/>
                <w:sz w:val="22"/>
                <w:szCs w:val="22"/>
              </w:rPr>
              <w:t>Lg</w:t>
            </w:r>
            <w:r w:rsidRPr="00FE67C1">
              <w:rPr>
                <w:rFonts w:ascii="Palatino Linotype" w:hAnsi="Palatino Linotype" w:cs="Arial"/>
                <w:sz w:val="22"/>
                <w:szCs w:val="22"/>
              </w:rPr>
              <w:t xml:space="preserve"> Comm Equity Projected</w:t>
            </w:r>
          </w:p>
        </w:tc>
        <w:tc>
          <w:tcPr>
            <w:tcW w:w="670" w:type="dxa"/>
          </w:tcPr>
          <w:p w:rsidRPr="00FE67C1" w:rsidR="0039309D" w:rsidRDefault="0039309D" w14:paraId="30A5AA15" w14:textId="77777777">
            <w:pPr>
              <w:rPr>
                <w:rFonts w:ascii="Palatino Linotype" w:hAnsi="Palatino Linotype" w:cs="Arial"/>
                <w:sz w:val="22"/>
                <w:szCs w:val="22"/>
              </w:rPr>
            </w:pPr>
          </w:p>
        </w:tc>
        <w:tc>
          <w:tcPr>
            <w:tcW w:w="741" w:type="dxa"/>
          </w:tcPr>
          <w:p w:rsidRPr="00FE67C1" w:rsidR="0039309D" w:rsidRDefault="0039309D" w14:paraId="5E7AA8E4" w14:textId="77777777">
            <w:pPr>
              <w:rPr>
                <w:rFonts w:ascii="Palatino Linotype" w:hAnsi="Palatino Linotype" w:cs="Arial"/>
                <w:sz w:val="22"/>
                <w:szCs w:val="22"/>
              </w:rPr>
            </w:pPr>
          </w:p>
        </w:tc>
        <w:tc>
          <w:tcPr>
            <w:tcW w:w="741" w:type="dxa"/>
          </w:tcPr>
          <w:p w:rsidRPr="00FE67C1" w:rsidR="0039309D" w:rsidRDefault="0039309D" w14:paraId="22AE14B0" w14:textId="77777777">
            <w:pPr>
              <w:rPr>
                <w:rFonts w:ascii="Palatino Linotype" w:hAnsi="Palatino Linotype" w:cs="Arial"/>
                <w:sz w:val="22"/>
                <w:szCs w:val="22"/>
              </w:rPr>
            </w:pPr>
          </w:p>
        </w:tc>
        <w:tc>
          <w:tcPr>
            <w:tcW w:w="741" w:type="dxa"/>
          </w:tcPr>
          <w:p w:rsidRPr="00FE67C1" w:rsidR="0039309D" w:rsidRDefault="0039309D" w14:paraId="0B5C5FF5" w14:textId="77777777">
            <w:pPr>
              <w:rPr>
                <w:rFonts w:ascii="Palatino Linotype" w:hAnsi="Palatino Linotype" w:cs="Arial"/>
                <w:sz w:val="22"/>
                <w:szCs w:val="22"/>
              </w:rPr>
            </w:pPr>
          </w:p>
        </w:tc>
        <w:tc>
          <w:tcPr>
            <w:tcW w:w="741" w:type="dxa"/>
          </w:tcPr>
          <w:p w:rsidRPr="00FE67C1" w:rsidR="0039309D" w:rsidRDefault="0039309D" w14:paraId="71DA006F" w14:textId="77777777">
            <w:pPr>
              <w:rPr>
                <w:rFonts w:ascii="Palatino Linotype" w:hAnsi="Palatino Linotype" w:cs="Arial"/>
                <w:sz w:val="22"/>
                <w:szCs w:val="22"/>
              </w:rPr>
            </w:pPr>
          </w:p>
        </w:tc>
        <w:tc>
          <w:tcPr>
            <w:tcW w:w="741" w:type="dxa"/>
          </w:tcPr>
          <w:p w:rsidRPr="00FE67C1" w:rsidR="0039309D" w:rsidRDefault="0039309D" w14:paraId="534F98A3" w14:textId="77777777">
            <w:pPr>
              <w:rPr>
                <w:rFonts w:ascii="Palatino Linotype" w:hAnsi="Palatino Linotype" w:cs="Arial"/>
                <w:sz w:val="22"/>
                <w:szCs w:val="22"/>
              </w:rPr>
            </w:pPr>
          </w:p>
        </w:tc>
        <w:tc>
          <w:tcPr>
            <w:tcW w:w="741" w:type="dxa"/>
          </w:tcPr>
          <w:p w:rsidRPr="00FE67C1" w:rsidR="0039309D" w:rsidRDefault="0039309D" w14:paraId="2F9F77DD" w14:textId="77777777">
            <w:pPr>
              <w:rPr>
                <w:rFonts w:ascii="Palatino Linotype" w:hAnsi="Palatino Linotype" w:cs="Arial"/>
                <w:sz w:val="22"/>
                <w:szCs w:val="22"/>
              </w:rPr>
            </w:pPr>
          </w:p>
        </w:tc>
        <w:tc>
          <w:tcPr>
            <w:tcW w:w="741" w:type="dxa"/>
          </w:tcPr>
          <w:p w:rsidRPr="00FE67C1" w:rsidR="0039309D" w:rsidRDefault="0039309D" w14:paraId="13C61A2D" w14:textId="77777777">
            <w:pPr>
              <w:rPr>
                <w:rFonts w:ascii="Palatino Linotype" w:hAnsi="Palatino Linotype" w:cs="Arial"/>
                <w:sz w:val="22"/>
                <w:szCs w:val="22"/>
              </w:rPr>
            </w:pPr>
          </w:p>
        </w:tc>
        <w:tc>
          <w:tcPr>
            <w:tcW w:w="741" w:type="dxa"/>
          </w:tcPr>
          <w:p w:rsidRPr="00FE67C1" w:rsidR="0039309D" w:rsidRDefault="0039309D" w14:paraId="31E6EF5D" w14:textId="77777777">
            <w:pPr>
              <w:rPr>
                <w:rFonts w:ascii="Palatino Linotype" w:hAnsi="Palatino Linotype" w:cs="Arial"/>
                <w:sz w:val="22"/>
                <w:szCs w:val="22"/>
              </w:rPr>
            </w:pPr>
          </w:p>
        </w:tc>
        <w:tc>
          <w:tcPr>
            <w:tcW w:w="741" w:type="dxa"/>
          </w:tcPr>
          <w:p w:rsidRPr="00FE67C1" w:rsidR="0039309D" w:rsidRDefault="0039309D" w14:paraId="03799369" w14:textId="77777777">
            <w:pPr>
              <w:rPr>
                <w:rFonts w:ascii="Palatino Linotype" w:hAnsi="Palatino Linotype" w:cs="Arial"/>
                <w:sz w:val="22"/>
                <w:szCs w:val="22"/>
              </w:rPr>
            </w:pPr>
          </w:p>
        </w:tc>
        <w:tc>
          <w:tcPr>
            <w:tcW w:w="741" w:type="dxa"/>
          </w:tcPr>
          <w:p w:rsidRPr="00FE67C1" w:rsidR="0039309D" w:rsidRDefault="0039309D" w14:paraId="6A18E7B4" w14:textId="77777777">
            <w:pPr>
              <w:rPr>
                <w:rFonts w:ascii="Palatino Linotype" w:hAnsi="Palatino Linotype" w:cs="Arial"/>
                <w:sz w:val="22"/>
                <w:szCs w:val="22"/>
              </w:rPr>
            </w:pPr>
          </w:p>
        </w:tc>
        <w:tc>
          <w:tcPr>
            <w:tcW w:w="741" w:type="dxa"/>
          </w:tcPr>
          <w:p w:rsidRPr="00FE67C1" w:rsidR="0039309D" w:rsidRDefault="0039309D" w14:paraId="587DC5F2" w14:textId="77777777">
            <w:pPr>
              <w:rPr>
                <w:rFonts w:ascii="Palatino Linotype" w:hAnsi="Palatino Linotype" w:cs="Arial"/>
                <w:sz w:val="22"/>
                <w:szCs w:val="22"/>
              </w:rPr>
            </w:pPr>
          </w:p>
        </w:tc>
        <w:tc>
          <w:tcPr>
            <w:tcW w:w="741" w:type="dxa"/>
          </w:tcPr>
          <w:p w:rsidRPr="00FE67C1" w:rsidR="0039309D" w:rsidRDefault="0039309D" w14:paraId="6C1FC1C8" w14:textId="77777777">
            <w:pPr>
              <w:rPr>
                <w:rFonts w:ascii="Palatino Linotype" w:hAnsi="Palatino Linotype" w:cs="Arial"/>
                <w:sz w:val="22"/>
                <w:szCs w:val="22"/>
              </w:rPr>
            </w:pPr>
          </w:p>
        </w:tc>
        <w:tc>
          <w:tcPr>
            <w:tcW w:w="741" w:type="dxa"/>
          </w:tcPr>
          <w:p w:rsidRPr="00FE67C1" w:rsidR="0039309D" w:rsidRDefault="0039309D" w14:paraId="195A12F0" w14:textId="77777777">
            <w:pPr>
              <w:rPr>
                <w:rFonts w:ascii="Palatino Linotype" w:hAnsi="Palatino Linotype" w:cs="Arial"/>
                <w:sz w:val="22"/>
                <w:szCs w:val="22"/>
              </w:rPr>
            </w:pPr>
          </w:p>
        </w:tc>
        <w:tc>
          <w:tcPr>
            <w:tcW w:w="741" w:type="dxa"/>
          </w:tcPr>
          <w:p w:rsidRPr="00FE67C1" w:rsidR="0039309D" w:rsidRDefault="0039309D" w14:paraId="2F954FA4" w14:textId="77777777">
            <w:pPr>
              <w:rPr>
                <w:rFonts w:ascii="Palatino Linotype" w:hAnsi="Palatino Linotype" w:cs="Arial"/>
                <w:sz w:val="22"/>
                <w:szCs w:val="22"/>
              </w:rPr>
            </w:pPr>
          </w:p>
        </w:tc>
        <w:tc>
          <w:tcPr>
            <w:tcW w:w="741" w:type="dxa"/>
          </w:tcPr>
          <w:p w:rsidRPr="00FE67C1" w:rsidR="0039309D" w:rsidRDefault="0039309D" w14:paraId="0E1D00E0" w14:textId="77777777">
            <w:pPr>
              <w:rPr>
                <w:rFonts w:ascii="Palatino Linotype" w:hAnsi="Palatino Linotype" w:cs="Arial"/>
                <w:sz w:val="22"/>
                <w:szCs w:val="22"/>
              </w:rPr>
            </w:pPr>
          </w:p>
        </w:tc>
      </w:tr>
      <w:tr w:rsidR="0039309D" w14:paraId="633E5128" w14:textId="77777777">
        <w:tc>
          <w:tcPr>
            <w:tcW w:w="1165" w:type="dxa"/>
          </w:tcPr>
          <w:p w:rsidR="0039309D" w:rsidRDefault="0039309D" w14:paraId="58AADBEA" w14:textId="77777777">
            <w:pPr>
              <w:rPr>
                <w:rFonts w:ascii="Palatino Linotype" w:hAnsi="Palatino Linotype" w:cs="Arial"/>
                <w:sz w:val="22"/>
                <w:szCs w:val="22"/>
              </w:rPr>
            </w:pPr>
            <w:r>
              <w:rPr>
                <w:rFonts w:ascii="Palatino Linotype" w:hAnsi="Palatino Linotype" w:cs="Arial"/>
                <w:sz w:val="22"/>
                <w:szCs w:val="22"/>
              </w:rPr>
              <w:t>Lg</w:t>
            </w:r>
          </w:p>
          <w:p w:rsidRPr="00FE67C1" w:rsidR="0039309D" w:rsidRDefault="0039309D" w14:paraId="2DC39054" w14:textId="77777777">
            <w:pPr>
              <w:rPr>
                <w:rFonts w:ascii="Palatino Linotype" w:hAnsi="Palatino Linotype" w:cs="Arial"/>
                <w:sz w:val="22"/>
                <w:szCs w:val="22"/>
              </w:rPr>
            </w:pPr>
            <w:r w:rsidRPr="00FE67C1">
              <w:rPr>
                <w:rFonts w:ascii="Palatino Linotype" w:hAnsi="Palatino Linotype" w:cs="Arial"/>
                <w:sz w:val="22"/>
                <w:szCs w:val="22"/>
              </w:rPr>
              <w:t>Comm Equity Actual</w:t>
            </w:r>
          </w:p>
        </w:tc>
        <w:tc>
          <w:tcPr>
            <w:tcW w:w="670" w:type="dxa"/>
          </w:tcPr>
          <w:p w:rsidRPr="00FE67C1" w:rsidR="0039309D" w:rsidRDefault="0039309D" w14:paraId="4284A4B5" w14:textId="77777777">
            <w:pPr>
              <w:rPr>
                <w:rFonts w:ascii="Palatino Linotype" w:hAnsi="Palatino Linotype" w:cs="Arial"/>
                <w:sz w:val="22"/>
                <w:szCs w:val="22"/>
              </w:rPr>
            </w:pPr>
          </w:p>
        </w:tc>
        <w:tc>
          <w:tcPr>
            <w:tcW w:w="741" w:type="dxa"/>
          </w:tcPr>
          <w:p w:rsidRPr="00FE67C1" w:rsidR="0039309D" w:rsidRDefault="0039309D" w14:paraId="75AF8473" w14:textId="77777777">
            <w:pPr>
              <w:rPr>
                <w:rFonts w:ascii="Palatino Linotype" w:hAnsi="Palatino Linotype" w:cs="Arial"/>
                <w:sz w:val="22"/>
                <w:szCs w:val="22"/>
              </w:rPr>
            </w:pPr>
          </w:p>
        </w:tc>
        <w:tc>
          <w:tcPr>
            <w:tcW w:w="741" w:type="dxa"/>
          </w:tcPr>
          <w:p w:rsidRPr="00FE67C1" w:rsidR="0039309D" w:rsidRDefault="0039309D" w14:paraId="697921AB" w14:textId="77777777">
            <w:pPr>
              <w:rPr>
                <w:rFonts w:ascii="Palatino Linotype" w:hAnsi="Palatino Linotype" w:cs="Arial"/>
                <w:sz w:val="22"/>
                <w:szCs w:val="22"/>
              </w:rPr>
            </w:pPr>
          </w:p>
        </w:tc>
        <w:tc>
          <w:tcPr>
            <w:tcW w:w="741" w:type="dxa"/>
          </w:tcPr>
          <w:p w:rsidRPr="00FE67C1" w:rsidR="0039309D" w:rsidRDefault="0039309D" w14:paraId="670D7A8E" w14:textId="77777777">
            <w:pPr>
              <w:rPr>
                <w:rFonts w:ascii="Palatino Linotype" w:hAnsi="Palatino Linotype" w:cs="Arial"/>
                <w:sz w:val="22"/>
                <w:szCs w:val="22"/>
              </w:rPr>
            </w:pPr>
          </w:p>
        </w:tc>
        <w:tc>
          <w:tcPr>
            <w:tcW w:w="741" w:type="dxa"/>
          </w:tcPr>
          <w:p w:rsidRPr="00FE67C1" w:rsidR="0039309D" w:rsidRDefault="0039309D" w14:paraId="0B2386D6" w14:textId="77777777">
            <w:pPr>
              <w:rPr>
                <w:rFonts w:ascii="Palatino Linotype" w:hAnsi="Palatino Linotype" w:cs="Arial"/>
                <w:sz w:val="22"/>
                <w:szCs w:val="22"/>
              </w:rPr>
            </w:pPr>
          </w:p>
        </w:tc>
        <w:tc>
          <w:tcPr>
            <w:tcW w:w="741" w:type="dxa"/>
          </w:tcPr>
          <w:p w:rsidRPr="00FE67C1" w:rsidR="0039309D" w:rsidRDefault="0039309D" w14:paraId="6CF86CC6" w14:textId="77777777">
            <w:pPr>
              <w:rPr>
                <w:rFonts w:ascii="Palatino Linotype" w:hAnsi="Palatino Linotype" w:cs="Arial"/>
                <w:sz w:val="22"/>
                <w:szCs w:val="22"/>
              </w:rPr>
            </w:pPr>
          </w:p>
        </w:tc>
        <w:tc>
          <w:tcPr>
            <w:tcW w:w="741" w:type="dxa"/>
          </w:tcPr>
          <w:p w:rsidRPr="00FE67C1" w:rsidR="0039309D" w:rsidRDefault="0039309D" w14:paraId="1171C824" w14:textId="77777777">
            <w:pPr>
              <w:rPr>
                <w:rFonts w:ascii="Palatino Linotype" w:hAnsi="Palatino Linotype" w:cs="Arial"/>
                <w:sz w:val="22"/>
                <w:szCs w:val="22"/>
              </w:rPr>
            </w:pPr>
          </w:p>
        </w:tc>
        <w:tc>
          <w:tcPr>
            <w:tcW w:w="741" w:type="dxa"/>
          </w:tcPr>
          <w:p w:rsidRPr="00FE67C1" w:rsidR="0039309D" w:rsidRDefault="0039309D" w14:paraId="5517C93F" w14:textId="77777777">
            <w:pPr>
              <w:rPr>
                <w:rFonts w:ascii="Palatino Linotype" w:hAnsi="Palatino Linotype" w:cs="Arial"/>
                <w:sz w:val="22"/>
                <w:szCs w:val="22"/>
              </w:rPr>
            </w:pPr>
          </w:p>
        </w:tc>
        <w:tc>
          <w:tcPr>
            <w:tcW w:w="741" w:type="dxa"/>
          </w:tcPr>
          <w:p w:rsidRPr="00FE67C1" w:rsidR="0039309D" w:rsidRDefault="0039309D" w14:paraId="0C904A42" w14:textId="77777777">
            <w:pPr>
              <w:rPr>
                <w:rFonts w:ascii="Palatino Linotype" w:hAnsi="Palatino Linotype" w:cs="Arial"/>
                <w:sz w:val="22"/>
                <w:szCs w:val="22"/>
              </w:rPr>
            </w:pPr>
          </w:p>
        </w:tc>
        <w:tc>
          <w:tcPr>
            <w:tcW w:w="741" w:type="dxa"/>
          </w:tcPr>
          <w:p w:rsidRPr="00FE67C1" w:rsidR="0039309D" w:rsidRDefault="0039309D" w14:paraId="167D8DB0" w14:textId="77777777">
            <w:pPr>
              <w:rPr>
                <w:rFonts w:ascii="Palatino Linotype" w:hAnsi="Palatino Linotype" w:cs="Arial"/>
                <w:sz w:val="22"/>
                <w:szCs w:val="22"/>
              </w:rPr>
            </w:pPr>
          </w:p>
        </w:tc>
        <w:tc>
          <w:tcPr>
            <w:tcW w:w="741" w:type="dxa"/>
          </w:tcPr>
          <w:p w:rsidRPr="00FE67C1" w:rsidR="0039309D" w:rsidRDefault="0039309D" w14:paraId="69B145E4" w14:textId="77777777">
            <w:pPr>
              <w:rPr>
                <w:rFonts w:ascii="Palatino Linotype" w:hAnsi="Palatino Linotype" w:cs="Arial"/>
                <w:sz w:val="22"/>
                <w:szCs w:val="22"/>
              </w:rPr>
            </w:pPr>
          </w:p>
        </w:tc>
        <w:tc>
          <w:tcPr>
            <w:tcW w:w="741" w:type="dxa"/>
          </w:tcPr>
          <w:p w:rsidRPr="00FE67C1" w:rsidR="0039309D" w:rsidRDefault="0039309D" w14:paraId="50D33B6E" w14:textId="77777777">
            <w:pPr>
              <w:rPr>
                <w:rFonts w:ascii="Palatino Linotype" w:hAnsi="Palatino Linotype" w:cs="Arial"/>
                <w:sz w:val="22"/>
                <w:szCs w:val="22"/>
              </w:rPr>
            </w:pPr>
          </w:p>
        </w:tc>
        <w:tc>
          <w:tcPr>
            <w:tcW w:w="741" w:type="dxa"/>
          </w:tcPr>
          <w:p w:rsidRPr="00FE67C1" w:rsidR="0039309D" w:rsidRDefault="0039309D" w14:paraId="529BD19D" w14:textId="77777777">
            <w:pPr>
              <w:rPr>
                <w:rFonts w:ascii="Palatino Linotype" w:hAnsi="Palatino Linotype" w:cs="Arial"/>
                <w:sz w:val="22"/>
                <w:szCs w:val="22"/>
              </w:rPr>
            </w:pPr>
          </w:p>
        </w:tc>
        <w:tc>
          <w:tcPr>
            <w:tcW w:w="741" w:type="dxa"/>
          </w:tcPr>
          <w:p w:rsidRPr="00FE67C1" w:rsidR="0039309D" w:rsidRDefault="0039309D" w14:paraId="3EC54808" w14:textId="77777777">
            <w:pPr>
              <w:rPr>
                <w:rFonts w:ascii="Palatino Linotype" w:hAnsi="Palatino Linotype" w:cs="Arial"/>
                <w:sz w:val="22"/>
                <w:szCs w:val="22"/>
              </w:rPr>
            </w:pPr>
          </w:p>
        </w:tc>
        <w:tc>
          <w:tcPr>
            <w:tcW w:w="741" w:type="dxa"/>
          </w:tcPr>
          <w:p w:rsidRPr="00FE67C1" w:rsidR="0039309D" w:rsidRDefault="0039309D" w14:paraId="31692623" w14:textId="77777777">
            <w:pPr>
              <w:rPr>
                <w:rFonts w:ascii="Palatino Linotype" w:hAnsi="Palatino Linotype" w:cs="Arial"/>
                <w:sz w:val="22"/>
                <w:szCs w:val="22"/>
              </w:rPr>
            </w:pPr>
          </w:p>
        </w:tc>
        <w:tc>
          <w:tcPr>
            <w:tcW w:w="741" w:type="dxa"/>
          </w:tcPr>
          <w:p w:rsidRPr="00FE67C1" w:rsidR="0039309D" w:rsidRDefault="0039309D" w14:paraId="29E8CE47" w14:textId="77777777">
            <w:pPr>
              <w:rPr>
                <w:rFonts w:ascii="Palatino Linotype" w:hAnsi="Palatino Linotype" w:cs="Arial"/>
                <w:sz w:val="22"/>
                <w:szCs w:val="22"/>
              </w:rPr>
            </w:pPr>
          </w:p>
        </w:tc>
      </w:tr>
      <w:tr w:rsidR="0039309D" w14:paraId="35086A2A" w14:textId="77777777">
        <w:tc>
          <w:tcPr>
            <w:tcW w:w="1165" w:type="dxa"/>
          </w:tcPr>
          <w:p w:rsidRPr="00FE67C1" w:rsidR="0039309D" w:rsidRDefault="0039309D" w14:paraId="68BC63CA" w14:textId="77777777">
            <w:pPr>
              <w:rPr>
                <w:rFonts w:ascii="Palatino Linotype" w:hAnsi="Palatino Linotype" w:cs="Arial"/>
                <w:sz w:val="22"/>
                <w:szCs w:val="22"/>
              </w:rPr>
            </w:pPr>
            <w:r>
              <w:rPr>
                <w:rFonts w:ascii="Palatino Linotype" w:hAnsi="Palatino Linotype" w:cs="Arial"/>
                <w:sz w:val="22"/>
                <w:szCs w:val="22"/>
              </w:rPr>
              <w:t>Lg</w:t>
            </w:r>
            <w:r w:rsidRPr="00FE67C1">
              <w:rPr>
                <w:rFonts w:ascii="Palatino Linotype" w:hAnsi="Palatino Linotype" w:cs="Arial"/>
                <w:sz w:val="22"/>
                <w:szCs w:val="22"/>
              </w:rPr>
              <w:t xml:space="preserve"> Comm RA Projected</w:t>
            </w:r>
          </w:p>
        </w:tc>
        <w:tc>
          <w:tcPr>
            <w:tcW w:w="670" w:type="dxa"/>
          </w:tcPr>
          <w:p w:rsidRPr="00FE67C1" w:rsidR="0039309D" w:rsidRDefault="0039309D" w14:paraId="1E4D2AAE" w14:textId="77777777">
            <w:pPr>
              <w:rPr>
                <w:rFonts w:ascii="Palatino Linotype" w:hAnsi="Palatino Linotype" w:cs="Arial"/>
                <w:sz w:val="22"/>
                <w:szCs w:val="22"/>
              </w:rPr>
            </w:pPr>
          </w:p>
        </w:tc>
        <w:tc>
          <w:tcPr>
            <w:tcW w:w="741" w:type="dxa"/>
          </w:tcPr>
          <w:p w:rsidRPr="00FE67C1" w:rsidR="0039309D" w:rsidRDefault="0039309D" w14:paraId="116B1713" w14:textId="77777777">
            <w:pPr>
              <w:rPr>
                <w:rFonts w:ascii="Palatino Linotype" w:hAnsi="Palatino Linotype" w:cs="Arial"/>
                <w:sz w:val="22"/>
                <w:szCs w:val="22"/>
              </w:rPr>
            </w:pPr>
          </w:p>
        </w:tc>
        <w:tc>
          <w:tcPr>
            <w:tcW w:w="741" w:type="dxa"/>
          </w:tcPr>
          <w:p w:rsidRPr="00FE67C1" w:rsidR="0039309D" w:rsidRDefault="0039309D" w14:paraId="546100C7" w14:textId="77777777">
            <w:pPr>
              <w:rPr>
                <w:rFonts w:ascii="Palatino Linotype" w:hAnsi="Palatino Linotype" w:cs="Arial"/>
                <w:sz w:val="22"/>
                <w:szCs w:val="22"/>
              </w:rPr>
            </w:pPr>
          </w:p>
        </w:tc>
        <w:tc>
          <w:tcPr>
            <w:tcW w:w="741" w:type="dxa"/>
          </w:tcPr>
          <w:p w:rsidRPr="00FE67C1" w:rsidR="0039309D" w:rsidRDefault="0039309D" w14:paraId="2867BA12" w14:textId="77777777">
            <w:pPr>
              <w:rPr>
                <w:rFonts w:ascii="Palatino Linotype" w:hAnsi="Palatino Linotype" w:cs="Arial"/>
                <w:sz w:val="22"/>
                <w:szCs w:val="22"/>
              </w:rPr>
            </w:pPr>
          </w:p>
        </w:tc>
        <w:tc>
          <w:tcPr>
            <w:tcW w:w="741" w:type="dxa"/>
          </w:tcPr>
          <w:p w:rsidRPr="00FE67C1" w:rsidR="0039309D" w:rsidRDefault="0039309D" w14:paraId="2E5A0DF8" w14:textId="77777777">
            <w:pPr>
              <w:rPr>
                <w:rFonts w:ascii="Palatino Linotype" w:hAnsi="Palatino Linotype" w:cs="Arial"/>
                <w:sz w:val="22"/>
                <w:szCs w:val="22"/>
              </w:rPr>
            </w:pPr>
          </w:p>
        </w:tc>
        <w:tc>
          <w:tcPr>
            <w:tcW w:w="741" w:type="dxa"/>
          </w:tcPr>
          <w:p w:rsidRPr="00FE67C1" w:rsidR="0039309D" w:rsidRDefault="0039309D" w14:paraId="4FD6BD3B" w14:textId="77777777">
            <w:pPr>
              <w:rPr>
                <w:rFonts w:ascii="Palatino Linotype" w:hAnsi="Palatino Linotype" w:cs="Arial"/>
                <w:sz w:val="22"/>
                <w:szCs w:val="22"/>
              </w:rPr>
            </w:pPr>
          </w:p>
        </w:tc>
        <w:tc>
          <w:tcPr>
            <w:tcW w:w="741" w:type="dxa"/>
          </w:tcPr>
          <w:p w:rsidRPr="00FE67C1" w:rsidR="0039309D" w:rsidRDefault="0039309D" w14:paraId="7C266DFA" w14:textId="77777777">
            <w:pPr>
              <w:rPr>
                <w:rFonts w:ascii="Palatino Linotype" w:hAnsi="Palatino Linotype" w:cs="Arial"/>
                <w:sz w:val="22"/>
                <w:szCs w:val="22"/>
              </w:rPr>
            </w:pPr>
          </w:p>
        </w:tc>
        <w:tc>
          <w:tcPr>
            <w:tcW w:w="741" w:type="dxa"/>
          </w:tcPr>
          <w:p w:rsidRPr="00FE67C1" w:rsidR="0039309D" w:rsidRDefault="0039309D" w14:paraId="6955FF16" w14:textId="77777777">
            <w:pPr>
              <w:rPr>
                <w:rFonts w:ascii="Palatino Linotype" w:hAnsi="Palatino Linotype" w:cs="Arial"/>
                <w:sz w:val="22"/>
                <w:szCs w:val="22"/>
              </w:rPr>
            </w:pPr>
          </w:p>
        </w:tc>
        <w:tc>
          <w:tcPr>
            <w:tcW w:w="741" w:type="dxa"/>
          </w:tcPr>
          <w:p w:rsidRPr="00FE67C1" w:rsidR="0039309D" w:rsidRDefault="0039309D" w14:paraId="2327E528" w14:textId="77777777">
            <w:pPr>
              <w:rPr>
                <w:rFonts w:ascii="Palatino Linotype" w:hAnsi="Palatino Linotype" w:cs="Arial"/>
                <w:sz w:val="22"/>
                <w:szCs w:val="22"/>
              </w:rPr>
            </w:pPr>
          </w:p>
        </w:tc>
        <w:tc>
          <w:tcPr>
            <w:tcW w:w="741" w:type="dxa"/>
          </w:tcPr>
          <w:p w:rsidRPr="00FE67C1" w:rsidR="0039309D" w:rsidRDefault="0039309D" w14:paraId="4C8EF42A" w14:textId="77777777">
            <w:pPr>
              <w:rPr>
                <w:rFonts w:ascii="Palatino Linotype" w:hAnsi="Palatino Linotype" w:cs="Arial"/>
                <w:sz w:val="22"/>
                <w:szCs w:val="22"/>
              </w:rPr>
            </w:pPr>
          </w:p>
        </w:tc>
        <w:tc>
          <w:tcPr>
            <w:tcW w:w="741" w:type="dxa"/>
          </w:tcPr>
          <w:p w:rsidRPr="00FE67C1" w:rsidR="0039309D" w:rsidRDefault="0039309D" w14:paraId="2339D7C9" w14:textId="77777777">
            <w:pPr>
              <w:rPr>
                <w:rFonts w:ascii="Palatino Linotype" w:hAnsi="Palatino Linotype" w:cs="Arial"/>
                <w:sz w:val="22"/>
                <w:szCs w:val="22"/>
              </w:rPr>
            </w:pPr>
          </w:p>
        </w:tc>
        <w:tc>
          <w:tcPr>
            <w:tcW w:w="741" w:type="dxa"/>
          </w:tcPr>
          <w:p w:rsidRPr="00FE67C1" w:rsidR="0039309D" w:rsidRDefault="0039309D" w14:paraId="7D17FC67" w14:textId="77777777">
            <w:pPr>
              <w:rPr>
                <w:rFonts w:ascii="Palatino Linotype" w:hAnsi="Palatino Linotype" w:cs="Arial"/>
                <w:sz w:val="22"/>
                <w:szCs w:val="22"/>
              </w:rPr>
            </w:pPr>
          </w:p>
        </w:tc>
        <w:tc>
          <w:tcPr>
            <w:tcW w:w="741" w:type="dxa"/>
          </w:tcPr>
          <w:p w:rsidRPr="00FE67C1" w:rsidR="0039309D" w:rsidRDefault="0039309D" w14:paraId="1C3AF913" w14:textId="77777777">
            <w:pPr>
              <w:rPr>
                <w:rFonts w:ascii="Palatino Linotype" w:hAnsi="Palatino Linotype" w:cs="Arial"/>
                <w:sz w:val="22"/>
                <w:szCs w:val="22"/>
              </w:rPr>
            </w:pPr>
          </w:p>
        </w:tc>
        <w:tc>
          <w:tcPr>
            <w:tcW w:w="741" w:type="dxa"/>
          </w:tcPr>
          <w:p w:rsidRPr="00FE67C1" w:rsidR="0039309D" w:rsidRDefault="0039309D" w14:paraId="1D7218E8" w14:textId="77777777">
            <w:pPr>
              <w:rPr>
                <w:rFonts w:ascii="Palatino Linotype" w:hAnsi="Palatino Linotype" w:cs="Arial"/>
                <w:sz w:val="22"/>
                <w:szCs w:val="22"/>
              </w:rPr>
            </w:pPr>
          </w:p>
        </w:tc>
        <w:tc>
          <w:tcPr>
            <w:tcW w:w="741" w:type="dxa"/>
          </w:tcPr>
          <w:p w:rsidRPr="00FE67C1" w:rsidR="0039309D" w:rsidRDefault="0039309D" w14:paraId="3D324F4D" w14:textId="77777777">
            <w:pPr>
              <w:rPr>
                <w:rFonts w:ascii="Palatino Linotype" w:hAnsi="Palatino Linotype" w:cs="Arial"/>
                <w:sz w:val="22"/>
                <w:szCs w:val="22"/>
              </w:rPr>
            </w:pPr>
          </w:p>
        </w:tc>
        <w:tc>
          <w:tcPr>
            <w:tcW w:w="741" w:type="dxa"/>
          </w:tcPr>
          <w:p w:rsidRPr="00FE67C1" w:rsidR="0039309D" w:rsidRDefault="0039309D" w14:paraId="4E1920B4" w14:textId="77777777">
            <w:pPr>
              <w:rPr>
                <w:rFonts w:ascii="Palatino Linotype" w:hAnsi="Palatino Linotype" w:cs="Arial"/>
                <w:sz w:val="22"/>
                <w:szCs w:val="22"/>
              </w:rPr>
            </w:pPr>
          </w:p>
        </w:tc>
      </w:tr>
      <w:tr w:rsidR="0039309D" w14:paraId="37C31733" w14:textId="77777777">
        <w:tc>
          <w:tcPr>
            <w:tcW w:w="1165" w:type="dxa"/>
          </w:tcPr>
          <w:p w:rsidRPr="00FE67C1" w:rsidR="0039309D" w:rsidRDefault="0039309D" w14:paraId="1EDD9FC2" w14:textId="77777777">
            <w:pPr>
              <w:rPr>
                <w:rFonts w:ascii="Palatino Linotype" w:hAnsi="Palatino Linotype" w:cs="Arial"/>
                <w:sz w:val="22"/>
                <w:szCs w:val="22"/>
              </w:rPr>
            </w:pPr>
            <w:r>
              <w:rPr>
                <w:rFonts w:ascii="Palatino Linotype" w:hAnsi="Palatino Linotype" w:cs="Arial"/>
                <w:sz w:val="22"/>
                <w:szCs w:val="22"/>
              </w:rPr>
              <w:t>Lg</w:t>
            </w:r>
            <w:r w:rsidRPr="00FE67C1">
              <w:rPr>
                <w:rFonts w:ascii="Palatino Linotype" w:hAnsi="Palatino Linotype" w:cs="Arial"/>
                <w:sz w:val="22"/>
                <w:szCs w:val="22"/>
              </w:rPr>
              <w:t xml:space="preserve"> Comm RA Actual</w:t>
            </w:r>
          </w:p>
        </w:tc>
        <w:tc>
          <w:tcPr>
            <w:tcW w:w="670" w:type="dxa"/>
          </w:tcPr>
          <w:p w:rsidRPr="00FE67C1" w:rsidR="0039309D" w:rsidRDefault="0039309D" w14:paraId="3746886E" w14:textId="77777777">
            <w:pPr>
              <w:rPr>
                <w:rFonts w:ascii="Palatino Linotype" w:hAnsi="Palatino Linotype" w:cs="Arial"/>
                <w:sz w:val="22"/>
                <w:szCs w:val="22"/>
              </w:rPr>
            </w:pPr>
          </w:p>
        </w:tc>
        <w:tc>
          <w:tcPr>
            <w:tcW w:w="741" w:type="dxa"/>
          </w:tcPr>
          <w:p w:rsidRPr="00FE67C1" w:rsidR="0039309D" w:rsidRDefault="0039309D" w14:paraId="27ECAB38" w14:textId="77777777">
            <w:pPr>
              <w:rPr>
                <w:rFonts w:ascii="Palatino Linotype" w:hAnsi="Palatino Linotype" w:cs="Arial"/>
                <w:sz w:val="22"/>
                <w:szCs w:val="22"/>
              </w:rPr>
            </w:pPr>
          </w:p>
        </w:tc>
        <w:tc>
          <w:tcPr>
            <w:tcW w:w="741" w:type="dxa"/>
          </w:tcPr>
          <w:p w:rsidRPr="00FE67C1" w:rsidR="0039309D" w:rsidRDefault="0039309D" w14:paraId="3D715338" w14:textId="77777777">
            <w:pPr>
              <w:rPr>
                <w:rFonts w:ascii="Palatino Linotype" w:hAnsi="Palatino Linotype" w:cs="Arial"/>
                <w:sz w:val="22"/>
                <w:szCs w:val="22"/>
              </w:rPr>
            </w:pPr>
          </w:p>
        </w:tc>
        <w:tc>
          <w:tcPr>
            <w:tcW w:w="741" w:type="dxa"/>
          </w:tcPr>
          <w:p w:rsidRPr="00FE67C1" w:rsidR="0039309D" w:rsidRDefault="0039309D" w14:paraId="3F9256F2" w14:textId="77777777">
            <w:pPr>
              <w:rPr>
                <w:rFonts w:ascii="Palatino Linotype" w:hAnsi="Palatino Linotype" w:cs="Arial"/>
                <w:sz w:val="22"/>
                <w:szCs w:val="22"/>
              </w:rPr>
            </w:pPr>
          </w:p>
        </w:tc>
        <w:tc>
          <w:tcPr>
            <w:tcW w:w="741" w:type="dxa"/>
          </w:tcPr>
          <w:p w:rsidRPr="00FE67C1" w:rsidR="0039309D" w:rsidRDefault="0039309D" w14:paraId="6C1E6651" w14:textId="77777777">
            <w:pPr>
              <w:rPr>
                <w:rFonts w:ascii="Palatino Linotype" w:hAnsi="Palatino Linotype" w:cs="Arial"/>
                <w:sz w:val="22"/>
                <w:szCs w:val="22"/>
              </w:rPr>
            </w:pPr>
          </w:p>
        </w:tc>
        <w:tc>
          <w:tcPr>
            <w:tcW w:w="741" w:type="dxa"/>
          </w:tcPr>
          <w:p w:rsidRPr="00FE67C1" w:rsidR="0039309D" w:rsidRDefault="0039309D" w14:paraId="65481A8C" w14:textId="77777777">
            <w:pPr>
              <w:rPr>
                <w:rFonts w:ascii="Palatino Linotype" w:hAnsi="Palatino Linotype" w:cs="Arial"/>
                <w:sz w:val="22"/>
                <w:szCs w:val="22"/>
              </w:rPr>
            </w:pPr>
          </w:p>
        </w:tc>
        <w:tc>
          <w:tcPr>
            <w:tcW w:w="741" w:type="dxa"/>
          </w:tcPr>
          <w:p w:rsidRPr="00FE67C1" w:rsidR="0039309D" w:rsidRDefault="0039309D" w14:paraId="1A2F6712" w14:textId="77777777">
            <w:pPr>
              <w:rPr>
                <w:rFonts w:ascii="Palatino Linotype" w:hAnsi="Palatino Linotype" w:cs="Arial"/>
                <w:sz w:val="22"/>
                <w:szCs w:val="22"/>
              </w:rPr>
            </w:pPr>
          </w:p>
        </w:tc>
        <w:tc>
          <w:tcPr>
            <w:tcW w:w="741" w:type="dxa"/>
          </w:tcPr>
          <w:p w:rsidRPr="00FE67C1" w:rsidR="0039309D" w:rsidRDefault="0039309D" w14:paraId="2791DAD5" w14:textId="77777777">
            <w:pPr>
              <w:rPr>
                <w:rFonts w:ascii="Palatino Linotype" w:hAnsi="Palatino Linotype" w:cs="Arial"/>
                <w:sz w:val="22"/>
                <w:szCs w:val="22"/>
              </w:rPr>
            </w:pPr>
          </w:p>
        </w:tc>
        <w:tc>
          <w:tcPr>
            <w:tcW w:w="741" w:type="dxa"/>
          </w:tcPr>
          <w:p w:rsidRPr="00FE67C1" w:rsidR="0039309D" w:rsidRDefault="0039309D" w14:paraId="2184E72F" w14:textId="77777777">
            <w:pPr>
              <w:rPr>
                <w:rFonts w:ascii="Palatino Linotype" w:hAnsi="Palatino Linotype" w:cs="Arial"/>
                <w:sz w:val="22"/>
                <w:szCs w:val="22"/>
              </w:rPr>
            </w:pPr>
          </w:p>
        </w:tc>
        <w:tc>
          <w:tcPr>
            <w:tcW w:w="741" w:type="dxa"/>
          </w:tcPr>
          <w:p w:rsidRPr="00FE67C1" w:rsidR="0039309D" w:rsidRDefault="0039309D" w14:paraId="02A5CCB2" w14:textId="77777777">
            <w:pPr>
              <w:rPr>
                <w:rFonts w:ascii="Palatino Linotype" w:hAnsi="Palatino Linotype" w:cs="Arial"/>
                <w:sz w:val="22"/>
                <w:szCs w:val="22"/>
              </w:rPr>
            </w:pPr>
          </w:p>
        </w:tc>
        <w:tc>
          <w:tcPr>
            <w:tcW w:w="741" w:type="dxa"/>
          </w:tcPr>
          <w:p w:rsidRPr="00FE67C1" w:rsidR="0039309D" w:rsidRDefault="0039309D" w14:paraId="2DAA7B3E" w14:textId="77777777">
            <w:pPr>
              <w:rPr>
                <w:rFonts w:ascii="Palatino Linotype" w:hAnsi="Palatino Linotype" w:cs="Arial"/>
                <w:sz w:val="22"/>
                <w:szCs w:val="22"/>
              </w:rPr>
            </w:pPr>
          </w:p>
        </w:tc>
        <w:tc>
          <w:tcPr>
            <w:tcW w:w="741" w:type="dxa"/>
          </w:tcPr>
          <w:p w:rsidRPr="00FE67C1" w:rsidR="0039309D" w:rsidRDefault="0039309D" w14:paraId="0046C44F" w14:textId="77777777">
            <w:pPr>
              <w:rPr>
                <w:rFonts w:ascii="Palatino Linotype" w:hAnsi="Palatino Linotype" w:cs="Arial"/>
                <w:sz w:val="22"/>
                <w:szCs w:val="22"/>
              </w:rPr>
            </w:pPr>
          </w:p>
        </w:tc>
        <w:tc>
          <w:tcPr>
            <w:tcW w:w="741" w:type="dxa"/>
          </w:tcPr>
          <w:p w:rsidRPr="00FE67C1" w:rsidR="0039309D" w:rsidRDefault="0039309D" w14:paraId="35E5B975" w14:textId="77777777">
            <w:pPr>
              <w:rPr>
                <w:rFonts w:ascii="Palatino Linotype" w:hAnsi="Palatino Linotype" w:cs="Arial"/>
                <w:sz w:val="22"/>
                <w:szCs w:val="22"/>
              </w:rPr>
            </w:pPr>
          </w:p>
        </w:tc>
        <w:tc>
          <w:tcPr>
            <w:tcW w:w="741" w:type="dxa"/>
          </w:tcPr>
          <w:p w:rsidRPr="00FE67C1" w:rsidR="0039309D" w:rsidRDefault="0039309D" w14:paraId="49087E2B" w14:textId="77777777">
            <w:pPr>
              <w:rPr>
                <w:rFonts w:ascii="Palatino Linotype" w:hAnsi="Palatino Linotype" w:cs="Arial"/>
                <w:sz w:val="22"/>
                <w:szCs w:val="22"/>
              </w:rPr>
            </w:pPr>
          </w:p>
        </w:tc>
        <w:tc>
          <w:tcPr>
            <w:tcW w:w="741" w:type="dxa"/>
          </w:tcPr>
          <w:p w:rsidRPr="00FE67C1" w:rsidR="0039309D" w:rsidRDefault="0039309D" w14:paraId="65DD167A" w14:textId="77777777">
            <w:pPr>
              <w:rPr>
                <w:rFonts w:ascii="Palatino Linotype" w:hAnsi="Palatino Linotype" w:cs="Arial"/>
                <w:sz w:val="22"/>
                <w:szCs w:val="22"/>
              </w:rPr>
            </w:pPr>
          </w:p>
        </w:tc>
        <w:tc>
          <w:tcPr>
            <w:tcW w:w="741" w:type="dxa"/>
          </w:tcPr>
          <w:p w:rsidRPr="00FE67C1" w:rsidR="0039309D" w:rsidRDefault="0039309D" w14:paraId="6DB444DF" w14:textId="77777777">
            <w:pPr>
              <w:rPr>
                <w:rFonts w:ascii="Palatino Linotype" w:hAnsi="Palatino Linotype" w:cs="Arial"/>
                <w:sz w:val="22"/>
                <w:szCs w:val="22"/>
              </w:rPr>
            </w:pPr>
          </w:p>
        </w:tc>
      </w:tr>
      <w:tr w:rsidR="0039309D" w14:paraId="17F8CD59" w14:textId="77777777">
        <w:tc>
          <w:tcPr>
            <w:tcW w:w="1165" w:type="dxa"/>
          </w:tcPr>
          <w:p w:rsidRPr="00FE67C1" w:rsidR="0039309D" w:rsidRDefault="0039309D" w14:paraId="525DC07D" w14:textId="77777777">
            <w:pPr>
              <w:rPr>
                <w:rFonts w:ascii="Palatino Linotype" w:hAnsi="Palatino Linotype" w:cs="Arial"/>
                <w:sz w:val="22"/>
                <w:szCs w:val="22"/>
              </w:rPr>
            </w:pPr>
            <w:r>
              <w:rPr>
                <w:rFonts w:ascii="Palatino Linotype" w:hAnsi="Palatino Linotype" w:cs="Arial"/>
                <w:sz w:val="22"/>
                <w:szCs w:val="22"/>
              </w:rPr>
              <w:t>Ind</w:t>
            </w:r>
            <w:r w:rsidRPr="00FE67C1">
              <w:rPr>
                <w:rFonts w:ascii="Palatino Linotype" w:hAnsi="Palatino Linotype" w:cs="Arial"/>
                <w:sz w:val="22"/>
                <w:szCs w:val="22"/>
              </w:rPr>
              <w:t xml:space="preserve"> Equity Projected</w:t>
            </w:r>
          </w:p>
        </w:tc>
        <w:tc>
          <w:tcPr>
            <w:tcW w:w="670" w:type="dxa"/>
          </w:tcPr>
          <w:p w:rsidRPr="00FE67C1" w:rsidR="0039309D" w:rsidRDefault="0039309D" w14:paraId="71AE67C1" w14:textId="77777777">
            <w:pPr>
              <w:rPr>
                <w:rFonts w:ascii="Palatino Linotype" w:hAnsi="Palatino Linotype" w:cs="Arial"/>
                <w:sz w:val="22"/>
                <w:szCs w:val="22"/>
              </w:rPr>
            </w:pPr>
          </w:p>
        </w:tc>
        <w:tc>
          <w:tcPr>
            <w:tcW w:w="741" w:type="dxa"/>
          </w:tcPr>
          <w:p w:rsidRPr="00FE67C1" w:rsidR="0039309D" w:rsidRDefault="0039309D" w14:paraId="4ACF49FA" w14:textId="77777777">
            <w:pPr>
              <w:rPr>
                <w:rFonts w:ascii="Palatino Linotype" w:hAnsi="Palatino Linotype" w:cs="Arial"/>
                <w:sz w:val="22"/>
                <w:szCs w:val="22"/>
              </w:rPr>
            </w:pPr>
          </w:p>
        </w:tc>
        <w:tc>
          <w:tcPr>
            <w:tcW w:w="741" w:type="dxa"/>
          </w:tcPr>
          <w:p w:rsidRPr="00FE67C1" w:rsidR="0039309D" w:rsidRDefault="0039309D" w14:paraId="0D55E732" w14:textId="77777777">
            <w:pPr>
              <w:rPr>
                <w:rFonts w:ascii="Palatino Linotype" w:hAnsi="Palatino Linotype" w:cs="Arial"/>
                <w:sz w:val="22"/>
                <w:szCs w:val="22"/>
              </w:rPr>
            </w:pPr>
          </w:p>
        </w:tc>
        <w:tc>
          <w:tcPr>
            <w:tcW w:w="741" w:type="dxa"/>
          </w:tcPr>
          <w:p w:rsidRPr="00FE67C1" w:rsidR="0039309D" w:rsidRDefault="0039309D" w14:paraId="339327CE" w14:textId="77777777">
            <w:pPr>
              <w:rPr>
                <w:rFonts w:ascii="Palatino Linotype" w:hAnsi="Palatino Linotype" w:cs="Arial"/>
                <w:sz w:val="22"/>
                <w:szCs w:val="22"/>
              </w:rPr>
            </w:pPr>
          </w:p>
        </w:tc>
        <w:tc>
          <w:tcPr>
            <w:tcW w:w="741" w:type="dxa"/>
          </w:tcPr>
          <w:p w:rsidRPr="00FE67C1" w:rsidR="0039309D" w:rsidRDefault="0039309D" w14:paraId="2F6ADDFB" w14:textId="77777777">
            <w:pPr>
              <w:rPr>
                <w:rFonts w:ascii="Palatino Linotype" w:hAnsi="Palatino Linotype" w:cs="Arial"/>
                <w:sz w:val="22"/>
                <w:szCs w:val="22"/>
              </w:rPr>
            </w:pPr>
          </w:p>
        </w:tc>
        <w:tc>
          <w:tcPr>
            <w:tcW w:w="741" w:type="dxa"/>
          </w:tcPr>
          <w:p w:rsidRPr="00FE67C1" w:rsidR="0039309D" w:rsidRDefault="0039309D" w14:paraId="31D2BF59" w14:textId="77777777">
            <w:pPr>
              <w:rPr>
                <w:rFonts w:ascii="Palatino Linotype" w:hAnsi="Palatino Linotype" w:cs="Arial"/>
                <w:sz w:val="22"/>
                <w:szCs w:val="22"/>
              </w:rPr>
            </w:pPr>
          </w:p>
        </w:tc>
        <w:tc>
          <w:tcPr>
            <w:tcW w:w="741" w:type="dxa"/>
          </w:tcPr>
          <w:p w:rsidRPr="00FE67C1" w:rsidR="0039309D" w:rsidRDefault="0039309D" w14:paraId="7D039903" w14:textId="77777777">
            <w:pPr>
              <w:rPr>
                <w:rFonts w:ascii="Palatino Linotype" w:hAnsi="Palatino Linotype" w:cs="Arial"/>
                <w:sz w:val="22"/>
                <w:szCs w:val="22"/>
              </w:rPr>
            </w:pPr>
          </w:p>
        </w:tc>
        <w:tc>
          <w:tcPr>
            <w:tcW w:w="741" w:type="dxa"/>
          </w:tcPr>
          <w:p w:rsidRPr="00FE67C1" w:rsidR="0039309D" w:rsidRDefault="0039309D" w14:paraId="0E120692" w14:textId="77777777">
            <w:pPr>
              <w:rPr>
                <w:rFonts w:ascii="Palatino Linotype" w:hAnsi="Palatino Linotype" w:cs="Arial"/>
                <w:sz w:val="22"/>
                <w:szCs w:val="22"/>
              </w:rPr>
            </w:pPr>
          </w:p>
        </w:tc>
        <w:tc>
          <w:tcPr>
            <w:tcW w:w="741" w:type="dxa"/>
          </w:tcPr>
          <w:p w:rsidRPr="00FE67C1" w:rsidR="0039309D" w:rsidRDefault="0039309D" w14:paraId="6492D9E4" w14:textId="77777777">
            <w:pPr>
              <w:rPr>
                <w:rFonts w:ascii="Palatino Linotype" w:hAnsi="Palatino Linotype" w:cs="Arial"/>
                <w:sz w:val="22"/>
                <w:szCs w:val="22"/>
              </w:rPr>
            </w:pPr>
          </w:p>
        </w:tc>
        <w:tc>
          <w:tcPr>
            <w:tcW w:w="741" w:type="dxa"/>
          </w:tcPr>
          <w:p w:rsidRPr="00FE67C1" w:rsidR="0039309D" w:rsidRDefault="0039309D" w14:paraId="70BDEB46" w14:textId="77777777">
            <w:pPr>
              <w:rPr>
                <w:rFonts w:ascii="Palatino Linotype" w:hAnsi="Palatino Linotype" w:cs="Arial"/>
                <w:sz w:val="22"/>
                <w:szCs w:val="22"/>
              </w:rPr>
            </w:pPr>
          </w:p>
        </w:tc>
        <w:tc>
          <w:tcPr>
            <w:tcW w:w="741" w:type="dxa"/>
          </w:tcPr>
          <w:p w:rsidRPr="00FE67C1" w:rsidR="0039309D" w:rsidRDefault="0039309D" w14:paraId="40F7C867" w14:textId="77777777">
            <w:pPr>
              <w:rPr>
                <w:rFonts w:ascii="Palatino Linotype" w:hAnsi="Palatino Linotype" w:cs="Arial"/>
                <w:sz w:val="22"/>
                <w:szCs w:val="22"/>
              </w:rPr>
            </w:pPr>
          </w:p>
        </w:tc>
        <w:tc>
          <w:tcPr>
            <w:tcW w:w="741" w:type="dxa"/>
          </w:tcPr>
          <w:p w:rsidRPr="00FE67C1" w:rsidR="0039309D" w:rsidRDefault="0039309D" w14:paraId="7CCFE783" w14:textId="77777777">
            <w:pPr>
              <w:rPr>
                <w:rFonts w:ascii="Palatino Linotype" w:hAnsi="Palatino Linotype" w:cs="Arial"/>
                <w:sz w:val="22"/>
                <w:szCs w:val="22"/>
              </w:rPr>
            </w:pPr>
          </w:p>
        </w:tc>
        <w:tc>
          <w:tcPr>
            <w:tcW w:w="741" w:type="dxa"/>
          </w:tcPr>
          <w:p w:rsidRPr="00FE67C1" w:rsidR="0039309D" w:rsidRDefault="0039309D" w14:paraId="4EF19376" w14:textId="77777777">
            <w:pPr>
              <w:rPr>
                <w:rFonts w:ascii="Palatino Linotype" w:hAnsi="Palatino Linotype" w:cs="Arial"/>
                <w:sz w:val="22"/>
                <w:szCs w:val="22"/>
              </w:rPr>
            </w:pPr>
          </w:p>
        </w:tc>
        <w:tc>
          <w:tcPr>
            <w:tcW w:w="741" w:type="dxa"/>
          </w:tcPr>
          <w:p w:rsidRPr="00FE67C1" w:rsidR="0039309D" w:rsidRDefault="0039309D" w14:paraId="24B2EDE9" w14:textId="77777777">
            <w:pPr>
              <w:rPr>
                <w:rFonts w:ascii="Palatino Linotype" w:hAnsi="Palatino Linotype" w:cs="Arial"/>
                <w:sz w:val="22"/>
                <w:szCs w:val="22"/>
              </w:rPr>
            </w:pPr>
          </w:p>
        </w:tc>
        <w:tc>
          <w:tcPr>
            <w:tcW w:w="741" w:type="dxa"/>
          </w:tcPr>
          <w:p w:rsidRPr="00FE67C1" w:rsidR="0039309D" w:rsidRDefault="0039309D" w14:paraId="7F5DC787" w14:textId="77777777">
            <w:pPr>
              <w:rPr>
                <w:rFonts w:ascii="Palatino Linotype" w:hAnsi="Palatino Linotype" w:cs="Arial"/>
                <w:sz w:val="22"/>
                <w:szCs w:val="22"/>
              </w:rPr>
            </w:pPr>
          </w:p>
        </w:tc>
        <w:tc>
          <w:tcPr>
            <w:tcW w:w="741" w:type="dxa"/>
          </w:tcPr>
          <w:p w:rsidRPr="00FE67C1" w:rsidR="0039309D" w:rsidRDefault="0039309D" w14:paraId="4BBC759C" w14:textId="77777777">
            <w:pPr>
              <w:rPr>
                <w:rFonts w:ascii="Palatino Linotype" w:hAnsi="Palatino Linotype" w:cs="Arial"/>
                <w:sz w:val="22"/>
                <w:szCs w:val="22"/>
              </w:rPr>
            </w:pPr>
          </w:p>
        </w:tc>
      </w:tr>
      <w:tr w:rsidR="0039309D" w14:paraId="78F921DE" w14:textId="77777777">
        <w:tc>
          <w:tcPr>
            <w:tcW w:w="1165" w:type="dxa"/>
          </w:tcPr>
          <w:p w:rsidR="0039309D" w:rsidRDefault="0039309D" w14:paraId="3EEA837C" w14:textId="77777777">
            <w:pPr>
              <w:rPr>
                <w:rFonts w:ascii="Palatino Linotype" w:hAnsi="Palatino Linotype" w:cs="Arial"/>
                <w:sz w:val="22"/>
                <w:szCs w:val="22"/>
              </w:rPr>
            </w:pPr>
            <w:r>
              <w:rPr>
                <w:rFonts w:ascii="Palatino Linotype" w:hAnsi="Palatino Linotype" w:cs="Arial"/>
                <w:sz w:val="22"/>
                <w:szCs w:val="22"/>
              </w:rPr>
              <w:t>Ind</w:t>
            </w:r>
          </w:p>
          <w:p w:rsidRPr="00FE67C1" w:rsidR="0039309D" w:rsidRDefault="0039309D" w14:paraId="45C2EFB5" w14:textId="77777777">
            <w:pPr>
              <w:rPr>
                <w:rFonts w:ascii="Palatino Linotype" w:hAnsi="Palatino Linotype" w:cs="Arial"/>
                <w:sz w:val="22"/>
                <w:szCs w:val="22"/>
              </w:rPr>
            </w:pPr>
            <w:r w:rsidRPr="00FE67C1">
              <w:rPr>
                <w:rFonts w:ascii="Palatino Linotype" w:hAnsi="Palatino Linotype" w:cs="Arial"/>
                <w:sz w:val="22"/>
                <w:szCs w:val="22"/>
              </w:rPr>
              <w:t>Equity Actual</w:t>
            </w:r>
          </w:p>
        </w:tc>
        <w:tc>
          <w:tcPr>
            <w:tcW w:w="670" w:type="dxa"/>
          </w:tcPr>
          <w:p w:rsidRPr="00FE67C1" w:rsidR="0039309D" w:rsidRDefault="0039309D" w14:paraId="6272CD6A" w14:textId="77777777">
            <w:pPr>
              <w:rPr>
                <w:rFonts w:ascii="Palatino Linotype" w:hAnsi="Palatino Linotype" w:cs="Arial"/>
                <w:sz w:val="22"/>
                <w:szCs w:val="22"/>
              </w:rPr>
            </w:pPr>
          </w:p>
        </w:tc>
        <w:tc>
          <w:tcPr>
            <w:tcW w:w="741" w:type="dxa"/>
          </w:tcPr>
          <w:p w:rsidRPr="00FE67C1" w:rsidR="0039309D" w:rsidRDefault="0039309D" w14:paraId="693F5377" w14:textId="77777777">
            <w:pPr>
              <w:rPr>
                <w:rFonts w:ascii="Palatino Linotype" w:hAnsi="Palatino Linotype" w:cs="Arial"/>
                <w:sz w:val="22"/>
                <w:szCs w:val="22"/>
              </w:rPr>
            </w:pPr>
          </w:p>
        </w:tc>
        <w:tc>
          <w:tcPr>
            <w:tcW w:w="741" w:type="dxa"/>
          </w:tcPr>
          <w:p w:rsidRPr="00FE67C1" w:rsidR="0039309D" w:rsidRDefault="0039309D" w14:paraId="3D71F504" w14:textId="77777777">
            <w:pPr>
              <w:rPr>
                <w:rFonts w:ascii="Palatino Linotype" w:hAnsi="Palatino Linotype" w:cs="Arial"/>
                <w:sz w:val="22"/>
                <w:szCs w:val="22"/>
              </w:rPr>
            </w:pPr>
          </w:p>
        </w:tc>
        <w:tc>
          <w:tcPr>
            <w:tcW w:w="741" w:type="dxa"/>
          </w:tcPr>
          <w:p w:rsidRPr="00FE67C1" w:rsidR="0039309D" w:rsidRDefault="0039309D" w14:paraId="57D16CCC" w14:textId="77777777">
            <w:pPr>
              <w:rPr>
                <w:rFonts w:ascii="Palatino Linotype" w:hAnsi="Palatino Linotype" w:cs="Arial"/>
                <w:sz w:val="22"/>
                <w:szCs w:val="22"/>
              </w:rPr>
            </w:pPr>
          </w:p>
        </w:tc>
        <w:tc>
          <w:tcPr>
            <w:tcW w:w="741" w:type="dxa"/>
          </w:tcPr>
          <w:p w:rsidRPr="00FE67C1" w:rsidR="0039309D" w:rsidRDefault="0039309D" w14:paraId="1847BFDA" w14:textId="77777777">
            <w:pPr>
              <w:rPr>
                <w:rFonts w:ascii="Palatino Linotype" w:hAnsi="Palatino Linotype" w:cs="Arial"/>
                <w:sz w:val="22"/>
                <w:szCs w:val="22"/>
              </w:rPr>
            </w:pPr>
          </w:p>
        </w:tc>
        <w:tc>
          <w:tcPr>
            <w:tcW w:w="741" w:type="dxa"/>
          </w:tcPr>
          <w:p w:rsidRPr="00FE67C1" w:rsidR="0039309D" w:rsidRDefault="0039309D" w14:paraId="1397DDB3" w14:textId="77777777">
            <w:pPr>
              <w:rPr>
                <w:rFonts w:ascii="Palatino Linotype" w:hAnsi="Palatino Linotype" w:cs="Arial"/>
                <w:sz w:val="22"/>
                <w:szCs w:val="22"/>
              </w:rPr>
            </w:pPr>
          </w:p>
        </w:tc>
        <w:tc>
          <w:tcPr>
            <w:tcW w:w="741" w:type="dxa"/>
          </w:tcPr>
          <w:p w:rsidRPr="00FE67C1" w:rsidR="0039309D" w:rsidRDefault="0039309D" w14:paraId="4420C4CA" w14:textId="77777777">
            <w:pPr>
              <w:rPr>
                <w:rFonts w:ascii="Palatino Linotype" w:hAnsi="Palatino Linotype" w:cs="Arial"/>
                <w:sz w:val="22"/>
                <w:szCs w:val="22"/>
              </w:rPr>
            </w:pPr>
          </w:p>
        </w:tc>
        <w:tc>
          <w:tcPr>
            <w:tcW w:w="741" w:type="dxa"/>
          </w:tcPr>
          <w:p w:rsidRPr="00FE67C1" w:rsidR="0039309D" w:rsidRDefault="0039309D" w14:paraId="382A4C08" w14:textId="77777777">
            <w:pPr>
              <w:rPr>
                <w:rFonts w:ascii="Palatino Linotype" w:hAnsi="Palatino Linotype" w:cs="Arial"/>
                <w:sz w:val="22"/>
                <w:szCs w:val="22"/>
              </w:rPr>
            </w:pPr>
          </w:p>
        </w:tc>
        <w:tc>
          <w:tcPr>
            <w:tcW w:w="741" w:type="dxa"/>
          </w:tcPr>
          <w:p w:rsidRPr="00FE67C1" w:rsidR="0039309D" w:rsidRDefault="0039309D" w14:paraId="49B38FCB" w14:textId="77777777">
            <w:pPr>
              <w:rPr>
                <w:rFonts w:ascii="Palatino Linotype" w:hAnsi="Palatino Linotype" w:cs="Arial"/>
                <w:sz w:val="22"/>
                <w:szCs w:val="22"/>
              </w:rPr>
            </w:pPr>
          </w:p>
        </w:tc>
        <w:tc>
          <w:tcPr>
            <w:tcW w:w="741" w:type="dxa"/>
          </w:tcPr>
          <w:p w:rsidRPr="00FE67C1" w:rsidR="0039309D" w:rsidRDefault="0039309D" w14:paraId="08A04421" w14:textId="77777777">
            <w:pPr>
              <w:rPr>
                <w:rFonts w:ascii="Palatino Linotype" w:hAnsi="Palatino Linotype" w:cs="Arial"/>
                <w:sz w:val="22"/>
                <w:szCs w:val="22"/>
              </w:rPr>
            </w:pPr>
          </w:p>
        </w:tc>
        <w:tc>
          <w:tcPr>
            <w:tcW w:w="741" w:type="dxa"/>
          </w:tcPr>
          <w:p w:rsidRPr="00FE67C1" w:rsidR="0039309D" w:rsidRDefault="0039309D" w14:paraId="07625040" w14:textId="77777777">
            <w:pPr>
              <w:rPr>
                <w:rFonts w:ascii="Palatino Linotype" w:hAnsi="Palatino Linotype" w:cs="Arial"/>
                <w:sz w:val="22"/>
                <w:szCs w:val="22"/>
              </w:rPr>
            </w:pPr>
          </w:p>
        </w:tc>
        <w:tc>
          <w:tcPr>
            <w:tcW w:w="741" w:type="dxa"/>
          </w:tcPr>
          <w:p w:rsidRPr="00FE67C1" w:rsidR="0039309D" w:rsidRDefault="0039309D" w14:paraId="61AD6BCF" w14:textId="77777777">
            <w:pPr>
              <w:rPr>
                <w:rFonts w:ascii="Palatino Linotype" w:hAnsi="Palatino Linotype" w:cs="Arial"/>
                <w:sz w:val="22"/>
                <w:szCs w:val="22"/>
              </w:rPr>
            </w:pPr>
          </w:p>
        </w:tc>
        <w:tc>
          <w:tcPr>
            <w:tcW w:w="741" w:type="dxa"/>
          </w:tcPr>
          <w:p w:rsidRPr="00FE67C1" w:rsidR="0039309D" w:rsidRDefault="0039309D" w14:paraId="550DC5C1" w14:textId="77777777">
            <w:pPr>
              <w:rPr>
                <w:rFonts w:ascii="Palatino Linotype" w:hAnsi="Palatino Linotype" w:cs="Arial"/>
                <w:sz w:val="22"/>
                <w:szCs w:val="22"/>
              </w:rPr>
            </w:pPr>
          </w:p>
        </w:tc>
        <w:tc>
          <w:tcPr>
            <w:tcW w:w="741" w:type="dxa"/>
          </w:tcPr>
          <w:p w:rsidRPr="00FE67C1" w:rsidR="0039309D" w:rsidRDefault="0039309D" w14:paraId="0C6869FD" w14:textId="77777777">
            <w:pPr>
              <w:rPr>
                <w:rFonts w:ascii="Palatino Linotype" w:hAnsi="Palatino Linotype" w:cs="Arial"/>
                <w:sz w:val="22"/>
                <w:szCs w:val="22"/>
              </w:rPr>
            </w:pPr>
          </w:p>
        </w:tc>
        <w:tc>
          <w:tcPr>
            <w:tcW w:w="741" w:type="dxa"/>
          </w:tcPr>
          <w:p w:rsidRPr="00FE67C1" w:rsidR="0039309D" w:rsidRDefault="0039309D" w14:paraId="1CB6BF77" w14:textId="77777777">
            <w:pPr>
              <w:rPr>
                <w:rFonts w:ascii="Palatino Linotype" w:hAnsi="Palatino Linotype" w:cs="Arial"/>
                <w:sz w:val="22"/>
                <w:szCs w:val="22"/>
              </w:rPr>
            </w:pPr>
          </w:p>
        </w:tc>
        <w:tc>
          <w:tcPr>
            <w:tcW w:w="741" w:type="dxa"/>
          </w:tcPr>
          <w:p w:rsidRPr="00FE67C1" w:rsidR="0039309D" w:rsidRDefault="0039309D" w14:paraId="29DC06AF" w14:textId="77777777">
            <w:pPr>
              <w:rPr>
                <w:rFonts w:ascii="Palatino Linotype" w:hAnsi="Palatino Linotype" w:cs="Arial"/>
                <w:sz w:val="22"/>
                <w:szCs w:val="22"/>
              </w:rPr>
            </w:pPr>
          </w:p>
        </w:tc>
      </w:tr>
      <w:tr w:rsidR="0039309D" w14:paraId="1F44C240" w14:textId="77777777">
        <w:tc>
          <w:tcPr>
            <w:tcW w:w="1165" w:type="dxa"/>
          </w:tcPr>
          <w:p w:rsidRPr="00FE67C1" w:rsidR="0039309D" w:rsidRDefault="0039309D" w14:paraId="089527A1" w14:textId="77777777">
            <w:pPr>
              <w:rPr>
                <w:rFonts w:ascii="Palatino Linotype" w:hAnsi="Palatino Linotype" w:cs="Arial"/>
                <w:sz w:val="22"/>
                <w:szCs w:val="22"/>
              </w:rPr>
            </w:pPr>
            <w:r>
              <w:rPr>
                <w:rFonts w:ascii="Palatino Linotype" w:hAnsi="Palatino Linotype" w:cs="Arial"/>
                <w:sz w:val="22"/>
                <w:szCs w:val="22"/>
              </w:rPr>
              <w:t>Ind</w:t>
            </w:r>
            <w:r w:rsidRPr="00FE67C1">
              <w:rPr>
                <w:rFonts w:ascii="Palatino Linotype" w:hAnsi="Palatino Linotype" w:cs="Arial"/>
                <w:sz w:val="22"/>
                <w:szCs w:val="22"/>
              </w:rPr>
              <w:t xml:space="preserve"> RA Projected</w:t>
            </w:r>
          </w:p>
        </w:tc>
        <w:tc>
          <w:tcPr>
            <w:tcW w:w="670" w:type="dxa"/>
          </w:tcPr>
          <w:p w:rsidRPr="00FE67C1" w:rsidR="0039309D" w:rsidRDefault="0039309D" w14:paraId="5D1E0734" w14:textId="77777777">
            <w:pPr>
              <w:rPr>
                <w:rFonts w:ascii="Palatino Linotype" w:hAnsi="Palatino Linotype" w:cs="Arial"/>
                <w:sz w:val="22"/>
                <w:szCs w:val="22"/>
              </w:rPr>
            </w:pPr>
          </w:p>
        </w:tc>
        <w:tc>
          <w:tcPr>
            <w:tcW w:w="741" w:type="dxa"/>
          </w:tcPr>
          <w:p w:rsidRPr="00FE67C1" w:rsidR="0039309D" w:rsidRDefault="0039309D" w14:paraId="64074D2D" w14:textId="77777777">
            <w:pPr>
              <w:rPr>
                <w:rFonts w:ascii="Palatino Linotype" w:hAnsi="Palatino Linotype" w:cs="Arial"/>
                <w:sz w:val="22"/>
                <w:szCs w:val="22"/>
              </w:rPr>
            </w:pPr>
          </w:p>
        </w:tc>
        <w:tc>
          <w:tcPr>
            <w:tcW w:w="741" w:type="dxa"/>
          </w:tcPr>
          <w:p w:rsidRPr="00FE67C1" w:rsidR="0039309D" w:rsidRDefault="0039309D" w14:paraId="072897C9" w14:textId="77777777">
            <w:pPr>
              <w:rPr>
                <w:rFonts w:ascii="Palatino Linotype" w:hAnsi="Palatino Linotype" w:cs="Arial"/>
                <w:sz w:val="22"/>
                <w:szCs w:val="22"/>
              </w:rPr>
            </w:pPr>
          </w:p>
        </w:tc>
        <w:tc>
          <w:tcPr>
            <w:tcW w:w="741" w:type="dxa"/>
          </w:tcPr>
          <w:p w:rsidRPr="00FE67C1" w:rsidR="0039309D" w:rsidRDefault="0039309D" w14:paraId="3B53A4BB" w14:textId="77777777">
            <w:pPr>
              <w:rPr>
                <w:rFonts w:ascii="Palatino Linotype" w:hAnsi="Palatino Linotype" w:cs="Arial"/>
                <w:sz w:val="22"/>
                <w:szCs w:val="22"/>
              </w:rPr>
            </w:pPr>
          </w:p>
        </w:tc>
        <w:tc>
          <w:tcPr>
            <w:tcW w:w="741" w:type="dxa"/>
          </w:tcPr>
          <w:p w:rsidRPr="00FE67C1" w:rsidR="0039309D" w:rsidRDefault="0039309D" w14:paraId="12E361F1" w14:textId="77777777">
            <w:pPr>
              <w:rPr>
                <w:rFonts w:ascii="Palatino Linotype" w:hAnsi="Palatino Linotype" w:cs="Arial"/>
                <w:sz w:val="22"/>
                <w:szCs w:val="22"/>
              </w:rPr>
            </w:pPr>
          </w:p>
        </w:tc>
        <w:tc>
          <w:tcPr>
            <w:tcW w:w="741" w:type="dxa"/>
          </w:tcPr>
          <w:p w:rsidRPr="00FE67C1" w:rsidR="0039309D" w:rsidRDefault="0039309D" w14:paraId="38312362" w14:textId="77777777">
            <w:pPr>
              <w:rPr>
                <w:rFonts w:ascii="Palatino Linotype" w:hAnsi="Palatino Linotype" w:cs="Arial"/>
                <w:sz w:val="22"/>
                <w:szCs w:val="22"/>
              </w:rPr>
            </w:pPr>
          </w:p>
        </w:tc>
        <w:tc>
          <w:tcPr>
            <w:tcW w:w="741" w:type="dxa"/>
          </w:tcPr>
          <w:p w:rsidRPr="00FE67C1" w:rsidR="0039309D" w:rsidRDefault="0039309D" w14:paraId="50272F5B" w14:textId="77777777">
            <w:pPr>
              <w:rPr>
                <w:rFonts w:ascii="Palatino Linotype" w:hAnsi="Palatino Linotype" w:cs="Arial"/>
                <w:sz w:val="22"/>
                <w:szCs w:val="22"/>
              </w:rPr>
            </w:pPr>
          </w:p>
        </w:tc>
        <w:tc>
          <w:tcPr>
            <w:tcW w:w="741" w:type="dxa"/>
          </w:tcPr>
          <w:p w:rsidRPr="00FE67C1" w:rsidR="0039309D" w:rsidRDefault="0039309D" w14:paraId="0A509E36" w14:textId="77777777">
            <w:pPr>
              <w:rPr>
                <w:rFonts w:ascii="Palatino Linotype" w:hAnsi="Palatino Linotype" w:cs="Arial"/>
                <w:sz w:val="22"/>
                <w:szCs w:val="22"/>
              </w:rPr>
            </w:pPr>
          </w:p>
        </w:tc>
        <w:tc>
          <w:tcPr>
            <w:tcW w:w="741" w:type="dxa"/>
          </w:tcPr>
          <w:p w:rsidRPr="00FE67C1" w:rsidR="0039309D" w:rsidRDefault="0039309D" w14:paraId="51D24386" w14:textId="77777777">
            <w:pPr>
              <w:rPr>
                <w:rFonts w:ascii="Palatino Linotype" w:hAnsi="Palatino Linotype" w:cs="Arial"/>
                <w:sz w:val="22"/>
                <w:szCs w:val="22"/>
              </w:rPr>
            </w:pPr>
          </w:p>
        </w:tc>
        <w:tc>
          <w:tcPr>
            <w:tcW w:w="741" w:type="dxa"/>
          </w:tcPr>
          <w:p w:rsidRPr="00FE67C1" w:rsidR="0039309D" w:rsidRDefault="0039309D" w14:paraId="0A755794" w14:textId="77777777">
            <w:pPr>
              <w:rPr>
                <w:rFonts w:ascii="Palatino Linotype" w:hAnsi="Palatino Linotype" w:cs="Arial"/>
                <w:sz w:val="22"/>
                <w:szCs w:val="22"/>
              </w:rPr>
            </w:pPr>
          </w:p>
        </w:tc>
        <w:tc>
          <w:tcPr>
            <w:tcW w:w="741" w:type="dxa"/>
          </w:tcPr>
          <w:p w:rsidRPr="00FE67C1" w:rsidR="0039309D" w:rsidRDefault="0039309D" w14:paraId="52AD91D2" w14:textId="77777777">
            <w:pPr>
              <w:rPr>
                <w:rFonts w:ascii="Palatino Linotype" w:hAnsi="Palatino Linotype" w:cs="Arial"/>
                <w:sz w:val="22"/>
                <w:szCs w:val="22"/>
              </w:rPr>
            </w:pPr>
          </w:p>
        </w:tc>
        <w:tc>
          <w:tcPr>
            <w:tcW w:w="741" w:type="dxa"/>
          </w:tcPr>
          <w:p w:rsidRPr="00FE67C1" w:rsidR="0039309D" w:rsidRDefault="0039309D" w14:paraId="67C002F3" w14:textId="77777777">
            <w:pPr>
              <w:rPr>
                <w:rFonts w:ascii="Palatino Linotype" w:hAnsi="Palatino Linotype" w:cs="Arial"/>
                <w:sz w:val="22"/>
                <w:szCs w:val="22"/>
              </w:rPr>
            </w:pPr>
          </w:p>
        </w:tc>
        <w:tc>
          <w:tcPr>
            <w:tcW w:w="741" w:type="dxa"/>
          </w:tcPr>
          <w:p w:rsidRPr="00FE67C1" w:rsidR="0039309D" w:rsidRDefault="0039309D" w14:paraId="4C3E0010" w14:textId="77777777">
            <w:pPr>
              <w:rPr>
                <w:rFonts w:ascii="Palatino Linotype" w:hAnsi="Palatino Linotype" w:cs="Arial"/>
                <w:sz w:val="22"/>
                <w:szCs w:val="22"/>
              </w:rPr>
            </w:pPr>
          </w:p>
        </w:tc>
        <w:tc>
          <w:tcPr>
            <w:tcW w:w="741" w:type="dxa"/>
          </w:tcPr>
          <w:p w:rsidRPr="00FE67C1" w:rsidR="0039309D" w:rsidRDefault="0039309D" w14:paraId="01955336" w14:textId="77777777">
            <w:pPr>
              <w:rPr>
                <w:rFonts w:ascii="Palatino Linotype" w:hAnsi="Palatino Linotype" w:cs="Arial"/>
                <w:sz w:val="22"/>
                <w:szCs w:val="22"/>
              </w:rPr>
            </w:pPr>
          </w:p>
        </w:tc>
        <w:tc>
          <w:tcPr>
            <w:tcW w:w="741" w:type="dxa"/>
          </w:tcPr>
          <w:p w:rsidRPr="00FE67C1" w:rsidR="0039309D" w:rsidRDefault="0039309D" w14:paraId="58A5F996" w14:textId="77777777">
            <w:pPr>
              <w:rPr>
                <w:rFonts w:ascii="Palatino Linotype" w:hAnsi="Palatino Linotype" w:cs="Arial"/>
                <w:sz w:val="22"/>
                <w:szCs w:val="22"/>
              </w:rPr>
            </w:pPr>
          </w:p>
        </w:tc>
        <w:tc>
          <w:tcPr>
            <w:tcW w:w="741" w:type="dxa"/>
          </w:tcPr>
          <w:p w:rsidRPr="00FE67C1" w:rsidR="0039309D" w:rsidRDefault="0039309D" w14:paraId="7264C775" w14:textId="77777777">
            <w:pPr>
              <w:rPr>
                <w:rFonts w:ascii="Palatino Linotype" w:hAnsi="Palatino Linotype" w:cs="Arial"/>
                <w:sz w:val="22"/>
                <w:szCs w:val="22"/>
              </w:rPr>
            </w:pPr>
          </w:p>
        </w:tc>
      </w:tr>
      <w:tr w:rsidR="0039309D" w14:paraId="2C9CAADF" w14:textId="77777777">
        <w:tc>
          <w:tcPr>
            <w:tcW w:w="1165" w:type="dxa"/>
          </w:tcPr>
          <w:p w:rsidRPr="00FE67C1" w:rsidR="0039309D" w:rsidRDefault="0039309D" w14:paraId="2BDCD6B6" w14:textId="77777777">
            <w:pPr>
              <w:rPr>
                <w:rFonts w:ascii="Palatino Linotype" w:hAnsi="Palatino Linotype" w:cs="Arial"/>
                <w:sz w:val="22"/>
                <w:szCs w:val="22"/>
              </w:rPr>
            </w:pPr>
            <w:r>
              <w:rPr>
                <w:rFonts w:ascii="Palatino Linotype" w:hAnsi="Palatino Linotype" w:cs="Arial"/>
                <w:sz w:val="22"/>
                <w:szCs w:val="22"/>
              </w:rPr>
              <w:t>Ind</w:t>
            </w:r>
            <w:r w:rsidRPr="00FE67C1">
              <w:rPr>
                <w:rFonts w:ascii="Palatino Linotype" w:hAnsi="Palatino Linotype" w:cs="Arial"/>
                <w:sz w:val="22"/>
                <w:szCs w:val="22"/>
              </w:rPr>
              <w:t xml:space="preserve"> RA Actual</w:t>
            </w:r>
          </w:p>
        </w:tc>
        <w:tc>
          <w:tcPr>
            <w:tcW w:w="670" w:type="dxa"/>
          </w:tcPr>
          <w:p w:rsidRPr="00FE67C1" w:rsidR="0039309D" w:rsidRDefault="0039309D" w14:paraId="5225C634" w14:textId="77777777">
            <w:pPr>
              <w:rPr>
                <w:rFonts w:ascii="Palatino Linotype" w:hAnsi="Palatino Linotype" w:cs="Arial"/>
                <w:sz w:val="22"/>
                <w:szCs w:val="22"/>
              </w:rPr>
            </w:pPr>
          </w:p>
        </w:tc>
        <w:tc>
          <w:tcPr>
            <w:tcW w:w="741" w:type="dxa"/>
          </w:tcPr>
          <w:p w:rsidRPr="00FE67C1" w:rsidR="0039309D" w:rsidRDefault="0039309D" w14:paraId="0E319AAD" w14:textId="77777777">
            <w:pPr>
              <w:rPr>
                <w:rFonts w:ascii="Palatino Linotype" w:hAnsi="Palatino Linotype" w:cs="Arial"/>
                <w:sz w:val="22"/>
                <w:szCs w:val="22"/>
              </w:rPr>
            </w:pPr>
          </w:p>
        </w:tc>
        <w:tc>
          <w:tcPr>
            <w:tcW w:w="741" w:type="dxa"/>
          </w:tcPr>
          <w:p w:rsidRPr="00FE67C1" w:rsidR="0039309D" w:rsidRDefault="0039309D" w14:paraId="200793E6" w14:textId="77777777">
            <w:pPr>
              <w:rPr>
                <w:rFonts w:ascii="Palatino Linotype" w:hAnsi="Palatino Linotype" w:cs="Arial"/>
                <w:sz w:val="22"/>
                <w:szCs w:val="22"/>
              </w:rPr>
            </w:pPr>
          </w:p>
        </w:tc>
        <w:tc>
          <w:tcPr>
            <w:tcW w:w="741" w:type="dxa"/>
          </w:tcPr>
          <w:p w:rsidRPr="00FE67C1" w:rsidR="0039309D" w:rsidRDefault="0039309D" w14:paraId="5DC1A91B" w14:textId="77777777">
            <w:pPr>
              <w:rPr>
                <w:rFonts w:ascii="Palatino Linotype" w:hAnsi="Palatino Linotype" w:cs="Arial"/>
                <w:sz w:val="22"/>
                <w:szCs w:val="22"/>
              </w:rPr>
            </w:pPr>
          </w:p>
        </w:tc>
        <w:tc>
          <w:tcPr>
            <w:tcW w:w="741" w:type="dxa"/>
          </w:tcPr>
          <w:p w:rsidRPr="00FE67C1" w:rsidR="0039309D" w:rsidRDefault="0039309D" w14:paraId="698166BE" w14:textId="77777777">
            <w:pPr>
              <w:rPr>
                <w:rFonts w:ascii="Palatino Linotype" w:hAnsi="Palatino Linotype" w:cs="Arial"/>
                <w:sz w:val="22"/>
                <w:szCs w:val="22"/>
              </w:rPr>
            </w:pPr>
          </w:p>
        </w:tc>
        <w:tc>
          <w:tcPr>
            <w:tcW w:w="741" w:type="dxa"/>
          </w:tcPr>
          <w:p w:rsidRPr="00FE67C1" w:rsidR="0039309D" w:rsidRDefault="0039309D" w14:paraId="244F837B" w14:textId="77777777">
            <w:pPr>
              <w:rPr>
                <w:rFonts w:ascii="Palatino Linotype" w:hAnsi="Palatino Linotype" w:cs="Arial"/>
                <w:sz w:val="22"/>
                <w:szCs w:val="22"/>
              </w:rPr>
            </w:pPr>
          </w:p>
        </w:tc>
        <w:tc>
          <w:tcPr>
            <w:tcW w:w="741" w:type="dxa"/>
          </w:tcPr>
          <w:p w:rsidRPr="00FE67C1" w:rsidR="0039309D" w:rsidRDefault="0039309D" w14:paraId="1973D436" w14:textId="77777777">
            <w:pPr>
              <w:rPr>
                <w:rFonts w:ascii="Palatino Linotype" w:hAnsi="Palatino Linotype" w:cs="Arial"/>
                <w:sz w:val="22"/>
                <w:szCs w:val="22"/>
              </w:rPr>
            </w:pPr>
          </w:p>
        </w:tc>
        <w:tc>
          <w:tcPr>
            <w:tcW w:w="741" w:type="dxa"/>
          </w:tcPr>
          <w:p w:rsidRPr="00FE67C1" w:rsidR="0039309D" w:rsidRDefault="0039309D" w14:paraId="0BA0DCE2" w14:textId="77777777">
            <w:pPr>
              <w:rPr>
                <w:rFonts w:ascii="Palatino Linotype" w:hAnsi="Palatino Linotype" w:cs="Arial"/>
                <w:sz w:val="22"/>
                <w:szCs w:val="22"/>
              </w:rPr>
            </w:pPr>
          </w:p>
        </w:tc>
        <w:tc>
          <w:tcPr>
            <w:tcW w:w="741" w:type="dxa"/>
          </w:tcPr>
          <w:p w:rsidRPr="00FE67C1" w:rsidR="0039309D" w:rsidRDefault="0039309D" w14:paraId="35468598" w14:textId="77777777">
            <w:pPr>
              <w:rPr>
                <w:rFonts w:ascii="Palatino Linotype" w:hAnsi="Palatino Linotype" w:cs="Arial"/>
                <w:sz w:val="22"/>
                <w:szCs w:val="22"/>
              </w:rPr>
            </w:pPr>
          </w:p>
        </w:tc>
        <w:tc>
          <w:tcPr>
            <w:tcW w:w="741" w:type="dxa"/>
          </w:tcPr>
          <w:p w:rsidRPr="00FE67C1" w:rsidR="0039309D" w:rsidRDefault="0039309D" w14:paraId="6D7FFA99" w14:textId="77777777">
            <w:pPr>
              <w:rPr>
                <w:rFonts w:ascii="Palatino Linotype" w:hAnsi="Palatino Linotype" w:cs="Arial"/>
                <w:sz w:val="22"/>
                <w:szCs w:val="22"/>
              </w:rPr>
            </w:pPr>
          </w:p>
        </w:tc>
        <w:tc>
          <w:tcPr>
            <w:tcW w:w="741" w:type="dxa"/>
          </w:tcPr>
          <w:p w:rsidRPr="00FE67C1" w:rsidR="0039309D" w:rsidRDefault="0039309D" w14:paraId="61BDAC60" w14:textId="77777777">
            <w:pPr>
              <w:rPr>
                <w:rFonts w:ascii="Palatino Linotype" w:hAnsi="Palatino Linotype" w:cs="Arial"/>
                <w:sz w:val="22"/>
                <w:szCs w:val="22"/>
              </w:rPr>
            </w:pPr>
          </w:p>
        </w:tc>
        <w:tc>
          <w:tcPr>
            <w:tcW w:w="741" w:type="dxa"/>
          </w:tcPr>
          <w:p w:rsidRPr="00FE67C1" w:rsidR="0039309D" w:rsidRDefault="0039309D" w14:paraId="448AD530" w14:textId="77777777">
            <w:pPr>
              <w:rPr>
                <w:rFonts w:ascii="Palatino Linotype" w:hAnsi="Palatino Linotype" w:cs="Arial"/>
                <w:sz w:val="22"/>
                <w:szCs w:val="22"/>
              </w:rPr>
            </w:pPr>
          </w:p>
        </w:tc>
        <w:tc>
          <w:tcPr>
            <w:tcW w:w="741" w:type="dxa"/>
          </w:tcPr>
          <w:p w:rsidRPr="00FE67C1" w:rsidR="0039309D" w:rsidRDefault="0039309D" w14:paraId="1D216503" w14:textId="77777777">
            <w:pPr>
              <w:rPr>
                <w:rFonts w:ascii="Palatino Linotype" w:hAnsi="Palatino Linotype" w:cs="Arial"/>
                <w:sz w:val="22"/>
                <w:szCs w:val="22"/>
              </w:rPr>
            </w:pPr>
          </w:p>
        </w:tc>
        <w:tc>
          <w:tcPr>
            <w:tcW w:w="741" w:type="dxa"/>
          </w:tcPr>
          <w:p w:rsidRPr="00FE67C1" w:rsidR="0039309D" w:rsidRDefault="0039309D" w14:paraId="252CDE03" w14:textId="77777777">
            <w:pPr>
              <w:rPr>
                <w:rFonts w:ascii="Palatino Linotype" w:hAnsi="Palatino Linotype" w:cs="Arial"/>
                <w:sz w:val="22"/>
                <w:szCs w:val="22"/>
              </w:rPr>
            </w:pPr>
          </w:p>
        </w:tc>
        <w:tc>
          <w:tcPr>
            <w:tcW w:w="741" w:type="dxa"/>
          </w:tcPr>
          <w:p w:rsidRPr="00FE67C1" w:rsidR="0039309D" w:rsidRDefault="0039309D" w14:paraId="454DDC3A" w14:textId="77777777">
            <w:pPr>
              <w:rPr>
                <w:rFonts w:ascii="Palatino Linotype" w:hAnsi="Palatino Linotype" w:cs="Arial"/>
                <w:sz w:val="22"/>
                <w:szCs w:val="22"/>
              </w:rPr>
            </w:pPr>
          </w:p>
        </w:tc>
        <w:tc>
          <w:tcPr>
            <w:tcW w:w="741" w:type="dxa"/>
          </w:tcPr>
          <w:p w:rsidRPr="00FE67C1" w:rsidR="0039309D" w:rsidRDefault="0039309D" w14:paraId="57066D51" w14:textId="77777777">
            <w:pPr>
              <w:rPr>
                <w:rFonts w:ascii="Palatino Linotype" w:hAnsi="Palatino Linotype" w:cs="Arial"/>
                <w:sz w:val="22"/>
                <w:szCs w:val="22"/>
              </w:rPr>
            </w:pPr>
          </w:p>
        </w:tc>
      </w:tr>
      <w:tr w:rsidR="0039309D" w14:paraId="7A3AA49D" w14:textId="77777777">
        <w:tc>
          <w:tcPr>
            <w:tcW w:w="1165" w:type="dxa"/>
          </w:tcPr>
          <w:p w:rsidRPr="00FE67C1" w:rsidR="0039309D" w:rsidRDefault="0039309D" w14:paraId="1153FCD0" w14:textId="77777777">
            <w:pPr>
              <w:rPr>
                <w:rFonts w:ascii="Palatino Linotype" w:hAnsi="Palatino Linotype" w:cs="Arial"/>
                <w:sz w:val="22"/>
                <w:szCs w:val="22"/>
              </w:rPr>
            </w:pPr>
            <w:r>
              <w:rPr>
                <w:rFonts w:ascii="Palatino Linotype" w:hAnsi="Palatino Linotype" w:cs="Arial"/>
                <w:sz w:val="22"/>
                <w:szCs w:val="22"/>
              </w:rPr>
              <w:lastRenderedPageBreak/>
              <w:t>Ag</w:t>
            </w:r>
            <w:r w:rsidRPr="00FE67C1">
              <w:rPr>
                <w:rFonts w:ascii="Palatino Linotype" w:hAnsi="Palatino Linotype" w:cs="Arial"/>
                <w:sz w:val="22"/>
                <w:szCs w:val="22"/>
              </w:rPr>
              <w:t xml:space="preserve"> Equity Projected</w:t>
            </w:r>
          </w:p>
        </w:tc>
        <w:tc>
          <w:tcPr>
            <w:tcW w:w="670" w:type="dxa"/>
          </w:tcPr>
          <w:p w:rsidRPr="00FE67C1" w:rsidR="0039309D" w:rsidRDefault="0039309D" w14:paraId="5E167C32" w14:textId="77777777">
            <w:pPr>
              <w:rPr>
                <w:rFonts w:ascii="Palatino Linotype" w:hAnsi="Palatino Linotype" w:cs="Arial"/>
                <w:sz w:val="22"/>
                <w:szCs w:val="22"/>
              </w:rPr>
            </w:pPr>
          </w:p>
        </w:tc>
        <w:tc>
          <w:tcPr>
            <w:tcW w:w="741" w:type="dxa"/>
          </w:tcPr>
          <w:p w:rsidRPr="00FE67C1" w:rsidR="0039309D" w:rsidRDefault="0039309D" w14:paraId="1FA772B1" w14:textId="77777777">
            <w:pPr>
              <w:rPr>
                <w:rFonts w:ascii="Palatino Linotype" w:hAnsi="Palatino Linotype" w:cs="Arial"/>
                <w:sz w:val="22"/>
                <w:szCs w:val="22"/>
              </w:rPr>
            </w:pPr>
          </w:p>
        </w:tc>
        <w:tc>
          <w:tcPr>
            <w:tcW w:w="741" w:type="dxa"/>
          </w:tcPr>
          <w:p w:rsidRPr="00FE67C1" w:rsidR="0039309D" w:rsidRDefault="0039309D" w14:paraId="75E7B2AF" w14:textId="77777777">
            <w:pPr>
              <w:rPr>
                <w:rFonts w:ascii="Palatino Linotype" w:hAnsi="Palatino Linotype" w:cs="Arial"/>
                <w:sz w:val="22"/>
                <w:szCs w:val="22"/>
              </w:rPr>
            </w:pPr>
          </w:p>
        </w:tc>
        <w:tc>
          <w:tcPr>
            <w:tcW w:w="741" w:type="dxa"/>
          </w:tcPr>
          <w:p w:rsidRPr="00FE67C1" w:rsidR="0039309D" w:rsidRDefault="0039309D" w14:paraId="54BEE13A" w14:textId="77777777">
            <w:pPr>
              <w:rPr>
                <w:rFonts w:ascii="Palatino Linotype" w:hAnsi="Palatino Linotype" w:cs="Arial"/>
                <w:sz w:val="22"/>
                <w:szCs w:val="22"/>
              </w:rPr>
            </w:pPr>
          </w:p>
        </w:tc>
        <w:tc>
          <w:tcPr>
            <w:tcW w:w="741" w:type="dxa"/>
          </w:tcPr>
          <w:p w:rsidRPr="00FE67C1" w:rsidR="0039309D" w:rsidRDefault="0039309D" w14:paraId="39D35F70" w14:textId="77777777">
            <w:pPr>
              <w:rPr>
                <w:rFonts w:ascii="Palatino Linotype" w:hAnsi="Palatino Linotype" w:cs="Arial"/>
                <w:sz w:val="22"/>
                <w:szCs w:val="22"/>
              </w:rPr>
            </w:pPr>
          </w:p>
        </w:tc>
        <w:tc>
          <w:tcPr>
            <w:tcW w:w="741" w:type="dxa"/>
          </w:tcPr>
          <w:p w:rsidRPr="00FE67C1" w:rsidR="0039309D" w:rsidRDefault="0039309D" w14:paraId="7D011EB4" w14:textId="77777777">
            <w:pPr>
              <w:rPr>
                <w:rFonts w:ascii="Palatino Linotype" w:hAnsi="Palatino Linotype" w:cs="Arial"/>
                <w:sz w:val="22"/>
                <w:szCs w:val="22"/>
              </w:rPr>
            </w:pPr>
          </w:p>
        </w:tc>
        <w:tc>
          <w:tcPr>
            <w:tcW w:w="741" w:type="dxa"/>
          </w:tcPr>
          <w:p w:rsidRPr="00FE67C1" w:rsidR="0039309D" w:rsidRDefault="0039309D" w14:paraId="2F03E97C" w14:textId="77777777">
            <w:pPr>
              <w:rPr>
                <w:rFonts w:ascii="Palatino Linotype" w:hAnsi="Palatino Linotype" w:cs="Arial"/>
                <w:sz w:val="22"/>
                <w:szCs w:val="22"/>
              </w:rPr>
            </w:pPr>
          </w:p>
        </w:tc>
        <w:tc>
          <w:tcPr>
            <w:tcW w:w="741" w:type="dxa"/>
          </w:tcPr>
          <w:p w:rsidRPr="00FE67C1" w:rsidR="0039309D" w:rsidRDefault="0039309D" w14:paraId="44210AE5" w14:textId="77777777">
            <w:pPr>
              <w:rPr>
                <w:rFonts w:ascii="Palatino Linotype" w:hAnsi="Palatino Linotype" w:cs="Arial"/>
                <w:sz w:val="22"/>
                <w:szCs w:val="22"/>
              </w:rPr>
            </w:pPr>
          </w:p>
        </w:tc>
        <w:tc>
          <w:tcPr>
            <w:tcW w:w="741" w:type="dxa"/>
          </w:tcPr>
          <w:p w:rsidRPr="00FE67C1" w:rsidR="0039309D" w:rsidRDefault="0039309D" w14:paraId="42ABCCA8" w14:textId="77777777">
            <w:pPr>
              <w:rPr>
                <w:rFonts w:ascii="Palatino Linotype" w:hAnsi="Palatino Linotype" w:cs="Arial"/>
                <w:sz w:val="22"/>
                <w:szCs w:val="22"/>
              </w:rPr>
            </w:pPr>
          </w:p>
        </w:tc>
        <w:tc>
          <w:tcPr>
            <w:tcW w:w="741" w:type="dxa"/>
          </w:tcPr>
          <w:p w:rsidRPr="00FE67C1" w:rsidR="0039309D" w:rsidRDefault="0039309D" w14:paraId="53D71E39" w14:textId="77777777">
            <w:pPr>
              <w:rPr>
                <w:rFonts w:ascii="Palatino Linotype" w:hAnsi="Palatino Linotype" w:cs="Arial"/>
                <w:sz w:val="22"/>
                <w:szCs w:val="22"/>
              </w:rPr>
            </w:pPr>
          </w:p>
        </w:tc>
        <w:tc>
          <w:tcPr>
            <w:tcW w:w="741" w:type="dxa"/>
          </w:tcPr>
          <w:p w:rsidRPr="00FE67C1" w:rsidR="0039309D" w:rsidRDefault="0039309D" w14:paraId="7EAF5EB3" w14:textId="77777777">
            <w:pPr>
              <w:rPr>
                <w:rFonts w:ascii="Palatino Linotype" w:hAnsi="Palatino Linotype" w:cs="Arial"/>
                <w:sz w:val="22"/>
                <w:szCs w:val="22"/>
              </w:rPr>
            </w:pPr>
          </w:p>
        </w:tc>
        <w:tc>
          <w:tcPr>
            <w:tcW w:w="741" w:type="dxa"/>
          </w:tcPr>
          <w:p w:rsidRPr="00FE67C1" w:rsidR="0039309D" w:rsidRDefault="0039309D" w14:paraId="28D0EBBF" w14:textId="77777777">
            <w:pPr>
              <w:rPr>
                <w:rFonts w:ascii="Palatino Linotype" w:hAnsi="Palatino Linotype" w:cs="Arial"/>
                <w:sz w:val="22"/>
                <w:szCs w:val="22"/>
              </w:rPr>
            </w:pPr>
          </w:p>
        </w:tc>
        <w:tc>
          <w:tcPr>
            <w:tcW w:w="741" w:type="dxa"/>
          </w:tcPr>
          <w:p w:rsidRPr="00FE67C1" w:rsidR="0039309D" w:rsidRDefault="0039309D" w14:paraId="71F0B575" w14:textId="77777777">
            <w:pPr>
              <w:rPr>
                <w:rFonts w:ascii="Palatino Linotype" w:hAnsi="Palatino Linotype" w:cs="Arial"/>
                <w:sz w:val="22"/>
                <w:szCs w:val="22"/>
              </w:rPr>
            </w:pPr>
          </w:p>
        </w:tc>
        <w:tc>
          <w:tcPr>
            <w:tcW w:w="741" w:type="dxa"/>
          </w:tcPr>
          <w:p w:rsidRPr="00FE67C1" w:rsidR="0039309D" w:rsidRDefault="0039309D" w14:paraId="3A6E36C0" w14:textId="77777777">
            <w:pPr>
              <w:rPr>
                <w:rFonts w:ascii="Palatino Linotype" w:hAnsi="Palatino Linotype" w:cs="Arial"/>
                <w:sz w:val="22"/>
                <w:szCs w:val="22"/>
              </w:rPr>
            </w:pPr>
          </w:p>
        </w:tc>
        <w:tc>
          <w:tcPr>
            <w:tcW w:w="741" w:type="dxa"/>
          </w:tcPr>
          <w:p w:rsidRPr="00FE67C1" w:rsidR="0039309D" w:rsidRDefault="0039309D" w14:paraId="3137374C" w14:textId="77777777">
            <w:pPr>
              <w:rPr>
                <w:rFonts w:ascii="Palatino Linotype" w:hAnsi="Palatino Linotype" w:cs="Arial"/>
                <w:sz w:val="22"/>
                <w:szCs w:val="22"/>
              </w:rPr>
            </w:pPr>
          </w:p>
        </w:tc>
        <w:tc>
          <w:tcPr>
            <w:tcW w:w="741" w:type="dxa"/>
          </w:tcPr>
          <w:p w:rsidRPr="00FE67C1" w:rsidR="0039309D" w:rsidRDefault="0039309D" w14:paraId="2E512664" w14:textId="77777777">
            <w:pPr>
              <w:rPr>
                <w:rFonts w:ascii="Palatino Linotype" w:hAnsi="Palatino Linotype" w:cs="Arial"/>
                <w:sz w:val="22"/>
                <w:szCs w:val="22"/>
              </w:rPr>
            </w:pPr>
          </w:p>
        </w:tc>
      </w:tr>
      <w:tr w:rsidR="0039309D" w14:paraId="61350658" w14:textId="77777777">
        <w:tc>
          <w:tcPr>
            <w:tcW w:w="1165" w:type="dxa"/>
          </w:tcPr>
          <w:p w:rsidR="0039309D" w:rsidRDefault="0039309D" w14:paraId="36CA1685" w14:textId="77777777">
            <w:pPr>
              <w:rPr>
                <w:rFonts w:ascii="Palatino Linotype" w:hAnsi="Palatino Linotype" w:cs="Arial"/>
                <w:sz w:val="22"/>
                <w:szCs w:val="22"/>
              </w:rPr>
            </w:pPr>
            <w:r>
              <w:rPr>
                <w:rFonts w:ascii="Palatino Linotype" w:hAnsi="Palatino Linotype" w:cs="Arial"/>
                <w:sz w:val="22"/>
                <w:szCs w:val="22"/>
              </w:rPr>
              <w:t>Ag</w:t>
            </w:r>
          </w:p>
          <w:p w:rsidRPr="00FE67C1" w:rsidR="0039309D" w:rsidRDefault="0039309D" w14:paraId="01CEACFC" w14:textId="77777777">
            <w:pPr>
              <w:rPr>
                <w:rFonts w:ascii="Palatino Linotype" w:hAnsi="Palatino Linotype" w:cs="Arial"/>
                <w:sz w:val="22"/>
                <w:szCs w:val="22"/>
              </w:rPr>
            </w:pPr>
            <w:r w:rsidRPr="00FE67C1">
              <w:rPr>
                <w:rFonts w:ascii="Palatino Linotype" w:hAnsi="Palatino Linotype" w:cs="Arial"/>
                <w:sz w:val="22"/>
                <w:szCs w:val="22"/>
              </w:rPr>
              <w:t>Equity Actual</w:t>
            </w:r>
          </w:p>
        </w:tc>
        <w:tc>
          <w:tcPr>
            <w:tcW w:w="670" w:type="dxa"/>
          </w:tcPr>
          <w:p w:rsidRPr="00FE67C1" w:rsidR="0039309D" w:rsidRDefault="0039309D" w14:paraId="70CEE9A7" w14:textId="77777777">
            <w:pPr>
              <w:rPr>
                <w:rFonts w:ascii="Palatino Linotype" w:hAnsi="Palatino Linotype" w:cs="Arial"/>
                <w:sz w:val="22"/>
                <w:szCs w:val="22"/>
              </w:rPr>
            </w:pPr>
          </w:p>
        </w:tc>
        <w:tc>
          <w:tcPr>
            <w:tcW w:w="741" w:type="dxa"/>
          </w:tcPr>
          <w:p w:rsidRPr="00FE67C1" w:rsidR="0039309D" w:rsidRDefault="0039309D" w14:paraId="4CE6AF05" w14:textId="77777777">
            <w:pPr>
              <w:rPr>
                <w:rFonts w:ascii="Palatino Linotype" w:hAnsi="Palatino Linotype" w:cs="Arial"/>
                <w:sz w:val="22"/>
                <w:szCs w:val="22"/>
              </w:rPr>
            </w:pPr>
          </w:p>
        </w:tc>
        <w:tc>
          <w:tcPr>
            <w:tcW w:w="741" w:type="dxa"/>
          </w:tcPr>
          <w:p w:rsidRPr="00FE67C1" w:rsidR="0039309D" w:rsidRDefault="0039309D" w14:paraId="48D52D41" w14:textId="77777777">
            <w:pPr>
              <w:rPr>
                <w:rFonts w:ascii="Palatino Linotype" w:hAnsi="Palatino Linotype" w:cs="Arial"/>
                <w:sz w:val="22"/>
                <w:szCs w:val="22"/>
              </w:rPr>
            </w:pPr>
          </w:p>
        </w:tc>
        <w:tc>
          <w:tcPr>
            <w:tcW w:w="741" w:type="dxa"/>
          </w:tcPr>
          <w:p w:rsidRPr="00FE67C1" w:rsidR="0039309D" w:rsidRDefault="0039309D" w14:paraId="3535F9AB" w14:textId="77777777">
            <w:pPr>
              <w:rPr>
                <w:rFonts w:ascii="Palatino Linotype" w:hAnsi="Palatino Linotype" w:cs="Arial"/>
                <w:sz w:val="22"/>
                <w:szCs w:val="22"/>
              </w:rPr>
            </w:pPr>
          </w:p>
        </w:tc>
        <w:tc>
          <w:tcPr>
            <w:tcW w:w="741" w:type="dxa"/>
          </w:tcPr>
          <w:p w:rsidRPr="00FE67C1" w:rsidR="0039309D" w:rsidRDefault="0039309D" w14:paraId="72B7F3E7" w14:textId="77777777">
            <w:pPr>
              <w:rPr>
                <w:rFonts w:ascii="Palatino Linotype" w:hAnsi="Palatino Linotype" w:cs="Arial"/>
                <w:sz w:val="22"/>
                <w:szCs w:val="22"/>
              </w:rPr>
            </w:pPr>
          </w:p>
        </w:tc>
        <w:tc>
          <w:tcPr>
            <w:tcW w:w="741" w:type="dxa"/>
          </w:tcPr>
          <w:p w:rsidRPr="00FE67C1" w:rsidR="0039309D" w:rsidRDefault="0039309D" w14:paraId="1614DC82" w14:textId="77777777">
            <w:pPr>
              <w:rPr>
                <w:rFonts w:ascii="Palatino Linotype" w:hAnsi="Palatino Linotype" w:cs="Arial"/>
                <w:sz w:val="22"/>
                <w:szCs w:val="22"/>
              </w:rPr>
            </w:pPr>
          </w:p>
        </w:tc>
        <w:tc>
          <w:tcPr>
            <w:tcW w:w="741" w:type="dxa"/>
          </w:tcPr>
          <w:p w:rsidRPr="00FE67C1" w:rsidR="0039309D" w:rsidRDefault="0039309D" w14:paraId="395C16CF" w14:textId="77777777">
            <w:pPr>
              <w:rPr>
                <w:rFonts w:ascii="Palatino Linotype" w:hAnsi="Palatino Linotype" w:cs="Arial"/>
                <w:sz w:val="22"/>
                <w:szCs w:val="22"/>
              </w:rPr>
            </w:pPr>
          </w:p>
        </w:tc>
        <w:tc>
          <w:tcPr>
            <w:tcW w:w="741" w:type="dxa"/>
          </w:tcPr>
          <w:p w:rsidRPr="00FE67C1" w:rsidR="0039309D" w:rsidRDefault="0039309D" w14:paraId="1CE3C3CA" w14:textId="77777777">
            <w:pPr>
              <w:rPr>
                <w:rFonts w:ascii="Palatino Linotype" w:hAnsi="Palatino Linotype" w:cs="Arial"/>
                <w:sz w:val="22"/>
                <w:szCs w:val="22"/>
              </w:rPr>
            </w:pPr>
          </w:p>
        </w:tc>
        <w:tc>
          <w:tcPr>
            <w:tcW w:w="741" w:type="dxa"/>
          </w:tcPr>
          <w:p w:rsidRPr="00FE67C1" w:rsidR="0039309D" w:rsidRDefault="0039309D" w14:paraId="68DAE5E3" w14:textId="77777777">
            <w:pPr>
              <w:rPr>
                <w:rFonts w:ascii="Palatino Linotype" w:hAnsi="Palatino Linotype" w:cs="Arial"/>
                <w:sz w:val="22"/>
                <w:szCs w:val="22"/>
              </w:rPr>
            </w:pPr>
          </w:p>
        </w:tc>
        <w:tc>
          <w:tcPr>
            <w:tcW w:w="741" w:type="dxa"/>
          </w:tcPr>
          <w:p w:rsidRPr="00FE67C1" w:rsidR="0039309D" w:rsidRDefault="0039309D" w14:paraId="30B21693" w14:textId="77777777">
            <w:pPr>
              <w:rPr>
                <w:rFonts w:ascii="Palatino Linotype" w:hAnsi="Palatino Linotype" w:cs="Arial"/>
                <w:sz w:val="22"/>
                <w:szCs w:val="22"/>
              </w:rPr>
            </w:pPr>
          </w:p>
        </w:tc>
        <w:tc>
          <w:tcPr>
            <w:tcW w:w="741" w:type="dxa"/>
          </w:tcPr>
          <w:p w:rsidRPr="00FE67C1" w:rsidR="0039309D" w:rsidRDefault="0039309D" w14:paraId="3B18C877" w14:textId="77777777">
            <w:pPr>
              <w:rPr>
                <w:rFonts w:ascii="Palatino Linotype" w:hAnsi="Palatino Linotype" w:cs="Arial"/>
                <w:sz w:val="22"/>
                <w:szCs w:val="22"/>
              </w:rPr>
            </w:pPr>
          </w:p>
        </w:tc>
        <w:tc>
          <w:tcPr>
            <w:tcW w:w="741" w:type="dxa"/>
          </w:tcPr>
          <w:p w:rsidRPr="00FE67C1" w:rsidR="0039309D" w:rsidRDefault="0039309D" w14:paraId="40CF4683" w14:textId="77777777">
            <w:pPr>
              <w:rPr>
                <w:rFonts w:ascii="Palatino Linotype" w:hAnsi="Palatino Linotype" w:cs="Arial"/>
                <w:sz w:val="22"/>
                <w:szCs w:val="22"/>
              </w:rPr>
            </w:pPr>
          </w:p>
        </w:tc>
        <w:tc>
          <w:tcPr>
            <w:tcW w:w="741" w:type="dxa"/>
          </w:tcPr>
          <w:p w:rsidRPr="00FE67C1" w:rsidR="0039309D" w:rsidRDefault="0039309D" w14:paraId="6AD0DBCA" w14:textId="77777777">
            <w:pPr>
              <w:rPr>
                <w:rFonts w:ascii="Palatino Linotype" w:hAnsi="Palatino Linotype" w:cs="Arial"/>
                <w:sz w:val="22"/>
                <w:szCs w:val="22"/>
              </w:rPr>
            </w:pPr>
          </w:p>
        </w:tc>
        <w:tc>
          <w:tcPr>
            <w:tcW w:w="741" w:type="dxa"/>
          </w:tcPr>
          <w:p w:rsidRPr="00FE67C1" w:rsidR="0039309D" w:rsidRDefault="0039309D" w14:paraId="698CCA2B" w14:textId="77777777">
            <w:pPr>
              <w:rPr>
                <w:rFonts w:ascii="Palatino Linotype" w:hAnsi="Palatino Linotype" w:cs="Arial"/>
                <w:sz w:val="22"/>
                <w:szCs w:val="22"/>
              </w:rPr>
            </w:pPr>
          </w:p>
        </w:tc>
        <w:tc>
          <w:tcPr>
            <w:tcW w:w="741" w:type="dxa"/>
          </w:tcPr>
          <w:p w:rsidRPr="00FE67C1" w:rsidR="0039309D" w:rsidRDefault="0039309D" w14:paraId="5934C224" w14:textId="77777777">
            <w:pPr>
              <w:rPr>
                <w:rFonts w:ascii="Palatino Linotype" w:hAnsi="Palatino Linotype" w:cs="Arial"/>
                <w:sz w:val="22"/>
                <w:szCs w:val="22"/>
              </w:rPr>
            </w:pPr>
          </w:p>
        </w:tc>
        <w:tc>
          <w:tcPr>
            <w:tcW w:w="741" w:type="dxa"/>
          </w:tcPr>
          <w:p w:rsidRPr="00FE67C1" w:rsidR="0039309D" w:rsidRDefault="0039309D" w14:paraId="5808B5D8" w14:textId="77777777">
            <w:pPr>
              <w:rPr>
                <w:rFonts w:ascii="Palatino Linotype" w:hAnsi="Palatino Linotype" w:cs="Arial"/>
                <w:sz w:val="22"/>
                <w:szCs w:val="22"/>
              </w:rPr>
            </w:pPr>
          </w:p>
        </w:tc>
      </w:tr>
      <w:tr w:rsidR="0039309D" w14:paraId="1093D66C" w14:textId="77777777">
        <w:tc>
          <w:tcPr>
            <w:tcW w:w="1165" w:type="dxa"/>
          </w:tcPr>
          <w:p w:rsidRPr="00FE67C1" w:rsidR="0039309D" w:rsidRDefault="0039309D" w14:paraId="4A4146DE" w14:textId="77777777">
            <w:pPr>
              <w:rPr>
                <w:rFonts w:ascii="Palatino Linotype" w:hAnsi="Palatino Linotype" w:cs="Arial"/>
                <w:sz w:val="22"/>
                <w:szCs w:val="22"/>
              </w:rPr>
            </w:pPr>
            <w:r>
              <w:rPr>
                <w:rFonts w:ascii="Palatino Linotype" w:hAnsi="Palatino Linotype" w:cs="Arial"/>
                <w:sz w:val="22"/>
                <w:szCs w:val="22"/>
              </w:rPr>
              <w:t>Ag</w:t>
            </w:r>
            <w:r w:rsidRPr="00FE67C1">
              <w:rPr>
                <w:rFonts w:ascii="Palatino Linotype" w:hAnsi="Palatino Linotype" w:cs="Arial"/>
                <w:sz w:val="22"/>
                <w:szCs w:val="22"/>
              </w:rPr>
              <w:t xml:space="preserve"> RA Projected</w:t>
            </w:r>
          </w:p>
        </w:tc>
        <w:tc>
          <w:tcPr>
            <w:tcW w:w="670" w:type="dxa"/>
          </w:tcPr>
          <w:p w:rsidRPr="00FE67C1" w:rsidR="0039309D" w:rsidRDefault="0039309D" w14:paraId="454897E0" w14:textId="77777777">
            <w:pPr>
              <w:rPr>
                <w:rFonts w:ascii="Palatino Linotype" w:hAnsi="Palatino Linotype" w:cs="Arial"/>
                <w:sz w:val="22"/>
                <w:szCs w:val="22"/>
              </w:rPr>
            </w:pPr>
          </w:p>
        </w:tc>
        <w:tc>
          <w:tcPr>
            <w:tcW w:w="741" w:type="dxa"/>
          </w:tcPr>
          <w:p w:rsidRPr="00FE67C1" w:rsidR="0039309D" w:rsidRDefault="0039309D" w14:paraId="0CF7556E" w14:textId="77777777">
            <w:pPr>
              <w:rPr>
                <w:rFonts w:ascii="Palatino Linotype" w:hAnsi="Palatino Linotype" w:cs="Arial"/>
                <w:sz w:val="22"/>
                <w:szCs w:val="22"/>
              </w:rPr>
            </w:pPr>
          </w:p>
        </w:tc>
        <w:tc>
          <w:tcPr>
            <w:tcW w:w="741" w:type="dxa"/>
          </w:tcPr>
          <w:p w:rsidRPr="00FE67C1" w:rsidR="0039309D" w:rsidRDefault="0039309D" w14:paraId="07950367" w14:textId="77777777">
            <w:pPr>
              <w:rPr>
                <w:rFonts w:ascii="Palatino Linotype" w:hAnsi="Palatino Linotype" w:cs="Arial"/>
                <w:sz w:val="22"/>
                <w:szCs w:val="22"/>
              </w:rPr>
            </w:pPr>
          </w:p>
        </w:tc>
        <w:tc>
          <w:tcPr>
            <w:tcW w:w="741" w:type="dxa"/>
          </w:tcPr>
          <w:p w:rsidRPr="00FE67C1" w:rsidR="0039309D" w:rsidRDefault="0039309D" w14:paraId="7AB040DC" w14:textId="77777777">
            <w:pPr>
              <w:rPr>
                <w:rFonts w:ascii="Palatino Linotype" w:hAnsi="Palatino Linotype" w:cs="Arial"/>
                <w:sz w:val="22"/>
                <w:szCs w:val="22"/>
              </w:rPr>
            </w:pPr>
          </w:p>
        </w:tc>
        <w:tc>
          <w:tcPr>
            <w:tcW w:w="741" w:type="dxa"/>
          </w:tcPr>
          <w:p w:rsidRPr="00FE67C1" w:rsidR="0039309D" w:rsidRDefault="0039309D" w14:paraId="56B52BD6" w14:textId="77777777">
            <w:pPr>
              <w:rPr>
                <w:rFonts w:ascii="Palatino Linotype" w:hAnsi="Palatino Linotype" w:cs="Arial"/>
                <w:sz w:val="22"/>
                <w:szCs w:val="22"/>
              </w:rPr>
            </w:pPr>
          </w:p>
        </w:tc>
        <w:tc>
          <w:tcPr>
            <w:tcW w:w="741" w:type="dxa"/>
          </w:tcPr>
          <w:p w:rsidRPr="00FE67C1" w:rsidR="0039309D" w:rsidRDefault="0039309D" w14:paraId="7F5F8A94" w14:textId="77777777">
            <w:pPr>
              <w:rPr>
                <w:rFonts w:ascii="Palatino Linotype" w:hAnsi="Palatino Linotype" w:cs="Arial"/>
                <w:sz w:val="22"/>
                <w:szCs w:val="22"/>
              </w:rPr>
            </w:pPr>
          </w:p>
        </w:tc>
        <w:tc>
          <w:tcPr>
            <w:tcW w:w="741" w:type="dxa"/>
          </w:tcPr>
          <w:p w:rsidRPr="00FE67C1" w:rsidR="0039309D" w:rsidRDefault="0039309D" w14:paraId="0F5447CE" w14:textId="77777777">
            <w:pPr>
              <w:rPr>
                <w:rFonts w:ascii="Palatino Linotype" w:hAnsi="Palatino Linotype" w:cs="Arial"/>
                <w:sz w:val="22"/>
                <w:szCs w:val="22"/>
              </w:rPr>
            </w:pPr>
          </w:p>
        </w:tc>
        <w:tc>
          <w:tcPr>
            <w:tcW w:w="741" w:type="dxa"/>
          </w:tcPr>
          <w:p w:rsidRPr="00FE67C1" w:rsidR="0039309D" w:rsidRDefault="0039309D" w14:paraId="2F535D03" w14:textId="77777777">
            <w:pPr>
              <w:rPr>
                <w:rFonts w:ascii="Palatino Linotype" w:hAnsi="Palatino Linotype" w:cs="Arial"/>
                <w:sz w:val="22"/>
                <w:szCs w:val="22"/>
              </w:rPr>
            </w:pPr>
          </w:p>
        </w:tc>
        <w:tc>
          <w:tcPr>
            <w:tcW w:w="741" w:type="dxa"/>
          </w:tcPr>
          <w:p w:rsidRPr="00FE67C1" w:rsidR="0039309D" w:rsidRDefault="0039309D" w14:paraId="2C241841" w14:textId="77777777">
            <w:pPr>
              <w:rPr>
                <w:rFonts w:ascii="Palatino Linotype" w:hAnsi="Palatino Linotype" w:cs="Arial"/>
                <w:sz w:val="22"/>
                <w:szCs w:val="22"/>
              </w:rPr>
            </w:pPr>
          </w:p>
        </w:tc>
        <w:tc>
          <w:tcPr>
            <w:tcW w:w="741" w:type="dxa"/>
          </w:tcPr>
          <w:p w:rsidRPr="00FE67C1" w:rsidR="0039309D" w:rsidRDefault="0039309D" w14:paraId="7FC3391F" w14:textId="77777777">
            <w:pPr>
              <w:rPr>
                <w:rFonts w:ascii="Palatino Linotype" w:hAnsi="Palatino Linotype" w:cs="Arial"/>
                <w:sz w:val="22"/>
                <w:szCs w:val="22"/>
              </w:rPr>
            </w:pPr>
          </w:p>
        </w:tc>
        <w:tc>
          <w:tcPr>
            <w:tcW w:w="741" w:type="dxa"/>
          </w:tcPr>
          <w:p w:rsidRPr="00FE67C1" w:rsidR="0039309D" w:rsidRDefault="0039309D" w14:paraId="7F734D59" w14:textId="77777777">
            <w:pPr>
              <w:rPr>
                <w:rFonts w:ascii="Palatino Linotype" w:hAnsi="Palatino Linotype" w:cs="Arial"/>
                <w:sz w:val="22"/>
                <w:szCs w:val="22"/>
              </w:rPr>
            </w:pPr>
          </w:p>
        </w:tc>
        <w:tc>
          <w:tcPr>
            <w:tcW w:w="741" w:type="dxa"/>
          </w:tcPr>
          <w:p w:rsidRPr="00FE67C1" w:rsidR="0039309D" w:rsidRDefault="0039309D" w14:paraId="056B4F8A" w14:textId="77777777">
            <w:pPr>
              <w:rPr>
                <w:rFonts w:ascii="Palatino Linotype" w:hAnsi="Palatino Linotype" w:cs="Arial"/>
                <w:sz w:val="22"/>
                <w:szCs w:val="22"/>
              </w:rPr>
            </w:pPr>
          </w:p>
        </w:tc>
        <w:tc>
          <w:tcPr>
            <w:tcW w:w="741" w:type="dxa"/>
          </w:tcPr>
          <w:p w:rsidRPr="00FE67C1" w:rsidR="0039309D" w:rsidRDefault="0039309D" w14:paraId="00D70C85" w14:textId="77777777">
            <w:pPr>
              <w:rPr>
                <w:rFonts w:ascii="Palatino Linotype" w:hAnsi="Palatino Linotype" w:cs="Arial"/>
                <w:sz w:val="22"/>
                <w:szCs w:val="22"/>
              </w:rPr>
            </w:pPr>
          </w:p>
        </w:tc>
        <w:tc>
          <w:tcPr>
            <w:tcW w:w="741" w:type="dxa"/>
          </w:tcPr>
          <w:p w:rsidRPr="00FE67C1" w:rsidR="0039309D" w:rsidRDefault="0039309D" w14:paraId="5508044F" w14:textId="77777777">
            <w:pPr>
              <w:rPr>
                <w:rFonts w:ascii="Palatino Linotype" w:hAnsi="Palatino Linotype" w:cs="Arial"/>
                <w:sz w:val="22"/>
                <w:szCs w:val="22"/>
              </w:rPr>
            </w:pPr>
          </w:p>
        </w:tc>
        <w:tc>
          <w:tcPr>
            <w:tcW w:w="741" w:type="dxa"/>
          </w:tcPr>
          <w:p w:rsidRPr="00FE67C1" w:rsidR="0039309D" w:rsidRDefault="0039309D" w14:paraId="2F9A3B2B" w14:textId="77777777">
            <w:pPr>
              <w:rPr>
                <w:rFonts w:ascii="Palatino Linotype" w:hAnsi="Palatino Linotype" w:cs="Arial"/>
                <w:sz w:val="22"/>
                <w:szCs w:val="22"/>
              </w:rPr>
            </w:pPr>
          </w:p>
        </w:tc>
        <w:tc>
          <w:tcPr>
            <w:tcW w:w="741" w:type="dxa"/>
          </w:tcPr>
          <w:p w:rsidRPr="00FE67C1" w:rsidR="0039309D" w:rsidRDefault="0039309D" w14:paraId="4ADCB836" w14:textId="77777777">
            <w:pPr>
              <w:rPr>
                <w:rFonts w:ascii="Palatino Linotype" w:hAnsi="Palatino Linotype" w:cs="Arial"/>
                <w:sz w:val="22"/>
                <w:szCs w:val="22"/>
              </w:rPr>
            </w:pPr>
          </w:p>
        </w:tc>
      </w:tr>
      <w:tr w:rsidR="0039309D" w14:paraId="77816AA4" w14:textId="77777777">
        <w:tc>
          <w:tcPr>
            <w:tcW w:w="1165" w:type="dxa"/>
          </w:tcPr>
          <w:p w:rsidRPr="00FE67C1" w:rsidR="0039309D" w:rsidRDefault="0039309D" w14:paraId="1295A8CE" w14:textId="77777777">
            <w:pPr>
              <w:rPr>
                <w:rFonts w:ascii="Palatino Linotype" w:hAnsi="Palatino Linotype" w:cs="Arial"/>
                <w:sz w:val="22"/>
                <w:szCs w:val="22"/>
              </w:rPr>
            </w:pPr>
            <w:r>
              <w:rPr>
                <w:rFonts w:ascii="Palatino Linotype" w:hAnsi="Palatino Linotype" w:cs="Arial"/>
                <w:sz w:val="22"/>
                <w:szCs w:val="22"/>
              </w:rPr>
              <w:t>Ag</w:t>
            </w:r>
            <w:r w:rsidRPr="00FE67C1">
              <w:rPr>
                <w:rFonts w:ascii="Palatino Linotype" w:hAnsi="Palatino Linotype" w:cs="Arial"/>
                <w:sz w:val="22"/>
                <w:szCs w:val="22"/>
              </w:rPr>
              <w:t xml:space="preserve"> RA Actual</w:t>
            </w:r>
          </w:p>
        </w:tc>
        <w:tc>
          <w:tcPr>
            <w:tcW w:w="670" w:type="dxa"/>
          </w:tcPr>
          <w:p w:rsidRPr="00FE67C1" w:rsidR="0039309D" w:rsidRDefault="0039309D" w14:paraId="1279A9D3" w14:textId="77777777">
            <w:pPr>
              <w:rPr>
                <w:rFonts w:ascii="Palatino Linotype" w:hAnsi="Palatino Linotype" w:cs="Arial"/>
                <w:sz w:val="22"/>
                <w:szCs w:val="22"/>
              </w:rPr>
            </w:pPr>
          </w:p>
        </w:tc>
        <w:tc>
          <w:tcPr>
            <w:tcW w:w="741" w:type="dxa"/>
          </w:tcPr>
          <w:p w:rsidRPr="00FE67C1" w:rsidR="0039309D" w:rsidRDefault="0039309D" w14:paraId="6074C5F6" w14:textId="77777777">
            <w:pPr>
              <w:rPr>
                <w:rFonts w:ascii="Palatino Linotype" w:hAnsi="Palatino Linotype" w:cs="Arial"/>
                <w:sz w:val="22"/>
                <w:szCs w:val="22"/>
              </w:rPr>
            </w:pPr>
          </w:p>
        </w:tc>
        <w:tc>
          <w:tcPr>
            <w:tcW w:w="741" w:type="dxa"/>
          </w:tcPr>
          <w:p w:rsidRPr="00FE67C1" w:rsidR="0039309D" w:rsidRDefault="0039309D" w14:paraId="7ADB650D" w14:textId="77777777">
            <w:pPr>
              <w:rPr>
                <w:rFonts w:ascii="Palatino Linotype" w:hAnsi="Palatino Linotype" w:cs="Arial"/>
                <w:sz w:val="22"/>
                <w:szCs w:val="22"/>
              </w:rPr>
            </w:pPr>
          </w:p>
        </w:tc>
        <w:tc>
          <w:tcPr>
            <w:tcW w:w="741" w:type="dxa"/>
          </w:tcPr>
          <w:p w:rsidRPr="00FE67C1" w:rsidR="0039309D" w:rsidRDefault="0039309D" w14:paraId="4DC09923" w14:textId="77777777">
            <w:pPr>
              <w:rPr>
                <w:rFonts w:ascii="Palatino Linotype" w:hAnsi="Palatino Linotype" w:cs="Arial"/>
                <w:sz w:val="22"/>
                <w:szCs w:val="22"/>
              </w:rPr>
            </w:pPr>
          </w:p>
        </w:tc>
        <w:tc>
          <w:tcPr>
            <w:tcW w:w="741" w:type="dxa"/>
          </w:tcPr>
          <w:p w:rsidRPr="00FE67C1" w:rsidR="0039309D" w:rsidRDefault="0039309D" w14:paraId="70BF9F77" w14:textId="77777777">
            <w:pPr>
              <w:rPr>
                <w:rFonts w:ascii="Palatino Linotype" w:hAnsi="Palatino Linotype" w:cs="Arial"/>
                <w:sz w:val="22"/>
                <w:szCs w:val="22"/>
              </w:rPr>
            </w:pPr>
          </w:p>
        </w:tc>
        <w:tc>
          <w:tcPr>
            <w:tcW w:w="741" w:type="dxa"/>
          </w:tcPr>
          <w:p w:rsidRPr="00FE67C1" w:rsidR="0039309D" w:rsidRDefault="0039309D" w14:paraId="02558A93" w14:textId="77777777">
            <w:pPr>
              <w:rPr>
                <w:rFonts w:ascii="Palatino Linotype" w:hAnsi="Palatino Linotype" w:cs="Arial"/>
                <w:sz w:val="22"/>
                <w:szCs w:val="22"/>
              </w:rPr>
            </w:pPr>
          </w:p>
        </w:tc>
        <w:tc>
          <w:tcPr>
            <w:tcW w:w="741" w:type="dxa"/>
          </w:tcPr>
          <w:p w:rsidRPr="00FE67C1" w:rsidR="0039309D" w:rsidRDefault="0039309D" w14:paraId="26B1E413" w14:textId="77777777">
            <w:pPr>
              <w:rPr>
                <w:rFonts w:ascii="Palatino Linotype" w:hAnsi="Palatino Linotype" w:cs="Arial"/>
                <w:sz w:val="22"/>
                <w:szCs w:val="22"/>
              </w:rPr>
            </w:pPr>
          </w:p>
        </w:tc>
        <w:tc>
          <w:tcPr>
            <w:tcW w:w="741" w:type="dxa"/>
          </w:tcPr>
          <w:p w:rsidRPr="00FE67C1" w:rsidR="0039309D" w:rsidRDefault="0039309D" w14:paraId="11876900" w14:textId="77777777">
            <w:pPr>
              <w:rPr>
                <w:rFonts w:ascii="Palatino Linotype" w:hAnsi="Palatino Linotype" w:cs="Arial"/>
                <w:sz w:val="22"/>
                <w:szCs w:val="22"/>
              </w:rPr>
            </w:pPr>
          </w:p>
        </w:tc>
        <w:tc>
          <w:tcPr>
            <w:tcW w:w="741" w:type="dxa"/>
          </w:tcPr>
          <w:p w:rsidRPr="00FE67C1" w:rsidR="0039309D" w:rsidRDefault="0039309D" w14:paraId="12D3E30B" w14:textId="77777777">
            <w:pPr>
              <w:rPr>
                <w:rFonts w:ascii="Palatino Linotype" w:hAnsi="Palatino Linotype" w:cs="Arial"/>
                <w:sz w:val="22"/>
                <w:szCs w:val="22"/>
              </w:rPr>
            </w:pPr>
          </w:p>
        </w:tc>
        <w:tc>
          <w:tcPr>
            <w:tcW w:w="741" w:type="dxa"/>
          </w:tcPr>
          <w:p w:rsidRPr="00FE67C1" w:rsidR="0039309D" w:rsidRDefault="0039309D" w14:paraId="65B9DFC1" w14:textId="77777777">
            <w:pPr>
              <w:rPr>
                <w:rFonts w:ascii="Palatino Linotype" w:hAnsi="Palatino Linotype" w:cs="Arial"/>
                <w:sz w:val="22"/>
                <w:szCs w:val="22"/>
              </w:rPr>
            </w:pPr>
          </w:p>
        </w:tc>
        <w:tc>
          <w:tcPr>
            <w:tcW w:w="741" w:type="dxa"/>
          </w:tcPr>
          <w:p w:rsidRPr="00FE67C1" w:rsidR="0039309D" w:rsidRDefault="0039309D" w14:paraId="26C9E940" w14:textId="77777777">
            <w:pPr>
              <w:rPr>
                <w:rFonts w:ascii="Palatino Linotype" w:hAnsi="Palatino Linotype" w:cs="Arial"/>
                <w:sz w:val="22"/>
                <w:szCs w:val="22"/>
              </w:rPr>
            </w:pPr>
          </w:p>
        </w:tc>
        <w:tc>
          <w:tcPr>
            <w:tcW w:w="741" w:type="dxa"/>
          </w:tcPr>
          <w:p w:rsidRPr="00FE67C1" w:rsidR="0039309D" w:rsidRDefault="0039309D" w14:paraId="2B05F293" w14:textId="77777777">
            <w:pPr>
              <w:rPr>
                <w:rFonts w:ascii="Palatino Linotype" w:hAnsi="Palatino Linotype" w:cs="Arial"/>
                <w:sz w:val="22"/>
                <w:szCs w:val="22"/>
              </w:rPr>
            </w:pPr>
          </w:p>
        </w:tc>
        <w:tc>
          <w:tcPr>
            <w:tcW w:w="741" w:type="dxa"/>
          </w:tcPr>
          <w:p w:rsidRPr="00FE67C1" w:rsidR="0039309D" w:rsidRDefault="0039309D" w14:paraId="1E37BF55" w14:textId="77777777">
            <w:pPr>
              <w:rPr>
                <w:rFonts w:ascii="Palatino Linotype" w:hAnsi="Palatino Linotype" w:cs="Arial"/>
                <w:sz w:val="22"/>
                <w:szCs w:val="22"/>
              </w:rPr>
            </w:pPr>
          </w:p>
        </w:tc>
        <w:tc>
          <w:tcPr>
            <w:tcW w:w="741" w:type="dxa"/>
          </w:tcPr>
          <w:p w:rsidRPr="00FE67C1" w:rsidR="0039309D" w:rsidRDefault="0039309D" w14:paraId="5BB3CFC2" w14:textId="77777777">
            <w:pPr>
              <w:rPr>
                <w:rFonts w:ascii="Palatino Linotype" w:hAnsi="Palatino Linotype" w:cs="Arial"/>
                <w:sz w:val="22"/>
                <w:szCs w:val="22"/>
              </w:rPr>
            </w:pPr>
          </w:p>
        </w:tc>
        <w:tc>
          <w:tcPr>
            <w:tcW w:w="741" w:type="dxa"/>
          </w:tcPr>
          <w:p w:rsidRPr="00FE67C1" w:rsidR="0039309D" w:rsidRDefault="0039309D" w14:paraId="1C3621F1" w14:textId="77777777">
            <w:pPr>
              <w:rPr>
                <w:rFonts w:ascii="Palatino Linotype" w:hAnsi="Palatino Linotype" w:cs="Arial"/>
                <w:sz w:val="22"/>
                <w:szCs w:val="22"/>
              </w:rPr>
            </w:pPr>
          </w:p>
        </w:tc>
        <w:tc>
          <w:tcPr>
            <w:tcW w:w="741" w:type="dxa"/>
          </w:tcPr>
          <w:p w:rsidRPr="00FE67C1" w:rsidR="0039309D" w:rsidRDefault="0039309D" w14:paraId="63C0D392" w14:textId="77777777">
            <w:pPr>
              <w:rPr>
                <w:rFonts w:ascii="Palatino Linotype" w:hAnsi="Palatino Linotype" w:cs="Arial"/>
                <w:sz w:val="22"/>
                <w:szCs w:val="22"/>
              </w:rPr>
            </w:pPr>
          </w:p>
        </w:tc>
      </w:tr>
      <w:tr w:rsidR="0039309D" w14:paraId="31A585DE" w14:textId="77777777">
        <w:tc>
          <w:tcPr>
            <w:tcW w:w="1165" w:type="dxa"/>
          </w:tcPr>
          <w:p w:rsidRPr="00FE67C1" w:rsidR="0039309D" w:rsidRDefault="0039309D" w14:paraId="3AE51748" w14:textId="77777777">
            <w:pPr>
              <w:rPr>
                <w:rFonts w:ascii="Palatino Linotype" w:hAnsi="Palatino Linotype" w:cs="Arial"/>
                <w:sz w:val="22"/>
                <w:szCs w:val="22"/>
              </w:rPr>
            </w:pPr>
            <w:r>
              <w:rPr>
                <w:rFonts w:ascii="Palatino Linotype" w:hAnsi="Palatino Linotype" w:cs="Arial"/>
                <w:sz w:val="22"/>
                <w:szCs w:val="22"/>
              </w:rPr>
              <w:t>Public</w:t>
            </w:r>
            <w:r w:rsidRPr="00FE67C1">
              <w:rPr>
                <w:rFonts w:ascii="Palatino Linotype" w:hAnsi="Palatino Linotype" w:cs="Arial"/>
                <w:sz w:val="22"/>
                <w:szCs w:val="22"/>
              </w:rPr>
              <w:t xml:space="preserve"> Equity Projected</w:t>
            </w:r>
          </w:p>
        </w:tc>
        <w:tc>
          <w:tcPr>
            <w:tcW w:w="670" w:type="dxa"/>
          </w:tcPr>
          <w:p w:rsidRPr="00FE67C1" w:rsidR="0039309D" w:rsidRDefault="0039309D" w14:paraId="01BAE8D2" w14:textId="77777777">
            <w:pPr>
              <w:rPr>
                <w:rFonts w:ascii="Palatino Linotype" w:hAnsi="Palatino Linotype" w:cs="Arial"/>
                <w:sz w:val="22"/>
                <w:szCs w:val="22"/>
              </w:rPr>
            </w:pPr>
          </w:p>
        </w:tc>
        <w:tc>
          <w:tcPr>
            <w:tcW w:w="741" w:type="dxa"/>
          </w:tcPr>
          <w:p w:rsidRPr="00FE67C1" w:rsidR="0039309D" w:rsidRDefault="0039309D" w14:paraId="7A827496" w14:textId="77777777">
            <w:pPr>
              <w:rPr>
                <w:rFonts w:ascii="Palatino Linotype" w:hAnsi="Palatino Linotype" w:cs="Arial"/>
                <w:sz w:val="22"/>
                <w:szCs w:val="22"/>
              </w:rPr>
            </w:pPr>
          </w:p>
        </w:tc>
        <w:tc>
          <w:tcPr>
            <w:tcW w:w="741" w:type="dxa"/>
          </w:tcPr>
          <w:p w:rsidRPr="00FE67C1" w:rsidR="0039309D" w:rsidRDefault="0039309D" w14:paraId="79BF9674" w14:textId="77777777">
            <w:pPr>
              <w:rPr>
                <w:rFonts w:ascii="Palatino Linotype" w:hAnsi="Palatino Linotype" w:cs="Arial"/>
                <w:sz w:val="22"/>
                <w:szCs w:val="22"/>
              </w:rPr>
            </w:pPr>
          </w:p>
        </w:tc>
        <w:tc>
          <w:tcPr>
            <w:tcW w:w="741" w:type="dxa"/>
          </w:tcPr>
          <w:p w:rsidRPr="00FE67C1" w:rsidR="0039309D" w:rsidRDefault="0039309D" w14:paraId="45FBC991" w14:textId="77777777">
            <w:pPr>
              <w:rPr>
                <w:rFonts w:ascii="Palatino Linotype" w:hAnsi="Palatino Linotype" w:cs="Arial"/>
                <w:sz w:val="22"/>
                <w:szCs w:val="22"/>
              </w:rPr>
            </w:pPr>
          </w:p>
        </w:tc>
        <w:tc>
          <w:tcPr>
            <w:tcW w:w="741" w:type="dxa"/>
          </w:tcPr>
          <w:p w:rsidRPr="00FE67C1" w:rsidR="0039309D" w:rsidRDefault="0039309D" w14:paraId="67708907" w14:textId="77777777">
            <w:pPr>
              <w:rPr>
                <w:rFonts w:ascii="Palatino Linotype" w:hAnsi="Palatino Linotype" w:cs="Arial"/>
                <w:sz w:val="22"/>
                <w:szCs w:val="22"/>
              </w:rPr>
            </w:pPr>
          </w:p>
        </w:tc>
        <w:tc>
          <w:tcPr>
            <w:tcW w:w="741" w:type="dxa"/>
          </w:tcPr>
          <w:p w:rsidRPr="00FE67C1" w:rsidR="0039309D" w:rsidRDefault="0039309D" w14:paraId="6345CB13" w14:textId="77777777">
            <w:pPr>
              <w:rPr>
                <w:rFonts w:ascii="Palatino Linotype" w:hAnsi="Palatino Linotype" w:cs="Arial"/>
                <w:sz w:val="22"/>
                <w:szCs w:val="22"/>
              </w:rPr>
            </w:pPr>
          </w:p>
        </w:tc>
        <w:tc>
          <w:tcPr>
            <w:tcW w:w="741" w:type="dxa"/>
          </w:tcPr>
          <w:p w:rsidRPr="00FE67C1" w:rsidR="0039309D" w:rsidRDefault="0039309D" w14:paraId="078C8993" w14:textId="77777777">
            <w:pPr>
              <w:rPr>
                <w:rFonts w:ascii="Palatino Linotype" w:hAnsi="Palatino Linotype" w:cs="Arial"/>
                <w:sz w:val="22"/>
                <w:szCs w:val="22"/>
              </w:rPr>
            </w:pPr>
          </w:p>
        </w:tc>
        <w:tc>
          <w:tcPr>
            <w:tcW w:w="741" w:type="dxa"/>
          </w:tcPr>
          <w:p w:rsidRPr="00FE67C1" w:rsidR="0039309D" w:rsidRDefault="0039309D" w14:paraId="35866E92" w14:textId="77777777">
            <w:pPr>
              <w:rPr>
                <w:rFonts w:ascii="Palatino Linotype" w:hAnsi="Palatino Linotype" w:cs="Arial"/>
                <w:sz w:val="22"/>
                <w:szCs w:val="22"/>
              </w:rPr>
            </w:pPr>
          </w:p>
        </w:tc>
        <w:tc>
          <w:tcPr>
            <w:tcW w:w="741" w:type="dxa"/>
          </w:tcPr>
          <w:p w:rsidRPr="00FE67C1" w:rsidR="0039309D" w:rsidRDefault="0039309D" w14:paraId="014CAA4A" w14:textId="77777777">
            <w:pPr>
              <w:rPr>
                <w:rFonts w:ascii="Palatino Linotype" w:hAnsi="Palatino Linotype" w:cs="Arial"/>
                <w:sz w:val="22"/>
                <w:szCs w:val="22"/>
              </w:rPr>
            </w:pPr>
          </w:p>
        </w:tc>
        <w:tc>
          <w:tcPr>
            <w:tcW w:w="741" w:type="dxa"/>
          </w:tcPr>
          <w:p w:rsidRPr="00FE67C1" w:rsidR="0039309D" w:rsidRDefault="0039309D" w14:paraId="752D84CA" w14:textId="77777777">
            <w:pPr>
              <w:rPr>
                <w:rFonts w:ascii="Palatino Linotype" w:hAnsi="Palatino Linotype" w:cs="Arial"/>
                <w:sz w:val="22"/>
                <w:szCs w:val="22"/>
              </w:rPr>
            </w:pPr>
          </w:p>
        </w:tc>
        <w:tc>
          <w:tcPr>
            <w:tcW w:w="741" w:type="dxa"/>
          </w:tcPr>
          <w:p w:rsidRPr="00FE67C1" w:rsidR="0039309D" w:rsidRDefault="0039309D" w14:paraId="6E4C2428" w14:textId="77777777">
            <w:pPr>
              <w:rPr>
                <w:rFonts w:ascii="Palatino Linotype" w:hAnsi="Palatino Linotype" w:cs="Arial"/>
                <w:sz w:val="22"/>
                <w:szCs w:val="22"/>
              </w:rPr>
            </w:pPr>
          </w:p>
        </w:tc>
        <w:tc>
          <w:tcPr>
            <w:tcW w:w="741" w:type="dxa"/>
          </w:tcPr>
          <w:p w:rsidRPr="00FE67C1" w:rsidR="0039309D" w:rsidRDefault="0039309D" w14:paraId="7A13F1C3" w14:textId="77777777">
            <w:pPr>
              <w:rPr>
                <w:rFonts w:ascii="Palatino Linotype" w:hAnsi="Palatino Linotype" w:cs="Arial"/>
                <w:sz w:val="22"/>
                <w:szCs w:val="22"/>
              </w:rPr>
            </w:pPr>
          </w:p>
        </w:tc>
        <w:tc>
          <w:tcPr>
            <w:tcW w:w="741" w:type="dxa"/>
          </w:tcPr>
          <w:p w:rsidRPr="00FE67C1" w:rsidR="0039309D" w:rsidRDefault="0039309D" w14:paraId="6A2EC0F2" w14:textId="77777777">
            <w:pPr>
              <w:rPr>
                <w:rFonts w:ascii="Palatino Linotype" w:hAnsi="Palatino Linotype" w:cs="Arial"/>
                <w:sz w:val="22"/>
                <w:szCs w:val="22"/>
              </w:rPr>
            </w:pPr>
          </w:p>
        </w:tc>
        <w:tc>
          <w:tcPr>
            <w:tcW w:w="741" w:type="dxa"/>
          </w:tcPr>
          <w:p w:rsidRPr="00FE67C1" w:rsidR="0039309D" w:rsidRDefault="0039309D" w14:paraId="1EACEE8A" w14:textId="77777777">
            <w:pPr>
              <w:rPr>
                <w:rFonts w:ascii="Palatino Linotype" w:hAnsi="Palatino Linotype" w:cs="Arial"/>
                <w:sz w:val="22"/>
                <w:szCs w:val="22"/>
              </w:rPr>
            </w:pPr>
          </w:p>
        </w:tc>
        <w:tc>
          <w:tcPr>
            <w:tcW w:w="741" w:type="dxa"/>
          </w:tcPr>
          <w:p w:rsidRPr="00FE67C1" w:rsidR="0039309D" w:rsidRDefault="0039309D" w14:paraId="6B47E9D0" w14:textId="77777777">
            <w:pPr>
              <w:rPr>
                <w:rFonts w:ascii="Palatino Linotype" w:hAnsi="Palatino Linotype" w:cs="Arial"/>
                <w:sz w:val="22"/>
                <w:szCs w:val="22"/>
              </w:rPr>
            </w:pPr>
          </w:p>
        </w:tc>
        <w:tc>
          <w:tcPr>
            <w:tcW w:w="741" w:type="dxa"/>
          </w:tcPr>
          <w:p w:rsidRPr="00FE67C1" w:rsidR="0039309D" w:rsidRDefault="0039309D" w14:paraId="40E1CDEB" w14:textId="77777777">
            <w:pPr>
              <w:rPr>
                <w:rFonts w:ascii="Palatino Linotype" w:hAnsi="Palatino Linotype" w:cs="Arial"/>
                <w:sz w:val="22"/>
                <w:szCs w:val="22"/>
              </w:rPr>
            </w:pPr>
          </w:p>
        </w:tc>
      </w:tr>
      <w:tr w:rsidR="0039309D" w14:paraId="687AFDC3" w14:textId="77777777">
        <w:tc>
          <w:tcPr>
            <w:tcW w:w="1165" w:type="dxa"/>
          </w:tcPr>
          <w:p w:rsidR="0039309D" w:rsidRDefault="0039309D" w14:paraId="360D52CA" w14:textId="77777777">
            <w:pPr>
              <w:rPr>
                <w:rFonts w:ascii="Palatino Linotype" w:hAnsi="Palatino Linotype" w:cs="Arial"/>
                <w:sz w:val="22"/>
                <w:szCs w:val="22"/>
              </w:rPr>
            </w:pPr>
            <w:r>
              <w:rPr>
                <w:rFonts w:ascii="Palatino Linotype" w:hAnsi="Palatino Linotype" w:cs="Arial"/>
                <w:sz w:val="22"/>
                <w:szCs w:val="22"/>
              </w:rPr>
              <w:t>Public</w:t>
            </w:r>
          </w:p>
          <w:p w:rsidRPr="00FE67C1" w:rsidR="0039309D" w:rsidRDefault="0039309D" w14:paraId="382DF19D" w14:textId="77777777">
            <w:pPr>
              <w:rPr>
                <w:rFonts w:ascii="Palatino Linotype" w:hAnsi="Palatino Linotype" w:cs="Arial"/>
                <w:sz w:val="22"/>
                <w:szCs w:val="22"/>
              </w:rPr>
            </w:pPr>
            <w:r w:rsidRPr="00FE67C1">
              <w:rPr>
                <w:rFonts w:ascii="Palatino Linotype" w:hAnsi="Palatino Linotype" w:cs="Arial"/>
                <w:sz w:val="22"/>
                <w:szCs w:val="22"/>
              </w:rPr>
              <w:t>Equity Actual</w:t>
            </w:r>
          </w:p>
        </w:tc>
        <w:tc>
          <w:tcPr>
            <w:tcW w:w="670" w:type="dxa"/>
          </w:tcPr>
          <w:p w:rsidRPr="00FE67C1" w:rsidR="0039309D" w:rsidRDefault="0039309D" w14:paraId="559AF2E5" w14:textId="77777777">
            <w:pPr>
              <w:rPr>
                <w:rFonts w:ascii="Palatino Linotype" w:hAnsi="Palatino Linotype" w:cs="Arial"/>
                <w:sz w:val="22"/>
                <w:szCs w:val="22"/>
              </w:rPr>
            </w:pPr>
          </w:p>
        </w:tc>
        <w:tc>
          <w:tcPr>
            <w:tcW w:w="741" w:type="dxa"/>
          </w:tcPr>
          <w:p w:rsidRPr="00FE67C1" w:rsidR="0039309D" w:rsidRDefault="0039309D" w14:paraId="34651362" w14:textId="77777777">
            <w:pPr>
              <w:rPr>
                <w:rFonts w:ascii="Palatino Linotype" w:hAnsi="Palatino Linotype" w:cs="Arial"/>
                <w:sz w:val="22"/>
                <w:szCs w:val="22"/>
              </w:rPr>
            </w:pPr>
          </w:p>
        </w:tc>
        <w:tc>
          <w:tcPr>
            <w:tcW w:w="741" w:type="dxa"/>
          </w:tcPr>
          <w:p w:rsidRPr="00FE67C1" w:rsidR="0039309D" w:rsidRDefault="0039309D" w14:paraId="24A5686D" w14:textId="77777777">
            <w:pPr>
              <w:rPr>
                <w:rFonts w:ascii="Palatino Linotype" w:hAnsi="Palatino Linotype" w:cs="Arial"/>
                <w:sz w:val="22"/>
                <w:szCs w:val="22"/>
              </w:rPr>
            </w:pPr>
          </w:p>
        </w:tc>
        <w:tc>
          <w:tcPr>
            <w:tcW w:w="741" w:type="dxa"/>
          </w:tcPr>
          <w:p w:rsidRPr="00FE67C1" w:rsidR="0039309D" w:rsidRDefault="0039309D" w14:paraId="78A3DE8F" w14:textId="77777777">
            <w:pPr>
              <w:rPr>
                <w:rFonts w:ascii="Palatino Linotype" w:hAnsi="Palatino Linotype" w:cs="Arial"/>
                <w:sz w:val="22"/>
                <w:szCs w:val="22"/>
              </w:rPr>
            </w:pPr>
          </w:p>
        </w:tc>
        <w:tc>
          <w:tcPr>
            <w:tcW w:w="741" w:type="dxa"/>
          </w:tcPr>
          <w:p w:rsidRPr="00FE67C1" w:rsidR="0039309D" w:rsidRDefault="0039309D" w14:paraId="419E004C" w14:textId="77777777">
            <w:pPr>
              <w:rPr>
                <w:rFonts w:ascii="Palatino Linotype" w:hAnsi="Palatino Linotype" w:cs="Arial"/>
                <w:sz w:val="22"/>
                <w:szCs w:val="22"/>
              </w:rPr>
            </w:pPr>
          </w:p>
        </w:tc>
        <w:tc>
          <w:tcPr>
            <w:tcW w:w="741" w:type="dxa"/>
          </w:tcPr>
          <w:p w:rsidRPr="00FE67C1" w:rsidR="0039309D" w:rsidRDefault="0039309D" w14:paraId="657E3042" w14:textId="77777777">
            <w:pPr>
              <w:rPr>
                <w:rFonts w:ascii="Palatino Linotype" w:hAnsi="Palatino Linotype" w:cs="Arial"/>
                <w:sz w:val="22"/>
                <w:szCs w:val="22"/>
              </w:rPr>
            </w:pPr>
          </w:p>
        </w:tc>
        <w:tc>
          <w:tcPr>
            <w:tcW w:w="741" w:type="dxa"/>
          </w:tcPr>
          <w:p w:rsidRPr="00FE67C1" w:rsidR="0039309D" w:rsidRDefault="0039309D" w14:paraId="350E4D36" w14:textId="77777777">
            <w:pPr>
              <w:rPr>
                <w:rFonts w:ascii="Palatino Linotype" w:hAnsi="Palatino Linotype" w:cs="Arial"/>
                <w:sz w:val="22"/>
                <w:szCs w:val="22"/>
              </w:rPr>
            </w:pPr>
          </w:p>
        </w:tc>
        <w:tc>
          <w:tcPr>
            <w:tcW w:w="741" w:type="dxa"/>
          </w:tcPr>
          <w:p w:rsidRPr="00FE67C1" w:rsidR="0039309D" w:rsidRDefault="0039309D" w14:paraId="00B4E66A" w14:textId="77777777">
            <w:pPr>
              <w:rPr>
                <w:rFonts w:ascii="Palatino Linotype" w:hAnsi="Palatino Linotype" w:cs="Arial"/>
                <w:sz w:val="22"/>
                <w:szCs w:val="22"/>
              </w:rPr>
            </w:pPr>
          </w:p>
        </w:tc>
        <w:tc>
          <w:tcPr>
            <w:tcW w:w="741" w:type="dxa"/>
          </w:tcPr>
          <w:p w:rsidRPr="00FE67C1" w:rsidR="0039309D" w:rsidRDefault="0039309D" w14:paraId="36F82329" w14:textId="77777777">
            <w:pPr>
              <w:rPr>
                <w:rFonts w:ascii="Palatino Linotype" w:hAnsi="Palatino Linotype" w:cs="Arial"/>
                <w:sz w:val="22"/>
                <w:szCs w:val="22"/>
              </w:rPr>
            </w:pPr>
          </w:p>
        </w:tc>
        <w:tc>
          <w:tcPr>
            <w:tcW w:w="741" w:type="dxa"/>
          </w:tcPr>
          <w:p w:rsidRPr="00FE67C1" w:rsidR="0039309D" w:rsidRDefault="0039309D" w14:paraId="6869ADA4" w14:textId="77777777">
            <w:pPr>
              <w:rPr>
                <w:rFonts w:ascii="Palatino Linotype" w:hAnsi="Palatino Linotype" w:cs="Arial"/>
                <w:sz w:val="22"/>
                <w:szCs w:val="22"/>
              </w:rPr>
            </w:pPr>
          </w:p>
        </w:tc>
        <w:tc>
          <w:tcPr>
            <w:tcW w:w="741" w:type="dxa"/>
          </w:tcPr>
          <w:p w:rsidRPr="00FE67C1" w:rsidR="0039309D" w:rsidRDefault="0039309D" w14:paraId="39375867" w14:textId="77777777">
            <w:pPr>
              <w:rPr>
                <w:rFonts w:ascii="Palatino Linotype" w:hAnsi="Palatino Linotype" w:cs="Arial"/>
                <w:sz w:val="22"/>
                <w:szCs w:val="22"/>
              </w:rPr>
            </w:pPr>
          </w:p>
        </w:tc>
        <w:tc>
          <w:tcPr>
            <w:tcW w:w="741" w:type="dxa"/>
          </w:tcPr>
          <w:p w:rsidRPr="00FE67C1" w:rsidR="0039309D" w:rsidRDefault="0039309D" w14:paraId="1B472982" w14:textId="77777777">
            <w:pPr>
              <w:rPr>
                <w:rFonts w:ascii="Palatino Linotype" w:hAnsi="Palatino Linotype" w:cs="Arial"/>
                <w:sz w:val="22"/>
                <w:szCs w:val="22"/>
              </w:rPr>
            </w:pPr>
          </w:p>
        </w:tc>
        <w:tc>
          <w:tcPr>
            <w:tcW w:w="741" w:type="dxa"/>
          </w:tcPr>
          <w:p w:rsidRPr="00FE67C1" w:rsidR="0039309D" w:rsidRDefault="0039309D" w14:paraId="14101BA6" w14:textId="77777777">
            <w:pPr>
              <w:rPr>
                <w:rFonts w:ascii="Palatino Linotype" w:hAnsi="Palatino Linotype" w:cs="Arial"/>
                <w:sz w:val="22"/>
                <w:szCs w:val="22"/>
              </w:rPr>
            </w:pPr>
          </w:p>
        </w:tc>
        <w:tc>
          <w:tcPr>
            <w:tcW w:w="741" w:type="dxa"/>
          </w:tcPr>
          <w:p w:rsidRPr="00FE67C1" w:rsidR="0039309D" w:rsidRDefault="0039309D" w14:paraId="4901645B" w14:textId="77777777">
            <w:pPr>
              <w:rPr>
                <w:rFonts w:ascii="Palatino Linotype" w:hAnsi="Palatino Linotype" w:cs="Arial"/>
                <w:sz w:val="22"/>
                <w:szCs w:val="22"/>
              </w:rPr>
            </w:pPr>
          </w:p>
        </w:tc>
        <w:tc>
          <w:tcPr>
            <w:tcW w:w="741" w:type="dxa"/>
          </w:tcPr>
          <w:p w:rsidRPr="00FE67C1" w:rsidR="0039309D" w:rsidRDefault="0039309D" w14:paraId="5573C19C" w14:textId="77777777">
            <w:pPr>
              <w:rPr>
                <w:rFonts w:ascii="Palatino Linotype" w:hAnsi="Palatino Linotype" w:cs="Arial"/>
                <w:sz w:val="22"/>
                <w:szCs w:val="22"/>
              </w:rPr>
            </w:pPr>
          </w:p>
        </w:tc>
        <w:tc>
          <w:tcPr>
            <w:tcW w:w="741" w:type="dxa"/>
          </w:tcPr>
          <w:p w:rsidRPr="00FE67C1" w:rsidR="0039309D" w:rsidRDefault="0039309D" w14:paraId="54D7739C" w14:textId="77777777">
            <w:pPr>
              <w:rPr>
                <w:rFonts w:ascii="Palatino Linotype" w:hAnsi="Palatino Linotype" w:cs="Arial"/>
                <w:sz w:val="22"/>
                <w:szCs w:val="22"/>
              </w:rPr>
            </w:pPr>
          </w:p>
        </w:tc>
      </w:tr>
      <w:tr w:rsidR="0039309D" w14:paraId="4925FF5F" w14:textId="77777777">
        <w:tc>
          <w:tcPr>
            <w:tcW w:w="1165" w:type="dxa"/>
          </w:tcPr>
          <w:p w:rsidRPr="00FE67C1" w:rsidR="0039309D" w:rsidRDefault="0039309D" w14:paraId="516616BA" w14:textId="77777777">
            <w:pPr>
              <w:rPr>
                <w:rFonts w:ascii="Palatino Linotype" w:hAnsi="Palatino Linotype" w:cs="Arial"/>
                <w:sz w:val="22"/>
                <w:szCs w:val="22"/>
              </w:rPr>
            </w:pPr>
            <w:r>
              <w:rPr>
                <w:rFonts w:ascii="Palatino Linotype" w:hAnsi="Palatino Linotype" w:cs="Arial"/>
                <w:sz w:val="22"/>
                <w:szCs w:val="22"/>
              </w:rPr>
              <w:t>Public</w:t>
            </w:r>
            <w:r w:rsidRPr="00FE67C1">
              <w:rPr>
                <w:rFonts w:ascii="Palatino Linotype" w:hAnsi="Palatino Linotype" w:cs="Arial"/>
                <w:sz w:val="22"/>
                <w:szCs w:val="22"/>
              </w:rPr>
              <w:t xml:space="preserve"> RA Projected</w:t>
            </w:r>
          </w:p>
        </w:tc>
        <w:tc>
          <w:tcPr>
            <w:tcW w:w="670" w:type="dxa"/>
          </w:tcPr>
          <w:p w:rsidRPr="00FE67C1" w:rsidR="0039309D" w:rsidRDefault="0039309D" w14:paraId="5482C532" w14:textId="77777777">
            <w:pPr>
              <w:rPr>
                <w:rFonts w:ascii="Palatino Linotype" w:hAnsi="Palatino Linotype" w:cs="Arial"/>
                <w:sz w:val="22"/>
                <w:szCs w:val="22"/>
              </w:rPr>
            </w:pPr>
          </w:p>
        </w:tc>
        <w:tc>
          <w:tcPr>
            <w:tcW w:w="741" w:type="dxa"/>
          </w:tcPr>
          <w:p w:rsidRPr="00FE67C1" w:rsidR="0039309D" w:rsidRDefault="0039309D" w14:paraId="37D3F105" w14:textId="77777777">
            <w:pPr>
              <w:rPr>
                <w:rFonts w:ascii="Palatino Linotype" w:hAnsi="Palatino Linotype" w:cs="Arial"/>
                <w:sz w:val="22"/>
                <w:szCs w:val="22"/>
              </w:rPr>
            </w:pPr>
          </w:p>
        </w:tc>
        <w:tc>
          <w:tcPr>
            <w:tcW w:w="741" w:type="dxa"/>
          </w:tcPr>
          <w:p w:rsidRPr="00FE67C1" w:rsidR="0039309D" w:rsidRDefault="0039309D" w14:paraId="58D22F32" w14:textId="77777777">
            <w:pPr>
              <w:rPr>
                <w:rFonts w:ascii="Palatino Linotype" w:hAnsi="Palatino Linotype" w:cs="Arial"/>
                <w:sz w:val="22"/>
                <w:szCs w:val="22"/>
              </w:rPr>
            </w:pPr>
          </w:p>
        </w:tc>
        <w:tc>
          <w:tcPr>
            <w:tcW w:w="741" w:type="dxa"/>
          </w:tcPr>
          <w:p w:rsidRPr="00FE67C1" w:rsidR="0039309D" w:rsidRDefault="0039309D" w14:paraId="12697DF7" w14:textId="77777777">
            <w:pPr>
              <w:rPr>
                <w:rFonts w:ascii="Palatino Linotype" w:hAnsi="Palatino Linotype" w:cs="Arial"/>
                <w:sz w:val="22"/>
                <w:szCs w:val="22"/>
              </w:rPr>
            </w:pPr>
          </w:p>
        </w:tc>
        <w:tc>
          <w:tcPr>
            <w:tcW w:w="741" w:type="dxa"/>
          </w:tcPr>
          <w:p w:rsidRPr="00FE67C1" w:rsidR="0039309D" w:rsidRDefault="0039309D" w14:paraId="74121650" w14:textId="77777777">
            <w:pPr>
              <w:rPr>
                <w:rFonts w:ascii="Palatino Linotype" w:hAnsi="Palatino Linotype" w:cs="Arial"/>
                <w:sz w:val="22"/>
                <w:szCs w:val="22"/>
              </w:rPr>
            </w:pPr>
          </w:p>
        </w:tc>
        <w:tc>
          <w:tcPr>
            <w:tcW w:w="741" w:type="dxa"/>
          </w:tcPr>
          <w:p w:rsidRPr="00FE67C1" w:rsidR="0039309D" w:rsidRDefault="0039309D" w14:paraId="74EEF3FE" w14:textId="77777777">
            <w:pPr>
              <w:rPr>
                <w:rFonts w:ascii="Palatino Linotype" w:hAnsi="Palatino Linotype" w:cs="Arial"/>
                <w:sz w:val="22"/>
                <w:szCs w:val="22"/>
              </w:rPr>
            </w:pPr>
          </w:p>
        </w:tc>
        <w:tc>
          <w:tcPr>
            <w:tcW w:w="741" w:type="dxa"/>
          </w:tcPr>
          <w:p w:rsidRPr="00FE67C1" w:rsidR="0039309D" w:rsidRDefault="0039309D" w14:paraId="0E135E13" w14:textId="77777777">
            <w:pPr>
              <w:rPr>
                <w:rFonts w:ascii="Palatino Linotype" w:hAnsi="Palatino Linotype" w:cs="Arial"/>
                <w:sz w:val="22"/>
                <w:szCs w:val="22"/>
              </w:rPr>
            </w:pPr>
          </w:p>
        </w:tc>
        <w:tc>
          <w:tcPr>
            <w:tcW w:w="741" w:type="dxa"/>
          </w:tcPr>
          <w:p w:rsidRPr="00FE67C1" w:rsidR="0039309D" w:rsidRDefault="0039309D" w14:paraId="180CA9B0" w14:textId="77777777">
            <w:pPr>
              <w:rPr>
                <w:rFonts w:ascii="Palatino Linotype" w:hAnsi="Palatino Linotype" w:cs="Arial"/>
                <w:sz w:val="22"/>
                <w:szCs w:val="22"/>
              </w:rPr>
            </w:pPr>
          </w:p>
        </w:tc>
        <w:tc>
          <w:tcPr>
            <w:tcW w:w="741" w:type="dxa"/>
          </w:tcPr>
          <w:p w:rsidRPr="00FE67C1" w:rsidR="0039309D" w:rsidRDefault="0039309D" w14:paraId="38D693EA" w14:textId="77777777">
            <w:pPr>
              <w:rPr>
                <w:rFonts w:ascii="Palatino Linotype" w:hAnsi="Palatino Linotype" w:cs="Arial"/>
                <w:sz w:val="22"/>
                <w:szCs w:val="22"/>
              </w:rPr>
            </w:pPr>
          </w:p>
        </w:tc>
        <w:tc>
          <w:tcPr>
            <w:tcW w:w="741" w:type="dxa"/>
          </w:tcPr>
          <w:p w:rsidRPr="00FE67C1" w:rsidR="0039309D" w:rsidRDefault="0039309D" w14:paraId="1AF53CB8" w14:textId="77777777">
            <w:pPr>
              <w:rPr>
                <w:rFonts w:ascii="Palatino Linotype" w:hAnsi="Palatino Linotype" w:cs="Arial"/>
                <w:sz w:val="22"/>
                <w:szCs w:val="22"/>
              </w:rPr>
            </w:pPr>
          </w:p>
        </w:tc>
        <w:tc>
          <w:tcPr>
            <w:tcW w:w="741" w:type="dxa"/>
          </w:tcPr>
          <w:p w:rsidRPr="00FE67C1" w:rsidR="0039309D" w:rsidRDefault="0039309D" w14:paraId="4D2727F9" w14:textId="77777777">
            <w:pPr>
              <w:rPr>
                <w:rFonts w:ascii="Palatino Linotype" w:hAnsi="Palatino Linotype" w:cs="Arial"/>
                <w:sz w:val="22"/>
                <w:szCs w:val="22"/>
              </w:rPr>
            </w:pPr>
          </w:p>
        </w:tc>
        <w:tc>
          <w:tcPr>
            <w:tcW w:w="741" w:type="dxa"/>
          </w:tcPr>
          <w:p w:rsidRPr="00FE67C1" w:rsidR="0039309D" w:rsidRDefault="0039309D" w14:paraId="72356015" w14:textId="77777777">
            <w:pPr>
              <w:rPr>
                <w:rFonts w:ascii="Palatino Linotype" w:hAnsi="Palatino Linotype" w:cs="Arial"/>
                <w:sz w:val="22"/>
                <w:szCs w:val="22"/>
              </w:rPr>
            </w:pPr>
          </w:p>
        </w:tc>
        <w:tc>
          <w:tcPr>
            <w:tcW w:w="741" w:type="dxa"/>
          </w:tcPr>
          <w:p w:rsidRPr="00FE67C1" w:rsidR="0039309D" w:rsidRDefault="0039309D" w14:paraId="04B403AA" w14:textId="77777777">
            <w:pPr>
              <w:rPr>
                <w:rFonts w:ascii="Palatino Linotype" w:hAnsi="Palatino Linotype" w:cs="Arial"/>
                <w:sz w:val="22"/>
                <w:szCs w:val="22"/>
              </w:rPr>
            </w:pPr>
          </w:p>
        </w:tc>
        <w:tc>
          <w:tcPr>
            <w:tcW w:w="741" w:type="dxa"/>
          </w:tcPr>
          <w:p w:rsidRPr="00FE67C1" w:rsidR="0039309D" w:rsidRDefault="0039309D" w14:paraId="08FD31F4" w14:textId="77777777">
            <w:pPr>
              <w:rPr>
                <w:rFonts w:ascii="Palatino Linotype" w:hAnsi="Palatino Linotype" w:cs="Arial"/>
                <w:sz w:val="22"/>
                <w:szCs w:val="22"/>
              </w:rPr>
            </w:pPr>
          </w:p>
        </w:tc>
        <w:tc>
          <w:tcPr>
            <w:tcW w:w="741" w:type="dxa"/>
          </w:tcPr>
          <w:p w:rsidRPr="00FE67C1" w:rsidR="0039309D" w:rsidRDefault="0039309D" w14:paraId="74722305" w14:textId="77777777">
            <w:pPr>
              <w:rPr>
                <w:rFonts w:ascii="Palatino Linotype" w:hAnsi="Palatino Linotype" w:cs="Arial"/>
                <w:sz w:val="22"/>
                <w:szCs w:val="22"/>
              </w:rPr>
            </w:pPr>
          </w:p>
        </w:tc>
        <w:tc>
          <w:tcPr>
            <w:tcW w:w="741" w:type="dxa"/>
          </w:tcPr>
          <w:p w:rsidRPr="00FE67C1" w:rsidR="0039309D" w:rsidRDefault="0039309D" w14:paraId="59B67EA9" w14:textId="77777777">
            <w:pPr>
              <w:rPr>
                <w:rFonts w:ascii="Palatino Linotype" w:hAnsi="Palatino Linotype" w:cs="Arial"/>
                <w:sz w:val="22"/>
                <w:szCs w:val="22"/>
              </w:rPr>
            </w:pPr>
          </w:p>
        </w:tc>
      </w:tr>
      <w:tr w:rsidR="0039309D" w14:paraId="0EA72669" w14:textId="77777777">
        <w:tc>
          <w:tcPr>
            <w:tcW w:w="1165" w:type="dxa"/>
          </w:tcPr>
          <w:p w:rsidRPr="00FE67C1" w:rsidR="0039309D" w:rsidRDefault="0039309D" w14:paraId="51C2C184" w14:textId="77777777">
            <w:pPr>
              <w:rPr>
                <w:rFonts w:ascii="Palatino Linotype" w:hAnsi="Palatino Linotype" w:cs="Arial"/>
                <w:sz w:val="22"/>
                <w:szCs w:val="22"/>
              </w:rPr>
            </w:pPr>
            <w:r>
              <w:rPr>
                <w:rFonts w:ascii="Palatino Linotype" w:hAnsi="Palatino Linotype" w:cs="Arial"/>
                <w:sz w:val="22"/>
                <w:szCs w:val="22"/>
              </w:rPr>
              <w:t>Public</w:t>
            </w:r>
            <w:r w:rsidRPr="00FE67C1">
              <w:rPr>
                <w:rFonts w:ascii="Palatino Linotype" w:hAnsi="Palatino Linotype" w:cs="Arial"/>
                <w:sz w:val="22"/>
                <w:szCs w:val="22"/>
              </w:rPr>
              <w:t xml:space="preserve"> RA Actual</w:t>
            </w:r>
          </w:p>
        </w:tc>
        <w:tc>
          <w:tcPr>
            <w:tcW w:w="670" w:type="dxa"/>
          </w:tcPr>
          <w:p w:rsidRPr="00FE67C1" w:rsidR="0039309D" w:rsidRDefault="0039309D" w14:paraId="3786D545" w14:textId="77777777">
            <w:pPr>
              <w:rPr>
                <w:rFonts w:ascii="Palatino Linotype" w:hAnsi="Palatino Linotype" w:cs="Arial"/>
                <w:sz w:val="22"/>
                <w:szCs w:val="22"/>
              </w:rPr>
            </w:pPr>
          </w:p>
        </w:tc>
        <w:tc>
          <w:tcPr>
            <w:tcW w:w="741" w:type="dxa"/>
          </w:tcPr>
          <w:p w:rsidRPr="00FE67C1" w:rsidR="0039309D" w:rsidRDefault="0039309D" w14:paraId="4AB09C9F" w14:textId="77777777">
            <w:pPr>
              <w:rPr>
                <w:rFonts w:ascii="Palatino Linotype" w:hAnsi="Palatino Linotype" w:cs="Arial"/>
                <w:sz w:val="22"/>
                <w:szCs w:val="22"/>
              </w:rPr>
            </w:pPr>
          </w:p>
        </w:tc>
        <w:tc>
          <w:tcPr>
            <w:tcW w:w="741" w:type="dxa"/>
          </w:tcPr>
          <w:p w:rsidRPr="00FE67C1" w:rsidR="0039309D" w:rsidRDefault="0039309D" w14:paraId="74755075" w14:textId="77777777">
            <w:pPr>
              <w:rPr>
                <w:rFonts w:ascii="Palatino Linotype" w:hAnsi="Palatino Linotype" w:cs="Arial"/>
                <w:sz w:val="22"/>
                <w:szCs w:val="22"/>
              </w:rPr>
            </w:pPr>
          </w:p>
        </w:tc>
        <w:tc>
          <w:tcPr>
            <w:tcW w:w="741" w:type="dxa"/>
          </w:tcPr>
          <w:p w:rsidRPr="00FE67C1" w:rsidR="0039309D" w:rsidRDefault="0039309D" w14:paraId="539C8A65" w14:textId="77777777">
            <w:pPr>
              <w:rPr>
                <w:rFonts w:ascii="Palatino Linotype" w:hAnsi="Palatino Linotype" w:cs="Arial"/>
                <w:sz w:val="22"/>
                <w:szCs w:val="22"/>
              </w:rPr>
            </w:pPr>
          </w:p>
        </w:tc>
        <w:tc>
          <w:tcPr>
            <w:tcW w:w="741" w:type="dxa"/>
          </w:tcPr>
          <w:p w:rsidRPr="00FE67C1" w:rsidR="0039309D" w:rsidRDefault="0039309D" w14:paraId="37762221" w14:textId="77777777">
            <w:pPr>
              <w:rPr>
                <w:rFonts w:ascii="Palatino Linotype" w:hAnsi="Palatino Linotype" w:cs="Arial"/>
                <w:sz w:val="22"/>
                <w:szCs w:val="22"/>
              </w:rPr>
            </w:pPr>
          </w:p>
        </w:tc>
        <w:tc>
          <w:tcPr>
            <w:tcW w:w="741" w:type="dxa"/>
          </w:tcPr>
          <w:p w:rsidRPr="00FE67C1" w:rsidR="0039309D" w:rsidRDefault="0039309D" w14:paraId="4A0812DF" w14:textId="77777777">
            <w:pPr>
              <w:rPr>
                <w:rFonts w:ascii="Palatino Linotype" w:hAnsi="Palatino Linotype" w:cs="Arial"/>
                <w:sz w:val="22"/>
                <w:szCs w:val="22"/>
              </w:rPr>
            </w:pPr>
          </w:p>
        </w:tc>
        <w:tc>
          <w:tcPr>
            <w:tcW w:w="741" w:type="dxa"/>
          </w:tcPr>
          <w:p w:rsidRPr="00FE67C1" w:rsidR="0039309D" w:rsidRDefault="0039309D" w14:paraId="32C8C868" w14:textId="77777777">
            <w:pPr>
              <w:rPr>
                <w:rFonts w:ascii="Palatino Linotype" w:hAnsi="Palatino Linotype" w:cs="Arial"/>
                <w:sz w:val="22"/>
                <w:szCs w:val="22"/>
              </w:rPr>
            </w:pPr>
          </w:p>
        </w:tc>
        <w:tc>
          <w:tcPr>
            <w:tcW w:w="741" w:type="dxa"/>
          </w:tcPr>
          <w:p w:rsidRPr="00FE67C1" w:rsidR="0039309D" w:rsidRDefault="0039309D" w14:paraId="5BBD1DFD" w14:textId="77777777">
            <w:pPr>
              <w:rPr>
                <w:rFonts w:ascii="Palatino Linotype" w:hAnsi="Palatino Linotype" w:cs="Arial"/>
                <w:sz w:val="22"/>
                <w:szCs w:val="22"/>
              </w:rPr>
            </w:pPr>
          </w:p>
        </w:tc>
        <w:tc>
          <w:tcPr>
            <w:tcW w:w="741" w:type="dxa"/>
          </w:tcPr>
          <w:p w:rsidRPr="00FE67C1" w:rsidR="0039309D" w:rsidRDefault="0039309D" w14:paraId="01345572" w14:textId="77777777">
            <w:pPr>
              <w:rPr>
                <w:rFonts w:ascii="Palatino Linotype" w:hAnsi="Palatino Linotype" w:cs="Arial"/>
                <w:sz w:val="22"/>
                <w:szCs w:val="22"/>
              </w:rPr>
            </w:pPr>
          </w:p>
        </w:tc>
        <w:tc>
          <w:tcPr>
            <w:tcW w:w="741" w:type="dxa"/>
          </w:tcPr>
          <w:p w:rsidRPr="00FE67C1" w:rsidR="0039309D" w:rsidRDefault="0039309D" w14:paraId="4FBEA46B" w14:textId="77777777">
            <w:pPr>
              <w:rPr>
                <w:rFonts w:ascii="Palatino Linotype" w:hAnsi="Palatino Linotype" w:cs="Arial"/>
                <w:sz w:val="22"/>
                <w:szCs w:val="22"/>
              </w:rPr>
            </w:pPr>
          </w:p>
        </w:tc>
        <w:tc>
          <w:tcPr>
            <w:tcW w:w="741" w:type="dxa"/>
          </w:tcPr>
          <w:p w:rsidRPr="00FE67C1" w:rsidR="0039309D" w:rsidRDefault="0039309D" w14:paraId="5FB68AF1" w14:textId="77777777">
            <w:pPr>
              <w:rPr>
                <w:rFonts w:ascii="Palatino Linotype" w:hAnsi="Palatino Linotype" w:cs="Arial"/>
                <w:sz w:val="22"/>
                <w:szCs w:val="22"/>
              </w:rPr>
            </w:pPr>
          </w:p>
        </w:tc>
        <w:tc>
          <w:tcPr>
            <w:tcW w:w="741" w:type="dxa"/>
          </w:tcPr>
          <w:p w:rsidRPr="00FE67C1" w:rsidR="0039309D" w:rsidRDefault="0039309D" w14:paraId="78FD1E55" w14:textId="77777777">
            <w:pPr>
              <w:rPr>
                <w:rFonts w:ascii="Palatino Linotype" w:hAnsi="Palatino Linotype" w:cs="Arial"/>
                <w:sz w:val="22"/>
                <w:szCs w:val="22"/>
              </w:rPr>
            </w:pPr>
          </w:p>
        </w:tc>
        <w:tc>
          <w:tcPr>
            <w:tcW w:w="741" w:type="dxa"/>
          </w:tcPr>
          <w:p w:rsidRPr="00FE67C1" w:rsidR="0039309D" w:rsidRDefault="0039309D" w14:paraId="21819A77" w14:textId="77777777">
            <w:pPr>
              <w:rPr>
                <w:rFonts w:ascii="Palatino Linotype" w:hAnsi="Palatino Linotype" w:cs="Arial"/>
                <w:sz w:val="22"/>
                <w:szCs w:val="22"/>
              </w:rPr>
            </w:pPr>
          </w:p>
        </w:tc>
        <w:tc>
          <w:tcPr>
            <w:tcW w:w="741" w:type="dxa"/>
          </w:tcPr>
          <w:p w:rsidRPr="00FE67C1" w:rsidR="0039309D" w:rsidRDefault="0039309D" w14:paraId="040F9D2D" w14:textId="77777777">
            <w:pPr>
              <w:rPr>
                <w:rFonts w:ascii="Palatino Linotype" w:hAnsi="Palatino Linotype" w:cs="Arial"/>
                <w:sz w:val="22"/>
                <w:szCs w:val="22"/>
              </w:rPr>
            </w:pPr>
          </w:p>
        </w:tc>
        <w:tc>
          <w:tcPr>
            <w:tcW w:w="741" w:type="dxa"/>
          </w:tcPr>
          <w:p w:rsidRPr="00FE67C1" w:rsidR="0039309D" w:rsidRDefault="0039309D" w14:paraId="660D87EF" w14:textId="77777777">
            <w:pPr>
              <w:rPr>
                <w:rFonts w:ascii="Palatino Linotype" w:hAnsi="Palatino Linotype" w:cs="Arial"/>
                <w:sz w:val="22"/>
                <w:szCs w:val="22"/>
              </w:rPr>
            </w:pPr>
          </w:p>
        </w:tc>
        <w:tc>
          <w:tcPr>
            <w:tcW w:w="741" w:type="dxa"/>
          </w:tcPr>
          <w:p w:rsidRPr="00FE67C1" w:rsidR="0039309D" w:rsidRDefault="0039309D" w14:paraId="3024CBB2" w14:textId="77777777">
            <w:pPr>
              <w:rPr>
                <w:rFonts w:ascii="Palatino Linotype" w:hAnsi="Palatino Linotype" w:cs="Arial"/>
                <w:sz w:val="22"/>
                <w:szCs w:val="22"/>
              </w:rPr>
            </w:pPr>
          </w:p>
        </w:tc>
      </w:tr>
    </w:tbl>
    <w:p w:rsidRPr="00A73E71" w:rsidR="0039309D" w:rsidP="00A73E71" w:rsidRDefault="00B0707B" w14:paraId="019C59EF" w14:textId="5203DAD2">
      <w:pPr>
        <w:rPr>
          <w:rFonts w:asciiTheme="majorHAnsi" w:hAnsiTheme="majorHAnsi"/>
        </w:rPr>
      </w:pPr>
      <w:r w:rsidRPr="008160C5">
        <w:rPr>
          <w:rFonts w:ascii="Palatino Linotype" w:hAnsi="Palatino Linotype" w:cs="Arial"/>
          <w:noProof/>
          <w:sz w:val="24"/>
          <w:szCs w:val="24"/>
        </w:rPr>
        <mc:AlternateContent>
          <mc:Choice Requires="wps">
            <w:drawing>
              <wp:anchor distT="45720" distB="45720" distL="114300" distR="114300" simplePos="0" relativeHeight="251663360" behindDoc="0" locked="0" layoutInCell="1" allowOverlap="1" wp14:editId="7D6CFD6F" wp14:anchorId="78EE7D28">
                <wp:simplePos x="0" y="0"/>
                <wp:positionH relativeFrom="column">
                  <wp:posOffset>3169920</wp:posOffset>
                </wp:positionH>
                <wp:positionV relativeFrom="paragraph">
                  <wp:posOffset>1247775</wp:posOffset>
                </wp:positionV>
                <wp:extent cx="1920240" cy="1404620"/>
                <wp:effectExtent l="0" t="0" r="0" b="0"/>
                <wp:wrapSquare wrapText="bothSides"/>
                <wp:docPr id="580180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404620"/>
                        </a:xfrm>
                        <a:prstGeom prst="rect">
                          <a:avLst/>
                        </a:prstGeom>
                        <a:noFill/>
                        <a:ln w="9525">
                          <a:noFill/>
                          <a:miter lim="800000"/>
                          <a:headEnd/>
                          <a:tailEnd/>
                        </a:ln>
                      </wps:spPr>
                      <wps:txbx>
                        <w:txbxContent>
                          <w:p w:rsidRPr="00A855ED" w:rsidR="00B0707B" w:rsidP="00B0707B" w:rsidRDefault="00B0707B" w14:paraId="3EE73205" w14:textId="0BEB52CC">
                            <w:pPr>
                              <w:rPr>
                                <w:rFonts w:ascii="Palatino Linotype" w:hAnsi="Palatino Linotype"/>
                                <w:b/>
                                <w:bCs/>
                                <w:sz w:val="24"/>
                                <w:szCs w:val="24"/>
                              </w:rPr>
                            </w:pPr>
                            <w:r w:rsidRPr="00A855ED">
                              <w:rPr>
                                <w:rFonts w:ascii="Palatino Linotype" w:hAnsi="Palatino Linotype"/>
                                <w:b/>
                                <w:bCs/>
                                <w:sz w:val="24"/>
                                <w:szCs w:val="24"/>
                              </w:rPr>
                              <w:t xml:space="preserve">END OF APPENDIX </w:t>
                            </w:r>
                            <w:r>
                              <w:rPr>
                                <w:rFonts w:ascii="Palatino Linotype" w:hAnsi="Palatino Linotype"/>
                                <w:b/>
                                <w:bCs/>
                                <w:sz w:val="24"/>
                                <w:szCs w:val="24"/>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249.6pt;margin-top:98.25pt;width:151.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" w14:anchorId="78EE7D28">
                <v:textbox style="mso-fit-shape-to-text:t">
                  <w:txbxContent>
                    <w:p w:rsidRPr="00A855ED" w:rsidR="00B0707B" w:rsidP="00B0707B" w:rsidRDefault="00B0707B" w14:paraId="3EE73205" w14:textId="0BEB52CC">
                      <w:pPr>
                        <w:rPr>
                          <w:rFonts w:ascii="Palatino Linotype" w:hAnsi="Palatino Linotype"/>
                          <w:b/>
                          <w:bCs/>
                          <w:sz w:val="24"/>
                          <w:szCs w:val="24"/>
                        </w:rPr>
                      </w:pPr>
                      <w:r w:rsidRPr="00A855ED">
                        <w:rPr>
                          <w:rFonts w:ascii="Palatino Linotype" w:hAnsi="Palatino Linotype"/>
                          <w:b/>
                          <w:bCs/>
                          <w:sz w:val="24"/>
                          <w:szCs w:val="24"/>
                        </w:rPr>
                        <w:t xml:space="preserve">END OF APPENDIX </w:t>
                      </w:r>
                      <w:r>
                        <w:rPr>
                          <w:rFonts w:ascii="Palatino Linotype" w:hAnsi="Palatino Linotype"/>
                          <w:b/>
                          <w:bCs/>
                          <w:sz w:val="24"/>
                          <w:szCs w:val="24"/>
                        </w:rPr>
                        <w:t>C</w:t>
                      </w:r>
                    </w:p>
                  </w:txbxContent>
                </v:textbox>
                <w10:wrap type="square"/>
              </v:shape>
            </w:pict>
          </mc:Fallback>
        </mc:AlternateContent>
      </w:r>
    </w:p>
    <w:sectPr w:rsidRPr="00A73E71" w:rsidR="0039309D" w:rsidSect="00EA6E75">
      <w:footerReference w:type="default" r:id="rId28"/>
      <w:headerReference w:type="first" r:id="rId29"/>
      <w:pgSz w:w="15840" w:h="12240" w:orient="landscape"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D9E40" w14:textId="77777777" w:rsidR="000273AD" w:rsidRDefault="000273AD">
      <w:r>
        <w:separator/>
      </w:r>
    </w:p>
  </w:endnote>
  <w:endnote w:type="continuationSeparator" w:id="0">
    <w:p w14:paraId="5B5D1FBF" w14:textId="77777777" w:rsidR="000273AD" w:rsidRDefault="000273AD">
      <w:r>
        <w:continuationSeparator/>
      </w:r>
    </w:p>
  </w:endnote>
  <w:endnote w:type="continuationNotice" w:id="1">
    <w:p w14:paraId="3F1123C0" w14:textId="77777777" w:rsidR="000273AD" w:rsidRDefault="00027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auto"/>
    <w:pitch w:val="variable"/>
    <w:sig w:usb0="20000A87" w:usb1="08000000" w:usb2="00000008" w:usb3="00000000" w:csb0="0000011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AD1A" w14:textId="77777777" w:rsidR="0039309D" w:rsidRDefault="0039309D" w:rsidP="00DB6B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8C3A3D3" w14:textId="77777777" w:rsidR="0039309D" w:rsidRDefault="003930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E24BE" w14:textId="4E807D34" w:rsidR="005474D7" w:rsidRPr="00CB00B0" w:rsidRDefault="005474D7" w:rsidP="005474D7">
    <w:pPr>
      <w:pStyle w:val="Footer"/>
      <w:tabs>
        <w:tab w:val="clear" w:pos="4320"/>
        <w:tab w:val="center" w:pos="6300"/>
      </w:tabs>
      <w:rPr>
        <w:rFonts w:ascii="Palatino Linotype" w:hAnsi="Palatino Linotype"/>
        <w:sz w:val="24"/>
        <w:szCs w:val="24"/>
      </w:rPr>
    </w:pPr>
    <w:r>
      <w:rPr>
        <w:rStyle w:val="PageNumber"/>
        <w:rFonts w:ascii="Palatino Linotype" w:hAnsi="Palatino Linotype"/>
        <w:sz w:val="24"/>
        <w:szCs w:val="24"/>
      </w:rPr>
      <w:t>C-</w:t>
    </w:r>
    <w:r w:rsidRPr="00CB00B0">
      <w:rPr>
        <w:rStyle w:val="PageNumber"/>
        <w:rFonts w:ascii="Palatino Linotype" w:hAnsi="Palatino Linotype"/>
        <w:sz w:val="24"/>
        <w:szCs w:val="24"/>
      </w:rPr>
      <w:fldChar w:fldCharType="begin"/>
    </w:r>
    <w:r w:rsidRPr="00CB00B0">
      <w:rPr>
        <w:rStyle w:val="PageNumber"/>
        <w:rFonts w:ascii="Palatino Linotype" w:hAnsi="Palatino Linotype"/>
        <w:sz w:val="24"/>
        <w:szCs w:val="24"/>
      </w:rPr>
      <w:instrText xml:space="preserve"> PAGE </w:instrText>
    </w:r>
    <w:r w:rsidRPr="00CB00B0">
      <w:rPr>
        <w:rStyle w:val="PageNumber"/>
        <w:rFonts w:ascii="Palatino Linotype" w:hAnsi="Palatino Linotype"/>
        <w:sz w:val="24"/>
        <w:szCs w:val="24"/>
      </w:rPr>
      <w:fldChar w:fldCharType="separate"/>
    </w:r>
    <w:r w:rsidRPr="00CB00B0">
      <w:rPr>
        <w:rStyle w:val="PageNumber"/>
        <w:rFonts w:ascii="Palatino Linotype" w:hAnsi="Palatino Linotype"/>
        <w:noProof/>
        <w:sz w:val="24"/>
        <w:szCs w:val="24"/>
      </w:rPr>
      <w:t>1</w:t>
    </w:r>
    <w:r w:rsidRPr="00CB00B0">
      <w:rPr>
        <w:rStyle w:val="PageNumber"/>
        <w:rFonts w:ascii="Palatino Linotype" w:hAnsi="Palatino Linotype"/>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1529638469"/>
      <w:docPartObj>
        <w:docPartGallery w:val="Page Numbers (Bottom of Page)"/>
        <w:docPartUnique/>
      </w:docPartObj>
    </w:sdtPr>
    <w:sdtEndPr>
      <w:rPr>
        <w:noProof/>
      </w:rPr>
    </w:sdtEndPr>
    <w:sdtContent>
      <w:p w14:paraId="067575D6" w14:textId="358F543D" w:rsidR="00377DDD" w:rsidRPr="00C90C6D" w:rsidRDefault="00377DDD" w:rsidP="00C90C6D">
        <w:pPr>
          <w:pStyle w:val="Footer"/>
          <w:rPr>
            <w:rFonts w:ascii="Palatino Linotype" w:hAnsi="Palatino Linotype"/>
            <w:sz w:val="24"/>
            <w:szCs w:val="24"/>
          </w:rPr>
        </w:pPr>
        <w:r>
          <w:rPr>
            <w:rFonts w:ascii="Palatino Linotype" w:hAnsi="Palatino Linotype"/>
            <w:sz w:val="24"/>
            <w:szCs w:val="24"/>
          </w:rPr>
          <w:t>C-</w:t>
        </w:r>
        <w:r w:rsidRPr="00C90C6D">
          <w:rPr>
            <w:rFonts w:ascii="Palatino Linotype" w:hAnsi="Palatino Linotype"/>
            <w:sz w:val="24"/>
            <w:szCs w:val="24"/>
          </w:rPr>
          <w:fldChar w:fldCharType="begin"/>
        </w:r>
        <w:r w:rsidRPr="00C90C6D">
          <w:rPr>
            <w:rFonts w:ascii="Palatino Linotype" w:hAnsi="Palatino Linotype"/>
            <w:sz w:val="24"/>
            <w:szCs w:val="24"/>
          </w:rPr>
          <w:instrText xml:space="preserve"> PAGE   \* MERGEFORMAT </w:instrText>
        </w:r>
        <w:r w:rsidRPr="00C90C6D">
          <w:rPr>
            <w:rFonts w:ascii="Palatino Linotype" w:hAnsi="Palatino Linotype"/>
            <w:sz w:val="24"/>
            <w:szCs w:val="24"/>
          </w:rPr>
          <w:fldChar w:fldCharType="separate"/>
        </w:r>
        <w:r w:rsidRPr="00C90C6D">
          <w:rPr>
            <w:rFonts w:ascii="Palatino Linotype" w:hAnsi="Palatino Linotype"/>
            <w:noProof/>
            <w:sz w:val="24"/>
            <w:szCs w:val="24"/>
          </w:rPr>
          <w:t>2</w:t>
        </w:r>
        <w:r w:rsidRPr="00C90C6D">
          <w:rPr>
            <w:rFonts w:ascii="Palatino Linotype" w:hAnsi="Palatino Linotype"/>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1525516920"/>
      <w:docPartObj>
        <w:docPartGallery w:val="Page Numbers (Bottom of Page)"/>
        <w:docPartUnique/>
      </w:docPartObj>
    </w:sdtPr>
    <w:sdtEndPr>
      <w:rPr>
        <w:noProof/>
      </w:rPr>
    </w:sdtEndPr>
    <w:sdtContent>
      <w:p w14:paraId="17491BEC" w14:textId="1E513BFC" w:rsidR="00FB3ADE" w:rsidRPr="00C90C6D" w:rsidRDefault="00FB3ADE" w:rsidP="00C90C6D">
        <w:pPr>
          <w:pStyle w:val="Footer"/>
          <w:rPr>
            <w:rFonts w:ascii="Palatino Linotype" w:hAnsi="Palatino Linotype"/>
            <w:sz w:val="24"/>
            <w:szCs w:val="24"/>
          </w:rPr>
        </w:pPr>
        <w:r w:rsidRPr="00C90C6D">
          <w:rPr>
            <w:rFonts w:ascii="Palatino Linotype" w:hAnsi="Palatino Linotype"/>
            <w:sz w:val="24"/>
            <w:szCs w:val="24"/>
          </w:rPr>
          <w:fldChar w:fldCharType="begin"/>
        </w:r>
        <w:r w:rsidRPr="00C90C6D">
          <w:rPr>
            <w:rFonts w:ascii="Palatino Linotype" w:hAnsi="Palatino Linotype"/>
            <w:sz w:val="24"/>
            <w:szCs w:val="24"/>
          </w:rPr>
          <w:instrText xml:space="preserve"> PAGE   \* MERGEFORMAT </w:instrText>
        </w:r>
        <w:r w:rsidRPr="00C90C6D">
          <w:rPr>
            <w:rFonts w:ascii="Palatino Linotype" w:hAnsi="Palatino Linotype"/>
            <w:sz w:val="24"/>
            <w:szCs w:val="24"/>
          </w:rPr>
          <w:fldChar w:fldCharType="separate"/>
        </w:r>
        <w:r w:rsidRPr="00C90C6D">
          <w:rPr>
            <w:rFonts w:ascii="Palatino Linotype" w:hAnsi="Palatino Linotype"/>
            <w:noProof/>
            <w:sz w:val="24"/>
            <w:szCs w:val="24"/>
          </w:rPr>
          <w:t>2</w:t>
        </w:r>
        <w:r w:rsidRPr="00C90C6D">
          <w:rPr>
            <w:rFonts w:ascii="Palatino Linotype" w:hAnsi="Palatino Linotype"/>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388D" w14:textId="3BAEF785" w:rsidR="0039309D" w:rsidRPr="00CB00B0" w:rsidRDefault="00B52A5D">
    <w:pPr>
      <w:pStyle w:val="Footer"/>
      <w:tabs>
        <w:tab w:val="clear" w:pos="4320"/>
        <w:tab w:val="center" w:pos="4680"/>
      </w:tabs>
      <w:jc w:val="left"/>
      <w:rPr>
        <w:rFonts w:ascii="Palatino Linotype" w:hAnsi="Palatino Linotype"/>
        <w:sz w:val="24"/>
        <w:szCs w:val="24"/>
      </w:rPr>
    </w:pPr>
    <w:r w:rsidRPr="00B52A5D">
      <w:rPr>
        <w:rStyle w:val="PageNumber"/>
        <w:rFonts w:ascii="Tahoma" w:hAnsi="Tahoma" w:cs="Tahoma"/>
        <w:sz w:val="20"/>
      </w:rPr>
      <w:t>565814913</w:t>
    </w:r>
    <w:r w:rsidR="0039309D" w:rsidRPr="00CB00B0">
      <w:rPr>
        <w:rStyle w:val="PageNumber"/>
        <w:rFonts w:ascii="Palatino Linotype" w:hAnsi="Palatino Linotype"/>
        <w:sz w:val="24"/>
        <w:szCs w:val="24"/>
      </w:rPr>
      <w:tab/>
    </w:r>
    <w:r w:rsidR="0039309D" w:rsidRPr="00CB00B0">
      <w:rPr>
        <w:rStyle w:val="PageNumber"/>
        <w:rFonts w:ascii="Palatino Linotype" w:hAnsi="Palatino Linotype"/>
        <w:sz w:val="24"/>
        <w:szCs w:val="24"/>
      </w:rPr>
      <w:fldChar w:fldCharType="begin"/>
    </w:r>
    <w:r w:rsidR="0039309D" w:rsidRPr="00CB00B0">
      <w:rPr>
        <w:rStyle w:val="PageNumber"/>
        <w:rFonts w:ascii="Palatino Linotype" w:hAnsi="Palatino Linotype"/>
        <w:sz w:val="24"/>
        <w:szCs w:val="24"/>
      </w:rPr>
      <w:instrText xml:space="preserve"> PAGE </w:instrText>
    </w:r>
    <w:r w:rsidR="0039309D" w:rsidRPr="00CB00B0">
      <w:rPr>
        <w:rStyle w:val="PageNumber"/>
        <w:rFonts w:ascii="Palatino Linotype" w:hAnsi="Palatino Linotype"/>
        <w:sz w:val="24"/>
        <w:szCs w:val="24"/>
      </w:rPr>
      <w:fldChar w:fldCharType="separate"/>
    </w:r>
    <w:r w:rsidR="0039309D" w:rsidRPr="00CB00B0">
      <w:rPr>
        <w:rStyle w:val="PageNumber"/>
        <w:rFonts w:ascii="Palatino Linotype" w:hAnsi="Palatino Linotype"/>
        <w:noProof/>
        <w:sz w:val="24"/>
        <w:szCs w:val="24"/>
      </w:rPr>
      <w:t>1</w:t>
    </w:r>
    <w:r w:rsidR="0039309D" w:rsidRPr="00CB00B0">
      <w:rPr>
        <w:rStyle w:val="PageNumber"/>
        <w:rFonts w:ascii="Palatino Linotype" w:hAnsi="Palatino Linotype"/>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1688587899"/>
      <w:docPartObj>
        <w:docPartGallery w:val="Page Numbers (Bottom of Page)"/>
        <w:docPartUnique/>
      </w:docPartObj>
    </w:sdtPr>
    <w:sdtEndPr>
      <w:rPr>
        <w:noProof/>
      </w:rPr>
    </w:sdtEndPr>
    <w:sdtContent>
      <w:p w14:paraId="08102E03" w14:textId="53CBE86A" w:rsidR="000C4E73" w:rsidRPr="00C90C6D" w:rsidRDefault="004B436D" w:rsidP="00C90C6D">
        <w:pPr>
          <w:pStyle w:val="Footer"/>
          <w:rPr>
            <w:rFonts w:ascii="Palatino Linotype" w:hAnsi="Palatino Linotype"/>
            <w:sz w:val="24"/>
            <w:szCs w:val="24"/>
          </w:rPr>
        </w:pPr>
        <w:r>
          <w:rPr>
            <w:rFonts w:ascii="Palatino Linotype" w:hAnsi="Palatino Linotype"/>
            <w:sz w:val="24"/>
            <w:szCs w:val="24"/>
          </w:rPr>
          <w:t>A</w:t>
        </w:r>
        <w:r w:rsidR="000C4E73">
          <w:rPr>
            <w:rFonts w:ascii="Palatino Linotype" w:hAnsi="Palatino Linotype"/>
            <w:sz w:val="24"/>
            <w:szCs w:val="24"/>
          </w:rPr>
          <w:t>-</w:t>
        </w:r>
        <w:r w:rsidR="000C4E73" w:rsidRPr="00C90C6D">
          <w:rPr>
            <w:rFonts w:ascii="Palatino Linotype" w:hAnsi="Palatino Linotype"/>
            <w:sz w:val="24"/>
            <w:szCs w:val="24"/>
          </w:rPr>
          <w:fldChar w:fldCharType="begin"/>
        </w:r>
        <w:r w:rsidR="000C4E73" w:rsidRPr="00C90C6D">
          <w:rPr>
            <w:rFonts w:ascii="Palatino Linotype" w:hAnsi="Palatino Linotype"/>
            <w:sz w:val="24"/>
            <w:szCs w:val="24"/>
          </w:rPr>
          <w:instrText xml:space="preserve"> PAGE   \* MERGEFORMAT </w:instrText>
        </w:r>
        <w:r w:rsidR="000C4E73" w:rsidRPr="00C90C6D">
          <w:rPr>
            <w:rFonts w:ascii="Palatino Linotype" w:hAnsi="Palatino Linotype"/>
            <w:sz w:val="24"/>
            <w:szCs w:val="24"/>
          </w:rPr>
          <w:fldChar w:fldCharType="separate"/>
        </w:r>
        <w:r w:rsidR="000C4E73" w:rsidRPr="00C90C6D">
          <w:rPr>
            <w:rFonts w:ascii="Palatino Linotype" w:hAnsi="Palatino Linotype"/>
            <w:noProof/>
            <w:sz w:val="24"/>
            <w:szCs w:val="24"/>
          </w:rPr>
          <w:t>2</w:t>
        </w:r>
        <w:r w:rsidR="000C4E73" w:rsidRPr="00C90C6D">
          <w:rPr>
            <w:rFonts w:ascii="Palatino Linotype" w:hAnsi="Palatino Linotype"/>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538790382"/>
      <w:docPartObj>
        <w:docPartGallery w:val="Page Numbers (Bottom of Page)"/>
        <w:docPartUnique/>
      </w:docPartObj>
    </w:sdtPr>
    <w:sdtEndPr>
      <w:rPr>
        <w:noProof/>
      </w:rPr>
    </w:sdtEndPr>
    <w:sdtContent>
      <w:p w14:paraId="480D442C" w14:textId="6C229286" w:rsidR="008160C5" w:rsidRPr="00C90C6D" w:rsidRDefault="008160C5" w:rsidP="00C90C6D">
        <w:pPr>
          <w:pStyle w:val="Footer"/>
          <w:rPr>
            <w:rFonts w:ascii="Palatino Linotype" w:hAnsi="Palatino Linotype"/>
            <w:sz w:val="24"/>
            <w:szCs w:val="24"/>
          </w:rPr>
        </w:pPr>
        <w:r>
          <w:rPr>
            <w:rFonts w:ascii="Palatino Linotype" w:hAnsi="Palatino Linotype"/>
            <w:sz w:val="24"/>
            <w:szCs w:val="24"/>
          </w:rPr>
          <w:t>A-</w:t>
        </w:r>
        <w:r w:rsidRPr="00C90C6D">
          <w:rPr>
            <w:rFonts w:ascii="Palatino Linotype" w:hAnsi="Palatino Linotype"/>
            <w:sz w:val="24"/>
            <w:szCs w:val="24"/>
          </w:rPr>
          <w:fldChar w:fldCharType="begin"/>
        </w:r>
        <w:r w:rsidRPr="00C90C6D">
          <w:rPr>
            <w:rFonts w:ascii="Palatino Linotype" w:hAnsi="Palatino Linotype"/>
            <w:sz w:val="24"/>
            <w:szCs w:val="24"/>
          </w:rPr>
          <w:instrText xml:space="preserve"> PAGE   \* MERGEFORMAT </w:instrText>
        </w:r>
        <w:r w:rsidRPr="00C90C6D">
          <w:rPr>
            <w:rFonts w:ascii="Palatino Linotype" w:hAnsi="Palatino Linotype"/>
            <w:sz w:val="24"/>
            <w:szCs w:val="24"/>
          </w:rPr>
          <w:fldChar w:fldCharType="separate"/>
        </w:r>
        <w:r w:rsidRPr="00C90C6D">
          <w:rPr>
            <w:rFonts w:ascii="Palatino Linotype" w:hAnsi="Palatino Linotype"/>
            <w:noProof/>
            <w:sz w:val="24"/>
            <w:szCs w:val="24"/>
          </w:rPr>
          <w:t>2</w:t>
        </w:r>
        <w:r w:rsidRPr="00C90C6D">
          <w:rPr>
            <w:rFonts w:ascii="Palatino Linotype" w:hAnsi="Palatino Linotype"/>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CEF5" w14:textId="538A55D7" w:rsidR="00335247" w:rsidRPr="00CB00B0" w:rsidRDefault="00335247">
    <w:pPr>
      <w:pStyle w:val="Footer"/>
      <w:tabs>
        <w:tab w:val="clear" w:pos="4320"/>
        <w:tab w:val="center" w:pos="4680"/>
      </w:tabs>
      <w:jc w:val="left"/>
      <w:rPr>
        <w:rFonts w:ascii="Palatino Linotype" w:hAnsi="Palatino Linotype"/>
        <w:sz w:val="24"/>
        <w:szCs w:val="24"/>
      </w:rPr>
    </w:pPr>
    <w:r w:rsidRPr="00CB00B0">
      <w:rPr>
        <w:rStyle w:val="PageNumber"/>
        <w:rFonts w:ascii="Palatino Linotype" w:hAnsi="Palatino Linotype"/>
        <w:sz w:val="24"/>
        <w:szCs w:val="24"/>
      </w:rPr>
      <w:tab/>
    </w:r>
    <w:r>
      <w:rPr>
        <w:rStyle w:val="PageNumber"/>
        <w:rFonts w:ascii="Palatino Linotype" w:hAnsi="Palatino Linotype"/>
        <w:sz w:val="24"/>
        <w:szCs w:val="24"/>
      </w:rPr>
      <w:t>A-</w:t>
    </w:r>
    <w:r w:rsidRPr="00CB00B0">
      <w:rPr>
        <w:rStyle w:val="PageNumber"/>
        <w:rFonts w:ascii="Palatino Linotype" w:hAnsi="Palatino Linotype"/>
        <w:sz w:val="24"/>
        <w:szCs w:val="24"/>
      </w:rPr>
      <w:fldChar w:fldCharType="begin"/>
    </w:r>
    <w:r w:rsidRPr="00CB00B0">
      <w:rPr>
        <w:rStyle w:val="PageNumber"/>
        <w:rFonts w:ascii="Palatino Linotype" w:hAnsi="Palatino Linotype"/>
        <w:sz w:val="24"/>
        <w:szCs w:val="24"/>
      </w:rPr>
      <w:instrText xml:space="preserve"> PAGE </w:instrText>
    </w:r>
    <w:r w:rsidRPr="00CB00B0">
      <w:rPr>
        <w:rStyle w:val="PageNumber"/>
        <w:rFonts w:ascii="Palatino Linotype" w:hAnsi="Palatino Linotype"/>
        <w:sz w:val="24"/>
        <w:szCs w:val="24"/>
      </w:rPr>
      <w:fldChar w:fldCharType="separate"/>
    </w:r>
    <w:r w:rsidRPr="00CB00B0">
      <w:rPr>
        <w:rStyle w:val="PageNumber"/>
        <w:rFonts w:ascii="Palatino Linotype" w:hAnsi="Palatino Linotype"/>
        <w:noProof/>
        <w:sz w:val="24"/>
        <w:szCs w:val="24"/>
      </w:rPr>
      <w:t>1</w:t>
    </w:r>
    <w:r w:rsidRPr="00CB00B0">
      <w:rPr>
        <w:rStyle w:val="PageNumber"/>
        <w:rFonts w:ascii="Palatino Linotype" w:hAnsi="Palatino Linotype"/>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0E95" w14:textId="712B1899" w:rsidR="008160C5" w:rsidRPr="00CB00B0" w:rsidRDefault="008160C5">
    <w:pPr>
      <w:pStyle w:val="Footer"/>
      <w:tabs>
        <w:tab w:val="clear" w:pos="4320"/>
        <w:tab w:val="center" w:pos="4680"/>
      </w:tabs>
      <w:jc w:val="left"/>
      <w:rPr>
        <w:rFonts w:ascii="Palatino Linotype" w:hAnsi="Palatino Linotype"/>
        <w:sz w:val="24"/>
        <w:szCs w:val="24"/>
      </w:rPr>
    </w:pPr>
    <w:r w:rsidRPr="00CB00B0">
      <w:rPr>
        <w:rStyle w:val="PageNumber"/>
        <w:rFonts w:ascii="Palatino Linotype" w:hAnsi="Palatino Linotype"/>
        <w:sz w:val="24"/>
        <w:szCs w:val="24"/>
      </w:rPr>
      <w:tab/>
    </w:r>
    <w:r>
      <w:rPr>
        <w:rStyle w:val="PageNumber"/>
        <w:rFonts w:ascii="Palatino Linotype" w:hAnsi="Palatino Linotype"/>
        <w:sz w:val="24"/>
        <w:szCs w:val="24"/>
      </w:rPr>
      <w:t>B-</w:t>
    </w:r>
    <w:r w:rsidRPr="00CB00B0">
      <w:rPr>
        <w:rStyle w:val="PageNumber"/>
        <w:rFonts w:ascii="Palatino Linotype" w:hAnsi="Palatino Linotype"/>
        <w:sz w:val="24"/>
        <w:szCs w:val="24"/>
      </w:rPr>
      <w:fldChar w:fldCharType="begin"/>
    </w:r>
    <w:r w:rsidRPr="00CB00B0">
      <w:rPr>
        <w:rStyle w:val="PageNumber"/>
        <w:rFonts w:ascii="Palatino Linotype" w:hAnsi="Palatino Linotype"/>
        <w:sz w:val="24"/>
        <w:szCs w:val="24"/>
      </w:rPr>
      <w:instrText xml:space="preserve"> PAGE </w:instrText>
    </w:r>
    <w:r w:rsidRPr="00CB00B0">
      <w:rPr>
        <w:rStyle w:val="PageNumber"/>
        <w:rFonts w:ascii="Palatino Linotype" w:hAnsi="Palatino Linotype"/>
        <w:sz w:val="24"/>
        <w:szCs w:val="24"/>
      </w:rPr>
      <w:fldChar w:fldCharType="separate"/>
    </w:r>
    <w:r w:rsidRPr="00CB00B0">
      <w:rPr>
        <w:rStyle w:val="PageNumber"/>
        <w:rFonts w:ascii="Palatino Linotype" w:hAnsi="Palatino Linotype"/>
        <w:noProof/>
        <w:sz w:val="24"/>
        <w:szCs w:val="24"/>
      </w:rPr>
      <w:t>1</w:t>
    </w:r>
    <w:r w:rsidRPr="00CB00B0">
      <w:rPr>
        <w:rStyle w:val="PageNumber"/>
        <w:rFonts w:ascii="Palatino Linotype" w:hAnsi="Palatino Linotype"/>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1349335109"/>
      <w:docPartObj>
        <w:docPartGallery w:val="Page Numbers (Bottom of Page)"/>
        <w:docPartUnique/>
      </w:docPartObj>
    </w:sdtPr>
    <w:sdtEndPr>
      <w:rPr>
        <w:noProof/>
      </w:rPr>
    </w:sdtEndPr>
    <w:sdtContent>
      <w:p w14:paraId="6181CE70" w14:textId="71CC1AE2" w:rsidR="00A855ED" w:rsidRPr="00C90C6D" w:rsidRDefault="00A855ED" w:rsidP="00C90C6D">
        <w:pPr>
          <w:pStyle w:val="Footer"/>
          <w:rPr>
            <w:rFonts w:ascii="Palatino Linotype" w:hAnsi="Palatino Linotype"/>
            <w:sz w:val="24"/>
            <w:szCs w:val="24"/>
          </w:rPr>
        </w:pPr>
        <w:r>
          <w:rPr>
            <w:rFonts w:ascii="Palatino Linotype" w:hAnsi="Palatino Linotype"/>
            <w:sz w:val="24"/>
            <w:szCs w:val="24"/>
          </w:rPr>
          <w:t>B-</w:t>
        </w:r>
        <w:r w:rsidRPr="00C90C6D">
          <w:rPr>
            <w:rFonts w:ascii="Palatino Linotype" w:hAnsi="Palatino Linotype"/>
            <w:sz w:val="24"/>
            <w:szCs w:val="24"/>
          </w:rPr>
          <w:fldChar w:fldCharType="begin"/>
        </w:r>
        <w:r w:rsidRPr="00C90C6D">
          <w:rPr>
            <w:rFonts w:ascii="Palatino Linotype" w:hAnsi="Palatino Linotype"/>
            <w:sz w:val="24"/>
            <w:szCs w:val="24"/>
          </w:rPr>
          <w:instrText xml:space="preserve"> PAGE   \* MERGEFORMAT </w:instrText>
        </w:r>
        <w:r w:rsidRPr="00C90C6D">
          <w:rPr>
            <w:rFonts w:ascii="Palatino Linotype" w:hAnsi="Palatino Linotype"/>
            <w:sz w:val="24"/>
            <w:szCs w:val="24"/>
          </w:rPr>
          <w:fldChar w:fldCharType="separate"/>
        </w:r>
        <w:r w:rsidRPr="00C90C6D">
          <w:rPr>
            <w:rFonts w:ascii="Palatino Linotype" w:hAnsi="Palatino Linotype"/>
            <w:noProof/>
            <w:sz w:val="24"/>
            <w:szCs w:val="24"/>
          </w:rPr>
          <w:t>2</w:t>
        </w:r>
        <w:r w:rsidRPr="00C90C6D">
          <w:rPr>
            <w:rFonts w:ascii="Palatino Linotype" w:hAnsi="Palatino Linotype"/>
            <w:noProof/>
            <w:sz w:val="24"/>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1884" w14:textId="5FEE2206" w:rsidR="00A85937" w:rsidRPr="00CB00B0" w:rsidRDefault="00A85937" w:rsidP="00A85937">
    <w:pPr>
      <w:pStyle w:val="Footer"/>
      <w:tabs>
        <w:tab w:val="clear" w:pos="4320"/>
        <w:tab w:val="center" w:pos="6300"/>
      </w:tabs>
      <w:jc w:val="left"/>
      <w:rPr>
        <w:rFonts w:ascii="Palatino Linotype" w:hAnsi="Palatino Linotype"/>
        <w:sz w:val="24"/>
        <w:szCs w:val="24"/>
      </w:rPr>
    </w:pPr>
    <w:r w:rsidRPr="00CB00B0">
      <w:rPr>
        <w:rStyle w:val="PageNumber"/>
        <w:rFonts w:ascii="Palatino Linotype" w:hAnsi="Palatino Linotype"/>
        <w:sz w:val="24"/>
        <w:szCs w:val="24"/>
      </w:rPr>
      <w:tab/>
    </w:r>
    <w:r w:rsidR="008160C5">
      <w:rPr>
        <w:rStyle w:val="PageNumber"/>
        <w:rFonts w:ascii="Palatino Linotype" w:hAnsi="Palatino Linotype"/>
        <w:sz w:val="24"/>
        <w:szCs w:val="24"/>
      </w:rPr>
      <w:t>B</w:t>
    </w:r>
    <w:r>
      <w:rPr>
        <w:rStyle w:val="PageNumber"/>
        <w:rFonts w:ascii="Palatino Linotype" w:hAnsi="Palatino Linotype"/>
        <w:sz w:val="24"/>
        <w:szCs w:val="24"/>
      </w:rPr>
      <w:t>-</w:t>
    </w:r>
    <w:r w:rsidRPr="00CB00B0">
      <w:rPr>
        <w:rStyle w:val="PageNumber"/>
        <w:rFonts w:ascii="Palatino Linotype" w:hAnsi="Palatino Linotype"/>
        <w:sz w:val="24"/>
        <w:szCs w:val="24"/>
      </w:rPr>
      <w:fldChar w:fldCharType="begin"/>
    </w:r>
    <w:r w:rsidRPr="00CB00B0">
      <w:rPr>
        <w:rStyle w:val="PageNumber"/>
        <w:rFonts w:ascii="Palatino Linotype" w:hAnsi="Palatino Linotype"/>
        <w:sz w:val="24"/>
        <w:szCs w:val="24"/>
      </w:rPr>
      <w:instrText xml:space="preserve"> PAGE </w:instrText>
    </w:r>
    <w:r w:rsidRPr="00CB00B0">
      <w:rPr>
        <w:rStyle w:val="PageNumber"/>
        <w:rFonts w:ascii="Palatino Linotype" w:hAnsi="Palatino Linotype"/>
        <w:sz w:val="24"/>
        <w:szCs w:val="24"/>
      </w:rPr>
      <w:fldChar w:fldCharType="separate"/>
    </w:r>
    <w:r w:rsidRPr="00CB00B0">
      <w:rPr>
        <w:rStyle w:val="PageNumber"/>
        <w:rFonts w:ascii="Palatino Linotype" w:hAnsi="Palatino Linotype"/>
        <w:noProof/>
        <w:sz w:val="24"/>
        <w:szCs w:val="24"/>
      </w:rPr>
      <w:t>1</w:t>
    </w:r>
    <w:r w:rsidRPr="00CB00B0">
      <w:rPr>
        <w:rStyle w:val="PageNumber"/>
        <w:rFonts w:ascii="Palatino Linotype" w:hAnsi="Palatino Linotype"/>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C642E" w14:textId="77777777" w:rsidR="000273AD" w:rsidRDefault="000273AD">
      <w:r>
        <w:separator/>
      </w:r>
    </w:p>
  </w:footnote>
  <w:footnote w:type="continuationSeparator" w:id="0">
    <w:p w14:paraId="00A922AA" w14:textId="77777777" w:rsidR="000273AD" w:rsidRDefault="000273AD">
      <w:r>
        <w:continuationSeparator/>
      </w:r>
    </w:p>
  </w:footnote>
  <w:footnote w:type="continuationNotice" w:id="1">
    <w:p w14:paraId="6345BD71" w14:textId="77777777" w:rsidR="000273AD" w:rsidRDefault="000273AD">
      <w:pPr>
        <w:rPr>
          <w:sz w:val="22"/>
        </w:rPr>
      </w:pPr>
    </w:p>
    <w:p w14:paraId="05818F1E" w14:textId="77777777" w:rsidR="000273AD" w:rsidRDefault="000273AD">
      <w:pPr>
        <w:jc w:val="right"/>
        <w:rPr>
          <w:sz w:val="22"/>
        </w:rPr>
      </w:pPr>
      <w:r>
        <w:rPr>
          <w:i/>
          <w:sz w:val="22"/>
        </w:rPr>
        <w:t>Footnote continued on next page</w:t>
      </w:r>
    </w:p>
  </w:footnote>
  <w:footnote w:id="2">
    <w:p w14:paraId="6FF3BE24" w14:textId="59BE5195" w:rsidR="00EB0007" w:rsidRPr="003E346B" w:rsidRDefault="00EB0007" w:rsidP="003E346B">
      <w:pPr>
        <w:pStyle w:val="FootnoteText"/>
        <w:spacing w:after="0"/>
        <w:rPr>
          <w:rFonts w:ascii="Palatino Linotype" w:hAnsi="Palatino Linotype"/>
          <w:sz w:val="20"/>
        </w:rPr>
      </w:pPr>
      <w:r w:rsidRPr="003E346B">
        <w:rPr>
          <w:rStyle w:val="FootnoteReference"/>
          <w:rFonts w:ascii="Palatino Linotype" w:hAnsi="Palatino Linotype"/>
          <w:sz w:val="20"/>
        </w:rPr>
        <w:footnoteRef/>
      </w:r>
      <w:r w:rsidRPr="003E346B">
        <w:rPr>
          <w:rFonts w:ascii="Palatino Linotype" w:hAnsi="Palatino Linotype"/>
          <w:sz w:val="20"/>
        </w:rPr>
        <w:t xml:space="preserve"> </w:t>
      </w:r>
      <w:r w:rsidR="009403F2" w:rsidRPr="003E346B">
        <w:rPr>
          <w:rFonts w:ascii="Palatino Linotype" w:hAnsi="Palatino Linotype"/>
          <w:sz w:val="20"/>
        </w:rPr>
        <w:t>(</w:t>
      </w:r>
      <w:r w:rsidRPr="003E346B">
        <w:rPr>
          <w:rFonts w:ascii="Palatino Linotype" w:hAnsi="Palatino Linotype"/>
          <w:sz w:val="20"/>
        </w:rPr>
        <w:t>D.</w:t>
      </w:r>
      <w:r w:rsidR="009403F2" w:rsidRPr="003E346B">
        <w:rPr>
          <w:rFonts w:ascii="Palatino Linotype" w:hAnsi="Palatino Linotype"/>
          <w:sz w:val="20"/>
        </w:rPr>
        <w:t xml:space="preserve">) </w:t>
      </w:r>
      <w:r w:rsidRPr="003E346B">
        <w:rPr>
          <w:rFonts w:ascii="Palatino Linotype" w:hAnsi="Palatino Linotype"/>
          <w:sz w:val="20"/>
        </w:rPr>
        <w:t xml:space="preserve">23-06-055 </w:t>
      </w:r>
      <w:r w:rsidRPr="003E346B">
        <w:rPr>
          <w:rFonts w:ascii="Palatino Linotype" w:hAnsi="Palatino Linotype" w:cs="ArialMT"/>
          <w:sz w:val="20"/>
        </w:rPr>
        <w:t>Conclusion of Law (COL) 35 and 36.</w:t>
      </w:r>
    </w:p>
  </w:footnote>
  <w:footnote w:id="3">
    <w:p w14:paraId="0EEB6674" w14:textId="3ADD860B" w:rsidR="005B53E9" w:rsidRPr="003E346B" w:rsidRDefault="005B53E9" w:rsidP="003E346B">
      <w:pPr>
        <w:pStyle w:val="FootnoteText"/>
        <w:spacing w:after="0"/>
        <w:rPr>
          <w:rFonts w:ascii="Palatino Linotype" w:hAnsi="Palatino Linotype"/>
          <w:sz w:val="20"/>
        </w:rPr>
      </w:pPr>
      <w:r w:rsidRPr="003E346B">
        <w:rPr>
          <w:rStyle w:val="FootnoteReference"/>
          <w:rFonts w:ascii="Palatino Linotype" w:hAnsi="Palatino Linotype"/>
          <w:sz w:val="20"/>
        </w:rPr>
        <w:footnoteRef/>
      </w:r>
      <w:r w:rsidRPr="003E346B">
        <w:rPr>
          <w:rFonts w:ascii="Palatino Linotype" w:hAnsi="Palatino Linotype"/>
          <w:sz w:val="20"/>
        </w:rPr>
        <w:t xml:space="preserve"> </w:t>
      </w:r>
      <w:r w:rsidR="00D72BDD" w:rsidRPr="003E346B">
        <w:rPr>
          <w:rFonts w:ascii="Palatino Linotype" w:hAnsi="Palatino Linotype"/>
          <w:sz w:val="20"/>
        </w:rPr>
        <w:t xml:space="preserve">While both metrics and indicators perform identical functions </w:t>
      </w:r>
      <w:r w:rsidR="0042344D" w:rsidRPr="003E346B">
        <w:rPr>
          <w:rFonts w:ascii="Palatino Linotype" w:hAnsi="Palatino Linotype"/>
          <w:sz w:val="20"/>
        </w:rPr>
        <w:t>to demonst</w:t>
      </w:r>
      <w:r w:rsidR="007D66F9" w:rsidRPr="003E346B">
        <w:rPr>
          <w:rFonts w:ascii="Palatino Linotype" w:hAnsi="Palatino Linotype"/>
          <w:sz w:val="20"/>
        </w:rPr>
        <w:t>rate</w:t>
      </w:r>
      <w:r w:rsidR="00D72BDD" w:rsidRPr="003E346B">
        <w:rPr>
          <w:rFonts w:ascii="Palatino Linotype" w:hAnsi="Palatino Linotype"/>
          <w:sz w:val="20"/>
        </w:rPr>
        <w:t xml:space="preserve"> progress or performance, the main difference between them is that metrics </w:t>
      </w:r>
      <w:r w:rsidR="00820AA4" w:rsidRPr="003E346B">
        <w:rPr>
          <w:rFonts w:ascii="Palatino Linotype" w:hAnsi="Palatino Linotype"/>
          <w:sz w:val="20"/>
        </w:rPr>
        <w:t>also have an associated baseline and target while indicators do not.</w:t>
      </w:r>
    </w:p>
  </w:footnote>
  <w:footnote w:id="4">
    <w:p w14:paraId="02DF4B4D" w14:textId="7419F422" w:rsidR="00081E57" w:rsidRPr="003E346B" w:rsidRDefault="00081E57" w:rsidP="003E346B">
      <w:pPr>
        <w:pStyle w:val="FootnoteText"/>
        <w:spacing w:after="0"/>
        <w:rPr>
          <w:rFonts w:ascii="Palatino Linotype" w:hAnsi="Palatino Linotype"/>
          <w:sz w:val="20"/>
        </w:rPr>
      </w:pPr>
      <w:r w:rsidRPr="003E346B">
        <w:rPr>
          <w:rStyle w:val="FootnoteReference"/>
          <w:rFonts w:ascii="Palatino Linotype" w:hAnsi="Palatino Linotype"/>
          <w:sz w:val="20"/>
        </w:rPr>
        <w:footnoteRef/>
      </w:r>
      <w:r w:rsidRPr="003E346B">
        <w:rPr>
          <w:rFonts w:ascii="Palatino Linotype" w:hAnsi="Palatino Linotype"/>
          <w:sz w:val="20"/>
        </w:rPr>
        <w:t xml:space="preserve"> </w:t>
      </w:r>
      <w:r w:rsidR="002A6459" w:rsidRPr="003E346B">
        <w:rPr>
          <w:rFonts w:ascii="Palatino Linotype" w:hAnsi="Palatino Linotype"/>
          <w:sz w:val="20"/>
        </w:rPr>
        <w:t>(</w:t>
      </w:r>
      <w:r w:rsidRPr="003E346B">
        <w:rPr>
          <w:rFonts w:ascii="Palatino Linotype" w:hAnsi="Palatino Linotype"/>
          <w:sz w:val="20"/>
        </w:rPr>
        <w:t>D.</w:t>
      </w:r>
      <w:r w:rsidR="002A6459" w:rsidRPr="003E346B">
        <w:rPr>
          <w:rFonts w:ascii="Palatino Linotype" w:hAnsi="Palatino Linotype"/>
          <w:sz w:val="20"/>
        </w:rPr>
        <w:t xml:space="preserve">) </w:t>
      </w:r>
      <w:r w:rsidRPr="003E346B">
        <w:rPr>
          <w:rFonts w:ascii="Palatino Linotype" w:hAnsi="Palatino Linotype"/>
          <w:sz w:val="20"/>
        </w:rPr>
        <w:t xml:space="preserve">23-06-055 at </w:t>
      </w:r>
      <w:r w:rsidR="00531F58" w:rsidRPr="003E346B">
        <w:rPr>
          <w:rFonts w:ascii="Palatino Linotype" w:hAnsi="Palatino Linotype"/>
          <w:sz w:val="20"/>
        </w:rPr>
        <w:t>29.</w:t>
      </w:r>
    </w:p>
  </w:footnote>
  <w:footnote w:id="5">
    <w:p w14:paraId="53D5B3E4" w14:textId="26C09D34" w:rsidR="00FD31BF" w:rsidRPr="003E346B" w:rsidRDefault="00FD31BF" w:rsidP="003E346B">
      <w:pPr>
        <w:pStyle w:val="FootnoteText"/>
        <w:spacing w:after="0"/>
        <w:rPr>
          <w:rFonts w:ascii="Palatino Linotype" w:hAnsi="Palatino Linotype"/>
          <w:sz w:val="20"/>
        </w:rPr>
      </w:pPr>
      <w:r w:rsidRPr="003E346B">
        <w:rPr>
          <w:rStyle w:val="FootnoteReference"/>
          <w:rFonts w:ascii="Palatino Linotype" w:hAnsi="Palatino Linotype"/>
          <w:sz w:val="20"/>
        </w:rPr>
        <w:footnoteRef/>
      </w:r>
      <w:r w:rsidRPr="003E346B">
        <w:rPr>
          <w:rFonts w:ascii="Palatino Linotype" w:hAnsi="Palatino Linotype"/>
          <w:sz w:val="20"/>
        </w:rPr>
        <w:t xml:space="preserve"> </w:t>
      </w:r>
      <w:r w:rsidR="00531F58" w:rsidRPr="003E346B">
        <w:rPr>
          <w:rFonts w:ascii="Palatino Linotype" w:hAnsi="Palatino Linotype"/>
          <w:i/>
          <w:sz w:val="20"/>
        </w:rPr>
        <w:t>Id.</w:t>
      </w:r>
      <w:r w:rsidRPr="003E346B">
        <w:rPr>
          <w:rFonts w:ascii="Palatino Linotype" w:hAnsi="Palatino Linotype"/>
          <w:sz w:val="20"/>
        </w:rPr>
        <w:t xml:space="preserve"> at OP 11.</w:t>
      </w:r>
    </w:p>
  </w:footnote>
  <w:footnote w:id="6">
    <w:p w14:paraId="47FAD3A8" w14:textId="2FFB806A" w:rsidR="00A94805" w:rsidRPr="003E346B" w:rsidRDefault="00A94805" w:rsidP="003E346B">
      <w:pPr>
        <w:pStyle w:val="FootnoteText"/>
        <w:spacing w:after="0"/>
        <w:rPr>
          <w:rFonts w:ascii="Palatino Linotype" w:hAnsi="Palatino Linotype"/>
          <w:sz w:val="20"/>
        </w:rPr>
      </w:pPr>
      <w:r w:rsidRPr="003E346B">
        <w:rPr>
          <w:rStyle w:val="FootnoteReference"/>
          <w:rFonts w:ascii="Palatino Linotype" w:hAnsi="Palatino Linotype"/>
          <w:sz w:val="20"/>
        </w:rPr>
        <w:footnoteRef/>
      </w:r>
      <w:r w:rsidR="00E8358B" w:rsidRPr="003E346B">
        <w:rPr>
          <w:rFonts w:ascii="Palatino Linotype" w:hAnsi="Palatino Linotype"/>
          <w:sz w:val="20"/>
        </w:rPr>
        <w:t xml:space="preserve"> </w:t>
      </w:r>
      <w:r w:rsidR="0023013C" w:rsidRPr="003E346B">
        <w:rPr>
          <w:rFonts w:ascii="Palatino Linotype" w:hAnsi="Palatino Linotype"/>
          <w:sz w:val="20"/>
        </w:rPr>
        <w:t>Th</w:t>
      </w:r>
      <w:r w:rsidR="00142B05" w:rsidRPr="003E346B">
        <w:rPr>
          <w:rFonts w:ascii="Palatino Linotype" w:hAnsi="Palatino Linotype"/>
          <w:sz w:val="20"/>
        </w:rPr>
        <w:t xml:space="preserve">is working group </w:t>
      </w:r>
      <w:r w:rsidR="00057B69" w:rsidRPr="003E346B">
        <w:rPr>
          <w:rFonts w:ascii="Palatino Linotype" w:hAnsi="Palatino Linotype"/>
          <w:sz w:val="20"/>
        </w:rPr>
        <w:t>included the Joint PAs, Energy Division, utility stakeholders, and members of the public.</w:t>
      </w:r>
    </w:p>
  </w:footnote>
  <w:footnote w:id="7">
    <w:p w14:paraId="43657D35" w14:textId="2C23463E" w:rsidR="0068050F" w:rsidRPr="003E346B" w:rsidRDefault="0068050F" w:rsidP="003E346B">
      <w:pPr>
        <w:pStyle w:val="FootnoteText"/>
        <w:spacing w:after="0"/>
        <w:rPr>
          <w:rFonts w:ascii="Palatino Linotype" w:hAnsi="Palatino Linotype"/>
          <w:sz w:val="20"/>
        </w:rPr>
      </w:pPr>
      <w:r w:rsidRPr="003E346B">
        <w:rPr>
          <w:rStyle w:val="FootnoteReference"/>
          <w:rFonts w:ascii="Palatino Linotype" w:hAnsi="Palatino Linotype"/>
          <w:sz w:val="20"/>
        </w:rPr>
        <w:footnoteRef/>
      </w:r>
      <w:r w:rsidRPr="003E346B">
        <w:rPr>
          <w:rFonts w:ascii="Palatino Linotype" w:hAnsi="Palatino Linotype"/>
          <w:sz w:val="20"/>
        </w:rPr>
        <w:t xml:space="preserve"> </w:t>
      </w:r>
      <w:r w:rsidR="001E3D91" w:rsidRPr="003E346B">
        <w:rPr>
          <w:rFonts w:ascii="Palatino Linotype" w:hAnsi="Palatino Linotype"/>
          <w:sz w:val="20"/>
        </w:rPr>
        <w:t xml:space="preserve">The EMSWG </w:t>
      </w:r>
      <w:r w:rsidR="006E2240" w:rsidRPr="003E346B">
        <w:rPr>
          <w:rFonts w:ascii="Palatino Linotype" w:hAnsi="Palatino Linotype"/>
          <w:sz w:val="20"/>
        </w:rPr>
        <w:t>Final R</w:t>
      </w:r>
      <w:r w:rsidR="001E3D91" w:rsidRPr="003E346B">
        <w:rPr>
          <w:rFonts w:ascii="Palatino Linotype" w:hAnsi="Palatino Linotype"/>
          <w:sz w:val="20"/>
        </w:rPr>
        <w:t>eport</w:t>
      </w:r>
      <w:r w:rsidR="006E2240" w:rsidRPr="003E346B">
        <w:rPr>
          <w:rFonts w:ascii="Palatino Linotype" w:hAnsi="Palatino Linotype"/>
          <w:sz w:val="20"/>
        </w:rPr>
        <w:t xml:space="preserve"> (https://www.caeecc.org/equity-market-support-wg)</w:t>
      </w:r>
    </w:p>
  </w:footnote>
  <w:footnote w:id="8">
    <w:p w14:paraId="08C251DA" w14:textId="77777777" w:rsidR="008D6D95" w:rsidRPr="003E346B" w:rsidRDefault="008D6D95" w:rsidP="003E346B">
      <w:pPr>
        <w:pStyle w:val="FootnoteText"/>
        <w:spacing w:after="0"/>
        <w:rPr>
          <w:rFonts w:ascii="Palatino Linotype" w:hAnsi="Palatino Linotype" w:cs="Arial"/>
          <w:sz w:val="20"/>
        </w:rPr>
      </w:pPr>
      <w:r w:rsidRPr="003E346B">
        <w:rPr>
          <w:rStyle w:val="FootnoteReference"/>
          <w:rFonts w:ascii="Palatino Linotype" w:hAnsi="Palatino Linotype"/>
          <w:sz w:val="20"/>
        </w:rPr>
        <w:footnoteRef/>
      </w:r>
      <w:r w:rsidRPr="003E346B">
        <w:rPr>
          <w:rFonts w:ascii="Palatino Linotype" w:hAnsi="Palatino Linotype"/>
          <w:sz w:val="20"/>
        </w:rPr>
        <w:t xml:space="preserve"> </w:t>
      </w:r>
      <w:r w:rsidRPr="003E346B">
        <w:rPr>
          <w:rFonts w:ascii="Palatino Linotype" w:hAnsi="Palatino Linotype" w:cs="Arial"/>
          <w:sz w:val="20"/>
        </w:rPr>
        <w:t>The average household population should be determined from Census ACS 5-year table B25124 that has household size by California Census Tract for single family, multifamily, and mobile homes. Data in the table is available by owner and renter and can be used if the PA feels it is appropriate. However, a combination of data for owners and renters is acceptable for the URPS. When determining an average household population, use the value of 5 for all data that is indicated to be for 5+ in the household.</w:t>
      </w:r>
    </w:p>
  </w:footnote>
  <w:footnote w:id="9">
    <w:p w14:paraId="47C6FFCE" w14:textId="3BCFA5A2" w:rsidR="002F328B" w:rsidRPr="003E346B" w:rsidRDefault="002F328B" w:rsidP="003E346B">
      <w:pPr>
        <w:pStyle w:val="FootnoteText"/>
        <w:spacing w:after="0"/>
        <w:rPr>
          <w:rFonts w:ascii="Palatino Linotype" w:hAnsi="Palatino Linotype"/>
          <w:sz w:val="20"/>
        </w:rPr>
      </w:pPr>
      <w:r w:rsidRPr="003E346B">
        <w:rPr>
          <w:rStyle w:val="FootnoteReference"/>
          <w:rFonts w:ascii="Palatino Linotype" w:hAnsi="Palatino Linotype"/>
          <w:sz w:val="20"/>
        </w:rPr>
        <w:footnoteRef/>
      </w:r>
      <w:r w:rsidRPr="003E346B">
        <w:rPr>
          <w:rFonts w:ascii="Palatino Linotype" w:hAnsi="Palatino Linotype"/>
          <w:sz w:val="20"/>
        </w:rPr>
        <w:t xml:space="preserve"> </w:t>
      </w:r>
      <w:r w:rsidR="00651D74" w:rsidRPr="003E346B">
        <w:rPr>
          <w:rFonts w:ascii="Palatino Linotype" w:hAnsi="Palatino Linotype"/>
          <w:sz w:val="20"/>
        </w:rPr>
        <w:t>(</w:t>
      </w:r>
      <w:r w:rsidRPr="003E346B">
        <w:rPr>
          <w:rFonts w:ascii="Palatino Linotype" w:hAnsi="Palatino Linotype"/>
          <w:sz w:val="20"/>
        </w:rPr>
        <w:t>D.</w:t>
      </w:r>
      <w:r w:rsidR="00651D74" w:rsidRPr="003E346B">
        <w:rPr>
          <w:rFonts w:ascii="Palatino Linotype" w:hAnsi="Palatino Linotype"/>
          <w:sz w:val="20"/>
        </w:rPr>
        <w:t xml:space="preserve">) </w:t>
      </w:r>
      <w:r w:rsidRPr="003E346B">
        <w:rPr>
          <w:rFonts w:ascii="Palatino Linotype" w:hAnsi="Palatino Linotype"/>
          <w:sz w:val="20"/>
        </w:rPr>
        <w:t>23-08-0</w:t>
      </w:r>
      <w:r w:rsidR="00770024" w:rsidRPr="003E346B">
        <w:rPr>
          <w:rFonts w:ascii="Palatino Linotype" w:hAnsi="Palatino Linotype"/>
          <w:sz w:val="20"/>
        </w:rPr>
        <w:t>05</w:t>
      </w:r>
      <w:r w:rsidR="00DF1B5B" w:rsidRPr="003E346B">
        <w:rPr>
          <w:rFonts w:ascii="Palatino Linotype" w:hAnsi="Palatino Linotype"/>
          <w:sz w:val="20"/>
        </w:rPr>
        <w:t xml:space="preserve"> </w:t>
      </w:r>
      <w:r w:rsidR="00567FB7" w:rsidRPr="003E346B">
        <w:rPr>
          <w:rFonts w:ascii="Palatino Linotype" w:hAnsi="Palatino Linotype"/>
          <w:sz w:val="20"/>
        </w:rPr>
        <w:t>Commission</w:t>
      </w:r>
      <w:r w:rsidR="00DF1B5B" w:rsidRPr="003E346B">
        <w:rPr>
          <w:rFonts w:ascii="Palatino Linotype" w:hAnsi="Palatino Linotype"/>
          <w:sz w:val="20"/>
        </w:rPr>
        <w:t xml:space="preserve"> Decision Adopting Energy Efficiency Goals For 2024-2035</w:t>
      </w:r>
      <w:r w:rsidR="00651D74" w:rsidRPr="003E346B">
        <w:rPr>
          <w:rFonts w:ascii="Palatino Linotype" w:hAnsi="Palatino Linotype"/>
          <w:sz w:val="20"/>
        </w:rPr>
        <w:t xml:space="preserve"> (</w:t>
      </w:r>
      <w:r w:rsidR="002A6459" w:rsidRPr="003E346B">
        <w:rPr>
          <w:rFonts w:ascii="Palatino Linotype" w:hAnsi="Palatino Linotype"/>
          <w:sz w:val="20"/>
        </w:rPr>
        <w:t>August 10, 2023)</w:t>
      </w:r>
    </w:p>
  </w:footnote>
  <w:footnote w:id="10">
    <w:p w14:paraId="5F952FD4" w14:textId="77777777" w:rsidR="00630C1B" w:rsidRPr="003E346B" w:rsidRDefault="00630C1B" w:rsidP="003E346B">
      <w:pPr>
        <w:pStyle w:val="FootnoteText"/>
        <w:spacing w:after="0"/>
        <w:rPr>
          <w:rFonts w:ascii="Palatino Linotype" w:hAnsi="Palatino Linotype"/>
          <w:sz w:val="20"/>
        </w:rPr>
      </w:pPr>
      <w:r w:rsidRPr="003E346B">
        <w:rPr>
          <w:rStyle w:val="FootnoteReference"/>
          <w:rFonts w:ascii="Palatino Linotype" w:hAnsi="Palatino Linotype"/>
          <w:sz w:val="20"/>
        </w:rPr>
        <w:footnoteRef/>
      </w:r>
      <w:r w:rsidRPr="003E346B">
        <w:rPr>
          <w:rFonts w:ascii="Palatino Linotype" w:hAnsi="Palatino Linotype"/>
          <w:sz w:val="20"/>
        </w:rPr>
        <w:t xml:space="preserve"> See CAEECC EMSWG Final Report (March 2024) https://www.caeecc.org/_files/ugd/849f65_811eb0401da74baebe65034d82232234.pdf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977A" w14:textId="77777777" w:rsidR="00B52A5D" w:rsidRDefault="00B52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5AF9" w14:textId="5508B06D" w:rsidR="0039309D" w:rsidRPr="00CE0F0C" w:rsidRDefault="000C4E73" w:rsidP="005D7E2C">
    <w:pPr>
      <w:pStyle w:val="Header"/>
      <w:tabs>
        <w:tab w:val="clear" w:pos="4320"/>
        <w:tab w:val="clear" w:pos="8640"/>
        <w:tab w:val="center" w:pos="4680"/>
        <w:tab w:val="right" w:pos="9180"/>
      </w:tabs>
      <w:rPr>
        <w:sz w:val="24"/>
        <w:szCs w:val="24"/>
        <w:lang w:val="it-IT"/>
      </w:rPr>
    </w:pPr>
    <w:r>
      <w:rPr>
        <w:sz w:val="24"/>
        <w:szCs w:val="24"/>
        <w:lang w:val="it-IT"/>
      </w:rPr>
      <w:t>ED/</w:t>
    </w:r>
    <w:r w:rsidR="0039309D" w:rsidRPr="00CE0F0C">
      <w:rPr>
        <w:sz w:val="24"/>
        <w:szCs w:val="24"/>
        <w:lang w:val="it-IT"/>
      </w:rPr>
      <w:t>Resolution E-5351</w:t>
    </w:r>
    <w:r w:rsidR="0039309D" w:rsidRPr="00CE0F0C">
      <w:rPr>
        <w:sz w:val="24"/>
        <w:szCs w:val="24"/>
        <w:lang w:val="it-IT"/>
      </w:rPr>
      <w:tab/>
      <w:t>DRAFT</w:t>
    </w:r>
    <w:r w:rsidR="0039309D" w:rsidRPr="00CE0F0C">
      <w:rPr>
        <w:sz w:val="24"/>
        <w:szCs w:val="24"/>
        <w:lang w:val="it-IT"/>
      </w:rPr>
      <w:tab/>
    </w:r>
    <w:r w:rsidR="00CE0F0C">
      <w:rPr>
        <w:sz w:val="24"/>
        <w:szCs w:val="24"/>
        <w:lang w:val="it-IT"/>
      </w:rPr>
      <w:t>June 12, 2025</w:t>
    </w:r>
  </w:p>
  <w:p w14:paraId="2DBDD1F5" w14:textId="4FC7AC1D" w:rsidR="0039309D" w:rsidRPr="00CE0F0C" w:rsidRDefault="0039309D" w:rsidP="00930F43">
    <w:pPr>
      <w:pStyle w:val="Header"/>
      <w:tabs>
        <w:tab w:val="clear" w:pos="4320"/>
        <w:tab w:val="clear" w:pos="8640"/>
        <w:tab w:val="center" w:pos="4680"/>
        <w:tab w:val="right" w:pos="9180"/>
      </w:tabs>
      <w:rPr>
        <w:sz w:val="24"/>
        <w:szCs w:val="24"/>
        <w:lang w:val="it-IT"/>
      </w:rPr>
    </w:pPr>
    <w:r w:rsidRPr="00CE0F0C">
      <w:rPr>
        <w:sz w:val="24"/>
        <w:szCs w:val="24"/>
        <w:lang w:val="it-IT"/>
      </w:rPr>
      <w:t>SDG&amp;E</w:t>
    </w:r>
    <w:r w:rsidRPr="00CE0F0C">
      <w:rPr>
        <w:rFonts w:ascii="Palatino Linotype" w:hAnsi="Palatino Linotype" w:cs="Arial"/>
        <w:sz w:val="24"/>
        <w:szCs w:val="24"/>
        <w:lang w:val="it-IT"/>
      </w:rPr>
      <w:t xml:space="preserve"> AL 4438-E et al.</w:t>
    </w:r>
    <w:r w:rsidR="00CE0F0C">
      <w:rPr>
        <w:rFonts w:ascii="Palatino Linotype" w:hAnsi="Palatino Linotype" w:cs="Arial"/>
        <w:sz w:val="24"/>
        <w:szCs w:val="24"/>
        <w:lang w:val="it-IT"/>
      </w:rPr>
      <w:t>/</w:t>
    </w:r>
    <w:r w:rsidR="002E008E">
      <w:rPr>
        <w:rFonts w:ascii="Palatino Linotype" w:hAnsi="Palatino Linotype" w:cs="Arial"/>
        <w:sz w:val="24"/>
        <w:szCs w:val="24"/>
        <w:lang w:val="it-IT"/>
      </w:rPr>
      <w:t>PRI</w:t>
    </w:r>
  </w:p>
  <w:p w14:paraId="662C7320" w14:textId="77777777" w:rsidR="0039309D" w:rsidRPr="00330413" w:rsidRDefault="0039309D">
    <w:pPr>
      <w:pStyle w:val="Header"/>
      <w:rPr>
        <w:rFonts w:ascii="Palatino Linotype" w:hAnsi="Palatino Linotype"/>
        <w:sz w:val="24"/>
        <w:szCs w:val="24"/>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CC2F" w14:textId="77777777" w:rsidR="0039309D" w:rsidRPr="00B0707B" w:rsidRDefault="0039309D">
    <w:pPr>
      <w:pStyle w:val="Header"/>
      <w:rPr>
        <w:rFonts w:ascii="Palatino Linotype" w:hAnsi="Palatino Linotype"/>
        <w:bCs/>
        <w:sz w:val="24"/>
        <w:szCs w:val="24"/>
      </w:rPr>
    </w:pPr>
    <w:r w:rsidRPr="00B0707B">
      <w:rPr>
        <w:rFonts w:ascii="Palatino Linotype" w:hAnsi="Palatino Linotype"/>
        <w:bCs/>
        <w:sz w:val="24"/>
        <w:szCs w:val="24"/>
      </w:rPr>
      <w:tab/>
      <w:t xml:space="preserve">DRAFT                                                                                   </w:t>
    </w:r>
    <w:r w:rsidRPr="00B0707B">
      <w:rPr>
        <w:rFonts w:ascii="Palatino Linotype" w:hAnsi="Palatino Linotype"/>
        <w:bCs/>
        <w:sz w:val="24"/>
        <w:szCs w:val="24"/>
      </w:rPr>
      <w:tab/>
    </w:r>
    <w:r w:rsidRPr="00B0707B">
      <w:rPr>
        <w:rFonts w:ascii="Palatino Linotype" w:hAnsi="Palatino Linotype"/>
        <w:bCs/>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2A87" w14:textId="77777777" w:rsidR="000C4E73" w:rsidRPr="00CE0F0C" w:rsidRDefault="000C4E73" w:rsidP="000C4E73">
    <w:pPr>
      <w:pStyle w:val="Header"/>
      <w:tabs>
        <w:tab w:val="clear" w:pos="4320"/>
        <w:tab w:val="clear" w:pos="8640"/>
        <w:tab w:val="center" w:pos="4680"/>
        <w:tab w:val="right" w:pos="9180"/>
      </w:tabs>
      <w:rPr>
        <w:sz w:val="24"/>
        <w:szCs w:val="24"/>
        <w:lang w:val="it-IT"/>
      </w:rPr>
    </w:pPr>
    <w:bookmarkStart w:id="1" w:name="_Hlk197523848"/>
    <w:r>
      <w:rPr>
        <w:sz w:val="24"/>
        <w:szCs w:val="24"/>
        <w:lang w:val="it-IT"/>
      </w:rPr>
      <w:t>ED/</w:t>
    </w:r>
    <w:r w:rsidRPr="00CE0F0C">
      <w:rPr>
        <w:sz w:val="24"/>
        <w:szCs w:val="24"/>
        <w:lang w:val="it-IT"/>
      </w:rPr>
      <w:t>Resolution E-5351</w:t>
    </w:r>
    <w:r w:rsidRPr="00CE0F0C">
      <w:rPr>
        <w:sz w:val="24"/>
        <w:szCs w:val="24"/>
        <w:lang w:val="it-IT"/>
      </w:rPr>
      <w:tab/>
      <w:t>DRAFT</w:t>
    </w:r>
    <w:r w:rsidRPr="00CE0F0C">
      <w:rPr>
        <w:sz w:val="24"/>
        <w:szCs w:val="24"/>
        <w:lang w:val="it-IT"/>
      </w:rPr>
      <w:tab/>
    </w:r>
    <w:r>
      <w:rPr>
        <w:sz w:val="24"/>
        <w:szCs w:val="24"/>
        <w:lang w:val="it-IT"/>
      </w:rPr>
      <w:t>June 12, 2025</w:t>
    </w:r>
  </w:p>
  <w:p w14:paraId="4B77608C" w14:textId="77777777" w:rsidR="000C4E73" w:rsidRPr="00CE0F0C" w:rsidRDefault="000C4E73" w:rsidP="000C4E73">
    <w:pPr>
      <w:pStyle w:val="Header"/>
      <w:tabs>
        <w:tab w:val="clear" w:pos="4320"/>
        <w:tab w:val="clear" w:pos="8640"/>
        <w:tab w:val="center" w:pos="4680"/>
        <w:tab w:val="right" w:pos="9180"/>
      </w:tabs>
      <w:rPr>
        <w:sz w:val="24"/>
        <w:szCs w:val="24"/>
        <w:lang w:val="it-IT"/>
      </w:rPr>
    </w:pPr>
    <w:r w:rsidRPr="00CE0F0C">
      <w:rPr>
        <w:sz w:val="24"/>
        <w:szCs w:val="24"/>
        <w:lang w:val="it-IT"/>
      </w:rPr>
      <w:t>SDG&amp;E</w:t>
    </w:r>
    <w:r w:rsidRPr="00CE0F0C">
      <w:rPr>
        <w:rFonts w:ascii="Palatino Linotype" w:hAnsi="Palatino Linotype" w:cs="Arial"/>
        <w:sz w:val="24"/>
        <w:szCs w:val="24"/>
        <w:lang w:val="it-IT"/>
      </w:rPr>
      <w:t xml:space="preserve"> AL 4438-E et al.</w:t>
    </w:r>
    <w:r>
      <w:rPr>
        <w:rFonts w:ascii="Palatino Linotype" w:hAnsi="Palatino Linotype" w:cs="Arial"/>
        <w:sz w:val="24"/>
        <w:szCs w:val="24"/>
        <w:lang w:val="it-IT"/>
      </w:rPr>
      <w:t>/PRI</w:t>
    </w:r>
  </w:p>
  <w:bookmarkEnd w:id="1"/>
  <w:p w14:paraId="3AF0B847" w14:textId="5865269D" w:rsidR="000C4E73" w:rsidRPr="00CB00B0" w:rsidRDefault="000C4E73">
    <w:pPr>
      <w:pStyle w:val="Header"/>
      <w:rPr>
        <w:rFonts w:ascii="Palatino Linotype" w:hAnsi="Palatino Linotype"/>
        <w:sz w:val="24"/>
        <w:szCs w:val="24"/>
      </w:rPr>
    </w:pPr>
    <w:r w:rsidRPr="00CB00B0">
      <w:rPr>
        <w:rFonts w:ascii="Palatino Linotype" w:hAnsi="Palatino Linotype"/>
        <w:sz w:val="24"/>
        <w:szCs w:val="24"/>
      </w:rPr>
      <w:tab/>
    </w:r>
    <w:r w:rsidRPr="00CB00B0">
      <w:rPr>
        <w:rFonts w:ascii="Palatino Linotype" w:hAnsi="Palatino Linotype"/>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9321" w14:textId="77777777" w:rsidR="006626A0" w:rsidRPr="00CE0F0C" w:rsidRDefault="006626A0" w:rsidP="006626A0">
    <w:pPr>
      <w:pStyle w:val="Header"/>
      <w:tabs>
        <w:tab w:val="clear" w:pos="4320"/>
        <w:tab w:val="clear" w:pos="8640"/>
        <w:tab w:val="center" w:pos="6750"/>
        <w:tab w:val="right" w:pos="12150"/>
      </w:tabs>
      <w:rPr>
        <w:sz w:val="24"/>
        <w:szCs w:val="24"/>
        <w:lang w:val="it-IT"/>
      </w:rPr>
    </w:pPr>
    <w:r>
      <w:rPr>
        <w:sz w:val="24"/>
        <w:szCs w:val="24"/>
        <w:lang w:val="it-IT"/>
      </w:rPr>
      <w:t>ED/</w:t>
    </w:r>
    <w:r w:rsidRPr="00CE0F0C">
      <w:rPr>
        <w:sz w:val="24"/>
        <w:szCs w:val="24"/>
        <w:lang w:val="it-IT"/>
      </w:rPr>
      <w:t>Resolution E-5351</w:t>
    </w:r>
    <w:r w:rsidRPr="00CE0F0C">
      <w:rPr>
        <w:sz w:val="24"/>
        <w:szCs w:val="24"/>
        <w:lang w:val="it-IT"/>
      </w:rPr>
      <w:tab/>
      <w:t>DRAFT</w:t>
    </w:r>
    <w:r w:rsidRPr="00CE0F0C">
      <w:rPr>
        <w:sz w:val="24"/>
        <w:szCs w:val="24"/>
        <w:lang w:val="it-IT"/>
      </w:rPr>
      <w:tab/>
    </w:r>
    <w:r>
      <w:rPr>
        <w:sz w:val="24"/>
        <w:szCs w:val="24"/>
        <w:lang w:val="it-IT"/>
      </w:rPr>
      <w:t>June 12, 2025</w:t>
    </w:r>
  </w:p>
  <w:p w14:paraId="01CD0B45" w14:textId="77777777" w:rsidR="006626A0" w:rsidRPr="00CE0F0C" w:rsidRDefault="006626A0" w:rsidP="006626A0">
    <w:pPr>
      <w:pStyle w:val="Header"/>
      <w:tabs>
        <w:tab w:val="clear" w:pos="4320"/>
        <w:tab w:val="clear" w:pos="8640"/>
        <w:tab w:val="center" w:pos="4680"/>
        <w:tab w:val="right" w:pos="9180"/>
      </w:tabs>
      <w:rPr>
        <w:sz w:val="24"/>
        <w:szCs w:val="24"/>
        <w:lang w:val="it-IT"/>
      </w:rPr>
    </w:pPr>
    <w:r w:rsidRPr="00CE0F0C">
      <w:rPr>
        <w:sz w:val="24"/>
        <w:szCs w:val="24"/>
        <w:lang w:val="it-IT"/>
      </w:rPr>
      <w:t>SDG&amp;E</w:t>
    </w:r>
    <w:r w:rsidRPr="00CE0F0C">
      <w:rPr>
        <w:rFonts w:ascii="Palatino Linotype" w:hAnsi="Palatino Linotype" w:cs="Arial"/>
        <w:sz w:val="24"/>
        <w:szCs w:val="24"/>
        <w:lang w:val="it-IT"/>
      </w:rPr>
      <w:t xml:space="preserve"> AL 4438-E et al.</w:t>
    </w:r>
    <w:r>
      <w:rPr>
        <w:rFonts w:ascii="Palatino Linotype" w:hAnsi="Palatino Linotype" w:cs="Arial"/>
        <w:sz w:val="24"/>
        <w:szCs w:val="24"/>
        <w:lang w:val="it-IT"/>
      </w:rPr>
      <w:t>/PRI</w:t>
    </w:r>
  </w:p>
  <w:p w14:paraId="33B26FF8" w14:textId="77777777" w:rsidR="006626A0" w:rsidRPr="00330413" w:rsidRDefault="006626A0">
    <w:pPr>
      <w:pStyle w:val="Header"/>
      <w:rPr>
        <w:rFonts w:ascii="Palatino Linotype" w:hAnsi="Palatino Linotype"/>
        <w:sz w:val="24"/>
        <w:szCs w:val="24"/>
        <w:lang w:val="it-I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A124" w14:textId="77777777" w:rsidR="009F1257" w:rsidRPr="00CE0F0C" w:rsidRDefault="009F1257" w:rsidP="009F1257">
    <w:pPr>
      <w:pStyle w:val="Header"/>
      <w:tabs>
        <w:tab w:val="clear" w:pos="4320"/>
        <w:tab w:val="clear" w:pos="8640"/>
        <w:tab w:val="center" w:pos="6750"/>
        <w:tab w:val="right" w:pos="12150"/>
      </w:tabs>
      <w:rPr>
        <w:sz w:val="24"/>
        <w:szCs w:val="24"/>
        <w:lang w:val="it-IT"/>
      </w:rPr>
    </w:pPr>
    <w:r>
      <w:rPr>
        <w:sz w:val="24"/>
        <w:szCs w:val="24"/>
        <w:lang w:val="it-IT"/>
      </w:rPr>
      <w:t>ED/</w:t>
    </w:r>
    <w:r w:rsidRPr="00CE0F0C">
      <w:rPr>
        <w:sz w:val="24"/>
        <w:szCs w:val="24"/>
        <w:lang w:val="it-IT"/>
      </w:rPr>
      <w:t>Resolution E-5351</w:t>
    </w:r>
    <w:r w:rsidRPr="00CE0F0C">
      <w:rPr>
        <w:sz w:val="24"/>
        <w:szCs w:val="24"/>
        <w:lang w:val="it-IT"/>
      </w:rPr>
      <w:tab/>
      <w:t>DRAFT</w:t>
    </w:r>
    <w:r w:rsidRPr="00CE0F0C">
      <w:rPr>
        <w:sz w:val="24"/>
        <w:szCs w:val="24"/>
        <w:lang w:val="it-IT"/>
      </w:rPr>
      <w:tab/>
    </w:r>
    <w:r>
      <w:rPr>
        <w:sz w:val="24"/>
        <w:szCs w:val="24"/>
        <w:lang w:val="it-IT"/>
      </w:rPr>
      <w:t>June 12, 2025</w:t>
    </w:r>
  </w:p>
  <w:p w14:paraId="3251DE03" w14:textId="77777777" w:rsidR="009F1257" w:rsidRPr="00CE0F0C" w:rsidRDefault="009F1257" w:rsidP="000C4E73">
    <w:pPr>
      <w:pStyle w:val="Header"/>
      <w:tabs>
        <w:tab w:val="clear" w:pos="4320"/>
        <w:tab w:val="clear" w:pos="8640"/>
        <w:tab w:val="center" w:pos="4680"/>
        <w:tab w:val="right" w:pos="9180"/>
      </w:tabs>
      <w:rPr>
        <w:sz w:val="24"/>
        <w:szCs w:val="24"/>
        <w:lang w:val="it-IT"/>
      </w:rPr>
    </w:pPr>
    <w:r w:rsidRPr="00CE0F0C">
      <w:rPr>
        <w:sz w:val="24"/>
        <w:szCs w:val="24"/>
        <w:lang w:val="it-IT"/>
      </w:rPr>
      <w:t>SDG&amp;E</w:t>
    </w:r>
    <w:r w:rsidRPr="00CE0F0C">
      <w:rPr>
        <w:rFonts w:ascii="Palatino Linotype" w:hAnsi="Palatino Linotype" w:cs="Arial"/>
        <w:sz w:val="24"/>
        <w:szCs w:val="24"/>
        <w:lang w:val="it-IT"/>
      </w:rPr>
      <w:t xml:space="preserve"> AL 4438-E et al.</w:t>
    </w:r>
    <w:r>
      <w:rPr>
        <w:rFonts w:ascii="Palatino Linotype" w:hAnsi="Palatino Linotype" w:cs="Arial"/>
        <w:sz w:val="24"/>
        <w:szCs w:val="24"/>
        <w:lang w:val="it-IT"/>
      </w:rPr>
      <w:t>/PRI</w:t>
    </w:r>
  </w:p>
  <w:p w14:paraId="09BEDD5A" w14:textId="77777777" w:rsidR="009F1257" w:rsidRPr="00CB00B0" w:rsidRDefault="009F1257">
    <w:pPr>
      <w:pStyle w:val="Header"/>
      <w:rPr>
        <w:rFonts w:ascii="Palatino Linotype" w:hAnsi="Palatino Linotype"/>
        <w:sz w:val="24"/>
        <w:szCs w:val="24"/>
      </w:rPr>
    </w:pPr>
    <w:r w:rsidRPr="00CB00B0">
      <w:rPr>
        <w:rFonts w:ascii="Palatino Linotype" w:hAnsi="Palatino Linotype"/>
        <w:sz w:val="24"/>
        <w:szCs w:val="24"/>
      </w:rPr>
      <w:tab/>
    </w:r>
    <w:r w:rsidRPr="00CB00B0">
      <w:rPr>
        <w:rFonts w:ascii="Palatino Linotype" w:hAnsi="Palatino Linotype"/>
        <w:sz w:val="24"/>
        <w:szCs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51B8" w14:textId="77777777" w:rsidR="005474D7" w:rsidRPr="005474D7" w:rsidRDefault="005474D7" w:rsidP="005474D7">
    <w:pPr>
      <w:pStyle w:val="Header"/>
      <w:rPr>
        <w:sz w:val="24"/>
        <w:szCs w:val="24"/>
        <w:lang w:val="it-IT"/>
      </w:rPr>
    </w:pPr>
    <w:r w:rsidRPr="005474D7">
      <w:rPr>
        <w:sz w:val="24"/>
        <w:szCs w:val="24"/>
        <w:lang w:val="it-IT"/>
      </w:rPr>
      <w:t>ED/Resolution E-5351</w:t>
    </w:r>
    <w:r w:rsidRPr="005474D7">
      <w:rPr>
        <w:sz w:val="24"/>
        <w:szCs w:val="24"/>
        <w:lang w:val="it-IT"/>
      </w:rPr>
      <w:tab/>
      <w:t>DRAFT</w:t>
    </w:r>
    <w:r w:rsidRPr="005474D7">
      <w:rPr>
        <w:sz w:val="24"/>
        <w:szCs w:val="24"/>
        <w:lang w:val="it-IT"/>
      </w:rPr>
      <w:tab/>
      <w:t>June 12, 2025</w:t>
    </w:r>
  </w:p>
  <w:p w14:paraId="4CBDD231" w14:textId="77777777" w:rsidR="005474D7" w:rsidRPr="005474D7" w:rsidRDefault="005474D7" w:rsidP="005474D7">
    <w:pPr>
      <w:pStyle w:val="Header"/>
      <w:rPr>
        <w:sz w:val="24"/>
        <w:szCs w:val="24"/>
        <w:lang w:val="it-IT"/>
      </w:rPr>
    </w:pPr>
    <w:r w:rsidRPr="005474D7">
      <w:rPr>
        <w:sz w:val="24"/>
        <w:szCs w:val="24"/>
        <w:lang w:val="it-IT"/>
      </w:rPr>
      <w:t>SDG&amp;E AL 4438-E et al./PRI</w:t>
    </w:r>
  </w:p>
  <w:p w14:paraId="33629B1D" w14:textId="77777777" w:rsidR="005474D7" w:rsidRPr="00CB00B0" w:rsidRDefault="005474D7">
    <w:pPr>
      <w:pStyle w:val="Header"/>
      <w:rPr>
        <w:rFonts w:ascii="Palatino Linotype" w:hAnsi="Palatino Linotype"/>
        <w:sz w:val="24"/>
        <w:szCs w:val="24"/>
      </w:rPr>
    </w:pPr>
    <w:r w:rsidRPr="00CB00B0">
      <w:rPr>
        <w:rFonts w:ascii="Palatino Linotype" w:hAnsi="Palatino Linotype"/>
        <w:sz w:val="24"/>
        <w:szCs w:val="24"/>
      </w:rPr>
      <w:tab/>
    </w:r>
    <w:r w:rsidRPr="00CB00B0">
      <w:rPr>
        <w:rFonts w:ascii="Palatino Linotype" w:hAnsi="Palatino Linotype"/>
        <w:sz w:val="24"/>
        <w:szCs w:val="24"/>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4400" w14:textId="77777777" w:rsidR="00377DDD" w:rsidRPr="00CE0F0C" w:rsidRDefault="00377DDD" w:rsidP="00377DDD">
    <w:pPr>
      <w:pStyle w:val="Header"/>
      <w:tabs>
        <w:tab w:val="clear" w:pos="4320"/>
        <w:tab w:val="clear" w:pos="8640"/>
        <w:tab w:val="center" w:pos="6750"/>
        <w:tab w:val="right" w:pos="12150"/>
      </w:tabs>
      <w:rPr>
        <w:sz w:val="24"/>
        <w:szCs w:val="24"/>
        <w:lang w:val="it-IT"/>
      </w:rPr>
    </w:pPr>
    <w:r>
      <w:rPr>
        <w:sz w:val="24"/>
        <w:szCs w:val="24"/>
        <w:lang w:val="it-IT"/>
      </w:rPr>
      <w:t>ED/</w:t>
    </w:r>
    <w:r w:rsidRPr="00CE0F0C">
      <w:rPr>
        <w:sz w:val="24"/>
        <w:szCs w:val="24"/>
        <w:lang w:val="it-IT"/>
      </w:rPr>
      <w:t>Resolution E-5351</w:t>
    </w:r>
    <w:r w:rsidRPr="00CE0F0C">
      <w:rPr>
        <w:sz w:val="24"/>
        <w:szCs w:val="24"/>
        <w:lang w:val="it-IT"/>
      </w:rPr>
      <w:tab/>
      <w:t>DRAFT</w:t>
    </w:r>
    <w:r w:rsidRPr="00CE0F0C">
      <w:rPr>
        <w:sz w:val="24"/>
        <w:szCs w:val="24"/>
        <w:lang w:val="it-IT"/>
      </w:rPr>
      <w:tab/>
    </w:r>
    <w:r>
      <w:rPr>
        <w:sz w:val="24"/>
        <w:szCs w:val="24"/>
        <w:lang w:val="it-IT"/>
      </w:rPr>
      <w:t>June 12, 2025</w:t>
    </w:r>
  </w:p>
  <w:p w14:paraId="5CDD903D" w14:textId="77777777" w:rsidR="00377DDD" w:rsidRPr="00CE0F0C" w:rsidRDefault="00377DDD" w:rsidP="00377DDD">
    <w:pPr>
      <w:pStyle w:val="Header"/>
      <w:tabs>
        <w:tab w:val="clear" w:pos="4320"/>
        <w:tab w:val="clear" w:pos="8640"/>
        <w:tab w:val="center" w:pos="4680"/>
        <w:tab w:val="right" w:pos="9180"/>
      </w:tabs>
      <w:rPr>
        <w:sz w:val="24"/>
        <w:szCs w:val="24"/>
        <w:lang w:val="it-IT"/>
      </w:rPr>
    </w:pPr>
    <w:r w:rsidRPr="00CE0F0C">
      <w:rPr>
        <w:sz w:val="24"/>
        <w:szCs w:val="24"/>
        <w:lang w:val="it-IT"/>
      </w:rPr>
      <w:t>SDG&amp;E</w:t>
    </w:r>
    <w:r w:rsidRPr="00CE0F0C">
      <w:rPr>
        <w:rFonts w:ascii="Palatino Linotype" w:hAnsi="Palatino Linotype" w:cs="Arial"/>
        <w:sz w:val="24"/>
        <w:szCs w:val="24"/>
        <w:lang w:val="it-IT"/>
      </w:rPr>
      <w:t xml:space="preserve"> AL 4438-E et al.</w:t>
    </w:r>
    <w:r>
      <w:rPr>
        <w:rFonts w:ascii="Palatino Linotype" w:hAnsi="Palatino Linotype" w:cs="Arial"/>
        <w:sz w:val="24"/>
        <w:szCs w:val="24"/>
        <w:lang w:val="it-IT"/>
      </w:rPr>
      <w:t>/PRI</w:t>
    </w:r>
  </w:p>
  <w:p w14:paraId="1C0528D3" w14:textId="77777777" w:rsidR="00377DDD" w:rsidRPr="00CB00B0" w:rsidRDefault="00377DDD">
    <w:pPr>
      <w:pStyle w:val="Header"/>
      <w:rPr>
        <w:rFonts w:ascii="Palatino Linotype" w:hAnsi="Palatino Linotype"/>
        <w:sz w:val="24"/>
        <w:szCs w:val="24"/>
      </w:rPr>
    </w:pPr>
    <w:r w:rsidRPr="00CB00B0">
      <w:rPr>
        <w:rFonts w:ascii="Palatino Linotype" w:hAnsi="Palatino Linotype"/>
        <w:sz w:val="24"/>
        <w:szCs w:val="24"/>
      </w:rPr>
      <w:tab/>
    </w:r>
    <w:r w:rsidRPr="00CB00B0">
      <w:rPr>
        <w:rFonts w:ascii="Palatino Linotype" w:hAnsi="Palatino Linotype"/>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DE5"/>
    <w:multiLevelType w:val="hybridMultilevel"/>
    <w:tmpl w:val="C82C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40F4"/>
    <w:multiLevelType w:val="hybridMultilevel"/>
    <w:tmpl w:val="93AA6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A47C1"/>
    <w:multiLevelType w:val="hybridMultilevel"/>
    <w:tmpl w:val="ECB8F52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5C3516"/>
    <w:multiLevelType w:val="hybridMultilevel"/>
    <w:tmpl w:val="A0E05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A0D7A"/>
    <w:multiLevelType w:val="hybridMultilevel"/>
    <w:tmpl w:val="5692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6"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C7771AB"/>
    <w:multiLevelType w:val="hybridMultilevel"/>
    <w:tmpl w:val="8BAE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F33C8"/>
    <w:multiLevelType w:val="hybridMultilevel"/>
    <w:tmpl w:val="7062C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1F55E5"/>
    <w:multiLevelType w:val="hybridMultilevel"/>
    <w:tmpl w:val="CE16D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047A"/>
    <w:multiLevelType w:val="hybridMultilevel"/>
    <w:tmpl w:val="D694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F32FB"/>
    <w:multiLevelType w:val="hybridMultilevel"/>
    <w:tmpl w:val="C82CB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480B1D"/>
    <w:multiLevelType w:val="multilevel"/>
    <w:tmpl w:val="C98CB7D4"/>
    <w:lvl w:ilvl="0">
      <w:start w:val="1"/>
      <w:numFmt w:val="decimal"/>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228F11E6"/>
    <w:multiLevelType w:val="hybridMultilevel"/>
    <w:tmpl w:val="FA50924C"/>
    <w:lvl w:ilvl="0" w:tplc="E3D2B0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415C5"/>
    <w:multiLevelType w:val="hybridMultilevel"/>
    <w:tmpl w:val="9662B0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89A43E0"/>
    <w:multiLevelType w:val="hybridMultilevel"/>
    <w:tmpl w:val="3BE0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F4450"/>
    <w:multiLevelType w:val="hybridMultilevel"/>
    <w:tmpl w:val="F0301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84BDE"/>
    <w:multiLevelType w:val="hybridMultilevel"/>
    <w:tmpl w:val="6F38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479A2"/>
    <w:multiLevelType w:val="hybridMultilevel"/>
    <w:tmpl w:val="8892B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2011E"/>
    <w:multiLevelType w:val="hybridMultilevel"/>
    <w:tmpl w:val="90A48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971A8"/>
    <w:multiLevelType w:val="hybridMultilevel"/>
    <w:tmpl w:val="1C7E7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936E4"/>
    <w:multiLevelType w:val="hybridMultilevel"/>
    <w:tmpl w:val="0994E3B0"/>
    <w:lvl w:ilvl="0" w:tplc="04090017">
      <w:start w:val="1"/>
      <w:numFmt w:val="low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88135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CAE7FCE"/>
    <w:multiLevelType w:val="hybridMultilevel"/>
    <w:tmpl w:val="79D0A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66334"/>
    <w:multiLevelType w:val="hybridMultilevel"/>
    <w:tmpl w:val="9DE87A48"/>
    <w:lvl w:ilvl="0" w:tplc="04090001">
      <w:start w:val="1"/>
      <w:numFmt w:val="bullet"/>
      <w:lvlText w:val=""/>
      <w:lvlJc w:val="left"/>
      <w:pPr>
        <w:ind w:left="1575" w:hanging="360"/>
      </w:pPr>
      <w:rPr>
        <w:rFonts w:ascii="Symbol" w:hAnsi="Symbol" w:hint="default"/>
      </w:rPr>
    </w:lvl>
    <w:lvl w:ilvl="1" w:tplc="04090003">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6"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7" w15:restartNumberingAfterBreak="0">
    <w:nsid w:val="62A05E57"/>
    <w:multiLevelType w:val="hybridMultilevel"/>
    <w:tmpl w:val="25C08B8A"/>
    <w:lvl w:ilvl="0" w:tplc="B4F0CFD4">
      <w:start w:val="1"/>
      <w:numFmt w:val="decimal"/>
      <w:lvlText w:val="%1."/>
      <w:lvlJc w:val="left"/>
      <w:pPr>
        <w:ind w:left="9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14AD4"/>
    <w:multiLevelType w:val="hybridMultilevel"/>
    <w:tmpl w:val="9A66E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77C223C"/>
    <w:multiLevelType w:val="hybridMultilevel"/>
    <w:tmpl w:val="A4F0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E58C1"/>
    <w:multiLevelType w:val="multilevel"/>
    <w:tmpl w:val="C98CB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7AB11967"/>
    <w:multiLevelType w:val="hybridMultilevel"/>
    <w:tmpl w:val="5B16C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C30FD"/>
    <w:multiLevelType w:val="singleLevel"/>
    <w:tmpl w:val="2FB6A734"/>
    <w:lvl w:ilvl="0">
      <w:start w:val="1"/>
      <w:numFmt w:val="decimal"/>
      <w:lvlText w:val="%1."/>
      <w:legacy w:legacy="1" w:legacySpace="144" w:legacyIndent="0"/>
      <w:lvlJc w:val="left"/>
    </w:lvl>
  </w:abstractNum>
  <w:abstractNum w:abstractNumId="33" w15:restartNumberingAfterBreak="0">
    <w:nsid w:val="7CF46F50"/>
    <w:multiLevelType w:val="hybridMultilevel"/>
    <w:tmpl w:val="27F40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8072861">
    <w:abstractNumId w:val="5"/>
  </w:num>
  <w:num w:numId="2" w16cid:durableId="1569993739">
    <w:abstractNumId w:val="22"/>
  </w:num>
  <w:num w:numId="3" w16cid:durableId="1194349160">
    <w:abstractNumId w:val="12"/>
  </w:num>
  <w:num w:numId="4" w16cid:durableId="806825969">
    <w:abstractNumId w:val="26"/>
  </w:num>
  <w:num w:numId="5" w16cid:durableId="1613365373">
    <w:abstractNumId w:val="6"/>
  </w:num>
  <w:num w:numId="6" w16cid:durableId="1334338828">
    <w:abstractNumId w:val="30"/>
  </w:num>
  <w:num w:numId="7" w16cid:durableId="1465730025">
    <w:abstractNumId w:val="23"/>
  </w:num>
  <w:num w:numId="8" w16cid:durableId="1227759462">
    <w:abstractNumId w:val="14"/>
  </w:num>
  <w:num w:numId="9" w16cid:durableId="1533230641">
    <w:abstractNumId w:val="2"/>
  </w:num>
  <w:num w:numId="10" w16cid:durableId="1201017326">
    <w:abstractNumId w:val="32"/>
  </w:num>
  <w:num w:numId="11" w16cid:durableId="773325722">
    <w:abstractNumId w:val="21"/>
  </w:num>
  <w:num w:numId="12" w16cid:durableId="1863785214">
    <w:abstractNumId w:val="8"/>
  </w:num>
  <w:num w:numId="13" w16cid:durableId="2104642276">
    <w:abstractNumId w:val="28"/>
  </w:num>
  <w:num w:numId="14" w16cid:durableId="182518235">
    <w:abstractNumId w:val="7"/>
  </w:num>
  <w:num w:numId="15" w16cid:durableId="1729451233">
    <w:abstractNumId w:val="13"/>
  </w:num>
  <w:num w:numId="16" w16cid:durableId="780760169">
    <w:abstractNumId w:val="25"/>
  </w:num>
  <w:num w:numId="17" w16cid:durableId="1741950083">
    <w:abstractNumId w:val="16"/>
  </w:num>
  <w:num w:numId="18" w16cid:durableId="800198073">
    <w:abstractNumId w:val="15"/>
  </w:num>
  <w:num w:numId="19" w16cid:durableId="1834685426">
    <w:abstractNumId w:val="0"/>
  </w:num>
  <w:num w:numId="20" w16cid:durableId="2021538565">
    <w:abstractNumId w:val="11"/>
  </w:num>
  <w:num w:numId="21" w16cid:durableId="1563328448">
    <w:abstractNumId w:val="20"/>
  </w:num>
  <w:num w:numId="22" w16cid:durableId="926427022">
    <w:abstractNumId w:val="17"/>
  </w:num>
  <w:num w:numId="23" w16cid:durableId="719132335">
    <w:abstractNumId w:val="31"/>
  </w:num>
  <w:num w:numId="24" w16cid:durableId="1302347812">
    <w:abstractNumId w:val="27"/>
  </w:num>
  <w:num w:numId="25" w16cid:durableId="1133477883">
    <w:abstractNumId w:val="9"/>
  </w:num>
  <w:num w:numId="26" w16cid:durableId="1439175597">
    <w:abstractNumId w:val="4"/>
  </w:num>
  <w:num w:numId="27" w16cid:durableId="1846019058">
    <w:abstractNumId w:val="3"/>
  </w:num>
  <w:num w:numId="28" w16cid:durableId="533811982">
    <w:abstractNumId w:val="10"/>
  </w:num>
  <w:num w:numId="29" w16cid:durableId="896209338">
    <w:abstractNumId w:val="19"/>
  </w:num>
  <w:num w:numId="30" w16cid:durableId="159391206">
    <w:abstractNumId w:val="33"/>
  </w:num>
  <w:num w:numId="31" w16cid:durableId="2143840978">
    <w:abstractNumId w:val="18"/>
  </w:num>
  <w:num w:numId="32" w16cid:durableId="1889027875">
    <w:abstractNumId w:val="29"/>
  </w:num>
  <w:num w:numId="33" w16cid:durableId="1467745087">
    <w:abstractNumId w:val="1"/>
  </w:num>
  <w:num w:numId="34" w16cid:durableId="182704414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64" w:dllVersion="0" w:nlCheck="1" w:checkStyle="0" w:appName="MSWord"/>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8D"/>
    <w:rsid w:val="000005BA"/>
    <w:rsid w:val="00001089"/>
    <w:rsid w:val="00001B02"/>
    <w:rsid w:val="00001CDC"/>
    <w:rsid w:val="000028A2"/>
    <w:rsid w:val="00002FB1"/>
    <w:rsid w:val="000031A6"/>
    <w:rsid w:val="00003EA1"/>
    <w:rsid w:val="00004D1E"/>
    <w:rsid w:val="0000530E"/>
    <w:rsid w:val="00005AC1"/>
    <w:rsid w:val="00005AC4"/>
    <w:rsid w:val="00005C51"/>
    <w:rsid w:val="00005E70"/>
    <w:rsid w:val="000063A1"/>
    <w:rsid w:val="00006450"/>
    <w:rsid w:val="0000697B"/>
    <w:rsid w:val="00006C55"/>
    <w:rsid w:val="00006F67"/>
    <w:rsid w:val="00007863"/>
    <w:rsid w:val="000078F4"/>
    <w:rsid w:val="000079C7"/>
    <w:rsid w:val="00007D87"/>
    <w:rsid w:val="000106F6"/>
    <w:rsid w:val="00010D08"/>
    <w:rsid w:val="00010F24"/>
    <w:rsid w:val="00010FA7"/>
    <w:rsid w:val="000111E5"/>
    <w:rsid w:val="000113DA"/>
    <w:rsid w:val="00011983"/>
    <w:rsid w:val="00011CB2"/>
    <w:rsid w:val="000122F4"/>
    <w:rsid w:val="00012469"/>
    <w:rsid w:val="00012479"/>
    <w:rsid w:val="00012531"/>
    <w:rsid w:val="00012663"/>
    <w:rsid w:val="00012DF3"/>
    <w:rsid w:val="00012FE8"/>
    <w:rsid w:val="00013EF6"/>
    <w:rsid w:val="00014240"/>
    <w:rsid w:val="000144B8"/>
    <w:rsid w:val="00014756"/>
    <w:rsid w:val="000147B4"/>
    <w:rsid w:val="00014C67"/>
    <w:rsid w:val="00014DDA"/>
    <w:rsid w:val="00014FEA"/>
    <w:rsid w:val="0001548E"/>
    <w:rsid w:val="00015563"/>
    <w:rsid w:val="000155C2"/>
    <w:rsid w:val="000155F7"/>
    <w:rsid w:val="000157FE"/>
    <w:rsid w:val="00015B08"/>
    <w:rsid w:val="00016379"/>
    <w:rsid w:val="000170F8"/>
    <w:rsid w:val="000173BD"/>
    <w:rsid w:val="00017814"/>
    <w:rsid w:val="00017D33"/>
    <w:rsid w:val="000212E5"/>
    <w:rsid w:val="0002270C"/>
    <w:rsid w:val="000233D7"/>
    <w:rsid w:val="000237B3"/>
    <w:rsid w:val="00023987"/>
    <w:rsid w:val="00023C5B"/>
    <w:rsid w:val="0002402C"/>
    <w:rsid w:val="000240F9"/>
    <w:rsid w:val="0002456F"/>
    <w:rsid w:val="00024A53"/>
    <w:rsid w:val="00024C25"/>
    <w:rsid w:val="00025172"/>
    <w:rsid w:val="00025387"/>
    <w:rsid w:val="00025B6C"/>
    <w:rsid w:val="00025EAA"/>
    <w:rsid w:val="00026017"/>
    <w:rsid w:val="0002633B"/>
    <w:rsid w:val="000268EA"/>
    <w:rsid w:val="00026CEC"/>
    <w:rsid w:val="00026F77"/>
    <w:rsid w:val="00027336"/>
    <w:rsid w:val="000273AD"/>
    <w:rsid w:val="000276A0"/>
    <w:rsid w:val="00027A1D"/>
    <w:rsid w:val="00027DE5"/>
    <w:rsid w:val="00027FF7"/>
    <w:rsid w:val="000306BD"/>
    <w:rsid w:val="00031069"/>
    <w:rsid w:val="00031896"/>
    <w:rsid w:val="00031A81"/>
    <w:rsid w:val="000323C4"/>
    <w:rsid w:val="000327AD"/>
    <w:rsid w:val="0003306B"/>
    <w:rsid w:val="00033299"/>
    <w:rsid w:val="000332C5"/>
    <w:rsid w:val="000332C6"/>
    <w:rsid w:val="000333DB"/>
    <w:rsid w:val="00033A4C"/>
    <w:rsid w:val="000342B6"/>
    <w:rsid w:val="00034B2D"/>
    <w:rsid w:val="00034F40"/>
    <w:rsid w:val="000356C7"/>
    <w:rsid w:val="0003571B"/>
    <w:rsid w:val="000359B6"/>
    <w:rsid w:val="00035B51"/>
    <w:rsid w:val="00035D12"/>
    <w:rsid w:val="000360DC"/>
    <w:rsid w:val="00036830"/>
    <w:rsid w:val="000368A1"/>
    <w:rsid w:val="00036C1A"/>
    <w:rsid w:val="00036CB4"/>
    <w:rsid w:val="00036F22"/>
    <w:rsid w:val="00037382"/>
    <w:rsid w:val="0003767D"/>
    <w:rsid w:val="00037886"/>
    <w:rsid w:val="00040281"/>
    <w:rsid w:val="00041B23"/>
    <w:rsid w:val="0004211A"/>
    <w:rsid w:val="00042502"/>
    <w:rsid w:val="00043834"/>
    <w:rsid w:val="00043C9F"/>
    <w:rsid w:val="00043D1B"/>
    <w:rsid w:val="00043EB1"/>
    <w:rsid w:val="00043FB4"/>
    <w:rsid w:val="00044545"/>
    <w:rsid w:val="00045661"/>
    <w:rsid w:val="000457E2"/>
    <w:rsid w:val="00045EE9"/>
    <w:rsid w:val="00045F0F"/>
    <w:rsid w:val="0004647B"/>
    <w:rsid w:val="00046720"/>
    <w:rsid w:val="00046A13"/>
    <w:rsid w:val="00046A70"/>
    <w:rsid w:val="00046A8A"/>
    <w:rsid w:val="00046ADD"/>
    <w:rsid w:val="00046CCE"/>
    <w:rsid w:val="00046EE5"/>
    <w:rsid w:val="000474AC"/>
    <w:rsid w:val="000476AE"/>
    <w:rsid w:val="00047B18"/>
    <w:rsid w:val="00047D33"/>
    <w:rsid w:val="00050178"/>
    <w:rsid w:val="000506D5"/>
    <w:rsid w:val="000507A3"/>
    <w:rsid w:val="00050836"/>
    <w:rsid w:val="00050CC3"/>
    <w:rsid w:val="00051637"/>
    <w:rsid w:val="00051D95"/>
    <w:rsid w:val="00051FB5"/>
    <w:rsid w:val="0005209C"/>
    <w:rsid w:val="00052299"/>
    <w:rsid w:val="00052467"/>
    <w:rsid w:val="00052778"/>
    <w:rsid w:val="00052C26"/>
    <w:rsid w:val="00052D7B"/>
    <w:rsid w:val="00052E04"/>
    <w:rsid w:val="00052E97"/>
    <w:rsid w:val="00053057"/>
    <w:rsid w:val="00053515"/>
    <w:rsid w:val="00053D9F"/>
    <w:rsid w:val="000540A4"/>
    <w:rsid w:val="00054222"/>
    <w:rsid w:val="000542B7"/>
    <w:rsid w:val="00054828"/>
    <w:rsid w:val="000548F6"/>
    <w:rsid w:val="0005490C"/>
    <w:rsid w:val="0005536C"/>
    <w:rsid w:val="000554BD"/>
    <w:rsid w:val="00055BAF"/>
    <w:rsid w:val="00055C17"/>
    <w:rsid w:val="00055E6D"/>
    <w:rsid w:val="00055F5A"/>
    <w:rsid w:val="00056114"/>
    <w:rsid w:val="0005686F"/>
    <w:rsid w:val="00056ECA"/>
    <w:rsid w:val="000574A9"/>
    <w:rsid w:val="000574EB"/>
    <w:rsid w:val="00057ABD"/>
    <w:rsid w:val="00057B69"/>
    <w:rsid w:val="000603DA"/>
    <w:rsid w:val="0006063D"/>
    <w:rsid w:val="00060982"/>
    <w:rsid w:val="00060C5F"/>
    <w:rsid w:val="000615C5"/>
    <w:rsid w:val="00061A6F"/>
    <w:rsid w:val="000620D9"/>
    <w:rsid w:val="0006297D"/>
    <w:rsid w:val="00062E98"/>
    <w:rsid w:val="000640D8"/>
    <w:rsid w:val="0006492A"/>
    <w:rsid w:val="000649BD"/>
    <w:rsid w:val="000650E7"/>
    <w:rsid w:val="0006536D"/>
    <w:rsid w:val="000661C5"/>
    <w:rsid w:val="000665BC"/>
    <w:rsid w:val="000665E7"/>
    <w:rsid w:val="00066848"/>
    <w:rsid w:val="00066C1D"/>
    <w:rsid w:val="0006767B"/>
    <w:rsid w:val="00067BF0"/>
    <w:rsid w:val="00067EE0"/>
    <w:rsid w:val="000706CE"/>
    <w:rsid w:val="000709AA"/>
    <w:rsid w:val="00071B19"/>
    <w:rsid w:val="000720C5"/>
    <w:rsid w:val="00072589"/>
    <w:rsid w:val="00072B8A"/>
    <w:rsid w:val="00072BFE"/>
    <w:rsid w:val="00072CCA"/>
    <w:rsid w:val="00072F0C"/>
    <w:rsid w:val="000730B8"/>
    <w:rsid w:val="00073A32"/>
    <w:rsid w:val="00073F1C"/>
    <w:rsid w:val="000749F1"/>
    <w:rsid w:val="00075B89"/>
    <w:rsid w:val="00075D3C"/>
    <w:rsid w:val="00075E0E"/>
    <w:rsid w:val="000760FF"/>
    <w:rsid w:val="000763CC"/>
    <w:rsid w:val="00076D62"/>
    <w:rsid w:val="00076E79"/>
    <w:rsid w:val="00077199"/>
    <w:rsid w:val="000777AA"/>
    <w:rsid w:val="00077B8C"/>
    <w:rsid w:val="0008005E"/>
    <w:rsid w:val="00081215"/>
    <w:rsid w:val="00081413"/>
    <w:rsid w:val="00081A29"/>
    <w:rsid w:val="00081E57"/>
    <w:rsid w:val="000822C6"/>
    <w:rsid w:val="000823A4"/>
    <w:rsid w:val="000824DC"/>
    <w:rsid w:val="000827FB"/>
    <w:rsid w:val="00082D3A"/>
    <w:rsid w:val="00083547"/>
    <w:rsid w:val="000838D3"/>
    <w:rsid w:val="00083D68"/>
    <w:rsid w:val="000840C9"/>
    <w:rsid w:val="000841A9"/>
    <w:rsid w:val="00084373"/>
    <w:rsid w:val="000844B1"/>
    <w:rsid w:val="000844F0"/>
    <w:rsid w:val="00084AF2"/>
    <w:rsid w:val="000850D2"/>
    <w:rsid w:val="00085AC4"/>
    <w:rsid w:val="00085DD9"/>
    <w:rsid w:val="000860EC"/>
    <w:rsid w:val="00086130"/>
    <w:rsid w:val="00086241"/>
    <w:rsid w:val="00086CAA"/>
    <w:rsid w:val="00086E11"/>
    <w:rsid w:val="000870C4"/>
    <w:rsid w:val="000874EB"/>
    <w:rsid w:val="00087C34"/>
    <w:rsid w:val="00090253"/>
    <w:rsid w:val="00090263"/>
    <w:rsid w:val="000904C0"/>
    <w:rsid w:val="0009068A"/>
    <w:rsid w:val="00090737"/>
    <w:rsid w:val="0009097D"/>
    <w:rsid w:val="00090A64"/>
    <w:rsid w:val="00090B71"/>
    <w:rsid w:val="00090B78"/>
    <w:rsid w:val="00090ED2"/>
    <w:rsid w:val="000911BA"/>
    <w:rsid w:val="000919F1"/>
    <w:rsid w:val="00091BB2"/>
    <w:rsid w:val="00092676"/>
    <w:rsid w:val="000929AC"/>
    <w:rsid w:val="00092DF4"/>
    <w:rsid w:val="00092E6C"/>
    <w:rsid w:val="0009308A"/>
    <w:rsid w:val="00093703"/>
    <w:rsid w:val="00093880"/>
    <w:rsid w:val="00094838"/>
    <w:rsid w:val="00094B3A"/>
    <w:rsid w:val="000953D6"/>
    <w:rsid w:val="000958F8"/>
    <w:rsid w:val="000959A6"/>
    <w:rsid w:val="00095F0D"/>
    <w:rsid w:val="00096431"/>
    <w:rsid w:val="000964C2"/>
    <w:rsid w:val="00096527"/>
    <w:rsid w:val="00096550"/>
    <w:rsid w:val="0009682D"/>
    <w:rsid w:val="00096881"/>
    <w:rsid w:val="0009702E"/>
    <w:rsid w:val="00097088"/>
    <w:rsid w:val="000976C0"/>
    <w:rsid w:val="00097DC1"/>
    <w:rsid w:val="00097F33"/>
    <w:rsid w:val="000A0896"/>
    <w:rsid w:val="000A0BBD"/>
    <w:rsid w:val="000A10A8"/>
    <w:rsid w:val="000A11FF"/>
    <w:rsid w:val="000A1561"/>
    <w:rsid w:val="000A2564"/>
    <w:rsid w:val="000A2D91"/>
    <w:rsid w:val="000A3B25"/>
    <w:rsid w:val="000A40A7"/>
    <w:rsid w:val="000A4389"/>
    <w:rsid w:val="000A4A18"/>
    <w:rsid w:val="000A5251"/>
    <w:rsid w:val="000A5274"/>
    <w:rsid w:val="000A5712"/>
    <w:rsid w:val="000A5ACD"/>
    <w:rsid w:val="000A686E"/>
    <w:rsid w:val="000A71DA"/>
    <w:rsid w:val="000A77A1"/>
    <w:rsid w:val="000A7956"/>
    <w:rsid w:val="000A7F88"/>
    <w:rsid w:val="000B0007"/>
    <w:rsid w:val="000B13F0"/>
    <w:rsid w:val="000B1911"/>
    <w:rsid w:val="000B19BE"/>
    <w:rsid w:val="000B20A3"/>
    <w:rsid w:val="000B21EA"/>
    <w:rsid w:val="000B22A6"/>
    <w:rsid w:val="000B2456"/>
    <w:rsid w:val="000B26D6"/>
    <w:rsid w:val="000B300A"/>
    <w:rsid w:val="000B3187"/>
    <w:rsid w:val="000B3680"/>
    <w:rsid w:val="000B370A"/>
    <w:rsid w:val="000B38E8"/>
    <w:rsid w:val="000B3FE1"/>
    <w:rsid w:val="000B42DD"/>
    <w:rsid w:val="000B4AF4"/>
    <w:rsid w:val="000B4FBD"/>
    <w:rsid w:val="000B5103"/>
    <w:rsid w:val="000B52E2"/>
    <w:rsid w:val="000B53FE"/>
    <w:rsid w:val="000B6879"/>
    <w:rsid w:val="000B69AC"/>
    <w:rsid w:val="000B74BB"/>
    <w:rsid w:val="000B7540"/>
    <w:rsid w:val="000B7731"/>
    <w:rsid w:val="000C0202"/>
    <w:rsid w:val="000C0372"/>
    <w:rsid w:val="000C0559"/>
    <w:rsid w:val="000C0611"/>
    <w:rsid w:val="000C07B3"/>
    <w:rsid w:val="000C0B1B"/>
    <w:rsid w:val="000C0BBC"/>
    <w:rsid w:val="000C0D33"/>
    <w:rsid w:val="000C0D83"/>
    <w:rsid w:val="000C155F"/>
    <w:rsid w:val="000C160A"/>
    <w:rsid w:val="000C1845"/>
    <w:rsid w:val="000C1CA8"/>
    <w:rsid w:val="000C1D2F"/>
    <w:rsid w:val="000C2D6E"/>
    <w:rsid w:val="000C30B1"/>
    <w:rsid w:val="000C3B2B"/>
    <w:rsid w:val="000C3CFC"/>
    <w:rsid w:val="000C44D1"/>
    <w:rsid w:val="000C4A5F"/>
    <w:rsid w:val="000C4E73"/>
    <w:rsid w:val="000C51A6"/>
    <w:rsid w:val="000C53A4"/>
    <w:rsid w:val="000C56D2"/>
    <w:rsid w:val="000C596A"/>
    <w:rsid w:val="000C637C"/>
    <w:rsid w:val="000C6F9F"/>
    <w:rsid w:val="000C709D"/>
    <w:rsid w:val="000C7471"/>
    <w:rsid w:val="000C757F"/>
    <w:rsid w:val="000C7962"/>
    <w:rsid w:val="000C7B8C"/>
    <w:rsid w:val="000C7D68"/>
    <w:rsid w:val="000D00C8"/>
    <w:rsid w:val="000D0783"/>
    <w:rsid w:val="000D0EF8"/>
    <w:rsid w:val="000D190D"/>
    <w:rsid w:val="000D271B"/>
    <w:rsid w:val="000D2DFD"/>
    <w:rsid w:val="000D35D5"/>
    <w:rsid w:val="000D4935"/>
    <w:rsid w:val="000D5017"/>
    <w:rsid w:val="000D5154"/>
    <w:rsid w:val="000D56FD"/>
    <w:rsid w:val="000D5A0F"/>
    <w:rsid w:val="000D5ACB"/>
    <w:rsid w:val="000D5E5E"/>
    <w:rsid w:val="000D5ECF"/>
    <w:rsid w:val="000D716B"/>
    <w:rsid w:val="000D74D9"/>
    <w:rsid w:val="000D7B4A"/>
    <w:rsid w:val="000D7C4E"/>
    <w:rsid w:val="000E014B"/>
    <w:rsid w:val="000E040C"/>
    <w:rsid w:val="000E1012"/>
    <w:rsid w:val="000E1479"/>
    <w:rsid w:val="000E1593"/>
    <w:rsid w:val="000E18AA"/>
    <w:rsid w:val="000E1D6F"/>
    <w:rsid w:val="000E1F2E"/>
    <w:rsid w:val="000E20C2"/>
    <w:rsid w:val="000E2207"/>
    <w:rsid w:val="000E26D8"/>
    <w:rsid w:val="000E290B"/>
    <w:rsid w:val="000E2C03"/>
    <w:rsid w:val="000E3671"/>
    <w:rsid w:val="000E3A68"/>
    <w:rsid w:val="000E3ABA"/>
    <w:rsid w:val="000E3C31"/>
    <w:rsid w:val="000E4907"/>
    <w:rsid w:val="000E525D"/>
    <w:rsid w:val="000E5741"/>
    <w:rsid w:val="000E5E77"/>
    <w:rsid w:val="000E6086"/>
    <w:rsid w:val="000E699F"/>
    <w:rsid w:val="000E6DA1"/>
    <w:rsid w:val="000E7029"/>
    <w:rsid w:val="000E738E"/>
    <w:rsid w:val="000E75E4"/>
    <w:rsid w:val="000E79CA"/>
    <w:rsid w:val="000E7A46"/>
    <w:rsid w:val="000E7B73"/>
    <w:rsid w:val="000E7F22"/>
    <w:rsid w:val="000F025B"/>
    <w:rsid w:val="000F073C"/>
    <w:rsid w:val="000F0B30"/>
    <w:rsid w:val="000F112D"/>
    <w:rsid w:val="000F139B"/>
    <w:rsid w:val="000F2241"/>
    <w:rsid w:val="000F278E"/>
    <w:rsid w:val="000F27FB"/>
    <w:rsid w:val="000F2801"/>
    <w:rsid w:val="000F29DF"/>
    <w:rsid w:val="000F2CF6"/>
    <w:rsid w:val="000F335F"/>
    <w:rsid w:val="000F372C"/>
    <w:rsid w:val="000F3D1D"/>
    <w:rsid w:val="000F40F6"/>
    <w:rsid w:val="000F4202"/>
    <w:rsid w:val="000F44E2"/>
    <w:rsid w:val="000F45FD"/>
    <w:rsid w:val="000F465A"/>
    <w:rsid w:val="000F4DAB"/>
    <w:rsid w:val="000F4E87"/>
    <w:rsid w:val="000F5200"/>
    <w:rsid w:val="000F5396"/>
    <w:rsid w:val="000F573E"/>
    <w:rsid w:val="000F577F"/>
    <w:rsid w:val="000F6079"/>
    <w:rsid w:val="000F60E8"/>
    <w:rsid w:val="000F6292"/>
    <w:rsid w:val="000F6B20"/>
    <w:rsid w:val="000F7071"/>
    <w:rsid w:val="00100570"/>
    <w:rsid w:val="00100F47"/>
    <w:rsid w:val="0010160E"/>
    <w:rsid w:val="00101D52"/>
    <w:rsid w:val="0010208A"/>
    <w:rsid w:val="0010221B"/>
    <w:rsid w:val="00102546"/>
    <w:rsid w:val="0010284E"/>
    <w:rsid w:val="00103057"/>
    <w:rsid w:val="001033E0"/>
    <w:rsid w:val="00103796"/>
    <w:rsid w:val="00103A59"/>
    <w:rsid w:val="00103DDF"/>
    <w:rsid w:val="00104163"/>
    <w:rsid w:val="00104691"/>
    <w:rsid w:val="001051F2"/>
    <w:rsid w:val="001059D9"/>
    <w:rsid w:val="00105C2C"/>
    <w:rsid w:val="001064E4"/>
    <w:rsid w:val="001068EC"/>
    <w:rsid w:val="00106D7B"/>
    <w:rsid w:val="00106E9C"/>
    <w:rsid w:val="001070FD"/>
    <w:rsid w:val="001073B0"/>
    <w:rsid w:val="00107E73"/>
    <w:rsid w:val="00110325"/>
    <w:rsid w:val="0011057E"/>
    <w:rsid w:val="00110E2E"/>
    <w:rsid w:val="00110F1C"/>
    <w:rsid w:val="001110DD"/>
    <w:rsid w:val="001110E6"/>
    <w:rsid w:val="00111B07"/>
    <w:rsid w:val="0011205D"/>
    <w:rsid w:val="001122A7"/>
    <w:rsid w:val="001122F9"/>
    <w:rsid w:val="00112FBD"/>
    <w:rsid w:val="001132F3"/>
    <w:rsid w:val="0011388F"/>
    <w:rsid w:val="001139BB"/>
    <w:rsid w:val="00113B0C"/>
    <w:rsid w:val="00113D35"/>
    <w:rsid w:val="00114204"/>
    <w:rsid w:val="001153B1"/>
    <w:rsid w:val="00115648"/>
    <w:rsid w:val="00116837"/>
    <w:rsid w:val="00116993"/>
    <w:rsid w:val="00117483"/>
    <w:rsid w:val="00117794"/>
    <w:rsid w:val="00117B88"/>
    <w:rsid w:val="00117C14"/>
    <w:rsid w:val="00120659"/>
    <w:rsid w:val="00120841"/>
    <w:rsid w:val="001208EB"/>
    <w:rsid w:val="001216A2"/>
    <w:rsid w:val="001221AD"/>
    <w:rsid w:val="00122891"/>
    <w:rsid w:val="00122CA6"/>
    <w:rsid w:val="00122F1A"/>
    <w:rsid w:val="00123613"/>
    <w:rsid w:val="00123B5B"/>
    <w:rsid w:val="00124191"/>
    <w:rsid w:val="00124934"/>
    <w:rsid w:val="00125338"/>
    <w:rsid w:val="001253A8"/>
    <w:rsid w:val="0012581E"/>
    <w:rsid w:val="00125B4B"/>
    <w:rsid w:val="00125EE9"/>
    <w:rsid w:val="00126A11"/>
    <w:rsid w:val="00126AE2"/>
    <w:rsid w:val="00126DFE"/>
    <w:rsid w:val="0012707F"/>
    <w:rsid w:val="0012744D"/>
    <w:rsid w:val="00127450"/>
    <w:rsid w:val="00127772"/>
    <w:rsid w:val="001277D7"/>
    <w:rsid w:val="001302B3"/>
    <w:rsid w:val="00130855"/>
    <w:rsid w:val="00131437"/>
    <w:rsid w:val="00131B42"/>
    <w:rsid w:val="00131D1A"/>
    <w:rsid w:val="001322EC"/>
    <w:rsid w:val="0013271C"/>
    <w:rsid w:val="00132DF8"/>
    <w:rsid w:val="00132FC3"/>
    <w:rsid w:val="00133B7C"/>
    <w:rsid w:val="0013450F"/>
    <w:rsid w:val="001349D4"/>
    <w:rsid w:val="00134D1E"/>
    <w:rsid w:val="001355D0"/>
    <w:rsid w:val="001358BA"/>
    <w:rsid w:val="00135A44"/>
    <w:rsid w:val="00135B0C"/>
    <w:rsid w:val="001363FC"/>
    <w:rsid w:val="00136550"/>
    <w:rsid w:val="0013715E"/>
    <w:rsid w:val="001378F0"/>
    <w:rsid w:val="0013795B"/>
    <w:rsid w:val="00137A69"/>
    <w:rsid w:val="00137D92"/>
    <w:rsid w:val="001405FD"/>
    <w:rsid w:val="00140613"/>
    <w:rsid w:val="0014085D"/>
    <w:rsid w:val="00140E37"/>
    <w:rsid w:val="00141635"/>
    <w:rsid w:val="00141B22"/>
    <w:rsid w:val="00141CE6"/>
    <w:rsid w:val="00142145"/>
    <w:rsid w:val="00142B05"/>
    <w:rsid w:val="00142CA5"/>
    <w:rsid w:val="001430A7"/>
    <w:rsid w:val="001436EE"/>
    <w:rsid w:val="00143890"/>
    <w:rsid w:val="00143A26"/>
    <w:rsid w:val="00143A9B"/>
    <w:rsid w:val="00143F27"/>
    <w:rsid w:val="00143FEC"/>
    <w:rsid w:val="001451BE"/>
    <w:rsid w:val="00145E10"/>
    <w:rsid w:val="0014673A"/>
    <w:rsid w:val="001468B0"/>
    <w:rsid w:val="00146E69"/>
    <w:rsid w:val="0014782A"/>
    <w:rsid w:val="00147830"/>
    <w:rsid w:val="00147C6F"/>
    <w:rsid w:val="001500A7"/>
    <w:rsid w:val="0015039B"/>
    <w:rsid w:val="00150832"/>
    <w:rsid w:val="001508C3"/>
    <w:rsid w:val="00150981"/>
    <w:rsid w:val="00150B63"/>
    <w:rsid w:val="00151025"/>
    <w:rsid w:val="0015105E"/>
    <w:rsid w:val="001513F4"/>
    <w:rsid w:val="00151D25"/>
    <w:rsid w:val="00151E3F"/>
    <w:rsid w:val="0015260D"/>
    <w:rsid w:val="001526A8"/>
    <w:rsid w:val="001528AC"/>
    <w:rsid w:val="00152A0F"/>
    <w:rsid w:val="00152F2B"/>
    <w:rsid w:val="00153501"/>
    <w:rsid w:val="0015407A"/>
    <w:rsid w:val="00154735"/>
    <w:rsid w:val="00154812"/>
    <w:rsid w:val="001550AF"/>
    <w:rsid w:val="00155645"/>
    <w:rsid w:val="00155F8B"/>
    <w:rsid w:val="00156437"/>
    <w:rsid w:val="0015698A"/>
    <w:rsid w:val="00156C18"/>
    <w:rsid w:val="001577DE"/>
    <w:rsid w:val="00157EBB"/>
    <w:rsid w:val="00160625"/>
    <w:rsid w:val="0016095F"/>
    <w:rsid w:val="001618B3"/>
    <w:rsid w:val="00161985"/>
    <w:rsid w:val="00162259"/>
    <w:rsid w:val="0016263E"/>
    <w:rsid w:val="0016302A"/>
    <w:rsid w:val="0016344F"/>
    <w:rsid w:val="001637E7"/>
    <w:rsid w:val="00163949"/>
    <w:rsid w:val="00163E52"/>
    <w:rsid w:val="0016447B"/>
    <w:rsid w:val="00164E66"/>
    <w:rsid w:val="001654B3"/>
    <w:rsid w:val="001667FD"/>
    <w:rsid w:val="00166A9D"/>
    <w:rsid w:val="001675F0"/>
    <w:rsid w:val="00167DF7"/>
    <w:rsid w:val="00170041"/>
    <w:rsid w:val="001701A6"/>
    <w:rsid w:val="0017030D"/>
    <w:rsid w:val="00170428"/>
    <w:rsid w:val="0017059B"/>
    <w:rsid w:val="00170A21"/>
    <w:rsid w:val="00170EAF"/>
    <w:rsid w:val="00171240"/>
    <w:rsid w:val="0017174B"/>
    <w:rsid w:val="00171C90"/>
    <w:rsid w:val="0017208A"/>
    <w:rsid w:val="00172556"/>
    <w:rsid w:val="0017293D"/>
    <w:rsid w:val="00172F31"/>
    <w:rsid w:val="00172F94"/>
    <w:rsid w:val="00173434"/>
    <w:rsid w:val="001736CA"/>
    <w:rsid w:val="00173793"/>
    <w:rsid w:val="00173AD9"/>
    <w:rsid w:val="00173EE0"/>
    <w:rsid w:val="00174080"/>
    <w:rsid w:val="001740DA"/>
    <w:rsid w:val="001744C8"/>
    <w:rsid w:val="00174604"/>
    <w:rsid w:val="00174805"/>
    <w:rsid w:val="0017481C"/>
    <w:rsid w:val="00174944"/>
    <w:rsid w:val="00174D3C"/>
    <w:rsid w:val="00174FC4"/>
    <w:rsid w:val="001752E5"/>
    <w:rsid w:val="001755B4"/>
    <w:rsid w:val="00175B80"/>
    <w:rsid w:val="00175E2D"/>
    <w:rsid w:val="00176091"/>
    <w:rsid w:val="00176135"/>
    <w:rsid w:val="001765FE"/>
    <w:rsid w:val="001766DD"/>
    <w:rsid w:val="001766F6"/>
    <w:rsid w:val="001768CD"/>
    <w:rsid w:val="00177559"/>
    <w:rsid w:val="00177DC4"/>
    <w:rsid w:val="00177FF5"/>
    <w:rsid w:val="00180694"/>
    <w:rsid w:val="0018181B"/>
    <w:rsid w:val="00181A46"/>
    <w:rsid w:val="001820FE"/>
    <w:rsid w:val="0018210D"/>
    <w:rsid w:val="001821E8"/>
    <w:rsid w:val="00182CC0"/>
    <w:rsid w:val="001834F1"/>
    <w:rsid w:val="00183875"/>
    <w:rsid w:val="0018408D"/>
    <w:rsid w:val="00184724"/>
    <w:rsid w:val="00184A59"/>
    <w:rsid w:val="00184CC1"/>
    <w:rsid w:val="00184E17"/>
    <w:rsid w:val="00185552"/>
    <w:rsid w:val="00186D2B"/>
    <w:rsid w:val="001879EA"/>
    <w:rsid w:val="00190111"/>
    <w:rsid w:val="001905AC"/>
    <w:rsid w:val="001906E8"/>
    <w:rsid w:val="00190ADB"/>
    <w:rsid w:val="00190AFA"/>
    <w:rsid w:val="001910CA"/>
    <w:rsid w:val="001910EB"/>
    <w:rsid w:val="00191258"/>
    <w:rsid w:val="00191356"/>
    <w:rsid w:val="001916E9"/>
    <w:rsid w:val="00191AF3"/>
    <w:rsid w:val="00191CD4"/>
    <w:rsid w:val="00191FFD"/>
    <w:rsid w:val="00192373"/>
    <w:rsid w:val="001925FA"/>
    <w:rsid w:val="0019261E"/>
    <w:rsid w:val="00192E92"/>
    <w:rsid w:val="00192FDE"/>
    <w:rsid w:val="001930B2"/>
    <w:rsid w:val="00193503"/>
    <w:rsid w:val="0019360E"/>
    <w:rsid w:val="00193D0D"/>
    <w:rsid w:val="00193EDB"/>
    <w:rsid w:val="00193F1F"/>
    <w:rsid w:val="0019406D"/>
    <w:rsid w:val="0019463D"/>
    <w:rsid w:val="001946C1"/>
    <w:rsid w:val="0019482D"/>
    <w:rsid w:val="00194846"/>
    <w:rsid w:val="00194EF6"/>
    <w:rsid w:val="00194F5F"/>
    <w:rsid w:val="00195871"/>
    <w:rsid w:val="00195AFC"/>
    <w:rsid w:val="00196009"/>
    <w:rsid w:val="0019631A"/>
    <w:rsid w:val="00196382"/>
    <w:rsid w:val="001967A2"/>
    <w:rsid w:val="0019688B"/>
    <w:rsid w:val="00196990"/>
    <w:rsid w:val="00196DE3"/>
    <w:rsid w:val="001970D4"/>
    <w:rsid w:val="0019725C"/>
    <w:rsid w:val="00197D40"/>
    <w:rsid w:val="00197DEF"/>
    <w:rsid w:val="00197FF5"/>
    <w:rsid w:val="001A05E4"/>
    <w:rsid w:val="001A06D1"/>
    <w:rsid w:val="001A10F8"/>
    <w:rsid w:val="001A1519"/>
    <w:rsid w:val="001A262B"/>
    <w:rsid w:val="001A2889"/>
    <w:rsid w:val="001A2CFF"/>
    <w:rsid w:val="001A31C4"/>
    <w:rsid w:val="001A31C7"/>
    <w:rsid w:val="001A338E"/>
    <w:rsid w:val="001A37EF"/>
    <w:rsid w:val="001A3D59"/>
    <w:rsid w:val="001A3FFE"/>
    <w:rsid w:val="001A45EF"/>
    <w:rsid w:val="001A4783"/>
    <w:rsid w:val="001A4819"/>
    <w:rsid w:val="001A5105"/>
    <w:rsid w:val="001A5112"/>
    <w:rsid w:val="001A52E9"/>
    <w:rsid w:val="001A5E10"/>
    <w:rsid w:val="001A69F9"/>
    <w:rsid w:val="001A6A8F"/>
    <w:rsid w:val="001A6F67"/>
    <w:rsid w:val="001A7A3C"/>
    <w:rsid w:val="001A7E9C"/>
    <w:rsid w:val="001B0366"/>
    <w:rsid w:val="001B03B1"/>
    <w:rsid w:val="001B0C24"/>
    <w:rsid w:val="001B136E"/>
    <w:rsid w:val="001B13A0"/>
    <w:rsid w:val="001B1681"/>
    <w:rsid w:val="001B1E6D"/>
    <w:rsid w:val="001B1EE3"/>
    <w:rsid w:val="001B2046"/>
    <w:rsid w:val="001B37DB"/>
    <w:rsid w:val="001B3C63"/>
    <w:rsid w:val="001B4424"/>
    <w:rsid w:val="001B52BE"/>
    <w:rsid w:val="001B5772"/>
    <w:rsid w:val="001B57A1"/>
    <w:rsid w:val="001B6182"/>
    <w:rsid w:val="001B66F5"/>
    <w:rsid w:val="001B67FB"/>
    <w:rsid w:val="001B6BC2"/>
    <w:rsid w:val="001B71AD"/>
    <w:rsid w:val="001B7267"/>
    <w:rsid w:val="001B7291"/>
    <w:rsid w:val="001B75AB"/>
    <w:rsid w:val="001B7A57"/>
    <w:rsid w:val="001C0003"/>
    <w:rsid w:val="001C039B"/>
    <w:rsid w:val="001C063B"/>
    <w:rsid w:val="001C09BC"/>
    <w:rsid w:val="001C09E1"/>
    <w:rsid w:val="001C0EB7"/>
    <w:rsid w:val="001C11BD"/>
    <w:rsid w:val="001C124C"/>
    <w:rsid w:val="001C149E"/>
    <w:rsid w:val="001C14A8"/>
    <w:rsid w:val="001C19D9"/>
    <w:rsid w:val="001C30B1"/>
    <w:rsid w:val="001C3611"/>
    <w:rsid w:val="001C3F82"/>
    <w:rsid w:val="001C422D"/>
    <w:rsid w:val="001C48BE"/>
    <w:rsid w:val="001C4ADA"/>
    <w:rsid w:val="001C4C0E"/>
    <w:rsid w:val="001C4D97"/>
    <w:rsid w:val="001C4E54"/>
    <w:rsid w:val="001C5100"/>
    <w:rsid w:val="001C538D"/>
    <w:rsid w:val="001C585A"/>
    <w:rsid w:val="001C5DC3"/>
    <w:rsid w:val="001C6707"/>
    <w:rsid w:val="001C6D62"/>
    <w:rsid w:val="001C6DB5"/>
    <w:rsid w:val="001C70C2"/>
    <w:rsid w:val="001C7469"/>
    <w:rsid w:val="001C7708"/>
    <w:rsid w:val="001C7A6F"/>
    <w:rsid w:val="001C7C44"/>
    <w:rsid w:val="001C7E72"/>
    <w:rsid w:val="001D15F9"/>
    <w:rsid w:val="001D2433"/>
    <w:rsid w:val="001D2444"/>
    <w:rsid w:val="001D3BAB"/>
    <w:rsid w:val="001D4310"/>
    <w:rsid w:val="001D43A2"/>
    <w:rsid w:val="001D4BEE"/>
    <w:rsid w:val="001D52FC"/>
    <w:rsid w:val="001D5365"/>
    <w:rsid w:val="001D5612"/>
    <w:rsid w:val="001D59F8"/>
    <w:rsid w:val="001D5A11"/>
    <w:rsid w:val="001D5AFB"/>
    <w:rsid w:val="001D6B98"/>
    <w:rsid w:val="001D6CE7"/>
    <w:rsid w:val="001D6FE5"/>
    <w:rsid w:val="001D7410"/>
    <w:rsid w:val="001D748A"/>
    <w:rsid w:val="001E011B"/>
    <w:rsid w:val="001E052E"/>
    <w:rsid w:val="001E0C49"/>
    <w:rsid w:val="001E1291"/>
    <w:rsid w:val="001E153E"/>
    <w:rsid w:val="001E15F1"/>
    <w:rsid w:val="001E16D4"/>
    <w:rsid w:val="001E1752"/>
    <w:rsid w:val="001E1B64"/>
    <w:rsid w:val="001E1FAD"/>
    <w:rsid w:val="001E2C33"/>
    <w:rsid w:val="001E2E46"/>
    <w:rsid w:val="001E3448"/>
    <w:rsid w:val="001E368A"/>
    <w:rsid w:val="001E3AAF"/>
    <w:rsid w:val="001E3D91"/>
    <w:rsid w:val="001E3F17"/>
    <w:rsid w:val="001E43A6"/>
    <w:rsid w:val="001E450E"/>
    <w:rsid w:val="001E4568"/>
    <w:rsid w:val="001E4B72"/>
    <w:rsid w:val="001E4C9B"/>
    <w:rsid w:val="001E4D7D"/>
    <w:rsid w:val="001E52EF"/>
    <w:rsid w:val="001E55E4"/>
    <w:rsid w:val="001E5CF1"/>
    <w:rsid w:val="001E5D9A"/>
    <w:rsid w:val="001E635A"/>
    <w:rsid w:val="001E6774"/>
    <w:rsid w:val="001E71BA"/>
    <w:rsid w:val="001E7201"/>
    <w:rsid w:val="001E723C"/>
    <w:rsid w:val="001E7EE0"/>
    <w:rsid w:val="001F010E"/>
    <w:rsid w:val="001F036D"/>
    <w:rsid w:val="001F0C67"/>
    <w:rsid w:val="001F1C08"/>
    <w:rsid w:val="001F1C26"/>
    <w:rsid w:val="001F1DF6"/>
    <w:rsid w:val="001F2086"/>
    <w:rsid w:val="001F20DF"/>
    <w:rsid w:val="001F218A"/>
    <w:rsid w:val="001F2673"/>
    <w:rsid w:val="001F2A8C"/>
    <w:rsid w:val="001F2EBB"/>
    <w:rsid w:val="001F302F"/>
    <w:rsid w:val="001F3226"/>
    <w:rsid w:val="001F3942"/>
    <w:rsid w:val="001F3990"/>
    <w:rsid w:val="001F3B65"/>
    <w:rsid w:val="001F3C83"/>
    <w:rsid w:val="001F3E06"/>
    <w:rsid w:val="001F4465"/>
    <w:rsid w:val="001F44C0"/>
    <w:rsid w:val="001F49C3"/>
    <w:rsid w:val="001F4FA0"/>
    <w:rsid w:val="001F542B"/>
    <w:rsid w:val="001F569D"/>
    <w:rsid w:val="001F5819"/>
    <w:rsid w:val="001F5D00"/>
    <w:rsid w:val="001F6CB0"/>
    <w:rsid w:val="001F6EDB"/>
    <w:rsid w:val="001F748A"/>
    <w:rsid w:val="001F7912"/>
    <w:rsid w:val="001F7A01"/>
    <w:rsid w:val="001F7CF0"/>
    <w:rsid w:val="0020013A"/>
    <w:rsid w:val="002007F1"/>
    <w:rsid w:val="00200918"/>
    <w:rsid w:val="00201419"/>
    <w:rsid w:val="002014BC"/>
    <w:rsid w:val="002014F3"/>
    <w:rsid w:val="00201D5E"/>
    <w:rsid w:val="00201EFA"/>
    <w:rsid w:val="00202333"/>
    <w:rsid w:val="00202427"/>
    <w:rsid w:val="00202644"/>
    <w:rsid w:val="00202757"/>
    <w:rsid w:val="00203474"/>
    <w:rsid w:val="00203A0F"/>
    <w:rsid w:val="002040C7"/>
    <w:rsid w:val="002046B6"/>
    <w:rsid w:val="002057F4"/>
    <w:rsid w:val="0020584D"/>
    <w:rsid w:val="002058D2"/>
    <w:rsid w:val="002058E2"/>
    <w:rsid w:val="00205FCC"/>
    <w:rsid w:val="00206938"/>
    <w:rsid w:val="002072D2"/>
    <w:rsid w:val="00207A41"/>
    <w:rsid w:val="00207D76"/>
    <w:rsid w:val="00210054"/>
    <w:rsid w:val="00210266"/>
    <w:rsid w:val="002102B9"/>
    <w:rsid w:val="00210595"/>
    <w:rsid w:val="00210D84"/>
    <w:rsid w:val="00210F80"/>
    <w:rsid w:val="00211B76"/>
    <w:rsid w:val="00211C94"/>
    <w:rsid w:val="002122E2"/>
    <w:rsid w:val="00212338"/>
    <w:rsid w:val="00212583"/>
    <w:rsid w:val="002126AF"/>
    <w:rsid w:val="00212777"/>
    <w:rsid w:val="00212B50"/>
    <w:rsid w:val="00212D0C"/>
    <w:rsid w:val="00212D78"/>
    <w:rsid w:val="00213F87"/>
    <w:rsid w:val="00214036"/>
    <w:rsid w:val="00214309"/>
    <w:rsid w:val="002143E5"/>
    <w:rsid w:val="00214542"/>
    <w:rsid w:val="0021459D"/>
    <w:rsid w:val="00215337"/>
    <w:rsid w:val="002153A8"/>
    <w:rsid w:val="0021556B"/>
    <w:rsid w:val="00215708"/>
    <w:rsid w:val="002159DE"/>
    <w:rsid w:val="00215DD1"/>
    <w:rsid w:val="002167E8"/>
    <w:rsid w:val="00216D9B"/>
    <w:rsid w:val="00216EF1"/>
    <w:rsid w:val="00217037"/>
    <w:rsid w:val="0021723B"/>
    <w:rsid w:val="0021741E"/>
    <w:rsid w:val="0021756B"/>
    <w:rsid w:val="00217694"/>
    <w:rsid w:val="00220257"/>
    <w:rsid w:val="00220440"/>
    <w:rsid w:val="002225A1"/>
    <w:rsid w:val="00222774"/>
    <w:rsid w:val="0022291E"/>
    <w:rsid w:val="00222B25"/>
    <w:rsid w:val="00222B70"/>
    <w:rsid w:val="00222C86"/>
    <w:rsid w:val="00223006"/>
    <w:rsid w:val="00224B3F"/>
    <w:rsid w:val="002253F7"/>
    <w:rsid w:val="002254E4"/>
    <w:rsid w:val="002259C1"/>
    <w:rsid w:val="00226087"/>
    <w:rsid w:val="00227925"/>
    <w:rsid w:val="0023013C"/>
    <w:rsid w:val="00230CB8"/>
    <w:rsid w:val="00230DE2"/>
    <w:rsid w:val="00231085"/>
    <w:rsid w:val="002317AA"/>
    <w:rsid w:val="00231B42"/>
    <w:rsid w:val="00231C00"/>
    <w:rsid w:val="00231DBB"/>
    <w:rsid w:val="00231DF8"/>
    <w:rsid w:val="002321D5"/>
    <w:rsid w:val="002324F3"/>
    <w:rsid w:val="002327F0"/>
    <w:rsid w:val="002328DE"/>
    <w:rsid w:val="0023334E"/>
    <w:rsid w:val="00233C49"/>
    <w:rsid w:val="00234136"/>
    <w:rsid w:val="002354CC"/>
    <w:rsid w:val="00235625"/>
    <w:rsid w:val="002356FB"/>
    <w:rsid w:val="00235BF8"/>
    <w:rsid w:val="00236D3A"/>
    <w:rsid w:val="00236F28"/>
    <w:rsid w:val="00237912"/>
    <w:rsid w:val="00237C2B"/>
    <w:rsid w:val="00240572"/>
    <w:rsid w:val="0024060D"/>
    <w:rsid w:val="00240620"/>
    <w:rsid w:val="00240779"/>
    <w:rsid w:val="0024160F"/>
    <w:rsid w:val="00241BBA"/>
    <w:rsid w:val="00241CA0"/>
    <w:rsid w:val="002422DC"/>
    <w:rsid w:val="00242516"/>
    <w:rsid w:val="00242972"/>
    <w:rsid w:val="00243809"/>
    <w:rsid w:val="00243CD2"/>
    <w:rsid w:val="00244666"/>
    <w:rsid w:val="002446DE"/>
    <w:rsid w:val="00244809"/>
    <w:rsid w:val="00244D6A"/>
    <w:rsid w:val="002454A7"/>
    <w:rsid w:val="00245BD2"/>
    <w:rsid w:val="00245E2A"/>
    <w:rsid w:val="00245E7F"/>
    <w:rsid w:val="002477B7"/>
    <w:rsid w:val="002478E9"/>
    <w:rsid w:val="00247D64"/>
    <w:rsid w:val="00247D86"/>
    <w:rsid w:val="00250C95"/>
    <w:rsid w:val="00250E0F"/>
    <w:rsid w:val="00250E24"/>
    <w:rsid w:val="00250E64"/>
    <w:rsid w:val="0025147C"/>
    <w:rsid w:val="002515DF"/>
    <w:rsid w:val="002517C7"/>
    <w:rsid w:val="00251874"/>
    <w:rsid w:val="00251E45"/>
    <w:rsid w:val="00252872"/>
    <w:rsid w:val="0025299F"/>
    <w:rsid w:val="00252E8C"/>
    <w:rsid w:val="00254212"/>
    <w:rsid w:val="002544AD"/>
    <w:rsid w:val="00254CAE"/>
    <w:rsid w:val="00255061"/>
    <w:rsid w:val="00255160"/>
    <w:rsid w:val="002555AF"/>
    <w:rsid w:val="002557A0"/>
    <w:rsid w:val="00256B8F"/>
    <w:rsid w:val="00256B97"/>
    <w:rsid w:val="00256E64"/>
    <w:rsid w:val="0025751C"/>
    <w:rsid w:val="00257654"/>
    <w:rsid w:val="0026038D"/>
    <w:rsid w:val="002606AB"/>
    <w:rsid w:val="0026099A"/>
    <w:rsid w:val="00261459"/>
    <w:rsid w:val="00261641"/>
    <w:rsid w:val="00261BA3"/>
    <w:rsid w:val="00261CC6"/>
    <w:rsid w:val="0026207C"/>
    <w:rsid w:val="00262252"/>
    <w:rsid w:val="002625C5"/>
    <w:rsid w:val="00262F22"/>
    <w:rsid w:val="002632DC"/>
    <w:rsid w:val="00263DE2"/>
    <w:rsid w:val="00263FED"/>
    <w:rsid w:val="00264010"/>
    <w:rsid w:val="002641AE"/>
    <w:rsid w:val="00264865"/>
    <w:rsid w:val="00264E9A"/>
    <w:rsid w:val="00264EA3"/>
    <w:rsid w:val="00264FBE"/>
    <w:rsid w:val="00265A6D"/>
    <w:rsid w:val="002667E9"/>
    <w:rsid w:val="00266889"/>
    <w:rsid w:val="00266D37"/>
    <w:rsid w:val="00266E06"/>
    <w:rsid w:val="00267188"/>
    <w:rsid w:val="002673D1"/>
    <w:rsid w:val="0027062E"/>
    <w:rsid w:val="00270968"/>
    <w:rsid w:val="00270B9A"/>
    <w:rsid w:val="00270D44"/>
    <w:rsid w:val="002710DA"/>
    <w:rsid w:val="002715BC"/>
    <w:rsid w:val="00271678"/>
    <w:rsid w:val="00271D89"/>
    <w:rsid w:val="0027276D"/>
    <w:rsid w:val="002727CE"/>
    <w:rsid w:val="002729CD"/>
    <w:rsid w:val="00274994"/>
    <w:rsid w:val="0027562C"/>
    <w:rsid w:val="0027590A"/>
    <w:rsid w:val="00275ACF"/>
    <w:rsid w:val="00275B36"/>
    <w:rsid w:val="00275C9B"/>
    <w:rsid w:val="00275EC7"/>
    <w:rsid w:val="00276347"/>
    <w:rsid w:val="00276CDB"/>
    <w:rsid w:val="0027719D"/>
    <w:rsid w:val="002771C2"/>
    <w:rsid w:val="00277208"/>
    <w:rsid w:val="0027759F"/>
    <w:rsid w:val="00277611"/>
    <w:rsid w:val="0027768D"/>
    <w:rsid w:val="002778B1"/>
    <w:rsid w:val="00277EC7"/>
    <w:rsid w:val="002807D3"/>
    <w:rsid w:val="00280956"/>
    <w:rsid w:val="00280BD2"/>
    <w:rsid w:val="00280C25"/>
    <w:rsid w:val="0028224D"/>
    <w:rsid w:val="00283041"/>
    <w:rsid w:val="0028344F"/>
    <w:rsid w:val="00283560"/>
    <w:rsid w:val="002838FB"/>
    <w:rsid w:val="00283F34"/>
    <w:rsid w:val="0028408A"/>
    <w:rsid w:val="00284385"/>
    <w:rsid w:val="002844C6"/>
    <w:rsid w:val="00284B8B"/>
    <w:rsid w:val="00284BAF"/>
    <w:rsid w:val="00284BB5"/>
    <w:rsid w:val="002850D8"/>
    <w:rsid w:val="00285687"/>
    <w:rsid w:val="00285793"/>
    <w:rsid w:val="0028625D"/>
    <w:rsid w:val="00287402"/>
    <w:rsid w:val="00287979"/>
    <w:rsid w:val="0029056A"/>
    <w:rsid w:val="0029080F"/>
    <w:rsid w:val="00291974"/>
    <w:rsid w:val="00291DA7"/>
    <w:rsid w:val="00292889"/>
    <w:rsid w:val="00292D93"/>
    <w:rsid w:val="00292EC0"/>
    <w:rsid w:val="0029303B"/>
    <w:rsid w:val="0029363E"/>
    <w:rsid w:val="0029398F"/>
    <w:rsid w:val="0029460A"/>
    <w:rsid w:val="00294719"/>
    <w:rsid w:val="00294A2F"/>
    <w:rsid w:val="00294D0F"/>
    <w:rsid w:val="00294EE1"/>
    <w:rsid w:val="00294F20"/>
    <w:rsid w:val="00295616"/>
    <w:rsid w:val="00296F77"/>
    <w:rsid w:val="0029719C"/>
    <w:rsid w:val="00297337"/>
    <w:rsid w:val="00297495"/>
    <w:rsid w:val="0029749F"/>
    <w:rsid w:val="00297513"/>
    <w:rsid w:val="00297C7F"/>
    <w:rsid w:val="00297C86"/>
    <w:rsid w:val="00297CBF"/>
    <w:rsid w:val="00297D8C"/>
    <w:rsid w:val="002A0354"/>
    <w:rsid w:val="002A07E5"/>
    <w:rsid w:val="002A085E"/>
    <w:rsid w:val="002A0B87"/>
    <w:rsid w:val="002A0D85"/>
    <w:rsid w:val="002A126E"/>
    <w:rsid w:val="002A13C4"/>
    <w:rsid w:val="002A1840"/>
    <w:rsid w:val="002A18AC"/>
    <w:rsid w:val="002A1929"/>
    <w:rsid w:val="002A19B9"/>
    <w:rsid w:val="002A1C55"/>
    <w:rsid w:val="002A3DFA"/>
    <w:rsid w:val="002A4467"/>
    <w:rsid w:val="002A44DA"/>
    <w:rsid w:val="002A4609"/>
    <w:rsid w:val="002A4AFC"/>
    <w:rsid w:val="002A4AFE"/>
    <w:rsid w:val="002A5264"/>
    <w:rsid w:val="002A5337"/>
    <w:rsid w:val="002A5669"/>
    <w:rsid w:val="002A57EF"/>
    <w:rsid w:val="002A5BFD"/>
    <w:rsid w:val="002A6000"/>
    <w:rsid w:val="002A6459"/>
    <w:rsid w:val="002A6A2C"/>
    <w:rsid w:val="002A6DDA"/>
    <w:rsid w:val="002A7201"/>
    <w:rsid w:val="002A7651"/>
    <w:rsid w:val="002A7AF0"/>
    <w:rsid w:val="002A98AB"/>
    <w:rsid w:val="002B00C0"/>
    <w:rsid w:val="002B0161"/>
    <w:rsid w:val="002B04EA"/>
    <w:rsid w:val="002B0875"/>
    <w:rsid w:val="002B0B97"/>
    <w:rsid w:val="002B0EE2"/>
    <w:rsid w:val="002B1419"/>
    <w:rsid w:val="002B17F5"/>
    <w:rsid w:val="002B184F"/>
    <w:rsid w:val="002B281F"/>
    <w:rsid w:val="002B28FE"/>
    <w:rsid w:val="002B381D"/>
    <w:rsid w:val="002B40A5"/>
    <w:rsid w:val="002B47F4"/>
    <w:rsid w:val="002B4F2B"/>
    <w:rsid w:val="002B5913"/>
    <w:rsid w:val="002B5941"/>
    <w:rsid w:val="002B673A"/>
    <w:rsid w:val="002B68E5"/>
    <w:rsid w:val="002B712D"/>
    <w:rsid w:val="002B71DB"/>
    <w:rsid w:val="002B72EF"/>
    <w:rsid w:val="002B7611"/>
    <w:rsid w:val="002C09C6"/>
    <w:rsid w:val="002C0B14"/>
    <w:rsid w:val="002C0C57"/>
    <w:rsid w:val="002C11FA"/>
    <w:rsid w:val="002C157B"/>
    <w:rsid w:val="002C19B0"/>
    <w:rsid w:val="002C1A0A"/>
    <w:rsid w:val="002C1B23"/>
    <w:rsid w:val="002C1C7F"/>
    <w:rsid w:val="002C2161"/>
    <w:rsid w:val="002C309A"/>
    <w:rsid w:val="002C3F1A"/>
    <w:rsid w:val="002C5615"/>
    <w:rsid w:val="002C59DB"/>
    <w:rsid w:val="002C5A35"/>
    <w:rsid w:val="002C620E"/>
    <w:rsid w:val="002C6B76"/>
    <w:rsid w:val="002C6BF1"/>
    <w:rsid w:val="002C6D73"/>
    <w:rsid w:val="002C7599"/>
    <w:rsid w:val="002D0331"/>
    <w:rsid w:val="002D054F"/>
    <w:rsid w:val="002D063F"/>
    <w:rsid w:val="002D0EAB"/>
    <w:rsid w:val="002D13AB"/>
    <w:rsid w:val="002D2082"/>
    <w:rsid w:val="002D2312"/>
    <w:rsid w:val="002D2A74"/>
    <w:rsid w:val="002D2C94"/>
    <w:rsid w:val="002D2F2F"/>
    <w:rsid w:val="002D2FDE"/>
    <w:rsid w:val="002D37F0"/>
    <w:rsid w:val="002D3D9C"/>
    <w:rsid w:val="002D5124"/>
    <w:rsid w:val="002D58DB"/>
    <w:rsid w:val="002D5942"/>
    <w:rsid w:val="002D5B49"/>
    <w:rsid w:val="002D6348"/>
    <w:rsid w:val="002D655B"/>
    <w:rsid w:val="002D68F9"/>
    <w:rsid w:val="002D699C"/>
    <w:rsid w:val="002D71D4"/>
    <w:rsid w:val="002D7423"/>
    <w:rsid w:val="002D74FA"/>
    <w:rsid w:val="002D76AC"/>
    <w:rsid w:val="002D77EA"/>
    <w:rsid w:val="002D7DA7"/>
    <w:rsid w:val="002D7E9A"/>
    <w:rsid w:val="002D7EBD"/>
    <w:rsid w:val="002E008E"/>
    <w:rsid w:val="002E0827"/>
    <w:rsid w:val="002E083A"/>
    <w:rsid w:val="002E10F8"/>
    <w:rsid w:val="002E1303"/>
    <w:rsid w:val="002E15B0"/>
    <w:rsid w:val="002E175A"/>
    <w:rsid w:val="002E1B1F"/>
    <w:rsid w:val="002E1ED5"/>
    <w:rsid w:val="002E2016"/>
    <w:rsid w:val="002E25CD"/>
    <w:rsid w:val="002E2C50"/>
    <w:rsid w:val="002E2D78"/>
    <w:rsid w:val="002E3129"/>
    <w:rsid w:val="002E3F1C"/>
    <w:rsid w:val="002E40B9"/>
    <w:rsid w:val="002E4218"/>
    <w:rsid w:val="002E45F0"/>
    <w:rsid w:val="002E494E"/>
    <w:rsid w:val="002E4A4B"/>
    <w:rsid w:val="002E4CD8"/>
    <w:rsid w:val="002E532F"/>
    <w:rsid w:val="002E5AEE"/>
    <w:rsid w:val="002E6019"/>
    <w:rsid w:val="002E60F9"/>
    <w:rsid w:val="002E6172"/>
    <w:rsid w:val="002E6300"/>
    <w:rsid w:val="002E65ED"/>
    <w:rsid w:val="002E704B"/>
    <w:rsid w:val="002E749B"/>
    <w:rsid w:val="002E7562"/>
    <w:rsid w:val="002E7709"/>
    <w:rsid w:val="002F013D"/>
    <w:rsid w:val="002F01C8"/>
    <w:rsid w:val="002F05ED"/>
    <w:rsid w:val="002F068F"/>
    <w:rsid w:val="002F0993"/>
    <w:rsid w:val="002F0DA1"/>
    <w:rsid w:val="002F1203"/>
    <w:rsid w:val="002F13C8"/>
    <w:rsid w:val="002F1DB5"/>
    <w:rsid w:val="002F1E45"/>
    <w:rsid w:val="002F1F62"/>
    <w:rsid w:val="002F20DA"/>
    <w:rsid w:val="002F2D82"/>
    <w:rsid w:val="002F31B5"/>
    <w:rsid w:val="002F328B"/>
    <w:rsid w:val="002F37B7"/>
    <w:rsid w:val="002F390B"/>
    <w:rsid w:val="002F3A2A"/>
    <w:rsid w:val="002F3A45"/>
    <w:rsid w:val="002F3FA0"/>
    <w:rsid w:val="002F4053"/>
    <w:rsid w:val="002F442B"/>
    <w:rsid w:val="002F4646"/>
    <w:rsid w:val="002F4BDF"/>
    <w:rsid w:val="002F4C39"/>
    <w:rsid w:val="002F5553"/>
    <w:rsid w:val="002F59AE"/>
    <w:rsid w:val="002F59F2"/>
    <w:rsid w:val="002F5B3B"/>
    <w:rsid w:val="002F5B6A"/>
    <w:rsid w:val="002F5D61"/>
    <w:rsid w:val="002F5F48"/>
    <w:rsid w:val="002F643F"/>
    <w:rsid w:val="002F6A1C"/>
    <w:rsid w:val="002F6A25"/>
    <w:rsid w:val="002F6DAB"/>
    <w:rsid w:val="002F769F"/>
    <w:rsid w:val="002F77A2"/>
    <w:rsid w:val="002F7C49"/>
    <w:rsid w:val="003003CB"/>
    <w:rsid w:val="003009FA"/>
    <w:rsid w:val="00300FE4"/>
    <w:rsid w:val="00302385"/>
    <w:rsid w:val="003024D3"/>
    <w:rsid w:val="00302716"/>
    <w:rsid w:val="00302C5C"/>
    <w:rsid w:val="0030304E"/>
    <w:rsid w:val="00303692"/>
    <w:rsid w:val="00303A0D"/>
    <w:rsid w:val="00303A26"/>
    <w:rsid w:val="00303A3F"/>
    <w:rsid w:val="00303C60"/>
    <w:rsid w:val="00303DCF"/>
    <w:rsid w:val="00303F40"/>
    <w:rsid w:val="00304002"/>
    <w:rsid w:val="003043B4"/>
    <w:rsid w:val="003047B1"/>
    <w:rsid w:val="00304E26"/>
    <w:rsid w:val="00304F62"/>
    <w:rsid w:val="00305582"/>
    <w:rsid w:val="00305701"/>
    <w:rsid w:val="00305B43"/>
    <w:rsid w:val="00305BDB"/>
    <w:rsid w:val="00305F76"/>
    <w:rsid w:val="00306468"/>
    <w:rsid w:val="0030698A"/>
    <w:rsid w:val="00306BD9"/>
    <w:rsid w:val="00306E87"/>
    <w:rsid w:val="0030767D"/>
    <w:rsid w:val="00307832"/>
    <w:rsid w:val="00307877"/>
    <w:rsid w:val="00307A39"/>
    <w:rsid w:val="00310673"/>
    <w:rsid w:val="0031090A"/>
    <w:rsid w:val="00310FF9"/>
    <w:rsid w:val="00311896"/>
    <w:rsid w:val="003119C1"/>
    <w:rsid w:val="003119EE"/>
    <w:rsid w:val="00312FC5"/>
    <w:rsid w:val="0031323A"/>
    <w:rsid w:val="003132A2"/>
    <w:rsid w:val="003135A9"/>
    <w:rsid w:val="00313C3A"/>
    <w:rsid w:val="00313E14"/>
    <w:rsid w:val="00314478"/>
    <w:rsid w:val="00314523"/>
    <w:rsid w:val="00314622"/>
    <w:rsid w:val="00314A3E"/>
    <w:rsid w:val="00314D4F"/>
    <w:rsid w:val="0031531B"/>
    <w:rsid w:val="0031541C"/>
    <w:rsid w:val="00315CE4"/>
    <w:rsid w:val="00315FFA"/>
    <w:rsid w:val="0031633F"/>
    <w:rsid w:val="003166AA"/>
    <w:rsid w:val="00316827"/>
    <w:rsid w:val="00316AF9"/>
    <w:rsid w:val="00316D32"/>
    <w:rsid w:val="0031732E"/>
    <w:rsid w:val="00317378"/>
    <w:rsid w:val="003174D8"/>
    <w:rsid w:val="0031754F"/>
    <w:rsid w:val="00317650"/>
    <w:rsid w:val="00317853"/>
    <w:rsid w:val="00317F5E"/>
    <w:rsid w:val="0032086F"/>
    <w:rsid w:val="0032104C"/>
    <w:rsid w:val="0032281F"/>
    <w:rsid w:val="00322BB5"/>
    <w:rsid w:val="00322CD7"/>
    <w:rsid w:val="003235E0"/>
    <w:rsid w:val="0032478B"/>
    <w:rsid w:val="003248E7"/>
    <w:rsid w:val="00324B27"/>
    <w:rsid w:val="00324FDA"/>
    <w:rsid w:val="0032553C"/>
    <w:rsid w:val="00325929"/>
    <w:rsid w:val="00326429"/>
    <w:rsid w:val="00326DF7"/>
    <w:rsid w:val="00327751"/>
    <w:rsid w:val="0032779A"/>
    <w:rsid w:val="003277D2"/>
    <w:rsid w:val="00327832"/>
    <w:rsid w:val="00327F7C"/>
    <w:rsid w:val="00330413"/>
    <w:rsid w:val="0033095E"/>
    <w:rsid w:val="00330CB7"/>
    <w:rsid w:val="003310B6"/>
    <w:rsid w:val="0033128D"/>
    <w:rsid w:val="003315F7"/>
    <w:rsid w:val="00331C3B"/>
    <w:rsid w:val="003320FB"/>
    <w:rsid w:val="0033217B"/>
    <w:rsid w:val="0033246E"/>
    <w:rsid w:val="00332878"/>
    <w:rsid w:val="00332C8E"/>
    <w:rsid w:val="0033307F"/>
    <w:rsid w:val="003333EA"/>
    <w:rsid w:val="00333985"/>
    <w:rsid w:val="0033435F"/>
    <w:rsid w:val="00334621"/>
    <w:rsid w:val="00334995"/>
    <w:rsid w:val="00335084"/>
    <w:rsid w:val="003350C7"/>
    <w:rsid w:val="00335247"/>
    <w:rsid w:val="003355F0"/>
    <w:rsid w:val="003358DF"/>
    <w:rsid w:val="00335C29"/>
    <w:rsid w:val="003365B2"/>
    <w:rsid w:val="00336B38"/>
    <w:rsid w:val="00336F53"/>
    <w:rsid w:val="0033732A"/>
    <w:rsid w:val="00337A68"/>
    <w:rsid w:val="003400A4"/>
    <w:rsid w:val="003405D6"/>
    <w:rsid w:val="00340604"/>
    <w:rsid w:val="00340697"/>
    <w:rsid w:val="00340ABD"/>
    <w:rsid w:val="00340BE1"/>
    <w:rsid w:val="00340D94"/>
    <w:rsid w:val="00341D7B"/>
    <w:rsid w:val="00341EF6"/>
    <w:rsid w:val="00342892"/>
    <w:rsid w:val="00342D87"/>
    <w:rsid w:val="00342ECB"/>
    <w:rsid w:val="003430B1"/>
    <w:rsid w:val="00343902"/>
    <w:rsid w:val="0034422F"/>
    <w:rsid w:val="00344CF0"/>
    <w:rsid w:val="00345053"/>
    <w:rsid w:val="00345F63"/>
    <w:rsid w:val="0034601B"/>
    <w:rsid w:val="0034623E"/>
    <w:rsid w:val="0034637B"/>
    <w:rsid w:val="00346A1C"/>
    <w:rsid w:val="00346FFE"/>
    <w:rsid w:val="00347367"/>
    <w:rsid w:val="00347411"/>
    <w:rsid w:val="00350BFF"/>
    <w:rsid w:val="00350EA6"/>
    <w:rsid w:val="003512CD"/>
    <w:rsid w:val="00351B46"/>
    <w:rsid w:val="00351C49"/>
    <w:rsid w:val="00352495"/>
    <w:rsid w:val="0035389D"/>
    <w:rsid w:val="00353985"/>
    <w:rsid w:val="003542C2"/>
    <w:rsid w:val="00354B29"/>
    <w:rsid w:val="00354B81"/>
    <w:rsid w:val="003551DC"/>
    <w:rsid w:val="00355CC0"/>
    <w:rsid w:val="00356542"/>
    <w:rsid w:val="00356823"/>
    <w:rsid w:val="00356849"/>
    <w:rsid w:val="00356EB8"/>
    <w:rsid w:val="00357934"/>
    <w:rsid w:val="00357C27"/>
    <w:rsid w:val="003606EA"/>
    <w:rsid w:val="00360BDF"/>
    <w:rsid w:val="00360E8D"/>
    <w:rsid w:val="00361374"/>
    <w:rsid w:val="00361AA0"/>
    <w:rsid w:val="00361F79"/>
    <w:rsid w:val="00362457"/>
    <w:rsid w:val="00362AEE"/>
    <w:rsid w:val="00362EDF"/>
    <w:rsid w:val="00362EEB"/>
    <w:rsid w:val="00362F7F"/>
    <w:rsid w:val="00363F4C"/>
    <w:rsid w:val="00363FE9"/>
    <w:rsid w:val="00364406"/>
    <w:rsid w:val="0036486E"/>
    <w:rsid w:val="00365B55"/>
    <w:rsid w:val="0036633B"/>
    <w:rsid w:val="0036672C"/>
    <w:rsid w:val="0036700C"/>
    <w:rsid w:val="003675D2"/>
    <w:rsid w:val="00367CE1"/>
    <w:rsid w:val="00370894"/>
    <w:rsid w:val="00370B66"/>
    <w:rsid w:val="00370ECB"/>
    <w:rsid w:val="00370EEC"/>
    <w:rsid w:val="003710FE"/>
    <w:rsid w:val="00371A7B"/>
    <w:rsid w:val="00371BC5"/>
    <w:rsid w:val="00372116"/>
    <w:rsid w:val="00372246"/>
    <w:rsid w:val="00372D09"/>
    <w:rsid w:val="0037355F"/>
    <w:rsid w:val="0037357C"/>
    <w:rsid w:val="00374016"/>
    <w:rsid w:val="003742AE"/>
    <w:rsid w:val="0037430C"/>
    <w:rsid w:val="00374590"/>
    <w:rsid w:val="00374847"/>
    <w:rsid w:val="003748A6"/>
    <w:rsid w:val="00375112"/>
    <w:rsid w:val="00375168"/>
    <w:rsid w:val="003751C8"/>
    <w:rsid w:val="00375486"/>
    <w:rsid w:val="00375601"/>
    <w:rsid w:val="00375780"/>
    <w:rsid w:val="00375867"/>
    <w:rsid w:val="00375C30"/>
    <w:rsid w:val="003760A0"/>
    <w:rsid w:val="0037648F"/>
    <w:rsid w:val="00376658"/>
    <w:rsid w:val="0037670C"/>
    <w:rsid w:val="00376BFD"/>
    <w:rsid w:val="00377358"/>
    <w:rsid w:val="0037754F"/>
    <w:rsid w:val="00377681"/>
    <w:rsid w:val="003776D2"/>
    <w:rsid w:val="00377818"/>
    <w:rsid w:val="00377A06"/>
    <w:rsid w:val="00377C0B"/>
    <w:rsid w:val="00377C4F"/>
    <w:rsid w:val="00377DDD"/>
    <w:rsid w:val="003805C7"/>
    <w:rsid w:val="00380C95"/>
    <w:rsid w:val="0038180B"/>
    <w:rsid w:val="00381D9F"/>
    <w:rsid w:val="00382021"/>
    <w:rsid w:val="003820AC"/>
    <w:rsid w:val="003822E6"/>
    <w:rsid w:val="00382663"/>
    <w:rsid w:val="003833C0"/>
    <w:rsid w:val="00383E38"/>
    <w:rsid w:val="00384433"/>
    <w:rsid w:val="00384512"/>
    <w:rsid w:val="003849E2"/>
    <w:rsid w:val="0038520E"/>
    <w:rsid w:val="003854A8"/>
    <w:rsid w:val="003856CB"/>
    <w:rsid w:val="00385E72"/>
    <w:rsid w:val="0038643C"/>
    <w:rsid w:val="0038656C"/>
    <w:rsid w:val="00386C68"/>
    <w:rsid w:val="00386D08"/>
    <w:rsid w:val="00386EC0"/>
    <w:rsid w:val="00386FB0"/>
    <w:rsid w:val="00386FEF"/>
    <w:rsid w:val="003878F3"/>
    <w:rsid w:val="00387B0C"/>
    <w:rsid w:val="00387C19"/>
    <w:rsid w:val="00387F5F"/>
    <w:rsid w:val="003904C1"/>
    <w:rsid w:val="00390759"/>
    <w:rsid w:val="0039083D"/>
    <w:rsid w:val="00391C20"/>
    <w:rsid w:val="00392769"/>
    <w:rsid w:val="0039291D"/>
    <w:rsid w:val="00393044"/>
    <w:rsid w:val="0039309D"/>
    <w:rsid w:val="00393571"/>
    <w:rsid w:val="0039364D"/>
    <w:rsid w:val="00393BEF"/>
    <w:rsid w:val="0039438A"/>
    <w:rsid w:val="00394865"/>
    <w:rsid w:val="003949B7"/>
    <w:rsid w:val="00394B6D"/>
    <w:rsid w:val="00394CAC"/>
    <w:rsid w:val="00394E22"/>
    <w:rsid w:val="00395A5D"/>
    <w:rsid w:val="00395C85"/>
    <w:rsid w:val="003960B4"/>
    <w:rsid w:val="0039630D"/>
    <w:rsid w:val="00396BCD"/>
    <w:rsid w:val="00396F3F"/>
    <w:rsid w:val="00396F6D"/>
    <w:rsid w:val="00396FCD"/>
    <w:rsid w:val="003970EA"/>
    <w:rsid w:val="003972F9"/>
    <w:rsid w:val="00397B06"/>
    <w:rsid w:val="003A02A6"/>
    <w:rsid w:val="003A03BA"/>
    <w:rsid w:val="003A04F4"/>
    <w:rsid w:val="003A071F"/>
    <w:rsid w:val="003A1003"/>
    <w:rsid w:val="003A139E"/>
    <w:rsid w:val="003A1552"/>
    <w:rsid w:val="003A1557"/>
    <w:rsid w:val="003A17A0"/>
    <w:rsid w:val="003A1800"/>
    <w:rsid w:val="003A1E06"/>
    <w:rsid w:val="003A1E17"/>
    <w:rsid w:val="003A2264"/>
    <w:rsid w:val="003A2519"/>
    <w:rsid w:val="003A2C7C"/>
    <w:rsid w:val="003A2E41"/>
    <w:rsid w:val="003A360C"/>
    <w:rsid w:val="003A3C69"/>
    <w:rsid w:val="003A4247"/>
    <w:rsid w:val="003A462D"/>
    <w:rsid w:val="003A4A4C"/>
    <w:rsid w:val="003A4BFF"/>
    <w:rsid w:val="003A4F33"/>
    <w:rsid w:val="003A507C"/>
    <w:rsid w:val="003A5B5A"/>
    <w:rsid w:val="003A5B60"/>
    <w:rsid w:val="003A5CA5"/>
    <w:rsid w:val="003A6200"/>
    <w:rsid w:val="003A6242"/>
    <w:rsid w:val="003A635C"/>
    <w:rsid w:val="003A65FC"/>
    <w:rsid w:val="003A71A7"/>
    <w:rsid w:val="003A7642"/>
    <w:rsid w:val="003A7BAB"/>
    <w:rsid w:val="003A7D53"/>
    <w:rsid w:val="003B00B4"/>
    <w:rsid w:val="003B01E2"/>
    <w:rsid w:val="003B0244"/>
    <w:rsid w:val="003B02DB"/>
    <w:rsid w:val="003B03E2"/>
    <w:rsid w:val="003B08B4"/>
    <w:rsid w:val="003B1392"/>
    <w:rsid w:val="003B1768"/>
    <w:rsid w:val="003B1B30"/>
    <w:rsid w:val="003B1CCB"/>
    <w:rsid w:val="003B21E9"/>
    <w:rsid w:val="003B245E"/>
    <w:rsid w:val="003B2FA3"/>
    <w:rsid w:val="003B319A"/>
    <w:rsid w:val="003B3515"/>
    <w:rsid w:val="003B46DD"/>
    <w:rsid w:val="003B4E36"/>
    <w:rsid w:val="003B4F05"/>
    <w:rsid w:val="003B5433"/>
    <w:rsid w:val="003B605E"/>
    <w:rsid w:val="003B6279"/>
    <w:rsid w:val="003B6BD5"/>
    <w:rsid w:val="003B74B3"/>
    <w:rsid w:val="003B7500"/>
    <w:rsid w:val="003B7ABA"/>
    <w:rsid w:val="003B7FDF"/>
    <w:rsid w:val="003C0D77"/>
    <w:rsid w:val="003C15B2"/>
    <w:rsid w:val="003C243F"/>
    <w:rsid w:val="003C2944"/>
    <w:rsid w:val="003C3063"/>
    <w:rsid w:val="003C38C0"/>
    <w:rsid w:val="003C39C1"/>
    <w:rsid w:val="003C3B98"/>
    <w:rsid w:val="003C407E"/>
    <w:rsid w:val="003C4144"/>
    <w:rsid w:val="003C476E"/>
    <w:rsid w:val="003C4BD0"/>
    <w:rsid w:val="003C4C43"/>
    <w:rsid w:val="003C4EA9"/>
    <w:rsid w:val="003C5598"/>
    <w:rsid w:val="003C5DF1"/>
    <w:rsid w:val="003C6660"/>
    <w:rsid w:val="003C68ED"/>
    <w:rsid w:val="003C69D2"/>
    <w:rsid w:val="003C6A5F"/>
    <w:rsid w:val="003C6DC3"/>
    <w:rsid w:val="003C712E"/>
    <w:rsid w:val="003C73A8"/>
    <w:rsid w:val="003C7751"/>
    <w:rsid w:val="003C7AA2"/>
    <w:rsid w:val="003C7B90"/>
    <w:rsid w:val="003D184A"/>
    <w:rsid w:val="003D1C52"/>
    <w:rsid w:val="003D2B84"/>
    <w:rsid w:val="003D381B"/>
    <w:rsid w:val="003D472F"/>
    <w:rsid w:val="003D4AD4"/>
    <w:rsid w:val="003D4E25"/>
    <w:rsid w:val="003D4E56"/>
    <w:rsid w:val="003D4E89"/>
    <w:rsid w:val="003D5668"/>
    <w:rsid w:val="003D567D"/>
    <w:rsid w:val="003D571B"/>
    <w:rsid w:val="003D6039"/>
    <w:rsid w:val="003D639B"/>
    <w:rsid w:val="003D66DE"/>
    <w:rsid w:val="003D67B3"/>
    <w:rsid w:val="003D720F"/>
    <w:rsid w:val="003D769C"/>
    <w:rsid w:val="003D7BA5"/>
    <w:rsid w:val="003D7BC8"/>
    <w:rsid w:val="003D7CED"/>
    <w:rsid w:val="003D7E75"/>
    <w:rsid w:val="003E006D"/>
    <w:rsid w:val="003E00A6"/>
    <w:rsid w:val="003E0704"/>
    <w:rsid w:val="003E08D8"/>
    <w:rsid w:val="003E0E54"/>
    <w:rsid w:val="003E1076"/>
    <w:rsid w:val="003E1739"/>
    <w:rsid w:val="003E1759"/>
    <w:rsid w:val="003E1A74"/>
    <w:rsid w:val="003E1DE2"/>
    <w:rsid w:val="003E1ED6"/>
    <w:rsid w:val="003E1F42"/>
    <w:rsid w:val="003E293A"/>
    <w:rsid w:val="003E2AD9"/>
    <w:rsid w:val="003E2F86"/>
    <w:rsid w:val="003E2FF7"/>
    <w:rsid w:val="003E346B"/>
    <w:rsid w:val="003E3744"/>
    <w:rsid w:val="003E38DB"/>
    <w:rsid w:val="003E3A80"/>
    <w:rsid w:val="003E4458"/>
    <w:rsid w:val="003E4A1D"/>
    <w:rsid w:val="003E4B40"/>
    <w:rsid w:val="003E4B94"/>
    <w:rsid w:val="003E4E52"/>
    <w:rsid w:val="003E5DCB"/>
    <w:rsid w:val="003E6026"/>
    <w:rsid w:val="003E603A"/>
    <w:rsid w:val="003E6409"/>
    <w:rsid w:val="003E6A51"/>
    <w:rsid w:val="003E6F6E"/>
    <w:rsid w:val="003E7ED8"/>
    <w:rsid w:val="003F0D9C"/>
    <w:rsid w:val="003F10E7"/>
    <w:rsid w:val="003F1449"/>
    <w:rsid w:val="003F223B"/>
    <w:rsid w:val="003F2A6E"/>
    <w:rsid w:val="003F35BC"/>
    <w:rsid w:val="003F3F5A"/>
    <w:rsid w:val="003F44B2"/>
    <w:rsid w:val="003F4535"/>
    <w:rsid w:val="003F48E0"/>
    <w:rsid w:val="003F5407"/>
    <w:rsid w:val="003F5669"/>
    <w:rsid w:val="003F56B3"/>
    <w:rsid w:val="003F5954"/>
    <w:rsid w:val="003F5B30"/>
    <w:rsid w:val="003F5D5D"/>
    <w:rsid w:val="003F5DED"/>
    <w:rsid w:val="003F5F34"/>
    <w:rsid w:val="003F6690"/>
    <w:rsid w:val="003F6808"/>
    <w:rsid w:val="003F69B0"/>
    <w:rsid w:val="003F77C7"/>
    <w:rsid w:val="003F7891"/>
    <w:rsid w:val="003F78B7"/>
    <w:rsid w:val="003F7C93"/>
    <w:rsid w:val="00400677"/>
    <w:rsid w:val="0040069A"/>
    <w:rsid w:val="00400D19"/>
    <w:rsid w:val="00400D61"/>
    <w:rsid w:val="00400D65"/>
    <w:rsid w:val="00401015"/>
    <w:rsid w:val="00401078"/>
    <w:rsid w:val="0040244A"/>
    <w:rsid w:val="004028EC"/>
    <w:rsid w:val="00402902"/>
    <w:rsid w:val="00402B25"/>
    <w:rsid w:val="00402BB4"/>
    <w:rsid w:val="00403003"/>
    <w:rsid w:val="0040321E"/>
    <w:rsid w:val="00404668"/>
    <w:rsid w:val="0040545A"/>
    <w:rsid w:val="00405635"/>
    <w:rsid w:val="00405928"/>
    <w:rsid w:val="00405B62"/>
    <w:rsid w:val="00405B75"/>
    <w:rsid w:val="004062A3"/>
    <w:rsid w:val="00406361"/>
    <w:rsid w:val="0040684C"/>
    <w:rsid w:val="0040699D"/>
    <w:rsid w:val="00407323"/>
    <w:rsid w:val="004074B1"/>
    <w:rsid w:val="00407C2B"/>
    <w:rsid w:val="004101D9"/>
    <w:rsid w:val="00410C26"/>
    <w:rsid w:val="00410E85"/>
    <w:rsid w:val="00411253"/>
    <w:rsid w:val="004113AF"/>
    <w:rsid w:val="00412284"/>
    <w:rsid w:val="004127B1"/>
    <w:rsid w:val="00412F25"/>
    <w:rsid w:val="00413238"/>
    <w:rsid w:val="004144FF"/>
    <w:rsid w:val="004148C0"/>
    <w:rsid w:val="00414B07"/>
    <w:rsid w:val="00414FFE"/>
    <w:rsid w:val="00415095"/>
    <w:rsid w:val="00415791"/>
    <w:rsid w:val="00415A9B"/>
    <w:rsid w:val="00415AC1"/>
    <w:rsid w:val="00415FF3"/>
    <w:rsid w:val="004161FD"/>
    <w:rsid w:val="004162F5"/>
    <w:rsid w:val="00416A05"/>
    <w:rsid w:val="00416EB5"/>
    <w:rsid w:val="00416F6D"/>
    <w:rsid w:val="0041743A"/>
    <w:rsid w:val="0041764E"/>
    <w:rsid w:val="004177F8"/>
    <w:rsid w:val="004178D6"/>
    <w:rsid w:val="004203CE"/>
    <w:rsid w:val="00420AD2"/>
    <w:rsid w:val="00420CAC"/>
    <w:rsid w:val="00420D67"/>
    <w:rsid w:val="00421250"/>
    <w:rsid w:val="00421AAF"/>
    <w:rsid w:val="00421F11"/>
    <w:rsid w:val="00422275"/>
    <w:rsid w:val="0042237A"/>
    <w:rsid w:val="00422981"/>
    <w:rsid w:val="00422D2B"/>
    <w:rsid w:val="00422E4C"/>
    <w:rsid w:val="0042344D"/>
    <w:rsid w:val="00423936"/>
    <w:rsid w:val="00423FC3"/>
    <w:rsid w:val="004244F7"/>
    <w:rsid w:val="00424C96"/>
    <w:rsid w:val="00424DF6"/>
    <w:rsid w:val="004254CD"/>
    <w:rsid w:val="00425723"/>
    <w:rsid w:val="004259FE"/>
    <w:rsid w:val="0042637A"/>
    <w:rsid w:val="00426402"/>
    <w:rsid w:val="00426437"/>
    <w:rsid w:val="00426504"/>
    <w:rsid w:val="00426B0A"/>
    <w:rsid w:val="00426E94"/>
    <w:rsid w:val="00427642"/>
    <w:rsid w:val="00427DEC"/>
    <w:rsid w:val="00427E49"/>
    <w:rsid w:val="004300A4"/>
    <w:rsid w:val="00430103"/>
    <w:rsid w:val="00430315"/>
    <w:rsid w:val="00430328"/>
    <w:rsid w:val="00430C10"/>
    <w:rsid w:val="00430D22"/>
    <w:rsid w:val="00430EC3"/>
    <w:rsid w:val="004315C4"/>
    <w:rsid w:val="00431E29"/>
    <w:rsid w:val="004320B7"/>
    <w:rsid w:val="004320FE"/>
    <w:rsid w:val="00433418"/>
    <w:rsid w:val="00433D42"/>
    <w:rsid w:val="004340B9"/>
    <w:rsid w:val="004340DB"/>
    <w:rsid w:val="004342C3"/>
    <w:rsid w:val="0043430D"/>
    <w:rsid w:val="004344B2"/>
    <w:rsid w:val="00434C2B"/>
    <w:rsid w:val="00435049"/>
    <w:rsid w:val="00435541"/>
    <w:rsid w:val="00435D15"/>
    <w:rsid w:val="00435DC5"/>
    <w:rsid w:val="004366C2"/>
    <w:rsid w:val="00436C40"/>
    <w:rsid w:val="00436CB2"/>
    <w:rsid w:val="00436F57"/>
    <w:rsid w:val="00436F8B"/>
    <w:rsid w:val="00437097"/>
    <w:rsid w:val="004370F6"/>
    <w:rsid w:val="004375A6"/>
    <w:rsid w:val="0043767A"/>
    <w:rsid w:val="0044044C"/>
    <w:rsid w:val="0044076A"/>
    <w:rsid w:val="00441072"/>
    <w:rsid w:val="004410AE"/>
    <w:rsid w:val="004413AC"/>
    <w:rsid w:val="0044153E"/>
    <w:rsid w:val="0044178C"/>
    <w:rsid w:val="004417EE"/>
    <w:rsid w:val="004420D1"/>
    <w:rsid w:val="004421D7"/>
    <w:rsid w:val="0044238A"/>
    <w:rsid w:val="004423AC"/>
    <w:rsid w:val="00442A69"/>
    <w:rsid w:val="00442CD8"/>
    <w:rsid w:val="00442E2C"/>
    <w:rsid w:val="00443679"/>
    <w:rsid w:val="00443854"/>
    <w:rsid w:val="00443BC9"/>
    <w:rsid w:val="004442FC"/>
    <w:rsid w:val="00444662"/>
    <w:rsid w:val="00444F14"/>
    <w:rsid w:val="0044550D"/>
    <w:rsid w:val="00445539"/>
    <w:rsid w:val="00445A54"/>
    <w:rsid w:val="00446775"/>
    <w:rsid w:val="004475BD"/>
    <w:rsid w:val="004477C2"/>
    <w:rsid w:val="00447A8B"/>
    <w:rsid w:val="00447ACF"/>
    <w:rsid w:val="004502E5"/>
    <w:rsid w:val="0045089E"/>
    <w:rsid w:val="00450909"/>
    <w:rsid w:val="00450A2E"/>
    <w:rsid w:val="00450C61"/>
    <w:rsid w:val="00450E44"/>
    <w:rsid w:val="004512E6"/>
    <w:rsid w:val="00451A5F"/>
    <w:rsid w:val="00451ACC"/>
    <w:rsid w:val="00451DAE"/>
    <w:rsid w:val="004537D2"/>
    <w:rsid w:val="00454138"/>
    <w:rsid w:val="004541DD"/>
    <w:rsid w:val="00454469"/>
    <w:rsid w:val="004544BB"/>
    <w:rsid w:val="0045474E"/>
    <w:rsid w:val="00454923"/>
    <w:rsid w:val="00454B30"/>
    <w:rsid w:val="00454C3F"/>
    <w:rsid w:val="00454F5F"/>
    <w:rsid w:val="00456012"/>
    <w:rsid w:val="0045610C"/>
    <w:rsid w:val="0045613D"/>
    <w:rsid w:val="00456508"/>
    <w:rsid w:val="0045666D"/>
    <w:rsid w:val="004566F7"/>
    <w:rsid w:val="0045781B"/>
    <w:rsid w:val="00457C6D"/>
    <w:rsid w:val="00460AAE"/>
    <w:rsid w:val="00460E9B"/>
    <w:rsid w:val="004613EF"/>
    <w:rsid w:val="00461C43"/>
    <w:rsid w:val="00461DC0"/>
    <w:rsid w:val="00463276"/>
    <w:rsid w:val="0046337A"/>
    <w:rsid w:val="004633FA"/>
    <w:rsid w:val="00463610"/>
    <w:rsid w:val="00463795"/>
    <w:rsid w:val="0046379B"/>
    <w:rsid w:val="00463F32"/>
    <w:rsid w:val="004640EF"/>
    <w:rsid w:val="0046462B"/>
    <w:rsid w:val="00464A97"/>
    <w:rsid w:val="00464EE7"/>
    <w:rsid w:val="00464F6C"/>
    <w:rsid w:val="00465163"/>
    <w:rsid w:val="00466A4C"/>
    <w:rsid w:val="00466C87"/>
    <w:rsid w:val="00466D2D"/>
    <w:rsid w:val="004670A4"/>
    <w:rsid w:val="00467353"/>
    <w:rsid w:val="0046742D"/>
    <w:rsid w:val="0046784B"/>
    <w:rsid w:val="00467A2A"/>
    <w:rsid w:val="00467D7D"/>
    <w:rsid w:val="00470145"/>
    <w:rsid w:val="00470EA6"/>
    <w:rsid w:val="00471158"/>
    <w:rsid w:val="00471542"/>
    <w:rsid w:val="0047186E"/>
    <w:rsid w:val="00471D83"/>
    <w:rsid w:val="0047208A"/>
    <w:rsid w:val="004720BF"/>
    <w:rsid w:val="004729CD"/>
    <w:rsid w:val="00472B29"/>
    <w:rsid w:val="00472DF1"/>
    <w:rsid w:val="00472DF5"/>
    <w:rsid w:val="00472EAF"/>
    <w:rsid w:val="00472F4A"/>
    <w:rsid w:val="00473030"/>
    <w:rsid w:val="004733E0"/>
    <w:rsid w:val="004744A0"/>
    <w:rsid w:val="0047454A"/>
    <w:rsid w:val="00474A10"/>
    <w:rsid w:val="00474A2B"/>
    <w:rsid w:val="00475504"/>
    <w:rsid w:val="00475DD0"/>
    <w:rsid w:val="00475FD2"/>
    <w:rsid w:val="00476124"/>
    <w:rsid w:val="004766F9"/>
    <w:rsid w:val="00476B84"/>
    <w:rsid w:val="00476D26"/>
    <w:rsid w:val="004772E2"/>
    <w:rsid w:val="00477A44"/>
    <w:rsid w:val="00477DFD"/>
    <w:rsid w:val="00477E1A"/>
    <w:rsid w:val="00477E1E"/>
    <w:rsid w:val="004807A0"/>
    <w:rsid w:val="0048092F"/>
    <w:rsid w:val="00480A5C"/>
    <w:rsid w:val="004812FC"/>
    <w:rsid w:val="004816EC"/>
    <w:rsid w:val="00481941"/>
    <w:rsid w:val="00481B56"/>
    <w:rsid w:val="00481F8A"/>
    <w:rsid w:val="004826FC"/>
    <w:rsid w:val="004827BD"/>
    <w:rsid w:val="00482F2C"/>
    <w:rsid w:val="004831BD"/>
    <w:rsid w:val="0048328E"/>
    <w:rsid w:val="00483531"/>
    <w:rsid w:val="00483A7C"/>
    <w:rsid w:val="00483B73"/>
    <w:rsid w:val="004841FD"/>
    <w:rsid w:val="00485190"/>
    <w:rsid w:val="0048520C"/>
    <w:rsid w:val="004853C7"/>
    <w:rsid w:val="00485521"/>
    <w:rsid w:val="00485B7E"/>
    <w:rsid w:val="00485D88"/>
    <w:rsid w:val="00485EAD"/>
    <w:rsid w:val="00485EE0"/>
    <w:rsid w:val="00487335"/>
    <w:rsid w:val="004873C3"/>
    <w:rsid w:val="00487567"/>
    <w:rsid w:val="004877A4"/>
    <w:rsid w:val="004879F7"/>
    <w:rsid w:val="00491080"/>
    <w:rsid w:val="00491344"/>
    <w:rsid w:val="0049164C"/>
    <w:rsid w:val="00491CFE"/>
    <w:rsid w:val="00491E7B"/>
    <w:rsid w:val="00492096"/>
    <w:rsid w:val="0049216D"/>
    <w:rsid w:val="004921DD"/>
    <w:rsid w:val="00492334"/>
    <w:rsid w:val="004923D1"/>
    <w:rsid w:val="0049243D"/>
    <w:rsid w:val="00492580"/>
    <w:rsid w:val="004931C7"/>
    <w:rsid w:val="0049373E"/>
    <w:rsid w:val="00493B47"/>
    <w:rsid w:val="004941EC"/>
    <w:rsid w:val="004945BD"/>
    <w:rsid w:val="00494761"/>
    <w:rsid w:val="00494872"/>
    <w:rsid w:val="00494FE0"/>
    <w:rsid w:val="00495419"/>
    <w:rsid w:val="00495780"/>
    <w:rsid w:val="004958F6"/>
    <w:rsid w:val="00496472"/>
    <w:rsid w:val="0049696E"/>
    <w:rsid w:val="00496C7F"/>
    <w:rsid w:val="00496FAA"/>
    <w:rsid w:val="004976DF"/>
    <w:rsid w:val="00497A4E"/>
    <w:rsid w:val="00497DDF"/>
    <w:rsid w:val="004A069D"/>
    <w:rsid w:val="004A0C0E"/>
    <w:rsid w:val="004A0CF8"/>
    <w:rsid w:val="004A0F20"/>
    <w:rsid w:val="004A1310"/>
    <w:rsid w:val="004A1396"/>
    <w:rsid w:val="004A1BB2"/>
    <w:rsid w:val="004A2169"/>
    <w:rsid w:val="004A2480"/>
    <w:rsid w:val="004A34E4"/>
    <w:rsid w:val="004A36A6"/>
    <w:rsid w:val="004A3C54"/>
    <w:rsid w:val="004A3DEF"/>
    <w:rsid w:val="004A3F74"/>
    <w:rsid w:val="004A4B1E"/>
    <w:rsid w:val="004A4C46"/>
    <w:rsid w:val="004A51B3"/>
    <w:rsid w:val="004A5FF1"/>
    <w:rsid w:val="004A62F1"/>
    <w:rsid w:val="004A64EF"/>
    <w:rsid w:val="004A696E"/>
    <w:rsid w:val="004A6A6D"/>
    <w:rsid w:val="004A6C91"/>
    <w:rsid w:val="004A6DAC"/>
    <w:rsid w:val="004A6ED7"/>
    <w:rsid w:val="004A7A4C"/>
    <w:rsid w:val="004B066E"/>
    <w:rsid w:val="004B07E5"/>
    <w:rsid w:val="004B094E"/>
    <w:rsid w:val="004B0CA4"/>
    <w:rsid w:val="004B11E4"/>
    <w:rsid w:val="004B148A"/>
    <w:rsid w:val="004B1BC0"/>
    <w:rsid w:val="004B32BC"/>
    <w:rsid w:val="004B3722"/>
    <w:rsid w:val="004B3A4B"/>
    <w:rsid w:val="004B3BD5"/>
    <w:rsid w:val="004B3DA4"/>
    <w:rsid w:val="004B436D"/>
    <w:rsid w:val="004B4614"/>
    <w:rsid w:val="004B4D52"/>
    <w:rsid w:val="004B5399"/>
    <w:rsid w:val="004B53C1"/>
    <w:rsid w:val="004B5847"/>
    <w:rsid w:val="004B62A2"/>
    <w:rsid w:val="004B6DB5"/>
    <w:rsid w:val="004B77FA"/>
    <w:rsid w:val="004B7A16"/>
    <w:rsid w:val="004B7B87"/>
    <w:rsid w:val="004B7B9E"/>
    <w:rsid w:val="004B7EDA"/>
    <w:rsid w:val="004C0157"/>
    <w:rsid w:val="004C0D39"/>
    <w:rsid w:val="004C0F02"/>
    <w:rsid w:val="004C0F05"/>
    <w:rsid w:val="004C135D"/>
    <w:rsid w:val="004C141B"/>
    <w:rsid w:val="004C1584"/>
    <w:rsid w:val="004C1AEE"/>
    <w:rsid w:val="004C1FB7"/>
    <w:rsid w:val="004C23FB"/>
    <w:rsid w:val="004C2C1D"/>
    <w:rsid w:val="004C2FD7"/>
    <w:rsid w:val="004C35E5"/>
    <w:rsid w:val="004C3992"/>
    <w:rsid w:val="004C4416"/>
    <w:rsid w:val="004C4999"/>
    <w:rsid w:val="004C4A10"/>
    <w:rsid w:val="004C5168"/>
    <w:rsid w:val="004C51E3"/>
    <w:rsid w:val="004C5B6C"/>
    <w:rsid w:val="004C6756"/>
    <w:rsid w:val="004C7049"/>
    <w:rsid w:val="004C79AF"/>
    <w:rsid w:val="004C7BA3"/>
    <w:rsid w:val="004D0256"/>
    <w:rsid w:val="004D0372"/>
    <w:rsid w:val="004D10A2"/>
    <w:rsid w:val="004D11B0"/>
    <w:rsid w:val="004D12A0"/>
    <w:rsid w:val="004D15FA"/>
    <w:rsid w:val="004D16D3"/>
    <w:rsid w:val="004D1E93"/>
    <w:rsid w:val="004D2493"/>
    <w:rsid w:val="004D24C4"/>
    <w:rsid w:val="004D25E8"/>
    <w:rsid w:val="004D27C4"/>
    <w:rsid w:val="004D2DCE"/>
    <w:rsid w:val="004D383A"/>
    <w:rsid w:val="004D3F8B"/>
    <w:rsid w:val="004D41CF"/>
    <w:rsid w:val="004D48BC"/>
    <w:rsid w:val="004D5161"/>
    <w:rsid w:val="004D5831"/>
    <w:rsid w:val="004D65F0"/>
    <w:rsid w:val="004D6658"/>
    <w:rsid w:val="004D67B4"/>
    <w:rsid w:val="004D67E6"/>
    <w:rsid w:val="004D68D2"/>
    <w:rsid w:val="004D6B71"/>
    <w:rsid w:val="004D6C00"/>
    <w:rsid w:val="004D6C5C"/>
    <w:rsid w:val="004D713A"/>
    <w:rsid w:val="004D794F"/>
    <w:rsid w:val="004D7C48"/>
    <w:rsid w:val="004D7FC7"/>
    <w:rsid w:val="004E003A"/>
    <w:rsid w:val="004E0175"/>
    <w:rsid w:val="004E02CC"/>
    <w:rsid w:val="004E087C"/>
    <w:rsid w:val="004E0A42"/>
    <w:rsid w:val="004E0C5C"/>
    <w:rsid w:val="004E0CAF"/>
    <w:rsid w:val="004E10B1"/>
    <w:rsid w:val="004E125F"/>
    <w:rsid w:val="004E1602"/>
    <w:rsid w:val="004E1B4E"/>
    <w:rsid w:val="004E1BA1"/>
    <w:rsid w:val="004E1BF9"/>
    <w:rsid w:val="004E1C01"/>
    <w:rsid w:val="004E1EEF"/>
    <w:rsid w:val="004E2088"/>
    <w:rsid w:val="004E2162"/>
    <w:rsid w:val="004E2F99"/>
    <w:rsid w:val="004E308C"/>
    <w:rsid w:val="004E34F0"/>
    <w:rsid w:val="004E361A"/>
    <w:rsid w:val="004E381E"/>
    <w:rsid w:val="004E3915"/>
    <w:rsid w:val="004E3DAD"/>
    <w:rsid w:val="004E406D"/>
    <w:rsid w:val="004E4E01"/>
    <w:rsid w:val="004E5378"/>
    <w:rsid w:val="004E5A9D"/>
    <w:rsid w:val="004E6262"/>
    <w:rsid w:val="004E659D"/>
    <w:rsid w:val="004E6FBC"/>
    <w:rsid w:val="004E701A"/>
    <w:rsid w:val="004E707A"/>
    <w:rsid w:val="004F00E4"/>
    <w:rsid w:val="004F0731"/>
    <w:rsid w:val="004F0A2E"/>
    <w:rsid w:val="004F0BC5"/>
    <w:rsid w:val="004F0D4B"/>
    <w:rsid w:val="004F0D92"/>
    <w:rsid w:val="004F1A0E"/>
    <w:rsid w:val="004F237E"/>
    <w:rsid w:val="004F2745"/>
    <w:rsid w:val="004F3C5A"/>
    <w:rsid w:val="004F3F17"/>
    <w:rsid w:val="004F4128"/>
    <w:rsid w:val="004F44A0"/>
    <w:rsid w:val="004F4810"/>
    <w:rsid w:val="004F4955"/>
    <w:rsid w:val="004F51F1"/>
    <w:rsid w:val="004F58EB"/>
    <w:rsid w:val="004F5976"/>
    <w:rsid w:val="004F5B45"/>
    <w:rsid w:val="004F7955"/>
    <w:rsid w:val="004F795D"/>
    <w:rsid w:val="004F7984"/>
    <w:rsid w:val="004F7DB4"/>
    <w:rsid w:val="0050004D"/>
    <w:rsid w:val="0050109E"/>
    <w:rsid w:val="005014DA"/>
    <w:rsid w:val="00501DCD"/>
    <w:rsid w:val="005027E7"/>
    <w:rsid w:val="00502D66"/>
    <w:rsid w:val="005033DB"/>
    <w:rsid w:val="00503509"/>
    <w:rsid w:val="0050375F"/>
    <w:rsid w:val="00503AE8"/>
    <w:rsid w:val="00503B07"/>
    <w:rsid w:val="00504165"/>
    <w:rsid w:val="005045CA"/>
    <w:rsid w:val="005046EB"/>
    <w:rsid w:val="00504826"/>
    <w:rsid w:val="00504C7E"/>
    <w:rsid w:val="00504F57"/>
    <w:rsid w:val="00505A3B"/>
    <w:rsid w:val="00505BE5"/>
    <w:rsid w:val="0050689F"/>
    <w:rsid w:val="005068F4"/>
    <w:rsid w:val="0050690E"/>
    <w:rsid w:val="00506945"/>
    <w:rsid w:val="00507125"/>
    <w:rsid w:val="00507308"/>
    <w:rsid w:val="00507F4E"/>
    <w:rsid w:val="00510517"/>
    <w:rsid w:val="0051194D"/>
    <w:rsid w:val="00511963"/>
    <w:rsid w:val="00511B57"/>
    <w:rsid w:val="00511FA9"/>
    <w:rsid w:val="005128E7"/>
    <w:rsid w:val="0051339A"/>
    <w:rsid w:val="005133EF"/>
    <w:rsid w:val="00513E40"/>
    <w:rsid w:val="005145A9"/>
    <w:rsid w:val="005145D4"/>
    <w:rsid w:val="005151A5"/>
    <w:rsid w:val="005158C5"/>
    <w:rsid w:val="00515EFF"/>
    <w:rsid w:val="00516096"/>
    <w:rsid w:val="00516B8B"/>
    <w:rsid w:val="00516CE0"/>
    <w:rsid w:val="00516DD5"/>
    <w:rsid w:val="005177FF"/>
    <w:rsid w:val="0051797D"/>
    <w:rsid w:val="00517BCF"/>
    <w:rsid w:val="00517C31"/>
    <w:rsid w:val="0052007E"/>
    <w:rsid w:val="005204D1"/>
    <w:rsid w:val="00520945"/>
    <w:rsid w:val="00520E0D"/>
    <w:rsid w:val="005210A5"/>
    <w:rsid w:val="00521148"/>
    <w:rsid w:val="005211BC"/>
    <w:rsid w:val="005212EA"/>
    <w:rsid w:val="005228C3"/>
    <w:rsid w:val="00523465"/>
    <w:rsid w:val="005234AE"/>
    <w:rsid w:val="005238DB"/>
    <w:rsid w:val="0052392A"/>
    <w:rsid w:val="005255A5"/>
    <w:rsid w:val="00525629"/>
    <w:rsid w:val="00525BC4"/>
    <w:rsid w:val="00525EFA"/>
    <w:rsid w:val="0052633C"/>
    <w:rsid w:val="00526920"/>
    <w:rsid w:val="005271BD"/>
    <w:rsid w:val="005272FF"/>
    <w:rsid w:val="005279EB"/>
    <w:rsid w:val="00527B82"/>
    <w:rsid w:val="00527EBA"/>
    <w:rsid w:val="00530017"/>
    <w:rsid w:val="00530251"/>
    <w:rsid w:val="00530D98"/>
    <w:rsid w:val="0053102F"/>
    <w:rsid w:val="00531377"/>
    <w:rsid w:val="005316FA"/>
    <w:rsid w:val="0053173E"/>
    <w:rsid w:val="005317CD"/>
    <w:rsid w:val="00531BA5"/>
    <w:rsid w:val="00531F58"/>
    <w:rsid w:val="0053238C"/>
    <w:rsid w:val="0053325E"/>
    <w:rsid w:val="0053344B"/>
    <w:rsid w:val="005337D1"/>
    <w:rsid w:val="00533D45"/>
    <w:rsid w:val="0053405C"/>
    <w:rsid w:val="005346A1"/>
    <w:rsid w:val="00534FCE"/>
    <w:rsid w:val="0053582D"/>
    <w:rsid w:val="0053618D"/>
    <w:rsid w:val="00536B62"/>
    <w:rsid w:val="00536BF9"/>
    <w:rsid w:val="00537CAA"/>
    <w:rsid w:val="00537D90"/>
    <w:rsid w:val="00540109"/>
    <w:rsid w:val="00540270"/>
    <w:rsid w:val="005406A0"/>
    <w:rsid w:val="00540F74"/>
    <w:rsid w:val="00541883"/>
    <w:rsid w:val="00541BF5"/>
    <w:rsid w:val="005430E9"/>
    <w:rsid w:val="00543105"/>
    <w:rsid w:val="0054331A"/>
    <w:rsid w:val="00543751"/>
    <w:rsid w:val="00543969"/>
    <w:rsid w:val="00543D18"/>
    <w:rsid w:val="00543DA5"/>
    <w:rsid w:val="00544EAA"/>
    <w:rsid w:val="00546275"/>
    <w:rsid w:val="00546BFE"/>
    <w:rsid w:val="0054729F"/>
    <w:rsid w:val="005474D7"/>
    <w:rsid w:val="00547823"/>
    <w:rsid w:val="0054797E"/>
    <w:rsid w:val="00547A99"/>
    <w:rsid w:val="00547C85"/>
    <w:rsid w:val="005505A8"/>
    <w:rsid w:val="00550FC8"/>
    <w:rsid w:val="005510DC"/>
    <w:rsid w:val="00551128"/>
    <w:rsid w:val="00551468"/>
    <w:rsid w:val="005514D4"/>
    <w:rsid w:val="00551EB9"/>
    <w:rsid w:val="00552B2C"/>
    <w:rsid w:val="00552C24"/>
    <w:rsid w:val="00552C86"/>
    <w:rsid w:val="00553526"/>
    <w:rsid w:val="00553C33"/>
    <w:rsid w:val="00554183"/>
    <w:rsid w:val="005543EA"/>
    <w:rsid w:val="00554B7A"/>
    <w:rsid w:val="00554EE7"/>
    <w:rsid w:val="00555972"/>
    <w:rsid w:val="00555A34"/>
    <w:rsid w:val="00555B54"/>
    <w:rsid w:val="00555C86"/>
    <w:rsid w:val="00555DD1"/>
    <w:rsid w:val="00555F8B"/>
    <w:rsid w:val="0055615C"/>
    <w:rsid w:val="005565D0"/>
    <w:rsid w:val="005566EE"/>
    <w:rsid w:val="00556726"/>
    <w:rsid w:val="0055680F"/>
    <w:rsid w:val="00556CAF"/>
    <w:rsid w:val="005575F4"/>
    <w:rsid w:val="0055768A"/>
    <w:rsid w:val="00557797"/>
    <w:rsid w:val="005577B3"/>
    <w:rsid w:val="0055798F"/>
    <w:rsid w:val="00560BFE"/>
    <w:rsid w:val="00560C4B"/>
    <w:rsid w:val="00560CD9"/>
    <w:rsid w:val="005610DE"/>
    <w:rsid w:val="005618C0"/>
    <w:rsid w:val="00561E87"/>
    <w:rsid w:val="00561F30"/>
    <w:rsid w:val="005624D7"/>
    <w:rsid w:val="00562AD6"/>
    <w:rsid w:val="00563012"/>
    <w:rsid w:val="005630D1"/>
    <w:rsid w:val="0056346D"/>
    <w:rsid w:val="0056366A"/>
    <w:rsid w:val="00563E6B"/>
    <w:rsid w:val="00564754"/>
    <w:rsid w:val="00564CC0"/>
    <w:rsid w:val="005653AD"/>
    <w:rsid w:val="00565688"/>
    <w:rsid w:val="005662B8"/>
    <w:rsid w:val="005666CF"/>
    <w:rsid w:val="00566B8A"/>
    <w:rsid w:val="00566D6B"/>
    <w:rsid w:val="00567137"/>
    <w:rsid w:val="0056738A"/>
    <w:rsid w:val="00567676"/>
    <w:rsid w:val="00567FB7"/>
    <w:rsid w:val="005701FC"/>
    <w:rsid w:val="005704AC"/>
    <w:rsid w:val="005707CB"/>
    <w:rsid w:val="00570918"/>
    <w:rsid w:val="0057116A"/>
    <w:rsid w:val="0057140C"/>
    <w:rsid w:val="00571A05"/>
    <w:rsid w:val="00571A81"/>
    <w:rsid w:val="00572722"/>
    <w:rsid w:val="005729A4"/>
    <w:rsid w:val="00572BEF"/>
    <w:rsid w:val="005735AC"/>
    <w:rsid w:val="00573FBF"/>
    <w:rsid w:val="00575107"/>
    <w:rsid w:val="005752B6"/>
    <w:rsid w:val="0057541A"/>
    <w:rsid w:val="005757DD"/>
    <w:rsid w:val="005767DA"/>
    <w:rsid w:val="00576B40"/>
    <w:rsid w:val="00576B6C"/>
    <w:rsid w:val="00576E13"/>
    <w:rsid w:val="0057744F"/>
    <w:rsid w:val="00577826"/>
    <w:rsid w:val="00577D08"/>
    <w:rsid w:val="00577F68"/>
    <w:rsid w:val="005803C7"/>
    <w:rsid w:val="00580E56"/>
    <w:rsid w:val="00580F0C"/>
    <w:rsid w:val="00581219"/>
    <w:rsid w:val="005820D3"/>
    <w:rsid w:val="005823E4"/>
    <w:rsid w:val="005828B0"/>
    <w:rsid w:val="00582E3F"/>
    <w:rsid w:val="00583DC4"/>
    <w:rsid w:val="00584007"/>
    <w:rsid w:val="005842B3"/>
    <w:rsid w:val="00584DF3"/>
    <w:rsid w:val="00584F47"/>
    <w:rsid w:val="00584F67"/>
    <w:rsid w:val="00585384"/>
    <w:rsid w:val="00585944"/>
    <w:rsid w:val="005859F8"/>
    <w:rsid w:val="00585FE7"/>
    <w:rsid w:val="00586016"/>
    <w:rsid w:val="00586513"/>
    <w:rsid w:val="005867A9"/>
    <w:rsid w:val="00586F43"/>
    <w:rsid w:val="00587397"/>
    <w:rsid w:val="00587C73"/>
    <w:rsid w:val="0058E92B"/>
    <w:rsid w:val="00590375"/>
    <w:rsid w:val="00590834"/>
    <w:rsid w:val="00590842"/>
    <w:rsid w:val="0059091C"/>
    <w:rsid w:val="00590D3F"/>
    <w:rsid w:val="00590FC2"/>
    <w:rsid w:val="0059130D"/>
    <w:rsid w:val="0059188D"/>
    <w:rsid w:val="005919D2"/>
    <w:rsid w:val="00591CE7"/>
    <w:rsid w:val="00591D1E"/>
    <w:rsid w:val="005920A0"/>
    <w:rsid w:val="0059266A"/>
    <w:rsid w:val="005928BB"/>
    <w:rsid w:val="00592CB4"/>
    <w:rsid w:val="0059318B"/>
    <w:rsid w:val="0059326D"/>
    <w:rsid w:val="00593418"/>
    <w:rsid w:val="0059349D"/>
    <w:rsid w:val="0059356F"/>
    <w:rsid w:val="00594576"/>
    <w:rsid w:val="00594B7F"/>
    <w:rsid w:val="00594D8E"/>
    <w:rsid w:val="00594DAE"/>
    <w:rsid w:val="00594E71"/>
    <w:rsid w:val="00595911"/>
    <w:rsid w:val="00595988"/>
    <w:rsid w:val="00595D2E"/>
    <w:rsid w:val="00595D4E"/>
    <w:rsid w:val="00595F11"/>
    <w:rsid w:val="00596027"/>
    <w:rsid w:val="005964A1"/>
    <w:rsid w:val="005969E5"/>
    <w:rsid w:val="00596EE8"/>
    <w:rsid w:val="005971BF"/>
    <w:rsid w:val="0059768B"/>
    <w:rsid w:val="0059780D"/>
    <w:rsid w:val="00597F13"/>
    <w:rsid w:val="005A061B"/>
    <w:rsid w:val="005A0F1E"/>
    <w:rsid w:val="005A17AE"/>
    <w:rsid w:val="005A1967"/>
    <w:rsid w:val="005A2658"/>
    <w:rsid w:val="005A2ABA"/>
    <w:rsid w:val="005A2BCC"/>
    <w:rsid w:val="005A2F3D"/>
    <w:rsid w:val="005A31A7"/>
    <w:rsid w:val="005A3625"/>
    <w:rsid w:val="005A4651"/>
    <w:rsid w:val="005A4765"/>
    <w:rsid w:val="005A4AA1"/>
    <w:rsid w:val="005A4DFA"/>
    <w:rsid w:val="005A4EF3"/>
    <w:rsid w:val="005A5170"/>
    <w:rsid w:val="005A587F"/>
    <w:rsid w:val="005A5E67"/>
    <w:rsid w:val="005A68D2"/>
    <w:rsid w:val="005A6F85"/>
    <w:rsid w:val="005A6FD7"/>
    <w:rsid w:val="005A6FFC"/>
    <w:rsid w:val="005A7107"/>
    <w:rsid w:val="005A739B"/>
    <w:rsid w:val="005A7C27"/>
    <w:rsid w:val="005A7DB6"/>
    <w:rsid w:val="005B0135"/>
    <w:rsid w:val="005B038B"/>
    <w:rsid w:val="005B06DD"/>
    <w:rsid w:val="005B0AC6"/>
    <w:rsid w:val="005B0D5F"/>
    <w:rsid w:val="005B0DBB"/>
    <w:rsid w:val="005B14A5"/>
    <w:rsid w:val="005B14C2"/>
    <w:rsid w:val="005B15BE"/>
    <w:rsid w:val="005B21CE"/>
    <w:rsid w:val="005B2567"/>
    <w:rsid w:val="005B2A70"/>
    <w:rsid w:val="005B340C"/>
    <w:rsid w:val="005B34FF"/>
    <w:rsid w:val="005B388B"/>
    <w:rsid w:val="005B3CBA"/>
    <w:rsid w:val="005B3EC0"/>
    <w:rsid w:val="005B3FC3"/>
    <w:rsid w:val="005B4204"/>
    <w:rsid w:val="005B444D"/>
    <w:rsid w:val="005B45F8"/>
    <w:rsid w:val="005B4753"/>
    <w:rsid w:val="005B489C"/>
    <w:rsid w:val="005B4AD6"/>
    <w:rsid w:val="005B4B4F"/>
    <w:rsid w:val="005B53E9"/>
    <w:rsid w:val="005B53FD"/>
    <w:rsid w:val="005B580F"/>
    <w:rsid w:val="005B5967"/>
    <w:rsid w:val="005B5A92"/>
    <w:rsid w:val="005B6080"/>
    <w:rsid w:val="005B6097"/>
    <w:rsid w:val="005B62A7"/>
    <w:rsid w:val="005B630C"/>
    <w:rsid w:val="005B6414"/>
    <w:rsid w:val="005B6940"/>
    <w:rsid w:val="005B694A"/>
    <w:rsid w:val="005B7B91"/>
    <w:rsid w:val="005C0489"/>
    <w:rsid w:val="005C04B1"/>
    <w:rsid w:val="005C05ED"/>
    <w:rsid w:val="005C07A3"/>
    <w:rsid w:val="005C0B55"/>
    <w:rsid w:val="005C0E3A"/>
    <w:rsid w:val="005C134F"/>
    <w:rsid w:val="005C15C9"/>
    <w:rsid w:val="005C185C"/>
    <w:rsid w:val="005C188F"/>
    <w:rsid w:val="005C1AC1"/>
    <w:rsid w:val="005C2237"/>
    <w:rsid w:val="005C346A"/>
    <w:rsid w:val="005C34A3"/>
    <w:rsid w:val="005C3576"/>
    <w:rsid w:val="005C3DF7"/>
    <w:rsid w:val="005C454A"/>
    <w:rsid w:val="005C4A74"/>
    <w:rsid w:val="005C4B5A"/>
    <w:rsid w:val="005C4BD5"/>
    <w:rsid w:val="005C4D85"/>
    <w:rsid w:val="005C4F6D"/>
    <w:rsid w:val="005C5658"/>
    <w:rsid w:val="005C62CA"/>
    <w:rsid w:val="005C76A5"/>
    <w:rsid w:val="005C783C"/>
    <w:rsid w:val="005C78D7"/>
    <w:rsid w:val="005D0A82"/>
    <w:rsid w:val="005D0AF6"/>
    <w:rsid w:val="005D0DCB"/>
    <w:rsid w:val="005D0E2E"/>
    <w:rsid w:val="005D1067"/>
    <w:rsid w:val="005D1138"/>
    <w:rsid w:val="005D1312"/>
    <w:rsid w:val="005D171B"/>
    <w:rsid w:val="005D22E8"/>
    <w:rsid w:val="005D23B0"/>
    <w:rsid w:val="005D2454"/>
    <w:rsid w:val="005D24AF"/>
    <w:rsid w:val="005D2A35"/>
    <w:rsid w:val="005D2BF4"/>
    <w:rsid w:val="005D2FD2"/>
    <w:rsid w:val="005D3573"/>
    <w:rsid w:val="005D385E"/>
    <w:rsid w:val="005D388B"/>
    <w:rsid w:val="005D3D71"/>
    <w:rsid w:val="005D3FC5"/>
    <w:rsid w:val="005D46F0"/>
    <w:rsid w:val="005D4A41"/>
    <w:rsid w:val="005D52C6"/>
    <w:rsid w:val="005D54AC"/>
    <w:rsid w:val="005D5EAE"/>
    <w:rsid w:val="005D5F7F"/>
    <w:rsid w:val="005D61C6"/>
    <w:rsid w:val="005D6328"/>
    <w:rsid w:val="005D6A04"/>
    <w:rsid w:val="005D6D7D"/>
    <w:rsid w:val="005D7582"/>
    <w:rsid w:val="005D7672"/>
    <w:rsid w:val="005D76CA"/>
    <w:rsid w:val="005D7C45"/>
    <w:rsid w:val="005D7D78"/>
    <w:rsid w:val="005D7E2C"/>
    <w:rsid w:val="005E0971"/>
    <w:rsid w:val="005E0F04"/>
    <w:rsid w:val="005E0FFD"/>
    <w:rsid w:val="005E27C2"/>
    <w:rsid w:val="005E31B6"/>
    <w:rsid w:val="005E3834"/>
    <w:rsid w:val="005E3EF0"/>
    <w:rsid w:val="005E46A5"/>
    <w:rsid w:val="005E4EB6"/>
    <w:rsid w:val="005E4F96"/>
    <w:rsid w:val="005E55EB"/>
    <w:rsid w:val="005E5DB7"/>
    <w:rsid w:val="005E5DF0"/>
    <w:rsid w:val="005E5F5F"/>
    <w:rsid w:val="005E6811"/>
    <w:rsid w:val="005E6B75"/>
    <w:rsid w:val="005E6FB5"/>
    <w:rsid w:val="005E70A4"/>
    <w:rsid w:val="005E712E"/>
    <w:rsid w:val="005E7279"/>
    <w:rsid w:val="005E7294"/>
    <w:rsid w:val="005E7624"/>
    <w:rsid w:val="005E78E2"/>
    <w:rsid w:val="005E7ADB"/>
    <w:rsid w:val="005E7CA0"/>
    <w:rsid w:val="005F0107"/>
    <w:rsid w:val="005F02F2"/>
    <w:rsid w:val="005F04AE"/>
    <w:rsid w:val="005F0C60"/>
    <w:rsid w:val="005F163D"/>
    <w:rsid w:val="005F2127"/>
    <w:rsid w:val="005F2279"/>
    <w:rsid w:val="005F2C6E"/>
    <w:rsid w:val="005F2DC8"/>
    <w:rsid w:val="005F3037"/>
    <w:rsid w:val="005F31B2"/>
    <w:rsid w:val="005F343C"/>
    <w:rsid w:val="005F39A1"/>
    <w:rsid w:val="005F43BA"/>
    <w:rsid w:val="005F5A10"/>
    <w:rsid w:val="005F5F5A"/>
    <w:rsid w:val="005F68D7"/>
    <w:rsid w:val="005F6C03"/>
    <w:rsid w:val="005F75FB"/>
    <w:rsid w:val="005F7A9D"/>
    <w:rsid w:val="005F7E68"/>
    <w:rsid w:val="005F7F86"/>
    <w:rsid w:val="0060039D"/>
    <w:rsid w:val="0060052F"/>
    <w:rsid w:val="00600992"/>
    <w:rsid w:val="00600DB9"/>
    <w:rsid w:val="00601372"/>
    <w:rsid w:val="00601D46"/>
    <w:rsid w:val="00602269"/>
    <w:rsid w:val="0060228F"/>
    <w:rsid w:val="006023F2"/>
    <w:rsid w:val="0060265C"/>
    <w:rsid w:val="00602837"/>
    <w:rsid w:val="00602930"/>
    <w:rsid w:val="00603608"/>
    <w:rsid w:val="00603C2A"/>
    <w:rsid w:val="00603C66"/>
    <w:rsid w:val="00603FC6"/>
    <w:rsid w:val="006040BD"/>
    <w:rsid w:val="00604281"/>
    <w:rsid w:val="00604B1A"/>
    <w:rsid w:val="0060521D"/>
    <w:rsid w:val="00605B66"/>
    <w:rsid w:val="00605FE8"/>
    <w:rsid w:val="006069B0"/>
    <w:rsid w:val="00606FB9"/>
    <w:rsid w:val="0060710F"/>
    <w:rsid w:val="006079D6"/>
    <w:rsid w:val="006079F5"/>
    <w:rsid w:val="00610254"/>
    <w:rsid w:val="00610823"/>
    <w:rsid w:val="00610CBF"/>
    <w:rsid w:val="006110F0"/>
    <w:rsid w:val="006117D2"/>
    <w:rsid w:val="006118A3"/>
    <w:rsid w:val="00612447"/>
    <w:rsid w:val="00612510"/>
    <w:rsid w:val="0061263D"/>
    <w:rsid w:val="006128EA"/>
    <w:rsid w:val="00612A8F"/>
    <w:rsid w:val="006130C6"/>
    <w:rsid w:val="0061323E"/>
    <w:rsid w:val="006138AC"/>
    <w:rsid w:val="006139B7"/>
    <w:rsid w:val="00613A45"/>
    <w:rsid w:val="0061420A"/>
    <w:rsid w:val="006142E3"/>
    <w:rsid w:val="00614979"/>
    <w:rsid w:val="00614A66"/>
    <w:rsid w:val="00614BF0"/>
    <w:rsid w:val="00614C1D"/>
    <w:rsid w:val="00614C72"/>
    <w:rsid w:val="00614F76"/>
    <w:rsid w:val="00615D95"/>
    <w:rsid w:val="0061693D"/>
    <w:rsid w:val="006170F0"/>
    <w:rsid w:val="00617931"/>
    <w:rsid w:val="006209F9"/>
    <w:rsid w:val="00620FCB"/>
    <w:rsid w:val="0062108A"/>
    <w:rsid w:val="006212D8"/>
    <w:rsid w:val="006214BD"/>
    <w:rsid w:val="00621796"/>
    <w:rsid w:val="006223B4"/>
    <w:rsid w:val="00622517"/>
    <w:rsid w:val="00622583"/>
    <w:rsid w:val="00623727"/>
    <w:rsid w:val="00623F25"/>
    <w:rsid w:val="00623F44"/>
    <w:rsid w:val="00624365"/>
    <w:rsid w:val="0062448A"/>
    <w:rsid w:val="006246FC"/>
    <w:rsid w:val="006247CF"/>
    <w:rsid w:val="00624BD3"/>
    <w:rsid w:val="00625932"/>
    <w:rsid w:val="00625DED"/>
    <w:rsid w:val="00625F0D"/>
    <w:rsid w:val="00625FBD"/>
    <w:rsid w:val="00626060"/>
    <w:rsid w:val="006263CB"/>
    <w:rsid w:val="00626555"/>
    <w:rsid w:val="00626899"/>
    <w:rsid w:val="006273E9"/>
    <w:rsid w:val="006275F6"/>
    <w:rsid w:val="00627AA9"/>
    <w:rsid w:val="00627E0C"/>
    <w:rsid w:val="00627F67"/>
    <w:rsid w:val="00630181"/>
    <w:rsid w:val="00630B9A"/>
    <w:rsid w:val="00630C1B"/>
    <w:rsid w:val="00630E2E"/>
    <w:rsid w:val="006317DA"/>
    <w:rsid w:val="0063192C"/>
    <w:rsid w:val="00632173"/>
    <w:rsid w:val="00632A98"/>
    <w:rsid w:val="00632ECB"/>
    <w:rsid w:val="006339AD"/>
    <w:rsid w:val="00633F3B"/>
    <w:rsid w:val="00634A52"/>
    <w:rsid w:val="00634A5C"/>
    <w:rsid w:val="00634E41"/>
    <w:rsid w:val="00634E42"/>
    <w:rsid w:val="00634F3F"/>
    <w:rsid w:val="006356D5"/>
    <w:rsid w:val="006358BC"/>
    <w:rsid w:val="00635A86"/>
    <w:rsid w:val="006365F0"/>
    <w:rsid w:val="006366F5"/>
    <w:rsid w:val="006366FE"/>
    <w:rsid w:val="0063672A"/>
    <w:rsid w:val="0063724D"/>
    <w:rsid w:val="00637344"/>
    <w:rsid w:val="00637AAB"/>
    <w:rsid w:val="00637EE3"/>
    <w:rsid w:val="00640345"/>
    <w:rsid w:val="006404E5"/>
    <w:rsid w:val="006406D6"/>
    <w:rsid w:val="00640B8E"/>
    <w:rsid w:val="00640C86"/>
    <w:rsid w:val="00640EF7"/>
    <w:rsid w:val="006412CD"/>
    <w:rsid w:val="0064154D"/>
    <w:rsid w:val="00641ABC"/>
    <w:rsid w:val="0064205B"/>
    <w:rsid w:val="00642252"/>
    <w:rsid w:val="006425FD"/>
    <w:rsid w:val="00642681"/>
    <w:rsid w:val="00642735"/>
    <w:rsid w:val="00642960"/>
    <w:rsid w:val="006429B7"/>
    <w:rsid w:val="00642D21"/>
    <w:rsid w:val="00643015"/>
    <w:rsid w:val="0064314C"/>
    <w:rsid w:val="0064350B"/>
    <w:rsid w:val="00643DE1"/>
    <w:rsid w:val="006442BC"/>
    <w:rsid w:val="00644771"/>
    <w:rsid w:val="0064532A"/>
    <w:rsid w:val="006454A5"/>
    <w:rsid w:val="0064570A"/>
    <w:rsid w:val="00645CBF"/>
    <w:rsid w:val="00645D70"/>
    <w:rsid w:val="006461DD"/>
    <w:rsid w:val="006461EC"/>
    <w:rsid w:val="00646C99"/>
    <w:rsid w:val="00646CE0"/>
    <w:rsid w:val="0064714F"/>
    <w:rsid w:val="00647525"/>
    <w:rsid w:val="00647F00"/>
    <w:rsid w:val="0065011A"/>
    <w:rsid w:val="0065053F"/>
    <w:rsid w:val="006505AA"/>
    <w:rsid w:val="00650B4D"/>
    <w:rsid w:val="00651022"/>
    <w:rsid w:val="00651607"/>
    <w:rsid w:val="006516BF"/>
    <w:rsid w:val="00651D74"/>
    <w:rsid w:val="00651D7E"/>
    <w:rsid w:val="00651F8F"/>
    <w:rsid w:val="006525F5"/>
    <w:rsid w:val="006527A8"/>
    <w:rsid w:val="00652EF9"/>
    <w:rsid w:val="006532AA"/>
    <w:rsid w:val="00653AEE"/>
    <w:rsid w:val="00653D30"/>
    <w:rsid w:val="00654347"/>
    <w:rsid w:val="0065453B"/>
    <w:rsid w:val="00654D1B"/>
    <w:rsid w:val="0065554E"/>
    <w:rsid w:val="006557FF"/>
    <w:rsid w:val="00655E8D"/>
    <w:rsid w:val="006561B7"/>
    <w:rsid w:val="0065639C"/>
    <w:rsid w:val="006564C1"/>
    <w:rsid w:val="006568FF"/>
    <w:rsid w:val="00656999"/>
    <w:rsid w:val="00656A89"/>
    <w:rsid w:val="00657332"/>
    <w:rsid w:val="00657779"/>
    <w:rsid w:val="00657A86"/>
    <w:rsid w:val="00657C05"/>
    <w:rsid w:val="00657C10"/>
    <w:rsid w:val="00657DA2"/>
    <w:rsid w:val="00660450"/>
    <w:rsid w:val="00660496"/>
    <w:rsid w:val="00660B92"/>
    <w:rsid w:val="00660C23"/>
    <w:rsid w:val="00660F2F"/>
    <w:rsid w:val="00661295"/>
    <w:rsid w:val="0066182A"/>
    <w:rsid w:val="00661BF2"/>
    <w:rsid w:val="00662295"/>
    <w:rsid w:val="00662408"/>
    <w:rsid w:val="006626A0"/>
    <w:rsid w:val="00663065"/>
    <w:rsid w:val="00663367"/>
    <w:rsid w:val="006634CA"/>
    <w:rsid w:val="0066379B"/>
    <w:rsid w:val="0066386F"/>
    <w:rsid w:val="006638DA"/>
    <w:rsid w:val="00663B04"/>
    <w:rsid w:val="0066414F"/>
    <w:rsid w:val="0066421A"/>
    <w:rsid w:val="006645EC"/>
    <w:rsid w:val="00664EEC"/>
    <w:rsid w:val="00664F2F"/>
    <w:rsid w:val="00665391"/>
    <w:rsid w:val="00665722"/>
    <w:rsid w:val="00665DD2"/>
    <w:rsid w:val="006665EA"/>
    <w:rsid w:val="00667149"/>
    <w:rsid w:val="0066722E"/>
    <w:rsid w:val="00667324"/>
    <w:rsid w:val="00667399"/>
    <w:rsid w:val="006673DD"/>
    <w:rsid w:val="00667778"/>
    <w:rsid w:val="006679C4"/>
    <w:rsid w:val="006701B9"/>
    <w:rsid w:val="0067147E"/>
    <w:rsid w:val="006714C0"/>
    <w:rsid w:val="0067158E"/>
    <w:rsid w:val="00671941"/>
    <w:rsid w:val="00671CB2"/>
    <w:rsid w:val="006722D5"/>
    <w:rsid w:val="006726BB"/>
    <w:rsid w:val="006727F5"/>
    <w:rsid w:val="00672D70"/>
    <w:rsid w:val="00672E4B"/>
    <w:rsid w:val="00672EC1"/>
    <w:rsid w:val="00672FF7"/>
    <w:rsid w:val="00673454"/>
    <w:rsid w:val="006738E1"/>
    <w:rsid w:val="00674087"/>
    <w:rsid w:val="006741D4"/>
    <w:rsid w:val="00674F22"/>
    <w:rsid w:val="00674F7F"/>
    <w:rsid w:val="006751AF"/>
    <w:rsid w:val="00675639"/>
    <w:rsid w:val="00676F47"/>
    <w:rsid w:val="0067736B"/>
    <w:rsid w:val="00677876"/>
    <w:rsid w:val="006779E6"/>
    <w:rsid w:val="00677A20"/>
    <w:rsid w:val="00677E33"/>
    <w:rsid w:val="00677EF2"/>
    <w:rsid w:val="00680187"/>
    <w:rsid w:val="0068050F"/>
    <w:rsid w:val="0068068E"/>
    <w:rsid w:val="006814CC"/>
    <w:rsid w:val="00681823"/>
    <w:rsid w:val="00682473"/>
    <w:rsid w:val="00682799"/>
    <w:rsid w:val="00682DE4"/>
    <w:rsid w:val="0068321A"/>
    <w:rsid w:val="00683502"/>
    <w:rsid w:val="0068352F"/>
    <w:rsid w:val="00683880"/>
    <w:rsid w:val="006839B2"/>
    <w:rsid w:val="006841C7"/>
    <w:rsid w:val="006848CD"/>
    <w:rsid w:val="00684AB5"/>
    <w:rsid w:val="00684CE1"/>
    <w:rsid w:val="00684FE3"/>
    <w:rsid w:val="00685176"/>
    <w:rsid w:val="00685AE7"/>
    <w:rsid w:val="00685E4F"/>
    <w:rsid w:val="00686177"/>
    <w:rsid w:val="00686330"/>
    <w:rsid w:val="00686AE2"/>
    <w:rsid w:val="00686D2B"/>
    <w:rsid w:val="00687A8D"/>
    <w:rsid w:val="00687DA9"/>
    <w:rsid w:val="00687E03"/>
    <w:rsid w:val="0069039C"/>
    <w:rsid w:val="006903C6"/>
    <w:rsid w:val="0069058E"/>
    <w:rsid w:val="0069076A"/>
    <w:rsid w:val="00691094"/>
    <w:rsid w:val="006911AF"/>
    <w:rsid w:val="0069184A"/>
    <w:rsid w:val="00691BAA"/>
    <w:rsid w:val="0069273D"/>
    <w:rsid w:val="006927B0"/>
    <w:rsid w:val="00692A62"/>
    <w:rsid w:val="00692D9A"/>
    <w:rsid w:val="00692F31"/>
    <w:rsid w:val="006932FF"/>
    <w:rsid w:val="00693A2E"/>
    <w:rsid w:val="00693F4A"/>
    <w:rsid w:val="006940CD"/>
    <w:rsid w:val="00694F48"/>
    <w:rsid w:val="00695037"/>
    <w:rsid w:val="00695353"/>
    <w:rsid w:val="00695760"/>
    <w:rsid w:val="00695A8B"/>
    <w:rsid w:val="00696392"/>
    <w:rsid w:val="00696AB1"/>
    <w:rsid w:val="0069714C"/>
    <w:rsid w:val="00697252"/>
    <w:rsid w:val="00697263"/>
    <w:rsid w:val="00697287"/>
    <w:rsid w:val="00697863"/>
    <w:rsid w:val="00697969"/>
    <w:rsid w:val="00697977"/>
    <w:rsid w:val="0069797D"/>
    <w:rsid w:val="00697BA0"/>
    <w:rsid w:val="00697DAE"/>
    <w:rsid w:val="006A07C3"/>
    <w:rsid w:val="006A1135"/>
    <w:rsid w:val="006A1379"/>
    <w:rsid w:val="006A1998"/>
    <w:rsid w:val="006A27C8"/>
    <w:rsid w:val="006A2BCF"/>
    <w:rsid w:val="006A2D3C"/>
    <w:rsid w:val="006A3530"/>
    <w:rsid w:val="006A3AB2"/>
    <w:rsid w:val="006A3AF1"/>
    <w:rsid w:val="006A3D0C"/>
    <w:rsid w:val="006A403F"/>
    <w:rsid w:val="006A4065"/>
    <w:rsid w:val="006A4959"/>
    <w:rsid w:val="006A4985"/>
    <w:rsid w:val="006A61E7"/>
    <w:rsid w:val="006A6344"/>
    <w:rsid w:val="006A69F0"/>
    <w:rsid w:val="006A7712"/>
    <w:rsid w:val="006B05FA"/>
    <w:rsid w:val="006B067F"/>
    <w:rsid w:val="006B14C8"/>
    <w:rsid w:val="006B1E13"/>
    <w:rsid w:val="006B1EF9"/>
    <w:rsid w:val="006B2166"/>
    <w:rsid w:val="006B21DF"/>
    <w:rsid w:val="006B22FF"/>
    <w:rsid w:val="006B2487"/>
    <w:rsid w:val="006B2AB2"/>
    <w:rsid w:val="006B3046"/>
    <w:rsid w:val="006B3295"/>
    <w:rsid w:val="006B3CDF"/>
    <w:rsid w:val="006B410C"/>
    <w:rsid w:val="006B4A96"/>
    <w:rsid w:val="006B4BA1"/>
    <w:rsid w:val="006B57B5"/>
    <w:rsid w:val="006B5846"/>
    <w:rsid w:val="006B6639"/>
    <w:rsid w:val="006B687D"/>
    <w:rsid w:val="006C0466"/>
    <w:rsid w:val="006C085A"/>
    <w:rsid w:val="006C0F33"/>
    <w:rsid w:val="006C1077"/>
    <w:rsid w:val="006C11E1"/>
    <w:rsid w:val="006C133F"/>
    <w:rsid w:val="006C1536"/>
    <w:rsid w:val="006C1B46"/>
    <w:rsid w:val="006C1CC1"/>
    <w:rsid w:val="006C1F1D"/>
    <w:rsid w:val="006C22CA"/>
    <w:rsid w:val="006C247B"/>
    <w:rsid w:val="006C31A9"/>
    <w:rsid w:val="006C3263"/>
    <w:rsid w:val="006C3947"/>
    <w:rsid w:val="006C3C96"/>
    <w:rsid w:val="006C3D38"/>
    <w:rsid w:val="006C4B8B"/>
    <w:rsid w:val="006C4D06"/>
    <w:rsid w:val="006C4DEC"/>
    <w:rsid w:val="006C4E5A"/>
    <w:rsid w:val="006C512F"/>
    <w:rsid w:val="006C5737"/>
    <w:rsid w:val="006C57A9"/>
    <w:rsid w:val="006C590C"/>
    <w:rsid w:val="006C5A80"/>
    <w:rsid w:val="006C5DD0"/>
    <w:rsid w:val="006C646A"/>
    <w:rsid w:val="006C66EA"/>
    <w:rsid w:val="006C6B60"/>
    <w:rsid w:val="006C6CF1"/>
    <w:rsid w:val="006C71C2"/>
    <w:rsid w:val="006C71C8"/>
    <w:rsid w:val="006C769C"/>
    <w:rsid w:val="006C78BB"/>
    <w:rsid w:val="006C7B47"/>
    <w:rsid w:val="006C7FD9"/>
    <w:rsid w:val="006D01BD"/>
    <w:rsid w:val="006D0708"/>
    <w:rsid w:val="006D0997"/>
    <w:rsid w:val="006D10E6"/>
    <w:rsid w:val="006D16FF"/>
    <w:rsid w:val="006D18BA"/>
    <w:rsid w:val="006D1B8C"/>
    <w:rsid w:val="006D1CC6"/>
    <w:rsid w:val="006D2120"/>
    <w:rsid w:val="006D26DE"/>
    <w:rsid w:val="006D291D"/>
    <w:rsid w:val="006D2DE0"/>
    <w:rsid w:val="006D393C"/>
    <w:rsid w:val="006D3D20"/>
    <w:rsid w:val="006D41D5"/>
    <w:rsid w:val="006D4450"/>
    <w:rsid w:val="006D4981"/>
    <w:rsid w:val="006D49A0"/>
    <w:rsid w:val="006D4A17"/>
    <w:rsid w:val="006D4BD1"/>
    <w:rsid w:val="006D4E00"/>
    <w:rsid w:val="006D6407"/>
    <w:rsid w:val="006D65E6"/>
    <w:rsid w:val="006D6AA3"/>
    <w:rsid w:val="006D7030"/>
    <w:rsid w:val="006D7A25"/>
    <w:rsid w:val="006D7B80"/>
    <w:rsid w:val="006E0066"/>
    <w:rsid w:val="006E01E4"/>
    <w:rsid w:val="006E0315"/>
    <w:rsid w:val="006E039A"/>
    <w:rsid w:val="006E0739"/>
    <w:rsid w:val="006E09A4"/>
    <w:rsid w:val="006E09E8"/>
    <w:rsid w:val="006E1033"/>
    <w:rsid w:val="006E15DF"/>
    <w:rsid w:val="006E1B28"/>
    <w:rsid w:val="006E2240"/>
    <w:rsid w:val="006E2466"/>
    <w:rsid w:val="006E2688"/>
    <w:rsid w:val="006E27B1"/>
    <w:rsid w:val="006E2CDD"/>
    <w:rsid w:val="006E2FCF"/>
    <w:rsid w:val="006E3533"/>
    <w:rsid w:val="006E35AC"/>
    <w:rsid w:val="006E3B65"/>
    <w:rsid w:val="006E401E"/>
    <w:rsid w:val="006E4D5B"/>
    <w:rsid w:val="006E4F62"/>
    <w:rsid w:val="006E4FC1"/>
    <w:rsid w:val="006E519F"/>
    <w:rsid w:val="006E5A1A"/>
    <w:rsid w:val="006E5B39"/>
    <w:rsid w:val="006E5DEF"/>
    <w:rsid w:val="006E5F8F"/>
    <w:rsid w:val="006E6873"/>
    <w:rsid w:val="006E6C76"/>
    <w:rsid w:val="006E6E5C"/>
    <w:rsid w:val="006E7101"/>
    <w:rsid w:val="006E7A53"/>
    <w:rsid w:val="006E7E3F"/>
    <w:rsid w:val="006E7EA2"/>
    <w:rsid w:val="006F02C1"/>
    <w:rsid w:val="006F19D3"/>
    <w:rsid w:val="006F299B"/>
    <w:rsid w:val="006F2B56"/>
    <w:rsid w:val="006F2E25"/>
    <w:rsid w:val="006F32E5"/>
    <w:rsid w:val="006F32F0"/>
    <w:rsid w:val="006F3496"/>
    <w:rsid w:val="006F34E9"/>
    <w:rsid w:val="006F353E"/>
    <w:rsid w:val="006F37BE"/>
    <w:rsid w:val="006F4329"/>
    <w:rsid w:val="006F43C6"/>
    <w:rsid w:val="006F4547"/>
    <w:rsid w:val="006F47F3"/>
    <w:rsid w:val="006F4A94"/>
    <w:rsid w:val="006F4C85"/>
    <w:rsid w:val="006F5129"/>
    <w:rsid w:val="006F5832"/>
    <w:rsid w:val="006F599A"/>
    <w:rsid w:val="006F70C6"/>
    <w:rsid w:val="006F7740"/>
    <w:rsid w:val="006F7CF9"/>
    <w:rsid w:val="006F7E5A"/>
    <w:rsid w:val="006FBD40"/>
    <w:rsid w:val="00700025"/>
    <w:rsid w:val="007000AB"/>
    <w:rsid w:val="00700A68"/>
    <w:rsid w:val="00700CFE"/>
    <w:rsid w:val="00700E6A"/>
    <w:rsid w:val="00700E77"/>
    <w:rsid w:val="00701865"/>
    <w:rsid w:val="00701926"/>
    <w:rsid w:val="00701A1D"/>
    <w:rsid w:val="00701CCE"/>
    <w:rsid w:val="00701D3B"/>
    <w:rsid w:val="00701EDB"/>
    <w:rsid w:val="00701EFC"/>
    <w:rsid w:val="00701FA4"/>
    <w:rsid w:val="00702380"/>
    <w:rsid w:val="0070279B"/>
    <w:rsid w:val="007028BE"/>
    <w:rsid w:val="00702A40"/>
    <w:rsid w:val="00702C36"/>
    <w:rsid w:val="007034FE"/>
    <w:rsid w:val="0070376E"/>
    <w:rsid w:val="007038B7"/>
    <w:rsid w:val="00703929"/>
    <w:rsid w:val="00703A6F"/>
    <w:rsid w:val="00703EA7"/>
    <w:rsid w:val="007049E4"/>
    <w:rsid w:val="00705420"/>
    <w:rsid w:val="00705A04"/>
    <w:rsid w:val="00705F97"/>
    <w:rsid w:val="0070627C"/>
    <w:rsid w:val="007065E0"/>
    <w:rsid w:val="00706E23"/>
    <w:rsid w:val="00707243"/>
    <w:rsid w:val="0070742F"/>
    <w:rsid w:val="007077ED"/>
    <w:rsid w:val="00707A80"/>
    <w:rsid w:val="00707B6E"/>
    <w:rsid w:val="00707D54"/>
    <w:rsid w:val="00707DBE"/>
    <w:rsid w:val="0070B6BE"/>
    <w:rsid w:val="00710712"/>
    <w:rsid w:val="00710756"/>
    <w:rsid w:val="00710966"/>
    <w:rsid w:val="00710C92"/>
    <w:rsid w:val="00710DAB"/>
    <w:rsid w:val="00711427"/>
    <w:rsid w:val="007118C6"/>
    <w:rsid w:val="00711DFC"/>
    <w:rsid w:val="0071226B"/>
    <w:rsid w:val="0071282D"/>
    <w:rsid w:val="007128C0"/>
    <w:rsid w:val="00712929"/>
    <w:rsid w:val="00712E2F"/>
    <w:rsid w:val="00712EF4"/>
    <w:rsid w:val="0071328C"/>
    <w:rsid w:val="007132ED"/>
    <w:rsid w:val="007134E7"/>
    <w:rsid w:val="00713D76"/>
    <w:rsid w:val="00713F1E"/>
    <w:rsid w:val="00714757"/>
    <w:rsid w:val="00714A3E"/>
    <w:rsid w:val="00714F17"/>
    <w:rsid w:val="007153E9"/>
    <w:rsid w:val="0071545E"/>
    <w:rsid w:val="007154A8"/>
    <w:rsid w:val="007156DD"/>
    <w:rsid w:val="00715FF1"/>
    <w:rsid w:val="00716228"/>
    <w:rsid w:val="007166AD"/>
    <w:rsid w:val="00716A4F"/>
    <w:rsid w:val="00717723"/>
    <w:rsid w:val="0071774D"/>
    <w:rsid w:val="00717C93"/>
    <w:rsid w:val="00717D2F"/>
    <w:rsid w:val="007200FA"/>
    <w:rsid w:val="007201BE"/>
    <w:rsid w:val="007202C7"/>
    <w:rsid w:val="00720549"/>
    <w:rsid w:val="00721512"/>
    <w:rsid w:val="007215A0"/>
    <w:rsid w:val="00721664"/>
    <w:rsid w:val="00721C86"/>
    <w:rsid w:val="00722252"/>
    <w:rsid w:val="00722581"/>
    <w:rsid w:val="00722683"/>
    <w:rsid w:val="00722CA8"/>
    <w:rsid w:val="00722D93"/>
    <w:rsid w:val="00722F32"/>
    <w:rsid w:val="00723339"/>
    <w:rsid w:val="007234EC"/>
    <w:rsid w:val="007236A2"/>
    <w:rsid w:val="00723775"/>
    <w:rsid w:val="007239A6"/>
    <w:rsid w:val="0072435D"/>
    <w:rsid w:val="00724B18"/>
    <w:rsid w:val="00724D8C"/>
    <w:rsid w:val="007251AC"/>
    <w:rsid w:val="00725382"/>
    <w:rsid w:val="00725A49"/>
    <w:rsid w:val="00725F10"/>
    <w:rsid w:val="007269C7"/>
    <w:rsid w:val="00727559"/>
    <w:rsid w:val="007278B7"/>
    <w:rsid w:val="00727979"/>
    <w:rsid w:val="00730206"/>
    <w:rsid w:val="007304B3"/>
    <w:rsid w:val="00730846"/>
    <w:rsid w:val="00730CC9"/>
    <w:rsid w:val="00730DB3"/>
    <w:rsid w:val="00731397"/>
    <w:rsid w:val="00731465"/>
    <w:rsid w:val="00731562"/>
    <w:rsid w:val="007315B8"/>
    <w:rsid w:val="0073195D"/>
    <w:rsid w:val="00732BC9"/>
    <w:rsid w:val="00732E47"/>
    <w:rsid w:val="0073310E"/>
    <w:rsid w:val="007334AE"/>
    <w:rsid w:val="00733AF2"/>
    <w:rsid w:val="00733D7C"/>
    <w:rsid w:val="00733EFB"/>
    <w:rsid w:val="00733FCC"/>
    <w:rsid w:val="007345F2"/>
    <w:rsid w:val="00735862"/>
    <w:rsid w:val="00735D1D"/>
    <w:rsid w:val="0073660F"/>
    <w:rsid w:val="007366E9"/>
    <w:rsid w:val="00736D1C"/>
    <w:rsid w:val="00736DE2"/>
    <w:rsid w:val="00737633"/>
    <w:rsid w:val="007402F7"/>
    <w:rsid w:val="0074066D"/>
    <w:rsid w:val="00740F6C"/>
    <w:rsid w:val="0074101F"/>
    <w:rsid w:val="007411FF"/>
    <w:rsid w:val="0074135E"/>
    <w:rsid w:val="00741C61"/>
    <w:rsid w:val="00742EAE"/>
    <w:rsid w:val="00742F1B"/>
    <w:rsid w:val="00743714"/>
    <w:rsid w:val="007438D3"/>
    <w:rsid w:val="00743C06"/>
    <w:rsid w:val="00743C72"/>
    <w:rsid w:val="00744316"/>
    <w:rsid w:val="0074461C"/>
    <w:rsid w:val="00744A56"/>
    <w:rsid w:val="007461E0"/>
    <w:rsid w:val="007467C5"/>
    <w:rsid w:val="00746DA2"/>
    <w:rsid w:val="00747FB2"/>
    <w:rsid w:val="007506E2"/>
    <w:rsid w:val="0075088F"/>
    <w:rsid w:val="00750E99"/>
    <w:rsid w:val="00751902"/>
    <w:rsid w:val="00751E91"/>
    <w:rsid w:val="0075237C"/>
    <w:rsid w:val="007531EE"/>
    <w:rsid w:val="007534C6"/>
    <w:rsid w:val="00753942"/>
    <w:rsid w:val="0075398E"/>
    <w:rsid w:val="00753B31"/>
    <w:rsid w:val="00753F29"/>
    <w:rsid w:val="00754043"/>
    <w:rsid w:val="00754536"/>
    <w:rsid w:val="007545ED"/>
    <w:rsid w:val="0075486A"/>
    <w:rsid w:val="007549DA"/>
    <w:rsid w:val="00754BBC"/>
    <w:rsid w:val="0075539C"/>
    <w:rsid w:val="007554B9"/>
    <w:rsid w:val="00755A6C"/>
    <w:rsid w:val="007563E2"/>
    <w:rsid w:val="0075694B"/>
    <w:rsid w:val="00757096"/>
    <w:rsid w:val="00757826"/>
    <w:rsid w:val="00757952"/>
    <w:rsid w:val="00757F67"/>
    <w:rsid w:val="0076013E"/>
    <w:rsid w:val="00760724"/>
    <w:rsid w:val="00761110"/>
    <w:rsid w:val="00761649"/>
    <w:rsid w:val="00761BD1"/>
    <w:rsid w:val="00761BF1"/>
    <w:rsid w:val="00762093"/>
    <w:rsid w:val="00763D54"/>
    <w:rsid w:val="00763EF7"/>
    <w:rsid w:val="00764244"/>
    <w:rsid w:val="00764422"/>
    <w:rsid w:val="00764557"/>
    <w:rsid w:val="00764F80"/>
    <w:rsid w:val="00764FD5"/>
    <w:rsid w:val="0076505A"/>
    <w:rsid w:val="00765523"/>
    <w:rsid w:val="00765A4F"/>
    <w:rsid w:val="00765D32"/>
    <w:rsid w:val="007661F4"/>
    <w:rsid w:val="0076640B"/>
    <w:rsid w:val="0076661C"/>
    <w:rsid w:val="00766F41"/>
    <w:rsid w:val="00766FFA"/>
    <w:rsid w:val="007672B0"/>
    <w:rsid w:val="00767ABE"/>
    <w:rsid w:val="00767C70"/>
    <w:rsid w:val="00770024"/>
    <w:rsid w:val="007700C1"/>
    <w:rsid w:val="007700D9"/>
    <w:rsid w:val="00771FE8"/>
    <w:rsid w:val="007722FD"/>
    <w:rsid w:val="007726B1"/>
    <w:rsid w:val="00772773"/>
    <w:rsid w:val="0077291A"/>
    <w:rsid w:val="00772C01"/>
    <w:rsid w:val="00772DE3"/>
    <w:rsid w:val="0077371A"/>
    <w:rsid w:val="0077487C"/>
    <w:rsid w:val="00774C8E"/>
    <w:rsid w:val="007752B8"/>
    <w:rsid w:val="007752E1"/>
    <w:rsid w:val="00775F4C"/>
    <w:rsid w:val="0077612F"/>
    <w:rsid w:val="00776A27"/>
    <w:rsid w:val="00776CF4"/>
    <w:rsid w:val="0077704F"/>
    <w:rsid w:val="007773A0"/>
    <w:rsid w:val="00780070"/>
    <w:rsid w:val="00780C1C"/>
    <w:rsid w:val="0078115F"/>
    <w:rsid w:val="007812F7"/>
    <w:rsid w:val="007815B3"/>
    <w:rsid w:val="0078181C"/>
    <w:rsid w:val="00781FFF"/>
    <w:rsid w:val="0078226B"/>
    <w:rsid w:val="007824BB"/>
    <w:rsid w:val="00782723"/>
    <w:rsid w:val="00782747"/>
    <w:rsid w:val="00782793"/>
    <w:rsid w:val="00782863"/>
    <w:rsid w:val="00783DA8"/>
    <w:rsid w:val="00784217"/>
    <w:rsid w:val="0078426F"/>
    <w:rsid w:val="0078436C"/>
    <w:rsid w:val="00784571"/>
    <w:rsid w:val="007845A6"/>
    <w:rsid w:val="00784B2B"/>
    <w:rsid w:val="00784BAA"/>
    <w:rsid w:val="00784E60"/>
    <w:rsid w:val="007851F5"/>
    <w:rsid w:val="007854FB"/>
    <w:rsid w:val="00786070"/>
    <w:rsid w:val="00786581"/>
    <w:rsid w:val="007866D5"/>
    <w:rsid w:val="00786EB5"/>
    <w:rsid w:val="007870CB"/>
    <w:rsid w:val="00787552"/>
    <w:rsid w:val="00787747"/>
    <w:rsid w:val="0078785B"/>
    <w:rsid w:val="00787B35"/>
    <w:rsid w:val="00787DDF"/>
    <w:rsid w:val="0079045B"/>
    <w:rsid w:val="007904FD"/>
    <w:rsid w:val="0079059E"/>
    <w:rsid w:val="00790E89"/>
    <w:rsid w:val="00790FAF"/>
    <w:rsid w:val="00791DAF"/>
    <w:rsid w:val="00792083"/>
    <w:rsid w:val="00792233"/>
    <w:rsid w:val="00792507"/>
    <w:rsid w:val="0079262A"/>
    <w:rsid w:val="00792F49"/>
    <w:rsid w:val="007938ED"/>
    <w:rsid w:val="007939D6"/>
    <w:rsid w:val="00794040"/>
    <w:rsid w:val="00794238"/>
    <w:rsid w:val="00794C5B"/>
    <w:rsid w:val="007950E8"/>
    <w:rsid w:val="007952C5"/>
    <w:rsid w:val="00795F76"/>
    <w:rsid w:val="00795FF2"/>
    <w:rsid w:val="00796A15"/>
    <w:rsid w:val="00796A96"/>
    <w:rsid w:val="00796CFA"/>
    <w:rsid w:val="00796DB9"/>
    <w:rsid w:val="007973A7"/>
    <w:rsid w:val="00797B75"/>
    <w:rsid w:val="007A02AB"/>
    <w:rsid w:val="007A0E19"/>
    <w:rsid w:val="007A130E"/>
    <w:rsid w:val="007A14D9"/>
    <w:rsid w:val="007A199A"/>
    <w:rsid w:val="007A252F"/>
    <w:rsid w:val="007A2C05"/>
    <w:rsid w:val="007A3263"/>
    <w:rsid w:val="007A3A56"/>
    <w:rsid w:val="007A3DC8"/>
    <w:rsid w:val="007A4159"/>
    <w:rsid w:val="007A499D"/>
    <w:rsid w:val="007A4EDB"/>
    <w:rsid w:val="007A5014"/>
    <w:rsid w:val="007A5BD9"/>
    <w:rsid w:val="007A5F53"/>
    <w:rsid w:val="007A6BAB"/>
    <w:rsid w:val="007A6BC2"/>
    <w:rsid w:val="007A7C22"/>
    <w:rsid w:val="007B0AF3"/>
    <w:rsid w:val="007B0BC5"/>
    <w:rsid w:val="007B15FD"/>
    <w:rsid w:val="007B1C9A"/>
    <w:rsid w:val="007B1DAE"/>
    <w:rsid w:val="007B1E35"/>
    <w:rsid w:val="007B37AE"/>
    <w:rsid w:val="007B3BDB"/>
    <w:rsid w:val="007B3FC2"/>
    <w:rsid w:val="007B4282"/>
    <w:rsid w:val="007B42FA"/>
    <w:rsid w:val="007B468F"/>
    <w:rsid w:val="007B492D"/>
    <w:rsid w:val="007B4A64"/>
    <w:rsid w:val="007B4B7A"/>
    <w:rsid w:val="007B4DF1"/>
    <w:rsid w:val="007B4FC1"/>
    <w:rsid w:val="007B510B"/>
    <w:rsid w:val="007B543E"/>
    <w:rsid w:val="007B554B"/>
    <w:rsid w:val="007B6EB7"/>
    <w:rsid w:val="007B7604"/>
    <w:rsid w:val="007B7E99"/>
    <w:rsid w:val="007C0960"/>
    <w:rsid w:val="007C0ABA"/>
    <w:rsid w:val="007C10E7"/>
    <w:rsid w:val="007C157B"/>
    <w:rsid w:val="007C18E7"/>
    <w:rsid w:val="007C1995"/>
    <w:rsid w:val="007C1CA4"/>
    <w:rsid w:val="007C26E5"/>
    <w:rsid w:val="007C28C9"/>
    <w:rsid w:val="007C2A7C"/>
    <w:rsid w:val="007C2FC9"/>
    <w:rsid w:val="007C3138"/>
    <w:rsid w:val="007C34BC"/>
    <w:rsid w:val="007C3855"/>
    <w:rsid w:val="007C3A18"/>
    <w:rsid w:val="007C3C9E"/>
    <w:rsid w:val="007C41D6"/>
    <w:rsid w:val="007C4C30"/>
    <w:rsid w:val="007C518E"/>
    <w:rsid w:val="007C5411"/>
    <w:rsid w:val="007C56EC"/>
    <w:rsid w:val="007C5CEB"/>
    <w:rsid w:val="007C61B9"/>
    <w:rsid w:val="007C635E"/>
    <w:rsid w:val="007C63D8"/>
    <w:rsid w:val="007C688A"/>
    <w:rsid w:val="007D013B"/>
    <w:rsid w:val="007D10E7"/>
    <w:rsid w:val="007D143A"/>
    <w:rsid w:val="007D2877"/>
    <w:rsid w:val="007D28AE"/>
    <w:rsid w:val="007D29EE"/>
    <w:rsid w:val="007D2D51"/>
    <w:rsid w:val="007D2DDF"/>
    <w:rsid w:val="007D2E5B"/>
    <w:rsid w:val="007D2F90"/>
    <w:rsid w:val="007D378B"/>
    <w:rsid w:val="007D37EB"/>
    <w:rsid w:val="007D39DB"/>
    <w:rsid w:val="007D39DE"/>
    <w:rsid w:val="007D3B96"/>
    <w:rsid w:val="007D3BBB"/>
    <w:rsid w:val="007D4344"/>
    <w:rsid w:val="007D4980"/>
    <w:rsid w:val="007D4D92"/>
    <w:rsid w:val="007D4DAC"/>
    <w:rsid w:val="007D566F"/>
    <w:rsid w:val="007D583B"/>
    <w:rsid w:val="007D5CB4"/>
    <w:rsid w:val="007D5D70"/>
    <w:rsid w:val="007D668E"/>
    <w:rsid w:val="007D66F9"/>
    <w:rsid w:val="007D68AD"/>
    <w:rsid w:val="007D68C7"/>
    <w:rsid w:val="007D6E73"/>
    <w:rsid w:val="007D719E"/>
    <w:rsid w:val="007D740C"/>
    <w:rsid w:val="007D7897"/>
    <w:rsid w:val="007D79FD"/>
    <w:rsid w:val="007D7BB0"/>
    <w:rsid w:val="007D7C1C"/>
    <w:rsid w:val="007E0502"/>
    <w:rsid w:val="007E0966"/>
    <w:rsid w:val="007E0BF2"/>
    <w:rsid w:val="007E10E1"/>
    <w:rsid w:val="007E12FB"/>
    <w:rsid w:val="007E19F4"/>
    <w:rsid w:val="007E1B0A"/>
    <w:rsid w:val="007E256C"/>
    <w:rsid w:val="007E2BCF"/>
    <w:rsid w:val="007E2C9D"/>
    <w:rsid w:val="007E2D61"/>
    <w:rsid w:val="007E30F1"/>
    <w:rsid w:val="007E3143"/>
    <w:rsid w:val="007E34F3"/>
    <w:rsid w:val="007E36B7"/>
    <w:rsid w:val="007E3CF3"/>
    <w:rsid w:val="007E4360"/>
    <w:rsid w:val="007E4713"/>
    <w:rsid w:val="007E47BF"/>
    <w:rsid w:val="007E4A09"/>
    <w:rsid w:val="007E4DDD"/>
    <w:rsid w:val="007E5A1D"/>
    <w:rsid w:val="007E6BC5"/>
    <w:rsid w:val="007E6DE8"/>
    <w:rsid w:val="007E70B0"/>
    <w:rsid w:val="007E7C79"/>
    <w:rsid w:val="007F0136"/>
    <w:rsid w:val="007F04B8"/>
    <w:rsid w:val="007F080C"/>
    <w:rsid w:val="007F0C59"/>
    <w:rsid w:val="007F1A3F"/>
    <w:rsid w:val="007F1D59"/>
    <w:rsid w:val="007F1FA8"/>
    <w:rsid w:val="007F221B"/>
    <w:rsid w:val="007F22DF"/>
    <w:rsid w:val="007F22E9"/>
    <w:rsid w:val="007F2855"/>
    <w:rsid w:val="007F2BB4"/>
    <w:rsid w:val="007F30FA"/>
    <w:rsid w:val="007F342C"/>
    <w:rsid w:val="007F3654"/>
    <w:rsid w:val="007F3805"/>
    <w:rsid w:val="007F3F31"/>
    <w:rsid w:val="007F42DF"/>
    <w:rsid w:val="007F44B8"/>
    <w:rsid w:val="007F4D53"/>
    <w:rsid w:val="007F4DFD"/>
    <w:rsid w:val="007F582A"/>
    <w:rsid w:val="007F58C9"/>
    <w:rsid w:val="007F5B7A"/>
    <w:rsid w:val="007F5BE7"/>
    <w:rsid w:val="007F5C79"/>
    <w:rsid w:val="007F60A9"/>
    <w:rsid w:val="007F6586"/>
    <w:rsid w:val="007F6E13"/>
    <w:rsid w:val="007F725A"/>
    <w:rsid w:val="007F754A"/>
    <w:rsid w:val="007F7692"/>
    <w:rsid w:val="007F77CB"/>
    <w:rsid w:val="007F784F"/>
    <w:rsid w:val="008000BE"/>
    <w:rsid w:val="0080058C"/>
    <w:rsid w:val="008009A6"/>
    <w:rsid w:val="00800E3A"/>
    <w:rsid w:val="00800E88"/>
    <w:rsid w:val="0080102D"/>
    <w:rsid w:val="00801320"/>
    <w:rsid w:val="0080134E"/>
    <w:rsid w:val="00801630"/>
    <w:rsid w:val="0080174C"/>
    <w:rsid w:val="00801F86"/>
    <w:rsid w:val="008023AD"/>
    <w:rsid w:val="008027E9"/>
    <w:rsid w:val="00802B90"/>
    <w:rsid w:val="008030C8"/>
    <w:rsid w:val="00803297"/>
    <w:rsid w:val="0080368C"/>
    <w:rsid w:val="00804575"/>
    <w:rsid w:val="00804613"/>
    <w:rsid w:val="00804D00"/>
    <w:rsid w:val="00804F36"/>
    <w:rsid w:val="00805BB2"/>
    <w:rsid w:val="00805D8C"/>
    <w:rsid w:val="0080654D"/>
    <w:rsid w:val="0080690B"/>
    <w:rsid w:val="00806EAB"/>
    <w:rsid w:val="00807584"/>
    <w:rsid w:val="00807622"/>
    <w:rsid w:val="00807773"/>
    <w:rsid w:val="00807CF4"/>
    <w:rsid w:val="00807D1C"/>
    <w:rsid w:val="008114E0"/>
    <w:rsid w:val="008115EB"/>
    <w:rsid w:val="0081199F"/>
    <w:rsid w:val="00812760"/>
    <w:rsid w:val="008128B6"/>
    <w:rsid w:val="00812A19"/>
    <w:rsid w:val="00812BF0"/>
    <w:rsid w:val="00812DB5"/>
    <w:rsid w:val="00812EAD"/>
    <w:rsid w:val="00812EF4"/>
    <w:rsid w:val="00813078"/>
    <w:rsid w:val="0081352E"/>
    <w:rsid w:val="00814427"/>
    <w:rsid w:val="008148BC"/>
    <w:rsid w:val="00814E6C"/>
    <w:rsid w:val="008150D6"/>
    <w:rsid w:val="0081528E"/>
    <w:rsid w:val="00815C6A"/>
    <w:rsid w:val="00815DA7"/>
    <w:rsid w:val="00815F4F"/>
    <w:rsid w:val="008160C5"/>
    <w:rsid w:val="008168F9"/>
    <w:rsid w:val="00816BC2"/>
    <w:rsid w:val="00817137"/>
    <w:rsid w:val="008171D9"/>
    <w:rsid w:val="00817481"/>
    <w:rsid w:val="00817550"/>
    <w:rsid w:val="008177E4"/>
    <w:rsid w:val="0082032C"/>
    <w:rsid w:val="008205E0"/>
    <w:rsid w:val="00820AA4"/>
    <w:rsid w:val="00820B0E"/>
    <w:rsid w:val="00820FB0"/>
    <w:rsid w:val="008211CC"/>
    <w:rsid w:val="00821D71"/>
    <w:rsid w:val="00821E63"/>
    <w:rsid w:val="0082208C"/>
    <w:rsid w:val="008226D1"/>
    <w:rsid w:val="00822CF7"/>
    <w:rsid w:val="008230E2"/>
    <w:rsid w:val="0082433F"/>
    <w:rsid w:val="00824B08"/>
    <w:rsid w:val="00824F2B"/>
    <w:rsid w:val="00825A54"/>
    <w:rsid w:val="00825F78"/>
    <w:rsid w:val="00827317"/>
    <w:rsid w:val="00827445"/>
    <w:rsid w:val="00827A1A"/>
    <w:rsid w:val="00827C37"/>
    <w:rsid w:val="00827E0C"/>
    <w:rsid w:val="0083012E"/>
    <w:rsid w:val="00830670"/>
    <w:rsid w:val="008307BD"/>
    <w:rsid w:val="008307F6"/>
    <w:rsid w:val="008309D8"/>
    <w:rsid w:val="00830AA5"/>
    <w:rsid w:val="00830AAD"/>
    <w:rsid w:val="00830C51"/>
    <w:rsid w:val="008312F0"/>
    <w:rsid w:val="0083190F"/>
    <w:rsid w:val="008319D4"/>
    <w:rsid w:val="00831FF0"/>
    <w:rsid w:val="008320E2"/>
    <w:rsid w:val="00833089"/>
    <w:rsid w:val="00833213"/>
    <w:rsid w:val="0083352B"/>
    <w:rsid w:val="00833632"/>
    <w:rsid w:val="00833807"/>
    <w:rsid w:val="00833DA6"/>
    <w:rsid w:val="00834497"/>
    <w:rsid w:val="00834644"/>
    <w:rsid w:val="00834E0A"/>
    <w:rsid w:val="00835484"/>
    <w:rsid w:val="00835498"/>
    <w:rsid w:val="008354E7"/>
    <w:rsid w:val="00835945"/>
    <w:rsid w:val="0083599D"/>
    <w:rsid w:val="00835A59"/>
    <w:rsid w:val="00835C32"/>
    <w:rsid w:val="008361DA"/>
    <w:rsid w:val="0083623E"/>
    <w:rsid w:val="008363BA"/>
    <w:rsid w:val="00837DD8"/>
    <w:rsid w:val="008402AB"/>
    <w:rsid w:val="008407F1"/>
    <w:rsid w:val="00840AAC"/>
    <w:rsid w:val="00840B50"/>
    <w:rsid w:val="00840C1D"/>
    <w:rsid w:val="0084111E"/>
    <w:rsid w:val="0084112F"/>
    <w:rsid w:val="008412C9"/>
    <w:rsid w:val="008415DC"/>
    <w:rsid w:val="00841FCC"/>
    <w:rsid w:val="008420DA"/>
    <w:rsid w:val="00842244"/>
    <w:rsid w:val="008423B2"/>
    <w:rsid w:val="00842685"/>
    <w:rsid w:val="00842875"/>
    <w:rsid w:val="00842A16"/>
    <w:rsid w:val="00843A52"/>
    <w:rsid w:val="00843A7E"/>
    <w:rsid w:val="00843CE8"/>
    <w:rsid w:val="00844310"/>
    <w:rsid w:val="00844870"/>
    <w:rsid w:val="00844CC8"/>
    <w:rsid w:val="00844F97"/>
    <w:rsid w:val="008458D5"/>
    <w:rsid w:val="00845C85"/>
    <w:rsid w:val="008460A2"/>
    <w:rsid w:val="0084666C"/>
    <w:rsid w:val="00846B73"/>
    <w:rsid w:val="00846CE8"/>
    <w:rsid w:val="008472C7"/>
    <w:rsid w:val="008478E8"/>
    <w:rsid w:val="00847BF9"/>
    <w:rsid w:val="00847DB7"/>
    <w:rsid w:val="00847EB7"/>
    <w:rsid w:val="0085026C"/>
    <w:rsid w:val="008504A7"/>
    <w:rsid w:val="00850559"/>
    <w:rsid w:val="00850FAB"/>
    <w:rsid w:val="008510DB"/>
    <w:rsid w:val="008512FA"/>
    <w:rsid w:val="00851CCC"/>
    <w:rsid w:val="00851F9D"/>
    <w:rsid w:val="00852F53"/>
    <w:rsid w:val="0085314E"/>
    <w:rsid w:val="008534AD"/>
    <w:rsid w:val="008539F6"/>
    <w:rsid w:val="00853B65"/>
    <w:rsid w:val="00853D53"/>
    <w:rsid w:val="00854522"/>
    <w:rsid w:val="0085456B"/>
    <w:rsid w:val="00854B56"/>
    <w:rsid w:val="00854E3A"/>
    <w:rsid w:val="0085593C"/>
    <w:rsid w:val="00855D7E"/>
    <w:rsid w:val="00855EB0"/>
    <w:rsid w:val="008564B0"/>
    <w:rsid w:val="008564FC"/>
    <w:rsid w:val="008565BF"/>
    <w:rsid w:val="0085681E"/>
    <w:rsid w:val="008575A0"/>
    <w:rsid w:val="008578EB"/>
    <w:rsid w:val="0086150B"/>
    <w:rsid w:val="00861780"/>
    <w:rsid w:val="00861F98"/>
    <w:rsid w:val="0086208F"/>
    <w:rsid w:val="00862351"/>
    <w:rsid w:val="008623AC"/>
    <w:rsid w:val="0086268A"/>
    <w:rsid w:val="008628EF"/>
    <w:rsid w:val="00863140"/>
    <w:rsid w:val="008633D3"/>
    <w:rsid w:val="008635B3"/>
    <w:rsid w:val="0086380F"/>
    <w:rsid w:val="00864131"/>
    <w:rsid w:val="00864435"/>
    <w:rsid w:val="008644DB"/>
    <w:rsid w:val="008645F2"/>
    <w:rsid w:val="00864745"/>
    <w:rsid w:val="00864E43"/>
    <w:rsid w:val="0086529C"/>
    <w:rsid w:val="008652A5"/>
    <w:rsid w:val="008654CC"/>
    <w:rsid w:val="00865702"/>
    <w:rsid w:val="008657CF"/>
    <w:rsid w:val="008658EF"/>
    <w:rsid w:val="00865B91"/>
    <w:rsid w:val="00865CBE"/>
    <w:rsid w:val="00866186"/>
    <w:rsid w:val="0086654E"/>
    <w:rsid w:val="00866B98"/>
    <w:rsid w:val="008701DC"/>
    <w:rsid w:val="00870917"/>
    <w:rsid w:val="008709E8"/>
    <w:rsid w:val="00870A3D"/>
    <w:rsid w:val="00870C3A"/>
    <w:rsid w:val="008712A7"/>
    <w:rsid w:val="00871302"/>
    <w:rsid w:val="008715BB"/>
    <w:rsid w:val="00871D9C"/>
    <w:rsid w:val="00871DE8"/>
    <w:rsid w:val="00871DEE"/>
    <w:rsid w:val="008721BB"/>
    <w:rsid w:val="0087273B"/>
    <w:rsid w:val="008729D7"/>
    <w:rsid w:val="00873003"/>
    <w:rsid w:val="008731F2"/>
    <w:rsid w:val="00873AE3"/>
    <w:rsid w:val="00873C79"/>
    <w:rsid w:val="00875B2B"/>
    <w:rsid w:val="00875D90"/>
    <w:rsid w:val="008762D4"/>
    <w:rsid w:val="008764FF"/>
    <w:rsid w:val="008766FE"/>
    <w:rsid w:val="00876C02"/>
    <w:rsid w:val="00876D6F"/>
    <w:rsid w:val="00876FBA"/>
    <w:rsid w:val="008770DA"/>
    <w:rsid w:val="008771DD"/>
    <w:rsid w:val="008772A8"/>
    <w:rsid w:val="008778AE"/>
    <w:rsid w:val="00877B46"/>
    <w:rsid w:val="00877B47"/>
    <w:rsid w:val="00877F20"/>
    <w:rsid w:val="0088066D"/>
    <w:rsid w:val="008807F5"/>
    <w:rsid w:val="00880D34"/>
    <w:rsid w:val="008815F7"/>
    <w:rsid w:val="00881BD1"/>
    <w:rsid w:val="00881F61"/>
    <w:rsid w:val="00882376"/>
    <w:rsid w:val="00882622"/>
    <w:rsid w:val="008828B6"/>
    <w:rsid w:val="0088295F"/>
    <w:rsid w:val="00882D5E"/>
    <w:rsid w:val="008833D1"/>
    <w:rsid w:val="008834CE"/>
    <w:rsid w:val="00883702"/>
    <w:rsid w:val="008839F3"/>
    <w:rsid w:val="00883C60"/>
    <w:rsid w:val="00883D2C"/>
    <w:rsid w:val="008845A7"/>
    <w:rsid w:val="008847AF"/>
    <w:rsid w:val="00884CFC"/>
    <w:rsid w:val="00884F06"/>
    <w:rsid w:val="008850E7"/>
    <w:rsid w:val="00885788"/>
    <w:rsid w:val="00885790"/>
    <w:rsid w:val="008857D2"/>
    <w:rsid w:val="00886C7E"/>
    <w:rsid w:val="00886F2D"/>
    <w:rsid w:val="008870F8"/>
    <w:rsid w:val="00887A7B"/>
    <w:rsid w:val="008901CF"/>
    <w:rsid w:val="00890281"/>
    <w:rsid w:val="0089033A"/>
    <w:rsid w:val="008904E5"/>
    <w:rsid w:val="00890A28"/>
    <w:rsid w:val="00890C96"/>
    <w:rsid w:val="00890CA6"/>
    <w:rsid w:val="00890F3F"/>
    <w:rsid w:val="008915E2"/>
    <w:rsid w:val="00891699"/>
    <w:rsid w:val="008918C6"/>
    <w:rsid w:val="00891A7C"/>
    <w:rsid w:val="00891F0B"/>
    <w:rsid w:val="00891FF0"/>
    <w:rsid w:val="00892CB2"/>
    <w:rsid w:val="00892E89"/>
    <w:rsid w:val="00892ECB"/>
    <w:rsid w:val="00893068"/>
    <w:rsid w:val="00893DCD"/>
    <w:rsid w:val="00893E59"/>
    <w:rsid w:val="00893EA8"/>
    <w:rsid w:val="0089499E"/>
    <w:rsid w:val="00894B43"/>
    <w:rsid w:val="00894FCB"/>
    <w:rsid w:val="00895412"/>
    <w:rsid w:val="00895691"/>
    <w:rsid w:val="00895E3A"/>
    <w:rsid w:val="00896081"/>
    <w:rsid w:val="008965A3"/>
    <w:rsid w:val="008968ED"/>
    <w:rsid w:val="00896C24"/>
    <w:rsid w:val="00896CA5"/>
    <w:rsid w:val="008973B6"/>
    <w:rsid w:val="00897488"/>
    <w:rsid w:val="00897999"/>
    <w:rsid w:val="00897E59"/>
    <w:rsid w:val="008A034E"/>
    <w:rsid w:val="008A052B"/>
    <w:rsid w:val="008A0FE2"/>
    <w:rsid w:val="008A103C"/>
    <w:rsid w:val="008A11D3"/>
    <w:rsid w:val="008A16C7"/>
    <w:rsid w:val="008A177B"/>
    <w:rsid w:val="008A1D58"/>
    <w:rsid w:val="008A22A6"/>
    <w:rsid w:val="008A2CAF"/>
    <w:rsid w:val="008A3389"/>
    <w:rsid w:val="008A36FF"/>
    <w:rsid w:val="008A3BFA"/>
    <w:rsid w:val="008A3C02"/>
    <w:rsid w:val="008A431C"/>
    <w:rsid w:val="008A4336"/>
    <w:rsid w:val="008A4486"/>
    <w:rsid w:val="008A4EF2"/>
    <w:rsid w:val="008A53DB"/>
    <w:rsid w:val="008A5538"/>
    <w:rsid w:val="008A5574"/>
    <w:rsid w:val="008A5781"/>
    <w:rsid w:val="008A59D7"/>
    <w:rsid w:val="008A5A6C"/>
    <w:rsid w:val="008A5E5C"/>
    <w:rsid w:val="008A5F45"/>
    <w:rsid w:val="008A62FC"/>
    <w:rsid w:val="008A6498"/>
    <w:rsid w:val="008A7214"/>
    <w:rsid w:val="008A726F"/>
    <w:rsid w:val="008A73FF"/>
    <w:rsid w:val="008A7E7D"/>
    <w:rsid w:val="008B044E"/>
    <w:rsid w:val="008B0F13"/>
    <w:rsid w:val="008B14C8"/>
    <w:rsid w:val="008B15B3"/>
    <w:rsid w:val="008B20B0"/>
    <w:rsid w:val="008B23E2"/>
    <w:rsid w:val="008B26CC"/>
    <w:rsid w:val="008B273E"/>
    <w:rsid w:val="008B2845"/>
    <w:rsid w:val="008B2F90"/>
    <w:rsid w:val="008B3BA7"/>
    <w:rsid w:val="008B3F82"/>
    <w:rsid w:val="008B4041"/>
    <w:rsid w:val="008B4E73"/>
    <w:rsid w:val="008B556C"/>
    <w:rsid w:val="008B5A83"/>
    <w:rsid w:val="008B5D77"/>
    <w:rsid w:val="008B6076"/>
    <w:rsid w:val="008B6315"/>
    <w:rsid w:val="008B6363"/>
    <w:rsid w:val="008B63C1"/>
    <w:rsid w:val="008B6723"/>
    <w:rsid w:val="008B71FF"/>
    <w:rsid w:val="008B73BD"/>
    <w:rsid w:val="008B7535"/>
    <w:rsid w:val="008B7CB7"/>
    <w:rsid w:val="008B7DC9"/>
    <w:rsid w:val="008B7DDD"/>
    <w:rsid w:val="008C06F0"/>
    <w:rsid w:val="008C0BF7"/>
    <w:rsid w:val="008C0EBE"/>
    <w:rsid w:val="008C1BDC"/>
    <w:rsid w:val="008C204D"/>
    <w:rsid w:val="008C22C5"/>
    <w:rsid w:val="008C252A"/>
    <w:rsid w:val="008C279E"/>
    <w:rsid w:val="008C282A"/>
    <w:rsid w:val="008C3F4D"/>
    <w:rsid w:val="008C42C9"/>
    <w:rsid w:val="008C43DB"/>
    <w:rsid w:val="008C44B4"/>
    <w:rsid w:val="008C48B8"/>
    <w:rsid w:val="008C4A29"/>
    <w:rsid w:val="008C4F33"/>
    <w:rsid w:val="008C52E5"/>
    <w:rsid w:val="008C549B"/>
    <w:rsid w:val="008C5E5B"/>
    <w:rsid w:val="008C6F61"/>
    <w:rsid w:val="008C7297"/>
    <w:rsid w:val="008D0E7B"/>
    <w:rsid w:val="008D2045"/>
    <w:rsid w:val="008D2E86"/>
    <w:rsid w:val="008D2E97"/>
    <w:rsid w:val="008D2FF3"/>
    <w:rsid w:val="008D32D2"/>
    <w:rsid w:val="008D34D0"/>
    <w:rsid w:val="008D367C"/>
    <w:rsid w:val="008D38AA"/>
    <w:rsid w:val="008D3C09"/>
    <w:rsid w:val="008D3C3D"/>
    <w:rsid w:val="008D45AA"/>
    <w:rsid w:val="008D47F6"/>
    <w:rsid w:val="008D4A38"/>
    <w:rsid w:val="008D4C5F"/>
    <w:rsid w:val="008D5549"/>
    <w:rsid w:val="008D5A47"/>
    <w:rsid w:val="008D5F4D"/>
    <w:rsid w:val="008D632F"/>
    <w:rsid w:val="008D6387"/>
    <w:rsid w:val="008D6897"/>
    <w:rsid w:val="008D6C1B"/>
    <w:rsid w:val="008D6D95"/>
    <w:rsid w:val="008D73D3"/>
    <w:rsid w:val="008D7860"/>
    <w:rsid w:val="008D7C07"/>
    <w:rsid w:val="008E0346"/>
    <w:rsid w:val="008E069D"/>
    <w:rsid w:val="008E0A8F"/>
    <w:rsid w:val="008E17D5"/>
    <w:rsid w:val="008E1937"/>
    <w:rsid w:val="008E1F0E"/>
    <w:rsid w:val="008E2100"/>
    <w:rsid w:val="008E2359"/>
    <w:rsid w:val="008E2AA4"/>
    <w:rsid w:val="008E318B"/>
    <w:rsid w:val="008E344D"/>
    <w:rsid w:val="008E3837"/>
    <w:rsid w:val="008E390F"/>
    <w:rsid w:val="008E3A09"/>
    <w:rsid w:val="008E416D"/>
    <w:rsid w:val="008E4410"/>
    <w:rsid w:val="008E452A"/>
    <w:rsid w:val="008E4814"/>
    <w:rsid w:val="008E482F"/>
    <w:rsid w:val="008E4B13"/>
    <w:rsid w:val="008E4B3D"/>
    <w:rsid w:val="008E53CB"/>
    <w:rsid w:val="008E549F"/>
    <w:rsid w:val="008E599C"/>
    <w:rsid w:val="008E6B27"/>
    <w:rsid w:val="008E709D"/>
    <w:rsid w:val="008E7BF3"/>
    <w:rsid w:val="008E7D4F"/>
    <w:rsid w:val="008E7EC1"/>
    <w:rsid w:val="008E7FC4"/>
    <w:rsid w:val="008F047F"/>
    <w:rsid w:val="008F0816"/>
    <w:rsid w:val="008F0920"/>
    <w:rsid w:val="008F097D"/>
    <w:rsid w:val="008F0BEB"/>
    <w:rsid w:val="008F197B"/>
    <w:rsid w:val="008F21A5"/>
    <w:rsid w:val="008F21C4"/>
    <w:rsid w:val="008F2FE5"/>
    <w:rsid w:val="008F3278"/>
    <w:rsid w:val="008F3A85"/>
    <w:rsid w:val="008F3DAF"/>
    <w:rsid w:val="008F51F6"/>
    <w:rsid w:val="008F551D"/>
    <w:rsid w:val="008F587F"/>
    <w:rsid w:val="008F5A4A"/>
    <w:rsid w:val="008F5B20"/>
    <w:rsid w:val="008F663A"/>
    <w:rsid w:val="008F67FE"/>
    <w:rsid w:val="008F6B78"/>
    <w:rsid w:val="008F7030"/>
    <w:rsid w:val="008F76D9"/>
    <w:rsid w:val="008F77D0"/>
    <w:rsid w:val="008F7B5C"/>
    <w:rsid w:val="008F7BCB"/>
    <w:rsid w:val="008F7D0A"/>
    <w:rsid w:val="008F7F63"/>
    <w:rsid w:val="0090008D"/>
    <w:rsid w:val="0090043A"/>
    <w:rsid w:val="00900724"/>
    <w:rsid w:val="00900DA7"/>
    <w:rsid w:val="00901018"/>
    <w:rsid w:val="00901902"/>
    <w:rsid w:val="00901BEE"/>
    <w:rsid w:val="009027A1"/>
    <w:rsid w:val="0090280E"/>
    <w:rsid w:val="00902847"/>
    <w:rsid w:val="0090286A"/>
    <w:rsid w:val="00902BCF"/>
    <w:rsid w:val="00902E8D"/>
    <w:rsid w:val="00903063"/>
    <w:rsid w:val="009032DA"/>
    <w:rsid w:val="00903943"/>
    <w:rsid w:val="00903E43"/>
    <w:rsid w:val="00904115"/>
    <w:rsid w:val="00904DB2"/>
    <w:rsid w:val="00904ECE"/>
    <w:rsid w:val="00904F67"/>
    <w:rsid w:val="009051F6"/>
    <w:rsid w:val="0090566C"/>
    <w:rsid w:val="009058AC"/>
    <w:rsid w:val="00905C73"/>
    <w:rsid w:val="00905ECB"/>
    <w:rsid w:val="00906B5E"/>
    <w:rsid w:val="00906F3D"/>
    <w:rsid w:val="00907CF5"/>
    <w:rsid w:val="00907DB2"/>
    <w:rsid w:val="009103DD"/>
    <w:rsid w:val="00910AA2"/>
    <w:rsid w:val="00911149"/>
    <w:rsid w:val="009113BE"/>
    <w:rsid w:val="00911487"/>
    <w:rsid w:val="009115A3"/>
    <w:rsid w:val="0091165F"/>
    <w:rsid w:val="009116F8"/>
    <w:rsid w:val="009119F7"/>
    <w:rsid w:val="00911B33"/>
    <w:rsid w:val="0091219D"/>
    <w:rsid w:val="00912960"/>
    <w:rsid w:val="009129C4"/>
    <w:rsid w:val="00912CB6"/>
    <w:rsid w:val="00912EC4"/>
    <w:rsid w:val="00913669"/>
    <w:rsid w:val="009136EC"/>
    <w:rsid w:val="00913DAD"/>
    <w:rsid w:val="00913ED8"/>
    <w:rsid w:val="00913EE7"/>
    <w:rsid w:val="00914240"/>
    <w:rsid w:val="009143FC"/>
    <w:rsid w:val="009144F9"/>
    <w:rsid w:val="009147BB"/>
    <w:rsid w:val="00915463"/>
    <w:rsid w:val="00915A83"/>
    <w:rsid w:val="00916208"/>
    <w:rsid w:val="00916691"/>
    <w:rsid w:val="009166D2"/>
    <w:rsid w:val="00916B8D"/>
    <w:rsid w:val="00916DCB"/>
    <w:rsid w:val="00917630"/>
    <w:rsid w:val="009179A2"/>
    <w:rsid w:val="00917C0F"/>
    <w:rsid w:val="00917F83"/>
    <w:rsid w:val="009201A3"/>
    <w:rsid w:val="00920C92"/>
    <w:rsid w:val="00921BF7"/>
    <w:rsid w:val="00921D49"/>
    <w:rsid w:val="00921F06"/>
    <w:rsid w:val="00921F4D"/>
    <w:rsid w:val="009228D6"/>
    <w:rsid w:val="00922EA7"/>
    <w:rsid w:val="00922F34"/>
    <w:rsid w:val="00922F40"/>
    <w:rsid w:val="0092349B"/>
    <w:rsid w:val="00923C76"/>
    <w:rsid w:val="00923E08"/>
    <w:rsid w:val="00924246"/>
    <w:rsid w:val="0092430B"/>
    <w:rsid w:val="009243C9"/>
    <w:rsid w:val="0092506D"/>
    <w:rsid w:val="0092537C"/>
    <w:rsid w:val="00925784"/>
    <w:rsid w:val="009258E3"/>
    <w:rsid w:val="00925AD3"/>
    <w:rsid w:val="00925D5D"/>
    <w:rsid w:val="00925D6D"/>
    <w:rsid w:val="00925FA5"/>
    <w:rsid w:val="00926584"/>
    <w:rsid w:val="0092682B"/>
    <w:rsid w:val="0092692C"/>
    <w:rsid w:val="009275D7"/>
    <w:rsid w:val="0092766F"/>
    <w:rsid w:val="009279AF"/>
    <w:rsid w:val="00930740"/>
    <w:rsid w:val="00930D67"/>
    <w:rsid w:val="00930F43"/>
    <w:rsid w:val="009313D5"/>
    <w:rsid w:val="00931D35"/>
    <w:rsid w:val="00932199"/>
    <w:rsid w:val="009321A7"/>
    <w:rsid w:val="009322EF"/>
    <w:rsid w:val="00932550"/>
    <w:rsid w:val="00933F0A"/>
    <w:rsid w:val="00933F48"/>
    <w:rsid w:val="0093422B"/>
    <w:rsid w:val="0093446A"/>
    <w:rsid w:val="00934698"/>
    <w:rsid w:val="00934A36"/>
    <w:rsid w:val="0093538F"/>
    <w:rsid w:val="00935A53"/>
    <w:rsid w:val="00935DEF"/>
    <w:rsid w:val="00935F34"/>
    <w:rsid w:val="00935FF4"/>
    <w:rsid w:val="00936293"/>
    <w:rsid w:val="0093646B"/>
    <w:rsid w:val="0093683D"/>
    <w:rsid w:val="00936865"/>
    <w:rsid w:val="00936D06"/>
    <w:rsid w:val="00936D99"/>
    <w:rsid w:val="00936E21"/>
    <w:rsid w:val="0093722B"/>
    <w:rsid w:val="009372B1"/>
    <w:rsid w:val="00937396"/>
    <w:rsid w:val="00937978"/>
    <w:rsid w:val="00940014"/>
    <w:rsid w:val="00940209"/>
    <w:rsid w:val="009403F2"/>
    <w:rsid w:val="009411DB"/>
    <w:rsid w:val="00941840"/>
    <w:rsid w:val="00941E9F"/>
    <w:rsid w:val="00942A09"/>
    <w:rsid w:val="00942B3C"/>
    <w:rsid w:val="00942CD5"/>
    <w:rsid w:val="00942D7E"/>
    <w:rsid w:val="00942E60"/>
    <w:rsid w:val="00942E7C"/>
    <w:rsid w:val="00943373"/>
    <w:rsid w:val="009433D0"/>
    <w:rsid w:val="009434A4"/>
    <w:rsid w:val="00943897"/>
    <w:rsid w:val="0094391E"/>
    <w:rsid w:val="00943AAA"/>
    <w:rsid w:val="00943C13"/>
    <w:rsid w:val="009440A9"/>
    <w:rsid w:val="009444D7"/>
    <w:rsid w:val="0094473C"/>
    <w:rsid w:val="00944BEE"/>
    <w:rsid w:val="00944BFB"/>
    <w:rsid w:val="00944FA1"/>
    <w:rsid w:val="00945A97"/>
    <w:rsid w:val="009463A4"/>
    <w:rsid w:val="009465E1"/>
    <w:rsid w:val="0094673F"/>
    <w:rsid w:val="00946784"/>
    <w:rsid w:val="00946C92"/>
    <w:rsid w:val="009476A9"/>
    <w:rsid w:val="00947C41"/>
    <w:rsid w:val="009505F9"/>
    <w:rsid w:val="0095155A"/>
    <w:rsid w:val="00951C85"/>
    <w:rsid w:val="00951DF9"/>
    <w:rsid w:val="009524CA"/>
    <w:rsid w:val="00952D3D"/>
    <w:rsid w:val="00952F53"/>
    <w:rsid w:val="009530F8"/>
    <w:rsid w:val="00953879"/>
    <w:rsid w:val="0095394A"/>
    <w:rsid w:val="009541F7"/>
    <w:rsid w:val="0095441E"/>
    <w:rsid w:val="00954562"/>
    <w:rsid w:val="009549EC"/>
    <w:rsid w:val="00955121"/>
    <w:rsid w:val="009555A4"/>
    <w:rsid w:val="00955719"/>
    <w:rsid w:val="00956526"/>
    <w:rsid w:val="00956690"/>
    <w:rsid w:val="009567EB"/>
    <w:rsid w:val="009568EE"/>
    <w:rsid w:val="0095695E"/>
    <w:rsid w:val="00956CFF"/>
    <w:rsid w:val="009570E2"/>
    <w:rsid w:val="00957439"/>
    <w:rsid w:val="00957C33"/>
    <w:rsid w:val="00957C5D"/>
    <w:rsid w:val="0096024C"/>
    <w:rsid w:val="0096028E"/>
    <w:rsid w:val="009608C8"/>
    <w:rsid w:val="00961023"/>
    <w:rsid w:val="00961052"/>
    <w:rsid w:val="00961140"/>
    <w:rsid w:val="009615BF"/>
    <w:rsid w:val="009615FE"/>
    <w:rsid w:val="00961632"/>
    <w:rsid w:val="00961662"/>
    <w:rsid w:val="009619EF"/>
    <w:rsid w:val="00962044"/>
    <w:rsid w:val="00962153"/>
    <w:rsid w:val="009623AA"/>
    <w:rsid w:val="00962E38"/>
    <w:rsid w:val="00963430"/>
    <w:rsid w:val="009635CF"/>
    <w:rsid w:val="00963AF9"/>
    <w:rsid w:val="00964346"/>
    <w:rsid w:val="00965489"/>
    <w:rsid w:val="009659C5"/>
    <w:rsid w:val="00966128"/>
    <w:rsid w:val="009663CC"/>
    <w:rsid w:val="00966760"/>
    <w:rsid w:val="009667CC"/>
    <w:rsid w:val="00966B58"/>
    <w:rsid w:val="0096706C"/>
    <w:rsid w:val="009676F1"/>
    <w:rsid w:val="009677BF"/>
    <w:rsid w:val="00967C9A"/>
    <w:rsid w:val="00970095"/>
    <w:rsid w:val="00970967"/>
    <w:rsid w:val="009709B7"/>
    <w:rsid w:val="00970D61"/>
    <w:rsid w:val="00971084"/>
    <w:rsid w:val="009710AF"/>
    <w:rsid w:val="009712E7"/>
    <w:rsid w:val="00971EB8"/>
    <w:rsid w:val="00972A89"/>
    <w:rsid w:val="00972B32"/>
    <w:rsid w:val="00973190"/>
    <w:rsid w:val="00973762"/>
    <w:rsid w:val="00973A3B"/>
    <w:rsid w:val="00973C31"/>
    <w:rsid w:val="00973CB7"/>
    <w:rsid w:val="00973D73"/>
    <w:rsid w:val="00973F12"/>
    <w:rsid w:val="00974026"/>
    <w:rsid w:val="00974652"/>
    <w:rsid w:val="00974790"/>
    <w:rsid w:val="00974B15"/>
    <w:rsid w:val="00974B1D"/>
    <w:rsid w:val="00974D0D"/>
    <w:rsid w:val="00975541"/>
    <w:rsid w:val="00975C09"/>
    <w:rsid w:val="00975F58"/>
    <w:rsid w:val="00975FDA"/>
    <w:rsid w:val="00976089"/>
    <w:rsid w:val="009760C4"/>
    <w:rsid w:val="00976BA6"/>
    <w:rsid w:val="00976C14"/>
    <w:rsid w:val="00976C5E"/>
    <w:rsid w:val="00976C8E"/>
    <w:rsid w:val="00976EE9"/>
    <w:rsid w:val="00976F20"/>
    <w:rsid w:val="009772FB"/>
    <w:rsid w:val="00977BD8"/>
    <w:rsid w:val="00977EDA"/>
    <w:rsid w:val="00980780"/>
    <w:rsid w:val="00980854"/>
    <w:rsid w:val="00980DF5"/>
    <w:rsid w:val="00980E27"/>
    <w:rsid w:val="009812B2"/>
    <w:rsid w:val="0098184B"/>
    <w:rsid w:val="009818E0"/>
    <w:rsid w:val="009819B9"/>
    <w:rsid w:val="00981B55"/>
    <w:rsid w:val="00981B68"/>
    <w:rsid w:val="00982C63"/>
    <w:rsid w:val="00982CE2"/>
    <w:rsid w:val="00982D2E"/>
    <w:rsid w:val="0098387E"/>
    <w:rsid w:val="00983AF0"/>
    <w:rsid w:val="00984417"/>
    <w:rsid w:val="0098480E"/>
    <w:rsid w:val="00984AD2"/>
    <w:rsid w:val="009851A3"/>
    <w:rsid w:val="0098593E"/>
    <w:rsid w:val="00985A2B"/>
    <w:rsid w:val="00985FF6"/>
    <w:rsid w:val="009863CD"/>
    <w:rsid w:val="00986D50"/>
    <w:rsid w:val="00987224"/>
    <w:rsid w:val="009874B2"/>
    <w:rsid w:val="009877F4"/>
    <w:rsid w:val="00987BD1"/>
    <w:rsid w:val="00987F0C"/>
    <w:rsid w:val="00990E3F"/>
    <w:rsid w:val="0099114D"/>
    <w:rsid w:val="009912CB"/>
    <w:rsid w:val="0099196F"/>
    <w:rsid w:val="00991C09"/>
    <w:rsid w:val="00992213"/>
    <w:rsid w:val="0099230B"/>
    <w:rsid w:val="0099237F"/>
    <w:rsid w:val="009925C3"/>
    <w:rsid w:val="00992812"/>
    <w:rsid w:val="00993653"/>
    <w:rsid w:val="00993D47"/>
    <w:rsid w:val="0099407B"/>
    <w:rsid w:val="0099487E"/>
    <w:rsid w:val="00994947"/>
    <w:rsid w:val="00994988"/>
    <w:rsid w:val="00995087"/>
    <w:rsid w:val="009950FE"/>
    <w:rsid w:val="009952C5"/>
    <w:rsid w:val="00995DB7"/>
    <w:rsid w:val="00995E76"/>
    <w:rsid w:val="00995EC3"/>
    <w:rsid w:val="009961E0"/>
    <w:rsid w:val="0099624A"/>
    <w:rsid w:val="00996370"/>
    <w:rsid w:val="009963D4"/>
    <w:rsid w:val="00996589"/>
    <w:rsid w:val="00996888"/>
    <w:rsid w:val="00996D11"/>
    <w:rsid w:val="009975F5"/>
    <w:rsid w:val="009A0228"/>
    <w:rsid w:val="009A028C"/>
    <w:rsid w:val="009A0318"/>
    <w:rsid w:val="009A045E"/>
    <w:rsid w:val="009A08CE"/>
    <w:rsid w:val="009A14F4"/>
    <w:rsid w:val="009A15B8"/>
    <w:rsid w:val="009A1DAB"/>
    <w:rsid w:val="009A1DEC"/>
    <w:rsid w:val="009A2EAB"/>
    <w:rsid w:val="009A32F0"/>
    <w:rsid w:val="009A3B3E"/>
    <w:rsid w:val="009A3D7E"/>
    <w:rsid w:val="009A422F"/>
    <w:rsid w:val="009A42B5"/>
    <w:rsid w:val="009A46D1"/>
    <w:rsid w:val="009A500D"/>
    <w:rsid w:val="009A5839"/>
    <w:rsid w:val="009A5E3F"/>
    <w:rsid w:val="009A6A12"/>
    <w:rsid w:val="009A6F2C"/>
    <w:rsid w:val="009A7803"/>
    <w:rsid w:val="009A79CB"/>
    <w:rsid w:val="009A7BC5"/>
    <w:rsid w:val="009B0A76"/>
    <w:rsid w:val="009B1ED5"/>
    <w:rsid w:val="009B2041"/>
    <w:rsid w:val="009B229A"/>
    <w:rsid w:val="009B2E2F"/>
    <w:rsid w:val="009B2E32"/>
    <w:rsid w:val="009B3497"/>
    <w:rsid w:val="009B3D88"/>
    <w:rsid w:val="009B4418"/>
    <w:rsid w:val="009B456F"/>
    <w:rsid w:val="009B474A"/>
    <w:rsid w:val="009B5113"/>
    <w:rsid w:val="009B542E"/>
    <w:rsid w:val="009B581F"/>
    <w:rsid w:val="009B623D"/>
    <w:rsid w:val="009B62D0"/>
    <w:rsid w:val="009B6734"/>
    <w:rsid w:val="009B68ED"/>
    <w:rsid w:val="009B76F0"/>
    <w:rsid w:val="009B77CC"/>
    <w:rsid w:val="009B7CD2"/>
    <w:rsid w:val="009B7E15"/>
    <w:rsid w:val="009C00AD"/>
    <w:rsid w:val="009C092A"/>
    <w:rsid w:val="009C0B78"/>
    <w:rsid w:val="009C0B91"/>
    <w:rsid w:val="009C0CCC"/>
    <w:rsid w:val="009C1804"/>
    <w:rsid w:val="009C181B"/>
    <w:rsid w:val="009C1EFA"/>
    <w:rsid w:val="009C2172"/>
    <w:rsid w:val="009C21F9"/>
    <w:rsid w:val="009C23C6"/>
    <w:rsid w:val="009C2C4C"/>
    <w:rsid w:val="009C43E7"/>
    <w:rsid w:val="009C4743"/>
    <w:rsid w:val="009C4B10"/>
    <w:rsid w:val="009C4D57"/>
    <w:rsid w:val="009C4E06"/>
    <w:rsid w:val="009C5289"/>
    <w:rsid w:val="009C56E1"/>
    <w:rsid w:val="009C5B36"/>
    <w:rsid w:val="009C5BEA"/>
    <w:rsid w:val="009C5E18"/>
    <w:rsid w:val="009C62E0"/>
    <w:rsid w:val="009C69ED"/>
    <w:rsid w:val="009C6D5F"/>
    <w:rsid w:val="009C78F5"/>
    <w:rsid w:val="009C78FD"/>
    <w:rsid w:val="009C7BFE"/>
    <w:rsid w:val="009D08FC"/>
    <w:rsid w:val="009D0A35"/>
    <w:rsid w:val="009D0CB4"/>
    <w:rsid w:val="009D14AE"/>
    <w:rsid w:val="009D15A9"/>
    <w:rsid w:val="009D167E"/>
    <w:rsid w:val="009D19C5"/>
    <w:rsid w:val="009D1CD5"/>
    <w:rsid w:val="009D1F8A"/>
    <w:rsid w:val="009D2473"/>
    <w:rsid w:val="009D2DB7"/>
    <w:rsid w:val="009D2FC4"/>
    <w:rsid w:val="009D4025"/>
    <w:rsid w:val="009D4D0D"/>
    <w:rsid w:val="009D51C9"/>
    <w:rsid w:val="009D55B1"/>
    <w:rsid w:val="009D5AFB"/>
    <w:rsid w:val="009D6120"/>
    <w:rsid w:val="009D64A5"/>
    <w:rsid w:val="009D6539"/>
    <w:rsid w:val="009D6AA8"/>
    <w:rsid w:val="009D6FC1"/>
    <w:rsid w:val="009D6FC8"/>
    <w:rsid w:val="009D75CD"/>
    <w:rsid w:val="009D7EDC"/>
    <w:rsid w:val="009E0605"/>
    <w:rsid w:val="009E0815"/>
    <w:rsid w:val="009E14CA"/>
    <w:rsid w:val="009E1991"/>
    <w:rsid w:val="009E1A18"/>
    <w:rsid w:val="009E1E60"/>
    <w:rsid w:val="009E2742"/>
    <w:rsid w:val="009E2EB6"/>
    <w:rsid w:val="009E3247"/>
    <w:rsid w:val="009E32F4"/>
    <w:rsid w:val="009E399C"/>
    <w:rsid w:val="009E412A"/>
    <w:rsid w:val="009E4342"/>
    <w:rsid w:val="009E49A2"/>
    <w:rsid w:val="009E4E2B"/>
    <w:rsid w:val="009E4F37"/>
    <w:rsid w:val="009E51F6"/>
    <w:rsid w:val="009E56B6"/>
    <w:rsid w:val="009E58B8"/>
    <w:rsid w:val="009E59C6"/>
    <w:rsid w:val="009E5AED"/>
    <w:rsid w:val="009E61AC"/>
    <w:rsid w:val="009E6389"/>
    <w:rsid w:val="009E66B7"/>
    <w:rsid w:val="009E6728"/>
    <w:rsid w:val="009E7E2D"/>
    <w:rsid w:val="009F003D"/>
    <w:rsid w:val="009F0912"/>
    <w:rsid w:val="009F1257"/>
    <w:rsid w:val="009F12B0"/>
    <w:rsid w:val="009F1BF2"/>
    <w:rsid w:val="009F23A6"/>
    <w:rsid w:val="009F2428"/>
    <w:rsid w:val="009F2488"/>
    <w:rsid w:val="009F2AB5"/>
    <w:rsid w:val="009F3AB4"/>
    <w:rsid w:val="009F3BE7"/>
    <w:rsid w:val="009F3C72"/>
    <w:rsid w:val="009F405E"/>
    <w:rsid w:val="009F40DF"/>
    <w:rsid w:val="009F4291"/>
    <w:rsid w:val="009F456F"/>
    <w:rsid w:val="009F48E4"/>
    <w:rsid w:val="009F4911"/>
    <w:rsid w:val="009F4AAC"/>
    <w:rsid w:val="009F4DC1"/>
    <w:rsid w:val="009F5352"/>
    <w:rsid w:val="009F5907"/>
    <w:rsid w:val="009F5C76"/>
    <w:rsid w:val="009F61C1"/>
    <w:rsid w:val="009F67DE"/>
    <w:rsid w:val="009F6E42"/>
    <w:rsid w:val="009F6EEA"/>
    <w:rsid w:val="009F765D"/>
    <w:rsid w:val="009F7AB3"/>
    <w:rsid w:val="009F7AD8"/>
    <w:rsid w:val="00A003ED"/>
    <w:rsid w:val="00A0043F"/>
    <w:rsid w:val="00A005A6"/>
    <w:rsid w:val="00A00877"/>
    <w:rsid w:val="00A0098E"/>
    <w:rsid w:val="00A00A8C"/>
    <w:rsid w:val="00A00C33"/>
    <w:rsid w:val="00A00CB9"/>
    <w:rsid w:val="00A0121D"/>
    <w:rsid w:val="00A014B0"/>
    <w:rsid w:val="00A01CBD"/>
    <w:rsid w:val="00A01D02"/>
    <w:rsid w:val="00A01D1E"/>
    <w:rsid w:val="00A0218D"/>
    <w:rsid w:val="00A02239"/>
    <w:rsid w:val="00A027D7"/>
    <w:rsid w:val="00A02B9C"/>
    <w:rsid w:val="00A02CAC"/>
    <w:rsid w:val="00A02DEA"/>
    <w:rsid w:val="00A0304D"/>
    <w:rsid w:val="00A034C7"/>
    <w:rsid w:val="00A0352E"/>
    <w:rsid w:val="00A03597"/>
    <w:rsid w:val="00A03929"/>
    <w:rsid w:val="00A04C52"/>
    <w:rsid w:val="00A05019"/>
    <w:rsid w:val="00A054E0"/>
    <w:rsid w:val="00A056EE"/>
    <w:rsid w:val="00A05ED5"/>
    <w:rsid w:val="00A05FA0"/>
    <w:rsid w:val="00A06870"/>
    <w:rsid w:val="00A06B0A"/>
    <w:rsid w:val="00A06C28"/>
    <w:rsid w:val="00A06E3C"/>
    <w:rsid w:val="00A06F3D"/>
    <w:rsid w:val="00A06F56"/>
    <w:rsid w:val="00A0743D"/>
    <w:rsid w:val="00A07700"/>
    <w:rsid w:val="00A10091"/>
    <w:rsid w:val="00A1078D"/>
    <w:rsid w:val="00A108E5"/>
    <w:rsid w:val="00A113BE"/>
    <w:rsid w:val="00A1202F"/>
    <w:rsid w:val="00A12C6A"/>
    <w:rsid w:val="00A1325A"/>
    <w:rsid w:val="00A1331C"/>
    <w:rsid w:val="00A138B3"/>
    <w:rsid w:val="00A1439A"/>
    <w:rsid w:val="00A15134"/>
    <w:rsid w:val="00A151C2"/>
    <w:rsid w:val="00A152B1"/>
    <w:rsid w:val="00A15542"/>
    <w:rsid w:val="00A1622E"/>
    <w:rsid w:val="00A16314"/>
    <w:rsid w:val="00A1645D"/>
    <w:rsid w:val="00A16559"/>
    <w:rsid w:val="00A169ED"/>
    <w:rsid w:val="00A16FFA"/>
    <w:rsid w:val="00A17166"/>
    <w:rsid w:val="00A1720D"/>
    <w:rsid w:val="00A17383"/>
    <w:rsid w:val="00A176BD"/>
    <w:rsid w:val="00A20535"/>
    <w:rsid w:val="00A2092A"/>
    <w:rsid w:val="00A21184"/>
    <w:rsid w:val="00A21516"/>
    <w:rsid w:val="00A2164F"/>
    <w:rsid w:val="00A21B2D"/>
    <w:rsid w:val="00A22459"/>
    <w:rsid w:val="00A22CB4"/>
    <w:rsid w:val="00A22E24"/>
    <w:rsid w:val="00A2359F"/>
    <w:rsid w:val="00A2389C"/>
    <w:rsid w:val="00A23EFC"/>
    <w:rsid w:val="00A246A4"/>
    <w:rsid w:val="00A2482C"/>
    <w:rsid w:val="00A25462"/>
    <w:rsid w:val="00A254BC"/>
    <w:rsid w:val="00A26337"/>
    <w:rsid w:val="00A26705"/>
    <w:rsid w:val="00A2685C"/>
    <w:rsid w:val="00A26C87"/>
    <w:rsid w:val="00A26CAB"/>
    <w:rsid w:val="00A27B92"/>
    <w:rsid w:val="00A307C7"/>
    <w:rsid w:val="00A31A63"/>
    <w:rsid w:val="00A31BE3"/>
    <w:rsid w:val="00A328A5"/>
    <w:rsid w:val="00A32CE3"/>
    <w:rsid w:val="00A32D45"/>
    <w:rsid w:val="00A32F71"/>
    <w:rsid w:val="00A338C0"/>
    <w:rsid w:val="00A33FB8"/>
    <w:rsid w:val="00A34170"/>
    <w:rsid w:val="00A34267"/>
    <w:rsid w:val="00A34361"/>
    <w:rsid w:val="00A34494"/>
    <w:rsid w:val="00A34B7D"/>
    <w:rsid w:val="00A34C97"/>
    <w:rsid w:val="00A35591"/>
    <w:rsid w:val="00A35E5F"/>
    <w:rsid w:val="00A36191"/>
    <w:rsid w:val="00A36329"/>
    <w:rsid w:val="00A3653E"/>
    <w:rsid w:val="00A36637"/>
    <w:rsid w:val="00A368D1"/>
    <w:rsid w:val="00A36B0B"/>
    <w:rsid w:val="00A370FE"/>
    <w:rsid w:val="00A373F1"/>
    <w:rsid w:val="00A377F3"/>
    <w:rsid w:val="00A37EAD"/>
    <w:rsid w:val="00A400BC"/>
    <w:rsid w:val="00A40498"/>
    <w:rsid w:val="00A404AD"/>
    <w:rsid w:val="00A40771"/>
    <w:rsid w:val="00A40EA8"/>
    <w:rsid w:val="00A40FD9"/>
    <w:rsid w:val="00A41398"/>
    <w:rsid w:val="00A41C32"/>
    <w:rsid w:val="00A4236F"/>
    <w:rsid w:val="00A424BA"/>
    <w:rsid w:val="00A4261D"/>
    <w:rsid w:val="00A42F12"/>
    <w:rsid w:val="00A431B6"/>
    <w:rsid w:val="00A43C48"/>
    <w:rsid w:val="00A443F0"/>
    <w:rsid w:val="00A44EE0"/>
    <w:rsid w:val="00A4525F"/>
    <w:rsid w:val="00A4547A"/>
    <w:rsid w:val="00A45535"/>
    <w:rsid w:val="00A467F9"/>
    <w:rsid w:val="00A46BE4"/>
    <w:rsid w:val="00A4722A"/>
    <w:rsid w:val="00A477A6"/>
    <w:rsid w:val="00A477BD"/>
    <w:rsid w:val="00A47AC6"/>
    <w:rsid w:val="00A47B27"/>
    <w:rsid w:val="00A47BED"/>
    <w:rsid w:val="00A47CF5"/>
    <w:rsid w:val="00A47E93"/>
    <w:rsid w:val="00A51255"/>
    <w:rsid w:val="00A512F7"/>
    <w:rsid w:val="00A51407"/>
    <w:rsid w:val="00A5146B"/>
    <w:rsid w:val="00A51522"/>
    <w:rsid w:val="00A51BE9"/>
    <w:rsid w:val="00A51CFF"/>
    <w:rsid w:val="00A52AB0"/>
    <w:rsid w:val="00A53341"/>
    <w:rsid w:val="00A535C9"/>
    <w:rsid w:val="00A5366F"/>
    <w:rsid w:val="00A537DB"/>
    <w:rsid w:val="00A53DBC"/>
    <w:rsid w:val="00A54273"/>
    <w:rsid w:val="00A54959"/>
    <w:rsid w:val="00A54976"/>
    <w:rsid w:val="00A54D06"/>
    <w:rsid w:val="00A5524D"/>
    <w:rsid w:val="00A5536F"/>
    <w:rsid w:val="00A55F4E"/>
    <w:rsid w:val="00A566C3"/>
    <w:rsid w:val="00A571C6"/>
    <w:rsid w:val="00A57613"/>
    <w:rsid w:val="00A604EC"/>
    <w:rsid w:val="00A60946"/>
    <w:rsid w:val="00A60A50"/>
    <w:rsid w:val="00A60A66"/>
    <w:rsid w:val="00A60DFA"/>
    <w:rsid w:val="00A611C5"/>
    <w:rsid w:val="00A61660"/>
    <w:rsid w:val="00A61838"/>
    <w:rsid w:val="00A61C68"/>
    <w:rsid w:val="00A6234B"/>
    <w:rsid w:val="00A62A62"/>
    <w:rsid w:val="00A62E05"/>
    <w:rsid w:val="00A62FA5"/>
    <w:rsid w:val="00A631D8"/>
    <w:rsid w:val="00A632B9"/>
    <w:rsid w:val="00A63407"/>
    <w:rsid w:val="00A63F53"/>
    <w:rsid w:val="00A643C0"/>
    <w:rsid w:val="00A646D2"/>
    <w:rsid w:val="00A6471C"/>
    <w:rsid w:val="00A64A05"/>
    <w:rsid w:val="00A65403"/>
    <w:rsid w:val="00A65435"/>
    <w:rsid w:val="00A65488"/>
    <w:rsid w:val="00A6553D"/>
    <w:rsid w:val="00A655D6"/>
    <w:rsid w:val="00A65FA1"/>
    <w:rsid w:val="00A662DE"/>
    <w:rsid w:val="00A667AC"/>
    <w:rsid w:val="00A66D39"/>
    <w:rsid w:val="00A67168"/>
    <w:rsid w:val="00A67F85"/>
    <w:rsid w:val="00A701C9"/>
    <w:rsid w:val="00A70739"/>
    <w:rsid w:val="00A70E99"/>
    <w:rsid w:val="00A7141A"/>
    <w:rsid w:val="00A7148C"/>
    <w:rsid w:val="00A71792"/>
    <w:rsid w:val="00A719C5"/>
    <w:rsid w:val="00A71DC6"/>
    <w:rsid w:val="00A7263B"/>
    <w:rsid w:val="00A72A53"/>
    <w:rsid w:val="00A72D61"/>
    <w:rsid w:val="00A72ED2"/>
    <w:rsid w:val="00A72FBD"/>
    <w:rsid w:val="00A730F2"/>
    <w:rsid w:val="00A7323A"/>
    <w:rsid w:val="00A734FA"/>
    <w:rsid w:val="00A738F6"/>
    <w:rsid w:val="00A73E71"/>
    <w:rsid w:val="00A7459C"/>
    <w:rsid w:val="00A7479A"/>
    <w:rsid w:val="00A74AE7"/>
    <w:rsid w:val="00A74E42"/>
    <w:rsid w:val="00A7529D"/>
    <w:rsid w:val="00A754C8"/>
    <w:rsid w:val="00A75603"/>
    <w:rsid w:val="00A75928"/>
    <w:rsid w:val="00A75F6C"/>
    <w:rsid w:val="00A761A9"/>
    <w:rsid w:val="00A76252"/>
    <w:rsid w:val="00A765D9"/>
    <w:rsid w:val="00A765FD"/>
    <w:rsid w:val="00A7660E"/>
    <w:rsid w:val="00A766EA"/>
    <w:rsid w:val="00A76CC2"/>
    <w:rsid w:val="00A76E65"/>
    <w:rsid w:val="00A771BE"/>
    <w:rsid w:val="00A771F8"/>
    <w:rsid w:val="00A7734D"/>
    <w:rsid w:val="00A80154"/>
    <w:rsid w:val="00A803F6"/>
    <w:rsid w:val="00A8088E"/>
    <w:rsid w:val="00A816A8"/>
    <w:rsid w:val="00A81B8A"/>
    <w:rsid w:val="00A81EC1"/>
    <w:rsid w:val="00A823F4"/>
    <w:rsid w:val="00A826CA"/>
    <w:rsid w:val="00A827BA"/>
    <w:rsid w:val="00A82CDC"/>
    <w:rsid w:val="00A82FA6"/>
    <w:rsid w:val="00A8309B"/>
    <w:rsid w:val="00A83127"/>
    <w:rsid w:val="00A83339"/>
    <w:rsid w:val="00A83A3A"/>
    <w:rsid w:val="00A83C78"/>
    <w:rsid w:val="00A843D1"/>
    <w:rsid w:val="00A8445C"/>
    <w:rsid w:val="00A845BE"/>
    <w:rsid w:val="00A847D7"/>
    <w:rsid w:val="00A84ACB"/>
    <w:rsid w:val="00A84F8E"/>
    <w:rsid w:val="00A84F95"/>
    <w:rsid w:val="00A84FBB"/>
    <w:rsid w:val="00A851A4"/>
    <w:rsid w:val="00A85432"/>
    <w:rsid w:val="00A85539"/>
    <w:rsid w:val="00A855ED"/>
    <w:rsid w:val="00A858B1"/>
    <w:rsid w:val="00A85900"/>
    <w:rsid w:val="00A85937"/>
    <w:rsid w:val="00A8643B"/>
    <w:rsid w:val="00A86694"/>
    <w:rsid w:val="00A874B7"/>
    <w:rsid w:val="00A87632"/>
    <w:rsid w:val="00A87B4D"/>
    <w:rsid w:val="00A908BD"/>
    <w:rsid w:val="00A908DD"/>
    <w:rsid w:val="00A90913"/>
    <w:rsid w:val="00A90BA0"/>
    <w:rsid w:val="00A91047"/>
    <w:rsid w:val="00A9128E"/>
    <w:rsid w:val="00A915AC"/>
    <w:rsid w:val="00A918C2"/>
    <w:rsid w:val="00A91ECC"/>
    <w:rsid w:val="00A922B1"/>
    <w:rsid w:val="00A92A51"/>
    <w:rsid w:val="00A93249"/>
    <w:rsid w:val="00A933F9"/>
    <w:rsid w:val="00A939C6"/>
    <w:rsid w:val="00A93BFC"/>
    <w:rsid w:val="00A94187"/>
    <w:rsid w:val="00A9479A"/>
    <w:rsid w:val="00A94805"/>
    <w:rsid w:val="00A95425"/>
    <w:rsid w:val="00A95B56"/>
    <w:rsid w:val="00A9615A"/>
    <w:rsid w:val="00A96210"/>
    <w:rsid w:val="00A96CCC"/>
    <w:rsid w:val="00A97E6A"/>
    <w:rsid w:val="00AA0499"/>
    <w:rsid w:val="00AA069F"/>
    <w:rsid w:val="00AA0855"/>
    <w:rsid w:val="00AA0A03"/>
    <w:rsid w:val="00AA11A1"/>
    <w:rsid w:val="00AA11EB"/>
    <w:rsid w:val="00AA168F"/>
    <w:rsid w:val="00AA1AC3"/>
    <w:rsid w:val="00AA1D13"/>
    <w:rsid w:val="00AA1FCC"/>
    <w:rsid w:val="00AA202E"/>
    <w:rsid w:val="00AA2803"/>
    <w:rsid w:val="00AA28B9"/>
    <w:rsid w:val="00AA2904"/>
    <w:rsid w:val="00AA2F97"/>
    <w:rsid w:val="00AA39D6"/>
    <w:rsid w:val="00AA3FDD"/>
    <w:rsid w:val="00AA4187"/>
    <w:rsid w:val="00AA4505"/>
    <w:rsid w:val="00AA4974"/>
    <w:rsid w:val="00AA49B9"/>
    <w:rsid w:val="00AA519C"/>
    <w:rsid w:val="00AA55DB"/>
    <w:rsid w:val="00AA56B3"/>
    <w:rsid w:val="00AA62F1"/>
    <w:rsid w:val="00AA699C"/>
    <w:rsid w:val="00AA6D41"/>
    <w:rsid w:val="00AA6DF9"/>
    <w:rsid w:val="00AA7114"/>
    <w:rsid w:val="00AA73CC"/>
    <w:rsid w:val="00AA75D5"/>
    <w:rsid w:val="00AA7BC0"/>
    <w:rsid w:val="00AA7D0F"/>
    <w:rsid w:val="00AB0026"/>
    <w:rsid w:val="00AB0137"/>
    <w:rsid w:val="00AB0823"/>
    <w:rsid w:val="00AB0D22"/>
    <w:rsid w:val="00AB159B"/>
    <w:rsid w:val="00AB178F"/>
    <w:rsid w:val="00AB1B03"/>
    <w:rsid w:val="00AB1B0A"/>
    <w:rsid w:val="00AB1F7B"/>
    <w:rsid w:val="00AB2881"/>
    <w:rsid w:val="00AB29AB"/>
    <w:rsid w:val="00AB2D32"/>
    <w:rsid w:val="00AB2E73"/>
    <w:rsid w:val="00AB2F4F"/>
    <w:rsid w:val="00AB2FDB"/>
    <w:rsid w:val="00AB3172"/>
    <w:rsid w:val="00AB3340"/>
    <w:rsid w:val="00AB3378"/>
    <w:rsid w:val="00AB3BB8"/>
    <w:rsid w:val="00AB3C9F"/>
    <w:rsid w:val="00AB40EC"/>
    <w:rsid w:val="00AB4241"/>
    <w:rsid w:val="00AB4467"/>
    <w:rsid w:val="00AB46FF"/>
    <w:rsid w:val="00AB4871"/>
    <w:rsid w:val="00AB4DBC"/>
    <w:rsid w:val="00AB5BAF"/>
    <w:rsid w:val="00AB5BEA"/>
    <w:rsid w:val="00AB62BA"/>
    <w:rsid w:val="00AB650D"/>
    <w:rsid w:val="00AB6825"/>
    <w:rsid w:val="00AB6BB1"/>
    <w:rsid w:val="00AB6DED"/>
    <w:rsid w:val="00AB72B0"/>
    <w:rsid w:val="00AB76D9"/>
    <w:rsid w:val="00AB7E02"/>
    <w:rsid w:val="00AC0144"/>
    <w:rsid w:val="00AC09C9"/>
    <w:rsid w:val="00AC0A85"/>
    <w:rsid w:val="00AC0AE4"/>
    <w:rsid w:val="00AC0B39"/>
    <w:rsid w:val="00AC0B6D"/>
    <w:rsid w:val="00AC0D0C"/>
    <w:rsid w:val="00AC0FBF"/>
    <w:rsid w:val="00AC1482"/>
    <w:rsid w:val="00AC16F6"/>
    <w:rsid w:val="00AC1B96"/>
    <w:rsid w:val="00AC1D80"/>
    <w:rsid w:val="00AC1F81"/>
    <w:rsid w:val="00AC21ED"/>
    <w:rsid w:val="00AC22D6"/>
    <w:rsid w:val="00AC258C"/>
    <w:rsid w:val="00AC2651"/>
    <w:rsid w:val="00AC2CA9"/>
    <w:rsid w:val="00AC3C0D"/>
    <w:rsid w:val="00AC43C1"/>
    <w:rsid w:val="00AC4690"/>
    <w:rsid w:val="00AC5048"/>
    <w:rsid w:val="00AC509A"/>
    <w:rsid w:val="00AC541E"/>
    <w:rsid w:val="00AC5447"/>
    <w:rsid w:val="00AC62A9"/>
    <w:rsid w:val="00AC6820"/>
    <w:rsid w:val="00AC6ABD"/>
    <w:rsid w:val="00AC6E78"/>
    <w:rsid w:val="00AC744C"/>
    <w:rsid w:val="00AD07A2"/>
    <w:rsid w:val="00AD07E9"/>
    <w:rsid w:val="00AD09EC"/>
    <w:rsid w:val="00AD0D7F"/>
    <w:rsid w:val="00AD0DAA"/>
    <w:rsid w:val="00AD0E8D"/>
    <w:rsid w:val="00AD2138"/>
    <w:rsid w:val="00AD214D"/>
    <w:rsid w:val="00AD2ED4"/>
    <w:rsid w:val="00AD2EDE"/>
    <w:rsid w:val="00AD3257"/>
    <w:rsid w:val="00AD3359"/>
    <w:rsid w:val="00AD379C"/>
    <w:rsid w:val="00AD3DE3"/>
    <w:rsid w:val="00AD3FA4"/>
    <w:rsid w:val="00AD4162"/>
    <w:rsid w:val="00AD46AD"/>
    <w:rsid w:val="00AD4F51"/>
    <w:rsid w:val="00AD4F6B"/>
    <w:rsid w:val="00AD5272"/>
    <w:rsid w:val="00AD571A"/>
    <w:rsid w:val="00AD57F3"/>
    <w:rsid w:val="00AD599C"/>
    <w:rsid w:val="00AD5A68"/>
    <w:rsid w:val="00AD5BC4"/>
    <w:rsid w:val="00AD5BEA"/>
    <w:rsid w:val="00AD696D"/>
    <w:rsid w:val="00AD6A7D"/>
    <w:rsid w:val="00AD6C5F"/>
    <w:rsid w:val="00AD72B8"/>
    <w:rsid w:val="00AD7E1B"/>
    <w:rsid w:val="00AE0E48"/>
    <w:rsid w:val="00AE0F02"/>
    <w:rsid w:val="00AE0F1D"/>
    <w:rsid w:val="00AE1391"/>
    <w:rsid w:val="00AE1589"/>
    <w:rsid w:val="00AE2284"/>
    <w:rsid w:val="00AE22E4"/>
    <w:rsid w:val="00AE22F8"/>
    <w:rsid w:val="00AE266D"/>
    <w:rsid w:val="00AE2886"/>
    <w:rsid w:val="00AE2E04"/>
    <w:rsid w:val="00AE2E92"/>
    <w:rsid w:val="00AE31B3"/>
    <w:rsid w:val="00AE386A"/>
    <w:rsid w:val="00AE3D38"/>
    <w:rsid w:val="00AE3F1A"/>
    <w:rsid w:val="00AE4243"/>
    <w:rsid w:val="00AE4458"/>
    <w:rsid w:val="00AE4A60"/>
    <w:rsid w:val="00AE4FE9"/>
    <w:rsid w:val="00AE6118"/>
    <w:rsid w:val="00AE627E"/>
    <w:rsid w:val="00AE68F2"/>
    <w:rsid w:val="00AE6C5F"/>
    <w:rsid w:val="00AE6DBB"/>
    <w:rsid w:val="00AE6E41"/>
    <w:rsid w:val="00AE6ECD"/>
    <w:rsid w:val="00AE7491"/>
    <w:rsid w:val="00AE7C98"/>
    <w:rsid w:val="00AF0456"/>
    <w:rsid w:val="00AF0515"/>
    <w:rsid w:val="00AF06A1"/>
    <w:rsid w:val="00AF087F"/>
    <w:rsid w:val="00AF0C6A"/>
    <w:rsid w:val="00AF0ED4"/>
    <w:rsid w:val="00AF10D0"/>
    <w:rsid w:val="00AF11B5"/>
    <w:rsid w:val="00AF1326"/>
    <w:rsid w:val="00AF197D"/>
    <w:rsid w:val="00AF1E48"/>
    <w:rsid w:val="00AF22C1"/>
    <w:rsid w:val="00AF26FE"/>
    <w:rsid w:val="00AF327A"/>
    <w:rsid w:val="00AF36B0"/>
    <w:rsid w:val="00AF423F"/>
    <w:rsid w:val="00AF5125"/>
    <w:rsid w:val="00AF5571"/>
    <w:rsid w:val="00AF5FA9"/>
    <w:rsid w:val="00AF6495"/>
    <w:rsid w:val="00AF6885"/>
    <w:rsid w:val="00AF6D72"/>
    <w:rsid w:val="00AF6E09"/>
    <w:rsid w:val="00AF70D8"/>
    <w:rsid w:val="00AF79CE"/>
    <w:rsid w:val="00AF7ECF"/>
    <w:rsid w:val="00B006D3"/>
    <w:rsid w:val="00B00F46"/>
    <w:rsid w:val="00B0107B"/>
    <w:rsid w:val="00B01947"/>
    <w:rsid w:val="00B01A50"/>
    <w:rsid w:val="00B01A9D"/>
    <w:rsid w:val="00B01C1D"/>
    <w:rsid w:val="00B01FD7"/>
    <w:rsid w:val="00B0225C"/>
    <w:rsid w:val="00B023C4"/>
    <w:rsid w:val="00B02868"/>
    <w:rsid w:val="00B0296A"/>
    <w:rsid w:val="00B02BEC"/>
    <w:rsid w:val="00B02CAA"/>
    <w:rsid w:val="00B036A9"/>
    <w:rsid w:val="00B039A2"/>
    <w:rsid w:val="00B03B0F"/>
    <w:rsid w:val="00B04525"/>
    <w:rsid w:val="00B04A36"/>
    <w:rsid w:val="00B04D9D"/>
    <w:rsid w:val="00B04FD9"/>
    <w:rsid w:val="00B05C82"/>
    <w:rsid w:val="00B06865"/>
    <w:rsid w:val="00B0707B"/>
    <w:rsid w:val="00B07729"/>
    <w:rsid w:val="00B07EBA"/>
    <w:rsid w:val="00B07FF3"/>
    <w:rsid w:val="00B103BA"/>
    <w:rsid w:val="00B107AF"/>
    <w:rsid w:val="00B109B7"/>
    <w:rsid w:val="00B10ADF"/>
    <w:rsid w:val="00B111AC"/>
    <w:rsid w:val="00B11D17"/>
    <w:rsid w:val="00B11F61"/>
    <w:rsid w:val="00B12C8E"/>
    <w:rsid w:val="00B13047"/>
    <w:rsid w:val="00B13712"/>
    <w:rsid w:val="00B13BD5"/>
    <w:rsid w:val="00B13EF6"/>
    <w:rsid w:val="00B14538"/>
    <w:rsid w:val="00B147D9"/>
    <w:rsid w:val="00B14949"/>
    <w:rsid w:val="00B14E53"/>
    <w:rsid w:val="00B14F8F"/>
    <w:rsid w:val="00B152FA"/>
    <w:rsid w:val="00B15308"/>
    <w:rsid w:val="00B15398"/>
    <w:rsid w:val="00B1552D"/>
    <w:rsid w:val="00B157F1"/>
    <w:rsid w:val="00B15C9D"/>
    <w:rsid w:val="00B15F7A"/>
    <w:rsid w:val="00B16294"/>
    <w:rsid w:val="00B16E25"/>
    <w:rsid w:val="00B16FD3"/>
    <w:rsid w:val="00B172EF"/>
    <w:rsid w:val="00B17759"/>
    <w:rsid w:val="00B179AE"/>
    <w:rsid w:val="00B204B8"/>
    <w:rsid w:val="00B2077B"/>
    <w:rsid w:val="00B214D3"/>
    <w:rsid w:val="00B21844"/>
    <w:rsid w:val="00B21A9D"/>
    <w:rsid w:val="00B21C95"/>
    <w:rsid w:val="00B21DB4"/>
    <w:rsid w:val="00B21FFE"/>
    <w:rsid w:val="00B221FA"/>
    <w:rsid w:val="00B22725"/>
    <w:rsid w:val="00B23417"/>
    <w:rsid w:val="00B23423"/>
    <w:rsid w:val="00B234AB"/>
    <w:rsid w:val="00B23816"/>
    <w:rsid w:val="00B23B48"/>
    <w:rsid w:val="00B23DA9"/>
    <w:rsid w:val="00B240C3"/>
    <w:rsid w:val="00B24128"/>
    <w:rsid w:val="00B2427F"/>
    <w:rsid w:val="00B24320"/>
    <w:rsid w:val="00B24744"/>
    <w:rsid w:val="00B24834"/>
    <w:rsid w:val="00B25260"/>
    <w:rsid w:val="00B25793"/>
    <w:rsid w:val="00B25860"/>
    <w:rsid w:val="00B258BE"/>
    <w:rsid w:val="00B26010"/>
    <w:rsid w:val="00B267DF"/>
    <w:rsid w:val="00B26946"/>
    <w:rsid w:val="00B26F1D"/>
    <w:rsid w:val="00B26FA7"/>
    <w:rsid w:val="00B270FF"/>
    <w:rsid w:val="00B273FA"/>
    <w:rsid w:val="00B27A17"/>
    <w:rsid w:val="00B27ADB"/>
    <w:rsid w:val="00B3058E"/>
    <w:rsid w:val="00B30A7C"/>
    <w:rsid w:val="00B311B0"/>
    <w:rsid w:val="00B3158F"/>
    <w:rsid w:val="00B32042"/>
    <w:rsid w:val="00B321D1"/>
    <w:rsid w:val="00B32A0A"/>
    <w:rsid w:val="00B33220"/>
    <w:rsid w:val="00B34861"/>
    <w:rsid w:val="00B360F3"/>
    <w:rsid w:val="00B36407"/>
    <w:rsid w:val="00B36677"/>
    <w:rsid w:val="00B36B5E"/>
    <w:rsid w:val="00B37072"/>
    <w:rsid w:val="00B370E0"/>
    <w:rsid w:val="00B3755E"/>
    <w:rsid w:val="00B37F2D"/>
    <w:rsid w:val="00B402ED"/>
    <w:rsid w:val="00B405D1"/>
    <w:rsid w:val="00B406DB"/>
    <w:rsid w:val="00B40CC0"/>
    <w:rsid w:val="00B40EB5"/>
    <w:rsid w:val="00B4171C"/>
    <w:rsid w:val="00B41952"/>
    <w:rsid w:val="00B41991"/>
    <w:rsid w:val="00B42362"/>
    <w:rsid w:val="00B42617"/>
    <w:rsid w:val="00B43DB1"/>
    <w:rsid w:val="00B4510F"/>
    <w:rsid w:val="00B45182"/>
    <w:rsid w:val="00B45220"/>
    <w:rsid w:val="00B454AE"/>
    <w:rsid w:val="00B45974"/>
    <w:rsid w:val="00B45B49"/>
    <w:rsid w:val="00B464EC"/>
    <w:rsid w:val="00B46C01"/>
    <w:rsid w:val="00B4708C"/>
    <w:rsid w:val="00B473DC"/>
    <w:rsid w:val="00B47B5C"/>
    <w:rsid w:val="00B47D11"/>
    <w:rsid w:val="00B500CA"/>
    <w:rsid w:val="00B504D0"/>
    <w:rsid w:val="00B50522"/>
    <w:rsid w:val="00B507BA"/>
    <w:rsid w:val="00B50A88"/>
    <w:rsid w:val="00B50B83"/>
    <w:rsid w:val="00B517AE"/>
    <w:rsid w:val="00B51B46"/>
    <w:rsid w:val="00B51BC2"/>
    <w:rsid w:val="00B51C37"/>
    <w:rsid w:val="00B5240B"/>
    <w:rsid w:val="00B524BA"/>
    <w:rsid w:val="00B52975"/>
    <w:rsid w:val="00B52A5D"/>
    <w:rsid w:val="00B52D83"/>
    <w:rsid w:val="00B53BE7"/>
    <w:rsid w:val="00B53EA6"/>
    <w:rsid w:val="00B53FAD"/>
    <w:rsid w:val="00B540D1"/>
    <w:rsid w:val="00B548EA"/>
    <w:rsid w:val="00B5507D"/>
    <w:rsid w:val="00B55AEF"/>
    <w:rsid w:val="00B56119"/>
    <w:rsid w:val="00B566B7"/>
    <w:rsid w:val="00B568E7"/>
    <w:rsid w:val="00B56C4F"/>
    <w:rsid w:val="00B57633"/>
    <w:rsid w:val="00B578EC"/>
    <w:rsid w:val="00B57DD9"/>
    <w:rsid w:val="00B605F7"/>
    <w:rsid w:val="00B6111B"/>
    <w:rsid w:val="00B61206"/>
    <w:rsid w:val="00B62668"/>
    <w:rsid w:val="00B627AF"/>
    <w:rsid w:val="00B628D3"/>
    <w:rsid w:val="00B62BB0"/>
    <w:rsid w:val="00B6315E"/>
    <w:rsid w:val="00B6342A"/>
    <w:rsid w:val="00B634C6"/>
    <w:rsid w:val="00B63AD0"/>
    <w:rsid w:val="00B63D47"/>
    <w:rsid w:val="00B64129"/>
    <w:rsid w:val="00B64510"/>
    <w:rsid w:val="00B646FF"/>
    <w:rsid w:val="00B651B9"/>
    <w:rsid w:val="00B65548"/>
    <w:rsid w:val="00B65F9D"/>
    <w:rsid w:val="00B66194"/>
    <w:rsid w:val="00B661D2"/>
    <w:rsid w:val="00B66745"/>
    <w:rsid w:val="00B66860"/>
    <w:rsid w:val="00B67277"/>
    <w:rsid w:val="00B679FF"/>
    <w:rsid w:val="00B67BDD"/>
    <w:rsid w:val="00B7031D"/>
    <w:rsid w:val="00B70598"/>
    <w:rsid w:val="00B70AAE"/>
    <w:rsid w:val="00B7132F"/>
    <w:rsid w:val="00B71ECA"/>
    <w:rsid w:val="00B723E7"/>
    <w:rsid w:val="00B728A4"/>
    <w:rsid w:val="00B72955"/>
    <w:rsid w:val="00B729BB"/>
    <w:rsid w:val="00B72D56"/>
    <w:rsid w:val="00B72F41"/>
    <w:rsid w:val="00B7321F"/>
    <w:rsid w:val="00B7351F"/>
    <w:rsid w:val="00B738BE"/>
    <w:rsid w:val="00B738F7"/>
    <w:rsid w:val="00B73A08"/>
    <w:rsid w:val="00B74069"/>
    <w:rsid w:val="00B74122"/>
    <w:rsid w:val="00B7452B"/>
    <w:rsid w:val="00B74805"/>
    <w:rsid w:val="00B74A72"/>
    <w:rsid w:val="00B75958"/>
    <w:rsid w:val="00B75FFB"/>
    <w:rsid w:val="00B76169"/>
    <w:rsid w:val="00B76249"/>
    <w:rsid w:val="00B766D1"/>
    <w:rsid w:val="00B76F1D"/>
    <w:rsid w:val="00B774DF"/>
    <w:rsid w:val="00B77CFE"/>
    <w:rsid w:val="00B77F90"/>
    <w:rsid w:val="00B80504"/>
    <w:rsid w:val="00B80505"/>
    <w:rsid w:val="00B80FE3"/>
    <w:rsid w:val="00B8142C"/>
    <w:rsid w:val="00B815C8"/>
    <w:rsid w:val="00B81660"/>
    <w:rsid w:val="00B82005"/>
    <w:rsid w:val="00B82387"/>
    <w:rsid w:val="00B826D0"/>
    <w:rsid w:val="00B82825"/>
    <w:rsid w:val="00B82A17"/>
    <w:rsid w:val="00B82D42"/>
    <w:rsid w:val="00B831BB"/>
    <w:rsid w:val="00B83495"/>
    <w:rsid w:val="00B836EB"/>
    <w:rsid w:val="00B8394D"/>
    <w:rsid w:val="00B83F65"/>
    <w:rsid w:val="00B847C0"/>
    <w:rsid w:val="00B849FB"/>
    <w:rsid w:val="00B84E76"/>
    <w:rsid w:val="00B85187"/>
    <w:rsid w:val="00B85988"/>
    <w:rsid w:val="00B85A49"/>
    <w:rsid w:val="00B85D63"/>
    <w:rsid w:val="00B861A2"/>
    <w:rsid w:val="00B87E8F"/>
    <w:rsid w:val="00B90C3E"/>
    <w:rsid w:val="00B910C3"/>
    <w:rsid w:val="00B917B8"/>
    <w:rsid w:val="00B91A22"/>
    <w:rsid w:val="00B924B1"/>
    <w:rsid w:val="00B925B3"/>
    <w:rsid w:val="00B9286C"/>
    <w:rsid w:val="00B92A3C"/>
    <w:rsid w:val="00B935DD"/>
    <w:rsid w:val="00B93729"/>
    <w:rsid w:val="00B938D2"/>
    <w:rsid w:val="00B93A81"/>
    <w:rsid w:val="00B93F58"/>
    <w:rsid w:val="00B94259"/>
    <w:rsid w:val="00B9471D"/>
    <w:rsid w:val="00B94DDB"/>
    <w:rsid w:val="00B9510A"/>
    <w:rsid w:val="00B95283"/>
    <w:rsid w:val="00B9588B"/>
    <w:rsid w:val="00B95B4E"/>
    <w:rsid w:val="00B95B5A"/>
    <w:rsid w:val="00B95D3C"/>
    <w:rsid w:val="00B96352"/>
    <w:rsid w:val="00B964F9"/>
    <w:rsid w:val="00B96857"/>
    <w:rsid w:val="00B96DF7"/>
    <w:rsid w:val="00B974C5"/>
    <w:rsid w:val="00B97527"/>
    <w:rsid w:val="00B978E3"/>
    <w:rsid w:val="00B9791F"/>
    <w:rsid w:val="00B97C50"/>
    <w:rsid w:val="00B97F14"/>
    <w:rsid w:val="00BA0712"/>
    <w:rsid w:val="00BA08E8"/>
    <w:rsid w:val="00BA0B98"/>
    <w:rsid w:val="00BA1165"/>
    <w:rsid w:val="00BA1334"/>
    <w:rsid w:val="00BA16E4"/>
    <w:rsid w:val="00BA21FC"/>
    <w:rsid w:val="00BA247C"/>
    <w:rsid w:val="00BA2AD9"/>
    <w:rsid w:val="00BA3256"/>
    <w:rsid w:val="00BA3507"/>
    <w:rsid w:val="00BA3595"/>
    <w:rsid w:val="00BA3C4B"/>
    <w:rsid w:val="00BA418B"/>
    <w:rsid w:val="00BA4207"/>
    <w:rsid w:val="00BA43C8"/>
    <w:rsid w:val="00BA4787"/>
    <w:rsid w:val="00BA48BF"/>
    <w:rsid w:val="00BA4A83"/>
    <w:rsid w:val="00BA4AB0"/>
    <w:rsid w:val="00BA505A"/>
    <w:rsid w:val="00BA50E8"/>
    <w:rsid w:val="00BA513B"/>
    <w:rsid w:val="00BA54A0"/>
    <w:rsid w:val="00BA5F99"/>
    <w:rsid w:val="00BA612B"/>
    <w:rsid w:val="00BA6DDC"/>
    <w:rsid w:val="00BA7CC7"/>
    <w:rsid w:val="00BB0280"/>
    <w:rsid w:val="00BB039C"/>
    <w:rsid w:val="00BB06F9"/>
    <w:rsid w:val="00BB07EA"/>
    <w:rsid w:val="00BB0CD7"/>
    <w:rsid w:val="00BB101C"/>
    <w:rsid w:val="00BB1078"/>
    <w:rsid w:val="00BB1A49"/>
    <w:rsid w:val="00BB1B26"/>
    <w:rsid w:val="00BB24BB"/>
    <w:rsid w:val="00BB28C3"/>
    <w:rsid w:val="00BB3329"/>
    <w:rsid w:val="00BB38E9"/>
    <w:rsid w:val="00BB3D0E"/>
    <w:rsid w:val="00BB3EF6"/>
    <w:rsid w:val="00BB41E2"/>
    <w:rsid w:val="00BB4471"/>
    <w:rsid w:val="00BB44C2"/>
    <w:rsid w:val="00BB4DAB"/>
    <w:rsid w:val="00BB4EAF"/>
    <w:rsid w:val="00BB4F90"/>
    <w:rsid w:val="00BB58F4"/>
    <w:rsid w:val="00BB5A42"/>
    <w:rsid w:val="00BB68A4"/>
    <w:rsid w:val="00BB7309"/>
    <w:rsid w:val="00BB7401"/>
    <w:rsid w:val="00BB7500"/>
    <w:rsid w:val="00BC0090"/>
    <w:rsid w:val="00BC018F"/>
    <w:rsid w:val="00BC0478"/>
    <w:rsid w:val="00BC0553"/>
    <w:rsid w:val="00BC05EF"/>
    <w:rsid w:val="00BC1148"/>
    <w:rsid w:val="00BC169B"/>
    <w:rsid w:val="00BC16D3"/>
    <w:rsid w:val="00BC176A"/>
    <w:rsid w:val="00BC2286"/>
    <w:rsid w:val="00BC2388"/>
    <w:rsid w:val="00BC2B8F"/>
    <w:rsid w:val="00BC335C"/>
    <w:rsid w:val="00BC3840"/>
    <w:rsid w:val="00BC43FD"/>
    <w:rsid w:val="00BC457C"/>
    <w:rsid w:val="00BC47DB"/>
    <w:rsid w:val="00BC4839"/>
    <w:rsid w:val="00BC4ED2"/>
    <w:rsid w:val="00BC4EDC"/>
    <w:rsid w:val="00BC5446"/>
    <w:rsid w:val="00BC5691"/>
    <w:rsid w:val="00BC5BCC"/>
    <w:rsid w:val="00BC6027"/>
    <w:rsid w:val="00BC680C"/>
    <w:rsid w:val="00BC6B64"/>
    <w:rsid w:val="00BC7C92"/>
    <w:rsid w:val="00BC7E8D"/>
    <w:rsid w:val="00BD0262"/>
    <w:rsid w:val="00BD042B"/>
    <w:rsid w:val="00BD04E3"/>
    <w:rsid w:val="00BD0E93"/>
    <w:rsid w:val="00BD14B0"/>
    <w:rsid w:val="00BD15B8"/>
    <w:rsid w:val="00BD1B2B"/>
    <w:rsid w:val="00BD2065"/>
    <w:rsid w:val="00BD20A5"/>
    <w:rsid w:val="00BD2B15"/>
    <w:rsid w:val="00BD2BF6"/>
    <w:rsid w:val="00BD2DB0"/>
    <w:rsid w:val="00BD3365"/>
    <w:rsid w:val="00BD3785"/>
    <w:rsid w:val="00BD3946"/>
    <w:rsid w:val="00BD3962"/>
    <w:rsid w:val="00BD55C6"/>
    <w:rsid w:val="00BD597B"/>
    <w:rsid w:val="00BD5F4B"/>
    <w:rsid w:val="00BD5FE3"/>
    <w:rsid w:val="00BD6181"/>
    <w:rsid w:val="00BD62F8"/>
    <w:rsid w:val="00BD6872"/>
    <w:rsid w:val="00BD6D41"/>
    <w:rsid w:val="00BD756A"/>
    <w:rsid w:val="00BE038D"/>
    <w:rsid w:val="00BE0B9E"/>
    <w:rsid w:val="00BE0F3C"/>
    <w:rsid w:val="00BE0FC0"/>
    <w:rsid w:val="00BE1610"/>
    <w:rsid w:val="00BE1B7A"/>
    <w:rsid w:val="00BE1F66"/>
    <w:rsid w:val="00BE1F8F"/>
    <w:rsid w:val="00BE25EF"/>
    <w:rsid w:val="00BE2608"/>
    <w:rsid w:val="00BE2900"/>
    <w:rsid w:val="00BE2D5A"/>
    <w:rsid w:val="00BE2DCD"/>
    <w:rsid w:val="00BE34B2"/>
    <w:rsid w:val="00BE3632"/>
    <w:rsid w:val="00BE3B2F"/>
    <w:rsid w:val="00BE426F"/>
    <w:rsid w:val="00BE4A04"/>
    <w:rsid w:val="00BE4D1D"/>
    <w:rsid w:val="00BE4E3A"/>
    <w:rsid w:val="00BE5277"/>
    <w:rsid w:val="00BE541B"/>
    <w:rsid w:val="00BE56A0"/>
    <w:rsid w:val="00BE5774"/>
    <w:rsid w:val="00BE58BD"/>
    <w:rsid w:val="00BE5A4D"/>
    <w:rsid w:val="00BE5FF4"/>
    <w:rsid w:val="00BE633E"/>
    <w:rsid w:val="00BE635F"/>
    <w:rsid w:val="00BE6786"/>
    <w:rsid w:val="00BE7198"/>
    <w:rsid w:val="00BF003D"/>
    <w:rsid w:val="00BF0399"/>
    <w:rsid w:val="00BF08E9"/>
    <w:rsid w:val="00BF0C61"/>
    <w:rsid w:val="00BF130E"/>
    <w:rsid w:val="00BF13DA"/>
    <w:rsid w:val="00BF2377"/>
    <w:rsid w:val="00BF25FB"/>
    <w:rsid w:val="00BF26BC"/>
    <w:rsid w:val="00BF2819"/>
    <w:rsid w:val="00BF2869"/>
    <w:rsid w:val="00BF2FF9"/>
    <w:rsid w:val="00BF3712"/>
    <w:rsid w:val="00BF3C89"/>
    <w:rsid w:val="00BF4E7C"/>
    <w:rsid w:val="00BF5A9E"/>
    <w:rsid w:val="00BF5F95"/>
    <w:rsid w:val="00BF6093"/>
    <w:rsid w:val="00BF708D"/>
    <w:rsid w:val="00BF71BB"/>
    <w:rsid w:val="00BF732F"/>
    <w:rsid w:val="00BF7483"/>
    <w:rsid w:val="00BF7CBF"/>
    <w:rsid w:val="00BF7E19"/>
    <w:rsid w:val="00C00372"/>
    <w:rsid w:val="00C003A8"/>
    <w:rsid w:val="00C004A4"/>
    <w:rsid w:val="00C006E9"/>
    <w:rsid w:val="00C00986"/>
    <w:rsid w:val="00C00AE6"/>
    <w:rsid w:val="00C014A8"/>
    <w:rsid w:val="00C016D7"/>
    <w:rsid w:val="00C01771"/>
    <w:rsid w:val="00C01C90"/>
    <w:rsid w:val="00C0203F"/>
    <w:rsid w:val="00C020C1"/>
    <w:rsid w:val="00C02CF4"/>
    <w:rsid w:val="00C02D74"/>
    <w:rsid w:val="00C02D8D"/>
    <w:rsid w:val="00C02E16"/>
    <w:rsid w:val="00C03272"/>
    <w:rsid w:val="00C03654"/>
    <w:rsid w:val="00C037A2"/>
    <w:rsid w:val="00C0388B"/>
    <w:rsid w:val="00C039A3"/>
    <w:rsid w:val="00C04125"/>
    <w:rsid w:val="00C041DB"/>
    <w:rsid w:val="00C04452"/>
    <w:rsid w:val="00C0476B"/>
    <w:rsid w:val="00C04DF5"/>
    <w:rsid w:val="00C0519B"/>
    <w:rsid w:val="00C05572"/>
    <w:rsid w:val="00C055A1"/>
    <w:rsid w:val="00C05ED9"/>
    <w:rsid w:val="00C062A7"/>
    <w:rsid w:val="00C063CB"/>
    <w:rsid w:val="00C0706F"/>
    <w:rsid w:val="00C074C8"/>
    <w:rsid w:val="00C07607"/>
    <w:rsid w:val="00C10000"/>
    <w:rsid w:val="00C102CD"/>
    <w:rsid w:val="00C10309"/>
    <w:rsid w:val="00C1050F"/>
    <w:rsid w:val="00C10BC8"/>
    <w:rsid w:val="00C10F31"/>
    <w:rsid w:val="00C115DB"/>
    <w:rsid w:val="00C1184B"/>
    <w:rsid w:val="00C11CC8"/>
    <w:rsid w:val="00C12067"/>
    <w:rsid w:val="00C12146"/>
    <w:rsid w:val="00C12483"/>
    <w:rsid w:val="00C127D9"/>
    <w:rsid w:val="00C12ACD"/>
    <w:rsid w:val="00C12ADE"/>
    <w:rsid w:val="00C1331B"/>
    <w:rsid w:val="00C13452"/>
    <w:rsid w:val="00C13F30"/>
    <w:rsid w:val="00C142A3"/>
    <w:rsid w:val="00C15015"/>
    <w:rsid w:val="00C1509F"/>
    <w:rsid w:val="00C15B02"/>
    <w:rsid w:val="00C15E4E"/>
    <w:rsid w:val="00C16431"/>
    <w:rsid w:val="00C1644C"/>
    <w:rsid w:val="00C16588"/>
    <w:rsid w:val="00C170A7"/>
    <w:rsid w:val="00C1777B"/>
    <w:rsid w:val="00C179A8"/>
    <w:rsid w:val="00C17A6A"/>
    <w:rsid w:val="00C17B9D"/>
    <w:rsid w:val="00C20A08"/>
    <w:rsid w:val="00C213A9"/>
    <w:rsid w:val="00C21615"/>
    <w:rsid w:val="00C21752"/>
    <w:rsid w:val="00C218ED"/>
    <w:rsid w:val="00C21AE6"/>
    <w:rsid w:val="00C21BD3"/>
    <w:rsid w:val="00C22CB8"/>
    <w:rsid w:val="00C22E2A"/>
    <w:rsid w:val="00C22E89"/>
    <w:rsid w:val="00C22F0C"/>
    <w:rsid w:val="00C22F19"/>
    <w:rsid w:val="00C22FF9"/>
    <w:rsid w:val="00C2302B"/>
    <w:rsid w:val="00C23049"/>
    <w:rsid w:val="00C23823"/>
    <w:rsid w:val="00C2385B"/>
    <w:rsid w:val="00C239A5"/>
    <w:rsid w:val="00C253E2"/>
    <w:rsid w:val="00C257C6"/>
    <w:rsid w:val="00C2596E"/>
    <w:rsid w:val="00C2655F"/>
    <w:rsid w:val="00C265F3"/>
    <w:rsid w:val="00C268A4"/>
    <w:rsid w:val="00C26EEB"/>
    <w:rsid w:val="00C27053"/>
    <w:rsid w:val="00C275F1"/>
    <w:rsid w:val="00C2761F"/>
    <w:rsid w:val="00C27623"/>
    <w:rsid w:val="00C276F6"/>
    <w:rsid w:val="00C27738"/>
    <w:rsid w:val="00C30E93"/>
    <w:rsid w:val="00C30F10"/>
    <w:rsid w:val="00C3105B"/>
    <w:rsid w:val="00C31605"/>
    <w:rsid w:val="00C32D58"/>
    <w:rsid w:val="00C32EBD"/>
    <w:rsid w:val="00C33077"/>
    <w:rsid w:val="00C33241"/>
    <w:rsid w:val="00C33805"/>
    <w:rsid w:val="00C33AE7"/>
    <w:rsid w:val="00C33C71"/>
    <w:rsid w:val="00C33FD7"/>
    <w:rsid w:val="00C34434"/>
    <w:rsid w:val="00C3460D"/>
    <w:rsid w:val="00C34655"/>
    <w:rsid w:val="00C34962"/>
    <w:rsid w:val="00C34AB6"/>
    <w:rsid w:val="00C34AEF"/>
    <w:rsid w:val="00C34E85"/>
    <w:rsid w:val="00C350BE"/>
    <w:rsid w:val="00C35427"/>
    <w:rsid w:val="00C363B0"/>
    <w:rsid w:val="00C36618"/>
    <w:rsid w:val="00C36935"/>
    <w:rsid w:val="00C37438"/>
    <w:rsid w:val="00C379AC"/>
    <w:rsid w:val="00C37C7E"/>
    <w:rsid w:val="00C37D7A"/>
    <w:rsid w:val="00C37F10"/>
    <w:rsid w:val="00C400B6"/>
    <w:rsid w:val="00C40611"/>
    <w:rsid w:val="00C406B5"/>
    <w:rsid w:val="00C4078F"/>
    <w:rsid w:val="00C40883"/>
    <w:rsid w:val="00C410B8"/>
    <w:rsid w:val="00C4155C"/>
    <w:rsid w:val="00C41898"/>
    <w:rsid w:val="00C41B68"/>
    <w:rsid w:val="00C41C1D"/>
    <w:rsid w:val="00C42069"/>
    <w:rsid w:val="00C42112"/>
    <w:rsid w:val="00C42216"/>
    <w:rsid w:val="00C423A5"/>
    <w:rsid w:val="00C42A0E"/>
    <w:rsid w:val="00C432DF"/>
    <w:rsid w:val="00C4331D"/>
    <w:rsid w:val="00C434B6"/>
    <w:rsid w:val="00C43703"/>
    <w:rsid w:val="00C4391E"/>
    <w:rsid w:val="00C439FE"/>
    <w:rsid w:val="00C43A82"/>
    <w:rsid w:val="00C43AE3"/>
    <w:rsid w:val="00C43CA0"/>
    <w:rsid w:val="00C43EFB"/>
    <w:rsid w:val="00C440E3"/>
    <w:rsid w:val="00C4413F"/>
    <w:rsid w:val="00C44A8A"/>
    <w:rsid w:val="00C455B7"/>
    <w:rsid w:val="00C45CC0"/>
    <w:rsid w:val="00C463AE"/>
    <w:rsid w:val="00C4698C"/>
    <w:rsid w:val="00C46C00"/>
    <w:rsid w:val="00C477FF"/>
    <w:rsid w:val="00C50C70"/>
    <w:rsid w:val="00C50E3F"/>
    <w:rsid w:val="00C51488"/>
    <w:rsid w:val="00C51534"/>
    <w:rsid w:val="00C518B0"/>
    <w:rsid w:val="00C51FFD"/>
    <w:rsid w:val="00C52A16"/>
    <w:rsid w:val="00C52F87"/>
    <w:rsid w:val="00C53E17"/>
    <w:rsid w:val="00C53FAC"/>
    <w:rsid w:val="00C54992"/>
    <w:rsid w:val="00C549D1"/>
    <w:rsid w:val="00C54D4C"/>
    <w:rsid w:val="00C54EB4"/>
    <w:rsid w:val="00C55199"/>
    <w:rsid w:val="00C5530E"/>
    <w:rsid w:val="00C553BC"/>
    <w:rsid w:val="00C55B2F"/>
    <w:rsid w:val="00C55BDF"/>
    <w:rsid w:val="00C55D52"/>
    <w:rsid w:val="00C55E74"/>
    <w:rsid w:val="00C55F86"/>
    <w:rsid w:val="00C56255"/>
    <w:rsid w:val="00C56265"/>
    <w:rsid w:val="00C56FF2"/>
    <w:rsid w:val="00C576AE"/>
    <w:rsid w:val="00C57BDE"/>
    <w:rsid w:val="00C57E4B"/>
    <w:rsid w:val="00C57E72"/>
    <w:rsid w:val="00C6050B"/>
    <w:rsid w:val="00C6054D"/>
    <w:rsid w:val="00C610B2"/>
    <w:rsid w:val="00C61A76"/>
    <w:rsid w:val="00C61F00"/>
    <w:rsid w:val="00C61F70"/>
    <w:rsid w:val="00C62359"/>
    <w:rsid w:val="00C624C3"/>
    <w:rsid w:val="00C626D8"/>
    <w:rsid w:val="00C62DBF"/>
    <w:rsid w:val="00C62E6B"/>
    <w:rsid w:val="00C63020"/>
    <w:rsid w:val="00C63187"/>
    <w:rsid w:val="00C636DC"/>
    <w:rsid w:val="00C637EB"/>
    <w:rsid w:val="00C638BB"/>
    <w:rsid w:val="00C63985"/>
    <w:rsid w:val="00C63A60"/>
    <w:rsid w:val="00C63AC2"/>
    <w:rsid w:val="00C63AF4"/>
    <w:rsid w:val="00C63D64"/>
    <w:rsid w:val="00C64715"/>
    <w:rsid w:val="00C64A20"/>
    <w:rsid w:val="00C64BEF"/>
    <w:rsid w:val="00C64FC1"/>
    <w:rsid w:val="00C6577C"/>
    <w:rsid w:val="00C65A32"/>
    <w:rsid w:val="00C660BF"/>
    <w:rsid w:val="00C663FB"/>
    <w:rsid w:val="00C66618"/>
    <w:rsid w:val="00C669C3"/>
    <w:rsid w:val="00C66B34"/>
    <w:rsid w:val="00C66E8C"/>
    <w:rsid w:val="00C67171"/>
    <w:rsid w:val="00C67248"/>
    <w:rsid w:val="00C6794D"/>
    <w:rsid w:val="00C7021A"/>
    <w:rsid w:val="00C7066E"/>
    <w:rsid w:val="00C70B25"/>
    <w:rsid w:val="00C70B3A"/>
    <w:rsid w:val="00C715C5"/>
    <w:rsid w:val="00C71868"/>
    <w:rsid w:val="00C7197D"/>
    <w:rsid w:val="00C71A10"/>
    <w:rsid w:val="00C71AA8"/>
    <w:rsid w:val="00C71D88"/>
    <w:rsid w:val="00C71FDE"/>
    <w:rsid w:val="00C722E8"/>
    <w:rsid w:val="00C7298E"/>
    <w:rsid w:val="00C72AF5"/>
    <w:rsid w:val="00C72C68"/>
    <w:rsid w:val="00C72FED"/>
    <w:rsid w:val="00C731F8"/>
    <w:rsid w:val="00C73789"/>
    <w:rsid w:val="00C738BC"/>
    <w:rsid w:val="00C739B5"/>
    <w:rsid w:val="00C73BBC"/>
    <w:rsid w:val="00C73DF4"/>
    <w:rsid w:val="00C73ED1"/>
    <w:rsid w:val="00C73F36"/>
    <w:rsid w:val="00C74128"/>
    <w:rsid w:val="00C74345"/>
    <w:rsid w:val="00C74583"/>
    <w:rsid w:val="00C74C1D"/>
    <w:rsid w:val="00C74D03"/>
    <w:rsid w:val="00C74DF0"/>
    <w:rsid w:val="00C74F14"/>
    <w:rsid w:val="00C75983"/>
    <w:rsid w:val="00C75B38"/>
    <w:rsid w:val="00C766A2"/>
    <w:rsid w:val="00C76C19"/>
    <w:rsid w:val="00C77601"/>
    <w:rsid w:val="00C77888"/>
    <w:rsid w:val="00C77DDD"/>
    <w:rsid w:val="00C77F55"/>
    <w:rsid w:val="00C80024"/>
    <w:rsid w:val="00C801E0"/>
    <w:rsid w:val="00C8029E"/>
    <w:rsid w:val="00C80352"/>
    <w:rsid w:val="00C80AF0"/>
    <w:rsid w:val="00C80DDE"/>
    <w:rsid w:val="00C814B0"/>
    <w:rsid w:val="00C823A9"/>
    <w:rsid w:val="00C82896"/>
    <w:rsid w:val="00C82D1A"/>
    <w:rsid w:val="00C82E61"/>
    <w:rsid w:val="00C83466"/>
    <w:rsid w:val="00C837F3"/>
    <w:rsid w:val="00C8418A"/>
    <w:rsid w:val="00C849CC"/>
    <w:rsid w:val="00C84B09"/>
    <w:rsid w:val="00C84E1B"/>
    <w:rsid w:val="00C84E62"/>
    <w:rsid w:val="00C85149"/>
    <w:rsid w:val="00C851C3"/>
    <w:rsid w:val="00C85AA1"/>
    <w:rsid w:val="00C85D11"/>
    <w:rsid w:val="00C86BE5"/>
    <w:rsid w:val="00C87C65"/>
    <w:rsid w:val="00C87D3E"/>
    <w:rsid w:val="00C9057A"/>
    <w:rsid w:val="00C9099D"/>
    <w:rsid w:val="00C90ADC"/>
    <w:rsid w:val="00C90C6D"/>
    <w:rsid w:val="00C90EC5"/>
    <w:rsid w:val="00C91F66"/>
    <w:rsid w:val="00C925CE"/>
    <w:rsid w:val="00C92AED"/>
    <w:rsid w:val="00C9323A"/>
    <w:rsid w:val="00C93481"/>
    <w:rsid w:val="00C9353B"/>
    <w:rsid w:val="00C9393B"/>
    <w:rsid w:val="00C94884"/>
    <w:rsid w:val="00C94A85"/>
    <w:rsid w:val="00C950B1"/>
    <w:rsid w:val="00C9547B"/>
    <w:rsid w:val="00C956FB"/>
    <w:rsid w:val="00C9575A"/>
    <w:rsid w:val="00C95920"/>
    <w:rsid w:val="00C960F6"/>
    <w:rsid w:val="00C966DD"/>
    <w:rsid w:val="00C96919"/>
    <w:rsid w:val="00C96E18"/>
    <w:rsid w:val="00C97184"/>
    <w:rsid w:val="00C97424"/>
    <w:rsid w:val="00C9746C"/>
    <w:rsid w:val="00CA0728"/>
    <w:rsid w:val="00CA0759"/>
    <w:rsid w:val="00CA07D0"/>
    <w:rsid w:val="00CA0FBF"/>
    <w:rsid w:val="00CA15FE"/>
    <w:rsid w:val="00CA1AF4"/>
    <w:rsid w:val="00CA1DAA"/>
    <w:rsid w:val="00CA217E"/>
    <w:rsid w:val="00CA2321"/>
    <w:rsid w:val="00CA2658"/>
    <w:rsid w:val="00CA27E4"/>
    <w:rsid w:val="00CA29F6"/>
    <w:rsid w:val="00CA2DF8"/>
    <w:rsid w:val="00CA3194"/>
    <w:rsid w:val="00CA34C0"/>
    <w:rsid w:val="00CA3909"/>
    <w:rsid w:val="00CA3CC0"/>
    <w:rsid w:val="00CA40F1"/>
    <w:rsid w:val="00CA41D9"/>
    <w:rsid w:val="00CA4A5F"/>
    <w:rsid w:val="00CA4C03"/>
    <w:rsid w:val="00CA4D11"/>
    <w:rsid w:val="00CA4D87"/>
    <w:rsid w:val="00CA53EE"/>
    <w:rsid w:val="00CA5B0F"/>
    <w:rsid w:val="00CA6089"/>
    <w:rsid w:val="00CA68C6"/>
    <w:rsid w:val="00CA6A59"/>
    <w:rsid w:val="00CA6FBD"/>
    <w:rsid w:val="00CA7300"/>
    <w:rsid w:val="00CA75AF"/>
    <w:rsid w:val="00CA75D6"/>
    <w:rsid w:val="00CA78D8"/>
    <w:rsid w:val="00CA7BF6"/>
    <w:rsid w:val="00CA7F2B"/>
    <w:rsid w:val="00CB00B0"/>
    <w:rsid w:val="00CB04CF"/>
    <w:rsid w:val="00CB073D"/>
    <w:rsid w:val="00CB0C18"/>
    <w:rsid w:val="00CB103F"/>
    <w:rsid w:val="00CB1A2B"/>
    <w:rsid w:val="00CB3242"/>
    <w:rsid w:val="00CB37C1"/>
    <w:rsid w:val="00CB39CB"/>
    <w:rsid w:val="00CB3E72"/>
    <w:rsid w:val="00CB4393"/>
    <w:rsid w:val="00CB43DA"/>
    <w:rsid w:val="00CB4C4F"/>
    <w:rsid w:val="00CB4FE1"/>
    <w:rsid w:val="00CB52C1"/>
    <w:rsid w:val="00CB5677"/>
    <w:rsid w:val="00CB5D3D"/>
    <w:rsid w:val="00CB62F3"/>
    <w:rsid w:val="00CB6471"/>
    <w:rsid w:val="00CB6753"/>
    <w:rsid w:val="00CB690F"/>
    <w:rsid w:val="00CB73FE"/>
    <w:rsid w:val="00CB749C"/>
    <w:rsid w:val="00CB7699"/>
    <w:rsid w:val="00CB791E"/>
    <w:rsid w:val="00CB7D29"/>
    <w:rsid w:val="00CC011F"/>
    <w:rsid w:val="00CC0295"/>
    <w:rsid w:val="00CC0465"/>
    <w:rsid w:val="00CC1BB7"/>
    <w:rsid w:val="00CC211F"/>
    <w:rsid w:val="00CC31FA"/>
    <w:rsid w:val="00CC38B3"/>
    <w:rsid w:val="00CC3BB7"/>
    <w:rsid w:val="00CC4275"/>
    <w:rsid w:val="00CC431B"/>
    <w:rsid w:val="00CC46C7"/>
    <w:rsid w:val="00CC487C"/>
    <w:rsid w:val="00CC4962"/>
    <w:rsid w:val="00CC4A84"/>
    <w:rsid w:val="00CC4B18"/>
    <w:rsid w:val="00CC4DAC"/>
    <w:rsid w:val="00CC4EE6"/>
    <w:rsid w:val="00CC50D2"/>
    <w:rsid w:val="00CC514A"/>
    <w:rsid w:val="00CC5937"/>
    <w:rsid w:val="00CC5EE6"/>
    <w:rsid w:val="00CC5FF0"/>
    <w:rsid w:val="00CC615F"/>
    <w:rsid w:val="00CC630A"/>
    <w:rsid w:val="00CC7097"/>
    <w:rsid w:val="00CC71E4"/>
    <w:rsid w:val="00CC7416"/>
    <w:rsid w:val="00CC7C77"/>
    <w:rsid w:val="00CD08A0"/>
    <w:rsid w:val="00CD09CF"/>
    <w:rsid w:val="00CD0C95"/>
    <w:rsid w:val="00CD0CB7"/>
    <w:rsid w:val="00CD1272"/>
    <w:rsid w:val="00CD151C"/>
    <w:rsid w:val="00CD18F4"/>
    <w:rsid w:val="00CD19BD"/>
    <w:rsid w:val="00CD2024"/>
    <w:rsid w:val="00CD21B3"/>
    <w:rsid w:val="00CD27E7"/>
    <w:rsid w:val="00CD2F68"/>
    <w:rsid w:val="00CD3016"/>
    <w:rsid w:val="00CD31A0"/>
    <w:rsid w:val="00CD3293"/>
    <w:rsid w:val="00CD3450"/>
    <w:rsid w:val="00CD3A19"/>
    <w:rsid w:val="00CD4867"/>
    <w:rsid w:val="00CD4A5F"/>
    <w:rsid w:val="00CD544F"/>
    <w:rsid w:val="00CD5A0C"/>
    <w:rsid w:val="00CD6B4D"/>
    <w:rsid w:val="00CD6BB1"/>
    <w:rsid w:val="00CD6D53"/>
    <w:rsid w:val="00CD6D90"/>
    <w:rsid w:val="00CD7004"/>
    <w:rsid w:val="00CD75F9"/>
    <w:rsid w:val="00CD775D"/>
    <w:rsid w:val="00CD77A7"/>
    <w:rsid w:val="00CE03DC"/>
    <w:rsid w:val="00CE076A"/>
    <w:rsid w:val="00CE0F0C"/>
    <w:rsid w:val="00CE11C0"/>
    <w:rsid w:val="00CE1289"/>
    <w:rsid w:val="00CE12E2"/>
    <w:rsid w:val="00CE1883"/>
    <w:rsid w:val="00CE1A7D"/>
    <w:rsid w:val="00CE1AD0"/>
    <w:rsid w:val="00CE3416"/>
    <w:rsid w:val="00CE3648"/>
    <w:rsid w:val="00CE4367"/>
    <w:rsid w:val="00CE4778"/>
    <w:rsid w:val="00CE4A26"/>
    <w:rsid w:val="00CE4DBD"/>
    <w:rsid w:val="00CE5AA3"/>
    <w:rsid w:val="00CE5D4F"/>
    <w:rsid w:val="00CE61DB"/>
    <w:rsid w:val="00CE62F2"/>
    <w:rsid w:val="00CE6784"/>
    <w:rsid w:val="00CE6A0F"/>
    <w:rsid w:val="00CE6F7B"/>
    <w:rsid w:val="00CE7730"/>
    <w:rsid w:val="00CE7D8B"/>
    <w:rsid w:val="00CF00AA"/>
    <w:rsid w:val="00CF0270"/>
    <w:rsid w:val="00CF0288"/>
    <w:rsid w:val="00CF0E62"/>
    <w:rsid w:val="00CF22F8"/>
    <w:rsid w:val="00CF25B7"/>
    <w:rsid w:val="00CF2765"/>
    <w:rsid w:val="00CF2A06"/>
    <w:rsid w:val="00CF2EAB"/>
    <w:rsid w:val="00CF2EBE"/>
    <w:rsid w:val="00CF2FB6"/>
    <w:rsid w:val="00CF3535"/>
    <w:rsid w:val="00CF3642"/>
    <w:rsid w:val="00CF3D72"/>
    <w:rsid w:val="00CF4609"/>
    <w:rsid w:val="00CF5495"/>
    <w:rsid w:val="00CF5AF7"/>
    <w:rsid w:val="00CF635E"/>
    <w:rsid w:val="00CF640C"/>
    <w:rsid w:val="00CF642D"/>
    <w:rsid w:val="00CF6E66"/>
    <w:rsid w:val="00CF76BB"/>
    <w:rsid w:val="00CF76EB"/>
    <w:rsid w:val="00D00279"/>
    <w:rsid w:val="00D00F92"/>
    <w:rsid w:val="00D010A6"/>
    <w:rsid w:val="00D01146"/>
    <w:rsid w:val="00D0165B"/>
    <w:rsid w:val="00D01875"/>
    <w:rsid w:val="00D019F0"/>
    <w:rsid w:val="00D01E8D"/>
    <w:rsid w:val="00D02078"/>
    <w:rsid w:val="00D025CF"/>
    <w:rsid w:val="00D02BBC"/>
    <w:rsid w:val="00D030DC"/>
    <w:rsid w:val="00D03526"/>
    <w:rsid w:val="00D0391E"/>
    <w:rsid w:val="00D0392C"/>
    <w:rsid w:val="00D03EAA"/>
    <w:rsid w:val="00D04027"/>
    <w:rsid w:val="00D040ED"/>
    <w:rsid w:val="00D04269"/>
    <w:rsid w:val="00D04A73"/>
    <w:rsid w:val="00D0568D"/>
    <w:rsid w:val="00D05728"/>
    <w:rsid w:val="00D05BF4"/>
    <w:rsid w:val="00D06082"/>
    <w:rsid w:val="00D06690"/>
    <w:rsid w:val="00D06746"/>
    <w:rsid w:val="00D06AB2"/>
    <w:rsid w:val="00D06B83"/>
    <w:rsid w:val="00D06C9B"/>
    <w:rsid w:val="00D06DCE"/>
    <w:rsid w:val="00D07057"/>
    <w:rsid w:val="00D072E0"/>
    <w:rsid w:val="00D07336"/>
    <w:rsid w:val="00D074FD"/>
    <w:rsid w:val="00D07631"/>
    <w:rsid w:val="00D10073"/>
    <w:rsid w:val="00D101CE"/>
    <w:rsid w:val="00D1045C"/>
    <w:rsid w:val="00D10C7E"/>
    <w:rsid w:val="00D10FC0"/>
    <w:rsid w:val="00D10FC2"/>
    <w:rsid w:val="00D11259"/>
    <w:rsid w:val="00D1162F"/>
    <w:rsid w:val="00D11980"/>
    <w:rsid w:val="00D127C8"/>
    <w:rsid w:val="00D12DE2"/>
    <w:rsid w:val="00D13426"/>
    <w:rsid w:val="00D13E3D"/>
    <w:rsid w:val="00D13FC9"/>
    <w:rsid w:val="00D143B2"/>
    <w:rsid w:val="00D14E0B"/>
    <w:rsid w:val="00D152B0"/>
    <w:rsid w:val="00D15E70"/>
    <w:rsid w:val="00D162D2"/>
    <w:rsid w:val="00D16380"/>
    <w:rsid w:val="00D1659C"/>
    <w:rsid w:val="00D16607"/>
    <w:rsid w:val="00D166C6"/>
    <w:rsid w:val="00D16835"/>
    <w:rsid w:val="00D16B7B"/>
    <w:rsid w:val="00D16D8F"/>
    <w:rsid w:val="00D171D8"/>
    <w:rsid w:val="00D1767F"/>
    <w:rsid w:val="00D17DA7"/>
    <w:rsid w:val="00D20282"/>
    <w:rsid w:val="00D2028C"/>
    <w:rsid w:val="00D2045D"/>
    <w:rsid w:val="00D209FE"/>
    <w:rsid w:val="00D20A70"/>
    <w:rsid w:val="00D20F6F"/>
    <w:rsid w:val="00D21380"/>
    <w:rsid w:val="00D219E2"/>
    <w:rsid w:val="00D21E27"/>
    <w:rsid w:val="00D22264"/>
    <w:rsid w:val="00D2243C"/>
    <w:rsid w:val="00D227AA"/>
    <w:rsid w:val="00D239B1"/>
    <w:rsid w:val="00D23AE5"/>
    <w:rsid w:val="00D23EFD"/>
    <w:rsid w:val="00D23F08"/>
    <w:rsid w:val="00D243AA"/>
    <w:rsid w:val="00D24616"/>
    <w:rsid w:val="00D24FEE"/>
    <w:rsid w:val="00D25A5D"/>
    <w:rsid w:val="00D266A8"/>
    <w:rsid w:val="00D26912"/>
    <w:rsid w:val="00D2740E"/>
    <w:rsid w:val="00D2743B"/>
    <w:rsid w:val="00D2775B"/>
    <w:rsid w:val="00D27CB9"/>
    <w:rsid w:val="00D27EB9"/>
    <w:rsid w:val="00D304B7"/>
    <w:rsid w:val="00D3059A"/>
    <w:rsid w:val="00D30D6C"/>
    <w:rsid w:val="00D312F9"/>
    <w:rsid w:val="00D316BF"/>
    <w:rsid w:val="00D31972"/>
    <w:rsid w:val="00D31E46"/>
    <w:rsid w:val="00D32983"/>
    <w:rsid w:val="00D32995"/>
    <w:rsid w:val="00D32B05"/>
    <w:rsid w:val="00D32C3D"/>
    <w:rsid w:val="00D332B2"/>
    <w:rsid w:val="00D33774"/>
    <w:rsid w:val="00D347C5"/>
    <w:rsid w:val="00D34848"/>
    <w:rsid w:val="00D34C41"/>
    <w:rsid w:val="00D354AB"/>
    <w:rsid w:val="00D35588"/>
    <w:rsid w:val="00D35ABF"/>
    <w:rsid w:val="00D35ADF"/>
    <w:rsid w:val="00D35E0F"/>
    <w:rsid w:val="00D35E55"/>
    <w:rsid w:val="00D36056"/>
    <w:rsid w:val="00D365B0"/>
    <w:rsid w:val="00D365BB"/>
    <w:rsid w:val="00D36663"/>
    <w:rsid w:val="00D36AB0"/>
    <w:rsid w:val="00D36F6A"/>
    <w:rsid w:val="00D37151"/>
    <w:rsid w:val="00D374F6"/>
    <w:rsid w:val="00D378FE"/>
    <w:rsid w:val="00D379AF"/>
    <w:rsid w:val="00D40032"/>
    <w:rsid w:val="00D40C0E"/>
    <w:rsid w:val="00D41238"/>
    <w:rsid w:val="00D41F27"/>
    <w:rsid w:val="00D41F6D"/>
    <w:rsid w:val="00D42861"/>
    <w:rsid w:val="00D42A67"/>
    <w:rsid w:val="00D42C75"/>
    <w:rsid w:val="00D42DF7"/>
    <w:rsid w:val="00D4357B"/>
    <w:rsid w:val="00D43759"/>
    <w:rsid w:val="00D438AC"/>
    <w:rsid w:val="00D44251"/>
    <w:rsid w:val="00D442F5"/>
    <w:rsid w:val="00D443D8"/>
    <w:rsid w:val="00D4477C"/>
    <w:rsid w:val="00D44ADB"/>
    <w:rsid w:val="00D44FD8"/>
    <w:rsid w:val="00D452AB"/>
    <w:rsid w:val="00D4589F"/>
    <w:rsid w:val="00D4609A"/>
    <w:rsid w:val="00D460A5"/>
    <w:rsid w:val="00D46613"/>
    <w:rsid w:val="00D46807"/>
    <w:rsid w:val="00D46DE5"/>
    <w:rsid w:val="00D46F7C"/>
    <w:rsid w:val="00D4701A"/>
    <w:rsid w:val="00D471DC"/>
    <w:rsid w:val="00D476D6"/>
    <w:rsid w:val="00D47F7C"/>
    <w:rsid w:val="00D5053C"/>
    <w:rsid w:val="00D506DC"/>
    <w:rsid w:val="00D508A5"/>
    <w:rsid w:val="00D50928"/>
    <w:rsid w:val="00D50AFD"/>
    <w:rsid w:val="00D50B5D"/>
    <w:rsid w:val="00D513AE"/>
    <w:rsid w:val="00D5145F"/>
    <w:rsid w:val="00D51760"/>
    <w:rsid w:val="00D519C0"/>
    <w:rsid w:val="00D51B63"/>
    <w:rsid w:val="00D51CA7"/>
    <w:rsid w:val="00D520AA"/>
    <w:rsid w:val="00D52AD9"/>
    <w:rsid w:val="00D53233"/>
    <w:rsid w:val="00D535AD"/>
    <w:rsid w:val="00D538F2"/>
    <w:rsid w:val="00D53C4A"/>
    <w:rsid w:val="00D53C73"/>
    <w:rsid w:val="00D54188"/>
    <w:rsid w:val="00D544B6"/>
    <w:rsid w:val="00D544D9"/>
    <w:rsid w:val="00D54811"/>
    <w:rsid w:val="00D54E31"/>
    <w:rsid w:val="00D5503E"/>
    <w:rsid w:val="00D553AB"/>
    <w:rsid w:val="00D557AD"/>
    <w:rsid w:val="00D563B2"/>
    <w:rsid w:val="00D56918"/>
    <w:rsid w:val="00D56BB6"/>
    <w:rsid w:val="00D56DF2"/>
    <w:rsid w:val="00D57665"/>
    <w:rsid w:val="00D576C4"/>
    <w:rsid w:val="00D57BD6"/>
    <w:rsid w:val="00D57E7F"/>
    <w:rsid w:val="00D601EA"/>
    <w:rsid w:val="00D60B7A"/>
    <w:rsid w:val="00D61108"/>
    <w:rsid w:val="00D619DC"/>
    <w:rsid w:val="00D6291F"/>
    <w:rsid w:val="00D62CEB"/>
    <w:rsid w:val="00D62DF2"/>
    <w:rsid w:val="00D62E30"/>
    <w:rsid w:val="00D63434"/>
    <w:rsid w:val="00D635E4"/>
    <w:rsid w:val="00D6371D"/>
    <w:rsid w:val="00D63A0E"/>
    <w:rsid w:val="00D63DBE"/>
    <w:rsid w:val="00D6418C"/>
    <w:rsid w:val="00D64364"/>
    <w:rsid w:val="00D64570"/>
    <w:rsid w:val="00D645D3"/>
    <w:rsid w:val="00D64A86"/>
    <w:rsid w:val="00D65846"/>
    <w:rsid w:val="00D658CF"/>
    <w:rsid w:val="00D659E5"/>
    <w:rsid w:val="00D66387"/>
    <w:rsid w:val="00D666E8"/>
    <w:rsid w:val="00D669A7"/>
    <w:rsid w:val="00D67270"/>
    <w:rsid w:val="00D67272"/>
    <w:rsid w:val="00D674D6"/>
    <w:rsid w:val="00D6752F"/>
    <w:rsid w:val="00D678A4"/>
    <w:rsid w:val="00D67CA4"/>
    <w:rsid w:val="00D67D9E"/>
    <w:rsid w:val="00D711E2"/>
    <w:rsid w:val="00D714F4"/>
    <w:rsid w:val="00D71832"/>
    <w:rsid w:val="00D71AD5"/>
    <w:rsid w:val="00D71C4F"/>
    <w:rsid w:val="00D722DF"/>
    <w:rsid w:val="00D727B1"/>
    <w:rsid w:val="00D72BDD"/>
    <w:rsid w:val="00D72E7F"/>
    <w:rsid w:val="00D73C7D"/>
    <w:rsid w:val="00D74294"/>
    <w:rsid w:val="00D742A9"/>
    <w:rsid w:val="00D7430A"/>
    <w:rsid w:val="00D746BA"/>
    <w:rsid w:val="00D74D84"/>
    <w:rsid w:val="00D74E0E"/>
    <w:rsid w:val="00D74F01"/>
    <w:rsid w:val="00D74FE6"/>
    <w:rsid w:val="00D75602"/>
    <w:rsid w:val="00D7578B"/>
    <w:rsid w:val="00D7590E"/>
    <w:rsid w:val="00D75C50"/>
    <w:rsid w:val="00D75F1D"/>
    <w:rsid w:val="00D75F32"/>
    <w:rsid w:val="00D76003"/>
    <w:rsid w:val="00D761DE"/>
    <w:rsid w:val="00D76BC0"/>
    <w:rsid w:val="00D76F40"/>
    <w:rsid w:val="00D77295"/>
    <w:rsid w:val="00D801C0"/>
    <w:rsid w:val="00D80766"/>
    <w:rsid w:val="00D8111E"/>
    <w:rsid w:val="00D81AA8"/>
    <w:rsid w:val="00D82054"/>
    <w:rsid w:val="00D82276"/>
    <w:rsid w:val="00D825E7"/>
    <w:rsid w:val="00D826AB"/>
    <w:rsid w:val="00D828CC"/>
    <w:rsid w:val="00D828D2"/>
    <w:rsid w:val="00D82ADD"/>
    <w:rsid w:val="00D82AEF"/>
    <w:rsid w:val="00D82E30"/>
    <w:rsid w:val="00D832BC"/>
    <w:rsid w:val="00D832DB"/>
    <w:rsid w:val="00D8344A"/>
    <w:rsid w:val="00D835CE"/>
    <w:rsid w:val="00D83C31"/>
    <w:rsid w:val="00D84092"/>
    <w:rsid w:val="00D84504"/>
    <w:rsid w:val="00D845E3"/>
    <w:rsid w:val="00D8503C"/>
    <w:rsid w:val="00D854EB"/>
    <w:rsid w:val="00D8591E"/>
    <w:rsid w:val="00D85F36"/>
    <w:rsid w:val="00D8616D"/>
    <w:rsid w:val="00D86733"/>
    <w:rsid w:val="00D869C8"/>
    <w:rsid w:val="00D86DF2"/>
    <w:rsid w:val="00D871C7"/>
    <w:rsid w:val="00D87C4F"/>
    <w:rsid w:val="00D90171"/>
    <w:rsid w:val="00D903A1"/>
    <w:rsid w:val="00D90908"/>
    <w:rsid w:val="00D9186B"/>
    <w:rsid w:val="00D91BD5"/>
    <w:rsid w:val="00D91FC2"/>
    <w:rsid w:val="00D92408"/>
    <w:rsid w:val="00D93418"/>
    <w:rsid w:val="00D93B87"/>
    <w:rsid w:val="00D93C08"/>
    <w:rsid w:val="00D945F6"/>
    <w:rsid w:val="00D9507F"/>
    <w:rsid w:val="00D95445"/>
    <w:rsid w:val="00D95484"/>
    <w:rsid w:val="00D959D3"/>
    <w:rsid w:val="00D95B08"/>
    <w:rsid w:val="00D9668C"/>
    <w:rsid w:val="00D96934"/>
    <w:rsid w:val="00D97675"/>
    <w:rsid w:val="00D97734"/>
    <w:rsid w:val="00D97E1D"/>
    <w:rsid w:val="00D97E9C"/>
    <w:rsid w:val="00DA042E"/>
    <w:rsid w:val="00DA0468"/>
    <w:rsid w:val="00DA05B9"/>
    <w:rsid w:val="00DA0E2F"/>
    <w:rsid w:val="00DA0F8F"/>
    <w:rsid w:val="00DA10AB"/>
    <w:rsid w:val="00DA1293"/>
    <w:rsid w:val="00DA1B84"/>
    <w:rsid w:val="00DA1C05"/>
    <w:rsid w:val="00DA21CD"/>
    <w:rsid w:val="00DA2557"/>
    <w:rsid w:val="00DA2A51"/>
    <w:rsid w:val="00DA2CA7"/>
    <w:rsid w:val="00DA3083"/>
    <w:rsid w:val="00DA3D6C"/>
    <w:rsid w:val="00DA41FE"/>
    <w:rsid w:val="00DA4B3F"/>
    <w:rsid w:val="00DA4B7B"/>
    <w:rsid w:val="00DA583A"/>
    <w:rsid w:val="00DA5B04"/>
    <w:rsid w:val="00DA6E59"/>
    <w:rsid w:val="00DA6F87"/>
    <w:rsid w:val="00DA70B3"/>
    <w:rsid w:val="00DA73B6"/>
    <w:rsid w:val="00DA7B2E"/>
    <w:rsid w:val="00DB01F5"/>
    <w:rsid w:val="00DB072D"/>
    <w:rsid w:val="00DB0824"/>
    <w:rsid w:val="00DB0C5B"/>
    <w:rsid w:val="00DB0D0A"/>
    <w:rsid w:val="00DB1458"/>
    <w:rsid w:val="00DB195A"/>
    <w:rsid w:val="00DB1F50"/>
    <w:rsid w:val="00DB2238"/>
    <w:rsid w:val="00DB2661"/>
    <w:rsid w:val="00DB280A"/>
    <w:rsid w:val="00DB2AEA"/>
    <w:rsid w:val="00DB32A6"/>
    <w:rsid w:val="00DB343A"/>
    <w:rsid w:val="00DB399A"/>
    <w:rsid w:val="00DB3EE4"/>
    <w:rsid w:val="00DB3F2F"/>
    <w:rsid w:val="00DB45BF"/>
    <w:rsid w:val="00DB45F7"/>
    <w:rsid w:val="00DB49D3"/>
    <w:rsid w:val="00DB49EA"/>
    <w:rsid w:val="00DB4A21"/>
    <w:rsid w:val="00DB5440"/>
    <w:rsid w:val="00DB56C9"/>
    <w:rsid w:val="00DB56F8"/>
    <w:rsid w:val="00DB5781"/>
    <w:rsid w:val="00DB5AD9"/>
    <w:rsid w:val="00DB5BCC"/>
    <w:rsid w:val="00DB6091"/>
    <w:rsid w:val="00DB6B13"/>
    <w:rsid w:val="00DB6B16"/>
    <w:rsid w:val="00DB6B5E"/>
    <w:rsid w:val="00DB6BEA"/>
    <w:rsid w:val="00DB6DBF"/>
    <w:rsid w:val="00DB7033"/>
    <w:rsid w:val="00DB7068"/>
    <w:rsid w:val="00DB748E"/>
    <w:rsid w:val="00DB74F3"/>
    <w:rsid w:val="00DB76C4"/>
    <w:rsid w:val="00DB778F"/>
    <w:rsid w:val="00DB78FA"/>
    <w:rsid w:val="00DB7B16"/>
    <w:rsid w:val="00DC0618"/>
    <w:rsid w:val="00DC097E"/>
    <w:rsid w:val="00DC0B74"/>
    <w:rsid w:val="00DC123D"/>
    <w:rsid w:val="00DC15E1"/>
    <w:rsid w:val="00DC1D6D"/>
    <w:rsid w:val="00DC2062"/>
    <w:rsid w:val="00DC23E4"/>
    <w:rsid w:val="00DC28F5"/>
    <w:rsid w:val="00DC2F5C"/>
    <w:rsid w:val="00DC3655"/>
    <w:rsid w:val="00DC3903"/>
    <w:rsid w:val="00DC3B4F"/>
    <w:rsid w:val="00DC3F03"/>
    <w:rsid w:val="00DC4270"/>
    <w:rsid w:val="00DC42CF"/>
    <w:rsid w:val="00DC4331"/>
    <w:rsid w:val="00DC459C"/>
    <w:rsid w:val="00DC4982"/>
    <w:rsid w:val="00DC56B5"/>
    <w:rsid w:val="00DC5B69"/>
    <w:rsid w:val="00DC5CA9"/>
    <w:rsid w:val="00DC60CA"/>
    <w:rsid w:val="00DC668D"/>
    <w:rsid w:val="00DD076D"/>
    <w:rsid w:val="00DD0D9E"/>
    <w:rsid w:val="00DD10F2"/>
    <w:rsid w:val="00DD141C"/>
    <w:rsid w:val="00DD144A"/>
    <w:rsid w:val="00DD1763"/>
    <w:rsid w:val="00DD421F"/>
    <w:rsid w:val="00DD4323"/>
    <w:rsid w:val="00DD4DED"/>
    <w:rsid w:val="00DD4FFD"/>
    <w:rsid w:val="00DD554E"/>
    <w:rsid w:val="00DD56E3"/>
    <w:rsid w:val="00DD5A3D"/>
    <w:rsid w:val="00DD5BC3"/>
    <w:rsid w:val="00DD6047"/>
    <w:rsid w:val="00DD60FD"/>
    <w:rsid w:val="00DD67C9"/>
    <w:rsid w:val="00DD6AE2"/>
    <w:rsid w:val="00DD6D3F"/>
    <w:rsid w:val="00DD6F60"/>
    <w:rsid w:val="00DD73B1"/>
    <w:rsid w:val="00DD75EE"/>
    <w:rsid w:val="00DE0606"/>
    <w:rsid w:val="00DE0F99"/>
    <w:rsid w:val="00DE10D8"/>
    <w:rsid w:val="00DE18B0"/>
    <w:rsid w:val="00DE1B07"/>
    <w:rsid w:val="00DE1D8A"/>
    <w:rsid w:val="00DE217E"/>
    <w:rsid w:val="00DE2318"/>
    <w:rsid w:val="00DE2403"/>
    <w:rsid w:val="00DE25B7"/>
    <w:rsid w:val="00DE275B"/>
    <w:rsid w:val="00DE2B02"/>
    <w:rsid w:val="00DE2C46"/>
    <w:rsid w:val="00DE2CC9"/>
    <w:rsid w:val="00DE2DA1"/>
    <w:rsid w:val="00DE2F89"/>
    <w:rsid w:val="00DE302D"/>
    <w:rsid w:val="00DE319F"/>
    <w:rsid w:val="00DE3EA8"/>
    <w:rsid w:val="00DE432F"/>
    <w:rsid w:val="00DE434C"/>
    <w:rsid w:val="00DE4806"/>
    <w:rsid w:val="00DE4B75"/>
    <w:rsid w:val="00DE4E7F"/>
    <w:rsid w:val="00DE4F05"/>
    <w:rsid w:val="00DE5AC5"/>
    <w:rsid w:val="00DE5EBF"/>
    <w:rsid w:val="00DE621A"/>
    <w:rsid w:val="00DE63BB"/>
    <w:rsid w:val="00DE665B"/>
    <w:rsid w:val="00DE6E20"/>
    <w:rsid w:val="00DE7A0B"/>
    <w:rsid w:val="00DE7D6B"/>
    <w:rsid w:val="00DF0826"/>
    <w:rsid w:val="00DF0FDE"/>
    <w:rsid w:val="00DF11B5"/>
    <w:rsid w:val="00DF14AC"/>
    <w:rsid w:val="00DF1B5B"/>
    <w:rsid w:val="00DF2073"/>
    <w:rsid w:val="00DF2521"/>
    <w:rsid w:val="00DF27C8"/>
    <w:rsid w:val="00DF3136"/>
    <w:rsid w:val="00DF3601"/>
    <w:rsid w:val="00DF3686"/>
    <w:rsid w:val="00DF3756"/>
    <w:rsid w:val="00DF3785"/>
    <w:rsid w:val="00DF3FCC"/>
    <w:rsid w:val="00DF4917"/>
    <w:rsid w:val="00DF4DB4"/>
    <w:rsid w:val="00DF52F9"/>
    <w:rsid w:val="00DF594B"/>
    <w:rsid w:val="00DF5B60"/>
    <w:rsid w:val="00DF5D29"/>
    <w:rsid w:val="00DF5E65"/>
    <w:rsid w:val="00DF6450"/>
    <w:rsid w:val="00DF6752"/>
    <w:rsid w:val="00DF67B2"/>
    <w:rsid w:val="00DF6E53"/>
    <w:rsid w:val="00DF70C6"/>
    <w:rsid w:val="00DF750D"/>
    <w:rsid w:val="00DF7B5D"/>
    <w:rsid w:val="00DF7CF1"/>
    <w:rsid w:val="00DF7FF6"/>
    <w:rsid w:val="00E000EC"/>
    <w:rsid w:val="00E005FA"/>
    <w:rsid w:val="00E00A64"/>
    <w:rsid w:val="00E00F18"/>
    <w:rsid w:val="00E01A23"/>
    <w:rsid w:val="00E02A28"/>
    <w:rsid w:val="00E032A3"/>
    <w:rsid w:val="00E04249"/>
    <w:rsid w:val="00E045DE"/>
    <w:rsid w:val="00E04BD9"/>
    <w:rsid w:val="00E04E02"/>
    <w:rsid w:val="00E05414"/>
    <w:rsid w:val="00E055C6"/>
    <w:rsid w:val="00E0590D"/>
    <w:rsid w:val="00E05947"/>
    <w:rsid w:val="00E05A6F"/>
    <w:rsid w:val="00E05AA0"/>
    <w:rsid w:val="00E06686"/>
    <w:rsid w:val="00E0682C"/>
    <w:rsid w:val="00E06B95"/>
    <w:rsid w:val="00E07855"/>
    <w:rsid w:val="00E079DD"/>
    <w:rsid w:val="00E10198"/>
    <w:rsid w:val="00E1050F"/>
    <w:rsid w:val="00E106AE"/>
    <w:rsid w:val="00E1098B"/>
    <w:rsid w:val="00E1136A"/>
    <w:rsid w:val="00E117EB"/>
    <w:rsid w:val="00E1194B"/>
    <w:rsid w:val="00E11EA1"/>
    <w:rsid w:val="00E12CD1"/>
    <w:rsid w:val="00E1345A"/>
    <w:rsid w:val="00E13469"/>
    <w:rsid w:val="00E1375F"/>
    <w:rsid w:val="00E1392A"/>
    <w:rsid w:val="00E13A54"/>
    <w:rsid w:val="00E13A70"/>
    <w:rsid w:val="00E13FA4"/>
    <w:rsid w:val="00E149CB"/>
    <w:rsid w:val="00E14B7B"/>
    <w:rsid w:val="00E14DA1"/>
    <w:rsid w:val="00E15550"/>
    <w:rsid w:val="00E157C1"/>
    <w:rsid w:val="00E158E8"/>
    <w:rsid w:val="00E15AF6"/>
    <w:rsid w:val="00E15E8A"/>
    <w:rsid w:val="00E170FC"/>
    <w:rsid w:val="00E17327"/>
    <w:rsid w:val="00E17E8A"/>
    <w:rsid w:val="00E17EA8"/>
    <w:rsid w:val="00E20167"/>
    <w:rsid w:val="00E203EC"/>
    <w:rsid w:val="00E206F5"/>
    <w:rsid w:val="00E208B6"/>
    <w:rsid w:val="00E2137E"/>
    <w:rsid w:val="00E21B98"/>
    <w:rsid w:val="00E21CB9"/>
    <w:rsid w:val="00E2213D"/>
    <w:rsid w:val="00E2232B"/>
    <w:rsid w:val="00E22801"/>
    <w:rsid w:val="00E22B0E"/>
    <w:rsid w:val="00E22BBF"/>
    <w:rsid w:val="00E22C02"/>
    <w:rsid w:val="00E22E19"/>
    <w:rsid w:val="00E22E6D"/>
    <w:rsid w:val="00E23357"/>
    <w:rsid w:val="00E235AE"/>
    <w:rsid w:val="00E23634"/>
    <w:rsid w:val="00E2381C"/>
    <w:rsid w:val="00E23AA1"/>
    <w:rsid w:val="00E23B46"/>
    <w:rsid w:val="00E23CBD"/>
    <w:rsid w:val="00E24175"/>
    <w:rsid w:val="00E242FF"/>
    <w:rsid w:val="00E24C00"/>
    <w:rsid w:val="00E250A4"/>
    <w:rsid w:val="00E25234"/>
    <w:rsid w:val="00E2536A"/>
    <w:rsid w:val="00E255F5"/>
    <w:rsid w:val="00E2560B"/>
    <w:rsid w:val="00E2584F"/>
    <w:rsid w:val="00E25913"/>
    <w:rsid w:val="00E25F68"/>
    <w:rsid w:val="00E267EC"/>
    <w:rsid w:val="00E268BD"/>
    <w:rsid w:val="00E26AA1"/>
    <w:rsid w:val="00E26CB9"/>
    <w:rsid w:val="00E270EE"/>
    <w:rsid w:val="00E27384"/>
    <w:rsid w:val="00E274D7"/>
    <w:rsid w:val="00E275CF"/>
    <w:rsid w:val="00E276EA"/>
    <w:rsid w:val="00E27D92"/>
    <w:rsid w:val="00E30078"/>
    <w:rsid w:val="00E30289"/>
    <w:rsid w:val="00E302F2"/>
    <w:rsid w:val="00E303A2"/>
    <w:rsid w:val="00E30F36"/>
    <w:rsid w:val="00E3135F"/>
    <w:rsid w:val="00E314BD"/>
    <w:rsid w:val="00E31A97"/>
    <w:rsid w:val="00E320B1"/>
    <w:rsid w:val="00E3240B"/>
    <w:rsid w:val="00E32C9A"/>
    <w:rsid w:val="00E32CE7"/>
    <w:rsid w:val="00E334FC"/>
    <w:rsid w:val="00E343DF"/>
    <w:rsid w:val="00E34EED"/>
    <w:rsid w:val="00E35177"/>
    <w:rsid w:val="00E3561A"/>
    <w:rsid w:val="00E3565B"/>
    <w:rsid w:val="00E3661F"/>
    <w:rsid w:val="00E3753E"/>
    <w:rsid w:val="00E375C3"/>
    <w:rsid w:val="00E377B4"/>
    <w:rsid w:val="00E37AAE"/>
    <w:rsid w:val="00E37E05"/>
    <w:rsid w:val="00E403E9"/>
    <w:rsid w:val="00E40478"/>
    <w:rsid w:val="00E40811"/>
    <w:rsid w:val="00E40F26"/>
    <w:rsid w:val="00E4227B"/>
    <w:rsid w:val="00E44116"/>
    <w:rsid w:val="00E4427A"/>
    <w:rsid w:val="00E443D7"/>
    <w:rsid w:val="00E44A2B"/>
    <w:rsid w:val="00E44BFB"/>
    <w:rsid w:val="00E44C60"/>
    <w:rsid w:val="00E44D98"/>
    <w:rsid w:val="00E44E8C"/>
    <w:rsid w:val="00E44FFE"/>
    <w:rsid w:val="00E45510"/>
    <w:rsid w:val="00E45E2F"/>
    <w:rsid w:val="00E462A1"/>
    <w:rsid w:val="00E4631D"/>
    <w:rsid w:val="00E467CF"/>
    <w:rsid w:val="00E46F4A"/>
    <w:rsid w:val="00E47627"/>
    <w:rsid w:val="00E478FA"/>
    <w:rsid w:val="00E47A23"/>
    <w:rsid w:val="00E505D4"/>
    <w:rsid w:val="00E51139"/>
    <w:rsid w:val="00E51299"/>
    <w:rsid w:val="00E51B2A"/>
    <w:rsid w:val="00E51BBC"/>
    <w:rsid w:val="00E51FA8"/>
    <w:rsid w:val="00E521FD"/>
    <w:rsid w:val="00E522B8"/>
    <w:rsid w:val="00E5299B"/>
    <w:rsid w:val="00E5359E"/>
    <w:rsid w:val="00E53A5B"/>
    <w:rsid w:val="00E53E25"/>
    <w:rsid w:val="00E54006"/>
    <w:rsid w:val="00E5400B"/>
    <w:rsid w:val="00E5463F"/>
    <w:rsid w:val="00E549A6"/>
    <w:rsid w:val="00E54C9C"/>
    <w:rsid w:val="00E557EB"/>
    <w:rsid w:val="00E558B1"/>
    <w:rsid w:val="00E55907"/>
    <w:rsid w:val="00E55937"/>
    <w:rsid w:val="00E5648F"/>
    <w:rsid w:val="00E565CC"/>
    <w:rsid w:val="00E57328"/>
    <w:rsid w:val="00E60389"/>
    <w:rsid w:val="00E60A3B"/>
    <w:rsid w:val="00E60E92"/>
    <w:rsid w:val="00E6105B"/>
    <w:rsid w:val="00E6181F"/>
    <w:rsid w:val="00E61F36"/>
    <w:rsid w:val="00E62651"/>
    <w:rsid w:val="00E6317E"/>
    <w:rsid w:val="00E63BA9"/>
    <w:rsid w:val="00E6419B"/>
    <w:rsid w:val="00E64338"/>
    <w:rsid w:val="00E64405"/>
    <w:rsid w:val="00E64703"/>
    <w:rsid w:val="00E65113"/>
    <w:rsid w:val="00E651D8"/>
    <w:rsid w:val="00E65E80"/>
    <w:rsid w:val="00E661A2"/>
    <w:rsid w:val="00E667D0"/>
    <w:rsid w:val="00E671FB"/>
    <w:rsid w:val="00E67F85"/>
    <w:rsid w:val="00E70413"/>
    <w:rsid w:val="00E70766"/>
    <w:rsid w:val="00E7089E"/>
    <w:rsid w:val="00E70A2E"/>
    <w:rsid w:val="00E70C55"/>
    <w:rsid w:val="00E7110A"/>
    <w:rsid w:val="00E711F6"/>
    <w:rsid w:val="00E71910"/>
    <w:rsid w:val="00E71DD3"/>
    <w:rsid w:val="00E71F38"/>
    <w:rsid w:val="00E7238E"/>
    <w:rsid w:val="00E724C1"/>
    <w:rsid w:val="00E7274C"/>
    <w:rsid w:val="00E72829"/>
    <w:rsid w:val="00E7298F"/>
    <w:rsid w:val="00E72B72"/>
    <w:rsid w:val="00E7307D"/>
    <w:rsid w:val="00E73195"/>
    <w:rsid w:val="00E73229"/>
    <w:rsid w:val="00E73918"/>
    <w:rsid w:val="00E739C5"/>
    <w:rsid w:val="00E73A1E"/>
    <w:rsid w:val="00E73B92"/>
    <w:rsid w:val="00E73FAD"/>
    <w:rsid w:val="00E742BB"/>
    <w:rsid w:val="00E7440A"/>
    <w:rsid w:val="00E7466C"/>
    <w:rsid w:val="00E748DB"/>
    <w:rsid w:val="00E74E51"/>
    <w:rsid w:val="00E74ECC"/>
    <w:rsid w:val="00E75284"/>
    <w:rsid w:val="00E75327"/>
    <w:rsid w:val="00E75777"/>
    <w:rsid w:val="00E75A71"/>
    <w:rsid w:val="00E75D33"/>
    <w:rsid w:val="00E76EF8"/>
    <w:rsid w:val="00E77164"/>
    <w:rsid w:val="00E773FA"/>
    <w:rsid w:val="00E7772F"/>
    <w:rsid w:val="00E77A8C"/>
    <w:rsid w:val="00E77AE0"/>
    <w:rsid w:val="00E80205"/>
    <w:rsid w:val="00E803C6"/>
    <w:rsid w:val="00E8069A"/>
    <w:rsid w:val="00E80F61"/>
    <w:rsid w:val="00E8108A"/>
    <w:rsid w:val="00E813D3"/>
    <w:rsid w:val="00E815D9"/>
    <w:rsid w:val="00E8174B"/>
    <w:rsid w:val="00E818C4"/>
    <w:rsid w:val="00E81E12"/>
    <w:rsid w:val="00E81F72"/>
    <w:rsid w:val="00E82557"/>
    <w:rsid w:val="00E82591"/>
    <w:rsid w:val="00E827C3"/>
    <w:rsid w:val="00E8295B"/>
    <w:rsid w:val="00E82FA6"/>
    <w:rsid w:val="00E8358B"/>
    <w:rsid w:val="00E841BA"/>
    <w:rsid w:val="00E84540"/>
    <w:rsid w:val="00E847B0"/>
    <w:rsid w:val="00E84DFD"/>
    <w:rsid w:val="00E854A5"/>
    <w:rsid w:val="00E854EB"/>
    <w:rsid w:val="00E8557D"/>
    <w:rsid w:val="00E85728"/>
    <w:rsid w:val="00E85775"/>
    <w:rsid w:val="00E85E27"/>
    <w:rsid w:val="00E85FEB"/>
    <w:rsid w:val="00E86078"/>
    <w:rsid w:val="00E86230"/>
    <w:rsid w:val="00E866CA"/>
    <w:rsid w:val="00E868E1"/>
    <w:rsid w:val="00E87486"/>
    <w:rsid w:val="00E874D6"/>
    <w:rsid w:val="00E87980"/>
    <w:rsid w:val="00E87AEE"/>
    <w:rsid w:val="00E9031A"/>
    <w:rsid w:val="00E90ABA"/>
    <w:rsid w:val="00E912EF"/>
    <w:rsid w:val="00E91C32"/>
    <w:rsid w:val="00E91F6A"/>
    <w:rsid w:val="00E91FE6"/>
    <w:rsid w:val="00E9386D"/>
    <w:rsid w:val="00E93FE1"/>
    <w:rsid w:val="00E9461D"/>
    <w:rsid w:val="00E94662"/>
    <w:rsid w:val="00E94B70"/>
    <w:rsid w:val="00E9549A"/>
    <w:rsid w:val="00E95530"/>
    <w:rsid w:val="00E95894"/>
    <w:rsid w:val="00E96BF9"/>
    <w:rsid w:val="00E97046"/>
    <w:rsid w:val="00E97310"/>
    <w:rsid w:val="00E9774A"/>
    <w:rsid w:val="00E97907"/>
    <w:rsid w:val="00E97B0B"/>
    <w:rsid w:val="00E97C09"/>
    <w:rsid w:val="00E97D8A"/>
    <w:rsid w:val="00EA0237"/>
    <w:rsid w:val="00EA03B2"/>
    <w:rsid w:val="00EA042A"/>
    <w:rsid w:val="00EA05C6"/>
    <w:rsid w:val="00EA09E5"/>
    <w:rsid w:val="00EA0F0B"/>
    <w:rsid w:val="00EA0F9D"/>
    <w:rsid w:val="00EA1504"/>
    <w:rsid w:val="00EA29FC"/>
    <w:rsid w:val="00EA2AEA"/>
    <w:rsid w:val="00EA3DBF"/>
    <w:rsid w:val="00EA4B3C"/>
    <w:rsid w:val="00EA4CD7"/>
    <w:rsid w:val="00EA5192"/>
    <w:rsid w:val="00EA51B8"/>
    <w:rsid w:val="00EA51C5"/>
    <w:rsid w:val="00EA51E4"/>
    <w:rsid w:val="00EA527A"/>
    <w:rsid w:val="00EA5297"/>
    <w:rsid w:val="00EA5D6E"/>
    <w:rsid w:val="00EA5E17"/>
    <w:rsid w:val="00EA6E75"/>
    <w:rsid w:val="00EA735D"/>
    <w:rsid w:val="00EA787C"/>
    <w:rsid w:val="00EA7BFF"/>
    <w:rsid w:val="00EB0007"/>
    <w:rsid w:val="00EB01B5"/>
    <w:rsid w:val="00EB01F9"/>
    <w:rsid w:val="00EB03CF"/>
    <w:rsid w:val="00EB0AE7"/>
    <w:rsid w:val="00EB1013"/>
    <w:rsid w:val="00EB108F"/>
    <w:rsid w:val="00EB109B"/>
    <w:rsid w:val="00EB10B5"/>
    <w:rsid w:val="00EB15C9"/>
    <w:rsid w:val="00EB1A3F"/>
    <w:rsid w:val="00EB1E1E"/>
    <w:rsid w:val="00EB2DA8"/>
    <w:rsid w:val="00EB3262"/>
    <w:rsid w:val="00EB3429"/>
    <w:rsid w:val="00EB358E"/>
    <w:rsid w:val="00EB37BE"/>
    <w:rsid w:val="00EB3B6B"/>
    <w:rsid w:val="00EB3DD6"/>
    <w:rsid w:val="00EB4155"/>
    <w:rsid w:val="00EB44CF"/>
    <w:rsid w:val="00EB4581"/>
    <w:rsid w:val="00EB48CE"/>
    <w:rsid w:val="00EB5470"/>
    <w:rsid w:val="00EB6824"/>
    <w:rsid w:val="00EB6835"/>
    <w:rsid w:val="00EB6DC1"/>
    <w:rsid w:val="00EB7496"/>
    <w:rsid w:val="00EB74CA"/>
    <w:rsid w:val="00EB7CE8"/>
    <w:rsid w:val="00EB7D48"/>
    <w:rsid w:val="00EB7F13"/>
    <w:rsid w:val="00EC02D1"/>
    <w:rsid w:val="00EC04DB"/>
    <w:rsid w:val="00EC0ACA"/>
    <w:rsid w:val="00EC0FC8"/>
    <w:rsid w:val="00EC1CB7"/>
    <w:rsid w:val="00EC1FDB"/>
    <w:rsid w:val="00EC21E8"/>
    <w:rsid w:val="00EC295B"/>
    <w:rsid w:val="00EC2AC8"/>
    <w:rsid w:val="00EC2C66"/>
    <w:rsid w:val="00EC3300"/>
    <w:rsid w:val="00EC427A"/>
    <w:rsid w:val="00EC4335"/>
    <w:rsid w:val="00EC45AD"/>
    <w:rsid w:val="00EC4B28"/>
    <w:rsid w:val="00EC4F87"/>
    <w:rsid w:val="00EC505D"/>
    <w:rsid w:val="00EC559D"/>
    <w:rsid w:val="00EC55D2"/>
    <w:rsid w:val="00EC5D7E"/>
    <w:rsid w:val="00EC5DA3"/>
    <w:rsid w:val="00EC62EC"/>
    <w:rsid w:val="00EC7275"/>
    <w:rsid w:val="00EC78C0"/>
    <w:rsid w:val="00EC7D6B"/>
    <w:rsid w:val="00ED052A"/>
    <w:rsid w:val="00ED097E"/>
    <w:rsid w:val="00ED0EB2"/>
    <w:rsid w:val="00ED125C"/>
    <w:rsid w:val="00ED152B"/>
    <w:rsid w:val="00ED1A27"/>
    <w:rsid w:val="00ED220F"/>
    <w:rsid w:val="00ED324D"/>
    <w:rsid w:val="00ED4096"/>
    <w:rsid w:val="00ED42DB"/>
    <w:rsid w:val="00ED58BF"/>
    <w:rsid w:val="00ED6029"/>
    <w:rsid w:val="00ED6302"/>
    <w:rsid w:val="00ED63B7"/>
    <w:rsid w:val="00ED64DB"/>
    <w:rsid w:val="00ED663F"/>
    <w:rsid w:val="00ED6D8F"/>
    <w:rsid w:val="00EE0331"/>
    <w:rsid w:val="00EE03DA"/>
    <w:rsid w:val="00EE09CC"/>
    <w:rsid w:val="00EE0AC2"/>
    <w:rsid w:val="00EE149E"/>
    <w:rsid w:val="00EE1B97"/>
    <w:rsid w:val="00EE1ECC"/>
    <w:rsid w:val="00EE1F30"/>
    <w:rsid w:val="00EE2921"/>
    <w:rsid w:val="00EE2D55"/>
    <w:rsid w:val="00EE3338"/>
    <w:rsid w:val="00EE3383"/>
    <w:rsid w:val="00EE35EC"/>
    <w:rsid w:val="00EE47D1"/>
    <w:rsid w:val="00EE4A6D"/>
    <w:rsid w:val="00EE4D85"/>
    <w:rsid w:val="00EE5F03"/>
    <w:rsid w:val="00EE602E"/>
    <w:rsid w:val="00EE63D5"/>
    <w:rsid w:val="00EE6BB9"/>
    <w:rsid w:val="00EE6E50"/>
    <w:rsid w:val="00EE7632"/>
    <w:rsid w:val="00EE76C3"/>
    <w:rsid w:val="00EE772F"/>
    <w:rsid w:val="00EE79EE"/>
    <w:rsid w:val="00EE7D69"/>
    <w:rsid w:val="00EE7DFA"/>
    <w:rsid w:val="00EE7FE5"/>
    <w:rsid w:val="00EF0107"/>
    <w:rsid w:val="00EF02FF"/>
    <w:rsid w:val="00EF041D"/>
    <w:rsid w:val="00EF0505"/>
    <w:rsid w:val="00EF09B8"/>
    <w:rsid w:val="00EF0C9C"/>
    <w:rsid w:val="00EF103E"/>
    <w:rsid w:val="00EF1730"/>
    <w:rsid w:val="00EF199A"/>
    <w:rsid w:val="00EF1BA5"/>
    <w:rsid w:val="00EF1BF9"/>
    <w:rsid w:val="00EF1DF1"/>
    <w:rsid w:val="00EF22EE"/>
    <w:rsid w:val="00EF25AE"/>
    <w:rsid w:val="00EF2734"/>
    <w:rsid w:val="00EF285B"/>
    <w:rsid w:val="00EF2C53"/>
    <w:rsid w:val="00EF3D54"/>
    <w:rsid w:val="00EF4518"/>
    <w:rsid w:val="00EF4BF0"/>
    <w:rsid w:val="00EF53E5"/>
    <w:rsid w:val="00EF58A6"/>
    <w:rsid w:val="00EF5A29"/>
    <w:rsid w:val="00EF5BAB"/>
    <w:rsid w:val="00EF60B4"/>
    <w:rsid w:val="00EF6648"/>
    <w:rsid w:val="00EF70FD"/>
    <w:rsid w:val="00EF72BD"/>
    <w:rsid w:val="00EF78FD"/>
    <w:rsid w:val="00EF7F12"/>
    <w:rsid w:val="00F000E8"/>
    <w:rsid w:val="00F0010B"/>
    <w:rsid w:val="00F003FA"/>
    <w:rsid w:val="00F0066D"/>
    <w:rsid w:val="00F00E0F"/>
    <w:rsid w:val="00F00F7B"/>
    <w:rsid w:val="00F01A6C"/>
    <w:rsid w:val="00F01B34"/>
    <w:rsid w:val="00F01CEA"/>
    <w:rsid w:val="00F01CF3"/>
    <w:rsid w:val="00F01FC9"/>
    <w:rsid w:val="00F02521"/>
    <w:rsid w:val="00F02551"/>
    <w:rsid w:val="00F0255D"/>
    <w:rsid w:val="00F02CB5"/>
    <w:rsid w:val="00F03C29"/>
    <w:rsid w:val="00F0450A"/>
    <w:rsid w:val="00F04BA5"/>
    <w:rsid w:val="00F0506A"/>
    <w:rsid w:val="00F055A6"/>
    <w:rsid w:val="00F058C8"/>
    <w:rsid w:val="00F05959"/>
    <w:rsid w:val="00F06359"/>
    <w:rsid w:val="00F06401"/>
    <w:rsid w:val="00F06DD4"/>
    <w:rsid w:val="00F06E7D"/>
    <w:rsid w:val="00F0743C"/>
    <w:rsid w:val="00F07DA0"/>
    <w:rsid w:val="00F07E35"/>
    <w:rsid w:val="00F07F7C"/>
    <w:rsid w:val="00F10211"/>
    <w:rsid w:val="00F10D35"/>
    <w:rsid w:val="00F112AC"/>
    <w:rsid w:val="00F112B6"/>
    <w:rsid w:val="00F1172B"/>
    <w:rsid w:val="00F11AA2"/>
    <w:rsid w:val="00F1213C"/>
    <w:rsid w:val="00F12738"/>
    <w:rsid w:val="00F12E4C"/>
    <w:rsid w:val="00F133E2"/>
    <w:rsid w:val="00F1455F"/>
    <w:rsid w:val="00F14BAB"/>
    <w:rsid w:val="00F15034"/>
    <w:rsid w:val="00F1596F"/>
    <w:rsid w:val="00F15CEB"/>
    <w:rsid w:val="00F15F89"/>
    <w:rsid w:val="00F162A9"/>
    <w:rsid w:val="00F164A6"/>
    <w:rsid w:val="00F16AED"/>
    <w:rsid w:val="00F16E41"/>
    <w:rsid w:val="00F176A8"/>
    <w:rsid w:val="00F178FB"/>
    <w:rsid w:val="00F2021D"/>
    <w:rsid w:val="00F21AAF"/>
    <w:rsid w:val="00F2281D"/>
    <w:rsid w:val="00F22B77"/>
    <w:rsid w:val="00F22EB1"/>
    <w:rsid w:val="00F23128"/>
    <w:rsid w:val="00F23605"/>
    <w:rsid w:val="00F2405D"/>
    <w:rsid w:val="00F245F8"/>
    <w:rsid w:val="00F249D1"/>
    <w:rsid w:val="00F24E0A"/>
    <w:rsid w:val="00F25257"/>
    <w:rsid w:val="00F2558D"/>
    <w:rsid w:val="00F25984"/>
    <w:rsid w:val="00F26333"/>
    <w:rsid w:val="00F2642A"/>
    <w:rsid w:val="00F273F9"/>
    <w:rsid w:val="00F2780C"/>
    <w:rsid w:val="00F27949"/>
    <w:rsid w:val="00F3040D"/>
    <w:rsid w:val="00F304C1"/>
    <w:rsid w:val="00F3065B"/>
    <w:rsid w:val="00F30740"/>
    <w:rsid w:val="00F30800"/>
    <w:rsid w:val="00F30845"/>
    <w:rsid w:val="00F3122C"/>
    <w:rsid w:val="00F31253"/>
    <w:rsid w:val="00F32701"/>
    <w:rsid w:val="00F32947"/>
    <w:rsid w:val="00F338DB"/>
    <w:rsid w:val="00F3395F"/>
    <w:rsid w:val="00F339EA"/>
    <w:rsid w:val="00F33C91"/>
    <w:rsid w:val="00F344A2"/>
    <w:rsid w:val="00F34F34"/>
    <w:rsid w:val="00F35161"/>
    <w:rsid w:val="00F35DC7"/>
    <w:rsid w:val="00F3665E"/>
    <w:rsid w:val="00F366C6"/>
    <w:rsid w:val="00F36863"/>
    <w:rsid w:val="00F36BD7"/>
    <w:rsid w:val="00F371E1"/>
    <w:rsid w:val="00F37403"/>
    <w:rsid w:val="00F3773B"/>
    <w:rsid w:val="00F3779B"/>
    <w:rsid w:val="00F377A1"/>
    <w:rsid w:val="00F37E28"/>
    <w:rsid w:val="00F37FB3"/>
    <w:rsid w:val="00F405CF"/>
    <w:rsid w:val="00F4091E"/>
    <w:rsid w:val="00F40937"/>
    <w:rsid w:val="00F40FC1"/>
    <w:rsid w:val="00F4100F"/>
    <w:rsid w:val="00F4124F"/>
    <w:rsid w:val="00F416EE"/>
    <w:rsid w:val="00F418ED"/>
    <w:rsid w:val="00F42AC0"/>
    <w:rsid w:val="00F436B4"/>
    <w:rsid w:val="00F4487F"/>
    <w:rsid w:val="00F4513D"/>
    <w:rsid w:val="00F45636"/>
    <w:rsid w:val="00F458BD"/>
    <w:rsid w:val="00F45B1E"/>
    <w:rsid w:val="00F46B11"/>
    <w:rsid w:val="00F46CD1"/>
    <w:rsid w:val="00F46FB7"/>
    <w:rsid w:val="00F47094"/>
    <w:rsid w:val="00F474DF"/>
    <w:rsid w:val="00F47692"/>
    <w:rsid w:val="00F47D78"/>
    <w:rsid w:val="00F5068F"/>
    <w:rsid w:val="00F50880"/>
    <w:rsid w:val="00F51CFF"/>
    <w:rsid w:val="00F52114"/>
    <w:rsid w:val="00F52240"/>
    <w:rsid w:val="00F525ED"/>
    <w:rsid w:val="00F52B25"/>
    <w:rsid w:val="00F52B8B"/>
    <w:rsid w:val="00F52C7D"/>
    <w:rsid w:val="00F534EF"/>
    <w:rsid w:val="00F53666"/>
    <w:rsid w:val="00F54FAE"/>
    <w:rsid w:val="00F551DB"/>
    <w:rsid w:val="00F55825"/>
    <w:rsid w:val="00F55B51"/>
    <w:rsid w:val="00F560AF"/>
    <w:rsid w:val="00F561CF"/>
    <w:rsid w:val="00F56497"/>
    <w:rsid w:val="00F56575"/>
    <w:rsid w:val="00F56985"/>
    <w:rsid w:val="00F56D1F"/>
    <w:rsid w:val="00F5704D"/>
    <w:rsid w:val="00F571B9"/>
    <w:rsid w:val="00F572EA"/>
    <w:rsid w:val="00F57772"/>
    <w:rsid w:val="00F57944"/>
    <w:rsid w:val="00F60106"/>
    <w:rsid w:val="00F60822"/>
    <w:rsid w:val="00F6097E"/>
    <w:rsid w:val="00F609E6"/>
    <w:rsid w:val="00F60A7E"/>
    <w:rsid w:val="00F60F8D"/>
    <w:rsid w:val="00F61042"/>
    <w:rsid w:val="00F61E7F"/>
    <w:rsid w:val="00F6211D"/>
    <w:rsid w:val="00F6271A"/>
    <w:rsid w:val="00F628DB"/>
    <w:rsid w:val="00F636FF"/>
    <w:rsid w:val="00F6386F"/>
    <w:rsid w:val="00F63D44"/>
    <w:rsid w:val="00F63FB9"/>
    <w:rsid w:val="00F64402"/>
    <w:rsid w:val="00F64C89"/>
    <w:rsid w:val="00F64FFC"/>
    <w:rsid w:val="00F6552D"/>
    <w:rsid w:val="00F65B0A"/>
    <w:rsid w:val="00F665B2"/>
    <w:rsid w:val="00F66896"/>
    <w:rsid w:val="00F669A5"/>
    <w:rsid w:val="00F67263"/>
    <w:rsid w:val="00F67418"/>
    <w:rsid w:val="00F6767D"/>
    <w:rsid w:val="00F67721"/>
    <w:rsid w:val="00F677AA"/>
    <w:rsid w:val="00F67BF7"/>
    <w:rsid w:val="00F67FE3"/>
    <w:rsid w:val="00F70108"/>
    <w:rsid w:val="00F703F1"/>
    <w:rsid w:val="00F705A0"/>
    <w:rsid w:val="00F70624"/>
    <w:rsid w:val="00F707F1"/>
    <w:rsid w:val="00F70C85"/>
    <w:rsid w:val="00F70CDA"/>
    <w:rsid w:val="00F70DAD"/>
    <w:rsid w:val="00F713F4"/>
    <w:rsid w:val="00F71979"/>
    <w:rsid w:val="00F71A35"/>
    <w:rsid w:val="00F71FF0"/>
    <w:rsid w:val="00F7207A"/>
    <w:rsid w:val="00F724C3"/>
    <w:rsid w:val="00F724E3"/>
    <w:rsid w:val="00F72918"/>
    <w:rsid w:val="00F72F7C"/>
    <w:rsid w:val="00F7319A"/>
    <w:rsid w:val="00F732CB"/>
    <w:rsid w:val="00F73902"/>
    <w:rsid w:val="00F739A5"/>
    <w:rsid w:val="00F739DD"/>
    <w:rsid w:val="00F73D53"/>
    <w:rsid w:val="00F73DE4"/>
    <w:rsid w:val="00F73E2C"/>
    <w:rsid w:val="00F74374"/>
    <w:rsid w:val="00F74C9D"/>
    <w:rsid w:val="00F74E1D"/>
    <w:rsid w:val="00F74E8D"/>
    <w:rsid w:val="00F75059"/>
    <w:rsid w:val="00F7577B"/>
    <w:rsid w:val="00F758A8"/>
    <w:rsid w:val="00F7609B"/>
    <w:rsid w:val="00F76870"/>
    <w:rsid w:val="00F76C27"/>
    <w:rsid w:val="00F778BE"/>
    <w:rsid w:val="00F778F9"/>
    <w:rsid w:val="00F77962"/>
    <w:rsid w:val="00F779F4"/>
    <w:rsid w:val="00F800E1"/>
    <w:rsid w:val="00F803B1"/>
    <w:rsid w:val="00F804A4"/>
    <w:rsid w:val="00F80661"/>
    <w:rsid w:val="00F80689"/>
    <w:rsid w:val="00F808ED"/>
    <w:rsid w:val="00F8109F"/>
    <w:rsid w:val="00F81DE7"/>
    <w:rsid w:val="00F825A9"/>
    <w:rsid w:val="00F83944"/>
    <w:rsid w:val="00F83BCA"/>
    <w:rsid w:val="00F83F62"/>
    <w:rsid w:val="00F8429F"/>
    <w:rsid w:val="00F84B14"/>
    <w:rsid w:val="00F84E33"/>
    <w:rsid w:val="00F84E70"/>
    <w:rsid w:val="00F84F2B"/>
    <w:rsid w:val="00F84F7C"/>
    <w:rsid w:val="00F85670"/>
    <w:rsid w:val="00F862AA"/>
    <w:rsid w:val="00F86D58"/>
    <w:rsid w:val="00F90008"/>
    <w:rsid w:val="00F910DB"/>
    <w:rsid w:val="00F916F4"/>
    <w:rsid w:val="00F917A0"/>
    <w:rsid w:val="00F91BD3"/>
    <w:rsid w:val="00F91C06"/>
    <w:rsid w:val="00F91CC0"/>
    <w:rsid w:val="00F91EFB"/>
    <w:rsid w:val="00F91F6C"/>
    <w:rsid w:val="00F922DA"/>
    <w:rsid w:val="00F925F0"/>
    <w:rsid w:val="00F926EC"/>
    <w:rsid w:val="00F929E2"/>
    <w:rsid w:val="00F930F6"/>
    <w:rsid w:val="00F9376F"/>
    <w:rsid w:val="00F93E46"/>
    <w:rsid w:val="00F93F16"/>
    <w:rsid w:val="00F9435F"/>
    <w:rsid w:val="00F94722"/>
    <w:rsid w:val="00F94DAC"/>
    <w:rsid w:val="00F94E06"/>
    <w:rsid w:val="00F94E9C"/>
    <w:rsid w:val="00F95155"/>
    <w:rsid w:val="00F95811"/>
    <w:rsid w:val="00F960FF"/>
    <w:rsid w:val="00F962D8"/>
    <w:rsid w:val="00F96BD8"/>
    <w:rsid w:val="00F9745A"/>
    <w:rsid w:val="00F97760"/>
    <w:rsid w:val="00F97D11"/>
    <w:rsid w:val="00F97D1F"/>
    <w:rsid w:val="00FA0420"/>
    <w:rsid w:val="00FA0473"/>
    <w:rsid w:val="00FA0A54"/>
    <w:rsid w:val="00FA109F"/>
    <w:rsid w:val="00FA22FD"/>
    <w:rsid w:val="00FA2777"/>
    <w:rsid w:val="00FA35CD"/>
    <w:rsid w:val="00FA35EE"/>
    <w:rsid w:val="00FA377D"/>
    <w:rsid w:val="00FA3DC4"/>
    <w:rsid w:val="00FA3E3E"/>
    <w:rsid w:val="00FA567A"/>
    <w:rsid w:val="00FA597D"/>
    <w:rsid w:val="00FA5CEF"/>
    <w:rsid w:val="00FA5F38"/>
    <w:rsid w:val="00FA62EA"/>
    <w:rsid w:val="00FA6631"/>
    <w:rsid w:val="00FA6675"/>
    <w:rsid w:val="00FA7565"/>
    <w:rsid w:val="00FA7569"/>
    <w:rsid w:val="00FA75D2"/>
    <w:rsid w:val="00FB0712"/>
    <w:rsid w:val="00FB0BA0"/>
    <w:rsid w:val="00FB16E1"/>
    <w:rsid w:val="00FB204A"/>
    <w:rsid w:val="00FB204B"/>
    <w:rsid w:val="00FB2B3C"/>
    <w:rsid w:val="00FB3004"/>
    <w:rsid w:val="00FB3066"/>
    <w:rsid w:val="00FB3ACF"/>
    <w:rsid w:val="00FB3ADE"/>
    <w:rsid w:val="00FB3F4C"/>
    <w:rsid w:val="00FB4244"/>
    <w:rsid w:val="00FB424A"/>
    <w:rsid w:val="00FB460C"/>
    <w:rsid w:val="00FB4D3C"/>
    <w:rsid w:val="00FB50E4"/>
    <w:rsid w:val="00FB5285"/>
    <w:rsid w:val="00FB52ED"/>
    <w:rsid w:val="00FB540A"/>
    <w:rsid w:val="00FB5C0F"/>
    <w:rsid w:val="00FB63F5"/>
    <w:rsid w:val="00FB6537"/>
    <w:rsid w:val="00FB6A6F"/>
    <w:rsid w:val="00FB6B42"/>
    <w:rsid w:val="00FB6B99"/>
    <w:rsid w:val="00FB6C9B"/>
    <w:rsid w:val="00FB7671"/>
    <w:rsid w:val="00FC0117"/>
    <w:rsid w:val="00FC0296"/>
    <w:rsid w:val="00FC0B69"/>
    <w:rsid w:val="00FC0D6D"/>
    <w:rsid w:val="00FC1F56"/>
    <w:rsid w:val="00FC2800"/>
    <w:rsid w:val="00FC3507"/>
    <w:rsid w:val="00FC36B9"/>
    <w:rsid w:val="00FC3BBB"/>
    <w:rsid w:val="00FC3CE8"/>
    <w:rsid w:val="00FC4335"/>
    <w:rsid w:val="00FC5005"/>
    <w:rsid w:val="00FC54DB"/>
    <w:rsid w:val="00FC58B1"/>
    <w:rsid w:val="00FC5C6A"/>
    <w:rsid w:val="00FC676F"/>
    <w:rsid w:val="00FC6A46"/>
    <w:rsid w:val="00FC6BE9"/>
    <w:rsid w:val="00FC73B8"/>
    <w:rsid w:val="00FC7B8E"/>
    <w:rsid w:val="00FD01B0"/>
    <w:rsid w:val="00FD047F"/>
    <w:rsid w:val="00FD069C"/>
    <w:rsid w:val="00FD0836"/>
    <w:rsid w:val="00FD1422"/>
    <w:rsid w:val="00FD1871"/>
    <w:rsid w:val="00FD198A"/>
    <w:rsid w:val="00FD1EBF"/>
    <w:rsid w:val="00FD2184"/>
    <w:rsid w:val="00FD2462"/>
    <w:rsid w:val="00FD249A"/>
    <w:rsid w:val="00FD2BCD"/>
    <w:rsid w:val="00FD31BF"/>
    <w:rsid w:val="00FD3350"/>
    <w:rsid w:val="00FD33D9"/>
    <w:rsid w:val="00FD3545"/>
    <w:rsid w:val="00FD35D4"/>
    <w:rsid w:val="00FD3631"/>
    <w:rsid w:val="00FD3791"/>
    <w:rsid w:val="00FD3B31"/>
    <w:rsid w:val="00FD3B64"/>
    <w:rsid w:val="00FD3D91"/>
    <w:rsid w:val="00FD4765"/>
    <w:rsid w:val="00FD4BD3"/>
    <w:rsid w:val="00FD5438"/>
    <w:rsid w:val="00FD575B"/>
    <w:rsid w:val="00FD58E5"/>
    <w:rsid w:val="00FD5CDE"/>
    <w:rsid w:val="00FD5F40"/>
    <w:rsid w:val="00FD6055"/>
    <w:rsid w:val="00FD68CE"/>
    <w:rsid w:val="00FD68E1"/>
    <w:rsid w:val="00FD71D9"/>
    <w:rsid w:val="00FD7203"/>
    <w:rsid w:val="00FD742B"/>
    <w:rsid w:val="00FD7602"/>
    <w:rsid w:val="00FD7C8D"/>
    <w:rsid w:val="00FD7DD7"/>
    <w:rsid w:val="00FD7F3B"/>
    <w:rsid w:val="00FD7FDE"/>
    <w:rsid w:val="00FE03E2"/>
    <w:rsid w:val="00FE0433"/>
    <w:rsid w:val="00FE0758"/>
    <w:rsid w:val="00FE0C35"/>
    <w:rsid w:val="00FE1039"/>
    <w:rsid w:val="00FE1400"/>
    <w:rsid w:val="00FE1517"/>
    <w:rsid w:val="00FE171D"/>
    <w:rsid w:val="00FE1C01"/>
    <w:rsid w:val="00FE1DFC"/>
    <w:rsid w:val="00FE20DA"/>
    <w:rsid w:val="00FE20FE"/>
    <w:rsid w:val="00FE2408"/>
    <w:rsid w:val="00FE24D1"/>
    <w:rsid w:val="00FE26A6"/>
    <w:rsid w:val="00FE27D2"/>
    <w:rsid w:val="00FE2E5E"/>
    <w:rsid w:val="00FE318F"/>
    <w:rsid w:val="00FE3549"/>
    <w:rsid w:val="00FE3A64"/>
    <w:rsid w:val="00FE40DC"/>
    <w:rsid w:val="00FE41B8"/>
    <w:rsid w:val="00FE4921"/>
    <w:rsid w:val="00FE4AF4"/>
    <w:rsid w:val="00FE4E9A"/>
    <w:rsid w:val="00FE50A9"/>
    <w:rsid w:val="00FE510A"/>
    <w:rsid w:val="00FE537D"/>
    <w:rsid w:val="00FE5A68"/>
    <w:rsid w:val="00FE6181"/>
    <w:rsid w:val="00FE63B8"/>
    <w:rsid w:val="00FE67C1"/>
    <w:rsid w:val="00FE6B24"/>
    <w:rsid w:val="00FF036E"/>
    <w:rsid w:val="00FF050A"/>
    <w:rsid w:val="00FF07E9"/>
    <w:rsid w:val="00FF0A6E"/>
    <w:rsid w:val="00FF0FB2"/>
    <w:rsid w:val="00FF11FD"/>
    <w:rsid w:val="00FF1643"/>
    <w:rsid w:val="00FF17E5"/>
    <w:rsid w:val="00FF1EE7"/>
    <w:rsid w:val="00FF2204"/>
    <w:rsid w:val="00FF2FC4"/>
    <w:rsid w:val="00FF34DD"/>
    <w:rsid w:val="00FF3713"/>
    <w:rsid w:val="00FF46C2"/>
    <w:rsid w:val="00FF489F"/>
    <w:rsid w:val="00FF4936"/>
    <w:rsid w:val="00FF5C97"/>
    <w:rsid w:val="00FF5F90"/>
    <w:rsid w:val="00FF6299"/>
    <w:rsid w:val="00FF6BB0"/>
    <w:rsid w:val="00FF6FF3"/>
    <w:rsid w:val="00FF72DA"/>
    <w:rsid w:val="00FF7511"/>
    <w:rsid w:val="00FF7768"/>
    <w:rsid w:val="00FF78C7"/>
    <w:rsid w:val="00FF7C3B"/>
    <w:rsid w:val="01183037"/>
    <w:rsid w:val="018016CF"/>
    <w:rsid w:val="02088E4B"/>
    <w:rsid w:val="020899DA"/>
    <w:rsid w:val="021BC1E5"/>
    <w:rsid w:val="026C533A"/>
    <w:rsid w:val="02CA622C"/>
    <w:rsid w:val="030D83E4"/>
    <w:rsid w:val="0357EBF6"/>
    <w:rsid w:val="03756AC0"/>
    <w:rsid w:val="03A1A756"/>
    <w:rsid w:val="03B2D2E7"/>
    <w:rsid w:val="044BEF91"/>
    <w:rsid w:val="04D78212"/>
    <w:rsid w:val="04DC1EC2"/>
    <w:rsid w:val="04E65E4E"/>
    <w:rsid w:val="057B5CB9"/>
    <w:rsid w:val="05A618A7"/>
    <w:rsid w:val="062EFCB4"/>
    <w:rsid w:val="0664554B"/>
    <w:rsid w:val="06D6504C"/>
    <w:rsid w:val="06DB4C0C"/>
    <w:rsid w:val="06DCCEA6"/>
    <w:rsid w:val="06F5552C"/>
    <w:rsid w:val="06FD0D7E"/>
    <w:rsid w:val="070BE9E3"/>
    <w:rsid w:val="07182EC3"/>
    <w:rsid w:val="0731B82A"/>
    <w:rsid w:val="0759968A"/>
    <w:rsid w:val="078353A6"/>
    <w:rsid w:val="080357ED"/>
    <w:rsid w:val="08971EC2"/>
    <w:rsid w:val="08B544AF"/>
    <w:rsid w:val="08F6BCC1"/>
    <w:rsid w:val="09481770"/>
    <w:rsid w:val="09656F74"/>
    <w:rsid w:val="0974CE1D"/>
    <w:rsid w:val="09EF513D"/>
    <w:rsid w:val="09FACE3C"/>
    <w:rsid w:val="0A241826"/>
    <w:rsid w:val="0A3AEFF5"/>
    <w:rsid w:val="0A443C41"/>
    <w:rsid w:val="0A79D34E"/>
    <w:rsid w:val="0ADA6478"/>
    <w:rsid w:val="0AE97924"/>
    <w:rsid w:val="0B3FFED5"/>
    <w:rsid w:val="0B8081E1"/>
    <w:rsid w:val="0BB72917"/>
    <w:rsid w:val="0BC095EE"/>
    <w:rsid w:val="0BF8E5F5"/>
    <w:rsid w:val="0C03A4D9"/>
    <w:rsid w:val="0C18CF79"/>
    <w:rsid w:val="0C72D8FD"/>
    <w:rsid w:val="0C8703AA"/>
    <w:rsid w:val="0DA36162"/>
    <w:rsid w:val="0DADFA52"/>
    <w:rsid w:val="0DB5313C"/>
    <w:rsid w:val="0DBF7C08"/>
    <w:rsid w:val="0DC43967"/>
    <w:rsid w:val="0DF9F06D"/>
    <w:rsid w:val="0E211BB7"/>
    <w:rsid w:val="0E466AC6"/>
    <w:rsid w:val="0E6526D3"/>
    <w:rsid w:val="0E804D91"/>
    <w:rsid w:val="0E84A9C0"/>
    <w:rsid w:val="0EFA192D"/>
    <w:rsid w:val="0F08EA37"/>
    <w:rsid w:val="0F11E238"/>
    <w:rsid w:val="0FCDDF6C"/>
    <w:rsid w:val="107A9A0C"/>
    <w:rsid w:val="10AD7CF9"/>
    <w:rsid w:val="11C6EDAE"/>
    <w:rsid w:val="11D8DC0C"/>
    <w:rsid w:val="11DFA9B3"/>
    <w:rsid w:val="125DB512"/>
    <w:rsid w:val="1279E994"/>
    <w:rsid w:val="12AB9B32"/>
    <w:rsid w:val="130DA6FC"/>
    <w:rsid w:val="13701B99"/>
    <w:rsid w:val="1376F91C"/>
    <w:rsid w:val="13B37F7C"/>
    <w:rsid w:val="13E21754"/>
    <w:rsid w:val="14DAE575"/>
    <w:rsid w:val="1518D1C5"/>
    <w:rsid w:val="154D6A3C"/>
    <w:rsid w:val="15751C85"/>
    <w:rsid w:val="15A1F9FB"/>
    <w:rsid w:val="15CB8929"/>
    <w:rsid w:val="15E07CD7"/>
    <w:rsid w:val="15E0B89B"/>
    <w:rsid w:val="15EBC811"/>
    <w:rsid w:val="15F0ECC7"/>
    <w:rsid w:val="161F263D"/>
    <w:rsid w:val="162155D1"/>
    <w:rsid w:val="166BA347"/>
    <w:rsid w:val="170787B2"/>
    <w:rsid w:val="176464E7"/>
    <w:rsid w:val="179EC9CD"/>
    <w:rsid w:val="17E9D00C"/>
    <w:rsid w:val="1829860C"/>
    <w:rsid w:val="18F6907B"/>
    <w:rsid w:val="19266A18"/>
    <w:rsid w:val="195030C5"/>
    <w:rsid w:val="19755D53"/>
    <w:rsid w:val="19E47609"/>
    <w:rsid w:val="1A34137D"/>
    <w:rsid w:val="1AC120B2"/>
    <w:rsid w:val="1ACAA7F4"/>
    <w:rsid w:val="1B003087"/>
    <w:rsid w:val="1B6B1558"/>
    <w:rsid w:val="1B87A442"/>
    <w:rsid w:val="1B9CF769"/>
    <w:rsid w:val="1BF4A202"/>
    <w:rsid w:val="1BF5BFD0"/>
    <w:rsid w:val="1CE99053"/>
    <w:rsid w:val="1D856BDE"/>
    <w:rsid w:val="1DA70505"/>
    <w:rsid w:val="1EB3BB47"/>
    <w:rsid w:val="1EBB2417"/>
    <w:rsid w:val="1F13F657"/>
    <w:rsid w:val="1F21DC46"/>
    <w:rsid w:val="1F6CF9B7"/>
    <w:rsid w:val="1F79B8E8"/>
    <w:rsid w:val="1F8B229D"/>
    <w:rsid w:val="2027D15F"/>
    <w:rsid w:val="208C93D2"/>
    <w:rsid w:val="209293B3"/>
    <w:rsid w:val="20AC5530"/>
    <w:rsid w:val="20D61A33"/>
    <w:rsid w:val="213225D9"/>
    <w:rsid w:val="213F164B"/>
    <w:rsid w:val="2140B088"/>
    <w:rsid w:val="21C861EB"/>
    <w:rsid w:val="220C1A6D"/>
    <w:rsid w:val="22C68D10"/>
    <w:rsid w:val="22DBF6A8"/>
    <w:rsid w:val="22FF4FCE"/>
    <w:rsid w:val="23273249"/>
    <w:rsid w:val="234187B9"/>
    <w:rsid w:val="2371AC87"/>
    <w:rsid w:val="238995DB"/>
    <w:rsid w:val="23C226A2"/>
    <w:rsid w:val="241B0914"/>
    <w:rsid w:val="2422A8BB"/>
    <w:rsid w:val="247A48BC"/>
    <w:rsid w:val="249C858D"/>
    <w:rsid w:val="24AE29E6"/>
    <w:rsid w:val="24E31DA0"/>
    <w:rsid w:val="2522DA9E"/>
    <w:rsid w:val="25245450"/>
    <w:rsid w:val="25388827"/>
    <w:rsid w:val="254C4B29"/>
    <w:rsid w:val="255CD2FB"/>
    <w:rsid w:val="256FC889"/>
    <w:rsid w:val="25752E5F"/>
    <w:rsid w:val="25A7B1C0"/>
    <w:rsid w:val="25AAFA89"/>
    <w:rsid w:val="25AC95DC"/>
    <w:rsid w:val="25D59E88"/>
    <w:rsid w:val="25F615BA"/>
    <w:rsid w:val="25F815FD"/>
    <w:rsid w:val="2636AA85"/>
    <w:rsid w:val="26381EC2"/>
    <w:rsid w:val="26652EA3"/>
    <w:rsid w:val="2686F31B"/>
    <w:rsid w:val="268DDBEF"/>
    <w:rsid w:val="26B924E3"/>
    <w:rsid w:val="26FA95D1"/>
    <w:rsid w:val="273E0FF4"/>
    <w:rsid w:val="279B72BE"/>
    <w:rsid w:val="27A976B5"/>
    <w:rsid w:val="27C45E1A"/>
    <w:rsid w:val="27D17893"/>
    <w:rsid w:val="2810CF51"/>
    <w:rsid w:val="28565552"/>
    <w:rsid w:val="2860D41F"/>
    <w:rsid w:val="288255B7"/>
    <w:rsid w:val="28A0E4CF"/>
    <w:rsid w:val="28FA70C4"/>
    <w:rsid w:val="2943239C"/>
    <w:rsid w:val="29A7F7D5"/>
    <w:rsid w:val="29E7BB2B"/>
    <w:rsid w:val="29F843F6"/>
    <w:rsid w:val="2A3979DC"/>
    <w:rsid w:val="2A70BCF9"/>
    <w:rsid w:val="2AC0C37D"/>
    <w:rsid w:val="2AD68455"/>
    <w:rsid w:val="2B211D35"/>
    <w:rsid w:val="2B4E9BFB"/>
    <w:rsid w:val="2B5DF70B"/>
    <w:rsid w:val="2B61E601"/>
    <w:rsid w:val="2B8A3A83"/>
    <w:rsid w:val="2B919CBE"/>
    <w:rsid w:val="2B9BCE4C"/>
    <w:rsid w:val="2BE1E049"/>
    <w:rsid w:val="2C1B8A08"/>
    <w:rsid w:val="2C287F8F"/>
    <w:rsid w:val="2C6D259C"/>
    <w:rsid w:val="2C751375"/>
    <w:rsid w:val="2CC5C9A8"/>
    <w:rsid w:val="2D7C063E"/>
    <w:rsid w:val="2DA6EE9D"/>
    <w:rsid w:val="2E4A97A7"/>
    <w:rsid w:val="2E53CEDF"/>
    <w:rsid w:val="2E78D671"/>
    <w:rsid w:val="2E93AE5D"/>
    <w:rsid w:val="2EA87F6A"/>
    <w:rsid w:val="2EAAF93E"/>
    <w:rsid w:val="2EC997E8"/>
    <w:rsid w:val="2ED4BD46"/>
    <w:rsid w:val="2F3C1206"/>
    <w:rsid w:val="2F9B0588"/>
    <w:rsid w:val="2FB58186"/>
    <w:rsid w:val="2FF09D06"/>
    <w:rsid w:val="301C7972"/>
    <w:rsid w:val="3038EEA5"/>
    <w:rsid w:val="3082D7F3"/>
    <w:rsid w:val="30A5F21D"/>
    <w:rsid w:val="30DD9905"/>
    <w:rsid w:val="31046B43"/>
    <w:rsid w:val="31251BDB"/>
    <w:rsid w:val="313EFC57"/>
    <w:rsid w:val="31A1A7D3"/>
    <w:rsid w:val="31EFD64A"/>
    <w:rsid w:val="32292E0B"/>
    <w:rsid w:val="326F5115"/>
    <w:rsid w:val="32701561"/>
    <w:rsid w:val="32B52E03"/>
    <w:rsid w:val="32C48886"/>
    <w:rsid w:val="32F5EE11"/>
    <w:rsid w:val="331B5ADC"/>
    <w:rsid w:val="337DF5BE"/>
    <w:rsid w:val="337FBA5D"/>
    <w:rsid w:val="33B250C5"/>
    <w:rsid w:val="34269AC5"/>
    <w:rsid w:val="34633DEE"/>
    <w:rsid w:val="34676E8C"/>
    <w:rsid w:val="34AE074D"/>
    <w:rsid w:val="34B26D0B"/>
    <w:rsid w:val="35078674"/>
    <w:rsid w:val="35D76CF3"/>
    <w:rsid w:val="35EFC101"/>
    <w:rsid w:val="35F5D17C"/>
    <w:rsid w:val="35FB0DED"/>
    <w:rsid w:val="35FE551C"/>
    <w:rsid w:val="362D734C"/>
    <w:rsid w:val="363A7134"/>
    <w:rsid w:val="364260E8"/>
    <w:rsid w:val="36AB0B77"/>
    <w:rsid w:val="36F25FD2"/>
    <w:rsid w:val="37953EDD"/>
    <w:rsid w:val="37AFEA7E"/>
    <w:rsid w:val="385332BD"/>
    <w:rsid w:val="3872F744"/>
    <w:rsid w:val="3874BA31"/>
    <w:rsid w:val="38B1852B"/>
    <w:rsid w:val="38B7DDB5"/>
    <w:rsid w:val="390B7F8B"/>
    <w:rsid w:val="39217FEE"/>
    <w:rsid w:val="397238C2"/>
    <w:rsid w:val="397ABF9E"/>
    <w:rsid w:val="3A50B155"/>
    <w:rsid w:val="3AE3B8A3"/>
    <w:rsid w:val="3B0BED1F"/>
    <w:rsid w:val="3B0E49D8"/>
    <w:rsid w:val="3B840D05"/>
    <w:rsid w:val="3B85AE23"/>
    <w:rsid w:val="3BB867BB"/>
    <w:rsid w:val="3C04E278"/>
    <w:rsid w:val="3C128604"/>
    <w:rsid w:val="3C2329B1"/>
    <w:rsid w:val="3C2C99D2"/>
    <w:rsid w:val="3C4A198D"/>
    <w:rsid w:val="3CA41F96"/>
    <w:rsid w:val="3CA7E176"/>
    <w:rsid w:val="3CC2BC30"/>
    <w:rsid w:val="3D10F108"/>
    <w:rsid w:val="3D12EF7F"/>
    <w:rsid w:val="3D873ABF"/>
    <w:rsid w:val="3DA68E67"/>
    <w:rsid w:val="3E11BEEE"/>
    <w:rsid w:val="3E1E2F2B"/>
    <w:rsid w:val="3E38120D"/>
    <w:rsid w:val="3E4DBD19"/>
    <w:rsid w:val="3E5DCA07"/>
    <w:rsid w:val="3E721AA0"/>
    <w:rsid w:val="3EB16477"/>
    <w:rsid w:val="3EC36DB5"/>
    <w:rsid w:val="3EE8A23A"/>
    <w:rsid w:val="3F35459C"/>
    <w:rsid w:val="3F41DEEE"/>
    <w:rsid w:val="3F428F29"/>
    <w:rsid w:val="3F6BB30D"/>
    <w:rsid w:val="3F70D526"/>
    <w:rsid w:val="3F718504"/>
    <w:rsid w:val="3FBD2D5A"/>
    <w:rsid w:val="400C6763"/>
    <w:rsid w:val="4038DBF2"/>
    <w:rsid w:val="40623D84"/>
    <w:rsid w:val="40B9FB67"/>
    <w:rsid w:val="4161AF97"/>
    <w:rsid w:val="41816DFF"/>
    <w:rsid w:val="41846BE7"/>
    <w:rsid w:val="418715E1"/>
    <w:rsid w:val="41A41B35"/>
    <w:rsid w:val="41AF64E7"/>
    <w:rsid w:val="41EFA7C6"/>
    <w:rsid w:val="420D1C87"/>
    <w:rsid w:val="424344BB"/>
    <w:rsid w:val="42639409"/>
    <w:rsid w:val="427FAEF5"/>
    <w:rsid w:val="42812988"/>
    <w:rsid w:val="42A0099C"/>
    <w:rsid w:val="42B5DEF3"/>
    <w:rsid w:val="42E9F618"/>
    <w:rsid w:val="4303E5A4"/>
    <w:rsid w:val="436B3536"/>
    <w:rsid w:val="437B0B61"/>
    <w:rsid w:val="439F132E"/>
    <w:rsid w:val="43C6A27F"/>
    <w:rsid w:val="43D27F25"/>
    <w:rsid w:val="43EFA58B"/>
    <w:rsid w:val="4457B6E3"/>
    <w:rsid w:val="44596360"/>
    <w:rsid w:val="44A75DE1"/>
    <w:rsid w:val="44AEC0A1"/>
    <w:rsid w:val="44BBA425"/>
    <w:rsid w:val="44BC5BB9"/>
    <w:rsid w:val="44BCEAD5"/>
    <w:rsid w:val="4501B938"/>
    <w:rsid w:val="46C0DD0D"/>
    <w:rsid w:val="46D4D501"/>
    <w:rsid w:val="46E0BB3E"/>
    <w:rsid w:val="47192CEF"/>
    <w:rsid w:val="476022EA"/>
    <w:rsid w:val="4789B830"/>
    <w:rsid w:val="479B3BB6"/>
    <w:rsid w:val="479FECF0"/>
    <w:rsid w:val="47D0B775"/>
    <w:rsid w:val="47F05C9A"/>
    <w:rsid w:val="481429E1"/>
    <w:rsid w:val="4852FC9A"/>
    <w:rsid w:val="48B8254A"/>
    <w:rsid w:val="48FD6173"/>
    <w:rsid w:val="49325E87"/>
    <w:rsid w:val="496BB1A5"/>
    <w:rsid w:val="49C92537"/>
    <w:rsid w:val="49CC5B04"/>
    <w:rsid w:val="4A2F4E6A"/>
    <w:rsid w:val="4A8B61FD"/>
    <w:rsid w:val="4A941773"/>
    <w:rsid w:val="4AB9ED36"/>
    <w:rsid w:val="4AF79F44"/>
    <w:rsid w:val="4B17E4F2"/>
    <w:rsid w:val="4B3D2F1B"/>
    <w:rsid w:val="4B444B2D"/>
    <w:rsid w:val="4B8D19B5"/>
    <w:rsid w:val="4BB1DEF7"/>
    <w:rsid w:val="4BB56348"/>
    <w:rsid w:val="4BC69576"/>
    <w:rsid w:val="4BDCFF1D"/>
    <w:rsid w:val="4BE5865A"/>
    <w:rsid w:val="4C2CF897"/>
    <w:rsid w:val="4C3D59C2"/>
    <w:rsid w:val="4C6AFB3E"/>
    <w:rsid w:val="4CA5242E"/>
    <w:rsid w:val="4CB81FED"/>
    <w:rsid w:val="4DC32D46"/>
    <w:rsid w:val="4DC7B084"/>
    <w:rsid w:val="4DDC5B48"/>
    <w:rsid w:val="4DFE6D5A"/>
    <w:rsid w:val="4E144FEE"/>
    <w:rsid w:val="4E186414"/>
    <w:rsid w:val="4E9C6376"/>
    <w:rsid w:val="4F051D5C"/>
    <w:rsid w:val="4F4C4218"/>
    <w:rsid w:val="4F563F33"/>
    <w:rsid w:val="4FB23B43"/>
    <w:rsid w:val="4FE0CF4B"/>
    <w:rsid w:val="4FEECA7D"/>
    <w:rsid w:val="5000C75B"/>
    <w:rsid w:val="50691D15"/>
    <w:rsid w:val="50C25256"/>
    <w:rsid w:val="51AF8645"/>
    <w:rsid w:val="51E4D9B4"/>
    <w:rsid w:val="51E97574"/>
    <w:rsid w:val="51F69092"/>
    <w:rsid w:val="51FC39E1"/>
    <w:rsid w:val="52543E43"/>
    <w:rsid w:val="527CEADD"/>
    <w:rsid w:val="52853584"/>
    <w:rsid w:val="52AB3BCA"/>
    <w:rsid w:val="52C1911A"/>
    <w:rsid w:val="52C7C7F5"/>
    <w:rsid w:val="5301CEB5"/>
    <w:rsid w:val="538AB5CF"/>
    <w:rsid w:val="53B06882"/>
    <w:rsid w:val="53D0FB22"/>
    <w:rsid w:val="5407F71B"/>
    <w:rsid w:val="542BAE8E"/>
    <w:rsid w:val="54825E7B"/>
    <w:rsid w:val="54F2E9FA"/>
    <w:rsid w:val="552DE083"/>
    <w:rsid w:val="553CDA8E"/>
    <w:rsid w:val="5545815D"/>
    <w:rsid w:val="5582D9D8"/>
    <w:rsid w:val="55B85584"/>
    <w:rsid w:val="55BA6168"/>
    <w:rsid w:val="564FFCCD"/>
    <w:rsid w:val="5657DAAE"/>
    <w:rsid w:val="5665950C"/>
    <w:rsid w:val="566BF1E6"/>
    <w:rsid w:val="566F4792"/>
    <w:rsid w:val="568606C5"/>
    <w:rsid w:val="56DFFCD4"/>
    <w:rsid w:val="56EB1BE0"/>
    <w:rsid w:val="56FB2E68"/>
    <w:rsid w:val="570F1BD7"/>
    <w:rsid w:val="57744C54"/>
    <w:rsid w:val="57978A79"/>
    <w:rsid w:val="57D18BDC"/>
    <w:rsid w:val="582B3740"/>
    <w:rsid w:val="5868C4B5"/>
    <w:rsid w:val="5868D689"/>
    <w:rsid w:val="58AD15CA"/>
    <w:rsid w:val="58B1149E"/>
    <w:rsid w:val="58F18717"/>
    <w:rsid w:val="591BD23D"/>
    <w:rsid w:val="59284CFD"/>
    <w:rsid w:val="5959D92E"/>
    <w:rsid w:val="5960807C"/>
    <w:rsid w:val="598A688E"/>
    <w:rsid w:val="59A60CFB"/>
    <w:rsid w:val="59B26BBC"/>
    <w:rsid w:val="59B97765"/>
    <w:rsid w:val="59F4000E"/>
    <w:rsid w:val="5A6BEE8E"/>
    <w:rsid w:val="5AD5A310"/>
    <w:rsid w:val="5AE2214A"/>
    <w:rsid w:val="5AFB859B"/>
    <w:rsid w:val="5B158CD0"/>
    <w:rsid w:val="5B234E5D"/>
    <w:rsid w:val="5B324CC3"/>
    <w:rsid w:val="5B39DE65"/>
    <w:rsid w:val="5B97E2AD"/>
    <w:rsid w:val="5BF93877"/>
    <w:rsid w:val="5C28FF0C"/>
    <w:rsid w:val="5C8C3041"/>
    <w:rsid w:val="5CC5FBDC"/>
    <w:rsid w:val="5DA51CFF"/>
    <w:rsid w:val="5DD0163B"/>
    <w:rsid w:val="5EAFCBD5"/>
    <w:rsid w:val="5F51738E"/>
    <w:rsid w:val="5F8A59C3"/>
    <w:rsid w:val="601BD993"/>
    <w:rsid w:val="602647B7"/>
    <w:rsid w:val="60A9A6CF"/>
    <w:rsid w:val="61383DD0"/>
    <w:rsid w:val="619811F7"/>
    <w:rsid w:val="61D08865"/>
    <w:rsid w:val="61DD829F"/>
    <w:rsid w:val="62495AC6"/>
    <w:rsid w:val="626780C4"/>
    <w:rsid w:val="62762C00"/>
    <w:rsid w:val="6279A737"/>
    <w:rsid w:val="62819E72"/>
    <w:rsid w:val="629B32B3"/>
    <w:rsid w:val="62BFA92D"/>
    <w:rsid w:val="632CE21A"/>
    <w:rsid w:val="635CA6F9"/>
    <w:rsid w:val="636D56F2"/>
    <w:rsid w:val="6372A779"/>
    <w:rsid w:val="63B00358"/>
    <w:rsid w:val="6404B199"/>
    <w:rsid w:val="6428A538"/>
    <w:rsid w:val="6471525E"/>
    <w:rsid w:val="64935566"/>
    <w:rsid w:val="64B2B6E5"/>
    <w:rsid w:val="650BD758"/>
    <w:rsid w:val="651AB0FE"/>
    <w:rsid w:val="651BD24D"/>
    <w:rsid w:val="65477642"/>
    <w:rsid w:val="654A1B5F"/>
    <w:rsid w:val="6583275F"/>
    <w:rsid w:val="658B0555"/>
    <w:rsid w:val="660DC0FA"/>
    <w:rsid w:val="6624E016"/>
    <w:rsid w:val="66338FD4"/>
    <w:rsid w:val="66B6ECD7"/>
    <w:rsid w:val="66DDF976"/>
    <w:rsid w:val="6726489D"/>
    <w:rsid w:val="6747CADF"/>
    <w:rsid w:val="675929A8"/>
    <w:rsid w:val="67610E38"/>
    <w:rsid w:val="67620122"/>
    <w:rsid w:val="676B26B5"/>
    <w:rsid w:val="6777C9A1"/>
    <w:rsid w:val="6781F9BD"/>
    <w:rsid w:val="67929394"/>
    <w:rsid w:val="685567D0"/>
    <w:rsid w:val="6880E072"/>
    <w:rsid w:val="68D4B680"/>
    <w:rsid w:val="696DD634"/>
    <w:rsid w:val="6984E814"/>
    <w:rsid w:val="69979F05"/>
    <w:rsid w:val="69B4D01A"/>
    <w:rsid w:val="6A213F50"/>
    <w:rsid w:val="6AA4D389"/>
    <w:rsid w:val="6B1B2580"/>
    <w:rsid w:val="6B3B2A15"/>
    <w:rsid w:val="6B5E25BB"/>
    <w:rsid w:val="6B9A9103"/>
    <w:rsid w:val="6BD4BD37"/>
    <w:rsid w:val="6BD6F61F"/>
    <w:rsid w:val="6BE48CA0"/>
    <w:rsid w:val="6C13222F"/>
    <w:rsid w:val="6C1924DA"/>
    <w:rsid w:val="6C432E5D"/>
    <w:rsid w:val="6C62777B"/>
    <w:rsid w:val="6C704380"/>
    <w:rsid w:val="6CC3AA1D"/>
    <w:rsid w:val="6CD2ABE2"/>
    <w:rsid w:val="6CF2752C"/>
    <w:rsid w:val="6D89149C"/>
    <w:rsid w:val="6DE1FC28"/>
    <w:rsid w:val="6E711C75"/>
    <w:rsid w:val="6E74E2E8"/>
    <w:rsid w:val="6E840F6D"/>
    <w:rsid w:val="6EC43E39"/>
    <w:rsid w:val="6F29F2B9"/>
    <w:rsid w:val="6F4B8EA1"/>
    <w:rsid w:val="6F57BD16"/>
    <w:rsid w:val="6F62D13E"/>
    <w:rsid w:val="6FA44616"/>
    <w:rsid w:val="6FCE8F07"/>
    <w:rsid w:val="6FE8B3E9"/>
    <w:rsid w:val="7093D8B2"/>
    <w:rsid w:val="70AC8C56"/>
    <w:rsid w:val="70DDC6AD"/>
    <w:rsid w:val="71767BD7"/>
    <w:rsid w:val="7188881E"/>
    <w:rsid w:val="71C62A94"/>
    <w:rsid w:val="72090723"/>
    <w:rsid w:val="72200B5A"/>
    <w:rsid w:val="72FA55C8"/>
    <w:rsid w:val="730DC269"/>
    <w:rsid w:val="7320D080"/>
    <w:rsid w:val="732945EA"/>
    <w:rsid w:val="737B5A72"/>
    <w:rsid w:val="73A9540A"/>
    <w:rsid w:val="73BA8280"/>
    <w:rsid w:val="73C4E550"/>
    <w:rsid w:val="73D830BA"/>
    <w:rsid w:val="7410B4BC"/>
    <w:rsid w:val="74430DDE"/>
    <w:rsid w:val="7462CE2C"/>
    <w:rsid w:val="74766090"/>
    <w:rsid w:val="7485AD96"/>
    <w:rsid w:val="748D4B70"/>
    <w:rsid w:val="74B02E98"/>
    <w:rsid w:val="74B7D4C4"/>
    <w:rsid w:val="74FF579A"/>
    <w:rsid w:val="75157979"/>
    <w:rsid w:val="757D70F8"/>
    <w:rsid w:val="75A692A4"/>
    <w:rsid w:val="75B8D793"/>
    <w:rsid w:val="762D4434"/>
    <w:rsid w:val="765BECBE"/>
    <w:rsid w:val="7661D4E9"/>
    <w:rsid w:val="769223D1"/>
    <w:rsid w:val="7694F512"/>
    <w:rsid w:val="77023C28"/>
    <w:rsid w:val="77035FBB"/>
    <w:rsid w:val="77276F2F"/>
    <w:rsid w:val="7740997E"/>
    <w:rsid w:val="77711B68"/>
    <w:rsid w:val="778FD521"/>
    <w:rsid w:val="77FE0E0C"/>
    <w:rsid w:val="78967D0E"/>
    <w:rsid w:val="78F5232F"/>
    <w:rsid w:val="792AAA6C"/>
    <w:rsid w:val="79382EC9"/>
    <w:rsid w:val="7982688B"/>
    <w:rsid w:val="79B987EF"/>
    <w:rsid w:val="7A359EDC"/>
    <w:rsid w:val="7A8B563A"/>
    <w:rsid w:val="7A8D8F07"/>
    <w:rsid w:val="7A8DE061"/>
    <w:rsid w:val="7A986B72"/>
    <w:rsid w:val="7AA1CFFA"/>
    <w:rsid w:val="7AAA4553"/>
    <w:rsid w:val="7ACED8FB"/>
    <w:rsid w:val="7B9E36DD"/>
    <w:rsid w:val="7BB8E613"/>
    <w:rsid w:val="7BDC4BF0"/>
    <w:rsid w:val="7BF407F3"/>
    <w:rsid w:val="7C3E9F3C"/>
    <w:rsid w:val="7C58241D"/>
    <w:rsid w:val="7C8FF7F7"/>
    <w:rsid w:val="7CC903A6"/>
    <w:rsid w:val="7CCF0A8F"/>
    <w:rsid w:val="7CE6C3A1"/>
    <w:rsid w:val="7CF56B9A"/>
    <w:rsid w:val="7D2960CA"/>
    <w:rsid w:val="7D59AF44"/>
    <w:rsid w:val="7D7BBE89"/>
    <w:rsid w:val="7D86B013"/>
    <w:rsid w:val="7D91EA12"/>
    <w:rsid w:val="7E2615A0"/>
    <w:rsid w:val="7E9E82B3"/>
    <w:rsid w:val="7EA6BB79"/>
    <w:rsid w:val="7EE5643E"/>
    <w:rsid w:val="7FBA455B"/>
    <w:rsid w:val="7FF1DC89"/>
    <w:rsid w:val="7FF6C1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56223"/>
  <w15:docId w15:val="{3F1F0842-5319-45D8-92B7-B3C9D3D7930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4C6"/>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character" w:customStyle="1" w:styleId="standardChar">
    <w:name w:val="standard Char"/>
    <w:link w:val="standard"/>
    <w:rPr>
      <w:rFonts w:ascii="Palatino" w:hAnsi="Palatino"/>
      <w:sz w:val="26"/>
      <w:lang w:val="en-US" w:eastAsia="en-US" w:bidi="ar-SA"/>
    </w:rPr>
  </w:style>
  <w:style w:type="paragraph" w:customStyle="1" w:styleId="sub1">
    <w:name w:val="sub1"/>
    <w:basedOn w:val="Normal"/>
    <w:pPr>
      <w:spacing w:line="360" w:lineRule="auto"/>
      <w:ind w:firstLine="1440"/>
    </w:pPr>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styleId="FootnoteText">
    <w:name w:val="footnote text"/>
    <w:basedOn w:val="Normal"/>
    <w:link w:val="FootnoteTextChar"/>
    <w:semiHidden/>
    <w:pPr>
      <w:spacing w:after="240"/>
    </w:pPr>
    <w:rPr>
      <w:sz w:val="24"/>
    </w:rPr>
  </w:style>
  <w:style w:type="character" w:customStyle="1" w:styleId="FootnoteTextChar">
    <w:name w:val="Footnote Text Char"/>
    <w:link w:val="FootnoteText"/>
    <w:semiHidden/>
    <w:locked/>
    <w:rsid w:val="00850FAB"/>
    <w:rPr>
      <w:rFonts w:ascii="Palatino" w:hAnsi="Palatino"/>
      <w:sz w:val="24"/>
      <w:lang w:val="en-US" w:eastAsia="en-US" w:bidi="ar-SA"/>
    </w:rPr>
  </w:style>
  <w:style w:type="paragraph" w:styleId="EndnoteText">
    <w:name w:val="endnote text"/>
    <w:basedOn w:val="Normal"/>
    <w:semiHidden/>
    <w:rPr>
      <w:sz w:val="20"/>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customStyle="1" w:styleId="1ListIndent">
    <w:name w:val="1. List Indent"/>
    <w:basedOn w:val="num2"/>
    <w:pPr>
      <w:numPr>
        <w:numId w:val="2"/>
      </w:numPr>
      <w:ind w:left="1080"/>
    </w:pPr>
  </w:style>
  <w:style w:type="paragraph" w:customStyle="1" w:styleId="num2">
    <w:name w:val="num2"/>
    <w:basedOn w:val="num1"/>
    <w:pPr>
      <w:ind w:firstLine="270"/>
    </w:pPr>
  </w:style>
  <w:style w:type="paragraph" w:customStyle="1" w:styleId="num1">
    <w:name w:val="num1"/>
    <w:basedOn w:val="Normal"/>
    <w:pPr>
      <w:tabs>
        <w:tab w:val="left" w:pos="-720"/>
      </w:tabs>
      <w:suppressAutoHyphens/>
      <w:spacing w:after="240"/>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styleId="Header">
    <w:name w:val="header"/>
    <w:basedOn w:val="Normal"/>
    <w:link w:val="HeaderChar"/>
    <w:pPr>
      <w:widowControl w:val="0"/>
      <w:tabs>
        <w:tab w:val="center" w:pos="4320"/>
        <w:tab w:val="right" w:pos="8640"/>
      </w:tabs>
    </w:pPr>
  </w:style>
  <w:style w:type="paragraph" w:styleId="Footer">
    <w:name w:val="footer"/>
    <w:basedOn w:val="Normal"/>
    <w:link w:val="FooterChar"/>
    <w:uiPriority w:val="99"/>
    <w:pPr>
      <w:tabs>
        <w:tab w:val="center" w:pos="4320"/>
        <w:tab w:val="right" w:pos="8640"/>
      </w:tabs>
      <w:jc w:val="center"/>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customStyle="1" w:styleId="Style2">
    <w:name w:val="Style2"/>
    <w:basedOn w:val="Normal"/>
  </w:style>
  <w:style w:type="paragraph" w:customStyle="1" w:styleId="Style3">
    <w:name w:val="Style3"/>
    <w:basedOn w:val="Normal"/>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PlainTextChar">
    <w:name w:val="Plain Text Char"/>
    <w:link w:val="PlainText"/>
    <w:semiHidden/>
    <w:locked/>
    <w:rPr>
      <w:rFonts w:ascii="Consolas" w:hAnsi="Consolas"/>
      <w:color w:val="000000"/>
      <w:sz w:val="21"/>
      <w:szCs w:val="21"/>
      <w:lang w:bidi="ar-SA"/>
    </w:rPr>
  </w:style>
  <w:style w:type="paragraph" w:styleId="PlainText">
    <w:name w:val="Plain Text"/>
    <w:basedOn w:val="Normal"/>
    <w:link w:val="PlainTextChar"/>
    <w:semiHidden/>
    <w:rPr>
      <w:rFonts w:ascii="Consolas" w:hAnsi="Consolas"/>
      <w:color w:val="000000"/>
      <w:sz w:val="21"/>
      <w:szCs w:val="21"/>
    </w:rPr>
  </w:style>
  <w:style w:type="paragraph" w:customStyle="1" w:styleId="CM10">
    <w:name w:val="CM10"/>
    <w:basedOn w:val="Normal"/>
    <w:next w:val="Normal"/>
    <w:rsid w:val="00942B3C"/>
    <w:pPr>
      <w:widowControl w:val="0"/>
      <w:autoSpaceDE w:val="0"/>
      <w:autoSpaceDN w:val="0"/>
      <w:adjustRightInd w:val="0"/>
    </w:pPr>
    <w:rPr>
      <w:rFonts w:ascii="Lucida Bright" w:hAnsi="Lucida Bright"/>
      <w:sz w:val="24"/>
      <w:szCs w:val="24"/>
    </w:rPr>
  </w:style>
  <w:style w:type="paragraph" w:styleId="ListParagraph">
    <w:name w:val="List Paragraph"/>
    <w:basedOn w:val="Normal"/>
    <w:uiPriority w:val="34"/>
    <w:qFormat/>
    <w:rsid w:val="00DA0F8F"/>
    <w:pPr>
      <w:spacing w:after="200" w:line="276" w:lineRule="auto"/>
      <w:ind w:left="720"/>
      <w:contextualSpacing/>
    </w:pPr>
    <w:rPr>
      <w:rFonts w:ascii="Calibri" w:hAnsi="Calibri"/>
      <w:sz w:val="22"/>
      <w:szCs w:val="22"/>
    </w:rPr>
  </w:style>
  <w:style w:type="paragraph" w:styleId="Revision">
    <w:name w:val="Revision"/>
    <w:hidden/>
    <w:uiPriority w:val="99"/>
    <w:semiHidden/>
    <w:rsid w:val="00055BAF"/>
    <w:rPr>
      <w:rFonts w:ascii="Palatino" w:hAnsi="Palatino"/>
      <w:sz w:val="26"/>
    </w:rPr>
  </w:style>
  <w:style w:type="character" w:styleId="Mention">
    <w:name w:val="Mention"/>
    <w:basedOn w:val="DefaultParagraphFont"/>
    <w:uiPriority w:val="99"/>
    <w:unhideWhenUsed/>
    <w:rsid w:val="00220257"/>
    <w:rPr>
      <w:color w:val="2B579A"/>
      <w:shd w:val="clear" w:color="auto" w:fill="E1DFDD"/>
    </w:rPr>
  </w:style>
  <w:style w:type="table" w:styleId="TableGrid">
    <w:name w:val="Table Grid"/>
    <w:basedOn w:val="TableNormal"/>
    <w:rsid w:val="00A70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8068E"/>
    <w:rPr>
      <w:color w:val="0000FF" w:themeColor="hyperlink"/>
      <w:u w:val="single"/>
    </w:rPr>
  </w:style>
  <w:style w:type="character" w:styleId="UnresolvedMention">
    <w:name w:val="Unresolved Mention"/>
    <w:basedOn w:val="DefaultParagraphFont"/>
    <w:uiPriority w:val="99"/>
    <w:semiHidden/>
    <w:unhideWhenUsed/>
    <w:rsid w:val="0068068E"/>
    <w:rPr>
      <w:color w:val="605E5C"/>
      <w:shd w:val="clear" w:color="auto" w:fill="E1DFDD"/>
    </w:rPr>
  </w:style>
  <w:style w:type="character" w:styleId="Strong">
    <w:name w:val="Strong"/>
    <w:basedOn w:val="DefaultParagraphFont"/>
    <w:qFormat/>
    <w:rsid w:val="00622583"/>
    <w:rPr>
      <w:b/>
      <w:bCs/>
    </w:rPr>
  </w:style>
  <w:style w:type="character" w:styleId="Emphasis">
    <w:name w:val="Emphasis"/>
    <w:basedOn w:val="DefaultParagraphFont"/>
    <w:qFormat/>
    <w:rsid w:val="00622583"/>
    <w:rPr>
      <w:i/>
      <w:iCs/>
    </w:rPr>
  </w:style>
  <w:style w:type="character" w:customStyle="1" w:styleId="FooterChar">
    <w:name w:val="Footer Char"/>
    <w:basedOn w:val="DefaultParagraphFont"/>
    <w:link w:val="Footer"/>
    <w:uiPriority w:val="99"/>
    <w:rsid w:val="00FB3ADE"/>
    <w:rPr>
      <w:rFonts w:ascii="Palatino" w:hAnsi="Palatino"/>
      <w:sz w:val="26"/>
    </w:rPr>
  </w:style>
  <w:style w:type="character" w:customStyle="1" w:styleId="HeaderChar">
    <w:name w:val="Header Char"/>
    <w:basedOn w:val="DefaultParagraphFont"/>
    <w:link w:val="Header"/>
    <w:rsid w:val="000C4E73"/>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606">
      <w:bodyDiv w:val="1"/>
      <w:marLeft w:val="0"/>
      <w:marRight w:val="0"/>
      <w:marTop w:val="0"/>
      <w:marBottom w:val="0"/>
      <w:divBdr>
        <w:top w:val="none" w:sz="0" w:space="0" w:color="auto"/>
        <w:left w:val="none" w:sz="0" w:space="0" w:color="auto"/>
        <w:bottom w:val="none" w:sz="0" w:space="0" w:color="auto"/>
        <w:right w:val="none" w:sz="0" w:space="0" w:color="auto"/>
      </w:divBdr>
    </w:div>
    <w:div w:id="86580646">
      <w:bodyDiv w:val="1"/>
      <w:marLeft w:val="0"/>
      <w:marRight w:val="0"/>
      <w:marTop w:val="0"/>
      <w:marBottom w:val="0"/>
      <w:divBdr>
        <w:top w:val="none" w:sz="0" w:space="0" w:color="auto"/>
        <w:left w:val="none" w:sz="0" w:space="0" w:color="auto"/>
        <w:bottom w:val="none" w:sz="0" w:space="0" w:color="auto"/>
        <w:right w:val="none" w:sz="0" w:space="0" w:color="auto"/>
      </w:divBdr>
    </w:div>
    <w:div w:id="92435119">
      <w:bodyDiv w:val="1"/>
      <w:marLeft w:val="0"/>
      <w:marRight w:val="0"/>
      <w:marTop w:val="0"/>
      <w:marBottom w:val="0"/>
      <w:divBdr>
        <w:top w:val="none" w:sz="0" w:space="0" w:color="auto"/>
        <w:left w:val="none" w:sz="0" w:space="0" w:color="auto"/>
        <w:bottom w:val="none" w:sz="0" w:space="0" w:color="auto"/>
        <w:right w:val="none" w:sz="0" w:space="0" w:color="auto"/>
      </w:divBdr>
    </w:div>
    <w:div w:id="312150079">
      <w:bodyDiv w:val="1"/>
      <w:marLeft w:val="0"/>
      <w:marRight w:val="0"/>
      <w:marTop w:val="0"/>
      <w:marBottom w:val="0"/>
      <w:divBdr>
        <w:top w:val="none" w:sz="0" w:space="0" w:color="auto"/>
        <w:left w:val="none" w:sz="0" w:space="0" w:color="auto"/>
        <w:bottom w:val="none" w:sz="0" w:space="0" w:color="auto"/>
        <w:right w:val="none" w:sz="0" w:space="0" w:color="auto"/>
      </w:divBdr>
      <w:divsChild>
        <w:div w:id="1526744716">
          <w:marLeft w:val="0"/>
          <w:marRight w:val="0"/>
          <w:marTop w:val="0"/>
          <w:marBottom w:val="0"/>
          <w:divBdr>
            <w:top w:val="none" w:sz="0" w:space="0" w:color="auto"/>
            <w:left w:val="none" w:sz="0" w:space="0" w:color="auto"/>
            <w:bottom w:val="none" w:sz="0" w:space="0" w:color="auto"/>
            <w:right w:val="none" w:sz="0" w:space="0" w:color="auto"/>
          </w:divBdr>
        </w:div>
      </w:divsChild>
    </w:div>
    <w:div w:id="350573544">
      <w:bodyDiv w:val="1"/>
      <w:marLeft w:val="0"/>
      <w:marRight w:val="0"/>
      <w:marTop w:val="0"/>
      <w:marBottom w:val="0"/>
      <w:divBdr>
        <w:top w:val="none" w:sz="0" w:space="0" w:color="auto"/>
        <w:left w:val="none" w:sz="0" w:space="0" w:color="auto"/>
        <w:bottom w:val="none" w:sz="0" w:space="0" w:color="auto"/>
        <w:right w:val="none" w:sz="0" w:space="0" w:color="auto"/>
      </w:divBdr>
    </w:div>
    <w:div w:id="425537724">
      <w:bodyDiv w:val="1"/>
      <w:marLeft w:val="0"/>
      <w:marRight w:val="0"/>
      <w:marTop w:val="0"/>
      <w:marBottom w:val="0"/>
      <w:divBdr>
        <w:top w:val="none" w:sz="0" w:space="0" w:color="auto"/>
        <w:left w:val="none" w:sz="0" w:space="0" w:color="auto"/>
        <w:bottom w:val="none" w:sz="0" w:space="0" w:color="auto"/>
        <w:right w:val="none" w:sz="0" w:space="0" w:color="auto"/>
      </w:divBdr>
    </w:div>
    <w:div w:id="545945605">
      <w:bodyDiv w:val="1"/>
      <w:marLeft w:val="0"/>
      <w:marRight w:val="0"/>
      <w:marTop w:val="0"/>
      <w:marBottom w:val="0"/>
      <w:divBdr>
        <w:top w:val="none" w:sz="0" w:space="0" w:color="auto"/>
        <w:left w:val="none" w:sz="0" w:space="0" w:color="auto"/>
        <w:bottom w:val="none" w:sz="0" w:space="0" w:color="auto"/>
        <w:right w:val="none" w:sz="0" w:space="0" w:color="auto"/>
      </w:divBdr>
    </w:div>
    <w:div w:id="897714238">
      <w:bodyDiv w:val="1"/>
      <w:marLeft w:val="0"/>
      <w:marRight w:val="0"/>
      <w:marTop w:val="0"/>
      <w:marBottom w:val="0"/>
      <w:divBdr>
        <w:top w:val="none" w:sz="0" w:space="0" w:color="auto"/>
        <w:left w:val="none" w:sz="0" w:space="0" w:color="auto"/>
        <w:bottom w:val="none" w:sz="0" w:space="0" w:color="auto"/>
        <w:right w:val="none" w:sz="0" w:space="0" w:color="auto"/>
      </w:divBdr>
    </w:div>
    <w:div w:id="1053770543">
      <w:bodyDiv w:val="1"/>
      <w:marLeft w:val="0"/>
      <w:marRight w:val="0"/>
      <w:marTop w:val="0"/>
      <w:marBottom w:val="0"/>
      <w:divBdr>
        <w:top w:val="none" w:sz="0" w:space="0" w:color="auto"/>
        <w:left w:val="none" w:sz="0" w:space="0" w:color="auto"/>
        <w:bottom w:val="none" w:sz="0" w:space="0" w:color="auto"/>
        <w:right w:val="none" w:sz="0" w:space="0" w:color="auto"/>
      </w:divBdr>
      <w:divsChild>
        <w:div w:id="236791198">
          <w:marLeft w:val="0"/>
          <w:marRight w:val="0"/>
          <w:marTop w:val="0"/>
          <w:marBottom w:val="0"/>
          <w:divBdr>
            <w:top w:val="none" w:sz="0" w:space="0" w:color="auto"/>
            <w:left w:val="none" w:sz="0" w:space="0" w:color="auto"/>
            <w:bottom w:val="none" w:sz="0" w:space="0" w:color="auto"/>
            <w:right w:val="none" w:sz="0" w:space="0" w:color="auto"/>
          </w:divBdr>
          <w:divsChild>
            <w:div w:id="99495369">
              <w:marLeft w:val="0"/>
              <w:marRight w:val="0"/>
              <w:marTop w:val="0"/>
              <w:marBottom w:val="0"/>
              <w:divBdr>
                <w:top w:val="none" w:sz="0" w:space="0" w:color="auto"/>
                <w:left w:val="none" w:sz="0" w:space="0" w:color="auto"/>
                <w:bottom w:val="none" w:sz="0" w:space="0" w:color="auto"/>
                <w:right w:val="none" w:sz="0" w:space="0" w:color="auto"/>
              </w:divBdr>
              <w:divsChild>
                <w:div w:id="1426151714">
                  <w:marLeft w:val="0"/>
                  <w:marRight w:val="0"/>
                  <w:marTop w:val="0"/>
                  <w:marBottom w:val="0"/>
                  <w:divBdr>
                    <w:top w:val="none" w:sz="0" w:space="0" w:color="auto"/>
                    <w:left w:val="none" w:sz="0" w:space="0" w:color="auto"/>
                    <w:bottom w:val="none" w:sz="0" w:space="0" w:color="auto"/>
                    <w:right w:val="none" w:sz="0" w:space="0" w:color="auto"/>
                  </w:divBdr>
                  <w:divsChild>
                    <w:div w:id="1360667476">
                      <w:marLeft w:val="0"/>
                      <w:marRight w:val="0"/>
                      <w:marTop w:val="0"/>
                      <w:marBottom w:val="0"/>
                      <w:divBdr>
                        <w:top w:val="none" w:sz="0" w:space="0" w:color="auto"/>
                        <w:left w:val="none" w:sz="0" w:space="0" w:color="auto"/>
                        <w:bottom w:val="none" w:sz="0" w:space="0" w:color="auto"/>
                        <w:right w:val="none" w:sz="0" w:space="0" w:color="auto"/>
                      </w:divBdr>
                      <w:divsChild>
                        <w:div w:id="1685284243">
                          <w:marLeft w:val="0"/>
                          <w:marRight w:val="0"/>
                          <w:marTop w:val="0"/>
                          <w:marBottom w:val="0"/>
                          <w:divBdr>
                            <w:top w:val="none" w:sz="0" w:space="0" w:color="auto"/>
                            <w:left w:val="none" w:sz="0" w:space="0" w:color="auto"/>
                            <w:bottom w:val="none" w:sz="0" w:space="0" w:color="auto"/>
                            <w:right w:val="none" w:sz="0" w:space="0" w:color="auto"/>
                          </w:divBdr>
                          <w:divsChild>
                            <w:div w:id="1817575433">
                              <w:marLeft w:val="0"/>
                              <w:marRight w:val="0"/>
                              <w:marTop w:val="0"/>
                              <w:marBottom w:val="0"/>
                              <w:divBdr>
                                <w:top w:val="none" w:sz="0" w:space="0" w:color="auto"/>
                                <w:left w:val="none" w:sz="0" w:space="0" w:color="auto"/>
                                <w:bottom w:val="none" w:sz="0" w:space="0" w:color="auto"/>
                                <w:right w:val="none" w:sz="0" w:space="0" w:color="auto"/>
                              </w:divBdr>
                              <w:divsChild>
                                <w:div w:id="992754118">
                                  <w:marLeft w:val="0"/>
                                  <w:marRight w:val="0"/>
                                  <w:marTop w:val="0"/>
                                  <w:marBottom w:val="0"/>
                                  <w:divBdr>
                                    <w:top w:val="none" w:sz="0" w:space="0" w:color="auto"/>
                                    <w:left w:val="none" w:sz="0" w:space="0" w:color="auto"/>
                                    <w:bottom w:val="none" w:sz="0" w:space="0" w:color="auto"/>
                                    <w:right w:val="none" w:sz="0" w:space="0" w:color="auto"/>
                                  </w:divBdr>
                                  <w:divsChild>
                                    <w:div w:id="289821159">
                                      <w:marLeft w:val="0"/>
                                      <w:marRight w:val="0"/>
                                      <w:marTop w:val="0"/>
                                      <w:marBottom w:val="0"/>
                                      <w:divBdr>
                                        <w:top w:val="none" w:sz="0" w:space="0" w:color="auto"/>
                                        <w:left w:val="none" w:sz="0" w:space="0" w:color="auto"/>
                                        <w:bottom w:val="none" w:sz="0" w:space="0" w:color="auto"/>
                                        <w:right w:val="none" w:sz="0" w:space="0" w:color="auto"/>
                                      </w:divBdr>
                                      <w:divsChild>
                                        <w:div w:id="2068721938">
                                          <w:marLeft w:val="0"/>
                                          <w:marRight w:val="0"/>
                                          <w:marTop w:val="0"/>
                                          <w:marBottom w:val="0"/>
                                          <w:divBdr>
                                            <w:top w:val="none" w:sz="0" w:space="0" w:color="auto"/>
                                            <w:left w:val="none" w:sz="0" w:space="0" w:color="auto"/>
                                            <w:bottom w:val="none" w:sz="0" w:space="0" w:color="auto"/>
                                            <w:right w:val="none" w:sz="0" w:space="0" w:color="auto"/>
                                          </w:divBdr>
                                          <w:divsChild>
                                            <w:div w:id="1555191140">
                                              <w:marLeft w:val="0"/>
                                              <w:marRight w:val="0"/>
                                              <w:marTop w:val="0"/>
                                              <w:marBottom w:val="0"/>
                                              <w:divBdr>
                                                <w:top w:val="none" w:sz="0" w:space="0" w:color="auto"/>
                                                <w:left w:val="none" w:sz="0" w:space="0" w:color="auto"/>
                                                <w:bottom w:val="none" w:sz="0" w:space="0" w:color="auto"/>
                                                <w:right w:val="none" w:sz="0" w:space="0" w:color="auto"/>
                                              </w:divBdr>
                                              <w:divsChild>
                                                <w:div w:id="74977390">
                                                  <w:marLeft w:val="0"/>
                                                  <w:marRight w:val="0"/>
                                                  <w:marTop w:val="0"/>
                                                  <w:marBottom w:val="0"/>
                                                  <w:divBdr>
                                                    <w:top w:val="none" w:sz="0" w:space="0" w:color="auto"/>
                                                    <w:left w:val="none" w:sz="0" w:space="0" w:color="auto"/>
                                                    <w:bottom w:val="none" w:sz="0" w:space="0" w:color="auto"/>
                                                    <w:right w:val="none" w:sz="0" w:space="0" w:color="auto"/>
                                                  </w:divBdr>
                                                  <w:divsChild>
                                                    <w:div w:id="2025091514">
                                                      <w:marLeft w:val="0"/>
                                                      <w:marRight w:val="0"/>
                                                      <w:marTop w:val="0"/>
                                                      <w:marBottom w:val="0"/>
                                                      <w:divBdr>
                                                        <w:top w:val="none" w:sz="0" w:space="0" w:color="auto"/>
                                                        <w:left w:val="none" w:sz="0" w:space="0" w:color="auto"/>
                                                        <w:bottom w:val="none" w:sz="0" w:space="0" w:color="auto"/>
                                                        <w:right w:val="none" w:sz="0" w:space="0" w:color="auto"/>
                                                      </w:divBdr>
                                                      <w:divsChild>
                                                        <w:div w:id="154805867">
                                                          <w:marLeft w:val="0"/>
                                                          <w:marRight w:val="0"/>
                                                          <w:marTop w:val="0"/>
                                                          <w:marBottom w:val="0"/>
                                                          <w:divBdr>
                                                            <w:top w:val="none" w:sz="0" w:space="0" w:color="auto"/>
                                                            <w:left w:val="none" w:sz="0" w:space="0" w:color="auto"/>
                                                            <w:bottom w:val="none" w:sz="0" w:space="0" w:color="auto"/>
                                                            <w:right w:val="none" w:sz="0" w:space="0" w:color="auto"/>
                                                          </w:divBdr>
                                                          <w:divsChild>
                                                            <w:div w:id="2007173231">
                                                              <w:marLeft w:val="0"/>
                                                              <w:marRight w:val="0"/>
                                                              <w:marTop w:val="0"/>
                                                              <w:marBottom w:val="0"/>
                                                              <w:divBdr>
                                                                <w:top w:val="none" w:sz="0" w:space="0" w:color="auto"/>
                                                                <w:left w:val="none" w:sz="0" w:space="0" w:color="auto"/>
                                                                <w:bottom w:val="none" w:sz="0" w:space="0" w:color="auto"/>
                                                                <w:right w:val="none" w:sz="0" w:space="0" w:color="auto"/>
                                                              </w:divBdr>
                                                              <w:divsChild>
                                                                <w:div w:id="1734816498">
                                                                  <w:marLeft w:val="0"/>
                                                                  <w:marRight w:val="0"/>
                                                                  <w:marTop w:val="0"/>
                                                                  <w:marBottom w:val="0"/>
                                                                  <w:divBdr>
                                                                    <w:top w:val="none" w:sz="0" w:space="0" w:color="auto"/>
                                                                    <w:left w:val="none" w:sz="0" w:space="0" w:color="auto"/>
                                                                    <w:bottom w:val="none" w:sz="0" w:space="0" w:color="auto"/>
                                                                    <w:right w:val="none" w:sz="0" w:space="0" w:color="auto"/>
                                                                  </w:divBdr>
                                                                  <w:divsChild>
                                                                    <w:div w:id="1980260525">
                                                                      <w:marLeft w:val="0"/>
                                                                      <w:marRight w:val="0"/>
                                                                      <w:marTop w:val="0"/>
                                                                      <w:marBottom w:val="0"/>
                                                                      <w:divBdr>
                                                                        <w:top w:val="none" w:sz="0" w:space="0" w:color="auto"/>
                                                                        <w:left w:val="none" w:sz="0" w:space="0" w:color="auto"/>
                                                                        <w:bottom w:val="none" w:sz="0" w:space="0" w:color="auto"/>
                                                                        <w:right w:val="none" w:sz="0" w:space="0" w:color="auto"/>
                                                                      </w:divBdr>
                                                                      <w:divsChild>
                                                                        <w:div w:id="389381542">
                                                                          <w:marLeft w:val="0"/>
                                                                          <w:marRight w:val="0"/>
                                                                          <w:marTop w:val="0"/>
                                                                          <w:marBottom w:val="0"/>
                                                                          <w:divBdr>
                                                                            <w:top w:val="none" w:sz="0" w:space="0" w:color="auto"/>
                                                                            <w:left w:val="none" w:sz="0" w:space="0" w:color="auto"/>
                                                                            <w:bottom w:val="none" w:sz="0" w:space="0" w:color="auto"/>
                                                                            <w:right w:val="none" w:sz="0" w:space="0" w:color="auto"/>
                                                                          </w:divBdr>
                                                                          <w:divsChild>
                                                                            <w:div w:id="1670788537">
                                                                              <w:marLeft w:val="0"/>
                                                                              <w:marRight w:val="0"/>
                                                                              <w:marTop w:val="0"/>
                                                                              <w:marBottom w:val="0"/>
                                                                              <w:divBdr>
                                                                                <w:top w:val="none" w:sz="0" w:space="0" w:color="auto"/>
                                                                                <w:left w:val="none" w:sz="0" w:space="0" w:color="auto"/>
                                                                                <w:bottom w:val="none" w:sz="0" w:space="0" w:color="auto"/>
                                                                                <w:right w:val="none" w:sz="0" w:space="0" w:color="auto"/>
                                                                              </w:divBdr>
                                                                              <w:divsChild>
                                                                                <w:div w:id="479425413">
                                                                                  <w:marLeft w:val="0"/>
                                                                                  <w:marRight w:val="0"/>
                                                                                  <w:marTop w:val="0"/>
                                                                                  <w:marBottom w:val="0"/>
                                                                                  <w:divBdr>
                                                                                    <w:top w:val="none" w:sz="0" w:space="0" w:color="auto"/>
                                                                                    <w:left w:val="none" w:sz="0" w:space="0" w:color="auto"/>
                                                                                    <w:bottom w:val="none" w:sz="0" w:space="0" w:color="auto"/>
                                                                                    <w:right w:val="none" w:sz="0" w:space="0" w:color="auto"/>
                                                                                  </w:divBdr>
                                                                                  <w:divsChild>
                                                                                    <w:div w:id="537788653">
                                                                                      <w:marLeft w:val="0"/>
                                                                                      <w:marRight w:val="0"/>
                                                                                      <w:marTop w:val="0"/>
                                                                                      <w:marBottom w:val="0"/>
                                                                                      <w:divBdr>
                                                                                        <w:top w:val="none" w:sz="0" w:space="0" w:color="auto"/>
                                                                                        <w:left w:val="none" w:sz="0" w:space="0" w:color="auto"/>
                                                                                        <w:bottom w:val="none" w:sz="0" w:space="0" w:color="auto"/>
                                                                                        <w:right w:val="none" w:sz="0" w:space="0" w:color="auto"/>
                                                                                      </w:divBdr>
                                                                                      <w:divsChild>
                                                                                        <w:div w:id="1682586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602878">
      <w:bodyDiv w:val="1"/>
      <w:marLeft w:val="0"/>
      <w:marRight w:val="0"/>
      <w:marTop w:val="0"/>
      <w:marBottom w:val="0"/>
      <w:divBdr>
        <w:top w:val="none" w:sz="0" w:space="0" w:color="auto"/>
        <w:left w:val="none" w:sz="0" w:space="0" w:color="auto"/>
        <w:bottom w:val="none" w:sz="0" w:space="0" w:color="auto"/>
        <w:right w:val="none" w:sz="0" w:space="0" w:color="auto"/>
      </w:divBdr>
    </w:div>
    <w:div w:id="1656031540">
      <w:bodyDiv w:val="1"/>
      <w:marLeft w:val="0"/>
      <w:marRight w:val="0"/>
      <w:marTop w:val="0"/>
      <w:marBottom w:val="0"/>
      <w:divBdr>
        <w:top w:val="none" w:sz="0" w:space="0" w:color="auto"/>
        <w:left w:val="none" w:sz="0" w:space="0" w:color="auto"/>
        <w:bottom w:val="none" w:sz="0" w:space="0" w:color="auto"/>
        <w:right w:val="none" w:sz="0" w:space="0" w:color="auto"/>
      </w:divBdr>
      <w:divsChild>
        <w:div w:id="1049694058">
          <w:marLeft w:val="0"/>
          <w:marRight w:val="0"/>
          <w:marTop w:val="0"/>
          <w:marBottom w:val="0"/>
          <w:divBdr>
            <w:top w:val="none" w:sz="0" w:space="0" w:color="auto"/>
            <w:left w:val="none" w:sz="0" w:space="0" w:color="auto"/>
            <w:bottom w:val="none" w:sz="0" w:space="0" w:color="auto"/>
            <w:right w:val="none" w:sz="0" w:space="0" w:color="auto"/>
          </w:divBdr>
          <w:divsChild>
            <w:div w:id="1014922644">
              <w:marLeft w:val="0"/>
              <w:marRight w:val="0"/>
              <w:marTop w:val="0"/>
              <w:marBottom w:val="0"/>
              <w:divBdr>
                <w:top w:val="none" w:sz="0" w:space="0" w:color="auto"/>
                <w:left w:val="none" w:sz="0" w:space="0" w:color="auto"/>
                <w:bottom w:val="none" w:sz="0" w:space="0" w:color="auto"/>
                <w:right w:val="none" w:sz="0" w:space="0" w:color="auto"/>
              </w:divBdr>
              <w:divsChild>
                <w:div w:id="91358360">
                  <w:marLeft w:val="0"/>
                  <w:marRight w:val="0"/>
                  <w:marTop w:val="0"/>
                  <w:marBottom w:val="0"/>
                  <w:divBdr>
                    <w:top w:val="none" w:sz="0" w:space="0" w:color="auto"/>
                    <w:left w:val="none" w:sz="0" w:space="0" w:color="auto"/>
                    <w:bottom w:val="none" w:sz="0" w:space="0" w:color="auto"/>
                    <w:right w:val="none" w:sz="0" w:space="0" w:color="auto"/>
                  </w:divBdr>
                  <w:divsChild>
                    <w:div w:id="1574392634">
                      <w:marLeft w:val="0"/>
                      <w:marRight w:val="0"/>
                      <w:marTop w:val="0"/>
                      <w:marBottom w:val="0"/>
                      <w:divBdr>
                        <w:top w:val="none" w:sz="0" w:space="0" w:color="auto"/>
                        <w:left w:val="none" w:sz="0" w:space="0" w:color="auto"/>
                        <w:bottom w:val="none" w:sz="0" w:space="0" w:color="auto"/>
                        <w:right w:val="none" w:sz="0" w:space="0" w:color="auto"/>
                      </w:divBdr>
                      <w:divsChild>
                        <w:div w:id="1608660247">
                          <w:marLeft w:val="0"/>
                          <w:marRight w:val="0"/>
                          <w:marTop w:val="0"/>
                          <w:marBottom w:val="0"/>
                          <w:divBdr>
                            <w:top w:val="none" w:sz="0" w:space="0" w:color="auto"/>
                            <w:left w:val="none" w:sz="0" w:space="0" w:color="auto"/>
                            <w:bottom w:val="none" w:sz="0" w:space="0" w:color="auto"/>
                            <w:right w:val="none" w:sz="0" w:space="0" w:color="auto"/>
                          </w:divBdr>
                          <w:divsChild>
                            <w:div w:id="943731014">
                              <w:marLeft w:val="0"/>
                              <w:marRight w:val="0"/>
                              <w:marTop w:val="0"/>
                              <w:marBottom w:val="0"/>
                              <w:divBdr>
                                <w:top w:val="none" w:sz="0" w:space="0" w:color="auto"/>
                                <w:left w:val="none" w:sz="0" w:space="0" w:color="auto"/>
                                <w:bottom w:val="none" w:sz="0" w:space="0" w:color="auto"/>
                                <w:right w:val="none" w:sz="0" w:space="0" w:color="auto"/>
                              </w:divBdr>
                              <w:divsChild>
                                <w:div w:id="1424300976">
                                  <w:marLeft w:val="0"/>
                                  <w:marRight w:val="0"/>
                                  <w:marTop w:val="0"/>
                                  <w:marBottom w:val="0"/>
                                  <w:divBdr>
                                    <w:top w:val="none" w:sz="0" w:space="0" w:color="auto"/>
                                    <w:left w:val="none" w:sz="0" w:space="0" w:color="auto"/>
                                    <w:bottom w:val="none" w:sz="0" w:space="0" w:color="auto"/>
                                    <w:right w:val="none" w:sz="0" w:space="0" w:color="auto"/>
                                  </w:divBdr>
                                  <w:divsChild>
                                    <w:div w:id="825049545">
                                      <w:marLeft w:val="0"/>
                                      <w:marRight w:val="0"/>
                                      <w:marTop w:val="0"/>
                                      <w:marBottom w:val="0"/>
                                      <w:divBdr>
                                        <w:top w:val="none" w:sz="0" w:space="0" w:color="auto"/>
                                        <w:left w:val="none" w:sz="0" w:space="0" w:color="auto"/>
                                        <w:bottom w:val="none" w:sz="0" w:space="0" w:color="auto"/>
                                        <w:right w:val="none" w:sz="0" w:space="0" w:color="auto"/>
                                      </w:divBdr>
                                      <w:divsChild>
                                        <w:div w:id="172190038">
                                          <w:marLeft w:val="0"/>
                                          <w:marRight w:val="0"/>
                                          <w:marTop w:val="0"/>
                                          <w:marBottom w:val="0"/>
                                          <w:divBdr>
                                            <w:top w:val="none" w:sz="0" w:space="0" w:color="auto"/>
                                            <w:left w:val="none" w:sz="0" w:space="0" w:color="auto"/>
                                            <w:bottom w:val="none" w:sz="0" w:space="0" w:color="auto"/>
                                            <w:right w:val="none" w:sz="0" w:space="0" w:color="auto"/>
                                          </w:divBdr>
                                          <w:divsChild>
                                            <w:div w:id="1768622801">
                                              <w:marLeft w:val="0"/>
                                              <w:marRight w:val="0"/>
                                              <w:marTop w:val="0"/>
                                              <w:marBottom w:val="0"/>
                                              <w:divBdr>
                                                <w:top w:val="none" w:sz="0" w:space="0" w:color="auto"/>
                                                <w:left w:val="none" w:sz="0" w:space="0" w:color="auto"/>
                                                <w:bottom w:val="none" w:sz="0" w:space="0" w:color="auto"/>
                                                <w:right w:val="none" w:sz="0" w:space="0" w:color="auto"/>
                                              </w:divBdr>
                                              <w:divsChild>
                                                <w:div w:id="61875799">
                                                  <w:marLeft w:val="0"/>
                                                  <w:marRight w:val="0"/>
                                                  <w:marTop w:val="0"/>
                                                  <w:marBottom w:val="0"/>
                                                  <w:divBdr>
                                                    <w:top w:val="none" w:sz="0" w:space="0" w:color="auto"/>
                                                    <w:left w:val="none" w:sz="0" w:space="0" w:color="auto"/>
                                                    <w:bottom w:val="none" w:sz="0" w:space="0" w:color="auto"/>
                                                    <w:right w:val="none" w:sz="0" w:space="0" w:color="auto"/>
                                                  </w:divBdr>
                                                  <w:divsChild>
                                                    <w:div w:id="2029522942">
                                                      <w:marLeft w:val="0"/>
                                                      <w:marRight w:val="0"/>
                                                      <w:marTop w:val="0"/>
                                                      <w:marBottom w:val="0"/>
                                                      <w:divBdr>
                                                        <w:top w:val="none" w:sz="0" w:space="0" w:color="auto"/>
                                                        <w:left w:val="none" w:sz="0" w:space="0" w:color="auto"/>
                                                        <w:bottom w:val="none" w:sz="0" w:space="0" w:color="auto"/>
                                                        <w:right w:val="none" w:sz="0" w:space="0" w:color="auto"/>
                                                      </w:divBdr>
                                                      <w:divsChild>
                                                        <w:div w:id="795871069">
                                                          <w:marLeft w:val="0"/>
                                                          <w:marRight w:val="0"/>
                                                          <w:marTop w:val="0"/>
                                                          <w:marBottom w:val="0"/>
                                                          <w:divBdr>
                                                            <w:top w:val="none" w:sz="0" w:space="0" w:color="auto"/>
                                                            <w:left w:val="none" w:sz="0" w:space="0" w:color="auto"/>
                                                            <w:bottom w:val="none" w:sz="0" w:space="0" w:color="auto"/>
                                                            <w:right w:val="none" w:sz="0" w:space="0" w:color="auto"/>
                                                          </w:divBdr>
                                                          <w:divsChild>
                                                            <w:div w:id="1226603343">
                                                              <w:marLeft w:val="0"/>
                                                              <w:marRight w:val="0"/>
                                                              <w:marTop w:val="0"/>
                                                              <w:marBottom w:val="0"/>
                                                              <w:divBdr>
                                                                <w:top w:val="none" w:sz="0" w:space="0" w:color="auto"/>
                                                                <w:left w:val="none" w:sz="0" w:space="0" w:color="auto"/>
                                                                <w:bottom w:val="none" w:sz="0" w:space="0" w:color="auto"/>
                                                                <w:right w:val="none" w:sz="0" w:space="0" w:color="auto"/>
                                                              </w:divBdr>
                                                              <w:divsChild>
                                                                <w:div w:id="747994159">
                                                                  <w:marLeft w:val="0"/>
                                                                  <w:marRight w:val="0"/>
                                                                  <w:marTop w:val="0"/>
                                                                  <w:marBottom w:val="0"/>
                                                                  <w:divBdr>
                                                                    <w:top w:val="none" w:sz="0" w:space="0" w:color="auto"/>
                                                                    <w:left w:val="none" w:sz="0" w:space="0" w:color="auto"/>
                                                                    <w:bottom w:val="none" w:sz="0" w:space="0" w:color="auto"/>
                                                                    <w:right w:val="none" w:sz="0" w:space="0" w:color="auto"/>
                                                                  </w:divBdr>
                                                                  <w:divsChild>
                                                                    <w:div w:id="490869008">
                                                                      <w:marLeft w:val="0"/>
                                                                      <w:marRight w:val="0"/>
                                                                      <w:marTop w:val="0"/>
                                                                      <w:marBottom w:val="0"/>
                                                                      <w:divBdr>
                                                                        <w:top w:val="none" w:sz="0" w:space="0" w:color="auto"/>
                                                                        <w:left w:val="none" w:sz="0" w:space="0" w:color="auto"/>
                                                                        <w:bottom w:val="none" w:sz="0" w:space="0" w:color="auto"/>
                                                                        <w:right w:val="none" w:sz="0" w:space="0" w:color="auto"/>
                                                                      </w:divBdr>
                                                                      <w:divsChild>
                                                                        <w:div w:id="209267829">
                                                                          <w:marLeft w:val="0"/>
                                                                          <w:marRight w:val="0"/>
                                                                          <w:marTop w:val="0"/>
                                                                          <w:marBottom w:val="0"/>
                                                                          <w:divBdr>
                                                                            <w:top w:val="none" w:sz="0" w:space="0" w:color="auto"/>
                                                                            <w:left w:val="none" w:sz="0" w:space="0" w:color="auto"/>
                                                                            <w:bottom w:val="none" w:sz="0" w:space="0" w:color="auto"/>
                                                                            <w:right w:val="none" w:sz="0" w:space="0" w:color="auto"/>
                                                                          </w:divBdr>
                                                                          <w:divsChild>
                                                                            <w:div w:id="730033667">
                                                                              <w:marLeft w:val="0"/>
                                                                              <w:marRight w:val="0"/>
                                                                              <w:marTop w:val="0"/>
                                                                              <w:marBottom w:val="0"/>
                                                                              <w:divBdr>
                                                                                <w:top w:val="none" w:sz="0" w:space="0" w:color="auto"/>
                                                                                <w:left w:val="none" w:sz="0" w:space="0" w:color="auto"/>
                                                                                <w:bottom w:val="none" w:sz="0" w:space="0" w:color="auto"/>
                                                                                <w:right w:val="none" w:sz="0" w:space="0" w:color="auto"/>
                                                                              </w:divBdr>
                                                                              <w:divsChild>
                                                                                <w:div w:id="1604071091">
                                                                                  <w:marLeft w:val="0"/>
                                                                                  <w:marRight w:val="0"/>
                                                                                  <w:marTop w:val="0"/>
                                                                                  <w:marBottom w:val="0"/>
                                                                                  <w:divBdr>
                                                                                    <w:top w:val="none" w:sz="0" w:space="0" w:color="auto"/>
                                                                                    <w:left w:val="none" w:sz="0" w:space="0" w:color="auto"/>
                                                                                    <w:bottom w:val="none" w:sz="0" w:space="0" w:color="auto"/>
                                                                                    <w:right w:val="none" w:sz="0" w:space="0" w:color="auto"/>
                                                                                  </w:divBdr>
                                                                                  <w:divsChild>
                                                                                    <w:div w:id="835074505">
                                                                                      <w:marLeft w:val="0"/>
                                                                                      <w:marRight w:val="0"/>
                                                                                      <w:marTop w:val="0"/>
                                                                                      <w:marBottom w:val="0"/>
                                                                                      <w:divBdr>
                                                                                        <w:top w:val="none" w:sz="0" w:space="0" w:color="auto"/>
                                                                                        <w:left w:val="none" w:sz="0" w:space="0" w:color="auto"/>
                                                                                        <w:bottom w:val="none" w:sz="0" w:space="0" w:color="auto"/>
                                                                                        <w:right w:val="none" w:sz="0" w:space="0" w:color="auto"/>
                                                                                      </w:divBdr>
                                                                                      <w:divsChild>
                                                                                        <w:div w:id="9523209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432842">
      <w:bodyDiv w:val="1"/>
      <w:marLeft w:val="0"/>
      <w:marRight w:val="0"/>
      <w:marTop w:val="0"/>
      <w:marBottom w:val="0"/>
      <w:divBdr>
        <w:top w:val="none" w:sz="0" w:space="0" w:color="auto"/>
        <w:left w:val="none" w:sz="0" w:space="0" w:color="auto"/>
        <w:bottom w:val="none" w:sz="0" w:space="0" w:color="auto"/>
        <w:right w:val="none" w:sz="0" w:space="0" w:color="auto"/>
      </w:divBdr>
    </w:div>
    <w:div w:id="1803230664">
      <w:bodyDiv w:val="1"/>
      <w:marLeft w:val="0"/>
      <w:marRight w:val="0"/>
      <w:marTop w:val="0"/>
      <w:marBottom w:val="0"/>
      <w:divBdr>
        <w:top w:val="none" w:sz="0" w:space="0" w:color="auto"/>
        <w:left w:val="none" w:sz="0" w:space="0" w:color="auto"/>
        <w:bottom w:val="none" w:sz="0" w:space="0" w:color="auto"/>
        <w:right w:val="none" w:sz="0" w:space="0" w:color="auto"/>
      </w:divBdr>
    </w:div>
    <w:div w:id="1913002897">
      <w:bodyDiv w:val="1"/>
      <w:marLeft w:val="0"/>
      <w:marRight w:val="0"/>
      <w:marTop w:val="0"/>
      <w:marBottom w:val="0"/>
      <w:divBdr>
        <w:top w:val="none" w:sz="0" w:space="0" w:color="auto"/>
        <w:left w:val="none" w:sz="0" w:space="0" w:color="auto"/>
        <w:bottom w:val="none" w:sz="0" w:space="0" w:color="auto"/>
        <w:right w:val="none" w:sz="0" w:space="0" w:color="auto"/>
      </w:divBdr>
      <w:divsChild>
        <w:div w:id="304119142">
          <w:marLeft w:val="0"/>
          <w:marRight w:val="0"/>
          <w:marTop w:val="0"/>
          <w:marBottom w:val="0"/>
          <w:divBdr>
            <w:top w:val="none" w:sz="0" w:space="0" w:color="auto"/>
            <w:left w:val="none" w:sz="0" w:space="0" w:color="auto"/>
            <w:bottom w:val="none" w:sz="0" w:space="0" w:color="auto"/>
            <w:right w:val="none" w:sz="0" w:space="0" w:color="auto"/>
          </w:divBdr>
        </w:div>
      </w:divsChild>
    </w:div>
    <w:div w:id="1985425831">
      <w:bodyDiv w:val="1"/>
      <w:marLeft w:val="0"/>
      <w:marRight w:val="0"/>
      <w:marTop w:val="0"/>
      <w:marBottom w:val="0"/>
      <w:divBdr>
        <w:top w:val="none" w:sz="0" w:space="0" w:color="auto"/>
        <w:left w:val="none" w:sz="0" w:space="0" w:color="auto"/>
        <w:bottom w:val="none" w:sz="0" w:space="0" w:color="auto"/>
        <w:right w:val="none" w:sz="0" w:space="0" w:color="auto"/>
      </w:divBdr>
    </w:div>
    <w:div w:id="2063484260">
      <w:bodyDiv w:val="1"/>
      <w:marLeft w:val="0"/>
      <w:marRight w:val="0"/>
      <w:marTop w:val="0"/>
      <w:marBottom w:val="0"/>
      <w:divBdr>
        <w:top w:val="none" w:sz="0" w:space="0" w:color="auto"/>
        <w:left w:val="none" w:sz="0" w:space="0" w:color="auto"/>
        <w:bottom w:val="none" w:sz="0" w:space="0" w:color="auto"/>
        <w:right w:val="none" w:sz="0" w:space="0" w:color="auto"/>
      </w:divBdr>
      <w:divsChild>
        <w:div w:id="108553266">
          <w:marLeft w:val="0"/>
          <w:marRight w:val="0"/>
          <w:marTop w:val="0"/>
          <w:marBottom w:val="0"/>
          <w:divBdr>
            <w:top w:val="none" w:sz="0" w:space="0" w:color="auto"/>
            <w:left w:val="none" w:sz="0" w:space="0" w:color="auto"/>
            <w:bottom w:val="none" w:sz="0" w:space="0" w:color="auto"/>
            <w:right w:val="none" w:sz="0" w:space="0" w:color="auto"/>
          </w:divBdr>
        </w:div>
      </w:divsChild>
    </w:div>
    <w:div w:id="20696481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e22d63-cd76-4ad0-9cc0-8f2b2146ce9f" xsi:nil="true"/>
    <lcf76f155ced4ddcb4097134ff3c332f xmlns="1f515989-4afe-4bfb-8869-4f44a11afb39">
      <Terms xmlns="http://schemas.microsoft.com/office/infopath/2007/PartnerControls"/>
    </lcf76f155ced4ddcb4097134ff3c332f>
    <Status xmlns="1f515989-4afe-4bfb-8869-4f44a11afb39">true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AF9F80FDE0E459E1A4ABBAD4741F7" ma:contentTypeVersion="17" ma:contentTypeDescription="Create a new document." ma:contentTypeScope="" ma:versionID="b984a1b79a46e668b4235bb4cb764214">
  <xsd:schema xmlns:xsd="http://www.w3.org/2001/XMLSchema" xmlns:xs="http://www.w3.org/2001/XMLSchema" xmlns:p="http://schemas.microsoft.com/office/2006/metadata/properties" xmlns:ns2="1f515989-4afe-4bfb-8869-4f44a11afb39" xmlns:ns3="e5e22d63-cd76-4ad0-9cc0-8f2b2146ce9f" targetNamespace="http://schemas.microsoft.com/office/2006/metadata/properties" ma:root="true" ma:fieldsID="91568326ab95dddd31ceed0d812eb8e9" ns2:_="" ns3:_="">
    <xsd:import namespace="1f515989-4afe-4bfb-8869-4f44a11afb39"/>
    <xsd:import namespace="e5e22d63-cd76-4ad0-9cc0-8f2b2146c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15989-4afe-4bfb-8869-4f44a11af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default="1" ma:description="Whether the summary is done or not." ma:format="Dropdown" ma:internalName="Statu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e22d63-cd76-4ad0-9cc0-8f2b2146c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aef8b9-b614-4a1a-8207-1a59c8f9eb80}" ma:internalName="TaxCatchAll" ma:showField="CatchAllData" ma:web="e5e22d63-cd76-4ad0-9cc0-8f2b2146c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55F9-0933-4EFF-AB7B-06C12B46C5E0}">
  <ds:schemaRefs>
    <ds:schemaRef ds:uri="http://schemas.microsoft.com/office/2006/metadata/properties"/>
    <ds:schemaRef ds:uri="http://schemas.microsoft.com/office/infopath/2007/PartnerControls"/>
    <ds:schemaRef ds:uri="e5e22d63-cd76-4ad0-9cc0-8f2b2146ce9f"/>
    <ds:schemaRef ds:uri="1f515989-4afe-4bfb-8869-4f44a11afb39"/>
  </ds:schemaRefs>
</ds:datastoreItem>
</file>

<file path=customXml/itemProps2.xml><?xml version="1.0" encoding="utf-8"?>
<ds:datastoreItem xmlns:ds="http://schemas.openxmlformats.org/officeDocument/2006/customXml" ds:itemID="{4708C00B-767A-4485-9061-3A1F4C97451D}">
  <ds:schemaRefs>
    <ds:schemaRef ds:uri="http://schemas.microsoft.com/sharepoint/v3/contenttype/forms"/>
  </ds:schemaRefs>
</ds:datastoreItem>
</file>

<file path=customXml/itemProps3.xml><?xml version="1.0" encoding="utf-8"?>
<ds:datastoreItem xmlns:ds="http://schemas.openxmlformats.org/officeDocument/2006/customXml" ds:itemID="{8FF01E3B-775B-45D9-992D-D33EDD3FF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15989-4afe-4bfb-8869-4f44a11afb39"/>
    <ds:schemaRef ds:uri="e5e22d63-cd76-4ad0-9cc0-8f2b2146c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91283-8319-4D56-9E00-E5316D14383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102</ap:Pages>
  <ap:Words>19202</ap:Words>
  <ap:Characters>109454</ap:Characters>
  <ap:Application>Microsoft Office Word</ap:Application>
  <ap:DocSecurity>0</ap:DocSecurity>
  <ap:Lines>912</ap:Lines>
  <ap:Paragraphs>256</ap:Paragraphs>
  <ap:ScaleCrop>false</ap:ScaleCrop>
  <ap:HeadingPairs>
    <vt:vector baseType="variant" size="2">
      <vt:variant>
        <vt:lpstr>Title</vt:lpstr>
      </vt:variant>
      <vt:variant>
        <vt:i4>1</vt:i4>
      </vt:variant>
    </vt:vector>
  </ap:HeadingPairs>
  <ap:TitlesOfParts>
    <vt:vector baseType="lpstr" size="1">
      <vt:lpstr>_</vt:lpstr>
    </vt:vector>
  </ap:TitlesOfParts>
  <ap:Manager/>
  <ap:Company/>
  <ap:LinksUpToDate>false</ap:LinksUpToDate>
  <ap:CharactersWithSpaces>128400</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2014-07-01T00:25:00Z</cp:lastPrinted>
  <dcterms:created xsi:type="dcterms:W3CDTF">2025-05-08T10:44:03Z</dcterms:created>
  <dcterms:modified xsi:type="dcterms:W3CDTF">2025-05-08T10:44:03Z</dcterms:modified>
</cp:coreProperties>
</file>