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701D" w:rsidR="00CF17DE" w:rsidP="00463E2D" w:rsidRDefault="00CF17DE" w14:paraId="70BEAF91" w14:textId="77777777">
      <w:pPr>
        <w:jc w:val="center"/>
        <w:rPr>
          <w:rFonts w:ascii="Helvetica" w:hAnsi="Helvetica"/>
          <w:b/>
          <w:szCs w:val="26"/>
        </w:rPr>
      </w:pPr>
      <w:r w:rsidRPr="00EE701D">
        <w:rPr>
          <w:rFonts w:ascii="Helvetica" w:hAnsi="Helvetica"/>
          <w:b/>
          <w:szCs w:val="26"/>
        </w:rPr>
        <w:t>PUBLIC UTILITIES COMMISSION OF THE STATE OF CALIFORNIA</w:t>
      </w:r>
    </w:p>
    <w:p w:rsidRPr="00EE701D" w:rsidR="00CF17DE" w:rsidRDefault="00CF17DE" w14:paraId="5E624470" w14:textId="0347B95C">
      <w:pPr>
        <w:suppressAutoHyphens/>
        <w:rPr>
          <w:rFonts w:ascii="Palatino Linotype" w:hAnsi="Palatino Linotype"/>
          <w:sz w:val="24"/>
          <w:szCs w:val="24"/>
        </w:rPr>
      </w:pPr>
    </w:p>
    <w:p w:rsidRPr="00EE701D" w:rsidR="00D865A9" w:rsidRDefault="00D865A9" w14:paraId="719EA9BA" w14:textId="77777777">
      <w:pPr>
        <w:suppressAutoHyphens/>
        <w:rPr>
          <w:rFonts w:ascii="Palatino Linotype" w:hAnsi="Palatino Linotype"/>
          <w:sz w:val="24"/>
          <w:szCs w:val="24"/>
        </w:rPr>
      </w:pPr>
    </w:p>
    <w:p w:rsidRPr="00EE701D" w:rsidR="00B913F1" w:rsidP="00D865A9" w:rsidRDefault="00593807" w14:paraId="41593225" w14:textId="5B081512">
      <w:pPr>
        <w:tabs>
          <w:tab w:val="right" w:pos="8820"/>
        </w:tabs>
        <w:rPr>
          <w:rFonts w:ascii="Palatino Linotype" w:hAnsi="Palatino Linotype"/>
          <w:b/>
          <w:sz w:val="24"/>
          <w:szCs w:val="24"/>
        </w:rPr>
      </w:pPr>
      <w:r w:rsidRPr="00EE701D">
        <w:rPr>
          <w:rFonts w:ascii="Palatino Linotype" w:hAnsi="Palatino Linotype"/>
          <w:b/>
          <w:sz w:val="24"/>
          <w:szCs w:val="24"/>
        </w:rPr>
        <w:tab/>
      </w:r>
      <w:r w:rsidRPr="00EE701D" w:rsidR="000C6051">
        <w:rPr>
          <w:rFonts w:ascii="Palatino Linotype" w:hAnsi="Palatino Linotype"/>
          <w:b/>
          <w:sz w:val="24"/>
          <w:szCs w:val="24"/>
        </w:rPr>
        <w:t>Agenda ID #</w:t>
      </w:r>
      <w:r w:rsidRPr="00B46994" w:rsidR="00B46994">
        <w:rPr>
          <w:rFonts w:ascii="Palatino Linotype" w:hAnsi="Palatino Linotype"/>
          <w:b/>
          <w:sz w:val="24"/>
          <w:szCs w:val="24"/>
        </w:rPr>
        <w:t>23477</w:t>
      </w:r>
      <w:r w:rsidRPr="00EE701D" w:rsidR="00CF57A8">
        <w:rPr>
          <w:rFonts w:ascii="Palatino Linotype" w:hAnsi="Palatino Linotype"/>
          <w:b/>
          <w:sz w:val="24"/>
          <w:szCs w:val="24"/>
        </w:rPr>
        <w:t xml:space="preserve"> </w:t>
      </w:r>
    </w:p>
    <w:p w:rsidRPr="00EE701D" w:rsidR="00CF17DE" w:rsidP="00D865A9" w:rsidRDefault="00B913F1" w14:paraId="7AE852C7" w14:textId="08C48D67">
      <w:pPr>
        <w:tabs>
          <w:tab w:val="right" w:pos="8820"/>
        </w:tabs>
        <w:rPr>
          <w:rFonts w:ascii="Palatino Linotype" w:hAnsi="Palatino Linotype" w:eastAsia="Palatino Linotype"/>
          <w:b/>
          <w:sz w:val="24"/>
          <w:szCs w:val="24"/>
        </w:rPr>
      </w:pPr>
      <w:r w:rsidRPr="00EE701D">
        <w:rPr>
          <w:rFonts w:ascii="Palatino Linotype" w:hAnsi="Palatino Linotype" w:eastAsia="Palatino Linotype"/>
          <w:b/>
          <w:sz w:val="24"/>
          <w:szCs w:val="24"/>
        </w:rPr>
        <w:t>ENERGY DIVISION</w:t>
      </w:r>
      <w:r w:rsidRPr="00EE701D" w:rsidR="00593807">
        <w:rPr>
          <w:rFonts w:ascii="Palatino Linotype" w:hAnsi="Palatino Linotype"/>
          <w:b/>
          <w:sz w:val="24"/>
          <w:szCs w:val="24"/>
        </w:rPr>
        <w:tab/>
      </w:r>
      <w:r w:rsidRPr="00EE701D" w:rsidR="00CF17DE">
        <w:rPr>
          <w:rFonts w:ascii="Palatino Linotype" w:hAnsi="Palatino Linotype" w:eastAsia="Palatino Linotype"/>
          <w:b/>
          <w:sz w:val="24"/>
          <w:szCs w:val="24"/>
        </w:rPr>
        <w:t>RESOLUTION E</w:t>
      </w:r>
      <w:r w:rsidRPr="00EE701D" w:rsidR="00C51FA7">
        <w:rPr>
          <w:rFonts w:ascii="Palatino Linotype" w:hAnsi="Palatino Linotype" w:eastAsia="Palatino Linotype"/>
          <w:b/>
          <w:sz w:val="24"/>
          <w:szCs w:val="24"/>
        </w:rPr>
        <w:t>-5367</w:t>
      </w:r>
    </w:p>
    <w:p w:rsidRPr="00EE701D" w:rsidR="0020108F" w:rsidP="00D865A9" w:rsidRDefault="0020108F" w14:paraId="6A61AFB6" w14:textId="64F4BC82">
      <w:pPr>
        <w:tabs>
          <w:tab w:val="right" w:pos="8820"/>
        </w:tabs>
        <w:rPr>
          <w:rFonts w:ascii="Palatino Linotype" w:hAnsi="Palatino Linotype"/>
          <w:b/>
          <w:sz w:val="24"/>
          <w:szCs w:val="24"/>
        </w:rPr>
      </w:pPr>
      <w:r w:rsidRPr="00EE701D">
        <w:rPr>
          <w:rFonts w:ascii="Palatino Linotype" w:hAnsi="Palatino Linotype"/>
          <w:b/>
          <w:sz w:val="24"/>
          <w:szCs w:val="24"/>
        </w:rPr>
        <w:tab/>
      </w:r>
      <w:r w:rsidRPr="00EE701D" w:rsidR="00831DE3">
        <w:rPr>
          <w:rFonts w:ascii="Palatino Linotype" w:hAnsi="Palatino Linotype"/>
          <w:b/>
          <w:sz w:val="24"/>
          <w:szCs w:val="24"/>
        </w:rPr>
        <w:t>June 12, 2025</w:t>
      </w:r>
    </w:p>
    <w:p w:rsidRPr="00EE701D" w:rsidR="00CF17DE" w:rsidRDefault="00CF17DE" w14:paraId="3DBC912E" w14:textId="49B6ADBD">
      <w:pPr>
        <w:tabs>
          <w:tab w:val="right" w:pos="8910"/>
        </w:tabs>
        <w:ind w:left="1440" w:firstLine="720"/>
        <w:rPr>
          <w:rFonts w:ascii="Palatino Linotype" w:hAnsi="Palatino Linotype"/>
          <w:b/>
          <w:sz w:val="24"/>
          <w:szCs w:val="24"/>
        </w:rPr>
      </w:pPr>
      <w:r w:rsidRPr="00EE701D">
        <w:rPr>
          <w:rFonts w:ascii="Palatino Linotype" w:hAnsi="Palatino Linotype"/>
          <w:b/>
          <w:sz w:val="24"/>
          <w:szCs w:val="24"/>
        </w:rPr>
        <w:tab/>
      </w:r>
    </w:p>
    <w:p w:rsidRPr="00EE701D" w:rsidR="00CF17DE" w:rsidP="006A06C4" w:rsidRDefault="006A06C4" w14:paraId="061A7957" w14:textId="746D0011">
      <w:pPr>
        <w:jc w:val="center"/>
        <w:rPr>
          <w:rFonts w:ascii="Helvetica" w:hAnsi="Helvetica"/>
          <w:b/>
          <w:spacing w:val="120"/>
          <w:szCs w:val="26"/>
          <w:u w:val="single"/>
        </w:rPr>
      </w:pPr>
      <w:r w:rsidRPr="00EE701D">
        <w:rPr>
          <w:rFonts w:ascii="Helvetica" w:hAnsi="Helvetica"/>
          <w:b/>
          <w:spacing w:val="120"/>
          <w:szCs w:val="26"/>
          <w:u w:val="single"/>
        </w:rPr>
        <w:t>REDACTED</w:t>
      </w:r>
    </w:p>
    <w:p w:rsidRPr="00EE701D" w:rsidR="00CF17DE" w:rsidRDefault="00CF17DE" w14:paraId="40ADBA19" w14:textId="77777777">
      <w:pPr>
        <w:pStyle w:val="mainex"/>
        <w:rPr>
          <w:szCs w:val="26"/>
          <w:u w:val="single"/>
        </w:rPr>
      </w:pPr>
      <w:bookmarkStart w:name="_Ref404993683" w:id="0"/>
      <w:r w:rsidRPr="00EE701D">
        <w:rPr>
          <w:szCs w:val="26"/>
          <w:u w:val="single"/>
        </w:rPr>
        <w:t>RESOLUTION</w:t>
      </w:r>
    </w:p>
    <w:p w:rsidRPr="00EE701D" w:rsidR="00CF17DE" w:rsidP="4BA7214B" w:rsidRDefault="00CF17DE" w14:paraId="63C93376" w14:textId="77777777">
      <w:pPr>
        <w:rPr>
          <w:rFonts w:ascii="Palatino Linotype" w:hAnsi="Palatino Linotype" w:eastAsia="Palatino Linotype"/>
          <w:sz w:val="24"/>
          <w:szCs w:val="24"/>
        </w:rPr>
      </w:pPr>
    </w:p>
    <w:p w:rsidRPr="00EE701D" w:rsidR="000C50E3" w:rsidP="00B927B5" w:rsidRDefault="00B927B5" w14:paraId="1069D024" w14:textId="0F0B47C1">
      <w:pPr>
        <w:pStyle w:val="Res-Caption"/>
        <w:rPr>
          <w:rFonts w:ascii="Palatino Linotype" w:hAnsi="Palatino Linotype"/>
          <w:sz w:val="24"/>
          <w:szCs w:val="24"/>
        </w:rPr>
      </w:pPr>
      <w:r w:rsidRPr="00EE701D">
        <w:rPr>
          <w:rFonts w:ascii="Palatino Linotype" w:hAnsi="Palatino Linotype"/>
          <w:sz w:val="24"/>
          <w:szCs w:val="24"/>
        </w:rPr>
        <w:t xml:space="preserve">Resolution </w:t>
      </w:r>
      <w:r w:rsidRPr="00EE701D" w:rsidR="007029A6">
        <w:rPr>
          <w:rFonts w:ascii="Palatino Linotype" w:hAnsi="Palatino Linotype"/>
          <w:sz w:val="24"/>
          <w:szCs w:val="24"/>
        </w:rPr>
        <w:t>E-5367</w:t>
      </w:r>
      <w:r w:rsidRPr="00EE701D">
        <w:rPr>
          <w:rFonts w:ascii="Palatino Linotype" w:hAnsi="Palatino Linotype"/>
          <w:sz w:val="24"/>
          <w:szCs w:val="24"/>
        </w:rPr>
        <w:t xml:space="preserve">. </w:t>
      </w:r>
      <w:r w:rsidRPr="00EE701D" w:rsidR="000656A2">
        <w:rPr>
          <w:rFonts w:ascii="Palatino Linotype" w:hAnsi="Palatino Linotype"/>
          <w:sz w:val="24"/>
          <w:szCs w:val="24"/>
        </w:rPr>
        <w:t>Pursuant to Decision 24-05-065</w:t>
      </w:r>
      <w:r w:rsidRPr="00EE701D" w:rsidR="00657593">
        <w:rPr>
          <w:rFonts w:ascii="Palatino Linotype" w:hAnsi="Palatino Linotype"/>
          <w:sz w:val="24"/>
          <w:szCs w:val="24"/>
        </w:rPr>
        <w:t xml:space="preserve">, Approving </w:t>
      </w:r>
      <w:r w:rsidRPr="00EE701D" w:rsidR="005721E0">
        <w:rPr>
          <w:rFonts w:ascii="Palatino Linotype" w:hAnsi="Palatino Linotype"/>
          <w:sz w:val="24"/>
          <w:szCs w:val="24"/>
        </w:rPr>
        <w:t xml:space="preserve">with Modifications </w:t>
      </w:r>
      <w:r w:rsidRPr="00EE701D" w:rsidR="007C69D4">
        <w:rPr>
          <w:rFonts w:ascii="Palatino Linotype" w:hAnsi="Palatino Linotype"/>
          <w:sz w:val="24"/>
          <w:szCs w:val="24"/>
        </w:rPr>
        <w:t>Pacific Gas &amp; Electric Company</w:t>
      </w:r>
      <w:r w:rsidRPr="00EE701D" w:rsidR="005721E0">
        <w:rPr>
          <w:rFonts w:ascii="Palatino Linotype" w:hAnsi="Palatino Linotype"/>
          <w:sz w:val="24"/>
          <w:szCs w:val="24"/>
        </w:rPr>
        <w:t>’s</w:t>
      </w:r>
      <w:r w:rsidRPr="00EE701D" w:rsidR="007C69D4">
        <w:rPr>
          <w:rFonts w:ascii="Palatino Linotype" w:hAnsi="Palatino Linotype"/>
          <w:sz w:val="24"/>
          <w:szCs w:val="24"/>
        </w:rPr>
        <w:t xml:space="preserve"> and Southern California Edison</w:t>
      </w:r>
      <w:r w:rsidRPr="00EE701D" w:rsidR="005721E0">
        <w:rPr>
          <w:rFonts w:ascii="Palatino Linotype" w:hAnsi="Palatino Linotype"/>
          <w:sz w:val="24"/>
          <w:szCs w:val="24"/>
        </w:rPr>
        <w:t xml:space="preserve"> Company’s</w:t>
      </w:r>
      <w:r w:rsidRPr="00EE701D" w:rsidR="007C69D4">
        <w:rPr>
          <w:rFonts w:ascii="Palatino Linotype" w:hAnsi="Palatino Linotype"/>
          <w:sz w:val="24"/>
          <w:szCs w:val="24"/>
        </w:rPr>
        <w:t xml:space="preserve"> </w:t>
      </w:r>
      <w:r w:rsidRPr="00EE701D" w:rsidR="00657593">
        <w:rPr>
          <w:rFonts w:ascii="Palatino Linotype" w:hAnsi="Palatino Linotype"/>
          <w:sz w:val="24"/>
          <w:szCs w:val="24"/>
        </w:rPr>
        <w:t>DAC-GT Cost Containment Cap Proposal Update</w:t>
      </w:r>
      <w:r w:rsidRPr="00EE701D" w:rsidR="006F4DB6">
        <w:rPr>
          <w:rFonts w:ascii="Palatino Linotype" w:hAnsi="Palatino Linotype"/>
          <w:sz w:val="24"/>
          <w:szCs w:val="24"/>
        </w:rPr>
        <w:t>.</w:t>
      </w:r>
    </w:p>
    <w:p w:rsidRPr="00EE701D" w:rsidR="00801D70" w:rsidP="0078049F" w:rsidRDefault="00801D70" w14:paraId="70E6A3B4" w14:textId="77777777">
      <w:pPr>
        <w:pStyle w:val="Res-Caption"/>
        <w:ind w:left="0"/>
        <w:rPr>
          <w:rFonts w:ascii="Palatino Linotype" w:hAnsi="Palatino Linotype" w:eastAsia="Palatino Linotype"/>
          <w:sz w:val="24"/>
          <w:szCs w:val="24"/>
        </w:rPr>
      </w:pPr>
    </w:p>
    <w:p w:rsidRPr="00EE701D" w:rsidR="00DF35CC" w:rsidP="4BA7214B" w:rsidRDefault="00801D70" w14:paraId="5B232953" w14:textId="77777777">
      <w:pPr>
        <w:pStyle w:val="Res-Caption"/>
        <w:rPr>
          <w:rFonts w:ascii="Palatino Linotype" w:hAnsi="Palatino Linotype" w:eastAsia="Palatino Linotype"/>
          <w:sz w:val="24"/>
          <w:szCs w:val="24"/>
        </w:rPr>
      </w:pPr>
      <w:r w:rsidRPr="00EE701D">
        <w:rPr>
          <w:rFonts w:ascii="Palatino Linotype" w:hAnsi="Palatino Linotype" w:eastAsia="Palatino Linotype"/>
          <w:sz w:val="24"/>
          <w:szCs w:val="24"/>
        </w:rPr>
        <w:t>PROPOSED OUTCOME:</w:t>
      </w:r>
      <w:r w:rsidRPr="00EE701D" w:rsidR="00142FB8">
        <w:rPr>
          <w:rFonts w:ascii="Palatino Linotype" w:hAnsi="Palatino Linotype" w:eastAsia="Palatino Linotype"/>
          <w:sz w:val="24"/>
          <w:szCs w:val="24"/>
        </w:rPr>
        <w:t xml:space="preserve"> </w:t>
      </w:r>
    </w:p>
    <w:p w:rsidRPr="00EE701D" w:rsidR="00142FB8" w:rsidP="00142FB8" w:rsidRDefault="0078049F" w14:paraId="50158C90" w14:textId="6689B7B4">
      <w:pPr>
        <w:pStyle w:val="Res-Caption"/>
        <w:numPr>
          <w:ilvl w:val="0"/>
          <w:numId w:val="10"/>
        </w:numPr>
        <w:rPr>
          <w:rFonts w:ascii="Palatino Linotype" w:hAnsi="Palatino Linotype"/>
          <w:sz w:val="24"/>
          <w:szCs w:val="24"/>
        </w:rPr>
      </w:pPr>
      <w:r w:rsidRPr="00EE701D">
        <w:rPr>
          <w:rFonts w:ascii="Palatino Linotype" w:hAnsi="Palatino Linotype"/>
          <w:sz w:val="24"/>
          <w:szCs w:val="24"/>
        </w:rPr>
        <w:t xml:space="preserve">Approves, with modifications, Pacific Gas &amp; Electric Company’s </w:t>
      </w:r>
      <w:r w:rsidRPr="00EE701D" w:rsidR="0008128D">
        <w:rPr>
          <w:rFonts w:ascii="Palatino Linotype" w:hAnsi="Palatino Linotype"/>
          <w:sz w:val="24"/>
          <w:szCs w:val="24"/>
        </w:rPr>
        <w:t>(PG&amp;E’s) and Southern California</w:t>
      </w:r>
      <w:r w:rsidRPr="00EE701D" w:rsidR="00215CD1">
        <w:rPr>
          <w:rFonts w:ascii="Palatino Linotype" w:hAnsi="Palatino Linotype"/>
          <w:sz w:val="24"/>
          <w:szCs w:val="24"/>
        </w:rPr>
        <w:t xml:space="preserve"> Edison Company’s </w:t>
      </w:r>
      <w:r w:rsidRPr="00EE701D" w:rsidR="00486BFC">
        <w:rPr>
          <w:rFonts w:ascii="Palatino Linotype" w:hAnsi="Palatino Linotype"/>
          <w:sz w:val="24"/>
          <w:szCs w:val="24"/>
        </w:rPr>
        <w:t>Joint Advice Letter (AL) 7363-E-A and</w:t>
      </w:r>
      <w:r w:rsidRPr="00EE701D" w:rsidR="00215CD1">
        <w:rPr>
          <w:rFonts w:ascii="Palatino Linotype" w:hAnsi="Palatino Linotype"/>
          <w:sz w:val="24"/>
          <w:szCs w:val="24"/>
        </w:rPr>
        <w:t xml:space="preserve"> </w:t>
      </w:r>
      <w:r w:rsidRPr="00EE701D" w:rsidR="002D467D">
        <w:rPr>
          <w:rFonts w:ascii="Palatino Linotype" w:hAnsi="Palatino Linotype"/>
          <w:sz w:val="24"/>
          <w:szCs w:val="24"/>
        </w:rPr>
        <w:t>5362-E-A</w:t>
      </w:r>
      <w:r w:rsidRPr="00EE701D" w:rsidR="00C320B8">
        <w:rPr>
          <w:rFonts w:ascii="Palatino Linotype" w:hAnsi="Palatino Linotype"/>
          <w:sz w:val="24"/>
          <w:szCs w:val="24"/>
        </w:rPr>
        <w:t>.</w:t>
      </w:r>
    </w:p>
    <w:p w:rsidRPr="00EE701D" w:rsidR="00F51F8B" w:rsidP="009E7964" w:rsidRDefault="00F51F8B" w14:paraId="65BE5ED4" w14:textId="77777777">
      <w:pPr>
        <w:rPr>
          <w:rFonts w:ascii="Palatino Linotype" w:hAnsi="Palatino Linotype" w:eastAsia="Palatino Linotype"/>
          <w:sz w:val="24"/>
          <w:szCs w:val="24"/>
        </w:rPr>
      </w:pPr>
    </w:p>
    <w:p w:rsidRPr="00EE701D" w:rsidR="00F51F8B" w:rsidP="4BA7214B" w:rsidRDefault="00F51F8B" w14:paraId="5348E825" w14:textId="77777777">
      <w:pPr>
        <w:pStyle w:val="Res-Caption"/>
        <w:rPr>
          <w:rFonts w:ascii="Palatino Linotype" w:hAnsi="Palatino Linotype" w:eastAsia="Palatino Linotype"/>
          <w:sz w:val="24"/>
          <w:szCs w:val="24"/>
        </w:rPr>
      </w:pPr>
      <w:r w:rsidRPr="00EE701D">
        <w:rPr>
          <w:rFonts w:ascii="Palatino Linotype" w:hAnsi="Palatino Linotype" w:eastAsia="Palatino Linotype"/>
          <w:sz w:val="24"/>
          <w:szCs w:val="24"/>
        </w:rPr>
        <w:t>SAFETY CONSIDERATIONS:</w:t>
      </w:r>
    </w:p>
    <w:p w:rsidRPr="00EE701D" w:rsidR="000C50E3" w:rsidP="000C50E3" w:rsidRDefault="001032E4" w14:paraId="0EFB369B" w14:textId="67D56468">
      <w:pPr>
        <w:pStyle w:val="Res-Caption"/>
        <w:numPr>
          <w:ilvl w:val="0"/>
          <w:numId w:val="9"/>
        </w:numPr>
        <w:rPr>
          <w:rFonts w:ascii="Palatino Linotype" w:hAnsi="Palatino Linotype"/>
          <w:sz w:val="24"/>
          <w:szCs w:val="24"/>
        </w:rPr>
      </w:pPr>
      <w:r w:rsidRPr="00EE701D">
        <w:rPr>
          <w:rFonts w:ascii="Palatino Linotype" w:hAnsi="Palatino Linotype"/>
          <w:sz w:val="24"/>
          <w:szCs w:val="24"/>
        </w:rPr>
        <w:t>There are no expected safety implications with approval of this Resolution</w:t>
      </w:r>
      <w:r w:rsidRPr="00EE701D" w:rsidR="004042DF">
        <w:rPr>
          <w:rFonts w:ascii="Palatino Linotype" w:hAnsi="Palatino Linotype"/>
          <w:sz w:val="24"/>
          <w:szCs w:val="24"/>
        </w:rPr>
        <w:t>.</w:t>
      </w:r>
    </w:p>
    <w:p w:rsidRPr="00EE701D" w:rsidR="00F572F1" w:rsidRDefault="00F572F1" w14:paraId="664CBB61" w14:textId="77777777">
      <w:pPr>
        <w:pStyle w:val="Res-Caption"/>
        <w:rPr>
          <w:rFonts w:ascii="Palatino Linotype" w:hAnsi="Palatino Linotype" w:eastAsia="Palatino Linotype"/>
          <w:sz w:val="24"/>
          <w:szCs w:val="24"/>
        </w:rPr>
      </w:pPr>
    </w:p>
    <w:p w:rsidRPr="00EE701D" w:rsidR="00801D70" w:rsidP="4BA7214B" w:rsidRDefault="00801D70" w14:paraId="28BD615D" w14:textId="77777777">
      <w:pPr>
        <w:pStyle w:val="Res-Caption"/>
        <w:rPr>
          <w:rFonts w:ascii="Palatino Linotype" w:hAnsi="Palatino Linotype" w:eastAsia="Palatino Linotype"/>
          <w:sz w:val="24"/>
          <w:szCs w:val="24"/>
        </w:rPr>
      </w:pPr>
      <w:r w:rsidRPr="00EE701D">
        <w:rPr>
          <w:rFonts w:ascii="Palatino Linotype" w:hAnsi="Palatino Linotype" w:eastAsia="Palatino Linotype"/>
          <w:sz w:val="24"/>
          <w:szCs w:val="24"/>
        </w:rPr>
        <w:t xml:space="preserve">ESTIMATED COST:  </w:t>
      </w:r>
    </w:p>
    <w:p w:rsidRPr="00EE701D" w:rsidR="000C50E3" w:rsidP="000C50E3" w:rsidRDefault="001032E4" w14:paraId="42ABC734" w14:textId="60B65C46">
      <w:pPr>
        <w:pStyle w:val="Res-Caption"/>
        <w:numPr>
          <w:ilvl w:val="0"/>
          <w:numId w:val="9"/>
        </w:numPr>
        <w:rPr>
          <w:rFonts w:ascii="Palatino Linotype" w:hAnsi="Palatino Linotype"/>
          <w:sz w:val="24"/>
          <w:szCs w:val="24"/>
        </w:rPr>
      </w:pPr>
      <w:r w:rsidRPr="00EE701D">
        <w:rPr>
          <w:rFonts w:ascii="Palatino Linotype" w:hAnsi="Palatino Linotype"/>
          <w:sz w:val="24"/>
          <w:szCs w:val="24"/>
        </w:rPr>
        <w:t xml:space="preserve">The full cost to implement the DAC-GT </w:t>
      </w:r>
      <w:r w:rsidRPr="00EE701D" w:rsidR="00A86E12">
        <w:rPr>
          <w:rFonts w:ascii="Palatino Linotype" w:hAnsi="Palatino Linotype"/>
          <w:sz w:val="24"/>
          <w:szCs w:val="24"/>
        </w:rPr>
        <w:t xml:space="preserve">program has yet to be determined. The impact on rates cannot be estimates at this time as this program </w:t>
      </w:r>
      <w:r w:rsidRPr="00EE701D" w:rsidR="00486BFC">
        <w:rPr>
          <w:rFonts w:ascii="Palatino Linotype" w:hAnsi="Palatino Linotype"/>
          <w:sz w:val="24"/>
          <w:szCs w:val="24"/>
        </w:rPr>
        <w:t>is</w:t>
      </w:r>
      <w:r w:rsidRPr="00EE701D" w:rsidR="00A86E12">
        <w:rPr>
          <w:rFonts w:ascii="Palatino Linotype" w:hAnsi="Palatino Linotype"/>
          <w:sz w:val="24"/>
          <w:szCs w:val="24"/>
        </w:rPr>
        <w:t xml:space="preserve"> funded through greenhouse gas allowance proceeds and/or public purpose program funds.</w:t>
      </w:r>
    </w:p>
    <w:p w:rsidRPr="00EE701D" w:rsidR="000C50E3" w:rsidP="000C50E3" w:rsidRDefault="000C50E3" w14:paraId="7FD1037D" w14:textId="77777777">
      <w:pPr>
        <w:pStyle w:val="Res-Caption"/>
        <w:ind w:left="1440"/>
        <w:rPr>
          <w:rFonts w:ascii="Palatino Linotype" w:hAnsi="Palatino Linotype"/>
          <w:sz w:val="24"/>
          <w:szCs w:val="24"/>
        </w:rPr>
      </w:pPr>
    </w:p>
    <w:p w:rsidRPr="00EE701D" w:rsidR="00CF17DE" w:rsidP="4BA7214B" w:rsidRDefault="00CF17DE" w14:paraId="414B5F5B" w14:textId="77777777">
      <w:pPr>
        <w:pStyle w:val="Res-Caption"/>
        <w:rPr>
          <w:rFonts w:ascii="Palatino Linotype" w:hAnsi="Palatino Linotype" w:eastAsia="Palatino Linotype"/>
          <w:sz w:val="24"/>
          <w:szCs w:val="24"/>
        </w:rPr>
      </w:pPr>
    </w:p>
    <w:p w:rsidRPr="00EE701D" w:rsidR="00CF17DE" w:rsidP="003852F7" w:rsidRDefault="003852F7" w14:paraId="0395FC4E" w14:textId="36687AE6">
      <w:pPr>
        <w:pStyle w:val="Res-Caption"/>
        <w:ind w:left="360" w:right="0" w:firstLine="180"/>
        <w:rPr>
          <w:rFonts w:ascii="Palatino Linotype" w:hAnsi="Palatino Linotype" w:eastAsia="Palatino Linotype"/>
          <w:sz w:val="24"/>
          <w:szCs w:val="24"/>
        </w:rPr>
      </w:pPr>
      <w:r w:rsidRPr="003852F7">
        <w:rPr>
          <w:rFonts w:ascii="Palatino Linotype" w:hAnsi="Palatino Linotype" w:eastAsia="Palatino Linotype"/>
          <w:sz w:val="24"/>
          <w:szCs w:val="24"/>
        </w:rPr>
        <w:t xml:space="preserve">By PG&amp;E AL 7363-E and SCE AL 5362-E Filed on August 28, 2024; </w:t>
      </w:r>
      <w:r>
        <w:rPr>
          <w:rFonts w:ascii="Palatino Linotype" w:hAnsi="Palatino Linotype" w:eastAsia="Palatino Linotype"/>
          <w:sz w:val="24"/>
          <w:szCs w:val="24"/>
        </w:rPr>
        <w:br/>
      </w:r>
      <w:r w:rsidRPr="003852F7">
        <w:rPr>
          <w:rFonts w:ascii="Palatino Linotype" w:hAnsi="Palatino Linotype" w:eastAsia="Palatino Linotype"/>
          <w:sz w:val="24"/>
          <w:szCs w:val="24"/>
        </w:rPr>
        <w:t xml:space="preserve">supplemental PG&amp;E AL 7363-E-A and SCE AL 5362-E-A Filed on November 6, 2024. </w:t>
      </w:r>
      <w:r w:rsidRPr="00EE701D" w:rsidR="00CF17DE">
        <w:rPr>
          <w:rFonts w:ascii="Palatino Linotype" w:hAnsi="Palatino Linotype" w:eastAsia="Palatino Linotype"/>
          <w:sz w:val="24"/>
          <w:szCs w:val="24"/>
        </w:rPr>
        <w:t xml:space="preserve"> </w:t>
      </w:r>
    </w:p>
    <w:p w:rsidRPr="00EE701D" w:rsidR="00CF17DE" w:rsidP="4BA7214B" w:rsidRDefault="00CF17DE" w14:paraId="2BFCF270" w14:textId="77777777">
      <w:pPr>
        <w:jc w:val="center"/>
        <w:rPr>
          <w:rFonts w:ascii="Palatino Linotype" w:hAnsi="Palatino Linotype" w:eastAsia="Palatino Linotype"/>
          <w:sz w:val="24"/>
          <w:szCs w:val="24"/>
        </w:rPr>
      </w:pPr>
      <w:r w:rsidRPr="00EE701D">
        <w:rPr>
          <w:rFonts w:ascii="Palatino Linotype" w:hAnsi="Palatino Linotype" w:eastAsia="Palatino Linotype"/>
          <w:sz w:val="24"/>
          <w:szCs w:val="24"/>
        </w:rPr>
        <w:t>__________________________________________________________</w:t>
      </w:r>
    </w:p>
    <w:p w:rsidRPr="00EE701D" w:rsidR="00CF17DE" w:rsidP="4BA7214B" w:rsidRDefault="00CF17DE" w14:paraId="21ED6BB6" w14:textId="77777777">
      <w:pPr>
        <w:rPr>
          <w:rFonts w:ascii="Palatino Linotype" w:hAnsi="Palatino Linotype" w:eastAsia="Palatino Linotype"/>
          <w:b/>
          <w:sz w:val="24"/>
          <w:szCs w:val="24"/>
        </w:rPr>
      </w:pPr>
    </w:p>
    <w:p w:rsidRPr="00EE701D" w:rsidR="00CF17DE" w:rsidP="4BA7214B" w:rsidRDefault="00CF17DE" w14:paraId="2C49E15C" w14:textId="77777777">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t>Summary</w:t>
      </w:r>
      <w:bookmarkEnd w:id="0"/>
    </w:p>
    <w:p w:rsidRPr="00EE701D" w:rsidR="00CF17DE" w:rsidP="4BA7214B" w:rsidRDefault="00CF17DE" w14:paraId="184E396E" w14:textId="62F2C7E6">
      <w:pPr>
        <w:rPr>
          <w:rFonts w:ascii="Palatino Linotype" w:hAnsi="Palatino Linotype"/>
          <w:sz w:val="24"/>
          <w:szCs w:val="24"/>
        </w:rPr>
      </w:pPr>
      <w:r w:rsidRPr="00EE701D">
        <w:rPr>
          <w:rFonts w:ascii="Palatino Linotype" w:hAnsi="Palatino Linotype"/>
          <w:sz w:val="24"/>
          <w:szCs w:val="24"/>
        </w:rPr>
        <w:t xml:space="preserve">This Resolution </w:t>
      </w:r>
      <w:r w:rsidRPr="00EE701D" w:rsidR="00E51B55">
        <w:rPr>
          <w:rFonts w:ascii="Palatino Linotype" w:hAnsi="Palatino Linotype"/>
          <w:sz w:val="24"/>
          <w:szCs w:val="24"/>
        </w:rPr>
        <w:t>approves, with mo</w:t>
      </w:r>
      <w:r w:rsidRPr="00EE701D" w:rsidR="00C55E9C">
        <w:rPr>
          <w:rFonts w:ascii="Palatino Linotype" w:hAnsi="Palatino Linotype"/>
          <w:sz w:val="24"/>
          <w:szCs w:val="24"/>
        </w:rPr>
        <w:t>di</w:t>
      </w:r>
      <w:r w:rsidRPr="00EE701D" w:rsidR="00E51B55">
        <w:rPr>
          <w:rFonts w:ascii="Palatino Linotype" w:hAnsi="Palatino Linotype"/>
          <w:sz w:val="24"/>
          <w:szCs w:val="24"/>
        </w:rPr>
        <w:t>fications</w:t>
      </w:r>
      <w:r w:rsidRPr="00EE701D" w:rsidR="00C55E9C">
        <w:rPr>
          <w:rFonts w:ascii="Palatino Linotype" w:hAnsi="Palatino Linotype"/>
          <w:sz w:val="24"/>
          <w:szCs w:val="24"/>
        </w:rPr>
        <w:t xml:space="preserve">, Pacific Gas &amp; Electric Company’s (PG&amp;E’s) Advice Letter (AL) 7363-E-A and Southern California Edison Company’s (SCE’s) AL </w:t>
      </w:r>
      <w:r w:rsidRPr="00EE701D" w:rsidR="00546344">
        <w:rPr>
          <w:rFonts w:ascii="Palatino Linotype" w:hAnsi="Palatino Linotype"/>
          <w:sz w:val="24"/>
          <w:szCs w:val="24"/>
        </w:rPr>
        <w:t xml:space="preserve">5362-E-A </w:t>
      </w:r>
      <w:r w:rsidRPr="00EE701D" w:rsidR="000B2010">
        <w:rPr>
          <w:rFonts w:ascii="Palatino Linotype" w:hAnsi="Palatino Linotype"/>
          <w:sz w:val="24"/>
          <w:szCs w:val="24"/>
        </w:rPr>
        <w:t xml:space="preserve">to update </w:t>
      </w:r>
      <w:r w:rsidRPr="00EE701D" w:rsidR="00F77697">
        <w:rPr>
          <w:rFonts w:ascii="Palatino Linotype" w:hAnsi="Palatino Linotype"/>
          <w:sz w:val="24"/>
          <w:szCs w:val="24"/>
        </w:rPr>
        <w:t>the cost containment cap for the Disadvantaged Communities Green Tariff (DAC-GT)</w:t>
      </w:r>
      <w:r w:rsidRPr="00EE701D" w:rsidR="002E187A">
        <w:rPr>
          <w:rFonts w:ascii="Palatino Linotype" w:hAnsi="Palatino Linotype"/>
          <w:sz w:val="24"/>
          <w:szCs w:val="24"/>
        </w:rPr>
        <w:t xml:space="preserve"> program,</w:t>
      </w:r>
      <w:r w:rsidRPr="00EE701D" w:rsidR="00F77697">
        <w:rPr>
          <w:rFonts w:ascii="Palatino Linotype" w:hAnsi="Palatino Linotype"/>
          <w:sz w:val="24"/>
          <w:szCs w:val="24"/>
        </w:rPr>
        <w:t xml:space="preserve"> pursuant to Decision 24-05-065</w:t>
      </w:r>
      <w:r w:rsidRPr="00EE701D" w:rsidR="00EE690F">
        <w:rPr>
          <w:rFonts w:ascii="Palatino Linotype" w:hAnsi="Palatino Linotype"/>
          <w:sz w:val="24"/>
          <w:szCs w:val="24"/>
        </w:rPr>
        <w:t>.</w:t>
      </w:r>
    </w:p>
    <w:p w:rsidRPr="00EE701D" w:rsidR="00EE701D" w:rsidP="4BA7214B" w:rsidRDefault="00EE701D" w14:paraId="0D4F0690" w14:textId="77777777">
      <w:pPr>
        <w:rPr>
          <w:rFonts w:ascii="Palatino Linotype" w:hAnsi="Palatino Linotype" w:eastAsia="Palatino Linotype"/>
          <w:sz w:val="24"/>
          <w:szCs w:val="24"/>
        </w:rPr>
      </w:pPr>
    </w:p>
    <w:p w:rsidRPr="00EE701D" w:rsidR="00A74DAD" w:rsidP="004042DF" w:rsidRDefault="00CF17DE" w14:paraId="1208063F" w14:textId="1F6B34E8">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t>Background</w:t>
      </w:r>
    </w:p>
    <w:p w:rsidRPr="00EE701D" w:rsidR="00A74DAD" w:rsidP="006F2AD8" w:rsidRDefault="00AC37BC" w14:paraId="4C91506D" w14:textId="4FD984BD">
      <w:pPr>
        <w:autoSpaceDE w:val="0"/>
        <w:autoSpaceDN w:val="0"/>
        <w:adjustRightInd w:val="0"/>
        <w:rPr>
          <w:rFonts w:ascii="Palatino Linotype" w:hAnsi="Palatino Linotype"/>
          <w:sz w:val="24"/>
          <w:szCs w:val="24"/>
        </w:rPr>
      </w:pPr>
      <w:r w:rsidRPr="00EE701D">
        <w:rPr>
          <w:rFonts w:ascii="Palatino Linotype" w:hAnsi="Palatino Linotype"/>
          <w:sz w:val="24"/>
          <w:szCs w:val="24"/>
        </w:rPr>
        <w:t xml:space="preserve">The Disadvantaged Communities Green Tariff (DAC-GT) program provides </w:t>
      </w:r>
      <w:r w:rsidRPr="00EE701D" w:rsidR="00EE701D">
        <w:rPr>
          <w:rFonts w:ascii="Palatino Linotype" w:hAnsi="Palatino Linotype"/>
          <w:sz w:val="24"/>
          <w:szCs w:val="24"/>
        </w:rPr>
        <w:br/>
      </w:r>
      <w:r w:rsidRPr="00EE701D">
        <w:rPr>
          <w:rFonts w:ascii="Palatino Linotype" w:hAnsi="Palatino Linotype"/>
          <w:sz w:val="24"/>
          <w:szCs w:val="24"/>
        </w:rPr>
        <w:t>100 percent clean energy at a 20 percent total bill discount to residential customers who reside in DACs,</w:t>
      </w:r>
      <w:r w:rsidRPr="00EE701D" w:rsidR="00456769">
        <w:rPr>
          <w:rFonts w:ascii="Palatino Linotype" w:hAnsi="Palatino Linotype"/>
          <w:sz w:val="24"/>
          <w:szCs w:val="24"/>
        </w:rPr>
        <w:t xml:space="preserve"> </w:t>
      </w:r>
      <w:r w:rsidRPr="00EE701D">
        <w:rPr>
          <w:rFonts w:ascii="Palatino Linotype" w:hAnsi="Palatino Linotype"/>
          <w:sz w:val="24"/>
          <w:szCs w:val="24"/>
        </w:rPr>
        <w:t xml:space="preserve">as defined by Decision (D.) 18-06-027 </w:t>
      </w:r>
      <w:r w:rsidRPr="00EE701D">
        <w:rPr>
          <w:rFonts w:ascii="Palatino Linotype" w:hAnsi="Palatino Linotype"/>
          <w:i/>
          <w:iCs/>
          <w:sz w:val="24"/>
          <w:szCs w:val="24"/>
        </w:rPr>
        <w:t>Alternate Decision Adopting Alternatives to Promote</w:t>
      </w:r>
      <w:r w:rsidRPr="00EE701D" w:rsidR="00456769">
        <w:rPr>
          <w:rFonts w:ascii="Palatino Linotype" w:hAnsi="Palatino Linotype"/>
          <w:i/>
          <w:iCs/>
          <w:sz w:val="24"/>
          <w:szCs w:val="24"/>
        </w:rPr>
        <w:t xml:space="preserve"> </w:t>
      </w:r>
      <w:r w:rsidRPr="00EE701D">
        <w:rPr>
          <w:rFonts w:ascii="Palatino Linotype" w:hAnsi="Palatino Linotype"/>
          <w:i/>
          <w:iCs/>
          <w:sz w:val="24"/>
          <w:szCs w:val="24"/>
        </w:rPr>
        <w:t>Solar Distributed Generation in Disadvantaged Communities</w:t>
      </w:r>
      <w:r w:rsidRPr="00EE701D">
        <w:rPr>
          <w:rFonts w:ascii="Palatino Linotype" w:hAnsi="Palatino Linotype"/>
          <w:sz w:val="24"/>
          <w:szCs w:val="24"/>
        </w:rPr>
        <w:t>.</w:t>
      </w:r>
      <w:r w:rsidRPr="00EE701D" w:rsidR="00191900">
        <w:rPr>
          <w:rStyle w:val="FootnoteReference"/>
          <w:rFonts w:ascii="Palatino Linotype" w:hAnsi="Palatino Linotype"/>
          <w:sz w:val="24"/>
          <w:szCs w:val="24"/>
        </w:rPr>
        <w:footnoteReference w:id="2"/>
      </w:r>
      <w:r w:rsidRPr="00EE701D">
        <w:rPr>
          <w:rFonts w:ascii="Palatino Linotype" w:hAnsi="Palatino Linotype"/>
          <w:sz w:val="24"/>
          <w:szCs w:val="24"/>
        </w:rPr>
        <w:t xml:space="preserve"> </w:t>
      </w:r>
      <w:r w:rsidRPr="00EE701D" w:rsidR="00A74DAD">
        <w:rPr>
          <w:rFonts w:ascii="Palatino Linotype" w:hAnsi="Palatino Linotype"/>
          <w:sz w:val="24"/>
          <w:szCs w:val="24"/>
        </w:rPr>
        <w:t>Resolution E-4999</w:t>
      </w:r>
      <w:r w:rsidRPr="00EE701D" w:rsidR="004042DF">
        <w:rPr>
          <w:rFonts w:ascii="Palatino Linotype" w:hAnsi="Palatino Linotype"/>
          <w:sz w:val="24"/>
          <w:szCs w:val="24"/>
        </w:rPr>
        <w:t xml:space="preserve">, issued on </w:t>
      </w:r>
      <w:r w:rsidRPr="00EE701D" w:rsidR="009E19F2">
        <w:rPr>
          <w:rFonts w:ascii="Palatino Linotype" w:hAnsi="Palatino Linotype"/>
          <w:sz w:val="24"/>
          <w:szCs w:val="24"/>
        </w:rPr>
        <w:t>June 3, 2019</w:t>
      </w:r>
      <w:r w:rsidRPr="00EE701D" w:rsidR="004042DF">
        <w:rPr>
          <w:rFonts w:ascii="Palatino Linotype" w:hAnsi="Palatino Linotype"/>
          <w:sz w:val="24"/>
          <w:szCs w:val="24"/>
        </w:rPr>
        <w:t>,</w:t>
      </w:r>
      <w:r w:rsidRPr="00EE701D" w:rsidR="00A74DAD">
        <w:rPr>
          <w:rFonts w:ascii="Palatino Linotype" w:hAnsi="Palatino Linotype"/>
          <w:sz w:val="24"/>
          <w:szCs w:val="24"/>
        </w:rPr>
        <w:t xml:space="preserve"> </w:t>
      </w:r>
      <w:r w:rsidRPr="00EE701D" w:rsidR="001C3C7F">
        <w:rPr>
          <w:rFonts w:ascii="Palatino Linotype" w:hAnsi="Palatino Linotype"/>
          <w:sz w:val="24"/>
          <w:szCs w:val="24"/>
        </w:rPr>
        <w:t>approved with modifications</w:t>
      </w:r>
      <w:r w:rsidRPr="00EE701D" w:rsidR="002E187A">
        <w:rPr>
          <w:rFonts w:ascii="Palatino Linotype" w:hAnsi="Palatino Linotype"/>
          <w:sz w:val="24"/>
          <w:szCs w:val="24"/>
        </w:rPr>
        <w:t>, the</w:t>
      </w:r>
      <w:r w:rsidRPr="00EE701D" w:rsidR="001C3C7F">
        <w:rPr>
          <w:rFonts w:ascii="Palatino Linotype" w:hAnsi="Palatino Linotype"/>
          <w:sz w:val="24"/>
          <w:szCs w:val="24"/>
        </w:rPr>
        <w:t xml:space="preserve"> tariffs to implement the DAC-GT program</w:t>
      </w:r>
      <w:r w:rsidRPr="00EE701D" w:rsidR="005E1D9D">
        <w:rPr>
          <w:rFonts w:ascii="Palatino Linotype" w:hAnsi="Palatino Linotype"/>
          <w:sz w:val="24"/>
          <w:szCs w:val="24"/>
        </w:rPr>
        <w:t xml:space="preserve"> </w:t>
      </w:r>
      <w:r w:rsidRPr="00EE701D" w:rsidR="003B7290">
        <w:rPr>
          <w:rFonts w:ascii="Palatino Linotype" w:hAnsi="Palatino Linotype"/>
          <w:sz w:val="24"/>
          <w:szCs w:val="24"/>
        </w:rPr>
        <w:t xml:space="preserve">and </w:t>
      </w:r>
      <w:r w:rsidRPr="00EE701D" w:rsidR="00FC53A7">
        <w:rPr>
          <w:rFonts w:ascii="Palatino Linotype" w:hAnsi="Palatino Linotype"/>
          <w:sz w:val="24"/>
          <w:szCs w:val="24"/>
        </w:rPr>
        <w:t>established</w:t>
      </w:r>
      <w:r w:rsidRPr="00EE701D" w:rsidR="00A74DAD">
        <w:rPr>
          <w:rFonts w:ascii="Palatino Linotype" w:hAnsi="Palatino Linotype"/>
          <w:sz w:val="24"/>
          <w:szCs w:val="24"/>
        </w:rPr>
        <w:t xml:space="preserve"> a</w:t>
      </w:r>
      <w:r w:rsidRPr="00EE701D" w:rsidR="00315DD9">
        <w:rPr>
          <w:rFonts w:ascii="Palatino Linotype" w:hAnsi="Palatino Linotype"/>
          <w:sz w:val="24"/>
          <w:szCs w:val="24"/>
        </w:rPr>
        <w:t xml:space="preserve"> </w:t>
      </w:r>
      <w:r w:rsidRPr="00EE701D" w:rsidR="00A74DAD">
        <w:rPr>
          <w:rFonts w:ascii="Palatino Linotype" w:hAnsi="Palatino Linotype"/>
          <w:sz w:val="24"/>
          <w:szCs w:val="24"/>
        </w:rPr>
        <w:t xml:space="preserve">cost cap of </w:t>
      </w:r>
      <w:r w:rsidRPr="00EE701D" w:rsidR="0055138F">
        <w:rPr>
          <w:rFonts w:ascii="Palatino Linotype" w:hAnsi="Palatino Linotype"/>
          <w:sz w:val="24"/>
          <w:szCs w:val="24"/>
        </w:rPr>
        <w:t>“200 percent of the maximum executed contract</w:t>
      </w:r>
      <w:r w:rsidRPr="00EE701D" w:rsidR="006F2AD8">
        <w:rPr>
          <w:rFonts w:ascii="Palatino Linotype" w:hAnsi="Palatino Linotype"/>
          <w:sz w:val="24"/>
          <w:szCs w:val="24"/>
        </w:rPr>
        <w:t xml:space="preserve"> price in the previous Renewable Auction Mechanism’s </w:t>
      </w:r>
      <w:r w:rsidR="00873AF2">
        <w:rPr>
          <w:rFonts w:ascii="Palatino Linotype" w:hAnsi="Palatino Linotype"/>
          <w:sz w:val="24"/>
          <w:szCs w:val="24"/>
        </w:rPr>
        <w:br/>
      </w:r>
      <w:r w:rsidRPr="00EE701D" w:rsidR="006F2AD8">
        <w:rPr>
          <w:rFonts w:ascii="Palatino Linotype" w:hAnsi="Palatino Linotype"/>
          <w:sz w:val="24"/>
          <w:szCs w:val="24"/>
        </w:rPr>
        <w:t>as-available peaking category or the previous Green Tariff, whichever is higher</w:t>
      </w:r>
      <w:r w:rsidRPr="00EE701D" w:rsidR="00657093">
        <w:rPr>
          <w:rFonts w:ascii="Palatino Linotype" w:hAnsi="Palatino Linotype"/>
          <w:sz w:val="24"/>
          <w:szCs w:val="24"/>
        </w:rPr>
        <w:t>.”</w:t>
      </w:r>
      <w:r w:rsidRPr="00EE701D" w:rsidR="00FC53A7">
        <w:rPr>
          <w:rStyle w:val="FootnoteReference"/>
          <w:rFonts w:ascii="Palatino Linotype" w:hAnsi="Palatino Linotype"/>
          <w:sz w:val="24"/>
          <w:szCs w:val="24"/>
        </w:rPr>
        <w:footnoteReference w:id="3"/>
      </w:r>
      <w:r w:rsidRPr="00EE701D" w:rsidR="00657093">
        <w:rPr>
          <w:rFonts w:ascii="Palatino Linotype" w:hAnsi="Palatino Linotype"/>
          <w:sz w:val="24"/>
          <w:szCs w:val="24"/>
        </w:rPr>
        <w:t xml:space="preserve"> </w:t>
      </w:r>
      <w:r w:rsidRPr="00EE701D" w:rsidR="004F3B27">
        <w:rPr>
          <w:rFonts w:ascii="Palatino Linotype" w:hAnsi="Palatino Linotype"/>
          <w:sz w:val="24"/>
          <w:szCs w:val="24"/>
        </w:rPr>
        <w:t>A</w:t>
      </w:r>
      <w:r w:rsidRPr="00EE701D" w:rsidR="00FE2D90">
        <w:rPr>
          <w:rFonts w:ascii="Palatino Linotype" w:hAnsi="Palatino Linotype"/>
          <w:sz w:val="24"/>
          <w:szCs w:val="24"/>
        </w:rPr>
        <w:t xml:space="preserve"> numeric </w:t>
      </w:r>
      <w:r w:rsidRPr="00EE701D" w:rsidR="00F907AA">
        <w:rPr>
          <w:rFonts w:ascii="Palatino Linotype" w:hAnsi="Palatino Linotype"/>
          <w:sz w:val="24"/>
          <w:szCs w:val="24"/>
        </w:rPr>
        <w:t>auction clearing price</w:t>
      </w:r>
      <w:r w:rsidRPr="00EE701D" w:rsidR="004F3B27">
        <w:rPr>
          <w:rFonts w:ascii="Palatino Linotype" w:hAnsi="Palatino Linotype"/>
          <w:sz w:val="24"/>
          <w:szCs w:val="24"/>
        </w:rPr>
        <w:t xml:space="preserve"> cap </w:t>
      </w:r>
      <w:r w:rsidRPr="00EE701D" w:rsidR="00BB55CB">
        <w:rPr>
          <w:rFonts w:ascii="Palatino Linotype" w:hAnsi="Palatino Linotype"/>
          <w:sz w:val="24"/>
          <w:szCs w:val="24"/>
        </w:rPr>
        <w:t xml:space="preserve">or “cost cap” </w:t>
      </w:r>
      <w:r w:rsidRPr="00EE701D" w:rsidR="004F3B27">
        <w:rPr>
          <w:rFonts w:ascii="Palatino Linotype" w:hAnsi="Palatino Linotype"/>
          <w:sz w:val="24"/>
          <w:szCs w:val="24"/>
        </w:rPr>
        <w:t>is a threshold at which a</w:t>
      </w:r>
      <w:r w:rsidRPr="00EE701D" w:rsidR="00EE0053">
        <w:rPr>
          <w:rFonts w:ascii="Palatino Linotype" w:hAnsi="Palatino Linotype"/>
          <w:sz w:val="24"/>
          <w:szCs w:val="24"/>
        </w:rPr>
        <w:t xml:space="preserve">n investor-owned utility (IOU) or Community Choice Aggregator (CCA) is not required to </w:t>
      </w:r>
      <w:r w:rsidRPr="00EE701D" w:rsidR="004F393D">
        <w:rPr>
          <w:rFonts w:ascii="Palatino Linotype" w:hAnsi="Palatino Linotype"/>
          <w:sz w:val="24"/>
          <w:szCs w:val="24"/>
        </w:rPr>
        <w:t>execute a Power Purchase Agreement (PPA)</w:t>
      </w:r>
      <w:r w:rsidRPr="00EE701D" w:rsidR="00DE0AD2">
        <w:rPr>
          <w:rFonts w:ascii="Palatino Linotype" w:hAnsi="Palatino Linotype"/>
          <w:sz w:val="24"/>
          <w:szCs w:val="24"/>
        </w:rPr>
        <w:t>. A cost containment cap</w:t>
      </w:r>
      <w:r w:rsidRPr="00EE701D" w:rsidR="00BB55CB">
        <w:rPr>
          <w:rFonts w:ascii="Palatino Linotype" w:hAnsi="Palatino Linotype"/>
          <w:sz w:val="24"/>
          <w:szCs w:val="24"/>
        </w:rPr>
        <w:t xml:space="preserve"> </w:t>
      </w:r>
      <w:r w:rsidRPr="00EE701D" w:rsidR="00E51E33">
        <w:rPr>
          <w:rFonts w:ascii="Palatino Linotype" w:hAnsi="Palatino Linotype"/>
          <w:sz w:val="24"/>
          <w:szCs w:val="24"/>
        </w:rPr>
        <w:t xml:space="preserve">was applied to the </w:t>
      </w:r>
      <w:r w:rsidR="00873AF2">
        <w:rPr>
          <w:rFonts w:ascii="Palatino Linotype" w:hAnsi="Palatino Linotype"/>
          <w:sz w:val="24"/>
          <w:szCs w:val="24"/>
        </w:rPr>
        <w:br/>
      </w:r>
      <w:r w:rsidRPr="00EE701D" w:rsidR="00E51E33">
        <w:rPr>
          <w:rFonts w:ascii="Palatino Linotype" w:hAnsi="Palatino Linotype"/>
          <w:sz w:val="24"/>
          <w:szCs w:val="24"/>
        </w:rPr>
        <w:t xml:space="preserve">DAC-GT program by the </w:t>
      </w:r>
      <w:r w:rsidRPr="00EE701D" w:rsidR="008B5897">
        <w:rPr>
          <w:rFonts w:ascii="Palatino Linotype" w:hAnsi="Palatino Linotype"/>
          <w:sz w:val="24"/>
          <w:szCs w:val="24"/>
        </w:rPr>
        <w:t xml:space="preserve">Commission </w:t>
      </w:r>
      <w:r w:rsidRPr="00EE701D" w:rsidR="002F1FE9">
        <w:rPr>
          <w:rFonts w:ascii="Palatino Linotype" w:hAnsi="Palatino Linotype"/>
          <w:sz w:val="24"/>
          <w:szCs w:val="24"/>
        </w:rPr>
        <w:t>in order</w:t>
      </w:r>
      <w:r w:rsidRPr="00EE701D" w:rsidR="006E6BC4">
        <w:rPr>
          <w:rFonts w:ascii="Palatino Linotype" w:hAnsi="Palatino Linotype"/>
          <w:sz w:val="24"/>
          <w:szCs w:val="24"/>
        </w:rPr>
        <w:t xml:space="preserve"> to limit non-participating ratepayer </w:t>
      </w:r>
      <w:r w:rsidRPr="00EE701D" w:rsidR="004E4C59">
        <w:rPr>
          <w:rFonts w:ascii="Palatino Linotype" w:hAnsi="Palatino Linotype"/>
          <w:sz w:val="24"/>
          <w:szCs w:val="24"/>
        </w:rPr>
        <w:t>subsid</w:t>
      </w:r>
      <w:r w:rsidRPr="00EE701D" w:rsidR="00C4589B">
        <w:rPr>
          <w:rFonts w:ascii="Palatino Linotype" w:hAnsi="Palatino Linotype"/>
          <w:sz w:val="24"/>
          <w:szCs w:val="24"/>
        </w:rPr>
        <w:t>ization</w:t>
      </w:r>
      <w:r w:rsidRPr="00EE701D" w:rsidR="004E4C59">
        <w:rPr>
          <w:rFonts w:ascii="Palatino Linotype" w:hAnsi="Palatino Linotype"/>
          <w:sz w:val="24"/>
          <w:szCs w:val="24"/>
        </w:rPr>
        <w:t xml:space="preserve"> of the program and its expenditures</w:t>
      </w:r>
      <w:r w:rsidRPr="00EE701D" w:rsidR="006E6BC4">
        <w:rPr>
          <w:rFonts w:ascii="Palatino Linotype" w:hAnsi="Palatino Linotype"/>
          <w:sz w:val="24"/>
          <w:szCs w:val="24"/>
        </w:rPr>
        <w:t>.</w:t>
      </w:r>
    </w:p>
    <w:p w:rsidRPr="00EE701D" w:rsidR="007F7661" w:rsidP="00A74DAD" w:rsidRDefault="007F7661" w14:paraId="588C6404" w14:textId="77777777">
      <w:pPr>
        <w:rPr>
          <w:rFonts w:ascii="Palatino Linotype" w:hAnsi="Palatino Linotype"/>
          <w:sz w:val="24"/>
          <w:szCs w:val="24"/>
        </w:rPr>
      </w:pPr>
    </w:p>
    <w:p w:rsidRPr="00EE701D" w:rsidR="00A744E0" w:rsidP="00A744E0" w:rsidRDefault="00921168" w14:paraId="5A51B38C" w14:textId="12A0FF12">
      <w:pPr>
        <w:pStyle w:val="Default"/>
        <w:rPr>
          <w:rFonts w:ascii="Palatino Linotype" w:hAnsi="Palatino Linotype"/>
        </w:rPr>
      </w:pPr>
      <w:r w:rsidRPr="00EE701D">
        <w:rPr>
          <w:rFonts w:ascii="Palatino Linotype" w:hAnsi="Palatino Linotype"/>
        </w:rPr>
        <w:t xml:space="preserve">On May 30, 2024, the Commission issued D.24-05-065 </w:t>
      </w:r>
      <w:r w:rsidRPr="00EE701D">
        <w:rPr>
          <w:rFonts w:ascii="Palatino Linotype" w:hAnsi="Palatino Linotype"/>
          <w:i/>
          <w:iCs/>
        </w:rPr>
        <w:t>Decision Modifying Green Access Program Tariffs and Adopting a Community Renewable Energy Program</w:t>
      </w:r>
      <w:r w:rsidRPr="00EE701D">
        <w:rPr>
          <w:rFonts w:ascii="Palatino Linotype" w:hAnsi="Palatino Linotype"/>
        </w:rPr>
        <w:t xml:space="preserve">, which </w:t>
      </w:r>
      <w:r w:rsidRPr="00EE701D" w:rsidR="004E4C59">
        <w:rPr>
          <w:rFonts w:ascii="Palatino Linotype" w:hAnsi="Palatino Linotype"/>
        </w:rPr>
        <w:t xml:space="preserve">among other directives, </w:t>
      </w:r>
      <w:r w:rsidRPr="00EE701D">
        <w:rPr>
          <w:rFonts w:ascii="Palatino Linotype" w:hAnsi="Palatino Linotype"/>
        </w:rPr>
        <w:t>evaluated the current DAC-GT program and determined that it was reasonable for the Commission to update the</w:t>
      </w:r>
      <w:r w:rsidRPr="00EE701D" w:rsidR="00096886">
        <w:rPr>
          <w:rFonts w:ascii="Palatino Linotype" w:hAnsi="Palatino Linotype"/>
        </w:rPr>
        <w:t xml:space="preserve"> DAC-GT program’s</w:t>
      </w:r>
      <w:r w:rsidRPr="00EE701D">
        <w:rPr>
          <w:rFonts w:ascii="Palatino Linotype" w:hAnsi="Palatino Linotype"/>
        </w:rPr>
        <w:t xml:space="preserve"> cost containment cap to reflect current market prices and developer costs. D.24-05-065 </w:t>
      </w:r>
      <w:r w:rsidRPr="00EE701D" w:rsidR="00876193">
        <w:rPr>
          <w:rFonts w:ascii="Palatino Linotype" w:hAnsi="Palatino Linotype"/>
        </w:rPr>
        <w:t xml:space="preserve">Ordering Paragraph (OP) 4 </w:t>
      </w:r>
      <w:r w:rsidRPr="00EE701D" w:rsidR="00A744E0">
        <w:rPr>
          <w:rFonts w:ascii="Palatino Linotype" w:hAnsi="Palatino Linotype"/>
        </w:rPr>
        <w:t>required Pacific Gas and Electric Company (PG&amp;E) and Southern California Edison Company (SCE), and participating CCAs to work together to develop a</w:t>
      </w:r>
      <w:r w:rsidRPr="00EE701D" w:rsidR="0047411B">
        <w:rPr>
          <w:rFonts w:ascii="Palatino Linotype" w:hAnsi="Palatino Linotype"/>
        </w:rPr>
        <w:t>n agreed up</w:t>
      </w:r>
      <w:r w:rsidRPr="00EE701D" w:rsidR="00343394">
        <w:rPr>
          <w:rFonts w:ascii="Palatino Linotype" w:hAnsi="Palatino Linotype"/>
        </w:rPr>
        <w:t>on</w:t>
      </w:r>
      <w:r w:rsidRPr="00EE701D" w:rsidR="00A744E0">
        <w:rPr>
          <w:rFonts w:ascii="Palatino Linotype" w:hAnsi="Palatino Linotype"/>
        </w:rPr>
        <w:t xml:space="preserve"> proposal for updating the DAC-GT cost containment cap. The Decision further required that the cost containment cap reflect the option for pair</w:t>
      </w:r>
      <w:r w:rsidRPr="00EE701D" w:rsidR="00AB0B0A">
        <w:rPr>
          <w:rFonts w:ascii="Palatino Linotype" w:hAnsi="Palatino Linotype"/>
        </w:rPr>
        <w:t>ing</w:t>
      </w:r>
      <w:r w:rsidRPr="00EE701D" w:rsidR="00A744E0">
        <w:rPr>
          <w:rFonts w:ascii="Palatino Linotype" w:hAnsi="Palatino Linotype"/>
        </w:rPr>
        <w:t xml:space="preserve"> storage</w:t>
      </w:r>
      <w:r w:rsidRPr="00EE701D" w:rsidR="00432BDD">
        <w:rPr>
          <w:rFonts w:ascii="Palatino Linotype" w:hAnsi="Palatino Linotype"/>
        </w:rPr>
        <w:t xml:space="preserve"> and that </w:t>
      </w:r>
      <w:r w:rsidRPr="00EE701D" w:rsidR="00A744E0">
        <w:rPr>
          <w:rFonts w:ascii="Palatino Linotype" w:hAnsi="Palatino Linotype"/>
        </w:rPr>
        <w:t>PG&amp;E and SCE submit a Tier 2 Advice Letter proposing a method for updating the cost containment cap</w:t>
      </w:r>
      <w:r w:rsidRPr="00EE701D" w:rsidR="00432BDD">
        <w:rPr>
          <w:rFonts w:ascii="Palatino Linotype" w:hAnsi="Palatino Linotype"/>
        </w:rPr>
        <w:t>.</w:t>
      </w:r>
      <w:r w:rsidRPr="00EE701D" w:rsidR="00A744E0">
        <w:rPr>
          <w:rFonts w:ascii="Palatino Linotype" w:hAnsi="Palatino Linotype"/>
        </w:rPr>
        <w:t xml:space="preserve"> </w:t>
      </w:r>
    </w:p>
    <w:p w:rsidRPr="00EE701D" w:rsidR="00876193" w:rsidP="00A74DAD" w:rsidRDefault="00876193" w14:paraId="56D41127" w14:textId="0B61E2AC">
      <w:pPr>
        <w:rPr>
          <w:rFonts w:ascii="Palatino Linotype" w:hAnsi="Palatino Linotype"/>
          <w:sz w:val="24"/>
          <w:szCs w:val="24"/>
        </w:rPr>
      </w:pPr>
    </w:p>
    <w:p w:rsidRPr="00EE701D" w:rsidR="00C4275F" w:rsidP="00E61C1C" w:rsidRDefault="00432BDD" w14:paraId="6BFB5BF1" w14:textId="7EECF096">
      <w:pPr>
        <w:rPr>
          <w:rFonts w:ascii="Palatino Linotype" w:hAnsi="Palatino Linotype" w:cs="Book Antiqua"/>
          <w:color w:val="000000"/>
          <w:sz w:val="24"/>
          <w:szCs w:val="24"/>
        </w:rPr>
      </w:pPr>
      <w:r w:rsidRPr="00EE701D">
        <w:rPr>
          <w:rFonts w:ascii="Palatino Linotype" w:hAnsi="Palatino Linotype" w:cs="Book Antiqua"/>
          <w:color w:val="000000"/>
          <w:sz w:val="24"/>
          <w:szCs w:val="24"/>
        </w:rPr>
        <w:t xml:space="preserve">On </w:t>
      </w:r>
      <w:r w:rsidRPr="00EE701D" w:rsidR="00935089">
        <w:rPr>
          <w:rFonts w:ascii="Palatino Linotype" w:hAnsi="Palatino Linotype" w:cs="Book Antiqua"/>
          <w:color w:val="000000"/>
          <w:sz w:val="24"/>
          <w:szCs w:val="24"/>
        </w:rPr>
        <w:t xml:space="preserve">August 28, 2024, </w:t>
      </w:r>
      <w:r w:rsidRPr="00EE701D" w:rsidR="007F7661">
        <w:rPr>
          <w:rFonts w:ascii="Palatino Linotype" w:hAnsi="Palatino Linotype" w:cs="Book Antiqua"/>
          <w:color w:val="000000"/>
          <w:sz w:val="24"/>
          <w:szCs w:val="24"/>
        </w:rPr>
        <w:t>SCE</w:t>
      </w:r>
      <w:r w:rsidRPr="00EE701D" w:rsidR="007B48DD">
        <w:rPr>
          <w:rFonts w:ascii="Palatino Linotype" w:hAnsi="Palatino Linotype" w:cs="Book Antiqua"/>
          <w:color w:val="000000"/>
          <w:sz w:val="24"/>
          <w:szCs w:val="24"/>
        </w:rPr>
        <w:t xml:space="preserve"> </w:t>
      </w:r>
      <w:r w:rsidRPr="00EE701D" w:rsidR="00C371FD">
        <w:rPr>
          <w:rFonts w:ascii="Palatino Linotype" w:hAnsi="Palatino Linotype" w:cs="Book Antiqua"/>
          <w:color w:val="000000"/>
          <w:sz w:val="24"/>
          <w:szCs w:val="24"/>
        </w:rPr>
        <w:t xml:space="preserve">on behalf of itself </w:t>
      </w:r>
      <w:r w:rsidRPr="00EE701D" w:rsidR="007B48DD">
        <w:rPr>
          <w:rFonts w:ascii="Palatino Linotype" w:hAnsi="Palatino Linotype" w:cs="Book Antiqua"/>
          <w:color w:val="000000"/>
          <w:sz w:val="24"/>
          <w:szCs w:val="24"/>
        </w:rPr>
        <w:t>and</w:t>
      </w:r>
      <w:r w:rsidRPr="00EE701D" w:rsidR="007F7661">
        <w:rPr>
          <w:rFonts w:ascii="Palatino Linotype" w:hAnsi="Palatino Linotype" w:cs="Book Antiqua"/>
          <w:color w:val="000000"/>
          <w:sz w:val="24"/>
          <w:szCs w:val="24"/>
        </w:rPr>
        <w:t xml:space="preserve"> </w:t>
      </w:r>
      <w:r w:rsidRPr="00EE701D" w:rsidR="007B48DD">
        <w:rPr>
          <w:rFonts w:ascii="Palatino Linotype" w:hAnsi="Palatino Linotype" w:cs="Book Antiqua"/>
          <w:color w:val="000000"/>
          <w:sz w:val="24"/>
          <w:szCs w:val="24"/>
        </w:rPr>
        <w:t>PG&amp;E (collectively, the Joint IOUs)</w:t>
      </w:r>
      <w:r w:rsidRPr="00EE701D" w:rsidR="0089332D">
        <w:rPr>
          <w:rFonts w:ascii="Palatino Linotype" w:hAnsi="Palatino Linotype" w:cs="Book Antiqua"/>
          <w:color w:val="000000"/>
          <w:sz w:val="24"/>
          <w:szCs w:val="24"/>
        </w:rPr>
        <w:t>,</w:t>
      </w:r>
      <w:r w:rsidRPr="00EE701D" w:rsidR="007B48DD">
        <w:rPr>
          <w:rFonts w:ascii="Palatino Linotype" w:hAnsi="Palatino Linotype" w:cs="Book Antiqua"/>
          <w:color w:val="000000"/>
          <w:sz w:val="24"/>
          <w:szCs w:val="24"/>
        </w:rPr>
        <w:t xml:space="preserve"> </w:t>
      </w:r>
      <w:r w:rsidRPr="00EE701D" w:rsidR="007F7661">
        <w:rPr>
          <w:rFonts w:ascii="Palatino Linotype" w:hAnsi="Palatino Linotype" w:cs="Book Antiqua"/>
          <w:color w:val="000000"/>
          <w:sz w:val="24"/>
          <w:szCs w:val="24"/>
        </w:rPr>
        <w:t>submitted</w:t>
      </w:r>
      <w:r w:rsidRPr="00EE701D" w:rsidR="00324D06">
        <w:rPr>
          <w:rFonts w:ascii="Palatino Linotype" w:hAnsi="Palatino Linotype" w:cs="Book Antiqua"/>
          <w:color w:val="000000"/>
          <w:sz w:val="24"/>
          <w:szCs w:val="24"/>
        </w:rPr>
        <w:t xml:space="preserve"> </w:t>
      </w:r>
      <w:r w:rsidRPr="00EE701D" w:rsidR="007F7661">
        <w:rPr>
          <w:rFonts w:ascii="Palatino Linotype" w:hAnsi="Palatino Linotype" w:cs="Book Antiqua"/>
          <w:color w:val="000000"/>
          <w:sz w:val="24"/>
          <w:szCs w:val="24"/>
        </w:rPr>
        <w:t>joint advice</w:t>
      </w:r>
      <w:r w:rsidRPr="00EE701D" w:rsidR="00283899">
        <w:rPr>
          <w:rFonts w:ascii="Palatino Linotype" w:hAnsi="Palatino Linotype" w:cs="Book Antiqua"/>
          <w:color w:val="000000"/>
          <w:sz w:val="24"/>
          <w:szCs w:val="24"/>
        </w:rPr>
        <w:t xml:space="preserve"> </w:t>
      </w:r>
      <w:r w:rsidRPr="00EE701D" w:rsidR="007F7661">
        <w:rPr>
          <w:rFonts w:ascii="Palatino Linotype" w:hAnsi="Palatino Linotype" w:cs="Book Antiqua"/>
          <w:color w:val="000000"/>
          <w:sz w:val="24"/>
          <w:szCs w:val="24"/>
        </w:rPr>
        <w:t xml:space="preserve">letter </w:t>
      </w:r>
      <w:r w:rsidRPr="00EE701D" w:rsidR="00AC3150">
        <w:rPr>
          <w:rFonts w:ascii="Palatino Linotype" w:hAnsi="Palatino Linotype" w:cs="Book Antiqua"/>
          <w:color w:val="212121"/>
          <w:sz w:val="24"/>
          <w:szCs w:val="24"/>
        </w:rPr>
        <w:t>SCE AL 5362-E and PG&amp;E AL 7363-E</w:t>
      </w:r>
      <w:r w:rsidRPr="00EE701D" w:rsidR="007F7661">
        <w:rPr>
          <w:rFonts w:ascii="Palatino Linotype" w:hAnsi="Palatino Linotype" w:cs="Book Antiqua"/>
          <w:color w:val="000000"/>
          <w:sz w:val="24"/>
          <w:szCs w:val="24"/>
        </w:rPr>
        <w:t xml:space="preserve"> to propose an updated cost </w:t>
      </w:r>
      <w:r w:rsidRPr="00EE701D" w:rsidR="00283899">
        <w:rPr>
          <w:rFonts w:ascii="Palatino Linotype" w:hAnsi="Palatino Linotype" w:cs="Book Antiqua"/>
          <w:color w:val="000000"/>
          <w:sz w:val="24"/>
          <w:szCs w:val="24"/>
        </w:rPr>
        <w:t>containment</w:t>
      </w:r>
      <w:r w:rsidRPr="00EE701D" w:rsidR="007F7661">
        <w:rPr>
          <w:rFonts w:ascii="Palatino Linotype" w:hAnsi="Palatino Linotype" w:cs="Book Antiqua"/>
          <w:color w:val="000000"/>
          <w:sz w:val="24"/>
          <w:szCs w:val="24"/>
        </w:rPr>
        <w:t xml:space="preserve"> cap methodology for the</w:t>
      </w:r>
      <w:r w:rsidRPr="00EE701D" w:rsidR="00283899">
        <w:rPr>
          <w:rFonts w:ascii="Palatino Linotype" w:hAnsi="Palatino Linotype" w:cs="Book Antiqua"/>
          <w:color w:val="000000"/>
          <w:sz w:val="24"/>
          <w:szCs w:val="24"/>
        </w:rPr>
        <w:t xml:space="preserve"> </w:t>
      </w:r>
      <w:r w:rsidRPr="00EE701D" w:rsidR="007F7661">
        <w:rPr>
          <w:rFonts w:ascii="Palatino Linotype" w:hAnsi="Palatino Linotype" w:cs="Book Antiqua"/>
          <w:color w:val="000000"/>
          <w:sz w:val="24"/>
          <w:szCs w:val="24"/>
        </w:rPr>
        <w:t>DAC-GT</w:t>
      </w:r>
      <w:r w:rsidRPr="00EE701D" w:rsidR="00AC3150">
        <w:rPr>
          <w:rFonts w:ascii="Palatino Linotype" w:hAnsi="Palatino Linotype" w:cs="Book Antiqua"/>
          <w:color w:val="000000"/>
          <w:sz w:val="24"/>
          <w:szCs w:val="24"/>
        </w:rPr>
        <w:t xml:space="preserve"> program</w:t>
      </w:r>
      <w:r w:rsidRPr="00EE701D" w:rsidR="00283899">
        <w:rPr>
          <w:rFonts w:ascii="Palatino Linotype" w:hAnsi="Palatino Linotype" w:cs="Book Antiqua"/>
          <w:color w:val="000000"/>
          <w:sz w:val="24"/>
          <w:szCs w:val="24"/>
        </w:rPr>
        <w:t>.</w:t>
      </w:r>
      <w:r w:rsidRPr="00EE701D" w:rsidR="003A170D">
        <w:rPr>
          <w:rFonts w:ascii="Palatino Linotype" w:hAnsi="Palatino Linotype" w:cs="Book Antiqua"/>
          <w:color w:val="000000"/>
          <w:sz w:val="24"/>
          <w:szCs w:val="24"/>
        </w:rPr>
        <w:t xml:space="preserve"> </w:t>
      </w:r>
      <w:r w:rsidRPr="00EE701D" w:rsidR="00810787">
        <w:rPr>
          <w:rFonts w:ascii="Palatino Linotype" w:hAnsi="Palatino Linotype" w:cs="Book Antiqua"/>
          <w:color w:val="000000"/>
          <w:sz w:val="24"/>
          <w:szCs w:val="24"/>
        </w:rPr>
        <w:t>The Joint IOUs</w:t>
      </w:r>
      <w:r w:rsidRPr="00EE701D" w:rsidR="0052738D">
        <w:rPr>
          <w:rFonts w:ascii="Palatino Linotype" w:hAnsi="Palatino Linotype" w:cs="Book Antiqua"/>
          <w:color w:val="000000"/>
          <w:sz w:val="24"/>
          <w:szCs w:val="24"/>
        </w:rPr>
        <w:t xml:space="preserve">’ </w:t>
      </w:r>
      <w:r w:rsidRPr="00EE701D" w:rsidR="000D212B">
        <w:rPr>
          <w:rFonts w:ascii="Palatino Linotype" w:hAnsi="Palatino Linotype" w:cs="Book Antiqua"/>
          <w:color w:val="000000"/>
          <w:sz w:val="24"/>
          <w:szCs w:val="24"/>
        </w:rPr>
        <w:t xml:space="preserve">note </w:t>
      </w:r>
      <w:r w:rsidRPr="00EE701D" w:rsidR="00810787">
        <w:rPr>
          <w:rFonts w:ascii="Palatino Linotype" w:hAnsi="Palatino Linotype" w:cs="Book Antiqua"/>
          <w:color w:val="000000"/>
          <w:sz w:val="24"/>
          <w:szCs w:val="24"/>
        </w:rPr>
        <w:t xml:space="preserve">that </w:t>
      </w:r>
      <w:r w:rsidRPr="00EE701D" w:rsidR="003D2FE9">
        <w:rPr>
          <w:rFonts w:ascii="Palatino Linotype" w:hAnsi="Palatino Linotype" w:cs="Book Antiqua"/>
          <w:color w:val="000000"/>
          <w:sz w:val="24"/>
          <w:szCs w:val="24"/>
        </w:rPr>
        <w:t xml:space="preserve">in order to develop a proposal and update the cost cap, </w:t>
      </w:r>
      <w:r w:rsidRPr="00EE701D" w:rsidR="00972CCE">
        <w:rPr>
          <w:rFonts w:ascii="Palatino Linotype" w:hAnsi="Palatino Linotype" w:cs="Book Antiqua"/>
          <w:color w:val="000000"/>
          <w:sz w:val="24"/>
          <w:szCs w:val="24"/>
        </w:rPr>
        <w:t xml:space="preserve">they </w:t>
      </w:r>
      <w:r w:rsidRPr="00EE701D" w:rsidR="0052553B">
        <w:rPr>
          <w:rFonts w:ascii="Palatino Linotype" w:hAnsi="Palatino Linotype" w:cs="Book Antiqua"/>
          <w:color w:val="000000"/>
          <w:sz w:val="24"/>
          <w:szCs w:val="24"/>
        </w:rPr>
        <w:t xml:space="preserve">convened two meetings </w:t>
      </w:r>
      <w:r w:rsidRPr="00EE701D" w:rsidR="00234156">
        <w:rPr>
          <w:rFonts w:ascii="Palatino Linotype" w:hAnsi="Palatino Linotype" w:cs="Book Antiqua"/>
          <w:color w:val="000000"/>
          <w:sz w:val="24"/>
          <w:szCs w:val="24"/>
        </w:rPr>
        <w:t xml:space="preserve">with </w:t>
      </w:r>
      <w:r w:rsidRPr="00EE701D" w:rsidR="00A71B9E">
        <w:rPr>
          <w:rFonts w:ascii="Palatino Linotype" w:hAnsi="Palatino Linotype" w:cs="Book Antiqua"/>
          <w:color w:val="000000"/>
          <w:sz w:val="24"/>
          <w:szCs w:val="24"/>
        </w:rPr>
        <w:t xml:space="preserve">participating </w:t>
      </w:r>
      <w:r w:rsidRPr="00EE701D" w:rsidR="001F6AAC">
        <w:rPr>
          <w:rFonts w:ascii="Palatino Linotype" w:hAnsi="Palatino Linotype" w:cs="Book Antiqua"/>
          <w:color w:val="000000"/>
          <w:sz w:val="24"/>
          <w:szCs w:val="24"/>
        </w:rPr>
        <w:t xml:space="preserve">DAC-GT </w:t>
      </w:r>
      <w:r w:rsidRPr="00EE701D" w:rsidR="00A71B9E">
        <w:rPr>
          <w:rFonts w:ascii="Palatino Linotype" w:hAnsi="Palatino Linotype" w:cs="Book Antiqua"/>
          <w:color w:val="000000"/>
          <w:sz w:val="24"/>
          <w:szCs w:val="24"/>
        </w:rPr>
        <w:t>CCA</w:t>
      </w:r>
      <w:r w:rsidRPr="00EE701D" w:rsidR="001F6AAC">
        <w:rPr>
          <w:rFonts w:ascii="Palatino Linotype" w:hAnsi="Palatino Linotype" w:cs="Book Antiqua"/>
          <w:color w:val="000000"/>
          <w:sz w:val="24"/>
          <w:szCs w:val="24"/>
        </w:rPr>
        <w:t xml:space="preserve"> Program Administrators</w:t>
      </w:r>
      <w:r w:rsidRPr="00EE701D" w:rsidR="0052553B">
        <w:rPr>
          <w:rFonts w:ascii="Palatino Linotype" w:hAnsi="Palatino Linotype" w:cs="Book Antiqua"/>
          <w:color w:val="000000"/>
          <w:sz w:val="24"/>
          <w:szCs w:val="24"/>
        </w:rPr>
        <w:t xml:space="preserve"> </w:t>
      </w:r>
      <w:r w:rsidRPr="00EE701D" w:rsidR="00507C51">
        <w:rPr>
          <w:rFonts w:ascii="Palatino Linotype" w:hAnsi="Palatino Linotype" w:cs="Book Antiqua"/>
          <w:color w:val="000000"/>
          <w:sz w:val="24"/>
          <w:szCs w:val="24"/>
        </w:rPr>
        <w:t>(PAs)</w:t>
      </w:r>
      <w:r w:rsidRPr="00EE701D" w:rsidR="0052553B">
        <w:rPr>
          <w:rFonts w:ascii="Palatino Linotype" w:hAnsi="Palatino Linotype" w:cs="Book Antiqua"/>
          <w:color w:val="000000"/>
          <w:sz w:val="24"/>
          <w:szCs w:val="24"/>
        </w:rPr>
        <w:t xml:space="preserve"> on July 18 and July 24, 2024 </w:t>
      </w:r>
      <w:r w:rsidRPr="00EE701D" w:rsidR="000D212B">
        <w:rPr>
          <w:rFonts w:ascii="Palatino Linotype" w:hAnsi="Palatino Linotype" w:cs="Book Antiqua"/>
          <w:color w:val="000000"/>
          <w:sz w:val="24"/>
          <w:szCs w:val="24"/>
        </w:rPr>
        <w:t>and corresponded over email.</w:t>
      </w:r>
      <w:r w:rsidRPr="00EE701D" w:rsidR="0052553B">
        <w:rPr>
          <w:rFonts w:ascii="Palatino Linotype" w:hAnsi="Palatino Linotype" w:cs="Book Antiqua"/>
          <w:color w:val="000000"/>
          <w:sz w:val="24"/>
          <w:szCs w:val="24"/>
        </w:rPr>
        <w:t xml:space="preserve"> </w:t>
      </w:r>
      <w:r w:rsidRPr="00EE701D" w:rsidR="00C4275F">
        <w:rPr>
          <w:rFonts w:ascii="Palatino Linotype" w:hAnsi="Palatino Linotype"/>
          <w:color w:val="212121"/>
          <w:sz w:val="24"/>
          <w:szCs w:val="24"/>
        </w:rPr>
        <w:t>The</w:t>
      </w:r>
      <w:r w:rsidRPr="00EE701D" w:rsidR="002A4027">
        <w:rPr>
          <w:rFonts w:ascii="Palatino Linotype" w:hAnsi="Palatino Linotype"/>
          <w:color w:val="212121"/>
          <w:sz w:val="24"/>
          <w:szCs w:val="24"/>
        </w:rPr>
        <w:t xml:space="preserve"> participating</w:t>
      </w:r>
      <w:r w:rsidRPr="00EE701D" w:rsidR="00C4275F">
        <w:rPr>
          <w:rFonts w:ascii="Palatino Linotype" w:hAnsi="Palatino Linotype"/>
          <w:color w:val="212121"/>
          <w:sz w:val="24"/>
          <w:szCs w:val="24"/>
        </w:rPr>
        <w:t xml:space="preserve"> CCAs </w:t>
      </w:r>
      <w:r w:rsidRPr="00EE701D" w:rsidR="001F6AAC">
        <w:rPr>
          <w:rFonts w:ascii="Palatino Linotype" w:hAnsi="Palatino Linotype"/>
          <w:color w:val="212121"/>
          <w:sz w:val="24"/>
          <w:szCs w:val="24"/>
        </w:rPr>
        <w:t>(Joint Community Choice Aggregators or Joint CCAs)</w:t>
      </w:r>
      <w:r w:rsidRPr="00EE701D" w:rsidR="00C4275F">
        <w:rPr>
          <w:rFonts w:ascii="Palatino Linotype" w:hAnsi="Palatino Linotype"/>
          <w:color w:val="212121"/>
          <w:sz w:val="24"/>
          <w:szCs w:val="24"/>
        </w:rPr>
        <w:t xml:space="preserve"> </w:t>
      </w:r>
      <w:r w:rsidRPr="00EE701D" w:rsidR="002A4027">
        <w:rPr>
          <w:rFonts w:ascii="Palatino Linotype" w:hAnsi="Palatino Linotype"/>
          <w:color w:val="212121"/>
          <w:sz w:val="24"/>
          <w:szCs w:val="24"/>
        </w:rPr>
        <w:t>included</w:t>
      </w:r>
      <w:r w:rsidRPr="00EE701D" w:rsidR="00C4275F">
        <w:rPr>
          <w:rFonts w:ascii="Palatino Linotype" w:hAnsi="Palatino Linotype"/>
          <w:color w:val="212121"/>
          <w:sz w:val="24"/>
          <w:szCs w:val="24"/>
        </w:rPr>
        <w:t xml:space="preserve"> Ava Community Energy, </w:t>
      </w:r>
      <w:r w:rsidRPr="00EE701D" w:rsidR="00C4275F">
        <w:rPr>
          <w:rFonts w:ascii="Palatino Linotype" w:hAnsi="Palatino Linotype"/>
          <w:color w:val="212121"/>
          <w:sz w:val="24"/>
          <w:szCs w:val="24"/>
        </w:rPr>
        <w:lastRenderedPageBreak/>
        <w:t>Clean Power Alliance of Southern California, the City and County of San Francisco, Lancaster Choice Energy, Marin Clean Energy, Peninsula Clean Energy Authority, Pico Rivera Innovative Municipal Energy, San Diego Community Power, San Jacinto Power, and San José Clean Energy</w:t>
      </w:r>
      <w:r w:rsidRPr="00EE701D" w:rsidR="00507C51">
        <w:rPr>
          <w:rFonts w:ascii="Palatino Linotype" w:hAnsi="Palatino Linotype"/>
          <w:color w:val="212121"/>
          <w:sz w:val="24"/>
          <w:szCs w:val="24"/>
        </w:rPr>
        <w:t>.</w:t>
      </w:r>
    </w:p>
    <w:p w:rsidRPr="00EE701D" w:rsidR="00C4275F" w:rsidP="00E61C1C" w:rsidRDefault="00C4275F" w14:paraId="4797F16E" w14:textId="77777777">
      <w:pPr>
        <w:rPr>
          <w:rFonts w:ascii="Palatino Linotype" w:hAnsi="Palatino Linotype" w:cs="Book Antiqua"/>
          <w:color w:val="000000"/>
          <w:sz w:val="24"/>
          <w:szCs w:val="24"/>
        </w:rPr>
      </w:pPr>
    </w:p>
    <w:p w:rsidRPr="00EE701D" w:rsidR="00F75F5F" w:rsidP="00E61C1C" w:rsidRDefault="00B4602F" w14:paraId="5C24C6B3" w14:textId="0459FE0F">
      <w:pPr>
        <w:rPr>
          <w:rFonts w:ascii="Palatino Linotype" w:hAnsi="Palatino Linotype"/>
          <w:sz w:val="24"/>
          <w:szCs w:val="24"/>
        </w:rPr>
      </w:pPr>
      <w:r w:rsidRPr="00EE701D">
        <w:rPr>
          <w:rFonts w:ascii="Palatino Linotype" w:hAnsi="Palatino Linotype" w:cs="Book Antiqua"/>
          <w:color w:val="000000"/>
          <w:sz w:val="24"/>
          <w:szCs w:val="24"/>
        </w:rPr>
        <w:t>The</w:t>
      </w:r>
      <w:r w:rsidRPr="00EE701D" w:rsidR="0055470D">
        <w:rPr>
          <w:rFonts w:ascii="Palatino Linotype" w:hAnsi="Palatino Linotype" w:cs="Book Antiqua"/>
          <w:color w:val="000000"/>
          <w:sz w:val="24"/>
          <w:szCs w:val="24"/>
        </w:rPr>
        <w:t xml:space="preserve"> </w:t>
      </w:r>
      <w:r w:rsidRPr="00EE701D">
        <w:rPr>
          <w:rFonts w:ascii="Palatino Linotype" w:hAnsi="Palatino Linotype" w:cs="Book Antiqua"/>
          <w:color w:val="000000"/>
          <w:sz w:val="24"/>
          <w:szCs w:val="24"/>
        </w:rPr>
        <w:t xml:space="preserve">Joint IOUs filed both </w:t>
      </w:r>
      <w:r w:rsidRPr="00EE701D" w:rsidR="0055470D">
        <w:rPr>
          <w:rFonts w:ascii="Palatino Linotype" w:hAnsi="Palatino Linotype" w:cs="Book Antiqua"/>
          <w:color w:val="000000"/>
          <w:sz w:val="24"/>
          <w:szCs w:val="24"/>
        </w:rPr>
        <w:t xml:space="preserve">public and confidential </w:t>
      </w:r>
      <w:r w:rsidRPr="00EE701D">
        <w:rPr>
          <w:rFonts w:ascii="Palatino Linotype" w:hAnsi="Palatino Linotype" w:cs="Book Antiqua"/>
          <w:color w:val="000000"/>
          <w:sz w:val="24"/>
          <w:szCs w:val="24"/>
        </w:rPr>
        <w:t>versions of the AL.</w:t>
      </w:r>
      <w:r w:rsidRPr="00EE701D" w:rsidR="00AC60C1">
        <w:rPr>
          <w:rFonts w:ascii="Palatino Linotype" w:hAnsi="Palatino Linotype" w:cs="Book Antiqua"/>
          <w:color w:val="000000"/>
          <w:sz w:val="24"/>
          <w:szCs w:val="24"/>
        </w:rPr>
        <w:t xml:space="preserve"> </w:t>
      </w:r>
      <w:r w:rsidRPr="00EE701D" w:rsidR="008D6345">
        <w:rPr>
          <w:rFonts w:ascii="Palatino Linotype" w:hAnsi="Palatino Linotype"/>
          <w:sz w:val="24"/>
          <w:szCs w:val="24"/>
        </w:rPr>
        <w:t xml:space="preserve">The public filing </w:t>
      </w:r>
      <w:r w:rsidRPr="00EE701D" w:rsidR="00D65474">
        <w:rPr>
          <w:rFonts w:ascii="Palatino Linotype" w:hAnsi="Palatino Linotype"/>
          <w:sz w:val="24"/>
          <w:szCs w:val="24"/>
        </w:rPr>
        <w:t>outlines the two cost containment methodology elements</w:t>
      </w:r>
      <w:r w:rsidRPr="00EE701D" w:rsidR="00774019">
        <w:rPr>
          <w:rFonts w:ascii="Palatino Linotype" w:hAnsi="Palatino Linotype"/>
          <w:sz w:val="24"/>
          <w:szCs w:val="24"/>
        </w:rPr>
        <w:t xml:space="preserve"> </w:t>
      </w:r>
      <w:r w:rsidRPr="00EE701D" w:rsidR="000F3A52">
        <w:rPr>
          <w:rFonts w:ascii="Palatino Linotype" w:hAnsi="Palatino Linotype"/>
          <w:sz w:val="24"/>
          <w:szCs w:val="24"/>
        </w:rPr>
        <w:t>that the Joint IOUs and Joint CCAs agreed upon</w:t>
      </w:r>
      <w:r w:rsidRPr="00EE701D">
        <w:rPr>
          <w:rFonts w:ascii="Palatino Linotype" w:hAnsi="Palatino Linotype"/>
          <w:sz w:val="24"/>
          <w:szCs w:val="24"/>
        </w:rPr>
        <w:t xml:space="preserve">: </w:t>
      </w:r>
      <w:r w:rsidRPr="00EE701D" w:rsidR="00954846">
        <w:rPr>
          <w:rFonts w:ascii="Palatino Linotype" w:hAnsi="Palatino Linotype"/>
          <w:sz w:val="24"/>
          <w:szCs w:val="24"/>
        </w:rPr>
        <w:t>a Benchmark Value Reference Price (CBVRP) and a DAC Percentage Multiplier (Multiplier)</w:t>
      </w:r>
      <w:r w:rsidRPr="00EE701D" w:rsidR="00F07B79">
        <w:rPr>
          <w:rFonts w:ascii="Palatino Linotype" w:hAnsi="Palatino Linotype"/>
          <w:sz w:val="24"/>
          <w:szCs w:val="24"/>
        </w:rPr>
        <w:t>.</w:t>
      </w:r>
      <w:r w:rsidRPr="00EE701D" w:rsidR="00F07B79">
        <w:rPr>
          <w:rFonts w:ascii="Palatino Linotype" w:hAnsi="Palatino Linotype"/>
          <w:color w:val="212121"/>
          <w:sz w:val="24"/>
          <w:szCs w:val="24"/>
        </w:rPr>
        <w:t xml:space="preserve"> </w:t>
      </w:r>
      <w:r w:rsidRPr="00EE701D" w:rsidR="00954846">
        <w:rPr>
          <w:rFonts w:ascii="Palatino Linotype" w:hAnsi="Palatino Linotype"/>
          <w:sz w:val="24"/>
          <w:szCs w:val="24"/>
        </w:rPr>
        <w:t xml:space="preserve">The public </w:t>
      </w:r>
      <w:r w:rsidRPr="00EE701D" w:rsidR="0055470D">
        <w:rPr>
          <w:rFonts w:ascii="Palatino Linotype" w:hAnsi="Palatino Linotype"/>
          <w:sz w:val="24"/>
          <w:szCs w:val="24"/>
        </w:rPr>
        <w:t xml:space="preserve">filing </w:t>
      </w:r>
      <w:r w:rsidRPr="00EE701D" w:rsidR="00954846">
        <w:rPr>
          <w:rFonts w:ascii="Palatino Linotype" w:hAnsi="Palatino Linotype"/>
          <w:sz w:val="24"/>
          <w:szCs w:val="24"/>
        </w:rPr>
        <w:t>also outlines</w:t>
      </w:r>
      <w:r w:rsidRPr="00EE701D" w:rsidR="00F07B79">
        <w:rPr>
          <w:rFonts w:ascii="Palatino Linotype" w:hAnsi="Palatino Linotype"/>
          <w:sz w:val="24"/>
          <w:szCs w:val="24"/>
        </w:rPr>
        <w:t xml:space="preserve"> the </w:t>
      </w:r>
      <w:r w:rsidRPr="00EE701D" w:rsidR="00774019">
        <w:rPr>
          <w:rFonts w:ascii="Palatino Linotype" w:hAnsi="Palatino Linotype"/>
          <w:sz w:val="24"/>
          <w:szCs w:val="24"/>
        </w:rPr>
        <w:t>Joint IOUs</w:t>
      </w:r>
      <w:r w:rsidRPr="00EE701D" w:rsidR="00954846">
        <w:rPr>
          <w:rFonts w:ascii="Palatino Linotype" w:hAnsi="Palatino Linotype"/>
          <w:sz w:val="24"/>
          <w:szCs w:val="24"/>
        </w:rPr>
        <w:t>’</w:t>
      </w:r>
      <w:r w:rsidRPr="00EE701D" w:rsidR="00774019">
        <w:rPr>
          <w:rFonts w:ascii="Palatino Linotype" w:hAnsi="Palatino Linotype"/>
          <w:sz w:val="24"/>
          <w:szCs w:val="24"/>
        </w:rPr>
        <w:t xml:space="preserve"> </w:t>
      </w:r>
      <w:r w:rsidRPr="00EE701D" w:rsidR="00F07B79">
        <w:rPr>
          <w:rFonts w:ascii="Palatino Linotype" w:hAnsi="Palatino Linotype"/>
          <w:sz w:val="24"/>
          <w:szCs w:val="24"/>
        </w:rPr>
        <w:t xml:space="preserve">detailed implementation </w:t>
      </w:r>
      <w:r w:rsidRPr="00EE701D" w:rsidR="000F3A52">
        <w:rPr>
          <w:rFonts w:ascii="Palatino Linotype" w:hAnsi="Palatino Linotype"/>
          <w:sz w:val="24"/>
          <w:szCs w:val="24"/>
        </w:rPr>
        <w:t>proposal</w:t>
      </w:r>
      <w:r w:rsidRPr="00EE701D" w:rsidR="00F26793">
        <w:rPr>
          <w:rFonts w:ascii="Palatino Linotype" w:hAnsi="Palatino Linotype"/>
          <w:sz w:val="24"/>
          <w:szCs w:val="24"/>
        </w:rPr>
        <w:t>. The confidential filing includes</w:t>
      </w:r>
      <w:r w:rsidRPr="00EE701D" w:rsidR="0055470D">
        <w:rPr>
          <w:rFonts w:ascii="Palatino Linotype" w:hAnsi="Palatino Linotype"/>
          <w:sz w:val="24"/>
          <w:szCs w:val="24"/>
        </w:rPr>
        <w:t xml:space="preserve"> Confidential </w:t>
      </w:r>
      <w:r w:rsidRPr="00EE701D" w:rsidR="00F26793">
        <w:rPr>
          <w:rFonts w:ascii="Palatino Linotype" w:hAnsi="Palatino Linotype"/>
          <w:sz w:val="24"/>
          <w:szCs w:val="24"/>
        </w:rPr>
        <w:t>Appendix</w:t>
      </w:r>
      <w:r w:rsidRPr="00EE701D" w:rsidR="0055470D">
        <w:rPr>
          <w:rFonts w:ascii="Palatino Linotype" w:hAnsi="Palatino Linotype"/>
          <w:sz w:val="24"/>
          <w:szCs w:val="24"/>
        </w:rPr>
        <w:t xml:space="preserve"> A </w:t>
      </w:r>
      <w:r w:rsidRPr="00EE701D" w:rsidR="00692743">
        <w:rPr>
          <w:rFonts w:ascii="Palatino Linotype" w:hAnsi="Palatino Linotype"/>
          <w:sz w:val="24"/>
          <w:szCs w:val="24"/>
        </w:rPr>
        <w:t>which details</w:t>
      </w:r>
      <w:r w:rsidRPr="00EE701D" w:rsidR="00F26793">
        <w:rPr>
          <w:rFonts w:ascii="Palatino Linotype" w:hAnsi="Palatino Linotype"/>
          <w:sz w:val="24"/>
          <w:szCs w:val="24"/>
        </w:rPr>
        <w:t xml:space="preserve"> the</w:t>
      </w:r>
      <w:r w:rsidRPr="00EE701D" w:rsidR="0055470D">
        <w:rPr>
          <w:rFonts w:ascii="Palatino Linotype" w:hAnsi="Palatino Linotype"/>
          <w:sz w:val="24"/>
          <w:szCs w:val="24"/>
        </w:rPr>
        <w:t xml:space="preserve"> Joint </w:t>
      </w:r>
      <w:r w:rsidRPr="00EE701D" w:rsidR="00866644">
        <w:rPr>
          <w:rFonts w:ascii="Palatino Linotype" w:hAnsi="Palatino Linotype"/>
          <w:sz w:val="24"/>
          <w:szCs w:val="24"/>
        </w:rPr>
        <w:t xml:space="preserve">IOUs’ characterization of the </w:t>
      </w:r>
      <w:r w:rsidRPr="00EE701D" w:rsidR="00F26793">
        <w:rPr>
          <w:rFonts w:ascii="Palatino Linotype" w:hAnsi="Palatino Linotype"/>
          <w:sz w:val="24"/>
          <w:szCs w:val="24"/>
        </w:rPr>
        <w:t xml:space="preserve">Joint </w:t>
      </w:r>
      <w:r w:rsidRPr="00EE701D" w:rsidR="0055470D">
        <w:rPr>
          <w:rFonts w:ascii="Palatino Linotype" w:hAnsi="Palatino Linotype"/>
          <w:sz w:val="24"/>
          <w:szCs w:val="24"/>
        </w:rPr>
        <w:t xml:space="preserve">CCAs’ proposal and </w:t>
      </w:r>
      <w:r w:rsidRPr="00EE701D" w:rsidR="00F26793">
        <w:rPr>
          <w:rFonts w:ascii="Palatino Linotype" w:hAnsi="Palatino Linotype"/>
          <w:sz w:val="24"/>
          <w:szCs w:val="24"/>
        </w:rPr>
        <w:t xml:space="preserve">Confidential Appendix </w:t>
      </w:r>
      <w:r w:rsidRPr="00EE701D" w:rsidR="000A6990">
        <w:rPr>
          <w:rFonts w:ascii="Palatino Linotype" w:hAnsi="Palatino Linotype"/>
          <w:sz w:val="24"/>
          <w:szCs w:val="24"/>
        </w:rPr>
        <w:t>B which</w:t>
      </w:r>
      <w:r w:rsidRPr="00EE701D" w:rsidR="00692743">
        <w:rPr>
          <w:rFonts w:ascii="Palatino Linotype" w:hAnsi="Palatino Linotype"/>
          <w:sz w:val="24"/>
          <w:szCs w:val="24"/>
        </w:rPr>
        <w:t xml:space="preserve"> summarizes </w:t>
      </w:r>
      <w:r w:rsidRPr="00EE701D" w:rsidR="0055470D">
        <w:rPr>
          <w:rFonts w:ascii="Palatino Linotype" w:hAnsi="Palatino Linotype"/>
          <w:sz w:val="24"/>
          <w:szCs w:val="24"/>
        </w:rPr>
        <w:t xml:space="preserve">the Joint IOUs’ comments on </w:t>
      </w:r>
      <w:r w:rsidRPr="00EE701D" w:rsidR="000A6990">
        <w:rPr>
          <w:rFonts w:ascii="Palatino Linotype" w:hAnsi="Palatino Linotype"/>
          <w:sz w:val="24"/>
          <w:szCs w:val="24"/>
        </w:rPr>
        <w:t>the Joint CCA proposal.</w:t>
      </w:r>
    </w:p>
    <w:p w:rsidRPr="00EE701D" w:rsidR="00F75F5F" w:rsidP="00E61C1C" w:rsidRDefault="00F75F5F" w14:paraId="1418C796" w14:textId="77777777">
      <w:pPr>
        <w:rPr>
          <w:rFonts w:ascii="Palatino Linotype" w:hAnsi="Palatino Linotype"/>
          <w:sz w:val="24"/>
          <w:szCs w:val="24"/>
        </w:rPr>
      </w:pPr>
    </w:p>
    <w:p w:rsidRPr="00EE701D" w:rsidR="007F7661" w:rsidP="000A6990" w:rsidRDefault="00C347B4" w14:paraId="354F431A" w14:textId="6A0CD2EF">
      <w:pPr>
        <w:rPr>
          <w:rFonts w:ascii="Palatino Linotype" w:hAnsi="Palatino Linotype"/>
          <w:sz w:val="24"/>
          <w:szCs w:val="24"/>
        </w:rPr>
      </w:pPr>
      <w:r w:rsidRPr="00EE701D">
        <w:rPr>
          <w:rFonts w:ascii="Palatino Linotype" w:hAnsi="Palatino Linotype"/>
          <w:sz w:val="24"/>
          <w:szCs w:val="24"/>
        </w:rPr>
        <w:t>SDG&amp;E was not required to file an</w:t>
      </w:r>
      <w:r w:rsidRPr="00EE701D" w:rsidR="00F72D45">
        <w:rPr>
          <w:rFonts w:ascii="Palatino Linotype" w:hAnsi="Palatino Linotype"/>
          <w:sz w:val="24"/>
          <w:szCs w:val="24"/>
        </w:rPr>
        <w:t xml:space="preserve"> AL </w:t>
      </w:r>
      <w:r w:rsidRPr="00EE701D">
        <w:rPr>
          <w:rFonts w:ascii="Palatino Linotype" w:hAnsi="Palatino Linotype"/>
          <w:sz w:val="24"/>
          <w:szCs w:val="24"/>
        </w:rPr>
        <w:t>because</w:t>
      </w:r>
      <w:r w:rsidRPr="00EE701D" w:rsidR="00AC2DA3">
        <w:rPr>
          <w:rFonts w:ascii="Palatino Linotype" w:hAnsi="Palatino Linotype"/>
          <w:sz w:val="24"/>
          <w:szCs w:val="24"/>
        </w:rPr>
        <w:t xml:space="preserve"> </w:t>
      </w:r>
      <w:r w:rsidRPr="00EE701D" w:rsidR="00660ED2">
        <w:rPr>
          <w:rFonts w:ascii="Palatino Linotype" w:hAnsi="Palatino Linotype"/>
          <w:sz w:val="24"/>
          <w:szCs w:val="24"/>
        </w:rPr>
        <w:t>D.24-05-065 a</w:t>
      </w:r>
      <w:r w:rsidRPr="00EE701D" w:rsidR="00457858">
        <w:rPr>
          <w:rFonts w:ascii="Palatino Linotype" w:hAnsi="Palatino Linotype"/>
          <w:sz w:val="24"/>
          <w:szCs w:val="24"/>
        </w:rPr>
        <w:t>uthorized</w:t>
      </w:r>
      <w:r w:rsidRPr="00EE701D" w:rsidR="00660ED2">
        <w:rPr>
          <w:rFonts w:ascii="Palatino Linotype" w:hAnsi="Palatino Linotype"/>
          <w:sz w:val="24"/>
          <w:szCs w:val="24"/>
        </w:rPr>
        <w:t xml:space="preserve"> the utility to</w:t>
      </w:r>
      <w:r w:rsidRPr="00EE701D" w:rsidR="00AC2DA3">
        <w:rPr>
          <w:rFonts w:ascii="Palatino Linotype" w:hAnsi="Palatino Linotype"/>
          <w:sz w:val="24"/>
          <w:szCs w:val="24"/>
        </w:rPr>
        <w:t xml:space="preserve"> terminate its </w:t>
      </w:r>
      <w:r w:rsidRPr="00EE701D" w:rsidR="00660ED2">
        <w:rPr>
          <w:rFonts w:ascii="Palatino Linotype" w:hAnsi="Palatino Linotype"/>
          <w:sz w:val="24"/>
          <w:szCs w:val="24"/>
        </w:rPr>
        <w:t xml:space="preserve">DAC-GT </w:t>
      </w:r>
      <w:r w:rsidRPr="00EE701D" w:rsidR="00812F0D">
        <w:rPr>
          <w:rFonts w:ascii="Palatino Linotype" w:hAnsi="Palatino Linotype"/>
          <w:sz w:val="24"/>
          <w:szCs w:val="24"/>
        </w:rPr>
        <w:t xml:space="preserve">tariff </w:t>
      </w:r>
      <w:r w:rsidRPr="00EE701D" w:rsidR="00AE639F">
        <w:rPr>
          <w:rFonts w:ascii="Palatino Linotype" w:hAnsi="Palatino Linotype"/>
          <w:sz w:val="24"/>
          <w:szCs w:val="24"/>
        </w:rPr>
        <w:t>so as not to burden its</w:t>
      </w:r>
      <w:r w:rsidRPr="00EE701D" w:rsidR="00812F0D">
        <w:rPr>
          <w:rFonts w:ascii="Palatino Linotype" w:hAnsi="Palatino Linotype"/>
          <w:sz w:val="24"/>
          <w:szCs w:val="24"/>
        </w:rPr>
        <w:t xml:space="preserve"> small </w:t>
      </w:r>
      <w:r w:rsidRPr="00EE701D" w:rsidR="00725A07">
        <w:rPr>
          <w:rFonts w:ascii="Palatino Linotype" w:hAnsi="Palatino Linotype"/>
          <w:sz w:val="24"/>
          <w:szCs w:val="24"/>
        </w:rPr>
        <w:t xml:space="preserve">number of </w:t>
      </w:r>
      <w:r w:rsidRPr="00EE701D" w:rsidR="001616EF">
        <w:rPr>
          <w:rFonts w:ascii="Palatino Linotype" w:hAnsi="Palatino Linotype"/>
          <w:sz w:val="24"/>
          <w:szCs w:val="24"/>
        </w:rPr>
        <w:t>remaining customer</w:t>
      </w:r>
      <w:r w:rsidRPr="00EE701D" w:rsidR="00725A07">
        <w:rPr>
          <w:rFonts w:ascii="Palatino Linotype" w:hAnsi="Palatino Linotype"/>
          <w:sz w:val="24"/>
          <w:szCs w:val="24"/>
        </w:rPr>
        <w:t>s</w:t>
      </w:r>
      <w:r w:rsidRPr="00EE701D" w:rsidR="001616EF">
        <w:rPr>
          <w:rFonts w:ascii="Palatino Linotype" w:hAnsi="Palatino Linotype"/>
          <w:sz w:val="24"/>
          <w:szCs w:val="24"/>
        </w:rPr>
        <w:t xml:space="preserve"> </w:t>
      </w:r>
      <w:r w:rsidRPr="00EE701D" w:rsidR="00AE639F">
        <w:rPr>
          <w:rFonts w:ascii="Palatino Linotype" w:hAnsi="Palatino Linotype"/>
          <w:sz w:val="24"/>
          <w:szCs w:val="24"/>
        </w:rPr>
        <w:t>with costs.</w:t>
      </w:r>
      <w:r w:rsidRPr="00EE701D" w:rsidR="00503851">
        <w:rPr>
          <w:rStyle w:val="FootnoteReference"/>
          <w:rFonts w:ascii="Palatino Linotype" w:hAnsi="Palatino Linotype"/>
          <w:sz w:val="24"/>
          <w:szCs w:val="24"/>
        </w:rPr>
        <w:footnoteReference w:id="4"/>
      </w:r>
      <w:r w:rsidRPr="00EE701D" w:rsidR="00310526">
        <w:rPr>
          <w:rFonts w:ascii="Palatino Linotype" w:hAnsi="Palatino Linotype"/>
          <w:sz w:val="24"/>
          <w:szCs w:val="24"/>
        </w:rPr>
        <w:t xml:space="preserve"> </w:t>
      </w:r>
      <w:r w:rsidRPr="00EE701D" w:rsidR="00785A46">
        <w:rPr>
          <w:rFonts w:ascii="Palatino Linotype" w:hAnsi="Palatino Linotype"/>
          <w:sz w:val="24"/>
          <w:szCs w:val="24"/>
        </w:rPr>
        <w:t xml:space="preserve">The Decision </w:t>
      </w:r>
      <w:r w:rsidRPr="00EE701D" w:rsidR="008E72DD">
        <w:rPr>
          <w:rFonts w:ascii="Palatino Linotype" w:hAnsi="Palatino Linotype"/>
          <w:sz w:val="24"/>
          <w:szCs w:val="24"/>
        </w:rPr>
        <w:t>explains that</w:t>
      </w:r>
      <w:r w:rsidRPr="00EE701D" w:rsidR="00E61C1C">
        <w:rPr>
          <w:rFonts w:ascii="Palatino Linotype" w:hAnsi="Palatino Linotype"/>
          <w:sz w:val="24"/>
          <w:szCs w:val="24"/>
        </w:rPr>
        <w:t xml:space="preserve"> </w:t>
      </w:r>
      <w:r w:rsidRPr="00EE701D" w:rsidR="00EF710C">
        <w:rPr>
          <w:rFonts w:ascii="Palatino Linotype" w:hAnsi="Palatino Linotype"/>
          <w:sz w:val="24"/>
          <w:szCs w:val="24"/>
        </w:rPr>
        <w:t>many</w:t>
      </w:r>
      <w:r w:rsidRPr="00EE701D" w:rsidR="00DD1EF5">
        <w:rPr>
          <w:rFonts w:ascii="Palatino Linotype" w:hAnsi="Palatino Linotype"/>
          <w:sz w:val="24"/>
          <w:szCs w:val="24"/>
        </w:rPr>
        <w:t xml:space="preserve"> </w:t>
      </w:r>
      <w:r w:rsidRPr="00EE701D" w:rsidR="00310526">
        <w:rPr>
          <w:rFonts w:ascii="Palatino Linotype" w:hAnsi="Palatino Linotype"/>
          <w:sz w:val="24"/>
          <w:szCs w:val="24"/>
        </w:rPr>
        <w:t>of the</w:t>
      </w:r>
      <w:r w:rsidRPr="00EE701D" w:rsidR="004667D8">
        <w:rPr>
          <w:rFonts w:ascii="Palatino Linotype" w:hAnsi="Palatino Linotype"/>
          <w:sz w:val="24"/>
          <w:szCs w:val="24"/>
        </w:rPr>
        <w:t xml:space="preserve"> </w:t>
      </w:r>
      <w:r w:rsidRPr="00EE701D" w:rsidR="008E72DD">
        <w:rPr>
          <w:rFonts w:ascii="Palatino Linotype" w:hAnsi="Palatino Linotype"/>
          <w:sz w:val="24"/>
          <w:szCs w:val="24"/>
        </w:rPr>
        <w:t>utility</w:t>
      </w:r>
      <w:r w:rsidRPr="00EE701D" w:rsidR="00310526">
        <w:rPr>
          <w:rFonts w:ascii="Palatino Linotype" w:hAnsi="Palatino Linotype"/>
          <w:sz w:val="24"/>
          <w:szCs w:val="24"/>
        </w:rPr>
        <w:t>’s</w:t>
      </w:r>
      <w:r w:rsidRPr="00EE701D" w:rsidR="008E72DD">
        <w:rPr>
          <w:rFonts w:ascii="Palatino Linotype" w:hAnsi="Palatino Linotype"/>
          <w:sz w:val="24"/>
          <w:szCs w:val="24"/>
        </w:rPr>
        <w:t xml:space="preserve"> </w:t>
      </w:r>
      <w:r w:rsidRPr="00EE701D" w:rsidR="00DD1EF5">
        <w:rPr>
          <w:rFonts w:ascii="Palatino Linotype" w:hAnsi="Palatino Linotype"/>
          <w:sz w:val="24"/>
          <w:szCs w:val="24"/>
        </w:rPr>
        <w:t>customers migrated to</w:t>
      </w:r>
      <w:r w:rsidRPr="00EE701D" w:rsidR="00E61C1C">
        <w:rPr>
          <w:rFonts w:ascii="Palatino Linotype" w:hAnsi="Palatino Linotype"/>
          <w:sz w:val="24"/>
          <w:szCs w:val="24"/>
        </w:rPr>
        <w:t xml:space="preserve"> </w:t>
      </w:r>
      <w:r w:rsidRPr="00EE701D" w:rsidR="008E72DD">
        <w:rPr>
          <w:rFonts w:ascii="Palatino Linotype" w:hAnsi="Palatino Linotype"/>
          <w:sz w:val="24"/>
          <w:szCs w:val="24"/>
        </w:rPr>
        <w:t xml:space="preserve">unbundled </w:t>
      </w:r>
      <w:r w:rsidRPr="00EE701D" w:rsidR="00555C2C">
        <w:rPr>
          <w:rFonts w:ascii="Palatino Linotype" w:hAnsi="Palatino Linotype"/>
          <w:sz w:val="24"/>
          <w:szCs w:val="24"/>
        </w:rPr>
        <w:t>CCA</w:t>
      </w:r>
      <w:r w:rsidRPr="00EE701D" w:rsidR="00E61C1C">
        <w:rPr>
          <w:rFonts w:ascii="Palatino Linotype" w:hAnsi="Palatino Linotype"/>
          <w:sz w:val="24"/>
          <w:szCs w:val="24"/>
        </w:rPr>
        <w:t xml:space="preserve"> </w:t>
      </w:r>
      <w:r w:rsidRPr="00EE701D" w:rsidR="008E72DD">
        <w:rPr>
          <w:rFonts w:ascii="Palatino Linotype" w:hAnsi="Palatino Linotype"/>
          <w:sz w:val="24"/>
          <w:szCs w:val="24"/>
        </w:rPr>
        <w:t>service in SDG&amp;E’s territory</w:t>
      </w:r>
      <w:r w:rsidRPr="00EE701D" w:rsidR="00310526">
        <w:rPr>
          <w:rFonts w:ascii="Palatino Linotype" w:hAnsi="Palatino Linotype"/>
          <w:sz w:val="24"/>
          <w:szCs w:val="24"/>
        </w:rPr>
        <w:t xml:space="preserve">, </w:t>
      </w:r>
      <w:r w:rsidRPr="00EE701D" w:rsidR="004667D8">
        <w:rPr>
          <w:rFonts w:ascii="Palatino Linotype" w:hAnsi="Palatino Linotype"/>
          <w:sz w:val="24"/>
          <w:szCs w:val="24"/>
        </w:rPr>
        <w:t>which meant that these</w:t>
      </w:r>
      <w:r w:rsidRPr="00EE701D" w:rsidR="00310526">
        <w:rPr>
          <w:rFonts w:ascii="Palatino Linotype" w:hAnsi="Palatino Linotype"/>
          <w:sz w:val="24"/>
          <w:szCs w:val="24"/>
        </w:rPr>
        <w:t xml:space="preserve"> remaining customers </w:t>
      </w:r>
      <w:r w:rsidRPr="00EE701D" w:rsidR="004667D8">
        <w:rPr>
          <w:rFonts w:ascii="Palatino Linotype" w:hAnsi="Palatino Linotype"/>
          <w:sz w:val="24"/>
          <w:szCs w:val="24"/>
        </w:rPr>
        <w:t>would have to</w:t>
      </w:r>
      <w:r w:rsidRPr="00EE701D" w:rsidR="00310526">
        <w:rPr>
          <w:rFonts w:ascii="Palatino Linotype" w:hAnsi="Palatino Linotype"/>
          <w:sz w:val="24"/>
          <w:szCs w:val="24"/>
        </w:rPr>
        <w:t xml:space="preserve"> pay </w:t>
      </w:r>
      <w:r w:rsidRPr="00EE701D" w:rsidR="004667D8">
        <w:rPr>
          <w:rFonts w:ascii="Palatino Linotype" w:hAnsi="Palatino Linotype"/>
          <w:sz w:val="24"/>
          <w:szCs w:val="24"/>
        </w:rPr>
        <w:t>for a larger share</w:t>
      </w:r>
      <w:r w:rsidRPr="00EE701D" w:rsidR="00E54EF7">
        <w:rPr>
          <w:rFonts w:ascii="Palatino Linotype" w:hAnsi="Palatino Linotype"/>
          <w:sz w:val="24"/>
          <w:szCs w:val="24"/>
        </w:rPr>
        <w:t xml:space="preserve"> of DAC-GT program costs</w:t>
      </w:r>
      <w:r w:rsidRPr="00EE701D" w:rsidR="00E61C1C">
        <w:rPr>
          <w:rFonts w:ascii="Palatino Linotype" w:hAnsi="Palatino Linotype"/>
          <w:sz w:val="24"/>
          <w:szCs w:val="24"/>
        </w:rPr>
        <w:t>.</w:t>
      </w:r>
      <w:r w:rsidRPr="00EE701D" w:rsidR="00E61C1C">
        <w:rPr>
          <w:rStyle w:val="FootnoteReference"/>
          <w:rFonts w:ascii="Palatino Linotype" w:hAnsi="Palatino Linotype"/>
          <w:sz w:val="24"/>
          <w:szCs w:val="24"/>
        </w:rPr>
        <w:footnoteReference w:id="5"/>
      </w:r>
      <w:r w:rsidRPr="00EE701D" w:rsidR="00E61C1C">
        <w:rPr>
          <w:rFonts w:ascii="Palatino Linotype" w:hAnsi="Palatino Linotype"/>
          <w:sz w:val="24"/>
          <w:szCs w:val="24"/>
        </w:rPr>
        <w:t xml:space="preserve"> </w:t>
      </w:r>
    </w:p>
    <w:p w:rsidRPr="00EE701D" w:rsidR="003A170D" w:rsidP="00283899" w:rsidRDefault="003A170D" w14:paraId="024D9199" w14:textId="77777777">
      <w:pPr>
        <w:autoSpaceDE w:val="0"/>
        <w:autoSpaceDN w:val="0"/>
        <w:adjustRightInd w:val="0"/>
        <w:rPr>
          <w:rFonts w:ascii="Palatino Linotype" w:hAnsi="Palatino Linotype"/>
          <w:sz w:val="24"/>
          <w:szCs w:val="24"/>
        </w:rPr>
      </w:pPr>
    </w:p>
    <w:p w:rsidRPr="00EE701D" w:rsidR="00F005A8" w:rsidP="00A9464C" w:rsidRDefault="00544339" w14:paraId="21B35C2F" w14:textId="7CA88940">
      <w:pPr>
        <w:autoSpaceDE w:val="0"/>
        <w:autoSpaceDN w:val="0"/>
        <w:adjustRightInd w:val="0"/>
        <w:rPr>
          <w:rFonts w:ascii="Palatino Linotype" w:hAnsi="Palatino Linotype"/>
          <w:sz w:val="24"/>
          <w:szCs w:val="24"/>
        </w:rPr>
      </w:pPr>
      <w:r w:rsidRPr="00EE701D">
        <w:rPr>
          <w:rFonts w:ascii="Palatino Linotype" w:hAnsi="Palatino Linotype"/>
          <w:sz w:val="24"/>
          <w:szCs w:val="24"/>
        </w:rPr>
        <w:t>The Joint</w:t>
      </w:r>
      <w:r w:rsidRPr="00EE701D" w:rsidR="00E7254E">
        <w:rPr>
          <w:rFonts w:ascii="Palatino Linotype" w:hAnsi="Palatino Linotype"/>
          <w:sz w:val="24"/>
          <w:szCs w:val="24"/>
        </w:rPr>
        <w:t xml:space="preserve"> AL </w:t>
      </w:r>
      <w:r w:rsidRPr="00EE701D" w:rsidR="00034C54">
        <w:rPr>
          <w:rFonts w:ascii="Palatino Linotype" w:hAnsi="Palatino Linotype"/>
          <w:sz w:val="24"/>
          <w:szCs w:val="24"/>
        </w:rPr>
        <w:t>outlines</w:t>
      </w:r>
      <w:r w:rsidRPr="00EE701D" w:rsidR="003874BE">
        <w:rPr>
          <w:rFonts w:ascii="Palatino Linotype" w:hAnsi="Palatino Linotype"/>
          <w:sz w:val="24"/>
          <w:szCs w:val="24"/>
        </w:rPr>
        <w:t xml:space="preserve"> </w:t>
      </w:r>
      <w:r w:rsidRPr="00EE701D" w:rsidR="00971CA0">
        <w:rPr>
          <w:rFonts w:ascii="Palatino Linotype" w:hAnsi="Palatino Linotype"/>
          <w:sz w:val="24"/>
          <w:szCs w:val="24"/>
        </w:rPr>
        <w:t>th</w:t>
      </w:r>
      <w:r w:rsidRPr="00EE701D" w:rsidR="00D6404D">
        <w:rPr>
          <w:rFonts w:ascii="Palatino Linotype" w:hAnsi="Palatino Linotype"/>
          <w:sz w:val="24"/>
          <w:szCs w:val="24"/>
        </w:rPr>
        <w:t>e</w:t>
      </w:r>
      <w:r w:rsidRPr="00EE701D" w:rsidR="003874BE">
        <w:rPr>
          <w:rFonts w:ascii="Palatino Linotype" w:hAnsi="Palatino Linotype"/>
          <w:sz w:val="24"/>
          <w:szCs w:val="24"/>
        </w:rPr>
        <w:t xml:space="preserve"> </w:t>
      </w:r>
      <w:r w:rsidRPr="00EE701D" w:rsidR="0076106A">
        <w:rPr>
          <w:rFonts w:ascii="Palatino Linotype" w:hAnsi="Palatino Linotype"/>
          <w:sz w:val="24"/>
          <w:szCs w:val="24"/>
        </w:rPr>
        <w:t>agreed upon</w:t>
      </w:r>
      <w:r w:rsidRPr="00EE701D" w:rsidR="003874BE">
        <w:rPr>
          <w:rFonts w:ascii="Palatino Linotype" w:hAnsi="Palatino Linotype"/>
          <w:sz w:val="24"/>
          <w:szCs w:val="24"/>
        </w:rPr>
        <w:t xml:space="preserve"> </w:t>
      </w:r>
      <w:r w:rsidRPr="00EE701D" w:rsidR="00034C54">
        <w:rPr>
          <w:rFonts w:ascii="Palatino Linotype" w:hAnsi="Palatino Linotype"/>
          <w:sz w:val="24"/>
          <w:szCs w:val="24"/>
        </w:rPr>
        <w:t xml:space="preserve">cost </w:t>
      </w:r>
      <w:r w:rsidRPr="00EE701D" w:rsidR="00E62A24">
        <w:rPr>
          <w:rFonts w:ascii="Palatino Linotype" w:hAnsi="Palatino Linotype"/>
          <w:sz w:val="24"/>
          <w:szCs w:val="24"/>
        </w:rPr>
        <w:t xml:space="preserve">containment </w:t>
      </w:r>
      <w:r w:rsidRPr="00EE701D" w:rsidR="00034C54">
        <w:rPr>
          <w:rFonts w:ascii="Palatino Linotype" w:hAnsi="Palatino Linotype"/>
          <w:sz w:val="24"/>
          <w:szCs w:val="24"/>
        </w:rPr>
        <w:t xml:space="preserve">cap </w:t>
      </w:r>
      <w:r w:rsidRPr="00EE701D" w:rsidR="00EF710C">
        <w:rPr>
          <w:rFonts w:ascii="Palatino Linotype" w:hAnsi="Palatino Linotype"/>
          <w:sz w:val="24"/>
          <w:szCs w:val="24"/>
        </w:rPr>
        <w:t>methodology</w:t>
      </w:r>
      <w:r w:rsidRPr="00EE701D" w:rsidR="003874BE">
        <w:rPr>
          <w:rFonts w:ascii="Palatino Linotype" w:hAnsi="Palatino Linotype"/>
          <w:sz w:val="24"/>
          <w:szCs w:val="24"/>
        </w:rPr>
        <w:t xml:space="preserve"> between the</w:t>
      </w:r>
      <w:r w:rsidRPr="00EE701D">
        <w:rPr>
          <w:rFonts w:ascii="Palatino Linotype" w:hAnsi="Palatino Linotype"/>
          <w:sz w:val="24"/>
          <w:szCs w:val="24"/>
        </w:rPr>
        <w:t xml:space="preserve"> IOUs and </w:t>
      </w:r>
      <w:r w:rsidRPr="00EE701D" w:rsidR="005F7782">
        <w:rPr>
          <w:rFonts w:ascii="Palatino Linotype" w:hAnsi="Palatino Linotype"/>
          <w:sz w:val="24"/>
          <w:szCs w:val="24"/>
        </w:rPr>
        <w:t>participating</w:t>
      </w:r>
      <w:r w:rsidRPr="00EE701D" w:rsidR="000A26C8">
        <w:rPr>
          <w:rFonts w:ascii="Palatino Linotype" w:hAnsi="Palatino Linotype"/>
          <w:sz w:val="24"/>
          <w:szCs w:val="24"/>
        </w:rPr>
        <w:t xml:space="preserve"> CCAs</w:t>
      </w:r>
      <w:r w:rsidRPr="00EE701D" w:rsidR="00034C54">
        <w:rPr>
          <w:rFonts w:ascii="Palatino Linotype" w:hAnsi="Palatino Linotype"/>
          <w:sz w:val="24"/>
          <w:szCs w:val="24"/>
        </w:rPr>
        <w:t>,</w:t>
      </w:r>
      <w:r w:rsidRPr="00EE701D" w:rsidR="005F7782">
        <w:rPr>
          <w:rFonts w:ascii="Palatino Linotype" w:hAnsi="Palatino Linotype"/>
          <w:sz w:val="24"/>
          <w:szCs w:val="24"/>
        </w:rPr>
        <w:t xml:space="preserve"> </w:t>
      </w:r>
      <w:r w:rsidRPr="00EE701D" w:rsidR="0047411B">
        <w:rPr>
          <w:rFonts w:ascii="Palatino Linotype" w:hAnsi="Palatino Linotype"/>
          <w:sz w:val="24"/>
          <w:szCs w:val="24"/>
        </w:rPr>
        <w:t xml:space="preserve">and </w:t>
      </w:r>
      <w:r w:rsidRPr="00EE701D" w:rsidR="003874BE">
        <w:rPr>
          <w:rFonts w:ascii="Palatino Linotype" w:hAnsi="Palatino Linotype"/>
          <w:sz w:val="24"/>
          <w:szCs w:val="24"/>
        </w:rPr>
        <w:t>summarize</w:t>
      </w:r>
      <w:r w:rsidRPr="00EE701D" w:rsidR="0047411B">
        <w:rPr>
          <w:rFonts w:ascii="Palatino Linotype" w:hAnsi="Palatino Linotype"/>
          <w:sz w:val="24"/>
          <w:szCs w:val="24"/>
        </w:rPr>
        <w:t>s</w:t>
      </w:r>
      <w:r w:rsidRPr="00EE701D" w:rsidR="003874BE">
        <w:rPr>
          <w:rFonts w:ascii="Palatino Linotype" w:hAnsi="Palatino Linotype"/>
          <w:sz w:val="24"/>
          <w:szCs w:val="24"/>
        </w:rPr>
        <w:t xml:space="preserve"> </w:t>
      </w:r>
      <w:r w:rsidRPr="00EE701D" w:rsidR="00034C54">
        <w:rPr>
          <w:rFonts w:ascii="Palatino Linotype" w:hAnsi="Palatino Linotype"/>
          <w:sz w:val="24"/>
          <w:szCs w:val="24"/>
        </w:rPr>
        <w:t>differ</w:t>
      </w:r>
      <w:r w:rsidRPr="00EE701D" w:rsidR="00971CA0">
        <w:rPr>
          <w:rFonts w:ascii="Palatino Linotype" w:hAnsi="Palatino Linotype"/>
          <w:sz w:val="24"/>
          <w:szCs w:val="24"/>
        </w:rPr>
        <w:t>ent</w:t>
      </w:r>
      <w:r w:rsidRPr="00EE701D" w:rsidR="00034C54">
        <w:rPr>
          <w:rFonts w:ascii="Palatino Linotype" w:hAnsi="Palatino Linotype"/>
          <w:sz w:val="24"/>
          <w:szCs w:val="24"/>
        </w:rPr>
        <w:t xml:space="preserve"> IOU and CCA proposals </w:t>
      </w:r>
      <w:r w:rsidRPr="00EE701D" w:rsidR="009B0DD1">
        <w:rPr>
          <w:rFonts w:ascii="Palatino Linotype" w:hAnsi="Palatino Linotype"/>
          <w:sz w:val="24"/>
          <w:szCs w:val="24"/>
        </w:rPr>
        <w:t xml:space="preserve">on </w:t>
      </w:r>
      <w:r w:rsidRPr="00EE701D" w:rsidR="00034C54">
        <w:rPr>
          <w:rFonts w:ascii="Palatino Linotype" w:hAnsi="Palatino Linotype"/>
          <w:sz w:val="24"/>
          <w:szCs w:val="24"/>
        </w:rPr>
        <w:t>how to</w:t>
      </w:r>
      <w:r w:rsidRPr="00EE701D" w:rsidR="00B50977">
        <w:rPr>
          <w:rFonts w:ascii="Palatino Linotype" w:hAnsi="Palatino Linotype"/>
          <w:sz w:val="24"/>
          <w:szCs w:val="24"/>
        </w:rPr>
        <w:t xml:space="preserve"> implement </w:t>
      </w:r>
      <w:r w:rsidRPr="00EE701D" w:rsidR="00034C54">
        <w:rPr>
          <w:rFonts w:ascii="Palatino Linotype" w:hAnsi="Palatino Linotype"/>
          <w:sz w:val="24"/>
          <w:szCs w:val="24"/>
        </w:rPr>
        <w:t>the cost</w:t>
      </w:r>
      <w:r w:rsidRPr="00EE701D" w:rsidR="00E62A24">
        <w:rPr>
          <w:rFonts w:ascii="Palatino Linotype" w:hAnsi="Palatino Linotype"/>
          <w:sz w:val="24"/>
          <w:szCs w:val="24"/>
        </w:rPr>
        <w:t xml:space="preserve"> containment</w:t>
      </w:r>
      <w:r w:rsidRPr="00EE701D" w:rsidR="00034C54">
        <w:rPr>
          <w:rFonts w:ascii="Palatino Linotype" w:hAnsi="Palatino Linotype"/>
          <w:sz w:val="24"/>
          <w:szCs w:val="24"/>
        </w:rPr>
        <w:t xml:space="preserve"> cap</w:t>
      </w:r>
      <w:r w:rsidRPr="00EE701D" w:rsidR="00A1111F">
        <w:rPr>
          <w:rFonts w:ascii="Palatino Linotype" w:hAnsi="Palatino Linotype"/>
          <w:sz w:val="24"/>
          <w:szCs w:val="24"/>
        </w:rPr>
        <w:t>.</w:t>
      </w:r>
      <w:r w:rsidRPr="00EE701D" w:rsidR="007D5DC3">
        <w:rPr>
          <w:rFonts w:ascii="Palatino Linotype" w:hAnsi="Palatino Linotype"/>
          <w:sz w:val="24"/>
          <w:szCs w:val="24"/>
        </w:rPr>
        <w:t xml:space="preserve"> </w:t>
      </w:r>
      <w:r w:rsidRPr="00EE701D" w:rsidR="00CF133C">
        <w:rPr>
          <w:rFonts w:ascii="Palatino Linotype" w:hAnsi="Palatino Linotype"/>
          <w:sz w:val="24"/>
          <w:szCs w:val="24"/>
        </w:rPr>
        <w:t>Th</w:t>
      </w:r>
      <w:r w:rsidRPr="00EE701D" w:rsidR="00031014">
        <w:rPr>
          <w:rFonts w:ascii="Palatino Linotype" w:hAnsi="Palatino Linotype"/>
          <w:sz w:val="24"/>
          <w:szCs w:val="24"/>
        </w:rPr>
        <w:t>e</w:t>
      </w:r>
      <w:r w:rsidRPr="00EE701D" w:rsidR="008B3213">
        <w:rPr>
          <w:rFonts w:ascii="Palatino Linotype" w:hAnsi="Palatino Linotype"/>
          <w:sz w:val="24"/>
          <w:szCs w:val="24"/>
        </w:rPr>
        <w:t xml:space="preserve"> agreed upon</w:t>
      </w:r>
      <w:r w:rsidRPr="00EE701D" w:rsidR="00CF133C">
        <w:rPr>
          <w:rFonts w:ascii="Palatino Linotype" w:hAnsi="Palatino Linotype"/>
          <w:sz w:val="24"/>
          <w:szCs w:val="24"/>
        </w:rPr>
        <w:t xml:space="preserve"> </w:t>
      </w:r>
      <w:r w:rsidRPr="00EE701D" w:rsidR="00405BD7">
        <w:rPr>
          <w:rFonts w:ascii="Palatino Linotype" w:hAnsi="Palatino Linotype"/>
          <w:sz w:val="24"/>
          <w:szCs w:val="24"/>
        </w:rPr>
        <w:t>meth</w:t>
      </w:r>
      <w:r w:rsidRPr="00EE701D" w:rsidR="000A6990">
        <w:rPr>
          <w:rFonts w:ascii="Palatino Linotype" w:hAnsi="Palatino Linotype"/>
          <w:sz w:val="24"/>
          <w:szCs w:val="24"/>
        </w:rPr>
        <w:t>o</w:t>
      </w:r>
      <w:r w:rsidRPr="00EE701D" w:rsidR="00405BD7">
        <w:rPr>
          <w:rFonts w:ascii="Palatino Linotype" w:hAnsi="Palatino Linotype"/>
          <w:sz w:val="24"/>
          <w:szCs w:val="24"/>
        </w:rPr>
        <w:t>dology</w:t>
      </w:r>
      <w:r w:rsidRPr="00EE701D" w:rsidR="00CF133C">
        <w:rPr>
          <w:rFonts w:ascii="Palatino Linotype" w:hAnsi="Palatino Linotype"/>
          <w:sz w:val="24"/>
          <w:szCs w:val="24"/>
        </w:rPr>
        <w:t xml:space="preserve"> includes </w:t>
      </w:r>
      <w:r w:rsidRPr="00EE701D" w:rsidR="005567DA">
        <w:rPr>
          <w:rFonts w:ascii="Palatino Linotype" w:hAnsi="Palatino Linotype"/>
          <w:sz w:val="24"/>
          <w:szCs w:val="24"/>
        </w:rPr>
        <w:t>a CBVRP</w:t>
      </w:r>
      <w:r w:rsidRPr="00EE701D" w:rsidR="009132E5">
        <w:rPr>
          <w:rFonts w:ascii="Palatino Linotype" w:hAnsi="Palatino Linotype"/>
          <w:sz w:val="24"/>
          <w:szCs w:val="24"/>
        </w:rPr>
        <w:t>,</w:t>
      </w:r>
      <w:r w:rsidRPr="00EE701D" w:rsidR="005567DA">
        <w:rPr>
          <w:rFonts w:ascii="Palatino Linotype" w:hAnsi="Palatino Linotype"/>
          <w:sz w:val="24"/>
          <w:szCs w:val="24"/>
        </w:rPr>
        <w:t xml:space="preserve"> </w:t>
      </w:r>
      <w:r w:rsidRPr="00EE701D" w:rsidR="00BF7350">
        <w:rPr>
          <w:rFonts w:ascii="Palatino Linotype" w:hAnsi="Palatino Linotype"/>
          <w:sz w:val="24"/>
          <w:szCs w:val="24"/>
        </w:rPr>
        <w:t>which is</w:t>
      </w:r>
      <w:r w:rsidRPr="00EE701D" w:rsidR="003E469F">
        <w:rPr>
          <w:rFonts w:ascii="Palatino Linotype" w:hAnsi="Palatino Linotype"/>
          <w:sz w:val="24"/>
          <w:szCs w:val="24"/>
        </w:rPr>
        <w:t xml:space="preserve"> </w:t>
      </w:r>
      <w:r w:rsidRPr="00EE701D" w:rsidR="00293B5A">
        <w:rPr>
          <w:rFonts w:ascii="Palatino Linotype" w:hAnsi="Palatino Linotype"/>
          <w:sz w:val="24"/>
          <w:szCs w:val="24"/>
        </w:rPr>
        <w:t>an</w:t>
      </w:r>
      <w:r w:rsidRPr="00EE701D" w:rsidR="003E469F">
        <w:rPr>
          <w:rFonts w:ascii="Palatino Linotype" w:hAnsi="Palatino Linotype"/>
          <w:sz w:val="24"/>
          <w:szCs w:val="24"/>
        </w:rPr>
        <w:t xml:space="preserve"> average</w:t>
      </w:r>
      <w:r w:rsidRPr="00EE701D" w:rsidR="00BF7350">
        <w:rPr>
          <w:rFonts w:ascii="Palatino Linotype" w:hAnsi="Palatino Linotype"/>
          <w:sz w:val="24"/>
          <w:szCs w:val="24"/>
        </w:rPr>
        <w:t xml:space="preserve"> </w:t>
      </w:r>
      <w:r w:rsidRPr="00EE701D" w:rsidR="00657969">
        <w:rPr>
          <w:rFonts w:ascii="Palatino Linotype" w:hAnsi="Palatino Linotype"/>
          <w:sz w:val="24"/>
          <w:szCs w:val="24"/>
        </w:rPr>
        <w:t>of</w:t>
      </w:r>
      <w:r w:rsidRPr="00EE701D" w:rsidR="00BD5207">
        <w:rPr>
          <w:rFonts w:ascii="Palatino Linotype" w:hAnsi="Palatino Linotype"/>
          <w:sz w:val="24"/>
          <w:szCs w:val="24"/>
        </w:rPr>
        <w:t xml:space="preserve"> </w:t>
      </w:r>
      <w:r w:rsidRPr="00EE701D" w:rsidR="00293B5A">
        <w:rPr>
          <w:rFonts w:ascii="Palatino Linotype" w:hAnsi="Palatino Linotype"/>
          <w:sz w:val="24"/>
          <w:szCs w:val="24"/>
        </w:rPr>
        <w:t xml:space="preserve">historical executed power purchase agreements (PPAs) </w:t>
      </w:r>
      <w:r w:rsidRPr="00EE701D" w:rsidR="00BD5207">
        <w:rPr>
          <w:rFonts w:ascii="Palatino Linotype" w:hAnsi="Palatino Linotype"/>
          <w:sz w:val="24"/>
          <w:szCs w:val="24"/>
        </w:rPr>
        <w:t xml:space="preserve">for specified technology types </w:t>
      </w:r>
      <w:r w:rsidRPr="00EE701D" w:rsidR="00293B5A">
        <w:rPr>
          <w:rFonts w:ascii="Palatino Linotype" w:hAnsi="Palatino Linotype"/>
          <w:sz w:val="24"/>
          <w:szCs w:val="24"/>
        </w:rPr>
        <w:t xml:space="preserve">over </w:t>
      </w:r>
      <w:r w:rsidRPr="00EE701D" w:rsidR="00657969">
        <w:rPr>
          <w:rFonts w:ascii="Palatino Linotype" w:hAnsi="Palatino Linotype"/>
          <w:sz w:val="24"/>
          <w:szCs w:val="24"/>
        </w:rPr>
        <w:t xml:space="preserve">a </w:t>
      </w:r>
      <w:r w:rsidRPr="00EE701D" w:rsidR="00C82A67">
        <w:rPr>
          <w:rFonts w:ascii="Palatino Linotype" w:hAnsi="Palatino Linotype"/>
          <w:sz w:val="24"/>
          <w:szCs w:val="24"/>
        </w:rPr>
        <w:t>specified</w:t>
      </w:r>
      <w:r w:rsidRPr="00EE701D" w:rsidR="00657969">
        <w:rPr>
          <w:rFonts w:ascii="Palatino Linotype" w:hAnsi="Palatino Linotype"/>
          <w:sz w:val="24"/>
          <w:szCs w:val="24"/>
        </w:rPr>
        <w:t xml:space="preserve"> </w:t>
      </w:r>
      <w:r w:rsidRPr="00EE701D" w:rsidR="00400AF5">
        <w:rPr>
          <w:rFonts w:ascii="Palatino Linotype" w:hAnsi="Palatino Linotype"/>
          <w:sz w:val="24"/>
          <w:szCs w:val="24"/>
        </w:rPr>
        <w:t>period</w:t>
      </w:r>
      <w:r w:rsidRPr="00EE701D" w:rsidR="00657969">
        <w:rPr>
          <w:rFonts w:ascii="Palatino Linotype" w:hAnsi="Palatino Linotype"/>
          <w:sz w:val="24"/>
          <w:szCs w:val="24"/>
        </w:rPr>
        <w:t xml:space="preserve"> </w:t>
      </w:r>
      <w:r w:rsidRPr="00EE701D" w:rsidR="008B3213">
        <w:rPr>
          <w:rFonts w:ascii="Palatino Linotype" w:hAnsi="Palatino Linotype"/>
          <w:sz w:val="24"/>
          <w:szCs w:val="24"/>
        </w:rPr>
        <w:t>of time</w:t>
      </w:r>
      <w:r w:rsidRPr="00EE701D" w:rsidR="009132E5">
        <w:rPr>
          <w:rFonts w:ascii="Palatino Linotype" w:hAnsi="Palatino Linotype"/>
          <w:sz w:val="24"/>
          <w:szCs w:val="24"/>
        </w:rPr>
        <w:t>,</w:t>
      </w:r>
      <w:r w:rsidRPr="00EE701D" w:rsidR="008B3213">
        <w:rPr>
          <w:rFonts w:ascii="Palatino Linotype" w:hAnsi="Palatino Linotype"/>
          <w:sz w:val="24"/>
          <w:szCs w:val="24"/>
        </w:rPr>
        <w:t xml:space="preserve"> </w:t>
      </w:r>
      <w:r w:rsidRPr="00EE701D" w:rsidR="00BF7350">
        <w:rPr>
          <w:rFonts w:ascii="Palatino Linotype" w:hAnsi="Palatino Linotype"/>
          <w:sz w:val="24"/>
          <w:szCs w:val="24"/>
        </w:rPr>
        <w:t>and a Multiplier</w:t>
      </w:r>
      <w:r w:rsidRPr="00EE701D" w:rsidR="00293B5A">
        <w:rPr>
          <w:rFonts w:ascii="Palatino Linotype" w:hAnsi="Palatino Linotype"/>
          <w:sz w:val="24"/>
          <w:szCs w:val="24"/>
        </w:rPr>
        <w:t>,</w:t>
      </w:r>
      <w:r w:rsidRPr="00EE701D" w:rsidR="00BF7350">
        <w:rPr>
          <w:rFonts w:ascii="Palatino Linotype" w:hAnsi="Palatino Linotype"/>
          <w:sz w:val="24"/>
          <w:szCs w:val="24"/>
        </w:rPr>
        <w:t xml:space="preserve"> which is</w:t>
      </w:r>
      <w:r w:rsidRPr="00EE701D" w:rsidR="00C82A67">
        <w:rPr>
          <w:rFonts w:ascii="Palatino Linotype" w:hAnsi="Palatino Linotype"/>
          <w:sz w:val="24"/>
          <w:szCs w:val="24"/>
        </w:rPr>
        <w:t xml:space="preserve"> </w:t>
      </w:r>
      <w:r w:rsidRPr="00EE701D" w:rsidR="00A14F58">
        <w:rPr>
          <w:rFonts w:ascii="Palatino Linotype" w:hAnsi="Palatino Linotype"/>
          <w:sz w:val="24"/>
          <w:szCs w:val="24"/>
        </w:rPr>
        <w:t>a fixed percentage</w:t>
      </w:r>
      <w:r w:rsidRPr="00EE701D" w:rsidR="002F3955">
        <w:rPr>
          <w:rFonts w:ascii="Palatino Linotype" w:hAnsi="Palatino Linotype"/>
          <w:sz w:val="24"/>
          <w:szCs w:val="24"/>
        </w:rPr>
        <w:t xml:space="preserve"> </w:t>
      </w:r>
      <w:r w:rsidRPr="00EE701D" w:rsidR="00B6477D">
        <w:rPr>
          <w:rFonts w:ascii="Palatino Linotype" w:hAnsi="Palatino Linotype"/>
          <w:sz w:val="24"/>
          <w:szCs w:val="24"/>
        </w:rPr>
        <w:t>applied to</w:t>
      </w:r>
      <w:r w:rsidRPr="00EE701D" w:rsidR="002F3955">
        <w:rPr>
          <w:rFonts w:ascii="Palatino Linotype" w:hAnsi="Palatino Linotype"/>
          <w:sz w:val="24"/>
          <w:szCs w:val="24"/>
        </w:rPr>
        <w:t xml:space="preserve"> </w:t>
      </w:r>
      <w:r w:rsidRPr="00EE701D" w:rsidR="00CE4C34">
        <w:rPr>
          <w:rFonts w:ascii="Palatino Linotype" w:hAnsi="Palatino Linotype"/>
          <w:sz w:val="24"/>
          <w:szCs w:val="24"/>
        </w:rPr>
        <w:t xml:space="preserve">the CBVRP in order to </w:t>
      </w:r>
      <w:r w:rsidRPr="00EE701D" w:rsidR="002F3955">
        <w:rPr>
          <w:rFonts w:ascii="Palatino Linotype" w:hAnsi="Palatino Linotype"/>
          <w:sz w:val="24"/>
          <w:szCs w:val="24"/>
        </w:rPr>
        <w:t xml:space="preserve">account for </w:t>
      </w:r>
      <w:r w:rsidRPr="00EE701D" w:rsidR="000020DD">
        <w:rPr>
          <w:rFonts w:ascii="Palatino Linotype" w:hAnsi="Palatino Linotype"/>
          <w:sz w:val="24"/>
          <w:szCs w:val="24"/>
        </w:rPr>
        <w:t xml:space="preserve">the </w:t>
      </w:r>
      <w:r w:rsidRPr="00EE701D" w:rsidR="002F3955">
        <w:rPr>
          <w:rFonts w:ascii="Palatino Linotype" w:hAnsi="Palatino Linotype"/>
          <w:sz w:val="24"/>
          <w:szCs w:val="24"/>
        </w:rPr>
        <w:t xml:space="preserve">perceived </w:t>
      </w:r>
      <w:r w:rsidRPr="00EE701D" w:rsidR="00547B57">
        <w:rPr>
          <w:rFonts w:ascii="Palatino Linotype" w:hAnsi="Palatino Linotype"/>
          <w:sz w:val="24"/>
          <w:szCs w:val="24"/>
        </w:rPr>
        <w:t xml:space="preserve">regional differences and </w:t>
      </w:r>
      <w:r w:rsidRPr="00EE701D" w:rsidR="002F3955">
        <w:rPr>
          <w:rFonts w:ascii="Palatino Linotype" w:hAnsi="Palatino Linotype"/>
          <w:sz w:val="24"/>
          <w:szCs w:val="24"/>
        </w:rPr>
        <w:t>above-market costs</w:t>
      </w:r>
      <w:r w:rsidRPr="00EE701D" w:rsidR="000020DD">
        <w:rPr>
          <w:rFonts w:ascii="Palatino Linotype" w:hAnsi="Palatino Linotype"/>
          <w:sz w:val="24"/>
          <w:szCs w:val="24"/>
        </w:rPr>
        <w:t xml:space="preserve"> of DAC-GT projects</w:t>
      </w:r>
      <w:r w:rsidRPr="00EE701D" w:rsidR="00BF7350">
        <w:rPr>
          <w:rFonts w:ascii="Palatino Linotype" w:hAnsi="Palatino Linotype"/>
          <w:sz w:val="24"/>
          <w:szCs w:val="24"/>
        </w:rPr>
        <w:t xml:space="preserve">. </w:t>
      </w:r>
      <w:r w:rsidRPr="00EE701D" w:rsidR="00910280">
        <w:rPr>
          <w:rFonts w:ascii="Palatino Linotype" w:hAnsi="Palatino Linotype"/>
          <w:sz w:val="24"/>
          <w:szCs w:val="24"/>
        </w:rPr>
        <w:t xml:space="preserve">When multiplied together, </w:t>
      </w:r>
      <w:r w:rsidRPr="00EE701D" w:rsidR="00E57112">
        <w:rPr>
          <w:rFonts w:ascii="Palatino Linotype" w:hAnsi="Palatino Linotype"/>
          <w:sz w:val="24"/>
          <w:szCs w:val="24"/>
        </w:rPr>
        <w:t>t</w:t>
      </w:r>
      <w:r w:rsidRPr="00EE701D" w:rsidR="00D703A0">
        <w:rPr>
          <w:rFonts w:ascii="Palatino Linotype" w:hAnsi="Palatino Linotype"/>
          <w:sz w:val="24"/>
          <w:szCs w:val="24"/>
        </w:rPr>
        <w:t xml:space="preserve">he </w:t>
      </w:r>
      <w:r w:rsidRPr="00EE701D" w:rsidR="00910280">
        <w:rPr>
          <w:rFonts w:ascii="Palatino Linotype" w:hAnsi="Palatino Linotype"/>
          <w:sz w:val="24"/>
          <w:szCs w:val="24"/>
        </w:rPr>
        <w:t xml:space="preserve">resulting </w:t>
      </w:r>
      <w:r w:rsidRPr="00EE701D" w:rsidR="00D703A0">
        <w:rPr>
          <w:rFonts w:ascii="Palatino Linotype" w:hAnsi="Palatino Linotype"/>
          <w:sz w:val="24"/>
          <w:szCs w:val="24"/>
        </w:rPr>
        <w:t>product of the CBVRP and the Multiplier</w:t>
      </w:r>
      <w:r w:rsidRPr="00EE701D" w:rsidR="00910280">
        <w:rPr>
          <w:rFonts w:ascii="Palatino Linotype" w:hAnsi="Palatino Linotype"/>
          <w:sz w:val="24"/>
          <w:szCs w:val="24"/>
        </w:rPr>
        <w:t xml:space="preserve"> is the cost containment cap</w:t>
      </w:r>
      <w:r w:rsidRPr="00EE701D" w:rsidR="00D703A0">
        <w:rPr>
          <w:rFonts w:ascii="Palatino Linotype" w:hAnsi="Palatino Linotype"/>
          <w:sz w:val="24"/>
          <w:szCs w:val="24"/>
        </w:rPr>
        <w:t>.</w:t>
      </w:r>
      <w:r w:rsidRPr="00EE701D" w:rsidR="00D703A0">
        <w:rPr>
          <w:rStyle w:val="FootnoteReference"/>
          <w:rFonts w:ascii="Palatino Linotype" w:hAnsi="Palatino Linotype"/>
          <w:sz w:val="24"/>
          <w:szCs w:val="24"/>
        </w:rPr>
        <w:footnoteReference w:id="6"/>
      </w:r>
      <w:r w:rsidRPr="00EE701D" w:rsidR="00D703A0">
        <w:rPr>
          <w:rFonts w:ascii="Palatino Linotype" w:hAnsi="Palatino Linotype"/>
          <w:b/>
          <w:sz w:val="24"/>
          <w:szCs w:val="24"/>
        </w:rPr>
        <w:t xml:space="preserve"> </w:t>
      </w:r>
      <w:r w:rsidRPr="00EE701D" w:rsidR="00793C23">
        <w:rPr>
          <w:rFonts w:ascii="Palatino Linotype" w:hAnsi="Palatino Linotype"/>
          <w:sz w:val="24"/>
          <w:szCs w:val="24"/>
        </w:rPr>
        <w:t>Table 1 below s</w:t>
      </w:r>
      <w:r w:rsidRPr="00EE701D" w:rsidR="00F90F46">
        <w:rPr>
          <w:rFonts w:ascii="Palatino Linotype" w:hAnsi="Palatino Linotype"/>
          <w:sz w:val="24"/>
          <w:szCs w:val="24"/>
        </w:rPr>
        <w:t>ummarizes</w:t>
      </w:r>
      <w:r w:rsidRPr="00EE701D" w:rsidR="00793C23">
        <w:rPr>
          <w:rFonts w:ascii="Palatino Linotype" w:hAnsi="Palatino Linotype"/>
          <w:sz w:val="24"/>
          <w:szCs w:val="24"/>
        </w:rPr>
        <w:t xml:space="preserve"> the Joint IOU</w:t>
      </w:r>
      <w:r w:rsidRPr="00EE701D" w:rsidR="00B3594B">
        <w:rPr>
          <w:rFonts w:ascii="Palatino Linotype" w:hAnsi="Palatino Linotype"/>
          <w:sz w:val="24"/>
          <w:szCs w:val="24"/>
        </w:rPr>
        <w:t>s</w:t>
      </w:r>
      <w:r w:rsidRPr="00EE701D" w:rsidR="00793C23">
        <w:rPr>
          <w:rFonts w:ascii="Palatino Linotype" w:hAnsi="Palatino Linotype"/>
          <w:sz w:val="24"/>
          <w:szCs w:val="24"/>
        </w:rPr>
        <w:t>’ and Joint CCA</w:t>
      </w:r>
      <w:r w:rsidRPr="00EE701D" w:rsidR="00B3594B">
        <w:rPr>
          <w:rFonts w:ascii="Palatino Linotype" w:hAnsi="Palatino Linotype"/>
          <w:sz w:val="24"/>
          <w:szCs w:val="24"/>
        </w:rPr>
        <w:t>s</w:t>
      </w:r>
      <w:r w:rsidRPr="00EE701D" w:rsidR="00793C23">
        <w:rPr>
          <w:rFonts w:ascii="Palatino Linotype" w:hAnsi="Palatino Linotype"/>
          <w:sz w:val="24"/>
          <w:szCs w:val="24"/>
        </w:rPr>
        <w:t>’ d</w:t>
      </w:r>
      <w:r w:rsidRPr="00EE701D" w:rsidR="00910280">
        <w:rPr>
          <w:rFonts w:ascii="Palatino Linotype" w:hAnsi="Palatino Linotype"/>
          <w:sz w:val="24"/>
          <w:szCs w:val="24"/>
        </w:rPr>
        <w:t xml:space="preserve">ifferent </w:t>
      </w:r>
      <w:r w:rsidRPr="00EE701D" w:rsidR="00683E18">
        <w:rPr>
          <w:rFonts w:ascii="Palatino Linotype" w:hAnsi="Palatino Linotype"/>
          <w:sz w:val="24"/>
          <w:szCs w:val="24"/>
        </w:rPr>
        <w:t xml:space="preserve">containment </w:t>
      </w:r>
      <w:r w:rsidRPr="00EE701D" w:rsidR="00DA706A">
        <w:rPr>
          <w:rFonts w:ascii="Palatino Linotype" w:hAnsi="Palatino Linotype"/>
          <w:sz w:val="24"/>
          <w:szCs w:val="24"/>
        </w:rPr>
        <w:t xml:space="preserve">cost cap </w:t>
      </w:r>
      <w:r w:rsidRPr="00EE701D" w:rsidR="00910280">
        <w:rPr>
          <w:rFonts w:ascii="Palatino Linotype" w:hAnsi="Palatino Linotype"/>
          <w:sz w:val="24"/>
          <w:szCs w:val="24"/>
        </w:rPr>
        <w:t>proposals</w:t>
      </w:r>
      <w:r w:rsidRPr="00EE701D" w:rsidR="00683E18">
        <w:rPr>
          <w:rFonts w:ascii="Palatino Linotype" w:hAnsi="Palatino Linotype"/>
          <w:sz w:val="24"/>
          <w:szCs w:val="24"/>
        </w:rPr>
        <w:t>.</w:t>
      </w:r>
      <w:r w:rsidRPr="00EE701D" w:rsidR="00910280">
        <w:rPr>
          <w:rFonts w:ascii="Palatino Linotype" w:hAnsi="Palatino Linotype"/>
          <w:sz w:val="24"/>
          <w:szCs w:val="24"/>
        </w:rPr>
        <w:t xml:space="preserve"> </w:t>
      </w:r>
    </w:p>
    <w:p w:rsidRPr="00EE701D" w:rsidR="00F65755" w:rsidP="00283899" w:rsidRDefault="00F65755" w14:paraId="0D22BE03" w14:textId="77777777">
      <w:pPr>
        <w:autoSpaceDE w:val="0"/>
        <w:autoSpaceDN w:val="0"/>
        <w:adjustRightInd w:val="0"/>
        <w:rPr>
          <w:rFonts w:ascii="Palatino Linotype" w:hAnsi="Palatino Linotype"/>
          <w:sz w:val="24"/>
          <w:szCs w:val="24"/>
        </w:rPr>
      </w:pPr>
    </w:p>
    <w:p w:rsidRPr="00EE701D" w:rsidR="00BE2CDD" w:rsidP="00347346" w:rsidRDefault="002279E0" w14:paraId="742E4DB5" w14:textId="54D7CC9E">
      <w:pPr>
        <w:keepNext/>
        <w:autoSpaceDE w:val="0"/>
        <w:autoSpaceDN w:val="0"/>
        <w:adjustRightInd w:val="0"/>
        <w:jc w:val="center"/>
        <w:rPr>
          <w:rFonts w:ascii="Palatino Linotype" w:hAnsi="Palatino Linotype"/>
          <w:b/>
          <w:sz w:val="24"/>
          <w:szCs w:val="24"/>
        </w:rPr>
      </w:pPr>
      <w:r w:rsidRPr="00EE701D">
        <w:rPr>
          <w:rFonts w:ascii="Palatino Linotype" w:hAnsi="Palatino Linotype"/>
          <w:b/>
          <w:sz w:val="24"/>
          <w:szCs w:val="24"/>
        </w:rPr>
        <w:lastRenderedPageBreak/>
        <w:t>TABLE 1: Joint IOU and Joint CCA DAC-GT Cost Containment Cap Proposal</w:t>
      </w:r>
      <w:r w:rsidRPr="00EE701D" w:rsidR="009C4DFB">
        <w:rPr>
          <w:rFonts w:ascii="Palatino Linotype" w:hAnsi="Palatino Linotype"/>
          <w:b/>
          <w:sz w:val="24"/>
          <w:szCs w:val="24"/>
        </w:rPr>
        <w:t>s</w:t>
      </w:r>
    </w:p>
    <w:tbl>
      <w:tblPr>
        <w:tblStyle w:val="TableGrid"/>
        <w:tblW w:w="10075" w:type="dxa"/>
        <w:tblLook w:val="04A0" w:firstRow="1" w:lastRow="0" w:firstColumn="1" w:lastColumn="0" w:noHBand="0" w:noVBand="1"/>
      </w:tblPr>
      <w:tblGrid>
        <w:gridCol w:w="3235"/>
        <w:gridCol w:w="3690"/>
        <w:gridCol w:w="3150"/>
      </w:tblGrid>
      <w:tr w:rsidRPr="00EE701D" w:rsidR="002279E0" w:rsidTr="000A6990" w14:paraId="5E2298C7" w14:textId="77777777">
        <w:tc>
          <w:tcPr>
            <w:tcW w:w="3235" w:type="dxa"/>
          </w:tcPr>
          <w:p w:rsidRPr="00EE701D" w:rsidR="002279E0" w:rsidP="00347346" w:rsidRDefault="002279E0" w14:paraId="6161DB52" w14:textId="1456FEF0">
            <w:pPr>
              <w:keepNext/>
              <w:autoSpaceDE w:val="0"/>
              <w:autoSpaceDN w:val="0"/>
              <w:adjustRightInd w:val="0"/>
              <w:jc w:val="center"/>
              <w:rPr>
                <w:rFonts w:ascii="Palatino Linotype" w:hAnsi="Palatino Linotype"/>
                <w:b/>
                <w:bCs/>
                <w:sz w:val="24"/>
                <w:szCs w:val="24"/>
              </w:rPr>
            </w:pPr>
            <w:r w:rsidRPr="00EE701D">
              <w:rPr>
                <w:rFonts w:ascii="Palatino Linotype" w:hAnsi="Palatino Linotype"/>
                <w:b/>
                <w:bCs/>
                <w:sz w:val="24"/>
                <w:szCs w:val="24"/>
              </w:rPr>
              <w:t>Component</w:t>
            </w:r>
            <w:r w:rsidRPr="00EE701D" w:rsidR="003307C2">
              <w:rPr>
                <w:rFonts w:ascii="Palatino Linotype" w:hAnsi="Palatino Linotype"/>
                <w:b/>
                <w:bCs/>
                <w:sz w:val="24"/>
                <w:szCs w:val="24"/>
              </w:rPr>
              <w:t>s of</w:t>
            </w:r>
            <w:r w:rsidRPr="00EE701D">
              <w:rPr>
                <w:rFonts w:ascii="Palatino Linotype" w:hAnsi="Palatino Linotype"/>
                <w:b/>
                <w:bCs/>
                <w:sz w:val="24"/>
                <w:szCs w:val="24"/>
              </w:rPr>
              <w:t xml:space="preserve"> </w:t>
            </w:r>
            <w:r w:rsidRPr="00EE701D" w:rsidR="009C4DFB">
              <w:rPr>
                <w:rFonts w:ascii="Palatino Linotype" w:hAnsi="Palatino Linotype"/>
                <w:b/>
                <w:bCs/>
                <w:sz w:val="24"/>
                <w:szCs w:val="24"/>
              </w:rPr>
              <w:t xml:space="preserve">Cost Containment </w:t>
            </w:r>
            <w:r w:rsidRPr="00EE701D">
              <w:rPr>
                <w:rFonts w:ascii="Palatino Linotype" w:hAnsi="Palatino Linotype"/>
                <w:b/>
                <w:bCs/>
                <w:sz w:val="24"/>
                <w:szCs w:val="24"/>
              </w:rPr>
              <w:t>Cap</w:t>
            </w:r>
            <w:r w:rsidRPr="00EE701D" w:rsidR="003307C2">
              <w:rPr>
                <w:rFonts w:ascii="Palatino Linotype" w:hAnsi="Palatino Linotype"/>
                <w:b/>
                <w:bCs/>
                <w:sz w:val="24"/>
                <w:szCs w:val="24"/>
              </w:rPr>
              <w:t xml:space="preserve"> Framework</w:t>
            </w:r>
          </w:p>
        </w:tc>
        <w:tc>
          <w:tcPr>
            <w:tcW w:w="3690" w:type="dxa"/>
          </w:tcPr>
          <w:p w:rsidRPr="00EE701D" w:rsidR="002279E0" w:rsidP="00347346" w:rsidRDefault="002279E0" w14:paraId="0227C2BE" w14:textId="0A1C3151">
            <w:pPr>
              <w:keepNext/>
              <w:autoSpaceDE w:val="0"/>
              <w:autoSpaceDN w:val="0"/>
              <w:adjustRightInd w:val="0"/>
              <w:jc w:val="center"/>
              <w:rPr>
                <w:rFonts w:ascii="Palatino Linotype" w:hAnsi="Palatino Linotype"/>
                <w:b/>
                <w:bCs/>
                <w:sz w:val="24"/>
                <w:szCs w:val="24"/>
              </w:rPr>
            </w:pPr>
            <w:r w:rsidRPr="00EE701D">
              <w:rPr>
                <w:rFonts w:ascii="Palatino Linotype" w:hAnsi="Palatino Linotype"/>
                <w:b/>
                <w:bCs/>
                <w:sz w:val="24"/>
                <w:szCs w:val="24"/>
              </w:rPr>
              <w:t>Joint IOU</w:t>
            </w:r>
            <w:r w:rsidRPr="00EE701D" w:rsidR="00A769D5">
              <w:rPr>
                <w:rFonts w:ascii="Palatino Linotype" w:hAnsi="Palatino Linotype"/>
                <w:b/>
                <w:bCs/>
                <w:sz w:val="24"/>
                <w:szCs w:val="24"/>
              </w:rPr>
              <w:t xml:space="preserve"> Proposal</w:t>
            </w:r>
          </w:p>
        </w:tc>
        <w:tc>
          <w:tcPr>
            <w:tcW w:w="3150" w:type="dxa"/>
          </w:tcPr>
          <w:p w:rsidRPr="00EE701D" w:rsidR="002279E0" w:rsidP="00347346" w:rsidRDefault="002279E0" w14:paraId="4A66A05B" w14:textId="6BBAEACF">
            <w:pPr>
              <w:keepNext/>
              <w:autoSpaceDE w:val="0"/>
              <w:autoSpaceDN w:val="0"/>
              <w:adjustRightInd w:val="0"/>
              <w:jc w:val="center"/>
              <w:rPr>
                <w:rFonts w:ascii="Palatino Linotype" w:hAnsi="Palatino Linotype"/>
                <w:b/>
                <w:bCs/>
                <w:sz w:val="24"/>
                <w:szCs w:val="24"/>
              </w:rPr>
            </w:pPr>
            <w:r w:rsidRPr="00EE701D">
              <w:rPr>
                <w:rFonts w:ascii="Palatino Linotype" w:hAnsi="Palatino Linotype"/>
                <w:b/>
                <w:bCs/>
                <w:sz w:val="24"/>
                <w:szCs w:val="24"/>
              </w:rPr>
              <w:t>Joint CCA</w:t>
            </w:r>
            <w:r w:rsidRPr="00EE701D" w:rsidR="00A769D5">
              <w:rPr>
                <w:rFonts w:ascii="Palatino Linotype" w:hAnsi="Palatino Linotype"/>
                <w:b/>
                <w:bCs/>
                <w:sz w:val="24"/>
                <w:szCs w:val="24"/>
              </w:rPr>
              <w:t xml:space="preserve"> Proposal</w:t>
            </w:r>
          </w:p>
        </w:tc>
      </w:tr>
      <w:tr w:rsidRPr="00EE701D" w:rsidR="002279E0" w:rsidTr="000A6990" w14:paraId="0F6FB94D" w14:textId="77777777">
        <w:tc>
          <w:tcPr>
            <w:tcW w:w="3235" w:type="dxa"/>
          </w:tcPr>
          <w:p w:rsidRPr="00EE701D" w:rsidR="002279E0" w:rsidP="00347346" w:rsidRDefault="002279E0" w14:paraId="704BF357" w14:textId="72D2CDD8">
            <w:pPr>
              <w:keepNext/>
              <w:autoSpaceDE w:val="0"/>
              <w:autoSpaceDN w:val="0"/>
              <w:adjustRightInd w:val="0"/>
              <w:jc w:val="center"/>
              <w:rPr>
                <w:rFonts w:ascii="Palatino Linotype" w:hAnsi="Palatino Linotype"/>
                <w:b/>
                <w:bCs/>
                <w:sz w:val="24"/>
                <w:szCs w:val="24"/>
              </w:rPr>
            </w:pPr>
            <w:r w:rsidRPr="00EE701D">
              <w:rPr>
                <w:rFonts w:ascii="Palatino Linotype" w:hAnsi="Palatino Linotype"/>
                <w:b/>
                <w:bCs/>
                <w:sz w:val="24"/>
                <w:szCs w:val="24"/>
              </w:rPr>
              <w:t>Confidential Benchmark Value Reference Price (CBVRP)</w:t>
            </w:r>
          </w:p>
        </w:tc>
        <w:tc>
          <w:tcPr>
            <w:tcW w:w="3690" w:type="dxa"/>
          </w:tcPr>
          <w:p w:rsidRPr="00EE701D" w:rsidR="002279E0" w:rsidP="00347346" w:rsidRDefault="00F83D3D" w14:paraId="2CC343C6" w14:textId="4F0449F3">
            <w:pPr>
              <w:keepNext/>
              <w:autoSpaceDE w:val="0"/>
              <w:autoSpaceDN w:val="0"/>
              <w:adjustRightInd w:val="0"/>
              <w:jc w:val="center"/>
              <w:rPr>
                <w:rFonts w:ascii="Palatino Linotype" w:hAnsi="Palatino Linotype"/>
                <w:sz w:val="24"/>
                <w:szCs w:val="24"/>
              </w:rPr>
            </w:pPr>
            <w:r w:rsidRPr="00EE701D">
              <w:rPr>
                <w:rFonts w:ascii="Palatino Linotype" w:hAnsi="Palatino Linotype"/>
                <w:sz w:val="24"/>
                <w:szCs w:val="24"/>
              </w:rPr>
              <w:t xml:space="preserve">Calculated </w:t>
            </w:r>
            <w:r w:rsidRPr="00EE701D" w:rsidR="00D8244A">
              <w:rPr>
                <w:rFonts w:ascii="Palatino Linotype" w:hAnsi="Palatino Linotype"/>
                <w:sz w:val="24"/>
                <w:szCs w:val="24"/>
              </w:rPr>
              <w:t>by each IOU or CCA</w:t>
            </w:r>
            <w:r w:rsidRPr="00EE701D" w:rsidR="00300A1C">
              <w:rPr>
                <w:rFonts w:ascii="Palatino Linotype" w:hAnsi="Palatino Linotype"/>
                <w:sz w:val="24"/>
                <w:szCs w:val="24"/>
              </w:rPr>
              <w:t xml:space="preserve"> </w:t>
            </w:r>
            <w:r w:rsidRPr="00EE701D">
              <w:rPr>
                <w:rFonts w:ascii="Palatino Linotype" w:hAnsi="Palatino Linotype"/>
                <w:sz w:val="24"/>
                <w:szCs w:val="24"/>
              </w:rPr>
              <w:t xml:space="preserve">based on a pool of </w:t>
            </w:r>
            <w:r w:rsidRPr="00EE701D" w:rsidR="001B3FA3">
              <w:rPr>
                <w:rFonts w:ascii="Palatino Linotype" w:hAnsi="Palatino Linotype"/>
                <w:sz w:val="24"/>
                <w:szCs w:val="24"/>
              </w:rPr>
              <w:t>its</w:t>
            </w:r>
            <w:r w:rsidRPr="00EE701D" w:rsidR="00015F3F">
              <w:rPr>
                <w:rFonts w:ascii="Palatino Linotype" w:hAnsi="Palatino Linotype"/>
                <w:sz w:val="24"/>
                <w:szCs w:val="24"/>
              </w:rPr>
              <w:t xml:space="preserve"> </w:t>
            </w:r>
            <w:r w:rsidRPr="00EE701D">
              <w:rPr>
                <w:rFonts w:ascii="Palatino Linotype" w:hAnsi="Palatino Linotype"/>
                <w:sz w:val="24"/>
                <w:szCs w:val="24"/>
              </w:rPr>
              <w:t xml:space="preserve">competitively </w:t>
            </w:r>
            <w:r w:rsidRPr="00EE701D" w:rsidR="004D08EA">
              <w:rPr>
                <w:rFonts w:ascii="Palatino Linotype" w:hAnsi="Palatino Linotype"/>
                <w:sz w:val="24"/>
                <w:szCs w:val="24"/>
              </w:rPr>
              <w:t>solicited</w:t>
            </w:r>
            <w:r w:rsidRPr="00EE701D">
              <w:rPr>
                <w:rFonts w:ascii="Palatino Linotype" w:hAnsi="Palatino Linotype"/>
                <w:sz w:val="24"/>
                <w:szCs w:val="24"/>
              </w:rPr>
              <w:t xml:space="preserve"> PPAs for similar resources and contract types over the past 5 years</w:t>
            </w:r>
            <w:r w:rsidRPr="00EE701D" w:rsidR="004D08EA">
              <w:rPr>
                <w:rStyle w:val="FootnoteReference"/>
                <w:rFonts w:ascii="Palatino Linotype" w:hAnsi="Palatino Linotype"/>
                <w:sz w:val="24"/>
                <w:szCs w:val="24"/>
              </w:rPr>
              <w:footnoteReference w:id="7"/>
            </w:r>
          </w:p>
        </w:tc>
        <w:tc>
          <w:tcPr>
            <w:tcW w:w="3150" w:type="dxa"/>
          </w:tcPr>
          <w:p w:rsidRPr="00EE701D" w:rsidR="002279E0" w:rsidP="00347346" w:rsidRDefault="00CA7017" w14:paraId="5A0BBD73" w14:textId="491C5410">
            <w:pPr>
              <w:keepNext/>
              <w:autoSpaceDE w:val="0"/>
              <w:autoSpaceDN w:val="0"/>
              <w:adjustRightInd w:val="0"/>
              <w:jc w:val="center"/>
              <w:rPr>
                <w:rFonts w:ascii="Palatino Linotype" w:hAnsi="Palatino Linotype"/>
                <w:sz w:val="24"/>
                <w:szCs w:val="24"/>
              </w:rPr>
            </w:pPr>
            <w:r w:rsidRPr="00EE701D">
              <w:rPr>
                <w:rFonts w:ascii="Palatino Linotype" w:hAnsi="Palatino Linotype"/>
                <w:sz w:val="24"/>
                <w:szCs w:val="24"/>
              </w:rPr>
              <w:t>Commission Staff</w:t>
            </w:r>
            <w:r w:rsidRPr="00EE701D" w:rsidR="00B879D7">
              <w:rPr>
                <w:rFonts w:ascii="Palatino Linotype" w:hAnsi="Palatino Linotype"/>
                <w:sz w:val="24"/>
                <w:szCs w:val="24"/>
              </w:rPr>
              <w:t xml:space="preserve"> should conduct a statewide survey to establish a single CBVRP that applies uniformly across all </w:t>
            </w:r>
            <w:r w:rsidRPr="00EE701D" w:rsidR="00A769D5">
              <w:rPr>
                <w:rFonts w:ascii="Palatino Linotype" w:hAnsi="Palatino Linotype"/>
                <w:sz w:val="24"/>
                <w:szCs w:val="24"/>
              </w:rPr>
              <w:t>L</w:t>
            </w:r>
            <w:r w:rsidRPr="00EE701D" w:rsidR="00B879D7">
              <w:rPr>
                <w:rFonts w:ascii="Palatino Linotype" w:hAnsi="Palatino Linotype"/>
                <w:sz w:val="24"/>
                <w:szCs w:val="24"/>
              </w:rPr>
              <w:t xml:space="preserve">oad </w:t>
            </w:r>
            <w:r w:rsidRPr="00EE701D" w:rsidR="00A769D5">
              <w:rPr>
                <w:rFonts w:ascii="Palatino Linotype" w:hAnsi="Palatino Linotype"/>
                <w:sz w:val="24"/>
                <w:szCs w:val="24"/>
              </w:rPr>
              <w:t>S</w:t>
            </w:r>
            <w:r w:rsidRPr="00EE701D" w:rsidR="00B879D7">
              <w:rPr>
                <w:rFonts w:ascii="Palatino Linotype" w:hAnsi="Palatino Linotype"/>
                <w:sz w:val="24"/>
                <w:szCs w:val="24"/>
              </w:rPr>
              <w:t xml:space="preserve">erving </w:t>
            </w:r>
            <w:r w:rsidRPr="00EE701D" w:rsidR="00A769D5">
              <w:rPr>
                <w:rFonts w:ascii="Palatino Linotype" w:hAnsi="Palatino Linotype"/>
                <w:sz w:val="24"/>
                <w:szCs w:val="24"/>
              </w:rPr>
              <w:t>E</w:t>
            </w:r>
            <w:r w:rsidRPr="00EE701D" w:rsidR="00B879D7">
              <w:rPr>
                <w:rFonts w:ascii="Palatino Linotype" w:hAnsi="Palatino Linotype"/>
                <w:sz w:val="24"/>
                <w:szCs w:val="24"/>
              </w:rPr>
              <w:t>ntities</w:t>
            </w:r>
            <w:r w:rsidRPr="00EE701D" w:rsidR="00BE530B">
              <w:rPr>
                <w:rStyle w:val="FootnoteReference"/>
                <w:rFonts w:ascii="Palatino Linotype" w:hAnsi="Palatino Linotype"/>
                <w:sz w:val="24"/>
                <w:szCs w:val="24"/>
              </w:rPr>
              <w:footnoteReference w:id="8"/>
            </w:r>
          </w:p>
        </w:tc>
      </w:tr>
      <w:tr w:rsidRPr="00EE701D" w:rsidR="002279E0" w:rsidTr="000A6990" w14:paraId="4C64C47E" w14:textId="77777777">
        <w:tc>
          <w:tcPr>
            <w:tcW w:w="3235" w:type="dxa"/>
          </w:tcPr>
          <w:p w:rsidRPr="00EE701D" w:rsidR="002279E0" w:rsidP="00BE2CDD" w:rsidRDefault="002279E0" w14:paraId="4C246E41" w14:textId="3F54B7ED">
            <w:pPr>
              <w:autoSpaceDE w:val="0"/>
              <w:autoSpaceDN w:val="0"/>
              <w:adjustRightInd w:val="0"/>
              <w:jc w:val="center"/>
              <w:rPr>
                <w:rFonts w:ascii="Palatino Linotype" w:hAnsi="Palatino Linotype"/>
                <w:b/>
                <w:bCs/>
                <w:sz w:val="24"/>
                <w:szCs w:val="24"/>
              </w:rPr>
            </w:pPr>
            <w:r w:rsidRPr="00EE701D">
              <w:rPr>
                <w:rFonts w:ascii="Palatino Linotype" w:hAnsi="Palatino Linotype"/>
                <w:b/>
                <w:bCs/>
                <w:sz w:val="24"/>
                <w:szCs w:val="24"/>
              </w:rPr>
              <w:t>Public DAC Percentage Multiplier</w:t>
            </w:r>
          </w:p>
        </w:tc>
        <w:tc>
          <w:tcPr>
            <w:tcW w:w="3690" w:type="dxa"/>
          </w:tcPr>
          <w:p w:rsidRPr="00EE701D" w:rsidR="002279E0" w:rsidP="00BE2CDD" w:rsidRDefault="00BE530B" w14:paraId="2CA67EB1" w14:textId="3A56C714">
            <w:pPr>
              <w:autoSpaceDE w:val="0"/>
              <w:autoSpaceDN w:val="0"/>
              <w:adjustRightInd w:val="0"/>
              <w:jc w:val="center"/>
              <w:rPr>
                <w:rFonts w:ascii="Palatino Linotype" w:hAnsi="Palatino Linotype"/>
                <w:sz w:val="24"/>
                <w:szCs w:val="24"/>
              </w:rPr>
            </w:pPr>
            <w:r w:rsidRPr="00EE701D">
              <w:rPr>
                <w:rFonts w:ascii="Palatino Linotype" w:hAnsi="Palatino Linotype"/>
                <w:sz w:val="24"/>
                <w:szCs w:val="24"/>
              </w:rPr>
              <w:t xml:space="preserve">120% </w:t>
            </w:r>
            <w:r w:rsidRPr="00EE701D" w:rsidR="000B0D31">
              <w:rPr>
                <w:rFonts w:ascii="Palatino Linotype" w:hAnsi="Palatino Linotype"/>
                <w:sz w:val="24"/>
                <w:szCs w:val="24"/>
              </w:rPr>
              <w:t>M</w:t>
            </w:r>
            <w:r w:rsidRPr="00EE701D">
              <w:rPr>
                <w:rFonts w:ascii="Palatino Linotype" w:hAnsi="Palatino Linotype"/>
                <w:sz w:val="24"/>
                <w:szCs w:val="24"/>
              </w:rPr>
              <w:t>ultiplier</w:t>
            </w:r>
            <w:r w:rsidRPr="00EE701D" w:rsidR="00193E34">
              <w:rPr>
                <w:rStyle w:val="FootnoteReference"/>
                <w:rFonts w:ascii="Palatino Linotype" w:hAnsi="Palatino Linotype"/>
                <w:sz w:val="24"/>
                <w:szCs w:val="24"/>
              </w:rPr>
              <w:footnoteReference w:id="9"/>
            </w:r>
          </w:p>
        </w:tc>
        <w:tc>
          <w:tcPr>
            <w:tcW w:w="3150" w:type="dxa"/>
          </w:tcPr>
          <w:p w:rsidRPr="00EE701D" w:rsidR="002279E0" w:rsidP="00BE2CDD" w:rsidRDefault="00BE530B" w14:paraId="0A57264B" w14:textId="217AB877">
            <w:pPr>
              <w:autoSpaceDE w:val="0"/>
              <w:autoSpaceDN w:val="0"/>
              <w:adjustRightInd w:val="0"/>
              <w:jc w:val="center"/>
              <w:rPr>
                <w:rFonts w:ascii="Palatino Linotype" w:hAnsi="Palatino Linotype"/>
                <w:sz w:val="24"/>
                <w:szCs w:val="24"/>
              </w:rPr>
            </w:pPr>
            <w:r w:rsidRPr="00EE701D">
              <w:rPr>
                <w:rFonts w:ascii="Palatino Linotype" w:hAnsi="Palatino Linotype"/>
                <w:sz w:val="24"/>
                <w:szCs w:val="24"/>
              </w:rPr>
              <w:t xml:space="preserve">175% </w:t>
            </w:r>
            <w:r w:rsidRPr="00EE701D" w:rsidR="000B0D31">
              <w:rPr>
                <w:rFonts w:ascii="Palatino Linotype" w:hAnsi="Palatino Linotype"/>
                <w:sz w:val="24"/>
                <w:szCs w:val="24"/>
              </w:rPr>
              <w:t>M</w:t>
            </w:r>
            <w:r w:rsidRPr="00EE701D">
              <w:rPr>
                <w:rFonts w:ascii="Palatino Linotype" w:hAnsi="Palatino Linotype"/>
                <w:sz w:val="24"/>
                <w:szCs w:val="24"/>
              </w:rPr>
              <w:t>ultiplier</w:t>
            </w:r>
            <w:r w:rsidRPr="00EE701D" w:rsidR="000B0D31">
              <w:rPr>
                <w:rStyle w:val="FootnoteReference"/>
                <w:rFonts w:ascii="Palatino Linotype" w:hAnsi="Palatino Linotype"/>
                <w:sz w:val="24"/>
                <w:szCs w:val="24"/>
              </w:rPr>
              <w:footnoteReference w:id="10"/>
            </w:r>
          </w:p>
        </w:tc>
      </w:tr>
      <w:tr w:rsidRPr="00EE701D" w:rsidR="002279E0" w:rsidTr="000A6990" w14:paraId="11513A26" w14:textId="77777777">
        <w:tc>
          <w:tcPr>
            <w:tcW w:w="3235" w:type="dxa"/>
          </w:tcPr>
          <w:p w:rsidRPr="00EE701D" w:rsidR="002279E0" w:rsidP="00BE2CDD" w:rsidRDefault="00A769D5" w14:paraId="50D2E6EC" w14:textId="796F201A">
            <w:pPr>
              <w:autoSpaceDE w:val="0"/>
              <w:autoSpaceDN w:val="0"/>
              <w:adjustRightInd w:val="0"/>
              <w:jc w:val="center"/>
              <w:rPr>
                <w:rFonts w:ascii="Palatino Linotype" w:hAnsi="Palatino Linotype"/>
                <w:b/>
                <w:bCs/>
                <w:sz w:val="24"/>
                <w:szCs w:val="24"/>
              </w:rPr>
            </w:pPr>
            <w:r w:rsidRPr="00EE701D">
              <w:rPr>
                <w:rFonts w:ascii="Palatino Linotype" w:hAnsi="Palatino Linotype"/>
                <w:b/>
                <w:bCs/>
                <w:sz w:val="24"/>
                <w:szCs w:val="24"/>
              </w:rPr>
              <w:t>Cost Containment Cap</w:t>
            </w:r>
          </w:p>
        </w:tc>
        <w:tc>
          <w:tcPr>
            <w:tcW w:w="3690" w:type="dxa"/>
          </w:tcPr>
          <w:p w:rsidRPr="00EE701D" w:rsidR="002279E0" w:rsidP="00BE2CDD" w:rsidRDefault="000B0D31" w14:paraId="45F1BAB5" w14:textId="372F8B91">
            <w:pPr>
              <w:autoSpaceDE w:val="0"/>
              <w:autoSpaceDN w:val="0"/>
              <w:adjustRightInd w:val="0"/>
              <w:jc w:val="center"/>
              <w:rPr>
                <w:rFonts w:ascii="Palatino Linotype" w:hAnsi="Palatino Linotype"/>
                <w:sz w:val="24"/>
                <w:szCs w:val="24"/>
              </w:rPr>
            </w:pPr>
            <w:r w:rsidRPr="00EE701D">
              <w:rPr>
                <w:rFonts w:ascii="Palatino Linotype" w:hAnsi="Palatino Linotype"/>
                <w:sz w:val="24"/>
                <w:szCs w:val="24"/>
              </w:rPr>
              <w:t xml:space="preserve">CBVRP </w:t>
            </w:r>
            <w:r w:rsidRPr="00EE701D" w:rsidR="009A35AA">
              <w:rPr>
                <w:rFonts w:ascii="Palatino Linotype" w:hAnsi="Palatino Linotype"/>
                <w:sz w:val="24"/>
                <w:szCs w:val="24"/>
              </w:rPr>
              <w:t>x</w:t>
            </w:r>
            <w:r w:rsidRPr="00EE701D">
              <w:rPr>
                <w:rFonts w:ascii="Palatino Linotype" w:hAnsi="Palatino Linotype"/>
                <w:sz w:val="24"/>
                <w:szCs w:val="24"/>
              </w:rPr>
              <w:t xml:space="preserve"> Multiplier</w:t>
            </w:r>
          </w:p>
        </w:tc>
        <w:tc>
          <w:tcPr>
            <w:tcW w:w="3150" w:type="dxa"/>
          </w:tcPr>
          <w:p w:rsidRPr="00EE701D" w:rsidR="002279E0" w:rsidP="00BE2CDD" w:rsidRDefault="009A35AA" w14:paraId="65949CD3" w14:textId="360A18C3">
            <w:pPr>
              <w:autoSpaceDE w:val="0"/>
              <w:autoSpaceDN w:val="0"/>
              <w:adjustRightInd w:val="0"/>
              <w:jc w:val="center"/>
              <w:rPr>
                <w:rFonts w:ascii="Palatino Linotype" w:hAnsi="Palatino Linotype"/>
                <w:sz w:val="24"/>
                <w:szCs w:val="24"/>
              </w:rPr>
            </w:pPr>
            <w:r w:rsidRPr="00EE701D">
              <w:rPr>
                <w:rFonts w:ascii="Palatino Linotype" w:hAnsi="Palatino Linotype"/>
                <w:sz w:val="24"/>
                <w:szCs w:val="24"/>
              </w:rPr>
              <w:t>CBVRP x Multiplier</w:t>
            </w:r>
          </w:p>
        </w:tc>
      </w:tr>
    </w:tbl>
    <w:p w:rsidRPr="00EE701D" w:rsidR="00324D06" w:rsidP="00283899" w:rsidRDefault="00324D06" w14:paraId="5160E16A" w14:textId="127F4558">
      <w:pPr>
        <w:autoSpaceDE w:val="0"/>
        <w:autoSpaceDN w:val="0"/>
        <w:adjustRightInd w:val="0"/>
        <w:rPr>
          <w:rFonts w:ascii="Palatino Linotype" w:hAnsi="Palatino Linotype"/>
          <w:sz w:val="24"/>
          <w:szCs w:val="24"/>
        </w:rPr>
      </w:pPr>
    </w:p>
    <w:p w:rsidRPr="00EE701D" w:rsidR="000A7F1B" w:rsidP="00283899" w:rsidRDefault="008C2FDC" w14:paraId="0524000A" w14:textId="2F0BC5DB">
      <w:pPr>
        <w:autoSpaceDE w:val="0"/>
        <w:autoSpaceDN w:val="0"/>
        <w:adjustRightInd w:val="0"/>
        <w:rPr>
          <w:rFonts w:ascii="Palatino Linotype" w:hAnsi="Palatino Linotype"/>
          <w:sz w:val="24"/>
          <w:szCs w:val="24"/>
        </w:rPr>
      </w:pPr>
      <w:r w:rsidRPr="00EE701D">
        <w:rPr>
          <w:rFonts w:ascii="Palatino Linotype" w:hAnsi="Palatino Linotype"/>
          <w:sz w:val="24"/>
          <w:szCs w:val="24"/>
        </w:rPr>
        <w:t xml:space="preserve">The </w:t>
      </w:r>
      <w:r w:rsidRPr="00EE701D" w:rsidR="00EE7524">
        <w:rPr>
          <w:rFonts w:ascii="Palatino Linotype" w:hAnsi="Palatino Linotype"/>
          <w:sz w:val="24"/>
          <w:szCs w:val="24"/>
        </w:rPr>
        <w:t xml:space="preserve">IOUs’ characterization of the </w:t>
      </w:r>
      <w:r w:rsidRPr="00EE701D">
        <w:rPr>
          <w:rFonts w:ascii="Palatino Linotype" w:hAnsi="Palatino Linotype"/>
          <w:sz w:val="24"/>
          <w:szCs w:val="24"/>
        </w:rPr>
        <w:t>Joint CCAs</w:t>
      </w:r>
      <w:r w:rsidRPr="00EE701D" w:rsidDel="00EE7524">
        <w:rPr>
          <w:rFonts w:ascii="Palatino Linotype" w:hAnsi="Palatino Linotype"/>
          <w:sz w:val="24"/>
          <w:szCs w:val="24"/>
        </w:rPr>
        <w:t xml:space="preserve"> </w:t>
      </w:r>
      <w:r w:rsidRPr="00EE701D" w:rsidR="00EE7524">
        <w:rPr>
          <w:rFonts w:ascii="Palatino Linotype" w:hAnsi="Palatino Linotype"/>
          <w:sz w:val="24"/>
          <w:szCs w:val="24"/>
        </w:rPr>
        <w:t>proposal suggests</w:t>
      </w:r>
      <w:r w:rsidRPr="00EE701D">
        <w:rPr>
          <w:rFonts w:ascii="Palatino Linotype" w:hAnsi="Palatino Linotype"/>
          <w:sz w:val="24"/>
          <w:szCs w:val="24"/>
        </w:rPr>
        <w:t xml:space="preserve"> that </w:t>
      </w:r>
      <w:r w:rsidRPr="00EE701D" w:rsidR="00EE7524">
        <w:rPr>
          <w:rFonts w:ascii="Palatino Linotype" w:hAnsi="Palatino Linotype"/>
          <w:sz w:val="24"/>
          <w:szCs w:val="24"/>
        </w:rPr>
        <w:t xml:space="preserve">the CCAs believe </w:t>
      </w:r>
      <w:r w:rsidRPr="00EE701D">
        <w:rPr>
          <w:rFonts w:ascii="Palatino Linotype" w:hAnsi="Palatino Linotype"/>
          <w:sz w:val="24"/>
          <w:szCs w:val="24"/>
        </w:rPr>
        <w:t xml:space="preserve">a 175 percent Multiplier is justified </w:t>
      </w:r>
      <w:r w:rsidRPr="00EE701D" w:rsidR="005B34C9">
        <w:rPr>
          <w:rFonts w:ascii="Palatino Linotype" w:hAnsi="Palatino Linotype"/>
          <w:sz w:val="24"/>
          <w:szCs w:val="24"/>
        </w:rPr>
        <w:t xml:space="preserve">because </w:t>
      </w:r>
      <w:r w:rsidRPr="00EE701D" w:rsidR="004D3E0C">
        <w:rPr>
          <w:rFonts w:ascii="Palatino Linotype" w:hAnsi="Palatino Linotype"/>
          <w:sz w:val="24"/>
          <w:szCs w:val="24"/>
        </w:rPr>
        <w:t xml:space="preserve">1) </w:t>
      </w:r>
      <w:r w:rsidRPr="00EE701D" w:rsidR="005B34C9">
        <w:rPr>
          <w:rFonts w:ascii="Palatino Linotype" w:hAnsi="Palatino Linotype"/>
          <w:sz w:val="24"/>
          <w:szCs w:val="24"/>
        </w:rPr>
        <w:t xml:space="preserve">DAC-GT </w:t>
      </w:r>
      <w:r w:rsidRPr="00EE701D" w:rsidR="000A464B">
        <w:rPr>
          <w:rFonts w:ascii="Palatino Linotype" w:hAnsi="Palatino Linotype"/>
          <w:sz w:val="24"/>
          <w:szCs w:val="24"/>
        </w:rPr>
        <w:t xml:space="preserve">projects </w:t>
      </w:r>
      <w:r w:rsidRPr="00EE701D" w:rsidR="005B34C9">
        <w:rPr>
          <w:rFonts w:ascii="Palatino Linotype" w:hAnsi="Palatino Linotype"/>
          <w:sz w:val="24"/>
          <w:szCs w:val="24"/>
        </w:rPr>
        <w:t>are small and subject to siting restrictions in DACs</w:t>
      </w:r>
      <w:r w:rsidRPr="00EE701D" w:rsidR="004D3E0C">
        <w:rPr>
          <w:rFonts w:ascii="Palatino Linotype" w:hAnsi="Palatino Linotype"/>
          <w:sz w:val="24"/>
          <w:szCs w:val="24"/>
        </w:rPr>
        <w:t xml:space="preserve"> and 2)</w:t>
      </w:r>
      <w:r w:rsidRPr="00EE701D" w:rsidR="00584491">
        <w:rPr>
          <w:rFonts w:ascii="Palatino Linotype" w:hAnsi="Palatino Linotype"/>
          <w:sz w:val="24"/>
          <w:szCs w:val="24"/>
        </w:rPr>
        <w:t xml:space="preserve"> </w:t>
      </w:r>
      <w:r w:rsidRPr="00EE701D" w:rsidR="00210983">
        <w:rPr>
          <w:rFonts w:ascii="Palatino Linotype" w:hAnsi="Palatino Linotype"/>
          <w:sz w:val="24"/>
          <w:szCs w:val="24"/>
        </w:rPr>
        <w:t xml:space="preserve">there is limited experience with procuring small scale </w:t>
      </w:r>
      <w:r w:rsidRPr="00EE701D" w:rsidR="005C3143">
        <w:rPr>
          <w:rFonts w:ascii="Palatino Linotype" w:hAnsi="Palatino Linotype"/>
          <w:sz w:val="24"/>
          <w:szCs w:val="24"/>
        </w:rPr>
        <w:t>solar and</w:t>
      </w:r>
      <w:r w:rsidRPr="00EE701D" w:rsidR="00210983">
        <w:rPr>
          <w:rFonts w:ascii="Palatino Linotype" w:hAnsi="Palatino Linotype"/>
          <w:sz w:val="24"/>
          <w:szCs w:val="24"/>
        </w:rPr>
        <w:t xml:space="preserve"> storage resources and a higher </w:t>
      </w:r>
      <w:r w:rsidRPr="00EE701D" w:rsidR="006D4A31">
        <w:rPr>
          <w:rFonts w:ascii="Palatino Linotype" w:hAnsi="Palatino Linotype"/>
          <w:sz w:val="24"/>
          <w:szCs w:val="24"/>
        </w:rPr>
        <w:t>Multiplier provides necessary flexibility to account for the</w:t>
      </w:r>
      <w:r w:rsidRPr="00EE701D" w:rsidR="00054CDD">
        <w:rPr>
          <w:rFonts w:ascii="Palatino Linotype" w:hAnsi="Palatino Linotype"/>
          <w:sz w:val="24"/>
          <w:szCs w:val="24"/>
        </w:rPr>
        <w:t xml:space="preserve"> </w:t>
      </w:r>
      <w:r w:rsidRPr="00EE701D" w:rsidR="007C7E34">
        <w:rPr>
          <w:rFonts w:ascii="Palatino Linotype" w:hAnsi="Palatino Linotype"/>
          <w:sz w:val="24"/>
          <w:szCs w:val="24"/>
        </w:rPr>
        <w:t xml:space="preserve">associated </w:t>
      </w:r>
      <w:r w:rsidRPr="00EE701D" w:rsidR="006D4A31">
        <w:rPr>
          <w:rFonts w:ascii="Palatino Linotype" w:hAnsi="Palatino Linotype"/>
          <w:sz w:val="24"/>
          <w:szCs w:val="24"/>
        </w:rPr>
        <w:t>price differences</w:t>
      </w:r>
      <w:r w:rsidRPr="00EE701D" w:rsidR="007C7E34">
        <w:rPr>
          <w:rFonts w:ascii="Palatino Linotype" w:hAnsi="Palatino Linotype"/>
          <w:sz w:val="24"/>
          <w:szCs w:val="24"/>
        </w:rPr>
        <w:t>. The Joint IOUs</w:t>
      </w:r>
      <w:r w:rsidRPr="00EE701D" w:rsidR="00EE7524">
        <w:rPr>
          <w:rFonts w:ascii="Palatino Linotype" w:hAnsi="Palatino Linotype"/>
          <w:sz w:val="24"/>
          <w:szCs w:val="24"/>
        </w:rPr>
        <w:t>’ proposal</w:t>
      </w:r>
      <w:r w:rsidRPr="00EE701D" w:rsidDel="00EE7524" w:rsidR="00025ED5">
        <w:rPr>
          <w:rFonts w:ascii="Palatino Linotype" w:hAnsi="Palatino Linotype"/>
          <w:sz w:val="24"/>
          <w:szCs w:val="24"/>
        </w:rPr>
        <w:t xml:space="preserve"> </w:t>
      </w:r>
      <w:r w:rsidRPr="00EE701D" w:rsidR="00EE7524">
        <w:rPr>
          <w:rFonts w:ascii="Palatino Linotype" w:hAnsi="Palatino Linotype"/>
          <w:sz w:val="24"/>
          <w:szCs w:val="24"/>
        </w:rPr>
        <w:t xml:space="preserve">differs from </w:t>
      </w:r>
      <w:r w:rsidRPr="00EE701D" w:rsidR="00025ED5">
        <w:rPr>
          <w:rFonts w:ascii="Palatino Linotype" w:hAnsi="Palatino Linotype"/>
          <w:sz w:val="24"/>
          <w:szCs w:val="24"/>
        </w:rPr>
        <w:t>the Joint CCA</w:t>
      </w:r>
      <w:r w:rsidRPr="00EE701D" w:rsidR="00EE7524">
        <w:rPr>
          <w:rFonts w:ascii="Palatino Linotype" w:hAnsi="Palatino Linotype"/>
          <w:sz w:val="24"/>
          <w:szCs w:val="24"/>
        </w:rPr>
        <w:t xml:space="preserve"> proposal as it suggests </w:t>
      </w:r>
      <w:r w:rsidRPr="00EE701D" w:rsidR="00025ED5">
        <w:rPr>
          <w:rFonts w:ascii="Palatino Linotype" w:hAnsi="Palatino Linotype"/>
          <w:sz w:val="24"/>
          <w:szCs w:val="24"/>
        </w:rPr>
        <w:t xml:space="preserve">that a </w:t>
      </w:r>
      <w:r w:rsidRPr="00EE701D" w:rsidR="000B2C96">
        <w:rPr>
          <w:rFonts w:ascii="Palatino Linotype" w:hAnsi="Palatino Linotype"/>
          <w:sz w:val="24"/>
          <w:szCs w:val="24"/>
        </w:rPr>
        <w:t xml:space="preserve">higher Multiplier is no longer appropriate or reasonable given that </w:t>
      </w:r>
      <w:r w:rsidRPr="00EE701D" w:rsidR="00242868">
        <w:rPr>
          <w:rFonts w:ascii="Palatino Linotype" w:hAnsi="Palatino Linotype"/>
          <w:sz w:val="24"/>
          <w:szCs w:val="24"/>
        </w:rPr>
        <w:t xml:space="preserve">1) </w:t>
      </w:r>
      <w:r w:rsidRPr="00EE701D" w:rsidR="000B2C96">
        <w:rPr>
          <w:rFonts w:ascii="Palatino Linotype" w:hAnsi="Palatino Linotype"/>
          <w:sz w:val="24"/>
          <w:szCs w:val="24"/>
        </w:rPr>
        <w:t xml:space="preserve">the Commission </w:t>
      </w:r>
      <w:r w:rsidRPr="00EE701D" w:rsidR="00C54D0D">
        <w:rPr>
          <w:rFonts w:ascii="Palatino Linotype" w:hAnsi="Palatino Linotype"/>
          <w:sz w:val="24"/>
          <w:szCs w:val="24"/>
        </w:rPr>
        <w:t>has greatly expanded the</w:t>
      </w:r>
      <w:r w:rsidRPr="00EE701D" w:rsidR="00A23195">
        <w:rPr>
          <w:rFonts w:ascii="Palatino Linotype" w:hAnsi="Palatino Linotype"/>
          <w:sz w:val="24"/>
          <w:szCs w:val="24"/>
        </w:rPr>
        <w:t xml:space="preserve"> area available for </w:t>
      </w:r>
      <w:r w:rsidRPr="00EE701D" w:rsidR="00242868">
        <w:rPr>
          <w:rFonts w:ascii="Palatino Linotype" w:hAnsi="Palatino Linotype"/>
          <w:sz w:val="24"/>
          <w:szCs w:val="24"/>
        </w:rPr>
        <w:t xml:space="preserve">DAC-GT </w:t>
      </w:r>
      <w:r w:rsidRPr="00EE701D" w:rsidR="00A23195">
        <w:rPr>
          <w:rFonts w:ascii="Palatino Linotype" w:hAnsi="Palatino Linotype"/>
          <w:sz w:val="24"/>
          <w:szCs w:val="24"/>
        </w:rPr>
        <w:t xml:space="preserve">projects, which should reduce </w:t>
      </w:r>
      <w:r w:rsidRPr="00EE701D" w:rsidR="00242868">
        <w:rPr>
          <w:rFonts w:ascii="Palatino Linotype" w:hAnsi="Palatino Linotype"/>
          <w:sz w:val="24"/>
          <w:szCs w:val="24"/>
        </w:rPr>
        <w:t>developers’</w:t>
      </w:r>
      <w:r w:rsidRPr="00EE701D" w:rsidR="00A23195">
        <w:rPr>
          <w:rFonts w:ascii="Palatino Linotype" w:hAnsi="Palatino Linotype"/>
          <w:sz w:val="24"/>
          <w:szCs w:val="24"/>
        </w:rPr>
        <w:t xml:space="preserve"> costs</w:t>
      </w:r>
      <w:r w:rsidRPr="00EE701D" w:rsidR="00242868">
        <w:rPr>
          <w:rFonts w:ascii="Palatino Linotype" w:hAnsi="Palatino Linotype"/>
          <w:sz w:val="24"/>
          <w:szCs w:val="24"/>
        </w:rPr>
        <w:t xml:space="preserve"> and 2) </w:t>
      </w:r>
      <w:r w:rsidRPr="00EE701D" w:rsidR="0094752C">
        <w:rPr>
          <w:rFonts w:ascii="Palatino Linotype" w:hAnsi="Palatino Linotype"/>
          <w:sz w:val="24"/>
          <w:szCs w:val="24"/>
        </w:rPr>
        <w:t>another</w:t>
      </w:r>
      <w:r w:rsidRPr="00EE701D" w:rsidR="00275FD7">
        <w:rPr>
          <w:rFonts w:ascii="Palatino Linotype" w:hAnsi="Palatino Linotype"/>
          <w:sz w:val="24"/>
          <w:szCs w:val="24"/>
        </w:rPr>
        <w:t xml:space="preserve"> </w:t>
      </w:r>
      <w:r w:rsidRPr="00EE701D" w:rsidR="00E67946">
        <w:rPr>
          <w:rFonts w:ascii="Palatino Linotype" w:hAnsi="Palatino Linotype"/>
          <w:sz w:val="24"/>
          <w:szCs w:val="24"/>
        </w:rPr>
        <w:t xml:space="preserve">community solar </w:t>
      </w:r>
      <w:r w:rsidRPr="00EE701D" w:rsidR="00275FD7">
        <w:rPr>
          <w:rFonts w:ascii="Palatino Linotype" w:hAnsi="Palatino Linotype"/>
          <w:sz w:val="24"/>
          <w:szCs w:val="24"/>
        </w:rPr>
        <w:t>program</w:t>
      </w:r>
      <w:r w:rsidRPr="00EE701D" w:rsidR="0094752C">
        <w:rPr>
          <w:rFonts w:ascii="Palatino Linotype" w:hAnsi="Palatino Linotype"/>
          <w:sz w:val="24"/>
          <w:szCs w:val="24"/>
        </w:rPr>
        <w:t xml:space="preserve">, </w:t>
      </w:r>
      <w:r w:rsidRPr="00EE701D" w:rsidR="00275FD7">
        <w:rPr>
          <w:rFonts w:ascii="Palatino Linotype" w:hAnsi="Palatino Linotype"/>
          <w:sz w:val="24"/>
          <w:szCs w:val="24"/>
        </w:rPr>
        <w:t xml:space="preserve">the Enhanced Community </w:t>
      </w:r>
      <w:r w:rsidRPr="00EE701D" w:rsidR="00E67946">
        <w:rPr>
          <w:rFonts w:ascii="Palatino Linotype" w:hAnsi="Palatino Linotype"/>
          <w:sz w:val="24"/>
          <w:szCs w:val="24"/>
        </w:rPr>
        <w:t>Renewables</w:t>
      </w:r>
      <w:r w:rsidRPr="00EE701D" w:rsidR="00275FD7">
        <w:rPr>
          <w:rFonts w:ascii="Palatino Linotype" w:hAnsi="Palatino Linotype"/>
          <w:sz w:val="24"/>
          <w:szCs w:val="24"/>
        </w:rPr>
        <w:t xml:space="preserve"> Program</w:t>
      </w:r>
      <w:r w:rsidRPr="00EE701D" w:rsidR="0094752C">
        <w:rPr>
          <w:rFonts w:ascii="Palatino Linotype" w:hAnsi="Palatino Linotype"/>
          <w:sz w:val="24"/>
          <w:szCs w:val="24"/>
        </w:rPr>
        <w:t>,</w:t>
      </w:r>
      <w:r w:rsidRPr="00EE701D" w:rsidR="00275FD7">
        <w:rPr>
          <w:rFonts w:ascii="Palatino Linotype" w:hAnsi="Palatino Linotype"/>
          <w:sz w:val="24"/>
          <w:szCs w:val="24"/>
        </w:rPr>
        <w:t xml:space="preserve"> </w:t>
      </w:r>
      <w:r w:rsidRPr="00EE701D" w:rsidR="00EE46F7">
        <w:rPr>
          <w:rFonts w:ascii="Palatino Linotype" w:hAnsi="Palatino Linotype"/>
          <w:sz w:val="24"/>
          <w:szCs w:val="24"/>
        </w:rPr>
        <w:t>ha</w:t>
      </w:r>
      <w:r w:rsidRPr="00EE701D" w:rsidR="0094752C">
        <w:rPr>
          <w:rFonts w:ascii="Palatino Linotype" w:hAnsi="Palatino Linotype"/>
          <w:sz w:val="24"/>
          <w:szCs w:val="24"/>
        </w:rPr>
        <w:t>s</w:t>
      </w:r>
      <w:r w:rsidRPr="00EE701D" w:rsidR="00EE46F7">
        <w:rPr>
          <w:rFonts w:ascii="Palatino Linotype" w:hAnsi="Palatino Linotype"/>
          <w:sz w:val="24"/>
          <w:szCs w:val="24"/>
        </w:rPr>
        <w:t xml:space="preserve"> </w:t>
      </w:r>
      <w:r w:rsidRPr="00EE701D" w:rsidR="00E67946">
        <w:rPr>
          <w:rFonts w:ascii="Palatino Linotype" w:hAnsi="Palatino Linotype"/>
          <w:sz w:val="24"/>
          <w:szCs w:val="24"/>
        </w:rPr>
        <w:t xml:space="preserve">already adopted </w:t>
      </w:r>
      <w:r w:rsidRPr="00EE701D" w:rsidR="0094752C">
        <w:rPr>
          <w:rFonts w:ascii="Palatino Linotype" w:hAnsi="Palatino Linotype"/>
          <w:sz w:val="24"/>
          <w:szCs w:val="24"/>
        </w:rPr>
        <w:t xml:space="preserve">a </w:t>
      </w:r>
      <w:r w:rsidRPr="00EE701D" w:rsidR="00E67946">
        <w:rPr>
          <w:rFonts w:ascii="Palatino Linotype" w:hAnsi="Palatino Linotype"/>
          <w:sz w:val="24"/>
          <w:szCs w:val="24"/>
        </w:rPr>
        <w:t>much lower Multiplier</w:t>
      </w:r>
      <w:r w:rsidRPr="00EE701D" w:rsidR="0094752C">
        <w:rPr>
          <w:rFonts w:ascii="Palatino Linotype" w:hAnsi="Palatino Linotype"/>
          <w:sz w:val="24"/>
          <w:szCs w:val="24"/>
        </w:rPr>
        <w:t xml:space="preserve"> of 120 percent in order to</w:t>
      </w:r>
      <w:r w:rsidRPr="00EE701D" w:rsidR="00E67946">
        <w:rPr>
          <w:rFonts w:ascii="Palatino Linotype" w:hAnsi="Palatino Linotype"/>
          <w:sz w:val="24"/>
          <w:szCs w:val="24"/>
        </w:rPr>
        <w:t xml:space="preserve"> </w:t>
      </w:r>
      <w:r w:rsidRPr="00EE701D" w:rsidR="00275FD7">
        <w:rPr>
          <w:rFonts w:ascii="Palatino Linotype" w:hAnsi="Palatino Linotype"/>
          <w:sz w:val="24"/>
          <w:szCs w:val="24"/>
        </w:rPr>
        <w:t xml:space="preserve">limit non-participating </w:t>
      </w:r>
      <w:r w:rsidRPr="00EE701D" w:rsidR="00EE46F7">
        <w:rPr>
          <w:rFonts w:ascii="Palatino Linotype" w:hAnsi="Palatino Linotype"/>
          <w:sz w:val="24"/>
          <w:szCs w:val="24"/>
        </w:rPr>
        <w:t>ratepayer exposure</w:t>
      </w:r>
      <w:r w:rsidRPr="00EE701D" w:rsidR="0094752C">
        <w:rPr>
          <w:rFonts w:ascii="Palatino Linotype" w:hAnsi="Palatino Linotype"/>
          <w:sz w:val="24"/>
          <w:szCs w:val="24"/>
        </w:rPr>
        <w:t>.</w:t>
      </w:r>
      <w:r w:rsidRPr="00EE701D" w:rsidR="00281801">
        <w:rPr>
          <w:rFonts w:ascii="Palatino Linotype" w:hAnsi="Palatino Linotype"/>
          <w:sz w:val="24"/>
          <w:szCs w:val="24"/>
        </w:rPr>
        <w:t xml:space="preserve"> </w:t>
      </w:r>
      <w:r w:rsidRPr="00EE701D" w:rsidR="00EE7524">
        <w:rPr>
          <w:rFonts w:ascii="Palatino Linotype" w:hAnsi="Palatino Linotype"/>
          <w:sz w:val="24"/>
          <w:szCs w:val="24"/>
        </w:rPr>
        <w:t xml:space="preserve">After presenting summaries of both proposals, </w:t>
      </w:r>
      <w:r w:rsidRPr="00EE701D" w:rsidR="00F35A87">
        <w:rPr>
          <w:rFonts w:ascii="Palatino Linotype" w:hAnsi="Palatino Linotype"/>
          <w:sz w:val="24"/>
          <w:szCs w:val="24"/>
        </w:rPr>
        <w:t>t</w:t>
      </w:r>
      <w:r w:rsidRPr="00EE701D" w:rsidR="00281801">
        <w:rPr>
          <w:rFonts w:ascii="Palatino Linotype" w:hAnsi="Palatino Linotype"/>
          <w:sz w:val="24"/>
          <w:szCs w:val="24"/>
        </w:rPr>
        <w:t xml:space="preserve">he Joint IOUs request that the Commission should continue to limit customers’ </w:t>
      </w:r>
      <w:r w:rsidRPr="00EE701D" w:rsidR="00F35A87">
        <w:rPr>
          <w:rFonts w:ascii="Palatino Linotype" w:hAnsi="Palatino Linotype"/>
          <w:sz w:val="24"/>
          <w:szCs w:val="24"/>
        </w:rPr>
        <w:t>exposure</w:t>
      </w:r>
      <w:r w:rsidRPr="00EE701D" w:rsidR="00281801">
        <w:rPr>
          <w:rFonts w:ascii="Palatino Linotype" w:hAnsi="Palatino Linotype"/>
          <w:sz w:val="24"/>
          <w:szCs w:val="24"/>
        </w:rPr>
        <w:t xml:space="preserve"> by adopting a 120 percent multiplier because the </w:t>
      </w:r>
      <w:r w:rsidRPr="00EE701D" w:rsidR="00281801">
        <w:rPr>
          <w:rFonts w:ascii="Palatino Linotype" w:hAnsi="Palatino Linotype" w:cs="p ¸."/>
          <w:sz w:val="24"/>
          <w:szCs w:val="24"/>
        </w:rPr>
        <w:t>DAC-GT program is partially funded by Public Purpose</w:t>
      </w:r>
      <w:r w:rsidRPr="00EE701D" w:rsidR="00281801">
        <w:rPr>
          <w:rFonts w:ascii="Palatino Linotype" w:hAnsi="Palatino Linotype"/>
          <w:sz w:val="24"/>
          <w:szCs w:val="24"/>
        </w:rPr>
        <w:t xml:space="preserve"> Program (PPP) charges, which are paid </w:t>
      </w:r>
      <w:r w:rsidRPr="00EE701D" w:rsidR="00D90C1A">
        <w:rPr>
          <w:rFonts w:ascii="Palatino Linotype" w:hAnsi="Palatino Linotype"/>
          <w:sz w:val="24"/>
          <w:szCs w:val="24"/>
        </w:rPr>
        <w:t xml:space="preserve">for </w:t>
      </w:r>
      <w:r w:rsidRPr="00EE701D" w:rsidR="00281801">
        <w:rPr>
          <w:rFonts w:ascii="Palatino Linotype" w:hAnsi="Palatino Linotype"/>
          <w:sz w:val="24"/>
          <w:szCs w:val="24"/>
        </w:rPr>
        <w:t>by all customers.</w:t>
      </w:r>
    </w:p>
    <w:p w:rsidRPr="00EE701D" w:rsidR="00A46FDD" w:rsidP="00283899" w:rsidRDefault="00A46FDD" w14:paraId="1A23F6A7" w14:textId="77777777">
      <w:pPr>
        <w:autoSpaceDE w:val="0"/>
        <w:autoSpaceDN w:val="0"/>
        <w:adjustRightInd w:val="0"/>
        <w:rPr>
          <w:rFonts w:ascii="Palatino Linotype" w:hAnsi="Palatino Linotype"/>
          <w:sz w:val="24"/>
          <w:szCs w:val="24"/>
        </w:rPr>
      </w:pPr>
    </w:p>
    <w:p w:rsidRPr="00EE701D" w:rsidR="00A46FDD" w:rsidP="008A7E70" w:rsidRDefault="00A46FDD" w14:paraId="72ED3CE3" w14:textId="352CE489">
      <w:pPr>
        <w:autoSpaceDE w:val="0"/>
        <w:autoSpaceDN w:val="0"/>
        <w:adjustRightInd w:val="0"/>
        <w:rPr>
          <w:rFonts w:ascii="Palatino Linotype" w:hAnsi="Palatino Linotype" w:cs="p ¸."/>
          <w:sz w:val="24"/>
          <w:szCs w:val="24"/>
        </w:rPr>
      </w:pPr>
      <w:r w:rsidRPr="00EE701D">
        <w:rPr>
          <w:rFonts w:ascii="Palatino Linotype" w:hAnsi="Palatino Linotype" w:cs="p ¸."/>
          <w:sz w:val="24"/>
          <w:szCs w:val="24"/>
        </w:rPr>
        <w:t>The Joint IOUs</w:t>
      </w:r>
      <w:r w:rsidRPr="00EE701D" w:rsidR="00B73455">
        <w:rPr>
          <w:rFonts w:ascii="Palatino Linotype" w:hAnsi="Palatino Linotype" w:cs="p ¸."/>
          <w:sz w:val="24"/>
          <w:szCs w:val="24"/>
        </w:rPr>
        <w:t>’</w:t>
      </w:r>
      <w:r w:rsidRPr="00EE701D">
        <w:rPr>
          <w:rFonts w:ascii="Palatino Linotype" w:hAnsi="Palatino Linotype" w:cs="p ¸."/>
          <w:sz w:val="24"/>
          <w:szCs w:val="24"/>
        </w:rPr>
        <w:t xml:space="preserve"> </w:t>
      </w:r>
      <w:r w:rsidRPr="00EE701D" w:rsidR="00B73455">
        <w:rPr>
          <w:rFonts w:ascii="Palatino Linotype" w:hAnsi="Palatino Linotype" w:cs="p ¸."/>
          <w:sz w:val="24"/>
          <w:szCs w:val="24"/>
        </w:rPr>
        <w:t xml:space="preserve">proposal would </w:t>
      </w:r>
      <w:r w:rsidRPr="00EE701D">
        <w:rPr>
          <w:rFonts w:ascii="Palatino Linotype" w:hAnsi="Palatino Linotype" w:cs="p ¸."/>
          <w:sz w:val="24"/>
          <w:szCs w:val="24"/>
        </w:rPr>
        <w:t xml:space="preserve">allow each IOU and CCA to calculate its own CBVRP to capture contractual differences, locational pricing differences, and other </w:t>
      </w:r>
      <w:r w:rsidRPr="00EE701D" w:rsidR="001D0C3A">
        <w:rPr>
          <w:rFonts w:ascii="Palatino Linotype" w:hAnsi="Palatino Linotype" w:cs="p ¸."/>
          <w:sz w:val="24"/>
          <w:szCs w:val="24"/>
        </w:rPr>
        <w:t>Load Serving Entity (</w:t>
      </w:r>
      <w:r w:rsidRPr="00EE701D">
        <w:rPr>
          <w:rFonts w:ascii="Palatino Linotype" w:hAnsi="Palatino Linotype" w:cs="p ¸."/>
          <w:sz w:val="24"/>
          <w:szCs w:val="24"/>
        </w:rPr>
        <w:t>LSE</w:t>
      </w:r>
      <w:r w:rsidRPr="00EE701D" w:rsidR="001D0C3A">
        <w:rPr>
          <w:rFonts w:ascii="Palatino Linotype" w:hAnsi="Palatino Linotype" w:cs="p ¸."/>
          <w:sz w:val="24"/>
          <w:szCs w:val="24"/>
        </w:rPr>
        <w:t>)</w:t>
      </w:r>
      <w:r w:rsidRPr="00EE701D">
        <w:rPr>
          <w:rFonts w:ascii="Palatino Linotype" w:hAnsi="Palatino Linotype" w:cs="p ¸."/>
          <w:sz w:val="24"/>
          <w:szCs w:val="24"/>
        </w:rPr>
        <w:t xml:space="preserve"> specific attributes that developers consider when developing a bid price. </w:t>
      </w:r>
      <w:r w:rsidRPr="00EE701D" w:rsidR="008A7E70">
        <w:rPr>
          <w:rFonts w:ascii="Palatino Linotype" w:hAnsi="Palatino Linotype" w:cs="p ¸."/>
          <w:sz w:val="24"/>
          <w:szCs w:val="24"/>
        </w:rPr>
        <w:t xml:space="preserve">The CBVRP would be set by pooling prices from a comparable set of competitively solicited power purchase agreements (PPAs) the entity executed for </w:t>
      </w:r>
      <w:r w:rsidR="001E7BC3">
        <w:rPr>
          <w:rFonts w:ascii="Palatino Linotype" w:hAnsi="Palatino Linotype" w:cs="p ¸."/>
          <w:sz w:val="24"/>
          <w:szCs w:val="24"/>
        </w:rPr>
        <w:br/>
      </w:r>
      <w:r w:rsidRPr="00EE701D" w:rsidR="008A7E70">
        <w:rPr>
          <w:rFonts w:ascii="Palatino Linotype" w:hAnsi="Palatino Linotype" w:cs="p ¸."/>
          <w:sz w:val="24"/>
          <w:szCs w:val="24"/>
        </w:rPr>
        <w:lastRenderedPageBreak/>
        <w:t xml:space="preserve">(1) similar resources, e.g., solar, solar with paired energy storage (hybrid or co-located), wind, and (2) similar contract types, e.g., resource adequacy capacity contract, RPS contracts for fully deliverable capacity, or RPS contracts with energy-only capacity, (3) in the last five years. </w:t>
      </w:r>
      <w:r w:rsidRPr="00EE701D" w:rsidR="00EE7524">
        <w:rPr>
          <w:rFonts w:ascii="Palatino Linotype" w:hAnsi="Palatino Linotype" w:cs="p ¸."/>
          <w:sz w:val="24"/>
          <w:szCs w:val="24"/>
        </w:rPr>
        <w:t xml:space="preserve">Under this design, each </w:t>
      </w:r>
      <w:r w:rsidRPr="00EE701D" w:rsidR="008A7E70">
        <w:rPr>
          <w:rFonts w:ascii="Palatino Linotype" w:hAnsi="Palatino Linotype" w:cs="p ¸."/>
          <w:sz w:val="24"/>
          <w:szCs w:val="24"/>
        </w:rPr>
        <w:t>IOU and CCA will perform this survey of its executed contracts, as opposed to the Commission’s Energy Division</w:t>
      </w:r>
      <w:r w:rsidRPr="00EE701D" w:rsidR="00EE686C">
        <w:rPr>
          <w:rFonts w:ascii="Palatino Linotype" w:hAnsi="Palatino Linotype" w:cs="p ¸."/>
          <w:sz w:val="24"/>
          <w:szCs w:val="24"/>
        </w:rPr>
        <w:t xml:space="preserve"> </w:t>
      </w:r>
      <w:r w:rsidRPr="00EE701D" w:rsidR="008A7E70">
        <w:rPr>
          <w:rFonts w:ascii="Palatino Linotype" w:hAnsi="Palatino Linotype" w:cs="p ¸."/>
          <w:sz w:val="24"/>
          <w:szCs w:val="24"/>
        </w:rPr>
        <w:t>conducting a statewide survey of all pricing for all resources and types of</w:t>
      </w:r>
      <w:r w:rsidRPr="00EE701D" w:rsidR="00EE686C">
        <w:rPr>
          <w:rFonts w:ascii="Palatino Linotype" w:hAnsi="Palatino Linotype" w:cs="p ¸."/>
          <w:sz w:val="24"/>
          <w:szCs w:val="24"/>
        </w:rPr>
        <w:t xml:space="preserve"> </w:t>
      </w:r>
      <w:r w:rsidRPr="00EE701D" w:rsidR="008A7E70">
        <w:rPr>
          <w:rFonts w:ascii="Palatino Linotype" w:hAnsi="Palatino Linotype" w:cs="p ¸."/>
          <w:sz w:val="24"/>
          <w:szCs w:val="24"/>
        </w:rPr>
        <w:t xml:space="preserve">contracts. </w:t>
      </w:r>
      <w:r w:rsidRPr="00EE701D">
        <w:rPr>
          <w:rFonts w:ascii="Palatino Linotype" w:hAnsi="Palatino Linotype" w:cs="p ¸."/>
          <w:sz w:val="24"/>
          <w:szCs w:val="24"/>
        </w:rPr>
        <w:t>The Joint IOUs</w:t>
      </w:r>
      <w:r w:rsidRPr="00EE701D" w:rsidR="00EE7524">
        <w:rPr>
          <w:rFonts w:ascii="Palatino Linotype" w:hAnsi="Palatino Linotype" w:cs="p ¸."/>
          <w:sz w:val="24"/>
          <w:szCs w:val="24"/>
        </w:rPr>
        <w:t>’ proposal suggests</w:t>
      </w:r>
      <w:r w:rsidRPr="00EE701D">
        <w:rPr>
          <w:rFonts w:ascii="Palatino Linotype" w:hAnsi="Palatino Linotype" w:cs="p ¸."/>
          <w:sz w:val="24"/>
          <w:szCs w:val="24"/>
        </w:rPr>
        <w:t xml:space="preserve"> that this will allow the IOUs and CCAs the flexibility to </w:t>
      </w:r>
      <w:r w:rsidRPr="00EE701D" w:rsidR="00D13A9C">
        <w:rPr>
          <w:rFonts w:ascii="Palatino Linotype" w:hAnsi="Palatino Linotype" w:cs="p ¸."/>
          <w:sz w:val="24"/>
          <w:szCs w:val="24"/>
        </w:rPr>
        <w:t xml:space="preserve">set the cap for both solar-only and </w:t>
      </w:r>
      <w:r w:rsidRPr="00EE701D" w:rsidR="005C3143">
        <w:rPr>
          <w:rFonts w:ascii="Palatino Linotype" w:hAnsi="Palatino Linotype" w:cs="p ¸."/>
          <w:sz w:val="24"/>
          <w:szCs w:val="24"/>
        </w:rPr>
        <w:t>solar and</w:t>
      </w:r>
      <w:r w:rsidRPr="00EE701D" w:rsidR="00D13A9C">
        <w:rPr>
          <w:rFonts w:ascii="Palatino Linotype" w:hAnsi="Palatino Linotype" w:cs="p ¸."/>
          <w:sz w:val="24"/>
          <w:szCs w:val="24"/>
        </w:rPr>
        <w:t xml:space="preserve"> storage resources </w:t>
      </w:r>
      <w:r w:rsidRPr="00EE701D">
        <w:rPr>
          <w:rFonts w:ascii="Palatino Linotype" w:hAnsi="Palatino Linotype" w:cs="p ¸."/>
          <w:sz w:val="24"/>
          <w:szCs w:val="24"/>
        </w:rPr>
        <w:t>without imposing an identical methodology on other entities.</w:t>
      </w:r>
    </w:p>
    <w:p w:rsidRPr="00EE701D" w:rsidR="00054CDD" w:rsidP="00283899" w:rsidRDefault="00054CDD" w14:paraId="19E703FA" w14:textId="77777777">
      <w:pPr>
        <w:autoSpaceDE w:val="0"/>
        <w:autoSpaceDN w:val="0"/>
        <w:adjustRightInd w:val="0"/>
        <w:rPr>
          <w:rFonts w:ascii="Palatino Linotype" w:hAnsi="Palatino Linotype"/>
          <w:sz w:val="24"/>
          <w:szCs w:val="24"/>
        </w:rPr>
      </w:pPr>
    </w:p>
    <w:p w:rsidRPr="00EE701D" w:rsidR="00A46FDD" w:rsidP="00AB5EBE" w:rsidRDefault="00002A2F" w14:paraId="5A0559AA" w14:textId="22BAEE5F">
      <w:pPr>
        <w:rPr>
          <w:rFonts w:ascii="Palatino Linotype" w:hAnsi="Palatino Linotype"/>
          <w:color w:val="000000" w:themeColor="text1"/>
          <w:sz w:val="24"/>
          <w:szCs w:val="24"/>
          <w:highlight w:val="darkGray"/>
        </w:rPr>
      </w:pPr>
      <w:r w:rsidRPr="00EE701D">
        <w:rPr>
          <w:rFonts w:ascii="Palatino Linotype" w:hAnsi="Palatino Linotype"/>
          <w:color w:val="212121"/>
          <w:sz w:val="24"/>
          <w:szCs w:val="24"/>
        </w:rPr>
        <w:t xml:space="preserve">Confidential </w:t>
      </w:r>
      <w:r w:rsidRPr="00EE701D" w:rsidR="00E90CC5">
        <w:rPr>
          <w:rFonts w:ascii="Palatino Linotype" w:hAnsi="Palatino Linotype"/>
          <w:color w:val="212121"/>
          <w:sz w:val="24"/>
          <w:szCs w:val="24"/>
        </w:rPr>
        <w:t>Attachment A</w:t>
      </w:r>
      <w:r w:rsidRPr="00EE701D" w:rsidR="003D4FF1">
        <w:rPr>
          <w:rFonts w:ascii="Palatino Linotype" w:hAnsi="Palatino Linotype"/>
          <w:color w:val="212121"/>
          <w:sz w:val="24"/>
          <w:szCs w:val="24"/>
        </w:rPr>
        <w:t xml:space="preserve"> </w:t>
      </w:r>
      <w:r w:rsidRPr="00EE701D" w:rsidR="00A04F0F">
        <w:rPr>
          <w:rFonts w:ascii="Palatino Linotype" w:hAnsi="Palatino Linotype"/>
          <w:color w:val="212121"/>
          <w:sz w:val="24"/>
          <w:szCs w:val="24"/>
        </w:rPr>
        <w:t>summarizes the</w:t>
      </w:r>
      <w:r w:rsidRPr="00EE701D" w:rsidR="00866644">
        <w:rPr>
          <w:rFonts w:ascii="Palatino Linotype" w:hAnsi="Palatino Linotype"/>
          <w:color w:val="212121"/>
          <w:sz w:val="24"/>
          <w:szCs w:val="24"/>
        </w:rPr>
        <w:t xml:space="preserve"> Joint IOUs’ characterization of</w:t>
      </w:r>
      <w:r w:rsidRPr="00EE701D" w:rsidR="00A04F0F">
        <w:rPr>
          <w:rFonts w:ascii="Palatino Linotype" w:hAnsi="Palatino Linotype"/>
          <w:color w:val="212121"/>
          <w:sz w:val="24"/>
          <w:szCs w:val="24"/>
        </w:rPr>
        <w:t xml:space="preserve"> the Joint CCAs’ </w:t>
      </w:r>
      <w:r w:rsidRPr="00EE701D" w:rsidR="002B3D61">
        <w:rPr>
          <w:rFonts w:ascii="Palatino Linotype" w:hAnsi="Palatino Linotype"/>
          <w:color w:val="212121"/>
          <w:sz w:val="24"/>
          <w:szCs w:val="24"/>
        </w:rPr>
        <w:t xml:space="preserve">CBVRP proposal for solar-only projects and </w:t>
      </w:r>
      <w:r w:rsidRPr="00EE701D" w:rsidR="005C3143">
        <w:rPr>
          <w:rFonts w:ascii="Palatino Linotype" w:hAnsi="Palatino Linotype"/>
          <w:color w:val="212121"/>
          <w:sz w:val="24"/>
          <w:szCs w:val="24"/>
        </w:rPr>
        <w:t>solar and</w:t>
      </w:r>
      <w:r w:rsidRPr="00EE701D" w:rsidR="002B3D61">
        <w:rPr>
          <w:rFonts w:ascii="Palatino Linotype" w:hAnsi="Palatino Linotype"/>
          <w:color w:val="212121"/>
          <w:sz w:val="24"/>
          <w:szCs w:val="24"/>
        </w:rPr>
        <w:t xml:space="preserve"> storage projects.</w:t>
      </w:r>
      <w:r w:rsidRPr="00EE701D" w:rsidR="00D619FB">
        <w:rPr>
          <w:rFonts w:ascii="Palatino Linotype" w:hAnsi="Palatino Linotype"/>
          <w:color w:val="212121"/>
          <w:sz w:val="24"/>
          <w:szCs w:val="24"/>
        </w:rPr>
        <w:t xml:space="preserve"> </w:t>
      </w:r>
      <w:r w:rsidRPr="00EE701D" w:rsidR="006830DC">
        <w:rPr>
          <w:rFonts w:ascii="Palatino Linotype" w:hAnsi="Palatino Linotype"/>
          <w:color w:val="000000" w:themeColor="text1"/>
          <w:sz w:val="24"/>
          <w:szCs w:val="24"/>
          <w:highlight w:val="black"/>
        </w:rPr>
        <w:t xml:space="preserve">Xxxxxxxxxxxxxxxxxxxxxxxxxxxxxxxxxxxxxxxxxxxxxxxxxxxxxxxxxxxxx </w:t>
      </w:r>
      <w:r w:rsidRPr="00EE701D" w:rsidR="00D619FB">
        <w:rPr>
          <w:rFonts w:ascii="Palatino Linotype" w:hAnsi="Palatino Linotype"/>
          <w:color w:val="000000" w:themeColor="text1"/>
          <w:sz w:val="24"/>
          <w:szCs w:val="24"/>
          <w:highlight w:val="black"/>
        </w:rPr>
        <w:t xml:space="preserve"> </w:t>
      </w:r>
      <w:r w:rsidRPr="00EE701D" w:rsidR="006830DC">
        <w:rPr>
          <w:rFonts w:ascii="Palatino Linotype" w:hAnsi="Palatino Linotype"/>
          <w:color w:val="000000" w:themeColor="text1"/>
          <w:sz w:val="24"/>
          <w:szCs w:val="24"/>
          <w:highlight w:val="black"/>
        </w:rPr>
        <w:t>xxxxxxxxxxxxxxxxxxxxxxxxxxxxxxxxxxxxxxxxxxxxxxxxxxxxxxxxxxxxxxxxxxxxxxxxxxxxxxxxxxxxxxxxxxxxxxxxxxxxxxxxxxxxxxxxxxxxxxxxxxxxxxxxxxxxxxxxxxxxxxxxxxxxxxxxxxxxxxxxxxxxxxxxxxxxxxxxxxxxxxxxxxxxxxxxxxxxxxxxxxxxxxxxxxxxxxxxxxxxxxxxx</w:t>
      </w:r>
      <w:r w:rsidRPr="00EE701D" w:rsidR="008303EB">
        <w:rPr>
          <w:rFonts w:ascii="Palatino Linotype" w:hAnsi="Palatino Linotype"/>
          <w:color w:val="000000" w:themeColor="text1"/>
          <w:sz w:val="24"/>
          <w:szCs w:val="24"/>
          <w:highlight w:val="black"/>
        </w:rPr>
        <w:t xml:space="preserve"> </w:t>
      </w:r>
      <w:r w:rsidRPr="00EE701D" w:rsidR="006830DC">
        <w:rPr>
          <w:rFonts w:ascii="Palatino Linotype" w:hAnsi="Palatino Linotype"/>
          <w:color w:val="000000" w:themeColor="text1"/>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w:t>
      </w:r>
    </w:p>
    <w:p w:rsidRPr="00EE701D" w:rsidR="0000149F" w:rsidP="00AB5EBE" w:rsidRDefault="0000149F" w14:paraId="31416552" w14:textId="77777777">
      <w:pPr>
        <w:rPr>
          <w:rFonts w:ascii="Palatino Linotype" w:hAnsi="Palatino Linotype"/>
          <w:color w:val="000000" w:themeColor="text1"/>
          <w:sz w:val="24"/>
          <w:szCs w:val="24"/>
          <w:highlight w:val="black"/>
        </w:rPr>
      </w:pPr>
    </w:p>
    <w:p w:rsidRPr="00EE701D" w:rsidR="00B73424" w:rsidP="001B1C05" w:rsidRDefault="00060646" w14:paraId="53E217F6" w14:textId="4E9A9CA8">
      <w:pPr>
        <w:jc w:val="center"/>
        <w:rPr>
          <w:rFonts w:ascii="Palatino Linotype" w:hAnsi="Palatino Linotype"/>
          <w:color w:val="000000" w:themeColor="text1"/>
          <w:sz w:val="24"/>
          <w:szCs w:val="24"/>
          <w:highlight w:val="black"/>
        </w:rPr>
      </w:pPr>
      <w:r w:rsidRPr="00EE701D">
        <w:rPr>
          <w:rFonts w:ascii="Palatino Linotype" w:hAnsi="Palatino Linotype"/>
          <w:b/>
          <w:bCs/>
          <w:color w:val="000000" w:themeColor="text1"/>
          <w:sz w:val="24"/>
          <w:szCs w:val="24"/>
          <w:highlight w:val="black"/>
        </w:rPr>
        <w:t>xxxxxxxxxxxxxxxxxxxxxxxxxxxxxxxxxxxxxxxxxxxxxxxxxxxxxxxxxxx</w:t>
      </w:r>
    </w:p>
    <w:tbl>
      <w:tblPr>
        <w:tblStyle w:val="TableGrid"/>
        <w:tblW w:w="0" w:type="auto"/>
        <w:tblLook w:val="04A0" w:firstRow="1" w:lastRow="0" w:firstColumn="1" w:lastColumn="0" w:noHBand="0" w:noVBand="1"/>
      </w:tblPr>
      <w:tblGrid>
        <w:gridCol w:w="3240"/>
        <w:gridCol w:w="2891"/>
        <w:gridCol w:w="3219"/>
      </w:tblGrid>
      <w:tr w:rsidRPr="00EE701D" w:rsidR="000B773B" w:rsidTr="001B1C05" w14:paraId="6562E89A" w14:textId="77777777">
        <w:tc>
          <w:tcPr>
            <w:tcW w:w="3240" w:type="dxa"/>
          </w:tcPr>
          <w:p w:rsidRPr="00EE701D" w:rsidR="008D71EA" w:rsidP="001B1C05" w:rsidRDefault="00060646" w14:paraId="62F45423" w14:textId="66A79C1B">
            <w:pPr>
              <w:jc w:val="center"/>
              <w:rPr>
                <w:rFonts w:ascii="Palatino Linotype" w:hAnsi="Palatino Linotype"/>
                <w:b/>
                <w:bCs/>
                <w:color w:val="000000" w:themeColor="text1"/>
                <w:sz w:val="24"/>
                <w:szCs w:val="24"/>
                <w:highlight w:val="darkGray"/>
              </w:rPr>
            </w:pPr>
            <w:r w:rsidRPr="00EE701D">
              <w:rPr>
                <w:rFonts w:ascii="Palatino Linotype" w:hAnsi="Palatino Linotype"/>
                <w:b/>
                <w:bCs/>
                <w:color w:val="000000" w:themeColor="text1"/>
                <w:sz w:val="24"/>
                <w:szCs w:val="24"/>
                <w:highlight w:val="black"/>
              </w:rPr>
              <w:t>xxxxxxxxxxxxxx</w:t>
            </w:r>
          </w:p>
        </w:tc>
        <w:tc>
          <w:tcPr>
            <w:tcW w:w="2891" w:type="dxa"/>
          </w:tcPr>
          <w:p w:rsidRPr="00EE701D" w:rsidR="008D71EA" w:rsidP="00044BD4" w:rsidRDefault="00060646" w14:paraId="5C30A820" w14:textId="5401E0D3">
            <w:pPr>
              <w:jc w:val="center"/>
              <w:rPr>
                <w:rFonts w:ascii="Palatino Linotype" w:hAnsi="Palatino Linotype"/>
                <w:b/>
                <w:bCs/>
                <w:color w:val="000000" w:themeColor="text1"/>
                <w:sz w:val="24"/>
                <w:szCs w:val="24"/>
                <w:highlight w:val="black"/>
              </w:rPr>
            </w:pPr>
            <w:r w:rsidRPr="00EE701D">
              <w:rPr>
                <w:rFonts w:ascii="Palatino Linotype" w:hAnsi="Palatino Linotype"/>
                <w:b/>
                <w:bCs/>
                <w:color w:val="000000" w:themeColor="text1"/>
                <w:sz w:val="24"/>
                <w:szCs w:val="24"/>
                <w:highlight w:val="black"/>
              </w:rPr>
              <w:t>xxxxxxxxxxxxx</w:t>
            </w:r>
          </w:p>
        </w:tc>
        <w:tc>
          <w:tcPr>
            <w:tcW w:w="3219" w:type="dxa"/>
          </w:tcPr>
          <w:p w:rsidRPr="00EE701D" w:rsidR="008D71EA" w:rsidP="001B1C05" w:rsidRDefault="00060646" w14:paraId="524CBFB2" w14:textId="7B5176AB">
            <w:pPr>
              <w:jc w:val="center"/>
              <w:rPr>
                <w:rFonts w:ascii="Palatino Linotype" w:hAnsi="Palatino Linotype"/>
                <w:b/>
                <w:bCs/>
                <w:color w:val="000000" w:themeColor="text1"/>
                <w:sz w:val="24"/>
                <w:szCs w:val="24"/>
                <w:highlight w:val="darkGray"/>
              </w:rPr>
            </w:pPr>
            <w:r w:rsidRPr="00EE701D">
              <w:rPr>
                <w:rFonts w:ascii="Palatino Linotype" w:hAnsi="Palatino Linotype"/>
                <w:b/>
                <w:bCs/>
                <w:color w:val="000000" w:themeColor="text1"/>
                <w:sz w:val="24"/>
                <w:szCs w:val="24"/>
                <w:highlight w:val="black"/>
              </w:rPr>
              <w:t>xxxxxxx</w:t>
            </w:r>
          </w:p>
        </w:tc>
      </w:tr>
      <w:tr w:rsidRPr="00EE701D" w:rsidR="000B773B" w:rsidTr="001B1C05" w14:paraId="7147D0AF" w14:textId="77777777">
        <w:tc>
          <w:tcPr>
            <w:tcW w:w="3240" w:type="dxa"/>
          </w:tcPr>
          <w:p w:rsidRPr="00EE701D" w:rsidR="008D71EA" w:rsidP="00AB5EBE" w:rsidRDefault="00060646" w14:paraId="1E824D17" w14:textId="013CC3B7">
            <w:pPr>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xxxxxxxxxx</w:t>
            </w:r>
          </w:p>
        </w:tc>
        <w:tc>
          <w:tcPr>
            <w:tcW w:w="2891" w:type="dxa"/>
          </w:tcPr>
          <w:p w:rsidRPr="00EE701D" w:rsidR="008D71EA" w:rsidP="00AB5EBE" w:rsidRDefault="00060646" w14:paraId="1B39589B" w14:textId="77DBC9C0">
            <w:pPr>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xxxxxxxxxxxxxxxxxx</w:t>
            </w:r>
            <w:r w:rsidRPr="00EE701D" w:rsidR="008270AA">
              <w:rPr>
                <w:rFonts w:ascii="Palatino Linotype" w:hAnsi="Palatino Linotype"/>
                <w:color w:val="000000" w:themeColor="text1"/>
                <w:sz w:val="24"/>
                <w:szCs w:val="24"/>
                <w:highlight w:val="black"/>
              </w:rPr>
              <w:t xml:space="preserve"> </w:t>
            </w:r>
            <w:r w:rsidRPr="00EE701D">
              <w:rPr>
                <w:rFonts w:ascii="Palatino Linotype" w:hAnsi="Palatino Linotype"/>
                <w:color w:val="000000" w:themeColor="text1"/>
                <w:sz w:val="24"/>
                <w:szCs w:val="24"/>
                <w:highlight w:val="black"/>
              </w:rPr>
              <w:t>xxxxxxxxxxxxxxxxxxxx xxxxxxxxxxxxxxxxxx xxxxxxxxxxxxxxxx</w:t>
            </w:r>
            <w:r w:rsidRPr="00EE701D" w:rsidR="008E4CBC">
              <w:rPr>
                <w:rFonts w:ascii="Palatino Linotype" w:hAnsi="Palatino Linotype"/>
                <w:color w:val="000000" w:themeColor="text1"/>
                <w:sz w:val="24"/>
                <w:szCs w:val="24"/>
                <w:highlight w:val="black"/>
              </w:rPr>
              <w:t>.</w:t>
            </w:r>
          </w:p>
        </w:tc>
        <w:tc>
          <w:tcPr>
            <w:tcW w:w="3219" w:type="dxa"/>
          </w:tcPr>
          <w:p w:rsidRPr="00EE701D" w:rsidR="008D71EA" w:rsidP="00AB5EBE" w:rsidRDefault="00060646" w14:paraId="07D4297A" w14:textId="59EF880F">
            <w:pPr>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xxxxxxxxxxx</w:t>
            </w:r>
          </w:p>
        </w:tc>
      </w:tr>
      <w:tr w:rsidRPr="00EE701D" w:rsidR="008D71EA" w:rsidTr="001B1C05" w14:paraId="474383EF" w14:textId="77777777">
        <w:tc>
          <w:tcPr>
            <w:tcW w:w="3240" w:type="dxa"/>
          </w:tcPr>
          <w:p w:rsidRPr="00EE701D" w:rsidR="008D71EA" w:rsidP="00AB5EBE" w:rsidRDefault="00060646" w14:paraId="6B1DBF95" w14:textId="0CAB56A2">
            <w:pPr>
              <w:rPr>
                <w:rFonts w:ascii="Palatino Linotype" w:hAnsi="Palatino Linotype"/>
                <w:color w:val="212121"/>
                <w:sz w:val="24"/>
                <w:szCs w:val="24"/>
              </w:rPr>
            </w:pPr>
            <w:r w:rsidRPr="00EE701D">
              <w:rPr>
                <w:rFonts w:ascii="Palatino Linotype" w:hAnsi="Palatino Linotype"/>
                <w:color w:val="000000" w:themeColor="text1"/>
                <w:sz w:val="24"/>
                <w:szCs w:val="24"/>
                <w:highlight w:val="black"/>
              </w:rPr>
              <w:t>xxxxxxxxxxxxxxxxxxxxxx</w:t>
            </w:r>
          </w:p>
        </w:tc>
        <w:tc>
          <w:tcPr>
            <w:tcW w:w="2891" w:type="dxa"/>
          </w:tcPr>
          <w:p w:rsidRPr="00EE701D" w:rsidR="008D71EA" w:rsidP="001B1C05" w:rsidRDefault="00060646" w14:paraId="154CB655" w14:textId="240F5F8E">
            <w:pPr>
              <w:autoSpaceDE w:val="0"/>
              <w:autoSpaceDN w:val="0"/>
              <w:adjustRightInd w:val="0"/>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xxxxxxxxxxxxxxxxxx xxxxxxxxxxxxxxxxxx xxxxxxxxxxxxxxxxxx xxxxxxxxxxxxxxxxxx xxxxxxxxxxxxxxxxxx xxxxxxxxxxxxxxxxxx xxxxxxxxxxxxxxxxxx xxxxxxxxxxxxxxxxxx</w:t>
            </w:r>
          </w:p>
        </w:tc>
        <w:tc>
          <w:tcPr>
            <w:tcW w:w="3219" w:type="dxa"/>
          </w:tcPr>
          <w:p w:rsidRPr="00EE701D" w:rsidR="008D71EA" w:rsidP="00AB5EBE" w:rsidRDefault="00060646" w14:paraId="6F4BBAA0" w14:textId="3551104B">
            <w:pPr>
              <w:rPr>
                <w:rFonts w:ascii="Palatino Linotype" w:hAnsi="Palatino Linotype"/>
                <w:color w:val="212121"/>
                <w:sz w:val="24"/>
                <w:szCs w:val="24"/>
                <w:highlight w:val="black"/>
              </w:rPr>
            </w:pPr>
            <w:r w:rsidRPr="00EE701D">
              <w:rPr>
                <w:rFonts w:ascii="Palatino Linotype" w:hAnsi="Palatino Linotype"/>
                <w:color w:val="000000" w:themeColor="text1"/>
                <w:sz w:val="24"/>
                <w:szCs w:val="24"/>
                <w:highlight w:val="black"/>
              </w:rPr>
              <w:t>xxxxxxxxxxxxxxxxxxx</w:t>
            </w:r>
          </w:p>
        </w:tc>
      </w:tr>
      <w:tr w:rsidRPr="00EE701D" w:rsidR="008D71EA" w:rsidTr="001B1C05" w14:paraId="31302388" w14:textId="77777777">
        <w:tc>
          <w:tcPr>
            <w:tcW w:w="3240" w:type="dxa"/>
          </w:tcPr>
          <w:p w:rsidRPr="00EE701D" w:rsidR="008D71EA" w:rsidP="00AB5EBE" w:rsidRDefault="00060646" w14:paraId="7923FB4B" w14:textId="5C7E6A82">
            <w:pPr>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xxxxxxxxxxxxxxxxxxx</w:t>
            </w:r>
          </w:p>
          <w:p w:rsidRPr="00EE701D" w:rsidR="00060646" w:rsidP="00AB5EBE" w:rsidRDefault="00060646" w14:paraId="00E83FD1" w14:textId="30899723">
            <w:pPr>
              <w:rPr>
                <w:rFonts w:ascii="Palatino Linotype" w:hAnsi="Palatino Linotype"/>
                <w:color w:val="212121"/>
                <w:sz w:val="24"/>
                <w:szCs w:val="24"/>
              </w:rPr>
            </w:pPr>
            <w:r w:rsidRPr="00EE701D">
              <w:rPr>
                <w:rFonts w:ascii="Palatino Linotype" w:hAnsi="Palatino Linotype"/>
                <w:color w:val="000000" w:themeColor="text1"/>
                <w:sz w:val="24"/>
                <w:szCs w:val="24"/>
                <w:highlight w:val="black"/>
              </w:rPr>
              <w:t>xxxxxxxxx</w:t>
            </w:r>
          </w:p>
        </w:tc>
        <w:tc>
          <w:tcPr>
            <w:tcW w:w="2891" w:type="dxa"/>
          </w:tcPr>
          <w:p w:rsidRPr="00EE701D" w:rsidR="008D71EA" w:rsidP="00D041C7" w:rsidRDefault="00060646" w14:paraId="336EA390" w14:textId="40148778">
            <w:pPr>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 xml:space="preserve">xxxxxxxxxxxxxxxxxx xxxxxxxxxxxxxxxxxx xxxxxxxxxxxxxxxxxx xxxxxxxxxxxxxxxxxx </w:t>
            </w:r>
            <w:r w:rsidRPr="00EE701D">
              <w:rPr>
                <w:rFonts w:ascii="Palatino Linotype" w:hAnsi="Palatino Linotype"/>
                <w:color w:val="000000" w:themeColor="text1"/>
                <w:sz w:val="24"/>
                <w:szCs w:val="24"/>
                <w:highlight w:val="black"/>
              </w:rPr>
              <w:lastRenderedPageBreak/>
              <w:t>xxxxxxxxxxxxxxxxxx xxxxxxxxxxxxxxxxxx xxxxxxxxxxxxxxxxxx xxxxxxxxxxxxxxxxxx xxxxxxxxxxxxxxxxxx xxxxxxxxxxxxxxxxxx xxxxxxxxxxxxxxxxxx xxxxxxxxxxxxxxxxxx</w:t>
            </w:r>
          </w:p>
        </w:tc>
        <w:tc>
          <w:tcPr>
            <w:tcW w:w="3219" w:type="dxa"/>
          </w:tcPr>
          <w:p w:rsidRPr="00EE701D" w:rsidR="008D71EA" w:rsidP="00AB5EBE" w:rsidRDefault="00060646" w14:paraId="78DFD633" w14:textId="78C6283A">
            <w:pPr>
              <w:rPr>
                <w:rFonts w:ascii="Palatino Linotype" w:hAnsi="Palatino Linotype" w:cs="`ñ2"/>
                <w:color w:val="000000" w:themeColor="text1"/>
                <w:sz w:val="24"/>
                <w:szCs w:val="24"/>
                <w:highlight w:val="black"/>
              </w:rPr>
            </w:pPr>
            <w:r w:rsidRPr="00EE701D">
              <w:rPr>
                <w:rFonts w:ascii="Palatino Linotype" w:hAnsi="Palatino Linotype" w:cs="`ñ2"/>
                <w:color w:val="000000" w:themeColor="text1"/>
                <w:sz w:val="24"/>
                <w:szCs w:val="24"/>
                <w:highlight w:val="black"/>
              </w:rPr>
              <w:lastRenderedPageBreak/>
              <w:t>xxxxxxxxxxxxxxxxxxxxx</w:t>
            </w:r>
          </w:p>
          <w:p w:rsidRPr="00EE701D" w:rsidR="00060646" w:rsidP="00AB5EBE" w:rsidRDefault="00060646" w14:paraId="1B81E8DD" w14:textId="201FD268">
            <w:pPr>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xxxxxxxxxxxxxxxxx</w:t>
            </w:r>
          </w:p>
          <w:p w:rsidRPr="00EE701D" w:rsidR="00060646" w:rsidP="00AB5EBE" w:rsidRDefault="00060646" w14:paraId="68E4EB9F" w14:textId="0D282FCC">
            <w:pPr>
              <w:rPr>
                <w:rFonts w:ascii="Palatino Linotype" w:hAnsi="Palatino Linotype"/>
                <w:color w:val="000000" w:themeColor="text1"/>
                <w:sz w:val="24"/>
                <w:szCs w:val="24"/>
                <w:highlight w:val="black"/>
              </w:rPr>
            </w:pPr>
            <w:r w:rsidRPr="00EE701D">
              <w:rPr>
                <w:rFonts w:ascii="Palatino Linotype" w:hAnsi="Palatino Linotype"/>
                <w:color w:val="000000" w:themeColor="text1"/>
                <w:sz w:val="24"/>
                <w:szCs w:val="24"/>
                <w:highlight w:val="black"/>
              </w:rPr>
              <w:t>xxxxxxxxxx</w:t>
            </w:r>
          </w:p>
        </w:tc>
      </w:tr>
    </w:tbl>
    <w:p w:rsidRPr="00EE701D" w:rsidR="00EF0004" w:rsidP="00EF0004" w:rsidRDefault="00EF0004" w14:paraId="5A862AC2" w14:textId="77777777">
      <w:pPr>
        <w:rPr>
          <w:rFonts w:ascii="Palatino Linotype" w:hAnsi="Palatino Linotype"/>
          <w:color w:val="212121"/>
          <w:sz w:val="24"/>
          <w:szCs w:val="24"/>
          <w:highlight w:val="darkGray"/>
        </w:rPr>
      </w:pPr>
    </w:p>
    <w:p w:rsidRPr="00EE701D" w:rsidR="00EF0004" w:rsidP="00EF0004" w:rsidRDefault="001C26CC" w14:paraId="43246B74" w14:textId="338BC761">
      <w:pPr>
        <w:rPr>
          <w:rFonts w:ascii="Palatino Linotype" w:hAnsi="Palatino Linotype"/>
          <w:b/>
          <w:bCs/>
          <w:color w:val="212121"/>
          <w:sz w:val="24"/>
          <w:szCs w:val="24"/>
        </w:rPr>
      </w:pPr>
      <w:r w:rsidRPr="00EE701D">
        <w:rPr>
          <w:rFonts w:ascii="Palatino Linotype" w:hAnsi="Palatino Linotype"/>
          <w:color w:val="212121"/>
          <w:sz w:val="24"/>
          <w:szCs w:val="24"/>
        </w:rPr>
        <w:t xml:space="preserve">In </w:t>
      </w:r>
      <w:r w:rsidRPr="00EE701D" w:rsidR="00EF0004">
        <w:rPr>
          <w:rFonts w:ascii="Palatino Linotype" w:hAnsi="Palatino Linotype"/>
          <w:color w:val="212121"/>
          <w:sz w:val="24"/>
          <w:szCs w:val="24"/>
        </w:rPr>
        <w:t>Confidential Attachment B</w:t>
      </w:r>
      <w:r w:rsidRPr="00EE701D">
        <w:rPr>
          <w:rFonts w:ascii="Palatino Linotype" w:hAnsi="Palatino Linotype"/>
          <w:color w:val="212121"/>
          <w:sz w:val="24"/>
          <w:szCs w:val="24"/>
        </w:rPr>
        <w:t xml:space="preserve">, the Joint IOUs </w:t>
      </w:r>
      <w:r w:rsidRPr="00EE701D" w:rsidR="009148A5">
        <w:rPr>
          <w:rFonts w:ascii="Palatino Linotype" w:hAnsi="Palatino Linotype"/>
          <w:color w:val="212121"/>
          <w:sz w:val="24"/>
          <w:szCs w:val="24"/>
        </w:rPr>
        <w:t>disagree with the Joint CCAs</w:t>
      </w:r>
      <w:r w:rsidRPr="00EE701D" w:rsidR="00660EF7">
        <w:rPr>
          <w:rFonts w:ascii="Palatino Linotype" w:hAnsi="Palatino Linotype"/>
          <w:color w:val="212121"/>
          <w:sz w:val="24"/>
          <w:szCs w:val="24"/>
        </w:rPr>
        <w:t>’</w:t>
      </w:r>
      <w:r w:rsidRPr="00EE701D" w:rsidR="00DF2F48">
        <w:rPr>
          <w:rFonts w:ascii="Palatino Linotype" w:hAnsi="Palatino Linotype"/>
          <w:color w:val="212121"/>
          <w:sz w:val="24"/>
          <w:szCs w:val="24"/>
        </w:rPr>
        <w:t xml:space="preserve"> </w:t>
      </w:r>
      <w:r w:rsidRPr="00EE701D" w:rsidR="00660EF7">
        <w:rPr>
          <w:rFonts w:ascii="Palatino Linotype" w:hAnsi="Palatino Linotype"/>
          <w:color w:val="212121"/>
          <w:sz w:val="24"/>
          <w:szCs w:val="24"/>
        </w:rPr>
        <w:t>proposal</w:t>
      </w:r>
      <w:r w:rsidRPr="00EE701D" w:rsidR="009148A5">
        <w:rPr>
          <w:rFonts w:ascii="Palatino Linotype" w:hAnsi="Palatino Linotype"/>
          <w:color w:val="212121"/>
          <w:sz w:val="24"/>
          <w:szCs w:val="24"/>
        </w:rPr>
        <w:t xml:space="preserve"> </w:t>
      </w:r>
      <w:r w:rsidRPr="00EE701D" w:rsidR="002F203A">
        <w:rPr>
          <w:rFonts w:ascii="Palatino Linotype" w:hAnsi="Palatino Linotype"/>
          <w:color w:val="000000" w:themeColor="text1"/>
          <w:sz w:val="24"/>
          <w:szCs w:val="24"/>
          <w:highlight w:val="black"/>
        </w:rPr>
        <w:t>xxxxxxxxxxxxxxxxxxxxxxxxxxxxxxxxxxxxxxxxxxxxxxxxxxxxxxxx xxxxxxxxxxxxxxxxxxxxxxxxxxxxxxxxxxxxxxxxxxx</w:t>
      </w:r>
      <w:r w:rsidRPr="00EE701D" w:rsidR="00660EF7">
        <w:rPr>
          <w:rFonts w:ascii="Palatino Linotype" w:hAnsi="Palatino Linotype"/>
          <w:color w:val="000000" w:themeColor="text1"/>
          <w:sz w:val="24"/>
          <w:szCs w:val="24"/>
          <w:highlight w:val="black"/>
        </w:rPr>
        <w:t xml:space="preserve">. </w:t>
      </w:r>
      <w:r w:rsidRPr="00EE701D" w:rsidR="00660EF7">
        <w:rPr>
          <w:rFonts w:ascii="Palatino Linotype" w:hAnsi="Palatino Linotype"/>
          <w:color w:val="212121"/>
          <w:sz w:val="24"/>
          <w:szCs w:val="24"/>
        </w:rPr>
        <w:t>The</w:t>
      </w:r>
      <w:r w:rsidRPr="00EE701D" w:rsidR="00A17F9A">
        <w:rPr>
          <w:rFonts w:ascii="Palatino Linotype" w:hAnsi="Palatino Linotype"/>
          <w:color w:val="212121"/>
          <w:sz w:val="24"/>
          <w:szCs w:val="24"/>
        </w:rPr>
        <w:t xml:space="preserve"> Joint IOUs</w:t>
      </w:r>
      <w:r w:rsidRPr="00EE701D" w:rsidR="00660EF7">
        <w:rPr>
          <w:rFonts w:ascii="Palatino Linotype" w:hAnsi="Palatino Linotype"/>
          <w:color w:val="212121"/>
          <w:sz w:val="24"/>
          <w:szCs w:val="24"/>
        </w:rPr>
        <w:t xml:space="preserve"> </w:t>
      </w:r>
      <w:r w:rsidRPr="00EE701D" w:rsidR="00A17F9A">
        <w:rPr>
          <w:rFonts w:ascii="Palatino Linotype" w:hAnsi="Palatino Linotype"/>
          <w:color w:val="212121"/>
          <w:sz w:val="24"/>
          <w:szCs w:val="24"/>
        </w:rPr>
        <w:t>cont</w:t>
      </w:r>
      <w:r w:rsidRPr="00EE701D" w:rsidR="002D63AA">
        <w:rPr>
          <w:rFonts w:ascii="Palatino Linotype" w:hAnsi="Palatino Linotype"/>
          <w:color w:val="212121"/>
          <w:sz w:val="24"/>
          <w:szCs w:val="24"/>
        </w:rPr>
        <w:t>en</w:t>
      </w:r>
      <w:r w:rsidRPr="00EE701D" w:rsidR="00A17F9A">
        <w:rPr>
          <w:rFonts w:ascii="Palatino Linotype" w:hAnsi="Palatino Linotype"/>
          <w:color w:val="212121"/>
          <w:sz w:val="24"/>
          <w:szCs w:val="24"/>
        </w:rPr>
        <w:t>d</w:t>
      </w:r>
      <w:r w:rsidRPr="00EE701D" w:rsidR="0061700E">
        <w:rPr>
          <w:rFonts w:ascii="Palatino Linotype" w:hAnsi="Palatino Linotype"/>
          <w:color w:val="212121"/>
          <w:sz w:val="24"/>
          <w:szCs w:val="24"/>
        </w:rPr>
        <w:t xml:space="preserve"> </w:t>
      </w:r>
      <w:r w:rsidRPr="00EE701D" w:rsidR="00660EF7">
        <w:rPr>
          <w:rFonts w:ascii="Palatino Linotype" w:hAnsi="Palatino Linotype"/>
          <w:color w:val="212121"/>
          <w:sz w:val="24"/>
          <w:szCs w:val="24"/>
        </w:rPr>
        <w:t>that</w:t>
      </w:r>
      <w:r w:rsidRPr="00EE701D" w:rsidR="0000032A">
        <w:rPr>
          <w:rFonts w:ascii="Palatino Linotype" w:hAnsi="Palatino Linotype"/>
          <w:color w:val="212121"/>
          <w:sz w:val="24"/>
          <w:szCs w:val="24"/>
        </w:rPr>
        <w:t xml:space="preserve"> </w:t>
      </w:r>
      <w:r w:rsidRPr="00EE701D" w:rsidR="00A17F9A">
        <w:rPr>
          <w:rFonts w:ascii="Palatino Linotype" w:hAnsi="Palatino Linotype"/>
          <w:color w:val="212121"/>
          <w:sz w:val="24"/>
          <w:szCs w:val="24"/>
        </w:rPr>
        <w:t xml:space="preserve">under </w:t>
      </w:r>
      <w:r w:rsidRPr="00EE701D" w:rsidR="00A41570">
        <w:rPr>
          <w:rFonts w:ascii="Palatino Linotype" w:hAnsi="Palatino Linotype"/>
          <w:color w:val="212121"/>
          <w:sz w:val="24"/>
          <w:szCs w:val="24"/>
        </w:rPr>
        <w:t>th</w:t>
      </w:r>
      <w:r w:rsidRPr="00EE701D" w:rsidR="00660EF7">
        <w:rPr>
          <w:rFonts w:ascii="Palatino Linotype" w:hAnsi="Palatino Linotype"/>
          <w:color w:val="212121"/>
          <w:sz w:val="24"/>
          <w:szCs w:val="24"/>
        </w:rPr>
        <w:t xml:space="preserve">e Joint CCAs’ </w:t>
      </w:r>
      <w:r w:rsidRPr="00EE701D" w:rsidR="00386665">
        <w:rPr>
          <w:rFonts w:ascii="Palatino Linotype" w:hAnsi="Palatino Linotype"/>
          <w:color w:val="212121"/>
          <w:sz w:val="24"/>
          <w:szCs w:val="24"/>
        </w:rPr>
        <w:t>methodology</w:t>
      </w:r>
      <w:r w:rsidRPr="00EE701D" w:rsidR="00A41570">
        <w:rPr>
          <w:rFonts w:ascii="Palatino Linotype" w:hAnsi="Palatino Linotype"/>
          <w:color w:val="212121"/>
          <w:sz w:val="24"/>
          <w:szCs w:val="24"/>
        </w:rPr>
        <w:t xml:space="preserve">, if made public, </w:t>
      </w:r>
      <w:r w:rsidRPr="00EE701D" w:rsidR="00A17F9A">
        <w:rPr>
          <w:rFonts w:ascii="Palatino Linotype" w:hAnsi="Palatino Linotype"/>
          <w:color w:val="212121"/>
          <w:sz w:val="24"/>
          <w:szCs w:val="24"/>
        </w:rPr>
        <w:t>it</w:t>
      </w:r>
      <w:r w:rsidRPr="00EE701D" w:rsidR="00A41570">
        <w:rPr>
          <w:rFonts w:ascii="Palatino Linotype" w:hAnsi="Palatino Linotype"/>
          <w:color w:val="212121"/>
          <w:sz w:val="24"/>
          <w:szCs w:val="24"/>
        </w:rPr>
        <w:t xml:space="preserve"> would </w:t>
      </w:r>
      <w:r w:rsidRPr="00EE701D" w:rsidR="003C1347">
        <w:rPr>
          <w:rFonts w:ascii="Palatino Linotype" w:hAnsi="Palatino Linotype"/>
          <w:color w:val="212121"/>
          <w:sz w:val="24"/>
          <w:szCs w:val="24"/>
        </w:rPr>
        <w:t>be too easy for developers to discern the price</w:t>
      </w:r>
      <w:r w:rsidRPr="00EE701D" w:rsidR="00906BD6">
        <w:rPr>
          <w:rFonts w:ascii="Palatino Linotype" w:hAnsi="Palatino Linotype"/>
          <w:color w:val="212121"/>
          <w:sz w:val="24"/>
          <w:szCs w:val="24"/>
        </w:rPr>
        <w:t>, apply the public multiplier, and bi</w:t>
      </w:r>
      <w:r w:rsidRPr="00EE701D" w:rsidR="00660EF7">
        <w:rPr>
          <w:rFonts w:ascii="Palatino Linotype" w:hAnsi="Palatino Linotype"/>
          <w:color w:val="212121"/>
          <w:sz w:val="24"/>
          <w:szCs w:val="24"/>
        </w:rPr>
        <w:t>d</w:t>
      </w:r>
      <w:r w:rsidRPr="00EE701D" w:rsidR="00906BD6">
        <w:rPr>
          <w:rFonts w:ascii="Palatino Linotype" w:hAnsi="Palatino Linotype"/>
          <w:color w:val="212121"/>
          <w:sz w:val="24"/>
          <w:szCs w:val="24"/>
        </w:rPr>
        <w:t xml:space="preserve"> at the cap.</w:t>
      </w:r>
      <w:r w:rsidRPr="00EE701D" w:rsidR="0061700E">
        <w:rPr>
          <w:rFonts w:ascii="Palatino Linotype" w:hAnsi="Palatino Linotype"/>
          <w:color w:val="212121"/>
          <w:sz w:val="24"/>
          <w:szCs w:val="24"/>
        </w:rPr>
        <w:t xml:space="preserve"> </w:t>
      </w:r>
      <w:r w:rsidRPr="00EE701D" w:rsidR="00302BF8">
        <w:rPr>
          <w:rFonts w:ascii="Palatino Linotype" w:hAnsi="Palatino Linotype"/>
          <w:color w:val="212121"/>
          <w:sz w:val="24"/>
          <w:szCs w:val="24"/>
        </w:rPr>
        <w:t>This</w:t>
      </w:r>
      <w:r w:rsidRPr="00EE701D" w:rsidR="00EA6379">
        <w:rPr>
          <w:rFonts w:ascii="Palatino Linotype" w:hAnsi="Palatino Linotype"/>
          <w:color w:val="212121"/>
          <w:sz w:val="24"/>
          <w:szCs w:val="24"/>
        </w:rPr>
        <w:t xml:space="preserve"> </w:t>
      </w:r>
      <w:r w:rsidRPr="00EE701D" w:rsidR="00931F4D">
        <w:rPr>
          <w:rFonts w:ascii="Palatino Linotype" w:hAnsi="Palatino Linotype"/>
          <w:color w:val="212121"/>
          <w:sz w:val="24"/>
          <w:szCs w:val="24"/>
        </w:rPr>
        <w:t>c</w:t>
      </w:r>
      <w:r w:rsidRPr="00EE701D" w:rsidR="007469F3">
        <w:rPr>
          <w:rFonts w:ascii="Palatino Linotype" w:hAnsi="Palatino Linotype"/>
          <w:color w:val="212121"/>
          <w:sz w:val="24"/>
          <w:szCs w:val="24"/>
        </w:rPr>
        <w:t>ould</w:t>
      </w:r>
      <w:r w:rsidRPr="00EE701D" w:rsidR="00EA6379">
        <w:rPr>
          <w:rFonts w:ascii="Palatino Linotype" w:hAnsi="Palatino Linotype"/>
          <w:color w:val="212121"/>
          <w:sz w:val="24"/>
          <w:szCs w:val="24"/>
        </w:rPr>
        <w:t xml:space="preserve"> </w:t>
      </w:r>
      <w:r w:rsidRPr="00EE701D" w:rsidR="007469F3">
        <w:rPr>
          <w:rFonts w:ascii="Palatino Linotype" w:hAnsi="Palatino Linotype"/>
          <w:color w:val="212121"/>
          <w:sz w:val="24"/>
          <w:szCs w:val="24"/>
        </w:rPr>
        <w:t>effectively eliminate</w:t>
      </w:r>
      <w:r w:rsidRPr="00EE701D" w:rsidR="00EA6379">
        <w:rPr>
          <w:sz w:val="24"/>
          <w:szCs w:val="24"/>
        </w:rPr>
        <w:t xml:space="preserve"> cost competitiveness in the </w:t>
      </w:r>
      <w:r w:rsidRPr="00EE701D" w:rsidR="007469F3">
        <w:rPr>
          <w:sz w:val="24"/>
          <w:szCs w:val="24"/>
        </w:rPr>
        <w:t>solicitation process and result in</w:t>
      </w:r>
      <w:r w:rsidRPr="00EE701D" w:rsidR="00EA6379">
        <w:rPr>
          <w:sz w:val="24"/>
          <w:szCs w:val="24"/>
        </w:rPr>
        <w:t xml:space="preserve"> ratepayers pay</w:t>
      </w:r>
      <w:r w:rsidRPr="00EE701D" w:rsidR="007469F3">
        <w:rPr>
          <w:sz w:val="24"/>
          <w:szCs w:val="24"/>
        </w:rPr>
        <w:t>ing</w:t>
      </w:r>
      <w:r w:rsidRPr="00EE701D" w:rsidR="00EA6379">
        <w:rPr>
          <w:sz w:val="24"/>
          <w:szCs w:val="24"/>
        </w:rPr>
        <w:t xml:space="preserve"> higher</w:t>
      </w:r>
      <w:r w:rsidRPr="00EE701D" w:rsidR="00302BF8">
        <w:rPr>
          <w:sz w:val="24"/>
          <w:szCs w:val="24"/>
        </w:rPr>
        <w:t>-than-necessary</w:t>
      </w:r>
      <w:r w:rsidRPr="00EE701D" w:rsidR="00EA6379">
        <w:rPr>
          <w:sz w:val="24"/>
          <w:szCs w:val="24"/>
        </w:rPr>
        <w:t xml:space="preserve"> subsid</w:t>
      </w:r>
      <w:r w:rsidRPr="00EE701D" w:rsidR="00302BF8">
        <w:rPr>
          <w:sz w:val="24"/>
          <w:szCs w:val="24"/>
        </w:rPr>
        <w:t>ies</w:t>
      </w:r>
      <w:r w:rsidRPr="00EE701D" w:rsidR="00EA6379">
        <w:rPr>
          <w:sz w:val="24"/>
          <w:szCs w:val="24"/>
        </w:rPr>
        <w:t xml:space="preserve"> </w:t>
      </w:r>
      <w:r w:rsidRPr="00EE701D" w:rsidR="00302BF8">
        <w:rPr>
          <w:sz w:val="24"/>
          <w:szCs w:val="24"/>
        </w:rPr>
        <w:t>to</w:t>
      </w:r>
      <w:r w:rsidRPr="00EE701D" w:rsidR="00EA6379">
        <w:rPr>
          <w:sz w:val="24"/>
          <w:szCs w:val="24"/>
        </w:rPr>
        <w:t xml:space="preserve"> the program</w:t>
      </w:r>
      <w:r w:rsidRPr="00EE701D" w:rsidR="00302BF8">
        <w:rPr>
          <w:sz w:val="24"/>
          <w:szCs w:val="24"/>
        </w:rPr>
        <w:t>.</w:t>
      </w:r>
      <w:r w:rsidRPr="00EE701D" w:rsidR="002D773F">
        <w:rPr>
          <w:rFonts w:ascii="Palatino Linotype" w:hAnsi="Palatino Linotype"/>
          <w:color w:val="212121"/>
          <w:sz w:val="24"/>
          <w:szCs w:val="24"/>
          <w:highlight w:val="darkGray"/>
        </w:rPr>
        <w:t xml:space="preserve"> </w:t>
      </w:r>
      <w:r w:rsidRPr="00EE701D" w:rsidR="002F203A">
        <w:rPr>
          <w:rFonts w:ascii="Palatino Linotype" w:hAnsi="Palatino Linotype"/>
          <w:color w:val="000000" w:themeColor="text1"/>
          <w:sz w:val="24"/>
          <w:szCs w:val="24"/>
          <w:highlight w:val="black"/>
        </w:rPr>
        <w:t>xxxxxxxxxxxxxxxxxxxxxxxxxxxxxxxxxxxxxxxxxxxxxxxxxxxxxxxxxxxxxxxxxxxxxxxxxxx</w:t>
      </w:r>
      <w:r w:rsidRPr="00EE701D" w:rsidR="00576F88">
        <w:rPr>
          <w:rFonts w:ascii="Palatino Linotype" w:hAnsi="Palatino Linotype"/>
          <w:color w:val="000000" w:themeColor="text1"/>
          <w:sz w:val="24"/>
          <w:szCs w:val="24"/>
          <w:highlight w:val="darkGray"/>
        </w:rPr>
        <w:t xml:space="preserve"> </w:t>
      </w:r>
      <w:r w:rsidRPr="00EE701D" w:rsidR="002F203A">
        <w:rPr>
          <w:rFonts w:ascii="Palatino Linotype" w:hAnsi="Palatino Linotype"/>
          <w:color w:val="000000" w:themeColor="text1"/>
          <w:sz w:val="24"/>
          <w:szCs w:val="24"/>
          <w:highlight w:val="black"/>
        </w:rPr>
        <w:t>xxxxxxxxxxxxxxxxxxxxxxxxxxxxxxxxxxxxxxxxxxxxxxxxxxxxxxxxxxxxxxxxxxxxxxxxxxx xxxxxxxxxxxxxxxxxxxxxxxxxxxxxxxxxxxxxxxxxxxxxxxxxxxxxxxxxxxxxxxxxxxxxxxxxxx</w:t>
      </w:r>
      <w:r w:rsidRPr="00EE701D" w:rsidR="002F203A">
        <w:rPr>
          <w:rFonts w:ascii="Palatino Linotype" w:hAnsi="Palatino Linotype"/>
          <w:color w:val="000000" w:themeColor="text1"/>
          <w:sz w:val="24"/>
          <w:szCs w:val="24"/>
          <w:highlight w:val="darkGray"/>
        </w:rPr>
        <w:t xml:space="preserve"> </w:t>
      </w:r>
      <w:r w:rsidRPr="00EE701D" w:rsidR="002F203A">
        <w:rPr>
          <w:rFonts w:ascii="Palatino Linotype" w:hAnsi="Palatino Linotype"/>
          <w:color w:val="000000" w:themeColor="text1"/>
          <w:sz w:val="24"/>
          <w:szCs w:val="24"/>
          <w:highlight w:val="black"/>
        </w:rPr>
        <w:t>xxxxxx</w:t>
      </w:r>
      <w:r w:rsidRPr="00EE701D" w:rsidR="002F203A">
        <w:rPr>
          <w:rFonts w:ascii="Palatino Linotype" w:hAnsi="Palatino Linotype"/>
          <w:color w:val="000000" w:themeColor="text1"/>
          <w:sz w:val="24"/>
          <w:szCs w:val="24"/>
        </w:rPr>
        <w:t xml:space="preserve"> </w:t>
      </w:r>
      <w:r w:rsidRPr="00EE701D" w:rsidR="007F03DF">
        <w:rPr>
          <w:rFonts w:ascii="Palatino Linotype" w:hAnsi="Palatino Linotype"/>
          <w:color w:val="212121"/>
          <w:sz w:val="24"/>
          <w:szCs w:val="24"/>
        </w:rPr>
        <w:t xml:space="preserve">the IOUs contend that Joint CCAs’ CBVRP proposal </w:t>
      </w:r>
      <w:r w:rsidRPr="00EE701D" w:rsidR="001B6913">
        <w:rPr>
          <w:rFonts w:ascii="Palatino Linotype" w:hAnsi="Palatino Linotype"/>
          <w:color w:val="212121"/>
          <w:sz w:val="24"/>
          <w:szCs w:val="24"/>
        </w:rPr>
        <w:t>unnecessarily</w:t>
      </w:r>
      <w:r w:rsidRPr="00EE701D" w:rsidR="00835DE2">
        <w:rPr>
          <w:rFonts w:ascii="Palatino Linotype" w:hAnsi="Palatino Linotype"/>
          <w:color w:val="212121"/>
          <w:sz w:val="24"/>
          <w:szCs w:val="24"/>
        </w:rPr>
        <w:t xml:space="preserve"> burdens the Commission’s Energy Division</w:t>
      </w:r>
      <w:r w:rsidRPr="00EE701D" w:rsidR="00234D32">
        <w:rPr>
          <w:rFonts w:ascii="Palatino Linotype" w:hAnsi="Palatino Linotype"/>
          <w:color w:val="212121"/>
          <w:sz w:val="24"/>
          <w:szCs w:val="24"/>
        </w:rPr>
        <w:t xml:space="preserve"> by requiring it to conduct a statewide survey of all power procurement projects.</w:t>
      </w:r>
      <w:r w:rsidRPr="00EE701D" w:rsidR="003F2E6A">
        <w:rPr>
          <w:rFonts w:ascii="Palatino Linotype" w:hAnsi="Palatino Linotype"/>
          <w:color w:val="212121"/>
          <w:sz w:val="24"/>
          <w:szCs w:val="24"/>
        </w:rPr>
        <w:t xml:space="preserve"> </w:t>
      </w:r>
      <w:r w:rsidRPr="00EE701D" w:rsidR="002F203A">
        <w:rPr>
          <w:rFonts w:ascii="Palatino Linotype" w:hAnsi="Palatino Linotype"/>
          <w:color w:val="000000" w:themeColor="text1"/>
          <w:sz w:val="24"/>
          <w:szCs w:val="24"/>
          <w:highlight w:val="black"/>
        </w:rPr>
        <w:t>xxxxxxxxxxxxxxxxxxxxxxxx</w:t>
      </w:r>
      <w:r w:rsidRPr="00EE701D" w:rsidR="008764DA">
        <w:rPr>
          <w:rFonts w:ascii="Palatino Linotype" w:hAnsi="Palatino Linotype"/>
          <w:color w:val="000000" w:themeColor="text1"/>
          <w:sz w:val="24"/>
          <w:szCs w:val="24"/>
          <w:highlight w:val="darkGray"/>
        </w:rPr>
        <w:t xml:space="preserve"> </w:t>
      </w:r>
      <w:r w:rsidRPr="00EE701D" w:rsidR="002F203A">
        <w:rPr>
          <w:rFonts w:ascii="Palatino Linotype" w:hAnsi="Palatino Linotype"/>
          <w:color w:val="000000" w:themeColor="text1"/>
          <w:sz w:val="24"/>
          <w:szCs w:val="24"/>
          <w:highlight w:val="black"/>
        </w:rPr>
        <w:t>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w:t>
      </w:r>
    </w:p>
    <w:p w:rsidRPr="00EE701D" w:rsidR="00002A2F" w:rsidP="00AB5EBE" w:rsidRDefault="00002A2F" w14:paraId="63CACFBC" w14:textId="77777777">
      <w:pPr>
        <w:rPr>
          <w:rFonts w:ascii="Palatino Linotype" w:hAnsi="Palatino Linotype"/>
          <w:color w:val="212121"/>
          <w:sz w:val="24"/>
          <w:szCs w:val="24"/>
        </w:rPr>
      </w:pPr>
    </w:p>
    <w:p w:rsidRPr="00EE701D" w:rsidR="00851CAB" w:rsidP="00AB5EBE" w:rsidRDefault="002C323F" w14:paraId="7FB56BB8" w14:textId="02621EBD">
      <w:pPr>
        <w:rPr>
          <w:rFonts w:ascii="Palatino Linotype" w:hAnsi="Palatino Linotype"/>
          <w:color w:val="212121"/>
          <w:sz w:val="24"/>
          <w:szCs w:val="24"/>
        </w:rPr>
      </w:pPr>
      <w:r w:rsidRPr="00EE701D">
        <w:rPr>
          <w:rFonts w:ascii="Palatino Linotype" w:hAnsi="Palatino Linotype"/>
          <w:color w:val="212121"/>
          <w:sz w:val="24"/>
          <w:szCs w:val="24"/>
        </w:rPr>
        <w:t xml:space="preserve">On September 17, 2024, </w:t>
      </w:r>
      <w:r w:rsidRPr="00EE701D" w:rsidR="00866644">
        <w:rPr>
          <w:rFonts w:ascii="Palatino Linotype" w:hAnsi="Palatino Linotype"/>
          <w:color w:val="212121"/>
          <w:sz w:val="24"/>
          <w:szCs w:val="24"/>
        </w:rPr>
        <w:t xml:space="preserve">the Joint CCAs, </w:t>
      </w:r>
      <w:r w:rsidRPr="00EE701D" w:rsidR="009A5CE1">
        <w:rPr>
          <w:rFonts w:ascii="Palatino Linotype" w:hAnsi="Palatino Linotype"/>
          <w:color w:val="212121"/>
          <w:sz w:val="24"/>
          <w:szCs w:val="24"/>
        </w:rPr>
        <w:t xml:space="preserve">the Coalition for Community Solar Access (CCSA), </w:t>
      </w:r>
      <w:r w:rsidRPr="00EE701D" w:rsidR="00A4532B">
        <w:rPr>
          <w:rFonts w:ascii="Palatino Linotype" w:hAnsi="Palatino Linotype"/>
          <w:color w:val="212121"/>
          <w:sz w:val="24"/>
          <w:szCs w:val="24"/>
        </w:rPr>
        <w:t>Public Advocate’s Office</w:t>
      </w:r>
      <w:r w:rsidRPr="00EE701D" w:rsidR="009A7E30">
        <w:rPr>
          <w:rFonts w:ascii="Palatino Linotype" w:hAnsi="Palatino Linotype"/>
          <w:color w:val="212121"/>
          <w:sz w:val="24"/>
          <w:szCs w:val="24"/>
        </w:rPr>
        <w:t xml:space="preserve"> (Cal Advocates)</w:t>
      </w:r>
      <w:r w:rsidRPr="00EE701D" w:rsidR="00A4532B">
        <w:rPr>
          <w:rFonts w:ascii="Palatino Linotype" w:hAnsi="Palatino Linotype"/>
          <w:color w:val="212121"/>
          <w:sz w:val="24"/>
          <w:szCs w:val="24"/>
        </w:rPr>
        <w:t>,</w:t>
      </w:r>
      <w:r w:rsidRPr="00EE701D" w:rsidR="00A07B3A">
        <w:rPr>
          <w:rFonts w:ascii="Palatino Linotype" w:hAnsi="Palatino Linotype"/>
          <w:color w:val="212121"/>
          <w:sz w:val="24"/>
          <w:szCs w:val="24"/>
        </w:rPr>
        <w:t xml:space="preserve"> and Solar Energy Industries Association (SEIA)</w:t>
      </w:r>
      <w:r w:rsidRPr="00EE701D">
        <w:rPr>
          <w:rFonts w:ascii="Palatino Linotype" w:hAnsi="Palatino Linotype"/>
          <w:color w:val="212121"/>
          <w:sz w:val="24"/>
          <w:szCs w:val="24"/>
        </w:rPr>
        <w:t xml:space="preserve"> submitted timely protest</w:t>
      </w:r>
      <w:r w:rsidRPr="00EE701D" w:rsidR="00A07B3A">
        <w:rPr>
          <w:rFonts w:ascii="Palatino Linotype" w:hAnsi="Palatino Linotype"/>
          <w:color w:val="212121"/>
          <w:sz w:val="24"/>
          <w:szCs w:val="24"/>
        </w:rPr>
        <w:t xml:space="preserve">s. On the same day, </w:t>
      </w:r>
      <w:r w:rsidRPr="00EE701D" w:rsidR="006B5B48">
        <w:rPr>
          <w:rFonts w:ascii="Palatino Linotype" w:hAnsi="Palatino Linotype"/>
          <w:color w:val="212121"/>
          <w:sz w:val="24"/>
          <w:szCs w:val="24"/>
        </w:rPr>
        <w:t>Dimension Energy, LLC</w:t>
      </w:r>
      <w:r w:rsidRPr="00EE701D" w:rsidR="004250EF">
        <w:rPr>
          <w:rFonts w:ascii="Palatino Linotype" w:hAnsi="Palatino Linotype"/>
          <w:color w:val="212121"/>
          <w:sz w:val="24"/>
          <w:szCs w:val="24"/>
        </w:rPr>
        <w:t xml:space="preserve"> (Dimension)</w:t>
      </w:r>
      <w:r w:rsidRPr="00EE701D" w:rsidR="006B5B48">
        <w:rPr>
          <w:rFonts w:ascii="Palatino Linotype" w:hAnsi="Palatino Linotype"/>
          <w:color w:val="212121"/>
          <w:sz w:val="24"/>
          <w:szCs w:val="24"/>
        </w:rPr>
        <w:t xml:space="preserve"> </w:t>
      </w:r>
      <w:r w:rsidRPr="00EE701D" w:rsidR="00A07B3A">
        <w:rPr>
          <w:rFonts w:ascii="Palatino Linotype" w:hAnsi="Palatino Linotype"/>
          <w:color w:val="212121"/>
          <w:sz w:val="24"/>
          <w:szCs w:val="24"/>
        </w:rPr>
        <w:t xml:space="preserve">also </w:t>
      </w:r>
      <w:r w:rsidRPr="00EE701D" w:rsidR="006B5B48">
        <w:rPr>
          <w:rFonts w:ascii="Palatino Linotype" w:hAnsi="Palatino Linotype"/>
          <w:color w:val="212121"/>
          <w:sz w:val="24"/>
          <w:szCs w:val="24"/>
        </w:rPr>
        <w:t>submitted a response.</w:t>
      </w:r>
      <w:r w:rsidRPr="00EE701D" w:rsidR="00851CAB">
        <w:rPr>
          <w:rFonts w:ascii="Palatino Linotype" w:hAnsi="Palatino Linotype"/>
          <w:color w:val="212121"/>
          <w:sz w:val="24"/>
          <w:szCs w:val="24"/>
        </w:rPr>
        <w:t xml:space="preserve"> On September 24, 2024, the Joint IOUs submitted a reply</w:t>
      </w:r>
      <w:r w:rsidRPr="00EE701D" w:rsidR="00675417">
        <w:rPr>
          <w:rFonts w:ascii="Palatino Linotype" w:hAnsi="Palatino Linotype"/>
          <w:color w:val="212121"/>
          <w:sz w:val="24"/>
          <w:szCs w:val="24"/>
        </w:rPr>
        <w:t xml:space="preserve"> to the protests.</w:t>
      </w:r>
    </w:p>
    <w:p w:rsidRPr="00EE701D" w:rsidR="008C1C82" w:rsidP="00AB5EBE" w:rsidRDefault="008C1C82" w14:paraId="6929DA8A" w14:textId="77777777">
      <w:pPr>
        <w:rPr>
          <w:rFonts w:ascii="Palatino Linotype" w:hAnsi="Palatino Linotype"/>
          <w:color w:val="212121"/>
          <w:sz w:val="24"/>
          <w:szCs w:val="24"/>
        </w:rPr>
      </w:pPr>
    </w:p>
    <w:p w:rsidRPr="00EE701D" w:rsidR="002B4D13" w:rsidP="00AB5EBE" w:rsidRDefault="00935089" w14:paraId="008C85F6" w14:textId="748C87A3">
      <w:pPr>
        <w:rPr>
          <w:rFonts w:ascii="Palatino Linotype" w:hAnsi="Palatino Linotype"/>
          <w:color w:val="212121"/>
          <w:sz w:val="24"/>
          <w:szCs w:val="24"/>
        </w:rPr>
      </w:pPr>
      <w:r w:rsidRPr="00EE701D">
        <w:rPr>
          <w:rFonts w:ascii="Palatino Linotype" w:hAnsi="Palatino Linotype"/>
          <w:color w:val="212121"/>
          <w:sz w:val="24"/>
          <w:szCs w:val="24"/>
        </w:rPr>
        <w:lastRenderedPageBreak/>
        <w:t xml:space="preserve">On November 6, 2024, SCE and PG&amp;E jointly submitted supplemental </w:t>
      </w:r>
      <w:r w:rsidR="00211CFE">
        <w:rPr>
          <w:rFonts w:ascii="Palatino Linotype" w:hAnsi="Palatino Linotype"/>
          <w:color w:val="212121"/>
          <w:sz w:val="24"/>
          <w:szCs w:val="24"/>
        </w:rPr>
        <w:br/>
      </w:r>
      <w:r w:rsidRPr="00EE701D">
        <w:rPr>
          <w:rFonts w:ascii="Palatino Linotype" w:hAnsi="Palatino Linotype"/>
          <w:color w:val="212121"/>
          <w:sz w:val="24"/>
          <w:szCs w:val="24"/>
        </w:rPr>
        <w:t>AL SCE 5362-E-A and PG&amp;E AL 7363-E-A</w:t>
      </w:r>
      <w:r w:rsidRPr="00EE701D" w:rsidR="00382B83">
        <w:rPr>
          <w:rFonts w:ascii="Palatino Linotype" w:hAnsi="Palatino Linotype"/>
          <w:color w:val="212121"/>
          <w:sz w:val="24"/>
          <w:szCs w:val="24"/>
        </w:rPr>
        <w:t>, replacing the original AL</w:t>
      </w:r>
      <w:r w:rsidRPr="00EE701D" w:rsidR="00C428DA">
        <w:rPr>
          <w:rFonts w:ascii="Palatino Linotype" w:hAnsi="Palatino Linotype"/>
          <w:color w:val="212121"/>
          <w:sz w:val="24"/>
          <w:szCs w:val="24"/>
        </w:rPr>
        <w:t xml:space="preserve"> and its confidential version</w:t>
      </w:r>
      <w:r w:rsidRPr="00EE701D" w:rsidR="00382B83">
        <w:rPr>
          <w:rFonts w:ascii="Palatino Linotype" w:hAnsi="Palatino Linotype"/>
          <w:color w:val="212121"/>
          <w:sz w:val="24"/>
          <w:szCs w:val="24"/>
        </w:rPr>
        <w:t xml:space="preserve"> in</w:t>
      </w:r>
      <w:r w:rsidRPr="00EE701D" w:rsidR="00C428DA">
        <w:rPr>
          <w:rFonts w:ascii="Palatino Linotype" w:hAnsi="Palatino Linotype"/>
          <w:color w:val="212121"/>
          <w:sz w:val="24"/>
          <w:szCs w:val="24"/>
        </w:rPr>
        <w:t xml:space="preserve"> their</w:t>
      </w:r>
      <w:r w:rsidRPr="00EE701D" w:rsidDel="00C428DA" w:rsidR="00382B83">
        <w:rPr>
          <w:rFonts w:ascii="Palatino Linotype" w:hAnsi="Palatino Linotype"/>
          <w:color w:val="212121"/>
          <w:sz w:val="24"/>
          <w:szCs w:val="24"/>
        </w:rPr>
        <w:t xml:space="preserve"> </w:t>
      </w:r>
      <w:r w:rsidRPr="00EE701D" w:rsidR="00382B83">
        <w:rPr>
          <w:rFonts w:ascii="Palatino Linotype" w:hAnsi="Palatino Linotype"/>
          <w:color w:val="212121"/>
          <w:sz w:val="24"/>
          <w:szCs w:val="24"/>
        </w:rPr>
        <w:t>entirety</w:t>
      </w:r>
      <w:r w:rsidRPr="00EE701D">
        <w:rPr>
          <w:rFonts w:ascii="Palatino Linotype" w:hAnsi="Palatino Linotype"/>
          <w:color w:val="212121"/>
          <w:sz w:val="24"/>
          <w:szCs w:val="24"/>
        </w:rPr>
        <w:t>. </w:t>
      </w:r>
      <w:r w:rsidRPr="00EE701D" w:rsidR="00D970A9">
        <w:rPr>
          <w:rFonts w:ascii="Palatino Linotype" w:hAnsi="Palatino Linotype"/>
          <w:color w:val="212121"/>
          <w:sz w:val="24"/>
          <w:szCs w:val="24"/>
        </w:rPr>
        <w:t xml:space="preserve"> </w:t>
      </w:r>
      <w:r w:rsidRPr="00EE701D" w:rsidR="00325170">
        <w:rPr>
          <w:rFonts w:ascii="Palatino Linotype" w:hAnsi="Palatino Linotype"/>
          <w:color w:val="212121"/>
          <w:sz w:val="24"/>
          <w:szCs w:val="24"/>
        </w:rPr>
        <w:t xml:space="preserve">In their supplemental AL, </w:t>
      </w:r>
      <w:r w:rsidRPr="00EE701D" w:rsidR="008243FD">
        <w:rPr>
          <w:rFonts w:ascii="Palatino Linotype" w:hAnsi="Palatino Linotype"/>
          <w:color w:val="212121"/>
          <w:sz w:val="24"/>
          <w:szCs w:val="24"/>
        </w:rPr>
        <w:t>SCE and PG&amp;E include</w:t>
      </w:r>
      <w:r w:rsidRPr="00EE701D" w:rsidR="00382B83">
        <w:rPr>
          <w:rFonts w:ascii="Palatino Linotype" w:hAnsi="Palatino Linotype"/>
          <w:color w:val="212121"/>
          <w:sz w:val="24"/>
          <w:szCs w:val="24"/>
        </w:rPr>
        <w:t xml:space="preserve"> a discussion in </w:t>
      </w:r>
      <w:r w:rsidRPr="00EE701D" w:rsidR="00B71705">
        <w:rPr>
          <w:rFonts w:ascii="Palatino Linotype" w:hAnsi="Palatino Linotype"/>
          <w:color w:val="212121"/>
          <w:sz w:val="24"/>
          <w:szCs w:val="24"/>
        </w:rPr>
        <w:t xml:space="preserve">supplemented confidential </w:t>
      </w:r>
      <w:r w:rsidRPr="00EE701D" w:rsidR="00382B83">
        <w:rPr>
          <w:rFonts w:ascii="Palatino Linotype" w:hAnsi="Palatino Linotype"/>
          <w:color w:val="212121"/>
          <w:sz w:val="24"/>
          <w:szCs w:val="24"/>
        </w:rPr>
        <w:t>Appendix A that provides a more detailed</w:t>
      </w:r>
      <w:r w:rsidRPr="00EE701D" w:rsidR="008243FD">
        <w:rPr>
          <w:rFonts w:ascii="Palatino Linotype" w:hAnsi="Palatino Linotype"/>
          <w:color w:val="212121"/>
          <w:sz w:val="24"/>
          <w:szCs w:val="24"/>
        </w:rPr>
        <w:t xml:space="preserve"> </w:t>
      </w:r>
      <w:r w:rsidRPr="00EE701D" w:rsidR="00382B83">
        <w:rPr>
          <w:rFonts w:ascii="Palatino Linotype" w:hAnsi="Palatino Linotype"/>
          <w:color w:val="212121"/>
          <w:sz w:val="24"/>
          <w:szCs w:val="24"/>
        </w:rPr>
        <w:t>justification for the confidentiality</w:t>
      </w:r>
      <w:r w:rsidRPr="00EE701D" w:rsidR="00B843EE">
        <w:rPr>
          <w:rFonts w:ascii="Palatino Linotype" w:hAnsi="Palatino Linotype"/>
          <w:color w:val="212121"/>
          <w:sz w:val="24"/>
          <w:szCs w:val="24"/>
        </w:rPr>
        <w:t xml:space="preserve"> </w:t>
      </w:r>
      <w:r w:rsidRPr="00EE701D" w:rsidR="00382B83">
        <w:rPr>
          <w:rFonts w:ascii="Palatino Linotype" w:hAnsi="Palatino Linotype"/>
          <w:color w:val="212121"/>
          <w:sz w:val="24"/>
          <w:szCs w:val="24"/>
        </w:rPr>
        <w:t>of information in Appendices A and B</w:t>
      </w:r>
      <w:r w:rsidRPr="00EE701D" w:rsidR="007F7B9F">
        <w:rPr>
          <w:rFonts w:ascii="Palatino Linotype" w:hAnsi="Palatino Linotype"/>
          <w:color w:val="212121"/>
          <w:sz w:val="24"/>
          <w:szCs w:val="24"/>
        </w:rPr>
        <w:t>,</w:t>
      </w:r>
      <w:r w:rsidRPr="00EE701D" w:rsidR="00382B83">
        <w:rPr>
          <w:rFonts w:ascii="Palatino Linotype" w:hAnsi="Palatino Linotype"/>
          <w:color w:val="212121"/>
          <w:sz w:val="24"/>
          <w:szCs w:val="24"/>
        </w:rPr>
        <w:t xml:space="preserve"> and </w:t>
      </w:r>
      <w:r w:rsidRPr="00EE701D" w:rsidR="008243FD">
        <w:rPr>
          <w:rFonts w:ascii="Palatino Linotype" w:hAnsi="Palatino Linotype"/>
          <w:color w:val="212121"/>
          <w:sz w:val="24"/>
          <w:szCs w:val="24"/>
        </w:rPr>
        <w:t>provides addition</w:t>
      </w:r>
      <w:r w:rsidRPr="00EE701D" w:rsidR="00C8018E">
        <w:rPr>
          <w:rFonts w:ascii="Palatino Linotype" w:hAnsi="Palatino Linotype"/>
          <w:color w:val="212121"/>
          <w:sz w:val="24"/>
          <w:szCs w:val="24"/>
        </w:rPr>
        <w:t>al</w:t>
      </w:r>
      <w:r w:rsidRPr="00EE701D" w:rsidR="00382B83">
        <w:rPr>
          <w:rFonts w:ascii="Palatino Linotype" w:hAnsi="Palatino Linotype"/>
          <w:color w:val="212121"/>
          <w:sz w:val="24"/>
          <w:szCs w:val="24"/>
        </w:rPr>
        <w:t xml:space="preserve"> public information </w:t>
      </w:r>
      <w:r w:rsidRPr="00EE701D" w:rsidR="008243FD">
        <w:rPr>
          <w:rFonts w:ascii="Palatino Linotype" w:hAnsi="Palatino Linotype"/>
          <w:color w:val="212121"/>
          <w:sz w:val="24"/>
          <w:szCs w:val="24"/>
        </w:rPr>
        <w:t>in</w:t>
      </w:r>
      <w:r w:rsidRPr="00EE701D" w:rsidR="00382B83">
        <w:rPr>
          <w:rFonts w:ascii="Palatino Linotype" w:hAnsi="Palatino Linotype"/>
          <w:color w:val="212121"/>
          <w:sz w:val="24"/>
          <w:szCs w:val="24"/>
        </w:rPr>
        <w:t xml:space="preserve"> the</w:t>
      </w:r>
      <w:r w:rsidRPr="00EE701D" w:rsidR="00716E08">
        <w:rPr>
          <w:rFonts w:ascii="Palatino Linotype" w:hAnsi="Palatino Linotype"/>
          <w:color w:val="212121"/>
          <w:sz w:val="24"/>
          <w:szCs w:val="24"/>
        </w:rPr>
        <w:t xml:space="preserve"> non-confidential</w:t>
      </w:r>
      <w:r w:rsidRPr="00EE701D" w:rsidR="00382B83">
        <w:rPr>
          <w:rFonts w:ascii="Palatino Linotype" w:hAnsi="Palatino Linotype"/>
          <w:color w:val="212121"/>
          <w:sz w:val="24"/>
          <w:szCs w:val="24"/>
        </w:rPr>
        <w:t xml:space="preserve"> body of the </w:t>
      </w:r>
      <w:r w:rsidRPr="00EE701D" w:rsidR="008243FD">
        <w:rPr>
          <w:rFonts w:ascii="Palatino Linotype" w:hAnsi="Palatino Linotype"/>
          <w:color w:val="212121"/>
          <w:sz w:val="24"/>
          <w:szCs w:val="24"/>
        </w:rPr>
        <w:t>AL.</w:t>
      </w:r>
      <w:r w:rsidRPr="00EE701D" w:rsidR="00302B60">
        <w:rPr>
          <w:rFonts w:ascii="Palatino Linotype" w:hAnsi="Palatino Linotype"/>
          <w:color w:val="212121"/>
          <w:sz w:val="24"/>
          <w:szCs w:val="24"/>
        </w:rPr>
        <w:t xml:space="preserve"> The</w:t>
      </w:r>
      <w:r w:rsidRPr="00EE701D" w:rsidR="00B71705">
        <w:rPr>
          <w:rFonts w:ascii="Palatino Linotype" w:hAnsi="Palatino Linotype"/>
          <w:color w:val="212121"/>
          <w:sz w:val="24"/>
          <w:szCs w:val="24"/>
        </w:rPr>
        <w:t xml:space="preserve"> supplemental also</w:t>
      </w:r>
      <w:r w:rsidRPr="00EE701D" w:rsidR="00302B60">
        <w:rPr>
          <w:rFonts w:ascii="Palatino Linotype" w:hAnsi="Palatino Linotype"/>
          <w:color w:val="212121"/>
          <w:sz w:val="24"/>
          <w:szCs w:val="24"/>
        </w:rPr>
        <w:t xml:space="preserve"> </w:t>
      </w:r>
      <w:r w:rsidRPr="00EE701D" w:rsidR="00B71705">
        <w:rPr>
          <w:rFonts w:ascii="Palatino Linotype" w:hAnsi="Palatino Linotype"/>
          <w:color w:val="212121"/>
          <w:sz w:val="24"/>
          <w:szCs w:val="24"/>
        </w:rPr>
        <w:t>provides a</w:t>
      </w:r>
      <w:r w:rsidRPr="00EE701D" w:rsidR="00641336">
        <w:rPr>
          <w:rFonts w:ascii="Palatino Linotype" w:hAnsi="Palatino Linotype"/>
          <w:color w:val="212121"/>
          <w:sz w:val="24"/>
          <w:szCs w:val="24"/>
        </w:rPr>
        <w:t xml:space="preserve"> very brief</w:t>
      </w:r>
      <w:r w:rsidRPr="00EE701D" w:rsidR="002A33C3">
        <w:rPr>
          <w:rFonts w:ascii="Palatino Linotype" w:hAnsi="Palatino Linotype"/>
          <w:color w:val="212121"/>
          <w:sz w:val="24"/>
          <w:szCs w:val="24"/>
        </w:rPr>
        <w:t xml:space="preserve"> </w:t>
      </w:r>
      <w:r w:rsidRPr="00EE701D" w:rsidR="00B71705">
        <w:rPr>
          <w:rFonts w:ascii="Palatino Linotype" w:hAnsi="Palatino Linotype"/>
          <w:color w:val="212121"/>
          <w:sz w:val="24"/>
          <w:szCs w:val="24"/>
        </w:rPr>
        <w:t xml:space="preserve">non-confidential </w:t>
      </w:r>
      <w:r w:rsidRPr="00EE701D" w:rsidR="002A33C3">
        <w:rPr>
          <w:rFonts w:ascii="Palatino Linotype" w:hAnsi="Palatino Linotype"/>
          <w:color w:val="212121"/>
          <w:sz w:val="24"/>
          <w:szCs w:val="24"/>
        </w:rPr>
        <w:t>summar</w:t>
      </w:r>
      <w:r w:rsidRPr="00EE701D" w:rsidR="00B71705">
        <w:rPr>
          <w:rFonts w:ascii="Palatino Linotype" w:hAnsi="Palatino Linotype"/>
          <w:color w:val="212121"/>
          <w:sz w:val="24"/>
          <w:szCs w:val="24"/>
        </w:rPr>
        <w:t>y of</w:t>
      </w:r>
      <w:r w:rsidRPr="00EE701D" w:rsidR="002A33C3">
        <w:rPr>
          <w:rFonts w:ascii="Palatino Linotype" w:hAnsi="Palatino Linotype"/>
          <w:color w:val="212121"/>
          <w:sz w:val="24"/>
          <w:szCs w:val="24"/>
        </w:rPr>
        <w:t xml:space="preserve"> the Joint CCAs’ proposal, stating that it is to develop a CBVRP for solar-on</w:t>
      </w:r>
      <w:r w:rsidRPr="00EE701D" w:rsidR="00990046">
        <w:rPr>
          <w:rFonts w:ascii="Palatino Linotype" w:hAnsi="Palatino Linotype"/>
          <w:color w:val="212121"/>
          <w:sz w:val="24"/>
          <w:szCs w:val="24"/>
        </w:rPr>
        <w:t>l</w:t>
      </w:r>
      <w:r w:rsidRPr="00EE701D" w:rsidR="002A33C3">
        <w:rPr>
          <w:rFonts w:ascii="Palatino Linotype" w:hAnsi="Palatino Linotype"/>
          <w:color w:val="212121"/>
          <w:sz w:val="24"/>
          <w:szCs w:val="24"/>
        </w:rPr>
        <w:t xml:space="preserve">y and both hybrid and co-located </w:t>
      </w:r>
      <w:r w:rsidRPr="00EE701D" w:rsidR="004D38D9">
        <w:rPr>
          <w:rFonts w:ascii="Palatino Linotype" w:hAnsi="Palatino Linotype"/>
          <w:color w:val="212121"/>
          <w:sz w:val="24"/>
          <w:szCs w:val="24"/>
        </w:rPr>
        <w:t xml:space="preserve">solar </w:t>
      </w:r>
      <w:r w:rsidRPr="00EE701D" w:rsidR="005C3143">
        <w:rPr>
          <w:rFonts w:ascii="Palatino Linotype" w:hAnsi="Palatino Linotype"/>
          <w:color w:val="212121"/>
          <w:sz w:val="24"/>
          <w:szCs w:val="24"/>
        </w:rPr>
        <w:t>and</w:t>
      </w:r>
      <w:r w:rsidRPr="00EE701D" w:rsidR="004D38D9">
        <w:rPr>
          <w:rFonts w:ascii="Palatino Linotype" w:hAnsi="Palatino Linotype"/>
          <w:color w:val="212121"/>
          <w:sz w:val="24"/>
          <w:szCs w:val="24"/>
        </w:rPr>
        <w:t xml:space="preserve"> storage resources and </w:t>
      </w:r>
      <w:r w:rsidRPr="00EE701D" w:rsidR="00990046">
        <w:rPr>
          <w:rFonts w:ascii="Palatino Linotype" w:hAnsi="Palatino Linotype"/>
          <w:color w:val="212121"/>
          <w:sz w:val="24"/>
          <w:szCs w:val="24"/>
        </w:rPr>
        <w:t xml:space="preserve">would require </w:t>
      </w:r>
      <w:r w:rsidRPr="00EE701D" w:rsidR="00716E08">
        <w:rPr>
          <w:rFonts w:ascii="Palatino Linotype" w:hAnsi="Palatino Linotype"/>
          <w:color w:val="212121"/>
          <w:sz w:val="24"/>
          <w:szCs w:val="24"/>
        </w:rPr>
        <w:t xml:space="preserve">the Commission’s </w:t>
      </w:r>
      <w:r w:rsidRPr="00EE701D" w:rsidR="00990046">
        <w:rPr>
          <w:rFonts w:ascii="Palatino Linotype" w:hAnsi="Palatino Linotype"/>
          <w:color w:val="212121"/>
          <w:sz w:val="24"/>
          <w:szCs w:val="24"/>
        </w:rPr>
        <w:t>Energy Division</w:t>
      </w:r>
      <w:r w:rsidRPr="00EE701D" w:rsidR="00716E08">
        <w:rPr>
          <w:rFonts w:ascii="Palatino Linotype" w:hAnsi="Palatino Linotype"/>
          <w:color w:val="212121"/>
          <w:sz w:val="24"/>
          <w:szCs w:val="24"/>
        </w:rPr>
        <w:t xml:space="preserve"> staff</w:t>
      </w:r>
      <w:r w:rsidRPr="00EE701D" w:rsidR="00990046">
        <w:rPr>
          <w:rFonts w:ascii="Palatino Linotype" w:hAnsi="Palatino Linotype"/>
          <w:color w:val="212121"/>
          <w:sz w:val="24"/>
          <w:szCs w:val="24"/>
        </w:rPr>
        <w:t xml:space="preserve"> to survey pricing data </w:t>
      </w:r>
      <w:r w:rsidRPr="00EE701D" w:rsidR="007712C0">
        <w:rPr>
          <w:rFonts w:ascii="Palatino Linotype" w:hAnsi="Palatino Linotype"/>
          <w:color w:val="212121"/>
          <w:sz w:val="24"/>
          <w:szCs w:val="24"/>
        </w:rPr>
        <w:t>to</w:t>
      </w:r>
      <w:r w:rsidRPr="00EE701D" w:rsidR="00990046">
        <w:rPr>
          <w:rFonts w:ascii="Palatino Linotype" w:hAnsi="Palatino Linotype"/>
          <w:color w:val="212121"/>
          <w:sz w:val="24"/>
          <w:szCs w:val="24"/>
        </w:rPr>
        <w:t xml:space="preserve"> set the CBVRP. The Joint IOUs also clarify that their proposal </w:t>
      </w:r>
      <w:r w:rsidRPr="00EE701D" w:rsidR="00F72769">
        <w:rPr>
          <w:rFonts w:ascii="Palatino Linotype" w:hAnsi="Palatino Linotype"/>
          <w:color w:val="212121"/>
          <w:sz w:val="24"/>
          <w:szCs w:val="24"/>
        </w:rPr>
        <w:t>sets a</w:t>
      </w:r>
      <w:r w:rsidRPr="00EE701D" w:rsidR="00B076F2">
        <w:rPr>
          <w:rFonts w:ascii="Palatino Linotype" w:hAnsi="Palatino Linotype"/>
          <w:color w:val="212121"/>
          <w:sz w:val="24"/>
          <w:szCs w:val="24"/>
        </w:rPr>
        <w:t xml:space="preserve"> cost</w:t>
      </w:r>
      <w:r w:rsidRPr="00EE701D" w:rsidR="00F72769">
        <w:rPr>
          <w:rFonts w:ascii="Palatino Linotype" w:hAnsi="Palatino Linotype"/>
          <w:color w:val="212121"/>
          <w:sz w:val="24"/>
          <w:szCs w:val="24"/>
        </w:rPr>
        <w:t xml:space="preserve"> containment cap for both solar-only and solar and storage resources.</w:t>
      </w:r>
      <w:r w:rsidRPr="00EE701D" w:rsidR="002F7CD3">
        <w:rPr>
          <w:rFonts w:ascii="Palatino Linotype" w:hAnsi="Palatino Linotype"/>
          <w:color w:val="212121"/>
          <w:sz w:val="24"/>
          <w:szCs w:val="24"/>
        </w:rPr>
        <w:t xml:space="preserve"> </w:t>
      </w:r>
      <w:r w:rsidRPr="00EE701D" w:rsidR="007E3ABA">
        <w:rPr>
          <w:rFonts w:ascii="Palatino Linotype" w:hAnsi="Palatino Linotype"/>
          <w:color w:val="212121"/>
          <w:sz w:val="24"/>
          <w:szCs w:val="24"/>
        </w:rPr>
        <w:t>Further, t</w:t>
      </w:r>
      <w:r w:rsidRPr="00EE701D" w:rsidR="002F7CD3">
        <w:rPr>
          <w:rFonts w:ascii="Palatino Linotype" w:hAnsi="Palatino Linotype"/>
          <w:color w:val="212121"/>
          <w:sz w:val="24"/>
          <w:szCs w:val="24"/>
        </w:rPr>
        <w:t>he Joint IOUs</w:t>
      </w:r>
      <w:r w:rsidRPr="00EE701D" w:rsidR="00240BEC">
        <w:rPr>
          <w:rFonts w:ascii="Palatino Linotype" w:hAnsi="Palatino Linotype"/>
          <w:color w:val="212121"/>
          <w:sz w:val="24"/>
          <w:szCs w:val="24"/>
        </w:rPr>
        <w:t>’ supplemental</w:t>
      </w:r>
      <w:r w:rsidRPr="00EE701D" w:rsidR="002F7CD3">
        <w:rPr>
          <w:rFonts w:ascii="Palatino Linotype" w:hAnsi="Palatino Linotype"/>
          <w:color w:val="212121"/>
          <w:sz w:val="24"/>
          <w:szCs w:val="24"/>
        </w:rPr>
        <w:t xml:space="preserve"> posit</w:t>
      </w:r>
      <w:r w:rsidRPr="00EE701D" w:rsidR="00240BEC">
        <w:rPr>
          <w:rFonts w:ascii="Palatino Linotype" w:hAnsi="Palatino Linotype"/>
          <w:color w:val="212121"/>
          <w:sz w:val="24"/>
          <w:szCs w:val="24"/>
        </w:rPr>
        <w:t>s</w:t>
      </w:r>
      <w:r w:rsidRPr="00EE701D" w:rsidR="002F7CD3">
        <w:rPr>
          <w:rFonts w:ascii="Palatino Linotype" w:hAnsi="Palatino Linotype"/>
          <w:color w:val="212121"/>
          <w:sz w:val="24"/>
          <w:szCs w:val="24"/>
        </w:rPr>
        <w:t xml:space="preserve"> that </w:t>
      </w:r>
      <w:r w:rsidRPr="00EE701D" w:rsidR="0091520E">
        <w:rPr>
          <w:rFonts w:ascii="Palatino Linotype" w:hAnsi="Palatino Linotype"/>
          <w:color w:val="212121"/>
          <w:sz w:val="24"/>
          <w:szCs w:val="24"/>
        </w:rPr>
        <w:t xml:space="preserve">DAC-GT </w:t>
      </w:r>
      <w:r w:rsidRPr="00EE701D" w:rsidR="00240BEC">
        <w:rPr>
          <w:rFonts w:ascii="Palatino Linotype" w:hAnsi="Palatino Linotype"/>
          <w:color w:val="212121"/>
          <w:sz w:val="24"/>
          <w:szCs w:val="24"/>
        </w:rPr>
        <w:t>PAs</w:t>
      </w:r>
      <w:r w:rsidRPr="00EE701D" w:rsidR="002F7CD3">
        <w:rPr>
          <w:rFonts w:ascii="Palatino Linotype" w:hAnsi="Palatino Linotype"/>
          <w:color w:val="212121"/>
          <w:sz w:val="24"/>
          <w:szCs w:val="24"/>
        </w:rPr>
        <w:t xml:space="preserve"> </w:t>
      </w:r>
      <w:r w:rsidRPr="00EE701D" w:rsidR="00791C5A">
        <w:rPr>
          <w:rFonts w:ascii="Palatino Linotype" w:hAnsi="Palatino Linotype"/>
          <w:color w:val="212121"/>
          <w:sz w:val="24"/>
          <w:szCs w:val="24"/>
        </w:rPr>
        <w:t xml:space="preserve">have broad discretion in implementing customer and procurement programs on behalf of the </w:t>
      </w:r>
      <w:r w:rsidRPr="00EE701D" w:rsidR="007712C0">
        <w:rPr>
          <w:rFonts w:ascii="Palatino Linotype" w:hAnsi="Palatino Linotype"/>
          <w:color w:val="212121"/>
          <w:sz w:val="24"/>
          <w:szCs w:val="24"/>
        </w:rPr>
        <w:t xml:space="preserve">Commission </w:t>
      </w:r>
      <w:r w:rsidRPr="00EE701D" w:rsidR="00F659AC">
        <w:rPr>
          <w:rFonts w:ascii="Palatino Linotype" w:hAnsi="Palatino Linotype"/>
          <w:color w:val="212121"/>
          <w:sz w:val="24"/>
          <w:szCs w:val="24"/>
        </w:rPr>
        <w:t>and therefore</w:t>
      </w:r>
      <w:r w:rsidRPr="00EE701D" w:rsidR="00B076F2">
        <w:rPr>
          <w:rFonts w:ascii="Palatino Linotype" w:hAnsi="Palatino Linotype"/>
          <w:color w:val="212121"/>
          <w:sz w:val="24"/>
          <w:szCs w:val="24"/>
        </w:rPr>
        <w:t xml:space="preserve"> </w:t>
      </w:r>
      <w:r w:rsidRPr="00EE701D" w:rsidR="00240BEC">
        <w:rPr>
          <w:rFonts w:ascii="Palatino Linotype" w:hAnsi="Palatino Linotype"/>
          <w:color w:val="212121"/>
          <w:sz w:val="24"/>
          <w:szCs w:val="24"/>
        </w:rPr>
        <w:t>PAs</w:t>
      </w:r>
      <w:r w:rsidRPr="00EE701D" w:rsidR="007712C0">
        <w:rPr>
          <w:rFonts w:ascii="Palatino Linotype" w:hAnsi="Palatino Linotype"/>
          <w:color w:val="212121"/>
          <w:sz w:val="24"/>
          <w:szCs w:val="24"/>
        </w:rPr>
        <w:t xml:space="preserve"> </w:t>
      </w:r>
      <w:r w:rsidRPr="00EE701D" w:rsidR="00922D23">
        <w:rPr>
          <w:rFonts w:ascii="Palatino Linotype" w:hAnsi="Palatino Linotype"/>
          <w:color w:val="212121"/>
          <w:sz w:val="24"/>
          <w:szCs w:val="24"/>
        </w:rPr>
        <w:t>should independently survey their own data to set the appropriate CBVRP</w:t>
      </w:r>
      <w:r w:rsidRPr="00EE701D" w:rsidR="007307C3">
        <w:rPr>
          <w:rFonts w:ascii="Palatino Linotype" w:hAnsi="Palatino Linotype"/>
          <w:color w:val="212121"/>
          <w:sz w:val="24"/>
          <w:szCs w:val="24"/>
        </w:rPr>
        <w:t xml:space="preserve"> and undergo</w:t>
      </w:r>
      <w:r w:rsidRPr="00EE701D" w:rsidR="00FD15A1">
        <w:rPr>
          <w:rFonts w:ascii="Palatino Linotype" w:hAnsi="Palatino Linotype"/>
          <w:color w:val="212121"/>
          <w:sz w:val="24"/>
          <w:szCs w:val="24"/>
        </w:rPr>
        <w:t xml:space="preserve"> a reasonableness check </w:t>
      </w:r>
      <w:r w:rsidRPr="00EE701D" w:rsidR="00556C32">
        <w:rPr>
          <w:rFonts w:ascii="Palatino Linotype" w:hAnsi="Palatino Linotype"/>
          <w:color w:val="212121"/>
          <w:sz w:val="24"/>
          <w:szCs w:val="24"/>
        </w:rPr>
        <w:t xml:space="preserve">by each IOU’s existing </w:t>
      </w:r>
      <w:r w:rsidRPr="00EE701D" w:rsidR="005C5A36">
        <w:rPr>
          <w:rFonts w:ascii="Palatino Linotype" w:hAnsi="Palatino Linotype"/>
          <w:color w:val="212121"/>
          <w:sz w:val="24"/>
          <w:szCs w:val="24"/>
        </w:rPr>
        <w:t>Procurement</w:t>
      </w:r>
      <w:r w:rsidRPr="00EE701D" w:rsidR="00556C32">
        <w:rPr>
          <w:rFonts w:ascii="Palatino Linotype" w:hAnsi="Palatino Linotype"/>
          <w:color w:val="212121"/>
          <w:sz w:val="24"/>
          <w:szCs w:val="24"/>
        </w:rPr>
        <w:t xml:space="preserve"> Review Group</w:t>
      </w:r>
      <w:r w:rsidRPr="00EE701D" w:rsidR="004F7EC0">
        <w:rPr>
          <w:rFonts w:ascii="Palatino Linotype" w:hAnsi="Palatino Linotype"/>
          <w:color w:val="212121"/>
          <w:sz w:val="24"/>
          <w:szCs w:val="24"/>
        </w:rPr>
        <w:t xml:space="preserve"> </w:t>
      </w:r>
      <w:r w:rsidRPr="00EE701D" w:rsidR="005C5A36">
        <w:rPr>
          <w:rFonts w:ascii="Palatino Linotype" w:hAnsi="Palatino Linotype"/>
          <w:color w:val="212121"/>
          <w:sz w:val="24"/>
          <w:szCs w:val="24"/>
        </w:rPr>
        <w:t xml:space="preserve">(PRG) </w:t>
      </w:r>
      <w:r w:rsidRPr="00EE701D" w:rsidR="00556C32">
        <w:rPr>
          <w:rFonts w:ascii="Palatino Linotype" w:hAnsi="Palatino Linotype"/>
          <w:color w:val="212121"/>
          <w:sz w:val="24"/>
          <w:szCs w:val="24"/>
        </w:rPr>
        <w:t>Independent Evaluator.</w:t>
      </w:r>
      <w:r w:rsidRPr="00EE701D" w:rsidR="0014784C">
        <w:rPr>
          <w:rStyle w:val="FootnoteReference"/>
          <w:rFonts w:ascii="Palatino Linotype" w:hAnsi="Palatino Linotype"/>
          <w:color w:val="212121"/>
          <w:sz w:val="24"/>
          <w:szCs w:val="24"/>
        </w:rPr>
        <w:footnoteReference w:id="11"/>
      </w:r>
      <w:r w:rsidRPr="00EE701D" w:rsidR="005D2F3C">
        <w:rPr>
          <w:rFonts w:ascii="Palatino Linotype" w:hAnsi="Palatino Linotype"/>
          <w:color w:val="212121"/>
          <w:sz w:val="24"/>
          <w:szCs w:val="24"/>
        </w:rPr>
        <w:t xml:space="preserve"> </w:t>
      </w:r>
      <w:r w:rsidRPr="00EE701D" w:rsidR="00D81B17">
        <w:rPr>
          <w:rFonts w:ascii="Palatino Linotype" w:hAnsi="Palatino Linotype"/>
          <w:color w:val="212121"/>
          <w:sz w:val="24"/>
          <w:szCs w:val="24"/>
        </w:rPr>
        <w:t>Lastly, the Joint IOUs</w:t>
      </w:r>
      <w:r w:rsidRPr="00EE701D" w:rsidR="00240BEC">
        <w:rPr>
          <w:rFonts w:ascii="Palatino Linotype" w:hAnsi="Palatino Linotype"/>
          <w:color w:val="212121"/>
          <w:sz w:val="24"/>
          <w:szCs w:val="24"/>
        </w:rPr>
        <w:t>’ supplemental</w:t>
      </w:r>
      <w:r w:rsidRPr="00EE701D" w:rsidR="00D81B17">
        <w:rPr>
          <w:rFonts w:ascii="Palatino Linotype" w:hAnsi="Palatino Linotype"/>
          <w:color w:val="212121"/>
          <w:sz w:val="24"/>
          <w:szCs w:val="24"/>
        </w:rPr>
        <w:t xml:space="preserve"> </w:t>
      </w:r>
      <w:r w:rsidRPr="00EE701D" w:rsidR="00391151">
        <w:rPr>
          <w:rFonts w:ascii="Palatino Linotype" w:hAnsi="Palatino Linotype"/>
          <w:color w:val="212121"/>
          <w:sz w:val="24"/>
          <w:szCs w:val="24"/>
        </w:rPr>
        <w:t>reiterate</w:t>
      </w:r>
      <w:r w:rsidRPr="00EE701D" w:rsidR="00240BEC">
        <w:rPr>
          <w:rFonts w:ascii="Palatino Linotype" w:hAnsi="Palatino Linotype"/>
          <w:color w:val="212121"/>
          <w:sz w:val="24"/>
          <w:szCs w:val="24"/>
        </w:rPr>
        <w:t>s</w:t>
      </w:r>
      <w:r w:rsidRPr="00EE701D" w:rsidR="00391151">
        <w:rPr>
          <w:rFonts w:ascii="Palatino Linotype" w:hAnsi="Palatino Linotype"/>
          <w:color w:val="212121"/>
          <w:sz w:val="24"/>
          <w:szCs w:val="24"/>
        </w:rPr>
        <w:t xml:space="preserve"> rebuttal arguments from their </w:t>
      </w:r>
      <w:r w:rsidRPr="00EE701D" w:rsidR="00F87ED7">
        <w:rPr>
          <w:rFonts w:ascii="Palatino Linotype" w:hAnsi="Palatino Linotype"/>
          <w:color w:val="212121"/>
          <w:sz w:val="24"/>
          <w:szCs w:val="24"/>
        </w:rPr>
        <w:t xml:space="preserve">reply to the initial protests </w:t>
      </w:r>
      <w:r w:rsidRPr="00EE701D" w:rsidR="000B3BE5">
        <w:rPr>
          <w:rFonts w:ascii="Palatino Linotype" w:hAnsi="Palatino Linotype"/>
          <w:color w:val="212121"/>
          <w:sz w:val="24"/>
          <w:szCs w:val="24"/>
        </w:rPr>
        <w:t>stating that</w:t>
      </w:r>
      <w:r w:rsidRPr="00EE701D" w:rsidR="00B076F2">
        <w:rPr>
          <w:rFonts w:ascii="Palatino Linotype" w:hAnsi="Palatino Linotype"/>
          <w:color w:val="212121"/>
          <w:sz w:val="24"/>
          <w:szCs w:val="24"/>
        </w:rPr>
        <w:t>:</w:t>
      </w:r>
      <w:r w:rsidRPr="00EE701D" w:rsidR="000B3BE5">
        <w:rPr>
          <w:rFonts w:ascii="Palatino Linotype" w:hAnsi="Palatino Linotype"/>
          <w:color w:val="212121"/>
          <w:sz w:val="24"/>
          <w:szCs w:val="24"/>
        </w:rPr>
        <w:t xml:space="preserve"> </w:t>
      </w:r>
      <w:r w:rsidRPr="00EE701D" w:rsidR="00554332">
        <w:rPr>
          <w:rFonts w:ascii="Palatino Linotype" w:hAnsi="Palatino Linotype"/>
          <w:color w:val="212121"/>
          <w:sz w:val="24"/>
          <w:szCs w:val="24"/>
        </w:rPr>
        <w:t xml:space="preserve">1) </w:t>
      </w:r>
      <w:r w:rsidRPr="00EE701D" w:rsidR="00F87ED7">
        <w:rPr>
          <w:rFonts w:ascii="Palatino Linotype" w:hAnsi="Palatino Linotype"/>
          <w:color w:val="212121"/>
          <w:sz w:val="24"/>
          <w:szCs w:val="24"/>
        </w:rPr>
        <w:t>th</w:t>
      </w:r>
      <w:r w:rsidRPr="00EE701D" w:rsidR="009C01A8">
        <w:rPr>
          <w:rFonts w:ascii="Palatino Linotype" w:hAnsi="Palatino Linotype"/>
          <w:color w:val="212121"/>
          <w:sz w:val="24"/>
          <w:szCs w:val="24"/>
        </w:rPr>
        <w:t xml:space="preserve">e existing 200 percent Multiplier is no longer </w:t>
      </w:r>
      <w:r w:rsidRPr="00EE701D" w:rsidR="000E0F8F">
        <w:rPr>
          <w:rFonts w:ascii="Palatino Linotype" w:hAnsi="Palatino Linotype"/>
          <w:color w:val="212121"/>
          <w:sz w:val="24"/>
          <w:szCs w:val="24"/>
        </w:rPr>
        <w:t>appropriate</w:t>
      </w:r>
      <w:r w:rsidRPr="00EE701D" w:rsidR="009C01A8">
        <w:rPr>
          <w:rFonts w:ascii="Palatino Linotype" w:hAnsi="Palatino Linotype"/>
          <w:color w:val="212121"/>
          <w:sz w:val="24"/>
          <w:szCs w:val="24"/>
        </w:rPr>
        <w:t xml:space="preserve"> or reasonable given </w:t>
      </w:r>
      <w:r w:rsidRPr="00EE701D" w:rsidR="00CE36A8">
        <w:rPr>
          <w:rFonts w:ascii="Palatino Linotype" w:hAnsi="Palatino Linotype"/>
          <w:color w:val="212121"/>
          <w:sz w:val="24"/>
          <w:szCs w:val="24"/>
        </w:rPr>
        <w:t>the</w:t>
      </w:r>
      <w:r w:rsidRPr="00EE701D" w:rsidDel="005D513C" w:rsidR="00CE36A8">
        <w:rPr>
          <w:rFonts w:ascii="Palatino Linotype" w:hAnsi="Palatino Linotype"/>
          <w:color w:val="212121"/>
          <w:sz w:val="24"/>
          <w:szCs w:val="24"/>
        </w:rPr>
        <w:t xml:space="preserve"> </w:t>
      </w:r>
      <w:r w:rsidRPr="00EE701D" w:rsidR="005D513C">
        <w:rPr>
          <w:rFonts w:ascii="Palatino Linotype" w:hAnsi="Palatino Linotype"/>
          <w:color w:val="212121"/>
          <w:sz w:val="24"/>
          <w:szCs w:val="24"/>
        </w:rPr>
        <w:t>Commission</w:t>
      </w:r>
      <w:r w:rsidRPr="00EE701D" w:rsidR="00CE36A8">
        <w:rPr>
          <w:rFonts w:ascii="Palatino Linotype" w:hAnsi="Palatino Linotype"/>
          <w:color w:val="212121"/>
          <w:sz w:val="24"/>
          <w:szCs w:val="24"/>
        </w:rPr>
        <w:t xml:space="preserve">’s expansion of DAC-GT’s geographic requirements </w:t>
      </w:r>
      <w:r w:rsidRPr="00EE701D" w:rsidR="000E0F8F">
        <w:rPr>
          <w:rFonts w:ascii="Palatino Linotype" w:hAnsi="Palatino Linotype"/>
          <w:color w:val="212121"/>
          <w:sz w:val="24"/>
          <w:szCs w:val="24"/>
        </w:rPr>
        <w:t xml:space="preserve">and </w:t>
      </w:r>
      <w:r w:rsidRPr="00EE701D" w:rsidR="00554332">
        <w:rPr>
          <w:rFonts w:ascii="Palatino Linotype" w:hAnsi="Palatino Linotype"/>
          <w:color w:val="212121"/>
          <w:sz w:val="24"/>
          <w:szCs w:val="24"/>
        </w:rPr>
        <w:t xml:space="preserve">2) a </w:t>
      </w:r>
      <w:r w:rsidRPr="00EE701D" w:rsidR="000E0F8F">
        <w:rPr>
          <w:rFonts w:ascii="Palatino Linotype" w:hAnsi="Palatino Linotype"/>
          <w:color w:val="212121"/>
          <w:sz w:val="24"/>
          <w:szCs w:val="24"/>
        </w:rPr>
        <w:t>120 percent Multiplier is reasonable and necessary to protect non-participating customers, who partially fund the program</w:t>
      </w:r>
      <w:r w:rsidRPr="00EE701D" w:rsidR="0091004D">
        <w:rPr>
          <w:rFonts w:ascii="Palatino Linotype" w:hAnsi="Palatino Linotype"/>
          <w:color w:val="212121"/>
          <w:sz w:val="24"/>
          <w:szCs w:val="24"/>
        </w:rPr>
        <w:t xml:space="preserve"> through </w:t>
      </w:r>
      <w:r w:rsidRPr="00EE701D" w:rsidR="002F12FF">
        <w:rPr>
          <w:rFonts w:ascii="Palatino Linotype" w:hAnsi="Palatino Linotype"/>
          <w:color w:val="212121"/>
          <w:sz w:val="24"/>
          <w:szCs w:val="24"/>
        </w:rPr>
        <w:t xml:space="preserve">the </w:t>
      </w:r>
      <w:r w:rsidRPr="00EE701D" w:rsidR="0091004D">
        <w:rPr>
          <w:rFonts w:ascii="Palatino Linotype" w:hAnsi="Palatino Linotype"/>
          <w:color w:val="212121"/>
          <w:sz w:val="24"/>
          <w:szCs w:val="24"/>
        </w:rPr>
        <w:t>Public Purpose Program (PPP) charge</w:t>
      </w:r>
      <w:r w:rsidRPr="00EE701D" w:rsidDel="0009213D" w:rsidR="0091004D">
        <w:rPr>
          <w:rFonts w:ascii="Palatino Linotype" w:hAnsi="Palatino Linotype"/>
          <w:color w:val="212121"/>
          <w:sz w:val="24"/>
          <w:szCs w:val="24"/>
        </w:rPr>
        <w:t>,</w:t>
      </w:r>
      <w:r w:rsidRPr="00EE701D" w:rsidR="0091004D">
        <w:rPr>
          <w:rFonts w:ascii="Palatino Linotype" w:hAnsi="Palatino Linotype"/>
          <w:color w:val="212121"/>
          <w:sz w:val="24"/>
          <w:szCs w:val="24"/>
        </w:rPr>
        <w:t xml:space="preserve"> </w:t>
      </w:r>
      <w:r w:rsidRPr="00EE701D" w:rsidR="000E0F8F">
        <w:rPr>
          <w:rFonts w:ascii="Palatino Linotype" w:hAnsi="Palatino Linotype"/>
          <w:color w:val="212121"/>
          <w:sz w:val="24"/>
          <w:szCs w:val="24"/>
        </w:rPr>
        <w:t>from above market costs</w:t>
      </w:r>
      <w:r w:rsidRPr="00EE701D" w:rsidR="00295E3A">
        <w:rPr>
          <w:rFonts w:ascii="Palatino Linotype" w:hAnsi="Palatino Linotype"/>
          <w:color w:val="212121"/>
          <w:sz w:val="24"/>
          <w:szCs w:val="24"/>
        </w:rPr>
        <w:t>.</w:t>
      </w:r>
    </w:p>
    <w:p w:rsidRPr="00EE701D" w:rsidR="00D970A9" w:rsidP="00D970A9" w:rsidRDefault="00D970A9" w14:paraId="287FA9A5" w14:textId="77777777">
      <w:pPr>
        <w:rPr>
          <w:rFonts w:ascii="Palatino Linotype" w:hAnsi="Palatino Linotype"/>
          <w:color w:val="212121"/>
          <w:sz w:val="24"/>
          <w:szCs w:val="24"/>
        </w:rPr>
      </w:pPr>
      <w:r w:rsidRPr="00EE701D">
        <w:rPr>
          <w:rFonts w:ascii="Palatino Linotype" w:hAnsi="Palatino Linotype"/>
          <w:color w:val="212121"/>
          <w:sz w:val="24"/>
          <w:szCs w:val="24"/>
        </w:rPr>
        <w:t> </w:t>
      </w:r>
    </w:p>
    <w:p w:rsidRPr="00EE701D" w:rsidR="00D970A9" w:rsidP="00D970A9" w:rsidRDefault="00034A1D" w14:paraId="2E33C760" w14:textId="6355AFD5">
      <w:pPr>
        <w:rPr>
          <w:rFonts w:ascii="Palatino Linotype" w:hAnsi="Palatino Linotype"/>
          <w:color w:val="212121"/>
          <w:sz w:val="24"/>
          <w:szCs w:val="24"/>
        </w:rPr>
      </w:pPr>
      <w:r w:rsidRPr="00EE701D">
        <w:rPr>
          <w:rFonts w:ascii="Palatino Linotype" w:hAnsi="Palatino Linotype"/>
          <w:color w:val="212121"/>
          <w:sz w:val="24"/>
          <w:szCs w:val="24"/>
        </w:rPr>
        <w:t>On November 26, 2024</w:t>
      </w:r>
      <w:r w:rsidRPr="00EE701D" w:rsidR="004525CA">
        <w:rPr>
          <w:rFonts w:ascii="Palatino Linotype" w:hAnsi="Palatino Linotype"/>
          <w:color w:val="212121"/>
          <w:sz w:val="24"/>
          <w:szCs w:val="24"/>
        </w:rPr>
        <w:t>,</w:t>
      </w:r>
      <w:r w:rsidRPr="00EE701D">
        <w:rPr>
          <w:rFonts w:ascii="Palatino Linotype" w:hAnsi="Palatino Linotype"/>
          <w:color w:val="212121"/>
          <w:sz w:val="24"/>
          <w:szCs w:val="24"/>
        </w:rPr>
        <w:t xml:space="preserve"> the Joint CCAs</w:t>
      </w:r>
      <w:r w:rsidRPr="00EE701D" w:rsidR="00075FDC">
        <w:rPr>
          <w:rFonts w:ascii="Palatino Linotype" w:hAnsi="Palatino Linotype"/>
          <w:color w:val="212121"/>
          <w:sz w:val="24"/>
          <w:szCs w:val="24"/>
        </w:rPr>
        <w:t xml:space="preserve"> submitted a protest and Dimension submitted a response</w:t>
      </w:r>
      <w:r w:rsidRPr="00EE701D" w:rsidR="00751E73">
        <w:rPr>
          <w:rFonts w:ascii="Palatino Linotype" w:hAnsi="Palatino Linotype"/>
          <w:color w:val="212121"/>
          <w:sz w:val="24"/>
          <w:szCs w:val="24"/>
        </w:rPr>
        <w:t xml:space="preserve"> to the supplemental AL</w:t>
      </w:r>
      <w:r w:rsidRPr="00EE701D" w:rsidR="00075FDC">
        <w:rPr>
          <w:rFonts w:ascii="Palatino Linotype" w:hAnsi="Palatino Linotype"/>
          <w:color w:val="212121"/>
          <w:sz w:val="24"/>
          <w:szCs w:val="24"/>
        </w:rPr>
        <w:t>.</w:t>
      </w:r>
      <w:r w:rsidRPr="00EE701D" w:rsidR="002F12FF">
        <w:rPr>
          <w:rFonts w:ascii="Palatino Linotype" w:hAnsi="Palatino Linotype"/>
          <w:color w:val="212121"/>
          <w:sz w:val="24"/>
          <w:szCs w:val="24"/>
        </w:rPr>
        <w:t xml:space="preserve"> </w:t>
      </w:r>
      <w:r w:rsidRPr="00EE701D" w:rsidR="00123317">
        <w:rPr>
          <w:rFonts w:ascii="Palatino Linotype" w:hAnsi="Palatino Linotype"/>
          <w:color w:val="212121"/>
          <w:sz w:val="24"/>
          <w:szCs w:val="24"/>
        </w:rPr>
        <w:t xml:space="preserve"> </w:t>
      </w:r>
    </w:p>
    <w:p w:rsidRPr="00EE701D" w:rsidR="00EC0266" w:rsidP="00D970A9" w:rsidRDefault="00EC0266" w14:paraId="6BD36D4A" w14:textId="77777777">
      <w:pPr>
        <w:rPr>
          <w:rFonts w:ascii="Palatino Linotype" w:hAnsi="Palatino Linotype"/>
          <w:color w:val="212121"/>
          <w:sz w:val="24"/>
          <w:szCs w:val="24"/>
        </w:rPr>
      </w:pPr>
    </w:p>
    <w:p w:rsidRPr="00EE701D" w:rsidR="0009213D" w:rsidP="0009213D" w:rsidRDefault="00754C97" w14:paraId="518075FF" w14:textId="3075F41D">
      <w:pPr>
        <w:rPr>
          <w:rFonts w:ascii="Palatino Linotype" w:hAnsi="Palatino Linotype" w:eastAsia="Palatino Linotype"/>
          <w:color w:val="212121"/>
          <w:sz w:val="24"/>
          <w:szCs w:val="24"/>
        </w:rPr>
      </w:pPr>
      <w:r w:rsidRPr="00EE701D">
        <w:rPr>
          <w:rFonts w:ascii="Palatino Linotype" w:hAnsi="Palatino Linotype"/>
          <w:color w:val="212121"/>
          <w:sz w:val="24"/>
          <w:szCs w:val="24"/>
        </w:rPr>
        <w:t>On December 5, 202</w:t>
      </w:r>
      <w:r w:rsidRPr="00EE701D" w:rsidR="00C87632">
        <w:rPr>
          <w:rFonts w:ascii="Palatino Linotype" w:hAnsi="Palatino Linotype"/>
          <w:color w:val="212121"/>
          <w:sz w:val="24"/>
          <w:szCs w:val="24"/>
        </w:rPr>
        <w:t xml:space="preserve">4, the Joint IOUs submitted a reply to </w:t>
      </w:r>
      <w:r w:rsidRPr="00EE701D" w:rsidR="006376C9">
        <w:rPr>
          <w:rFonts w:ascii="Palatino Linotype" w:hAnsi="Palatino Linotype"/>
          <w:color w:val="212121"/>
          <w:sz w:val="24"/>
          <w:szCs w:val="24"/>
        </w:rPr>
        <w:t>the Joint CCAs’ protest and</w:t>
      </w:r>
      <w:r w:rsidRPr="00EE701D" w:rsidR="00573D76">
        <w:rPr>
          <w:rFonts w:ascii="Palatino Linotype" w:hAnsi="Palatino Linotype"/>
          <w:color w:val="212121"/>
          <w:sz w:val="24"/>
          <w:szCs w:val="24"/>
        </w:rPr>
        <w:t xml:space="preserve"> to</w:t>
      </w:r>
      <w:r w:rsidRPr="00EE701D" w:rsidR="006376C9">
        <w:rPr>
          <w:rFonts w:ascii="Palatino Linotype" w:hAnsi="Palatino Linotype"/>
          <w:color w:val="212121"/>
          <w:sz w:val="24"/>
          <w:szCs w:val="24"/>
        </w:rPr>
        <w:t xml:space="preserve"> </w:t>
      </w:r>
      <w:r w:rsidRPr="00EE701D" w:rsidR="004250EF">
        <w:rPr>
          <w:rFonts w:ascii="Palatino Linotype" w:hAnsi="Palatino Linotype"/>
          <w:color w:val="212121"/>
          <w:sz w:val="24"/>
          <w:szCs w:val="24"/>
        </w:rPr>
        <w:t xml:space="preserve">Dimension’s </w:t>
      </w:r>
      <w:r w:rsidRPr="00EE701D" w:rsidR="006376C9">
        <w:rPr>
          <w:rFonts w:ascii="Palatino Linotype" w:hAnsi="Palatino Linotype"/>
          <w:color w:val="212121"/>
          <w:sz w:val="24"/>
          <w:szCs w:val="24"/>
        </w:rPr>
        <w:t>response.</w:t>
      </w:r>
      <w:r w:rsidRPr="00EE701D" w:rsidR="005F26D9">
        <w:rPr>
          <w:rFonts w:ascii="Palatino Linotype" w:hAnsi="Palatino Linotype"/>
          <w:color w:val="212121"/>
          <w:sz w:val="24"/>
          <w:szCs w:val="24"/>
        </w:rPr>
        <w:t xml:space="preserve"> </w:t>
      </w:r>
    </w:p>
    <w:p w:rsidRPr="00EE701D" w:rsidR="00463E2D" w:rsidP="0009213D" w:rsidRDefault="00463E2D" w14:paraId="5A0F06E8" w14:textId="77777777">
      <w:pPr>
        <w:rPr>
          <w:rFonts w:ascii="Palatino Linotype" w:hAnsi="Palatino Linotype" w:eastAsia="Palatino Linotype"/>
          <w:color w:val="212121"/>
          <w:sz w:val="24"/>
          <w:szCs w:val="24"/>
        </w:rPr>
      </w:pPr>
    </w:p>
    <w:p w:rsidRPr="00EE701D" w:rsidR="00CF17DE" w:rsidP="4BA7214B" w:rsidRDefault="00394B3A" w14:paraId="66788129" w14:textId="08F4F254">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lastRenderedPageBreak/>
        <w:t>Notice</w:t>
      </w:r>
    </w:p>
    <w:p w:rsidRPr="00EE701D" w:rsidR="00CF17DE" w:rsidP="4BA7214B" w:rsidRDefault="00CF17DE" w14:paraId="37FFE207" w14:textId="7154B5AE">
      <w:pPr>
        <w:rPr>
          <w:rFonts w:ascii="Palatino Linotype" w:hAnsi="Palatino Linotype" w:eastAsia="Palatino Linotype"/>
          <w:color w:val="212121"/>
          <w:sz w:val="24"/>
          <w:szCs w:val="24"/>
        </w:rPr>
      </w:pPr>
      <w:r w:rsidRPr="00EE701D">
        <w:rPr>
          <w:rFonts w:ascii="Palatino Linotype" w:hAnsi="Palatino Linotype" w:eastAsia="Palatino Linotype"/>
          <w:color w:val="212121"/>
          <w:sz w:val="24"/>
          <w:szCs w:val="24"/>
        </w:rPr>
        <w:t xml:space="preserve">Notice of </w:t>
      </w:r>
      <w:r w:rsidRPr="00EE701D" w:rsidR="005D3F44">
        <w:rPr>
          <w:rFonts w:ascii="Palatino Linotype" w:hAnsi="Palatino Linotype" w:eastAsia="Palatino Linotype"/>
          <w:color w:val="212121"/>
          <w:sz w:val="24"/>
          <w:szCs w:val="24"/>
        </w:rPr>
        <w:t>SCE 5362-E</w:t>
      </w:r>
      <w:r w:rsidRPr="00EE701D" w:rsidR="0065405A">
        <w:rPr>
          <w:rFonts w:ascii="Palatino Linotype" w:hAnsi="Palatino Linotype"/>
          <w:color w:val="212121"/>
          <w:sz w:val="24"/>
          <w:szCs w:val="24"/>
        </w:rPr>
        <w:t>-A</w:t>
      </w:r>
      <w:r w:rsidRPr="00EE701D" w:rsidR="005D3F44">
        <w:rPr>
          <w:rFonts w:ascii="Palatino Linotype" w:hAnsi="Palatino Linotype" w:eastAsia="Palatino Linotype"/>
          <w:color w:val="212121"/>
          <w:sz w:val="24"/>
          <w:szCs w:val="24"/>
        </w:rPr>
        <w:t xml:space="preserve"> and PG&amp;E 7363-E</w:t>
      </w:r>
      <w:r w:rsidRPr="00EE701D" w:rsidR="0065405A">
        <w:rPr>
          <w:rFonts w:ascii="Palatino Linotype" w:hAnsi="Palatino Linotype"/>
          <w:color w:val="212121"/>
          <w:sz w:val="24"/>
          <w:szCs w:val="24"/>
        </w:rPr>
        <w:t>-A</w:t>
      </w:r>
      <w:r w:rsidRPr="00EE701D">
        <w:rPr>
          <w:rFonts w:ascii="Palatino Linotype" w:hAnsi="Palatino Linotype" w:eastAsia="Palatino Linotype"/>
          <w:color w:val="212121"/>
          <w:sz w:val="24"/>
          <w:szCs w:val="24"/>
        </w:rPr>
        <w:t xml:space="preserve"> was made by publication in the C</w:t>
      </w:r>
      <w:r w:rsidRPr="00EE701D" w:rsidR="00570B07">
        <w:rPr>
          <w:rFonts w:ascii="Palatino Linotype" w:hAnsi="Palatino Linotype" w:eastAsia="Palatino Linotype"/>
          <w:color w:val="212121"/>
          <w:sz w:val="24"/>
          <w:szCs w:val="24"/>
        </w:rPr>
        <w:t>PUC</w:t>
      </w:r>
      <w:r w:rsidRPr="00EE701D">
        <w:rPr>
          <w:rFonts w:ascii="Palatino Linotype" w:hAnsi="Palatino Linotype" w:eastAsia="Palatino Linotype"/>
          <w:color w:val="212121"/>
          <w:sz w:val="24"/>
          <w:szCs w:val="24"/>
        </w:rPr>
        <w:t xml:space="preserve">’s Daily Calendar.  </w:t>
      </w:r>
      <w:r w:rsidRPr="00EE701D" w:rsidR="00570B07">
        <w:rPr>
          <w:rFonts w:ascii="Palatino Linotype" w:hAnsi="Palatino Linotype" w:eastAsia="Palatino Linotype"/>
          <w:color w:val="212121"/>
          <w:sz w:val="24"/>
          <w:szCs w:val="24"/>
        </w:rPr>
        <w:t>SCE</w:t>
      </w:r>
      <w:r w:rsidRPr="00EE701D">
        <w:rPr>
          <w:rFonts w:ascii="Palatino Linotype" w:hAnsi="Palatino Linotype" w:eastAsia="Palatino Linotype"/>
          <w:color w:val="212121"/>
          <w:sz w:val="24"/>
          <w:szCs w:val="24"/>
        </w:rPr>
        <w:t xml:space="preserve"> states that a copy of the </w:t>
      </w:r>
      <w:r w:rsidRPr="00EE701D" w:rsidR="00570B07">
        <w:rPr>
          <w:rFonts w:ascii="Palatino Linotype" w:hAnsi="Palatino Linotype" w:eastAsia="Palatino Linotype"/>
          <w:color w:val="212121"/>
          <w:sz w:val="24"/>
          <w:szCs w:val="24"/>
        </w:rPr>
        <w:t xml:space="preserve">Joint </w:t>
      </w:r>
      <w:r w:rsidRPr="00EE701D">
        <w:rPr>
          <w:rFonts w:ascii="Palatino Linotype" w:hAnsi="Palatino Linotype" w:eastAsia="Palatino Linotype"/>
          <w:color w:val="212121"/>
          <w:sz w:val="24"/>
          <w:szCs w:val="24"/>
        </w:rPr>
        <w:t>Advice Letter was mailed and distributed in accordance with Sec</w:t>
      </w:r>
      <w:r w:rsidRPr="00EE701D" w:rsidR="00A1526C">
        <w:rPr>
          <w:rFonts w:ascii="Palatino Linotype" w:hAnsi="Palatino Linotype" w:eastAsia="Palatino Linotype"/>
          <w:color w:val="212121"/>
          <w:sz w:val="24"/>
          <w:szCs w:val="24"/>
        </w:rPr>
        <w:t xml:space="preserve">tion </w:t>
      </w:r>
      <w:r w:rsidRPr="00EE701D" w:rsidR="0069631C">
        <w:rPr>
          <w:rFonts w:ascii="Palatino Linotype" w:hAnsi="Palatino Linotype" w:eastAsia="Palatino Linotype"/>
          <w:color w:val="212121"/>
          <w:sz w:val="24"/>
          <w:szCs w:val="24"/>
        </w:rPr>
        <w:t>4</w:t>
      </w:r>
      <w:r w:rsidRPr="00EE701D" w:rsidR="00E928CF">
        <w:rPr>
          <w:rFonts w:ascii="Palatino Linotype" w:hAnsi="Palatino Linotype" w:eastAsia="Palatino Linotype"/>
          <w:color w:val="212121"/>
          <w:sz w:val="24"/>
          <w:szCs w:val="24"/>
        </w:rPr>
        <w:t xml:space="preserve"> of General Order 96-B</w:t>
      </w:r>
      <w:r w:rsidRPr="00EE701D">
        <w:rPr>
          <w:rFonts w:ascii="Palatino Linotype" w:hAnsi="Palatino Linotype" w:eastAsia="Palatino Linotype"/>
          <w:color w:val="212121"/>
          <w:sz w:val="24"/>
          <w:szCs w:val="24"/>
        </w:rPr>
        <w:t xml:space="preserve">. </w:t>
      </w:r>
    </w:p>
    <w:p w:rsidRPr="00EE701D" w:rsidR="00CF17DE" w:rsidP="4BA7214B" w:rsidRDefault="00CF17DE" w14:paraId="6E8F021A" w14:textId="77777777">
      <w:pPr>
        <w:rPr>
          <w:rFonts w:ascii="Palatino Linotype" w:hAnsi="Palatino Linotype" w:eastAsia="Palatino Linotype"/>
          <w:sz w:val="24"/>
          <w:szCs w:val="24"/>
        </w:rPr>
      </w:pPr>
    </w:p>
    <w:p w:rsidRPr="00EE701D" w:rsidR="00CF17DE" w:rsidP="4BA7214B" w:rsidRDefault="00CF17DE" w14:paraId="7F509E4C" w14:textId="25F31B3B">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t>Protests</w:t>
      </w:r>
      <w:r w:rsidRPr="00EE701D" w:rsidR="009C5B34">
        <w:rPr>
          <w:rFonts w:ascii="Palatino Linotype" w:hAnsi="Palatino Linotype" w:eastAsia="Palatino Linotype"/>
          <w:sz w:val="24"/>
          <w:szCs w:val="24"/>
        </w:rPr>
        <w:t>, Respon</w:t>
      </w:r>
      <w:r w:rsidRPr="00EE701D" w:rsidR="00371C52">
        <w:rPr>
          <w:rFonts w:ascii="Palatino Linotype" w:hAnsi="Palatino Linotype" w:eastAsia="Palatino Linotype"/>
          <w:sz w:val="24"/>
          <w:szCs w:val="24"/>
        </w:rPr>
        <w:t>s</w:t>
      </w:r>
      <w:r w:rsidRPr="00EE701D" w:rsidR="009C5B34">
        <w:rPr>
          <w:rFonts w:ascii="Palatino Linotype" w:hAnsi="Palatino Linotype" w:eastAsia="Palatino Linotype"/>
          <w:sz w:val="24"/>
          <w:szCs w:val="24"/>
        </w:rPr>
        <w:t>es, and Replies</w:t>
      </w:r>
    </w:p>
    <w:p w:rsidRPr="00EE701D" w:rsidR="00576628" w:rsidP="0050317D" w:rsidRDefault="00843527" w14:paraId="6AA8893F" w14:textId="77777777">
      <w:pPr>
        <w:spacing w:after="240"/>
        <w:rPr>
          <w:rFonts w:ascii="Palatino Linotype" w:hAnsi="Palatino Linotype"/>
          <w:sz w:val="24"/>
          <w:szCs w:val="24"/>
        </w:rPr>
      </w:pPr>
      <w:r w:rsidRPr="00EE701D">
        <w:rPr>
          <w:rFonts w:ascii="Palatino Linotype" w:hAnsi="Palatino Linotype"/>
          <w:color w:val="000000"/>
          <w:sz w:val="24"/>
          <w:szCs w:val="24"/>
        </w:rPr>
        <w:t>In its protest</w:t>
      </w:r>
      <w:r w:rsidRPr="00EE701D" w:rsidR="00282128">
        <w:rPr>
          <w:rFonts w:ascii="Palatino Linotype" w:hAnsi="Palatino Linotype"/>
          <w:color w:val="000000"/>
          <w:sz w:val="24"/>
          <w:szCs w:val="24"/>
        </w:rPr>
        <w:t xml:space="preserve"> of the initial advice letter</w:t>
      </w:r>
      <w:r w:rsidRPr="00EE701D">
        <w:rPr>
          <w:rFonts w:ascii="Palatino Linotype" w:hAnsi="Palatino Linotype"/>
          <w:color w:val="000000"/>
          <w:sz w:val="24"/>
          <w:szCs w:val="24"/>
        </w:rPr>
        <w:t xml:space="preserve">, the Joint CCAs argue that the Joint IOUs’ </w:t>
      </w:r>
      <w:r w:rsidRPr="00EE701D" w:rsidR="00DB7854">
        <w:rPr>
          <w:rFonts w:ascii="Palatino Linotype" w:hAnsi="Palatino Linotype"/>
          <w:color w:val="000000"/>
          <w:sz w:val="24"/>
          <w:szCs w:val="24"/>
        </w:rPr>
        <w:t xml:space="preserve">proposal </w:t>
      </w:r>
      <w:r w:rsidRPr="00EE701D" w:rsidR="00371D51">
        <w:rPr>
          <w:rFonts w:ascii="Palatino Linotype" w:hAnsi="Palatino Linotype"/>
          <w:color w:val="000000"/>
          <w:sz w:val="24"/>
          <w:szCs w:val="24"/>
        </w:rPr>
        <w:t xml:space="preserve">1) </w:t>
      </w:r>
      <w:r w:rsidRPr="00EE701D" w:rsidR="00DB7854">
        <w:rPr>
          <w:rFonts w:ascii="Palatino Linotype" w:hAnsi="Palatino Linotype"/>
          <w:color w:val="000000"/>
          <w:sz w:val="24"/>
          <w:szCs w:val="24"/>
        </w:rPr>
        <w:t>creates discrimin</w:t>
      </w:r>
      <w:r w:rsidRPr="00EE701D" w:rsidR="00BE3CED">
        <w:rPr>
          <w:rFonts w:ascii="Palatino Linotype" w:hAnsi="Palatino Linotype"/>
          <w:color w:val="000000"/>
          <w:sz w:val="24"/>
          <w:szCs w:val="24"/>
        </w:rPr>
        <w:t xml:space="preserve">atory results for Program Administrators (PAs) procuring in the same </w:t>
      </w:r>
      <w:r w:rsidRPr="00EE701D" w:rsidR="00DA0201">
        <w:rPr>
          <w:rFonts w:ascii="Palatino Linotype" w:hAnsi="Palatino Linotype"/>
          <w:color w:val="000000"/>
          <w:sz w:val="24"/>
          <w:szCs w:val="24"/>
        </w:rPr>
        <w:t xml:space="preserve">service </w:t>
      </w:r>
      <w:r w:rsidRPr="00EE701D" w:rsidR="00A511AF">
        <w:rPr>
          <w:rFonts w:ascii="Palatino Linotype" w:hAnsi="Palatino Linotype"/>
          <w:color w:val="000000"/>
          <w:sz w:val="24"/>
          <w:szCs w:val="24"/>
        </w:rPr>
        <w:t>territory</w:t>
      </w:r>
      <w:r w:rsidRPr="00EE701D" w:rsidR="001D53C7">
        <w:rPr>
          <w:rFonts w:ascii="Palatino Linotype" w:hAnsi="Palatino Linotype"/>
          <w:color w:val="000000"/>
          <w:sz w:val="24"/>
          <w:szCs w:val="24"/>
        </w:rPr>
        <w:t xml:space="preserve"> by implementing </w:t>
      </w:r>
      <w:r w:rsidRPr="00EE701D" w:rsidR="007A7E1C">
        <w:rPr>
          <w:rFonts w:ascii="Palatino Linotype" w:hAnsi="Palatino Linotype"/>
          <w:color w:val="000000"/>
          <w:sz w:val="24"/>
          <w:szCs w:val="24"/>
        </w:rPr>
        <w:t xml:space="preserve">an </w:t>
      </w:r>
      <w:r w:rsidRPr="00EE701D" w:rsidR="009C37C6">
        <w:rPr>
          <w:rFonts w:ascii="Palatino Linotype" w:hAnsi="Palatino Linotype"/>
          <w:sz w:val="24"/>
          <w:szCs w:val="24"/>
        </w:rPr>
        <w:t>IOU</w:t>
      </w:r>
      <w:r w:rsidRPr="00EE701D" w:rsidR="00143EA6">
        <w:rPr>
          <w:rFonts w:ascii="Palatino Linotype" w:hAnsi="Palatino Linotype"/>
          <w:sz w:val="24"/>
          <w:szCs w:val="24"/>
        </w:rPr>
        <w:t>-</w:t>
      </w:r>
      <w:r w:rsidRPr="00EE701D" w:rsidR="009C37C6">
        <w:rPr>
          <w:rFonts w:ascii="Palatino Linotype" w:hAnsi="Palatino Linotype"/>
          <w:sz w:val="24"/>
          <w:szCs w:val="24"/>
        </w:rPr>
        <w:t xml:space="preserve"> or CCA-specific survey of contracts and resource types</w:t>
      </w:r>
      <w:r w:rsidRPr="00EE701D" w:rsidR="00BE3CED">
        <w:rPr>
          <w:rFonts w:ascii="Palatino Linotype" w:hAnsi="Palatino Linotype"/>
          <w:color w:val="000000"/>
          <w:sz w:val="24"/>
          <w:szCs w:val="24"/>
        </w:rPr>
        <w:t xml:space="preserve">, </w:t>
      </w:r>
      <w:r w:rsidRPr="00EE701D" w:rsidR="00371D51">
        <w:rPr>
          <w:rFonts w:ascii="Palatino Linotype" w:hAnsi="Palatino Linotype"/>
          <w:color w:val="000000"/>
          <w:sz w:val="24"/>
          <w:szCs w:val="24"/>
        </w:rPr>
        <w:t xml:space="preserve">2) </w:t>
      </w:r>
      <w:r w:rsidRPr="00EE701D" w:rsidR="00D86C97">
        <w:rPr>
          <w:rFonts w:ascii="Palatino Linotype" w:hAnsi="Palatino Linotype"/>
          <w:color w:val="000000"/>
          <w:sz w:val="24"/>
          <w:szCs w:val="24"/>
        </w:rPr>
        <w:t>does not provide sufficient parameters to protect customers</w:t>
      </w:r>
      <w:r w:rsidRPr="00EE701D" w:rsidR="001D53C7">
        <w:rPr>
          <w:rFonts w:ascii="Palatino Linotype" w:hAnsi="Palatino Linotype"/>
          <w:color w:val="000000"/>
          <w:sz w:val="24"/>
          <w:szCs w:val="24"/>
        </w:rPr>
        <w:t>,</w:t>
      </w:r>
      <w:r w:rsidRPr="00EE701D" w:rsidR="00371D51">
        <w:rPr>
          <w:rFonts w:ascii="Palatino Linotype" w:hAnsi="Palatino Linotype"/>
          <w:color w:val="000000"/>
          <w:sz w:val="24"/>
          <w:szCs w:val="24"/>
        </w:rPr>
        <w:t xml:space="preserve"> 3) </w:t>
      </w:r>
      <w:r w:rsidRPr="00EE701D" w:rsidR="009069BB">
        <w:rPr>
          <w:rFonts w:ascii="Palatino Linotype" w:hAnsi="Palatino Linotype"/>
          <w:color w:val="000000"/>
          <w:sz w:val="24"/>
          <w:szCs w:val="24"/>
        </w:rPr>
        <w:t>should calculate the CBVRP based on a statewide survey conducted by</w:t>
      </w:r>
      <w:r w:rsidRPr="00EE701D" w:rsidR="003A0C4E">
        <w:rPr>
          <w:rFonts w:ascii="Palatino Linotype" w:hAnsi="Palatino Linotype"/>
          <w:color w:val="000000"/>
          <w:sz w:val="24"/>
          <w:szCs w:val="24"/>
        </w:rPr>
        <w:t xml:space="preserve"> the Commission’s</w:t>
      </w:r>
      <w:r w:rsidRPr="00EE701D" w:rsidR="009069BB">
        <w:rPr>
          <w:rFonts w:ascii="Palatino Linotype" w:hAnsi="Palatino Linotype"/>
          <w:color w:val="000000"/>
          <w:sz w:val="24"/>
          <w:szCs w:val="24"/>
        </w:rPr>
        <w:t xml:space="preserve"> Energy Division</w:t>
      </w:r>
      <w:r w:rsidRPr="00EE701D" w:rsidR="00ED0A9D">
        <w:rPr>
          <w:rFonts w:ascii="Palatino Linotype" w:hAnsi="Palatino Linotype"/>
          <w:color w:val="000000"/>
          <w:sz w:val="24"/>
          <w:szCs w:val="24"/>
        </w:rPr>
        <w:t xml:space="preserve"> </w:t>
      </w:r>
      <w:r w:rsidRPr="00EE701D" w:rsidR="003A0C4E">
        <w:rPr>
          <w:rFonts w:ascii="Palatino Linotype" w:hAnsi="Palatino Linotype"/>
          <w:color w:val="000000"/>
          <w:sz w:val="24"/>
          <w:szCs w:val="24"/>
        </w:rPr>
        <w:t>staff</w:t>
      </w:r>
      <w:r w:rsidRPr="00EE701D" w:rsidR="00ED0A9D">
        <w:rPr>
          <w:rFonts w:ascii="Palatino Linotype" w:hAnsi="Palatino Linotype"/>
          <w:color w:val="000000"/>
          <w:sz w:val="24"/>
          <w:szCs w:val="24"/>
        </w:rPr>
        <w:t xml:space="preserve">, and 4) </w:t>
      </w:r>
      <w:r w:rsidRPr="00EE701D" w:rsidR="005435A6">
        <w:rPr>
          <w:rFonts w:ascii="Palatino Linotype" w:hAnsi="Palatino Linotype"/>
          <w:color w:val="000000"/>
          <w:sz w:val="24"/>
          <w:szCs w:val="24"/>
        </w:rPr>
        <w:t xml:space="preserve">that </w:t>
      </w:r>
      <w:r w:rsidRPr="00EE701D" w:rsidR="00ED0A9D">
        <w:rPr>
          <w:rFonts w:ascii="Palatino Linotype" w:hAnsi="Palatino Linotype"/>
          <w:color w:val="000000"/>
          <w:sz w:val="24"/>
          <w:szCs w:val="24"/>
        </w:rPr>
        <w:t>it is unreasonable to establish a standard Multiplier until the CBVRP is known</w:t>
      </w:r>
      <w:r w:rsidRPr="00EE701D" w:rsidR="00455CEC">
        <w:rPr>
          <w:rFonts w:ascii="Palatino Linotype" w:hAnsi="Palatino Linotype"/>
          <w:color w:val="000000"/>
          <w:sz w:val="24"/>
          <w:szCs w:val="24"/>
        </w:rPr>
        <w:t xml:space="preserve">. </w:t>
      </w:r>
      <w:r w:rsidRPr="00EE701D" w:rsidR="00AF7D27">
        <w:rPr>
          <w:rFonts w:ascii="Palatino Linotype" w:hAnsi="Palatino Linotype"/>
          <w:color w:val="000000"/>
          <w:sz w:val="24"/>
          <w:szCs w:val="24"/>
        </w:rPr>
        <w:t>The Joint CCAs argue that since the cost</w:t>
      </w:r>
      <w:r w:rsidRPr="00EE701D" w:rsidR="003A0C4E">
        <w:rPr>
          <w:rFonts w:ascii="Palatino Linotype" w:hAnsi="Palatino Linotype"/>
          <w:color w:val="000000"/>
          <w:sz w:val="24"/>
          <w:szCs w:val="24"/>
        </w:rPr>
        <w:t xml:space="preserve"> containment</w:t>
      </w:r>
      <w:r w:rsidRPr="00EE701D" w:rsidR="00AF7D27">
        <w:rPr>
          <w:rFonts w:ascii="Palatino Linotype" w:hAnsi="Palatino Linotype"/>
          <w:color w:val="000000"/>
          <w:sz w:val="24"/>
          <w:szCs w:val="24"/>
        </w:rPr>
        <w:t xml:space="preserve"> cap will apply to each IOU’s service territory </w:t>
      </w:r>
      <w:r w:rsidRPr="00EE701D" w:rsidR="005435A6">
        <w:rPr>
          <w:rFonts w:ascii="Palatino Linotype" w:hAnsi="Palatino Linotype"/>
          <w:color w:val="000000"/>
          <w:sz w:val="24"/>
          <w:szCs w:val="24"/>
        </w:rPr>
        <w:t>(</w:t>
      </w:r>
      <w:r w:rsidRPr="00EE701D" w:rsidR="00AF7D27">
        <w:rPr>
          <w:rFonts w:ascii="Palatino Linotype" w:hAnsi="Palatino Linotype"/>
          <w:color w:val="000000"/>
          <w:sz w:val="24"/>
          <w:szCs w:val="24"/>
        </w:rPr>
        <w:t>which includes participating CCA</w:t>
      </w:r>
      <w:r w:rsidRPr="00EE701D" w:rsidR="008072D1">
        <w:rPr>
          <w:rFonts w:ascii="Palatino Linotype" w:hAnsi="Palatino Linotype"/>
          <w:color w:val="000000"/>
          <w:sz w:val="24"/>
          <w:szCs w:val="24"/>
        </w:rPr>
        <w:t xml:space="preserve"> service areas</w:t>
      </w:r>
      <w:r w:rsidRPr="00EE701D" w:rsidR="005435A6">
        <w:rPr>
          <w:rFonts w:ascii="Palatino Linotype" w:hAnsi="Palatino Linotype"/>
          <w:color w:val="000000"/>
          <w:sz w:val="24"/>
          <w:szCs w:val="24"/>
        </w:rPr>
        <w:t>)</w:t>
      </w:r>
      <w:r w:rsidRPr="00EE701D" w:rsidR="00AF7D27">
        <w:rPr>
          <w:rFonts w:ascii="Palatino Linotype" w:hAnsi="Palatino Linotype"/>
          <w:color w:val="000000"/>
          <w:sz w:val="24"/>
          <w:szCs w:val="24"/>
        </w:rPr>
        <w:t xml:space="preserve"> </w:t>
      </w:r>
      <w:r w:rsidRPr="00EE701D" w:rsidR="008072D1">
        <w:rPr>
          <w:rFonts w:ascii="Palatino Linotype" w:hAnsi="Palatino Linotype"/>
          <w:sz w:val="24"/>
          <w:szCs w:val="24"/>
        </w:rPr>
        <w:t xml:space="preserve">there is </w:t>
      </w:r>
      <w:r w:rsidRPr="00EE701D" w:rsidR="00AF7D27">
        <w:rPr>
          <w:rFonts w:ascii="Palatino Linotype" w:hAnsi="Palatino Linotype"/>
          <w:sz w:val="24"/>
          <w:szCs w:val="24"/>
        </w:rPr>
        <w:t xml:space="preserve">no justification for why a </w:t>
      </w:r>
      <w:r w:rsidRPr="00EE701D" w:rsidR="008072D1">
        <w:rPr>
          <w:rFonts w:ascii="Palatino Linotype" w:hAnsi="Palatino Linotype"/>
          <w:sz w:val="24"/>
          <w:szCs w:val="24"/>
        </w:rPr>
        <w:t>cost cap</w:t>
      </w:r>
      <w:r w:rsidRPr="00EE701D" w:rsidR="00AF7D27">
        <w:rPr>
          <w:rFonts w:ascii="Palatino Linotype" w:hAnsi="Palatino Linotype"/>
          <w:sz w:val="24"/>
          <w:szCs w:val="24"/>
        </w:rPr>
        <w:t xml:space="preserve"> should be different for </w:t>
      </w:r>
      <w:r w:rsidRPr="00EE701D" w:rsidR="003C3F7D">
        <w:rPr>
          <w:rFonts w:ascii="Palatino Linotype" w:hAnsi="Palatino Linotype"/>
          <w:sz w:val="24"/>
          <w:szCs w:val="24"/>
        </w:rPr>
        <w:t xml:space="preserve">IOU or CCA </w:t>
      </w:r>
      <w:r w:rsidRPr="00EE701D" w:rsidR="00AF7D27">
        <w:rPr>
          <w:rFonts w:ascii="Palatino Linotype" w:hAnsi="Palatino Linotype"/>
          <w:sz w:val="24"/>
          <w:szCs w:val="24"/>
        </w:rPr>
        <w:t xml:space="preserve">resources being procured within the same service </w:t>
      </w:r>
      <w:r w:rsidRPr="00EE701D" w:rsidR="003C3F7D">
        <w:rPr>
          <w:rFonts w:ascii="Palatino Linotype" w:hAnsi="Palatino Linotype"/>
          <w:sz w:val="24"/>
          <w:szCs w:val="24"/>
        </w:rPr>
        <w:t>territory.</w:t>
      </w:r>
      <w:r w:rsidRPr="00EE701D" w:rsidR="002B0301">
        <w:rPr>
          <w:rFonts w:ascii="Palatino Linotype" w:hAnsi="Palatino Linotype"/>
          <w:sz w:val="24"/>
          <w:szCs w:val="24"/>
        </w:rPr>
        <w:t xml:space="preserve"> </w:t>
      </w:r>
      <w:r w:rsidRPr="00EE701D" w:rsidR="0036253C">
        <w:rPr>
          <w:rFonts w:ascii="Palatino Linotype" w:hAnsi="Palatino Linotype"/>
          <w:sz w:val="24"/>
          <w:szCs w:val="24"/>
        </w:rPr>
        <w:t>The Joint CCAs argue that the Joint IOUs</w:t>
      </w:r>
      <w:r w:rsidRPr="00EE701D" w:rsidR="005435A6">
        <w:rPr>
          <w:rFonts w:ascii="Palatino Linotype" w:hAnsi="Palatino Linotype"/>
          <w:sz w:val="24"/>
          <w:szCs w:val="24"/>
        </w:rPr>
        <w:t>’</w:t>
      </w:r>
      <w:r w:rsidRPr="00EE701D" w:rsidR="0036253C">
        <w:rPr>
          <w:rFonts w:ascii="Palatino Linotype" w:hAnsi="Palatino Linotype"/>
          <w:sz w:val="24"/>
          <w:szCs w:val="24"/>
        </w:rPr>
        <w:t xml:space="preserve"> proposal </w:t>
      </w:r>
      <w:r w:rsidRPr="00EE701D" w:rsidR="00E65581">
        <w:rPr>
          <w:rFonts w:ascii="Palatino Linotype" w:hAnsi="Palatino Linotype"/>
          <w:sz w:val="24"/>
          <w:szCs w:val="24"/>
        </w:rPr>
        <w:t xml:space="preserve">is vague in defining </w:t>
      </w:r>
      <w:r w:rsidRPr="00EE701D" w:rsidR="00FE6898">
        <w:rPr>
          <w:rFonts w:ascii="Palatino Linotype" w:hAnsi="Palatino Linotype"/>
          <w:sz w:val="24"/>
          <w:szCs w:val="24"/>
        </w:rPr>
        <w:t xml:space="preserve">the type and </w:t>
      </w:r>
      <w:r w:rsidRPr="00EE701D" w:rsidR="001E11E5">
        <w:rPr>
          <w:rFonts w:ascii="Palatino Linotype" w:hAnsi="Palatino Linotype"/>
          <w:sz w:val="24"/>
          <w:szCs w:val="24"/>
        </w:rPr>
        <w:t>price</w:t>
      </w:r>
      <w:r w:rsidRPr="00EE701D" w:rsidR="00FE6898">
        <w:rPr>
          <w:rFonts w:ascii="Palatino Linotype" w:hAnsi="Palatino Linotype"/>
          <w:sz w:val="24"/>
          <w:szCs w:val="24"/>
        </w:rPr>
        <w:t xml:space="preserve"> of </w:t>
      </w:r>
      <w:r w:rsidRPr="00EE701D" w:rsidR="00AB7DF4">
        <w:rPr>
          <w:rFonts w:ascii="Palatino Linotype" w:hAnsi="Palatino Linotype"/>
          <w:sz w:val="24"/>
          <w:szCs w:val="24"/>
        </w:rPr>
        <w:t xml:space="preserve">contracts </w:t>
      </w:r>
      <w:r w:rsidRPr="00EE701D" w:rsidR="00FE6898">
        <w:rPr>
          <w:rFonts w:ascii="Palatino Linotype" w:hAnsi="Palatino Linotype"/>
          <w:sz w:val="24"/>
          <w:szCs w:val="24"/>
        </w:rPr>
        <w:t xml:space="preserve">that </w:t>
      </w:r>
      <w:r w:rsidRPr="00EE701D" w:rsidR="00AB7DF4">
        <w:rPr>
          <w:rFonts w:ascii="Palatino Linotype" w:hAnsi="Palatino Linotype"/>
          <w:sz w:val="24"/>
          <w:szCs w:val="24"/>
        </w:rPr>
        <w:t xml:space="preserve">should be used to </w:t>
      </w:r>
      <w:r w:rsidRPr="00EE701D" w:rsidR="005435A6">
        <w:rPr>
          <w:rFonts w:ascii="Palatino Linotype" w:hAnsi="Palatino Linotype"/>
          <w:sz w:val="24"/>
          <w:szCs w:val="24"/>
        </w:rPr>
        <w:t xml:space="preserve">calculate </w:t>
      </w:r>
      <w:r w:rsidRPr="00EE701D" w:rsidR="00AB7DF4">
        <w:rPr>
          <w:rFonts w:ascii="Palatino Linotype" w:hAnsi="Palatino Linotype"/>
          <w:sz w:val="24"/>
          <w:szCs w:val="24"/>
        </w:rPr>
        <w:t xml:space="preserve">the </w:t>
      </w:r>
      <w:r w:rsidRPr="00EE701D" w:rsidR="002C7AC9">
        <w:rPr>
          <w:rFonts w:ascii="Palatino Linotype" w:hAnsi="Palatino Linotype"/>
          <w:sz w:val="24"/>
          <w:szCs w:val="24"/>
        </w:rPr>
        <w:t>CBVRP</w:t>
      </w:r>
      <w:r w:rsidRPr="00EE701D" w:rsidR="00AB7DF4">
        <w:rPr>
          <w:rFonts w:ascii="Palatino Linotype" w:hAnsi="Palatino Linotype"/>
          <w:sz w:val="24"/>
          <w:szCs w:val="24"/>
        </w:rPr>
        <w:t xml:space="preserve">. Therefore, the Joint CCAs argue that the Joint IOU proposal </w:t>
      </w:r>
      <w:r w:rsidRPr="00EE701D" w:rsidR="005B7C24">
        <w:rPr>
          <w:rFonts w:ascii="Palatino Linotype" w:hAnsi="Palatino Linotype"/>
          <w:sz w:val="24"/>
          <w:szCs w:val="24"/>
        </w:rPr>
        <w:t>fails to</w:t>
      </w:r>
      <w:r w:rsidRPr="00EE701D" w:rsidR="000B645E">
        <w:rPr>
          <w:rFonts w:ascii="Palatino Linotype" w:hAnsi="Palatino Linotype"/>
          <w:sz w:val="24"/>
          <w:szCs w:val="24"/>
        </w:rPr>
        <w:t xml:space="preserve"> protect </w:t>
      </w:r>
      <w:r w:rsidRPr="00EE701D" w:rsidR="00960DBE">
        <w:rPr>
          <w:rFonts w:ascii="Palatino Linotype" w:hAnsi="Palatino Linotype"/>
          <w:sz w:val="24"/>
          <w:szCs w:val="24"/>
        </w:rPr>
        <w:t>ratepayers</w:t>
      </w:r>
      <w:r w:rsidRPr="00EE701D" w:rsidR="000B645E">
        <w:rPr>
          <w:rFonts w:ascii="Palatino Linotype" w:hAnsi="Palatino Linotype"/>
          <w:sz w:val="24"/>
          <w:szCs w:val="24"/>
        </w:rPr>
        <w:t xml:space="preserve"> because it does not clearly define</w:t>
      </w:r>
      <w:r w:rsidRPr="00EE701D" w:rsidR="00ED79BC">
        <w:rPr>
          <w:rFonts w:ascii="Palatino Linotype" w:hAnsi="Palatino Linotype"/>
          <w:sz w:val="24"/>
          <w:szCs w:val="24"/>
        </w:rPr>
        <w:t xml:space="preserve"> the specific pool of </w:t>
      </w:r>
      <w:r w:rsidRPr="00EE701D" w:rsidR="00CC4383">
        <w:rPr>
          <w:rFonts w:ascii="Palatino Linotype" w:hAnsi="Palatino Linotype"/>
          <w:sz w:val="24"/>
          <w:szCs w:val="24"/>
        </w:rPr>
        <w:t xml:space="preserve">resource contracts to be used to set the </w:t>
      </w:r>
      <w:r w:rsidRPr="00EE701D" w:rsidR="002C7AC9">
        <w:rPr>
          <w:rFonts w:ascii="Palatino Linotype" w:hAnsi="Palatino Linotype"/>
          <w:sz w:val="24"/>
          <w:szCs w:val="24"/>
        </w:rPr>
        <w:t>CBVRP</w:t>
      </w:r>
      <w:r w:rsidRPr="00EE701D" w:rsidR="001E11E5">
        <w:rPr>
          <w:rFonts w:ascii="Palatino Linotype" w:hAnsi="Palatino Linotype"/>
          <w:sz w:val="24"/>
          <w:szCs w:val="24"/>
        </w:rPr>
        <w:t xml:space="preserve"> and </w:t>
      </w:r>
      <w:r w:rsidRPr="00EE701D" w:rsidR="004725DB">
        <w:rPr>
          <w:rFonts w:ascii="Palatino Linotype" w:hAnsi="Palatino Linotype"/>
          <w:sz w:val="24"/>
          <w:szCs w:val="24"/>
        </w:rPr>
        <w:t>that any</w:t>
      </w:r>
      <w:r w:rsidRPr="00EE701D" w:rsidR="00AC5A97">
        <w:rPr>
          <w:rFonts w:ascii="Palatino Linotype" w:hAnsi="Palatino Linotype"/>
          <w:sz w:val="24"/>
          <w:szCs w:val="24"/>
        </w:rPr>
        <w:t xml:space="preserve"> </w:t>
      </w:r>
      <w:r w:rsidRPr="00EE701D" w:rsidR="004725DB">
        <w:rPr>
          <w:rFonts w:ascii="Palatino Linotype" w:hAnsi="Palatino Linotype"/>
          <w:sz w:val="24"/>
          <w:szCs w:val="24"/>
        </w:rPr>
        <w:t xml:space="preserve">reasonableness review of </w:t>
      </w:r>
      <w:r w:rsidRPr="00EE701D" w:rsidR="00DA630B">
        <w:rPr>
          <w:rFonts w:ascii="Palatino Linotype" w:hAnsi="Palatino Linotype"/>
          <w:sz w:val="24"/>
          <w:szCs w:val="24"/>
        </w:rPr>
        <w:t>the</w:t>
      </w:r>
      <w:r w:rsidRPr="00EE701D" w:rsidR="00AC5A97">
        <w:rPr>
          <w:rFonts w:ascii="Palatino Linotype" w:hAnsi="Palatino Linotype"/>
          <w:sz w:val="24"/>
          <w:szCs w:val="24"/>
        </w:rPr>
        <w:t xml:space="preserve"> </w:t>
      </w:r>
      <w:r w:rsidRPr="00EE701D" w:rsidR="00DA630B">
        <w:rPr>
          <w:rFonts w:ascii="Palatino Linotype" w:hAnsi="Palatino Linotype"/>
          <w:sz w:val="24"/>
          <w:szCs w:val="24"/>
        </w:rPr>
        <w:t>IOU</w:t>
      </w:r>
      <w:r w:rsidRPr="00EE701D" w:rsidR="004725DB">
        <w:rPr>
          <w:rFonts w:ascii="Palatino Linotype" w:hAnsi="Palatino Linotype"/>
          <w:sz w:val="24"/>
          <w:szCs w:val="24"/>
        </w:rPr>
        <w:t>s</w:t>
      </w:r>
      <w:r w:rsidRPr="00EE701D" w:rsidR="005435A6">
        <w:rPr>
          <w:rFonts w:ascii="Palatino Linotype" w:hAnsi="Palatino Linotype"/>
          <w:sz w:val="24"/>
          <w:szCs w:val="24"/>
        </w:rPr>
        <w:t>’</w:t>
      </w:r>
      <w:r w:rsidRPr="00EE701D" w:rsidR="00DA630B">
        <w:rPr>
          <w:rFonts w:ascii="Palatino Linotype" w:hAnsi="Palatino Linotype"/>
          <w:sz w:val="24"/>
          <w:szCs w:val="24"/>
        </w:rPr>
        <w:t xml:space="preserve"> </w:t>
      </w:r>
      <w:r w:rsidRPr="00EE701D" w:rsidR="002C7AC9">
        <w:rPr>
          <w:rFonts w:ascii="Palatino Linotype" w:hAnsi="Palatino Linotype"/>
          <w:sz w:val="24"/>
          <w:szCs w:val="24"/>
        </w:rPr>
        <w:t>CBVRP</w:t>
      </w:r>
      <w:r w:rsidRPr="00EE701D" w:rsidR="00AC5A97">
        <w:rPr>
          <w:rFonts w:ascii="Palatino Linotype" w:hAnsi="Palatino Linotype"/>
          <w:sz w:val="24"/>
          <w:szCs w:val="24"/>
        </w:rPr>
        <w:t xml:space="preserve">s </w:t>
      </w:r>
      <w:r w:rsidRPr="00EE701D" w:rsidR="004725DB">
        <w:rPr>
          <w:rFonts w:ascii="Palatino Linotype" w:hAnsi="Palatino Linotype"/>
          <w:sz w:val="24"/>
          <w:szCs w:val="24"/>
        </w:rPr>
        <w:t>by an independent evaluator would be subjective</w:t>
      </w:r>
      <w:r w:rsidRPr="00EE701D" w:rsidR="00CC4383">
        <w:rPr>
          <w:rFonts w:ascii="Palatino Linotype" w:hAnsi="Palatino Linotype"/>
          <w:sz w:val="24"/>
          <w:szCs w:val="24"/>
        </w:rPr>
        <w:t xml:space="preserve">. </w:t>
      </w:r>
    </w:p>
    <w:p w:rsidRPr="00EE701D" w:rsidR="00576628" w:rsidP="0050317D" w:rsidRDefault="0080510D" w14:paraId="22498DB6" w14:textId="77777777">
      <w:pPr>
        <w:spacing w:after="240"/>
        <w:rPr>
          <w:rFonts w:ascii="Palatino Linotype" w:hAnsi="Palatino Linotype"/>
          <w:color w:val="202020"/>
          <w:sz w:val="24"/>
          <w:szCs w:val="24"/>
        </w:rPr>
      </w:pPr>
      <w:r w:rsidRPr="00EE701D">
        <w:rPr>
          <w:rFonts w:ascii="Palatino Linotype" w:hAnsi="Palatino Linotype"/>
          <w:sz w:val="24"/>
          <w:szCs w:val="24"/>
        </w:rPr>
        <w:t>Further</w:t>
      </w:r>
      <w:r w:rsidRPr="00EE701D" w:rsidR="00BA5DC5">
        <w:rPr>
          <w:rFonts w:ascii="Palatino Linotype" w:hAnsi="Palatino Linotype"/>
          <w:sz w:val="24"/>
          <w:szCs w:val="24"/>
        </w:rPr>
        <w:t xml:space="preserve">, </w:t>
      </w:r>
      <w:r w:rsidRPr="00EE701D" w:rsidR="00F22A53">
        <w:rPr>
          <w:rFonts w:ascii="Palatino Linotype" w:hAnsi="Palatino Linotype"/>
          <w:sz w:val="24"/>
          <w:szCs w:val="24"/>
        </w:rPr>
        <w:t>the Joint CCAs disagree with the Joint IOUs’ assertion that requiring</w:t>
      </w:r>
      <w:r w:rsidRPr="00EE701D" w:rsidR="003A0C4E">
        <w:rPr>
          <w:rFonts w:ascii="Palatino Linotype" w:hAnsi="Palatino Linotype"/>
          <w:sz w:val="24"/>
          <w:szCs w:val="24"/>
        </w:rPr>
        <w:t xml:space="preserve"> </w:t>
      </w:r>
      <w:r w:rsidRPr="00EE701D" w:rsidR="00515985">
        <w:rPr>
          <w:rFonts w:ascii="Palatino Linotype" w:hAnsi="Palatino Linotype"/>
          <w:sz w:val="24"/>
          <w:szCs w:val="24"/>
        </w:rPr>
        <w:t xml:space="preserve">the Commission’s </w:t>
      </w:r>
      <w:r w:rsidRPr="00EE701D" w:rsidR="00F22A53">
        <w:rPr>
          <w:rFonts w:ascii="Palatino Linotype" w:hAnsi="Palatino Linotype"/>
          <w:sz w:val="24"/>
          <w:szCs w:val="24"/>
        </w:rPr>
        <w:t>Energy Division</w:t>
      </w:r>
      <w:r w:rsidRPr="00EE701D" w:rsidR="003A0C4E">
        <w:rPr>
          <w:rFonts w:ascii="Palatino Linotype" w:hAnsi="Palatino Linotype"/>
          <w:sz w:val="24"/>
          <w:szCs w:val="24"/>
        </w:rPr>
        <w:t xml:space="preserve"> staff</w:t>
      </w:r>
      <w:r w:rsidRPr="00EE701D" w:rsidR="00F22A53">
        <w:rPr>
          <w:rFonts w:ascii="Palatino Linotype" w:hAnsi="Palatino Linotype"/>
          <w:sz w:val="24"/>
          <w:szCs w:val="24"/>
        </w:rPr>
        <w:t xml:space="preserve"> to conduct a statewide survey </w:t>
      </w:r>
      <w:r w:rsidRPr="00EE701D" w:rsidR="007B3C73">
        <w:rPr>
          <w:rFonts w:ascii="Palatino Linotype" w:hAnsi="Palatino Linotype"/>
          <w:sz w:val="24"/>
          <w:szCs w:val="24"/>
        </w:rPr>
        <w:t xml:space="preserve">of resource contracts is burdensome because </w:t>
      </w:r>
      <w:r w:rsidRPr="00EE701D" w:rsidR="003A0C4E">
        <w:rPr>
          <w:rFonts w:ascii="Palatino Linotype" w:hAnsi="Palatino Linotype"/>
          <w:sz w:val="24"/>
          <w:szCs w:val="24"/>
        </w:rPr>
        <w:t xml:space="preserve">the Joint CCAs argue that </w:t>
      </w:r>
      <w:r w:rsidRPr="00EE701D" w:rsidR="007B3C73">
        <w:rPr>
          <w:rFonts w:ascii="Palatino Linotype" w:hAnsi="Palatino Linotype"/>
          <w:color w:val="202020"/>
          <w:sz w:val="24"/>
          <w:szCs w:val="24"/>
        </w:rPr>
        <w:t>the pool of executed contracts is limited</w:t>
      </w:r>
      <w:r w:rsidRPr="00EE701D" w:rsidR="005435A6">
        <w:rPr>
          <w:rFonts w:ascii="Palatino Linotype" w:hAnsi="Palatino Linotype"/>
          <w:color w:val="202020"/>
          <w:sz w:val="24"/>
          <w:szCs w:val="24"/>
        </w:rPr>
        <w:t>.</w:t>
      </w:r>
      <w:r w:rsidRPr="00EE701D" w:rsidR="007B3C73">
        <w:rPr>
          <w:rFonts w:ascii="Palatino Linotype" w:hAnsi="Palatino Linotype"/>
          <w:color w:val="202020"/>
          <w:sz w:val="24"/>
          <w:szCs w:val="24"/>
        </w:rPr>
        <w:t xml:space="preserve"> </w:t>
      </w:r>
      <w:r w:rsidRPr="00EE701D" w:rsidR="005435A6">
        <w:rPr>
          <w:rFonts w:ascii="Palatino Linotype" w:hAnsi="Palatino Linotype"/>
          <w:color w:val="202020"/>
          <w:sz w:val="24"/>
          <w:szCs w:val="24"/>
        </w:rPr>
        <w:t>Instead, the Joint CCAs argue that it</w:t>
      </w:r>
      <w:r w:rsidRPr="00EE701D" w:rsidR="007B3C73">
        <w:rPr>
          <w:rFonts w:ascii="Palatino Linotype" w:hAnsi="Palatino Linotype"/>
          <w:color w:val="202020"/>
          <w:sz w:val="24"/>
          <w:szCs w:val="24"/>
        </w:rPr>
        <w:t xml:space="preserve"> would be more burdensome for </w:t>
      </w:r>
      <w:r w:rsidRPr="00EE701D" w:rsidR="002F72C4">
        <w:rPr>
          <w:rFonts w:ascii="Palatino Linotype" w:hAnsi="Palatino Linotype"/>
          <w:color w:val="202020"/>
          <w:sz w:val="24"/>
          <w:szCs w:val="24"/>
        </w:rPr>
        <w:t xml:space="preserve">the Commission’s </w:t>
      </w:r>
      <w:r w:rsidRPr="00EE701D" w:rsidR="007B3C73">
        <w:rPr>
          <w:rFonts w:ascii="Palatino Linotype" w:hAnsi="Palatino Linotype"/>
          <w:color w:val="202020"/>
          <w:sz w:val="24"/>
          <w:szCs w:val="24"/>
        </w:rPr>
        <w:t>Energy Division</w:t>
      </w:r>
      <w:r w:rsidRPr="00EE701D" w:rsidR="003A0C4E">
        <w:rPr>
          <w:rFonts w:ascii="Palatino Linotype" w:hAnsi="Palatino Linotype"/>
          <w:color w:val="202020"/>
          <w:sz w:val="24"/>
          <w:szCs w:val="24"/>
        </w:rPr>
        <w:t xml:space="preserve"> staff</w:t>
      </w:r>
      <w:r w:rsidRPr="00EE701D" w:rsidR="007B3C73">
        <w:rPr>
          <w:rFonts w:ascii="Palatino Linotype" w:hAnsi="Palatino Linotype"/>
          <w:color w:val="202020"/>
          <w:sz w:val="24"/>
          <w:szCs w:val="24"/>
        </w:rPr>
        <w:t xml:space="preserve"> to review and enforce an individual </w:t>
      </w:r>
      <w:r w:rsidRPr="00EE701D" w:rsidR="006B0C21">
        <w:rPr>
          <w:rFonts w:ascii="Palatino Linotype" w:hAnsi="Palatino Linotype"/>
          <w:sz w:val="24"/>
          <w:szCs w:val="24"/>
        </w:rPr>
        <w:t xml:space="preserve">cost containment </w:t>
      </w:r>
      <w:r w:rsidRPr="00EE701D" w:rsidR="005435A6">
        <w:rPr>
          <w:rFonts w:ascii="Palatino Linotype" w:hAnsi="Palatino Linotype"/>
          <w:color w:val="202020"/>
          <w:sz w:val="24"/>
          <w:szCs w:val="24"/>
        </w:rPr>
        <w:t xml:space="preserve">cap </w:t>
      </w:r>
      <w:r w:rsidRPr="00EE701D" w:rsidR="007B3C73">
        <w:rPr>
          <w:rFonts w:ascii="Palatino Linotype" w:hAnsi="Palatino Linotype"/>
          <w:color w:val="202020"/>
          <w:sz w:val="24"/>
          <w:szCs w:val="24"/>
        </w:rPr>
        <w:t xml:space="preserve">for each </w:t>
      </w:r>
      <w:r w:rsidRPr="00EE701D" w:rsidR="002F72C4">
        <w:rPr>
          <w:rFonts w:ascii="Palatino Linotype" w:hAnsi="Palatino Linotype"/>
          <w:color w:val="202020"/>
          <w:sz w:val="24"/>
          <w:szCs w:val="24"/>
        </w:rPr>
        <w:t>PA</w:t>
      </w:r>
      <w:r w:rsidRPr="00EE701D" w:rsidR="007B3C73">
        <w:rPr>
          <w:rFonts w:ascii="Palatino Linotype" w:hAnsi="Palatino Linotype"/>
          <w:color w:val="202020"/>
          <w:sz w:val="24"/>
          <w:szCs w:val="24"/>
        </w:rPr>
        <w:t>.</w:t>
      </w:r>
      <w:r w:rsidRPr="00EE701D">
        <w:rPr>
          <w:rFonts w:ascii="Palatino Linotype" w:hAnsi="Palatino Linotype"/>
          <w:color w:val="202020"/>
          <w:sz w:val="24"/>
          <w:szCs w:val="24"/>
        </w:rPr>
        <w:t xml:space="preserve"> </w:t>
      </w:r>
    </w:p>
    <w:p w:rsidRPr="00EE701D" w:rsidR="00843527" w:rsidP="0050317D" w:rsidRDefault="0080510D" w14:paraId="6AA1B594" w14:textId="2E9B9901">
      <w:pPr>
        <w:spacing w:after="240"/>
        <w:rPr>
          <w:rFonts w:ascii="Palatino Linotype" w:hAnsi="Palatino Linotype"/>
          <w:color w:val="212121"/>
          <w:sz w:val="24"/>
          <w:szCs w:val="24"/>
        </w:rPr>
      </w:pPr>
      <w:r w:rsidRPr="00EE701D">
        <w:rPr>
          <w:rFonts w:ascii="Palatino Linotype" w:hAnsi="Palatino Linotype"/>
          <w:color w:val="202020"/>
          <w:sz w:val="24"/>
          <w:szCs w:val="24"/>
        </w:rPr>
        <w:t xml:space="preserve">Lastly, the Joint CCAs </w:t>
      </w:r>
      <w:r w:rsidRPr="00EE701D" w:rsidR="00993D23">
        <w:rPr>
          <w:rFonts w:ascii="Palatino Linotype" w:hAnsi="Palatino Linotype"/>
          <w:color w:val="202020"/>
          <w:sz w:val="24"/>
          <w:szCs w:val="24"/>
        </w:rPr>
        <w:t>contend</w:t>
      </w:r>
      <w:r w:rsidRPr="00EE701D" w:rsidR="00D53F4C">
        <w:rPr>
          <w:rFonts w:ascii="Palatino Linotype" w:hAnsi="Palatino Linotype"/>
          <w:color w:val="202020"/>
          <w:sz w:val="24"/>
          <w:szCs w:val="24"/>
        </w:rPr>
        <w:t xml:space="preserve"> that</w:t>
      </w:r>
      <w:r w:rsidRPr="00EE701D" w:rsidR="00993D23">
        <w:rPr>
          <w:rFonts w:ascii="Palatino Linotype" w:hAnsi="Palatino Linotype"/>
          <w:color w:val="202020"/>
          <w:sz w:val="24"/>
          <w:szCs w:val="24"/>
        </w:rPr>
        <w:t xml:space="preserve"> </w:t>
      </w:r>
      <w:r w:rsidRPr="00EE701D" w:rsidR="0023143D">
        <w:rPr>
          <w:rFonts w:ascii="Palatino Linotype" w:hAnsi="Palatino Linotype"/>
          <w:color w:val="202020"/>
          <w:sz w:val="24"/>
          <w:szCs w:val="24"/>
        </w:rPr>
        <w:t xml:space="preserve">the </w:t>
      </w:r>
      <w:r w:rsidRPr="00EE701D" w:rsidR="008E6C0E">
        <w:rPr>
          <w:rFonts w:ascii="Palatino Linotype" w:hAnsi="Palatino Linotype"/>
          <w:color w:val="202020"/>
          <w:sz w:val="24"/>
          <w:szCs w:val="24"/>
        </w:rPr>
        <w:t xml:space="preserve">appropriate Multiplier cannot be </w:t>
      </w:r>
      <w:r w:rsidRPr="00EE701D" w:rsidR="00D53F4C">
        <w:rPr>
          <w:rFonts w:ascii="Palatino Linotype" w:hAnsi="Palatino Linotype"/>
          <w:color w:val="202020"/>
          <w:sz w:val="24"/>
          <w:szCs w:val="24"/>
        </w:rPr>
        <w:t>selected</w:t>
      </w:r>
      <w:r w:rsidRPr="00EE701D" w:rsidR="008E6C0E">
        <w:rPr>
          <w:rFonts w:ascii="Palatino Linotype" w:hAnsi="Palatino Linotype"/>
          <w:color w:val="202020"/>
          <w:sz w:val="24"/>
          <w:szCs w:val="24"/>
        </w:rPr>
        <w:t xml:space="preserve"> without first determining the CBVRP. The Joint CCAs argue that </w:t>
      </w:r>
      <w:r w:rsidRPr="00EE701D" w:rsidR="00BA394A">
        <w:rPr>
          <w:rFonts w:ascii="Palatino Linotype" w:hAnsi="Palatino Linotype"/>
          <w:color w:val="202020"/>
          <w:sz w:val="24"/>
          <w:szCs w:val="24"/>
        </w:rPr>
        <w:t xml:space="preserve">the </w:t>
      </w:r>
      <w:r w:rsidRPr="00EE701D" w:rsidR="00F63EC0">
        <w:rPr>
          <w:rFonts w:ascii="Palatino Linotype" w:hAnsi="Palatino Linotype"/>
          <w:color w:val="202020"/>
          <w:sz w:val="24"/>
          <w:szCs w:val="24"/>
        </w:rPr>
        <w:t>Joint IOU</w:t>
      </w:r>
      <w:r w:rsidRPr="00EE701D" w:rsidR="00BA394A">
        <w:rPr>
          <w:rFonts w:ascii="Palatino Linotype" w:hAnsi="Palatino Linotype"/>
          <w:color w:val="202020"/>
          <w:sz w:val="24"/>
          <w:szCs w:val="24"/>
        </w:rPr>
        <w:t>s’</w:t>
      </w:r>
      <w:r w:rsidRPr="00EE701D" w:rsidR="00F63EC0">
        <w:rPr>
          <w:rFonts w:ascii="Palatino Linotype" w:hAnsi="Palatino Linotype"/>
          <w:color w:val="202020"/>
          <w:sz w:val="24"/>
          <w:szCs w:val="24"/>
        </w:rPr>
        <w:t xml:space="preserve"> </w:t>
      </w:r>
      <w:r w:rsidRPr="00EE701D" w:rsidR="00BA394A">
        <w:rPr>
          <w:rFonts w:ascii="Palatino Linotype" w:hAnsi="Palatino Linotype"/>
          <w:color w:val="202020"/>
          <w:sz w:val="24"/>
          <w:szCs w:val="24"/>
        </w:rPr>
        <w:t xml:space="preserve">proposal does not </w:t>
      </w:r>
      <w:r w:rsidRPr="00EE701D" w:rsidR="00D53F4C">
        <w:rPr>
          <w:rFonts w:ascii="Palatino Linotype" w:hAnsi="Palatino Linotype"/>
          <w:color w:val="202020"/>
          <w:sz w:val="24"/>
          <w:szCs w:val="24"/>
        </w:rPr>
        <w:t xml:space="preserve">determine a set value for the CBVRP and </w:t>
      </w:r>
      <w:r w:rsidRPr="00EE701D" w:rsidR="00F44FA9">
        <w:rPr>
          <w:rFonts w:ascii="Palatino Linotype" w:hAnsi="Palatino Linotype"/>
          <w:color w:val="202020"/>
          <w:sz w:val="24"/>
          <w:szCs w:val="24"/>
        </w:rPr>
        <w:t>that</w:t>
      </w:r>
      <w:r w:rsidRPr="00EE701D" w:rsidR="00E23E61">
        <w:rPr>
          <w:rFonts w:ascii="Palatino Linotype" w:hAnsi="Palatino Linotype"/>
          <w:color w:val="202020"/>
          <w:sz w:val="24"/>
          <w:szCs w:val="24"/>
        </w:rPr>
        <w:t xml:space="preserve"> a</w:t>
      </w:r>
      <w:r w:rsidRPr="00EE701D" w:rsidR="00D53F4C">
        <w:rPr>
          <w:rFonts w:ascii="Palatino Linotype" w:hAnsi="Palatino Linotype"/>
          <w:color w:val="202020"/>
          <w:sz w:val="24"/>
          <w:szCs w:val="24"/>
        </w:rPr>
        <w:t xml:space="preserve"> </w:t>
      </w:r>
      <w:r w:rsidRPr="00EE701D" w:rsidR="00F63EC0">
        <w:rPr>
          <w:rFonts w:ascii="Palatino Linotype" w:hAnsi="Palatino Linotype"/>
          <w:color w:val="202020"/>
          <w:sz w:val="24"/>
          <w:szCs w:val="24"/>
        </w:rPr>
        <w:t xml:space="preserve">120 percent multiplier is </w:t>
      </w:r>
      <w:r w:rsidRPr="00EE701D" w:rsidR="00E23E61">
        <w:rPr>
          <w:rFonts w:ascii="Palatino Linotype" w:hAnsi="Palatino Linotype"/>
          <w:color w:val="202020"/>
          <w:sz w:val="24"/>
          <w:szCs w:val="24"/>
        </w:rPr>
        <w:t xml:space="preserve">likely </w:t>
      </w:r>
      <w:r w:rsidRPr="00EE701D" w:rsidR="00F63EC0">
        <w:rPr>
          <w:rFonts w:ascii="Palatino Linotype" w:hAnsi="Palatino Linotype"/>
          <w:color w:val="202020"/>
          <w:sz w:val="24"/>
          <w:szCs w:val="24"/>
        </w:rPr>
        <w:t xml:space="preserve">too low to </w:t>
      </w:r>
      <w:r w:rsidRPr="00EE701D" w:rsidR="00803365">
        <w:rPr>
          <w:rFonts w:ascii="Palatino Linotype" w:hAnsi="Palatino Linotype"/>
          <w:color w:val="202020"/>
          <w:sz w:val="24"/>
          <w:szCs w:val="24"/>
        </w:rPr>
        <w:t xml:space="preserve">ensure program success </w:t>
      </w:r>
      <w:r w:rsidRPr="00EE701D" w:rsidR="00EA38DB">
        <w:rPr>
          <w:rFonts w:ascii="Palatino Linotype" w:hAnsi="Palatino Linotype"/>
          <w:color w:val="202020"/>
          <w:sz w:val="24"/>
          <w:szCs w:val="24"/>
        </w:rPr>
        <w:t>and would not reflect current market prices</w:t>
      </w:r>
      <w:r w:rsidRPr="00EE701D" w:rsidR="00F44FA9">
        <w:rPr>
          <w:rFonts w:ascii="Palatino Linotype" w:hAnsi="Palatino Linotype"/>
          <w:color w:val="202020"/>
          <w:sz w:val="24"/>
          <w:szCs w:val="24"/>
        </w:rPr>
        <w:t>.</w:t>
      </w:r>
    </w:p>
    <w:p w:rsidRPr="00EE701D" w:rsidR="0042752E" w:rsidP="00BA729C" w:rsidRDefault="00D500B8" w14:paraId="50476EC4" w14:textId="77777777">
      <w:pPr>
        <w:autoSpaceDE w:val="0"/>
        <w:autoSpaceDN w:val="0"/>
        <w:adjustRightInd w:val="0"/>
        <w:rPr>
          <w:rFonts w:ascii="Palatino Linotype" w:hAnsi="Palatino Linotype"/>
          <w:sz w:val="24"/>
          <w:szCs w:val="24"/>
        </w:rPr>
      </w:pPr>
      <w:r w:rsidRPr="00EE701D">
        <w:rPr>
          <w:rFonts w:ascii="Palatino Linotype" w:hAnsi="Palatino Linotype"/>
          <w:sz w:val="24"/>
          <w:szCs w:val="24"/>
        </w:rPr>
        <w:t>In their protests</w:t>
      </w:r>
      <w:r w:rsidRPr="00EE701D" w:rsidR="00340957">
        <w:rPr>
          <w:rFonts w:ascii="Palatino Linotype" w:hAnsi="Palatino Linotype"/>
          <w:sz w:val="24"/>
          <w:szCs w:val="24"/>
        </w:rPr>
        <w:t xml:space="preserve"> to the initial </w:t>
      </w:r>
      <w:r w:rsidRPr="00EE701D" w:rsidR="009F5E9D">
        <w:rPr>
          <w:rFonts w:ascii="Palatino Linotype" w:hAnsi="Palatino Linotype"/>
          <w:sz w:val="24"/>
          <w:szCs w:val="24"/>
        </w:rPr>
        <w:t>AL</w:t>
      </w:r>
      <w:r w:rsidRPr="00EE701D">
        <w:rPr>
          <w:rFonts w:ascii="Palatino Linotype" w:hAnsi="Palatino Linotype"/>
          <w:sz w:val="24"/>
          <w:szCs w:val="24"/>
        </w:rPr>
        <w:t xml:space="preserve">, both SEIA and CCSA request that the Commission </w:t>
      </w:r>
      <w:r w:rsidRPr="00EE701D" w:rsidR="00666212">
        <w:rPr>
          <w:rFonts w:ascii="Palatino Linotype" w:hAnsi="Palatino Linotype"/>
          <w:sz w:val="24"/>
          <w:szCs w:val="24"/>
        </w:rPr>
        <w:t xml:space="preserve">adopt the </w:t>
      </w:r>
      <w:r w:rsidRPr="00EE701D">
        <w:rPr>
          <w:rFonts w:ascii="Palatino Linotype" w:hAnsi="Palatino Linotype"/>
          <w:sz w:val="24"/>
          <w:szCs w:val="24"/>
        </w:rPr>
        <w:t>Joint CCAs</w:t>
      </w:r>
      <w:r w:rsidRPr="00EE701D" w:rsidR="00666212">
        <w:rPr>
          <w:rFonts w:ascii="Palatino Linotype" w:hAnsi="Palatino Linotype"/>
          <w:sz w:val="24"/>
          <w:szCs w:val="24"/>
        </w:rPr>
        <w:t>’</w:t>
      </w:r>
      <w:r w:rsidRPr="00EE701D">
        <w:rPr>
          <w:rFonts w:ascii="Palatino Linotype" w:hAnsi="Palatino Linotype"/>
          <w:sz w:val="24"/>
          <w:szCs w:val="24"/>
        </w:rPr>
        <w:t xml:space="preserve"> proposal</w:t>
      </w:r>
      <w:r w:rsidRPr="00EE701D" w:rsidR="007D7FAE">
        <w:rPr>
          <w:rFonts w:ascii="Palatino Linotype" w:hAnsi="Palatino Linotype"/>
          <w:sz w:val="24"/>
          <w:szCs w:val="24"/>
        </w:rPr>
        <w:t xml:space="preserve"> </w:t>
      </w:r>
      <w:r w:rsidRPr="00EE701D" w:rsidR="009F5E9D">
        <w:rPr>
          <w:rFonts w:ascii="Palatino Linotype" w:hAnsi="Palatino Linotype"/>
          <w:sz w:val="24"/>
          <w:szCs w:val="24"/>
        </w:rPr>
        <w:t xml:space="preserve">that includes </w:t>
      </w:r>
      <w:r w:rsidRPr="00EE701D" w:rsidR="007D7FAE">
        <w:rPr>
          <w:rFonts w:ascii="Palatino Linotype" w:hAnsi="Palatino Linotype"/>
          <w:sz w:val="24"/>
          <w:szCs w:val="24"/>
        </w:rPr>
        <w:t xml:space="preserve">a 175 percent multiplier and </w:t>
      </w:r>
      <w:r w:rsidRPr="00EE701D" w:rsidR="009F5E9D">
        <w:rPr>
          <w:rFonts w:ascii="Palatino Linotype" w:hAnsi="Palatino Linotype"/>
          <w:sz w:val="24"/>
          <w:szCs w:val="24"/>
        </w:rPr>
        <w:t>establishing</w:t>
      </w:r>
      <w:r w:rsidRPr="00EE701D" w:rsidR="00484E28">
        <w:rPr>
          <w:rFonts w:ascii="Palatino Linotype" w:hAnsi="Palatino Linotype"/>
          <w:sz w:val="24"/>
          <w:szCs w:val="24"/>
        </w:rPr>
        <w:t xml:space="preserve"> a </w:t>
      </w:r>
      <w:r w:rsidRPr="00EE701D" w:rsidR="002C7AC9">
        <w:rPr>
          <w:rFonts w:ascii="Palatino Linotype" w:hAnsi="Palatino Linotype"/>
          <w:sz w:val="24"/>
          <w:szCs w:val="24"/>
        </w:rPr>
        <w:lastRenderedPageBreak/>
        <w:t>CBVRP</w:t>
      </w:r>
      <w:r w:rsidRPr="00EE701D" w:rsidR="00484E28">
        <w:rPr>
          <w:rFonts w:ascii="Palatino Linotype" w:hAnsi="Palatino Linotype"/>
          <w:sz w:val="24"/>
          <w:szCs w:val="24"/>
        </w:rPr>
        <w:t xml:space="preserve"> based on a statewide survey </w:t>
      </w:r>
      <w:r w:rsidRPr="00EE701D" w:rsidR="00FE5313">
        <w:rPr>
          <w:rFonts w:ascii="Palatino Linotype" w:hAnsi="Palatino Linotype"/>
          <w:sz w:val="24"/>
          <w:szCs w:val="24"/>
        </w:rPr>
        <w:t xml:space="preserve">of </w:t>
      </w:r>
      <w:r w:rsidRPr="00EE701D" w:rsidR="00A612DC">
        <w:rPr>
          <w:rFonts w:ascii="Palatino Linotype" w:hAnsi="Palatino Linotype"/>
          <w:sz w:val="24"/>
          <w:szCs w:val="24"/>
        </w:rPr>
        <w:t>energy contracts</w:t>
      </w:r>
      <w:r w:rsidRPr="00EE701D" w:rsidDel="009F5E9D" w:rsidR="00A612DC">
        <w:rPr>
          <w:rFonts w:ascii="Palatino Linotype" w:hAnsi="Palatino Linotype"/>
          <w:sz w:val="24"/>
          <w:szCs w:val="24"/>
        </w:rPr>
        <w:t xml:space="preserve"> </w:t>
      </w:r>
      <w:r w:rsidRPr="00EE701D" w:rsidR="001479C5">
        <w:rPr>
          <w:rFonts w:ascii="Palatino Linotype" w:hAnsi="Palatino Linotype"/>
          <w:sz w:val="24"/>
          <w:szCs w:val="24"/>
        </w:rPr>
        <w:t xml:space="preserve">as </w:t>
      </w:r>
      <w:r w:rsidRPr="00EE701D" w:rsidR="009F5E9D">
        <w:rPr>
          <w:rFonts w:ascii="Palatino Linotype" w:hAnsi="Palatino Linotype"/>
          <w:sz w:val="24"/>
          <w:szCs w:val="24"/>
        </w:rPr>
        <w:t>determined</w:t>
      </w:r>
      <w:r w:rsidRPr="00EE701D" w:rsidR="00A612DC">
        <w:rPr>
          <w:rFonts w:ascii="Palatino Linotype" w:hAnsi="Palatino Linotype"/>
          <w:sz w:val="24"/>
          <w:szCs w:val="24"/>
        </w:rPr>
        <w:t xml:space="preserve"> by </w:t>
      </w:r>
      <w:r w:rsidRPr="00EE701D" w:rsidR="0042752E">
        <w:rPr>
          <w:rFonts w:ascii="Palatino Linotype" w:hAnsi="Palatino Linotype"/>
          <w:sz w:val="24"/>
          <w:szCs w:val="24"/>
        </w:rPr>
        <w:t xml:space="preserve">the Commission’s </w:t>
      </w:r>
      <w:r w:rsidRPr="00EE701D" w:rsidR="00A612DC">
        <w:rPr>
          <w:rFonts w:ascii="Palatino Linotype" w:hAnsi="Palatino Linotype"/>
          <w:sz w:val="24"/>
          <w:szCs w:val="24"/>
        </w:rPr>
        <w:t>Energy Division</w:t>
      </w:r>
      <w:r w:rsidRPr="00EE701D" w:rsidR="001479C5">
        <w:rPr>
          <w:rFonts w:ascii="Palatino Linotype" w:hAnsi="Palatino Linotype"/>
          <w:sz w:val="24"/>
          <w:szCs w:val="24"/>
        </w:rPr>
        <w:t xml:space="preserve"> staff</w:t>
      </w:r>
      <w:r w:rsidRPr="00EE701D" w:rsidR="00A612DC">
        <w:rPr>
          <w:rFonts w:ascii="Palatino Linotype" w:hAnsi="Palatino Linotype"/>
          <w:sz w:val="24"/>
          <w:szCs w:val="24"/>
        </w:rPr>
        <w:t>.</w:t>
      </w:r>
      <w:r w:rsidRPr="00EE701D" w:rsidR="00420D8E">
        <w:rPr>
          <w:rFonts w:ascii="Palatino Linotype" w:hAnsi="Palatino Linotype"/>
          <w:sz w:val="24"/>
          <w:szCs w:val="24"/>
        </w:rPr>
        <w:t xml:space="preserve"> SEIA also argues for separate cost containment caps for solar-only and solar and storage projects and that the cost containment cap</w:t>
      </w:r>
      <w:r w:rsidRPr="00EE701D" w:rsidR="009D1AB4">
        <w:rPr>
          <w:rFonts w:ascii="Palatino Linotype" w:hAnsi="Palatino Linotype"/>
          <w:sz w:val="24"/>
          <w:szCs w:val="24"/>
        </w:rPr>
        <w:t>s</w:t>
      </w:r>
      <w:r w:rsidRPr="00EE701D" w:rsidR="00420D8E">
        <w:rPr>
          <w:rFonts w:ascii="Palatino Linotype" w:hAnsi="Palatino Linotype"/>
          <w:sz w:val="24"/>
          <w:szCs w:val="24"/>
        </w:rPr>
        <w:t xml:space="preserve"> sh</w:t>
      </w:r>
      <w:r w:rsidRPr="00EE701D" w:rsidR="009D1AB4">
        <w:rPr>
          <w:rFonts w:ascii="Palatino Linotype" w:hAnsi="Palatino Linotype"/>
          <w:sz w:val="24"/>
          <w:szCs w:val="24"/>
        </w:rPr>
        <w:t xml:space="preserve">ould be made public. </w:t>
      </w:r>
    </w:p>
    <w:p w:rsidRPr="00EE701D" w:rsidR="0042752E" w:rsidP="00BA729C" w:rsidRDefault="0042752E" w14:paraId="784529F5" w14:textId="77777777">
      <w:pPr>
        <w:autoSpaceDE w:val="0"/>
        <w:autoSpaceDN w:val="0"/>
        <w:adjustRightInd w:val="0"/>
        <w:rPr>
          <w:rFonts w:ascii="Palatino Linotype" w:hAnsi="Palatino Linotype"/>
          <w:sz w:val="24"/>
          <w:szCs w:val="24"/>
        </w:rPr>
      </w:pPr>
    </w:p>
    <w:p w:rsidRPr="00EE701D" w:rsidR="00F821F0" w:rsidP="00BA729C" w:rsidRDefault="006B0C21" w14:paraId="3F66A79D" w14:textId="11A10766">
      <w:pPr>
        <w:autoSpaceDE w:val="0"/>
        <w:autoSpaceDN w:val="0"/>
        <w:adjustRightInd w:val="0"/>
        <w:rPr>
          <w:rFonts w:ascii="Palatino Linotype" w:hAnsi="Palatino Linotype"/>
          <w:sz w:val="24"/>
          <w:szCs w:val="24"/>
        </w:rPr>
      </w:pPr>
      <w:r w:rsidRPr="00EE701D">
        <w:rPr>
          <w:rFonts w:ascii="Palatino Linotype" w:hAnsi="Palatino Linotype"/>
          <w:sz w:val="24"/>
          <w:szCs w:val="24"/>
        </w:rPr>
        <w:t xml:space="preserve">In </w:t>
      </w:r>
      <w:r w:rsidRPr="00EE701D" w:rsidR="00603EF4">
        <w:rPr>
          <w:rFonts w:ascii="Palatino Linotype" w:hAnsi="Palatino Linotype"/>
          <w:sz w:val="24"/>
          <w:szCs w:val="24"/>
        </w:rPr>
        <w:t>Cal</w:t>
      </w:r>
      <w:r w:rsidRPr="00EE701D" w:rsidR="00E31E90">
        <w:rPr>
          <w:rFonts w:ascii="Palatino Linotype" w:hAnsi="Palatino Linotype"/>
          <w:sz w:val="24"/>
          <w:szCs w:val="24"/>
        </w:rPr>
        <w:t xml:space="preserve"> </w:t>
      </w:r>
      <w:r w:rsidRPr="00EE701D" w:rsidR="00603EF4">
        <w:rPr>
          <w:rFonts w:ascii="Palatino Linotype" w:hAnsi="Palatino Linotype"/>
          <w:sz w:val="24"/>
          <w:szCs w:val="24"/>
        </w:rPr>
        <w:t>Advocates</w:t>
      </w:r>
      <w:r w:rsidRPr="00EE701D">
        <w:rPr>
          <w:rFonts w:ascii="Palatino Linotype" w:hAnsi="Palatino Linotype"/>
          <w:sz w:val="24"/>
          <w:szCs w:val="24"/>
        </w:rPr>
        <w:t>’ protest to the original AL,</w:t>
      </w:r>
      <w:r w:rsidRPr="00EE701D" w:rsidR="00603EF4">
        <w:rPr>
          <w:rFonts w:ascii="Palatino Linotype" w:hAnsi="Palatino Linotype"/>
          <w:sz w:val="24"/>
          <w:szCs w:val="24"/>
        </w:rPr>
        <w:t xml:space="preserve"> </w:t>
      </w:r>
      <w:r w:rsidRPr="00EE701D" w:rsidR="00941A79">
        <w:rPr>
          <w:rFonts w:ascii="Palatino Linotype" w:hAnsi="Palatino Linotype"/>
          <w:sz w:val="24"/>
          <w:szCs w:val="24"/>
        </w:rPr>
        <w:t xml:space="preserve">it </w:t>
      </w:r>
      <w:r w:rsidRPr="00EE701D" w:rsidR="00603EF4">
        <w:rPr>
          <w:rFonts w:ascii="Palatino Linotype" w:hAnsi="Palatino Linotype"/>
          <w:sz w:val="24"/>
          <w:szCs w:val="24"/>
        </w:rPr>
        <w:t>argue</w:t>
      </w:r>
      <w:r w:rsidRPr="00EE701D" w:rsidR="00941A79">
        <w:rPr>
          <w:rFonts w:ascii="Palatino Linotype" w:hAnsi="Palatino Linotype"/>
          <w:sz w:val="24"/>
          <w:szCs w:val="24"/>
        </w:rPr>
        <w:t>s</w:t>
      </w:r>
      <w:r w:rsidRPr="00EE701D" w:rsidR="00603EF4">
        <w:rPr>
          <w:rFonts w:ascii="Palatino Linotype" w:hAnsi="Palatino Linotype"/>
          <w:sz w:val="24"/>
          <w:szCs w:val="24"/>
        </w:rPr>
        <w:t xml:space="preserve"> that i</w:t>
      </w:r>
      <w:r w:rsidRPr="00EE701D" w:rsidR="005B2AA8">
        <w:rPr>
          <w:rFonts w:ascii="Palatino Linotype" w:hAnsi="Palatino Linotype"/>
          <w:sz w:val="24"/>
          <w:szCs w:val="24"/>
        </w:rPr>
        <w:t xml:space="preserve">f the AL is not </w:t>
      </w:r>
      <w:r w:rsidRPr="00EE701D" w:rsidR="00AC1581">
        <w:rPr>
          <w:rFonts w:ascii="Palatino Linotype" w:hAnsi="Palatino Linotype"/>
          <w:sz w:val="24"/>
          <w:szCs w:val="24"/>
        </w:rPr>
        <w:t xml:space="preserve">rejected by the </w:t>
      </w:r>
      <w:r w:rsidRPr="00EE701D">
        <w:rPr>
          <w:rFonts w:ascii="Palatino Linotype" w:hAnsi="Palatino Linotype"/>
          <w:sz w:val="24"/>
          <w:szCs w:val="24"/>
        </w:rPr>
        <w:t xml:space="preserve">Commission </w:t>
      </w:r>
      <w:r w:rsidRPr="00EE701D" w:rsidR="00B26610">
        <w:rPr>
          <w:rFonts w:ascii="Palatino Linotype" w:hAnsi="Palatino Linotype"/>
          <w:sz w:val="24"/>
          <w:szCs w:val="24"/>
        </w:rPr>
        <w:t xml:space="preserve">for failing to propose a single joint proposal as required by D.24-05-065 OP </w:t>
      </w:r>
      <w:r w:rsidRPr="00EE701D" w:rsidR="00603EF4">
        <w:rPr>
          <w:rFonts w:ascii="Palatino Linotype" w:hAnsi="Palatino Linotype"/>
          <w:sz w:val="24"/>
          <w:szCs w:val="24"/>
        </w:rPr>
        <w:t>4</w:t>
      </w:r>
      <w:r w:rsidRPr="00EE701D" w:rsidR="00AC1581">
        <w:rPr>
          <w:rFonts w:ascii="Palatino Linotype" w:hAnsi="Palatino Linotype"/>
          <w:sz w:val="24"/>
          <w:szCs w:val="24"/>
        </w:rPr>
        <w:t xml:space="preserve">, </w:t>
      </w:r>
      <w:r w:rsidRPr="00EE701D" w:rsidR="00603EF4">
        <w:rPr>
          <w:rFonts w:ascii="Palatino Linotype" w:hAnsi="Palatino Linotype"/>
          <w:sz w:val="24"/>
          <w:szCs w:val="24"/>
        </w:rPr>
        <w:t xml:space="preserve">then </w:t>
      </w:r>
      <w:r w:rsidRPr="00EE701D" w:rsidR="005B2AA8">
        <w:rPr>
          <w:rFonts w:ascii="Palatino Linotype" w:hAnsi="Palatino Linotype"/>
          <w:sz w:val="24"/>
          <w:szCs w:val="24"/>
        </w:rPr>
        <w:t>the</w:t>
      </w:r>
      <w:r w:rsidRPr="00EE701D" w:rsidR="00603EF4">
        <w:rPr>
          <w:rFonts w:ascii="Palatino Linotype" w:hAnsi="Palatino Linotype"/>
          <w:sz w:val="24"/>
          <w:szCs w:val="24"/>
        </w:rPr>
        <w:t xml:space="preserve"> </w:t>
      </w:r>
      <w:r w:rsidRPr="00EE701D">
        <w:rPr>
          <w:rFonts w:ascii="Palatino Linotype" w:hAnsi="Palatino Linotype"/>
          <w:sz w:val="24"/>
          <w:szCs w:val="24"/>
        </w:rPr>
        <w:t>Commission</w:t>
      </w:r>
      <w:r w:rsidRPr="00EE701D" w:rsidR="005B2AA8">
        <w:rPr>
          <w:rFonts w:ascii="Palatino Linotype" w:hAnsi="Palatino Linotype"/>
          <w:sz w:val="24"/>
          <w:szCs w:val="24"/>
        </w:rPr>
        <w:t xml:space="preserve"> </w:t>
      </w:r>
      <w:r w:rsidRPr="00EE701D" w:rsidR="00EA13CF">
        <w:rPr>
          <w:rFonts w:ascii="Palatino Linotype" w:hAnsi="Palatino Linotype"/>
          <w:sz w:val="24"/>
          <w:szCs w:val="24"/>
        </w:rPr>
        <w:t xml:space="preserve">should </w:t>
      </w:r>
      <w:r w:rsidRPr="00EE701D" w:rsidR="00453FBF">
        <w:rPr>
          <w:rFonts w:ascii="Palatino Linotype" w:hAnsi="Palatino Linotype"/>
          <w:sz w:val="24"/>
          <w:szCs w:val="24"/>
        </w:rPr>
        <w:t xml:space="preserve">adopt a modified version of the </w:t>
      </w:r>
      <w:r w:rsidRPr="00EE701D" w:rsidR="00603EF4">
        <w:rPr>
          <w:rFonts w:ascii="Palatino Linotype" w:hAnsi="Palatino Linotype"/>
          <w:sz w:val="24"/>
          <w:szCs w:val="24"/>
        </w:rPr>
        <w:t>Joint IOU</w:t>
      </w:r>
      <w:r w:rsidRPr="00EE701D" w:rsidR="00453FBF">
        <w:rPr>
          <w:rFonts w:ascii="Palatino Linotype" w:hAnsi="Palatino Linotype"/>
          <w:sz w:val="24"/>
          <w:szCs w:val="24"/>
        </w:rPr>
        <w:t>s’ proposal.  Cal</w:t>
      </w:r>
      <w:r w:rsidRPr="00EE701D" w:rsidR="00E31E90">
        <w:rPr>
          <w:rFonts w:ascii="Palatino Linotype" w:hAnsi="Palatino Linotype"/>
          <w:sz w:val="24"/>
          <w:szCs w:val="24"/>
        </w:rPr>
        <w:t xml:space="preserve"> </w:t>
      </w:r>
      <w:r w:rsidRPr="00EE701D" w:rsidR="00453FBF">
        <w:rPr>
          <w:rFonts w:ascii="Palatino Linotype" w:hAnsi="Palatino Linotype"/>
          <w:sz w:val="24"/>
          <w:szCs w:val="24"/>
        </w:rPr>
        <w:t xml:space="preserve">Advocates </w:t>
      </w:r>
      <w:r w:rsidRPr="00EE701D" w:rsidR="008A72B4">
        <w:rPr>
          <w:rFonts w:ascii="Palatino Linotype" w:hAnsi="Palatino Linotype"/>
          <w:sz w:val="24"/>
          <w:szCs w:val="24"/>
        </w:rPr>
        <w:t xml:space="preserve">goes further than </w:t>
      </w:r>
      <w:r w:rsidRPr="00EE701D" w:rsidR="005A2B2A">
        <w:rPr>
          <w:rFonts w:ascii="Palatino Linotype" w:hAnsi="Palatino Linotype"/>
          <w:sz w:val="24"/>
          <w:szCs w:val="24"/>
        </w:rPr>
        <w:t xml:space="preserve">the </w:t>
      </w:r>
      <w:r w:rsidRPr="00EE701D" w:rsidR="008A72B4">
        <w:rPr>
          <w:rFonts w:ascii="Palatino Linotype" w:hAnsi="Palatino Linotype"/>
          <w:sz w:val="24"/>
          <w:szCs w:val="24"/>
        </w:rPr>
        <w:t>Joint IOUs</w:t>
      </w:r>
      <w:r w:rsidRPr="00EE701D">
        <w:rPr>
          <w:rFonts w:ascii="Palatino Linotype" w:hAnsi="Palatino Linotype"/>
          <w:sz w:val="24"/>
          <w:szCs w:val="24"/>
        </w:rPr>
        <w:t>’</w:t>
      </w:r>
      <w:r w:rsidRPr="00EE701D" w:rsidR="008A72B4">
        <w:rPr>
          <w:rFonts w:ascii="Palatino Linotype" w:hAnsi="Palatino Linotype"/>
          <w:sz w:val="24"/>
          <w:szCs w:val="24"/>
        </w:rPr>
        <w:t xml:space="preserve"> Multiplier proposal and </w:t>
      </w:r>
      <w:r w:rsidRPr="00EE701D" w:rsidR="00453FBF">
        <w:rPr>
          <w:rFonts w:ascii="Palatino Linotype" w:hAnsi="Palatino Linotype"/>
          <w:sz w:val="24"/>
          <w:szCs w:val="24"/>
        </w:rPr>
        <w:t>argues that a</w:t>
      </w:r>
      <w:r w:rsidRPr="00EE701D" w:rsidR="009C12B8">
        <w:rPr>
          <w:rFonts w:ascii="Palatino Linotype" w:hAnsi="Palatino Linotype"/>
          <w:sz w:val="24"/>
          <w:szCs w:val="24"/>
        </w:rPr>
        <w:t xml:space="preserve"> </w:t>
      </w:r>
      <w:r w:rsidRPr="00EE701D" w:rsidR="00C62675">
        <w:rPr>
          <w:rFonts w:ascii="Palatino Linotype" w:hAnsi="Palatino Linotype"/>
          <w:sz w:val="24"/>
          <w:szCs w:val="24"/>
        </w:rPr>
        <w:t xml:space="preserve">110% </w:t>
      </w:r>
      <w:r w:rsidRPr="00EE701D" w:rsidR="009C12B8">
        <w:rPr>
          <w:rFonts w:ascii="Palatino Linotype" w:hAnsi="Palatino Linotype"/>
          <w:sz w:val="24"/>
          <w:szCs w:val="24"/>
        </w:rPr>
        <w:t xml:space="preserve">rather than 120% </w:t>
      </w:r>
      <w:r w:rsidRPr="00EE701D" w:rsidR="00C62675">
        <w:rPr>
          <w:rFonts w:ascii="Palatino Linotype" w:hAnsi="Palatino Linotype"/>
          <w:sz w:val="24"/>
          <w:szCs w:val="24"/>
        </w:rPr>
        <w:t xml:space="preserve">Multiplier </w:t>
      </w:r>
      <w:r w:rsidRPr="00EE701D" w:rsidR="00453FBF">
        <w:rPr>
          <w:rFonts w:ascii="Palatino Linotype" w:hAnsi="Palatino Linotype"/>
          <w:sz w:val="24"/>
          <w:szCs w:val="24"/>
        </w:rPr>
        <w:t>should be applie</w:t>
      </w:r>
      <w:r w:rsidRPr="00EE701D" w:rsidR="00E31E90">
        <w:rPr>
          <w:rFonts w:ascii="Palatino Linotype" w:hAnsi="Palatino Linotype"/>
          <w:sz w:val="24"/>
          <w:szCs w:val="24"/>
        </w:rPr>
        <w:t>d</w:t>
      </w:r>
      <w:r w:rsidRPr="00EE701D" w:rsidR="00453FBF">
        <w:rPr>
          <w:rFonts w:ascii="Palatino Linotype" w:hAnsi="Palatino Linotype"/>
          <w:sz w:val="24"/>
          <w:szCs w:val="24"/>
        </w:rPr>
        <w:t xml:space="preserve"> </w:t>
      </w:r>
      <w:r w:rsidRPr="00EE701D" w:rsidR="00C62675">
        <w:rPr>
          <w:rFonts w:ascii="Palatino Linotype" w:hAnsi="Palatino Linotype"/>
          <w:sz w:val="24"/>
          <w:szCs w:val="24"/>
        </w:rPr>
        <w:t xml:space="preserve">for projects located </w:t>
      </w:r>
      <w:r w:rsidRPr="00EE701D" w:rsidR="009C12B8">
        <w:rPr>
          <w:rFonts w:ascii="Palatino Linotype" w:hAnsi="Palatino Linotype"/>
          <w:sz w:val="24"/>
          <w:szCs w:val="24"/>
        </w:rPr>
        <w:t xml:space="preserve">within the 5-mile radius outside of </w:t>
      </w:r>
      <w:r w:rsidRPr="00EE701D" w:rsidR="00A66D31">
        <w:rPr>
          <w:rFonts w:ascii="Palatino Linotype" w:hAnsi="Palatino Linotype"/>
          <w:sz w:val="24"/>
          <w:szCs w:val="24"/>
        </w:rPr>
        <w:t>DAC</w:t>
      </w:r>
      <w:r w:rsidRPr="00EE701D" w:rsidR="009C12B8">
        <w:rPr>
          <w:rFonts w:ascii="Palatino Linotype" w:hAnsi="Palatino Linotype"/>
          <w:sz w:val="24"/>
          <w:szCs w:val="24"/>
        </w:rPr>
        <w:t xml:space="preserve"> </w:t>
      </w:r>
      <w:r w:rsidRPr="00EE701D" w:rsidR="00A81905">
        <w:rPr>
          <w:rFonts w:ascii="Palatino Linotype" w:hAnsi="Palatino Linotype"/>
          <w:sz w:val="24"/>
          <w:szCs w:val="24"/>
        </w:rPr>
        <w:t>census tracts</w:t>
      </w:r>
      <w:r w:rsidRPr="00EE701D" w:rsidR="008A72B4">
        <w:rPr>
          <w:rFonts w:ascii="Palatino Linotype" w:hAnsi="Palatino Linotype"/>
          <w:sz w:val="24"/>
          <w:szCs w:val="24"/>
        </w:rPr>
        <w:t>. Cal</w:t>
      </w:r>
      <w:r w:rsidRPr="00EE701D" w:rsidR="00311AC9">
        <w:rPr>
          <w:rFonts w:ascii="Palatino Linotype" w:hAnsi="Palatino Linotype"/>
          <w:sz w:val="24"/>
          <w:szCs w:val="24"/>
        </w:rPr>
        <w:t xml:space="preserve"> </w:t>
      </w:r>
      <w:r w:rsidRPr="00EE701D" w:rsidR="008A72B4">
        <w:rPr>
          <w:rFonts w:ascii="Palatino Linotype" w:hAnsi="Palatino Linotype"/>
          <w:sz w:val="24"/>
          <w:szCs w:val="24"/>
        </w:rPr>
        <w:t xml:space="preserve">Advocates </w:t>
      </w:r>
      <w:r w:rsidRPr="00EE701D" w:rsidR="001B109C">
        <w:rPr>
          <w:rFonts w:ascii="Palatino Linotype" w:hAnsi="Palatino Linotype"/>
          <w:sz w:val="24"/>
          <w:szCs w:val="24"/>
        </w:rPr>
        <w:t>argues that a 110% Multiplier is justified</w:t>
      </w:r>
      <w:r w:rsidRPr="00EE701D" w:rsidR="00EA13CF">
        <w:rPr>
          <w:rFonts w:ascii="Palatino Linotype" w:hAnsi="Palatino Linotype"/>
          <w:sz w:val="24"/>
          <w:szCs w:val="24"/>
        </w:rPr>
        <w:t xml:space="preserve"> because </w:t>
      </w:r>
      <w:r w:rsidRPr="00EE701D" w:rsidR="00BA7BE5">
        <w:rPr>
          <w:rFonts w:ascii="Palatino Linotype" w:hAnsi="Palatino Linotype"/>
          <w:sz w:val="24"/>
          <w:szCs w:val="24"/>
        </w:rPr>
        <w:t xml:space="preserve">it would </w:t>
      </w:r>
      <w:r w:rsidRPr="00EE701D" w:rsidR="00BF082C">
        <w:rPr>
          <w:rFonts w:ascii="Palatino Linotype" w:hAnsi="Palatino Linotype"/>
          <w:sz w:val="24"/>
          <w:szCs w:val="24"/>
        </w:rPr>
        <w:t xml:space="preserve">ensure more cost-effective project deployment adjacent to DACs </w:t>
      </w:r>
      <w:r w:rsidRPr="00EE701D" w:rsidR="00453FBF">
        <w:rPr>
          <w:rFonts w:ascii="Palatino Linotype" w:hAnsi="Palatino Linotype"/>
          <w:sz w:val="24"/>
          <w:szCs w:val="24"/>
        </w:rPr>
        <w:t>and</w:t>
      </w:r>
      <w:r w:rsidRPr="00EE701D" w:rsidR="00BF082C">
        <w:rPr>
          <w:rFonts w:ascii="Palatino Linotype" w:hAnsi="Palatino Linotype"/>
          <w:sz w:val="24"/>
          <w:szCs w:val="24"/>
        </w:rPr>
        <w:t xml:space="preserve"> </w:t>
      </w:r>
      <w:r w:rsidRPr="00EE701D" w:rsidR="001479C5">
        <w:rPr>
          <w:rFonts w:ascii="Palatino Linotype" w:hAnsi="Palatino Linotype"/>
          <w:sz w:val="24"/>
          <w:szCs w:val="24"/>
        </w:rPr>
        <w:t xml:space="preserve">further </w:t>
      </w:r>
      <w:r w:rsidRPr="00EE701D" w:rsidR="00BF082C">
        <w:rPr>
          <w:rFonts w:ascii="Palatino Linotype" w:hAnsi="Palatino Linotype"/>
          <w:sz w:val="24"/>
          <w:szCs w:val="24"/>
        </w:rPr>
        <w:t xml:space="preserve">limit the cost impact </w:t>
      </w:r>
      <w:r w:rsidRPr="00EE701D" w:rsidR="001479C5">
        <w:rPr>
          <w:rFonts w:ascii="Palatino Linotype" w:hAnsi="Palatino Linotype"/>
          <w:sz w:val="24"/>
          <w:szCs w:val="24"/>
        </w:rPr>
        <w:t xml:space="preserve">of the program </w:t>
      </w:r>
      <w:r w:rsidRPr="00EE701D" w:rsidR="00BF082C">
        <w:rPr>
          <w:rFonts w:ascii="Palatino Linotype" w:hAnsi="Palatino Linotype"/>
          <w:sz w:val="24"/>
          <w:szCs w:val="24"/>
        </w:rPr>
        <w:t xml:space="preserve">to </w:t>
      </w:r>
      <w:r w:rsidR="00604270">
        <w:rPr>
          <w:rFonts w:ascii="Palatino Linotype" w:hAnsi="Palatino Linotype"/>
          <w:sz w:val="24"/>
          <w:szCs w:val="24"/>
        </w:rPr>
        <w:br/>
      </w:r>
      <w:r w:rsidRPr="00EE701D" w:rsidR="00BF082C">
        <w:rPr>
          <w:rFonts w:ascii="Palatino Linotype" w:hAnsi="Palatino Linotype"/>
          <w:sz w:val="24"/>
          <w:szCs w:val="24"/>
        </w:rPr>
        <w:t>non-participating ratepayers</w:t>
      </w:r>
      <w:r w:rsidRPr="00EE701D" w:rsidR="009C12B8">
        <w:rPr>
          <w:rFonts w:ascii="Palatino Linotype" w:hAnsi="Palatino Linotype"/>
          <w:sz w:val="24"/>
          <w:szCs w:val="24"/>
        </w:rPr>
        <w:t>.</w:t>
      </w:r>
      <w:r w:rsidRPr="00EE701D" w:rsidR="00860CF8">
        <w:rPr>
          <w:rFonts w:ascii="Palatino Linotype" w:hAnsi="Palatino Linotype"/>
          <w:sz w:val="24"/>
          <w:szCs w:val="24"/>
        </w:rPr>
        <w:t xml:space="preserve"> Additionally, Cal</w:t>
      </w:r>
      <w:r w:rsidRPr="00EE701D" w:rsidR="00E31E90">
        <w:rPr>
          <w:rFonts w:ascii="Palatino Linotype" w:hAnsi="Palatino Linotype"/>
          <w:sz w:val="24"/>
          <w:szCs w:val="24"/>
        </w:rPr>
        <w:t xml:space="preserve"> </w:t>
      </w:r>
      <w:r w:rsidRPr="00EE701D" w:rsidR="00860CF8">
        <w:rPr>
          <w:rFonts w:ascii="Palatino Linotype" w:hAnsi="Palatino Linotype"/>
          <w:sz w:val="24"/>
          <w:szCs w:val="24"/>
        </w:rPr>
        <w:t>Advocates argues that the cost containment cap should include IOU</w:t>
      </w:r>
      <w:r w:rsidRPr="00EE701D" w:rsidR="00B65E03">
        <w:rPr>
          <w:rFonts w:ascii="Palatino Linotype" w:hAnsi="Palatino Linotype"/>
          <w:sz w:val="24"/>
          <w:szCs w:val="24"/>
        </w:rPr>
        <w:t>-</w:t>
      </w:r>
      <w:r w:rsidRPr="00EE701D" w:rsidR="00860CF8">
        <w:rPr>
          <w:rFonts w:ascii="Palatino Linotype" w:hAnsi="Palatino Linotype"/>
          <w:sz w:val="24"/>
          <w:szCs w:val="24"/>
        </w:rPr>
        <w:t xml:space="preserve"> and CCA-specific CBVRP</w:t>
      </w:r>
      <w:r w:rsidRPr="00EE701D" w:rsidR="00B65E03">
        <w:rPr>
          <w:rFonts w:ascii="Palatino Linotype" w:hAnsi="Palatino Linotype"/>
          <w:sz w:val="24"/>
          <w:szCs w:val="24"/>
        </w:rPr>
        <w:t xml:space="preserve">s because different regions across the state have unique resource availability, </w:t>
      </w:r>
      <w:r w:rsidRPr="00EE701D" w:rsidR="002F4C11">
        <w:rPr>
          <w:rFonts w:ascii="Palatino Linotype" w:hAnsi="Palatino Linotype"/>
          <w:sz w:val="24"/>
          <w:szCs w:val="24"/>
        </w:rPr>
        <w:t xml:space="preserve">including </w:t>
      </w:r>
      <w:r w:rsidRPr="00EE701D" w:rsidR="00B65E03">
        <w:rPr>
          <w:rFonts w:ascii="Palatino Linotype" w:hAnsi="Palatino Linotype"/>
          <w:sz w:val="24"/>
          <w:szCs w:val="24"/>
        </w:rPr>
        <w:t xml:space="preserve">transmission and distribution constraints which lead to varying energy costs. </w:t>
      </w:r>
      <w:r w:rsidRPr="00EE701D" w:rsidR="005F174A">
        <w:rPr>
          <w:rFonts w:ascii="Palatino Linotype" w:hAnsi="Palatino Linotype"/>
          <w:sz w:val="24"/>
          <w:szCs w:val="24"/>
        </w:rPr>
        <w:t>Cal</w:t>
      </w:r>
      <w:r w:rsidRPr="00EE701D" w:rsidR="00E31E90">
        <w:rPr>
          <w:rFonts w:ascii="Palatino Linotype" w:hAnsi="Palatino Linotype"/>
          <w:sz w:val="24"/>
          <w:szCs w:val="24"/>
        </w:rPr>
        <w:t xml:space="preserve"> </w:t>
      </w:r>
      <w:r w:rsidRPr="00EE701D" w:rsidR="005F174A">
        <w:rPr>
          <w:rFonts w:ascii="Palatino Linotype" w:hAnsi="Palatino Linotype"/>
          <w:sz w:val="24"/>
          <w:szCs w:val="24"/>
        </w:rPr>
        <w:t xml:space="preserve">Advocates argues that </w:t>
      </w:r>
      <w:r w:rsidRPr="00EE701D" w:rsidR="00A9469D">
        <w:rPr>
          <w:rFonts w:ascii="Palatino Linotype" w:hAnsi="Palatino Linotype"/>
          <w:sz w:val="24"/>
          <w:szCs w:val="24"/>
        </w:rPr>
        <w:t xml:space="preserve">IOU- and CCA-specific </w:t>
      </w:r>
      <w:r w:rsidRPr="00EE701D" w:rsidR="002C7AC9">
        <w:rPr>
          <w:rFonts w:ascii="Palatino Linotype" w:hAnsi="Palatino Linotype"/>
          <w:sz w:val="24"/>
          <w:szCs w:val="24"/>
        </w:rPr>
        <w:t>CBVRP</w:t>
      </w:r>
      <w:r w:rsidRPr="00EE701D" w:rsidR="00A9469D">
        <w:rPr>
          <w:rFonts w:ascii="Palatino Linotype" w:hAnsi="Palatino Linotype"/>
          <w:sz w:val="24"/>
          <w:szCs w:val="24"/>
        </w:rPr>
        <w:t xml:space="preserve">s would encourage more </w:t>
      </w:r>
      <w:r w:rsidRPr="00EE701D" w:rsidR="00B65E03">
        <w:rPr>
          <w:rFonts w:ascii="Palatino Linotype" w:hAnsi="Palatino Linotype"/>
          <w:sz w:val="24"/>
          <w:szCs w:val="24"/>
        </w:rPr>
        <w:t>cost-effective and responsive resource deployment</w:t>
      </w:r>
      <w:r w:rsidRPr="00EE701D" w:rsidR="00A9469D">
        <w:rPr>
          <w:rFonts w:ascii="Palatino Linotype" w:hAnsi="Palatino Linotype"/>
          <w:sz w:val="24"/>
          <w:szCs w:val="24"/>
        </w:rPr>
        <w:t>.</w:t>
      </w:r>
    </w:p>
    <w:p w:rsidRPr="00EE701D" w:rsidR="00DE2483" w:rsidP="0050317D" w:rsidRDefault="00DE2483" w14:paraId="5D8E94B3" w14:textId="77777777">
      <w:pPr>
        <w:rPr>
          <w:rFonts w:ascii="Palatino Linotype" w:hAnsi="Palatino Linotype"/>
          <w:color w:val="212121"/>
          <w:sz w:val="24"/>
          <w:szCs w:val="24"/>
        </w:rPr>
      </w:pPr>
    </w:p>
    <w:p w:rsidRPr="00EE701D" w:rsidR="00B2258A" w:rsidRDefault="00046D10" w14:paraId="38C18FAC" w14:textId="45229A22">
      <w:pPr>
        <w:rPr>
          <w:rFonts w:ascii="Palatino Linotype" w:hAnsi="Palatino Linotype" w:cs="P∫˛a"/>
          <w:sz w:val="24"/>
          <w:szCs w:val="24"/>
        </w:rPr>
      </w:pPr>
      <w:r w:rsidRPr="00EE701D">
        <w:rPr>
          <w:rFonts w:ascii="Palatino Linotype" w:hAnsi="Palatino Linotype"/>
          <w:color w:val="212121"/>
          <w:sz w:val="24"/>
          <w:szCs w:val="24"/>
        </w:rPr>
        <w:t>Dimension</w:t>
      </w:r>
      <w:r w:rsidRPr="00EE701D" w:rsidR="00504E5E">
        <w:rPr>
          <w:rFonts w:ascii="Palatino Linotype" w:hAnsi="Palatino Linotype"/>
          <w:color w:val="212121"/>
          <w:sz w:val="24"/>
          <w:szCs w:val="24"/>
        </w:rPr>
        <w:t>’s response to the initial AL</w:t>
      </w:r>
      <w:r w:rsidRPr="00EE701D">
        <w:rPr>
          <w:rFonts w:ascii="Palatino Linotype" w:hAnsi="Palatino Linotype"/>
          <w:color w:val="212121"/>
          <w:sz w:val="24"/>
          <w:szCs w:val="24"/>
        </w:rPr>
        <w:t xml:space="preserve"> </w:t>
      </w:r>
      <w:r w:rsidRPr="00EE701D" w:rsidR="00646B1A">
        <w:rPr>
          <w:rFonts w:ascii="Palatino Linotype" w:hAnsi="Palatino Linotype"/>
          <w:color w:val="212121"/>
          <w:sz w:val="24"/>
          <w:szCs w:val="24"/>
        </w:rPr>
        <w:t>agrees with the Joint CCAs</w:t>
      </w:r>
      <w:r w:rsidRPr="00EE701D" w:rsidR="00504E5E">
        <w:rPr>
          <w:rFonts w:ascii="Palatino Linotype" w:hAnsi="Palatino Linotype"/>
          <w:color w:val="212121"/>
          <w:sz w:val="24"/>
          <w:szCs w:val="24"/>
        </w:rPr>
        <w:t>’</w:t>
      </w:r>
      <w:r w:rsidRPr="00EE701D" w:rsidR="00646B1A">
        <w:rPr>
          <w:rFonts w:ascii="Palatino Linotype" w:hAnsi="Palatino Linotype"/>
          <w:color w:val="212121"/>
          <w:sz w:val="24"/>
          <w:szCs w:val="24"/>
        </w:rPr>
        <w:t xml:space="preserve"> </w:t>
      </w:r>
      <w:r w:rsidRPr="00EE701D" w:rsidR="00504E5E">
        <w:rPr>
          <w:rFonts w:ascii="Palatino Linotype" w:hAnsi="Palatino Linotype"/>
          <w:color w:val="212121"/>
          <w:sz w:val="24"/>
          <w:szCs w:val="24"/>
        </w:rPr>
        <w:t xml:space="preserve">proposal </w:t>
      </w:r>
      <w:r w:rsidRPr="00EE701D" w:rsidR="00770505">
        <w:rPr>
          <w:rFonts w:ascii="Palatino Linotype" w:hAnsi="Palatino Linotype"/>
          <w:color w:val="212121"/>
          <w:sz w:val="24"/>
          <w:szCs w:val="24"/>
        </w:rPr>
        <w:t xml:space="preserve">that </w:t>
      </w:r>
      <w:r w:rsidRPr="00EE701D" w:rsidR="00646B1A">
        <w:rPr>
          <w:rFonts w:ascii="Palatino Linotype" w:hAnsi="Palatino Linotype"/>
          <w:color w:val="212121"/>
          <w:sz w:val="24"/>
          <w:szCs w:val="24"/>
        </w:rPr>
        <w:t>the</w:t>
      </w:r>
      <w:r w:rsidRPr="00EE701D" w:rsidR="00646B1A">
        <w:rPr>
          <w:rFonts w:ascii="Palatino Linotype" w:hAnsi="Palatino Linotype" w:cs="P∫˛a"/>
          <w:sz w:val="24"/>
          <w:szCs w:val="24"/>
        </w:rPr>
        <w:t xml:space="preserve"> </w:t>
      </w:r>
      <w:r w:rsidRPr="00EE701D" w:rsidR="002C7AC9">
        <w:rPr>
          <w:rFonts w:ascii="Palatino Linotype" w:hAnsi="Palatino Linotype" w:cs="P∫˛a"/>
          <w:sz w:val="24"/>
          <w:szCs w:val="24"/>
        </w:rPr>
        <w:t>CBVRP</w:t>
      </w:r>
      <w:r w:rsidRPr="00EE701D" w:rsidR="00646B1A">
        <w:rPr>
          <w:rFonts w:ascii="Palatino Linotype" w:hAnsi="Palatino Linotype" w:cs="P∫˛a"/>
          <w:sz w:val="24"/>
          <w:szCs w:val="24"/>
        </w:rPr>
        <w:t xml:space="preserve"> should be set statewide based on a </w:t>
      </w:r>
      <w:r w:rsidRPr="00EE701D" w:rsidR="00090434">
        <w:rPr>
          <w:rFonts w:ascii="Palatino Linotype" w:hAnsi="Palatino Linotype" w:cs="P∫˛a"/>
          <w:sz w:val="24"/>
          <w:szCs w:val="24"/>
        </w:rPr>
        <w:t>large pool</w:t>
      </w:r>
      <w:r w:rsidRPr="00EE701D" w:rsidR="00646B1A">
        <w:rPr>
          <w:rFonts w:ascii="Palatino Linotype" w:hAnsi="Palatino Linotype" w:cs="P∫˛a"/>
          <w:sz w:val="24"/>
          <w:szCs w:val="24"/>
        </w:rPr>
        <w:t xml:space="preserve"> of contracts </w:t>
      </w:r>
      <w:r w:rsidRPr="00EE701D" w:rsidR="00CE369D">
        <w:rPr>
          <w:rFonts w:ascii="Palatino Linotype" w:hAnsi="Palatino Linotype" w:cs="P∫˛a"/>
          <w:sz w:val="24"/>
          <w:szCs w:val="24"/>
        </w:rPr>
        <w:t>including various locations, resource types, and</w:t>
      </w:r>
      <w:r w:rsidRPr="00EE701D" w:rsidR="00646B1A">
        <w:rPr>
          <w:rFonts w:ascii="Palatino Linotype" w:hAnsi="Palatino Linotype" w:cs="P∫˛a"/>
          <w:sz w:val="24"/>
          <w:szCs w:val="24"/>
        </w:rPr>
        <w:t xml:space="preserve"> </w:t>
      </w:r>
      <w:r w:rsidRPr="00EE701D" w:rsidR="00195160">
        <w:rPr>
          <w:rFonts w:ascii="Palatino Linotype" w:hAnsi="Palatino Linotype" w:cs="P∫˛a"/>
          <w:sz w:val="24"/>
          <w:szCs w:val="24"/>
        </w:rPr>
        <w:t>load serving entities</w:t>
      </w:r>
      <w:r w:rsidRPr="00EE701D" w:rsidR="00195160">
        <w:rPr>
          <w:rFonts w:ascii="Palatino Linotype" w:hAnsi="Palatino Linotype"/>
          <w:color w:val="212121"/>
          <w:sz w:val="24"/>
          <w:szCs w:val="24"/>
        </w:rPr>
        <w:t xml:space="preserve"> </w:t>
      </w:r>
      <w:r w:rsidRPr="00EE701D" w:rsidR="00CE369D">
        <w:rPr>
          <w:rFonts w:ascii="Palatino Linotype" w:hAnsi="Palatino Linotype"/>
          <w:color w:val="212121"/>
          <w:sz w:val="24"/>
          <w:szCs w:val="24"/>
        </w:rPr>
        <w:t>in order</w:t>
      </w:r>
      <w:r w:rsidRPr="00EE701D" w:rsidR="008A47D0">
        <w:rPr>
          <w:rFonts w:ascii="Palatino Linotype" w:hAnsi="Palatino Linotype"/>
          <w:color w:val="212121"/>
          <w:sz w:val="24"/>
          <w:szCs w:val="24"/>
        </w:rPr>
        <w:t xml:space="preserve"> </w:t>
      </w:r>
      <w:r w:rsidRPr="00EE701D" w:rsidR="00CE369D">
        <w:rPr>
          <w:rFonts w:ascii="Palatino Linotype" w:hAnsi="Palatino Linotype" w:cs="P∫˛a"/>
          <w:sz w:val="24"/>
          <w:szCs w:val="24"/>
        </w:rPr>
        <w:t>to</w:t>
      </w:r>
      <w:r w:rsidRPr="00EE701D" w:rsidR="00090434">
        <w:rPr>
          <w:rFonts w:ascii="Palatino Linotype" w:hAnsi="Palatino Linotype" w:cs="P∫˛a"/>
          <w:sz w:val="24"/>
          <w:szCs w:val="24"/>
        </w:rPr>
        <w:t xml:space="preserve"> best reflect market dynamics</w:t>
      </w:r>
      <w:r w:rsidRPr="00EE701D" w:rsidR="00CE369D">
        <w:rPr>
          <w:rFonts w:ascii="Palatino Linotype" w:hAnsi="Palatino Linotype" w:cs="P∫˛a"/>
          <w:sz w:val="24"/>
          <w:szCs w:val="24"/>
        </w:rPr>
        <w:t xml:space="preserve"> </w:t>
      </w:r>
      <w:r w:rsidRPr="00EE701D" w:rsidR="00090434">
        <w:rPr>
          <w:rFonts w:ascii="Palatino Linotype" w:hAnsi="Palatino Linotype" w:cs="P∫˛a"/>
          <w:sz w:val="24"/>
          <w:szCs w:val="24"/>
        </w:rPr>
        <w:t>in California</w:t>
      </w:r>
      <w:r w:rsidRPr="00EE701D" w:rsidR="008A47D0">
        <w:rPr>
          <w:rFonts w:ascii="Palatino Linotype" w:hAnsi="Palatino Linotype" w:cs="P∫˛a"/>
          <w:sz w:val="24"/>
          <w:szCs w:val="24"/>
        </w:rPr>
        <w:t xml:space="preserve">. Second, Dimension </w:t>
      </w:r>
      <w:r w:rsidRPr="00EE701D" w:rsidR="0040725A">
        <w:rPr>
          <w:rFonts w:ascii="Palatino Linotype" w:hAnsi="Palatino Linotype" w:cs="P∫˛a"/>
          <w:sz w:val="24"/>
          <w:szCs w:val="24"/>
        </w:rPr>
        <w:t xml:space="preserve">agrees with </w:t>
      </w:r>
      <w:r w:rsidRPr="00EE701D" w:rsidR="0072336C">
        <w:rPr>
          <w:rFonts w:ascii="Palatino Linotype" w:hAnsi="Palatino Linotype" w:cs="P∫˛a"/>
          <w:sz w:val="24"/>
          <w:szCs w:val="24"/>
        </w:rPr>
        <w:t>the Joint CCAs</w:t>
      </w:r>
      <w:r w:rsidRPr="00EE701D" w:rsidR="00504E5E">
        <w:rPr>
          <w:rFonts w:ascii="Palatino Linotype" w:hAnsi="Palatino Linotype" w:cs="P∫˛a"/>
          <w:sz w:val="24"/>
          <w:szCs w:val="24"/>
        </w:rPr>
        <w:t>’ proposal</w:t>
      </w:r>
      <w:r w:rsidRPr="00EE701D" w:rsidR="0072336C">
        <w:rPr>
          <w:rFonts w:ascii="Palatino Linotype" w:hAnsi="Palatino Linotype" w:cs="P∫˛a"/>
          <w:sz w:val="24"/>
          <w:szCs w:val="24"/>
        </w:rPr>
        <w:t xml:space="preserve"> that a minimum of 175</w:t>
      </w:r>
      <w:r w:rsidRPr="00EE701D" w:rsidR="006E5E11">
        <w:rPr>
          <w:rFonts w:ascii="Palatino Linotype" w:hAnsi="Palatino Linotype" w:cs="P∫˛a"/>
          <w:sz w:val="24"/>
          <w:szCs w:val="24"/>
        </w:rPr>
        <w:t>%</w:t>
      </w:r>
      <w:r w:rsidRPr="00EE701D" w:rsidR="0072336C">
        <w:rPr>
          <w:rFonts w:ascii="Palatino Linotype" w:hAnsi="Palatino Linotype" w:cs="P∫˛a"/>
          <w:sz w:val="24"/>
          <w:szCs w:val="24"/>
        </w:rPr>
        <w:t xml:space="preserve"> Multiplier should be used </w:t>
      </w:r>
      <w:r w:rsidRPr="00EE701D" w:rsidR="000E6E41">
        <w:rPr>
          <w:rFonts w:ascii="Palatino Linotype" w:hAnsi="Palatino Linotype" w:cs="P∫˛a"/>
          <w:sz w:val="24"/>
          <w:szCs w:val="24"/>
        </w:rPr>
        <w:t xml:space="preserve">to account for </w:t>
      </w:r>
      <w:r w:rsidRPr="00EE701D" w:rsidR="00E6745B">
        <w:rPr>
          <w:rFonts w:ascii="Palatino Linotype" w:hAnsi="Palatino Linotype" w:cs="P∫˛a"/>
          <w:sz w:val="24"/>
          <w:szCs w:val="24"/>
        </w:rPr>
        <w:t>the higher cost</w:t>
      </w:r>
      <w:r w:rsidRPr="00EE701D" w:rsidR="000E6E41">
        <w:rPr>
          <w:rFonts w:ascii="Palatino Linotype" w:hAnsi="Palatino Linotype" w:cs="P∫˛a"/>
          <w:sz w:val="24"/>
          <w:szCs w:val="24"/>
        </w:rPr>
        <w:t xml:space="preserve"> </w:t>
      </w:r>
      <w:r w:rsidRPr="00EE701D" w:rsidR="008D73C1">
        <w:rPr>
          <w:rFonts w:ascii="Palatino Linotype" w:hAnsi="Palatino Linotype" w:cs="P∫˛a"/>
          <w:sz w:val="24"/>
          <w:szCs w:val="24"/>
        </w:rPr>
        <w:t>of</w:t>
      </w:r>
      <w:r w:rsidRPr="00EE701D" w:rsidR="000E6E41">
        <w:rPr>
          <w:rFonts w:ascii="Palatino Linotype" w:hAnsi="Palatino Linotype" w:cs="P∫˛a"/>
          <w:sz w:val="24"/>
          <w:szCs w:val="24"/>
        </w:rPr>
        <w:t xml:space="preserve"> </w:t>
      </w:r>
      <w:r w:rsidR="006C5DA8">
        <w:rPr>
          <w:rFonts w:ascii="Palatino Linotype" w:hAnsi="Palatino Linotype" w:cs="P∫˛a"/>
          <w:sz w:val="24"/>
          <w:szCs w:val="24"/>
        </w:rPr>
        <w:br/>
      </w:r>
      <w:r w:rsidRPr="00EE701D" w:rsidR="000E6E41">
        <w:rPr>
          <w:rFonts w:ascii="Palatino Linotype" w:hAnsi="Palatino Linotype" w:cs="P∫˛a"/>
          <w:sz w:val="24"/>
          <w:szCs w:val="24"/>
        </w:rPr>
        <w:t>small</w:t>
      </w:r>
      <w:r w:rsidRPr="00EE701D" w:rsidR="008D73C1">
        <w:rPr>
          <w:rFonts w:ascii="Palatino Linotype" w:hAnsi="Palatino Linotype" w:cs="P∫˛a"/>
          <w:sz w:val="24"/>
          <w:szCs w:val="24"/>
        </w:rPr>
        <w:t>-</w:t>
      </w:r>
      <w:r w:rsidRPr="00EE701D" w:rsidR="000E6E41">
        <w:rPr>
          <w:rFonts w:ascii="Palatino Linotype" w:hAnsi="Palatino Linotype" w:cs="P∫˛a"/>
          <w:sz w:val="24"/>
          <w:szCs w:val="24"/>
        </w:rPr>
        <w:t>scale</w:t>
      </w:r>
      <w:r w:rsidRPr="00EE701D" w:rsidR="00E6745B">
        <w:rPr>
          <w:rFonts w:ascii="Palatino Linotype" w:hAnsi="Palatino Linotype" w:cs="P∫˛a"/>
          <w:sz w:val="24"/>
          <w:szCs w:val="24"/>
        </w:rPr>
        <w:t xml:space="preserve"> </w:t>
      </w:r>
      <w:r w:rsidRPr="00EE701D" w:rsidR="008D73C1">
        <w:rPr>
          <w:rFonts w:ascii="Palatino Linotype" w:hAnsi="Palatino Linotype" w:cs="P∫˛a"/>
          <w:sz w:val="24"/>
          <w:szCs w:val="24"/>
        </w:rPr>
        <w:t xml:space="preserve">solar and </w:t>
      </w:r>
      <w:r w:rsidRPr="00EE701D" w:rsidR="000E6E41">
        <w:rPr>
          <w:rFonts w:ascii="Palatino Linotype" w:hAnsi="Palatino Linotype" w:cs="P∫˛a"/>
          <w:sz w:val="24"/>
          <w:szCs w:val="24"/>
        </w:rPr>
        <w:t>storage</w:t>
      </w:r>
      <w:r w:rsidRPr="00EE701D" w:rsidR="008D73C1">
        <w:rPr>
          <w:rFonts w:ascii="Palatino Linotype" w:hAnsi="Palatino Linotype" w:cs="P∫˛a"/>
          <w:sz w:val="24"/>
          <w:szCs w:val="24"/>
        </w:rPr>
        <w:t xml:space="preserve"> projects. Lastly, Dimension argues</w:t>
      </w:r>
      <w:r w:rsidRPr="00EE701D" w:rsidR="00CD0241">
        <w:rPr>
          <w:rFonts w:ascii="Palatino Linotype" w:hAnsi="Palatino Linotype" w:cs="P∫˛a"/>
          <w:sz w:val="24"/>
          <w:szCs w:val="24"/>
        </w:rPr>
        <w:t xml:space="preserve"> that </w:t>
      </w:r>
      <w:r w:rsidRPr="00EE701D" w:rsidR="0001574F">
        <w:rPr>
          <w:rFonts w:ascii="Palatino Linotype" w:hAnsi="Palatino Linotype" w:cs="P∫˛a"/>
          <w:sz w:val="24"/>
          <w:szCs w:val="24"/>
        </w:rPr>
        <w:t>the Joint CCA</w:t>
      </w:r>
      <w:r w:rsidRPr="00EE701D" w:rsidR="005C7EFD">
        <w:rPr>
          <w:rFonts w:ascii="Palatino Linotype" w:hAnsi="Palatino Linotype" w:cs="P∫˛a"/>
          <w:sz w:val="24"/>
          <w:szCs w:val="24"/>
        </w:rPr>
        <w:t>s</w:t>
      </w:r>
      <w:r w:rsidRPr="00EE701D" w:rsidR="006E5E11">
        <w:rPr>
          <w:rFonts w:ascii="Palatino Linotype" w:hAnsi="Palatino Linotype" w:cs="P∫˛a"/>
          <w:sz w:val="24"/>
          <w:szCs w:val="24"/>
        </w:rPr>
        <w:t>’</w:t>
      </w:r>
      <w:r w:rsidRPr="00EE701D" w:rsidR="005C7EFD">
        <w:rPr>
          <w:rFonts w:ascii="Palatino Linotype" w:hAnsi="Palatino Linotype" w:cs="P∫˛a"/>
          <w:sz w:val="24"/>
          <w:szCs w:val="24"/>
        </w:rPr>
        <w:t xml:space="preserve"> </w:t>
      </w:r>
      <w:r w:rsidRPr="00EE701D" w:rsidR="00085C74">
        <w:rPr>
          <w:rFonts w:ascii="Palatino Linotype" w:hAnsi="Palatino Linotype" w:cs="P∫˛a"/>
          <w:sz w:val="24"/>
          <w:szCs w:val="24"/>
        </w:rPr>
        <w:t xml:space="preserve">cost </w:t>
      </w:r>
      <w:r w:rsidRPr="00EE701D" w:rsidR="006E5E11">
        <w:rPr>
          <w:rFonts w:ascii="Palatino Linotype" w:hAnsi="Palatino Linotype"/>
          <w:sz w:val="24"/>
          <w:szCs w:val="24"/>
        </w:rPr>
        <w:t>containment</w:t>
      </w:r>
      <w:r w:rsidRPr="00EE701D" w:rsidR="006E5E11">
        <w:rPr>
          <w:rFonts w:ascii="Palatino Linotype" w:hAnsi="Palatino Linotype" w:cs="P∫˛a"/>
          <w:sz w:val="24"/>
          <w:szCs w:val="24"/>
        </w:rPr>
        <w:t xml:space="preserve"> </w:t>
      </w:r>
      <w:r w:rsidRPr="00EE701D" w:rsidR="00085C74">
        <w:rPr>
          <w:rFonts w:ascii="Palatino Linotype" w:hAnsi="Palatino Linotype" w:cs="P∫˛a"/>
          <w:sz w:val="24"/>
          <w:szCs w:val="24"/>
        </w:rPr>
        <w:t xml:space="preserve">cap </w:t>
      </w:r>
      <w:r w:rsidRPr="00EE701D" w:rsidR="00820790">
        <w:rPr>
          <w:rFonts w:ascii="Palatino Linotype" w:hAnsi="Palatino Linotype" w:cs="P∫˛a"/>
          <w:sz w:val="24"/>
          <w:szCs w:val="24"/>
        </w:rPr>
        <w:t>methodology</w:t>
      </w:r>
      <w:r w:rsidRPr="00EE701D" w:rsidR="00085C74">
        <w:rPr>
          <w:rFonts w:ascii="Palatino Linotype" w:hAnsi="Palatino Linotype" w:cs="P∫˛a"/>
          <w:sz w:val="24"/>
          <w:szCs w:val="24"/>
        </w:rPr>
        <w:t xml:space="preserve"> </w:t>
      </w:r>
      <w:r w:rsidRPr="00EE701D" w:rsidR="0001574F">
        <w:rPr>
          <w:rFonts w:ascii="Palatino Linotype" w:hAnsi="Palatino Linotype" w:cs="P∫˛a"/>
          <w:sz w:val="24"/>
          <w:szCs w:val="24"/>
        </w:rPr>
        <w:t xml:space="preserve">deemed confidential </w:t>
      </w:r>
      <w:r w:rsidRPr="00EE701D" w:rsidR="005C7EFD">
        <w:rPr>
          <w:rFonts w:ascii="Palatino Linotype" w:hAnsi="Palatino Linotype" w:cs="P∫˛a"/>
          <w:sz w:val="24"/>
          <w:szCs w:val="24"/>
        </w:rPr>
        <w:t>in</w:t>
      </w:r>
      <w:r w:rsidRPr="00EE701D" w:rsidDel="006E5E11" w:rsidR="005C7EFD">
        <w:rPr>
          <w:rFonts w:ascii="Palatino Linotype" w:hAnsi="Palatino Linotype" w:cs="P∫˛a"/>
          <w:sz w:val="24"/>
          <w:szCs w:val="24"/>
        </w:rPr>
        <w:t xml:space="preserve"> </w:t>
      </w:r>
      <w:r w:rsidRPr="00EE701D" w:rsidR="0001574F">
        <w:rPr>
          <w:rFonts w:ascii="Palatino Linotype" w:hAnsi="Palatino Linotype"/>
          <w:color w:val="212121"/>
          <w:sz w:val="24"/>
          <w:szCs w:val="24"/>
        </w:rPr>
        <w:t>SCE AL 5362-E and PG&amp;E AL 7363-E</w:t>
      </w:r>
      <w:r w:rsidRPr="00EE701D" w:rsidR="0001574F">
        <w:rPr>
          <w:rFonts w:ascii="Palatino Linotype" w:hAnsi="Palatino Linotype" w:cs="P∫˛a"/>
          <w:sz w:val="24"/>
          <w:szCs w:val="24"/>
        </w:rPr>
        <w:t xml:space="preserve"> </w:t>
      </w:r>
      <w:r w:rsidRPr="00EE701D" w:rsidR="00195160">
        <w:rPr>
          <w:rFonts w:ascii="Palatino Linotype" w:hAnsi="Palatino Linotype" w:cs="P∫˛a"/>
          <w:sz w:val="24"/>
          <w:szCs w:val="24"/>
        </w:rPr>
        <w:t xml:space="preserve">should </w:t>
      </w:r>
      <w:r w:rsidRPr="00EE701D" w:rsidR="0001574F">
        <w:rPr>
          <w:rFonts w:ascii="Palatino Linotype" w:hAnsi="Palatino Linotype" w:cs="P∫˛a"/>
          <w:sz w:val="24"/>
          <w:szCs w:val="24"/>
        </w:rPr>
        <w:t>be made public</w:t>
      </w:r>
      <w:r w:rsidRPr="00EE701D" w:rsidR="005C7EFD">
        <w:rPr>
          <w:rFonts w:ascii="Palatino Linotype" w:hAnsi="Palatino Linotype" w:cs="P∫˛a"/>
          <w:sz w:val="24"/>
          <w:szCs w:val="24"/>
        </w:rPr>
        <w:t xml:space="preserve"> so that developers can </w:t>
      </w:r>
      <w:r w:rsidRPr="00EE701D" w:rsidR="00820790">
        <w:rPr>
          <w:rFonts w:ascii="Palatino Linotype" w:hAnsi="Palatino Linotype" w:cs="P∫˛a"/>
          <w:sz w:val="24"/>
          <w:szCs w:val="24"/>
        </w:rPr>
        <w:t xml:space="preserve">have sufficient information in order to </w:t>
      </w:r>
      <w:r w:rsidRPr="00EE701D" w:rsidR="00085C74">
        <w:rPr>
          <w:rFonts w:ascii="Palatino Linotype" w:hAnsi="Palatino Linotype" w:cs="P∫˛a"/>
          <w:sz w:val="24"/>
          <w:szCs w:val="24"/>
        </w:rPr>
        <w:t>submit conforming bids.</w:t>
      </w:r>
    </w:p>
    <w:p w:rsidRPr="00EE701D" w:rsidR="0005206E" w:rsidRDefault="0005206E" w14:paraId="48DE87AA" w14:textId="77777777">
      <w:pPr>
        <w:rPr>
          <w:rFonts w:ascii="Palatino Linotype" w:hAnsi="Palatino Linotype"/>
          <w:b/>
          <w:bCs/>
          <w:color w:val="212121"/>
          <w:sz w:val="24"/>
          <w:szCs w:val="24"/>
        </w:rPr>
      </w:pPr>
    </w:p>
    <w:p w:rsidRPr="00EE701D" w:rsidR="006505F0" w:rsidP="0005206E" w:rsidRDefault="006505F0" w14:paraId="107D4D03" w14:textId="4C7ED516">
      <w:pPr>
        <w:rPr>
          <w:rFonts w:ascii="Palatino Linotype" w:hAnsi="Palatino Linotype"/>
          <w:b/>
          <w:bCs/>
          <w:color w:val="212121"/>
          <w:sz w:val="24"/>
          <w:szCs w:val="24"/>
        </w:rPr>
      </w:pPr>
      <w:r w:rsidRPr="00EE701D">
        <w:rPr>
          <w:rFonts w:ascii="Palatino Linotype" w:hAnsi="Palatino Linotype"/>
          <w:b/>
          <w:bCs/>
          <w:color w:val="212121"/>
          <w:sz w:val="24"/>
          <w:szCs w:val="24"/>
        </w:rPr>
        <w:t>Joint IOUs’ Reply to Protests</w:t>
      </w:r>
      <w:r w:rsidRPr="00EE701D" w:rsidR="006E5E11">
        <w:rPr>
          <w:rFonts w:ascii="Palatino Linotype" w:hAnsi="Palatino Linotype"/>
          <w:b/>
          <w:bCs/>
          <w:color w:val="212121"/>
          <w:sz w:val="24"/>
          <w:szCs w:val="24"/>
        </w:rPr>
        <w:t xml:space="preserve"> and Response</w:t>
      </w:r>
    </w:p>
    <w:p w:rsidRPr="00EE701D" w:rsidR="00694E40" w:rsidP="0005206E" w:rsidRDefault="006505F0" w14:paraId="1966F832" w14:textId="686FF3DB">
      <w:pPr>
        <w:rPr>
          <w:rFonts w:ascii="Palatino Linotype" w:hAnsi="Palatino Linotype"/>
          <w:color w:val="212121"/>
          <w:sz w:val="24"/>
          <w:szCs w:val="24"/>
        </w:rPr>
      </w:pPr>
      <w:r w:rsidRPr="00EE701D">
        <w:rPr>
          <w:rFonts w:ascii="Palatino Linotype" w:hAnsi="Palatino Linotype"/>
          <w:color w:val="212121"/>
          <w:sz w:val="24"/>
          <w:szCs w:val="24"/>
        </w:rPr>
        <w:t>On September 24, 2024, the Joint IOUs submitted a timely reply to the protests</w:t>
      </w:r>
      <w:r w:rsidRPr="00EE701D" w:rsidR="006E5E11">
        <w:rPr>
          <w:rFonts w:ascii="Palatino Linotype" w:hAnsi="Palatino Linotype"/>
          <w:color w:val="212121"/>
          <w:sz w:val="24"/>
          <w:szCs w:val="24"/>
        </w:rPr>
        <w:t xml:space="preserve"> and response</w:t>
      </w:r>
      <w:r w:rsidRPr="00EE701D" w:rsidR="00195160">
        <w:rPr>
          <w:rFonts w:ascii="Palatino Linotype" w:hAnsi="Palatino Linotype"/>
          <w:color w:val="212121"/>
          <w:sz w:val="24"/>
          <w:szCs w:val="24"/>
        </w:rPr>
        <w:t xml:space="preserve"> on the </w:t>
      </w:r>
      <w:r w:rsidRPr="00EE701D" w:rsidR="00EF220B">
        <w:rPr>
          <w:rFonts w:ascii="Palatino Linotype" w:hAnsi="Palatino Linotype"/>
          <w:color w:val="212121"/>
          <w:sz w:val="24"/>
          <w:szCs w:val="24"/>
        </w:rPr>
        <w:t>initial Joint AL</w:t>
      </w:r>
      <w:r w:rsidRPr="00EE701D">
        <w:rPr>
          <w:rFonts w:ascii="Palatino Linotype" w:hAnsi="Palatino Linotype"/>
          <w:color w:val="212121"/>
          <w:sz w:val="24"/>
          <w:szCs w:val="24"/>
        </w:rPr>
        <w:t>.</w:t>
      </w:r>
      <w:r w:rsidRPr="00EE701D" w:rsidR="00F139A7">
        <w:rPr>
          <w:rFonts w:ascii="Palatino Linotype" w:hAnsi="Palatino Linotype"/>
          <w:color w:val="212121"/>
          <w:sz w:val="24"/>
          <w:szCs w:val="24"/>
        </w:rPr>
        <w:t xml:space="preserve"> </w:t>
      </w:r>
      <w:r w:rsidRPr="00EE701D" w:rsidR="00832DAB">
        <w:rPr>
          <w:rFonts w:ascii="Palatino Linotype" w:hAnsi="Palatino Linotype"/>
          <w:color w:val="212121"/>
          <w:sz w:val="24"/>
          <w:szCs w:val="24"/>
        </w:rPr>
        <w:t>The Joint IOUs argue that 1) they</w:t>
      </w:r>
      <w:r w:rsidRPr="00EE701D" w:rsidR="00EF220B">
        <w:rPr>
          <w:rFonts w:ascii="Palatino Linotype" w:hAnsi="Palatino Linotype"/>
          <w:color w:val="212121"/>
          <w:sz w:val="24"/>
          <w:szCs w:val="24"/>
        </w:rPr>
        <w:t xml:space="preserve"> have</w:t>
      </w:r>
      <w:r w:rsidRPr="00EE701D" w:rsidR="00832DAB">
        <w:rPr>
          <w:rFonts w:ascii="Palatino Linotype" w:hAnsi="Palatino Linotype"/>
          <w:color w:val="212121"/>
          <w:sz w:val="24"/>
          <w:szCs w:val="24"/>
        </w:rPr>
        <w:t xml:space="preserve"> complied with D.24-05-065 OP</w:t>
      </w:r>
      <w:r w:rsidRPr="00EE701D" w:rsidR="006E5E11">
        <w:rPr>
          <w:rFonts w:ascii="Palatino Linotype" w:hAnsi="Palatino Linotype"/>
          <w:color w:val="212121"/>
          <w:sz w:val="24"/>
          <w:szCs w:val="24"/>
        </w:rPr>
        <w:t xml:space="preserve"> </w:t>
      </w:r>
      <w:r w:rsidRPr="00EE701D" w:rsidR="00832DAB">
        <w:rPr>
          <w:rFonts w:ascii="Palatino Linotype" w:hAnsi="Palatino Linotype"/>
          <w:color w:val="212121"/>
          <w:sz w:val="24"/>
          <w:szCs w:val="24"/>
        </w:rPr>
        <w:t>4</w:t>
      </w:r>
      <w:r w:rsidRPr="00EE701D" w:rsidR="00694E40">
        <w:rPr>
          <w:rFonts w:ascii="Palatino Linotype" w:hAnsi="Palatino Linotype"/>
          <w:color w:val="212121"/>
          <w:sz w:val="24"/>
          <w:szCs w:val="24"/>
        </w:rPr>
        <w:t>,</w:t>
      </w:r>
      <w:r w:rsidRPr="00EE701D" w:rsidR="00832DAB">
        <w:rPr>
          <w:rFonts w:ascii="Palatino Linotype" w:hAnsi="Palatino Linotype"/>
          <w:color w:val="212121"/>
          <w:sz w:val="24"/>
          <w:szCs w:val="24"/>
        </w:rPr>
        <w:t xml:space="preserve"> 2) </w:t>
      </w:r>
      <w:r w:rsidRPr="00EE701D" w:rsidR="009A02D1">
        <w:rPr>
          <w:rFonts w:ascii="Palatino Linotype" w:hAnsi="Palatino Linotype"/>
          <w:color w:val="212121"/>
          <w:sz w:val="24"/>
          <w:szCs w:val="24"/>
        </w:rPr>
        <w:t xml:space="preserve">the </w:t>
      </w:r>
      <w:r w:rsidRPr="00EE701D" w:rsidR="002C7AC9">
        <w:rPr>
          <w:rFonts w:ascii="Palatino Linotype" w:hAnsi="Palatino Linotype"/>
          <w:color w:val="212121"/>
          <w:sz w:val="24"/>
          <w:szCs w:val="24"/>
        </w:rPr>
        <w:t>CBVRP</w:t>
      </w:r>
      <w:r w:rsidRPr="00EE701D" w:rsidR="009A02D1">
        <w:rPr>
          <w:rFonts w:ascii="Palatino Linotype" w:hAnsi="Palatino Linotype"/>
          <w:color w:val="212121"/>
          <w:sz w:val="24"/>
          <w:szCs w:val="24"/>
        </w:rPr>
        <w:t xml:space="preserve"> must remain confidential</w:t>
      </w:r>
      <w:r w:rsidRPr="00EE701D" w:rsidR="00694E40">
        <w:rPr>
          <w:rFonts w:ascii="Palatino Linotype" w:hAnsi="Palatino Linotype"/>
          <w:color w:val="212121"/>
          <w:sz w:val="24"/>
          <w:szCs w:val="24"/>
        </w:rPr>
        <w:t>,</w:t>
      </w:r>
      <w:r w:rsidRPr="00EE701D" w:rsidR="009A02D1">
        <w:rPr>
          <w:rFonts w:ascii="Palatino Linotype" w:hAnsi="Palatino Linotype"/>
          <w:color w:val="212121"/>
          <w:sz w:val="24"/>
          <w:szCs w:val="24"/>
        </w:rPr>
        <w:t xml:space="preserve"> 3) specific IOU and CCA </w:t>
      </w:r>
      <w:r w:rsidRPr="00EE701D" w:rsidR="002C7AC9">
        <w:rPr>
          <w:rFonts w:ascii="Palatino Linotype" w:hAnsi="Palatino Linotype"/>
          <w:color w:val="212121"/>
          <w:sz w:val="24"/>
          <w:szCs w:val="24"/>
        </w:rPr>
        <w:t>CBVRP</w:t>
      </w:r>
      <w:r w:rsidRPr="00EE701D" w:rsidR="009A02D1">
        <w:rPr>
          <w:rFonts w:ascii="Palatino Linotype" w:hAnsi="Palatino Linotype"/>
          <w:color w:val="212121"/>
          <w:sz w:val="24"/>
          <w:szCs w:val="24"/>
        </w:rPr>
        <w:t>s must be adopted</w:t>
      </w:r>
      <w:r w:rsidRPr="00EE701D" w:rsidR="00694E40">
        <w:rPr>
          <w:rFonts w:ascii="Palatino Linotype" w:hAnsi="Palatino Linotype"/>
          <w:color w:val="212121"/>
          <w:sz w:val="24"/>
          <w:szCs w:val="24"/>
        </w:rPr>
        <w:t>,</w:t>
      </w:r>
      <w:r w:rsidRPr="00EE701D" w:rsidR="009A02D1">
        <w:rPr>
          <w:rFonts w:ascii="Palatino Linotype" w:hAnsi="Palatino Linotype"/>
          <w:color w:val="212121"/>
          <w:sz w:val="24"/>
          <w:szCs w:val="24"/>
        </w:rPr>
        <w:t xml:space="preserve"> and 4)</w:t>
      </w:r>
      <w:r w:rsidRPr="00EE701D" w:rsidR="008275AD">
        <w:rPr>
          <w:rFonts w:ascii="Palatino Linotype" w:hAnsi="Palatino Linotype"/>
          <w:color w:val="212121"/>
          <w:sz w:val="24"/>
          <w:szCs w:val="24"/>
        </w:rPr>
        <w:t xml:space="preserve"> the 120% Multiplier is appropriate.</w:t>
      </w:r>
      <w:r w:rsidRPr="00EE701D" w:rsidR="000C670C">
        <w:rPr>
          <w:rFonts w:ascii="Palatino Linotype" w:hAnsi="Palatino Linotype"/>
          <w:color w:val="212121"/>
          <w:sz w:val="24"/>
          <w:szCs w:val="24"/>
        </w:rPr>
        <w:t xml:space="preserve"> </w:t>
      </w:r>
    </w:p>
    <w:p w:rsidRPr="00EE701D" w:rsidR="00C80B7D" w:rsidP="0005206E" w:rsidRDefault="00C80B7D" w14:paraId="46A13754" w14:textId="77777777">
      <w:pPr>
        <w:rPr>
          <w:rFonts w:ascii="Palatino Linotype" w:hAnsi="Palatino Linotype"/>
          <w:color w:val="212121"/>
          <w:sz w:val="24"/>
          <w:szCs w:val="24"/>
        </w:rPr>
      </w:pPr>
    </w:p>
    <w:p w:rsidRPr="00EE701D" w:rsidR="006505F0" w:rsidP="006505F0" w:rsidRDefault="00962A19" w14:paraId="30A325E2" w14:textId="18150BE2">
      <w:pPr>
        <w:spacing w:after="240"/>
        <w:rPr>
          <w:rFonts w:ascii="Palatino Linotype" w:hAnsi="Palatino Linotype"/>
          <w:color w:val="212121"/>
          <w:sz w:val="24"/>
          <w:szCs w:val="24"/>
        </w:rPr>
      </w:pPr>
      <w:r w:rsidRPr="00EE701D">
        <w:rPr>
          <w:rFonts w:ascii="Palatino Linotype" w:hAnsi="Palatino Linotype"/>
          <w:color w:val="212121"/>
          <w:sz w:val="24"/>
          <w:szCs w:val="24"/>
        </w:rPr>
        <w:t>First, t</w:t>
      </w:r>
      <w:r w:rsidRPr="00EE701D" w:rsidR="000C670C">
        <w:rPr>
          <w:rFonts w:ascii="Palatino Linotype" w:hAnsi="Palatino Linotype"/>
          <w:color w:val="212121"/>
          <w:sz w:val="24"/>
          <w:szCs w:val="24"/>
        </w:rPr>
        <w:t>he Joint IOUs refute Cal</w:t>
      </w:r>
      <w:r w:rsidRPr="00EE701D" w:rsidR="00E31E90">
        <w:rPr>
          <w:rFonts w:ascii="Palatino Linotype" w:hAnsi="Palatino Linotype"/>
          <w:color w:val="212121"/>
          <w:sz w:val="24"/>
          <w:szCs w:val="24"/>
        </w:rPr>
        <w:t xml:space="preserve"> </w:t>
      </w:r>
      <w:r w:rsidRPr="00EE701D" w:rsidR="000C670C">
        <w:rPr>
          <w:rFonts w:ascii="Palatino Linotype" w:hAnsi="Palatino Linotype"/>
          <w:color w:val="212121"/>
          <w:sz w:val="24"/>
          <w:szCs w:val="24"/>
        </w:rPr>
        <w:t xml:space="preserve">Advocate’s </w:t>
      </w:r>
      <w:r w:rsidRPr="00EE701D">
        <w:rPr>
          <w:rFonts w:ascii="Palatino Linotype" w:hAnsi="Palatino Linotype"/>
          <w:color w:val="212121"/>
          <w:sz w:val="24"/>
          <w:szCs w:val="24"/>
        </w:rPr>
        <w:t xml:space="preserve">request that the </w:t>
      </w:r>
      <w:r w:rsidRPr="00EE701D" w:rsidR="00694E40">
        <w:rPr>
          <w:rFonts w:ascii="Palatino Linotype" w:hAnsi="Palatino Linotype"/>
          <w:color w:val="212121"/>
          <w:sz w:val="24"/>
          <w:szCs w:val="24"/>
        </w:rPr>
        <w:t xml:space="preserve">Commission </w:t>
      </w:r>
      <w:r w:rsidRPr="00EE701D">
        <w:rPr>
          <w:rFonts w:ascii="Palatino Linotype" w:hAnsi="Palatino Linotype"/>
          <w:color w:val="212121"/>
          <w:sz w:val="24"/>
          <w:szCs w:val="24"/>
        </w:rPr>
        <w:t>reject the AL</w:t>
      </w:r>
      <w:r w:rsidRPr="00EE701D" w:rsidR="0095453F">
        <w:rPr>
          <w:rFonts w:ascii="Palatino Linotype" w:hAnsi="Palatino Linotype"/>
          <w:color w:val="212121"/>
          <w:sz w:val="24"/>
          <w:szCs w:val="24"/>
        </w:rPr>
        <w:t>,</w:t>
      </w:r>
      <w:r w:rsidRPr="00EE701D">
        <w:rPr>
          <w:rFonts w:ascii="Palatino Linotype" w:hAnsi="Palatino Linotype"/>
          <w:color w:val="212121"/>
          <w:sz w:val="24"/>
          <w:szCs w:val="24"/>
        </w:rPr>
        <w:t xml:space="preserve"> </w:t>
      </w:r>
      <w:r w:rsidRPr="00EE701D" w:rsidR="0095453F">
        <w:rPr>
          <w:rFonts w:ascii="Palatino Linotype" w:hAnsi="Palatino Linotype"/>
          <w:color w:val="212121"/>
          <w:sz w:val="24"/>
          <w:szCs w:val="24"/>
        </w:rPr>
        <w:t>arguing</w:t>
      </w:r>
      <w:r w:rsidRPr="00EE701D" w:rsidR="00EC6F38">
        <w:rPr>
          <w:rFonts w:ascii="Palatino Linotype" w:hAnsi="Palatino Linotype"/>
          <w:color w:val="212121"/>
          <w:sz w:val="24"/>
          <w:szCs w:val="24"/>
        </w:rPr>
        <w:t xml:space="preserve"> that they carried out the requirements of OP 4 by convening several meetings with the Joint CCAs and corresponding by email </w:t>
      </w:r>
      <w:r w:rsidRPr="00EE701D" w:rsidR="00C7214E">
        <w:rPr>
          <w:rFonts w:ascii="Palatino Linotype" w:hAnsi="Palatino Linotype"/>
          <w:color w:val="212121"/>
          <w:sz w:val="24"/>
          <w:szCs w:val="24"/>
        </w:rPr>
        <w:t xml:space="preserve">before submitting </w:t>
      </w:r>
      <w:r w:rsidRPr="00EE701D" w:rsidR="00873135">
        <w:rPr>
          <w:rFonts w:ascii="Palatino Linotype" w:hAnsi="Palatino Linotype"/>
          <w:color w:val="212121"/>
          <w:sz w:val="24"/>
          <w:szCs w:val="24"/>
        </w:rPr>
        <w:t>the</w:t>
      </w:r>
      <w:r w:rsidRPr="00EE701D" w:rsidR="00CA5FCF">
        <w:rPr>
          <w:rFonts w:ascii="Palatino Linotype" w:hAnsi="Palatino Linotype"/>
          <w:color w:val="212121"/>
          <w:sz w:val="24"/>
          <w:szCs w:val="24"/>
        </w:rPr>
        <w:t xml:space="preserve"> required</w:t>
      </w:r>
      <w:r w:rsidRPr="00EE701D" w:rsidR="00873135">
        <w:rPr>
          <w:rFonts w:ascii="Palatino Linotype" w:hAnsi="Palatino Linotype"/>
          <w:color w:val="212121"/>
          <w:sz w:val="24"/>
          <w:szCs w:val="24"/>
        </w:rPr>
        <w:t xml:space="preserve"> AL</w:t>
      </w:r>
      <w:r w:rsidRPr="00EE701D" w:rsidR="00C7214E">
        <w:rPr>
          <w:rFonts w:ascii="Palatino Linotype" w:hAnsi="Palatino Linotype"/>
          <w:color w:val="212121"/>
          <w:sz w:val="24"/>
          <w:szCs w:val="24"/>
        </w:rPr>
        <w:t xml:space="preserve"> </w:t>
      </w:r>
      <w:r w:rsidRPr="00EE701D" w:rsidR="00791898">
        <w:rPr>
          <w:rFonts w:ascii="Palatino Linotype" w:hAnsi="Palatino Linotype"/>
          <w:color w:val="212121"/>
          <w:sz w:val="24"/>
          <w:szCs w:val="24"/>
        </w:rPr>
        <w:lastRenderedPageBreak/>
        <w:t xml:space="preserve">that </w:t>
      </w:r>
      <w:r w:rsidRPr="00EE701D" w:rsidR="00C7214E">
        <w:rPr>
          <w:rFonts w:ascii="Palatino Linotype" w:hAnsi="Palatino Linotype"/>
          <w:color w:val="212121"/>
          <w:sz w:val="24"/>
          <w:szCs w:val="24"/>
        </w:rPr>
        <w:t>propos</w:t>
      </w:r>
      <w:r w:rsidRPr="00EE701D" w:rsidR="00791898">
        <w:rPr>
          <w:rFonts w:ascii="Palatino Linotype" w:hAnsi="Palatino Linotype"/>
          <w:color w:val="212121"/>
          <w:sz w:val="24"/>
          <w:szCs w:val="24"/>
        </w:rPr>
        <w:t>ed</w:t>
      </w:r>
      <w:r w:rsidRPr="00EE701D" w:rsidR="00C7214E">
        <w:rPr>
          <w:rFonts w:ascii="Palatino Linotype" w:hAnsi="Palatino Linotype"/>
          <w:color w:val="212121"/>
          <w:sz w:val="24"/>
          <w:szCs w:val="24"/>
        </w:rPr>
        <w:t xml:space="preserve"> </w:t>
      </w:r>
      <w:r w:rsidRPr="00EE701D" w:rsidR="00CA5FCF">
        <w:rPr>
          <w:rFonts w:ascii="Palatino Linotype" w:hAnsi="Palatino Linotype"/>
          <w:color w:val="212121"/>
          <w:sz w:val="24"/>
          <w:szCs w:val="24"/>
        </w:rPr>
        <w:t>an</w:t>
      </w:r>
      <w:r w:rsidRPr="00EE701D" w:rsidR="00873135">
        <w:rPr>
          <w:rFonts w:ascii="Palatino Linotype" w:hAnsi="Palatino Linotype"/>
          <w:color w:val="212121"/>
          <w:sz w:val="24"/>
          <w:szCs w:val="24"/>
        </w:rPr>
        <w:t xml:space="preserve"> update to the</w:t>
      </w:r>
      <w:r w:rsidRPr="00EE701D" w:rsidR="00C7214E">
        <w:rPr>
          <w:rFonts w:ascii="Palatino Linotype" w:hAnsi="Palatino Linotype"/>
          <w:color w:val="212121"/>
          <w:sz w:val="24"/>
          <w:szCs w:val="24"/>
        </w:rPr>
        <w:t xml:space="preserve"> cost </w:t>
      </w:r>
      <w:r w:rsidRPr="00EE701D" w:rsidR="00FA6A3D">
        <w:rPr>
          <w:rFonts w:ascii="Palatino Linotype" w:hAnsi="Palatino Linotype"/>
          <w:sz w:val="24"/>
          <w:szCs w:val="24"/>
        </w:rPr>
        <w:t>containment</w:t>
      </w:r>
      <w:r w:rsidRPr="00EE701D" w:rsidR="00FA6A3D">
        <w:rPr>
          <w:rFonts w:ascii="Palatino Linotype" w:hAnsi="Palatino Linotype"/>
          <w:color w:val="212121"/>
          <w:sz w:val="24"/>
          <w:szCs w:val="24"/>
        </w:rPr>
        <w:t xml:space="preserve"> </w:t>
      </w:r>
      <w:r w:rsidRPr="00EE701D" w:rsidR="00C7214E">
        <w:rPr>
          <w:rFonts w:ascii="Palatino Linotype" w:hAnsi="Palatino Linotype"/>
          <w:color w:val="212121"/>
          <w:sz w:val="24"/>
          <w:szCs w:val="24"/>
        </w:rPr>
        <w:t>cap methodo</w:t>
      </w:r>
      <w:r w:rsidRPr="00EE701D" w:rsidR="00873135">
        <w:rPr>
          <w:rFonts w:ascii="Palatino Linotype" w:hAnsi="Palatino Linotype"/>
          <w:color w:val="212121"/>
          <w:sz w:val="24"/>
          <w:szCs w:val="24"/>
        </w:rPr>
        <w:t>lo</w:t>
      </w:r>
      <w:r w:rsidRPr="00EE701D" w:rsidR="00C7214E">
        <w:rPr>
          <w:rFonts w:ascii="Palatino Linotype" w:hAnsi="Palatino Linotype"/>
          <w:color w:val="212121"/>
          <w:sz w:val="24"/>
          <w:szCs w:val="24"/>
        </w:rPr>
        <w:t>gy.</w:t>
      </w:r>
      <w:r w:rsidRPr="00EE701D" w:rsidR="00873135">
        <w:rPr>
          <w:rFonts w:ascii="Palatino Linotype" w:hAnsi="Palatino Linotype"/>
          <w:color w:val="212121"/>
          <w:sz w:val="24"/>
          <w:szCs w:val="24"/>
        </w:rPr>
        <w:t xml:space="preserve"> Second, </w:t>
      </w:r>
      <w:r w:rsidRPr="00EE701D" w:rsidR="0096575E">
        <w:rPr>
          <w:rFonts w:ascii="Palatino Linotype" w:hAnsi="Palatino Linotype"/>
          <w:color w:val="212121"/>
          <w:sz w:val="24"/>
          <w:szCs w:val="24"/>
        </w:rPr>
        <w:t xml:space="preserve">the Joint IOUs </w:t>
      </w:r>
      <w:r w:rsidRPr="00EE701D" w:rsidR="00104D11">
        <w:rPr>
          <w:rFonts w:ascii="Palatino Linotype" w:hAnsi="Palatino Linotype"/>
          <w:color w:val="212121"/>
          <w:sz w:val="24"/>
          <w:szCs w:val="24"/>
        </w:rPr>
        <w:t xml:space="preserve">refute SEIA and Dimension’s </w:t>
      </w:r>
      <w:r w:rsidRPr="00EE701D" w:rsidR="00A02670">
        <w:rPr>
          <w:rFonts w:ascii="Palatino Linotype" w:hAnsi="Palatino Linotype"/>
          <w:color w:val="212121"/>
          <w:sz w:val="24"/>
          <w:szCs w:val="24"/>
        </w:rPr>
        <w:t>request for transparent pricing</w:t>
      </w:r>
      <w:r w:rsidRPr="00EE701D" w:rsidR="002D56E9">
        <w:rPr>
          <w:rFonts w:ascii="Palatino Linotype" w:hAnsi="Palatino Linotype"/>
          <w:color w:val="212121"/>
          <w:sz w:val="24"/>
          <w:szCs w:val="24"/>
        </w:rPr>
        <w:t xml:space="preserve">, stating </w:t>
      </w:r>
      <w:r w:rsidRPr="00EE701D" w:rsidR="00095F6E">
        <w:rPr>
          <w:rFonts w:ascii="Palatino Linotype" w:hAnsi="Palatino Linotype"/>
          <w:color w:val="212121"/>
          <w:sz w:val="24"/>
          <w:szCs w:val="24"/>
        </w:rPr>
        <w:t xml:space="preserve">that publishing the cost </w:t>
      </w:r>
      <w:r w:rsidRPr="00EE701D" w:rsidR="00FA6A3D">
        <w:rPr>
          <w:rFonts w:ascii="Palatino Linotype" w:hAnsi="Palatino Linotype"/>
          <w:sz w:val="24"/>
          <w:szCs w:val="24"/>
        </w:rPr>
        <w:t>containment</w:t>
      </w:r>
      <w:r w:rsidRPr="00EE701D" w:rsidR="00FA6A3D">
        <w:rPr>
          <w:rFonts w:ascii="Palatino Linotype" w:hAnsi="Palatino Linotype"/>
          <w:color w:val="212121"/>
          <w:sz w:val="24"/>
          <w:szCs w:val="24"/>
        </w:rPr>
        <w:t xml:space="preserve"> </w:t>
      </w:r>
      <w:r w:rsidRPr="00EE701D" w:rsidR="00095F6E">
        <w:rPr>
          <w:rFonts w:ascii="Palatino Linotype" w:hAnsi="Palatino Linotype"/>
          <w:color w:val="212121"/>
          <w:sz w:val="24"/>
          <w:szCs w:val="24"/>
        </w:rPr>
        <w:t>cap</w:t>
      </w:r>
      <w:r w:rsidRPr="00EE701D" w:rsidR="00791898">
        <w:rPr>
          <w:rFonts w:ascii="Palatino Linotype" w:hAnsi="Palatino Linotype"/>
          <w:color w:val="212121"/>
          <w:sz w:val="24"/>
          <w:szCs w:val="24"/>
        </w:rPr>
        <w:t xml:space="preserve"> in its entirety</w:t>
      </w:r>
      <w:r w:rsidRPr="00EE701D" w:rsidR="00095F6E">
        <w:rPr>
          <w:rFonts w:ascii="Palatino Linotype" w:hAnsi="Palatino Linotype"/>
          <w:color w:val="212121"/>
          <w:sz w:val="24"/>
          <w:szCs w:val="24"/>
        </w:rPr>
        <w:t xml:space="preserve"> would eliminate </w:t>
      </w:r>
      <w:r w:rsidRPr="00EE701D" w:rsidR="003B3217">
        <w:rPr>
          <w:rFonts w:ascii="Palatino Linotype" w:hAnsi="Palatino Linotype"/>
          <w:color w:val="212121"/>
          <w:sz w:val="24"/>
          <w:szCs w:val="24"/>
        </w:rPr>
        <w:t>any</w:t>
      </w:r>
      <w:r w:rsidRPr="00EE701D" w:rsidR="00CD3FEF">
        <w:rPr>
          <w:rFonts w:ascii="Palatino Linotype" w:hAnsi="Palatino Linotype"/>
          <w:color w:val="212121"/>
          <w:sz w:val="24"/>
          <w:szCs w:val="24"/>
        </w:rPr>
        <w:t xml:space="preserve"> incentive for developers to submit competitively priced bids </w:t>
      </w:r>
      <w:r w:rsidRPr="00EE701D" w:rsidR="003B3217">
        <w:rPr>
          <w:rFonts w:ascii="Palatino Linotype" w:hAnsi="Palatino Linotype"/>
          <w:color w:val="212121"/>
          <w:sz w:val="24"/>
          <w:szCs w:val="24"/>
        </w:rPr>
        <w:t xml:space="preserve">and would </w:t>
      </w:r>
      <w:r w:rsidRPr="00EE701D" w:rsidR="00A02670">
        <w:rPr>
          <w:rFonts w:ascii="Palatino Linotype" w:hAnsi="Palatino Linotype"/>
          <w:color w:val="212121"/>
          <w:sz w:val="24"/>
          <w:szCs w:val="24"/>
        </w:rPr>
        <w:t xml:space="preserve">instead </w:t>
      </w:r>
      <w:r w:rsidRPr="00EE701D" w:rsidR="003B3217">
        <w:rPr>
          <w:rFonts w:ascii="Palatino Linotype" w:hAnsi="Palatino Linotype"/>
          <w:color w:val="212121"/>
          <w:sz w:val="24"/>
          <w:szCs w:val="24"/>
        </w:rPr>
        <w:t>result in bids priced at the cap</w:t>
      </w:r>
      <w:r w:rsidRPr="00EE701D" w:rsidR="00866811">
        <w:rPr>
          <w:rFonts w:ascii="Palatino Linotype" w:hAnsi="Palatino Linotype"/>
          <w:color w:val="212121"/>
          <w:sz w:val="24"/>
          <w:szCs w:val="24"/>
        </w:rPr>
        <w:t xml:space="preserve"> – effectively negating its purpose</w:t>
      </w:r>
      <w:r w:rsidRPr="00EE701D" w:rsidR="003B3217">
        <w:rPr>
          <w:rFonts w:ascii="Palatino Linotype" w:hAnsi="Palatino Linotype"/>
          <w:color w:val="212121"/>
          <w:sz w:val="24"/>
          <w:szCs w:val="24"/>
        </w:rPr>
        <w:t>. Third,</w:t>
      </w:r>
      <w:r w:rsidRPr="00EE701D" w:rsidR="00BB55EE">
        <w:rPr>
          <w:rFonts w:ascii="Palatino Linotype" w:hAnsi="Palatino Linotype"/>
          <w:color w:val="212121"/>
          <w:sz w:val="24"/>
          <w:szCs w:val="24"/>
        </w:rPr>
        <w:t xml:space="preserve"> the Joint IOUs note that Cal</w:t>
      </w:r>
      <w:r w:rsidRPr="00EE701D" w:rsidR="00E31E90">
        <w:rPr>
          <w:rFonts w:ascii="Palatino Linotype" w:hAnsi="Palatino Linotype"/>
          <w:color w:val="212121"/>
          <w:sz w:val="24"/>
          <w:szCs w:val="24"/>
        </w:rPr>
        <w:t xml:space="preserve"> </w:t>
      </w:r>
      <w:r w:rsidRPr="00EE701D" w:rsidR="00BB55EE">
        <w:rPr>
          <w:rFonts w:ascii="Palatino Linotype" w:hAnsi="Palatino Linotype"/>
          <w:color w:val="212121"/>
          <w:sz w:val="24"/>
          <w:szCs w:val="24"/>
        </w:rPr>
        <w:t xml:space="preserve">Advocates concurs with </w:t>
      </w:r>
      <w:r w:rsidRPr="00EE701D" w:rsidR="00633159">
        <w:rPr>
          <w:rFonts w:ascii="Palatino Linotype" w:hAnsi="Palatino Linotype"/>
          <w:color w:val="212121"/>
          <w:sz w:val="24"/>
          <w:szCs w:val="24"/>
        </w:rPr>
        <w:t xml:space="preserve">their proposal for separate IOU and CCA CBVRPs and refute SEIA, CCSA, and Dimension’s </w:t>
      </w:r>
      <w:r w:rsidRPr="00EE701D" w:rsidR="00035AD2">
        <w:rPr>
          <w:rFonts w:ascii="Palatino Linotype" w:hAnsi="Palatino Linotype"/>
          <w:color w:val="212121"/>
          <w:sz w:val="24"/>
          <w:szCs w:val="24"/>
        </w:rPr>
        <w:t>arguments. The Joint IO</w:t>
      </w:r>
      <w:r w:rsidRPr="00EE701D" w:rsidR="00E54B8F">
        <w:rPr>
          <w:rFonts w:ascii="Palatino Linotype" w:hAnsi="Palatino Linotype"/>
          <w:color w:val="212121"/>
          <w:sz w:val="24"/>
          <w:szCs w:val="24"/>
        </w:rPr>
        <w:t>U</w:t>
      </w:r>
      <w:r w:rsidRPr="00EE701D" w:rsidR="00035AD2">
        <w:rPr>
          <w:rFonts w:ascii="Palatino Linotype" w:hAnsi="Palatino Linotype"/>
          <w:color w:val="212121"/>
          <w:sz w:val="24"/>
          <w:szCs w:val="24"/>
        </w:rPr>
        <w:t>s</w:t>
      </w:r>
      <w:r w:rsidRPr="00EE701D" w:rsidR="00633159">
        <w:rPr>
          <w:rFonts w:ascii="Palatino Linotype" w:hAnsi="Palatino Linotype"/>
          <w:color w:val="212121"/>
          <w:sz w:val="24"/>
          <w:szCs w:val="24"/>
        </w:rPr>
        <w:t xml:space="preserve"> </w:t>
      </w:r>
      <w:r w:rsidRPr="00EE701D" w:rsidR="00E54B8F">
        <w:rPr>
          <w:rFonts w:ascii="Palatino Linotype" w:hAnsi="Palatino Linotype"/>
          <w:color w:val="212121"/>
          <w:sz w:val="24"/>
          <w:szCs w:val="24"/>
        </w:rPr>
        <w:t xml:space="preserve">reiterate that separate CBVRPs are necessary due to </w:t>
      </w:r>
      <w:r w:rsidRPr="00EE701D" w:rsidR="00866811">
        <w:rPr>
          <w:rFonts w:ascii="Palatino Linotype" w:hAnsi="Palatino Linotype"/>
          <w:color w:val="212121"/>
          <w:sz w:val="24"/>
          <w:szCs w:val="24"/>
        </w:rPr>
        <w:t xml:space="preserve">each </w:t>
      </w:r>
      <w:r w:rsidRPr="00EE701D" w:rsidR="002D62CF">
        <w:rPr>
          <w:rFonts w:ascii="Palatino Linotype" w:hAnsi="Palatino Linotype"/>
          <w:color w:val="212121"/>
          <w:sz w:val="24"/>
          <w:szCs w:val="24"/>
        </w:rPr>
        <w:t>PA</w:t>
      </w:r>
      <w:r w:rsidRPr="00EE701D" w:rsidR="00A65CC7">
        <w:rPr>
          <w:rFonts w:ascii="Palatino Linotype" w:hAnsi="Palatino Linotype"/>
          <w:color w:val="212121"/>
          <w:sz w:val="24"/>
          <w:szCs w:val="24"/>
        </w:rPr>
        <w:t>’s</w:t>
      </w:r>
      <w:r w:rsidRPr="00EE701D" w:rsidR="00E54B8F">
        <w:rPr>
          <w:rFonts w:ascii="Palatino Linotype" w:hAnsi="Palatino Linotype"/>
          <w:color w:val="212121"/>
          <w:sz w:val="24"/>
          <w:szCs w:val="24"/>
        </w:rPr>
        <w:t xml:space="preserve"> different program </w:t>
      </w:r>
      <w:r w:rsidRPr="00EE701D" w:rsidR="00E54B8F">
        <w:rPr>
          <w:rFonts w:ascii="Palatino Linotype" w:hAnsi="Palatino Linotype"/>
          <w:sz w:val="24"/>
          <w:szCs w:val="24"/>
        </w:rPr>
        <w:t>MW allocations, needs, and geographies</w:t>
      </w:r>
      <w:r w:rsidRPr="00EE701D" w:rsidR="00DA0201">
        <w:rPr>
          <w:rFonts w:ascii="Palatino Linotype" w:hAnsi="Palatino Linotype"/>
          <w:sz w:val="24"/>
          <w:szCs w:val="24"/>
        </w:rPr>
        <w:t>.</w:t>
      </w:r>
      <w:r w:rsidRPr="00EE701D" w:rsidR="004009B4">
        <w:rPr>
          <w:rFonts w:ascii="Palatino Linotype" w:hAnsi="Palatino Linotype"/>
          <w:color w:val="212121"/>
          <w:sz w:val="24"/>
          <w:szCs w:val="24"/>
        </w:rPr>
        <w:t xml:space="preserve"> </w:t>
      </w:r>
      <w:r w:rsidRPr="00EE701D" w:rsidR="00DA0201">
        <w:rPr>
          <w:rFonts w:ascii="Palatino Linotype" w:hAnsi="Palatino Linotype"/>
          <w:color w:val="212121"/>
          <w:sz w:val="24"/>
          <w:szCs w:val="24"/>
        </w:rPr>
        <w:t>The Joint IOUs</w:t>
      </w:r>
      <w:r w:rsidRPr="00EE701D" w:rsidR="004009B4">
        <w:rPr>
          <w:rFonts w:ascii="Palatino Linotype" w:hAnsi="Palatino Linotype"/>
          <w:color w:val="212121"/>
          <w:sz w:val="24"/>
          <w:szCs w:val="24"/>
        </w:rPr>
        <w:t xml:space="preserve"> argue that </w:t>
      </w:r>
      <w:r w:rsidRPr="00EE701D" w:rsidDel="00A65CC7" w:rsidR="004009B4">
        <w:rPr>
          <w:rFonts w:ascii="Palatino Linotype" w:hAnsi="Palatino Linotype"/>
          <w:color w:val="212121"/>
          <w:sz w:val="24"/>
          <w:szCs w:val="24"/>
        </w:rPr>
        <w:t xml:space="preserve">their </w:t>
      </w:r>
      <w:r w:rsidRPr="00EE701D" w:rsidR="00FB2349">
        <w:rPr>
          <w:rFonts w:ascii="Palatino Linotype" w:hAnsi="Palatino Linotype"/>
          <w:sz w:val="24"/>
          <w:szCs w:val="24"/>
        </w:rPr>
        <w:t xml:space="preserve">proposed cost cap is based on prices from a comparable set of competitively solicited </w:t>
      </w:r>
      <w:r w:rsidRPr="00EE701D" w:rsidR="00730FFD">
        <w:rPr>
          <w:rFonts w:ascii="Palatino Linotype" w:hAnsi="Palatino Linotype"/>
          <w:sz w:val="24"/>
          <w:szCs w:val="24"/>
        </w:rPr>
        <w:t>PPAs</w:t>
      </w:r>
      <w:r w:rsidRPr="00EE701D" w:rsidR="004009B4">
        <w:rPr>
          <w:rFonts w:ascii="Palatino Linotype" w:hAnsi="Palatino Linotype"/>
          <w:sz w:val="24"/>
          <w:szCs w:val="24"/>
        </w:rPr>
        <w:t xml:space="preserve"> for </w:t>
      </w:r>
      <w:r w:rsidRPr="00EE701D" w:rsidR="00FB2349">
        <w:rPr>
          <w:rFonts w:ascii="Palatino Linotype" w:hAnsi="Palatino Linotype"/>
          <w:sz w:val="24"/>
          <w:szCs w:val="24"/>
        </w:rPr>
        <w:t xml:space="preserve">similar resources over a five-year period for </w:t>
      </w:r>
      <w:r w:rsidRPr="00EE701D" w:rsidR="004041DB">
        <w:rPr>
          <w:rFonts w:ascii="Palatino Linotype" w:hAnsi="Palatino Linotype"/>
          <w:sz w:val="24"/>
          <w:szCs w:val="24"/>
        </w:rPr>
        <w:t>each</w:t>
      </w:r>
      <w:r w:rsidRPr="00EE701D" w:rsidR="00FB2349">
        <w:rPr>
          <w:rFonts w:ascii="Palatino Linotype" w:hAnsi="Palatino Linotype"/>
          <w:sz w:val="24"/>
          <w:szCs w:val="24"/>
        </w:rPr>
        <w:t xml:space="preserve"> IOU or CCA</w:t>
      </w:r>
      <w:r w:rsidRPr="00EE701D" w:rsidR="006B5593">
        <w:rPr>
          <w:rFonts w:ascii="Palatino Linotype" w:hAnsi="Palatino Linotype"/>
          <w:color w:val="212121"/>
          <w:sz w:val="24"/>
          <w:szCs w:val="24"/>
        </w:rPr>
        <w:t xml:space="preserve"> </w:t>
      </w:r>
      <w:r w:rsidRPr="00EE701D" w:rsidR="00485A88">
        <w:rPr>
          <w:rFonts w:ascii="Palatino Linotype" w:hAnsi="Palatino Linotype"/>
          <w:color w:val="212121"/>
          <w:sz w:val="24"/>
          <w:szCs w:val="24"/>
        </w:rPr>
        <w:t>and</w:t>
      </w:r>
      <w:r w:rsidRPr="00EE701D" w:rsidR="009E7D7A">
        <w:rPr>
          <w:rFonts w:ascii="Palatino Linotype" w:hAnsi="Palatino Linotype"/>
          <w:color w:val="212121"/>
          <w:sz w:val="24"/>
          <w:szCs w:val="24"/>
        </w:rPr>
        <w:t xml:space="preserve"> would be </w:t>
      </w:r>
      <w:r w:rsidRPr="00EE701D" w:rsidR="00485A88">
        <w:rPr>
          <w:rFonts w:ascii="Palatino Linotype" w:hAnsi="Palatino Linotype"/>
          <w:color w:val="212121"/>
          <w:sz w:val="24"/>
          <w:szCs w:val="24"/>
        </w:rPr>
        <w:t>independently reviewed</w:t>
      </w:r>
      <w:r w:rsidRPr="00EE701D" w:rsidR="002E017A">
        <w:rPr>
          <w:rFonts w:ascii="Palatino Linotype" w:hAnsi="Palatino Linotype"/>
          <w:color w:val="212121"/>
          <w:sz w:val="24"/>
          <w:szCs w:val="24"/>
        </w:rPr>
        <w:t xml:space="preserve"> </w:t>
      </w:r>
      <w:r w:rsidRPr="00EE701D" w:rsidR="009E7D7A">
        <w:rPr>
          <w:rFonts w:ascii="Palatino Linotype" w:hAnsi="Palatino Linotype"/>
          <w:color w:val="212121"/>
          <w:sz w:val="24"/>
          <w:szCs w:val="24"/>
        </w:rPr>
        <w:t xml:space="preserve">before </w:t>
      </w:r>
      <w:r w:rsidRPr="00EE701D" w:rsidR="002A4BB8">
        <w:rPr>
          <w:rFonts w:ascii="Palatino Linotype" w:hAnsi="Palatino Linotype"/>
          <w:color w:val="212121"/>
          <w:sz w:val="24"/>
          <w:szCs w:val="24"/>
        </w:rPr>
        <w:t>solicitation launch</w:t>
      </w:r>
      <w:r w:rsidRPr="00EE701D" w:rsidR="002E017A">
        <w:rPr>
          <w:rFonts w:ascii="Palatino Linotype" w:hAnsi="Palatino Linotype"/>
          <w:color w:val="212121"/>
          <w:sz w:val="24"/>
          <w:szCs w:val="24"/>
        </w:rPr>
        <w:t>.</w:t>
      </w:r>
      <w:r w:rsidRPr="00EE701D" w:rsidR="00981A8C">
        <w:rPr>
          <w:rFonts w:ascii="Palatino Linotype" w:hAnsi="Palatino Linotype"/>
          <w:color w:val="212121"/>
          <w:sz w:val="24"/>
          <w:szCs w:val="24"/>
        </w:rPr>
        <w:t xml:space="preserve"> Fourth, </w:t>
      </w:r>
      <w:r w:rsidRPr="00EE701D" w:rsidR="004B2DC1">
        <w:rPr>
          <w:rFonts w:ascii="Palatino Linotype" w:hAnsi="Palatino Linotype"/>
          <w:color w:val="212121"/>
          <w:sz w:val="24"/>
          <w:szCs w:val="24"/>
        </w:rPr>
        <w:t xml:space="preserve">the Joint IOUs </w:t>
      </w:r>
      <w:r w:rsidRPr="00EE701D" w:rsidR="00242883">
        <w:rPr>
          <w:rFonts w:ascii="Palatino Linotype" w:hAnsi="Palatino Linotype"/>
          <w:color w:val="212121"/>
          <w:sz w:val="24"/>
          <w:szCs w:val="24"/>
        </w:rPr>
        <w:t>argue that</w:t>
      </w:r>
      <w:r w:rsidRPr="00EE701D" w:rsidR="004B2DC1">
        <w:rPr>
          <w:rFonts w:ascii="Palatino Linotype" w:hAnsi="Palatino Linotype"/>
          <w:color w:val="212121"/>
          <w:sz w:val="24"/>
          <w:szCs w:val="24"/>
        </w:rPr>
        <w:t xml:space="preserve"> SEIA, CCSA, and Dimension’s </w:t>
      </w:r>
      <w:r w:rsidRPr="00EE701D" w:rsidR="00CE759E">
        <w:rPr>
          <w:rFonts w:ascii="Palatino Linotype" w:hAnsi="Palatino Linotype"/>
          <w:color w:val="212121"/>
          <w:sz w:val="24"/>
          <w:szCs w:val="24"/>
        </w:rPr>
        <w:t xml:space="preserve">request for a 175% or higher Multiplier </w:t>
      </w:r>
      <w:r w:rsidRPr="00EE701D" w:rsidR="00242883">
        <w:rPr>
          <w:rFonts w:ascii="Palatino Linotype" w:hAnsi="Palatino Linotype"/>
          <w:color w:val="212121"/>
          <w:sz w:val="24"/>
          <w:szCs w:val="24"/>
        </w:rPr>
        <w:t xml:space="preserve">is not justified given </w:t>
      </w:r>
      <w:r w:rsidRPr="00EE701D" w:rsidR="00CE759E">
        <w:rPr>
          <w:rFonts w:ascii="Palatino Linotype" w:hAnsi="Palatino Linotype"/>
          <w:color w:val="212121"/>
          <w:sz w:val="24"/>
          <w:szCs w:val="24"/>
        </w:rPr>
        <w:t>that PG&amp;E</w:t>
      </w:r>
      <w:r w:rsidRPr="00EE701D" w:rsidR="00FE2DFC">
        <w:rPr>
          <w:rFonts w:ascii="Palatino Linotype" w:hAnsi="Palatino Linotype"/>
          <w:color w:val="212121"/>
          <w:sz w:val="24"/>
          <w:szCs w:val="24"/>
        </w:rPr>
        <w:t xml:space="preserve"> and four participating CCAs have procured all, or nearly all, of their </w:t>
      </w:r>
      <w:r w:rsidRPr="00EE701D" w:rsidR="008F2274">
        <w:rPr>
          <w:rFonts w:ascii="Palatino Linotype" w:hAnsi="Palatino Linotype"/>
          <w:color w:val="212121"/>
          <w:sz w:val="24"/>
          <w:szCs w:val="24"/>
        </w:rPr>
        <w:t>program capacity</w:t>
      </w:r>
      <w:r w:rsidRPr="00EE701D" w:rsidR="00A20E24">
        <w:rPr>
          <w:rFonts w:ascii="Palatino Linotype" w:hAnsi="Palatino Linotype"/>
          <w:color w:val="212121"/>
          <w:sz w:val="24"/>
          <w:szCs w:val="24"/>
        </w:rPr>
        <w:t xml:space="preserve"> and the </w:t>
      </w:r>
      <w:r w:rsidRPr="00EE701D" w:rsidR="002B4D13">
        <w:rPr>
          <w:rFonts w:ascii="Palatino Linotype" w:hAnsi="Palatino Linotype"/>
          <w:color w:val="212121"/>
          <w:sz w:val="24"/>
          <w:szCs w:val="24"/>
        </w:rPr>
        <w:t xml:space="preserve">eligible </w:t>
      </w:r>
      <w:r w:rsidRPr="00EE701D" w:rsidR="000146D5">
        <w:rPr>
          <w:rFonts w:ascii="Palatino Linotype" w:hAnsi="Palatino Linotype"/>
          <w:color w:val="212121"/>
          <w:sz w:val="24"/>
          <w:szCs w:val="24"/>
        </w:rPr>
        <w:t xml:space="preserve">DAC boundaries </w:t>
      </w:r>
      <w:r w:rsidRPr="00EE701D" w:rsidR="00A20E24">
        <w:rPr>
          <w:rFonts w:ascii="Palatino Linotype" w:hAnsi="Palatino Linotype"/>
          <w:color w:val="212121"/>
          <w:sz w:val="24"/>
          <w:szCs w:val="24"/>
        </w:rPr>
        <w:t xml:space="preserve">have </w:t>
      </w:r>
      <w:r w:rsidRPr="00EE701D" w:rsidR="008E3C9C">
        <w:rPr>
          <w:rFonts w:ascii="Palatino Linotype" w:hAnsi="Palatino Linotype"/>
          <w:color w:val="212121"/>
          <w:sz w:val="24"/>
          <w:szCs w:val="24"/>
        </w:rPr>
        <w:t xml:space="preserve">been </w:t>
      </w:r>
      <w:r w:rsidRPr="00EE701D" w:rsidR="000146D5">
        <w:rPr>
          <w:rFonts w:ascii="Palatino Linotype" w:hAnsi="Palatino Linotype"/>
          <w:color w:val="212121"/>
          <w:sz w:val="24"/>
          <w:szCs w:val="24"/>
        </w:rPr>
        <w:t>expanded</w:t>
      </w:r>
      <w:r w:rsidRPr="00EE701D" w:rsidR="00A149A3">
        <w:rPr>
          <w:rFonts w:ascii="Palatino Linotype" w:hAnsi="Palatino Linotype"/>
          <w:color w:val="212121"/>
          <w:sz w:val="24"/>
          <w:szCs w:val="24"/>
        </w:rPr>
        <w:t>, improving site selection</w:t>
      </w:r>
      <w:r w:rsidRPr="00EE701D" w:rsidR="00A9447E">
        <w:rPr>
          <w:rFonts w:ascii="Palatino Linotype" w:hAnsi="Palatino Linotype"/>
          <w:color w:val="212121"/>
          <w:sz w:val="24"/>
          <w:szCs w:val="24"/>
        </w:rPr>
        <w:t xml:space="preserve"> opportunities.</w:t>
      </w:r>
      <w:r w:rsidRPr="00EE701D" w:rsidR="00290F9A">
        <w:rPr>
          <w:rStyle w:val="FootnoteReference"/>
          <w:rFonts w:ascii="Palatino Linotype" w:hAnsi="Palatino Linotype"/>
          <w:color w:val="212121"/>
          <w:sz w:val="24"/>
          <w:szCs w:val="24"/>
        </w:rPr>
        <w:footnoteReference w:id="12"/>
      </w:r>
      <w:r w:rsidRPr="00EE701D" w:rsidR="0040028A">
        <w:rPr>
          <w:rFonts w:ascii="Palatino Linotype" w:hAnsi="Palatino Linotype"/>
          <w:color w:val="212121"/>
          <w:sz w:val="24"/>
          <w:szCs w:val="24"/>
        </w:rPr>
        <w:t xml:space="preserve"> </w:t>
      </w:r>
      <w:r w:rsidRPr="00EE701D" w:rsidR="00CE6FD8">
        <w:rPr>
          <w:rFonts w:ascii="Palatino Linotype" w:hAnsi="Palatino Linotype"/>
          <w:color w:val="212121"/>
          <w:sz w:val="24"/>
          <w:szCs w:val="24"/>
        </w:rPr>
        <w:t>According to the Joint IOUs, t</w:t>
      </w:r>
      <w:r w:rsidRPr="00EE701D" w:rsidR="0040028A">
        <w:rPr>
          <w:rFonts w:ascii="Palatino Linotype" w:hAnsi="Palatino Linotype"/>
          <w:color w:val="212121"/>
          <w:sz w:val="24"/>
          <w:szCs w:val="24"/>
        </w:rPr>
        <w:t xml:space="preserve">his proves </w:t>
      </w:r>
      <w:r w:rsidRPr="00EE701D" w:rsidR="00D573DA">
        <w:rPr>
          <w:rFonts w:ascii="Palatino Linotype" w:hAnsi="Palatino Linotype"/>
          <w:color w:val="212121"/>
          <w:sz w:val="24"/>
          <w:szCs w:val="24"/>
        </w:rPr>
        <w:t xml:space="preserve">that </w:t>
      </w:r>
      <w:r w:rsidRPr="00EE701D" w:rsidR="007A3528">
        <w:rPr>
          <w:rFonts w:ascii="Palatino Linotype" w:hAnsi="Palatino Linotype"/>
          <w:sz w:val="24"/>
          <w:szCs w:val="24"/>
        </w:rPr>
        <w:t>the success, or lack thereof, of the DAC-GT program to date is not a valid justification for retaining a higher multiplier for project development</w:t>
      </w:r>
      <w:r w:rsidRPr="00EE701D" w:rsidR="0040028A">
        <w:rPr>
          <w:rFonts w:ascii="Palatino Linotype" w:hAnsi="Palatino Linotype"/>
          <w:color w:val="212121"/>
          <w:sz w:val="24"/>
          <w:szCs w:val="24"/>
        </w:rPr>
        <w:t>.</w:t>
      </w:r>
      <w:r w:rsidRPr="00EE701D" w:rsidR="00110C3D">
        <w:rPr>
          <w:rFonts w:ascii="Palatino Linotype" w:hAnsi="Palatino Linotype"/>
          <w:color w:val="212121"/>
          <w:sz w:val="24"/>
          <w:szCs w:val="24"/>
        </w:rPr>
        <w:t xml:space="preserve"> Rather, the Joint IOUs argue that </w:t>
      </w:r>
      <w:r w:rsidRPr="00EE701D" w:rsidR="00110C3D">
        <w:rPr>
          <w:rFonts w:ascii="Palatino Linotype" w:hAnsi="Palatino Linotype"/>
          <w:sz w:val="24"/>
          <w:szCs w:val="24"/>
        </w:rPr>
        <w:t>maintain</w:t>
      </w:r>
      <w:r w:rsidRPr="00EE701D" w:rsidR="007458C7">
        <w:rPr>
          <w:rFonts w:ascii="Palatino Linotype" w:hAnsi="Palatino Linotype"/>
          <w:sz w:val="24"/>
          <w:szCs w:val="24"/>
        </w:rPr>
        <w:t>ing</w:t>
      </w:r>
      <w:r w:rsidRPr="00EE701D" w:rsidR="00110C3D">
        <w:rPr>
          <w:rFonts w:ascii="Palatino Linotype" w:hAnsi="Palatino Linotype"/>
          <w:sz w:val="24"/>
          <w:szCs w:val="24"/>
        </w:rPr>
        <w:t xml:space="preserve"> such a high multiplier </w:t>
      </w:r>
      <w:r w:rsidRPr="00EE701D" w:rsidR="00EF3960">
        <w:rPr>
          <w:rFonts w:ascii="Palatino Linotype" w:hAnsi="Palatino Linotype"/>
          <w:sz w:val="24"/>
          <w:szCs w:val="24"/>
        </w:rPr>
        <w:t>would overcompensate developers and would be imprudent considering current rate affordability challenges.</w:t>
      </w:r>
    </w:p>
    <w:p w:rsidRPr="00EE701D" w:rsidR="00997CDC" w:rsidP="0050317D" w:rsidRDefault="00997CDC" w14:paraId="375CA5F5" w14:textId="29AACFDD">
      <w:pPr>
        <w:rPr>
          <w:rFonts w:ascii="Palatino Linotype" w:hAnsi="Palatino Linotype"/>
          <w:b/>
          <w:bCs/>
          <w:color w:val="212121"/>
          <w:sz w:val="24"/>
          <w:szCs w:val="24"/>
        </w:rPr>
      </w:pPr>
      <w:r w:rsidRPr="00EE701D">
        <w:rPr>
          <w:rFonts w:ascii="Palatino Linotype" w:hAnsi="Palatino Linotype"/>
          <w:b/>
          <w:bCs/>
          <w:color w:val="212121"/>
          <w:sz w:val="24"/>
          <w:szCs w:val="24"/>
        </w:rPr>
        <w:t xml:space="preserve">Summary of the </w:t>
      </w:r>
      <w:r w:rsidRPr="00EE701D" w:rsidR="00EC5E26">
        <w:rPr>
          <w:rFonts w:ascii="Palatino Linotype" w:hAnsi="Palatino Linotype"/>
          <w:b/>
          <w:bCs/>
          <w:color w:val="212121"/>
          <w:sz w:val="24"/>
          <w:szCs w:val="24"/>
        </w:rPr>
        <w:t>S</w:t>
      </w:r>
      <w:r w:rsidRPr="00EE701D">
        <w:rPr>
          <w:rFonts w:ascii="Palatino Linotype" w:hAnsi="Palatino Linotype"/>
          <w:b/>
          <w:bCs/>
          <w:color w:val="212121"/>
          <w:sz w:val="24"/>
          <w:szCs w:val="24"/>
        </w:rPr>
        <w:t xml:space="preserve">upplemental </w:t>
      </w:r>
      <w:r w:rsidRPr="00EE701D" w:rsidR="00EC5E26">
        <w:rPr>
          <w:rFonts w:ascii="Palatino Linotype" w:hAnsi="Palatino Linotype"/>
          <w:b/>
          <w:bCs/>
          <w:color w:val="212121"/>
          <w:sz w:val="24"/>
          <w:szCs w:val="24"/>
        </w:rPr>
        <w:t>F</w:t>
      </w:r>
      <w:r w:rsidRPr="00EE701D">
        <w:rPr>
          <w:rFonts w:ascii="Palatino Linotype" w:hAnsi="Palatino Linotype"/>
          <w:b/>
          <w:bCs/>
          <w:color w:val="212121"/>
          <w:sz w:val="24"/>
          <w:szCs w:val="24"/>
        </w:rPr>
        <w:t xml:space="preserve">iling </w:t>
      </w:r>
    </w:p>
    <w:p w:rsidRPr="00EE701D" w:rsidR="00B87CE4" w:rsidP="00307989" w:rsidRDefault="00165E30" w14:paraId="505A6032" w14:textId="34AD6CEA">
      <w:pPr>
        <w:pStyle w:val="Default"/>
        <w:rPr>
          <w:rFonts w:ascii="Palatino Linotype" w:hAnsi="Palatino Linotype"/>
          <w:color w:val="212121"/>
        </w:rPr>
      </w:pPr>
      <w:r w:rsidRPr="00EE701D">
        <w:rPr>
          <w:rFonts w:ascii="Palatino Linotype" w:hAnsi="Palatino Linotype" w:cs="v%"/>
        </w:rPr>
        <w:t>Following the filing of AL 5362-E/7363-E</w:t>
      </w:r>
      <w:r w:rsidRPr="00EE701D">
        <w:rPr>
          <w:rFonts w:ascii="Palatino Linotype" w:hAnsi="Palatino Linotype" w:eastAsia="Palatino Linotype"/>
        </w:rPr>
        <w:t xml:space="preserve">, Energy Division requested that the Joint IOUs </w:t>
      </w:r>
      <w:r w:rsidRPr="00EE701D">
        <w:rPr>
          <w:rFonts w:ascii="Palatino Linotype" w:hAnsi="Palatino Linotype"/>
        </w:rPr>
        <w:t>better substantiate why certain information was marked confidential</w:t>
      </w:r>
      <w:r w:rsidRPr="00EE701D" w:rsidR="00B87CE4">
        <w:rPr>
          <w:rFonts w:ascii="Palatino Linotype" w:hAnsi="Palatino Linotype"/>
        </w:rPr>
        <w:t xml:space="preserve"> in the AL filing</w:t>
      </w:r>
      <w:r w:rsidRPr="00EE701D">
        <w:rPr>
          <w:rFonts w:ascii="Palatino Linotype" w:hAnsi="Palatino Linotype"/>
        </w:rPr>
        <w:t xml:space="preserve"> and</w:t>
      </w:r>
      <w:r w:rsidRPr="00EE701D" w:rsidR="00B87CE4">
        <w:rPr>
          <w:rFonts w:ascii="Palatino Linotype" w:hAnsi="Palatino Linotype"/>
        </w:rPr>
        <w:t xml:space="preserve"> </w:t>
      </w:r>
      <w:r w:rsidRPr="00EE701D">
        <w:rPr>
          <w:rFonts w:ascii="Palatino Linotype" w:hAnsi="Palatino Linotype"/>
        </w:rPr>
        <w:t xml:space="preserve">be more precise in selecting the information marked as confidential. </w:t>
      </w:r>
      <w:r w:rsidRPr="00EE701D" w:rsidR="009F6C56">
        <w:rPr>
          <w:rFonts w:ascii="Palatino Linotype" w:hAnsi="Palatino Linotype"/>
          <w:color w:val="212121"/>
        </w:rPr>
        <w:t xml:space="preserve">On November 26, </w:t>
      </w:r>
      <w:r w:rsidRPr="00EE701D" w:rsidR="00B87CE4">
        <w:rPr>
          <w:rFonts w:ascii="Palatino Linotype" w:hAnsi="Palatino Linotype"/>
          <w:color w:val="212121"/>
        </w:rPr>
        <w:t xml:space="preserve">2024, </w:t>
      </w:r>
      <w:r w:rsidRPr="00EE701D" w:rsidR="00EC5E26">
        <w:rPr>
          <w:rFonts w:ascii="Palatino Linotype" w:hAnsi="Palatino Linotype"/>
          <w:color w:val="212121"/>
        </w:rPr>
        <w:t xml:space="preserve">SCE and PG&amp;E </w:t>
      </w:r>
      <w:r w:rsidRPr="00EE701D" w:rsidR="00515745">
        <w:rPr>
          <w:rFonts w:ascii="Palatino Linotype" w:hAnsi="Palatino Linotype"/>
          <w:color w:val="212121"/>
        </w:rPr>
        <w:t>submitted the</w:t>
      </w:r>
      <w:r w:rsidRPr="00EE701D" w:rsidR="00307989">
        <w:rPr>
          <w:rFonts w:ascii="Palatino Linotype" w:hAnsi="Palatino Linotype"/>
          <w:color w:val="212121"/>
        </w:rPr>
        <w:t xml:space="preserve">ir joint supplemental </w:t>
      </w:r>
      <w:r w:rsidRPr="00EE701D" w:rsidR="00515745">
        <w:rPr>
          <w:rFonts w:ascii="Palatino Linotype" w:hAnsi="Palatino Linotype"/>
          <w:color w:val="212121"/>
        </w:rPr>
        <w:t>AL for the</w:t>
      </w:r>
      <w:r w:rsidRPr="00EE701D" w:rsidR="00BF2DB0">
        <w:rPr>
          <w:rFonts w:ascii="Palatino Linotype" w:hAnsi="Palatino Linotype"/>
        </w:rPr>
        <w:t xml:space="preserve"> purpose of </w:t>
      </w:r>
      <w:r w:rsidR="00645A4B">
        <w:rPr>
          <w:rFonts w:ascii="Palatino Linotype" w:hAnsi="Palatino Linotype"/>
        </w:rPr>
        <w:br/>
      </w:r>
      <w:r w:rsidRPr="00EE701D" w:rsidR="00BF2DB0">
        <w:rPr>
          <w:rFonts w:ascii="Palatino Linotype" w:hAnsi="Palatino Linotype"/>
        </w:rPr>
        <w:t>(1) providing more detailed justification for the IOUs’ position that the Joint CCAs’ CBVR</w:t>
      </w:r>
      <w:r w:rsidRPr="00EE701D" w:rsidR="009F6C56">
        <w:rPr>
          <w:rFonts w:ascii="Palatino Linotype" w:hAnsi="Palatino Linotype"/>
        </w:rPr>
        <w:t>P</w:t>
      </w:r>
      <w:r w:rsidRPr="00EE701D" w:rsidR="00BF2DB0">
        <w:rPr>
          <w:rFonts w:ascii="Palatino Linotype" w:hAnsi="Palatino Linotype"/>
        </w:rPr>
        <w:t xml:space="preserve"> methodology proposal should be confidential and (2) rearranging their </w:t>
      </w:r>
      <w:r w:rsidRPr="00EE701D" w:rsidR="007E2C92">
        <w:rPr>
          <w:rFonts w:ascii="Palatino Linotype" w:hAnsi="Palatino Linotype"/>
        </w:rPr>
        <w:t xml:space="preserve">joint </w:t>
      </w:r>
      <w:r w:rsidRPr="00EE701D" w:rsidR="00BF2DB0">
        <w:rPr>
          <w:rFonts w:ascii="Palatino Linotype" w:hAnsi="Palatino Linotype"/>
        </w:rPr>
        <w:t xml:space="preserve">advice letter to include public information in the </w:t>
      </w:r>
      <w:r w:rsidRPr="00EE701D" w:rsidR="006B44F8">
        <w:rPr>
          <w:rFonts w:ascii="Palatino Linotype" w:hAnsi="Palatino Linotype"/>
        </w:rPr>
        <w:t xml:space="preserve">non-confidential </w:t>
      </w:r>
      <w:r w:rsidRPr="00EE701D" w:rsidR="00BF2DB0">
        <w:rPr>
          <w:rFonts w:ascii="Palatino Linotype" w:hAnsi="Palatino Linotype"/>
        </w:rPr>
        <w:t xml:space="preserve">body of the </w:t>
      </w:r>
      <w:r w:rsidRPr="00EE701D" w:rsidR="009C7A63">
        <w:rPr>
          <w:rFonts w:ascii="Palatino Linotype" w:hAnsi="Palatino Linotype"/>
        </w:rPr>
        <w:t>AL</w:t>
      </w:r>
      <w:r w:rsidRPr="00EE701D" w:rsidR="006E6EC7">
        <w:rPr>
          <w:rFonts w:ascii="Palatino Linotype" w:hAnsi="Palatino Linotype"/>
        </w:rPr>
        <w:t>. The Joint IOUs</w:t>
      </w:r>
      <w:r w:rsidRPr="00EE701D" w:rsidR="00BF2DB0">
        <w:rPr>
          <w:rFonts w:ascii="Palatino Linotype" w:hAnsi="Palatino Linotype"/>
        </w:rPr>
        <w:t xml:space="preserve"> </w:t>
      </w:r>
      <w:r w:rsidRPr="00EE701D" w:rsidR="00775F6A">
        <w:rPr>
          <w:rFonts w:ascii="Palatino Linotype" w:hAnsi="Palatino Linotype"/>
          <w:color w:val="212121"/>
        </w:rPr>
        <w:t xml:space="preserve">provide </w:t>
      </w:r>
      <w:r w:rsidRPr="00EE701D" w:rsidR="007D5F23">
        <w:rPr>
          <w:rFonts w:ascii="Palatino Linotype" w:hAnsi="Palatino Linotype"/>
          <w:color w:val="212121"/>
        </w:rPr>
        <w:t>additional</w:t>
      </w:r>
      <w:r w:rsidRPr="00EE701D" w:rsidR="00775F6A">
        <w:rPr>
          <w:rFonts w:ascii="Palatino Linotype" w:hAnsi="Palatino Linotype"/>
          <w:color w:val="212121"/>
        </w:rPr>
        <w:t xml:space="preserve"> brief details of the </w:t>
      </w:r>
      <w:r w:rsidRPr="00EE701D" w:rsidR="00EC5E26">
        <w:rPr>
          <w:rFonts w:ascii="Palatino Linotype" w:hAnsi="Palatino Linotype"/>
          <w:color w:val="212121"/>
        </w:rPr>
        <w:t xml:space="preserve">Joint CCAs’ proposal, stating that it is to develop a CBVRP for solar-only and both hybrid and co-located </w:t>
      </w:r>
      <w:r w:rsidRPr="00EE701D" w:rsidR="005C3143">
        <w:rPr>
          <w:rFonts w:ascii="Palatino Linotype" w:hAnsi="Palatino Linotype"/>
          <w:color w:val="212121"/>
        </w:rPr>
        <w:t>solar and</w:t>
      </w:r>
      <w:r w:rsidRPr="00EE701D" w:rsidR="00EC5E26">
        <w:rPr>
          <w:rFonts w:ascii="Palatino Linotype" w:hAnsi="Palatino Linotype"/>
          <w:color w:val="212121"/>
        </w:rPr>
        <w:t xml:space="preserve"> storage resources and would require the Commission’s Energy Division staff to survey pricing data to set the CBVRP. </w:t>
      </w:r>
    </w:p>
    <w:p w:rsidRPr="00EE701D" w:rsidR="00B87CE4" w:rsidP="00307989" w:rsidRDefault="00B87CE4" w14:paraId="30174184" w14:textId="77777777">
      <w:pPr>
        <w:pStyle w:val="Default"/>
        <w:rPr>
          <w:rFonts w:ascii="Palatino Linotype" w:hAnsi="Palatino Linotype"/>
          <w:color w:val="212121"/>
        </w:rPr>
      </w:pPr>
    </w:p>
    <w:p w:rsidRPr="00EE701D" w:rsidR="00EC5E26" w:rsidP="00307989" w:rsidRDefault="00CE6884" w14:paraId="5BC85683" w14:textId="762E5B2D">
      <w:pPr>
        <w:pStyle w:val="Default"/>
        <w:rPr>
          <w:rFonts w:ascii="Palatino Linotype" w:hAnsi="Palatino Linotype"/>
          <w:color w:val="212121"/>
        </w:rPr>
      </w:pPr>
      <w:r w:rsidRPr="00EE701D">
        <w:rPr>
          <w:rFonts w:ascii="Palatino Linotype" w:hAnsi="Palatino Linotype"/>
          <w:color w:val="212121"/>
        </w:rPr>
        <w:lastRenderedPageBreak/>
        <w:t xml:space="preserve">In </w:t>
      </w:r>
      <w:r w:rsidRPr="00EE701D" w:rsidR="00514CB6">
        <w:rPr>
          <w:rFonts w:ascii="Palatino Linotype" w:hAnsi="Palatino Linotype"/>
          <w:color w:val="212121"/>
        </w:rPr>
        <w:t>Confidential Appendix B of the</w:t>
      </w:r>
      <w:r w:rsidRPr="00EE701D">
        <w:rPr>
          <w:rFonts w:ascii="Palatino Linotype" w:hAnsi="Palatino Linotype"/>
          <w:color w:val="212121"/>
        </w:rPr>
        <w:t xml:space="preserve"> </w:t>
      </w:r>
      <w:r w:rsidRPr="00EE701D" w:rsidR="00B87CE4">
        <w:rPr>
          <w:rFonts w:ascii="Palatino Linotype" w:hAnsi="Palatino Linotype"/>
          <w:color w:val="212121"/>
        </w:rPr>
        <w:t xml:space="preserve">supplemented </w:t>
      </w:r>
      <w:r w:rsidRPr="00EE701D">
        <w:rPr>
          <w:rFonts w:ascii="Palatino Linotype" w:hAnsi="Palatino Linotype"/>
          <w:color w:val="212121"/>
        </w:rPr>
        <w:t>AL, the Joint IOUs provide further justification</w:t>
      </w:r>
      <w:r w:rsidRPr="00EE701D" w:rsidR="00514CB6">
        <w:rPr>
          <w:rFonts w:ascii="Palatino Linotype" w:hAnsi="Palatino Linotype"/>
          <w:color w:val="212121"/>
        </w:rPr>
        <w:t xml:space="preserve"> </w:t>
      </w:r>
      <w:r w:rsidRPr="00EE701D" w:rsidR="00376A59">
        <w:rPr>
          <w:rFonts w:ascii="Palatino Linotype" w:hAnsi="Palatino Linotype"/>
          <w:color w:val="212121"/>
        </w:rPr>
        <w:t>for keeping much of the Joint CCAs’ proposal confidential.</w:t>
      </w:r>
      <w:r w:rsidRPr="00EE701D" w:rsidR="00A26B2D">
        <w:rPr>
          <w:rFonts w:ascii="Palatino Linotype" w:hAnsi="Palatino Linotype"/>
          <w:color w:val="212121"/>
        </w:rPr>
        <w:t xml:space="preserve"> </w:t>
      </w:r>
      <w:r w:rsidRPr="00EE701D" w:rsidR="00153314">
        <w:rPr>
          <w:rFonts w:ascii="Palatino Linotype" w:hAnsi="Palatino Linotype"/>
          <w:color w:val="000000" w:themeColor="text1"/>
          <w:highlight w:val="black"/>
        </w:rPr>
        <w:t>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w:t>
      </w:r>
      <w:r w:rsidRPr="00EE701D" w:rsidR="00B2258A">
        <w:rPr>
          <w:rFonts w:ascii="Palatino Linotype" w:hAnsi="Palatino Linotype"/>
          <w:color w:val="212121"/>
        </w:rPr>
        <w:br/>
      </w:r>
    </w:p>
    <w:p w:rsidRPr="00EE701D" w:rsidR="003F7FFC" w:rsidP="0050317D" w:rsidRDefault="003F7FFC" w14:paraId="4ACEC34C" w14:textId="18AD0FE3">
      <w:pPr>
        <w:rPr>
          <w:rFonts w:ascii="Palatino Linotype" w:hAnsi="Palatino Linotype"/>
          <w:color w:val="212121"/>
          <w:sz w:val="24"/>
          <w:szCs w:val="24"/>
        </w:rPr>
      </w:pPr>
      <w:r w:rsidRPr="00EE701D">
        <w:rPr>
          <w:rFonts w:ascii="Palatino Linotype" w:hAnsi="Palatino Linotype"/>
          <w:b/>
          <w:bCs/>
          <w:color w:val="212121"/>
          <w:sz w:val="24"/>
          <w:szCs w:val="24"/>
        </w:rPr>
        <w:t>Protest and Response to</w:t>
      </w:r>
      <w:r w:rsidRPr="00EE701D" w:rsidR="00833294">
        <w:rPr>
          <w:rFonts w:ascii="Palatino Linotype" w:hAnsi="Palatino Linotype"/>
          <w:b/>
          <w:bCs/>
          <w:color w:val="212121"/>
          <w:sz w:val="24"/>
          <w:szCs w:val="24"/>
        </w:rPr>
        <w:t xml:space="preserve"> </w:t>
      </w:r>
      <w:r w:rsidRPr="00EE701D" w:rsidR="00E87F8A">
        <w:rPr>
          <w:rFonts w:ascii="Palatino Linotype" w:hAnsi="Palatino Linotype"/>
          <w:b/>
          <w:bCs/>
          <w:color w:val="212121"/>
          <w:sz w:val="24"/>
          <w:szCs w:val="24"/>
        </w:rPr>
        <w:t xml:space="preserve">the </w:t>
      </w:r>
      <w:r w:rsidRPr="00EE701D" w:rsidR="00833294">
        <w:rPr>
          <w:rFonts w:ascii="Palatino Linotype" w:hAnsi="Palatino Linotype"/>
          <w:b/>
          <w:bCs/>
          <w:color w:val="212121"/>
          <w:sz w:val="24"/>
          <w:szCs w:val="24"/>
        </w:rPr>
        <w:t>Joint IOUs</w:t>
      </w:r>
      <w:r w:rsidRPr="00EE701D" w:rsidR="00EA6C21">
        <w:rPr>
          <w:rFonts w:ascii="Palatino Linotype" w:hAnsi="Palatino Linotype"/>
          <w:b/>
          <w:bCs/>
          <w:color w:val="212121"/>
          <w:sz w:val="24"/>
          <w:szCs w:val="24"/>
        </w:rPr>
        <w:t>’</w:t>
      </w:r>
      <w:r w:rsidRPr="00EE701D" w:rsidR="00833294">
        <w:rPr>
          <w:rFonts w:ascii="Palatino Linotype" w:hAnsi="Palatino Linotype"/>
          <w:b/>
          <w:bCs/>
          <w:color w:val="212121"/>
          <w:sz w:val="24"/>
          <w:szCs w:val="24"/>
        </w:rPr>
        <w:t xml:space="preserve"> Supplemental AL </w:t>
      </w:r>
    </w:p>
    <w:p w:rsidRPr="00EE701D" w:rsidR="00BF77A7" w:rsidP="005A581A" w:rsidRDefault="0017716F" w14:paraId="7B626A20" w14:textId="3D955F92">
      <w:pPr>
        <w:rPr>
          <w:rFonts w:ascii="Palatino Linotype" w:hAnsi="Palatino Linotype"/>
          <w:color w:val="212121"/>
          <w:sz w:val="24"/>
          <w:szCs w:val="24"/>
        </w:rPr>
      </w:pPr>
      <w:r w:rsidRPr="00EE701D">
        <w:rPr>
          <w:rFonts w:ascii="Palatino Linotype" w:hAnsi="Palatino Linotype"/>
          <w:color w:val="212121"/>
          <w:sz w:val="24"/>
          <w:szCs w:val="24"/>
        </w:rPr>
        <w:t xml:space="preserve">On November 26, 2024 the Joint CCAs submitted a </w:t>
      </w:r>
      <w:r w:rsidRPr="00EE701D" w:rsidR="00354E48">
        <w:rPr>
          <w:rFonts w:ascii="Palatino Linotype" w:hAnsi="Palatino Linotype"/>
          <w:color w:val="212121"/>
          <w:sz w:val="24"/>
          <w:szCs w:val="24"/>
        </w:rPr>
        <w:t xml:space="preserve">timely </w:t>
      </w:r>
      <w:r w:rsidRPr="00EE701D">
        <w:rPr>
          <w:rFonts w:ascii="Palatino Linotype" w:hAnsi="Palatino Linotype"/>
          <w:color w:val="212121"/>
          <w:sz w:val="24"/>
          <w:szCs w:val="24"/>
        </w:rPr>
        <w:t xml:space="preserve">protest to </w:t>
      </w:r>
      <w:r w:rsidR="0070219E">
        <w:rPr>
          <w:rFonts w:ascii="Palatino Linotype" w:hAnsi="Palatino Linotype"/>
          <w:color w:val="212121"/>
          <w:sz w:val="24"/>
          <w:szCs w:val="24"/>
        </w:rPr>
        <w:br/>
      </w:r>
      <w:r w:rsidRPr="00EE701D">
        <w:rPr>
          <w:rFonts w:ascii="Palatino Linotype" w:hAnsi="Palatino Linotype"/>
          <w:color w:val="212121"/>
          <w:sz w:val="24"/>
          <w:szCs w:val="24"/>
        </w:rPr>
        <w:t xml:space="preserve">SCE 5362-E-A and PG&amp;E AL 7363-E-A and Dimension submitted a response. </w:t>
      </w:r>
    </w:p>
    <w:p w:rsidRPr="00EE701D" w:rsidR="00BF77A7" w:rsidP="005A581A" w:rsidRDefault="00BF77A7" w14:paraId="46FA587F" w14:textId="77777777">
      <w:pPr>
        <w:rPr>
          <w:rFonts w:ascii="Palatino Linotype" w:hAnsi="Palatino Linotype"/>
          <w:color w:val="212121"/>
          <w:sz w:val="24"/>
          <w:szCs w:val="24"/>
        </w:rPr>
      </w:pPr>
    </w:p>
    <w:p w:rsidRPr="00EE701D" w:rsidR="005A581A" w:rsidP="005A581A" w:rsidRDefault="0050317D" w14:paraId="6FAF7A3E" w14:textId="4ADF80F1">
      <w:pPr>
        <w:rPr>
          <w:rFonts w:ascii="Palatino Linotype" w:hAnsi="Palatino Linotype"/>
          <w:color w:val="212121"/>
          <w:sz w:val="24"/>
          <w:szCs w:val="24"/>
        </w:rPr>
      </w:pPr>
      <w:r w:rsidRPr="00EE701D">
        <w:rPr>
          <w:rFonts w:ascii="Palatino Linotype" w:hAnsi="Palatino Linotype"/>
          <w:color w:val="212121"/>
          <w:sz w:val="24"/>
          <w:szCs w:val="24"/>
        </w:rPr>
        <w:t>Energy Division issued a notice to the A</w:t>
      </w:r>
      <w:r w:rsidRPr="00EE701D" w:rsidR="0063407D">
        <w:rPr>
          <w:rFonts w:ascii="Palatino Linotype" w:hAnsi="Palatino Linotype"/>
          <w:color w:val="212121"/>
          <w:sz w:val="24"/>
          <w:szCs w:val="24"/>
        </w:rPr>
        <w:t>.</w:t>
      </w:r>
      <w:r w:rsidRPr="00EE701D">
        <w:rPr>
          <w:rFonts w:ascii="Palatino Linotype" w:hAnsi="Palatino Linotype"/>
          <w:color w:val="212121"/>
          <w:sz w:val="24"/>
          <w:szCs w:val="24"/>
        </w:rPr>
        <w:t xml:space="preserve">22-05-022 service list reopening the protest period for SCE AL 5362-E-A and PG&amp;E AL 7363-E-A for 20 days after the date of the joint </w:t>
      </w:r>
      <w:r w:rsidRPr="00EE701D" w:rsidR="0063407D">
        <w:rPr>
          <w:rFonts w:ascii="Palatino Linotype" w:hAnsi="Palatino Linotype"/>
          <w:color w:val="212121"/>
          <w:sz w:val="24"/>
          <w:szCs w:val="24"/>
        </w:rPr>
        <w:t xml:space="preserve">advice </w:t>
      </w:r>
      <w:r w:rsidRPr="00EE701D">
        <w:rPr>
          <w:rFonts w:ascii="Palatino Linotype" w:hAnsi="Palatino Linotype"/>
          <w:color w:val="212121"/>
          <w:sz w:val="24"/>
          <w:szCs w:val="24"/>
        </w:rPr>
        <w:t>letter.  Per GO 96-B, new protests were limited to the substance of the supplement and were due November 26, 2024. </w:t>
      </w:r>
    </w:p>
    <w:p w:rsidRPr="00EE701D" w:rsidR="005A581A" w:rsidP="005A581A" w:rsidRDefault="005A581A" w14:paraId="05165D52" w14:textId="77777777">
      <w:pPr>
        <w:rPr>
          <w:rFonts w:ascii="Palatino Linotype" w:hAnsi="Palatino Linotype"/>
          <w:color w:val="212121"/>
          <w:sz w:val="24"/>
          <w:szCs w:val="24"/>
        </w:rPr>
      </w:pPr>
    </w:p>
    <w:p w:rsidRPr="00EE701D" w:rsidR="005A581A" w:rsidP="005A581A" w:rsidRDefault="005A581A" w14:paraId="1EE5A537" w14:textId="268027B4">
      <w:pPr>
        <w:rPr>
          <w:rFonts w:ascii="Palatino Linotype" w:hAnsi="Palatino Linotype"/>
          <w:color w:val="212121"/>
          <w:sz w:val="24"/>
          <w:szCs w:val="24"/>
        </w:rPr>
      </w:pPr>
      <w:r w:rsidRPr="00EE701D">
        <w:rPr>
          <w:rFonts w:ascii="Palatino Linotype" w:hAnsi="Palatino Linotype"/>
          <w:color w:val="212121"/>
          <w:sz w:val="24"/>
          <w:szCs w:val="24"/>
        </w:rPr>
        <w:t>The Joint CCAs</w:t>
      </w:r>
      <w:r w:rsidRPr="00EE701D" w:rsidR="00205FDC">
        <w:rPr>
          <w:rFonts w:ascii="Palatino Linotype" w:hAnsi="Palatino Linotype"/>
          <w:color w:val="212121"/>
          <w:sz w:val="24"/>
          <w:szCs w:val="24"/>
        </w:rPr>
        <w:t xml:space="preserve">’ </w:t>
      </w:r>
      <w:r w:rsidRPr="00EE701D" w:rsidR="00AB4185">
        <w:rPr>
          <w:rFonts w:ascii="Palatino Linotype" w:hAnsi="Palatino Linotype"/>
          <w:color w:val="212121"/>
          <w:sz w:val="24"/>
          <w:szCs w:val="24"/>
        </w:rPr>
        <w:t xml:space="preserve">protest </w:t>
      </w:r>
      <w:r w:rsidRPr="00EE701D">
        <w:rPr>
          <w:rFonts w:ascii="Palatino Linotype" w:hAnsi="Palatino Linotype"/>
          <w:color w:val="212121"/>
          <w:sz w:val="24"/>
          <w:szCs w:val="24"/>
        </w:rPr>
        <w:t>argue</w:t>
      </w:r>
      <w:r w:rsidRPr="00EE701D" w:rsidR="00205FDC">
        <w:rPr>
          <w:rFonts w:ascii="Palatino Linotype" w:hAnsi="Palatino Linotype"/>
          <w:color w:val="212121"/>
          <w:sz w:val="24"/>
          <w:szCs w:val="24"/>
        </w:rPr>
        <w:t>s</w:t>
      </w:r>
      <w:r w:rsidRPr="00EE701D">
        <w:rPr>
          <w:rFonts w:ascii="Palatino Linotype" w:hAnsi="Palatino Linotype"/>
          <w:color w:val="212121"/>
          <w:sz w:val="24"/>
          <w:szCs w:val="24"/>
        </w:rPr>
        <w:t xml:space="preserve"> that 1) the Joint IOUs</w:t>
      </w:r>
      <w:r w:rsidRPr="00EE701D" w:rsidDel="00AB4185">
        <w:rPr>
          <w:rFonts w:ascii="Palatino Linotype" w:hAnsi="Palatino Linotype"/>
          <w:color w:val="212121"/>
          <w:sz w:val="24"/>
          <w:szCs w:val="24"/>
        </w:rPr>
        <w:t xml:space="preserve"> </w:t>
      </w:r>
      <w:r w:rsidRPr="00EE701D">
        <w:rPr>
          <w:rFonts w:ascii="Palatino Linotype" w:hAnsi="Palatino Linotype"/>
          <w:color w:val="212121"/>
          <w:sz w:val="24"/>
          <w:szCs w:val="24"/>
        </w:rPr>
        <w:t xml:space="preserve">provided no evidence to substantiate their claim that the </w:t>
      </w:r>
      <w:r w:rsidRPr="00EE701D" w:rsidR="00AB4185">
        <w:rPr>
          <w:rFonts w:ascii="Palatino Linotype" w:hAnsi="Palatino Linotype"/>
          <w:color w:val="212121"/>
          <w:sz w:val="24"/>
          <w:szCs w:val="24"/>
        </w:rPr>
        <w:t xml:space="preserve">cost containment cap </w:t>
      </w:r>
      <w:r w:rsidRPr="00EE701D">
        <w:rPr>
          <w:rFonts w:ascii="Palatino Linotype" w:hAnsi="Palatino Linotype"/>
          <w:color w:val="212121"/>
          <w:sz w:val="24"/>
          <w:szCs w:val="24"/>
        </w:rPr>
        <w:t xml:space="preserve">could become publicly known and </w:t>
      </w:r>
      <w:r w:rsidRPr="00EE701D" w:rsidR="00AB4185">
        <w:rPr>
          <w:rFonts w:ascii="Palatino Linotype" w:hAnsi="Palatino Linotype"/>
          <w:color w:val="212121"/>
          <w:sz w:val="24"/>
          <w:szCs w:val="24"/>
        </w:rPr>
        <w:t xml:space="preserve">the </w:t>
      </w:r>
      <w:r w:rsidRPr="00EE701D">
        <w:rPr>
          <w:rFonts w:ascii="Palatino Linotype" w:hAnsi="Palatino Linotype"/>
          <w:color w:val="212121"/>
          <w:sz w:val="24"/>
          <w:szCs w:val="24"/>
        </w:rPr>
        <w:t>risk is not unique to the Joint CCAs’ proposal</w:t>
      </w:r>
      <w:r w:rsidRPr="00EE701D" w:rsidR="00AB4185">
        <w:rPr>
          <w:rFonts w:ascii="Palatino Linotype" w:hAnsi="Palatino Linotype"/>
          <w:color w:val="212121"/>
          <w:sz w:val="24"/>
          <w:szCs w:val="24"/>
        </w:rPr>
        <w:t>,</w:t>
      </w:r>
      <w:r w:rsidRPr="00EE701D">
        <w:rPr>
          <w:rFonts w:ascii="Palatino Linotype" w:hAnsi="Palatino Linotype"/>
          <w:color w:val="212121"/>
          <w:sz w:val="24"/>
          <w:szCs w:val="24"/>
        </w:rPr>
        <w:t xml:space="preserve"> and 2) it is unreasonable to broadly</w:t>
      </w:r>
      <w:r w:rsidRPr="00EE701D" w:rsidR="00AB4185">
        <w:rPr>
          <w:rFonts w:ascii="Palatino Linotype" w:hAnsi="Palatino Linotype"/>
          <w:color w:val="212121"/>
          <w:sz w:val="24"/>
          <w:szCs w:val="24"/>
        </w:rPr>
        <w:t>,</w:t>
      </w:r>
      <w:r w:rsidRPr="00EE701D">
        <w:rPr>
          <w:rFonts w:ascii="Palatino Linotype" w:hAnsi="Palatino Linotype"/>
          <w:color w:val="212121"/>
          <w:sz w:val="24"/>
          <w:szCs w:val="24"/>
        </w:rPr>
        <w:t xml:space="preserve"> rather than selectively</w:t>
      </w:r>
      <w:r w:rsidRPr="00EE701D" w:rsidR="00AB4185">
        <w:rPr>
          <w:rFonts w:ascii="Palatino Linotype" w:hAnsi="Palatino Linotype"/>
          <w:color w:val="212121"/>
          <w:sz w:val="24"/>
          <w:szCs w:val="24"/>
        </w:rPr>
        <w:t>,</w:t>
      </w:r>
      <w:r w:rsidRPr="00EE701D">
        <w:rPr>
          <w:rFonts w:ascii="Palatino Linotype" w:hAnsi="Palatino Linotype"/>
          <w:color w:val="212121"/>
          <w:sz w:val="24"/>
          <w:szCs w:val="24"/>
        </w:rPr>
        <w:t xml:space="preserve"> apply confidentiality concerns to portions of the Joint CCAs’ proposal. </w:t>
      </w:r>
      <w:r w:rsidRPr="00EE701D" w:rsidR="00AB4185">
        <w:rPr>
          <w:rFonts w:ascii="Palatino Linotype" w:hAnsi="Palatino Linotype"/>
          <w:color w:val="212121"/>
          <w:sz w:val="24"/>
          <w:szCs w:val="24"/>
        </w:rPr>
        <w:t xml:space="preserve">Doing so </w:t>
      </w:r>
      <w:r w:rsidRPr="00EE701D" w:rsidR="004636B5">
        <w:rPr>
          <w:rFonts w:ascii="Palatino Linotype" w:hAnsi="Palatino Linotype"/>
          <w:color w:val="212121"/>
          <w:sz w:val="24"/>
          <w:szCs w:val="24"/>
        </w:rPr>
        <w:t xml:space="preserve">has </w:t>
      </w:r>
      <w:r w:rsidRPr="00EE701D" w:rsidR="008A2F09">
        <w:rPr>
          <w:rFonts w:ascii="Palatino Linotype" w:hAnsi="Palatino Linotype"/>
          <w:color w:val="212121"/>
          <w:sz w:val="24"/>
          <w:szCs w:val="24"/>
        </w:rPr>
        <w:t xml:space="preserve">concealed much of the Joint CCAs’ proposal from </w:t>
      </w:r>
      <w:r w:rsidRPr="00EE701D" w:rsidR="00304311">
        <w:rPr>
          <w:rFonts w:ascii="Palatino Linotype" w:hAnsi="Palatino Linotype"/>
          <w:color w:val="212121"/>
          <w:sz w:val="24"/>
          <w:szCs w:val="24"/>
        </w:rPr>
        <w:t xml:space="preserve">public view, which </w:t>
      </w:r>
      <w:r w:rsidRPr="00EE701D" w:rsidR="004C5180">
        <w:rPr>
          <w:rFonts w:ascii="Palatino Linotype" w:hAnsi="Palatino Linotype"/>
          <w:color w:val="212121"/>
          <w:sz w:val="24"/>
          <w:szCs w:val="24"/>
        </w:rPr>
        <w:t>they</w:t>
      </w:r>
      <w:r w:rsidRPr="00EE701D" w:rsidR="00304311">
        <w:rPr>
          <w:rFonts w:ascii="Palatino Linotype" w:hAnsi="Palatino Linotype"/>
          <w:color w:val="212121"/>
          <w:sz w:val="24"/>
          <w:szCs w:val="24"/>
        </w:rPr>
        <w:t xml:space="preserve"> argue is not, in itself, confidential</w:t>
      </w:r>
      <w:r w:rsidRPr="00EE701D" w:rsidR="00AB4185">
        <w:rPr>
          <w:rFonts w:ascii="Palatino Linotype" w:hAnsi="Palatino Linotype"/>
          <w:color w:val="212121"/>
          <w:sz w:val="24"/>
          <w:szCs w:val="24"/>
        </w:rPr>
        <w:t xml:space="preserve">. </w:t>
      </w:r>
      <w:r w:rsidRPr="00EE701D">
        <w:rPr>
          <w:rFonts w:ascii="Palatino Linotype" w:hAnsi="Palatino Linotype"/>
          <w:color w:val="212121"/>
          <w:sz w:val="24"/>
          <w:szCs w:val="24"/>
        </w:rPr>
        <w:t xml:space="preserve">The Joint CCAs argue against </w:t>
      </w:r>
      <w:r w:rsidRPr="00EE701D" w:rsidR="005847B3">
        <w:rPr>
          <w:rFonts w:ascii="Palatino Linotype" w:hAnsi="Palatino Linotype"/>
          <w:color w:val="212121"/>
          <w:sz w:val="24"/>
          <w:szCs w:val="24"/>
        </w:rPr>
        <w:t xml:space="preserve">the </w:t>
      </w:r>
      <w:r w:rsidRPr="00EE701D">
        <w:rPr>
          <w:rFonts w:ascii="Palatino Linotype" w:hAnsi="Palatino Linotype"/>
          <w:color w:val="212121"/>
          <w:sz w:val="24"/>
          <w:szCs w:val="24"/>
        </w:rPr>
        <w:t xml:space="preserve">Joint IOUs’ claim that the Joint CCAs’ proposal releases confidential cost containment cap signals and that developers have engaged in certain </w:t>
      </w:r>
      <w:r w:rsidRPr="00EE701D" w:rsidR="003F3D2B">
        <w:rPr>
          <w:rFonts w:ascii="Palatino Linotype" w:hAnsi="Palatino Linotype"/>
          <w:color w:val="212121"/>
          <w:sz w:val="24"/>
          <w:szCs w:val="24"/>
        </w:rPr>
        <w:t xml:space="preserve">types of </w:t>
      </w:r>
      <w:r w:rsidRPr="00EE701D">
        <w:rPr>
          <w:rFonts w:ascii="Palatino Linotype" w:hAnsi="Palatino Linotype"/>
          <w:color w:val="212121"/>
          <w:sz w:val="24"/>
          <w:szCs w:val="24"/>
        </w:rPr>
        <w:t xml:space="preserve">practices. </w:t>
      </w:r>
      <w:r w:rsidRPr="00EE701D" w:rsidR="00C07D52">
        <w:rPr>
          <w:rFonts w:ascii="Palatino Linotype" w:hAnsi="Palatino Linotype"/>
          <w:color w:val="212121"/>
          <w:sz w:val="24"/>
          <w:szCs w:val="24"/>
        </w:rPr>
        <w:t>The Joint CCAs argue that i</w:t>
      </w:r>
      <w:r w:rsidRPr="00EE701D">
        <w:rPr>
          <w:rFonts w:ascii="Palatino Linotype" w:hAnsi="Palatino Linotype"/>
          <w:color w:val="212121"/>
          <w:sz w:val="24"/>
          <w:szCs w:val="24"/>
        </w:rPr>
        <w:t xml:space="preserve">f developers were motivated to discover the </w:t>
      </w:r>
      <w:r w:rsidRPr="00EE701D" w:rsidR="00C07D52">
        <w:rPr>
          <w:rFonts w:ascii="Palatino Linotype" w:hAnsi="Palatino Linotype"/>
          <w:color w:val="212121"/>
          <w:sz w:val="24"/>
          <w:szCs w:val="24"/>
        </w:rPr>
        <w:t>cost containment</w:t>
      </w:r>
      <w:r w:rsidRPr="00EE701D">
        <w:rPr>
          <w:rFonts w:ascii="Palatino Linotype" w:hAnsi="Palatino Linotype"/>
          <w:color w:val="212121"/>
          <w:sz w:val="24"/>
          <w:szCs w:val="24"/>
        </w:rPr>
        <w:t xml:space="preserve"> cap</w:t>
      </w:r>
      <w:r w:rsidRPr="00EE701D" w:rsidDel="00C07D52">
        <w:rPr>
          <w:rFonts w:ascii="Palatino Linotype" w:hAnsi="Palatino Linotype"/>
          <w:color w:val="212121"/>
          <w:sz w:val="24"/>
          <w:szCs w:val="24"/>
        </w:rPr>
        <w:t>,</w:t>
      </w:r>
      <w:r w:rsidRPr="00EE701D">
        <w:rPr>
          <w:rFonts w:ascii="Palatino Linotype" w:hAnsi="Palatino Linotype"/>
          <w:color w:val="212121"/>
          <w:sz w:val="24"/>
          <w:szCs w:val="24"/>
        </w:rPr>
        <w:t xml:space="preserve"> then they could do so under any methodology, not just the methodology used for </w:t>
      </w:r>
      <w:r w:rsidR="0070219E">
        <w:rPr>
          <w:rFonts w:ascii="Palatino Linotype" w:hAnsi="Palatino Linotype"/>
          <w:color w:val="212121"/>
          <w:sz w:val="24"/>
          <w:szCs w:val="24"/>
        </w:rPr>
        <w:br/>
      </w:r>
      <w:r w:rsidRPr="00EE701D">
        <w:rPr>
          <w:rFonts w:ascii="Palatino Linotype" w:hAnsi="Palatino Linotype"/>
          <w:color w:val="212121"/>
          <w:sz w:val="24"/>
          <w:szCs w:val="24"/>
        </w:rPr>
        <w:t>DAC-GT.</w:t>
      </w:r>
    </w:p>
    <w:p w:rsidRPr="00EE701D" w:rsidR="009116FF" w:rsidP="005A581A" w:rsidRDefault="009116FF" w14:paraId="78A44D79" w14:textId="77777777">
      <w:pPr>
        <w:rPr>
          <w:rFonts w:ascii="Palatino Linotype" w:hAnsi="Palatino Linotype"/>
          <w:color w:val="212121"/>
          <w:sz w:val="24"/>
          <w:szCs w:val="24"/>
          <w:highlight w:val="yellow"/>
        </w:rPr>
      </w:pPr>
    </w:p>
    <w:p w:rsidRPr="00EE701D" w:rsidR="0050317D" w:rsidP="0050317D" w:rsidRDefault="005119C3" w14:paraId="57F1B191" w14:textId="10633B02">
      <w:pPr>
        <w:rPr>
          <w:rFonts w:ascii="Palatino Linotype" w:hAnsi="Palatino Linotype"/>
          <w:color w:val="000000" w:themeColor="text1"/>
          <w:sz w:val="24"/>
          <w:szCs w:val="24"/>
        </w:rPr>
      </w:pPr>
      <w:r w:rsidRPr="00EE701D">
        <w:rPr>
          <w:rFonts w:ascii="Palatino Linotype" w:hAnsi="Palatino Linotype"/>
          <w:color w:val="000000" w:themeColor="text1"/>
          <w:sz w:val="24"/>
          <w:szCs w:val="24"/>
        </w:rPr>
        <w:t xml:space="preserve">In its response </w:t>
      </w:r>
      <w:r w:rsidRPr="00EE701D" w:rsidR="00F26DBC">
        <w:rPr>
          <w:rFonts w:ascii="Palatino Linotype" w:hAnsi="Palatino Linotype"/>
          <w:color w:val="000000" w:themeColor="text1"/>
          <w:sz w:val="24"/>
          <w:szCs w:val="24"/>
        </w:rPr>
        <w:t xml:space="preserve">to the supplemental AL, </w:t>
      </w:r>
      <w:r w:rsidRPr="00EE701D" w:rsidR="009116FF">
        <w:rPr>
          <w:rFonts w:ascii="Palatino Linotype" w:hAnsi="Palatino Linotype"/>
          <w:color w:val="000000" w:themeColor="text1"/>
          <w:sz w:val="24"/>
          <w:szCs w:val="24"/>
        </w:rPr>
        <w:t xml:space="preserve">Dimension </w:t>
      </w:r>
      <w:r w:rsidRPr="00EE701D" w:rsidR="00A60F3F">
        <w:rPr>
          <w:rFonts w:ascii="Palatino Linotype" w:hAnsi="Palatino Linotype"/>
          <w:color w:val="000000" w:themeColor="text1"/>
          <w:sz w:val="24"/>
          <w:szCs w:val="24"/>
        </w:rPr>
        <w:t xml:space="preserve">argues that confidentiality of the Joint CCA proposal 1), lacks justification and 2), weakens </w:t>
      </w:r>
      <w:r w:rsidRPr="00EE701D" w:rsidR="00F05A36">
        <w:rPr>
          <w:rFonts w:ascii="Palatino Linotype" w:hAnsi="Palatino Linotype"/>
          <w:color w:val="000000" w:themeColor="text1"/>
          <w:sz w:val="24"/>
          <w:szCs w:val="24"/>
        </w:rPr>
        <w:t>collaboration</w:t>
      </w:r>
      <w:r w:rsidRPr="00EE701D" w:rsidR="00A60F3F">
        <w:rPr>
          <w:rFonts w:ascii="Palatino Linotype" w:hAnsi="Palatino Linotype"/>
          <w:color w:val="000000" w:themeColor="text1"/>
          <w:sz w:val="24"/>
          <w:szCs w:val="24"/>
        </w:rPr>
        <w:t xml:space="preserve"> and compromises program outcomes. Specifically, Dimension re</w:t>
      </w:r>
      <w:r w:rsidRPr="00EE701D" w:rsidR="000249F4">
        <w:rPr>
          <w:rFonts w:ascii="Palatino Linotype" w:hAnsi="Palatino Linotype"/>
          <w:color w:val="000000" w:themeColor="text1"/>
          <w:sz w:val="24"/>
          <w:szCs w:val="24"/>
        </w:rPr>
        <w:t xml:space="preserve">quests </w:t>
      </w:r>
      <w:r w:rsidRPr="00EE701D" w:rsidR="00CF3D61">
        <w:rPr>
          <w:rFonts w:ascii="Palatino Linotype" w:hAnsi="Palatino Linotype"/>
          <w:color w:val="000000" w:themeColor="text1"/>
          <w:sz w:val="24"/>
          <w:szCs w:val="24"/>
        </w:rPr>
        <w:t>that the Commission</w:t>
      </w:r>
      <w:r w:rsidRPr="00EE701D" w:rsidR="00CE7446">
        <w:rPr>
          <w:rFonts w:ascii="Palatino Linotype" w:hAnsi="Palatino Linotype"/>
          <w:color w:val="000000" w:themeColor="text1"/>
          <w:sz w:val="24"/>
          <w:szCs w:val="24"/>
        </w:rPr>
        <w:t xml:space="preserve"> </w:t>
      </w:r>
      <w:r w:rsidRPr="00EE701D" w:rsidR="00CF3D61">
        <w:rPr>
          <w:rFonts w:ascii="Palatino Linotype" w:hAnsi="Palatino Linotype"/>
          <w:color w:val="000000" w:themeColor="text1"/>
          <w:sz w:val="24"/>
          <w:szCs w:val="24"/>
        </w:rPr>
        <w:lastRenderedPageBreak/>
        <w:t>make public</w:t>
      </w:r>
      <w:r w:rsidRPr="00EE701D" w:rsidR="008A0B40">
        <w:rPr>
          <w:rFonts w:ascii="Palatino Linotype" w:hAnsi="Palatino Linotype"/>
          <w:color w:val="000000" w:themeColor="text1"/>
          <w:sz w:val="24"/>
          <w:szCs w:val="24"/>
        </w:rPr>
        <w:t xml:space="preserve"> the </w:t>
      </w:r>
      <w:r w:rsidRPr="00EE701D" w:rsidR="00487E17">
        <w:rPr>
          <w:rFonts w:ascii="Palatino Linotype" w:hAnsi="Palatino Linotype"/>
          <w:color w:val="000000" w:themeColor="text1"/>
          <w:sz w:val="24"/>
          <w:szCs w:val="24"/>
        </w:rPr>
        <w:t xml:space="preserve">confidential </w:t>
      </w:r>
      <w:r w:rsidRPr="00EE701D" w:rsidR="008A0B40">
        <w:rPr>
          <w:rFonts w:ascii="Palatino Linotype" w:hAnsi="Palatino Linotype"/>
          <w:color w:val="000000" w:themeColor="text1"/>
          <w:sz w:val="24"/>
          <w:szCs w:val="24"/>
        </w:rPr>
        <w:t xml:space="preserve">details of </w:t>
      </w:r>
      <w:r w:rsidRPr="00EE701D" w:rsidR="00F53898">
        <w:rPr>
          <w:rFonts w:ascii="Palatino Linotype" w:hAnsi="Palatino Linotype"/>
          <w:color w:val="000000" w:themeColor="text1"/>
          <w:sz w:val="24"/>
          <w:szCs w:val="24"/>
        </w:rPr>
        <w:t xml:space="preserve">the </w:t>
      </w:r>
      <w:r w:rsidRPr="00EE701D" w:rsidR="00F13EE4">
        <w:rPr>
          <w:rFonts w:ascii="Palatino Linotype" w:hAnsi="Palatino Linotype"/>
          <w:color w:val="000000" w:themeColor="text1"/>
          <w:sz w:val="24"/>
          <w:szCs w:val="24"/>
        </w:rPr>
        <w:t>proposed price cap methodologies</w:t>
      </w:r>
      <w:r w:rsidRPr="00EE701D" w:rsidR="001B62CD">
        <w:rPr>
          <w:rFonts w:ascii="Palatino Linotype" w:hAnsi="Palatino Linotype"/>
          <w:color w:val="000000" w:themeColor="text1"/>
          <w:sz w:val="24"/>
          <w:szCs w:val="24"/>
        </w:rPr>
        <w:t xml:space="preserve"> </w:t>
      </w:r>
      <w:r w:rsidRPr="00EE701D" w:rsidR="009031D0">
        <w:rPr>
          <w:rFonts w:ascii="Palatino Linotype" w:hAnsi="Palatino Linotype"/>
          <w:color w:val="000000" w:themeColor="text1"/>
          <w:sz w:val="24"/>
          <w:szCs w:val="24"/>
        </w:rPr>
        <w:t xml:space="preserve">so that </w:t>
      </w:r>
      <w:r w:rsidRPr="00EE701D" w:rsidR="00D03D3B">
        <w:rPr>
          <w:rFonts w:ascii="Palatino Linotype" w:hAnsi="Palatino Linotype"/>
          <w:color w:val="000000" w:themeColor="text1"/>
          <w:sz w:val="24"/>
          <w:szCs w:val="24"/>
        </w:rPr>
        <w:t xml:space="preserve">all </w:t>
      </w:r>
      <w:r w:rsidRPr="00EE701D" w:rsidR="009031D0">
        <w:rPr>
          <w:rFonts w:ascii="Palatino Linotype" w:hAnsi="Palatino Linotype"/>
          <w:color w:val="000000" w:themeColor="text1"/>
          <w:sz w:val="24"/>
          <w:szCs w:val="24"/>
        </w:rPr>
        <w:t>interested parties</w:t>
      </w:r>
      <w:r w:rsidRPr="00EE701D" w:rsidR="00C90C31">
        <w:rPr>
          <w:rFonts w:ascii="Palatino Linotype" w:hAnsi="Palatino Linotype"/>
          <w:color w:val="000000" w:themeColor="text1"/>
          <w:sz w:val="24"/>
          <w:szCs w:val="24"/>
        </w:rPr>
        <w:t xml:space="preserve">, rather than </w:t>
      </w:r>
      <w:r w:rsidRPr="00EE701D" w:rsidR="00641643">
        <w:rPr>
          <w:rFonts w:ascii="Palatino Linotype" w:hAnsi="Palatino Linotype"/>
          <w:color w:val="000000" w:themeColor="text1"/>
          <w:sz w:val="24"/>
          <w:szCs w:val="24"/>
        </w:rPr>
        <w:t>a limited few,</w:t>
      </w:r>
      <w:r w:rsidRPr="00EE701D" w:rsidR="009031D0">
        <w:rPr>
          <w:rFonts w:ascii="Palatino Linotype" w:hAnsi="Palatino Linotype"/>
          <w:color w:val="000000" w:themeColor="text1"/>
          <w:sz w:val="24"/>
          <w:szCs w:val="24"/>
        </w:rPr>
        <w:t xml:space="preserve"> have an </w:t>
      </w:r>
      <w:r w:rsidRPr="00EE701D" w:rsidR="00AD3C3F">
        <w:rPr>
          <w:rFonts w:ascii="Palatino Linotype" w:hAnsi="Palatino Linotype"/>
          <w:color w:val="000000" w:themeColor="text1"/>
          <w:sz w:val="24"/>
          <w:szCs w:val="24"/>
        </w:rPr>
        <w:t>opportunity</w:t>
      </w:r>
      <w:r w:rsidRPr="00EE701D" w:rsidR="009031D0">
        <w:rPr>
          <w:rFonts w:ascii="Palatino Linotype" w:hAnsi="Palatino Linotype"/>
          <w:color w:val="000000" w:themeColor="text1"/>
          <w:sz w:val="24"/>
          <w:szCs w:val="24"/>
        </w:rPr>
        <w:t xml:space="preserve"> to </w:t>
      </w:r>
      <w:r w:rsidRPr="00EE701D" w:rsidR="007B3416">
        <w:rPr>
          <w:rFonts w:ascii="Palatino Linotype" w:hAnsi="Palatino Linotype"/>
          <w:color w:val="000000" w:themeColor="text1"/>
          <w:sz w:val="24"/>
          <w:szCs w:val="24"/>
        </w:rPr>
        <w:t>provide feedback</w:t>
      </w:r>
      <w:r w:rsidRPr="00EE701D" w:rsidR="00AD3C3F">
        <w:rPr>
          <w:rFonts w:ascii="Palatino Linotype" w:hAnsi="Palatino Linotype"/>
          <w:color w:val="000000" w:themeColor="text1"/>
          <w:sz w:val="24"/>
          <w:szCs w:val="24"/>
        </w:rPr>
        <w:t xml:space="preserve">. </w:t>
      </w:r>
      <w:r w:rsidRPr="00EE701D" w:rsidR="00013DAD">
        <w:rPr>
          <w:rFonts w:ascii="Palatino Linotype" w:hAnsi="Palatino Linotype"/>
          <w:color w:val="000000" w:themeColor="text1"/>
          <w:sz w:val="24"/>
          <w:szCs w:val="24"/>
        </w:rPr>
        <w:t xml:space="preserve">Dimension argues that </w:t>
      </w:r>
      <w:r w:rsidRPr="00EE701D" w:rsidR="003B17D9">
        <w:rPr>
          <w:rFonts w:ascii="Palatino Linotype" w:hAnsi="Palatino Linotype"/>
          <w:color w:val="000000" w:themeColor="text1"/>
          <w:sz w:val="24"/>
          <w:szCs w:val="24"/>
        </w:rPr>
        <w:t xml:space="preserve">it is difficult to </w:t>
      </w:r>
      <w:r w:rsidRPr="00EE701D" w:rsidR="00B80CD2">
        <w:rPr>
          <w:rFonts w:ascii="Palatino Linotype" w:hAnsi="Palatino Linotype"/>
          <w:color w:val="000000" w:themeColor="text1"/>
          <w:sz w:val="24"/>
          <w:szCs w:val="24"/>
        </w:rPr>
        <w:t>comment on the Joint IOU and Joint CCAs’</w:t>
      </w:r>
      <w:r w:rsidRPr="00EE701D" w:rsidR="008A0B40">
        <w:rPr>
          <w:rFonts w:ascii="Palatino Linotype" w:hAnsi="Palatino Linotype"/>
          <w:color w:val="000000" w:themeColor="text1"/>
          <w:sz w:val="24"/>
          <w:szCs w:val="24"/>
        </w:rPr>
        <w:t xml:space="preserve"> </w:t>
      </w:r>
      <w:r w:rsidRPr="00EE701D" w:rsidR="00B80CD2">
        <w:rPr>
          <w:rFonts w:ascii="Palatino Linotype" w:hAnsi="Palatino Linotype"/>
          <w:color w:val="000000" w:themeColor="text1"/>
          <w:sz w:val="24"/>
          <w:szCs w:val="24"/>
        </w:rPr>
        <w:t>proposal</w:t>
      </w:r>
      <w:r w:rsidRPr="00EE701D" w:rsidR="00641643">
        <w:rPr>
          <w:rFonts w:ascii="Palatino Linotype" w:hAnsi="Palatino Linotype"/>
          <w:color w:val="000000" w:themeColor="text1"/>
          <w:sz w:val="24"/>
          <w:szCs w:val="24"/>
        </w:rPr>
        <w:t>s</w:t>
      </w:r>
      <w:r w:rsidRPr="00EE701D" w:rsidR="008A0B40">
        <w:rPr>
          <w:rFonts w:ascii="Palatino Linotype" w:hAnsi="Palatino Linotype"/>
          <w:color w:val="000000" w:themeColor="text1"/>
          <w:sz w:val="24"/>
          <w:szCs w:val="24"/>
        </w:rPr>
        <w:t xml:space="preserve"> </w:t>
      </w:r>
      <w:r w:rsidRPr="00EE701D" w:rsidR="00222EC7">
        <w:rPr>
          <w:rFonts w:ascii="Palatino Linotype" w:hAnsi="Palatino Linotype"/>
          <w:color w:val="000000" w:themeColor="text1"/>
          <w:sz w:val="24"/>
          <w:szCs w:val="24"/>
        </w:rPr>
        <w:t xml:space="preserve">if they are </w:t>
      </w:r>
      <w:r w:rsidRPr="00EE701D" w:rsidR="00FC62E2">
        <w:rPr>
          <w:rFonts w:ascii="Palatino Linotype" w:hAnsi="Palatino Linotype"/>
          <w:color w:val="000000" w:themeColor="text1"/>
          <w:sz w:val="24"/>
          <w:szCs w:val="24"/>
        </w:rPr>
        <w:t>mostly kept confidential</w:t>
      </w:r>
      <w:r w:rsidRPr="00EE701D" w:rsidR="009D6E06">
        <w:rPr>
          <w:rFonts w:ascii="Palatino Linotype" w:hAnsi="Palatino Linotype"/>
          <w:color w:val="000000" w:themeColor="text1"/>
          <w:sz w:val="24"/>
          <w:szCs w:val="24"/>
        </w:rPr>
        <w:t xml:space="preserve"> and that </w:t>
      </w:r>
      <w:r w:rsidRPr="00EE701D" w:rsidR="007A14BE">
        <w:rPr>
          <w:rFonts w:ascii="Palatino Linotype" w:hAnsi="Palatino Linotype"/>
          <w:color w:val="000000" w:themeColor="text1"/>
          <w:sz w:val="24"/>
          <w:szCs w:val="24"/>
        </w:rPr>
        <w:t xml:space="preserve">keeping them confidential </w:t>
      </w:r>
      <w:r w:rsidRPr="00EE701D" w:rsidR="009D6E06">
        <w:rPr>
          <w:rFonts w:ascii="Palatino Linotype" w:hAnsi="Palatino Linotype"/>
          <w:color w:val="000000" w:themeColor="text1"/>
          <w:sz w:val="24"/>
          <w:szCs w:val="24"/>
        </w:rPr>
        <w:t xml:space="preserve">risks </w:t>
      </w:r>
      <w:r w:rsidRPr="00EE701D" w:rsidR="008A499E">
        <w:rPr>
          <w:rFonts w:ascii="Palatino Linotype" w:hAnsi="Palatino Linotype"/>
          <w:color w:val="000000" w:themeColor="text1"/>
          <w:sz w:val="24"/>
          <w:szCs w:val="24"/>
        </w:rPr>
        <w:t xml:space="preserve">creating unnecessary barriers and failed solicitations. Secondly, Dimension </w:t>
      </w:r>
      <w:r w:rsidRPr="00EE701D" w:rsidR="00F05A36">
        <w:rPr>
          <w:rFonts w:ascii="Palatino Linotype" w:hAnsi="Palatino Linotype"/>
          <w:color w:val="000000" w:themeColor="text1"/>
          <w:sz w:val="24"/>
          <w:szCs w:val="24"/>
        </w:rPr>
        <w:t>notes</w:t>
      </w:r>
      <w:r w:rsidRPr="00EE701D" w:rsidR="00DB6A18">
        <w:rPr>
          <w:rFonts w:ascii="Palatino Linotype" w:hAnsi="Palatino Linotype"/>
          <w:color w:val="000000" w:themeColor="text1"/>
          <w:sz w:val="24"/>
          <w:szCs w:val="24"/>
        </w:rPr>
        <w:t xml:space="preserve"> that </w:t>
      </w:r>
      <w:r w:rsidRPr="00EE701D" w:rsidR="00A95072">
        <w:rPr>
          <w:rFonts w:ascii="Palatino Linotype" w:hAnsi="Palatino Linotype"/>
          <w:color w:val="000000" w:themeColor="text1"/>
          <w:sz w:val="24"/>
          <w:szCs w:val="24"/>
        </w:rPr>
        <w:t xml:space="preserve">the </w:t>
      </w:r>
      <w:r w:rsidRPr="00EE701D" w:rsidR="00651228">
        <w:rPr>
          <w:rFonts w:ascii="Palatino Linotype" w:hAnsi="Palatino Linotype"/>
          <w:color w:val="000000" w:themeColor="text1"/>
          <w:sz w:val="24"/>
          <w:szCs w:val="24"/>
        </w:rPr>
        <w:t>cost cap methodologies for</w:t>
      </w:r>
      <w:r w:rsidRPr="00EE701D" w:rsidR="00DB6A18">
        <w:rPr>
          <w:rFonts w:ascii="Palatino Linotype" w:hAnsi="Palatino Linotype"/>
          <w:color w:val="000000" w:themeColor="text1"/>
          <w:sz w:val="24"/>
          <w:szCs w:val="24"/>
        </w:rPr>
        <w:t xml:space="preserve"> </w:t>
      </w:r>
      <w:r w:rsidRPr="00EE701D" w:rsidR="00A95072">
        <w:rPr>
          <w:rFonts w:ascii="Palatino Linotype" w:hAnsi="Palatino Linotype"/>
          <w:color w:val="000000" w:themeColor="text1"/>
          <w:sz w:val="24"/>
          <w:szCs w:val="24"/>
        </w:rPr>
        <w:t>the current DAC-GT</w:t>
      </w:r>
      <w:r w:rsidRPr="00EE701D" w:rsidR="00923AA0">
        <w:rPr>
          <w:rFonts w:ascii="Palatino Linotype" w:hAnsi="Palatino Linotype"/>
          <w:color w:val="000000" w:themeColor="text1"/>
          <w:sz w:val="24"/>
          <w:szCs w:val="24"/>
        </w:rPr>
        <w:t xml:space="preserve"> </w:t>
      </w:r>
      <w:r w:rsidRPr="00EE701D" w:rsidR="000402AD">
        <w:rPr>
          <w:rFonts w:ascii="Palatino Linotype" w:hAnsi="Palatino Linotype"/>
          <w:color w:val="000000" w:themeColor="text1"/>
          <w:sz w:val="24"/>
          <w:szCs w:val="24"/>
        </w:rPr>
        <w:t xml:space="preserve">and Green Tariff </w:t>
      </w:r>
      <w:r w:rsidRPr="00EE701D" w:rsidR="00923AA0">
        <w:rPr>
          <w:rFonts w:ascii="Palatino Linotype" w:hAnsi="Palatino Linotype"/>
          <w:color w:val="000000" w:themeColor="text1"/>
          <w:sz w:val="24"/>
          <w:szCs w:val="24"/>
        </w:rPr>
        <w:t>program</w:t>
      </w:r>
      <w:r w:rsidRPr="00EE701D" w:rsidR="000402AD">
        <w:rPr>
          <w:rFonts w:ascii="Palatino Linotype" w:hAnsi="Palatino Linotype"/>
          <w:color w:val="000000" w:themeColor="text1"/>
          <w:sz w:val="24"/>
          <w:szCs w:val="24"/>
        </w:rPr>
        <w:t>s and the</w:t>
      </w:r>
      <w:r w:rsidRPr="00EE701D" w:rsidR="00923AA0">
        <w:rPr>
          <w:rFonts w:ascii="Palatino Linotype" w:hAnsi="Palatino Linotype"/>
          <w:color w:val="000000" w:themeColor="text1"/>
          <w:sz w:val="24"/>
          <w:szCs w:val="24"/>
        </w:rPr>
        <w:t xml:space="preserve"> previous Renewable Auction Mechanism </w:t>
      </w:r>
      <w:r w:rsidRPr="00EE701D" w:rsidR="000402AD">
        <w:rPr>
          <w:rFonts w:ascii="Palatino Linotype" w:hAnsi="Palatino Linotype"/>
          <w:color w:val="000000" w:themeColor="text1"/>
          <w:sz w:val="24"/>
          <w:szCs w:val="24"/>
        </w:rPr>
        <w:t xml:space="preserve">have been made public without compromising market integrity. </w:t>
      </w:r>
    </w:p>
    <w:p w:rsidRPr="00EE701D" w:rsidR="00745833" w:rsidP="0050317D" w:rsidRDefault="00745833" w14:paraId="59E90913" w14:textId="77777777">
      <w:pPr>
        <w:rPr>
          <w:rFonts w:ascii="Palatino Linotype" w:hAnsi="Palatino Linotype"/>
          <w:color w:val="212121"/>
          <w:sz w:val="24"/>
          <w:szCs w:val="24"/>
        </w:rPr>
      </w:pPr>
    </w:p>
    <w:p w:rsidRPr="00EE701D" w:rsidR="00CF247A" w:rsidP="0050317D" w:rsidRDefault="003F7FFC" w14:paraId="0584D595" w14:textId="4FD82433">
      <w:pPr>
        <w:rPr>
          <w:rFonts w:ascii="Palatino Linotype" w:hAnsi="Palatino Linotype"/>
          <w:color w:val="212121"/>
          <w:sz w:val="24"/>
          <w:szCs w:val="24"/>
        </w:rPr>
      </w:pPr>
      <w:r w:rsidRPr="00EE701D">
        <w:rPr>
          <w:rFonts w:ascii="Palatino Linotype" w:hAnsi="Palatino Linotype"/>
          <w:b/>
          <w:bCs/>
          <w:color w:val="212121"/>
          <w:sz w:val="24"/>
          <w:szCs w:val="24"/>
        </w:rPr>
        <w:t xml:space="preserve">Joint IOUs’ </w:t>
      </w:r>
      <w:r w:rsidRPr="00EE701D" w:rsidR="00CF247A">
        <w:rPr>
          <w:rFonts w:ascii="Palatino Linotype" w:hAnsi="Palatino Linotype"/>
          <w:b/>
          <w:bCs/>
          <w:color w:val="212121"/>
          <w:sz w:val="24"/>
          <w:szCs w:val="24"/>
        </w:rPr>
        <w:t>Reply to Protest and Response</w:t>
      </w:r>
    </w:p>
    <w:p w:rsidRPr="00EE701D" w:rsidR="005A581A" w:rsidP="005A581A" w:rsidRDefault="0050317D" w14:paraId="70C4013D" w14:textId="146E87F1">
      <w:pPr>
        <w:rPr>
          <w:rFonts w:ascii="Palatino Linotype" w:hAnsi="Palatino Linotype"/>
          <w:color w:val="212121"/>
          <w:sz w:val="24"/>
          <w:szCs w:val="24"/>
        </w:rPr>
      </w:pPr>
      <w:r w:rsidRPr="00EE701D">
        <w:rPr>
          <w:rFonts w:ascii="Palatino Linotype" w:hAnsi="Palatino Linotype"/>
          <w:color w:val="212121"/>
          <w:sz w:val="24"/>
          <w:szCs w:val="24"/>
        </w:rPr>
        <w:t>On December 5, 2024, the Joint IOUs submitted a reply to the Joint CCAs’ protest of SCE 5362-E-A and PG&amp;E AL 7362-E-A and Dimension’s response.</w:t>
      </w:r>
      <w:r w:rsidRPr="00EE701D" w:rsidR="005A581A">
        <w:rPr>
          <w:rFonts w:ascii="Palatino Linotype" w:hAnsi="Palatino Linotype"/>
          <w:color w:val="212121"/>
          <w:sz w:val="24"/>
          <w:szCs w:val="24"/>
        </w:rPr>
        <w:t xml:space="preserve"> The Joint IOUs refute the Joint CCAs’ claim that confidentiality is inappropriate by stating that 1) confidential treatment of the Joint CCAs’ </w:t>
      </w:r>
      <w:r w:rsidRPr="00EE701D" w:rsidR="00C57F4A">
        <w:rPr>
          <w:rFonts w:ascii="Palatino Linotype" w:hAnsi="Palatino Linotype"/>
          <w:color w:val="212121"/>
          <w:sz w:val="24"/>
          <w:szCs w:val="24"/>
        </w:rPr>
        <w:t>m</w:t>
      </w:r>
      <w:r w:rsidRPr="00EE701D" w:rsidR="005A581A">
        <w:rPr>
          <w:rFonts w:ascii="Palatino Linotype" w:hAnsi="Palatino Linotype"/>
          <w:color w:val="212121"/>
          <w:sz w:val="24"/>
          <w:szCs w:val="24"/>
        </w:rPr>
        <w:t xml:space="preserve">ethodology for </w:t>
      </w:r>
      <w:r w:rsidRPr="00EE701D" w:rsidR="00C57F4A">
        <w:rPr>
          <w:rFonts w:ascii="Palatino Linotype" w:hAnsi="Palatino Linotype"/>
          <w:color w:val="212121"/>
          <w:sz w:val="24"/>
          <w:szCs w:val="24"/>
        </w:rPr>
        <w:t>e</w:t>
      </w:r>
      <w:r w:rsidRPr="00EE701D" w:rsidR="005A581A">
        <w:rPr>
          <w:rFonts w:ascii="Palatino Linotype" w:hAnsi="Palatino Linotype"/>
          <w:color w:val="212121"/>
          <w:sz w:val="24"/>
          <w:szCs w:val="24"/>
        </w:rPr>
        <w:t xml:space="preserve">stablishing the CBVRP is consistent with </w:t>
      </w:r>
      <w:r w:rsidRPr="00EE701D" w:rsidR="00524210">
        <w:rPr>
          <w:rFonts w:ascii="Palatino Linotype" w:hAnsi="Palatino Linotype"/>
          <w:color w:val="212121"/>
          <w:sz w:val="24"/>
          <w:szCs w:val="24"/>
        </w:rPr>
        <w:t xml:space="preserve">Commission </w:t>
      </w:r>
      <w:r w:rsidRPr="00EE701D" w:rsidR="005A581A">
        <w:rPr>
          <w:rFonts w:ascii="Palatino Linotype" w:hAnsi="Palatino Linotype"/>
          <w:color w:val="212121"/>
          <w:sz w:val="24"/>
          <w:szCs w:val="24"/>
        </w:rPr>
        <w:t>decisions</w:t>
      </w:r>
      <w:r w:rsidRPr="00EE701D" w:rsidR="007A435A">
        <w:rPr>
          <w:rFonts w:ascii="Palatino Linotype" w:hAnsi="Palatino Linotype"/>
          <w:color w:val="212121"/>
          <w:sz w:val="24"/>
          <w:szCs w:val="24"/>
        </w:rPr>
        <w:t>,</w:t>
      </w:r>
      <w:r w:rsidRPr="00EE701D" w:rsidR="005A581A">
        <w:rPr>
          <w:rFonts w:ascii="Palatino Linotype" w:hAnsi="Palatino Linotype"/>
          <w:color w:val="212121"/>
          <w:sz w:val="24"/>
          <w:szCs w:val="24"/>
        </w:rPr>
        <w:t xml:space="preserve"> 2) confidential treatment is important to protect the integrity of DAC-GT solicitations and customer affordability</w:t>
      </w:r>
      <w:r w:rsidRPr="00EE701D" w:rsidR="007A435A">
        <w:rPr>
          <w:rFonts w:ascii="Palatino Linotype" w:hAnsi="Palatino Linotype"/>
          <w:color w:val="212121"/>
          <w:sz w:val="24"/>
          <w:szCs w:val="24"/>
        </w:rPr>
        <w:t>,</w:t>
      </w:r>
      <w:r w:rsidRPr="00EE701D" w:rsidR="005A581A">
        <w:rPr>
          <w:rFonts w:ascii="Palatino Linotype" w:hAnsi="Palatino Linotype"/>
          <w:color w:val="212121"/>
          <w:sz w:val="24"/>
          <w:szCs w:val="24"/>
        </w:rPr>
        <w:t xml:space="preserve"> and 3) the Joint CCAs’ advocacy for their proposed pricing methodology should be disregarded. The Joint IOUs note that the </w:t>
      </w:r>
      <w:r w:rsidRPr="00EE701D" w:rsidR="006414CE">
        <w:rPr>
          <w:rFonts w:ascii="Palatino Linotype" w:hAnsi="Palatino Linotype"/>
          <w:color w:val="212121"/>
          <w:sz w:val="24"/>
          <w:szCs w:val="24"/>
        </w:rPr>
        <w:t xml:space="preserve">Commission </w:t>
      </w:r>
      <w:r w:rsidRPr="00EE701D" w:rsidR="00D65964">
        <w:rPr>
          <w:rFonts w:ascii="Palatino Linotype" w:hAnsi="Palatino Linotype"/>
          <w:color w:val="212121"/>
          <w:sz w:val="24"/>
          <w:szCs w:val="24"/>
        </w:rPr>
        <w:t>M</w:t>
      </w:r>
      <w:r w:rsidRPr="00EE701D" w:rsidR="00240A6C">
        <w:rPr>
          <w:rFonts w:ascii="Palatino Linotype" w:hAnsi="Palatino Linotype"/>
          <w:color w:val="212121"/>
          <w:sz w:val="24"/>
          <w:szCs w:val="24"/>
        </w:rPr>
        <w:t>a</w:t>
      </w:r>
      <w:r w:rsidRPr="00EE701D" w:rsidR="00D65964">
        <w:rPr>
          <w:rFonts w:ascii="Palatino Linotype" w:hAnsi="Palatino Linotype"/>
          <w:color w:val="212121"/>
          <w:sz w:val="24"/>
          <w:szCs w:val="24"/>
        </w:rPr>
        <w:t xml:space="preserve">trix of Allowed Confidential Treatment </w:t>
      </w:r>
      <w:r w:rsidRPr="00EE701D" w:rsidR="00240A6C">
        <w:rPr>
          <w:rFonts w:ascii="Palatino Linotype" w:hAnsi="Palatino Linotype"/>
          <w:color w:val="212121"/>
          <w:sz w:val="24"/>
          <w:szCs w:val="24"/>
        </w:rPr>
        <w:t>IOU Data</w:t>
      </w:r>
      <w:r w:rsidRPr="00EE701D" w:rsidR="005A581A">
        <w:rPr>
          <w:rFonts w:ascii="Palatino Linotype" w:hAnsi="Palatino Linotype"/>
          <w:color w:val="212121"/>
          <w:sz w:val="24"/>
          <w:szCs w:val="24"/>
        </w:rPr>
        <w:t xml:space="preserve"> </w:t>
      </w:r>
      <w:r w:rsidRPr="00EE701D" w:rsidR="00131AD7">
        <w:rPr>
          <w:rFonts w:ascii="Palatino Linotype" w:hAnsi="Palatino Linotype"/>
          <w:color w:val="212121"/>
          <w:sz w:val="24"/>
          <w:szCs w:val="24"/>
        </w:rPr>
        <w:t>(IOU Matrix)</w:t>
      </w:r>
      <w:r w:rsidRPr="00EE701D" w:rsidR="009227C5">
        <w:rPr>
          <w:rFonts w:ascii="Palatino Linotype" w:hAnsi="Palatino Linotype"/>
          <w:color w:val="212121"/>
          <w:sz w:val="24"/>
          <w:szCs w:val="24"/>
        </w:rPr>
        <w:t xml:space="preserve"> </w:t>
      </w:r>
      <w:r w:rsidRPr="00EE701D" w:rsidR="005A581A">
        <w:rPr>
          <w:rFonts w:ascii="Palatino Linotype" w:hAnsi="Palatino Linotype"/>
          <w:color w:val="212121"/>
          <w:sz w:val="24"/>
          <w:szCs w:val="24"/>
        </w:rPr>
        <w:t>defines “market sensitive” information as “information with the potential to affect the marke</w:t>
      </w:r>
      <w:r w:rsidRPr="00EE701D" w:rsidR="00D406EC">
        <w:rPr>
          <w:rFonts w:ascii="Palatino Linotype" w:hAnsi="Palatino Linotype"/>
          <w:color w:val="212121"/>
          <w:sz w:val="24"/>
          <w:szCs w:val="24"/>
        </w:rPr>
        <w:t>t</w:t>
      </w:r>
      <w:r w:rsidRPr="00EE701D" w:rsidR="005A581A">
        <w:rPr>
          <w:rFonts w:ascii="Palatino Linotype" w:hAnsi="Palatino Linotype"/>
          <w:color w:val="212121"/>
          <w:sz w:val="24"/>
          <w:szCs w:val="24"/>
        </w:rPr>
        <w:t xml:space="preserve"> for electricity in some way” and that the party seeking to make such information public bears the burden of providing why such information should be disclosed. </w:t>
      </w:r>
      <w:r w:rsidRPr="00EE701D" w:rsidR="0082248E">
        <w:rPr>
          <w:rFonts w:ascii="Palatino Linotype" w:hAnsi="Palatino Linotype" w:eastAsia="Palatino Linotype"/>
          <w:sz w:val="24"/>
          <w:szCs w:val="24"/>
        </w:rPr>
        <w:t>The Commission’s IOU Matrix is a document that identifies the confidentiality protections to be applied to categories of information relevant to electric procurement.</w:t>
      </w:r>
      <w:r w:rsidRPr="00EE701D" w:rsidR="0082248E">
        <w:rPr>
          <w:rStyle w:val="FootnoteReference"/>
          <w:rFonts w:ascii="Palatino Linotype" w:hAnsi="Palatino Linotype" w:eastAsia="Palatino Linotype"/>
          <w:sz w:val="24"/>
          <w:szCs w:val="24"/>
        </w:rPr>
        <w:footnoteReference w:id="13"/>
      </w:r>
      <w:r w:rsidRPr="00EE701D" w:rsidR="0082248E">
        <w:rPr>
          <w:rFonts w:ascii="Palatino Linotype" w:hAnsi="Palatino Linotype" w:eastAsia="Palatino Linotype"/>
          <w:sz w:val="24"/>
          <w:szCs w:val="24"/>
        </w:rPr>
        <w:t xml:space="preserve"> </w:t>
      </w:r>
      <w:r w:rsidRPr="00EE701D" w:rsidR="005A581A">
        <w:rPr>
          <w:rFonts w:ascii="Palatino Linotype" w:hAnsi="Palatino Linotype"/>
          <w:color w:val="212121"/>
          <w:sz w:val="24"/>
          <w:szCs w:val="24"/>
        </w:rPr>
        <w:t xml:space="preserve">The Joint IOUs reiterate their arguments in favor of confidential treatment from their </w:t>
      </w:r>
      <w:r w:rsidRPr="00EE701D" w:rsidR="006414CE">
        <w:rPr>
          <w:rFonts w:ascii="Palatino Linotype" w:hAnsi="Palatino Linotype"/>
          <w:color w:val="212121"/>
          <w:sz w:val="24"/>
          <w:szCs w:val="24"/>
        </w:rPr>
        <w:t xml:space="preserve">initial </w:t>
      </w:r>
      <w:r w:rsidRPr="00EE701D" w:rsidR="005A581A">
        <w:rPr>
          <w:rFonts w:ascii="Palatino Linotype" w:hAnsi="Palatino Linotype"/>
          <w:color w:val="212121"/>
          <w:sz w:val="24"/>
          <w:szCs w:val="24"/>
        </w:rPr>
        <w:t>and</w:t>
      </w:r>
      <w:r w:rsidRPr="00EE701D" w:rsidDel="006414CE" w:rsidR="005A581A">
        <w:rPr>
          <w:rFonts w:ascii="Palatino Linotype" w:hAnsi="Palatino Linotype"/>
          <w:color w:val="212121"/>
          <w:sz w:val="24"/>
          <w:szCs w:val="24"/>
        </w:rPr>
        <w:t xml:space="preserve"> </w:t>
      </w:r>
      <w:r w:rsidRPr="00EE701D" w:rsidR="006414CE">
        <w:rPr>
          <w:rFonts w:ascii="Palatino Linotype" w:hAnsi="Palatino Linotype"/>
          <w:color w:val="212121"/>
          <w:sz w:val="24"/>
          <w:szCs w:val="24"/>
        </w:rPr>
        <w:t xml:space="preserve">supplemental </w:t>
      </w:r>
      <w:r w:rsidRPr="00EE701D" w:rsidR="005A581A">
        <w:rPr>
          <w:rFonts w:ascii="Palatino Linotype" w:hAnsi="Palatino Linotype"/>
          <w:color w:val="212121"/>
          <w:sz w:val="24"/>
          <w:szCs w:val="24"/>
        </w:rPr>
        <w:t xml:space="preserve">AL and argue that the Joint CCAs’ have failed to provide any justification for making </w:t>
      </w:r>
      <w:r w:rsidRPr="00EE701D" w:rsidR="006414CE">
        <w:rPr>
          <w:rFonts w:ascii="Palatino Linotype" w:hAnsi="Palatino Linotype"/>
          <w:color w:val="212121"/>
          <w:sz w:val="24"/>
          <w:szCs w:val="24"/>
        </w:rPr>
        <w:t xml:space="preserve">the Joint CCA </w:t>
      </w:r>
      <w:r w:rsidRPr="00EE701D" w:rsidR="005A581A">
        <w:rPr>
          <w:rFonts w:ascii="Palatino Linotype" w:hAnsi="Palatino Linotype"/>
          <w:color w:val="212121"/>
          <w:sz w:val="24"/>
          <w:szCs w:val="24"/>
        </w:rPr>
        <w:t xml:space="preserve">proposed methodology public. The Joint IOUs refute Dimension’s argument that making the Joint CCAs’ methodology public would allow feedback from parties by pointing out that only market participants should compete to bid a winning project without being influenced by knowledge concerning the cost </w:t>
      </w:r>
      <w:r w:rsidRPr="00EE701D" w:rsidR="006414CE">
        <w:rPr>
          <w:rFonts w:ascii="Palatino Linotype" w:hAnsi="Palatino Linotype"/>
          <w:color w:val="212121"/>
          <w:sz w:val="24"/>
          <w:szCs w:val="24"/>
        </w:rPr>
        <w:t xml:space="preserve">containment </w:t>
      </w:r>
      <w:r w:rsidRPr="00EE701D" w:rsidR="005A581A">
        <w:rPr>
          <w:rFonts w:ascii="Palatino Linotype" w:hAnsi="Palatino Linotype"/>
          <w:color w:val="212121"/>
          <w:sz w:val="24"/>
          <w:szCs w:val="24"/>
        </w:rPr>
        <w:t xml:space="preserve">cap. Therefore, market participants like Dimension were restricted from accessing the confidential proposal, while parties such as Cal Advocates had full </w:t>
      </w:r>
      <w:r w:rsidRPr="00EE701D" w:rsidR="00340013">
        <w:rPr>
          <w:rFonts w:ascii="Palatino Linotype" w:hAnsi="Palatino Linotype"/>
          <w:color w:val="212121"/>
          <w:sz w:val="24"/>
          <w:szCs w:val="24"/>
        </w:rPr>
        <w:t xml:space="preserve">access and </w:t>
      </w:r>
      <w:r w:rsidRPr="00EE701D" w:rsidR="005A581A">
        <w:rPr>
          <w:rFonts w:ascii="Palatino Linotype" w:hAnsi="Palatino Linotype"/>
          <w:color w:val="212121"/>
          <w:sz w:val="24"/>
          <w:szCs w:val="24"/>
        </w:rPr>
        <w:t xml:space="preserve">opportunity to provide feedback. Further, the Joint IOUs emphasize that the </w:t>
      </w:r>
      <w:r w:rsidRPr="00EE701D" w:rsidR="006414CE">
        <w:rPr>
          <w:rFonts w:ascii="Palatino Linotype" w:hAnsi="Palatino Linotype"/>
          <w:color w:val="212121"/>
          <w:sz w:val="24"/>
          <w:szCs w:val="24"/>
        </w:rPr>
        <w:t xml:space="preserve">Commission </w:t>
      </w:r>
      <w:r w:rsidRPr="00EE701D" w:rsidR="005A581A">
        <w:rPr>
          <w:rFonts w:ascii="Palatino Linotype" w:hAnsi="Palatino Linotype"/>
          <w:color w:val="212121"/>
          <w:sz w:val="24"/>
          <w:szCs w:val="24"/>
        </w:rPr>
        <w:t xml:space="preserve">has broad discretion to determine whether confidential information should be shared publicly and argues the </w:t>
      </w:r>
      <w:r w:rsidRPr="00EE701D" w:rsidR="006414CE">
        <w:rPr>
          <w:rFonts w:ascii="Palatino Linotype" w:hAnsi="Palatino Linotype"/>
          <w:color w:val="212121"/>
          <w:sz w:val="24"/>
          <w:szCs w:val="24"/>
        </w:rPr>
        <w:t xml:space="preserve">Commission </w:t>
      </w:r>
      <w:r w:rsidRPr="00EE701D" w:rsidR="005A581A">
        <w:rPr>
          <w:rFonts w:ascii="Palatino Linotype" w:hAnsi="Palatino Linotype"/>
          <w:color w:val="212121"/>
          <w:sz w:val="24"/>
          <w:szCs w:val="24"/>
        </w:rPr>
        <w:t xml:space="preserve">should err on the side of confidentiality to protect customers from rising rates. Lastly, the Joint </w:t>
      </w:r>
      <w:r w:rsidRPr="00EE701D" w:rsidR="006414CE">
        <w:rPr>
          <w:rFonts w:ascii="Palatino Linotype" w:hAnsi="Palatino Linotype"/>
          <w:color w:val="212121"/>
          <w:sz w:val="24"/>
          <w:szCs w:val="24"/>
        </w:rPr>
        <w:t xml:space="preserve">IOUs </w:t>
      </w:r>
      <w:r w:rsidRPr="00EE701D" w:rsidR="005A581A">
        <w:rPr>
          <w:rFonts w:ascii="Palatino Linotype" w:hAnsi="Palatino Linotype"/>
          <w:color w:val="212121"/>
          <w:sz w:val="24"/>
          <w:szCs w:val="24"/>
        </w:rPr>
        <w:t>note that Joint CCAs</w:t>
      </w:r>
      <w:r w:rsidRPr="00EE701D" w:rsidR="006414CE">
        <w:rPr>
          <w:rFonts w:ascii="Palatino Linotype" w:hAnsi="Palatino Linotype"/>
          <w:color w:val="212121"/>
          <w:sz w:val="24"/>
          <w:szCs w:val="24"/>
        </w:rPr>
        <w:t>’ protest</w:t>
      </w:r>
      <w:r w:rsidRPr="00EE701D" w:rsidR="005A581A">
        <w:rPr>
          <w:rFonts w:ascii="Palatino Linotype" w:hAnsi="Palatino Linotype"/>
          <w:color w:val="212121"/>
          <w:sz w:val="24"/>
          <w:szCs w:val="24"/>
        </w:rPr>
        <w:t xml:space="preserve"> reiterate</w:t>
      </w:r>
      <w:r w:rsidRPr="00EE701D" w:rsidR="006414CE">
        <w:rPr>
          <w:rFonts w:ascii="Palatino Linotype" w:hAnsi="Palatino Linotype"/>
          <w:color w:val="212121"/>
          <w:sz w:val="24"/>
          <w:szCs w:val="24"/>
        </w:rPr>
        <w:t>s</w:t>
      </w:r>
      <w:r w:rsidRPr="00EE701D" w:rsidDel="006414CE" w:rsidR="005A581A">
        <w:rPr>
          <w:rFonts w:ascii="Palatino Linotype" w:hAnsi="Palatino Linotype"/>
          <w:color w:val="212121"/>
          <w:sz w:val="24"/>
          <w:szCs w:val="24"/>
        </w:rPr>
        <w:t xml:space="preserve"> </w:t>
      </w:r>
      <w:r w:rsidRPr="00EE701D" w:rsidR="005A581A">
        <w:rPr>
          <w:rFonts w:ascii="Palatino Linotype" w:hAnsi="Palatino Linotype"/>
          <w:color w:val="212121"/>
          <w:sz w:val="24"/>
          <w:szCs w:val="24"/>
        </w:rPr>
        <w:t xml:space="preserve">prior arguments to adopt their proposed </w:t>
      </w:r>
      <w:r w:rsidRPr="00EE701D" w:rsidR="005A581A">
        <w:rPr>
          <w:rFonts w:ascii="Palatino Linotype" w:hAnsi="Palatino Linotype"/>
          <w:color w:val="212121"/>
          <w:sz w:val="24"/>
          <w:szCs w:val="24"/>
        </w:rPr>
        <w:lastRenderedPageBreak/>
        <w:t xml:space="preserve">methodology rather than following </w:t>
      </w:r>
      <w:r w:rsidRPr="00EE701D" w:rsidR="006414CE">
        <w:rPr>
          <w:rFonts w:ascii="Palatino Linotype" w:hAnsi="Palatino Linotype"/>
          <w:color w:val="212121"/>
          <w:sz w:val="24"/>
          <w:szCs w:val="24"/>
        </w:rPr>
        <w:t xml:space="preserve">the </w:t>
      </w:r>
      <w:r w:rsidRPr="00EE701D" w:rsidR="005A581A">
        <w:rPr>
          <w:rFonts w:ascii="Palatino Linotype" w:hAnsi="Palatino Linotype"/>
          <w:color w:val="212121"/>
          <w:sz w:val="24"/>
          <w:szCs w:val="24"/>
        </w:rPr>
        <w:t>Division’s instruction</w:t>
      </w:r>
      <w:r w:rsidRPr="00EE701D" w:rsidR="006414CE">
        <w:rPr>
          <w:rFonts w:ascii="Palatino Linotype" w:hAnsi="Palatino Linotype"/>
          <w:color w:val="212121"/>
          <w:sz w:val="24"/>
          <w:szCs w:val="24"/>
        </w:rPr>
        <w:t>s</w:t>
      </w:r>
      <w:r w:rsidRPr="00EE701D" w:rsidR="005A581A">
        <w:rPr>
          <w:rFonts w:ascii="Palatino Linotype" w:hAnsi="Palatino Linotype"/>
          <w:color w:val="212121"/>
          <w:sz w:val="24"/>
          <w:szCs w:val="24"/>
        </w:rPr>
        <w:t xml:space="preserve"> to limit</w:t>
      </w:r>
      <w:r w:rsidRPr="00EE701D" w:rsidDel="006414CE" w:rsidR="005A581A">
        <w:rPr>
          <w:rFonts w:ascii="Palatino Linotype" w:hAnsi="Palatino Linotype"/>
          <w:color w:val="212121"/>
          <w:sz w:val="24"/>
          <w:szCs w:val="24"/>
        </w:rPr>
        <w:t xml:space="preserve"> </w:t>
      </w:r>
      <w:r w:rsidRPr="00EE701D" w:rsidR="005A581A">
        <w:rPr>
          <w:rFonts w:ascii="Palatino Linotype" w:hAnsi="Palatino Linotype"/>
          <w:color w:val="212121"/>
          <w:sz w:val="24"/>
          <w:szCs w:val="24"/>
        </w:rPr>
        <w:t>protest</w:t>
      </w:r>
      <w:r w:rsidRPr="00EE701D" w:rsidR="006414CE">
        <w:rPr>
          <w:rFonts w:ascii="Palatino Linotype" w:hAnsi="Palatino Linotype"/>
          <w:color w:val="212121"/>
          <w:sz w:val="24"/>
          <w:szCs w:val="24"/>
        </w:rPr>
        <w:t>s</w:t>
      </w:r>
      <w:r w:rsidRPr="00EE701D" w:rsidR="005A581A">
        <w:rPr>
          <w:rFonts w:ascii="Palatino Linotype" w:hAnsi="Palatino Linotype"/>
          <w:color w:val="212121"/>
          <w:sz w:val="24"/>
          <w:szCs w:val="24"/>
        </w:rPr>
        <w:t xml:space="preserve"> to only the new material in the </w:t>
      </w:r>
      <w:r w:rsidRPr="00EE701D" w:rsidR="006414CE">
        <w:rPr>
          <w:rFonts w:ascii="Palatino Linotype" w:hAnsi="Palatino Linotype"/>
          <w:color w:val="212121"/>
          <w:sz w:val="24"/>
          <w:szCs w:val="24"/>
        </w:rPr>
        <w:t xml:space="preserve">supplemental </w:t>
      </w:r>
      <w:r w:rsidRPr="00EE701D" w:rsidR="005A581A">
        <w:rPr>
          <w:rFonts w:ascii="Palatino Linotype" w:hAnsi="Palatino Linotype"/>
          <w:color w:val="212121"/>
          <w:sz w:val="24"/>
          <w:szCs w:val="24"/>
        </w:rPr>
        <w:t>AL.</w:t>
      </w:r>
    </w:p>
    <w:p w:rsidRPr="00EE701D" w:rsidR="00CF17DE" w:rsidP="4BA7214B" w:rsidRDefault="00CF17DE" w14:paraId="30C5808A" w14:textId="77777777">
      <w:pPr>
        <w:rPr>
          <w:rFonts w:ascii="Palatino Linotype" w:hAnsi="Palatino Linotype" w:eastAsia="Palatino Linotype"/>
          <w:sz w:val="24"/>
          <w:szCs w:val="24"/>
        </w:rPr>
      </w:pPr>
    </w:p>
    <w:p w:rsidRPr="00EE701D" w:rsidR="00A84982" w:rsidP="00A84982" w:rsidRDefault="00CF17DE" w14:paraId="67EDDDCA" w14:textId="3C166F23">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t>Discussion</w:t>
      </w:r>
    </w:p>
    <w:p w:rsidRPr="00EE701D" w:rsidR="009B4585" w:rsidP="008441E2" w:rsidRDefault="008441E2" w14:paraId="40368654" w14:textId="632193BD">
      <w:pPr>
        <w:rPr>
          <w:rFonts w:ascii="Palatino Linotype" w:hAnsi="Palatino Linotype" w:eastAsia="Palatino Linotype"/>
          <w:b/>
          <w:bCs/>
          <w:sz w:val="24"/>
          <w:szCs w:val="24"/>
          <w:u w:val="single"/>
        </w:rPr>
      </w:pPr>
      <w:r w:rsidRPr="00EE701D">
        <w:rPr>
          <w:rFonts w:ascii="Palatino Linotype" w:hAnsi="Palatino Linotype" w:eastAsia="Palatino Linotype"/>
          <w:b/>
          <w:bCs/>
          <w:sz w:val="24"/>
          <w:szCs w:val="24"/>
          <w:u w:val="single"/>
        </w:rPr>
        <w:t xml:space="preserve">Cal Advocate’s Request to Reject </w:t>
      </w:r>
      <w:r w:rsidRPr="00EE701D" w:rsidR="00831DE3">
        <w:rPr>
          <w:rFonts w:ascii="Palatino Linotype" w:hAnsi="Palatino Linotype" w:eastAsia="Palatino Linotype"/>
          <w:b/>
          <w:bCs/>
          <w:sz w:val="24"/>
          <w:szCs w:val="24"/>
          <w:u w:val="single"/>
        </w:rPr>
        <w:t xml:space="preserve">or Modify </w:t>
      </w:r>
      <w:r w:rsidRPr="00EE701D">
        <w:rPr>
          <w:rFonts w:ascii="Palatino Linotype" w:hAnsi="Palatino Linotype" w:eastAsia="Palatino Linotype"/>
          <w:b/>
          <w:bCs/>
          <w:sz w:val="24"/>
          <w:szCs w:val="24"/>
          <w:u w:val="single"/>
        </w:rPr>
        <w:t>the Joint IOUs’ AL</w:t>
      </w:r>
    </w:p>
    <w:p w:rsidRPr="00EE701D" w:rsidR="008441E2" w:rsidP="008441E2" w:rsidRDefault="005F398C" w14:paraId="20C12028" w14:textId="7177CA1B">
      <w:pPr>
        <w:rPr>
          <w:rFonts w:ascii="Palatino Linotype" w:hAnsi="Palatino Linotype" w:eastAsia="Palatino Linotype"/>
          <w:sz w:val="24"/>
          <w:szCs w:val="24"/>
        </w:rPr>
      </w:pPr>
      <w:r w:rsidRPr="00EE701D">
        <w:rPr>
          <w:rFonts w:ascii="Palatino Linotype" w:hAnsi="Palatino Linotype" w:eastAsia="Palatino Linotype"/>
          <w:sz w:val="24"/>
          <w:szCs w:val="24"/>
        </w:rPr>
        <w:t>We</w:t>
      </w:r>
      <w:r w:rsidRPr="00EE701D" w:rsidDel="00315D7A">
        <w:rPr>
          <w:rFonts w:ascii="Palatino Linotype" w:hAnsi="Palatino Linotype" w:eastAsia="Palatino Linotype"/>
          <w:sz w:val="24"/>
          <w:szCs w:val="24"/>
        </w:rPr>
        <w:t xml:space="preserve"> </w:t>
      </w:r>
      <w:r w:rsidRPr="00EE701D" w:rsidR="00315D7A">
        <w:rPr>
          <w:rFonts w:ascii="Palatino Linotype" w:hAnsi="Palatino Linotype" w:eastAsia="Palatino Linotype"/>
          <w:sz w:val="24"/>
          <w:szCs w:val="24"/>
        </w:rPr>
        <w:t xml:space="preserve">deny </w:t>
      </w:r>
      <w:r w:rsidRPr="00EE701D">
        <w:rPr>
          <w:rFonts w:ascii="Palatino Linotype" w:hAnsi="Palatino Linotype" w:eastAsia="Palatino Linotype"/>
          <w:sz w:val="24"/>
          <w:szCs w:val="24"/>
        </w:rPr>
        <w:t xml:space="preserve">Cal Advocates’ request </w:t>
      </w:r>
      <w:r w:rsidRPr="00EE701D" w:rsidR="00506816">
        <w:rPr>
          <w:rFonts w:ascii="Palatino Linotype" w:hAnsi="Palatino Linotype" w:eastAsia="Palatino Linotype"/>
          <w:sz w:val="24"/>
          <w:szCs w:val="24"/>
        </w:rPr>
        <w:t xml:space="preserve">in its protest of AL 5262-E/7262-E </w:t>
      </w:r>
      <w:r w:rsidRPr="00EE701D">
        <w:rPr>
          <w:rFonts w:ascii="Palatino Linotype" w:hAnsi="Palatino Linotype" w:eastAsia="Palatino Linotype"/>
          <w:sz w:val="24"/>
          <w:szCs w:val="24"/>
        </w:rPr>
        <w:t xml:space="preserve">to reject the Joint IOUs’ AL. </w:t>
      </w:r>
      <w:r w:rsidRPr="00EE701D" w:rsidR="007C41A5">
        <w:rPr>
          <w:rFonts w:ascii="Palatino Linotype" w:hAnsi="Palatino Linotype" w:eastAsia="Palatino Linotype"/>
          <w:sz w:val="24"/>
          <w:szCs w:val="24"/>
        </w:rPr>
        <w:t xml:space="preserve">We find that the Joint IOUs </w:t>
      </w:r>
      <w:r w:rsidRPr="00EE701D" w:rsidR="00B174A2">
        <w:rPr>
          <w:rFonts w:ascii="Palatino Linotype" w:hAnsi="Palatino Linotype" w:eastAsia="Palatino Linotype"/>
          <w:sz w:val="24"/>
          <w:szCs w:val="24"/>
        </w:rPr>
        <w:t xml:space="preserve">fulfilled D.24-05-065 OP 4 by </w:t>
      </w:r>
      <w:r w:rsidRPr="00EE701D" w:rsidR="00704473">
        <w:rPr>
          <w:rFonts w:ascii="Palatino Linotype" w:hAnsi="Palatino Linotype" w:eastAsia="Palatino Linotype"/>
          <w:sz w:val="24"/>
          <w:szCs w:val="24"/>
        </w:rPr>
        <w:t>through meetings and email co</w:t>
      </w:r>
      <w:r w:rsidRPr="00EE701D" w:rsidR="00BC0D76">
        <w:rPr>
          <w:rFonts w:ascii="Palatino Linotype" w:hAnsi="Palatino Linotype" w:eastAsia="Palatino Linotype"/>
          <w:sz w:val="24"/>
          <w:szCs w:val="24"/>
        </w:rPr>
        <w:t>rrespondence</w:t>
      </w:r>
      <w:r w:rsidRPr="00EE701D" w:rsidR="00704473">
        <w:rPr>
          <w:rFonts w:ascii="Palatino Linotype" w:hAnsi="Palatino Linotype" w:eastAsia="Palatino Linotype"/>
          <w:sz w:val="24"/>
          <w:szCs w:val="24"/>
        </w:rPr>
        <w:t xml:space="preserve"> and </w:t>
      </w:r>
      <w:r w:rsidRPr="00EE701D" w:rsidR="00A2057B">
        <w:rPr>
          <w:rFonts w:ascii="Palatino Linotype" w:hAnsi="Palatino Linotype" w:eastAsia="Palatino Linotype"/>
          <w:sz w:val="24"/>
          <w:szCs w:val="24"/>
        </w:rPr>
        <w:t xml:space="preserve">the </w:t>
      </w:r>
      <w:r w:rsidRPr="00EE701D" w:rsidR="00BC0D76">
        <w:rPr>
          <w:rFonts w:ascii="Palatino Linotype" w:hAnsi="Palatino Linotype" w:eastAsia="Palatino Linotype"/>
          <w:sz w:val="24"/>
          <w:szCs w:val="24"/>
        </w:rPr>
        <w:t xml:space="preserve">timely filing </w:t>
      </w:r>
      <w:r w:rsidRPr="00EE701D" w:rsidR="00A2057B">
        <w:rPr>
          <w:rFonts w:ascii="Palatino Linotype" w:hAnsi="Palatino Linotype" w:eastAsia="Palatino Linotype"/>
          <w:sz w:val="24"/>
          <w:szCs w:val="24"/>
        </w:rPr>
        <w:t xml:space="preserve">of </w:t>
      </w:r>
      <w:r w:rsidRPr="00EE701D" w:rsidR="00BC0D76">
        <w:rPr>
          <w:rFonts w:ascii="Palatino Linotype" w:hAnsi="Palatino Linotype" w:eastAsia="Palatino Linotype"/>
          <w:sz w:val="24"/>
          <w:szCs w:val="24"/>
        </w:rPr>
        <w:t xml:space="preserve">a Tier 2 AL proposing a method for updating the DAC-GT cost containment cap. </w:t>
      </w:r>
      <w:r w:rsidRPr="00EE701D" w:rsidR="00CE5C73">
        <w:rPr>
          <w:rFonts w:ascii="Palatino Linotype" w:hAnsi="Palatino Linotype" w:eastAsia="Palatino Linotype"/>
          <w:sz w:val="24"/>
          <w:szCs w:val="24"/>
        </w:rPr>
        <w:t xml:space="preserve">While the Joint IOUs and Joint CCAs did not fully agree on </w:t>
      </w:r>
      <w:r w:rsidRPr="00EE701D" w:rsidR="00506816">
        <w:rPr>
          <w:rFonts w:ascii="Palatino Linotype" w:hAnsi="Palatino Linotype" w:eastAsia="Palatino Linotype"/>
          <w:sz w:val="24"/>
          <w:szCs w:val="24"/>
        </w:rPr>
        <w:t xml:space="preserve">all areas of </w:t>
      </w:r>
      <w:r w:rsidRPr="00EE701D" w:rsidR="00CE5C73">
        <w:rPr>
          <w:rFonts w:ascii="Palatino Linotype" w:hAnsi="Palatino Linotype" w:eastAsia="Palatino Linotype"/>
          <w:sz w:val="24"/>
          <w:szCs w:val="24"/>
        </w:rPr>
        <w:t xml:space="preserve">the </w:t>
      </w:r>
      <w:r w:rsidRPr="00EE701D" w:rsidR="00506816">
        <w:rPr>
          <w:rFonts w:ascii="Palatino Linotype" w:hAnsi="Palatino Linotype" w:eastAsia="Palatino Linotype"/>
          <w:sz w:val="24"/>
          <w:szCs w:val="24"/>
        </w:rPr>
        <w:t xml:space="preserve">proposed </w:t>
      </w:r>
      <w:r w:rsidRPr="00EE701D" w:rsidR="00CE5C73">
        <w:rPr>
          <w:rFonts w:ascii="Palatino Linotype" w:hAnsi="Palatino Linotype" w:eastAsia="Palatino Linotype"/>
          <w:sz w:val="24"/>
          <w:szCs w:val="24"/>
        </w:rPr>
        <w:t xml:space="preserve">cost containment cap methodology, the Joint IOUs detailed </w:t>
      </w:r>
      <w:r w:rsidRPr="00EE701D" w:rsidR="00506816">
        <w:rPr>
          <w:rFonts w:ascii="Palatino Linotype" w:hAnsi="Palatino Linotype" w:eastAsia="Palatino Linotype"/>
          <w:sz w:val="24"/>
          <w:szCs w:val="24"/>
        </w:rPr>
        <w:t>the areas of agreement and disagreement in their AL.</w:t>
      </w:r>
      <w:r w:rsidRPr="00EE701D" w:rsidR="00CE5C73">
        <w:rPr>
          <w:rFonts w:ascii="Palatino Linotype" w:hAnsi="Palatino Linotype" w:eastAsia="Palatino Linotype"/>
          <w:sz w:val="24"/>
          <w:szCs w:val="24"/>
        </w:rPr>
        <w:t xml:space="preserve"> </w:t>
      </w:r>
    </w:p>
    <w:p w:rsidRPr="00EE701D" w:rsidR="00BC0D76" w:rsidP="008441E2" w:rsidRDefault="00BC0D76" w14:paraId="1DE6A702" w14:textId="77777777">
      <w:pPr>
        <w:rPr>
          <w:rFonts w:ascii="Palatino Linotype" w:hAnsi="Palatino Linotype" w:eastAsia="Palatino Linotype"/>
          <w:sz w:val="24"/>
          <w:szCs w:val="24"/>
        </w:rPr>
      </w:pPr>
    </w:p>
    <w:p w:rsidRPr="00EE701D" w:rsidR="008441E2" w:rsidP="004E302D" w:rsidRDefault="001267BB" w14:paraId="4D46D94E" w14:textId="77777777">
      <w:pPr>
        <w:autoSpaceDE w:val="0"/>
        <w:autoSpaceDN w:val="0"/>
        <w:adjustRightInd w:val="0"/>
        <w:rPr>
          <w:rFonts w:ascii="Palatino Linotype" w:hAnsi="Palatino Linotype" w:eastAsia="Palatino Linotype"/>
          <w:b/>
          <w:sz w:val="24"/>
          <w:szCs w:val="24"/>
          <w:u w:val="single"/>
        </w:rPr>
      </w:pPr>
      <w:r w:rsidRPr="00EE701D">
        <w:rPr>
          <w:rFonts w:ascii="Palatino Linotype" w:hAnsi="Palatino Linotype" w:eastAsia="Palatino Linotype"/>
          <w:b/>
          <w:sz w:val="24"/>
          <w:szCs w:val="24"/>
          <w:u w:val="single"/>
        </w:rPr>
        <w:t>Methodology for Setting the CBVRP</w:t>
      </w:r>
    </w:p>
    <w:p w:rsidRPr="00EE701D" w:rsidR="00B22685" w:rsidP="00C54736" w:rsidRDefault="004E302D" w14:paraId="7EABC5CD" w14:textId="5895155C">
      <w:pPr>
        <w:autoSpaceDE w:val="0"/>
        <w:autoSpaceDN w:val="0"/>
        <w:adjustRightInd w:val="0"/>
        <w:rPr>
          <w:rFonts w:ascii="Palatino Linotype" w:hAnsi="Palatino Linotype" w:eastAsia="Palatino Linotype" w:cs="p ¸."/>
          <w:sz w:val="24"/>
          <w:szCs w:val="24"/>
        </w:rPr>
      </w:pPr>
      <w:r w:rsidRPr="00EE701D">
        <w:rPr>
          <w:rFonts w:ascii="Palatino Linotype" w:hAnsi="Palatino Linotype" w:eastAsia="Palatino Linotype"/>
          <w:sz w:val="24"/>
          <w:szCs w:val="24"/>
        </w:rPr>
        <w:t xml:space="preserve">We </w:t>
      </w:r>
      <w:r w:rsidRPr="00EE701D" w:rsidR="00315D7A">
        <w:rPr>
          <w:rFonts w:ascii="Palatino Linotype" w:hAnsi="Palatino Linotype" w:eastAsia="Palatino Linotype"/>
          <w:sz w:val="24"/>
          <w:szCs w:val="24"/>
        </w:rPr>
        <w:t>approve</w:t>
      </w:r>
      <w:r w:rsidRPr="00EE701D">
        <w:rPr>
          <w:rFonts w:ascii="Palatino Linotype" w:hAnsi="Palatino Linotype" w:eastAsia="Palatino Linotype"/>
          <w:sz w:val="24"/>
          <w:szCs w:val="24"/>
        </w:rPr>
        <w:t xml:space="preserve"> the Joint IOUs</w:t>
      </w:r>
      <w:r w:rsidRPr="00EE701D" w:rsidR="005A349F">
        <w:rPr>
          <w:rFonts w:ascii="Palatino Linotype" w:hAnsi="Palatino Linotype" w:eastAsia="Palatino Linotype"/>
          <w:sz w:val="24"/>
          <w:szCs w:val="24"/>
        </w:rPr>
        <w:t>’ proposal</w:t>
      </w:r>
      <w:r w:rsidRPr="00EE701D">
        <w:rPr>
          <w:rFonts w:ascii="Palatino Linotype" w:hAnsi="Palatino Linotype" w:eastAsia="Palatino Linotype"/>
          <w:sz w:val="24"/>
          <w:szCs w:val="24"/>
        </w:rPr>
        <w:t xml:space="preserve"> that </w:t>
      </w:r>
      <w:r w:rsidRPr="00EE701D">
        <w:rPr>
          <w:rFonts w:ascii="Palatino Linotype" w:hAnsi="Palatino Linotype"/>
          <w:color w:val="212121"/>
          <w:sz w:val="24"/>
          <w:szCs w:val="24"/>
        </w:rPr>
        <w:t xml:space="preserve">each DAC-GT Program Administrator should </w:t>
      </w:r>
      <w:r w:rsidRPr="00EE701D" w:rsidR="00FF5EC9">
        <w:rPr>
          <w:rFonts w:ascii="Palatino Linotype" w:hAnsi="Palatino Linotype"/>
          <w:color w:val="212121"/>
          <w:sz w:val="24"/>
          <w:szCs w:val="24"/>
        </w:rPr>
        <w:t>survey its</w:t>
      </w:r>
      <w:r w:rsidRPr="00EE701D" w:rsidR="00491E83">
        <w:rPr>
          <w:rFonts w:ascii="Palatino Linotype" w:hAnsi="Palatino Linotype"/>
          <w:color w:val="212121"/>
          <w:sz w:val="24"/>
          <w:szCs w:val="24"/>
        </w:rPr>
        <w:t xml:space="preserve"> </w:t>
      </w:r>
      <w:r w:rsidRPr="00EE701D" w:rsidR="000D00D8">
        <w:rPr>
          <w:rFonts w:ascii="Palatino Linotype" w:hAnsi="Palatino Linotype"/>
          <w:color w:val="212121"/>
          <w:sz w:val="24"/>
          <w:szCs w:val="24"/>
        </w:rPr>
        <w:t>executed</w:t>
      </w:r>
      <w:r w:rsidRPr="00EE701D" w:rsidR="00FF5EC9">
        <w:rPr>
          <w:rFonts w:ascii="Palatino Linotype" w:hAnsi="Palatino Linotype"/>
          <w:color w:val="212121"/>
          <w:sz w:val="24"/>
          <w:szCs w:val="24"/>
        </w:rPr>
        <w:t xml:space="preserve"> contracts and </w:t>
      </w:r>
      <w:r w:rsidRPr="00EE701D" w:rsidR="00094C51">
        <w:rPr>
          <w:rFonts w:ascii="Palatino Linotype" w:hAnsi="Palatino Linotype" w:cs="p ¸."/>
          <w:sz w:val="24"/>
          <w:szCs w:val="24"/>
        </w:rPr>
        <w:t>set its own CBVRP by pooling prices from a comparable set of competitively solicited power purchase agreements (PPAs) the entity executed for (1) similar resources, e.g., solar, solar with paired energy storage (hybrid or co-located), wind, and (2) similar contract types, e.g., resource adequacy capacity contract, RPS contracts for fully deliverable capacity, or RPS contracts with energy-only capacity, (3) in the last five years. Each IOU and CCA will perform this survey of its executed contracts</w:t>
      </w:r>
      <w:r w:rsidRPr="00EE701D" w:rsidR="007E5D2C">
        <w:rPr>
          <w:rFonts w:ascii="Palatino Linotype" w:hAnsi="Palatino Linotype" w:cs="p ¸."/>
          <w:sz w:val="24"/>
          <w:szCs w:val="24"/>
        </w:rPr>
        <w:t xml:space="preserve"> and submit for </w:t>
      </w:r>
      <w:r w:rsidRPr="00EE701D" w:rsidR="004B69A6">
        <w:rPr>
          <w:rFonts w:ascii="Palatino Linotype" w:hAnsi="Palatino Linotype" w:cs="p ¸."/>
          <w:sz w:val="24"/>
          <w:szCs w:val="24"/>
        </w:rPr>
        <w:t xml:space="preserve">a reasonableness </w:t>
      </w:r>
      <w:r w:rsidRPr="00EE701D" w:rsidR="007E5D2C">
        <w:rPr>
          <w:rFonts w:ascii="Palatino Linotype" w:hAnsi="Palatino Linotype" w:cs="p ¸."/>
          <w:sz w:val="24"/>
          <w:szCs w:val="24"/>
        </w:rPr>
        <w:t>review by an independent evaluator.</w:t>
      </w:r>
      <w:r w:rsidRPr="00EE701D" w:rsidR="007A325D">
        <w:rPr>
          <w:rFonts w:ascii="Palatino Linotype" w:hAnsi="Palatino Linotype" w:cs="p ¸."/>
          <w:sz w:val="24"/>
          <w:szCs w:val="24"/>
        </w:rPr>
        <w:t xml:space="preserve"> </w:t>
      </w:r>
      <w:r w:rsidRPr="00EE701D" w:rsidR="001C528E">
        <w:rPr>
          <w:rFonts w:ascii="Palatino Linotype" w:hAnsi="Palatino Linotype" w:cs="p ¸."/>
          <w:sz w:val="24"/>
          <w:szCs w:val="24"/>
        </w:rPr>
        <w:t xml:space="preserve">If </w:t>
      </w:r>
      <w:r w:rsidRPr="00EE701D" w:rsidR="00642EB5">
        <w:rPr>
          <w:rFonts w:ascii="Palatino Linotype" w:hAnsi="Palatino Linotype" w:cs="p ¸."/>
          <w:sz w:val="24"/>
          <w:szCs w:val="24"/>
        </w:rPr>
        <w:t xml:space="preserve">a </w:t>
      </w:r>
      <w:r w:rsidRPr="00EE701D" w:rsidR="00C22C19">
        <w:rPr>
          <w:rFonts w:ascii="Palatino Linotype" w:hAnsi="Palatino Linotype" w:cs="p ¸."/>
          <w:sz w:val="24"/>
          <w:szCs w:val="24"/>
        </w:rPr>
        <w:t>CCA</w:t>
      </w:r>
      <w:r w:rsidRPr="00EE701D" w:rsidR="00642EB5">
        <w:rPr>
          <w:rFonts w:ascii="Palatino Linotype" w:hAnsi="Palatino Linotype" w:cs="p ¸."/>
          <w:sz w:val="24"/>
          <w:szCs w:val="24"/>
        </w:rPr>
        <w:t xml:space="preserve"> lacks </w:t>
      </w:r>
      <w:r w:rsidRPr="00EE701D" w:rsidR="007C03BE">
        <w:rPr>
          <w:rFonts w:ascii="Palatino Linotype" w:hAnsi="Palatino Linotype" w:cs="p ¸."/>
          <w:sz w:val="24"/>
          <w:szCs w:val="24"/>
        </w:rPr>
        <w:t xml:space="preserve">historical executed contracts from which to draw </w:t>
      </w:r>
      <w:r w:rsidRPr="00EE701D" w:rsidR="00D11F30">
        <w:rPr>
          <w:rFonts w:ascii="Palatino Linotype" w:hAnsi="Palatino Linotype" w:cs="p ¸."/>
          <w:sz w:val="24"/>
          <w:szCs w:val="24"/>
        </w:rPr>
        <w:t>upon</w:t>
      </w:r>
      <w:r w:rsidRPr="00EE701D" w:rsidR="007C03BE">
        <w:rPr>
          <w:rFonts w:ascii="Palatino Linotype" w:hAnsi="Palatino Linotype" w:cs="p ¸."/>
          <w:sz w:val="24"/>
          <w:szCs w:val="24"/>
        </w:rPr>
        <w:t xml:space="preserve"> for </w:t>
      </w:r>
      <w:r w:rsidRPr="00EE701D" w:rsidR="00D11F30">
        <w:rPr>
          <w:rFonts w:ascii="Palatino Linotype" w:hAnsi="Palatino Linotype" w:cs="p ¸."/>
          <w:sz w:val="24"/>
          <w:szCs w:val="24"/>
        </w:rPr>
        <w:t>one or more</w:t>
      </w:r>
      <w:r w:rsidRPr="00EE701D" w:rsidR="007C03BE">
        <w:rPr>
          <w:rFonts w:ascii="Palatino Linotype" w:hAnsi="Palatino Linotype" w:cs="p ¸."/>
          <w:sz w:val="24"/>
          <w:szCs w:val="24"/>
        </w:rPr>
        <w:t xml:space="preserve"> of the categories above, </w:t>
      </w:r>
      <w:r w:rsidRPr="00EE701D" w:rsidR="00C22C19">
        <w:rPr>
          <w:rFonts w:ascii="Palatino Linotype" w:hAnsi="Palatino Linotype" w:cs="p ¸."/>
          <w:sz w:val="24"/>
          <w:szCs w:val="24"/>
        </w:rPr>
        <w:t xml:space="preserve">it may use the </w:t>
      </w:r>
      <w:r w:rsidRPr="00EE701D" w:rsidR="00044910">
        <w:rPr>
          <w:rFonts w:ascii="Palatino Linotype" w:hAnsi="Palatino Linotype" w:cs="p ¸."/>
          <w:sz w:val="24"/>
          <w:szCs w:val="24"/>
        </w:rPr>
        <w:t xml:space="preserve">CBVRP </w:t>
      </w:r>
      <w:r w:rsidRPr="00EE701D" w:rsidR="00D11F30">
        <w:rPr>
          <w:rFonts w:ascii="Palatino Linotype" w:hAnsi="Palatino Linotype" w:cs="p ¸."/>
          <w:sz w:val="24"/>
          <w:szCs w:val="24"/>
        </w:rPr>
        <w:t xml:space="preserve">set </w:t>
      </w:r>
      <w:r w:rsidRPr="00EE701D" w:rsidR="00044910">
        <w:rPr>
          <w:rFonts w:ascii="Palatino Linotype" w:hAnsi="Palatino Linotype" w:cs="p ¸."/>
          <w:sz w:val="24"/>
          <w:szCs w:val="24"/>
        </w:rPr>
        <w:t xml:space="preserve">by the IOU </w:t>
      </w:r>
      <w:r w:rsidRPr="00EE701D" w:rsidR="00D11F30">
        <w:rPr>
          <w:rFonts w:ascii="Palatino Linotype" w:hAnsi="Palatino Linotype" w:cs="p ¸."/>
          <w:sz w:val="24"/>
          <w:szCs w:val="24"/>
        </w:rPr>
        <w:t>for the service territory in which it is located.</w:t>
      </w:r>
    </w:p>
    <w:p w:rsidRPr="00EE701D" w:rsidR="000854DE" w:rsidP="00C54736" w:rsidRDefault="000854DE" w14:paraId="44DE0C39" w14:textId="77777777">
      <w:pPr>
        <w:autoSpaceDE w:val="0"/>
        <w:autoSpaceDN w:val="0"/>
        <w:adjustRightInd w:val="0"/>
        <w:rPr>
          <w:rFonts w:ascii="Palatino Linotype" w:hAnsi="Palatino Linotype" w:cs="p ¸."/>
          <w:sz w:val="24"/>
          <w:szCs w:val="24"/>
        </w:rPr>
      </w:pPr>
    </w:p>
    <w:p w:rsidRPr="00EE701D" w:rsidR="000B773B" w:rsidP="00782FA3" w:rsidRDefault="00C24B0F" w14:paraId="326F98B2" w14:textId="1497C786">
      <w:pPr>
        <w:autoSpaceDE w:val="0"/>
        <w:autoSpaceDN w:val="0"/>
        <w:adjustRightInd w:val="0"/>
        <w:rPr>
          <w:rFonts w:ascii="Palatino Linotype" w:hAnsi="Palatino Linotype"/>
          <w:color w:val="000000" w:themeColor="text1"/>
          <w:sz w:val="24"/>
          <w:szCs w:val="24"/>
          <w:highlight w:val="black"/>
        </w:rPr>
      </w:pPr>
      <w:r w:rsidRPr="00EE701D">
        <w:rPr>
          <w:rFonts w:ascii="Palatino Linotype" w:hAnsi="Palatino Linotype" w:cs="p ¸."/>
          <w:sz w:val="24"/>
          <w:szCs w:val="24"/>
        </w:rPr>
        <w:t xml:space="preserve">We find that </w:t>
      </w:r>
      <w:r w:rsidRPr="00EE701D" w:rsidR="000526E9">
        <w:rPr>
          <w:rFonts w:ascii="Palatino Linotype" w:hAnsi="Palatino Linotype" w:cs="p ¸."/>
          <w:sz w:val="24"/>
          <w:szCs w:val="24"/>
        </w:rPr>
        <w:t xml:space="preserve">the Joint CCA proposal is not </w:t>
      </w:r>
      <w:r w:rsidRPr="00EE701D" w:rsidR="008D7B60">
        <w:rPr>
          <w:rFonts w:ascii="Palatino Linotype" w:hAnsi="Palatino Linotype" w:cs="p ¸."/>
          <w:sz w:val="24"/>
          <w:szCs w:val="24"/>
        </w:rPr>
        <w:t>reflective</w:t>
      </w:r>
      <w:r w:rsidRPr="00EE701D" w:rsidR="000526E9">
        <w:rPr>
          <w:rFonts w:ascii="Palatino Linotype" w:hAnsi="Palatino Linotype" w:cs="p ¸."/>
          <w:sz w:val="24"/>
          <w:szCs w:val="24"/>
        </w:rPr>
        <w:t xml:space="preserve"> of market conditions and could </w:t>
      </w:r>
      <w:r w:rsidRPr="00EE701D" w:rsidR="00590B95">
        <w:rPr>
          <w:rFonts w:ascii="Palatino Linotype" w:hAnsi="Palatino Linotype" w:cs="p ¸."/>
          <w:sz w:val="24"/>
          <w:szCs w:val="24"/>
        </w:rPr>
        <w:t xml:space="preserve">harm </w:t>
      </w:r>
      <w:r w:rsidRPr="00EE701D" w:rsidR="008D7B60">
        <w:rPr>
          <w:rFonts w:ascii="Palatino Linotype" w:hAnsi="Palatino Linotype" w:cs="p ¸."/>
          <w:sz w:val="24"/>
          <w:szCs w:val="24"/>
        </w:rPr>
        <w:t>non-</w:t>
      </w:r>
      <w:r w:rsidRPr="00EE701D" w:rsidR="00DE7F02">
        <w:rPr>
          <w:rFonts w:ascii="Palatino Linotype" w:hAnsi="Palatino Linotype" w:cs="p ¸."/>
          <w:sz w:val="24"/>
          <w:szCs w:val="24"/>
        </w:rPr>
        <w:t>participant affordability</w:t>
      </w:r>
      <w:r w:rsidRPr="00EE701D" w:rsidR="008D7B60">
        <w:rPr>
          <w:rFonts w:ascii="Palatino Linotype" w:hAnsi="Palatino Linotype" w:cs="p ¸."/>
          <w:sz w:val="24"/>
          <w:szCs w:val="24"/>
        </w:rPr>
        <w:t xml:space="preserve"> by increasing the DAC-GT program subsidy</w:t>
      </w:r>
      <w:r w:rsidRPr="00EE701D" w:rsidR="000526E9">
        <w:rPr>
          <w:rFonts w:ascii="Palatino Linotype" w:hAnsi="Palatino Linotype" w:cs="p ¸."/>
          <w:sz w:val="24"/>
          <w:szCs w:val="24"/>
        </w:rPr>
        <w:t>.</w:t>
      </w:r>
      <w:r w:rsidRPr="00EE701D" w:rsidR="00FC7789">
        <w:rPr>
          <w:rFonts w:ascii="Palatino Linotype" w:hAnsi="Palatino Linotype" w:cs="p ¸."/>
          <w:sz w:val="24"/>
          <w:szCs w:val="24"/>
        </w:rPr>
        <w:t xml:space="preserve"> </w:t>
      </w:r>
      <w:r w:rsidRPr="00EE701D" w:rsidR="00EC0A59">
        <w:rPr>
          <w:rFonts w:ascii="Palatino Linotype" w:hAnsi="Palatino Linotype" w:cs="p ¸."/>
          <w:sz w:val="24"/>
          <w:szCs w:val="24"/>
        </w:rPr>
        <w:t>W</w:t>
      </w:r>
      <w:r w:rsidRPr="00EE701D" w:rsidR="00590B95">
        <w:rPr>
          <w:rFonts w:ascii="Palatino Linotype" w:hAnsi="Palatino Linotype" w:cs="p ¸."/>
          <w:sz w:val="24"/>
          <w:szCs w:val="24"/>
        </w:rPr>
        <w:t>e</w:t>
      </w:r>
      <w:r w:rsidRPr="00EE701D" w:rsidR="00EC0A59">
        <w:rPr>
          <w:rFonts w:ascii="Palatino Linotype" w:hAnsi="Palatino Linotype" w:cs="p ¸."/>
          <w:sz w:val="24"/>
          <w:szCs w:val="24"/>
        </w:rPr>
        <w:t xml:space="preserve"> agree with Cal Advocates and the Joint IOUs that </w:t>
      </w:r>
      <w:r w:rsidRPr="00EE701D" w:rsidR="00EC0A59">
        <w:rPr>
          <w:rFonts w:ascii="Palatino Linotype" w:hAnsi="Palatino Linotype"/>
          <w:color w:val="212121"/>
          <w:sz w:val="24"/>
          <w:szCs w:val="24"/>
        </w:rPr>
        <w:t xml:space="preserve">that SEIA, CCSA, and Dimension’s request for a 175% or higher Multiplier is not justified given </w:t>
      </w:r>
      <w:r w:rsidRPr="00EE701D" w:rsidR="000747A6">
        <w:rPr>
          <w:rFonts w:ascii="Palatino Linotype" w:hAnsi="Palatino Linotype"/>
          <w:color w:val="212121"/>
          <w:sz w:val="24"/>
          <w:szCs w:val="24"/>
        </w:rPr>
        <w:t xml:space="preserve">that </w:t>
      </w:r>
      <w:r w:rsidRPr="00EE701D" w:rsidR="003266FE">
        <w:rPr>
          <w:rFonts w:ascii="Palatino Linotype" w:hAnsi="Palatino Linotype" w:cs="øpq0"/>
          <w:sz w:val="24"/>
          <w:szCs w:val="24"/>
        </w:rPr>
        <w:t xml:space="preserve">D.24-05-065 relieved developers of prior DAC-GT </w:t>
      </w:r>
      <w:r w:rsidRPr="00EE701D" w:rsidR="00B00007">
        <w:rPr>
          <w:rFonts w:ascii="Palatino Linotype" w:hAnsi="Palatino Linotype" w:cs="øpq0"/>
          <w:sz w:val="24"/>
          <w:szCs w:val="24"/>
        </w:rPr>
        <w:t>Program’s</w:t>
      </w:r>
      <w:r w:rsidRPr="00EE701D" w:rsidR="009E62F5">
        <w:rPr>
          <w:rFonts w:ascii="Palatino Linotype" w:hAnsi="Palatino Linotype" w:cs="øpq0"/>
          <w:sz w:val="24"/>
          <w:szCs w:val="24"/>
        </w:rPr>
        <w:t xml:space="preserve"> </w:t>
      </w:r>
      <w:r w:rsidRPr="00EE701D" w:rsidR="003266FE">
        <w:rPr>
          <w:rFonts w:ascii="Palatino Linotype" w:hAnsi="Palatino Linotype" w:cs="øpq0"/>
          <w:sz w:val="24"/>
          <w:szCs w:val="24"/>
        </w:rPr>
        <w:t xml:space="preserve">complex </w:t>
      </w:r>
      <w:r w:rsidRPr="00EE701D" w:rsidR="00480EDC">
        <w:rPr>
          <w:rFonts w:ascii="Palatino Linotype" w:hAnsi="Palatino Linotype" w:cs="øpq0"/>
          <w:sz w:val="24"/>
          <w:szCs w:val="24"/>
        </w:rPr>
        <w:t>(</w:t>
      </w:r>
      <w:r w:rsidRPr="00EE701D" w:rsidR="003266FE">
        <w:rPr>
          <w:rFonts w:ascii="Palatino Linotype" w:hAnsi="Palatino Linotype" w:cs="øpq0"/>
          <w:sz w:val="24"/>
          <w:szCs w:val="24"/>
        </w:rPr>
        <w:t xml:space="preserve">and </w:t>
      </w:r>
      <w:r w:rsidRPr="00EE701D" w:rsidR="00480EDC">
        <w:rPr>
          <w:rFonts w:ascii="Palatino Linotype" w:hAnsi="Palatino Linotype" w:cs="øpq0"/>
          <w:sz w:val="24"/>
          <w:szCs w:val="24"/>
        </w:rPr>
        <w:t xml:space="preserve">thus, </w:t>
      </w:r>
      <w:r w:rsidRPr="00EE701D" w:rsidR="003266FE">
        <w:rPr>
          <w:rFonts w:ascii="Palatino Linotype" w:hAnsi="Palatino Linotype" w:cs="øpq0"/>
          <w:sz w:val="24"/>
          <w:szCs w:val="24"/>
        </w:rPr>
        <w:t>costl</w:t>
      </w:r>
      <w:r w:rsidRPr="00EE701D" w:rsidR="00480EDC">
        <w:rPr>
          <w:rFonts w:ascii="Palatino Linotype" w:hAnsi="Palatino Linotype" w:cs="øpq0"/>
          <w:sz w:val="24"/>
          <w:szCs w:val="24"/>
        </w:rPr>
        <w:t>ier)</w:t>
      </w:r>
      <w:r w:rsidRPr="00EE701D" w:rsidR="008D7B60">
        <w:rPr>
          <w:rFonts w:ascii="Palatino Linotype" w:hAnsi="Palatino Linotype" w:cs="øpq0"/>
          <w:sz w:val="24"/>
          <w:szCs w:val="24"/>
        </w:rPr>
        <w:t xml:space="preserve"> siting</w:t>
      </w:r>
      <w:r w:rsidRPr="00EE701D" w:rsidR="003266FE">
        <w:rPr>
          <w:rFonts w:ascii="Palatino Linotype" w:hAnsi="Palatino Linotype" w:cs="øpq0"/>
          <w:sz w:val="24"/>
          <w:szCs w:val="24"/>
        </w:rPr>
        <w:t xml:space="preserve"> requirements</w:t>
      </w:r>
      <w:r w:rsidRPr="00EE701D" w:rsidR="008D7B60">
        <w:rPr>
          <w:rFonts w:ascii="Palatino Linotype" w:hAnsi="Palatino Linotype" w:cs="øpq0"/>
          <w:sz w:val="24"/>
          <w:szCs w:val="24"/>
        </w:rPr>
        <w:t>. Our expectation is that</w:t>
      </w:r>
      <w:r w:rsidRPr="00EE701D" w:rsidR="003266FE">
        <w:rPr>
          <w:rFonts w:ascii="Palatino Linotype" w:hAnsi="Palatino Linotype" w:cs="øpq0"/>
          <w:sz w:val="24"/>
          <w:szCs w:val="24"/>
        </w:rPr>
        <w:t xml:space="preserve"> by relaxing geographic</w:t>
      </w:r>
      <w:r w:rsidRPr="00EE701D" w:rsidR="00457A52">
        <w:rPr>
          <w:rFonts w:ascii="Palatino Linotype" w:hAnsi="Palatino Linotype" w:cs="øpq0"/>
          <w:sz w:val="24"/>
          <w:szCs w:val="24"/>
        </w:rPr>
        <w:t xml:space="preserve"> b</w:t>
      </w:r>
      <w:r w:rsidRPr="00EE701D" w:rsidR="00B00007">
        <w:rPr>
          <w:rFonts w:ascii="Palatino Linotype" w:hAnsi="Palatino Linotype" w:cs="øpq0"/>
          <w:sz w:val="24"/>
          <w:szCs w:val="24"/>
        </w:rPr>
        <w:t>oundaries for project siting</w:t>
      </w:r>
      <w:r w:rsidRPr="00EE701D" w:rsidR="008D7B60">
        <w:rPr>
          <w:rFonts w:ascii="Palatino Linotype" w:hAnsi="Palatino Linotype" w:cs="øpq0"/>
          <w:sz w:val="24"/>
          <w:szCs w:val="24"/>
        </w:rPr>
        <w:t xml:space="preserve">, </w:t>
      </w:r>
      <w:r w:rsidRPr="00EE701D" w:rsidR="0021060E">
        <w:rPr>
          <w:rFonts w:ascii="Palatino Linotype" w:hAnsi="Palatino Linotype" w:cs="øpq0"/>
          <w:sz w:val="24"/>
          <w:szCs w:val="24"/>
        </w:rPr>
        <w:t>some DAC-GT projects costs should decline</w:t>
      </w:r>
      <w:r w:rsidRPr="00EE701D" w:rsidR="00782FA3">
        <w:rPr>
          <w:rFonts w:ascii="Palatino Linotype" w:hAnsi="Palatino Linotype" w:cs="øpq0"/>
          <w:sz w:val="24"/>
          <w:szCs w:val="24"/>
        </w:rPr>
        <w:t>.</w:t>
      </w:r>
      <w:r w:rsidRPr="00EE701D" w:rsidR="00F32F6C">
        <w:rPr>
          <w:rStyle w:val="FootnoteReference"/>
          <w:rFonts w:ascii="Palatino Linotype" w:hAnsi="Palatino Linotype"/>
          <w:color w:val="212121"/>
          <w:sz w:val="24"/>
          <w:szCs w:val="24"/>
        </w:rPr>
        <w:t xml:space="preserve"> </w:t>
      </w:r>
      <w:r w:rsidRPr="00EE701D" w:rsidR="00F32F6C">
        <w:rPr>
          <w:rStyle w:val="FootnoteReference"/>
          <w:rFonts w:ascii="Palatino Linotype" w:hAnsi="Palatino Linotype"/>
          <w:color w:val="212121"/>
          <w:sz w:val="24"/>
          <w:szCs w:val="24"/>
        </w:rPr>
        <w:footnoteReference w:id="14"/>
      </w:r>
      <w:r w:rsidRPr="00EE701D" w:rsidR="00782FA3">
        <w:rPr>
          <w:rFonts w:ascii="Palatino Linotype" w:hAnsi="Palatino Linotype" w:cs="øpq0"/>
          <w:sz w:val="24"/>
          <w:szCs w:val="24"/>
        </w:rPr>
        <w:t xml:space="preserve"> </w:t>
      </w:r>
      <w:r w:rsidRPr="00EE701D" w:rsidR="0021060E">
        <w:rPr>
          <w:rFonts w:ascii="Palatino Linotype" w:hAnsi="Palatino Linotype" w:cs="øpq0"/>
          <w:sz w:val="24"/>
          <w:szCs w:val="24"/>
        </w:rPr>
        <w:t>Therefore</w:t>
      </w:r>
      <w:r w:rsidRPr="00EE701D" w:rsidR="00782FA3">
        <w:rPr>
          <w:rFonts w:ascii="Palatino Linotype" w:hAnsi="Palatino Linotype" w:cs="øpq0"/>
          <w:sz w:val="24"/>
          <w:szCs w:val="24"/>
        </w:rPr>
        <w:t xml:space="preserve">, </w:t>
      </w:r>
      <w:r w:rsidRPr="00EE701D" w:rsidR="000747A6">
        <w:rPr>
          <w:rFonts w:ascii="Palatino Linotype" w:hAnsi="Palatino Linotype" w:cs="øpq0"/>
          <w:sz w:val="24"/>
          <w:szCs w:val="24"/>
        </w:rPr>
        <w:t>a</w:t>
      </w:r>
      <w:r w:rsidRPr="00EE701D" w:rsidR="00F02282">
        <w:rPr>
          <w:rFonts w:ascii="Palatino Linotype" w:hAnsi="Palatino Linotype" w:cs="øpq0"/>
          <w:sz w:val="24"/>
          <w:szCs w:val="24"/>
        </w:rPr>
        <w:t>dopting a</w:t>
      </w:r>
      <w:r w:rsidRPr="00EE701D" w:rsidR="000747A6">
        <w:rPr>
          <w:rFonts w:ascii="Palatino Linotype" w:hAnsi="Palatino Linotype" w:cs="øpq0"/>
          <w:sz w:val="24"/>
          <w:szCs w:val="24"/>
        </w:rPr>
        <w:t xml:space="preserve"> 120 percent </w:t>
      </w:r>
      <w:r w:rsidRPr="00EE701D" w:rsidR="000747A6">
        <w:rPr>
          <w:rFonts w:ascii="Palatino Linotype" w:hAnsi="Palatino Linotype" w:cs="øpq0"/>
          <w:sz w:val="24"/>
          <w:szCs w:val="24"/>
        </w:rPr>
        <w:lastRenderedPageBreak/>
        <w:t>Multiplier</w:t>
      </w:r>
      <w:r w:rsidRPr="00EE701D" w:rsidR="00782FA3">
        <w:rPr>
          <w:rFonts w:ascii="Palatino Linotype" w:hAnsi="Palatino Linotype" w:cs="øpq0"/>
          <w:sz w:val="24"/>
          <w:szCs w:val="24"/>
        </w:rPr>
        <w:t xml:space="preserve"> is reasonable and </w:t>
      </w:r>
      <w:r w:rsidRPr="00EE701D" w:rsidR="00F02282">
        <w:rPr>
          <w:rFonts w:ascii="Palatino Linotype" w:hAnsi="Palatino Linotype" w:cs="øpq0"/>
          <w:sz w:val="24"/>
          <w:szCs w:val="24"/>
        </w:rPr>
        <w:t>balances</w:t>
      </w:r>
      <w:r w:rsidRPr="00EE701D" w:rsidR="00457A52">
        <w:rPr>
          <w:rFonts w:ascii="Palatino Linotype" w:hAnsi="Palatino Linotype" w:cs="øpq0"/>
          <w:sz w:val="24"/>
          <w:szCs w:val="24"/>
        </w:rPr>
        <w:t xml:space="preserve"> </w:t>
      </w:r>
      <w:r w:rsidRPr="00EE701D" w:rsidR="00782FA3">
        <w:rPr>
          <w:rFonts w:ascii="Palatino Linotype" w:hAnsi="Palatino Linotype" w:cs="øpq0"/>
          <w:sz w:val="24"/>
          <w:szCs w:val="24"/>
        </w:rPr>
        <w:t>protect</w:t>
      </w:r>
      <w:r w:rsidRPr="00EE701D" w:rsidR="00F02282">
        <w:rPr>
          <w:rFonts w:ascii="Palatino Linotype" w:hAnsi="Palatino Linotype" w:cs="øpq0"/>
          <w:sz w:val="24"/>
          <w:szCs w:val="24"/>
        </w:rPr>
        <w:t>ing</w:t>
      </w:r>
      <w:r w:rsidRPr="00EE701D" w:rsidR="00782FA3">
        <w:rPr>
          <w:rFonts w:ascii="Palatino Linotype" w:hAnsi="Palatino Linotype" w:cs="øpq0"/>
          <w:sz w:val="24"/>
          <w:szCs w:val="24"/>
        </w:rPr>
        <w:t xml:space="preserve"> nonparticipating</w:t>
      </w:r>
      <w:r w:rsidRPr="00EE701D" w:rsidR="000747A6">
        <w:rPr>
          <w:rFonts w:ascii="Palatino Linotype" w:hAnsi="Palatino Linotype" w:cs="øpq0"/>
          <w:sz w:val="24"/>
          <w:szCs w:val="24"/>
        </w:rPr>
        <w:t xml:space="preserve"> </w:t>
      </w:r>
      <w:r w:rsidRPr="00EE701D" w:rsidR="00782FA3">
        <w:rPr>
          <w:rFonts w:ascii="Palatino Linotype" w:hAnsi="Palatino Linotype" w:cs="øpq0"/>
          <w:sz w:val="24"/>
          <w:szCs w:val="24"/>
        </w:rPr>
        <w:t>customers from above market costs</w:t>
      </w:r>
      <w:r w:rsidRPr="00EE701D" w:rsidR="00F02282">
        <w:rPr>
          <w:rFonts w:ascii="Palatino Linotype" w:hAnsi="Palatino Linotype" w:cs="øpq0"/>
          <w:sz w:val="24"/>
          <w:szCs w:val="24"/>
        </w:rPr>
        <w:t xml:space="preserve"> and </w:t>
      </w:r>
      <w:r w:rsidRPr="00EE701D" w:rsidR="006823ED">
        <w:rPr>
          <w:rFonts w:ascii="Palatino Linotype" w:hAnsi="Palatino Linotype" w:cs="øpq0"/>
          <w:sz w:val="24"/>
          <w:szCs w:val="24"/>
        </w:rPr>
        <w:t xml:space="preserve">the goals of the </w:t>
      </w:r>
      <w:r w:rsidRPr="00EE701D" w:rsidR="00BF7ABE">
        <w:rPr>
          <w:rFonts w:ascii="Palatino Linotype" w:hAnsi="Palatino Linotype" w:cs="øpq0"/>
          <w:sz w:val="24"/>
          <w:szCs w:val="24"/>
        </w:rPr>
        <w:t>program</w:t>
      </w:r>
      <w:r w:rsidRPr="00EE701D" w:rsidR="005B4CBF">
        <w:rPr>
          <w:rFonts w:ascii="Palatino Linotype" w:hAnsi="Palatino Linotype" w:cs="øpq0"/>
          <w:sz w:val="24"/>
          <w:szCs w:val="24"/>
        </w:rPr>
        <w:t>.</w:t>
      </w:r>
      <w:r w:rsidRPr="00EE701D" w:rsidR="00EC0A59">
        <w:rPr>
          <w:rFonts w:ascii="Palatino Linotype" w:hAnsi="Palatino Linotype"/>
          <w:color w:val="212121"/>
          <w:sz w:val="24"/>
          <w:szCs w:val="24"/>
        </w:rPr>
        <w:t xml:space="preserve"> </w:t>
      </w:r>
      <w:r w:rsidRPr="00EE701D" w:rsidR="000B773B">
        <w:rPr>
          <w:rFonts w:ascii="Palatino Linotype" w:hAnsi="Palatino Linotype"/>
          <w:color w:val="000000" w:themeColor="text1"/>
          <w:sz w:val="24"/>
          <w:szCs w:val="24"/>
          <w:highlight w:val="black"/>
        </w:rPr>
        <w:t>xxxxxxxxxxxxxxxxxxxxxxxxxxxxxxxxxxxxxxxxxxxxxxxxxxxxxxxxx</w:t>
      </w:r>
      <w:r w:rsidRPr="00EE701D" w:rsidR="00FC7789">
        <w:rPr>
          <w:rFonts w:ascii="Palatino Linotype" w:hAnsi="Palatino Linotype"/>
          <w:color w:val="000000" w:themeColor="text1"/>
          <w:sz w:val="24"/>
          <w:szCs w:val="24"/>
          <w:highlight w:val="black"/>
        </w:rPr>
        <w:t xml:space="preserve"> </w:t>
      </w:r>
    </w:p>
    <w:p w:rsidRPr="00EE701D" w:rsidR="00C24B0F" w:rsidP="00782FA3" w:rsidRDefault="000B773B" w14:paraId="4CEE7288" w14:textId="1102C5EC">
      <w:pPr>
        <w:autoSpaceDE w:val="0"/>
        <w:autoSpaceDN w:val="0"/>
        <w:adjustRightInd w:val="0"/>
        <w:rPr>
          <w:rFonts w:ascii="Palatino Linotype" w:hAnsi="Palatino Linotype" w:cs="øpq0"/>
          <w:color w:val="000000" w:themeColor="text1"/>
          <w:sz w:val="24"/>
          <w:szCs w:val="24"/>
        </w:rPr>
      </w:pPr>
      <w:r w:rsidRPr="00EE701D">
        <w:rPr>
          <w:rFonts w:ascii="Palatino Linotype" w:hAnsi="Palatino Linotype"/>
          <w:color w:val="000000" w:themeColor="text1"/>
          <w:sz w:val="24"/>
          <w:szCs w:val="24"/>
          <w:highlight w:val="black"/>
        </w:rPr>
        <w:t>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w:t>
      </w:r>
    </w:p>
    <w:p w:rsidRPr="00EE701D" w:rsidR="00C54736" w:rsidP="00C54736" w:rsidRDefault="00C54736" w14:paraId="309F48B4" w14:textId="71C5EB7E">
      <w:pPr>
        <w:autoSpaceDE w:val="0"/>
        <w:autoSpaceDN w:val="0"/>
        <w:adjustRightInd w:val="0"/>
        <w:rPr>
          <w:rFonts w:ascii="Palatino Linotype" w:hAnsi="Palatino Linotype" w:cs="p ¸."/>
          <w:sz w:val="24"/>
          <w:szCs w:val="24"/>
        </w:rPr>
      </w:pPr>
    </w:p>
    <w:p w:rsidRPr="00EE701D" w:rsidR="001267BB" w:rsidP="008441E2" w:rsidRDefault="00CB3638" w14:paraId="4B716C82" w14:textId="1FC56179">
      <w:pPr>
        <w:rPr>
          <w:rFonts w:ascii="Palatino Linotype" w:hAnsi="Palatino Linotype" w:eastAsia="Palatino Linotype"/>
          <w:b/>
          <w:bCs/>
          <w:sz w:val="24"/>
          <w:szCs w:val="24"/>
          <w:u w:val="single"/>
        </w:rPr>
      </w:pPr>
      <w:r w:rsidRPr="00EE701D">
        <w:rPr>
          <w:rFonts w:ascii="Palatino Linotype" w:hAnsi="Palatino Linotype" w:eastAsia="Palatino Linotype"/>
          <w:b/>
          <w:bCs/>
          <w:sz w:val="24"/>
          <w:szCs w:val="24"/>
          <w:u w:val="single"/>
        </w:rPr>
        <w:t xml:space="preserve">Independent Review of </w:t>
      </w:r>
      <w:r w:rsidRPr="00EE701D" w:rsidR="00791A70">
        <w:rPr>
          <w:rFonts w:ascii="Palatino Linotype" w:hAnsi="Palatino Linotype" w:eastAsia="Palatino Linotype"/>
          <w:b/>
          <w:bCs/>
          <w:sz w:val="24"/>
          <w:szCs w:val="24"/>
          <w:u w:val="single"/>
        </w:rPr>
        <w:t xml:space="preserve">Each Program Administrator’s </w:t>
      </w:r>
      <w:r w:rsidRPr="00EE701D" w:rsidR="00B22685">
        <w:rPr>
          <w:rFonts w:ascii="Palatino Linotype" w:hAnsi="Palatino Linotype" w:eastAsia="Palatino Linotype"/>
          <w:b/>
          <w:bCs/>
          <w:sz w:val="24"/>
          <w:szCs w:val="24"/>
          <w:u w:val="single"/>
        </w:rPr>
        <w:t>CBVRP</w:t>
      </w:r>
    </w:p>
    <w:p w:rsidRPr="00EE701D" w:rsidR="00310CA0" w:rsidP="00310CA0" w:rsidRDefault="00310CA0" w14:paraId="45C5DD58" w14:textId="3E90C815">
      <w:pPr>
        <w:rPr>
          <w:rFonts w:ascii="Palatino Linotype" w:hAnsi="Palatino Linotype" w:cs="v%"/>
          <w:sz w:val="24"/>
          <w:szCs w:val="24"/>
        </w:rPr>
      </w:pPr>
      <w:r w:rsidRPr="00EE701D">
        <w:rPr>
          <w:rFonts w:ascii="Palatino Linotype" w:hAnsi="Palatino Linotype"/>
          <w:color w:val="212121"/>
          <w:sz w:val="24"/>
          <w:szCs w:val="24"/>
        </w:rPr>
        <w:t xml:space="preserve">We find it reasonable for </w:t>
      </w:r>
      <w:r w:rsidRPr="00EE701D" w:rsidR="005D7A6E">
        <w:rPr>
          <w:rFonts w:ascii="Palatino Linotype" w:hAnsi="Palatino Linotype"/>
          <w:color w:val="212121"/>
          <w:sz w:val="24"/>
          <w:szCs w:val="24"/>
        </w:rPr>
        <w:t>each DAC-GT Program Administrator</w:t>
      </w:r>
      <w:r w:rsidRPr="00EE701D">
        <w:rPr>
          <w:rFonts w:ascii="Palatino Linotype" w:hAnsi="Palatino Linotype"/>
          <w:color w:val="212121"/>
          <w:sz w:val="24"/>
          <w:szCs w:val="24"/>
        </w:rPr>
        <w:t xml:space="preserve"> to independently survey their own procurement data</w:t>
      </w:r>
      <w:r w:rsidRPr="00EE701D" w:rsidR="0029559C">
        <w:rPr>
          <w:rFonts w:ascii="Palatino Linotype" w:hAnsi="Palatino Linotype"/>
          <w:color w:val="212121"/>
          <w:sz w:val="24"/>
          <w:szCs w:val="24"/>
        </w:rPr>
        <w:t xml:space="preserve"> </w:t>
      </w:r>
      <w:r w:rsidRPr="00EE701D">
        <w:rPr>
          <w:rFonts w:ascii="Palatino Linotype" w:hAnsi="Palatino Linotype"/>
          <w:color w:val="212121"/>
          <w:sz w:val="24"/>
          <w:szCs w:val="24"/>
        </w:rPr>
        <w:t xml:space="preserve">and set the CBVRP based on the parameters discussed in the </w:t>
      </w:r>
      <w:r w:rsidRPr="00EE701D" w:rsidR="005D7A6E">
        <w:rPr>
          <w:rFonts w:ascii="Palatino Linotype" w:hAnsi="Palatino Linotype"/>
          <w:color w:val="212121"/>
          <w:sz w:val="24"/>
          <w:szCs w:val="24"/>
        </w:rPr>
        <w:t>methodology</w:t>
      </w:r>
      <w:r w:rsidRPr="00EE701D">
        <w:rPr>
          <w:rFonts w:ascii="Palatino Linotype" w:hAnsi="Palatino Linotype"/>
          <w:color w:val="212121"/>
          <w:sz w:val="24"/>
          <w:szCs w:val="24"/>
        </w:rPr>
        <w:t xml:space="preserve"> section above</w:t>
      </w:r>
      <w:r w:rsidRPr="00EE701D" w:rsidR="0029559C">
        <w:rPr>
          <w:rFonts w:ascii="Palatino Linotype" w:hAnsi="Palatino Linotype"/>
          <w:color w:val="212121"/>
          <w:sz w:val="24"/>
          <w:szCs w:val="24"/>
        </w:rPr>
        <w:t>.</w:t>
      </w:r>
      <w:r w:rsidRPr="00EE701D">
        <w:rPr>
          <w:rFonts w:ascii="Palatino Linotype" w:hAnsi="Palatino Linotype"/>
          <w:color w:val="212121"/>
          <w:sz w:val="24"/>
          <w:szCs w:val="24"/>
        </w:rPr>
        <w:t xml:space="preserve"> </w:t>
      </w:r>
      <w:r w:rsidRPr="00EE701D" w:rsidR="005D7A6E">
        <w:rPr>
          <w:rFonts w:ascii="Palatino Linotype" w:hAnsi="Palatino Linotype"/>
          <w:color w:val="212121"/>
          <w:sz w:val="24"/>
          <w:szCs w:val="24"/>
        </w:rPr>
        <w:t xml:space="preserve">Further, we find it reasonable for SCE and PG&amp;E </w:t>
      </w:r>
      <w:r w:rsidRPr="00EE701D">
        <w:rPr>
          <w:rFonts w:ascii="Palatino Linotype" w:hAnsi="Palatino Linotype"/>
          <w:color w:val="212121"/>
          <w:sz w:val="24"/>
          <w:szCs w:val="24"/>
        </w:rPr>
        <w:t xml:space="preserve">to submit their CBVRP and associated workpapers to each IOU’s existing Procurement Review Group (PRG) Independent Evaluator for a one-time initial review and assessment of its reasonableness prior to the launch of future </w:t>
      </w:r>
      <w:r w:rsidRPr="00EE701D" w:rsidR="0029559C">
        <w:rPr>
          <w:rFonts w:ascii="Palatino Linotype" w:hAnsi="Palatino Linotype"/>
          <w:color w:val="212121"/>
          <w:sz w:val="24"/>
          <w:szCs w:val="24"/>
        </w:rPr>
        <w:t>DAC-GT</w:t>
      </w:r>
      <w:r w:rsidRPr="00EE701D">
        <w:rPr>
          <w:rFonts w:ascii="Palatino Linotype" w:hAnsi="Palatino Linotype"/>
          <w:color w:val="212121"/>
          <w:sz w:val="24"/>
          <w:szCs w:val="24"/>
        </w:rPr>
        <w:t xml:space="preserve"> solicitations. </w:t>
      </w:r>
      <w:r w:rsidRPr="00EE701D" w:rsidR="00462D88">
        <w:rPr>
          <w:rFonts w:ascii="Palatino Linotype" w:hAnsi="Palatino Linotype" w:cs="v%"/>
          <w:sz w:val="24"/>
          <w:szCs w:val="24"/>
        </w:rPr>
        <w:t xml:space="preserve">SCE and PG&amp;E shall include </w:t>
      </w:r>
      <w:r w:rsidRPr="00EE701D" w:rsidR="00443C5A">
        <w:rPr>
          <w:rFonts w:ascii="Palatino Linotype" w:hAnsi="Palatino Linotype" w:cs="v%"/>
          <w:sz w:val="24"/>
          <w:szCs w:val="24"/>
        </w:rPr>
        <w:t>the</w:t>
      </w:r>
      <w:r w:rsidRPr="00EE701D">
        <w:rPr>
          <w:rFonts w:ascii="Palatino Linotype" w:hAnsi="Palatino Linotype" w:cs="v%"/>
          <w:sz w:val="24"/>
          <w:szCs w:val="24"/>
        </w:rPr>
        <w:t xml:space="preserve"> PRG </w:t>
      </w:r>
      <w:r w:rsidRPr="00EE701D" w:rsidR="009D0542">
        <w:rPr>
          <w:rFonts w:ascii="Palatino Linotype" w:hAnsi="Palatino Linotype"/>
          <w:color w:val="212121"/>
          <w:sz w:val="24"/>
          <w:szCs w:val="24"/>
        </w:rPr>
        <w:t>Independent Evaluator</w:t>
      </w:r>
      <w:r w:rsidRPr="00EE701D" w:rsidR="00443C5A">
        <w:rPr>
          <w:rFonts w:ascii="Palatino Linotype" w:hAnsi="Palatino Linotype"/>
          <w:color w:val="212121"/>
          <w:sz w:val="24"/>
          <w:szCs w:val="24"/>
        </w:rPr>
        <w:t>’s</w:t>
      </w:r>
      <w:r w:rsidRPr="00EE701D">
        <w:rPr>
          <w:rFonts w:ascii="Palatino Linotype" w:hAnsi="Palatino Linotype" w:cs="v%"/>
          <w:sz w:val="24"/>
          <w:szCs w:val="24"/>
        </w:rPr>
        <w:t xml:space="preserve"> </w:t>
      </w:r>
      <w:r w:rsidRPr="00EE701D" w:rsidR="00443C5A">
        <w:rPr>
          <w:rFonts w:ascii="Palatino Linotype" w:hAnsi="Palatino Linotype" w:cs="v%"/>
          <w:sz w:val="24"/>
          <w:szCs w:val="24"/>
        </w:rPr>
        <w:t>DAC RFO report</w:t>
      </w:r>
      <w:r w:rsidRPr="00EE701D" w:rsidR="009D0542">
        <w:rPr>
          <w:rFonts w:ascii="Palatino Linotype" w:hAnsi="Palatino Linotype" w:cs="v%"/>
          <w:sz w:val="24"/>
          <w:szCs w:val="24"/>
        </w:rPr>
        <w:t xml:space="preserve"> </w:t>
      </w:r>
      <w:r w:rsidRPr="00EE701D" w:rsidR="0060143B">
        <w:rPr>
          <w:rFonts w:ascii="Palatino Linotype" w:hAnsi="Palatino Linotype" w:cs="v%"/>
          <w:sz w:val="24"/>
          <w:szCs w:val="24"/>
        </w:rPr>
        <w:t xml:space="preserve">evaluating </w:t>
      </w:r>
      <w:r w:rsidRPr="00EE701D">
        <w:rPr>
          <w:rFonts w:ascii="Palatino Linotype" w:hAnsi="Palatino Linotype" w:cs="v%"/>
          <w:sz w:val="24"/>
          <w:szCs w:val="24"/>
        </w:rPr>
        <w:t xml:space="preserve">the reasonableness of </w:t>
      </w:r>
      <w:r w:rsidRPr="00EE701D" w:rsidR="0060143B">
        <w:rPr>
          <w:rFonts w:ascii="Palatino Linotype" w:hAnsi="Palatino Linotype" w:cs="v%"/>
          <w:sz w:val="24"/>
          <w:szCs w:val="24"/>
        </w:rPr>
        <w:t>each IOU’s</w:t>
      </w:r>
      <w:r w:rsidRPr="00EE701D">
        <w:rPr>
          <w:rFonts w:ascii="Palatino Linotype" w:hAnsi="Palatino Linotype" w:cs="v%"/>
          <w:sz w:val="24"/>
          <w:szCs w:val="24"/>
        </w:rPr>
        <w:t xml:space="preserve"> respective CBVRP </w:t>
      </w:r>
      <w:r w:rsidRPr="00EE701D" w:rsidR="00E57B47">
        <w:rPr>
          <w:rFonts w:ascii="Palatino Linotype" w:hAnsi="Palatino Linotype" w:cs="v%"/>
          <w:sz w:val="24"/>
          <w:szCs w:val="24"/>
        </w:rPr>
        <w:t xml:space="preserve">as an </w:t>
      </w:r>
      <w:r w:rsidRPr="00EE701D">
        <w:rPr>
          <w:rFonts w:ascii="Palatino Linotype" w:hAnsi="Palatino Linotype" w:cs="v%"/>
          <w:sz w:val="24"/>
          <w:szCs w:val="24"/>
        </w:rPr>
        <w:t>attach</w:t>
      </w:r>
      <w:r w:rsidRPr="00EE701D" w:rsidR="00E57B47">
        <w:rPr>
          <w:rFonts w:ascii="Palatino Linotype" w:hAnsi="Palatino Linotype" w:cs="v%"/>
          <w:sz w:val="24"/>
          <w:szCs w:val="24"/>
        </w:rPr>
        <w:t>ment</w:t>
      </w:r>
      <w:r w:rsidRPr="00EE701D">
        <w:rPr>
          <w:rFonts w:ascii="Palatino Linotype" w:hAnsi="Palatino Linotype" w:cs="v%"/>
          <w:sz w:val="24"/>
          <w:szCs w:val="24"/>
        </w:rPr>
        <w:t xml:space="preserve"> to </w:t>
      </w:r>
      <w:r w:rsidRPr="00EE701D" w:rsidR="0081348B">
        <w:rPr>
          <w:rFonts w:ascii="Palatino Linotype" w:hAnsi="Palatino Linotype" w:cs="v%"/>
          <w:sz w:val="24"/>
          <w:szCs w:val="24"/>
        </w:rPr>
        <w:t xml:space="preserve">their </w:t>
      </w:r>
      <w:r w:rsidRPr="00EE701D">
        <w:rPr>
          <w:rFonts w:ascii="Palatino Linotype" w:hAnsi="Palatino Linotype" w:cs="v%"/>
          <w:sz w:val="24"/>
          <w:szCs w:val="24"/>
        </w:rPr>
        <w:t xml:space="preserve">future </w:t>
      </w:r>
      <w:r w:rsidRPr="00EE701D" w:rsidR="00F33296">
        <w:rPr>
          <w:rFonts w:ascii="Palatino Linotype" w:hAnsi="Palatino Linotype" w:cs="v%"/>
          <w:sz w:val="24"/>
          <w:szCs w:val="24"/>
        </w:rPr>
        <w:t xml:space="preserve">Tier </w:t>
      </w:r>
      <w:r w:rsidRPr="00EE701D" w:rsidR="009C2BB2">
        <w:rPr>
          <w:rFonts w:ascii="Palatino Linotype" w:hAnsi="Palatino Linotype" w:cs="v%"/>
          <w:sz w:val="24"/>
          <w:szCs w:val="24"/>
        </w:rPr>
        <w:t xml:space="preserve">2 </w:t>
      </w:r>
      <w:r w:rsidRPr="00EE701D">
        <w:rPr>
          <w:rFonts w:ascii="Palatino Linotype" w:hAnsi="Palatino Linotype" w:cs="v%"/>
          <w:sz w:val="24"/>
          <w:szCs w:val="24"/>
        </w:rPr>
        <w:t>DAC-GT Power Purchase Agreement Advice Letters</w:t>
      </w:r>
      <w:r w:rsidRPr="00EE701D" w:rsidR="009D0542">
        <w:rPr>
          <w:rFonts w:ascii="Palatino Linotype" w:hAnsi="Palatino Linotype" w:cs="v%"/>
          <w:sz w:val="24"/>
          <w:szCs w:val="24"/>
        </w:rPr>
        <w:t xml:space="preserve"> directed out of Decision </w:t>
      </w:r>
      <w:r w:rsidRPr="00EE701D" w:rsidR="00E57B47">
        <w:rPr>
          <w:rFonts w:ascii="Palatino Linotype" w:hAnsi="Palatino Linotype" w:cs="v%"/>
          <w:sz w:val="24"/>
          <w:szCs w:val="24"/>
        </w:rPr>
        <w:t xml:space="preserve">18-06-027, and Resolutions </w:t>
      </w:r>
      <w:r w:rsidRPr="00EE701D" w:rsidR="00326BD5">
        <w:rPr>
          <w:rFonts w:ascii="Palatino Linotype" w:hAnsi="Palatino Linotype" w:cs="v%"/>
          <w:sz w:val="24"/>
          <w:szCs w:val="24"/>
        </w:rPr>
        <w:t xml:space="preserve">E-4999, </w:t>
      </w:r>
      <w:r w:rsidRPr="00EE701D" w:rsidR="000D3171">
        <w:rPr>
          <w:rFonts w:ascii="Palatino Linotype" w:hAnsi="Palatino Linotype" w:cs="v%"/>
          <w:sz w:val="24"/>
          <w:szCs w:val="24"/>
        </w:rPr>
        <w:t xml:space="preserve">E-5102, </w:t>
      </w:r>
      <w:r w:rsidRPr="00EE701D" w:rsidR="00527F0B">
        <w:rPr>
          <w:rFonts w:ascii="Palatino Linotype" w:hAnsi="Palatino Linotype" w:cs="v%"/>
          <w:sz w:val="24"/>
          <w:szCs w:val="24"/>
        </w:rPr>
        <w:t xml:space="preserve">E-5124, </w:t>
      </w:r>
      <w:r w:rsidRPr="00EE701D" w:rsidR="00FB6017">
        <w:rPr>
          <w:rFonts w:ascii="Palatino Linotype" w:hAnsi="Palatino Linotype" w:cs="v%"/>
          <w:sz w:val="24"/>
          <w:szCs w:val="24"/>
        </w:rPr>
        <w:t xml:space="preserve">E-5130, </w:t>
      </w:r>
      <w:r w:rsidRPr="00EE701D" w:rsidR="00DC738D">
        <w:rPr>
          <w:rFonts w:ascii="Palatino Linotype" w:hAnsi="Palatino Linotype" w:cs="v%"/>
          <w:sz w:val="24"/>
          <w:szCs w:val="24"/>
        </w:rPr>
        <w:t>and E-5246.</w:t>
      </w:r>
    </w:p>
    <w:p w:rsidRPr="00EE701D" w:rsidR="00310CA0" w:rsidP="00310CA0" w:rsidRDefault="00310CA0" w14:paraId="02277708" w14:textId="77777777">
      <w:pPr>
        <w:rPr>
          <w:rFonts w:ascii="Palatino Linotype" w:hAnsi="Palatino Linotype" w:eastAsia="Palatino Linotype"/>
          <w:snapToGrid w:val="0"/>
          <w:sz w:val="24"/>
          <w:szCs w:val="24"/>
        </w:rPr>
      </w:pPr>
    </w:p>
    <w:p w:rsidRPr="00EE701D" w:rsidR="00310CA0" w:rsidP="00310CA0" w:rsidRDefault="0029559C" w14:paraId="52C950DC" w14:textId="112A8CC5">
      <w:pPr>
        <w:rPr>
          <w:rFonts w:ascii="Palatino Linotype" w:hAnsi="Palatino Linotype" w:eastAsia="Palatino Linotype"/>
          <w:snapToGrid w:val="0"/>
          <w:sz w:val="24"/>
          <w:szCs w:val="24"/>
        </w:rPr>
      </w:pPr>
      <w:r w:rsidRPr="00EE701D">
        <w:rPr>
          <w:rFonts w:ascii="Palatino Linotype" w:hAnsi="Palatino Linotype" w:eastAsia="Palatino Linotype"/>
          <w:snapToGrid w:val="0"/>
          <w:sz w:val="24"/>
          <w:szCs w:val="24"/>
        </w:rPr>
        <w:t xml:space="preserve">Since </w:t>
      </w:r>
      <w:r w:rsidRPr="00EE701D" w:rsidR="00310CA0">
        <w:rPr>
          <w:rFonts w:ascii="Palatino Linotype" w:hAnsi="Palatino Linotype" w:eastAsia="Palatino Linotype"/>
          <w:snapToGrid w:val="0"/>
          <w:sz w:val="24"/>
          <w:szCs w:val="24"/>
        </w:rPr>
        <w:t>Participating DAC-GT</w:t>
      </w:r>
      <w:r w:rsidRPr="00EE701D">
        <w:rPr>
          <w:rFonts w:ascii="Palatino Linotype" w:hAnsi="Palatino Linotype" w:eastAsia="Palatino Linotype"/>
          <w:snapToGrid w:val="0"/>
          <w:sz w:val="24"/>
          <w:szCs w:val="24"/>
        </w:rPr>
        <w:t xml:space="preserve"> </w:t>
      </w:r>
      <w:r w:rsidRPr="00EE701D" w:rsidR="00310CA0">
        <w:rPr>
          <w:rFonts w:ascii="Palatino Linotype" w:hAnsi="Palatino Linotype" w:eastAsia="Palatino Linotype"/>
          <w:snapToGrid w:val="0"/>
          <w:sz w:val="24"/>
          <w:szCs w:val="24"/>
        </w:rPr>
        <w:t xml:space="preserve">CCA PAs </w:t>
      </w:r>
      <w:r w:rsidRPr="00EE701D">
        <w:rPr>
          <w:rFonts w:ascii="Palatino Linotype" w:hAnsi="Palatino Linotype" w:eastAsia="Palatino Linotype"/>
          <w:snapToGrid w:val="0"/>
          <w:sz w:val="24"/>
          <w:szCs w:val="24"/>
        </w:rPr>
        <w:t xml:space="preserve">do not participate in IOU PRGs, we authorize them </w:t>
      </w:r>
      <w:r w:rsidRPr="00EE701D" w:rsidR="00310CA0">
        <w:rPr>
          <w:rFonts w:ascii="Palatino Linotype" w:hAnsi="Palatino Linotype" w:eastAsia="Palatino Linotype"/>
          <w:snapToGrid w:val="0"/>
          <w:sz w:val="24"/>
          <w:szCs w:val="24"/>
        </w:rPr>
        <w:t xml:space="preserve">to contract with and recover costs for </w:t>
      </w:r>
      <w:r w:rsidRPr="00EE701D" w:rsidR="00BA0175">
        <w:rPr>
          <w:rFonts w:ascii="Palatino Linotype" w:hAnsi="Palatino Linotype" w:eastAsia="Palatino Linotype"/>
          <w:snapToGrid w:val="0"/>
          <w:sz w:val="24"/>
          <w:szCs w:val="24"/>
        </w:rPr>
        <w:t xml:space="preserve">a similar </w:t>
      </w:r>
      <w:r w:rsidRPr="00EE701D" w:rsidR="00310CA0">
        <w:rPr>
          <w:rFonts w:ascii="Palatino Linotype" w:hAnsi="Palatino Linotype" w:eastAsia="Palatino Linotype"/>
          <w:snapToGrid w:val="0"/>
          <w:sz w:val="24"/>
          <w:szCs w:val="24"/>
        </w:rPr>
        <w:t xml:space="preserve">independent third party to provide a one-time initial </w:t>
      </w:r>
      <w:r w:rsidRPr="00EE701D" w:rsidR="00310CA0">
        <w:rPr>
          <w:rFonts w:ascii="Palatino Linotype" w:hAnsi="Palatino Linotype"/>
          <w:color w:val="212121"/>
          <w:sz w:val="24"/>
          <w:szCs w:val="24"/>
        </w:rPr>
        <w:t xml:space="preserve">review and assessment of the reasonableness of their CBVRP and associated workpapers prior to the launch of future DAC-GT solicitations. </w:t>
      </w:r>
      <w:r w:rsidRPr="00EE701D" w:rsidR="00BA0175">
        <w:rPr>
          <w:rFonts w:ascii="Palatino Linotype" w:hAnsi="Palatino Linotype"/>
          <w:color w:val="212121"/>
          <w:sz w:val="24"/>
          <w:szCs w:val="24"/>
        </w:rPr>
        <w:t xml:space="preserve">These costs should be billed and </w:t>
      </w:r>
      <w:r w:rsidRPr="00EE701D" w:rsidR="00EE3D13">
        <w:rPr>
          <w:rFonts w:ascii="Palatino Linotype" w:hAnsi="Palatino Linotype"/>
          <w:color w:val="212121"/>
          <w:sz w:val="24"/>
          <w:szCs w:val="24"/>
        </w:rPr>
        <w:t xml:space="preserve">tracked to </w:t>
      </w:r>
      <w:r w:rsidRPr="00EE701D" w:rsidR="00247CD0">
        <w:rPr>
          <w:rFonts w:ascii="Palatino Linotype" w:hAnsi="Palatino Linotype"/>
          <w:color w:val="212121"/>
          <w:sz w:val="24"/>
          <w:szCs w:val="24"/>
        </w:rPr>
        <w:t>each PA’s</w:t>
      </w:r>
      <w:r w:rsidRPr="00EE701D" w:rsidR="00EE3D13">
        <w:rPr>
          <w:rFonts w:ascii="Palatino Linotype" w:hAnsi="Palatino Linotype"/>
          <w:color w:val="212121"/>
          <w:sz w:val="24"/>
          <w:szCs w:val="24"/>
        </w:rPr>
        <w:t xml:space="preserve"> DAC-GT Regulatory Compliance budgets</w:t>
      </w:r>
      <w:r w:rsidRPr="00EE701D" w:rsidR="00E10874">
        <w:rPr>
          <w:rFonts w:ascii="Palatino Linotype" w:hAnsi="Palatino Linotype"/>
          <w:color w:val="212121"/>
          <w:sz w:val="24"/>
          <w:szCs w:val="24"/>
        </w:rPr>
        <w:t xml:space="preserve"> and reported in </w:t>
      </w:r>
      <w:r w:rsidRPr="00EE701D" w:rsidR="0037049D">
        <w:rPr>
          <w:rFonts w:ascii="Palatino Linotype" w:hAnsi="Palatino Linotype"/>
          <w:color w:val="212121"/>
          <w:sz w:val="24"/>
          <w:szCs w:val="24"/>
        </w:rPr>
        <w:t>each PA’s Annual Budget Advice Letter</w:t>
      </w:r>
      <w:r w:rsidRPr="00EE701D" w:rsidR="00EE3D13">
        <w:rPr>
          <w:rFonts w:ascii="Palatino Linotype" w:hAnsi="Palatino Linotype"/>
          <w:color w:val="212121"/>
          <w:sz w:val="24"/>
          <w:szCs w:val="24"/>
        </w:rPr>
        <w:t xml:space="preserve">. </w:t>
      </w:r>
      <w:r w:rsidRPr="00EE701D" w:rsidR="004D41F4">
        <w:rPr>
          <w:rFonts w:ascii="Palatino Linotype" w:hAnsi="Palatino Linotype" w:cs="v%"/>
          <w:sz w:val="24"/>
          <w:szCs w:val="24"/>
        </w:rPr>
        <w:t xml:space="preserve">Each </w:t>
      </w:r>
      <w:r w:rsidRPr="00EE701D" w:rsidR="00310CA0">
        <w:rPr>
          <w:rFonts w:ascii="Palatino Linotype" w:hAnsi="Palatino Linotype" w:cs="v%"/>
          <w:sz w:val="24"/>
          <w:szCs w:val="24"/>
        </w:rPr>
        <w:t>DAC-GT CCA PA shall</w:t>
      </w:r>
      <w:r w:rsidRPr="00EE701D" w:rsidR="004D41F4">
        <w:rPr>
          <w:rFonts w:ascii="Palatino Linotype" w:hAnsi="Palatino Linotype" w:cs="v%"/>
          <w:sz w:val="24"/>
          <w:szCs w:val="24"/>
        </w:rPr>
        <w:t xml:space="preserve"> </w:t>
      </w:r>
      <w:r w:rsidRPr="00EE701D" w:rsidR="00310CA0">
        <w:rPr>
          <w:rFonts w:ascii="Palatino Linotype" w:hAnsi="Palatino Linotype" w:cs="v%"/>
          <w:sz w:val="24"/>
          <w:szCs w:val="24"/>
        </w:rPr>
        <w:t xml:space="preserve">include the independent third party’s report on the </w:t>
      </w:r>
      <w:r w:rsidRPr="00EE701D" w:rsidR="004D41F4">
        <w:rPr>
          <w:rFonts w:ascii="Palatino Linotype" w:hAnsi="Palatino Linotype" w:cs="v%"/>
          <w:sz w:val="24"/>
          <w:szCs w:val="24"/>
        </w:rPr>
        <w:t xml:space="preserve">conclusions of the reasonableness of </w:t>
      </w:r>
      <w:r w:rsidRPr="00EE701D" w:rsidR="00310CA0">
        <w:rPr>
          <w:rFonts w:ascii="Palatino Linotype" w:hAnsi="Palatino Linotype" w:cs="v%"/>
          <w:sz w:val="24"/>
          <w:szCs w:val="24"/>
        </w:rPr>
        <w:t>each participating CCA’s</w:t>
      </w:r>
      <w:r w:rsidRPr="00EE701D" w:rsidR="004D41F4">
        <w:rPr>
          <w:rFonts w:ascii="Palatino Linotype" w:hAnsi="Palatino Linotype" w:cs="v%"/>
          <w:sz w:val="24"/>
          <w:szCs w:val="24"/>
        </w:rPr>
        <w:t xml:space="preserve"> respective</w:t>
      </w:r>
      <w:r w:rsidRPr="00EE701D" w:rsidR="00310CA0">
        <w:rPr>
          <w:rFonts w:ascii="Palatino Linotype" w:hAnsi="Palatino Linotype" w:cs="v%"/>
          <w:sz w:val="24"/>
          <w:szCs w:val="24"/>
        </w:rPr>
        <w:t xml:space="preserve"> </w:t>
      </w:r>
      <w:r w:rsidRPr="00EE701D" w:rsidR="004D41F4">
        <w:rPr>
          <w:rFonts w:ascii="Palatino Linotype" w:hAnsi="Palatino Linotype" w:cs="v%"/>
          <w:sz w:val="24"/>
          <w:szCs w:val="24"/>
        </w:rPr>
        <w:t xml:space="preserve">CBVRP </w:t>
      </w:r>
      <w:r w:rsidRPr="00EE701D" w:rsidR="00310CA0">
        <w:rPr>
          <w:rFonts w:ascii="Palatino Linotype" w:hAnsi="Palatino Linotype" w:cs="v%"/>
          <w:sz w:val="24"/>
          <w:szCs w:val="24"/>
        </w:rPr>
        <w:t>as an attachment to its future executed DAC-GT Power Purchase Agreement Advice Letters.</w:t>
      </w:r>
    </w:p>
    <w:p w:rsidRPr="00EE701D" w:rsidR="00791A70" w:rsidP="008441E2" w:rsidRDefault="00791A70" w14:paraId="1705AA24" w14:textId="77777777">
      <w:pPr>
        <w:rPr>
          <w:rFonts w:ascii="Palatino Linotype" w:hAnsi="Palatino Linotype" w:eastAsia="Palatino Linotype"/>
          <w:b/>
          <w:sz w:val="24"/>
          <w:szCs w:val="24"/>
          <w:u w:val="single"/>
        </w:rPr>
      </w:pPr>
    </w:p>
    <w:p w:rsidRPr="00EE701D" w:rsidR="00791A70" w:rsidP="008441E2" w:rsidRDefault="008D71F7" w14:paraId="37BAD0F3" w14:textId="7CA563FD">
      <w:pPr>
        <w:rPr>
          <w:rFonts w:ascii="Palatino Linotype" w:hAnsi="Palatino Linotype" w:eastAsia="Palatino Linotype"/>
          <w:b/>
          <w:sz w:val="24"/>
          <w:szCs w:val="24"/>
          <w:u w:val="single"/>
        </w:rPr>
      </w:pPr>
      <w:r w:rsidRPr="00EE701D">
        <w:rPr>
          <w:rFonts w:ascii="Palatino Linotype" w:hAnsi="Palatino Linotype" w:eastAsia="Palatino Linotype"/>
          <w:b/>
          <w:sz w:val="24"/>
          <w:szCs w:val="24"/>
          <w:u w:val="single"/>
        </w:rPr>
        <w:t>Multiplier Percentage</w:t>
      </w:r>
    </w:p>
    <w:p w:rsidRPr="00EE701D" w:rsidR="00477C01" w:rsidP="001B4DD9" w:rsidRDefault="00670880" w14:paraId="7030689E" w14:textId="7B1828EE">
      <w:pPr>
        <w:rPr>
          <w:rFonts w:ascii="Palatino Linotype" w:hAnsi="Palatino Linotype"/>
          <w:sz w:val="24"/>
          <w:szCs w:val="24"/>
        </w:rPr>
      </w:pPr>
      <w:r w:rsidRPr="00EE701D">
        <w:rPr>
          <w:rFonts w:ascii="Palatino Linotype" w:hAnsi="Palatino Linotype" w:eastAsia="Palatino Linotype"/>
          <w:sz w:val="24"/>
          <w:szCs w:val="24"/>
        </w:rPr>
        <w:t xml:space="preserve">We </w:t>
      </w:r>
      <w:r w:rsidRPr="00EE701D" w:rsidR="00E10874">
        <w:rPr>
          <w:rFonts w:ascii="Palatino Linotype" w:hAnsi="Palatino Linotype" w:eastAsia="Palatino Linotype"/>
          <w:sz w:val="24"/>
          <w:szCs w:val="24"/>
        </w:rPr>
        <w:t>approve the</w:t>
      </w:r>
      <w:r w:rsidRPr="00EE701D" w:rsidR="003E7DC7">
        <w:rPr>
          <w:rFonts w:ascii="Palatino Linotype" w:hAnsi="Palatino Linotype" w:eastAsia="Palatino Linotype"/>
          <w:sz w:val="24"/>
          <w:szCs w:val="24"/>
        </w:rPr>
        <w:t xml:space="preserve"> Joint IOUs</w:t>
      </w:r>
      <w:r w:rsidRPr="00EE701D" w:rsidR="00A9167A">
        <w:rPr>
          <w:rFonts w:ascii="Palatino Linotype" w:hAnsi="Palatino Linotype" w:eastAsia="Palatino Linotype"/>
          <w:sz w:val="24"/>
          <w:szCs w:val="24"/>
        </w:rPr>
        <w:t>’</w:t>
      </w:r>
      <w:r w:rsidRPr="00EE701D" w:rsidR="003E7DC7">
        <w:rPr>
          <w:rFonts w:ascii="Palatino Linotype" w:hAnsi="Palatino Linotype" w:eastAsia="Palatino Linotype"/>
          <w:sz w:val="24"/>
          <w:szCs w:val="24"/>
        </w:rPr>
        <w:t xml:space="preserve"> </w:t>
      </w:r>
      <w:r w:rsidRPr="00EE701D">
        <w:rPr>
          <w:rFonts w:ascii="Palatino Linotype" w:hAnsi="Palatino Linotype" w:eastAsia="Palatino Linotype"/>
          <w:sz w:val="24"/>
          <w:szCs w:val="24"/>
        </w:rPr>
        <w:t xml:space="preserve">120 percent </w:t>
      </w:r>
      <w:r w:rsidRPr="00EE701D" w:rsidR="003E7DC7">
        <w:rPr>
          <w:rFonts w:ascii="Palatino Linotype" w:hAnsi="Palatino Linotype" w:eastAsia="Palatino Linotype"/>
          <w:sz w:val="24"/>
          <w:szCs w:val="24"/>
        </w:rPr>
        <w:t>Multiplier</w:t>
      </w:r>
      <w:r w:rsidRPr="00EE701D" w:rsidDel="00E10874">
        <w:rPr>
          <w:rFonts w:ascii="Palatino Linotype" w:hAnsi="Palatino Linotype" w:eastAsia="Palatino Linotype"/>
          <w:sz w:val="24"/>
          <w:szCs w:val="24"/>
        </w:rPr>
        <w:t xml:space="preserve"> </w:t>
      </w:r>
      <w:r w:rsidRPr="00EE701D" w:rsidR="00E10874">
        <w:rPr>
          <w:rFonts w:ascii="Palatino Linotype" w:hAnsi="Palatino Linotype"/>
          <w:sz w:val="24"/>
          <w:szCs w:val="24"/>
        </w:rPr>
        <w:t xml:space="preserve">as </w:t>
      </w:r>
      <w:r w:rsidRPr="00EE701D">
        <w:rPr>
          <w:rFonts w:ascii="Palatino Linotype" w:hAnsi="Palatino Linotype"/>
          <w:sz w:val="24"/>
          <w:szCs w:val="24"/>
        </w:rPr>
        <w:t xml:space="preserve">it </w:t>
      </w:r>
      <w:r w:rsidRPr="00EE701D" w:rsidR="00A8177A">
        <w:rPr>
          <w:rFonts w:ascii="Palatino Linotype" w:hAnsi="Palatino Linotype"/>
          <w:sz w:val="24"/>
          <w:szCs w:val="24"/>
        </w:rPr>
        <w:t>accounts for</w:t>
      </w:r>
      <w:r w:rsidRPr="00EE701D">
        <w:rPr>
          <w:rFonts w:ascii="Palatino Linotype" w:hAnsi="Palatino Linotype"/>
          <w:sz w:val="24"/>
          <w:szCs w:val="24"/>
        </w:rPr>
        <w:t xml:space="preserve"> recent </w:t>
      </w:r>
      <w:r w:rsidRPr="00EE701D" w:rsidR="001522B7">
        <w:rPr>
          <w:rFonts w:ascii="Palatino Linotype" w:hAnsi="Palatino Linotype"/>
          <w:sz w:val="24"/>
          <w:szCs w:val="24"/>
        </w:rPr>
        <w:t>modifications to the DAC-GT program which have</w:t>
      </w:r>
      <w:r w:rsidRPr="00EE701D">
        <w:rPr>
          <w:rFonts w:ascii="Palatino Linotype" w:hAnsi="Palatino Linotype"/>
          <w:sz w:val="24"/>
          <w:szCs w:val="24"/>
        </w:rPr>
        <w:t xml:space="preserve"> expanded the area available for DAC-GT projects, which should reduce developers’ costs</w:t>
      </w:r>
      <w:r w:rsidRPr="00EE701D" w:rsidR="001522B7">
        <w:rPr>
          <w:rFonts w:ascii="Palatino Linotype" w:hAnsi="Palatino Linotype"/>
          <w:sz w:val="24"/>
          <w:szCs w:val="24"/>
        </w:rPr>
        <w:t>.</w:t>
      </w:r>
      <w:r w:rsidRPr="00EE701D" w:rsidR="00D156B6">
        <w:rPr>
          <w:rStyle w:val="FootnoteReference"/>
          <w:rFonts w:ascii="Palatino Linotype" w:hAnsi="Palatino Linotype"/>
          <w:sz w:val="24"/>
          <w:szCs w:val="24"/>
        </w:rPr>
        <w:footnoteReference w:id="15"/>
      </w:r>
      <w:r w:rsidRPr="00EE701D" w:rsidR="00E5389A">
        <w:rPr>
          <w:rFonts w:ascii="Palatino Linotype" w:hAnsi="Palatino Linotype"/>
          <w:sz w:val="24"/>
          <w:szCs w:val="24"/>
        </w:rPr>
        <w:t xml:space="preserve"> </w:t>
      </w:r>
      <w:r w:rsidRPr="00EE701D" w:rsidR="001522B7">
        <w:rPr>
          <w:rFonts w:ascii="Palatino Linotype" w:hAnsi="Palatino Linotype"/>
          <w:sz w:val="24"/>
          <w:szCs w:val="24"/>
        </w:rPr>
        <w:t xml:space="preserve">Additionally, adopting the </w:t>
      </w:r>
      <w:r w:rsidRPr="00EE701D" w:rsidR="001522B7">
        <w:rPr>
          <w:rFonts w:ascii="Palatino Linotype" w:hAnsi="Palatino Linotype"/>
          <w:sz w:val="24"/>
          <w:szCs w:val="24"/>
        </w:rPr>
        <w:lastRenderedPageBreak/>
        <w:t>Joint IOUs</w:t>
      </w:r>
      <w:r w:rsidRPr="00EE701D" w:rsidR="00A9167A">
        <w:rPr>
          <w:rFonts w:ascii="Palatino Linotype" w:hAnsi="Palatino Linotype"/>
          <w:sz w:val="24"/>
          <w:szCs w:val="24"/>
        </w:rPr>
        <w:t>’</w:t>
      </w:r>
      <w:r w:rsidRPr="00EE701D" w:rsidR="001522B7">
        <w:rPr>
          <w:rFonts w:ascii="Palatino Linotype" w:hAnsi="Palatino Linotype"/>
          <w:sz w:val="24"/>
          <w:szCs w:val="24"/>
        </w:rPr>
        <w:t xml:space="preserve"> 120 percent Multiplier is consistent with prior Commission </w:t>
      </w:r>
      <w:r w:rsidRPr="00EE701D" w:rsidR="002F25F3">
        <w:rPr>
          <w:rFonts w:ascii="Palatino Linotype" w:hAnsi="Palatino Linotype"/>
          <w:sz w:val="24"/>
          <w:szCs w:val="24"/>
        </w:rPr>
        <w:t xml:space="preserve">precedent in </w:t>
      </w:r>
      <w:r w:rsidRPr="00EE701D" w:rsidR="007672EA">
        <w:rPr>
          <w:rFonts w:ascii="Palatino Linotype" w:hAnsi="Palatino Linotype"/>
          <w:sz w:val="24"/>
          <w:szCs w:val="24"/>
        </w:rPr>
        <w:t xml:space="preserve">Decision </w:t>
      </w:r>
      <w:r w:rsidRPr="00EE701D" w:rsidR="00E10874">
        <w:rPr>
          <w:rFonts w:ascii="Palatino Linotype" w:hAnsi="Palatino Linotype"/>
          <w:sz w:val="24"/>
          <w:szCs w:val="24"/>
        </w:rPr>
        <w:t>D.</w:t>
      </w:r>
      <w:r w:rsidRPr="00EE701D" w:rsidR="00C03433">
        <w:rPr>
          <w:rFonts w:ascii="Palatino Linotype" w:hAnsi="Palatino Linotype" w:cs="p ¸."/>
          <w:sz w:val="24"/>
          <w:szCs w:val="24"/>
        </w:rPr>
        <w:t xml:space="preserve">16-05-006 </w:t>
      </w:r>
      <w:r w:rsidRPr="00EE701D" w:rsidR="00E10874">
        <w:rPr>
          <w:rFonts w:ascii="Palatino Linotype" w:hAnsi="Palatino Linotype" w:cs="p ¸."/>
          <w:sz w:val="24"/>
          <w:szCs w:val="24"/>
        </w:rPr>
        <w:t xml:space="preserve">that </w:t>
      </w:r>
      <w:r w:rsidRPr="00EE701D" w:rsidR="00EE6ED3">
        <w:rPr>
          <w:rFonts w:ascii="Palatino Linotype" w:hAnsi="Palatino Linotype" w:cs="p ¸."/>
          <w:sz w:val="24"/>
          <w:szCs w:val="24"/>
        </w:rPr>
        <w:t xml:space="preserve">set a bid price cap of 120 percent for </w:t>
      </w:r>
      <w:r w:rsidRPr="00EE701D" w:rsidR="009E7423">
        <w:rPr>
          <w:rFonts w:ascii="Palatino Linotype" w:hAnsi="Palatino Linotype" w:cs="p ¸."/>
          <w:sz w:val="24"/>
          <w:szCs w:val="24"/>
        </w:rPr>
        <w:t>a similar commu</w:t>
      </w:r>
      <w:r w:rsidRPr="00EE701D" w:rsidR="00EA3EEA">
        <w:rPr>
          <w:rFonts w:ascii="Palatino Linotype" w:hAnsi="Palatino Linotype" w:cs="p ¸."/>
          <w:sz w:val="24"/>
          <w:szCs w:val="24"/>
        </w:rPr>
        <w:t xml:space="preserve">nity solar tariff, the </w:t>
      </w:r>
      <w:r w:rsidRPr="00EE701D" w:rsidR="00EE6ED3">
        <w:rPr>
          <w:rFonts w:ascii="Palatino Linotype" w:hAnsi="Palatino Linotype" w:cs="p ¸."/>
          <w:sz w:val="24"/>
          <w:szCs w:val="24"/>
        </w:rPr>
        <w:t xml:space="preserve">Enhanced </w:t>
      </w:r>
      <w:r w:rsidRPr="00EE701D" w:rsidR="00EA3EEA">
        <w:rPr>
          <w:rFonts w:ascii="Palatino Linotype" w:hAnsi="Palatino Linotype" w:cs="p ¸."/>
          <w:sz w:val="24"/>
          <w:szCs w:val="24"/>
        </w:rPr>
        <w:t>Community</w:t>
      </w:r>
      <w:r w:rsidRPr="00EE701D" w:rsidR="00EE6ED3">
        <w:rPr>
          <w:rFonts w:ascii="Palatino Linotype" w:hAnsi="Palatino Linotype" w:cs="p ¸."/>
          <w:sz w:val="24"/>
          <w:szCs w:val="24"/>
        </w:rPr>
        <w:t xml:space="preserve"> </w:t>
      </w:r>
      <w:r w:rsidRPr="00EE701D" w:rsidR="00EA3EEA">
        <w:rPr>
          <w:rFonts w:ascii="Palatino Linotype" w:hAnsi="Palatino Linotype" w:cs="p ¸."/>
          <w:sz w:val="24"/>
          <w:szCs w:val="24"/>
        </w:rPr>
        <w:t>Renewables</w:t>
      </w:r>
      <w:r w:rsidRPr="00EE701D" w:rsidR="00EE6ED3">
        <w:rPr>
          <w:rFonts w:ascii="Palatino Linotype" w:hAnsi="Palatino Linotype" w:cs="p ¸."/>
          <w:sz w:val="24"/>
          <w:szCs w:val="24"/>
        </w:rPr>
        <w:t xml:space="preserve"> </w:t>
      </w:r>
      <w:r w:rsidRPr="00EE701D" w:rsidR="00EA3EEA">
        <w:rPr>
          <w:rFonts w:ascii="Palatino Linotype" w:hAnsi="Palatino Linotype" w:cs="p ¸."/>
          <w:sz w:val="24"/>
          <w:szCs w:val="24"/>
        </w:rPr>
        <w:t>Program.</w:t>
      </w:r>
    </w:p>
    <w:p w:rsidRPr="00EE701D" w:rsidR="00670880" w:rsidP="00CF0D64" w:rsidRDefault="00670880" w14:paraId="348EE712" w14:textId="3C4A4034">
      <w:pPr>
        <w:rPr>
          <w:rFonts w:ascii="Palatino Linotype" w:hAnsi="Palatino Linotype" w:eastAsia="Palatino Linotype"/>
          <w:sz w:val="24"/>
          <w:szCs w:val="24"/>
        </w:rPr>
      </w:pPr>
    </w:p>
    <w:p w:rsidRPr="00EE701D" w:rsidR="008D71F7" w:rsidP="008441E2" w:rsidRDefault="00FB1EAC" w14:paraId="5FD38BFE" w14:textId="6D62AC8A">
      <w:pPr>
        <w:rPr>
          <w:rFonts w:ascii="Palatino Linotype" w:hAnsi="Palatino Linotype" w:eastAsia="Palatino Linotype"/>
          <w:sz w:val="24"/>
          <w:szCs w:val="24"/>
        </w:rPr>
      </w:pPr>
      <w:r w:rsidRPr="00EE701D">
        <w:rPr>
          <w:rFonts w:ascii="Palatino Linotype" w:hAnsi="Palatino Linotype" w:eastAsia="Palatino Linotype"/>
          <w:sz w:val="24"/>
          <w:szCs w:val="24"/>
        </w:rPr>
        <w:t>While Cal</w:t>
      </w:r>
      <w:r w:rsidRPr="00EE701D" w:rsidR="001B1C05">
        <w:rPr>
          <w:rFonts w:ascii="Palatino Linotype" w:hAnsi="Palatino Linotype" w:eastAsia="Palatino Linotype"/>
          <w:sz w:val="24"/>
          <w:szCs w:val="24"/>
        </w:rPr>
        <w:t xml:space="preserve"> </w:t>
      </w:r>
      <w:r w:rsidRPr="00EE701D">
        <w:rPr>
          <w:rFonts w:ascii="Palatino Linotype" w:hAnsi="Palatino Linotype" w:eastAsia="Palatino Linotype"/>
          <w:sz w:val="24"/>
          <w:szCs w:val="24"/>
        </w:rPr>
        <w:t xml:space="preserve">Advocates suggests an even lower 110 percent Multiplier for projects within 5 miles outside of DAC census tract boundaries, we find this </w:t>
      </w:r>
      <w:r w:rsidRPr="00EE701D" w:rsidR="00511BD9">
        <w:rPr>
          <w:rFonts w:ascii="Palatino Linotype" w:hAnsi="Palatino Linotype" w:eastAsia="Palatino Linotype"/>
          <w:sz w:val="24"/>
          <w:szCs w:val="24"/>
        </w:rPr>
        <w:t xml:space="preserve">adds complexity </w:t>
      </w:r>
      <w:r w:rsidRPr="00EE701D" w:rsidR="0054204F">
        <w:rPr>
          <w:rFonts w:ascii="Palatino Linotype" w:hAnsi="Palatino Linotype" w:eastAsia="Palatino Linotype"/>
          <w:sz w:val="24"/>
          <w:szCs w:val="24"/>
        </w:rPr>
        <w:t xml:space="preserve">to the procurement process </w:t>
      </w:r>
      <w:r w:rsidRPr="00EE701D" w:rsidR="0004391D">
        <w:rPr>
          <w:rFonts w:ascii="Palatino Linotype" w:hAnsi="Palatino Linotype" w:eastAsia="Palatino Linotype"/>
          <w:sz w:val="24"/>
          <w:szCs w:val="24"/>
        </w:rPr>
        <w:t xml:space="preserve">to require two different Multipliers based on project location. A 120 percent multiplier </w:t>
      </w:r>
      <w:r w:rsidRPr="00EE701D" w:rsidR="00CD442F">
        <w:rPr>
          <w:rFonts w:ascii="Palatino Linotype" w:hAnsi="Palatino Linotype" w:eastAsia="Palatino Linotype"/>
          <w:sz w:val="24"/>
          <w:szCs w:val="24"/>
        </w:rPr>
        <w:t xml:space="preserve">also accounts for any additional </w:t>
      </w:r>
      <w:r w:rsidRPr="00EE701D" w:rsidR="00E11291">
        <w:rPr>
          <w:rFonts w:ascii="Palatino Linotype" w:hAnsi="Palatino Linotype" w:eastAsia="Palatino Linotype"/>
          <w:sz w:val="24"/>
          <w:szCs w:val="24"/>
        </w:rPr>
        <w:t>above-market cost</w:t>
      </w:r>
      <w:r w:rsidRPr="00EE701D" w:rsidR="00CD442F">
        <w:rPr>
          <w:rFonts w:ascii="Palatino Linotype" w:hAnsi="Palatino Linotype" w:eastAsia="Palatino Linotype"/>
          <w:sz w:val="24"/>
          <w:szCs w:val="24"/>
        </w:rPr>
        <w:t xml:space="preserve"> that may be associated with DAC-GT’s additional program eligibility requirements. </w:t>
      </w:r>
    </w:p>
    <w:p w:rsidRPr="00EE701D" w:rsidR="00922597" w:rsidP="008441E2" w:rsidRDefault="00922597" w14:paraId="2131842F" w14:textId="77777777">
      <w:pPr>
        <w:rPr>
          <w:rFonts w:ascii="Palatino Linotype" w:hAnsi="Palatino Linotype" w:eastAsia="Palatino Linotype"/>
          <w:sz w:val="24"/>
          <w:szCs w:val="24"/>
        </w:rPr>
      </w:pPr>
    </w:p>
    <w:p w:rsidRPr="00EE701D" w:rsidR="008047BC" w:rsidP="008441E2" w:rsidRDefault="00DE41CB" w14:paraId="5DB88F49" w14:textId="002C4F06">
      <w:pPr>
        <w:rPr>
          <w:rFonts w:ascii="Palatino Linotype" w:hAnsi="Palatino Linotype" w:eastAsia="Palatino Linotype"/>
          <w:b/>
          <w:sz w:val="24"/>
          <w:szCs w:val="24"/>
          <w:u w:val="single"/>
        </w:rPr>
      </w:pPr>
      <w:r w:rsidRPr="00EE701D">
        <w:rPr>
          <w:rFonts w:ascii="Palatino Linotype" w:hAnsi="Palatino Linotype" w:eastAsia="Palatino Linotype"/>
          <w:b/>
          <w:sz w:val="24"/>
          <w:szCs w:val="24"/>
          <w:u w:val="single"/>
        </w:rPr>
        <w:t xml:space="preserve">Confidentiality of DAC-GT Cost </w:t>
      </w:r>
      <w:r w:rsidRPr="00EE701D" w:rsidR="00247CD0">
        <w:rPr>
          <w:rFonts w:ascii="Palatino Linotype" w:hAnsi="Palatino Linotype" w:eastAsia="Palatino Linotype"/>
          <w:b/>
          <w:sz w:val="24"/>
          <w:szCs w:val="24"/>
          <w:u w:val="single"/>
        </w:rPr>
        <w:t xml:space="preserve">Containment </w:t>
      </w:r>
      <w:r w:rsidRPr="00EE701D">
        <w:rPr>
          <w:rFonts w:ascii="Palatino Linotype" w:hAnsi="Palatino Linotype" w:eastAsia="Palatino Linotype"/>
          <w:b/>
          <w:sz w:val="24"/>
          <w:szCs w:val="24"/>
          <w:u w:val="single"/>
        </w:rPr>
        <w:t>Cap</w:t>
      </w:r>
    </w:p>
    <w:p w:rsidRPr="00EE701D" w:rsidR="008D71F7" w:rsidP="008441E2" w:rsidRDefault="00107315" w14:paraId="2ACF9189" w14:textId="2A9A54E6">
      <w:pPr>
        <w:rPr>
          <w:rFonts w:ascii="Palatino Linotype" w:hAnsi="Palatino Linotype" w:eastAsia="Palatino Linotype"/>
          <w:sz w:val="24"/>
          <w:szCs w:val="24"/>
          <w:u w:val="single"/>
        </w:rPr>
      </w:pPr>
      <w:r w:rsidRPr="00EE701D">
        <w:rPr>
          <w:rFonts w:ascii="Palatino Linotype" w:hAnsi="Palatino Linotype" w:eastAsia="Palatino Linotype"/>
          <w:sz w:val="24"/>
          <w:szCs w:val="24"/>
        </w:rPr>
        <w:t>W</w:t>
      </w:r>
      <w:r w:rsidRPr="00EE701D" w:rsidR="00630EF9">
        <w:rPr>
          <w:rFonts w:ascii="Palatino Linotype" w:hAnsi="Palatino Linotype" w:eastAsia="Palatino Linotype"/>
          <w:sz w:val="24"/>
          <w:szCs w:val="24"/>
        </w:rPr>
        <w:t>e</w:t>
      </w:r>
      <w:r w:rsidRPr="00EE701D">
        <w:rPr>
          <w:rFonts w:ascii="Palatino Linotype" w:hAnsi="Palatino Linotype" w:eastAsia="Palatino Linotype"/>
          <w:sz w:val="24"/>
          <w:szCs w:val="24"/>
        </w:rPr>
        <w:t xml:space="preserve"> reject </w:t>
      </w:r>
      <w:r w:rsidRPr="00EE701D" w:rsidR="00630EF9">
        <w:rPr>
          <w:rFonts w:ascii="Palatino Linotype" w:hAnsi="Palatino Linotype" w:eastAsia="Palatino Linotype"/>
          <w:sz w:val="24"/>
          <w:szCs w:val="24"/>
        </w:rPr>
        <w:t>SEIA</w:t>
      </w:r>
      <w:r w:rsidRPr="00EE701D" w:rsidR="001750C8">
        <w:rPr>
          <w:rFonts w:ascii="Palatino Linotype" w:hAnsi="Palatino Linotype" w:eastAsia="Palatino Linotype"/>
          <w:sz w:val="24"/>
          <w:szCs w:val="24"/>
        </w:rPr>
        <w:t>’s and Dimension’s</w:t>
      </w:r>
      <w:r w:rsidRPr="00EE701D" w:rsidR="00630EF9">
        <w:rPr>
          <w:rFonts w:ascii="Palatino Linotype" w:hAnsi="Palatino Linotype" w:eastAsia="Palatino Linotype"/>
          <w:sz w:val="24"/>
          <w:szCs w:val="24"/>
        </w:rPr>
        <w:t xml:space="preserve"> request that the cost caps be made public. </w:t>
      </w:r>
      <w:r w:rsidRPr="00EE701D" w:rsidR="001750C8">
        <w:rPr>
          <w:rFonts w:ascii="Palatino Linotype" w:hAnsi="Palatino Linotype" w:eastAsia="Palatino Linotype"/>
          <w:sz w:val="24"/>
          <w:szCs w:val="24"/>
        </w:rPr>
        <w:t xml:space="preserve">We agree with the Joint IOUs that </w:t>
      </w:r>
      <w:r w:rsidRPr="00EE701D" w:rsidR="001750C8">
        <w:rPr>
          <w:rFonts w:ascii="Palatino Linotype" w:hAnsi="Palatino Linotype"/>
          <w:color w:val="212121"/>
          <w:sz w:val="24"/>
          <w:szCs w:val="24"/>
        </w:rPr>
        <w:t xml:space="preserve">publishing the cost </w:t>
      </w:r>
      <w:r w:rsidRPr="00EE701D" w:rsidR="001750C8">
        <w:rPr>
          <w:rFonts w:ascii="Palatino Linotype" w:hAnsi="Palatino Linotype"/>
          <w:sz w:val="24"/>
          <w:szCs w:val="24"/>
        </w:rPr>
        <w:t>containment</w:t>
      </w:r>
      <w:r w:rsidRPr="00EE701D" w:rsidR="001750C8">
        <w:rPr>
          <w:rFonts w:ascii="Palatino Linotype" w:hAnsi="Palatino Linotype"/>
          <w:color w:val="212121"/>
          <w:sz w:val="24"/>
          <w:szCs w:val="24"/>
        </w:rPr>
        <w:t xml:space="preserve"> cap in its entirety would eliminate any incentive for developers to submit competitively priced bids and would instead result in bids priced at the cap.</w:t>
      </w:r>
      <w:r w:rsidRPr="00EE701D" w:rsidR="00F76BF3">
        <w:rPr>
          <w:rFonts w:ascii="Palatino Linotype" w:hAnsi="Palatino Linotype"/>
          <w:color w:val="212121"/>
          <w:sz w:val="24"/>
          <w:szCs w:val="24"/>
        </w:rPr>
        <w:t xml:space="preserve"> Further</w:t>
      </w:r>
      <w:r w:rsidRPr="00EE701D" w:rsidR="003C383E">
        <w:rPr>
          <w:rFonts w:ascii="Palatino Linotype" w:hAnsi="Palatino Linotype"/>
          <w:color w:val="212121"/>
          <w:sz w:val="24"/>
          <w:szCs w:val="24"/>
        </w:rPr>
        <w:t>more</w:t>
      </w:r>
      <w:r w:rsidRPr="00EE701D" w:rsidR="00F76BF3">
        <w:rPr>
          <w:rFonts w:ascii="Palatino Linotype" w:hAnsi="Palatino Linotype"/>
          <w:color w:val="212121"/>
          <w:sz w:val="24"/>
          <w:szCs w:val="24"/>
        </w:rPr>
        <w:t xml:space="preserve">, </w:t>
      </w:r>
      <w:r w:rsidRPr="00EE701D" w:rsidR="003C383E">
        <w:rPr>
          <w:rFonts w:ascii="Palatino Linotype" w:hAnsi="Palatino Linotype"/>
          <w:color w:val="212121"/>
          <w:sz w:val="24"/>
          <w:szCs w:val="24"/>
        </w:rPr>
        <w:t xml:space="preserve">we agree with Cal Advocates and </w:t>
      </w:r>
      <w:r w:rsidRPr="00EE701D" w:rsidR="00F76BF3">
        <w:rPr>
          <w:rFonts w:ascii="Palatino Linotype" w:hAnsi="Palatino Linotype"/>
          <w:color w:val="212121"/>
          <w:sz w:val="24"/>
          <w:szCs w:val="24"/>
        </w:rPr>
        <w:t xml:space="preserve">err on the side of confidentiality </w:t>
      </w:r>
      <w:r w:rsidRPr="00EE701D" w:rsidR="003C383E">
        <w:rPr>
          <w:rFonts w:ascii="Palatino Linotype" w:hAnsi="Palatino Linotype"/>
          <w:color w:val="212121"/>
          <w:sz w:val="24"/>
          <w:szCs w:val="24"/>
        </w:rPr>
        <w:t xml:space="preserve">in order </w:t>
      </w:r>
      <w:r w:rsidRPr="00EE701D" w:rsidR="00F76BF3">
        <w:rPr>
          <w:rFonts w:ascii="Palatino Linotype" w:hAnsi="Palatino Linotype"/>
          <w:color w:val="212121"/>
          <w:sz w:val="24"/>
          <w:szCs w:val="24"/>
        </w:rPr>
        <w:t>to protect customers from rising rates</w:t>
      </w:r>
      <w:r w:rsidRPr="00EE701D" w:rsidR="00831DE3">
        <w:rPr>
          <w:rFonts w:ascii="Palatino Linotype" w:hAnsi="Palatino Linotype"/>
          <w:color w:val="212121"/>
          <w:sz w:val="24"/>
          <w:szCs w:val="24"/>
        </w:rPr>
        <w:t>.</w:t>
      </w:r>
    </w:p>
    <w:p w:rsidRPr="00EE701D" w:rsidR="00B22685" w:rsidP="008441E2" w:rsidRDefault="00B22685" w14:paraId="1677E629" w14:textId="77777777">
      <w:pPr>
        <w:rPr>
          <w:rFonts w:ascii="Palatino Linotype" w:hAnsi="Palatino Linotype" w:eastAsia="Palatino Linotype"/>
          <w:sz w:val="24"/>
          <w:szCs w:val="24"/>
        </w:rPr>
      </w:pPr>
    </w:p>
    <w:p w:rsidRPr="00EE701D" w:rsidR="003D1261" w:rsidP="001B4DD9" w:rsidRDefault="006B7490" w14:paraId="1D34E75C" w14:textId="2D65C8B7">
      <w:pPr>
        <w:rPr>
          <w:rFonts w:ascii="Palatino Linotype" w:hAnsi="Palatino Linotype" w:eastAsia="Palatino Linotype"/>
          <w:sz w:val="24"/>
          <w:szCs w:val="24"/>
        </w:rPr>
      </w:pPr>
      <w:r w:rsidRPr="00EE701D">
        <w:rPr>
          <w:rFonts w:ascii="Palatino Linotype" w:hAnsi="Palatino Linotype" w:eastAsia="Palatino Linotype"/>
          <w:b/>
          <w:sz w:val="24"/>
          <w:szCs w:val="24"/>
          <w:u w:val="single"/>
        </w:rPr>
        <w:t>Confidential</w:t>
      </w:r>
      <w:r w:rsidRPr="00EE701D" w:rsidR="002C2150">
        <w:rPr>
          <w:rFonts w:ascii="Palatino Linotype" w:hAnsi="Palatino Linotype" w:eastAsia="Palatino Linotype"/>
          <w:b/>
          <w:sz w:val="24"/>
          <w:szCs w:val="24"/>
          <w:u w:val="single"/>
        </w:rPr>
        <w:t xml:space="preserve"> Treatment of Portions of Joint CCAs’ Cost Cap P</w:t>
      </w:r>
      <w:r w:rsidRPr="00EE701D" w:rsidR="0008225E">
        <w:rPr>
          <w:rFonts w:ascii="Palatino Linotype" w:hAnsi="Palatino Linotype" w:eastAsia="Palatino Linotype"/>
          <w:b/>
          <w:sz w:val="24"/>
          <w:szCs w:val="24"/>
          <w:u w:val="single"/>
        </w:rPr>
        <w:t>r</w:t>
      </w:r>
      <w:r w:rsidRPr="00EE701D" w:rsidR="002C2150">
        <w:rPr>
          <w:rFonts w:ascii="Palatino Linotype" w:hAnsi="Palatino Linotype" w:eastAsia="Palatino Linotype"/>
          <w:b/>
          <w:sz w:val="24"/>
          <w:szCs w:val="24"/>
          <w:u w:val="single"/>
        </w:rPr>
        <w:t>oposal</w:t>
      </w:r>
    </w:p>
    <w:p w:rsidRPr="00EE701D" w:rsidR="00800069" w:rsidP="00946B59" w:rsidRDefault="003D1261" w14:paraId="2242B774" w14:textId="49E71131">
      <w:pPr>
        <w:autoSpaceDE w:val="0"/>
        <w:autoSpaceDN w:val="0"/>
        <w:adjustRightInd w:val="0"/>
        <w:rPr>
          <w:rFonts w:ascii="Palatino Linotype" w:hAnsi="Palatino Linotype" w:cs="v%"/>
          <w:sz w:val="24"/>
          <w:szCs w:val="24"/>
        </w:rPr>
      </w:pPr>
      <w:r w:rsidRPr="00EE701D">
        <w:rPr>
          <w:rFonts w:ascii="Palatino Linotype" w:hAnsi="Palatino Linotype" w:eastAsia="Palatino Linotype"/>
          <w:sz w:val="24"/>
          <w:szCs w:val="24"/>
        </w:rPr>
        <w:t>D.06-06-066, as modified by D.07-05-032, states that the CPUC has “broad discretion to determine whether confidential information submitted by regulat</w:t>
      </w:r>
      <w:r w:rsidRPr="00EE701D" w:rsidR="003C6CD6">
        <w:rPr>
          <w:rFonts w:ascii="Palatino Linotype" w:hAnsi="Palatino Linotype" w:eastAsia="Palatino Linotype"/>
          <w:sz w:val="24"/>
          <w:szCs w:val="24"/>
        </w:rPr>
        <w:t>ed</w:t>
      </w:r>
      <w:r w:rsidRPr="00EE701D">
        <w:rPr>
          <w:rFonts w:ascii="Palatino Linotype" w:hAnsi="Palatino Linotype" w:eastAsia="Palatino Linotype"/>
          <w:sz w:val="24"/>
          <w:szCs w:val="24"/>
        </w:rPr>
        <w:t xml:space="preserve"> public utilities or other entities to the Commission should be shared with other parties. In exercising this discretion, the Commission will demine whether the public interest in keeping materials confidential outweighs the public interest in making them public.” The </w:t>
      </w:r>
      <w:r w:rsidRPr="00EE701D" w:rsidR="00A90CFA">
        <w:rPr>
          <w:rFonts w:ascii="Palatino Linotype" w:hAnsi="Palatino Linotype" w:eastAsia="Palatino Linotype"/>
          <w:sz w:val="24"/>
          <w:szCs w:val="24"/>
        </w:rPr>
        <w:t>Commission’s</w:t>
      </w:r>
      <w:r w:rsidRPr="00EE701D">
        <w:rPr>
          <w:rFonts w:ascii="Palatino Linotype" w:hAnsi="Palatino Linotype" w:eastAsia="Palatino Linotype"/>
          <w:sz w:val="24"/>
          <w:szCs w:val="24"/>
        </w:rPr>
        <w:t xml:space="preserve"> IOU Matrix was later adopted to identify data that the IOUs may treat as confidential.</w:t>
      </w:r>
      <w:r w:rsidRPr="00EE701D" w:rsidR="00C05BAC">
        <w:rPr>
          <w:rFonts w:ascii="Palatino Linotype" w:hAnsi="Palatino Linotype" w:eastAsia="Palatino Linotype"/>
          <w:sz w:val="24"/>
          <w:szCs w:val="24"/>
        </w:rPr>
        <w:t xml:space="preserve"> </w:t>
      </w:r>
    </w:p>
    <w:p w:rsidRPr="00EE701D" w:rsidR="003D1261" w:rsidP="003D1261" w:rsidRDefault="003D1261" w14:paraId="2A9CF84B" w14:textId="77777777">
      <w:pPr>
        <w:autoSpaceDE w:val="0"/>
        <w:autoSpaceDN w:val="0"/>
        <w:adjustRightInd w:val="0"/>
        <w:rPr>
          <w:rFonts w:ascii="Palatino Linotype" w:hAnsi="Palatino Linotype" w:eastAsia="Palatino Linotype" w:cs="v%"/>
          <w:sz w:val="24"/>
          <w:szCs w:val="24"/>
        </w:rPr>
      </w:pPr>
    </w:p>
    <w:p w:rsidRPr="00EE701D" w:rsidR="006A02AF" w:rsidP="002F1B66" w:rsidRDefault="002347ED" w14:paraId="16FB7695" w14:textId="5E63E21A">
      <w:pPr>
        <w:rPr>
          <w:rFonts w:ascii="Palatino Linotype" w:hAnsi="Palatino Linotype"/>
          <w:sz w:val="24"/>
          <w:szCs w:val="24"/>
        </w:rPr>
      </w:pPr>
      <w:r w:rsidRPr="00EE701D">
        <w:rPr>
          <w:rFonts w:ascii="Palatino Linotype" w:hAnsi="Palatino Linotype" w:cs="v%"/>
          <w:sz w:val="24"/>
          <w:szCs w:val="24"/>
        </w:rPr>
        <w:t xml:space="preserve">In its Confidentiality Declaration, attached as Appendix C of the </w:t>
      </w:r>
      <w:r w:rsidRPr="00EE701D" w:rsidR="00385986">
        <w:rPr>
          <w:rFonts w:ascii="Palatino Linotype" w:hAnsi="Palatino Linotype" w:cs="v%"/>
          <w:sz w:val="24"/>
          <w:szCs w:val="24"/>
        </w:rPr>
        <w:t xml:space="preserve">AL </w:t>
      </w:r>
      <w:r w:rsidRPr="00EE701D" w:rsidR="003D1261">
        <w:rPr>
          <w:rFonts w:ascii="Palatino Linotype" w:hAnsi="Palatino Linotype" w:cs="v%"/>
          <w:sz w:val="24"/>
          <w:szCs w:val="24"/>
        </w:rPr>
        <w:t>5352-E/7363-E</w:t>
      </w:r>
      <w:r w:rsidRPr="00EE701D" w:rsidR="009538B5">
        <w:rPr>
          <w:rFonts w:ascii="Palatino Linotype" w:hAnsi="Palatino Linotype" w:cs="v%"/>
          <w:sz w:val="24"/>
          <w:szCs w:val="24"/>
        </w:rPr>
        <w:t>,</w:t>
      </w:r>
      <w:r w:rsidRPr="00EE701D">
        <w:rPr>
          <w:rFonts w:ascii="Palatino Linotype" w:hAnsi="Palatino Linotype" w:cs="v%"/>
          <w:sz w:val="24"/>
          <w:szCs w:val="24"/>
        </w:rPr>
        <w:t xml:space="preserve"> </w:t>
      </w:r>
      <w:r w:rsidRPr="00EE701D" w:rsidR="00946B59">
        <w:rPr>
          <w:rFonts w:ascii="Palatino Linotype" w:hAnsi="Palatino Linotype" w:cs="v%"/>
          <w:sz w:val="24"/>
          <w:szCs w:val="24"/>
        </w:rPr>
        <w:t>SCE</w:t>
      </w:r>
      <w:r w:rsidRPr="00EE701D">
        <w:rPr>
          <w:rFonts w:ascii="Palatino Linotype" w:hAnsi="Palatino Linotype" w:cs="v%"/>
          <w:sz w:val="24"/>
          <w:szCs w:val="24"/>
        </w:rPr>
        <w:t>, on behalf of the Joint IOUs,</w:t>
      </w:r>
      <w:r w:rsidRPr="00EE701D" w:rsidR="00946B59">
        <w:rPr>
          <w:rFonts w:ascii="Palatino Linotype" w:hAnsi="Palatino Linotype" w:cs="v%"/>
          <w:sz w:val="24"/>
          <w:szCs w:val="24"/>
        </w:rPr>
        <w:t xml:space="preserve"> seek</w:t>
      </w:r>
      <w:r w:rsidRPr="00EE701D">
        <w:rPr>
          <w:rFonts w:ascii="Palatino Linotype" w:hAnsi="Palatino Linotype" w:cs="v%"/>
          <w:sz w:val="24"/>
          <w:szCs w:val="24"/>
        </w:rPr>
        <w:t>s</w:t>
      </w:r>
      <w:r w:rsidRPr="00EE701D" w:rsidR="00946B59">
        <w:rPr>
          <w:rFonts w:ascii="Palatino Linotype" w:hAnsi="Palatino Linotype" w:cs="v%"/>
          <w:sz w:val="24"/>
          <w:szCs w:val="24"/>
        </w:rPr>
        <w:t xml:space="preserve"> confidential treatment </w:t>
      </w:r>
      <w:r w:rsidRPr="00EE701D">
        <w:rPr>
          <w:rFonts w:ascii="Palatino Linotype" w:hAnsi="Palatino Linotype" w:cs="v%"/>
          <w:sz w:val="24"/>
          <w:szCs w:val="24"/>
        </w:rPr>
        <w:t xml:space="preserve">of “pricing information” </w:t>
      </w:r>
      <w:r w:rsidRPr="00EE701D" w:rsidR="009538B5">
        <w:rPr>
          <w:rFonts w:ascii="Palatino Linotype" w:hAnsi="Palatino Linotype" w:cs="v%"/>
          <w:sz w:val="24"/>
          <w:szCs w:val="24"/>
        </w:rPr>
        <w:t>in Confidential Appendixes A and B</w:t>
      </w:r>
      <w:r w:rsidRPr="00EE701D" w:rsidR="00AE54AA">
        <w:rPr>
          <w:rFonts w:ascii="Palatino Linotype" w:hAnsi="Palatino Linotype" w:cs="v%"/>
          <w:sz w:val="24"/>
          <w:szCs w:val="24"/>
        </w:rPr>
        <w:t xml:space="preserve">. SCE states that Matrix Category VIII.B “Specific quantitative analysis involve in scoring and evaluation of participating </w:t>
      </w:r>
      <w:r w:rsidRPr="00EE701D" w:rsidR="003D1261">
        <w:rPr>
          <w:rFonts w:ascii="Palatino Linotype" w:hAnsi="Palatino Linotype" w:cs="v%"/>
          <w:sz w:val="24"/>
          <w:szCs w:val="24"/>
        </w:rPr>
        <w:t>b</w:t>
      </w:r>
      <w:r w:rsidRPr="00EE701D" w:rsidR="00AE54AA">
        <w:rPr>
          <w:rFonts w:ascii="Palatino Linotype" w:hAnsi="Palatino Linotype" w:cs="v%"/>
          <w:sz w:val="24"/>
          <w:szCs w:val="24"/>
        </w:rPr>
        <w:t>ids” applies</w:t>
      </w:r>
      <w:r w:rsidRPr="00EE701D" w:rsidR="001E4CDC">
        <w:rPr>
          <w:rFonts w:ascii="Palatino Linotype" w:hAnsi="Palatino Linotype" w:cs="v%"/>
          <w:sz w:val="24"/>
          <w:szCs w:val="24"/>
        </w:rPr>
        <w:t xml:space="preserve"> and that “Pricing information is</w:t>
      </w:r>
      <w:r w:rsidRPr="00EE701D" w:rsidR="003D1261">
        <w:rPr>
          <w:rFonts w:ascii="Palatino Linotype" w:hAnsi="Palatino Linotype" w:cs="v%"/>
          <w:sz w:val="24"/>
          <w:szCs w:val="24"/>
        </w:rPr>
        <w:t xml:space="preserve"> </w:t>
      </w:r>
      <w:r w:rsidRPr="00EE701D" w:rsidR="001E4CDC">
        <w:rPr>
          <w:rFonts w:ascii="Palatino Linotype" w:hAnsi="Palatino Linotype" w:cs="v%"/>
          <w:sz w:val="24"/>
          <w:szCs w:val="24"/>
        </w:rPr>
        <w:t>confidential for three years from the selection of the winning bidders.”</w:t>
      </w:r>
      <w:r w:rsidRPr="00EE701D" w:rsidR="00AE54AA">
        <w:rPr>
          <w:rFonts w:ascii="Palatino Linotype" w:hAnsi="Palatino Linotype" w:cs="v%"/>
          <w:sz w:val="24"/>
          <w:szCs w:val="24"/>
        </w:rPr>
        <w:t xml:space="preserve"> </w:t>
      </w:r>
      <w:r w:rsidRPr="00EE701D" w:rsidR="003D1261">
        <w:rPr>
          <w:rFonts w:ascii="Palatino Linotype" w:hAnsi="Palatino Linotype" w:cs="v%"/>
          <w:sz w:val="24"/>
          <w:szCs w:val="24"/>
        </w:rPr>
        <w:t>Further, SCE, on behalf of the Joint IOUs, allowed appropriate parties (non-market participants</w:t>
      </w:r>
      <w:r w:rsidRPr="00EE701D" w:rsidR="002F1B66">
        <w:rPr>
          <w:rFonts w:ascii="Palatino Linotype" w:hAnsi="Palatino Linotype" w:cs="v%"/>
          <w:sz w:val="24"/>
          <w:szCs w:val="24"/>
        </w:rPr>
        <w:t xml:space="preserve"> or participants with non</w:t>
      </w:r>
      <w:r w:rsidRPr="00EE701D" w:rsidR="00264E45">
        <w:rPr>
          <w:rFonts w:ascii="Palatino Linotype" w:hAnsi="Palatino Linotype" w:cs="v%"/>
          <w:sz w:val="24"/>
          <w:szCs w:val="24"/>
        </w:rPr>
        <w:t>-</w:t>
      </w:r>
      <w:r w:rsidRPr="00EE701D" w:rsidR="002F1B66">
        <w:rPr>
          <w:rFonts w:ascii="Palatino Linotype" w:hAnsi="Palatino Linotype" w:cs="v%"/>
          <w:sz w:val="24"/>
          <w:szCs w:val="24"/>
        </w:rPr>
        <w:t>financial interest</w:t>
      </w:r>
      <w:r w:rsidRPr="00EE701D" w:rsidR="003D1261">
        <w:rPr>
          <w:rFonts w:ascii="Palatino Linotype" w:hAnsi="Palatino Linotype" w:cs="v%"/>
          <w:sz w:val="24"/>
          <w:szCs w:val="24"/>
        </w:rPr>
        <w:t xml:space="preserve">) to obtain the confidential version of the AL upon execution of a non-disclosure agreement. </w:t>
      </w:r>
      <w:r w:rsidRPr="00EE701D" w:rsidR="0047457D">
        <w:rPr>
          <w:rFonts w:ascii="Palatino Linotype" w:hAnsi="Palatino Linotype" w:cs="v%"/>
          <w:sz w:val="24"/>
          <w:szCs w:val="24"/>
        </w:rPr>
        <w:t>Following the filing of AL 53</w:t>
      </w:r>
      <w:r w:rsidRPr="00EE701D" w:rsidR="0075109D">
        <w:rPr>
          <w:rFonts w:ascii="Palatino Linotype" w:hAnsi="Palatino Linotype" w:cs="v%"/>
          <w:sz w:val="24"/>
          <w:szCs w:val="24"/>
        </w:rPr>
        <w:t>6</w:t>
      </w:r>
      <w:r w:rsidRPr="00EE701D" w:rsidR="0047457D">
        <w:rPr>
          <w:rFonts w:ascii="Palatino Linotype" w:hAnsi="Palatino Linotype" w:cs="v%"/>
          <w:sz w:val="24"/>
          <w:szCs w:val="24"/>
        </w:rPr>
        <w:t>2-E/7363-E</w:t>
      </w:r>
      <w:r w:rsidRPr="00EE701D" w:rsidR="0047457D">
        <w:rPr>
          <w:rFonts w:ascii="Palatino Linotype" w:hAnsi="Palatino Linotype" w:eastAsia="Palatino Linotype"/>
          <w:sz w:val="24"/>
          <w:szCs w:val="24"/>
        </w:rPr>
        <w:t xml:space="preserve">, Energy Division requested that the Joint IOUs </w:t>
      </w:r>
      <w:r w:rsidRPr="00EE701D" w:rsidR="00AF087E">
        <w:rPr>
          <w:rFonts w:ascii="Palatino Linotype" w:hAnsi="Palatino Linotype" w:eastAsia="Palatino Linotype"/>
          <w:sz w:val="24"/>
          <w:szCs w:val="24"/>
        </w:rPr>
        <w:t>submit</w:t>
      </w:r>
      <w:r w:rsidRPr="00EE701D" w:rsidR="0047457D">
        <w:rPr>
          <w:rFonts w:ascii="Palatino Linotype" w:hAnsi="Palatino Linotype" w:eastAsia="Palatino Linotype"/>
          <w:sz w:val="24"/>
          <w:szCs w:val="24"/>
        </w:rPr>
        <w:t xml:space="preserve"> a supplemental </w:t>
      </w:r>
      <w:r w:rsidRPr="00EE701D" w:rsidR="00AF087E">
        <w:rPr>
          <w:rFonts w:ascii="Palatino Linotype" w:hAnsi="Palatino Linotype" w:eastAsia="Palatino Linotype"/>
          <w:sz w:val="24"/>
          <w:szCs w:val="24"/>
        </w:rPr>
        <w:t>AL</w:t>
      </w:r>
      <w:r w:rsidRPr="00EE701D" w:rsidR="00F4572B">
        <w:rPr>
          <w:rFonts w:ascii="Palatino Linotype" w:hAnsi="Palatino Linotype" w:eastAsia="Palatino Linotype"/>
          <w:sz w:val="24"/>
          <w:szCs w:val="24"/>
        </w:rPr>
        <w:t xml:space="preserve"> </w:t>
      </w:r>
      <w:r w:rsidRPr="00EE701D" w:rsidR="0047457D">
        <w:rPr>
          <w:rFonts w:ascii="Palatino Linotype" w:hAnsi="Palatino Linotype" w:eastAsia="Palatino Linotype"/>
          <w:sz w:val="24"/>
          <w:szCs w:val="24"/>
        </w:rPr>
        <w:t xml:space="preserve">to </w:t>
      </w:r>
      <w:r w:rsidRPr="00EE701D" w:rsidR="00AF087E">
        <w:rPr>
          <w:rFonts w:ascii="Palatino Linotype" w:hAnsi="Palatino Linotype" w:eastAsia="Palatino Linotype"/>
          <w:sz w:val="24"/>
          <w:szCs w:val="24"/>
        </w:rPr>
        <w:t xml:space="preserve">1) </w:t>
      </w:r>
      <w:r w:rsidRPr="00EE701D" w:rsidR="00AF087E">
        <w:rPr>
          <w:rFonts w:ascii="Palatino Linotype" w:hAnsi="Palatino Linotype"/>
          <w:sz w:val="24"/>
          <w:szCs w:val="24"/>
        </w:rPr>
        <w:t xml:space="preserve">better substantiate why certain information was marked confidential and 2) be more precise in selecting </w:t>
      </w:r>
      <w:r w:rsidRPr="00EE701D" w:rsidR="00B614EE">
        <w:rPr>
          <w:rFonts w:ascii="Palatino Linotype" w:hAnsi="Palatino Linotype"/>
          <w:sz w:val="24"/>
          <w:szCs w:val="24"/>
        </w:rPr>
        <w:t>the information</w:t>
      </w:r>
      <w:r w:rsidRPr="00EE701D" w:rsidR="00AF087E">
        <w:rPr>
          <w:rFonts w:ascii="Palatino Linotype" w:hAnsi="Palatino Linotype"/>
          <w:sz w:val="24"/>
          <w:szCs w:val="24"/>
        </w:rPr>
        <w:t xml:space="preserve"> marked </w:t>
      </w:r>
      <w:r w:rsidRPr="00EE701D" w:rsidR="00B614EE">
        <w:rPr>
          <w:rFonts w:ascii="Palatino Linotype" w:hAnsi="Palatino Linotype"/>
          <w:sz w:val="24"/>
          <w:szCs w:val="24"/>
        </w:rPr>
        <w:t xml:space="preserve">as </w:t>
      </w:r>
      <w:r w:rsidRPr="00EE701D" w:rsidR="00AF087E">
        <w:rPr>
          <w:rFonts w:ascii="Palatino Linotype" w:hAnsi="Palatino Linotype"/>
          <w:sz w:val="24"/>
          <w:szCs w:val="24"/>
        </w:rPr>
        <w:t xml:space="preserve">confidential. </w:t>
      </w:r>
    </w:p>
    <w:p w:rsidRPr="00EE701D" w:rsidR="003D1261" w:rsidP="00946B59" w:rsidRDefault="003D1261" w14:paraId="2582FFF4" w14:textId="4BB56E61">
      <w:pPr>
        <w:autoSpaceDE w:val="0"/>
        <w:autoSpaceDN w:val="0"/>
        <w:adjustRightInd w:val="0"/>
        <w:rPr>
          <w:rFonts w:ascii="Palatino Linotype" w:hAnsi="Palatino Linotype" w:cs="v%"/>
          <w:sz w:val="24"/>
          <w:szCs w:val="24"/>
        </w:rPr>
      </w:pPr>
    </w:p>
    <w:p w:rsidRPr="00EE701D" w:rsidR="003D1261" w:rsidP="004973D4" w:rsidRDefault="00EC6FC3" w14:paraId="386B4D37" w14:textId="49EC34C1">
      <w:pPr>
        <w:rPr>
          <w:rFonts w:ascii="Palatino Linotype" w:hAnsi="Palatino Linotype" w:eastAsia="Palatino Linotype"/>
          <w:sz w:val="24"/>
          <w:szCs w:val="24"/>
        </w:rPr>
      </w:pPr>
      <w:r w:rsidRPr="00EE701D">
        <w:rPr>
          <w:rFonts w:ascii="Palatino Linotype" w:hAnsi="Palatino Linotype" w:eastAsia="Palatino Linotype"/>
          <w:sz w:val="24"/>
          <w:szCs w:val="24"/>
        </w:rPr>
        <w:lastRenderedPageBreak/>
        <w:t>In the case of the</w:t>
      </w:r>
      <w:r w:rsidRPr="00EE701D" w:rsidR="002F1B66">
        <w:rPr>
          <w:rFonts w:ascii="Palatino Linotype" w:hAnsi="Palatino Linotype" w:eastAsia="Palatino Linotype"/>
          <w:sz w:val="24"/>
          <w:szCs w:val="24"/>
        </w:rPr>
        <w:t xml:space="preserve"> Joint IOUs’ </w:t>
      </w:r>
      <w:r w:rsidRPr="00EE701D" w:rsidR="003D1261">
        <w:rPr>
          <w:rFonts w:ascii="Palatino Linotype" w:hAnsi="Palatino Linotype" w:eastAsia="Palatino Linotype"/>
          <w:sz w:val="24"/>
          <w:szCs w:val="24"/>
        </w:rPr>
        <w:t>confidential treatment of the Joint CCAs’ methodology for establishing the CBVRP</w:t>
      </w:r>
      <w:r w:rsidRPr="00EE701D">
        <w:rPr>
          <w:rFonts w:ascii="Palatino Linotype" w:hAnsi="Palatino Linotype" w:eastAsia="Palatino Linotype"/>
          <w:sz w:val="24"/>
          <w:szCs w:val="24"/>
        </w:rPr>
        <w:t xml:space="preserve">, we find that </w:t>
      </w:r>
      <w:r w:rsidRPr="00EE701D" w:rsidR="00D52226">
        <w:rPr>
          <w:rFonts w:ascii="Palatino Linotype" w:hAnsi="Palatino Linotype" w:eastAsia="Palatino Linotype"/>
          <w:sz w:val="24"/>
          <w:szCs w:val="24"/>
        </w:rPr>
        <w:t xml:space="preserve">the Joint IOUs have shown that this </w:t>
      </w:r>
      <w:r w:rsidRPr="00EE701D" w:rsidR="00F97663">
        <w:rPr>
          <w:rFonts w:ascii="Palatino Linotype" w:hAnsi="Palatino Linotype" w:eastAsia="Palatino Linotype"/>
          <w:sz w:val="24"/>
          <w:szCs w:val="24"/>
        </w:rPr>
        <w:t>procurement information</w:t>
      </w:r>
      <w:r w:rsidRPr="00EE701D" w:rsidR="00D52226">
        <w:rPr>
          <w:rFonts w:ascii="Palatino Linotype" w:hAnsi="Palatino Linotype" w:eastAsia="Palatino Linotype"/>
          <w:sz w:val="24"/>
          <w:szCs w:val="24"/>
        </w:rPr>
        <w:t xml:space="preserve"> is </w:t>
      </w:r>
      <w:r w:rsidRPr="00EE701D" w:rsidR="0074270E">
        <w:rPr>
          <w:rFonts w:ascii="Palatino Linotype" w:hAnsi="Palatino Linotype" w:eastAsia="Palatino Linotype"/>
          <w:sz w:val="24"/>
          <w:szCs w:val="24"/>
        </w:rPr>
        <w:t xml:space="preserve">market sensitive and </w:t>
      </w:r>
      <w:r w:rsidRPr="00EE701D" w:rsidR="007E2336">
        <w:rPr>
          <w:rFonts w:ascii="Palatino Linotype" w:hAnsi="Palatino Linotype" w:eastAsia="Palatino Linotype"/>
          <w:sz w:val="24"/>
          <w:szCs w:val="24"/>
        </w:rPr>
        <w:t xml:space="preserve">that </w:t>
      </w:r>
      <w:r w:rsidRPr="00EE701D" w:rsidR="00F86E1D">
        <w:rPr>
          <w:rFonts w:ascii="Palatino Linotype" w:hAnsi="Palatino Linotype" w:eastAsia="Palatino Linotype"/>
          <w:sz w:val="24"/>
          <w:szCs w:val="24"/>
        </w:rPr>
        <w:t xml:space="preserve">publicizing it would lead to higher costs </w:t>
      </w:r>
      <w:r w:rsidRPr="00EE701D" w:rsidR="0026563D">
        <w:rPr>
          <w:rFonts w:ascii="Palatino Linotype" w:hAnsi="Palatino Linotype" w:eastAsia="Palatino Linotype"/>
          <w:sz w:val="24"/>
          <w:szCs w:val="24"/>
        </w:rPr>
        <w:t>for</w:t>
      </w:r>
      <w:r w:rsidRPr="00EE701D" w:rsidR="00F86E1D">
        <w:rPr>
          <w:rFonts w:ascii="Palatino Linotype" w:hAnsi="Palatino Linotype" w:eastAsia="Palatino Linotype"/>
          <w:sz w:val="24"/>
          <w:szCs w:val="24"/>
        </w:rPr>
        <w:t xml:space="preserve"> ratepayers</w:t>
      </w:r>
      <w:r w:rsidRPr="00EE701D" w:rsidR="003D1261">
        <w:rPr>
          <w:rFonts w:ascii="Palatino Linotype" w:hAnsi="Palatino Linotype"/>
          <w:color w:val="212121"/>
          <w:sz w:val="24"/>
          <w:szCs w:val="24"/>
        </w:rPr>
        <w:t>.</w:t>
      </w:r>
      <w:r w:rsidRPr="00EE701D" w:rsidR="003D1261">
        <w:rPr>
          <w:rFonts w:ascii="Palatino Linotype" w:hAnsi="Palatino Linotype" w:eastAsia="Palatino Linotype"/>
          <w:sz w:val="24"/>
          <w:szCs w:val="24"/>
        </w:rPr>
        <w:t xml:space="preserve"> </w:t>
      </w:r>
    </w:p>
    <w:p w:rsidRPr="00EE701D" w:rsidR="009B4585" w:rsidP="009B4585" w:rsidRDefault="009B4585" w14:paraId="0FC28733" w14:textId="77777777">
      <w:pPr>
        <w:rPr>
          <w:rFonts w:ascii="Palatino Linotype" w:hAnsi="Palatino Linotype" w:eastAsia="Palatino Linotype"/>
          <w:sz w:val="24"/>
          <w:szCs w:val="24"/>
        </w:rPr>
      </w:pPr>
    </w:p>
    <w:p w:rsidRPr="00EE701D" w:rsidR="00CF17DE" w:rsidP="4BA7214B" w:rsidRDefault="00CF17DE" w14:paraId="16A82360" w14:textId="77777777">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t>Comments</w:t>
      </w:r>
    </w:p>
    <w:p w:rsidRPr="00EE701D" w:rsidR="00020C65" w:rsidP="00020C65" w:rsidRDefault="00020C65" w14:paraId="52B48B6F" w14:textId="120D9E2E">
      <w:pPr>
        <w:rPr>
          <w:rFonts w:ascii="Palatino Linotype" w:hAnsi="Palatino Linotype" w:eastAsia="Palatino Linotype"/>
          <w:sz w:val="24"/>
          <w:szCs w:val="24"/>
        </w:rPr>
      </w:pPr>
      <w:r w:rsidRPr="00EE701D">
        <w:rPr>
          <w:rFonts w:ascii="Palatino Linotype" w:hAnsi="Palatino Linotype" w:eastAsia="Palatino Linotype"/>
          <w:sz w:val="24"/>
          <w:szCs w:val="24"/>
        </w:rPr>
        <w:t>Public Utilities Code section 311(g)(1) provides that this resolution must be served on all parties and subject to at least 30 days public review. Please note that comments are due 20 days from the mailing date of this resolution. Section 311(g)(2) provides that this 30-day review period and 20-day comment period may be reduced or waived upon the stipulation of all parties in the proceeding.</w:t>
      </w:r>
    </w:p>
    <w:p w:rsidRPr="00EE701D" w:rsidR="00020C65" w:rsidP="00020C65" w:rsidRDefault="00020C65" w14:paraId="7522143A" w14:textId="77777777">
      <w:pPr>
        <w:rPr>
          <w:rFonts w:ascii="Palatino Linotype" w:hAnsi="Palatino Linotype" w:eastAsia="Palatino Linotype"/>
          <w:sz w:val="24"/>
          <w:szCs w:val="24"/>
        </w:rPr>
      </w:pPr>
    </w:p>
    <w:p w:rsidRPr="00EE701D" w:rsidR="00E924B8" w:rsidP="00B1395C" w:rsidRDefault="00020C65" w14:paraId="4C1E8016" w14:textId="4CDAD172">
      <w:pPr>
        <w:rPr>
          <w:rFonts w:ascii="Palatino Linotype" w:hAnsi="Palatino Linotype" w:eastAsia="Palatino Linotype"/>
          <w:sz w:val="24"/>
          <w:szCs w:val="24"/>
        </w:rPr>
      </w:pPr>
      <w:r w:rsidRPr="00EE701D">
        <w:rPr>
          <w:rFonts w:ascii="Palatino Linotype" w:hAnsi="Palatino Linotype" w:eastAsia="Palatino Linotype"/>
          <w:sz w:val="24"/>
          <w:szCs w:val="24"/>
        </w:rPr>
        <w:t>The 30-day review and 20-day comment period for the draft of this resolution was</w:t>
      </w:r>
      <w:r w:rsidRPr="00EE701D" w:rsidR="00CD559D">
        <w:rPr>
          <w:rFonts w:ascii="Palatino Linotype" w:hAnsi="Palatino Linotype" w:eastAsia="Palatino Linotype"/>
          <w:sz w:val="24"/>
          <w:szCs w:val="24"/>
        </w:rPr>
        <w:t xml:space="preserve"> </w:t>
      </w:r>
      <w:r w:rsidRPr="00EE701D">
        <w:rPr>
          <w:rFonts w:ascii="Palatino Linotype" w:hAnsi="Palatino Linotype" w:eastAsia="Palatino Linotype"/>
          <w:sz w:val="24"/>
          <w:szCs w:val="24"/>
        </w:rPr>
        <w:t>neither waived nor reduced.</w:t>
      </w:r>
      <w:r w:rsidR="00C83944">
        <w:rPr>
          <w:rFonts w:ascii="Palatino Linotype" w:hAnsi="Palatino Linotype" w:eastAsia="Palatino Linotype"/>
          <w:sz w:val="24"/>
          <w:szCs w:val="24"/>
        </w:rPr>
        <w:t xml:space="preserve"> </w:t>
      </w:r>
      <w:r w:rsidRPr="00C83944" w:rsidR="00C83944">
        <w:rPr>
          <w:rFonts w:ascii="Palatino Linotype" w:hAnsi="Palatino Linotype" w:eastAsia="Palatino Linotype"/>
          <w:sz w:val="24"/>
          <w:szCs w:val="24"/>
        </w:rPr>
        <w:t>Accordingly, this draft resolution was mailed to parties for comments, and will be placed on the Commission's agenda no earlier than 30 days from today. </w:t>
      </w:r>
      <w:r w:rsidRPr="00EE701D" w:rsidR="00B1395C">
        <w:rPr>
          <w:rFonts w:ascii="Palatino Linotype" w:hAnsi="Palatino Linotype" w:eastAsia="Palatino Linotype"/>
          <w:sz w:val="24"/>
          <w:szCs w:val="24"/>
        </w:rPr>
        <w:br/>
      </w:r>
    </w:p>
    <w:p w:rsidRPr="00EE701D" w:rsidR="00CF17DE" w:rsidP="4BA7214B" w:rsidRDefault="00CF17DE" w14:paraId="07618DBE" w14:textId="58DE3254">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t>Findings</w:t>
      </w:r>
      <w:r w:rsidR="003852F7">
        <w:rPr>
          <w:rFonts w:ascii="Palatino Linotype" w:hAnsi="Palatino Linotype" w:eastAsia="Palatino Linotype"/>
          <w:sz w:val="24"/>
          <w:szCs w:val="24"/>
        </w:rPr>
        <w:t xml:space="preserve"> AND CONCLUSIONS</w:t>
      </w:r>
    </w:p>
    <w:p w:rsidRPr="00EE701D" w:rsidR="00A8596C" w:rsidP="00A8596C" w:rsidRDefault="00A8596C" w14:paraId="4CC92EE0" w14:textId="3EEA48FA">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On June 22, 2018, pursuant to AB 327, the </w:t>
      </w:r>
      <w:r w:rsidRPr="00EE701D" w:rsidR="003F5FB3">
        <w:rPr>
          <w:rFonts w:ascii="Palatino Linotype" w:hAnsi="Palatino Linotype" w:eastAsia="Palatino Linotype"/>
          <w:sz w:val="24"/>
          <w:szCs w:val="24"/>
        </w:rPr>
        <w:t xml:space="preserve">Commission </w:t>
      </w:r>
      <w:r w:rsidRPr="00EE701D">
        <w:rPr>
          <w:rFonts w:ascii="Palatino Linotype" w:hAnsi="Palatino Linotype" w:eastAsia="Palatino Linotype"/>
          <w:sz w:val="24"/>
          <w:szCs w:val="24"/>
        </w:rPr>
        <w:t xml:space="preserve">adopted Decision </w:t>
      </w:r>
      <w:r w:rsidR="00985E31">
        <w:rPr>
          <w:rFonts w:ascii="Palatino Linotype" w:hAnsi="Palatino Linotype" w:eastAsia="Palatino Linotype"/>
          <w:sz w:val="24"/>
          <w:szCs w:val="24"/>
        </w:rPr>
        <w:br/>
      </w:r>
      <w:r w:rsidRPr="00EE701D">
        <w:rPr>
          <w:rFonts w:ascii="Palatino Linotype" w:hAnsi="Palatino Linotype" w:eastAsia="Palatino Linotype"/>
          <w:sz w:val="24"/>
          <w:szCs w:val="24"/>
        </w:rPr>
        <w:t>(D.)18-06-027 creating the DAC Green Tariff (DAC-GT) program, which provides residential customers in DACs increased access to renewable generation.</w:t>
      </w:r>
    </w:p>
    <w:p w:rsidRPr="00EE701D" w:rsidR="00657B14" w:rsidP="00E85876" w:rsidRDefault="00657B14" w14:paraId="0D35169D" w14:textId="02304506">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On June 3, 2019</w:t>
      </w:r>
      <w:r w:rsidRPr="00EE701D" w:rsidR="004525CA">
        <w:rPr>
          <w:rFonts w:ascii="Palatino Linotype" w:hAnsi="Palatino Linotype" w:eastAsia="Palatino Linotype"/>
          <w:sz w:val="24"/>
          <w:szCs w:val="24"/>
        </w:rPr>
        <w:t>,</w:t>
      </w:r>
      <w:r w:rsidRPr="00EE701D">
        <w:rPr>
          <w:rFonts w:ascii="Palatino Linotype" w:hAnsi="Palatino Linotype" w:eastAsia="Palatino Linotype"/>
          <w:sz w:val="24"/>
          <w:szCs w:val="24"/>
        </w:rPr>
        <w:t xml:space="preserve"> the</w:t>
      </w:r>
      <w:r w:rsidRPr="00EE701D" w:rsidDel="003F5FB3">
        <w:rPr>
          <w:rFonts w:ascii="Palatino Linotype" w:hAnsi="Palatino Linotype" w:eastAsia="Palatino Linotype"/>
          <w:sz w:val="24"/>
          <w:szCs w:val="24"/>
        </w:rPr>
        <w:t xml:space="preserve"> </w:t>
      </w:r>
      <w:r w:rsidRPr="00EE701D" w:rsidR="003F5FB3">
        <w:rPr>
          <w:rFonts w:ascii="Palatino Linotype" w:hAnsi="Palatino Linotype" w:eastAsia="Palatino Linotype"/>
          <w:sz w:val="24"/>
          <w:szCs w:val="24"/>
        </w:rPr>
        <w:t xml:space="preserve">Commission </w:t>
      </w:r>
      <w:r w:rsidRPr="00EE701D">
        <w:rPr>
          <w:rFonts w:ascii="Palatino Linotype" w:hAnsi="Palatino Linotype" w:eastAsia="Palatino Linotype"/>
          <w:sz w:val="24"/>
          <w:szCs w:val="24"/>
        </w:rPr>
        <w:t>issued Resolution E-4999 which approved with</w:t>
      </w:r>
      <w:r w:rsidRPr="00EE701D" w:rsidR="00553A48">
        <w:rPr>
          <w:rFonts w:ascii="Palatino Linotype" w:hAnsi="Palatino Linotype" w:eastAsia="Palatino Linotype"/>
          <w:sz w:val="24"/>
          <w:szCs w:val="24"/>
        </w:rPr>
        <w:t xml:space="preserve"> </w:t>
      </w:r>
      <w:r w:rsidRPr="00EE701D">
        <w:rPr>
          <w:rFonts w:ascii="Palatino Linotype" w:hAnsi="Palatino Linotype" w:eastAsia="Palatino Linotype"/>
          <w:sz w:val="24"/>
          <w:szCs w:val="24"/>
        </w:rPr>
        <w:t>modification, PG&amp;E, SCE and SDG&amp;E’s tariffs to implement their DAC-GT and</w:t>
      </w:r>
      <w:r w:rsidRPr="00EE701D" w:rsidR="00135E6D">
        <w:rPr>
          <w:rFonts w:ascii="Palatino Linotype" w:hAnsi="Palatino Linotype" w:eastAsia="Palatino Linotype"/>
          <w:sz w:val="24"/>
          <w:szCs w:val="24"/>
        </w:rPr>
        <w:t xml:space="preserve"> </w:t>
      </w:r>
      <w:r w:rsidRPr="00EE701D">
        <w:rPr>
          <w:rFonts w:ascii="Palatino Linotype" w:hAnsi="Palatino Linotype" w:eastAsia="Palatino Linotype"/>
          <w:sz w:val="24"/>
          <w:szCs w:val="24"/>
        </w:rPr>
        <w:t>CSGT Programs</w:t>
      </w:r>
      <w:r w:rsidRPr="00EE701D" w:rsidR="003F5FB3">
        <w:rPr>
          <w:rFonts w:ascii="Palatino Linotype" w:hAnsi="Palatino Linotype" w:eastAsia="Palatino Linotype"/>
          <w:sz w:val="24"/>
          <w:szCs w:val="24"/>
        </w:rPr>
        <w:t>.</w:t>
      </w:r>
    </w:p>
    <w:p w:rsidRPr="00EE701D" w:rsidR="00CF17DE" w:rsidP="4BA7214B" w:rsidRDefault="00A8596C" w14:paraId="4487620D" w14:textId="397B1447">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D.24-05-065</w:t>
      </w:r>
      <w:r w:rsidRPr="00EE701D" w:rsidR="00CF17DE">
        <w:rPr>
          <w:rFonts w:ascii="Palatino Linotype" w:hAnsi="Palatino Linotype" w:eastAsia="Palatino Linotype"/>
          <w:sz w:val="24"/>
          <w:szCs w:val="24"/>
        </w:rPr>
        <w:t xml:space="preserve"> directed </w:t>
      </w:r>
      <w:r w:rsidRPr="00EE701D">
        <w:rPr>
          <w:rFonts w:ascii="Palatino Linotype" w:hAnsi="Palatino Linotype" w:eastAsia="Palatino Linotype"/>
          <w:sz w:val="24"/>
          <w:szCs w:val="24"/>
        </w:rPr>
        <w:t>SCE and PG&amp;E</w:t>
      </w:r>
      <w:r w:rsidRPr="00EE701D" w:rsidR="00CF17DE">
        <w:rPr>
          <w:rFonts w:ascii="Palatino Linotype" w:hAnsi="Palatino Linotype" w:eastAsia="Palatino Linotype"/>
          <w:sz w:val="24"/>
          <w:szCs w:val="24"/>
        </w:rPr>
        <w:t xml:space="preserve"> to file an Advice Letter to</w:t>
      </w:r>
      <w:r w:rsidRPr="00EE701D">
        <w:rPr>
          <w:rFonts w:ascii="Palatino Linotype" w:hAnsi="Palatino Linotype" w:eastAsia="Palatino Linotype"/>
          <w:sz w:val="24"/>
          <w:szCs w:val="24"/>
        </w:rPr>
        <w:t xml:space="preserve"> work together with participating CCAs and </w:t>
      </w:r>
      <w:r w:rsidRPr="00EE701D">
        <w:rPr>
          <w:rFonts w:ascii="Palatino Linotype" w:hAnsi="Palatino Linotype"/>
          <w:sz w:val="24"/>
          <w:szCs w:val="24"/>
        </w:rPr>
        <w:t>submit a Tier 2 Advice Letter proposing a method for updating the DAC-GT cost containment cap.</w:t>
      </w:r>
    </w:p>
    <w:p w:rsidRPr="00EE701D" w:rsidR="008664C3" w:rsidP="000B3531" w:rsidRDefault="008664C3" w14:paraId="32E8551F" w14:textId="74F09B6E">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To satisfy the requirements in </w:t>
      </w:r>
      <w:r w:rsidRPr="00EE701D" w:rsidR="000B3531">
        <w:rPr>
          <w:rFonts w:ascii="Palatino Linotype" w:hAnsi="Palatino Linotype" w:eastAsia="Palatino Linotype"/>
          <w:sz w:val="24"/>
          <w:szCs w:val="24"/>
        </w:rPr>
        <w:t>D.24-05-065</w:t>
      </w:r>
      <w:r w:rsidRPr="00EE701D">
        <w:rPr>
          <w:rFonts w:ascii="Palatino Linotype" w:hAnsi="Palatino Linotype" w:eastAsia="Palatino Linotype"/>
          <w:sz w:val="24"/>
          <w:szCs w:val="24"/>
        </w:rPr>
        <w:t xml:space="preserve">, </w:t>
      </w:r>
      <w:r w:rsidRPr="00EE701D" w:rsidR="000B3531">
        <w:rPr>
          <w:rFonts w:ascii="Palatino Linotype" w:hAnsi="Palatino Linotype" w:eastAsia="Palatino Linotype"/>
          <w:sz w:val="24"/>
          <w:szCs w:val="24"/>
        </w:rPr>
        <w:t>SCE and PG&amp;E</w:t>
      </w:r>
      <w:r w:rsidRPr="00EE701D">
        <w:rPr>
          <w:rFonts w:ascii="Palatino Linotype" w:hAnsi="Palatino Linotype" w:eastAsia="Palatino Linotype"/>
          <w:sz w:val="24"/>
          <w:szCs w:val="24"/>
        </w:rPr>
        <w:t xml:space="preserve"> filed </w:t>
      </w:r>
      <w:r w:rsidRPr="00EE701D" w:rsidR="000B3531">
        <w:rPr>
          <w:rFonts w:ascii="Palatino Linotype" w:hAnsi="Palatino Linotype" w:eastAsia="Palatino Linotype"/>
          <w:sz w:val="24"/>
          <w:szCs w:val="24"/>
        </w:rPr>
        <w:t xml:space="preserve">Joint </w:t>
      </w:r>
      <w:r w:rsidRPr="00EE701D">
        <w:rPr>
          <w:rFonts w:ascii="Palatino Linotype" w:hAnsi="Palatino Linotype" w:eastAsia="Palatino Linotype"/>
          <w:sz w:val="24"/>
          <w:szCs w:val="24"/>
        </w:rPr>
        <w:t xml:space="preserve">AL </w:t>
      </w:r>
      <w:r w:rsidRPr="00EE701D" w:rsidR="000B3531">
        <w:rPr>
          <w:rFonts w:ascii="Palatino Linotype" w:hAnsi="Palatino Linotype" w:eastAsia="Palatino Linotype"/>
          <w:sz w:val="24"/>
          <w:szCs w:val="24"/>
        </w:rPr>
        <w:t>5362-E and 7363-E</w:t>
      </w:r>
      <w:r w:rsidRPr="00EE701D">
        <w:rPr>
          <w:rFonts w:ascii="Palatino Linotype" w:hAnsi="Palatino Linotype" w:eastAsia="Palatino Linotype"/>
          <w:sz w:val="24"/>
          <w:szCs w:val="24"/>
        </w:rPr>
        <w:t xml:space="preserve"> on</w:t>
      </w:r>
      <w:r w:rsidRPr="00EE701D" w:rsidR="000B3531">
        <w:rPr>
          <w:rFonts w:ascii="Palatino Linotype" w:hAnsi="Palatino Linotype" w:eastAsia="Palatino Linotype"/>
          <w:sz w:val="24"/>
          <w:szCs w:val="24"/>
        </w:rPr>
        <w:t xml:space="preserve"> </w:t>
      </w:r>
      <w:r w:rsidRPr="00EE701D" w:rsidR="003B255A">
        <w:rPr>
          <w:rFonts w:ascii="Palatino Linotype" w:hAnsi="Palatino Linotype" w:eastAsia="Palatino Linotype"/>
          <w:sz w:val="24"/>
          <w:szCs w:val="24"/>
        </w:rPr>
        <w:t xml:space="preserve">August </w:t>
      </w:r>
      <w:r w:rsidRPr="00EE701D" w:rsidR="00C1084C">
        <w:rPr>
          <w:rFonts w:ascii="Palatino Linotype" w:hAnsi="Palatino Linotype" w:eastAsia="Palatino Linotype"/>
          <w:sz w:val="24"/>
          <w:szCs w:val="24"/>
        </w:rPr>
        <w:t>2</w:t>
      </w:r>
      <w:r w:rsidRPr="00EE701D" w:rsidR="003B255A">
        <w:rPr>
          <w:rFonts w:ascii="Palatino Linotype" w:hAnsi="Palatino Linotype" w:eastAsia="Palatino Linotype"/>
          <w:sz w:val="24"/>
          <w:szCs w:val="24"/>
        </w:rPr>
        <w:t>8</w:t>
      </w:r>
      <w:r w:rsidRPr="00EE701D">
        <w:rPr>
          <w:rFonts w:ascii="Palatino Linotype" w:hAnsi="Palatino Linotype" w:eastAsia="Palatino Linotype"/>
          <w:sz w:val="24"/>
          <w:szCs w:val="24"/>
        </w:rPr>
        <w:t>, 202</w:t>
      </w:r>
      <w:r w:rsidRPr="00EE701D" w:rsidR="003B255A">
        <w:rPr>
          <w:rFonts w:ascii="Palatino Linotype" w:hAnsi="Palatino Linotype" w:eastAsia="Palatino Linotype"/>
          <w:sz w:val="24"/>
          <w:szCs w:val="24"/>
        </w:rPr>
        <w:t>4</w:t>
      </w:r>
      <w:r w:rsidRPr="00EE701D">
        <w:rPr>
          <w:rFonts w:ascii="Palatino Linotype" w:hAnsi="Palatino Linotype" w:eastAsia="Palatino Linotype"/>
          <w:sz w:val="24"/>
          <w:szCs w:val="24"/>
        </w:rPr>
        <w:t>.</w:t>
      </w:r>
    </w:p>
    <w:p w:rsidRPr="00EE701D" w:rsidR="008664C3" w:rsidP="0064184A" w:rsidRDefault="008664C3" w14:paraId="5C17A0B1" w14:textId="634D7FA2">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On </w:t>
      </w:r>
      <w:r w:rsidRPr="00EE701D" w:rsidR="00273F91">
        <w:rPr>
          <w:rFonts w:ascii="Palatino Linotype" w:hAnsi="Palatino Linotype" w:eastAsia="Palatino Linotype"/>
          <w:sz w:val="24"/>
          <w:szCs w:val="24"/>
        </w:rPr>
        <w:t>September 17</w:t>
      </w:r>
      <w:r w:rsidRPr="00EE701D">
        <w:rPr>
          <w:rFonts w:ascii="Palatino Linotype" w:hAnsi="Palatino Linotype" w:eastAsia="Palatino Linotype"/>
          <w:sz w:val="24"/>
          <w:szCs w:val="24"/>
        </w:rPr>
        <w:t xml:space="preserve">, </w:t>
      </w:r>
      <w:r w:rsidRPr="00EE701D" w:rsidR="00273F91">
        <w:rPr>
          <w:rFonts w:ascii="Palatino Linotype" w:hAnsi="Palatino Linotype" w:eastAsia="Palatino Linotype"/>
          <w:sz w:val="24"/>
          <w:szCs w:val="24"/>
        </w:rPr>
        <w:t xml:space="preserve">2024, </w:t>
      </w:r>
      <w:r w:rsidRPr="00EE701D" w:rsidR="001847FE">
        <w:rPr>
          <w:rFonts w:ascii="Palatino Linotype" w:hAnsi="Palatino Linotype" w:eastAsia="Palatino Linotype"/>
          <w:sz w:val="24"/>
          <w:szCs w:val="24"/>
        </w:rPr>
        <w:t xml:space="preserve">CCSA, the Joint CCAs, </w:t>
      </w:r>
      <w:r w:rsidRPr="00EE701D" w:rsidR="003868CF">
        <w:rPr>
          <w:rFonts w:ascii="Palatino Linotype" w:hAnsi="Palatino Linotype" w:eastAsia="Palatino Linotype"/>
          <w:sz w:val="24"/>
          <w:szCs w:val="24"/>
        </w:rPr>
        <w:t>Cal Advocates, and SEIA</w:t>
      </w:r>
      <w:r w:rsidRPr="00EE701D">
        <w:rPr>
          <w:rFonts w:ascii="Palatino Linotype" w:hAnsi="Palatino Linotype" w:eastAsia="Palatino Linotype"/>
          <w:sz w:val="24"/>
          <w:szCs w:val="24"/>
        </w:rPr>
        <w:t xml:space="preserve"> submitted timely</w:t>
      </w:r>
      <w:r w:rsidRPr="00EE701D" w:rsidR="003868CF">
        <w:rPr>
          <w:rFonts w:ascii="Palatino Linotype" w:hAnsi="Palatino Linotype" w:eastAsia="Palatino Linotype"/>
          <w:sz w:val="24"/>
          <w:szCs w:val="24"/>
        </w:rPr>
        <w:t xml:space="preserve"> protests and Dimension </w:t>
      </w:r>
      <w:r w:rsidRPr="00EE701D" w:rsidR="00F06E2F">
        <w:rPr>
          <w:rFonts w:ascii="Palatino Linotype" w:hAnsi="Palatino Linotype" w:eastAsia="Palatino Linotype"/>
          <w:sz w:val="24"/>
          <w:szCs w:val="24"/>
        </w:rPr>
        <w:t>submitted a</w:t>
      </w:r>
      <w:r w:rsidRPr="00EE701D">
        <w:rPr>
          <w:rFonts w:ascii="Palatino Linotype" w:hAnsi="Palatino Linotype" w:eastAsia="Palatino Linotype"/>
          <w:sz w:val="24"/>
          <w:szCs w:val="24"/>
        </w:rPr>
        <w:t xml:space="preserve"> response to </w:t>
      </w:r>
      <w:r w:rsidRPr="00EE701D" w:rsidR="00F06E2F">
        <w:rPr>
          <w:rFonts w:ascii="Palatino Linotype" w:hAnsi="Palatino Linotype" w:eastAsia="Palatino Linotype"/>
          <w:sz w:val="24"/>
          <w:szCs w:val="24"/>
        </w:rPr>
        <w:t>Joint AL SCE 5362-E and PG&amp;E 7363-E</w:t>
      </w:r>
      <w:r w:rsidRPr="00EE701D" w:rsidR="00811594">
        <w:rPr>
          <w:rFonts w:ascii="Palatino Linotype" w:hAnsi="Palatino Linotype" w:eastAsia="Palatino Linotype"/>
          <w:sz w:val="24"/>
          <w:szCs w:val="24"/>
        </w:rPr>
        <w:t>.</w:t>
      </w:r>
    </w:p>
    <w:p w:rsidRPr="00EE701D" w:rsidR="00811594" w:rsidP="00811594" w:rsidRDefault="00811594" w14:paraId="1F2902C5" w14:textId="77777777">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On September 24, 2024, the Joint IOUs submitted a timely reply to the protests.</w:t>
      </w:r>
    </w:p>
    <w:p w:rsidRPr="00EE701D" w:rsidR="008664C3" w:rsidP="008664C3" w:rsidRDefault="008664C3" w14:paraId="117C7AC0" w14:textId="3CFE65C7">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On November </w:t>
      </w:r>
      <w:r w:rsidRPr="00EE701D" w:rsidR="0064184A">
        <w:rPr>
          <w:rFonts w:ascii="Palatino Linotype" w:hAnsi="Palatino Linotype" w:eastAsia="Palatino Linotype"/>
          <w:sz w:val="24"/>
          <w:szCs w:val="24"/>
        </w:rPr>
        <w:t>6</w:t>
      </w:r>
      <w:r w:rsidRPr="00EE701D">
        <w:rPr>
          <w:rFonts w:ascii="Palatino Linotype" w:hAnsi="Palatino Linotype" w:eastAsia="Palatino Linotype"/>
          <w:sz w:val="24"/>
          <w:szCs w:val="24"/>
        </w:rPr>
        <w:t>, 202</w:t>
      </w:r>
      <w:r w:rsidRPr="00EE701D" w:rsidR="0064184A">
        <w:rPr>
          <w:rFonts w:ascii="Palatino Linotype" w:hAnsi="Palatino Linotype" w:eastAsia="Palatino Linotype"/>
          <w:sz w:val="24"/>
          <w:szCs w:val="24"/>
        </w:rPr>
        <w:t>4</w:t>
      </w:r>
      <w:r w:rsidRPr="00EE701D">
        <w:rPr>
          <w:rFonts w:ascii="Palatino Linotype" w:hAnsi="Palatino Linotype" w:eastAsia="Palatino Linotype"/>
          <w:sz w:val="24"/>
          <w:szCs w:val="24"/>
        </w:rPr>
        <w:t xml:space="preserve">, </w:t>
      </w:r>
      <w:r w:rsidRPr="00EE701D" w:rsidR="0064184A">
        <w:rPr>
          <w:rFonts w:ascii="Palatino Linotype" w:hAnsi="Palatino Linotype" w:eastAsia="Palatino Linotype"/>
          <w:sz w:val="24"/>
          <w:szCs w:val="24"/>
        </w:rPr>
        <w:t>SCE and PG&amp;E jointly submitted</w:t>
      </w:r>
      <w:r w:rsidRPr="00EE701D">
        <w:rPr>
          <w:rFonts w:ascii="Palatino Linotype" w:hAnsi="Palatino Linotype" w:eastAsia="Palatino Linotype"/>
          <w:sz w:val="24"/>
          <w:szCs w:val="24"/>
        </w:rPr>
        <w:t xml:space="preserve"> </w:t>
      </w:r>
      <w:r w:rsidRPr="00EE701D" w:rsidR="003A4CD8">
        <w:rPr>
          <w:rFonts w:ascii="Palatino Linotype" w:hAnsi="Palatino Linotype" w:eastAsia="Palatino Linotype"/>
          <w:sz w:val="24"/>
          <w:szCs w:val="24"/>
        </w:rPr>
        <w:t xml:space="preserve">supplemental </w:t>
      </w:r>
      <w:r w:rsidR="00985E31">
        <w:rPr>
          <w:rFonts w:ascii="Palatino Linotype" w:hAnsi="Palatino Linotype" w:eastAsia="Palatino Linotype"/>
          <w:sz w:val="24"/>
          <w:szCs w:val="24"/>
        </w:rPr>
        <w:br/>
      </w:r>
      <w:r w:rsidRPr="00EE701D" w:rsidR="003A4CD8">
        <w:rPr>
          <w:rFonts w:ascii="Palatino Linotype" w:hAnsi="Palatino Linotype" w:eastAsia="Palatino Linotype"/>
          <w:sz w:val="24"/>
          <w:szCs w:val="24"/>
        </w:rPr>
        <w:t xml:space="preserve">AL SCE 5362-E-A and PG&amp;E </w:t>
      </w:r>
      <w:r w:rsidRPr="00EE701D" w:rsidR="001A70E8">
        <w:rPr>
          <w:rFonts w:ascii="Palatino Linotype" w:hAnsi="Palatino Linotype" w:eastAsia="Palatino Linotype"/>
          <w:sz w:val="24"/>
          <w:szCs w:val="24"/>
        </w:rPr>
        <w:t>7363-E-A, replacing the original joint AL in its entirely.</w:t>
      </w:r>
      <w:r w:rsidRPr="00EE701D">
        <w:rPr>
          <w:rFonts w:ascii="Palatino Linotype" w:hAnsi="Palatino Linotype" w:eastAsia="Palatino Linotype"/>
          <w:sz w:val="24"/>
          <w:szCs w:val="24"/>
        </w:rPr>
        <w:t xml:space="preserve"> </w:t>
      </w:r>
    </w:p>
    <w:p w:rsidRPr="00EE701D" w:rsidR="00A8596C" w:rsidP="008664C3" w:rsidRDefault="001A70E8" w14:paraId="63E542E9" w14:textId="06935DA9">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lastRenderedPageBreak/>
        <w:t xml:space="preserve">On November </w:t>
      </w:r>
      <w:r w:rsidRPr="00EE701D" w:rsidR="007C50F7">
        <w:rPr>
          <w:rFonts w:ascii="Palatino Linotype" w:hAnsi="Palatino Linotype" w:eastAsia="Palatino Linotype"/>
          <w:sz w:val="24"/>
          <w:szCs w:val="24"/>
        </w:rPr>
        <w:t xml:space="preserve">26, 2024, the Joint CCAs submitted a protest and Dimension submitted a response to </w:t>
      </w:r>
      <w:r w:rsidRPr="00EE701D" w:rsidR="006D5A6E">
        <w:rPr>
          <w:rFonts w:ascii="Palatino Linotype" w:hAnsi="Palatino Linotype" w:eastAsia="Palatino Linotype"/>
          <w:sz w:val="24"/>
          <w:szCs w:val="24"/>
        </w:rPr>
        <w:t xml:space="preserve">the supplemental joint AL SCE 5362-E-A and </w:t>
      </w:r>
      <w:r w:rsidR="00985E31">
        <w:rPr>
          <w:rFonts w:ascii="Palatino Linotype" w:hAnsi="Palatino Linotype" w:eastAsia="Palatino Linotype"/>
          <w:sz w:val="24"/>
          <w:szCs w:val="24"/>
        </w:rPr>
        <w:br/>
      </w:r>
      <w:r w:rsidRPr="00EE701D" w:rsidR="006D5A6E">
        <w:rPr>
          <w:rFonts w:ascii="Palatino Linotype" w:hAnsi="Palatino Linotype" w:eastAsia="Palatino Linotype"/>
          <w:sz w:val="24"/>
          <w:szCs w:val="24"/>
        </w:rPr>
        <w:t>PG&amp;E 7363-E-A.</w:t>
      </w:r>
    </w:p>
    <w:p w:rsidRPr="00EE701D" w:rsidR="006D5A6E" w:rsidP="008664C3" w:rsidRDefault="006D5A6E" w14:paraId="0C5B65D9" w14:textId="74FD0386">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On December 5, 2024, the Joint IOUs submitted a reply to the Joint CCAs’ protest of SC</w:t>
      </w:r>
      <w:r w:rsidRPr="00EE701D" w:rsidR="003A76CD">
        <w:rPr>
          <w:rFonts w:ascii="Palatino Linotype" w:hAnsi="Palatino Linotype" w:eastAsia="Palatino Linotype"/>
          <w:sz w:val="24"/>
          <w:szCs w:val="24"/>
        </w:rPr>
        <w:t>E 5362-E-A and PG&amp;E 7363-E-A and Dimension’s response.</w:t>
      </w:r>
    </w:p>
    <w:p w:rsidRPr="00EE701D" w:rsidR="00D04959" w:rsidP="008664C3" w:rsidRDefault="00B14F9C" w14:paraId="224A290F" w14:textId="6FA1B071">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The </w:t>
      </w:r>
      <w:r w:rsidRPr="00EE701D" w:rsidR="00B0374B">
        <w:rPr>
          <w:rFonts w:ascii="Palatino Linotype" w:hAnsi="Palatino Linotype" w:eastAsia="Palatino Linotype"/>
          <w:sz w:val="24"/>
          <w:szCs w:val="24"/>
        </w:rPr>
        <w:t>Joint IOUs met the requirements under D.24-05-065 OP 4</w:t>
      </w:r>
      <w:r w:rsidRPr="00EE701D">
        <w:rPr>
          <w:rFonts w:ascii="Palatino Linotype" w:hAnsi="Palatino Linotype" w:eastAsia="Palatino Linotype"/>
          <w:sz w:val="24"/>
          <w:szCs w:val="24"/>
        </w:rPr>
        <w:t xml:space="preserve"> and it is therefore reasonable to reject Cal Advocates’ request that the Commission reject the Joint IOUs’ AL.</w:t>
      </w:r>
    </w:p>
    <w:p w:rsidRPr="00EE701D" w:rsidR="00B0374B" w:rsidP="008664C3" w:rsidRDefault="00B0374B" w14:paraId="71000B8C" w14:textId="5BC791D7">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It is reasonable to adopt the Joint IOUs</w:t>
      </w:r>
      <w:r w:rsidRPr="00EE701D" w:rsidR="006D72B2">
        <w:rPr>
          <w:rFonts w:ascii="Palatino Linotype" w:hAnsi="Palatino Linotype" w:eastAsia="Palatino Linotype"/>
          <w:sz w:val="24"/>
          <w:szCs w:val="24"/>
        </w:rPr>
        <w:t>’</w:t>
      </w:r>
      <w:r w:rsidRPr="00EE701D">
        <w:rPr>
          <w:rFonts w:ascii="Palatino Linotype" w:hAnsi="Palatino Linotype" w:eastAsia="Palatino Linotype"/>
          <w:sz w:val="24"/>
          <w:szCs w:val="24"/>
        </w:rPr>
        <w:t xml:space="preserve"> methodology for setting the CBVRP </w:t>
      </w:r>
      <w:r w:rsidRPr="00EE701D" w:rsidR="00640668">
        <w:rPr>
          <w:rFonts w:ascii="Palatino Linotype" w:hAnsi="Palatino Linotype" w:eastAsia="Palatino Linotype"/>
          <w:sz w:val="24"/>
          <w:szCs w:val="24"/>
        </w:rPr>
        <w:t xml:space="preserve">because it will capture </w:t>
      </w:r>
      <w:r w:rsidRPr="00EE701D" w:rsidR="00727486">
        <w:rPr>
          <w:rFonts w:ascii="Palatino Linotype" w:hAnsi="Palatino Linotype" w:eastAsia="Palatino Linotype"/>
          <w:sz w:val="24"/>
          <w:szCs w:val="24"/>
        </w:rPr>
        <w:t>pricing differences in contractual, locational pricing, and other LSE-specific attributes and will encourage more cost-effective and responsive resource development.</w:t>
      </w:r>
    </w:p>
    <w:p w:rsidRPr="00EE701D" w:rsidR="00D01419" w:rsidP="008664C3" w:rsidRDefault="00D01419" w14:paraId="31B8E416" w14:textId="38201EA9">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It is reasonable for SCE and PG&amp;E to </w:t>
      </w:r>
      <w:r w:rsidRPr="00EE701D" w:rsidR="00237203">
        <w:rPr>
          <w:rFonts w:ascii="Palatino Linotype" w:hAnsi="Palatino Linotype" w:eastAsia="Palatino Linotype"/>
          <w:sz w:val="24"/>
          <w:szCs w:val="24"/>
        </w:rPr>
        <w:t xml:space="preserve">submit their </w:t>
      </w:r>
      <w:r w:rsidRPr="00EE701D" w:rsidR="002920D0">
        <w:rPr>
          <w:rFonts w:ascii="Palatino Linotype" w:hAnsi="Palatino Linotype" w:cs="v%"/>
          <w:sz w:val="24"/>
          <w:szCs w:val="24"/>
        </w:rPr>
        <w:t>Confidential Benchmark Value Reference Price</w:t>
      </w:r>
      <w:r w:rsidRPr="00EE701D" w:rsidR="002920D0">
        <w:rPr>
          <w:rFonts w:ascii="Palatino Linotype" w:hAnsi="Palatino Linotype" w:eastAsia="Palatino Linotype"/>
          <w:sz w:val="24"/>
          <w:szCs w:val="24"/>
        </w:rPr>
        <w:t xml:space="preserve"> (</w:t>
      </w:r>
      <w:r w:rsidRPr="00EE701D" w:rsidR="00237203">
        <w:rPr>
          <w:rFonts w:ascii="Palatino Linotype" w:hAnsi="Palatino Linotype" w:eastAsia="Palatino Linotype"/>
          <w:sz w:val="24"/>
          <w:szCs w:val="24"/>
        </w:rPr>
        <w:t>CBVRP</w:t>
      </w:r>
      <w:r w:rsidRPr="00EE701D" w:rsidR="002920D0">
        <w:rPr>
          <w:rFonts w:ascii="Palatino Linotype" w:hAnsi="Palatino Linotype" w:eastAsia="Palatino Linotype"/>
          <w:sz w:val="24"/>
          <w:szCs w:val="24"/>
        </w:rPr>
        <w:t>)</w:t>
      </w:r>
      <w:r w:rsidRPr="00EE701D" w:rsidR="00237203">
        <w:rPr>
          <w:rFonts w:ascii="Palatino Linotype" w:hAnsi="Palatino Linotype" w:eastAsia="Palatino Linotype"/>
          <w:sz w:val="24"/>
          <w:szCs w:val="24"/>
        </w:rPr>
        <w:t xml:space="preserve"> and associated workpapers to their respective</w:t>
      </w:r>
      <w:r w:rsidRPr="00EE701D" w:rsidR="002920D0">
        <w:rPr>
          <w:rFonts w:ascii="Palatino Linotype" w:hAnsi="Palatino Linotype" w:eastAsia="Palatino Linotype"/>
          <w:sz w:val="24"/>
          <w:szCs w:val="24"/>
        </w:rPr>
        <w:t xml:space="preserve"> </w:t>
      </w:r>
      <w:r w:rsidRPr="00EE701D" w:rsidR="002920D0">
        <w:rPr>
          <w:rFonts w:ascii="Palatino Linotype" w:hAnsi="Palatino Linotype"/>
          <w:color w:val="212121"/>
          <w:sz w:val="24"/>
          <w:szCs w:val="24"/>
        </w:rPr>
        <w:t>Procurement Review Group (PRG) Independent Evaluators (IEs)</w:t>
      </w:r>
      <w:r w:rsidRPr="00EE701D" w:rsidR="00237203">
        <w:rPr>
          <w:rFonts w:ascii="Palatino Linotype" w:hAnsi="Palatino Linotype" w:eastAsia="Palatino Linotype"/>
          <w:sz w:val="24"/>
          <w:szCs w:val="24"/>
        </w:rPr>
        <w:t xml:space="preserve"> </w:t>
      </w:r>
      <w:r w:rsidRPr="00EE701D" w:rsidR="00D76B4B">
        <w:rPr>
          <w:rFonts w:ascii="Palatino Linotype" w:hAnsi="Palatino Linotype" w:eastAsia="Palatino Linotype"/>
          <w:sz w:val="24"/>
          <w:szCs w:val="24"/>
        </w:rPr>
        <w:t xml:space="preserve">for </w:t>
      </w:r>
      <w:r w:rsidRPr="00EE701D" w:rsidR="0089109A">
        <w:rPr>
          <w:rFonts w:ascii="Palatino Linotype" w:hAnsi="Palatino Linotype" w:eastAsia="Palatino Linotype"/>
          <w:sz w:val="24"/>
          <w:szCs w:val="24"/>
        </w:rPr>
        <w:t xml:space="preserve">a one-time initial </w:t>
      </w:r>
      <w:r w:rsidRPr="00EE701D" w:rsidR="00D76B4B">
        <w:rPr>
          <w:rFonts w:ascii="Palatino Linotype" w:hAnsi="Palatino Linotype" w:eastAsia="Palatino Linotype"/>
          <w:sz w:val="24"/>
          <w:szCs w:val="24"/>
        </w:rPr>
        <w:t xml:space="preserve">review and assessment </w:t>
      </w:r>
      <w:r w:rsidRPr="00EE701D" w:rsidR="00753880">
        <w:rPr>
          <w:rFonts w:ascii="Palatino Linotype" w:hAnsi="Palatino Linotype" w:eastAsia="Palatino Linotype"/>
          <w:sz w:val="24"/>
          <w:szCs w:val="24"/>
        </w:rPr>
        <w:t xml:space="preserve">and to include </w:t>
      </w:r>
      <w:r w:rsidRPr="00EE701D" w:rsidR="00D76B4B">
        <w:rPr>
          <w:rFonts w:ascii="Palatino Linotype" w:hAnsi="Palatino Linotype" w:eastAsia="Palatino Linotype"/>
          <w:sz w:val="24"/>
          <w:szCs w:val="24"/>
        </w:rPr>
        <w:t xml:space="preserve">each IE report as </w:t>
      </w:r>
      <w:r w:rsidRPr="00EE701D" w:rsidR="00DB3A4A">
        <w:rPr>
          <w:rFonts w:ascii="Palatino Linotype" w:hAnsi="Palatino Linotype" w:eastAsia="Palatino Linotype"/>
          <w:sz w:val="24"/>
          <w:szCs w:val="24"/>
        </w:rPr>
        <w:t xml:space="preserve">an attachment to future DAC-GT </w:t>
      </w:r>
      <w:r w:rsidRPr="00EE701D" w:rsidR="002920D0">
        <w:rPr>
          <w:rFonts w:ascii="Palatino Linotype" w:hAnsi="Palatino Linotype" w:cs="p ¸."/>
          <w:sz w:val="24"/>
          <w:szCs w:val="24"/>
        </w:rPr>
        <w:t>power purchase agreements (</w:t>
      </w:r>
      <w:r w:rsidRPr="00EE701D" w:rsidR="002920D0">
        <w:rPr>
          <w:rFonts w:ascii="Palatino Linotype" w:hAnsi="Palatino Linotype" w:eastAsia="Palatino Linotype" w:cs="p ¸."/>
          <w:sz w:val="24"/>
          <w:szCs w:val="24"/>
        </w:rPr>
        <w:t>PPA</w:t>
      </w:r>
      <w:r w:rsidRPr="00EE701D" w:rsidR="002920D0">
        <w:rPr>
          <w:rFonts w:ascii="Palatino Linotype" w:hAnsi="Palatino Linotype" w:cs="p ¸."/>
          <w:sz w:val="24"/>
          <w:szCs w:val="24"/>
        </w:rPr>
        <w:t xml:space="preserve">) </w:t>
      </w:r>
      <w:r w:rsidRPr="00EE701D" w:rsidR="00DB3A4A">
        <w:rPr>
          <w:rFonts w:ascii="Palatino Linotype" w:hAnsi="Palatino Linotype" w:eastAsia="Palatino Linotype"/>
          <w:sz w:val="24"/>
          <w:szCs w:val="24"/>
        </w:rPr>
        <w:t>ALs.</w:t>
      </w:r>
    </w:p>
    <w:p w:rsidRPr="00EE701D" w:rsidR="00DB3A4A" w:rsidP="008664C3" w:rsidRDefault="00DB3A4A" w14:paraId="0894063C" w14:textId="621E4878">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It is reasonable for</w:t>
      </w:r>
      <w:r w:rsidRPr="00EE701D" w:rsidR="0024753E">
        <w:rPr>
          <w:rFonts w:ascii="Palatino Linotype" w:hAnsi="Palatino Linotype" w:eastAsia="Palatino Linotype"/>
          <w:sz w:val="24"/>
          <w:szCs w:val="24"/>
        </w:rPr>
        <w:t xml:space="preserve"> each</w:t>
      </w:r>
      <w:r w:rsidRPr="00EE701D">
        <w:rPr>
          <w:rFonts w:ascii="Palatino Linotype" w:hAnsi="Palatino Linotype" w:eastAsia="Palatino Linotype"/>
          <w:sz w:val="24"/>
          <w:szCs w:val="24"/>
        </w:rPr>
        <w:t xml:space="preserve"> participating DAC-GT CCA PA to </w:t>
      </w:r>
      <w:r w:rsidRPr="00EE701D" w:rsidR="0024753E">
        <w:rPr>
          <w:rFonts w:ascii="Palatino Linotype" w:hAnsi="Palatino Linotype" w:eastAsia="Palatino Linotype"/>
          <w:sz w:val="24"/>
          <w:szCs w:val="24"/>
        </w:rPr>
        <w:t xml:space="preserve">contract with an independent third party to </w:t>
      </w:r>
      <w:r w:rsidRPr="00EE701D" w:rsidR="0089109A">
        <w:rPr>
          <w:rFonts w:ascii="Palatino Linotype" w:hAnsi="Palatino Linotype" w:eastAsia="Palatino Linotype"/>
          <w:sz w:val="24"/>
          <w:szCs w:val="24"/>
        </w:rPr>
        <w:t xml:space="preserve">provide a one-time initial review and assessment of their CBVRP and associated workpapers </w:t>
      </w:r>
      <w:r w:rsidRPr="00EE701D" w:rsidR="001B4926">
        <w:rPr>
          <w:rFonts w:ascii="Palatino Linotype" w:hAnsi="Palatino Linotype" w:eastAsia="Palatino Linotype"/>
          <w:sz w:val="24"/>
          <w:szCs w:val="24"/>
        </w:rPr>
        <w:t xml:space="preserve">attach the third party’s report </w:t>
      </w:r>
      <w:r w:rsidRPr="00EE701D" w:rsidR="002831A1">
        <w:rPr>
          <w:rFonts w:ascii="Palatino Linotype" w:hAnsi="Palatino Linotype" w:eastAsia="Palatino Linotype"/>
          <w:sz w:val="24"/>
          <w:szCs w:val="24"/>
        </w:rPr>
        <w:t>as an attachment to future DAC-GT PPA ALs.</w:t>
      </w:r>
    </w:p>
    <w:p w:rsidRPr="00EE701D" w:rsidR="00BE1E3D" w:rsidP="00BE1E3D" w:rsidRDefault="00BE1E3D" w14:paraId="6D2DF9F1" w14:textId="3AF90B7A">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It is reasonable to adopt the Joint IOUs</w:t>
      </w:r>
      <w:r w:rsidRPr="00EE701D" w:rsidR="002920D0">
        <w:rPr>
          <w:rFonts w:ascii="Palatino Linotype" w:hAnsi="Palatino Linotype" w:eastAsia="Palatino Linotype"/>
          <w:sz w:val="24"/>
          <w:szCs w:val="24"/>
        </w:rPr>
        <w:t>’</w:t>
      </w:r>
      <w:r w:rsidRPr="00EE701D">
        <w:rPr>
          <w:rFonts w:ascii="Palatino Linotype" w:hAnsi="Palatino Linotype" w:eastAsia="Palatino Linotype"/>
          <w:sz w:val="24"/>
          <w:szCs w:val="24"/>
        </w:rPr>
        <w:t xml:space="preserve"> 120 percent Multiplier </w:t>
      </w:r>
      <w:r w:rsidRPr="00EE701D" w:rsidR="00490C58">
        <w:rPr>
          <w:rFonts w:ascii="Palatino Linotype" w:hAnsi="Palatino Linotype" w:eastAsia="Palatino Linotype"/>
          <w:sz w:val="24"/>
          <w:szCs w:val="24"/>
        </w:rPr>
        <w:t xml:space="preserve">because it </w:t>
      </w:r>
      <w:r w:rsidRPr="00EE701D" w:rsidR="00972D38">
        <w:rPr>
          <w:rFonts w:ascii="Palatino Linotype" w:hAnsi="Palatino Linotype" w:cs="øpq0"/>
          <w:sz w:val="24"/>
          <w:szCs w:val="24"/>
        </w:rPr>
        <w:t>balances protecting nonparticipating customers from above market costs and the goals of the DAC-GT program</w:t>
      </w:r>
      <w:r w:rsidRPr="00EE701D" w:rsidR="0010605B">
        <w:rPr>
          <w:rFonts w:ascii="Palatino Linotype" w:hAnsi="Palatino Linotype" w:eastAsia="Palatino Linotype"/>
          <w:sz w:val="24"/>
          <w:szCs w:val="24"/>
        </w:rPr>
        <w:t xml:space="preserve">. </w:t>
      </w:r>
    </w:p>
    <w:p w:rsidRPr="00EE701D" w:rsidR="0010605B" w:rsidP="00BE1E3D" w:rsidRDefault="0010605B" w14:paraId="287D6091" w14:textId="2BB4EB49">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It is reasonable </w:t>
      </w:r>
      <w:r w:rsidRPr="00EE701D" w:rsidR="002920D0">
        <w:rPr>
          <w:rFonts w:ascii="Palatino Linotype" w:hAnsi="Palatino Linotype" w:eastAsia="Palatino Linotype"/>
          <w:sz w:val="24"/>
          <w:szCs w:val="24"/>
        </w:rPr>
        <w:t xml:space="preserve">to reject </w:t>
      </w:r>
      <w:r w:rsidRPr="00EE701D">
        <w:rPr>
          <w:rFonts w:ascii="Palatino Linotype" w:hAnsi="Palatino Linotype" w:eastAsia="Palatino Linotype"/>
          <w:sz w:val="24"/>
          <w:szCs w:val="24"/>
        </w:rPr>
        <w:t xml:space="preserve">Cal Advocates’ 110 percent Multiplier for projects within </w:t>
      </w:r>
      <w:r w:rsidR="006935A1">
        <w:rPr>
          <w:rFonts w:ascii="Palatino Linotype" w:hAnsi="Palatino Linotype" w:eastAsia="Palatino Linotype"/>
          <w:sz w:val="24"/>
          <w:szCs w:val="24"/>
        </w:rPr>
        <w:br/>
      </w:r>
      <w:r w:rsidRPr="00EE701D">
        <w:rPr>
          <w:rFonts w:ascii="Palatino Linotype" w:hAnsi="Palatino Linotype" w:eastAsia="Palatino Linotype"/>
          <w:sz w:val="24"/>
          <w:szCs w:val="24"/>
        </w:rPr>
        <w:t xml:space="preserve">5 miles outside of DAC census tract boundaries </w:t>
      </w:r>
      <w:r w:rsidRPr="00EE701D" w:rsidR="00DD71EE">
        <w:rPr>
          <w:rFonts w:ascii="Palatino Linotype" w:hAnsi="Palatino Linotype" w:eastAsia="Palatino Linotype"/>
          <w:sz w:val="24"/>
          <w:szCs w:val="24"/>
        </w:rPr>
        <w:t>because it would</w:t>
      </w:r>
      <w:r w:rsidRPr="00EE701D" w:rsidR="00F07705">
        <w:rPr>
          <w:rFonts w:ascii="Palatino Linotype" w:hAnsi="Palatino Linotype" w:eastAsia="Palatino Linotype"/>
          <w:sz w:val="24"/>
          <w:szCs w:val="24"/>
        </w:rPr>
        <w:t xml:space="preserve"> add complexity to the program</w:t>
      </w:r>
      <w:r w:rsidRPr="00EE701D" w:rsidR="00000916">
        <w:rPr>
          <w:rFonts w:ascii="Palatino Linotype" w:hAnsi="Palatino Linotype" w:eastAsia="Palatino Linotype"/>
          <w:sz w:val="24"/>
          <w:szCs w:val="24"/>
        </w:rPr>
        <w:t xml:space="preserve"> and would </w:t>
      </w:r>
      <w:r w:rsidRPr="00EE701D" w:rsidR="00DD71EE">
        <w:rPr>
          <w:rFonts w:ascii="Palatino Linotype" w:hAnsi="Palatino Linotype" w:eastAsia="Palatino Linotype"/>
          <w:sz w:val="24"/>
          <w:szCs w:val="24"/>
        </w:rPr>
        <w:t>not account for the additional above-market costs</w:t>
      </w:r>
      <w:r w:rsidRPr="00EE701D" w:rsidR="009143E1">
        <w:rPr>
          <w:rFonts w:ascii="Palatino Linotype" w:hAnsi="Palatino Linotype" w:eastAsia="Palatino Linotype"/>
          <w:sz w:val="24"/>
          <w:szCs w:val="24"/>
        </w:rPr>
        <w:t xml:space="preserve"> associated with DAC-GT </w:t>
      </w:r>
      <w:r w:rsidRPr="00EE701D" w:rsidR="00816839">
        <w:rPr>
          <w:rFonts w:ascii="Palatino Linotype" w:hAnsi="Palatino Linotype" w:eastAsia="Palatino Linotype"/>
          <w:sz w:val="24"/>
          <w:szCs w:val="24"/>
        </w:rPr>
        <w:t>eligibility</w:t>
      </w:r>
      <w:r w:rsidRPr="00EE701D" w:rsidR="009143E1">
        <w:rPr>
          <w:rFonts w:ascii="Palatino Linotype" w:hAnsi="Palatino Linotype" w:eastAsia="Palatino Linotype"/>
          <w:sz w:val="24"/>
          <w:szCs w:val="24"/>
        </w:rPr>
        <w:t xml:space="preserve"> requirements</w:t>
      </w:r>
      <w:r w:rsidRPr="00EE701D" w:rsidR="00000916">
        <w:rPr>
          <w:rFonts w:ascii="Palatino Linotype" w:hAnsi="Palatino Linotype" w:eastAsia="Palatino Linotype"/>
          <w:sz w:val="24"/>
          <w:szCs w:val="24"/>
        </w:rPr>
        <w:t>.</w:t>
      </w:r>
    </w:p>
    <w:p w:rsidRPr="00EE701D" w:rsidR="009143E1" w:rsidP="00BE1E3D" w:rsidRDefault="000036E7" w14:paraId="366663B1" w14:textId="21324D0F">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It is reasonable to keep the DAC-GT cost containment cap confidential in order to </w:t>
      </w:r>
      <w:r w:rsidRPr="00EE701D" w:rsidR="00DD1C71">
        <w:rPr>
          <w:rFonts w:ascii="Palatino Linotype" w:hAnsi="Palatino Linotype" w:eastAsia="Palatino Linotype"/>
          <w:sz w:val="24"/>
          <w:szCs w:val="24"/>
        </w:rPr>
        <w:t xml:space="preserve">better incentivize developers to submit competitively priced </w:t>
      </w:r>
      <w:r w:rsidRPr="00EE701D" w:rsidR="0029684C">
        <w:rPr>
          <w:rFonts w:ascii="Palatino Linotype" w:hAnsi="Palatino Linotype" w:eastAsia="Palatino Linotype"/>
          <w:sz w:val="24"/>
          <w:szCs w:val="24"/>
        </w:rPr>
        <w:t>and in order to protect</w:t>
      </w:r>
      <w:r w:rsidRPr="00EE701D" w:rsidR="000F6BB2">
        <w:rPr>
          <w:rFonts w:ascii="Palatino Linotype" w:hAnsi="Palatino Linotype" w:eastAsia="Palatino Linotype"/>
          <w:sz w:val="24"/>
          <w:szCs w:val="24"/>
        </w:rPr>
        <w:t xml:space="preserve"> ratepayers</w:t>
      </w:r>
      <w:r w:rsidRPr="00EE701D" w:rsidR="004615B1">
        <w:rPr>
          <w:rFonts w:ascii="Palatino Linotype" w:hAnsi="Palatino Linotype" w:eastAsia="Palatino Linotype"/>
          <w:sz w:val="24"/>
          <w:szCs w:val="24"/>
        </w:rPr>
        <w:t xml:space="preserve"> from rising rates</w:t>
      </w:r>
      <w:r w:rsidRPr="00EE701D" w:rsidR="000F6BB2">
        <w:rPr>
          <w:rFonts w:ascii="Palatino Linotype" w:hAnsi="Palatino Linotype" w:eastAsia="Palatino Linotype"/>
          <w:sz w:val="24"/>
          <w:szCs w:val="24"/>
        </w:rPr>
        <w:t>.</w:t>
      </w:r>
    </w:p>
    <w:p w:rsidRPr="00EE701D" w:rsidR="001E6F77" w:rsidP="00BE1E3D" w:rsidRDefault="001E6F77" w14:paraId="31A26B58" w14:textId="35465AE8">
      <w:pPr>
        <w:numPr>
          <w:ilvl w:val="0"/>
          <w:numId w:val="7"/>
        </w:numPr>
        <w:rPr>
          <w:rFonts w:ascii="Palatino Linotype" w:hAnsi="Palatino Linotype" w:eastAsia="Palatino Linotype"/>
          <w:sz w:val="24"/>
          <w:szCs w:val="24"/>
        </w:rPr>
      </w:pPr>
      <w:r w:rsidRPr="00EE701D">
        <w:rPr>
          <w:rFonts w:ascii="Palatino Linotype" w:hAnsi="Palatino Linotype" w:eastAsia="Palatino Linotype"/>
          <w:sz w:val="24"/>
          <w:szCs w:val="24"/>
        </w:rPr>
        <w:t xml:space="preserve">The Joint IOUs’ request for confidential treatment of pricing information in </w:t>
      </w:r>
      <w:r w:rsidRPr="00EE701D" w:rsidR="00572B53">
        <w:rPr>
          <w:rFonts w:ascii="Palatino Linotype" w:hAnsi="Palatino Linotype" w:eastAsia="Palatino Linotype"/>
          <w:sz w:val="24"/>
          <w:szCs w:val="24"/>
        </w:rPr>
        <w:t>Confidential</w:t>
      </w:r>
      <w:r w:rsidRPr="00EE701D">
        <w:rPr>
          <w:rFonts w:ascii="Palatino Linotype" w:hAnsi="Palatino Linotype" w:eastAsia="Palatino Linotype"/>
          <w:sz w:val="24"/>
          <w:szCs w:val="24"/>
        </w:rPr>
        <w:t xml:space="preserve"> Appendixes A and B of their advice letter </w:t>
      </w:r>
      <w:r w:rsidRPr="00EE701D" w:rsidR="00636E67">
        <w:rPr>
          <w:rFonts w:ascii="Palatino Linotype" w:hAnsi="Palatino Linotype" w:eastAsia="Palatino Linotype"/>
          <w:sz w:val="24"/>
          <w:szCs w:val="24"/>
        </w:rPr>
        <w:t xml:space="preserve">is </w:t>
      </w:r>
      <w:r w:rsidRPr="00EE701D" w:rsidR="00D86090">
        <w:rPr>
          <w:rFonts w:ascii="Palatino Linotype" w:hAnsi="Palatino Linotype" w:eastAsia="Palatino Linotype"/>
          <w:sz w:val="24"/>
          <w:szCs w:val="24"/>
        </w:rPr>
        <w:t xml:space="preserve">consistent with prior Commission decisions and </w:t>
      </w:r>
      <w:r w:rsidRPr="00EE701D" w:rsidR="00572B53">
        <w:rPr>
          <w:rFonts w:ascii="Palatino Linotype" w:hAnsi="Palatino Linotype" w:eastAsia="Palatino Linotype"/>
          <w:sz w:val="24"/>
          <w:szCs w:val="24"/>
        </w:rPr>
        <w:t>necessary to protect the integrity of DAC-GT solicitations and customer affordability.</w:t>
      </w:r>
      <w:r w:rsidRPr="00EE701D" w:rsidR="00636E67">
        <w:rPr>
          <w:rFonts w:ascii="Palatino Linotype" w:hAnsi="Palatino Linotype" w:eastAsia="Palatino Linotype"/>
          <w:sz w:val="24"/>
          <w:szCs w:val="24"/>
        </w:rPr>
        <w:t xml:space="preserve"> </w:t>
      </w:r>
    </w:p>
    <w:p w:rsidRPr="00EE701D" w:rsidR="00CF17DE" w:rsidP="4BA7214B" w:rsidRDefault="00CF17DE" w14:paraId="18C97720" w14:textId="77777777">
      <w:pPr>
        <w:rPr>
          <w:rFonts w:ascii="Palatino Linotype" w:hAnsi="Palatino Linotype" w:eastAsia="Palatino Linotype"/>
          <w:b/>
          <w:sz w:val="24"/>
          <w:szCs w:val="24"/>
        </w:rPr>
      </w:pPr>
    </w:p>
    <w:p w:rsidRPr="00EE701D" w:rsidR="00CF17DE" w:rsidP="4BA7214B" w:rsidRDefault="00CF17DE" w14:paraId="03EBB768" w14:textId="77777777">
      <w:pPr>
        <w:pStyle w:val="Heading1"/>
        <w:rPr>
          <w:rFonts w:ascii="Palatino Linotype" w:hAnsi="Palatino Linotype" w:eastAsia="Palatino Linotype"/>
          <w:sz w:val="24"/>
          <w:szCs w:val="24"/>
        </w:rPr>
      </w:pPr>
      <w:r w:rsidRPr="00EE701D">
        <w:rPr>
          <w:rFonts w:ascii="Palatino Linotype" w:hAnsi="Palatino Linotype" w:eastAsia="Palatino Linotype"/>
          <w:sz w:val="24"/>
          <w:szCs w:val="24"/>
        </w:rPr>
        <w:lastRenderedPageBreak/>
        <w:t>Therefore it is ordered that:</w:t>
      </w:r>
    </w:p>
    <w:p w:rsidRPr="00EE701D" w:rsidR="003F0C94" w:rsidP="00993D6A" w:rsidRDefault="003F0C94" w14:paraId="262207A7" w14:textId="431715C5">
      <w:pPr>
        <w:pStyle w:val="ListParagraph"/>
        <w:numPr>
          <w:ilvl w:val="0"/>
          <w:numId w:val="23"/>
        </w:numPr>
        <w:rPr>
          <w:rFonts w:ascii="Palatino Linotype" w:hAnsi="Palatino Linotype" w:eastAsia="Palatino Linotype"/>
          <w:snapToGrid w:val="0"/>
          <w:sz w:val="24"/>
          <w:szCs w:val="24"/>
        </w:rPr>
      </w:pPr>
      <w:r w:rsidRPr="00EE701D">
        <w:rPr>
          <w:rFonts w:ascii="Palatino Linotype" w:hAnsi="Palatino Linotype" w:eastAsia="Palatino Linotype"/>
          <w:snapToGrid w:val="0"/>
          <w:sz w:val="24"/>
          <w:szCs w:val="24"/>
        </w:rPr>
        <w:t>The request of the Southern California Edison (SCE) in Advice Letter 5362-E-A and Pacific Gas and Electric Company (PG&amp;E) in Advice Letter 7363-E-A to approve their Disadvantaged Communities Green Tariff (DAC-GT) cost containment cap is approved with modifications.</w:t>
      </w:r>
    </w:p>
    <w:p w:rsidRPr="00EE701D" w:rsidR="004A1A18" w:rsidP="004A1A18" w:rsidRDefault="00E23417" w14:paraId="72A61922" w14:textId="7954BC34">
      <w:pPr>
        <w:pStyle w:val="ListParagraph"/>
        <w:numPr>
          <w:ilvl w:val="0"/>
          <w:numId w:val="23"/>
        </w:numPr>
        <w:rPr>
          <w:rFonts w:ascii="Palatino Linotype" w:hAnsi="Palatino Linotype" w:eastAsia="Palatino Linotype"/>
          <w:snapToGrid w:val="0"/>
          <w:sz w:val="24"/>
          <w:szCs w:val="24"/>
        </w:rPr>
      </w:pPr>
      <w:r w:rsidRPr="00EE701D">
        <w:rPr>
          <w:rFonts w:ascii="Palatino Linotype" w:hAnsi="Palatino Linotype"/>
          <w:color w:val="212121"/>
          <w:sz w:val="24"/>
          <w:szCs w:val="24"/>
        </w:rPr>
        <w:t xml:space="preserve">Each </w:t>
      </w:r>
      <w:r w:rsidRPr="00EE701D" w:rsidR="001B4DD9">
        <w:rPr>
          <w:rFonts w:ascii="Palatino Linotype" w:hAnsi="Palatino Linotype"/>
          <w:color w:val="212121"/>
          <w:sz w:val="24"/>
          <w:szCs w:val="24"/>
        </w:rPr>
        <w:t>Disadvantaged Communities</w:t>
      </w:r>
      <w:r w:rsidRPr="00EE701D">
        <w:rPr>
          <w:rFonts w:ascii="Palatino Linotype" w:hAnsi="Palatino Linotype"/>
          <w:color w:val="212121"/>
          <w:sz w:val="24"/>
          <w:szCs w:val="24"/>
        </w:rPr>
        <w:t xml:space="preserve"> Program Administrator </w:t>
      </w:r>
      <w:r w:rsidRPr="00EE701D" w:rsidR="001B4DD9">
        <w:rPr>
          <w:rFonts w:ascii="Palatino Linotype" w:hAnsi="Palatino Linotype"/>
          <w:color w:val="212121"/>
          <w:sz w:val="24"/>
          <w:szCs w:val="24"/>
        </w:rPr>
        <w:t>(PA)</w:t>
      </w:r>
      <w:r w:rsidRPr="00EE701D" w:rsidR="00816839">
        <w:rPr>
          <w:rFonts w:ascii="Palatino Linotype" w:hAnsi="Palatino Linotype"/>
          <w:color w:val="212121"/>
          <w:sz w:val="24"/>
          <w:szCs w:val="24"/>
        </w:rPr>
        <w:t xml:space="preserve"> </w:t>
      </w:r>
      <w:r w:rsidRPr="00EE701D" w:rsidR="001B4DD9">
        <w:rPr>
          <w:rFonts w:ascii="Palatino Linotype" w:hAnsi="Palatino Linotype"/>
          <w:color w:val="212121"/>
          <w:sz w:val="24"/>
          <w:szCs w:val="24"/>
        </w:rPr>
        <w:t xml:space="preserve">shall </w:t>
      </w:r>
      <w:r w:rsidRPr="00EE701D">
        <w:rPr>
          <w:rFonts w:ascii="Palatino Linotype" w:hAnsi="Palatino Linotype"/>
          <w:color w:val="212121"/>
          <w:sz w:val="24"/>
          <w:szCs w:val="24"/>
        </w:rPr>
        <w:t xml:space="preserve">survey its executed contracts and </w:t>
      </w:r>
      <w:r w:rsidRPr="00EE701D">
        <w:rPr>
          <w:rFonts w:ascii="Palatino Linotype" w:hAnsi="Palatino Linotype" w:cs="p ¸."/>
          <w:sz w:val="24"/>
          <w:szCs w:val="24"/>
        </w:rPr>
        <w:t xml:space="preserve">set its own </w:t>
      </w:r>
      <w:r w:rsidRPr="00EE701D" w:rsidR="00BB4D54">
        <w:rPr>
          <w:rFonts w:ascii="Palatino Linotype" w:hAnsi="Palatino Linotype" w:cs="v%"/>
          <w:sz w:val="24"/>
          <w:szCs w:val="24"/>
        </w:rPr>
        <w:t>Confidential Benchmark Value Reference Price (</w:t>
      </w:r>
      <w:r w:rsidRPr="00EE701D">
        <w:rPr>
          <w:rFonts w:ascii="Palatino Linotype" w:hAnsi="Palatino Linotype" w:cs="p ¸."/>
          <w:sz w:val="24"/>
          <w:szCs w:val="24"/>
        </w:rPr>
        <w:t>CBVRP</w:t>
      </w:r>
      <w:r w:rsidRPr="00EE701D" w:rsidR="00BB4D54">
        <w:rPr>
          <w:rFonts w:ascii="Palatino Linotype" w:hAnsi="Palatino Linotype" w:cs="p ¸."/>
          <w:sz w:val="24"/>
          <w:szCs w:val="24"/>
        </w:rPr>
        <w:t>)</w:t>
      </w:r>
      <w:r w:rsidRPr="00EE701D">
        <w:rPr>
          <w:rFonts w:ascii="Palatino Linotype" w:hAnsi="Palatino Linotype" w:cs="p ¸."/>
          <w:sz w:val="24"/>
          <w:szCs w:val="24"/>
        </w:rPr>
        <w:t xml:space="preserve"> by pooling prices from a comparable set of competitively solicited power purchase agreements (PPAs) the entity executed for (1) similar resources, e.g., solar, solar with paired energy storage (hybrid or co-located), wind, and (2) similar contract types, e.g., resource adequacy capacity contract, RPS contracts for fully deliverable capacity, or </w:t>
      </w:r>
      <w:r w:rsidRPr="00EE701D" w:rsidR="00774225">
        <w:rPr>
          <w:rFonts w:ascii="Palatino Linotype" w:hAnsi="Palatino Linotype" w:cs="p ¸."/>
          <w:sz w:val="24"/>
          <w:szCs w:val="24"/>
        </w:rPr>
        <w:t>Renewable Portfolio Standard</w:t>
      </w:r>
      <w:r w:rsidRPr="00EE701D">
        <w:rPr>
          <w:rFonts w:ascii="Palatino Linotype" w:hAnsi="Palatino Linotype" w:cs="p ¸."/>
          <w:sz w:val="24"/>
          <w:szCs w:val="24"/>
        </w:rPr>
        <w:t xml:space="preserve"> contracts with energy-only capacity, (3) in the last five years.</w:t>
      </w:r>
      <w:r w:rsidRPr="00EE701D" w:rsidR="001B4DD9">
        <w:rPr>
          <w:rFonts w:ascii="Palatino Linotype" w:hAnsi="Palatino Linotype" w:cs="p ¸."/>
          <w:sz w:val="24"/>
          <w:szCs w:val="24"/>
        </w:rPr>
        <w:t xml:space="preserve"> </w:t>
      </w:r>
      <w:r w:rsidRPr="00EE701D" w:rsidR="009E13CB">
        <w:rPr>
          <w:rFonts w:ascii="Palatino Linotype" w:hAnsi="Palatino Linotype" w:cs="p ¸."/>
          <w:sz w:val="24"/>
          <w:szCs w:val="24"/>
        </w:rPr>
        <w:t xml:space="preserve">On or before January 1, </w:t>
      </w:r>
      <w:r w:rsidRPr="00EE701D" w:rsidR="004A1A18">
        <w:rPr>
          <w:rFonts w:ascii="Palatino Linotype" w:hAnsi="Palatino Linotype" w:cs="p ¸."/>
          <w:sz w:val="24"/>
          <w:szCs w:val="24"/>
        </w:rPr>
        <w:t>2026,</w:t>
      </w:r>
      <w:r w:rsidRPr="00EE701D" w:rsidR="00BD2461">
        <w:rPr>
          <w:rFonts w:ascii="Palatino Linotype" w:hAnsi="Palatino Linotype" w:cs="p ¸."/>
          <w:sz w:val="24"/>
          <w:szCs w:val="24"/>
        </w:rPr>
        <w:t xml:space="preserve"> </w:t>
      </w:r>
      <w:r w:rsidRPr="00EE701D" w:rsidR="00B05DBA">
        <w:rPr>
          <w:rFonts w:ascii="Palatino Linotype" w:hAnsi="Palatino Linotype" w:cs="p ¸."/>
          <w:sz w:val="24"/>
          <w:szCs w:val="24"/>
        </w:rPr>
        <w:t xml:space="preserve">given that some solicitations are </w:t>
      </w:r>
      <w:r w:rsidRPr="00EE701D" w:rsidR="003E0FF7">
        <w:rPr>
          <w:rFonts w:ascii="Palatino Linotype" w:hAnsi="Palatino Linotype" w:cs="p ¸."/>
          <w:sz w:val="24"/>
          <w:szCs w:val="24"/>
        </w:rPr>
        <w:t xml:space="preserve">currently </w:t>
      </w:r>
      <w:r w:rsidRPr="00EE701D" w:rsidR="00B05DBA">
        <w:rPr>
          <w:rFonts w:ascii="Palatino Linotype" w:hAnsi="Palatino Linotype" w:cs="p ¸."/>
          <w:sz w:val="24"/>
          <w:szCs w:val="24"/>
        </w:rPr>
        <w:t xml:space="preserve">in progress, </w:t>
      </w:r>
      <w:r w:rsidRPr="00EE701D" w:rsidR="009E13CB">
        <w:rPr>
          <w:rFonts w:ascii="Palatino Linotype" w:hAnsi="Palatino Linotype" w:cs="p ¸."/>
          <w:sz w:val="24"/>
          <w:szCs w:val="24"/>
        </w:rPr>
        <w:t>e</w:t>
      </w:r>
      <w:r w:rsidRPr="00EE701D" w:rsidR="00A0786E">
        <w:rPr>
          <w:rFonts w:ascii="Palatino Linotype" w:hAnsi="Palatino Linotype" w:cs="p ¸."/>
          <w:sz w:val="24"/>
          <w:szCs w:val="24"/>
        </w:rPr>
        <w:t>ach PA will update its Request for Offer solicitation materials to reflect the new cost conta</w:t>
      </w:r>
      <w:r w:rsidRPr="00EE701D" w:rsidR="00816839">
        <w:rPr>
          <w:rFonts w:ascii="Palatino Linotype" w:hAnsi="Palatino Linotype" w:cs="p ¸."/>
          <w:sz w:val="24"/>
          <w:szCs w:val="24"/>
        </w:rPr>
        <w:t>in</w:t>
      </w:r>
      <w:r w:rsidRPr="00EE701D" w:rsidR="00A0786E">
        <w:rPr>
          <w:rFonts w:ascii="Palatino Linotype" w:hAnsi="Palatino Linotype" w:cs="p ¸."/>
          <w:sz w:val="24"/>
          <w:szCs w:val="24"/>
        </w:rPr>
        <w:t xml:space="preserve">ment cap which is the product of </w:t>
      </w:r>
      <w:r w:rsidRPr="00EE701D" w:rsidR="00816839">
        <w:rPr>
          <w:rFonts w:ascii="Palatino Linotype" w:hAnsi="Palatino Linotype" w:cs="p ¸."/>
          <w:sz w:val="24"/>
          <w:szCs w:val="24"/>
        </w:rPr>
        <w:t xml:space="preserve">the CBVRP for each technology category multiplied by </w:t>
      </w:r>
      <w:r w:rsidRPr="00EE701D" w:rsidR="001B4DD9">
        <w:rPr>
          <w:rFonts w:ascii="Palatino Linotype" w:hAnsi="Palatino Linotype" w:eastAsia="Palatino Linotype"/>
          <w:sz w:val="24"/>
          <w:szCs w:val="24"/>
        </w:rPr>
        <w:t>a 120 percent Multiplier</w:t>
      </w:r>
      <w:r w:rsidRPr="00EE701D" w:rsidR="00816839">
        <w:rPr>
          <w:rFonts w:ascii="Palatino Linotype" w:hAnsi="Palatino Linotype" w:eastAsia="Palatino Linotype"/>
          <w:sz w:val="24"/>
          <w:szCs w:val="24"/>
        </w:rPr>
        <w:t>.</w:t>
      </w:r>
      <w:r w:rsidRPr="00EE701D" w:rsidR="009E13CB">
        <w:rPr>
          <w:rFonts w:ascii="Palatino Linotype" w:hAnsi="Palatino Linotype" w:eastAsia="Palatino Linotype"/>
          <w:sz w:val="24"/>
          <w:szCs w:val="24"/>
        </w:rPr>
        <w:t xml:space="preserve"> Before this date, </w:t>
      </w:r>
      <w:r w:rsidRPr="00EE701D" w:rsidR="007F4289">
        <w:rPr>
          <w:rFonts w:ascii="Palatino Linotype" w:hAnsi="Palatino Linotype" w:eastAsia="Palatino Linotype"/>
          <w:sz w:val="24"/>
          <w:szCs w:val="24"/>
        </w:rPr>
        <w:t>PAs may choose to continue using the prior cost cap methodology.</w:t>
      </w:r>
    </w:p>
    <w:p w:rsidRPr="00EE701D" w:rsidR="00C8312C" w:rsidP="00993D6A" w:rsidRDefault="00B00868" w14:paraId="56291506" w14:textId="76BE03D6">
      <w:pPr>
        <w:pStyle w:val="ListParagraph"/>
        <w:numPr>
          <w:ilvl w:val="0"/>
          <w:numId w:val="23"/>
        </w:numPr>
        <w:rPr>
          <w:rFonts w:ascii="Palatino Linotype" w:hAnsi="Palatino Linotype" w:eastAsia="Palatino Linotype"/>
          <w:snapToGrid w:val="0"/>
          <w:sz w:val="24"/>
          <w:szCs w:val="24"/>
        </w:rPr>
      </w:pPr>
      <w:r w:rsidRPr="00EE701D">
        <w:rPr>
          <w:rFonts w:ascii="Palatino Linotype" w:hAnsi="Palatino Linotype" w:eastAsia="Palatino Linotype"/>
          <w:snapToGrid w:val="0"/>
          <w:sz w:val="24"/>
          <w:szCs w:val="24"/>
        </w:rPr>
        <w:t>Southern California Edison (SCE)</w:t>
      </w:r>
      <w:r w:rsidRPr="00EE701D" w:rsidR="000B1147">
        <w:rPr>
          <w:rFonts w:ascii="Palatino Linotype" w:hAnsi="Palatino Linotype" w:eastAsia="Palatino Linotype"/>
          <w:snapToGrid w:val="0"/>
          <w:sz w:val="24"/>
          <w:szCs w:val="24"/>
        </w:rPr>
        <w:t xml:space="preserve"> </w:t>
      </w:r>
      <w:r w:rsidRPr="00EE701D" w:rsidR="00DD6C9E">
        <w:rPr>
          <w:rFonts w:ascii="Palatino Linotype" w:hAnsi="Palatino Linotype"/>
          <w:color w:val="212121"/>
          <w:sz w:val="24"/>
          <w:szCs w:val="24"/>
        </w:rPr>
        <w:t>and</w:t>
      </w:r>
      <w:r w:rsidRPr="00EE701D" w:rsidR="00BB4D54">
        <w:rPr>
          <w:rFonts w:ascii="Palatino Linotype" w:hAnsi="Palatino Linotype"/>
          <w:color w:val="212121"/>
          <w:sz w:val="24"/>
          <w:szCs w:val="24"/>
        </w:rPr>
        <w:t xml:space="preserve"> </w:t>
      </w:r>
      <w:r w:rsidRPr="00EE701D">
        <w:rPr>
          <w:rFonts w:ascii="Palatino Linotype" w:hAnsi="Palatino Linotype" w:eastAsia="Palatino Linotype"/>
          <w:snapToGrid w:val="0"/>
          <w:sz w:val="24"/>
          <w:szCs w:val="24"/>
        </w:rPr>
        <w:t>Pacific Gas and Electric Company (PG&amp;E)</w:t>
      </w:r>
      <w:r w:rsidRPr="00EE701D" w:rsidDel="00BB4D54" w:rsidR="00DD6C9E">
        <w:rPr>
          <w:rFonts w:ascii="Palatino Linotype" w:hAnsi="Palatino Linotype" w:eastAsia="Palatino Linotype"/>
          <w:snapToGrid w:val="0"/>
          <w:sz w:val="24"/>
          <w:szCs w:val="24"/>
        </w:rPr>
        <w:t xml:space="preserve"> </w:t>
      </w:r>
      <w:r w:rsidRPr="00EE701D" w:rsidR="000C3DC3">
        <w:rPr>
          <w:rFonts w:ascii="Palatino Linotype" w:hAnsi="Palatino Linotype"/>
          <w:color w:val="212121"/>
          <w:sz w:val="24"/>
          <w:szCs w:val="24"/>
        </w:rPr>
        <w:t xml:space="preserve">shall independently survey their own </w:t>
      </w:r>
      <w:r w:rsidRPr="00EE701D" w:rsidR="000C4DA4">
        <w:rPr>
          <w:rFonts w:ascii="Palatino Linotype" w:hAnsi="Palatino Linotype"/>
          <w:color w:val="212121"/>
          <w:sz w:val="24"/>
          <w:szCs w:val="24"/>
        </w:rPr>
        <w:t xml:space="preserve">procurement </w:t>
      </w:r>
      <w:r w:rsidRPr="00EE701D" w:rsidR="000C3DC3">
        <w:rPr>
          <w:rFonts w:ascii="Palatino Linotype" w:hAnsi="Palatino Linotype"/>
          <w:color w:val="212121"/>
          <w:sz w:val="24"/>
          <w:szCs w:val="24"/>
        </w:rPr>
        <w:t xml:space="preserve">data to set the appropriate </w:t>
      </w:r>
      <w:r w:rsidRPr="00EE701D" w:rsidR="00D70DBB">
        <w:rPr>
          <w:rFonts w:ascii="Palatino Linotype" w:hAnsi="Palatino Linotype" w:cs="v%"/>
          <w:sz w:val="24"/>
          <w:szCs w:val="24"/>
        </w:rPr>
        <w:t>Confidential Benchmark Value Reference Price (</w:t>
      </w:r>
      <w:r w:rsidRPr="00EE701D" w:rsidR="000C3DC3">
        <w:rPr>
          <w:rFonts w:ascii="Palatino Linotype" w:hAnsi="Palatino Linotype"/>
          <w:color w:val="212121"/>
          <w:sz w:val="24"/>
          <w:szCs w:val="24"/>
        </w:rPr>
        <w:t>CBVRP</w:t>
      </w:r>
      <w:r w:rsidRPr="00EE701D" w:rsidR="00D70DBB">
        <w:rPr>
          <w:rFonts w:ascii="Palatino Linotype" w:hAnsi="Palatino Linotype"/>
          <w:color w:val="212121"/>
          <w:sz w:val="24"/>
          <w:szCs w:val="24"/>
        </w:rPr>
        <w:t>)</w:t>
      </w:r>
      <w:r w:rsidRPr="00EE701D" w:rsidR="000C3DC3">
        <w:rPr>
          <w:rFonts w:ascii="Palatino Linotype" w:hAnsi="Palatino Linotype"/>
          <w:color w:val="212121"/>
          <w:sz w:val="24"/>
          <w:szCs w:val="24"/>
        </w:rPr>
        <w:t xml:space="preserve"> and </w:t>
      </w:r>
      <w:r w:rsidRPr="00EE701D" w:rsidR="007E0913">
        <w:rPr>
          <w:rFonts w:ascii="Palatino Linotype" w:hAnsi="Palatino Linotype"/>
          <w:color w:val="212121"/>
          <w:sz w:val="24"/>
          <w:szCs w:val="24"/>
        </w:rPr>
        <w:t xml:space="preserve">submit their CBVRP </w:t>
      </w:r>
      <w:r w:rsidRPr="00EE701D" w:rsidR="008553B8">
        <w:rPr>
          <w:rFonts w:ascii="Palatino Linotype" w:hAnsi="Palatino Linotype"/>
          <w:color w:val="212121"/>
          <w:sz w:val="24"/>
          <w:szCs w:val="24"/>
        </w:rPr>
        <w:t>and associated workpapers to</w:t>
      </w:r>
      <w:r w:rsidRPr="00EE701D" w:rsidR="000C3DC3">
        <w:rPr>
          <w:rFonts w:ascii="Palatino Linotype" w:hAnsi="Palatino Linotype"/>
          <w:color w:val="212121"/>
          <w:sz w:val="24"/>
          <w:szCs w:val="24"/>
        </w:rPr>
        <w:t xml:space="preserve"> each IOU’s existing Procurement Review Group</w:t>
      </w:r>
      <w:r w:rsidRPr="00EE701D" w:rsidR="000B1147">
        <w:rPr>
          <w:rFonts w:ascii="Palatino Linotype" w:hAnsi="Palatino Linotype"/>
          <w:color w:val="212121"/>
          <w:sz w:val="24"/>
          <w:szCs w:val="24"/>
        </w:rPr>
        <w:t xml:space="preserve"> </w:t>
      </w:r>
      <w:r w:rsidRPr="00EE701D" w:rsidR="00A66867">
        <w:rPr>
          <w:rFonts w:ascii="Palatino Linotype" w:hAnsi="Palatino Linotype"/>
          <w:color w:val="212121"/>
          <w:sz w:val="24"/>
          <w:szCs w:val="24"/>
        </w:rPr>
        <w:t xml:space="preserve">(PRG) </w:t>
      </w:r>
      <w:r w:rsidRPr="00EE701D" w:rsidR="000C3DC3">
        <w:rPr>
          <w:rFonts w:ascii="Palatino Linotype" w:hAnsi="Palatino Linotype"/>
          <w:color w:val="212121"/>
          <w:sz w:val="24"/>
          <w:szCs w:val="24"/>
        </w:rPr>
        <w:t>Independent Evaluator</w:t>
      </w:r>
      <w:r w:rsidRPr="00EE701D" w:rsidR="000B1147">
        <w:rPr>
          <w:rFonts w:ascii="Palatino Linotype" w:hAnsi="Palatino Linotype"/>
          <w:color w:val="212121"/>
          <w:sz w:val="24"/>
          <w:szCs w:val="24"/>
        </w:rPr>
        <w:t xml:space="preserve"> (IE)</w:t>
      </w:r>
      <w:r w:rsidRPr="00EE701D" w:rsidR="001738FF">
        <w:rPr>
          <w:rFonts w:ascii="Palatino Linotype" w:hAnsi="Palatino Linotype"/>
          <w:color w:val="212121"/>
          <w:sz w:val="24"/>
          <w:szCs w:val="24"/>
        </w:rPr>
        <w:t xml:space="preserve"> </w:t>
      </w:r>
      <w:r w:rsidRPr="00EE701D" w:rsidR="003F7B5D">
        <w:rPr>
          <w:rFonts w:ascii="Palatino Linotype" w:hAnsi="Palatino Linotype"/>
          <w:color w:val="212121"/>
          <w:sz w:val="24"/>
          <w:szCs w:val="24"/>
        </w:rPr>
        <w:t>for a one-time initial</w:t>
      </w:r>
      <w:r w:rsidRPr="00EE701D" w:rsidR="008553B8">
        <w:rPr>
          <w:rFonts w:ascii="Palatino Linotype" w:hAnsi="Palatino Linotype"/>
          <w:color w:val="212121"/>
          <w:sz w:val="24"/>
          <w:szCs w:val="24"/>
        </w:rPr>
        <w:t xml:space="preserve"> </w:t>
      </w:r>
      <w:r w:rsidRPr="00EE701D" w:rsidR="006B66A1">
        <w:rPr>
          <w:rFonts w:ascii="Palatino Linotype" w:hAnsi="Palatino Linotype"/>
          <w:color w:val="212121"/>
          <w:sz w:val="24"/>
          <w:szCs w:val="24"/>
        </w:rPr>
        <w:t xml:space="preserve">review and </w:t>
      </w:r>
      <w:r w:rsidRPr="00EE701D" w:rsidR="008553B8">
        <w:rPr>
          <w:rFonts w:ascii="Palatino Linotype" w:hAnsi="Palatino Linotype"/>
          <w:color w:val="212121"/>
          <w:sz w:val="24"/>
          <w:szCs w:val="24"/>
        </w:rPr>
        <w:t>assess</w:t>
      </w:r>
      <w:r w:rsidRPr="00EE701D" w:rsidR="003F7B5D">
        <w:rPr>
          <w:rFonts w:ascii="Palatino Linotype" w:hAnsi="Palatino Linotype"/>
          <w:color w:val="212121"/>
          <w:sz w:val="24"/>
          <w:szCs w:val="24"/>
        </w:rPr>
        <w:t>ment</w:t>
      </w:r>
      <w:r w:rsidRPr="00EE701D" w:rsidR="008553B8">
        <w:rPr>
          <w:rFonts w:ascii="Palatino Linotype" w:hAnsi="Palatino Linotype"/>
          <w:color w:val="212121"/>
          <w:sz w:val="24"/>
          <w:szCs w:val="24"/>
        </w:rPr>
        <w:t xml:space="preserve"> </w:t>
      </w:r>
      <w:r w:rsidRPr="00EE701D" w:rsidR="006B66A1">
        <w:rPr>
          <w:rFonts w:ascii="Palatino Linotype" w:hAnsi="Palatino Linotype"/>
          <w:color w:val="212121"/>
          <w:sz w:val="24"/>
          <w:szCs w:val="24"/>
        </w:rPr>
        <w:t>its</w:t>
      </w:r>
      <w:r w:rsidRPr="00EE701D" w:rsidR="008553B8">
        <w:rPr>
          <w:rFonts w:ascii="Palatino Linotype" w:hAnsi="Palatino Linotype"/>
          <w:color w:val="212121"/>
          <w:sz w:val="24"/>
          <w:szCs w:val="24"/>
        </w:rPr>
        <w:t xml:space="preserve"> reasonableness</w:t>
      </w:r>
      <w:r w:rsidRPr="00EE701D" w:rsidR="006B66A1">
        <w:rPr>
          <w:rFonts w:ascii="Palatino Linotype" w:hAnsi="Palatino Linotype"/>
          <w:color w:val="212121"/>
          <w:sz w:val="24"/>
          <w:szCs w:val="24"/>
        </w:rPr>
        <w:t xml:space="preserve"> </w:t>
      </w:r>
      <w:r w:rsidRPr="00EE701D" w:rsidR="001738FF">
        <w:rPr>
          <w:rFonts w:ascii="Palatino Linotype" w:hAnsi="Palatino Linotype"/>
          <w:color w:val="212121"/>
          <w:sz w:val="24"/>
          <w:szCs w:val="24"/>
        </w:rPr>
        <w:t>prior to the launch of future Disadvantaged Communities Green Tariff solicitations</w:t>
      </w:r>
      <w:r w:rsidRPr="00EE701D" w:rsidR="000C3DC3">
        <w:rPr>
          <w:rFonts w:ascii="Palatino Linotype" w:hAnsi="Palatino Linotype"/>
          <w:color w:val="212121"/>
          <w:sz w:val="24"/>
          <w:szCs w:val="24"/>
        </w:rPr>
        <w:t>.</w:t>
      </w:r>
      <w:r w:rsidRPr="00EE701D" w:rsidR="000C4DA4">
        <w:rPr>
          <w:rFonts w:ascii="Palatino Linotype" w:hAnsi="Palatino Linotype"/>
          <w:color w:val="212121"/>
          <w:sz w:val="24"/>
          <w:szCs w:val="24"/>
        </w:rPr>
        <w:t xml:space="preserve"> </w:t>
      </w:r>
      <w:r w:rsidRPr="00EE701D" w:rsidR="00403AE3">
        <w:rPr>
          <w:rFonts w:ascii="Palatino Linotype" w:hAnsi="Palatino Linotype"/>
          <w:color w:val="212121"/>
          <w:sz w:val="24"/>
          <w:szCs w:val="24"/>
        </w:rPr>
        <w:t>SCE and PG&amp;E</w:t>
      </w:r>
      <w:r w:rsidRPr="00EE701D" w:rsidR="00DD7C22">
        <w:rPr>
          <w:rFonts w:ascii="Palatino Linotype" w:hAnsi="Palatino Linotype"/>
          <w:color w:val="212121"/>
          <w:sz w:val="24"/>
          <w:szCs w:val="24"/>
        </w:rPr>
        <w:t xml:space="preserve"> sh</w:t>
      </w:r>
      <w:r w:rsidRPr="00EE701D" w:rsidR="00A66867">
        <w:rPr>
          <w:rFonts w:ascii="Palatino Linotype" w:hAnsi="Palatino Linotype"/>
          <w:color w:val="212121"/>
          <w:sz w:val="24"/>
          <w:szCs w:val="24"/>
        </w:rPr>
        <w:t>all</w:t>
      </w:r>
      <w:r w:rsidRPr="00EE701D" w:rsidR="00DD7C22">
        <w:rPr>
          <w:rFonts w:ascii="Palatino Linotype" w:hAnsi="Palatino Linotype"/>
          <w:color w:val="212121"/>
          <w:sz w:val="24"/>
          <w:szCs w:val="24"/>
        </w:rPr>
        <w:t xml:space="preserve"> </w:t>
      </w:r>
      <w:r w:rsidRPr="00EE701D" w:rsidR="002D5CFA">
        <w:rPr>
          <w:rFonts w:ascii="Palatino Linotype" w:hAnsi="Palatino Linotype"/>
          <w:color w:val="212121"/>
          <w:sz w:val="24"/>
          <w:szCs w:val="24"/>
        </w:rPr>
        <w:t xml:space="preserve">each </w:t>
      </w:r>
      <w:r w:rsidRPr="00EE701D" w:rsidR="00DD7C22">
        <w:rPr>
          <w:rFonts w:ascii="Palatino Linotype" w:hAnsi="Palatino Linotype" w:cs="v%"/>
          <w:sz w:val="24"/>
          <w:szCs w:val="24"/>
        </w:rPr>
        <w:t xml:space="preserve">include </w:t>
      </w:r>
      <w:r w:rsidRPr="00EE701D" w:rsidR="00477B5A">
        <w:rPr>
          <w:rFonts w:ascii="Palatino Linotype" w:hAnsi="Palatino Linotype" w:cs="v%"/>
          <w:sz w:val="24"/>
          <w:szCs w:val="24"/>
        </w:rPr>
        <w:t xml:space="preserve">the </w:t>
      </w:r>
      <w:r w:rsidRPr="00EE701D" w:rsidR="00A66867">
        <w:rPr>
          <w:rFonts w:ascii="Palatino Linotype" w:hAnsi="Palatino Linotype" w:cs="v%"/>
          <w:sz w:val="24"/>
          <w:szCs w:val="24"/>
        </w:rPr>
        <w:t xml:space="preserve">PRG </w:t>
      </w:r>
      <w:r w:rsidRPr="00EE701D" w:rsidR="00DD7C22">
        <w:rPr>
          <w:rFonts w:ascii="Palatino Linotype" w:hAnsi="Palatino Linotype" w:cs="v%"/>
          <w:sz w:val="24"/>
          <w:szCs w:val="24"/>
        </w:rPr>
        <w:t>IE</w:t>
      </w:r>
      <w:r w:rsidRPr="00EE701D" w:rsidR="002D5CFA">
        <w:rPr>
          <w:rFonts w:ascii="Palatino Linotype" w:hAnsi="Palatino Linotype" w:cs="v%"/>
          <w:sz w:val="24"/>
          <w:szCs w:val="24"/>
        </w:rPr>
        <w:t xml:space="preserve">’s report on </w:t>
      </w:r>
      <w:r w:rsidRPr="00EE701D" w:rsidR="004A1A18">
        <w:rPr>
          <w:rFonts w:ascii="Palatino Linotype" w:hAnsi="Palatino Linotype" w:cs="v%"/>
          <w:sz w:val="24"/>
          <w:szCs w:val="24"/>
        </w:rPr>
        <w:t xml:space="preserve">the </w:t>
      </w:r>
      <w:r w:rsidRPr="00EE701D" w:rsidR="00DD7C22">
        <w:rPr>
          <w:rFonts w:ascii="Palatino Linotype" w:hAnsi="Palatino Linotype" w:cs="v%"/>
          <w:sz w:val="24"/>
          <w:szCs w:val="24"/>
        </w:rPr>
        <w:t xml:space="preserve">conclusions of the reasonableness of </w:t>
      </w:r>
      <w:r w:rsidRPr="00EE701D" w:rsidR="002D5CFA">
        <w:rPr>
          <w:rFonts w:ascii="Palatino Linotype" w:hAnsi="Palatino Linotype" w:cs="v%"/>
          <w:sz w:val="24"/>
          <w:szCs w:val="24"/>
        </w:rPr>
        <w:t>their</w:t>
      </w:r>
      <w:r w:rsidRPr="00EE701D" w:rsidR="00DD7C22">
        <w:rPr>
          <w:rFonts w:ascii="Palatino Linotype" w:hAnsi="Palatino Linotype" w:cs="v%"/>
          <w:sz w:val="24"/>
          <w:szCs w:val="24"/>
        </w:rPr>
        <w:t xml:space="preserve"> respective</w:t>
      </w:r>
      <w:r w:rsidRPr="00EE701D" w:rsidR="007D6FF2">
        <w:rPr>
          <w:rFonts w:ascii="Palatino Linotype" w:hAnsi="Palatino Linotype" w:cs="v%"/>
          <w:sz w:val="24"/>
          <w:szCs w:val="24"/>
        </w:rPr>
        <w:t xml:space="preserve"> </w:t>
      </w:r>
      <w:r w:rsidRPr="00EE701D" w:rsidR="00DD7C22">
        <w:rPr>
          <w:rFonts w:ascii="Palatino Linotype" w:hAnsi="Palatino Linotype" w:cs="v%"/>
          <w:sz w:val="24"/>
          <w:szCs w:val="24"/>
        </w:rPr>
        <w:t xml:space="preserve">CBVRPs </w:t>
      </w:r>
      <w:r w:rsidRPr="00EE701D" w:rsidR="00B8367D">
        <w:rPr>
          <w:rFonts w:ascii="Palatino Linotype" w:hAnsi="Palatino Linotype" w:cs="v%"/>
          <w:sz w:val="24"/>
          <w:szCs w:val="24"/>
        </w:rPr>
        <w:t>as an attachment</w:t>
      </w:r>
      <w:r w:rsidRPr="00EE701D" w:rsidR="00A60B9B">
        <w:rPr>
          <w:rFonts w:ascii="Palatino Linotype" w:hAnsi="Palatino Linotype" w:cs="v%"/>
          <w:sz w:val="24"/>
          <w:szCs w:val="24"/>
        </w:rPr>
        <w:t xml:space="preserve"> to its </w:t>
      </w:r>
      <w:r w:rsidRPr="00EE701D" w:rsidR="00A20E41">
        <w:rPr>
          <w:rFonts w:ascii="Palatino Linotype" w:hAnsi="Palatino Linotype" w:cs="v%"/>
          <w:sz w:val="24"/>
          <w:szCs w:val="24"/>
        </w:rPr>
        <w:t xml:space="preserve">future </w:t>
      </w:r>
      <w:r w:rsidRPr="00EE701D" w:rsidR="00A60B9B">
        <w:rPr>
          <w:rFonts w:ascii="Palatino Linotype" w:hAnsi="Palatino Linotype" w:cs="v%"/>
          <w:sz w:val="24"/>
          <w:szCs w:val="24"/>
        </w:rPr>
        <w:t>executed Tier 2</w:t>
      </w:r>
      <w:r w:rsidRPr="00EE701D" w:rsidR="00EF6E7A">
        <w:rPr>
          <w:rFonts w:ascii="Palatino Linotype" w:hAnsi="Palatino Linotype" w:cs="v%"/>
          <w:sz w:val="24"/>
          <w:szCs w:val="24"/>
        </w:rPr>
        <w:t xml:space="preserve"> (</w:t>
      </w:r>
      <w:r w:rsidRPr="00EE701D" w:rsidR="00A20E41">
        <w:rPr>
          <w:rFonts w:ascii="Palatino Linotype" w:hAnsi="Palatino Linotype" w:cs="v%"/>
          <w:sz w:val="24"/>
          <w:szCs w:val="24"/>
        </w:rPr>
        <w:t>DAC-GT</w:t>
      </w:r>
      <w:r w:rsidRPr="00EE701D" w:rsidR="00EF6E7A">
        <w:rPr>
          <w:rFonts w:ascii="Palatino Linotype" w:hAnsi="Palatino Linotype" w:cs="v%"/>
          <w:sz w:val="24"/>
          <w:szCs w:val="24"/>
        </w:rPr>
        <w:t>)</w:t>
      </w:r>
      <w:r w:rsidRPr="00EE701D" w:rsidR="00A20E41">
        <w:rPr>
          <w:rFonts w:ascii="Palatino Linotype" w:hAnsi="Palatino Linotype" w:cs="v%"/>
          <w:sz w:val="24"/>
          <w:szCs w:val="24"/>
        </w:rPr>
        <w:t xml:space="preserve"> Power Purchase Agreement Advice Letters</w:t>
      </w:r>
      <w:r w:rsidRPr="00EE701D" w:rsidR="00CF3B2B">
        <w:rPr>
          <w:rFonts w:ascii="Palatino Linotype" w:hAnsi="Palatino Linotype" w:cs="v%"/>
          <w:sz w:val="24"/>
          <w:szCs w:val="24"/>
        </w:rPr>
        <w:t>.</w:t>
      </w:r>
    </w:p>
    <w:p w:rsidRPr="00EE701D" w:rsidR="00C8312C" w:rsidP="00993D6A" w:rsidRDefault="00B1395C" w14:paraId="1DF5DE02" w14:textId="1E18705F">
      <w:pPr>
        <w:pStyle w:val="ListParagraph"/>
        <w:numPr>
          <w:ilvl w:val="0"/>
          <w:numId w:val="23"/>
        </w:numPr>
        <w:rPr>
          <w:rFonts w:ascii="Palatino Linotype" w:hAnsi="Palatino Linotype" w:eastAsia="Palatino Linotype"/>
          <w:snapToGrid w:val="0"/>
          <w:sz w:val="24"/>
          <w:szCs w:val="24"/>
        </w:rPr>
      </w:pPr>
      <w:r w:rsidRPr="00EE701D">
        <w:rPr>
          <w:rFonts w:ascii="Palatino Linotype" w:hAnsi="Palatino Linotype" w:eastAsia="Palatino Linotype"/>
          <w:snapToGrid w:val="0"/>
          <w:sz w:val="24"/>
          <w:szCs w:val="24"/>
        </w:rPr>
        <w:t>Immediately following the issuance of this Resolution, p</w:t>
      </w:r>
      <w:r w:rsidRPr="00EE701D" w:rsidR="00771735">
        <w:rPr>
          <w:rFonts w:ascii="Palatino Linotype" w:hAnsi="Palatino Linotype" w:eastAsia="Palatino Linotype"/>
          <w:snapToGrid w:val="0"/>
          <w:sz w:val="24"/>
          <w:szCs w:val="24"/>
        </w:rPr>
        <w:t xml:space="preserve">articipating Disadvantaged Communities Green Tariff </w:t>
      </w:r>
      <w:r w:rsidRPr="00EE701D" w:rsidR="00DC66DF">
        <w:rPr>
          <w:rFonts w:ascii="Palatino Linotype" w:hAnsi="Palatino Linotype" w:eastAsia="Palatino Linotype"/>
          <w:snapToGrid w:val="0"/>
          <w:sz w:val="24"/>
          <w:szCs w:val="24"/>
        </w:rPr>
        <w:t xml:space="preserve">(DAC-GT) </w:t>
      </w:r>
      <w:r w:rsidRPr="00EE701D" w:rsidR="00771735">
        <w:rPr>
          <w:rFonts w:ascii="Palatino Linotype" w:hAnsi="Palatino Linotype" w:eastAsia="Palatino Linotype"/>
          <w:snapToGrid w:val="0"/>
          <w:sz w:val="24"/>
          <w:szCs w:val="24"/>
        </w:rPr>
        <w:t>Community Choice Aggregator</w:t>
      </w:r>
      <w:r w:rsidRPr="00EE701D" w:rsidR="00154E29">
        <w:rPr>
          <w:rFonts w:ascii="Palatino Linotype" w:hAnsi="Palatino Linotype" w:eastAsia="Palatino Linotype"/>
          <w:snapToGrid w:val="0"/>
          <w:sz w:val="24"/>
          <w:szCs w:val="24"/>
        </w:rPr>
        <w:t xml:space="preserve"> (CCA)</w:t>
      </w:r>
      <w:r w:rsidRPr="00EE701D" w:rsidR="00771735">
        <w:rPr>
          <w:rFonts w:ascii="Palatino Linotype" w:hAnsi="Palatino Linotype" w:eastAsia="Palatino Linotype"/>
          <w:snapToGrid w:val="0"/>
          <w:sz w:val="24"/>
          <w:szCs w:val="24"/>
        </w:rPr>
        <w:t xml:space="preserve"> </w:t>
      </w:r>
      <w:r w:rsidRPr="00EE701D" w:rsidR="00DC66DF">
        <w:rPr>
          <w:rFonts w:ascii="Palatino Linotype" w:hAnsi="Palatino Linotype" w:eastAsia="Palatino Linotype"/>
          <w:snapToGrid w:val="0"/>
          <w:sz w:val="24"/>
          <w:szCs w:val="24"/>
        </w:rPr>
        <w:t xml:space="preserve">Program Administrators </w:t>
      </w:r>
      <w:r w:rsidRPr="00EE701D" w:rsidR="00154E29">
        <w:rPr>
          <w:rFonts w:ascii="Palatino Linotype" w:hAnsi="Palatino Linotype" w:eastAsia="Palatino Linotype"/>
          <w:snapToGrid w:val="0"/>
          <w:sz w:val="24"/>
          <w:szCs w:val="24"/>
        </w:rPr>
        <w:t xml:space="preserve">(PAs) </w:t>
      </w:r>
      <w:r w:rsidRPr="00EE701D" w:rsidR="00DC66DF">
        <w:rPr>
          <w:rFonts w:ascii="Palatino Linotype" w:hAnsi="Palatino Linotype" w:eastAsia="Palatino Linotype"/>
          <w:snapToGrid w:val="0"/>
          <w:sz w:val="24"/>
          <w:szCs w:val="24"/>
        </w:rPr>
        <w:t xml:space="preserve">are authorized to </w:t>
      </w:r>
      <w:r w:rsidRPr="00EE701D" w:rsidR="00771735">
        <w:rPr>
          <w:rFonts w:ascii="Palatino Linotype" w:hAnsi="Palatino Linotype" w:eastAsia="Palatino Linotype"/>
          <w:snapToGrid w:val="0"/>
          <w:sz w:val="24"/>
          <w:szCs w:val="24"/>
        </w:rPr>
        <w:t>contract with</w:t>
      </w:r>
      <w:r w:rsidRPr="00EE701D" w:rsidR="003F7B5D">
        <w:rPr>
          <w:rFonts w:ascii="Palatino Linotype" w:hAnsi="Palatino Linotype" w:eastAsia="Palatino Linotype"/>
          <w:snapToGrid w:val="0"/>
          <w:sz w:val="24"/>
          <w:szCs w:val="24"/>
        </w:rPr>
        <w:t xml:space="preserve"> and recover costs for</w:t>
      </w:r>
      <w:r w:rsidRPr="00EE701D" w:rsidR="00771735">
        <w:rPr>
          <w:rFonts w:ascii="Palatino Linotype" w:hAnsi="Palatino Linotype" w:eastAsia="Palatino Linotype"/>
          <w:snapToGrid w:val="0"/>
          <w:sz w:val="24"/>
          <w:szCs w:val="24"/>
        </w:rPr>
        <w:t xml:space="preserve"> </w:t>
      </w:r>
      <w:r w:rsidRPr="00EE701D" w:rsidR="003F7B5D">
        <w:rPr>
          <w:rFonts w:ascii="Palatino Linotype" w:hAnsi="Palatino Linotype" w:eastAsia="Palatino Linotype"/>
          <w:snapToGrid w:val="0"/>
          <w:sz w:val="24"/>
          <w:szCs w:val="24"/>
        </w:rPr>
        <w:t xml:space="preserve">an </w:t>
      </w:r>
      <w:r w:rsidRPr="00EE701D" w:rsidR="00771735">
        <w:rPr>
          <w:rFonts w:ascii="Palatino Linotype" w:hAnsi="Palatino Linotype" w:eastAsia="Palatino Linotype"/>
          <w:snapToGrid w:val="0"/>
          <w:sz w:val="24"/>
          <w:szCs w:val="24"/>
        </w:rPr>
        <w:t xml:space="preserve">independent third party to </w:t>
      </w:r>
      <w:r w:rsidRPr="00EE701D" w:rsidR="003F7B5D">
        <w:rPr>
          <w:rFonts w:ascii="Palatino Linotype" w:hAnsi="Palatino Linotype" w:eastAsia="Palatino Linotype"/>
          <w:snapToGrid w:val="0"/>
          <w:sz w:val="24"/>
          <w:szCs w:val="24"/>
        </w:rPr>
        <w:t xml:space="preserve">provide a one-time initial </w:t>
      </w:r>
      <w:r w:rsidRPr="00EE701D" w:rsidR="00DC66DF">
        <w:rPr>
          <w:rFonts w:ascii="Palatino Linotype" w:hAnsi="Palatino Linotype"/>
          <w:color w:val="212121"/>
          <w:sz w:val="24"/>
          <w:szCs w:val="24"/>
        </w:rPr>
        <w:t>review and assess</w:t>
      </w:r>
      <w:r w:rsidRPr="00EE701D" w:rsidR="003F7B5D">
        <w:rPr>
          <w:rFonts w:ascii="Palatino Linotype" w:hAnsi="Palatino Linotype"/>
          <w:color w:val="212121"/>
          <w:sz w:val="24"/>
          <w:szCs w:val="24"/>
        </w:rPr>
        <w:t>ment of</w:t>
      </w:r>
      <w:r w:rsidRPr="00EE701D" w:rsidR="00DC66DF">
        <w:rPr>
          <w:rFonts w:ascii="Palatino Linotype" w:hAnsi="Palatino Linotype"/>
          <w:color w:val="212121"/>
          <w:sz w:val="24"/>
          <w:szCs w:val="24"/>
        </w:rPr>
        <w:t xml:space="preserve"> the reasonableness of </w:t>
      </w:r>
      <w:r w:rsidRPr="00EE701D" w:rsidR="00154E29">
        <w:rPr>
          <w:rFonts w:ascii="Palatino Linotype" w:hAnsi="Palatino Linotype"/>
          <w:color w:val="212121"/>
          <w:sz w:val="24"/>
          <w:szCs w:val="24"/>
        </w:rPr>
        <w:t xml:space="preserve">their </w:t>
      </w:r>
      <w:r w:rsidRPr="00EE701D" w:rsidR="00154E29">
        <w:rPr>
          <w:rFonts w:ascii="Palatino Linotype" w:hAnsi="Palatino Linotype" w:cs="v%"/>
          <w:sz w:val="24"/>
          <w:szCs w:val="24"/>
        </w:rPr>
        <w:t>Confidential Benchmark Value Reference Price (</w:t>
      </w:r>
      <w:r w:rsidRPr="00EE701D" w:rsidR="00154E29">
        <w:rPr>
          <w:rFonts w:ascii="Palatino Linotype" w:hAnsi="Palatino Linotype"/>
          <w:color w:val="212121"/>
          <w:sz w:val="24"/>
          <w:szCs w:val="24"/>
        </w:rPr>
        <w:t xml:space="preserve">CBVRP) and associated workpapers </w:t>
      </w:r>
      <w:r w:rsidRPr="00EE701D" w:rsidR="00DC66DF">
        <w:rPr>
          <w:rFonts w:ascii="Palatino Linotype" w:hAnsi="Palatino Linotype"/>
          <w:color w:val="212121"/>
          <w:sz w:val="24"/>
          <w:szCs w:val="24"/>
        </w:rPr>
        <w:t xml:space="preserve">prior to the launch of future </w:t>
      </w:r>
      <w:r w:rsidRPr="00EE701D" w:rsidR="00154E29">
        <w:rPr>
          <w:rFonts w:ascii="Palatino Linotype" w:hAnsi="Palatino Linotype"/>
          <w:color w:val="212121"/>
          <w:sz w:val="24"/>
          <w:szCs w:val="24"/>
        </w:rPr>
        <w:t xml:space="preserve">DAC-GT </w:t>
      </w:r>
      <w:r w:rsidRPr="00EE701D" w:rsidR="00DC66DF">
        <w:rPr>
          <w:rFonts w:ascii="Palatino Linotype" w:hAnsi="Palatino Linotype"/>
          <w:color w:val="212121"/>
          <w:sz w:val="24"/>
          <w:szCs w:val="24"/>
        </w:rPr>
        <w:t>solicitations.</w:t>
      </w:r>
      <w:r w:rsidRPr="00EE701D" w:rsidR="00154E29">
        <w:rPr>
          <w:rFonts w:ascii="Palatino Linotype" w:hAnsi="Palatino Linotype"/>
          <w:color w:val="212121"/>
          <w:sz w:val="24"/>
          <w:szCs w:val="24"/>
        </w:rPr>
        <w:t xml:space="preserve"> DAC-GT CCA PAs shall independently survey their ow procurement data to set the appropriate </w:t>
      </w:r>
      <w:r w:rsidRPr="00EE701D" w:rsidR="00154E29">
        <w:rPr>
          <w:rFonts w:ascii="Palatino Linotype" w:hAnsi="Palatino Linotype" w:cs="v%"/>
          <w:sz w:val="24"/>
          <w:szCs w:val="24"/>
        </w:rPr>
        <w:t>Confidential Benchmark Value Reference Price (</w:t>
      </w:r>
      <w:r w:rsidRPr="00EE701D" w:rsidR="00154E29">
        <w:rPr>
          <w:rFonts w:ascii="Palatino Linotype" w:hAnsi="Palatino Linotype"/>
          <w:color w:val="212121"/>
          <w:sz w:val="24"/>
          <w:szCs w:val="24"/>
        </w:rPr>
        <w:t>CBVRP).</w:t>
      </w:r>
      <w:r w:rsidRPr="00EE701D" w:rsidR="004D41F4">
        <w:rPr>
          <w:rFonts w:ascii="Palatino Linotype" w:hAnsi="Palatino Linotype"/>
          <w:color w:val="212121"/>
          <w:sz w:val="24"/>
          <w:szCs w:val="24"/>
        </w:rPr>
        <w:t xml:space="preserve"> </w:t>
      </w:r>
      <w:r w:rsidRPr="00EE701D" w:rsidR="004D41F4">
        <w:rPr>
          <w:rFonts w:ascii="Palatino Linotype" w:hAnsi="Palatino Linotype" w:cs="v%"/>
          <w:sz w:val="24"/>
          <w:szCs w:val="24"/>
        </w:rPr>
        <w:t>Each D</w:t>
      </w:r>
      <w:r w:rsidRPr="00EE701D" w:rsidR="00CF3B2B">
        <w:rPr>
          <w:rFonts w:ascii="Palatino Linotype" w:hAnsi="Palatino Linotype" w:cs="v%"/>
          <w:sz w:val="24"/>
          <w:szCs w:val="24"/>
        </w:rPr>
        <w:t>AC</w:t>
      </w:r>
      <w:r w:rsidRPr="00EE701D" w:rsidR="004D41F4">
        <w:rPr>
          <w:rFonts w:ascii="Palatino Linotype" w:hAnsi="Palatino Linotype" w:cs="v%"/>
          <w:sz w:val="24"/>
          <w:szCs w:val="24"/>
        </w:rPr>
        <w:t xml:space="preserve">-GT CCA PA shall </w:t>
      </w:r>
      <w:r w:rsidRPr="00EE701D" w:rsidR="00026CDB">
        <w:rPr>
          <w:rFonts w:ascii="Palatino Linotype" w:hAnsi="Palatino Linotype" w:cs="v%"/>
          <w:sz w:val="24"/>
          <w:szCs w:val="24"/>
        </w:rPr>
        <w:t>include</w:t>
      </w:r>
      <w:r w:rsidRPr="00EE701D" w:rsidR="00595D12">
        <w:rPr>
          <w:rFonts w:ascii="Palatino Linotype" w:hAnsi="Palatino Linotype" w:cs="v%"/>
          <w:sz w:val="24"/>
          <w:szCs w:val="24"/>
        </w:rPr>
        <w:t xml:space="preserve"> </w:t>
      </w:r>
      <w:r w:rsidRPr="00EE701D" w:rsidR="006B5F8D">
        <w:rPr>
          <w:rFonts w:ascii="Palatino Linotype" w:hAnsi="Palatino Linotype" w:cs="v%"/>
          <w:sz w:val="24"/>
          <w:szCs w:val="24"/>
        </w:rPr>
        <w:t xml:space="preserve">the independent third party’s report on the </w:t>
      </w:r>
      <w:r w:rsidRPr="00EE701D" w:rsidR="004D41F4">
        <w:rPr>
          <w:rFonts w:ascii="Palatino Linotype" w:hAnsi="Palatino Linotype" w:cs="v%"/>
          <w:sz w:val="24"/>
          <w:szCs w:val="24"/>
        </w:rPr>
        <w:t xml:space="preserve">conclusions of the reasonableness of </w:t>
      </w:r>
      <w:r w:rsidRPr="00EE701D" w:rsidR="00540DB0">
        <w:rPr>
          <w:rFonts w:ascii="Palatino Linotype" w:hAnsi="Palatino Linotype" w:cs="v%"/>
          <w:sz w:val="24"/>
          <w:szCs w:val="24"/>
        </w:rPr>
        <w:t>each participating CCA’s</w:t>
      </w:r>
      <w:r w:rsidRPr="00EE701D" w:rsidR="004D41F4">
        <w:rPr>
          <w:rFonts w:ascii="Palatino Linotype" w:hAnsi="Palatino Linotype" w:cs="v%"/>
          <w:sz w:val="24"/>
          <w:szCs w:val="24"/>
        </w:rPr>
        <w:t xml:space="preserve"> respective CBVRP </w:t>
      </w:r>
      <w:r w:rsidRPr="00EE701D" w:rsidR="00026CDB">
        <w:rPr>
          <w:rFonts w:ascii="Palatino Linotype" w:hAnsi="Palatino Linotype" w:cs="v%"/>
          <w:sz w:val="24"/>
          <w:szCs w:val="24"/>
        </w:rPr>
        <w:t xml:space="preserve">as an attachment to </w:t>
      </w:r>
      <w:r w:rsidRPr="00EE701D" w:rsidR="005F3CB0">
        <w:rPr>
          <w:rFonts w:ascii="Palatino Linotype" w:hAnsi="Palatino Linotype" w:cs="v%"/>
          <w:sz w:val="24"/>
          <w:szCs w:val="24"/>
        </w:rPr>
        <w:t xml:space="preserve">its future executed </w:t>
      </w:r>
      <w:r w:rsidRPr="00EE701D" w:rsidR="00EF6E7A">
        <w:rPr>
          <w:rFonts w:ascii="Palatino Linotype" w:hAnsi="Palatino Linotype" w:cs="v%"/>
          <w:sz w:val="24"/>
          <w:szCs w:val="24"/>
        </w:rPr>
        <w:t xml:space="preserve">Tier 2 </w:t>
      </w:r>
      <w:r w:rsidRPr="00EE701D" w:rsidR="005F3CB0">
        <w:rPr>
          <w:rFonts w:ascii="Palatino Linotype" w:hAnsi="Palatino Linotype" w:cs="v%"/>
          <w:sz w:val="24"/>
          <w:szCs w:val="24"/>
        </w:rPr>
        <w:t>DAC-GT Power Purchase Agreement Advice Letters.</w:t>
      </w:r>
    </w:p>
    <w:p w:rsidRPr="00EE701D" w:rsidR="00154E29" w:rsidP="007963D3" w:rsidRDefault="00154E29" w14:paraId="0BE4EB59"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EE701D" w:rsidR="00CF17DE" w:rsidP="007963D3" w:rsidRDefault="00CF17DE" w14:paraId="37DEE6CF" w14:textId="219929CA">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EE701D">
        <w:rPr>
          <w:rFonts w:ascii="Palatino Linotype" w:hAnsi="Palatino Linotype" w:eastAsia="Palatino Linotype"/>
          <w:sz w:val="24"/>
          <w:szCs w:val="24"/>
        </w:rPr>
        <w:t>This Resolution is effective today.</w:t>
      </w:r>
    </w:p>
    <w:p w:rsidRPr="00EE701D" w:rsidR="00CB42C3" w:rsidP="007963D3" w:rsidRDefault="00CB42C3" w14:paraId="7D496AA3"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EE701D" w:rsidR="00CF17DE" w:rsidP="009B13F1" w:rsidRDefault="00320D04" w14:paraId="2DA44F60" w14:textId="499102D8">
      <w:pPr>
        <w:keepNext/>
        <w:rPr>
          <w:rFonts w:ascii="Palatino Linotype" w:hAnsi="Palatino Linotype" w:eastAsia="Palatino Linotype"/>
          <w:sz w:val="24"/>
          <w:szCs w:val="24"/>
        </w:rPr>
      </w:pPr>
      <w:r w:rsidRPr="00EE701D">
        <w:rPr>
          <w:rFonts w:ascii="Palatino Linotype" w:hAnsi="Palatino Linotype" w:eastAsia="Palatino Linotype"/>
          <w:snapToGrid w:val="0"/>
          <w:sz w:val="24"/>
          <w:szCs w:val="24"/>
        </w:rPr>
        <w:t>T</w:t>
      </w:r>
      <w:r w:rsidRPr="00EE701D" w:rsidR="00CF17DE">
        <w:rPr>
          <w:rFonts w:ascii="Palatino Linotype" w:hAnsi="Palatino Linotype" w:eastAsia="Palatino Linotype"/>
          <w:snapToGrid w:val="0"/>
          <w:sz w:val="24"/>
          <w:szCs w:val="24"/>
        </w:rPr>
        <w:t>he foregoing resolution was duly introduced, passed</w:t>
      </w:r>
      <w:r w:rsidRPr="00EE701D" w:rsidR="007963D3">
        <w:rPr>
          <w:rFonts w:ascii="Palatino Linotype" w:hAnsi="Palatino Linotype" w:eastAsia="Palatino Linotype"/>
          <w:snapToGrid w:val="0"/>
          <w:sz w:val="24"/>
          <w:szCs w:val="24"/>
        </w:rPr>
        <w:t>,</w:t>
      </w:r>
      <w:r w:rsidRPr="00EE701D" w:rsidR="00CF17DE">
        <w:rPr>
          <w:rFonts w:ascii="Palatino Linotype" w:hAnsi="Palatino Linotype" w:eastAsia="Palatino Linotype"/>
          <w:snapToGrid w:val="0"/>
          <w:sz w:val="24"/>
          <w:szCs w:val="24"/>
        </w:rPr>
        <w:t xml:space="preserve"> and adopted at a conference of the Public Utilities Commission of the State of California held on</w:t>
      </w:r>
      <w:r w:rsidR="00EA7AF6">
        <w:rPr>
          <w:rFonts w:ascii="Palatino Linotype" w:hAnsi="Palatino Linotype" w:eastAsia="Palatino Linotype"/>
          <w:snapToGrid w:val="0"/>
          <w:sz w:val="24"/>
          <w:szCs w:val="24"/>
        </w:rPr>
        <w:t xml:space="preserve"> June 12, 2025</w:t>
      </w:r>
      <w:r w:rsidRPr="00EE701D" w:rsidR="00CF17DE">
        <w:rPr>
          <w:rFonts w:ascii="Palatino Linotype" w:hAnsi="Palatino Linotype" w:eastAsia="Palatino Linotype"/>
          <w:snapToGrid w:val="0"/>
          <w:sz w:val="24"/>
          <w:szCs w:val="24"/>
        </w:rPr>
        <w:t>; the following Commissioners voting favorably thereon:</w:t>
      </w:r>
    </w:p>
    <w:p w:rsidRPr="00EE701D" w:rsidR="00CF17DE" w:rsidP="009B13F1" w:rsidRDefault="00CF17DE" w14:paraId="59ED5E3E" w14:textId="77777777">
      <w:pPr>
        <w:keepNext/>
        <w:tabs>
          <w:tab w:val="left" w:pos="720"/>
          <w:tab w:val="left" w:pos="1296"/>
          <w:tab w:val="left" w:pos="2016"/>
          <w:tab w:val="left" w:pos="2736"/>
          <w:tab w:val="left" w:pos="3456"/>
          <w:tab w:val="left" w:pos="4176"/>
          <w:tab w:val="left" w:pos="5760"/>
        </w:tabs>
        <w:ind w:firstLine="4176"/>
        <w:rPr>
          <w:rFonts w:ascii="Palatino Linotype" w:hAnsi="Palatino Linotype" w:eastAsia="Palatino Linotype"/>
          <w:sz w:val="24"/>
          <w:szCs w:val="24"/>
        </w:rPr>
      </w:pPr>
    </w:p>
    <w:p w:rsidRPr="00EE701D" w:rsidR="009B13F1" w:rsidP="009B13F1" w:rsidRDefault="009B13F1" w14:paraId="1BA5E60C" w14:textId="74DCE941">
      <w:pPr>
        <w:keepNext/>
        <w:tabs>
          <w:tab w:val="left" w:pos="720"/>
          <w:tab w:val="left" w:pos="1296"/>
          <w:tab w:val="left" w:pos="2016"/>
          <w:tab w:val="left" w:pos="2736"/>
          <w:tab w:val="left" w:pos="3456"/>
          <w:tab w:val="left" w:pos="4176"/>
          <w:tab w:val="left" w:pos="5760"/>
        </w:tabs>
        <w:ind w:firstLine="4176"/>
        <w:rPr>
          <w:rFonts w:ascii="Palatino Linotype" w:hAnsi="Palatino Linotype" w:eastAsia="Palatino Linotype"/>
          <w:sz w:val="24"/>
          <w:szCs w:val="24"/>
        </w:rPr>
      </w:pPr>
      <w:r w:rsidRPr="00EE701D">
        <w:rPr>
          <w:rFonts w:ascii="Palatino Linotype" w:hAnsi="Palatino Linotype" w:eastAsia="Palatino Linotype"/>
          <w:sz w:val="24"/>
          <w:szCs w:val="24"/>
        </w:rPr>
        <w:t xml:space="preserve">Commissioner Signature blocks to be added </w:t>
      </w:r>
    </w:p>
    <w:p w:rsidRPr="00EE701D" w:rsidR="00603464" w:rsidP="009B13F1" w:rsidRDefault="009B13F1" w14:paraId="3AE3A28A" w14:textId="5C6DB5E2">
      <w:pPr>
        <w:keepNext/>
        <w:tabs>
          <w:tab w:val="left" w:pos="720"/>
          <w:tab w:val="left" w:pos="1296"/>
          <w:tab w:val="left" w:pos="2016"/>
          <w:tab w:val="left" w:pos="2736"/>
          <w:tab w:val="left" w:pos="3456"/>
          <w:tab w:val="left" w:pos="4176"/>
          <w:tab w:val="left" w:pos="5760"/>
        </w:tabs>
        <w:ind w:firstLine="4176"/>
        <w:rPr>
          <w:rFonts w:ascii="Palatino Linotype" w:hAnsi="Palatino Linotype" w:eastAsia="Palatino Linotype"/>
          <w:sz w:val="24"/>
          <w:szCs w:val="24"/>
        </w:rPr>
      </w:pPr>
      <w:r w:rsidRPr="00EE701D">
        <w:rPr>
          <w:rFonts w:ascii="Palatino Linotype" w:hAnsi="Palatino Linotype" w:eastAsia="Palatino Linotype"/>
          <w:sz w:val="24"/>
          <w:szCs w:val="24"/>
        </w:rPr>
        <w:t>upon adoption of the resolution</w:t>
      </w:r>
    </w:p>
    <w:p w:rsidRPr="00EE701D" w:rsidR="00603464" w:rsidP="00603464" w:rsidRDefault="00603464" w14:paraId="49DF5409"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EE701D" w:rsidR="00CF17DE" w:rsidP="009B13F1" w:rsidRDefault="00603464" w14:paraId="363F8E7E" w14:textId="5B26F7B4">
      <w:pPr>
        <w:tabs>
          <w:tab w:val="left" w:pos="720"/>
          <w:tab w:val="left" w:pos="1152"/>
          <w:tab w:val="left" w:pos="1728"/>
          <w:tab w:val="left" w:pos="3168"/>
          <w:tab w:val="left" w:pos="5040"/>
        </w:tabs>
        <w:ind w:right="144"/>
        <w:rPr>
          <w:rFonts w:ascii="Palatino Linotype" w:hAnsi="Palatino Linotype" w:eastAsia="Palatino Linotype"/>
          <w:sz w:val="24"/>
          <w:szCs w:val="24"/>
        </w:rPr>
      </w:pPr>
      <w:r w:rsidRPr="00EE701D">
        <w:rPr>
          <w:rFonts w:ascii="Palatino Linotype" w:hAnsi="Palatino Linotype" w:eastAsia="Palatino Linotype"/>
          <w:sz w:val="24"/>
          <w:szCs w:val="24"/>
        </w:rPr>
        <w:t xml:space="preserve">Dated </w:t>
      </w:r>
      <w:r w:rsidRPr="00EE701D">
        <w:rPr>
          <w:rFonts w:ascii="Palatino Linotype" w:hAnsi="Palatino Linotype" w:eastAsia="Palatino Linotype"/>
          <w:sz w:val="24"/>
          <w:szCs w:val="24"/>
          <w:u w:val="single"/>
        </w:rPr>
        <w:t xml:space="preserve">                                                                   </w:t>
      </w:r>
      <w:r w:rsidRPr="00EE701D">
        <w:rPr>
          <w:rFonts w:ascii="Palatino Linotype" w:hAnsi="Palatino Linotype" w:eastAsia="Palatino Linotype"/>
          <w:sz w:val="24"/>
          <w:szCs w:val="24"/>
        </w:rPr>
        <w:t>, at &lt;Voting meeting location&gt;, California</w:t>
      </w:r>
      <w:r w:rsidRPr="00EE701D" w:rsidR="00CF17DE">
        <w:rPr>
          <w:rFonts w:ascii="Palatino Linotype" w:hAnsi="Palatino Linotype"/>
          <w:sz w:val="24"/>
          <w:szCs w:val="24"/>
        </w:rPr>
        <w:tab/>
      </w:r>
      <w:r w:rsidRPr="00EE701D" w:rsidR="00CF17DE">
        <w:rPr>
          <w:rFonts w:ascii="Palatino Linotype" w:hAnsi="Palatino Linotype"/>
          <w:sz w:val="24"/>
          <w:szCs w:val="24"/>
        </w:rPr>
        <w:tab/>
      </w:r>
      <w:r w:rsidRPr="00EE701D" w:rsidR="00CF17DE">
        <w:rPr>
          <w:rFonts w:ascii="Palatino Linotype" w:hAnsi="Palatino Linotype"/>
          <w:sz w:val="24"/>
          <w:szCs w:val="24"/>
        </w:rPr>
        <w:tab/>
      </w:r>
    </w:p>
    <w:sectPr w:rsidRPr="00EE701D" w:rsidR="00CF17DE">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02D4B" w14:textId="77777777" w:rsidR="009D41D5" w:rsidRDefault="009D41D5">
      <w:r>
        <w:separator/>
      </w:r>
    </w:p>
  </w:endnote>
  <w:endnote w:type="continuationSeparator" w:id="0">
    <w:p w14:paraId="4148F0D7" w14:textId="77777777" w:rsidR="009D41D5" w:rsidRDefault="009D41D5">
      <w:r>
        <w:continuationSeparator/>
      </w:r>
    </w:p>
  </w:endnote>
  <w:endnote w:type="continuationNotice" w:id="1">
    <w:p w14:paraId="57BB64E0" w14:textId="77777777" w:rsidR="009D41D5" w:rsidRDefault="009D4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auto"/>
    <w:pitch w:val="variable"/>
    <w:sig w:usb0="20000A87" w:usb1="08000000" w:usb2="00000008" w:usb3="00000000" w:csb0="0000011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 ¸.">
    <w:altName w:val="Calibri"/>
    <w:charset w:val="4D"/>
    <w:family w:val="auto"/>
    <w:pitch w:val="default"/>
    <w:sig w:usb0="00000003" w:usb1="00000000" w:usb2="00000000" w:usb3="00000000" w:csb0="00000001" w:csb1="00000000"/>
  </w:font>
  <w:font w:name="`ñ2">
    <w:altName w:val="Calibri"/>
    <w:panose1 w:val="00000000000000000000"/>
    <w:charset w:val="4D"/>
    <w:family w:val="auto"/>
    <w:notTrueType/>
    <w:pitch w:val="default"/>
    <w:sig w:usb0="00000003" w:usb1="00000000" w:usb2="00000000" w:usb3="00000000" w:csb0="00000001" w:csb1="00000000"/>
  </w:font>
  <w:font w:name="P∫˛a">
    <w:altName w:val="Calibri"/>
    <w:panose1 w:val="00000000000000000000"/>
    <w:charset w:val="4D"/>
    <w:family w:val="auto"/>
    <w:notTrueType/>
    <w:pitch w:val="default"/>
    <w:sig w:usb0="00000003" w:usb1="00000000" w:usb2="00000000" w:usb3="00000000" w:csb0="00000001" w:csb1="00000000"/>
  </w:font>
  <w:font w:name="v%">
    <w:altName w:val="Calibri"/>
    <w:panose1 w:val="00000000000000000000"/>
    <w:charset w:val="4D"/>
    <w:family w:val="auto"/>
    <w:notTrueType/>
    <w:pitch w:val="default"/>
    <w:sig w:usb0="00000003" w:usb1="00000000" w:usb2="00000000" w:usb3="00000000" w:csb0="00000001" w:csb1="00000000"/>
  </w:font>
  <w:font w:name="øpq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18"/>
      </w:rPr>
      <w:id w:val="-573816544"/>
      <w:docPartObj>
        <w:docPartGallery w:val="Page Numbers (Bottom of Page)"/>
        <w:docPartUnique/>
      </w:docPartObj>
    </w:sdtPr>
    <w:sdtEndPr>
      <w:rPr>
        <w:szCs w:val="24"/>
      </w:rPr>
    </w:sdtEndPr>
    <w:sdtContent>
      <w:p w14:paraId="3B45770E" w14:textId="1BF49253"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3D63" w14:textId="6925FBD9" w:rsidR="00CF17DE" w:rsidRPr="001A1DB2" w:rsidRDefault="00F7089D" w:rsidP="00F7089D">
    <w:pPr>
      <w:pStyle w:val="Footer"/>
      <w:tabs>
        <w:tab w:val="clear" w:pos="4320"/>
        <w:tab w:val="center" w:pos="4680"/>
      </w:tabs>
      <w:jc w:val="left"/>
      <w:rPr>
        <w:rFonts w:ascii="Palatino Linotype" w:hAnsi="Palatino Linotype"/>
        <w:sz w:val="24"/>
        <w:szCs w:val="18"/>
      </w:rPr>
    </w:pPr>
    <w:r w:rsidRPr="00F7089D">
      <w:rPr>
        <w:rStyle w:val="PageNumber"/>
        <w:rFonts w:ascii="Tahoma" w:hAnsi="Tahoma" w:cs="Tahoma"/>
        <w:sz w:val="18"/>
        <w:szCs w:val="18"/>
      </w:rPr>
      <w:t>565847311</w:t>
    </w:r>
    <w:r>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2913" w14:textId="77777777" w:rsidR="009D41D5" w:rsidRDefault="009D41D5">
      <w:r>
        <w:separator/>
      </w:r>
    </w:p>
  </w:footnote>
  <w:footnote w:type="continuationSeparator" w:id="0">
    <w:p w14:paraId="7432D1C7" w14:textId="77777777" w:rsidR="009D41D5" w:rsidRDefault="009D41D5">
      <w:r>
        <w:continuationSeparator/>
      </w:r>
    </w:p>
  </w:footnote>
  <w:footnote w:type="continuationNotice" w:id="1">
    <w:p w14:paraId="00DCE19E" w14:textId="77777777" w:rsidR="009D41D5" w:rsidRDefault="009D41D5">
      <w:pPr>
        <w:rPr>
          <w:sz w:val="22"/>
        </w:rPr>
      </w:pPr>
    </w:p>
    <w:p w14:paraId="34C81183" w14:textId="77777777" w:rsidR="009D41D5" w:rsidRDefault="009D41D5">
      <w:pPr>
        <w:jc w:val="right"/>
        <w:rPr>
          <w:sz w:val="22"/>
        </w:rPr>
      </w:pPr>
      <w:r>
        <w:rPr>
          <w:i/>
          <w:sz w:val="22"/>
        </w:rPr>
        <w:t>Footnote continued on next page</w:t>
      </w:r>
    </w:p>
  </w:footnote>
  <w:footnote w:id="2">
    <w:p w14:paraId="14C0BB44" w14:textId="692AE83C" w:rsidR="00191900" w:rsidRPr="00386F1A" w:rsidRDefault="00191900" w:rsidP="00386F1A">
      <w:pPr>
        <w:pStyle w:val="FootnoteText"/>
        <w:numPr>
          <w:ilvl w:val="0"/>
          <w:numId w:val="0"/>
        </w:numPr>
        <w:spacing w:after="0"/>
        <w:ind w:left="360" w:hanging="36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D.18-06-027 at 74.</w:t>
      </w:r>
    </w:p>
  </w:footnote>
  <w:footnote w:id="3">
    <w:p w14:paraId="1910BDA2" w14:textId="46E385BB" w:rsidR="00FC53A7" w:rsidRPr="00386F1A" w:rsidRDefault="00FC53A7" w:rsidP="00386F1A">
      <w:pPr>
        <w:pStyle w:val="FootnoteText"/>
        <w:numPr>
          <w:ilvl w:val="0"/>
          <w:numId w:val="0"/>
        </w:numPr>
        <w:spacing w:after="0"/>
        <w:ind w:left="360" w:hanging="360"/>
        <w:rPr>
          <w:rFonts w:ascii="Palatino Linotype" w:hAnsi="Palatino Linotype"/>
        </w:rPr>
      </w:pPr>
      <w:r w:rsidRPr="00386F1A">
        <w:rPr>
          <w:rStyle w:val="FootnoteReference"/>
          <w:rFonts w:ascii="Palatino Linotype" w:hAnsi="Palatino Linotype"/>
          <w:sz w:val="20"/>
        </w:rPr>
        <w:footnoteRef/>
      </w:r>
      <w:r w:rsidRPr="00386F1A">
        <w:rPr>
          <w:rFonts w:ascii="Palatino Linotype" w:hAnsi="Palatino Linotype"/>
          <w:sz w:val="20"/>
        </w:rPr>
        <w:t xml:space="preserve"> I</w:t>
      </w:r>
      <w:r w:rsidR="00347D28" w:rsidRPr="00386F1A">
        <w:rPr>
          <w:rFonts w:ascii="Palatino Linotype" w:hAnsi="Palatino Linotype"/>
          <w:sz w:val="20"/>
        </w:rPr>
        <w:t>bi</w:t>
      </w:r>
      <w:r w:rsidRPr="00386F1A">
        <w:rPr>
          <w:rFonts w:ascii="Palatino Linotype" w:hAnsi="Palatino Linotype"/>
          <w:sz w:val="20"/>
        </w:rPr>
        <w:t xml:space="preserve">d. </w:t>
      </w:r>
      <w:r w:rsidR="00690A8D" w:rsidRPr="00386F1A">
        <w:rPr>
          <w:rFonts w:ascii="Palatino Linotype" w:hAnsi="Palatino Linotype"/>
          <w:sz w:val="20"/>
        </w:rPr>
        <w:t xml:space="preserve">at 36 and </w:t>
      </w:r>
      <w:r w:rsidRPr="00386F1A">
        <w:rPr>
          <w:rFonts w:ascii="Palatino Linotype" w:hAnsi="Palatino Linotype"/>
          <w:sz w:val="20"/>
        </w:rPr>
        <w:t>OP 1dd.</w:t>
      </w:r>
    </w:p>
  </w:footnote>
  <w:footnote w:id="4">
    <w:p w14:paraId="7AF4F966" w14:textId="446D10AC" w:rsidR="00503851" w:rsidRPr="00386F1A" w:rsidRDefault="00503851" w:rsidP="00386F1A">
      <w:pPr>
        <w:pStyle w:val="FootnoteText"/>
        <w:numPr>
          <w:ilvl w:val="0"/>
          <w:numId w:val="0"/>
        </w:numPr>
        <w:spacing w:after="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D.24-05-065 at</w:t>
      </w:r>
      <w:r w:rsidR="007B6C32" w:rsidRPr="00386F1A">
        <w:rPr>
          <w:rFonts w:ascii="Palatino Linotype" w:hAnsi="Palatino Linotype"/>
          <w:sz w:val="20"/>
        </w:rPr>
        <w:t xml:space="preserve"> </w:t>
      </w:r>
      <w:r w:rsidR="00FC4721" w:rsidRPr="00386F1A">
        <w:rPr>
          <w:rFonts w:ascii="Palatino Linotype" w:hAnsi="Palatino Linotype"/>
          <w:sz w:val="20"/>
        </w:rPr>
        <w:t>140, COL 30 and OP 3(c).</w:t>
      </w:r>
    </w:p>
  </w:footnote>
  <w:footnote w:id="5">
    <w:p w14:paraId="14793724" w14:textId="477F824D" w:rsidR="00E61C1C" w:rsidRPr="00386F1A" w:rsidRDefault="00E61C1C" w:rsidP="00386F1A">
      <w:pPr>
        <w:pStyle w:val="FootnoteText"/>
        <w:numPr>
          <w:ilvl w:val="0"/>
          <w:numId w:val="0"/>
        </w:numPr>
        <w:spacing w:after="0"/>
        <w:rPr>
          <w:rFonts w:ascii="Palatino Linotype" w:hAnsi="Palatino Linotype"/>
          <w:szCs w:val="24"/>
        </w:rPr>
      </w:pPr>
      <w:r w:rsidRPr="00386F1A">
        <w:rPr>
          <w:rStyle w:val="FootnoteReference"/>
          <w:rFonts w:ascii="Palatino Linotype" w:hAnsi="Palatino Linotype"/>
          <w:sz w:val="20"/>
        </w:rPr>
        <w:footnoteRef/>
      </w:r>
      <w:r w:rsidRPr="00386F1A">
        <w:rPr>
          <w:rFonts w:ascii="Palatino Linotype" w:hAnsi="Palatino Linotype"/>
          <w:sz w:val="20"/>
        </w:rPr>
        <w:t xml:space="preserve"> </w:t>
      </w:r>
      <w:r w:rsidR="00347D28" w:rsidRPr="00386F1A">
        <w:rPr>
          <w:rFonts w:ascii="Palatino Linotype" w:hAnsi="Palatino Linotype"/>
          <w:sz w:val="20"/>
        </w:rPr>
        <w:t>Ibid</w:t>
      </w:r>
      <w:r w:rsidR="00555C2C" w:rsidRPr="00386F1A">
        <w:rPr>
          <w:rFonts w:ascii="Palatino Linotype" w:hAnsi="Palatino Linotype"/>
          <w:sz w:val="20"/>
        </w:rPr>
        <w:t xml:space="preserve"> at</w:t>
      </w:r>
      <w:r w:rsidR="003D7D29" w:rsidRPr="00386F1A">
        <w:rPr>
          <w:rFonts w:ascii="Palatino Linotype" w:hAnsi="Palatino Linotype"/>
          <w:sz w:val="20"/>
        </w:rPr>
        <w:t xml:space="preserve"> 139.</w:t>
      </w:r>
    </w:p>
  </w:footnote>
  <w:footnote w:id="6">
    <w:p w14:paraId="3492F992" w14:textId="77777777" w:rsidR="00D703A0" w:rsidRPr="00386F1A" w:rsidRDefault="00D703A0" w:rsidP="00386F1A">
      <w:pPr>
        <w:pStyle w:val="FootnoteText"/>
        <w:numPr>
          <w:ilvl w:val="0"/>
          <w:numId w:val="0"/>
        </w:numPr>
        <w:spacing w:after="0"/>
        <w:ind w:left="360" w:hanging="36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Joint IOU AL </w:t>
      </w:r>
      <w:r w:rsidRPr="00386F1A">
        <w:rPr>
          <w:rFonts w:ascii="Palatino Linotype" w:hAnsi="Palatino Linotype"/>
          <w:color w:val="212121"/>
          <w:sz w:val="20"/>
        </w:rPr>
        <w:t>SCE AL 5362-E/PG&amp;E 7363-E</w:t>
      </w:r>
      <w:r w:rsidRPr="00386F1A">
        <w:rPr>
          <w:rFonts w:ascii="Palatino Linotype" w:hAnsi="Palatino Linotype"/>
          <w:sz w:val="20"/>
        </w:rPr>
        <w:t xml:space="preserve"> at 2.</w:t>
      </w:r>
    </w:p>
  </w:footnote>
  <w:footnote w:id="7">
    <w:p w14:paraId="219534A2" w14:textId="5107E38E" w:rsidR="004D08EA" w:rsidRPr="00386F1A" w:rsidRDefault="004D08EA" w:rsidP="00386F1A">
      <w:pPr>
        <w:pStyle w:val="FootnoteText"/>
        <w:numPr>
          <w:ilvl w:val="0"/>
          <w:numId w:val="0"/>
        </w:numPr>
        <w:spacing w:after="0"/>
        <w:ind w:left="360" w:hanging="36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w:t>
      </w:r>
      <w:r w:rsidR="00FC4721" w:rsidRPr="00386F1A">
        <w:rPr>
          <w:rFonts w:ascii="Palatino Linotype" w:hAnsi="Palatino Linotype"/>
          <w:sz w:val="20"/>
        </w:rPr>
        <w:t>Ibid</w:t>
      </w:r>
      <w:r w:rsidRPr="00386F1A">
        <w:rPr>
          <w:rFonts w:ascii="Palatino Linotype" w:hAnsi="Palatino Linotype"/>
          <w:sz w:val="20"/>
        </w:rPr>
        <w:t xml:space="preserve"> at 3-4.</w:t>
      </w:r>
    </w:p>
  </w:footnote>
  <w:footnote w:id="8">
    <w:p w14:paraId="003E6576" w14:textId="56B59952" w:rsidR="00BE530B" w:rsidRPr="00386F1A" w:rsidRDefault="00BE530B" w:rsidP="00386F1A">
      <w:pPr>
        <w:pStyle w:val="FootnoteText"/>
        <w:numPr>
          <w:ilvl w:val="0"/>
          <w:numId w:val="0"/>
        </w:numPr>
        <w:spacing w:after="0"/>
        <w:ind w:left="360" w:hanging="36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w:t>
      </w:r>
      <w:r w:rsidR="00FC4721" w:rsidRPr="00386F1A">
        <w:rPr>
          <w:rFonts w:ascii="Palatino Linotype" w:hAnsi="Palatino Linotype"/>
          <w:sz w:val="20"/>
        </w:rPr>
        <w:t>Ibid</w:t>
      </w:r>
      <w:r w:rsidRPr="00386F1A">
        <w:rPr>
          <w:rFonts w:ascii="Palatino Linotype" w:hAnsi="Palatino Linotype"/>
          <w:sz w:val="20"/>
        </w:rPr>
        <w:t xml:space="preserve"> at 4.  </w:t>
      </w:r>
    </w:p>
  </w:footnote>
  <w:footnote w:id="9">
    <w:p w14:paraId="5DCA84FD" w14:textId="2D231D8A" w:rsidR="00193E34" w:rsidRPr="00386F1A" w:rsidRDefault="00193E34" w:rsidP="00386F1A">
      <w:pPr>
        <w:pStyle w:val="FootnoteText"/>
        <w:numPr>
          <w:ilvl w:val="0"/>
          <w:numId w:val="0"/>
        </w:numPr>
        <w:spacing w:after="0"/>
        <w:ind w:left="360" w:hanging="36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w:t>
      </w:r>
      <w:r w:rsidR="00E85876" w:rsidRPr="00386F1A">
        <w:rPr>
          <w:rFonts w:ascii="Palatino Linotype" w:hAnsi="Palatino Linotype"/>
          <w:sz w:val="20"/>
        </w:rPr>
        <w:t>Ibid</w:t>
      </w:r>
      <w:r w:rsidRPr="00386F1A">
        <w:rPr>
          <w:rFonts w:ascii="Palatino Linotype" w:hAnsi="Palatino Linotype"/>
          <w:sz w:val="20"/>
        </w:rPr>
        <w:t xml:space="preserve"> at 5-6</w:t>
      </w:r>
      <w:r w:rsidR="000B0D31" w:rsidRPr="00386F1A">
        <w:rPr>
          <w:rFonts w:ascii="Palatino Linotype" w:hAnsi="Palatino Linotype"/>
          <w:sz w:val="20"/>
        </w:rPr>
        <w:t>.</w:t>
      </w:r>
      <w:r w:rsidRPr="00386F1A">
        <w:rPr>
          <w:rFonts w:ascii="Palatino Linotype" w:hAnsi="Palatino Linotype"/>
          <w:sz w:val="20"/>
        </w:rPr>
        <w:t xml:space="preserve">  </w:t>
      </w:r>
    </w:p>
  </w:footnote>
  <w:footnote w:id="10">
    <w:p w14:paraId="69A63178" w14:textId="063217FD" w:rsidR="000B0D31" w:rsidRPr="00386F1A" w:rsidRDefault="000B0D31" w:rsidP="00386F1A">
      <w:pPr>
        <w:pStyle w:val="FootnoteText"/>
        <w:numPr>
          <w:ilvl w:val="0"/>
          <w:numId w:val="0"/>
        </w:numPr>
        <w:tabs>
          <w:tab w:val="left" w:pos="3036"/>
        </w:tabs>
        <w:spacing w:after="0"/>
        <w:ind w:left="360" w:hanging="360"/>
        <w:rPr>
          <w:rFonts w:ascii="Palatino Linotype" w:hAnsi="Palatino Linotype"/>
          <w:szCs w:val="24"/>
        </w:rPr>
      </w:pPr>
      <w:r w:rsidRPr="00386F1A">
        <w:rPr>
          <w:rStyle w:val="FootnoteReference"/>
          <w:rFonts w:ascii="Palatino Linotype" w:hAnsi="Palatino Linotype"/>
          <w:sz w:val="20"/>
        </w:rPr>
        <w:footnoteRef/>
      </w:r>
      <w:r w:rsidRPr="00386F1A">
        <w:rPr>
          <w:rFonts w:ascii="Palatino Linotype" w:hAnsi="Palatino Linotype"/>
          <w:sz w:val="20"/>
        </w:rPr>
        <w:t xml:space="preserve"> </w:t>
      </w:r>
      <w:r w:rsidR="00E85876" w:rsidRPr="00386F1A">
        <w:rPr>
          <w:rFonts w:ascii="Palatino Linotype" w:hAnsi="Palatino Linotype"/>
          <w:sz w:val="20"/>
        </w:rPr>
        <w:t>Ibid</w:t>
      </w:r>
      <w:r w:rsidRPr="00386F1A">
        <w:rPr>
          <w:rFonts w:ascii="Palatino Linotype" w:hAnsi="Palatino Linotype"/>
          <w:sz w:val="20"/>
        </w:rPr>
        <w:t xml:space="preserve"> at 5.</w:t>
      </w:r>
      <w:r w:rsidRPr="00386F1A">
        <w:rPr>
          <w:rFonts w:ascii="Palatino Linotype" w:hAnsi="Palatino Linotype"/>
          <w:szCs w:val="24"/>
        </w:rPr>
        <w:t xml:space="preserve">  </w:t>
      </w:r>
      <w:r w:rsidR="00E85876" w:rsidRPr="00386F1A">
        <w:rPr>
          <w:rFonts w:ascii="Palatino Linotype" w:hAnsi="Palatino Linotype"/>
          <w:szCs w:val="24"/>
        </w:rPr>
        <w:tab/>
      </w:r>
    </w:p>
  </w:footnote>
  <w:footnote w:id="11">
    <w:p w14:paraId="0C7F23C1" w14:textId="10D7B19D" w:rsidR="0014784C" w:rsidRPr="00386F1A" w:rsidRDefault="0014784C" w:rsidP="00386F1A">
      <w:pPr>
        <w:pStyle w:val="FootnoteText"/>
        <w:numPr>
          <w:ilvl w:val="0"/>
          <w:numId w:val="0"/>
        </w:numPr>
        <w:spacing w:after="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D.02-08-071 </w:t>
      </w:r>
      <w:r w:rsidR="002C2A8F" w:rsidRPr="00386F1A">
        <w:rPr>
          <w:rFonts w:ascii="Palatino Linotype" w:hAnsi="Palatino Linotype"/>
          <w:sz w:val="20"/>
        </w:rPr>
        <w:t>required each IOU to establish a PRG</w:t>
      </w:r>
      <w:r w:rsidR="00322E69" w:rsidRPr="00386F1A">
        <w:rPr>
          <w:rFonts w:ascii="Palatino Linotype" w:hAnsi="Palatino Linotype"/>
          <w:sz w:val="20"/>
        </w:rPr>
        <w:t>,</w:t>
      </w:r>
      <w:r w:rsidR="002C2A8F" w:rsidRPr="00386F1A">
        <w:rPr>
          <w:rFonts w:ascii="Palatino Linotype" w:hAnsi="Palatino Linotype"/>
          <w:sz w:val="20"/>
        </w:rPr>
        <w:t xml:space="preserve"> whose members, subject to an appropriate non-disclosure agreement, have the right to consult with and review the details of 1) each utility’s overall interim procurement strategy; 2) proposed procurement contracts with the utilities before any of the contracts are submitted to the PUC for expedited review, and 3) proposed procurement processes including but not limited to Requests For Offers (RFOs), which result in contracts being entered into in compliance with the terms of the RFO.</w:t>
      </w:r>
    </w:p>
  </w:footnote>
  <w:footnote w:id="12">
    <w:p w14:paraId="5F09682F" w14:textId="2D27743F" w:rsidR="00290F9A" w:rsidRPr="00386F1A" w:rsidRDefault="00290F9A" w:rsidP="00386F1A">
      <w:pPr>
        <w:pStyle w:val="FootnoteText"/>
        <w:numPr>
          <w:ilvl w:val="0"/>
          <w:numId w:val="0"/>
        </w:numPr>
        <w:spacing w:after="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D.</w:t>
      </w:r>
      <w:r w:rsidR="00D226E9" w:rsidRPr="00386F1A">
        <w:rPr>
          <w:rFonts w:ascii="Palatino Linotype" w:hAnsi="Palatino Linotype"/>
          <w:sz w:val="20"/>
        </w:rPr>
        <w:t>24</w:t>
      </w:r>
      <w:r w:rsidR="00C3529D" w:rsidRPr="00386F1A">
        <w:rPr>
          <w:rFonts w:ascii="Palatino Linotype" w:hAnsi="Palatino Linotype"/>
          <w:sz w:val="20"/>
        </w:rPr>
        <w:t xml:space="preserve">-05-065 </w:t>
      </w:r>
      <w:r w:rsidR="00152A60" w:rsidRPr="00386F1A">
        <w:rPr>
          <w:rFonts w:ascii="Palatino Linotype" w:hAnsi="Palatino Linotype"/>
          <w:sz w:val="20"/>
        </w:rPr>
        <w:t>notes that t</w:t>
      </w:r>
      <w:r w:rsidR="00BB3CF2" w:rsidRPr="00386F1A">
        <w:rPr>
          <w:rFonts w:ascii="Palatino Linotype" w:hAnsi="Palatino Linotype"/>
          <w:sz w:val="20"/>
        </w:rPr>
        <w:t xml:space="preserve">he prior DAC-GT program required that projects be sited in the top quarter of disadvantaged communities within the service territory of the respective utility or CCA, which led to fewer projects being eligible. </w:t>
      </w:r>
      <w:r w:rsidR="00932E6C" w:rsidRPr="00386F1A">
        <w:rPr>
          <w:rFonts w:ascii="Palatino Linotype" w:hAnsi="Palatino Linotype"/>
          <w:sz w:val="20"/>
        </w:rPr>
        <w:t>In order to soften this requirement to enable more projects to be eligible, t</w:t>
      </w:r>
      <w:r w:rsidR="00152A60" w:rsidRPr="00386F1A">
        <w:rPr>
          <w:rFonts w:ascii="Palatino Linotype" w:hAnsi="Palatino Linotype"/>
          <w:sz w:val="20"/>
        </w:rPr>
        <w:t>he Decision</w:t>
      </w:r>
      <w:r w:rsidR="00C3529D" w:rsidRPr="00386F1A">
        <w:rPr>
          <w:rFonts w:ascii="Palatino Linotype" w:hAnsi="Palatino Linotype"/>
          <w:sz w:val="20"/>
        </w:rPr>
        <w:t xml:space="preserve"> </w:t>
      </w:r>
      <w:r w:rsidR="00181163" w:rsidRPr="00386F1A">
        <w:rPr>
          <w:rFonts w:ascii="Palatino Linotype" w:hAnsi="Palatino Linotype"/>
          <w:sz w:val="20"/>
        </w:rPr>
        <w:t>expand</w:t>
      </w:r>
      <w:r w:rsidR="00BB3CF2" w:rsidRPr="00386F1A">
        <w:rPr>
          <w:rFonts w:ascii="Palatino Linotype" w:hAnsi="Palatino Linotype"/>
          <w:sz w:val="20"/>
        </w:rPr>
        <w:t>ed</w:t>
      </w:r>
      <w:r w:rsidR="00181163" w:rsidRPr="00386F1A">
        <w:rPr>
          <w:rFonts w:ascii="Palatino Linotype" w:hAnsi="Palatino Linotype"/>
          <w:sz w:val="20"/>
        </w:rPr>
        <w:t xml:space="preserve"> the DAC-GT site requirements such that eligible projects are located no more than five miles from any DAC-GT-eligible community.</w:t>
      </w:r>
    </w:p>
  </w:footnote>
  <w:footnote w:id="13">
    <w:p w14:paraId="6BF75CCF" w14:textId="77777777" w:rsidR="0082248E" w:rsidRPr="00386F1A" w:rsidRDefault="0082248E" w:rsidP="00386F1A">
      <w:pPr>
        <w:pStyle w:val="FootnoteText"/>
        <w:numPr>
          <w:ilvl w:val="0"/>
          <w:numId w:val="0"/>
        </w:numPr>
        <w:spacing w:after="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D.06-06-066 as modified by D.07-05-032, Appendix 1.</w:t>
      </w:r>
    </w:p>
  </w:footnote>
  <w:footnote w:id="14">
    <w:p w14:paraId="421528AF" w14:textId="77777777" w:rsidR="00F32F6C" w:rsidRPr="00386F1A" w:rsidRDefault="00F32F6C" w:rsidP="00386F1A">
      <w:pPr>
        <w:pStyle w:val="FootnoteText"/>
        <w:numPr>
          <w:ilvl w:val="0"/>
          <w:numId w:val="0"/>
        </w:numPr>
        <w:spacing w:after="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D.24-05-065 notes that the prior DAC-GT program required that projects be sited in the top quarter of disadvantaged communities within the service territory of the respective utility or CCA, which led to fewer projects being eligible. In order to soften this requirement to enable more projects to be eligible, the Decision expanded the DAC-GT site requirements such that eligible projects are located no more than five miles from any DAC-GT-eligible community.</w:t>
      </w:r>
    </w:p>
  </w:footnote>
  <w:footnote w:id="15">
    <w:p w14:paraId="4FFD6356" w14:textId="2521343F" w:rsidR="00D156B6" w:rsidRPr="00386F1A" w:rsidRDefault="00D156B6" w:rsidP="00386F1A">
      <w:pPr>
        <w:pStyle w:val="FootnoteText"/>
        <w:numPr>
          <w:ilvl w:val="0"/>
          <w:numId w:val="0"/>
        </w:numPr>
        <w:spacing w:after="0"/>
        <w:rPr>
          <w:rFonts w:ascii="Palatino Linotype" w:hAnsi="Palatino Linotype"/>
          <w:sz w:val="20"/>
        </w:rPr>
      </w:pPr>
      <w:r w:rsidRPr="00386F1A">
        <w:rPr>
          <w:rStyle w:val="FootnoteReference"/>
          <w:rFonts w:ascii="Palatino Linotype" w:hAnsi="Palatino Linotype"/>
          <w:sz w:val="20"/>
        </w:rPr>
        <w:footnoteRef/>
      </w:r>
      <w:r w:rsidRPr="00386F1A">
        <w:rPr>
          <w:rFonts w:ascii="Palatino Linotype" w:hAnsi="Palatino Linotype"/>
          <w:sz w:val="20"/>
        </w:rPr>
        <w:t xml:space="preserve"> D.24-05-065 more than doubled DAC-GT program capacity and expanded the program’s geographic boundaries to allow for more eligible projects that serve low-income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D349" w14:textId="43E8FF8D" w:rsidR="00CF17DE" w:rsidRPr="00D865A9" w:rsidRDefault="00EE701D">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ED</w:t>
    </w:r>
    <w:r w:rsidR="00347346">
      <w:rPr>
        <w:rFonts w:ascii="Palatino Linotype" w:hAnsi="Palatino Linotype"/>
        <w:sz w:val="24"/>
        <w:szCs w:val="18"/>
      </w:rPr>
      <w:t>/</w:t>
    </w:r>
    <w:r w:rsidR="61C943AB" w:rsidRPr="00D865A9">
      <w:rPr>
        <w:rFonts w:ascii="Palatino Linotype" w:hAnsi="Palatino Linotype"/>
        <w:sz w:val="24"/>
        <w:szCs w:val="18"/>
      </w:rPr>
      <w:t xml:space="preserve">Resolution </w:t>
    </w:r>
    <w:r w:rsidR="006B5790">
      <w:rPr>
        <w:rFonts w:ascii="Palatino Linotype" w:hAnsi="Palatino Linotype"/>
        <w:sz w:val="24"/>
        <w:szCs w:val="18"/>
      </w:rPr>
      <w:t>E-53</w:t>
    </w:r>
    <w:r w:rsidR="006E2460">
      <w:rPr>
        <w:rFonts w:ascii="Palatino Linotype" w:hAnsi="Palatino Linotype"/>
        <w:sz w:val="24"/>
        <w:szCs w:val="18"/>
      </w:rPr>
      <w:t>67</w:t>
    </w:r>
    <w:r w:rsidR="00CF17DE" w:rsidRPr="00D865A9">
      <w:rPr>
        <w:rFonts w:ascii="Palatino Linotype" w:hAnsi="Palatino Linotype"/>
        <w:sz w:val="24"/>
        <w:szCs w:val="18"/>
      </w:rPr>
      <w:tab/>
    </w:r>
    <w:r w:rsidR="61C943AB" w:rsidRPr="00D865A9">
      <w:rPr>
        <w:rFonts w:ascii="Palatino Linotype" w:hAnsi="Palatino Linotype"/>
        <w:sz w:val="24"/>
        <w:szCs w:val="18"/>
      </w:rPr>
      <w:t>DRAFT</w:t>
    </w:r>
    <w:r w:rsidR="00CF17DE" w:rsidRPr="00D865A9">
      <w:rPr>
        <w:rFonts w:ascii="Palatino Linotype" w:hAnsi="Palatino Linotype"/>
        <w:sz w:val="24"/>
        <w:szCs w:val="18"/>
      </w:rPr>
      <w:tab/>
    </w:r>
    <w:r w:rsidR="00831DE3">
      <w:rPr>
        <w:rFonts w:ascii="Palatino Linotype" w:hAnsi="Palatino Linotype"/>
        <w:sz w:val="24"/>
        <w:szCs w:val="18"/>
      </w:rPr>
      <w:t>June 12, 2025</w:t>
    </w:r>
  </w:p>
  <w:p w14:paraId="013F4CD4" w14:textId="0B79CB46" w:rsidR="00CF17DE" w:rsidRDefault="006E2460">
    <w:pPr>
      <w:pStyle w:val="Header"/>
      <w:rPr>
        <w:rFonts w:ascii="Palatino Linotype" w:hAnsi="Palatino Linotype"/>
        <w:sz w:val="24"/>
        <w:szCs w:val="18"/>
      </w:rPr>
    </w:pPr>
    <w:r>
      <w:rPr>
        <w:rFonts w:ascii="Palatino Linotype" w:hAnsi="Palatino Linotype"/>
        <w:sz w:val="24"/>
        <w:szCs w:val="18"/>
      </w:rPr>
      <w:t>SCE 5362-E</w:t>
    </w:r>
    <w:r w:rsidR="00861C2F">
      <w:rPr>
        <w:rFonts w:ascii="Palatino Linotype" w:hAnsi="Palatino Linotype"/>
        <w:sz w:val="24"/>
        <w:szCs w:val="18"/>
      </w:rPr>
      <w:t xml:space="preserve"> and PG&amp;E 7363-E</w:t>
    </w:r>
    <w:r w:rsidR="00EE701D">
      <w:rPr>
        <w:rFonts w:ascii="Palatino Linotype" w:hAnsi="Palatino Linotype"/>
        <w:sz w:val="24"/>
        <w:szCs w:val="18"/>
      </w:rPr>
      <w:t xml:space="preserve"> </w:t>
    </w:r>
    <w:r w:rsidR="00861C2F">
      <w:rPr>
        <w:rFonts w:ascii="Palatino Linotype" w:hAnsi="Palatino Linotype"/>
        <w:sz w:val="24"/>
        <w:szCs w:val="18"/>
      </w:rPr>
      <w:t>/JSA</w:t>
    </w:r>
  </w:p>
  <w:p w14:paraId="06AD58D7" w14:textId="77777777" w:rsidR="00861C2F" w:rsidRPr="00D865A9" w:rsidRDefault="00861C2F">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F806" w14:textId="77777777" w:rsidR="00CF17DE" w:rsidRPr="00F705C8" w:rsidRDefault="00CF17DE" w:rsidP="003F6E5A">
    <w:pPr>
      <w:pStyle w:val="Header"/>
      <w:jc w:val="center"/>
      <w:rPr>
        <w:rFonts w:ascii="Palatino Linotype" w:hAnsi="Palatino Linotype"/>
        <w:sz w:val="24"/>
        <w:szCs w:val="24"/>
      </w:rPr>
    </w:pPr>
    <w:r w:rsidRPr="00F705C8">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54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15:restartNumberingAfterBreak="0">
    <w:nsid w:val="0E4B78EE"/>
    <w:multiLevelType w:val="hybridMultilevel"/>
    <w:tmpl w:val="1618D7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22100A"/>
    <w:multiLevelType w:val="hybridMultilevel"/>
    <w:tmpl w:val="E92CFE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831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10" w15:restartNumberingAfterBreak="0">
    <w:nsid w:val="38764EBB"/>
    <w:multiLevelType w:val="multilevel"/>
    <w:tmpl w:val="42309F7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6F19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13"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15" w15:restartNumberingAfterBreak="0">
    <w:nsid w:val="4E914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7"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2103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C946C1"/>
    <w:multiLevelType w:val="hybridMultilevel"/>
    <w:tmpl w:val="2138B3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422359">
    <w:abstractNumId w:val="14"/>
  </w:num>
  <w:num w:numId="2" w16cid:durableId="961425955">
    <w:abstractNumId w:val="12"/>
  </w:num>
  <w:num w:numId="3" w16cid:durableId="1705713582">
    <w:abstractNumId w:val="9"/>
  </w:num>
  <w:num w:numId="4" w16cid:durableId="963921878">
    <w:abstractNumId w:val="2"/>
  </w:num>
  <w:num w:numId="5" w16cid:durableId="1883705939">
    <w:abstractNumId w:val="13"/>
  </w:num>
  <w:num w:numId="6" w16cid:durableId="180945800">
    <w:abstractNumId w:val="7"/>
  </w:num>
  <w:num w:numId="7" w16cid:durableId="944842790">
    <w:abstractNumId w:val="16"/>
  </w:num>
  <w:num w:numId="8" w16cid:durableId="1991593136">
    <w:abstractNumId w:val="10"/>
  </w:num>
  <w:num w:numId="9" w16cid:durableId="1754620235">
    <w:abstractNumId w:val="8"/>
  </w:num>
  <w:num w:numId="10" w16cid:durableId="969365539">
    <w:abstractNumId w:val="19"/>
  </w:num>
  <w:num w:numId="11" w16cid:durableId="1671978658">
    <w:abstractNumId w:val="21"/>
  </w:num>
  <w:num w:numId="12" w16cid:durableId="1982611534">
    <w:abstractNumId w:val="6"/>
  </w:num>
  <w:num w:numId="13" w16cid:durableId="468133998">
    <w:abstractNumId w:val="17"/>
  </w:num>
  <w:num w:numId="14" w16cid:durableId="307590920">
    <w:abstractNumId w:val="0"/>
  </w:num>
  <w:num w:numId="15" w16cid:durableId="452137340">
    <w:abstractNumId w:val="18"/>
  </w:num>
  <w:num w:numId="16" w16cid:durableId="1482118162">
    <w:abstractNumId w:val="4"/>
  </w:num>
  <w:num w:numId="17" w16cid:durableId="1289047439">
    <w:abstractNumId w:val="11"/>
  </w:num>
  <w:num w:numId="18" w16cid:durableId="255526111">
    <w:abstractNumId w:val="1"/>
  </w:num>
  <w:num w:numId="19" w16cid:durableId="2042780202">
    <w:abstractNumId w:val="15"/>
  </w:num>
  <w:num w:numId="20" w16cid:durableId="2041006922">
    <w:abstractNumId w:val="5"/>
  </w:num>
  <w:num w:numId="21" w16cid:durableId="224412329">
    <w:abstractNumId w:val="22"/>
  </w:num>
  <w:num w:numId="22" w16cid:durableId="250168291">
    <w:abstractNumId w:val="3"/>
  </w:num>
  <w:num w:numId="23" w16cid:durableId="138971905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32A"/>
    <w:rsid w:val="00000916"/>
    <w:rsid w:val="00000CA2"/>
    <w:rsid w:val="0000149F"/>
    <w:rsid w:val="000016DF"/>
    <w:rsid w:val="000020DD"/>
    <w:rsid w:val="00002A2F"/>
    <w:rsid w:val="000036E7"/>
    <w:rsid w:val="00005710"/>
    <w:rsid w:val="00005F65"/>
    <w:rsid w:val="00006EFC"/>
    <w:rsid w:val="0001014D"/>
    <w:rsid w:val="000119C9"/>
    <w:rsid w:val="00012D45"/>
    <w:rsid w:val="00013DAD"/>
    <w:rsid w:val="00014481"/>
    <w:rsid w:val="000146D5"/>
    <w:rsid w:val="0001574F"/>
    <w:rsid w:val="00015F3F"/>
    <w:rsid w:val="000204DD"/>
    <w:rsid w:val="00020C65"/>
    <w:rsid w:val="00023EE5"/>
    <w:rsid w:val="000249F4"/>
    <w:rsid w:val="00024C89"/>
    <w:rsid w:val="00025975"/>
    <w:rsid w:val="000259CE"/>
    <w:rsid w:val="00025ED5"/>
    <w:rsid w:val="00026C97"/>
    <w:rsid w:val="00026CDB"/>
    <w:rsid w:val="00031014"/>
    <w:rsid w:val="00031833"/>
    <w:rsid w:val="00034A1D"/>
    <w:rsid w:val="00034A6F"/>
    <w:rsid w:val="00034C54"/>
    <w:rsid w:val="0003579E"/>
    <w:rsid w:val="00035AD2"/>
    <w:rsid w:val="00037872"/>
    <w:rsid w:val="00040295"/>
    <w:rsid w:val="000402AD"/>
    <w:rsid w:val="0004391D"/>
    <w:rsid w:val="00043B22"/>
    <w:rsid w:val="00043F72"/>
    <w:rsid w:val="00044910"/>
    <w:rsid w:val="00044BD4"/>
    <w:rsid w:val="000453CC"/>
    <w:rsid w:val="00046AE3"/>
    <w:rsid w:val="00046D10"/>
    <w:rsid w:val="00046F79"/>
    <w:rsid w:val="00050128"/>
    <w:rsid w:val="0005206E"/>
    <w:rsid w:val="000526E9"/>
    <w:rsid w:val="00054CDD"/>
    <w:rsid w:val="00054E4E"/>
    <w:rsid w:val="00055467"/>
    <w:rsid w:val="000567D8"/>
    <w:rsid w:val="000572DE"/>
    <w:rsid w:val="0005774E"/>
    <w:rsid w:val="00060646"/>
    <w:rsid w:val="000606E3"/>
    <w:rsid w:val="00064421"/>
    <w:rsid w:val="000656A2"/>
    <w:rsid w:val="000708FF"/>
    <w:rsid w:val="00070EA2"/>
    <w:rsid w:val="00072061"/>
    <w:rsid w:val="00072F35"/>
    <w:rsid w:val="00073803"/>
    <w:rsid w:val="000747A6"/>
    <w:rsid w:val="00075372"/>
    <w:rsid w:val="00075C1C"/>
    <w:rsid w:val="00075FDC"/>
    <w:rsid w:val="00076668"/>
    <w:rsid w:val="00077045"/>
    <w:rsid w:val="0008128D"/>
    <w:rsid w:val="00081F4D"/>
    <w:rsid w:val="0008225E"/>
    <w:rsid w:val="00084459"/>
    <w:rsid w:val="000854DE"/>
    <w:rsid w:val="00085C74"/>
    <w:rsid w:val="000870B1"/>
    <w:rsid w:val="00087C1C"/>
    <w:rsid w:val="00090434"/>
    <w:rsid w:val="00090457"/>
    <w:rsid w:val="00091907"/>
    <w:rsid w:val="0009213D"/>
    <w:rsid w:val="00092158"/>
    <w:rsid w:val="00094C51"/>
    <w:rsid w:val="00095F6E"/>
    <w:rsid w:val="00096077"/>
    <w:rsid w:val="00096886"/>
    <w:rsid w:val="00096E81"/>
    <w:rsid w:val="000A12AA"/>
    <w:rsid w:val="000A187B"/>
    <w:rsid w:val="000A1B0C"/>
    <w:rsid w:val="000A1C98"/>
    <w:rsid w:val="000A26C8"/>
    <w:rsid w:val="000A2E18"/>
    <w:rsid w:val="000A3EBD"/>
    <w:rsid w:val="000A464B"/>
    <w:rsid w:val="000A4DED"/>
    <w:rsid w:val="000A52D5"/>
    <w:rsid w:val="000A5438"/>
    <w:rsid w:val="000A6580"/>
    <w:rsid w:val="000A6990"/>
    <w:rsid w:val="000A77B9"/>
    <w:rsid w:val="000A79B4"/>
    <w:rsid w:val="000A7F1B"/>
    <w:rsid w:val="000B0D31"/>
    <w:rsid w:val="000B1147"/>
    <w:rsid w:val="000B18C9"/>
    <w:rsid w:val="000B2010"/>
    <w:rsid w:val="000B2C96"/>
    <w:rsid w:val="000B2EDF"/>
    <w:rsid w:val="000B3531"/>
    <w:rsid w:val="000B3BE5"/>
    <w:rsid w:val="000B4ECC"/>
    <w:rsid w:val="000B4FBE"/>
    <w:rsid w:val="000B5C13"/>
    <w:rsid w:val="000B5D11"/>
    <w:rsid w:val="000B641A"/>
    <w:rsid w:val="000B645E"/>
    <w:rsid w:val="000B773B"/>
    <w:rsid w:val="000C0EA2"/>
    <w:rsid w:val="000C1712"/>
    <w:rsid w:val="000C1855"/>
    <w:rsid w:val="000C1953"/>
    <w:rsid w:val="000C20F7"/>
    <w:rsid w:val="000C247E"/>
    <w:rsid w:val="000C324A"/>
    <w:rsid w:val="000C3DC3"/>
    <w:rsid w:val="000C4DA4"/>
    <w:rsid w:val="000C50E3"/>
    <w:rsid w:val="000C52F9"/>
    <w:rsid w:val="000C6051"/>
    <w:rsid w:val="000C670C"/>
    <w:rsid w:val="000D00D8"/>
    <w:rsid w:val="000D0289"/>
    <w:rsid w:val="000D0C0B"/>
    <w:rsid w:val="000D212B"/>
    <w:rsid w:val="000D24FA"/>
    <w:rsid w:val="000D2DB9"/>
    <w:rsid w:val="000D3171"/>
    <w:rsid w:val="000D3A75"/>
    <w:rsid w:val="000D413C"/>
    <w:rsid w:val="000D5131"/>
    <w:rsid w:val="000D58A1"/>
    <w:rsid w:val="000D638B"/>
    <w:rsid w:val="000E00D4"/>
    <w:rsid w:val="000E0F8F"/>
    <w:rsid w:val="000E12A1"/>
    <w:rsid w:val="000E1C4C"/>
    <w:rsid w:val="000E3341"/>
    <w:rsid w:val="000E687F"/>
    <w:rsid w:val="000E6926"/>
    <w:rsid w:val="000E6E41"/>
    <w:rsid w:val="000F2269"/>
    <w:rsid w:val="000F3A52"/>
    <w:rsid w:val="000F5F0E"/>
    <w:rsid w:val="000F6BB2"/>
    <w:rsid w:val="0010026B"/>
    <w:rsid w:val="00102514"/>
    <w:rsid w:val="001032E4"/>
    <w:rsid w:val="00103563"/>
    <w:rsid w:val="00104D11"/>
    <w:rsid w:val="00104E01"/>
    <w:rsid w:val="0010599F"/>
    <w:rsid w:val="00105BC2"/>
    <w:rsid w:val="0010605B"/>
    <w:rsid w:val="00107315"/>
    <w:rsid w:val="00107C6F"/>
    <w:rsid w:val="00110C3D"/>
    <w:rsid w:val="001127B4"/>
    <w:rsid w:val="00112DA2"/>
    <w:rsid w:val="0011505B"/>
    <w:rsid w:val="00116875"/>
    <w:rsid w:val="001205A9"/>
    <w:rsid w:val="001211A6"/>
    <w:rsid w:val="00123317"/>
    <w:rsid w:val="00125C80"/>
    <w:rsid w:val="00125CA2"/>
    <w:rsid w:val="001267BB"/>
    <w:rsid w:val="001270E5"/>
    <w:rsid w:val="001274BB"/>
    <w:rsid w:val="00131462"/>
    <w:rsid w:val="00131AD7"/>
    <w:rsid w:val="0013284F"/>
    <w:rsid w:val="00133913"/>
    <w:rsid w:val="00134AD9"/>
    <w:rsid w:val="00134F72"/>
    <w:rsid w:val="00135E6D"/>
    <w:rsid w:val="00142FB8"/>
    <w:rsid w:val="001434DE"/>
    <w:rsid w:val="00143C5E"/>
    <w:rsid w:val="00143EA6"/>
    <w:rsid w:val="00144A39"/>
    <w:rsid w:val="0014784C"/>
    <w:rsid w:val="001479C5"/>
    <w:rsid w:val="0015013E"/>
    <w:rsid w:val="001510F0"/>
    <w:rsid w:val="00151833"/>
    <w:rsid w:val="00151DFC"/>
    <w:rsid w:val="001522B7"/>
    <w:rsid w:val="00152A60"/>
    <w:rsid w:val="00153314"/>
    <w:rsid w:val="00154162"/>
    <w:rsid w:val="00154E29"/>
    <w:rsid w:val="00155A9F"/>
    <w:rsid w:val="00157753"/>
    <w:rsid w:val="00160D78"/>
    <w:rsid w:val="001616EF"/>
    <w:rsid w:val="00161778"/>
    <w:rsid w:val="00161FC9"/>
    <w:rsid w:val="001636F6"/>
    <w:rsid w:val="00163E10"/>
    <w:rsid w:val="00165280"/>
    <w:rsid w:val="00165E30"/>
    <w:rsid w:val="001662D8"/>
    <w:rsid w:val="00167938"/>
    <w:rsid w:val="00167BDA"/>
    <w:rsid w:val="00170C43"/>
    <w:rsid w:val="001717BE"/>
    <w:rsid w:val="00172818"/>
    <w:rsid w:val="0017292A"/>
    <w:rsid w:val="0017301D"/>
    <w:rsid w:val="001738FF"/>
    <w:rsid w:val="00174CE7"/>
    <w:rsid w:val="00174DFF"/>
    <w:rsid w:val="001750C8"/>
    <w:rsid w:val="0017716F"/>
    <w:rsid w:val="00177C4B"/>
    <w:rsid w:val="00180AEE"/>
    <w:rsid w:val="00181163"/>
    <w:rsid w:val="001847FE"/>
    <w:rsid w:val="00184E1A"/>
    <w:rsid w:val="0018554B"/>
    <w:rsid w:val="00190062"/>
    <w:rsid w:val="00190541"/>
    <w:rsid w:val="001909F9"/>
    <w:rsid w:val="001913B9"/>
    <w:rsid w:val="00191900"/>
    <w:rsid w:val="00193E34"/>
    <w:rsid w:val="00193FEF"/>
    <w:rsid w:val="00195160"/>
    <w:rsid w:val="00195394"/>
    <w:rsid w:val="0019772C"/>
    <w:rsid w:val="001A1DB2"/>
    <w:rsid w:val="001A265E"/>
    <w:rsid w:val="001A3072"/>
    <w:rsid w:val="001A4447"/>
    <w:rsid w:val="001A66D2"/>
    <w:rsid w:val="001A6B24"/>
    <w:rsid w:val="001A6E92"/>
    <w:rsid w:val="001A70D1"/>
    <w:rsid w:val="001A70E8"/>
    <w:rsid w:val="001A7768"/>
    <w:rsid w:val="001B109C"/>
    <w:rsid w:val="001B1408"/>
    <w:rsid w:val="001B1C05"/>
    <w:rsid w:val="001B34C8"/>
    <w:rsid w:val="001B3FA3"/>
    <w:rsid w:val="001B4926"/>
    <w:rsid w:val="001B4DD9"/>
    <w:rsid w:val="001B4E5B"/>
    <w:rsid w:val="001B59B0"/>
    <w:rsid w:val="001B62CD"/>
    <w:rsid w:val="001B6913"/>
    <w:rsid w:val="001B6986"/>
    <w:rsid w:val="001C0FC1"/>
    <w:rsid w:val="001C26CC"/>
    <w:rsid w:val="001C2DD8"/>
    <w:rsid w:val="001C2EC5"/>
    <w:rsid w:val="001C3C7F"/>
    <w:rsid w:val="001C464A"/>
    <w:rsid w:val="001C528E"/>
    <w:rsid w:val="001C57EB"/>
    <w:rsid w:val="001C6687"/>
    <w:rsid w:val="001C74D3"/>
    <w:rsid w:val="001C7947"/>
    <w:rsid w:val="001D0C3A"/>
    <w:rsid w:val="001D21E6"/>
    <w:rsid w:val="001D25E7"/>
    <w:rsid w:val="001D4335"/>
    <w:rsid w:val="001D4D6D"/>
    <w:rsid w:val="001D53C7"/>
    <w:rsid w:val="001E0795"/>
    <w:rsid w:val="001E11E5"/>
    <w:rsid w:val="001E2DC5"/>
    <w:rsid w:val="001E2F9E"/>
    <w:rsid w:val="001E3B0A"/>
    <w:rsid w:val="001E46EC"/>
    <w:rsid w:val="001E4CDC"/>
    <w:rsid w:val="001E58A0"/>
    <w:rsid w:val="001E6F77"/>
    <w:rsid w:val="001E7BC3"/>
    <w:rsid w:val="001F05A1"/>
    <w:rsid w:val="001F1708"/>
    <w:rsid w:val="001F446F"/>
    <w:rsid w:val="001F47FF"/>
    <w:rsid w:val="001F5325"/>
    <w:rsid w:val="001F6AAC"/>
    <w:rsid w:val="001F6E99"/>
    <w:rsid w:val="001F7944"/>
    <w:rsid w:val="002001C1"/>
    <w:rsid w:val="00200B05"/>
    <w:rsid w:val="0020108F"/>
    <w:rsid w:val="00202CDB"/>
    <w:rsid w:val="00203CB0"/>
    <w:rsid w:val="00205FDC"/>
    <w:rsid w:val="00206613"/>
    <w:rsid w:val="002066E4"/>
    <w:rsid w:val="00206895"/>
    <w:rsid w:val="002074FB"/>
    <w:rsid w:val="0021060E"/>
    <w:rsid w:val="00210983"/>
    <w:rsid w:val="00211CFE"/>
    <w:rsid w:val="00212051"/>
    <w:rsid w:val="002125A5"/>
    <w:rsid w:val="002126C5"/>
    <w:rsid w:val="0021459D"/>
    <w:rsid w:val="0021487F"/>
    <w:rsid w:val="00215CD1"/>
    <w:rsid w:val="002172BA"/>
    <w:rsid w:val="002178D7"/>
    <w:rsid w:val="00221F95"/>
    <w:rsid w:val="0022209F"/>
    <w:rsid w:val="00222EC7"/>
    <w:rsid w:val="002230BD"/>
    <w:rsid w:val="002242EE"/>
    <w:rsid w:val="00226527"/>
    <w:rsid w:val="00226590"/>
    <w:rsid w:val="002279E0"/>
    <w:rsid w:val="0023143D"/>
    <w:rsid w:val="00231CD4"/>
    <w:rsid w:val="00233D57"/>
    <w:rsid w:val="00234156"/>
    <w:rsid w:val="002347ED"/>
    <w:rsid w:val="00234D32"/>
    <w:rsid w:val="00235442"/>
    <w:rsid w:val="00237203"/>
    <w:rsid w:val="002403CE"/>
    <w:rsid w:val="00240A6C"/>
    <w:rsid w:val="00240BEC"/>
    <w:rsid w:val="00241F99"/>
    <w:rsid w:val="00242868"/>
    <w:rsid w:val="00242883"/>
    <w:rsid w:val="00242C9A"/>
    <w:rsid w:val="00242FF8"/>
    <w:rsid w:val="0024459D"/>
    <w:rsid w:val="00246182"/>
    <w:rsid w:val="002463B1"/>
    <w:rsid w:val="00246E9A"/>
    <w:rsid w:val="0024753E"/>
    <w:rsid w:val="00247CD0"/>
    <w:rsid w:val="0025157F"/>
    <w:rsid w:val="0025160E"/>
    <w:rsid w:val="002526B7"/>
    <w:rsid w:val="00252FC7"/>
    <w:rsid w:val="0025305E"/>
    <w:rsid w:val="002545E1"/>
    <w:rsid w:val="0025460A"/>
    <w:rsid w:val="0025569C"/>
    <w:rsid w:val="00255C2F"/>
    <w:rsid w:val="00255FF5"/>
    <w:rsid w:val="002578F5"/>
    <w:rsid w:val="0026220C"/>
    <w:rsid w:val="00262B1E"/>
    <w:rsid w:val="002632A4"/>
    <w:rsid w:val="0026425F"/>
    <w:rsid w:val="00264E45"/>
    <w:rsid w:val="0026563D"/>
    <w:rsid w:val="00267001"/>
    <w:rsid w:val="00272828"/>
    <w:rsid w:val="00273F91"/>
    <w:rsid w:val="002744C3"/>
    <w:rsid w:val="002744D1"/>
    <w:rsid w:val="00275361"/>
    <w:rsid w:val="00275FD7"/>
    <w:rsid w:val="0027602C"/>
    <w:rsid w:val="00280B16"/>
    <w:rsid w:val="00281801"/>
    <w:rsid w:val="00282128"/>
    <w:rsid w:val="00282332"/>
    <w:rsid w:val="00282D87"/>
    <w:rsid w:val="002831A1"/>
    <w:rsid w:val="00283899"/>
    <w:rsid w:val="00286210"/>
    <w:rsid w:val="0029050F"/>
    <w:rsid w:val="00290F9A"/>
    <w:rsid w:val="002912CE"/>
    <w:rsid w:val="002920D0"/>
    <w:rsid w:val="002927B7"/>
    <w:rsid w:val="00292A51"/>
    <w:rsid w:val="00293B5A"/>
    <w:rsid w:val="00294F6D"/>
    <w:rsid w:val="0029559C"/>
    <w:rsid w:val="00295E3A"/>
    <w:rsid w:val="0029684C"/>
    <w:rsid w:val="002A0D06"/>
    <w:rsid w:val="002A15BD"/>
    <w:rsid w:val="002A1D04"/>
    <w:rsid w:val="002A212C"/>
    <w:rsid w:val="002A33C3"/>
    <w:rsid w:val="002A3FCF"/>
    <w:rsid w:val="002A4027"/>
    <w:rsid w:val="002A4BB8"/>
    <w:rsid w:val="002A4C7F"/>
    <w:rsid w:val="002A5C88"/>
    <w:rsid w:val="002A703C"/>
    <w:rsid w:val="002A767F"/>
    <w:rsid w:val="002B0301"/>
    <w:rsid w:val="002B04FF"/>
    <w:rsid w:val="002B26DC"/>
    <w:rsid w:val="002B2E75"/>
    <w:rsid w:val="002B3D61"/>
    <w:rsid w:val="002B48B4"/>
    <w:rsid w:val="002B4D13"/>
    <w:rsid w:val="002B71D2"/>
    <w:rsid w:val="002C15C4"/>
    <w:rsid w:val="002C2150"/>
    <w:rsid w:val="002C2A8F"/>
    <w:rsid w:val="002C323F"/>
    <w:rsid w:val="002C3C6F"/>
    <w:rsid w:val="002C3CEC"/>
    <w:rsid w:val="002C4DAD"/>
    <w:rsid w:val="002C5320"/>
    <w:rsid w:val="002C7980"/>
    <w:rsid w:val="002C7AC9"/>
    <w:rsid w:val="002D0DB3"/>
    <w:rsid w:val="002D1F1C"/>
    <w:rsid w:val="002D2810"/>
    <w:rsid w:val="002D36DD"/>
    <w:rsid w:val="002D467D"/>
    <w:rsid w:val="002D48EA"/>
    <w:rsid w:val="002D56E9"/>
    <w:rsid w:val="002D5CFA"/>
    <w:rsid w:val="002D62CF"/>
    <w:rsid w:val="002D63AA"/>
    <w:rsid w:val="002D640C"/>
    <w:rsid w:val="002D773F"/>
    <w:rsid w:val="002E017A"/>
    <w:rsid w:val="002E187A"/>
    <w:rsid w:val="002E18F0"/>
    <w:rsid w:val="002E3A59"/>
    <w:rsid w:val="002E548F"/>
    <w:rsid w:val="002E6CD4"/>
    <w:rsid w:val="002E7121"/>
    <w:rsid w:val="002F02F5"/>
    <w:rsid w:val="002F12FF"/>
    <w:rsid w:val="002F1B66"/>
    <w:rsid w:val="002F1FE9"/>
    <w:rsid w:val="002F203A"/>
    <w:rsid w:val="002F25F3"/>
    <w:rsid w:val="002F3955"/>
    <w:rsid w:val="002F3D0C"/>
    <w:rsid w:val="002F418F"/>
    <w:rsid w:val="002F482A"/>
    <w:rsid w:val="002F4B4C"/>
    <w:rsid w:val="002F4C11"/>
    <w:rsid w:val="002F6F00"/>
    <w:rsid w:val="002F72C4"/>
    <w:rsid w:val="002F7CD3"/>
    <w:rsid w:val="00300A1C"/>
    <w:rsid w:val="00301EA3"/>
    <w:rsid w:val="00302B60"/>
    <w:rsid w:val="00302BF8"/>
    <w:rsid w:val="00304311"/>
    <w:rsid w:val="003045D9"/>
    <w:rsid w:val="00307989"/>
    <w:rsid w:val="00310526"/>
    <w:rsid w:val="00310CA0"/>
    <w:rsid w:val="003110BE"/>
    <w:rsid w:val="00311AC9"/>
    <w:rsid w:val="003143BD"/>
    <w:rsid w:val="00314891"/>
    <w:rsid w:val="0031492F"/>
    <w:rsid w:val="003156F2"/>
    <w:rsid w:val="00315D7A"/>
    <w:rsid w:val="00315DD9"/>
    <w:rsid w:val="00316AAF"/>
    <w:rsid w:val="00317C8C"/>
    <w:rsid w:val="0032059A"/>
    <w:rsid w:val="00320D04"/>
    <w:rsid w:val="00321168"/>
    <w:rsid w:val="00322E69"/>
    <w:rsid w:val="00324D06"/>
    <w:rsid w:val="0032515D"/>
    <w:rsid w:val="00325170"/>
    <w:rsid w:val="0032583A"/>
    <w:rsid w:val="00326020"/>
    <w:rsid w:val="003266FE"/>
    <w:rsid w:val="00326BD5"/>
    <w:rsid w:val="003307C2"/>
    <w:rsid w:val="003346C5"/>
    <w:rsid w:val="00336110"/>
    <w:rsid w:val="00336484"/>
    <w:rsid w:val="00337643"/>
    <w:rsid w:val="00337D6A"/>
    <w:rsid w:val="00340013"/>
    <w:rsid w:val="00340957"/>
    <w:rsid w:val="00341E5F"/>
    <w:rsid w:val="00342505"/>
    <w:rsid w:val="00343394"/>
    <w:rsid w:val="00344B50"/>
    <w:rsid w:val="00347346"/>
    <w:rsid w:val="00347D28"/>
    <w:rsid w:val="00351EF7"/>
    <w:rsid w:val="0035313A"/>
    <w:rsid w:val="00354574"/>
    <w:rsid w:val="00354E48"/>
    <w:rsid w:val="00354FDE"/>
    <w:rsid w:val="00357947"/>
    <w:rsid w:val="00357F81"/>
    <w:rsid w:val="003600FC"/>
    <w:rsid w:val="003601E0"/>
    <w:rsid w:val="0036183E"/>
    <w:rsid w:val="0036253C"/>
    <w:rsid w:val="003657A4"/>
    <w:rsid w:val="00365D1A"/>
    <w:rsid w:val="00367CE4"/>
    <w:rsid w:val="00367CEC"/>
    <w:rsid w:val="0037049D"/>
    <w:rsid w:val="00371C52"/>
    <w:rsid w:val="00371D51"/>
    <w:rsid w:val="00371FB0"/>
    <w:rsid w:val="003727AE"/>
    <w:rsid w:val="00373AD0"/>
    <w:rsid w:val="00375EFF"/>
    <w:rsid w:val="00376A59"/>
    <w:rsid w:val="00376C1D"/>
    <w:rsid w:val="00377027"/>
    <w:rsid w:val="003774F8"/>
    <w:rsid w:val="00377E4B"/>
    <w:rsid w:val="00381908"/>
    <w:rsid w:val="00382B83"/>
    <w:rsid w:val="00383D31"/>
    <w:rsid w:val="00384F9B"/>
    <w:rsid w:val="003852F7"/>
    <w:rsid w:val="00385986"/>
    <w:rsid w:val="0038599C"/>
    <w:rsid w:val="00386665"/>
    <w:rsid w:val="003868CF"/>
    <w:rsid w:val="00386F1A"/>
    <w:rsid w:val="00387275"/>
    <w:rsid w:val="003874BE"/>
    <w:rsid w:val="00390BC5"/>
    <w:rsid w:val="00391151"/>
    <w:rsid w:val="00392287"/>
    <w:rsid w:val="00393497"/>
    <w:rsid w:val="00394B3A"/>
    <w:rsid w:val="00397DCA"/>
    <w:rsid w:val="003A0C4E"/>
    <w:rsid w:val="003A170D"/>
    <w:rsid w:val="003A3F6B"/>
    <w:rsid w:val="003A46A8"/>
    <w:rsid w:val="003A4CD8"/>
    <w:rsid w:val="003A4F8B"/>
    <w:rsid w:val="003A76CD"/>
    <w:rsid w:val="003B1669"/>
    <w:rsid w:val="003B17D9"/>
    <w:rsid w:val="003B1839"/>
    <w:rsid w:val="003B1D9F"/>
    <w:rsid w:val="003B255A"/>
    <w:rsid w:val="003B28DC"/>
    <w:rsid w:val="003B2BC4"/>
    <w:rsid w:val="003B3217"/>
    <w:rsid w:val="003B5FB9"/>
    <w:rsid w:val="003B64DD"/>
    <w:rsid w:val="003B6592"/>
    <w:rsid w:val="003B7290"/>
    <w:rsid w:val="003B7AED"/>
    <w:rsid w:val="003C1297"/>
    <w:rsid w:val="003C1347"/>
    <w:rsid w:val="003C1687"/>
    <w:rsid w:val="003C17E4"/>
    <w:rsid w:val="003C383E"/>
    <w:rsid w:val="003C397E"/>
    <w:rsid w:val="003C3F7D"/>
    <w:rsid w:val="003C4750"/>
    <w:rsid w:val="003C6CD6"/>
    <w:rsid w:val="003C7D14"/>
    <w:rsid w:val="003D1070"/>
    <w:rsid w:val="003D1261"/>
    <w:rsid w:val="003D1E04"/>
    <w:rsid w:val="003D2FE9"/>
    <w:rsid w:val="003D3EFD"/>
    <w:rsid w:val="003D4DCC"/>
    <w:rsid w:val="003D4FF1"/>
    <w:rsid w:val="003D5096"/>
    <w:rsid w:val="003D7A9E"/>
    <w:rsid w:val="003D7D29"/>
    <w:rsid w:val="003E0113"/>
    <w:rsid w:val="003E0FF7"/>
    <w:rsid w:val="003E105A"/>
    <w:rsid w:val="003E151A"/>
    <w:rsid w:val="003E3385"/>
    <w:rsid w:val="003E35AF"/>
    <w:rsid w:val="003E3F78"/>
    <w:rsid w:val="003E469F"/>
    <w:rsid w:val="003E6ADB"/>
    <w:rsid w:val="003E6B91"/>
    <w:rsid w:val="003E748A"/>
    <w:rsid w:val="003E7DC7"/>
    <w:rsid w:val="003F0538"/>
    <w:rsid w:val="003F0C94"/>
    <w:rsid w:val="003F2E67"/>
    <w:rsid w:val="003F2E6A"/>
    <w:rsid w:val="003F3D2B"/>
    <w:rsid w:val="003F5FB3"/>
    <w:rsid w:val="003F6E5A"/>
    <w:rsid w:val="003F7B5D"/>
    <w:rsid w:val="003F7C9D"/>
    <w:rsid w:val="003F7EAE"/>
    <w:rsid w:val="003F7FFC"/>
    <w:rsid w:val="0040028A"/>
    <w:rsid w:val="004009B4"/>
    <w:rsid w:val="00400AF5"/>
    <w:rsid w:val="00400F6B"/>
    <w:rsid w:val="004029BF"/>
    <w:rsid w:val="00403AE3"/>
    <w:rsid w:val="00403C83"/>
    <w:rsid w:val="004041DB"/>
    <w:rsid w:val="004042DF"/>
    <w:rsid w:val="00405052"/>
    <w:rsid w:val="00405BD7"/>
    <w:rsid w:val="0040725A"/>
    <w:rsid w:val="0040786E"/>
    <w:rsid w:val="00411D6C"/>
    <w:rsid w:val="0041313E"/>
    <w:rsid w:val="00414270"/>
    <w:rsid w:val="0041587E"/>
    <w:rsid w:val="004169D8"/>
    <w:rsid w:val="004179E9"/>
    <w:rsid w:val="00420469"/>
    <w:rsid w:val="00420927"/>
    <w:rsid w:val="00420D8E"/>
    <w:rsid w:val="00421860"/>
    <w:rsid w:val="00422B4A"/>
    <w:rsid w:val="00424B35"/>
    <w:rsid w:val="004250EF"/>
    <w:rsid w:val="00425B45"/>
    <w:rsid w:val="00425C8A"/>
    <w:rsid w:val="0042752E"/>
    <w:rsid w:val="00430B8A"/>
    <w:rsid w:val="00431BF6"/>
    <w:rsid w:val="00432BDD"/>
    <w:rsid w:val="00433353"/>
    <w:rsid w:val="0043346D"/>
    <w:rsid w:val="0043742B"/>
    <w:rsid w:val="00437FED"/>
    <w:rsid w:val="00440AB7"/>
    <w:rsid w:val="00441BCC"/>
    <w:rsid w:val="0044241A"/>
    <w:rsid w:val="00443C5A"/>
    <w:rsid w:val="00447596"/>
    <w:rsid w:val="00447639"/>
    <w:rsid w:val="00451109"/>
    <w:rsid w:val="004521F4"/>
    <w:rsid w:val="004525CA"/>
    <w:rsid w:val="00453D64"/>
    <w:rsid w:val="00453FBF"/>
    <w:rsid w:val="00455CEC"/>
    <w:rsid w:val="00456769"/>
    <w:rsid w:val="00457858"/>
    <w:rsid w:val="00457A52"/>
    <w:rsid w:val="00460F95"/>
    <w:rsid w:val="004615B1"/>
    <w:rsid w:val="0046280D"/>
    <w:rsid w:val="00462D88"/>
    <w:rsid w:val="004636B5"/>
    <w:rsid w:val="00463D57"/>
    <w:rsid w:val="00463E2D"/>
    <w:rsid w:val="00464CDC"/>
    <w:rsid w:val="00465374"/>
    <w:rsid w:val="004656D1"/>
    <w:rsid w:val="004657E0"/>
    <w:rsid w:val="0046584E"/>
    <w:rsid w:val="004667D8"/>
    <w:rsid w:val="00467956"/>
    <w:rsid w:val="004702C0"/>
    <w:rsid w:val="00470B9B"/>
    <w:rsid w:val="004725DB"/>
    <w:rsid w:val="0047411B"/>
    <w:rsid w:val="0047457D"/>
    <w:rsid w:val="00474EDE"/>
    <w:rsid w:val="004752A7"/>
    <w:rsid w:val="00475CE7"/>
    <w:rsid w:val="00475F7B"/>
    <w:rsid w:val="00477210"/>
    <w:rsid w:val="00477B5A"/>
    <w:rsid w:val="00477C01"/>
    <w:rsid w:val="00480EDC"/>
    <w:rsid w:val="0048145B"/>
    <w:rsid w:val="00482101"/>
    <w:rsid w:val="00482DCF"/>
    <w:rsid w:val="004836E9"/>
    <w:rsid w:val="00484E28"/>
    <w:rsid w:val="00485A88"/>
    <w:rsid w:val="00486599"/>
    <w:rsid w:val="00486BFC"/>
    <w:rsid w:val="00487E17"/>
    <w:rsid w:val="004905D3"/>
    <w:rsid w:val="00490C58"/>
    <w:rsid w:val="00491E83"/>
    <w:rsid w:val="00492EE4"/>
    <w:rsid w:val="004945CD"/>
    <w:rsid w:val="00496F1A"/>
    <w:rsid w:val="004973D4"/>
    <w:rsid w:val="004A0724"/>
    <w:rsid w:val="004A1A18"/>
    <w:rsid w:val="004A22B4"/>
    <w:rsid w:val="004A32D9"/>
    <w:rsid w:val="004A365A"/>
    <w:rsid w:val="004A411C"/>
    <w:rsid w:val="004B0FE2"/>
    <w:rsid w:val="004B10AC"/>
    <w:rsid w:val="004B2DC1"/>
    <w:rsid w:val="004B32E9"/>
    <w:rsid w:val="004B69A6"/>
    <w:rsid w:val="004C10BB"/>
    <w:rsid w:val="004C17EF"/>
    <w:rsid w:val="004C2DD1"/>
    <w:rsid w:val="004C5180"/>
    <w:rsid w:val="004D08EA"/>
    <w:rsid w:val="004D09FA"/>
    <w:rsid w:val="004D121F"/>
    <w:rsid w:val="004D1508"/>
    <w:rsid w:val="004D1BD5"/>
    <w:rsid w:val="004D1C04"/>
    <w:rsid w:val="004D3212"/>
    <w:rsid w:val="004D38D9"/>
    <w:rsid w:val="004D3E0C"/>
    <w:rsid w:val="004D41F4"/>
    <w:rsid w:val="004D5395"/>
    <w:rsid w:val="004D6EBF"/>
    <w:rsid w:val="004E1E37"/>
    <w:rsid w:val="004E2236"/>
    <w:rsid w:val="004E2AAD"/>
    <w:rsid w:val="004E302D"/>
    <w:rsid w:val="004E325C"/>
    <w:rsid w:val="004E3FA0"/>
    <w:rsid w:val="004E4063"/>
    <w:rsid w:val="004E4C59"/>
    <w:rsid w:val="004E7CE5"/>
    <w:rsid w:val="004F3880"/>
    <w:rsid w:val="004F393D"/>
    <w:rsid w:val="004F3B27"/>
    <w:rsid w:val="004F6A0E"/>
    <w:rsid w:val="004F780E"/>
    <w:rsid w:val="004F7EC0"/>
    <w:rsid w:val="0050317D"/>
    <w:rsid w:val="00503572"/>
    <w:rsid w:val="00503851"/>
    <w:rsid w:val="0050425A"/>
    <w:rsid w:val="00504E5E"/>
    <w:rsid w:val="00506725"/>
    <w:rsid w:val="00506816"/>
    <w:rsid w:val="00507C51"/>
    <w:rsid w:val="005119C3"/>
    <w:rsid w:val="00511BD9"/>
    <w:rsid w:val="00512A6E"/>
    <w:rsid w:val="0051384F"/>
    <w:rsid w:val="00514CB6"/>
    <w:rsid w:val="00515745"/>
    <w:rsid w:val="00515985"/>
    <w:rsid w:val="00515EBA"/>
    <w:rsid w:val="005162B5"/>
    <w:rsid w:val="00517090"/>
    <w:rsid w:val="00522E3C"/>
    <w:rsid w:val="005240FE"/>
    <w:rsid w:val="00524210"/>
    <w:rsid w:val="005249DF"/>
    <w:rsid w:val="00524E1E"/>
    <w:rsid w:val="0052553B"/>
    <w:rsid w:val="00526B26"/>
    <w:rsid w:val="0052738D"/>
    <w:rsid w:val="00527F0B"/>
    <w:rsid w:val="00531013"/>
    <w:rsid w:val="0053317D"/>
    <w:rsid w:val="005346EC"/>
    <w:rsid w:val="0053520E"/>
    <w:rsid w:val="00535DDD"/>
    <w:rsid w:val="00537BD8"/>
    <w:rsid w:val="00537F7D"/>
    <w:rsid w:val="00540DB0"/>
    <w:rsid w:val="0054204F"/>
    <w:rsid w:val="00542053"/>
    <w:rsid w:val="00542158"/>
    <w:rsid w:val="00542D16"/>
    <w:rsid w:val="00542F33"/>
    <w:rsid w:val="005435A6"/>
    <w:rsid w:val="00544339"/>
    <w:rsid w:val="0054458F"/>
    <w:rsid w:val="00546012"/>
    <w:rsid w:val="00546344"/>
    <w:rsid w:val="00546C8F"/>
    <w:rsid w:val="00547B57"/>
    <w:rsid w:val="00550DCC"/>
    <w:rsid w:val="0055138F"/>
    <w:rsid w:val="00553A48"/>
    <w:rsid w:val="00554332"/>
    <w:rsid w:val="0055470D"/>
    <w:rsid w:val="005547B2"/>
    <w:rsid w:val="00555C2C"/>
    <w:rsid w:val="005567DA"/>
    <w:rsid w:val="00556C32"/>
    <w:rsid w:val="005602A1"/>
    <w:rsid w:val="005602AC"/>
    <w:rsid w:val="00562E8A"/>
    <w:rsid w:val="005643FC"/>
    <w:rsid w:val="00565DBF"/>
    <w:rsid w:val="00566746"/>
    <w:rsid w:val="005676BE"/>
    <w:rsid w:val="00570B07"/>
    <w:rsid w:val="00571750"/>
    <w:rsid w:val="005721E0"/>
    <w:rsid w:val="00572B53"/>
    <w:rsid w:val="00572F91"/>
    <w:rsid w:val="0057398B"/>
    <w:rsid w:val="00573D76"/>
    <w:rsid w:val="00576628"/>
    <w:rsid w:val="00576F88"/>
    <w:rsid w:val="005805BF"/>
    <w:rsid w:val="00581D69"/>
    <w:rsid w:val="0058255A"/>
    <w:rsid w:val="00584491"/>
    <w:rsid w:val="005847B3"/>
    <w:rsid w:val="005869FA"/>
    <w:rsid w:val="00586B26"/>
    <w:rsid w:val="00586C06"/>
    <w:rsid w:val="00590B95"/>
    <w:rsid w:val="00593807"/>
    <w:rsid w:val="00593B9C"/>
    <w:rsid w:val="00594731"/>
    <w:rsid w:val="00594865"/>
    <w:rsid w:val="00594A84"/>
    <w:rsid w:val="00595D12"/>
    <w:rsid w:val="00597B46"/>
    <w:rsid w:val="005A1667"/>
    <w:rsid w:val="005A16D2"/>
    <w:rsid w:val="005A2B2A"/>
    <w:rsid w:val="005A3250"/>
    <w:rsid w:val="005A349F"/>
    <w:rsid w:val="005A581A"/>
    <w:rsid w:val="005A6F94"/>
    <w:rsid w:val="005B1726"/>
    <w:rsid w:val="005B1ABD"/>
    <w:rsid w:val="005B281D"/>
    <w:rsid w:val="005B291D"/>
    <w:rsid w:val="005B2AA8"/>
    <w:rsid w:val="005B2BB4"/>
    <w:rsid w:val="005B34C9"/>
    <w:rsid w:val="005B4CBF"/>
    <w:rsid w:val="005B7C24"/>
    <w:rsid w:val="005C0A09"/>
    <w:rsid w:val="005C2B59"/>
    <w:rsid w:val="005C3143"/>
    <w:rsid w:val="005C389F"/>
    <w:rsid w:val="005C3BA0"/>
    <w:rsid w:val="005C3F16"/>
    <w:rsid w:val="005C4DF8"/>
    <w:rsid w:val="005C5A36"/>
    <w:rsid w:val="005C60AF"/>
    <w:rsid w:val="005C6433"/>
    <w:rsid w:val="005C7EFD"/>
    <w:rsid w:val="005D02D9"/>
    <w:rsid w:val="005D0400"/>
    <w:rsid w:val="005D21AB"/>
    <w:rsid w:val="005D2F3C"/>
    <w:rsid w:val="005D3F44"/>
    <w:rsid w:val="005D513C"/>
    <w:rsid w:val="005D7A6E"/>
    <w:rsid w:val="005E050F"/>
    <w:rsid w:val="005E1D9D"/>
    <w:rsid w:val="005E3C08"/>
    <w:rsid w:val="005E609C"/>
    <w:rsid w:val="005F0121"/>
    <w:rsid w:val="005F174A"/>
    <w:rsid w:val="005F1942"/>
    <w:rsid w:val="005F26D9"/>
    <w:rsid w:val="005F382F"/>
    <w:rsid w:val="005F398C"/>
    <w:rsid w:val="005F3CB0"/>
    <w:rsid w:val="005F5ACA"/>
    <w:rsid w:val="005F7459"/>
    <w:rsid w:val="005F7782"/>
    <w:rsid w:val="00600467"/>
    <w:rsid w:val="0060143B"/>
    <w:rsid w:val="00602E5C"/>
    <w:rsid w:val="00603464"/>
    <w:rsid w:val="00603EF4"/>
    <w:rsid w:val="00604270"/>
    <w:rsid w:val="006067ED"/>
    <w:rsid w:val="006108F9"/>
    <w:rsid w:val="00613C9A"/>
    <w:rsid w:val="00614AF2"/>
    <w:rsid w:val="0061700E"/>
    <w:rsid w:val="006207DC"/>
    <w:rsid w:val="0062281D"/>
    <w:rsid w:val="00622D45"/>
    <w:rsid w:val="00623757"/>
    <w:rsid w:val="00625E1A"/>
    <w:rsid w:val="00626774"/>
    <w:rsid w:val="006301F1"/>
    <w:rsid w:val="00630EF9"/>
    <w:rsid w:val="0063197F"/>
    <w:rsid w:val="006325B4"/>
    <w:rsid w:val="006325BE"/>
    <w:rsid w:val="00633159"/>
    <w:rsid w:val="00633BC9"/>
    <w:rsid w:val="00633E1E"/>
    <w:rsid w:val="0063407D"/>
    <w:rsid w:val="00634B58"/>
    <w:rsid w:val="0063563B"/>
    <w:rsid w:val="00636E67"/>
    <w:rsid w:val="00636EAA"/>
    <w:rsid w:val="006376C9"/>
    <w:rsid w:val="0064032D"/>
    <w:rsid w:val="0064034B"/>
    <w:rsid w:val="00640668"/>
    <w:rsid w:val="00641336"/>
    <w:rsid w:val="006414CE"/>
    <w:rsid w:val="00641643"/>
    <w:rsid w:val="0064184A"/>
    <w:rsid w:val="0064274E"/>
    <w:rsid w:val="00642EB5"/>
    <w:rsid w:val="00645A4B"/>
    <w:rsid w:val="0064605E"/>
    <w:rsid w:val="00646B1A"/>
    <w:rsid w:val="00647FBB"/>
    <w:rsid w:val="0065012F"/>
    <w:rsid w:val="006505F0"/>
    <w:rsid w:val="00651228"/>
    <w:rsid w:val="0065149C"/>
    <w:rsid w:val="006528A1"/>
    <w:rsid w:val="00653291"/>
    <w:rsid w:val="0065405A"/>
    <w:rsid w:val="006549F2"/>
    <w:rsid w:val="00657093"/>
    <w:rsid w:val="00657593"/>
    <w:rsid w:val="00657969"/>
    <w:rsid w:val="00657B14"/>
    <w:rsid w:val="006602A4"/>
    <w:rsid w:val="00660ED2"/>
    <w:rsid w:val="00660EF7"/>
    <w:rsid w:val="006618E2"/>
    <w:rsid w:val="006631F6"/>
    <w:rsid w:val="00663232"/>
    <w:rsid w:val="0066453B"/>
    <w:rsid w:val="00664C3F"/>
    <w:rsid w:val="00665398"/>
    <w:rsid w:val="006658A2"/>
    <w:rsid w:val="00666212"/>
    <w:rsid w:val="00667CD5"/>
    <w:rsid w:val="00670880"/>
    <w:rsid w:val="00670A4C"/>
    <w:rsid w:val="00671461"/>
    <w:rsid w:val="00672559"/>
    <w:rsid w:val="00675417"/>
    <w:rsid w:val="0067543B"/>
    <w:rsid w:val="00676A2C"/>
    <w:rsid w:val="00680802"/>
    <w:rsid w:val="006815C3"/>
    <w:rsid w:val="006823ED"/>
    <w:rsid w:val="006830DC"/>
    <w:rsid w:val="006834D8"/>
    <w:rsid w:val="00683A4F"/>
    <w:rsid w:val="00683E18"/>
    <w:rsid w:val="00684238"/>
    <w:rsid w:val="00684724"/>
    <w:rsid w:val="00684C78"/>
    <w:rsid w:val="00685B51"/>
    <w:rsid w:val="0068693B"/>
    <w:rsid w:val="0068733A"/>
    <w:rsid w:val="00687F6A"/>
    <w:rsid w:val="006909C8"/>
    <w:rsid w:val="00690A8D"/>
    <w:rsid w:val="0069144B"/>
    <w:rsid w:val="006926AD"/>
    <w:rsid w:val="00692743"/>
    <w:rsid w:val="006935A1"/>
    <w:rsid w:val="00694E40"/>
    <w:rsid w:val="0069631C"/>
    <w:rsid w:val="00697BF8"/>
    <w:rsid w:val="006A02AF"/>
    <w:rsid w:val="006A06C4"/>
    <w:rsid w:val="006A1FD8"/>
    <w:rsid w:val="006A39EE"/>
    <w:rsid w:val="006A5547"/>
    <w:rsid w:val="006A7E86"/>
    <w:rsid w:val="006B0284"/>
    <w:rsid w:val="006B03CA"/>
    <w:rsid w:val="006B05EE"/>
    <w:rsid w:val="006B0C21"/>
    <w:rsid w:val="006B12FF"/>
    <w:rsid w:val="006B1608"/>
    <w:rsid w:val="006B2FB1"/>
    <w:rsid w:val="006B44F8"/>
    <w:rsid w:val="006B5593"/>
    <w:rsid w:val="006B5790"/>
    <w:rsid w:val="006B5B48"/>
    <w:rsid w:val="006B5F8D"/>
    <w:rsid w:val="006B6557"/>
    <w:rsid w:val="006B66A1"/>
    <w:rsid w:val="006B7490"/>
    <w:rsid w:val="006C06E1"/>
    <w:rsid w:val="006C0EC8"/>
    <w:rsid w:val="006C102E"/>
    <w:rsid w:val="006C2261"/>
    <w:rsid w:val="006C249A"/>
    <w:rsid w:val="006C2C5C"/>
    <w:rsid w:val="006C3D99"/>
    <w:rsid w:val="006C4F23"/>
    <w:rsid w:val="006C5DA8"/>
    <w:rsid w:val="006C6480"/>
    <w:rsid w:val="006C73BB"/>
    <w:rsid w:val="006C7AFE"/>
    <w:rsid w:val="006C7C15"/>
    <w:rsid w:val="006D0218"/>
    <w:rsid w:val="006D0431"/>
    <w:rsid w:val="006D1D47"/>
    <w:rsid w:val="006D4A31"/>
    <w:rsid w:val="006D5A6E"/>
    <w:rsid w:val="006D5BB0"/>
    <w:rsid w:val="006D6101"/>
    <w:rsid w:val="006D72B2"/>
    <w:rsid w:val="006E2460"/>
    <w:rsid w:val="006E267C"/>
    <w:rsid w:val="006E46C5"/>
    <w:rsid w:val="006E48B4"/>
    <w:rsid w:val="006E5202"/>
    <w:rsid w:val="006E5460"/>
    <w:rsid w:val="006E5785"/>
    <w:rsid w:val="006E5E11"/>
    <w:rsid w:val="006E638A"/>
    <w:rsid w:val="006E6BC4"/>
    <w:rsid w:val="006E6EC7"/>
    <w:rsid w:val="006E77FC"/>
    <w:rsid w:val="006F0AFB"/>
    <w:rsid w:val="006F1DF0"/>
    <w:rsid w:val="006F286F"/>
    <w:rsid w:val="006F2AD8"/>
    <w:rsid w:val="006F2BD2"/>
    <w:rsid w:val="006F4919"/>
    <w:rsid w:val="006F4DB6"/>
    <w:rsid w:val="006F5D77"/>
    <w:rsid w:val="006F5E2A"/>
    <w:rsid w:val="006F67BE"/>
    <w:rsid w:val="006F6ABF"/>
    <w:rsid w:val="00700836"/>
    <w:rsid w:val="00700EA0"/>
    <w:rsid w:val="007011A9"/>
    <w:rsid w:val="0070219E"/>
    <w:rsid w:val="007029A6"/>
    <w:rsid w:val="00704473"/>
    <w:rsid w:val="00707A86"/>
    <w:rsid w:val="007112B7"/>
    <w:rsid w:val="00711ACD"/>
    <w:rsid w:val="00712947"/>
    <w:rsid w:val="00715D6F"/>
    <w:rsid w:val="00715DAB"/>
    <w:rsid w:val="007165C7"/>
    <w:rsid w:val="00716701"/>
    <w:rsid w:val="00716E08"/>
    <w:rsid w:val="00721612"/>
    <w:rsid w:val="0072336C"/>
    <w:rsid w:val="00723572"/>
    <w:rsid w:val="00724CD4"/>
    <w:rsid w:val="00725A07"/>
    <w:rsid w:val="00726AF2"/>
    <w:rsid w:val="00727486"/>
    <w:rsid w:val="007278DF"/>
    <w:rsid w:val="007307C3"/>
    <w:rsid w:val="00730FFD"/>
    <w:rsid w:val="00731279"/>
    <w:rsid w:val="007312BE"/>
    <w:rsid w:val="007334CB"/>
    <w:rsid w:val="0073432E"/>
    <w:rsid w:val="00734A7A"/>
    <w:rsid w:val="00736D49"/>
    <w:rsid w:val="007374F3"/>
    <w:rsid w:val="00741102"/>
    <w:rsid w:val="00742311"/>
    <w:rsid w:val="0074270E"/>
    <w:rsid w:val="007451E3"/>
    <w:rsid w:val="007454D6"/>
    <w:rsid w:val="00745833"/>
    <w:rsid w:val="007458C7"/>
    <w:rsid w:val="0074655A"/>
    <w:rsid w:val="007469F3"/>
    <w:rsid w:val="0075109D"/>
    <w:rsid w:val="0075142D"/>
    <w:rsid w:val="00751E73"/>
    <w:rsid w:val="00753087"/>
    <w:rsid w:val="00753182"/>
    <w:rsid w:val="00753341"/>
    <w:rsid w:val="0075363C"/>
    <w:rsid w:val="00753880"/>
    <w:rsid w:val="00754C97"/>
    <w:rsid w:val="00755025"/>
    <w:rsid w:val="00755C0D"/>
    <w:rsid w:val="0076025C"/>
    <w:rsid w:val="0076066A"/>
    <w:rsid w:val="0076106A"/>
    <w:rsid w:val="00766D11"/>
    <w:rsid w:val="007672EA"/>
    <w:rsid w:val="00767B83"/>
    <w:rsid w:val="00767FBD"/>
    <w:rsid w:val="007701FF"/>
    <w:rsid w:val="00770358"/>
    <w:rsid w:val="00770505"/>
    <w:rsid w:val="007712C0"/>
    <w:rsid w:val="00771735"/>
    <w:rsid w:val="007730FC"/>
    <w:rsid w:val="00774019"/>
    <w:rsid w:val="00774225"/>
    <w:rsid w:val="00774B67"/>
    <w:rsid w:val="00774D65"/>
    <w:rsid w:val="00775F6A"/>
    <w:rsid w:val="00777B00"/>
    <w:rsid w:val="0078049F"/>
    <w:rsid w:val="00780AE3"/>
    <w:rsid w:val="00782FA3"/>
    <w:rsid w:val="007839FB"/>
    <w:rsid w:val="00785651"/>
    <w:rsid w:val="00785A46"/>
    <w:rsid w:val="00790107"/>
    <w:rsid w:val="0079168A"/>
    <w:rsid w:val="00791898"/>
    <w:rsid w:val="00791A70"/>
    <w:rsid w:val="00791C5A"/>
    <w:rsid w:val="00792633"/>
    <w:rsid w:val="00792B50"/>
    <w:rsid w:val="00792CF7"/>
    <w:rsid w:val="00793C23"/>
    <w:rsid w:val="007956AE"/>
    <w:rsid w:val="007963D3"/>
    <w:rsid w:val="0079767B"/>
    <w:rsid w:val="007A14BE"/>
    <w:rsid w:val="007A281A"/>
    <w:rsid w:val="007A325D"/>
    <w:rsid w:val="007A3528"/>
    <w:rsid w:val="007A3FFB"/>
    <w:rsid w:val="007A41C1"/>
    <w:rsid w:val="007A435A"/>
    <w:rsid w:val="007A7E1C"/>
    <w:rsid w:val="007B0BE7"/>
    <w:rsid w:val="007B0D56"/>
    <w:rsid w:val="007B0F57"/>
    <w:rsid w:val="007B1ADC"/>
    <w:rsid w:val="007B2F8E"/>
    <w:rsid w:val="007B335B"/>
    <w:rsid w:val="007B3416"/>
    <w:rsid w:val="007B3C73"/>
    <w:rsid w:val="007B48DD"/>
    <w:rsid w:val="007B54A4"/>
    <w:rsid w:val="007B6420"/>
    <w:rsid w:val="007B6C32"/>
    <w:rsid w:val="007B6DE2"/>
    <w:rsid w:val="007B7245"/>
    <w:rsid w:val="007B7A18"/>
    <w:rsid w:val="007B7D33"/>
    <w:rsid w:val="007C03BE"/>
    <w:rsid w:val="007C0B67"/>
    <w:rsid w:val="007C0C28"/>
    <w:rsid w:val="007C1571"/>
    <w:rsid w:val="007C41A5"/>
    <w:rsid w:val="007C50F7"/>
    <w:rsid w:val="007C69D4"/>
    <w:rsid w:val="007C6CF7"/>
    <w:rsid w:val="007C7E34"/>
    <w:rsid w:val="007D1BEE"/>
    <w:rsid w:val="007D2559"/>
    <w:rsid w:val="007D573C"/>
    <w:rsid w:val="007D578F"/>
    <w:rsid w:val="007D5BAF"/>
    <w:rsid w:val="007D5DC3"/>
    <w:rsid w:val="007D5F23"/>
    <w:rsid w:val="007D67CA"/>
    <w:rsid w:val="007D6FF2"/>
    <w:rsid w:val="007D78CA"/>
    <w:rsid w:val="007D7FAE"/>
    <w:rsid w:val="007E0913"/>
    <w:rsid w:val="007E0E8B"/>
    <w:rsid w:val="007E2336"/>
    <w:rsid w:val="007E2A3D"/>
    <w:rsid w:val="007E2C92"/>
    <w:rsid w:val="007E3ABA"/>
    <w:rsid w:val="007E5390"/>
    <w:rsid w:val="007E5D2C"/>
    <w:rsid w:val="007E68AA"/>
    <w:rsid w:val="007F03DF"/>
    <w:rsid w:val="007F2B88"/>
    <w:rsid w:val="007F4289"/>
    <w:rsid w:val="007F5778"/>
    <w:rsid w:val="007F586D"/>
    <w:rsid w:val="007F5B64"/>
    <w:rsid w:val="007F7661"/>
    <w:rsid w:val="007F79D8"/>
    <w:rsid w:val="007F7B9F"/>
    <w:rsid w:val="00800069"/>
    <w:rsid w:val="00801D70"/>
    <w:rsid w:val="00803365"/>
    <w:rsid w:val="008033B8"/>
    <w:rsid w:val="00803729"/>
    <w:rsid w:val="00803BDF"/>
    <w:rsid w:val="008047BC"/>
    <w:rsid w:val="0080510D"/>
    <w:rsid w:val="00805307"/>
    <w:rsid w:val="0080546A"/>
    <w:rsid w:val="00805914"/>
    <w:rsid w:val="008072D1"/>
    <w:rsid w:val="00810787"/>
    <w:rsid w:val="00811594"/>
    <w:rsid w:val="00812761"/>
    <w:rsid w:val="00812F0D"/>
    <w:rsid w:val="0081348B"/>
    <w:rsid w:val="00814E10"/>
    <w:rsid w:val="0081578D"/>
    <w:rsid w:val="00816839"/>
    <w:rsid w:val="008169CB"/>
    <w:rsid w:val="00820790"/>
    <w:rsid w:val="00822061"/>
    <w:rsid w:val="0082248E"/>
    <w:rsid w:val="00824140"/>
    <w:rsid w:val="008243FD"/>
    <w:rsid w:val="00824667"/>
    <w:rsid w:val="0082491B"/>
    <w:rsid w:val="00825584"/>
    <w:rsid w:val="008270AA"/>
    <w:rsid w:val="008275AD"/>
    <w:rsid w:val="008303EB"/>
    <w:rsid w:val="00830E2C"/>
    <w:rsid w:val="00831DE3"/>
    <w:rsid w:val="00832B32"/>
    <w:rsid w:val="00832CEE"/>
    <w:rsid w:val="00832DAB"/>
    <w:rsid w:val="00833294"/>
    <w:rsid w:val="00835DE2"/>
    <w:rsid w:val="008371B4"/>
    <w:rsid w:val="0084131F"/>
    <w:rsid w:val="00841BBA"/>
    <w:rsid w:val="00842E72"/>
    <w:rsid w:val="00843527"/>
    <w:rsid w:val="008441E2"/>
    <w:rsid w:val="00851CAB"/>
    <w:rsid w:val="008523F6"/>
    <w:rsid w:val="008553B8"/>
    <w:rsid w:val="0085567B"/>
    <w:rsid w:val="00855BB0"/>
    <w:rsid w:val="00855E21"/>
    <w:rsid w:val="008604A5"/>
    <w:rsid w:val="00860CF8"/>
    <w:rsid w:val="00861C2F"/>
    <w:rsid w:val="008621AA"/>
    <w:rsid w:val="00862887"/>
    <w:rsid w:val="00863A48"/>
    <w:rsid w:val="00864BBE"/>
    <w:rsid w:val="008664C3"/>
    <w:rsid w:val="00866644"/>
    <w:rsid w:val="00866811"/>
    <w:rsid w:val="00866FD0"/>
    <w:rsid w:val="00867279"/>
    <w:rsid w:val="00872936"/>
    <w:rsid w:val="00873135"/>
    <w:rsid w:val="00873AF2"/>
    <w:rsid w:val="0087465F"/>
    <w:rsid w:val="00874669"/>
    <w:rsid w:val="00875E4B"/>
    <w:rsid w:val="00876193"/>
    <w:rsid w:val="008764DA"/>
    <w:rsid w:val="008777AB"/>
    <w:rsid w:val="008809F8"/>
    <w:rsid w:val="008818E0"/>
    <w:rsid w:val="00883850"/>
    <w:rsid w:val="00883E9E"/>
    <w:rsid w:val="0089109A"/>
    <w:rsid w:val="0089332D"/>
    <w:rsid w:val="00894398"/>
    <w:rsid w:val="0089452F"/>
    <w:rsid w:val="0089620E"/>
    <w:rsid w:val="0089691F"/>
    <w:rsid w:val="00896FB4"/>
    <w:rsid w:val="008A06B3"/>
    <w:rsid w:val="008A0B40"/>
    <w:rsid w:val="008A2333"/>
    <w:rsid w:val="008A2F09"/>
    <w:rsid w:val="008A3C4E"/>
    <w:rsid w:val="008A3D43"/>
    <w:rsid w:val="008A47D0"/>
    <w:rsid w:val="008A499E"/>
    <w:rsid w:val="008A4EED"/>
    <w:rsid w:val="008A6FB6"/>
    <w:rsid w:val="008A722C"/>
    <w:rsid w:val="008A72B4"/>
    <w:rsid w:val="008A7E70"/>
    <w:rsid w:val="008B1B6C"/>
    <w:rsid w:val="008B1DBA"/>
    <w:rsid w:val="008B1DD5"/>
    <w:rsid w:val="008B3081"/>
    <w:rsid w:val="008B3213"/>
    <w:rsid w:val="008B5897"/>
    <w:rsid w:val="008C0137"/>
    <w:rsid w:val="008C1C82"/>
    <w:rsid w:val="008C1CAC"/>
    <w:rsid w:val="008C1F68"/>
    <w:rsid w:val="008C27FA"/>
    <w:rsid w:val="008C2FDC"/>
    <w:rsid w:val="008C4E16"/>
    <w:rsid w:val="008C4FA0"/>
    <w:rsid w:val="008C5F95"/>
    <w:rsid w:val="008C7054"/>
    <w:rsid w:val="008D11A4"/>
    <w:rsid w:val="008D15B5"/>
    <w:rsid w:val="008D3483"/>
    <w:rsid w:val="008D34A6"/>
    <w:rsid w:val="008D49F4"/>
    <w:rsid w:val="008D4E2F"/>
    <w:rsid w:val="008D5D30"/>
    <w:rsid w:val="008D6345"/>
    <w:rsid w:val="008D71EA"/>
    <w:rsid w:val="008D71F7"/>
    <w:rsid w:val="008D73C1"/>
    <w:rsid w:val="008D7B60"/>
    <w:rsid w:val="008E196F"/>
    <w:rsid w:val="008E3C9C"/>
    <w:rsid w:val="008E404E"/>
    <w:rsid w:val="008E4A14"/>
    <w:rsid w:val="008E4CBC"/>
    <w:rsid w:val="008E6797"/>
    <w:rsid w:val="008E6C0E"/>
    <w:rsid w:val="008E6EB4"/>
    <w:rsid w:val="008E72DD"/>
    <w:rsid w:val="008F091F"/>
    <w:rsid w:val="008F138D"/>
    <w:rsid w:val="008F2274"/>
    <w:rsid w:val="00900E18"/>
    <w:rsid w:val="00901F91"/>
    <w:rsid w:val="00903183"/>
    <w:rsid w:val="009031D0"/>
    <w:rsid w:val="0090664A"/>
    <w:rsid w:val="009069BB"/>
    <w:rsid w:val="00906A9B"/>
    <w:rsid w:val="00906BD6"/>
    <w:rsid w:val="00906CEA"/>
    <w:rsid w:val="009078E6"/>
    <w:rsid w:val="0091004D"/>
    <w:rsid w:val="00910280"/>
    <w:rsid w:val="009116FF"/>
    <w:rsid w:val="00913177"/>
    <w:rsid w:val="009132E5"/>
    <w:rsid w:val="009143E1"/>
    <w:rsid w:val="009148A5"/>
    <w:rsid w:val="0091520E"/>
    <w:rsid w:val="00915BC8"/>
    <w:rsid w:val="00915D01"/>
    <w:rsid w:val="00915E92"/>
    <w:rsid w:val="00921168"/>
    <w:rsid w:val="00921DD7"/>
    <w:rsid w:val="00922597"/>
    <w:rsid w:val="009227C5"/>
    <w:rsid w:val="00922D23"/>
    <w:rsid w:val="00923356"/>
    <w:rsid w:val="00923994"/>
    <w:rsid w:val="00923AA0"/>
    <w:rsid w:val="0092485A"/>
    <w:rsid w:val="00925C33"/>
    <w:rsid w:val="009272FE"/>
    <w:rsid w:val="00930F5B"/>
    <w:rsid w:val="00931F4D"/>
    <w:rsid w:val="00931F66"/>
    <w:rsid w:val="00932686"/>
    <w:rsid w:val="00932E6C"/>
    <w:rsid w:val="009347E9"/>
    <w:rsid w:val="00935089"/>
    <w:rsid w:val="009370C8"/>
    <w:rsid w:val="0094019A"/>
    <w:rsid w:val="00941A79"/>
    <w:rsid w:val="009423B6"/>
    <w:rsid w:val="0094504C"/>
    <w:rsid w:val="009464A3"/>
    <w:rsid w:val="00946B59"/>
    <w:rsid w:val="00946E2C"/>
    <w:rsid w:val="0094752C"/>
    <w:rsid w:val="00950028"/>
    <w:rsid w:val="009523D0"/>
    <w:rsid w:val="00952C59"/>
    <w:rsid w:val="009538B5"/>
    <w:rsid w:val="0095453F"/>
    <w:rsid w:val="00954846"/>
    <w:rsid w:val="009550AB"/>
    <w:rsid w:val="00955D18"/>
    <w:rsid w:val="00956385"/>
    <w:rsid w:val="009568B2"/>
    <w:rsid w:val="009569CA"/>
    <w:rsid w:val="00956F8D"/>
    <w:rsid w:val="00956FC6"/>
    <w:rsid w:val="0095723E"/>
    <w:rsid w:val="00960DBE"/>
    <w:rsid w:val="00962A19"/>
    <w:rsid w:val="009635A2"/>
    <w:rsid w:val="00964781"/>
    <w:rsid w:val="0096575E"/>
    <w:rsid w:val="00965782"/>
    <w:rsid w:val="00966821"/>
    <w:rsid w:val="00970720"/>
    <w:rsid w:val="00971748"/>
    <w:rsid w:val="00971C22"/>
    <w:rsid w:val="00971CA0"/>
    <w:rsid w:val="00971FCA"/>
    <w:rsid w:val="00972834"/>
    <w:rsid w:val="00972CCE"/>
    <w:rsid w:val="00972D38"/>
    <w:rsid w:val="00973170"/>
    <w:rsid w:val="009734D7"/>
    <w:rsid w:val="00974030"/>
    <w:rsid w:val="009749B0"/>
    <w:rsid w:val="00975A83"/>
    <w:rsid w:val="00976AAE"/>
    <w:rsid w:val="00977648"/>
    <w:rsid w:val="00977F0F"/>
    <w:rsid w:val="0098043E"/>
    <w:rsid w:val="009809B1"/>
    <w:rsid w:val="00980B9A"/>
    <w:rsid w:val="00981A8C"/>
    <w:rsid w:val="009832EE"/>
    <w:rsid w:val="00985E31"/>
    <w:rsid w:val="00987B08"/>
    <w:rsid w:val="00990046"/>
    <w:rsid w:val="00992879"/>
    <w:rsid w:val="00992E6E"/>
    <w:rsid w:val="00993D23"/>
    <w:rsid w:val="00993D6A"/>
    <w:rsid w:val="00997CDC"/>
    <w:rsid w:val="009A02D1"/>
    <w:rsid w:val="009A0520"/>
    <w:rsid w:val="009A0755"/>
    <w:rsid w:val="009A1B4A"/>
    <w:rsid w:val="009A1C30"/>
    <w:rsid w:val="009A2006"/>
    <w:rsid w:val="009A24A8"/>
    <w:rsid w:val="009A2EED"/>
    <w:rsid w:val="009A35AA"/>
    <w:rsid w:val="009A50E0"/>
    <w:rsid w:val="009A5793"/>
    <w:rsid w:val="009A5CE1"/>
    <w:rsid w:val="009A7E30"/>
    <w:rsid w:val="009B051B"/>
    <w:rsid w:val="009B0DD1"/>
    <w:rsid w:val="009B13F1"/>
    <w:rsid w:val="009B4585"/>
    <w:rsid w:val="009B45E6"/>
    <w:rsid w:val="009B485A"/>
    <w:rsid w:val="009B4A29"/>
    <w:rsid w:val="009B5CA7"/>
    <w:rsid w:val="009B79FC"/>
    <w:rsid w:val="009C01A8"/>
    <w:rsid w:val="009C01CD"/>
    <w:rsid w:val="009C085C"/>
    <w:rsid w:val="009C12B8"/>
    <w:rsid w:val="009C22EC"/>
    <w:rsid w:val="009C2BB2"/>
    <w:rsid w:val="009C37C6"/>
    <w:rsid w:val="009C3B6E"/>
    <w:rsid w:val="009C3CA3"/>
    <w:rsid w:val="009C4369"/>
    <w:rsid w:val="009C4391"/>
    <w:rsid w:val="009C4DFB"/>
    <w:rsid w:val="009C5B34"/>
    <w:rsid w:val="009C7A63"/>
    <w:rsid w:val="009C7CBD"/>
    <w:rsid w:val="009D0542"/>
    <w:rsid w:val="009D1AB4"/>
    <w:rsid w:val="009D41D5"/>
    <w:rsid w:val="009D4785"/>
    <w:rsid w:val="009D4A32"/>
    <w:rsid w:val="009D52B4"/>
    <w:rsid w:val="009D63EA"/>
    <w:rsid w:val="009D6E06"/>
    <w:rsid w:val="009D7160"/>
    <w:rsid w:val="009E02BD"/>
    <w:rsid w:val="009E0816"/>
    <w:rsid w:val="009E13CB"/>
    <w:rsid w:val="009E1560"/>
    <w:rsid w:val="009E19F2"/>
    <w:rsid w:val="009E1F23"/>
    <w:rsid w:val="009E37E4"/>
    <w:rsid w:val="009E588D"/>
    <w:rsid w:val="009E62F5"/>
    <w:rsid w:val="009E6771"/>
    <w:rsid w:val="009E7423"/>
    <w:rsid w:val="009E762B"/>
    <w:rsid w:val="009E7964"/>
    <w:rsid w:val="009E7D7A"/>
    <w:rsid w:val="009F00B7"/>
    <w:rsid w:val="009F0271"/>
    <w:rsid w:val="009F4798"/>
    <w:rsid w:val="009F4E89"/>
    <w:rsid w:val="009F566B"/>
    <w:rsid w:val="009F57DB"/>
    <w:rsid w:val="009F5E9D"/>
    <w:rsid w:val="009F607A"/>
    <w:rsid w:val="009F6C56"/>
    <w:rsid w:val="009F7893"/>
    <w:rsid w:val="009F7F25"/>
    <w:rsid w:val="00A00512"/>
    <w:rsid w:val="00A02670"/>
    <w:rsid w:val="00A03921"/>
    <w:rsid w:val="00A04C08"/>
    <w:rsid w:val="00A04F0F"/>
    <w:rsid w:val="00A0786E"/>
    <w:rsid w:val="00A07B3A"/>
    <w:rsid w:val="00A106AD"/>
    <w:rsid w:val="00A1111F"/>
    <w:rsid w:val="00A149A3"/>
    <w:rsid w:val="00A14F58"/>
    <w:rsid w:val="00A14F65"/>
    <w:rsid w:val="00A1526C"/>
    <w:rsid w:val="00A17F9A"/>
    <w:rsid w:val="00A2055C"/>
    <w:rsid w:val="00A2057B"/>
    <w:rsid w:val="00A20E24"/>
    <w:rsid w:val="00A20E41"/>
    <w:rsid w:val="00A21067"/>
    <w:rsid w:val="00A218B6"/>
    <w:rsid w:val="00A2299C"/>
    <w:rsid w:val="00A23195"/>
    <w:rsid w:val="00A23C44"/>
    <w:rsid w:val="00A269B1"/>
    <w:rsid w:val="00A26B2D"/>
    <w:rsid w:val="00A2705E"/>
    <w:rsid w:val="00A27C07"/>
    <w:rsid w:val="00A27D9B"/>
    <w:rsid w:val="00A318D0"/>
    <w:rsid w:val="00A31E65"/>
    <w:rsid w:val="00A31EDA"/>
    <w:rsid w:val="00A32525"/>
    <w:rsid w:val="00A32581"/>
    <w:rsid w:val="00A32E7E"/>
    <w:rsid w:val="00A334E8"/>
    <w:rsid w:val="00A33BAC"/>
    <w:rsid w:val="00A377B7"/>
    <w:rsid w:val="00A37A6D"/>
    <w:rsid w:val="00A41570"/>
    <w:rsid w:val="00A42439"/>
    <w:rsid w:val="00A43233"/>
    <w:rsid w:val="00A4532B"/>
    <w:rsid w:val="00A45B85"/>
    <w:rsid w:val="00A46FDD"/>
    <w:rsid w:val="00A503C4"/>
    <w:rsid w:val="00A511AF"/>
    <w:rsid w:val="00A517F7"/>
    <w:rsid w:val="00A51EAE"/>
    <w:rsid w:val="00A52EFC"/>
    <w:rsid w:val="00A53655"/>
    <w:rsid w:val="00A54AB6"/>
    <w:rsid w:val="00A56D5A"/>
    <w:rsid w:val="00A60201"/>
    <w:rsid w:val="00A60B9B"/>
    <w:rsid w:val="00A60F3F"/>
    <w:rsid w:val="00A61299"/>
    <w:rsid w:val="00A612DC"/>
    <w:rsid w:val="00A621BF"/>
    <w:rsid w:val="00A62438"/>
    <w:rsid w:val="00A65CC7"/>
    <w:rsid w:val="00A66247"/>
    <w:rsid w:val="00A66664"/>
    <w:rsid w:val="00A66867"/>
    <w:rsid w:val="00A66D31"/>
    <w:rsid w:val="00A67CCA"/>
    <w:rsid w:val="00A70842"/>
    <w:rsid w:val="00A7142A"/>
    <w:rsid w:val="00A71B9E"/>
    <w:rsid w:val="00A72F6B"/>
    <w:rsid w:val="00A74423"/>
    <w:rsid w:val="00A744E0"/>
    <w:rsid w:val="00A74DAD"/>
    <w:rsid w:val="00A75A37"/>
    <w:rsid w:val="00A769D5"/>
    <w:rsid w:val="00A777F1"/>
    <w:rsid w:val="00A808F5"/>
    <w:rsid w:val="00A8177A"/>
    <w:rsid w:val="00A81905"/>
    <w:rsid w:val="00A81F1F"/>
    <w:rsid w:val="00A82139"/>
    <w:rsid w:val="00A84982"/>
    <w:rsid w:val="00A85053"/>
    <w:rsid w:val="00A8539C"/>
    <w:rsid w:val="00A8596C"/>
    <w:rsid w:val="00A86E12"/>
    <w:rsid w:val="00A873B1"/>
    <w:rsid w:val="00A90CFA"/>
    <w:rsid w:val="00A9167A"/>
    <w:rsid w:val="00A9447E"/>
    <w:rsid w:val="00A9464C"/>
    <w:rsid w:val="00A9469D"/>
    <w:rsid w:val="00A94793"/>
    <w:rsid w:val="00A94BC7"/>
    <w:rsid w:val="00A95072"/>
    <w:rsid w:val="00A95274"/>
    <w:rsid w:val="00AA0168"/>
    <w:rsid w:val="00AA44B5"/>
    <w:rsid w:val="00AA6DBD"/>
    <w:rsid w:val="00AA6F56"/>
    <w:rsid w:val="00AA7A27"/>
    <w:rsid w:val="00AA7A2A"/>
    <w:rsid w:val="00AA7AD2"/>
    <w:rsid w:val="00AB0B0A"/>
    <w:rsid w:val="00AB1274"/>
    <w:rsid w:val="00AB325C"/>
    <w:rsid w:val="00AB4185"/>
    <w:rsid w:val="00AB5992"/>
    <w:rsid w:val="00AB5C2D"/>
    <w:rsid w:val="00AB5EBE"/>
    <w:rsid w:val="00AB5F74"/>
    <w:rsid w:val="00AB7DF4"/>
    <w:rsid w:val="00AC1405"/>
    <w:rsid w:val="00AC1581"/>
    <w:rsid w:val="00AC2714"/>
    <w:rsid w:val="00AC2DA3"/>
    <w:rsid w:val="00AC3150"/>
    <w:rsid w:val="00AC37BC"/>
    <w:rsid w:val="00AC5A97"/>
    <w:rsid w:val="00AC60C1"/>
    <w:rsid w:val="00AD1280"/>
    <w:rsid w:val="00AD1A6B"/>
    <w:rsid w:val="00AD1B4C"/>
    <w:rsid w:val="00AD1B55"/>
    <w:rsid w:val="00AD3C3F"/>
    <w:rsid w:val="00AD3FC9"/>
    <w:rsid w:val="00AD725B"/>
    <w:rsid w:val="00AE00E5"/>
    <w:rsid w:val="00AE287B"/>
    <w:rsid w:val="00AE480B"/>
    <w:rsid w:val="00AE54AA"/>
    <w:rsid w:val="00AE639F"/>
    <w:rsid w:val="00AE664C"/>
    <w:rsid w:val="00AE6BE2"/>
    <w:rsid w:val="00AF0834"/>
    <w:rsid w:val="00AF087E"/>
    <w:rsid w:val="00AF1A8F"/>
    <w:rsid w:val="00AF1DF6"/>
    <w:rsid w:val="00AF2E90"/>
    <w:rsid w:val="00AF3104"/>
    <w:rsid w:val="00AF4AA8"/>
    <w:rsid w:val="00AF4C34"/>
    <w:rsid w:val="00AF5CDA"/>
    <w:rsid w:val="00AF6AB5"/>
    <w:rsid w:val="00AF7D27"/>
    <w:rsid w:val="00AF7F4F"/>
    <w:rsid w:val="00B00007"/>
    <w:rsid w:val="00B00616"/>
    <w:rsid w:val="00B00868"/>
    <w:rsid w:val="00B016F2"/>
    <w:rsid w:val="00B02429"/>
    <w:rsid w:val="00B0374B"/>
    <w:rsid w:val="00B03BE6"/>
    <w:rsid w:val="00B03FC0"/>
    <w:rsid w:val="00B0503A"/>
    <w:rsid w:val="00B05372"/>
    <w:rsid w:val="00B05DBA"/>
    <w:rsid w:val="00B061C7"/>
    <w:rsid w:val="00B06F64"/>
    <w:rsid w:val="00B076F2"/>
    <w:rsid w:val="00B1004F"/>
    <w:rsid w:val="00B1037D"/>
    <w:rsid w:val="00B10BB6"/>
    <w:rsid w:val="00B1395C"/>
    <w:rsid w:val="00B14F9C"/>
    <w:rsid w:val="00B15637"/>
    <w:rsid w:val="00B15F08"/>
    <w:rsid w:val="00B16340"/>
    <w:rsid w:val="00B16AF3"/>
    <w:rsid w:val="00B16F20"/>
    <w:rsid w:val="00B174A2"/>
    <w:rsid w:val="00B17C62"/>
    <w:rsid w:val="00B20AB3"/>
    <w:rsid w:val="00B2258A"/>
    <w:rsid w:val="00B22685"/>
    <w:rsid w:val="00B26610"/>
    <w:rsid w:val="00B276D3"/>
    <w:rsid w:val="00B27F5B"/>
    <w:rsid w:val="00B30FD2"/>
    <w:rsid w:val="00B31BA9"/>
    <w:rsid w:val="00B330E9"/>
    <w:rsid w:val="00B3347C"/>
    <w:rsid w:val="00B3594B"/>
    <w:rsid w:val="00B37483"/>
    <w:rsid w:val="00B4044C"/>
    <w:rsid w:val="00B41C18"/>
    <w:rsid w:val="00B4265F"/>
    <w:rsid w:val="00B43469"/>
    <w:rsid w:val="00B447D5"/>
    <w:rsid w:val="00B4549D"/>
    <w:rsid w:val="00B4602F"/>
    <w:rsid w:val="00B46181"/>
    <w:rsid w:val="00B46248"/>
    <w:rsid w:val="00B46994"/>
    <w:rsid w:val="00B46E35"/>
    <w:rsid w:val="00B4753C"/>
    <w:rsid w:val="00B50977"/>
    <w:rsid w:val="00B51594"/>
    <w:rsid w:val="00B5190E"/>
    <w:rsid w:val="00B53268"/>
    <w:rsid w:val="00B55DFC"/>
    <w:rsid w:val="00B57B8A"/>
    <w:rsid w:val="00B61034"/>
    <w:rsid w:val="00B614EE"/>
    <w:rsid w:val="00B6206A"/>
    <w:rsid w:val="00B6228A"/>
    <w:rsid w:val="00B62836"/>
    <w:rsid w:val="00B62A12"/>
    <w:rsid w:val="00B6329D"/>
    <w:rsid w:val="00B6477D"/>
    <w:rsid w:val="00B65E03"/>
    <w:rsid w:val="00B675F5"/>
    <w:rsid w:val="00B70578"/>
    <w:rsid w:val="00B71705"/>
    <w:rsid w:val="00B73424"/>
    <w:rsid w:val="00B73455"/>
    <w:rsid w:val="00B745A5"/>
    <w:rsid w:val="00B75F6B"/>
    <w:rsid w:val="00B80AE8"/>
    <w:rsid w:val="00B80CD2"/>
    <w:rsid w:val="00B816AA"/>
    <w:rsid w:val="00B82FAB"/>
    <w:rsid w:val="00B83593"/>
    <w:rsid w:val="00B8367D"/>
    <w:rsid w:val="00B839CB"/>
    <w:rsid w:val="00B83F78"/>
    <w:rsid w:val="00B841C9"/>
    <w:rsid w:val="00B843EE"/>
    <w:rsid w:val="00B86099"/>
    <w:rsid w:val="00B86311"/>
    <w:rsid w:val="00B872A0"/>
    <w:rsid w:val="00B879D7"/>
    <w:rsid w:val="00B87CE4"/>
    <w:rsid w:val="00B90D9A"/>
    <w:rsid w:val="00B913F1"/>
    <w:rsid w:val="00B927B5"/>
    <w:rsid w:val="00B9624F"/>
    <w:rsid w:val="00B9739B"/>
    <w:rsid w:val="00BA0175"/>
    <w:rsid w:val="00BA2004"/>
    <w:rsid w:val="00BA2804"/>
    <w:rsid w:val="00BA33D3"/>
    <w:rsid w:val="00BA394A"/>
    <w:rsid w:val="00BA3FF2"/>
    <w:rsid w:val="00BA5DC5"/>
    <w:rsid w:val="00BA68E1"/>
    <w:rsid w:val="00BA729C"/>
    <w:rsid w:val="00BA760A"/>
    <w:rsid w:val="00BA7BE5"/>
    <w:rsid w:val="00BB0893"/>
    <w:rsid w:val="00BB2D85"/>
    <w:rsid w:val="00BB3CF2"/>
    <w:rsid w:val="00BB4383"/>
    <w:rsid w:val="00BB4D54"/>
    <w:rsid w:val="00BB4F42"/>
    <w:rsid w:val="00BB55CB"/>
    <w:rsid w:val="00BB55EE"/>
    <w:rsid w:val="00BB723E"/>
    <w:rsid w:val="00BB77B1"/>
    <w:rsid w:val="00BC0D35"/>
    <w:rsid w:val="00BC0D76"/>
    <w:rsid w:val="00BC29DC"/>
    <w:rsid w:val="00BC37DA"/>
    <w:rsid w:val="00BC3DD9"/>
    <w:rsid w:val="00BC53BB"/>
    <w:rsid w:val="00BC689E"/>
    <w:rsid w:val="00BD09A0"/>
    <w:rsid w:val="00BD1E65"/>
    <w:rsid w:val="00BD2121"/>
    <w:rsid w:val="00BD2461"/>
    <w:rsid w:val="00BD2F73"/>
    <w:rsid w:val="00BD5207"/>
    <w:rsid w:val="00BD6FF5"/>
    <w:rsid w:val="00BE1E3D"/>
    <w:rsid w:val="00BE2CDD"/>
    <w:rsid w:val="00BE3CED"/>
    <w:rsid w:val="00BE3D38"/>
    <w:rsid w:val="00BE4E78"/>
    <w:rsid w:val="00BE530B"/>
    <w:rsid w:val="00BF082C"/>
    <w:rsid w:val="00BF0A66"/>
    <w:rsid w:val="00BF21C9"/>
    <w:rsid w:val="00BF2DB0"/>
    <w:rsid w:val="00BF5AB4"/>
    <w:rsid w:val="00BF5DF8"/>
    <w:rsid w:val="00BF6530"/>
    <w:rsid w:val="00BF7350"/>
    <w:rsid w:val="00BF77A7"/>
    <w:rsid w:val="00BF7934"/>
    <w:rsid w:val="00BF7A75"/>
    <w:rsid w:val="00BF7ABE"/>
    <w:rsid w:val="00C03433"/>
    <w:rsid w:val="00C034B7"/>
    <w:rsid w:val="00C04F1F"/>
    <w:rsid w:val="00C0542D"/>
    <w:rsid w:val="00C05BAC"/>
    <w:rsid w:val="00C07D52"/>
    <w:rsid w:val="00C1084C"/>
    <w:rsid w:val="00C10940"/>
    <w:rsid w:val="00C1097E"/>
    <w:rsid w:val="00C15637"/>
    <w:rsid w:val="00C1793C"/>
    <w:rsid w:val="00C22726"/>
    <w:rsid w:val="00C22C19"/>
    <w:rsid w:val="00C23BF0"/>
    <w:rsid w:val="00C24B0F"/>
    <w:rsid w:val="00C253EA"/>
    <w:rsid w:val="00C27717"/>
    <w:rsid w:val="00C27C52"/>
    <w:rsid w:val="00C31692"/>
    <w:rsid w:val="00C31E59"/>
    <w:rsid w:val="00C320B8"/>
    <w:rsid w:val="00C347B4"/>
    <w:rsid w:val="00C3529D"/>
    <w:rsid w:val="00C371FD"/>
    <w:rsid w:val="00C37B07"/>
    <w:rsid w:val="00C410A1"/>
    <w:rsid w:val="00C4275F"/>
    <w:rsid w:val="00C428DA"/>
    <w:rsid w:val="00C42D86"/>
    <w:rsid w:val="00C4589B"/>
    <w:rsid w:val="00C4675F"/>
    <w:rsid w:val="00C47B0B"/>
    <w:rsid w:val="00C47D95"/>
    <w:rsid w:val="00C50E3F"/>
    <w:rsid w:val="00C51FA7"/>
    <w:rsid w:val="00C52E8B"/>
    <w:rsid w:val="00C54736"/>
    <w:rsid w:val="00C54D0D"/>
    <w:rsid w:val="00C55E9C"/>
    <w:rsid w:val="00C57C61"/>
    <w:rsid w:val="00C57F4A"/>
    <w:rsid w:val="00C60343"/>
    <w:rsid w:val="00C605FE"/>
    <w:rsid w:val="00C61497"/>
    <w:rsid w:val="00C617C7"/>
    <w:rsid w:val="00C62675"/>
    <w:rsid w:val="00C626F3"/>
    <w:rsid w:val="00C637EF"/>
    <w:rsid w:val="00C64DB5"/>
    <w:rsid w:val="00C651B6"/>
    <w:rsid w:val="00C65850"/>
    <w:rsid w:val="00C66C67"/>
    <w:rsid w:val="00C66D32"/>
    <w:rsid w:val="00C70022"/>
    <w:rsid w:val="00C716A2"/>
    <w:rsid w:val="00C7214E"/>
    <w:rsid w:val="00C7663E"/>
    <w:rsid w:val="00C76EEB"/>
    <w:rsid w:val="00C77D76"/>
    <w:rsid w:val="00C8018E"/>
    <w:rsid w:val="00C80B7D"/>
    <w:rsid w:val="00C8275E"/>
    <w:rsid w:val="00C829E3"/>
    <w:rsid w:val="00C82A67"/>
    <w:rsid w:val="00C8312C"/>
    <w:rsid w:val="00C83944"/>
    <w:rsid w:val="00C870FC"/>
    <w:rsid w:val="00C87632"/>
    <w:rsid w:val="00C90C31"/>
    <w:rsid w:val="00C90CF0"/>
    <w:rsid w:val="00C91074"/>
    <w:rsid w:val="00C91B63"/>
    <w:rsid w:val="00C91EF0"/>
    <w:rsid w:val="00C92ACA"/>
    <w:rsid w:val="00C95122"/>
    <w:rsid w:val="00C96A11"/>
    <w:rsid w:val="00CA1B38"/>
    <w:rsid w:val="00CA25DC"/>
    <w:rsid w:val="00CA28A1"/>
    <w:rsid w:val="00CA49C7"/>
    <w:rsid w:val="00CA4B6C"/>
    <w:rsid w:val="00CA5FCF"/>
    <w:rsid w:val="00CA7017"/>
    <w:rsid w:val="00CA7E3E"/>
    <w:rsid w:val="00CB34DB"/>
    <w:rsid w:val="00CB3638"/>
    <w:rsid w:val="00CB42C3"/>
    <w:rsid w:val="00CC14F9"/>
    <w:rsid w:val="00CC257C"/>
    <w:rsid w:val="00CC27BF"/>
    <w:rsid w:val="00CC3384"/>
    <w:rsid w:val="00CC4383"/>
    <w:rsid w:val="00CC6B44"/>
    <w:rsid w:val="00CD0241"/>
    <w:rsid w:val="00CD1CFE"/>
    <w:rsid w:val="00CD1E09"/>
    <w:rsid w:val="00CD385E"/>
    <w:rsid w:val="00CD3865"/>
    <w:rsid w:val="00CD3FEF"/>
    <w:rsid w:val="00CD442F"/>
    <w:rsid w:val="00CD559D"/>
    <w:rsid w:val="00CD6B6D"/>
    <w:rsid w:val="00CE1951"/>
    <w:rsid w:val="00CE369D"/>
    <w:rsid w:val="00CE36A8"/>
    <w:rsid w:val="00CE3878"/>
    <w:rsid w:val="00CE3D00"/>
    <w:rsid w:val="00CE3F65"/>
    <w:rsid w:val="00CE4C34"/>
    <w:rsid w:val="00CE5C73"/>
    <w:rsid w:val="00CE5EF8"/>
    <w:rsid w:val="00CE6884"/>
    <w:rsid w:val="00CE68D7"/>
    <w:rsid w:val="00CE692E"/>
    <w:rsid w:val="00CE6FD8"/>
    <w:rsid w:val="00CE7135"/>
    <w:rsid w:val="00CE7446"/>
    <w:rsid w:val="00CE759E"/>
    <w:rsid w:val="00CE7E49"/>
    <w:rsid w:val="00CF0D64"/>
    <w:rsid w:val="00CF133C"/>
    <w:rsid w:val="00CF17DE"/>
    <w:rsid w:val="00CF247A"/>
    <w:rsid w:val="00CF2FCB"/>
    <w:rsid w:val="00CF34ED"/>
    <w:rsid w:val="00CF3B2B"/>
    <w:rsid w:val="00CF3D61"/>
    <w:rsid w:val="00CF421D"/>
    <w:rsid w:val="00CF4CD2"/>
    <w:rsid w:val="00CF57A8"/>
    <w:rsid w:val="00CF6045"/>
    <w:rsid w:val="00D01419"/>
    <w:rsid w:val="00D03D3B"/>
    <w:rsid w:val="00D041C7"/>
    <w:rsid w:val="00D0484A"/>
    <w:rsid w:val="00D04959"/>
    <w:rsid w:val="00D11F30"/>
    <w:rsid w:val="00D12F2B"/>
    <w:rsid w:val="00D137B9"/>
    <w:rsid w:val="00D13A9C"/>
    <w:rsid w:val="00D13E36"/>
    <w:rsid w:val="00D14E60"/>
    <w:rsid w:val="00D156B6"/>
    <w:rsid w:val="00D17607"/>
    <w:rsid w:val="00D200C9"/>
    <w:rsid w:val="00D20DA8"/>
    <w:rsid w:val="00D20F6C"/>
    <w:rsid w:val="00D21AAD"/>
    <w:rsid w:val="00D220BA"/>
    <w:rsid w:val="00D223F8"/>
    <w:rsid w:val="00D22686"/>
    <w:rsid w:val="00D226E9"/>
    <w:rsid w:val="00D22B4D"/>
    <w:rsid w:val="00D237E9"/>
    <w:rsid w:val="00D240CF"/>
    <w:rsid w:val="00D24E1E"/>
    <w:rsid w:val="00D25AA4"/>
    <w:rsid w:val="00D327C3"/>
    <w:rsid w:val="00D330DD"/>
    <w:rsid w:val="00D339D5"/>
    <w:rsid w:val="00D33A61"/>
    <w:rsid w:val="00D340E3"/>
    <w:rsid w:val="00D35CD2"/>
    <w:rsid w:val="00D37FA0"/>
    <w:rsid w:val="00D406EC"/>
    <w:rsid w:val="00D41D9C"/>
    <w:rsid w:val="00D44542"/>
    <w:rsid w:val="00D44D0B"/>
    <w:rsid w:val="00D4524D"/>
    <w:rsid w:val="00D47061"/>
    <w:rsid w:val="00D47293"/>
    <w:rsid w:val="00D500B8"/>
    <w:rsid w:val="00D515F8"/>
    <w:rsid w:val="00D52226"/>
    <w:rsid w:val="00D5241F"/>
    <w:rsid w:val="00D52F2C"/>
    <w:rsid w:val="00D532B7"/>
    <w:rsid w:val="00D53F4C"/>
    <w:rsid w:val="00D5601A"/>
    <w:rsid w:val="00D5624E"/>
    <w:rsid w:val="00D56BAF"/>
    <w:rsid w:val="00D57274"/>
    <w:rsid w:val="00D573DA"/>
    <w:rsid w:val="00D6163C"/>
    <w:rsid w:val="00D619FB"/>
    <w:rsid w:val="00D62796"/>
    <w:rsid w:val="00D630F5"/>
    <w:rsid w:val="00D634BC"/>
    <w:rsid w:val="00D6404D"/>
    <w:rsid w:val="00D6467E"/>
    <w:rsid w:val="00D65474"/>
    <w:rsid w:val="00D65964"/>
    <w:rsid w:val="00D6623D"/>
    <w:rsid w:val="00D66777"/>
    <w:rsid w:val="00D668AB"/>
    <w:rsid w:val="00D67AD7"/>
    <w:rsid w:val="00D703A0"/>
    <w:rsid w:val="00D70D6D"/>
    <w:rsid w:val="00D70DBB"/>
    <w:rsid w:val="00D7211B"/>
    <w:rsid w:val="00D721D9"/>
    <w:rsid w:val="00D73665"/>
    <w:rsid w:val="00D736B6"/>
    <w:rsid w:val="00D74A5C"/>
    <w:rsid w:val="00D750F4"/>
    <w:rsid w:val="00D75384"/>
    <w:rsid w:val="00D75729"/>
    <w:rsid w:val="00D76B4B"/>
    <w:rsid w:val="00D76F5B"/>
    <w:rsid w:val="00D815F8"/>
    <w:rsid w:val="00D8176C"/>
    <w:rsid w:val="00D81B17"/>
    <w:rsid w:val="00D822FD"/>
    <w:rsid w:val="00D8244A"/>
    <w:rsid w:val="00D85DC5"/>
    <w:rsid w:val="00D86090"/>
    <w:rsid w:val="00D865A9"/>
    <w:rsid w:val="00D86C97"/>
    <w:rsid w:val="00D86D78"/>
    <w:rsid w:val="00D90C1A"/>
    <w:rsid w:val="00D90DA0"/>
    <w:rsid w:val="00D9189E"/>
    <w:rsid w:val="00D91C5E"/>
    <w:rsid w:val="00D9579A"/>
    <w:rsid w:val="00D9690A"/>
    <w:rsid w:val="00D970A9"/>
    <w:rsid w:val="00D971B4"/>
    <w:rsid w:val="00DA0201"/>
    <w:rsid w:val="00DA024D"/>
    <w:rsid w:val="00DA0D31"/>
    <w:rsid w:val="00DA2B05"/>
    <w:rsid w:val="00DA357B"/>
    <w:rsid w:val="00DA40C8"/>
    <w:rsid w:val="00DA5F35"/>
    <w:rsid w:val="00DA630B"/>
    <w:rsid w:val="00DA6A89"/>
    <w:rsid w:val="00DA6B3E"/>
    <w:rsid w:val="00DA6EAB"/>
    <w:rsid w:val="00DA706A"/>
    <w:rsid w:val="00DB0183"/>
    <w:rsid w:val="00DB040C"/>
    <w:rsid w:val="00DB08CE"/>
    <w:rsid w:val="00DB1A7A"/>
    <w:rsid w:val="00DB1F21"/>
    <w:rsid w:val="00DB23C7"/>
    <w:rsid w:val="00DB3A4A"/>
    <w:rsid w:val="00DB4499"/>
    <w:rsid w:val="00DB5A33"/>
    <w:rsid w:val="00DB5BA2"/>
    <w:rsid w:val="00DB5D30"/>
    <w:rsid w:val="00DB619F"/>
    <w:rsid w:val="00DB6215"/>
    <w:rsid w:val="00DB6A18"/>
    <w:rsid w:val="00DB6F2C"/>
    <w:rsid w:val="00DB7854"/>
    <w:rsid w:val="00DC0BC2"/>
    <w:rsid w:val="00DC1814"/>
    <w:rsid w:val="00DC2745"/>
    <w:rsid w:val="00DC2DC3"/>
    <w:rsid w:val="00DC3254"/>
    <w:rsid w:val="00DC66DF"/>
    <w:rsid w:val="00DC738D"/>
    <w:rsid w:val="00DC7742"/>
    <w:rsid w:val="00DD05C3"/>
    <w:rsid w:val="00DD0D5F"/>
    <w:rsid w:val="00DD1C71"/>
    <w:rsid w:val="00DD1EF5"/>
    <w:rsid w:val="00DD2B8D"/>
    <w:rsid w:val="00DD385E"/>
    <w:rsid w:val="00DD3B8A"/>
    <w:rsid w:val="00DD6C9E"/>
    <w:rsid w:val="00DD71EE"/>
    <w:rsid w:val="00DD7C22"/>
    <w:rsid w:val="00DD7FC4"/>
    <w:rsid w:val="00DE0AD2"/>
    <w:rsid w:val="00DE1385"/>
    <w:rsid w:val="00DE2483"/>
    <w:rsid w:val="00DE41CB"/>
    <w:rsid w:val="00DE42EB"/>
    <w:rsid w:val="00DE5A7B"/>
    <w:rsid w:val="00DE63DC"/>
    <w:rsid w:val="00DE6903"/>
    <w:rsid w:val="00DE7468"/>
    <w:rsid w:val="00DE7F02"/>
    <w:rsid w:val="00DF2F48"/>
    <w:rsid w:val="00DF3393"/>
    <w:rsid w:val="00DF343E"/>
    <w:rsid w:val="00DF35CC"/>
    <w:rsid w:val="00DF47ED"/>
    <w:rsid w:val="00DF520B"/>
    <w:rsid w:val="00DF62F4"/>
    <w:rsid w:val="00DF6D84"/>
    <w:rsid w:val="00E02127"/>
    <w:rsid w:val="00E0235A"/>
    <w:rsid w:val="00E05C07"/>
    <w:rsid w:val="00E05DCB"/>
    <w:rsid w:val="00E070FA"/>
    <w:rsid w:val="00E106E5"/>
    <w:rsid w:val="00E10874"/>
    <w:rsid w:val="00E11291"/>
    <w:rsid w:val="00E11DC4"/>
    <w:rsid w:val="00E12330"/>
    <w:rsid w:val="00E156CE"/>
    <w:rsid w:val="00E16F11"/>
    <w:rsid w:val="00E1794B"/>
    <w:rsid w:val="00E2003F"/>
    <w:rsid w:val="00E23417"/>
    <w:rsid w:val="00E23E61"/>
    <w:rsid w:val="00E26AC8"/>
    <w:rsid w:val="00E3050C"/>
    <w:rsid w:val="00E31E90"/>
    <w:rsid w:val="00E320A5"/>
    <w:rsid w:val="00E349BC"/>
    <w:rsid w:val="00E37645"/>
    <w:rsid w:val="00E379C6"/>
    <w:rsid w:val="00E423DB"/>
    <w:rsid w:val="00E44C7A"/>
    <w:rsid w:val="00E453D9"/>
    <w:rsid w:val="00E45F49"/>
    <w:rsid w:val="00E4610C"/>
    <w:rsid w:val="00E46169"/>
    <w:rsid w:val="00E46F6E"/>
    <w:rsid w:val="00E50B85"/>
    <w:rsid w:val="00E51B55"/>
    <w:rsid w:val="00E51E33"/>
    <w:rsid w:val="00E52F4E"/>
    <w:rsid w:val="00E5389A"/>
    <w:rsid w:val="00E53FA1"/>
    <w:rsid w:val="00E54845"/>
    <w:rsid w:val="00E54B8F"/>
    <w:rsid w:val="00E54EF7"/>
    <w:rsid w:val="00E55B96"/>
    <w:rsid w:val="00E56EE2"/>
    <w:rsid w:val="00E57112"/>
    <w:rsid w:val="00E57B47"/>
    <w:rsid w:val="00E6048B"/>
    <w:rsid w:val="00E617D3"/>
    <w:rsid w:val="00E61C1C"/>
    <w:rsid w:val="00E6221C"/>
    <w:rsid w:val="00E62A24"/>
    <w:rsid w:val="00E62FEC"/>
    <w:rsid w:val="00E63C2E"/>
    <w:rsid w:val="00E643C5"/>
    <w:rsid w:val="00E644B4"/>
    <w:rsid w:val="00E65581"/>
    <w:rsid w:val="00E6745B"/>
    <w:rsid w:val="00E67946"/>
    <w:rsid w:val="00E7254E"/>
    <w:rsid w:val="00E726CA"/>
    <w:rsid w:val="00E74D9B"/>
    <w:rsid w:val="00E77CB0"/>
    <w:rsid w:val="00E77F62"/>
    <w:rsid w:val="00E83584"/>
    <w:rsid w:val="00E837FA"/>
    <w:rsid w:val="00E83876"/>
    <w:rsid w:val="00E85876"/>
    <w:rsid w:val="00E86031"/>
    <w:rsid w:val="00E8747D"/>
    <w:rsid w:val="00E87F8A"/>
    <w:rsid w:val="00E90CC5"/>
    <w:rsid w:val="00E91D0E"/>
    <w:rsid w:val="00E924B8"/>
    <w:rsid w:val="00E928CF"/>
    <w:rsid w:val="00E92A6C"/>
    <w:rsid w:val="00E96E1A"/>
    <w:rsid w:val="00E976E3"/>
    <w:rsid w:val="00E97760"/>
    <w:rsid w:val="00EA13CF"/>
    <w:rsid w:val="00EA1A9D"/>
    <w:rsid w:val="00EA38DB"/>
    <w:rsid w:val="00EA3EEA"/>
    <w:rsid w:val="00EA5576"/>
    <w:rsid w:val="00EA6035"/>
    <w:rsid w:val="00EA6379"/>
    <w:rsid w:val="00EA6C21"/>
    <w:rsid w:val="00EA734B"/>
    <w:rsid w:val="00EA7AF6"/>
    <w:rsid w:val="00EB21E3"/>
    <w:rsid w:val="00EB2BC1"/>
    <w:rsid w:val="00EB401D"/>
    <w:rsid w:val="00EB5FC3"/>
    <w:rsid w:val="00EB6730"/>
    <w:rsid w:val="00EB6CB3"/>
    <w:rsid w:val="00EB6F3D"/>
    <w:rsid w:val="00EB737C"/>
    <w:rsid w:val="00EB7535"/>
    <w:rsid w:val="00EB7F0D"/>
    <w:rsid w:val="00EC0266"/>
    <w:rsid w:val="00EC047D"/>
    <w:rsid w:val="00EC0A59"/>
    <w:rsid w:val="00EC471B"/>
    <w:rsid w:val="00EC4C52"/>
    <w:rsid w:val="00EC59A0"/>
    <w:rsid w:val="00EC5E26"/>
    <w:rsid w:val="00EC61BB"/>
    <w:rsid w:val="00EC6F38"/>
    <w:rsid w:val="00EC6FC3"/>
    <w:rsid w:val="00EC7592"/>
    <w:rsid w:val="00ED0A9D"/>
    <w:rsid w:val="00ED1289"/>
    <w:rsid w:val="00ED1FDE"/>
    <w:rsid w:val="00ED3125"/>
    <w:rsid w:val="00ED3C4C"/>
    <w:rsid w:val="00ED79BC"/>
    <w:rsid w:val="00EE0053"/>
    <w:rsid w:val="00EE21DD"/>
    <w:rsid w:val="00EE2638"/>
    <w:rsid w:val="00EE2CFE"/>
    <w:rsid w:val="00EE3D13"/>
    <w:rsid w:val="00EE4372"/>
    <w:rsid w:val="00EE46F7"/>
    <w:rsid w:val="00EE686C"/>
    <w:rsid w:val="00EE690F"/>
    <w:rsid w:val="00EE6ED3"/>
    <w:rsid w:val="00EE6F84"/>
    <w:rsid w:val="00EE701D"/>
    <w:rsid w:val="00EE7524"/>
    <w:rsid w:val="00EF0004"/>
    <w:rsid w:val="00EF033F"/>
    <w:rsid w:val="00EF220B"/>
    <w:rsid w:val="00EF3960"/>
    <w:rsid w:val="00EF4A31"/>
    <w:rsid w:val="00EF4B0C"/>
    <w:rsid w:val="00EF6E7A"/>
    <w:rsid w:val="00EF710C"/>
    <w:rsid w:val="00EF73B2"/>
    <w:rsid w:val="00F002BF"/>
    <w:rsid w:val="00F005A8"/>
    <w:rsid w:val="00F02282"/>
    <w:rsid w:val="00F02BFF"/>
    <w:rsid w:val="00F04DE8"/>
    <w:rsid w:val="00F05A36"/>
    <w:rsid w:val="00F06E2F"/>
    <w:rsid w:val="00F07064"/>
    <w:rsid w:val="00F0735C"/>
    <w:rsid w:val="00F07705"/>
    <w:rsid w:val="00F07B79"/>
    <w:rsid w:val="00F07F3A"/>
    <w:rsid w:val="00F10353"/>
    <w:rsid w:val="00F121F5"/>
    <w:rsid w:val="00F139A7"/>
    <w:rsid w:val="00F13EE4"/>
    <w:rsid w:val="00F1441A"/>
    <w:rsid w:val="00F15A15"/>
    <w:rsid w:val="00F164E3"/>
    <w:rsid w:val="00F165FD"/>
    <w:rsid w:val="00F224F8"/>
    <w:rsid w:val="00F22A53"/>
    <w:rsid w:val="00F24537"/>
    <w:rsid w:val="00F24996"/>
    <w:rsid w:val="00F26793"/>
    <w:rsid w:val="00F26DBC"/>
    <w:rsid w:val="00F3180C"/>
    <w:rsid w:val="00F32E31"/>
    <w:rsid w:val="00F32F6C"/>
    <w:rsid w:val="00F33296"/>
    <w:rsid w:val="00F3482E"/>
    <w:rsid w:val="00F35489"/>
    <w:rsid w:val="00F35A87"/>
    <w:rsid w:val="00F40DCF"/>
    <w:rsid w:val="00F4210B"/>
    <w:rsid w:val="00F43209"/>
    <w:rsid w:val="00F44CB3"/>
    <w:rsid w:val="00F44FA9"/>
    <w:rsid w:val="00F4572B"/>
    <w:rsid w:val="00F50A00"/>
    <w:rsid w:val="00F51F8B"/>
    <w:rsid w:val="00F52276"/>
    <w:rsid w:val="00F53898"/>
    <w:rsid w:val="00F572F1"/>
    <w:rsid w:val="00F57996"/>
    <w:rsid w:val="00F60747"/>
    <w:rsid w:val="00F62D43"/>
    <w:rsid w:val="00F63EC0"/>
    <w:rsid w:val="00F651A0"/>
    <w:rsid w:val="00F651B4"/>
    <w:rsid w:val="00F65665"/>
    <w:rsid w:val="00F65755"/>
    <w:rsid w:val="00F65941"/>
    <w:rsid w:val="00F659AC"/>
    <w:rsid w:val="00F66CA2"/>
    <w:rsid w:val="00F66FC6"/>
    <w:rsid w:val="00F67265"/>
    <w:rsid w:val="00F67467"/>
    <w:rsid w:val="00F67A6A"/>
    <w:rsid w:val="00F705C8"/>
    <w:rsid w:val="00F7089D"/>
    <w:rsid w:val="00F726EE"/>
    <w:rsid w:val="00F72769"/>
    <w:rsid w:val="00F72D45"/>
    <w:rsid w:val="00F72D86"/>
    <w:rsid w:val="00F754E6"/>
    <w:rsid w:val="00F75F5F"/>
    <w:rsid w:val="00F76BF3"/>
    <w:rsid w:val="00F77697"/>
    <w:rsid w:val="00F77E24"/>
    <w:rsid w:val="00F810AB"/>
    <w:rsid w:val="00F81D7A"/>
    <w:rsid w:val="00F821F0"/>
    <w:rsid w:val="00F836B3"/>
    <w:rsid w:val="00F83D3D"/>
    <w:rsid w:val="00F85B58"/>
    <w:rsid w:val="00F86E1D"/>
    <w:rsid w:val="00F87ED7"/>
    <w:rsid w:val="00F87F94"/>
    <w:rsid w:val="00F907AA"/>
    <w:rsid w:val="00F90F46"/>
    <w:rsid w:val="00F9457E"/>
    <w:rsid w:val="00F9641E"/>
    <w:rsid w:val="00F9710D"/>
    <w:rsid w:val="00F97663"/>
    <w:rsid w:val="00FA1DB2"/>
    <w:rsid w:val="00FA4970"/>
    <w:rsid w:val="00FA6A3D"/>
    <w:rsid w:val="00FB0F57"/>
    <w:rsid w:val="00FB1EAC"/>
    <w:rsid w:val="00FB2349"/>
    <w:rsid w:val="00FB6017"/>
    <w:rsid w:val="00FB6403"/>
    <w:rsid w:val="00FC216E"/>
    <w:rsid w:val="00FC2DE4"/>
    <w:rsid w:val="00FC30BE"/>
    <w:rsid w:val="00FC4115"/>
    <w:rsid w:val="00FC4721"/>
    <w:rsid w:val="00FC48E8"/>
    <w:rsid w:val="00FC53A7"/>
    <w:rsid w:val="00FC53CC"/>
    <w:rsid w:val="00FC62E2"/>
    <w:rsid w:val="00FC6A77"/>
    <w:rsid w:val="00FC74DE"/>
    <w:rsid w:val="00FC7789"/>
    <w:rsid w:val="00FD11D1"/>
    <w:rsid w:val="00FD15A1"/>
    <w:rsid w:val="00FD2473"/>
    <w:rsid w:val="00FD2B41"/>
    <w:rsid w:val="00FD436F"/>
    <w:rsid w:val="00FD4A3B"/>
    <w:rsid w:val="00FD4C12"/>
    <w:rsid w:val="00FD52B5"/>
    <w:rsid w:val="00FD5A56"/>
    <w:rsid w:val="00FD5FD8"/>
    <w:rsid w:val="00FE0C56"/>
    <w:rsid w:val="00FE0D44"/>
    <w:rsid w:val="00FE150A"/>
    <w:rsid w:val="00FE185C"/>
    <w:rsid w:val="00FE289D"/>
    <w:rsid w:val="00FE2D90"/>
    <w:rsid w:val="00FE2DFC"/>
    <w:rsid w:val="00FE38AE"/>
    <w:rsid w:val="00FE5313"/>
    <w:rsid w:val="00FE6898"/>
    <w:rsid w:val="00FE6C44"/>
    <w:rsid w:val="00FE6CAC"/>
    <w:rsid w:val="00FE6D8A"/>
    <w:rsid w:val="00FE72DA"/>
    <w:rsid w:val="00FF1DAD"/>
    <w:rsid w:val="00FF21DC"/>
    <w:rsid w:val="00FF4AFC"/>
    <w:rsid w:val="00FF4E8C"/>
    <w:rsid w:val="00FF4F59"/>
    <w:rsid w:val="00FF5EC9"/>
    <w:rsid w:val="00FF6FFB"/>
    <w:rsid w:val="00FF7881"/>
    <w:rsid w:val="02960000"/>
    <w:rsid w:val="0886EF7A"/>
    <w:rsid w:val="0DEDA953"/>
    <w:rsid w:val="0F069B70"/>
    <w:rsid w:val="12EE3726"/>
    <w:rsid w:val="140743A4"/>
    <w:rsid w:val="170A6FC5"/>
    <w:rsid w:val="1C1DF46E"/>
    <w:rsid w:val="1E9D4DCF"/>
    <w:rsid w:val="1EDC5FC2"/>
    <w:rsid w:val="263836AA"/>
    <w:rsid w:val="34BE6DAE"/>
    <w:rsid w:val="3AD44ECD"/>
    <w:rsid w:val="3AFF16E8"/>
    <w:rsid w:val="3EE098B0"/>
    <w:rsid w:val="413AE531"/>
    <w:rsid w:val="44783017"/>
    <w:rsid w:val="4BA7214B"/>
    <w:rsid w:val="4EA21D4B"/>
    <w:rsid w:val="4F628682"/>
    <w:rsid w:val="503DEDAC"/>
    <w:rsid w:val="5288D8FA"/>
    <w:rsid w:val="5AA0E0F5"/>
    <w:rsid w:val="5D76A8DB"/>
    <w:rsid w:val="5F2B8189"/>
    <w:rsid w:val="61C943AB"/>
    <w:rsid w:val="61C9CAA9"/>
    <w:rsid w:val="6365140C"/>
    <w:rsid w:val="669CB4CE"/>
    <w:rsid w:val="6F740D13"/>
    <w:rsid w:val="73EE206C"/>
    <w:rsid w:val="76A4FC30"/>
    <w:rsid w:val="77400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C7BF"/>
  <w15:docId w15:val="{F3A54C3E-58EC-E244-816F-024CA4F9455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DA4"/>
    <w:rPr>
      <w:rFonts w:ascii="Palatino" w:hAnsi="Palatino"/>
      <w:sz w:val="26"/>
    </w:rPr>
  </w:style>
  <w:style w:type="paragraph" w:styleId="Heading1">
    <w:name w:val="heading 1"/>
    <w:basedOn w:val="Normal"/>
    <w:next w:val="standard"/>
    <w:qFormat/>
    <w:rsid w:val="009E7964"/>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6"/>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6"/>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4"/>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5"/>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iPriority w:val="99"/>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paragraph" w:customStyle="1" w:styleId="Default">
    <w:name w:val="Default"/>
    <w:rsid w:val="00A744E0"/>
    <w:pPr>
      <w:autoSpaceDE w:val="0"/>
      <w:autoSpaceDN w:val="0"/>
      <w:adjustRightInd w:val="0"/>
    </w:pPr>
    <w:rPr>
      <w:rFonts w:ascii="Book Antiqua" w:hAnsi="Book Antiqua" w:cs="Book Antiqua"/>
      <w:color w:val="000000"/>
      <w:sz w:val="24"/>
      <w:szCs w:val="24"/>
    </w:rPr>
  </w:style>
  <w:style w:type="character" w:customStyle="1" w:styleId="apple-converted-space">
    <w:name w:val="apple-converted-space"/>
    <w:basedOn w:val="DefaultParagraphFont"/>
    <w:rsid w:val="00935089"/>
  </w:style>
  <w:style w:type="character" w:customStyle="1" w:styleId="outlook-search-highlight">
    <w:name w:val="outlook-search-highlight"/>
    <w:basedOn w:val="DefaultParagraphFont"/>
    <w:rsid w:val="00935089"/>
  </w:style>
  <w:style w:type="table" w:styleId="TableGrid">
    <w:name w:val="Table Grid"/>
    <w:basedOn w:val="TableNormal"/>
    <w:rsid w:val="0022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F3B2B"/>
    <w:rPr>
      <w:sz w:val="16"/>
      <w:szCs w:val="16"/>
    </w:rPr>
  </w:style>
  <w:style w:type="paragraph" w:styleId="CommentText">
    <w:name w:val="annotation text"/>
    <w:basedOn w:val="Normal"/>
    <w:link w:val="CommentTextChar"/>
    <w:unhideWhenUsed/>
    <w:rsid w:val="00CF3B2B"/>
    <w:rPr>
      <w:sz w:val="20"/>
    </w:rPr>
  </w:style>
  <w:style w:type="character" w:customStyle="1" w:styleId="CommentTextChar">
    <w:name w:val="Comment Text Char"/>
    <w:basedOn w:val="DefaultParagraphFont"/>
    <w:link w:val="CommentText"/>
    <w:rsid w:val="00CF3B2B"/>
    <w:rPr>
      <w:rFonts w:ascii="Palatino" w:hAnsi="Palatino"/>
    </w:rPr>
  </w:style>
  <w:style w:type="paragraph" w:styleId="CommentSubject">
    <w:name w:val="annotation subject"/>
    <w:basedOn w:val="CommentText"/>
    <w:next w:val="CommentText"/>
    <w:link w:val="CommentSubjectChar"/>
    <w:semiHidden/>
    <w:unhideWhenUsed/>
    <w:rsid w:val="00CF3B2B"/>
    <w:rPr>
      <w:b/>
      <w:bCs/>
    </w:rPr>
  </w:style>
  <w:style w:type="character" w:customStyle="1" w:styleId="CommentSubjectChar">
    <w:name w:val="Comment Subject Char"/>
    <w:basedOn w:val="CommentTextChar"/>
    <w:link w:val="CommentSubject"/>
    <w:semiHidden/>
    <w:rsid w:val="00CF3B2B"/>
    <w:rPr>
      <w:rFonts w:ascii="Palatino" w:hAnsi="Palatino"/>
      <w:b/>
      <w:bCs/>
    </w:rPr>
  </w:style>
  <w:style w:type="character" w:customStyle="1" w:styleId="FootnoteTextChar">
    <w:name w:val="Footnote Text Char"/>
    <w:basedOn w:val="DefaultParagraphFont"/>
    <w:link w:val="FootnoteText"/>
    <w:uiPriority w:val="99"/>
    <w:semiHidden/>
    <w:rsid w:val="002C4DAD"/>
    <w:rPr>
      <w:rFonts w:ascii="Palatino" w:hAnsi="Palatino"/>
      <w:sz w:val="24"/>
    </w:rPr>
  </w:style>
  <w:style w:type="paragraph" w:styleId="Revision">
    <w:name w:val="Revision"/>
    <w:hidden/>
    <w:uiPriority w:val="99"/>
    <w:semiHidden/>
    <w:rsid w:val="00C320B8"/>
    <w:rPr>
      <w:rFonts w:ascii="Palatino" w:hAnsi="Palatino"/>
      <w:sz w:val="26"/>
    </w:rPr>
  </w:style>
  <w:style w:type="character" w:styleId="Mention">
    <w:name w:val="Mention"/>
    <w:basedOn w:val="DefaultParagraphFont"/>
    <w:uiPriority w:val="99"/>
    <w:unhideWhenUsed/>
    <w:rsid w:val="00C320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147720910">
      <w:bodyDiv w:val="1"/>
      <w:marLeft w:val="0"/>
      <w:marRight w:val="0"/>
      <w:marTop w:val="0"/>
      <w:marBottom w:val="0"/>
      <w:divBdr>
        <w:top w:val="none" w:sz="0" w:space="0" w:color="auto"/>
        <w:left w:val="none" w:sz="0" w:space="0" w:color="auto"/>
        <w:bottom w:val="none" w:sz="0" w:space="0" w:color="auto"/>
        <w:right w:val="none" w:sz="0" w:space="0" w:color="auto"/>
      </w:divBdr>
    </w:div>
    <w:div w:id="196479469">
      <w:bodyDiv w:val="1"/>
      <w:marLeft w:val="0"/>
      <w:marRight w:val="0"/>
      <w:marTop w:val="0"/>
      <w:marBottom w:val="0"/>
      <w:divBdr>
        <w:top w:val="none" w:sz="0" w:space="0" w:color="auto"/>
        <w:left w:val="none" w:sz="0" w:space="0" w:color="auto"/>
        <w:bottom w:val="none" w:sz="0" w:space="0" w:color="auto"/>
        <w:right w:val="none" w:sz="0" w:space="0" w:color="auto"/>
      </w:divBdr>
      <w:divsChild>
        <w:div w:id="1003510107">
          <w:marLeft w:val="0"/>
          <w:marRight w:val="0"/>
          <w:marTop w:val="0"/>
          <w:marBottom w:val="0"/>
          <w:divBdr>
            <w:top w:val="none" w:sz="0" w:space="0" w:color="auto"/>
            <w:left w:val="none" w:sz="0" w:space="0" w:color="auto"/>
            <w:bottom w:val="none" w:sz="0" w:space="0" w:color="auto"/>
            <w:right w:val="none" w:sz="0" w:space="0" w:color="auto"/>
          </w:divBdr>
          <w:divsChild>
            <w:div w:id="229657987">
              <w:marLeft w:val="0"/>
              <w:marRight w:val="0"/>
              <w:marTop w:val="0"/>
              <w:marBottom w:val="0"/>
              <w:divBdr>
                <w:top w:val="none" w:sz="0" w:space="0" w:color="auto"/>
                <w:left w:val="none" w:sz="0" w:space="0" w:color="auto"/>
                <w:bottom w:val="none" w:sz="0" w:space="0" w:color="auto"/>
                <w:right w:val="none" w:sz="0" w:space="0" w:color="auto"/>
              </w:divBdr>
              <w:divsChild>
                <w:div w:id="1411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743986877">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141769144">
      <w:bodyDiv w:val="1"/>
      <w:marLeft w:val="0"/>
      <w:marRight w:val="0"/>
      <w:marTop w:val="0"/>
      <w:marBottom w:val="0"/>
      <w:divBdr>
        <w:top w:val="none" w:sz="0" w:space="0" w:color="auto"/>
        <w:left w:val="none" w:sz="0" w:space="0" w:color="auto"/>
        <w:bottom w:val="none" w:sz="0" w:space="0" w:color="auto"/>
        <w:right w:val="none" w:sz="0" w:space="0" w:color="auto"/>
      </w:divBdr>
    </w:div>
    <w:div w:id="1280988335">
      <w:bodyDiv w:val="1"/>
      <w:marLeft w:val="0"/>
      <w:marRight w:val="0"/>
      <w:marTop w:val="0"/>
      <w:marBottom w:val="0"/>
      <w:divBdr>
        <w:top w:val="none" w:sz="0" w:space="0" w:color="auto"/>
        <w:left w:val="none" w:sz="0" w:space="0" w:color="auto"/>
        <w:bottom w:val="none" w:sz="0" w:space="0" w:color="auto"/>
        <w:right w:val="none" w:sz="0" w:space="0" w:color="auto"/>
      </w:divBdr>
    </w:div>
    <w:div w:id="2088728268">
      <w:bodyDiv w:val="1"/>
      <w:marLeft w:val="0"/>
      <w:marRight w:val="0"/>
      <w:marTop w:val="0"/>
      <w:marBottom w:val="0"/>
      <w:divBdr>
        <w:top w:val="none" w:sz="0" w:space="0" w:color="auto"/>
        <w:left w:val="none" w:sz="0" w:space="0" w:color="auto"/>
        <w:bottom w:val="none" w:sz="0" w:space="0" w:color="auto"/>
        <w:right w:val="none" w:sz="0" w:space="0" w:color="auto"/>
      </w:divBdr>
      <w:divsChild>
        <w:div w:id="884558733">
          <w:marLeft w:val="0"/>
          <w:marRight w:val="0"/>
          <w:marTop w:val="0"/>
          <w:marBottom w:val="0"/>
          <w:divBdr>
            <w:top w:val="none" w:sz="0" w:space="0" w:color="auto"/>
            <w:left w:val="none" w:sz="0" w:space="0" w:color="auto"/>
            <w:bottom w:val="none" w:sz="0" w:space="0" w:color="auto"/>
            <w:right w:val="none" w:sz="0" w:space="0" w:color="auto"/>
          </w:divBdr>
          <w:divsChild>
            <w:div w:id="1522235865">
              <w:marLeft w:val="0"/>
              <w:marRight w:val="0"/>
              <w:marTop w:val="0"/>
              <w:marBottom w:val="0"/>
              <w:divBdr>
                <w:top w:val="none" w:sz="0" w:space="0" w:color="auto"/>
                <w:left w:val="none" w:sz="0" w:space="0" w:color="auto"/>
                <w:bottom w:val="none" w:sz="0" w:space="0" w:color="auto"/>
                <w:right w:val="none" w:sz="0" w:space="0" w:color="auto"/>
              </w:divBdr>
              <w:divsChild>
                <w:div w:id="9999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therDivisionLeads xmlns="b2d2777c-a1f1-404e-80d5-4b6b735f5353">
      <UserInfo>
        <DisplayName/>
        <AccountId xsi:nil="true"/>
        <AccountType/>
      </UserInfo>
    </OtherDivisionLeads>
    <BCPLead_x0028_s_x0029_ xmlns="b2d2777c-a1f1-404e-80d5-4b6b735f5353">
      <UserInfo>
        <DisplayName/>
        <AccountId xsi:nil="true"/>
        <AccountType/>
      </UserInfo>
    </BCPLead_x0028_s_x0029_>
    <Positions xmlns="b2d2777c-a1f1-404e-80d5-4b6b735f5353" xsi:nil="true"/>
    <BCPName xmlns="b2d2777c-a1f1-404e-80d5-4b6b735f5353" xsi:nil="true"/>
    <DateSignedbyGovernor xmlns="b2d2777c-a1f1-404e-80d5-4b6b735f5353" xsi:nil="true"/>
    <TaxCatchAll xmlns="5294eb0b-0742-491f-921b-4c8fe009313f" xsi:nil="true"/>
    <lcf76f155ced4ddcb4097134ff3c332f xmlns="b2d2777c-a1f1-404e-80d5-4b6b735f53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20" ma:contentTypeDescription="Create a new document." ma:contentTypeScope="" ma:versionID="731e31069cdb62715729d76e2e40257d">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8c1dc81068d49f1c454182c23cecc95c"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BCPLead_x0028_s_x0029_" minOccurs="0"/>
                <xsd:element ref="ns2:BCPName" minOccurs="0"/>
                <xsd:element ref="ns2:Positions" minOccurs="0"/>
                <xsd:element ref="ns2:OtherDivisionLeads" minOccurs="0"/>
                <xsd:element ref="ns2:DateSignedbyGoverno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BCPLead_x0028_s_x0029_" ma:index="19" nillable="true" ma:displayName="ED Lead" ma:description="Energy Division lead for BCP" ma:format="Dropdown" ma:list="UserInfo" ma:SharePointGroup="0" ma:internalName="BCPLead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CPName" ma:index="20" nillable="true" ma:displayName="BCP Name" ma:format="Dropdown" ma:internalName="BCPName">
      <xsd:simpleType>
        <xsd:restriction base="dms:Text">
          <xsd:maxLength value="255"/>
        </xsd:restriction>
      </xsd:simpleType>
    </xsd:element>
    <xsd:element name="Positions" ma:index="21" nillable="true" ma:displayName="Positions" ma:format="Dropdown" ma:internalName="Positions">
      <xsd:simpleType>
        <xsd:restriction base="dms:Note">
          <xsd:maxLength value="255"/>
        </xsd:restriction>
      </xsd:simpleType>
    </xsd:element>
    <xsd:element name="OtherDivisionLeads" ma:index="22" nillable="true" ma:displayName="Other Lead(s)" ma:format="Dropdown" ma:list="UserInfo" ma:SharePointGroup="0" ma:internalName="OtherDivisionLead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SignedbyGovernor" ma:index="23" nillable="true" ma:displayName="Date Signed by Governor" ma:format="DateTime" ma:internalName="DateSignedbyGovernor">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86ee5c-bc1d-4224-b12b-34228e56b313}" ma:internalName="TaxCatchAll" ma:showField="CatchAllData" ma:web="5294eb0b-0742-491f-921b-4c8fe0093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customXml/itemProps2.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b2d2777c-a1f1-404e-80d5-4b6b735f5353"/>
    <ds:schemaRef ds:uri="5294eb0b-0742-491f-921b-4c8fe009313f"/>
  </ds:schemaRefs>
</ds:datastoreItem>
</file>

<file path=customXml/itemProps3.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4.xml><?xml version="1.0" encoding="utf-8"?>
<ds:datastoreItem xmlns:ds="http://schemas.openxmlformats.org/officeDocument/2006/customXml" ds:itemID="{007C1482-C327-4082-9D66-66197799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6328</ap:Words>
  <ap:Characters>36075</ap:Characters>
  <ap:Application>Microsoft Office Word</ap:Application>
  <ap:DocSecurity>0</ap:DocSecurity>
  <ap:Lines>300</ap:Lines>
  <ap:Paragraphs>84</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42319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2025-05-08T07:53:13Z</dcterms:created>
  <dcterms:modified xsi:type="dcterms:W3CDTF">2025-05-08T07:53:13Z</dcterms:modified>
</cp:coreProperties>
</file>