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Relationships xmlns="http://schemas.openxmlformats.org/package/2006/relationships"><Relationship Type="http://schemas.openxmlformats.org/officeDocument/2006/relationships/extended-properties" Target="docProps/app.xml" Id="rId3" /><Relationship Type="http://schemas.openxmlformats.org/package/2006/relationships/metadata/core-properties" Target="docProps/core.xml" Id="rId2" /><Relationship Type="http://schemas.openxmlformats.org/officeDocument/2006/relationships/officeDocument" Target="word/document.xml" Id="rId1"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B60421" w:rsidP="00440D0E" w:rsidRDefault="00A920D5" w14:paraId="0917BA29" w14:textId="6C36D9ED">
      <w:pPr>
        <w:tabs>
          <w:tab w:val="center" w:pos="4410"/>
          <w:tab w:val="right" w:pos="9360"/>
        </w:tabs>
        <w:spacing w:line="240" w:lineRule="auto"/>
        <w:ind w:firstLine="0"/>
      </w:pPr>
      <w:r>
        <w:t>COM/MBK/jnf</w:t>
      </w:r>
      <w:r w:rsidR="007E0FEE">
        <w:tab/>
      </w:r>
      <w:r w:rsidRPr="00440D0E" w:rsidR="00DA7B5D">
        <w:rPr>
          <w:rFonts w:ascii="Arial" w:hAnsi="Arial" w:cs="Arial"/>
          <w:b/>
          <w:szCs w:val="26"/>
        </w:rPr>
        <w:t>PROPOSED DECISION</w:t>
      </w:r>
      <w:r w:rsidR="00DA7B5D">
        <w:tab/>
      </w:r>
      <w:r w:rsidRPr="00EE4315" w:rsidR="00DA7B5D">
        <w:rPr>
          <w:b/>
        </w:rPr>
        <w:t>Agenda ID #</w:t>
      </w:r>
      <w:r w:rsidR="003D6D98">
        <w:rPr>
          <w:b/>
        </w:rPr>
        <w:t>23418</w:t>
      </w:r>
      <w:r w:rsidR="00440D0E">
        <w:rPr>
          <w:b/>
        </w:rPr>
        <w:t xml:space="preserve"> (Rev. 1)</w:t>
      </w:r>
    </w:p>
    <w:p w:rsidRPr="00EE4315" w:rsidR="00DA7B5D" w:rsidP="009B27AF" w:rsidRDefault="009B27AF" w14:paraId="6E4D7E00" w14:textId="002DAC26">
      <w:pPr>
        <w:spacing w:line="240" w:lineRule="auto"/>
        <w:jc w:val="right"/>
        <w:rPr>
          <w:b/>
        </w:rPr>
      </w:pPr>
      <w:r>
        <w:rPr>
          <w:b/>
        </w:rPr>
        <w:t>Quasi-Legislative</w:t>
      </w:r>
    </w:p>
    <w:p w:rsidR="00DA7B5D" w:rsidP="00440D0E" w:rsidRDefault="00440D0E" w14:paraId="2DE7AE4D" w14:textId="7016BB52">
      <w:pPr>
        <w:spacing w:line="240" w:lineRule="auto"/>
        <w:ind w:firstLine="0"/>
        <w:jc w:val="right"/>
        <w:rPr>
          <w:b/>
          <w:bCs/>
        </w:rPr>
      </w:pPr>
      <w:r>
        <w:rPr>
          <w:b/>
          <w:bCs/>
        </w:rPr>
        <w:t>5/15/2025 Item #11</w:t>
      </w:r>
    </w:p>
    <w:p w:rsidRPr="00440D0E" w:rsidR="00440D0E" w:rsidP="00440D0E" w:rsidRDefault="00440D0E" w14:paraId="1DD2E1E7" w14:textId="77777777">
      <w:pPr>
        <w:ind w:firstLine="0"/>
        <w:jc w:val="right"/>
        <w:rPr>
          <w:b/>
          <w:bCs/>
        </w:rPr>
      </w:pPr>
    </w:p>
    <w:p w:rsidRPr="009B27AF" w:rsidR="00DA7B5D" w:rsidP="009B27AF" w:rsidRDefault="00DA7B5D" w14:paraId="2C1693D2" w14:textId="3A9F266F">
      <w:pPr>
        <w:spacing w:line="240" w:lineRule="auto"/>
        <w:ind w:left="1080" w:hanging="1080"/>
      </w:pPr>
      <w:r>
        <w:t>Decision</w:t>
      </w:r>
      <w:r w:rsidR="00A920D5">
        <w:t> </w:t>
      </w:r>
      <w:r w:rsidR="00A920D5">
        <w:rPr>
          <w:b/>
          <w:bCs/>
          <w:u w:val="single"/>
        </w:rPr>
        <w:t xml:space="preserve">PROPOSED DECISION OF COMMISSIONER </w:t>
      </w:r>
      <w:r w:rsidR="009B27AF">
        <w:rPr>
          <w:b/>
          <w:bCs/>
          <w:u w:val="single"/>
        </w:rPr>
        <w:t>BAKER</w:t>
      </w:r>
      <w:r w:rsidR="009B27AF">
        <w:rPr>
          <w:b/>
          <w:bCs/>
          <w:u w:val="single"/>
        </w:rPr>
        <w:br/>
      </w:r>
      <w:r w:rsidR="009B27AF">
        <w:rPr>
          <w:b/>
          <w:bCs/>
        </w:rPr>
        <w:t xml:space="preserve">(Mailed </w:t>
      </w:r>
      <w:r w:rsidR="00463CB3">
        <w:rPr>
          <w:b/>
          <w:bCs/>
        </w:rPr>
        <w:t>4/9/2025</w:t>
      </w:r>
      <w:r w:rsidR="009B27AF">
        <w:rPr>
          <w:b/>
          <w:bCs/>
        </w:rPr>
        <w:t>)</w:t>
      </w:r>
    </w:p>
    <w:p w:rsidR="00DA7B5D" w:rsidP="009B27AF" w:rsidRDefault="00DA7B5D" w14:paraId="79319C94" w14:textId="77777777">
      <w:pPr>
        <w:ind w:firstLine="0"/>
        <w:rPr>
          <w:u w:val="single"/>
        </w:rPr>
      </w:pPr>
    </w:p>
    <w:p w:rsidR="00DA7B5D" w:rsidP="00BB0243" w:rsidRDefault="00DA7B5D" w14:paraId="7F50C9EE" w14:textId="77777777">
      <w:pPr>
        <w:spacing w:line="240" w:lineRule="auto"/>
        <w:ind w:firstLine="0"/>
        <w:jc w:val="center"/>
        <w:rPr>
          <w:rFonts w:ascii="Arial" w:hAnsi="Arial" w:cs="Arial"/>
          <w:sz w:val="24"/>
          <w:szCs w:val="24"/>
        </w:rPr>
      </w:pPr>
      <w:r w:rsidRPr="00DA7B5D">
        <w:rPr>
          <w:rFonts w:ascii="Arial" w:hAnsi="Arial" w:cs="Arial"/>
          <w:b/>
          <w:sz w:val="24"/>
          <w:szCs w:val="24"/>
        </w:rPr>
        <w:t>BEFORE THE PUBLIC UTILITIES COMMISSION OF THE STATE OF CALIFORNIA</w:t>
      </w:r>
    </w:p>
    <w:p w:rsidR="00DA7B5D" w:rsidP="008F0116" w:rsidRDefault="00DA7B5D" w14:paraId="595FAC84" w14:textId="77777777">
      <w:pPr>
        <w:spacing w:line="240" w:lineRule="auto"/>
        <w:ind w:firstLine="0"/>
        <w:rPr>
          <w:rFonts w:ascii="Arial" w:hAnsi="Arial" w:cs="Arial"/>
          <w:sz w:val="24"/>
          <w:szCs w:val="24"/>
        </w:rPr>
      </w:pPr>
    </w:p>
    <w:tbl>
      <w:tblPr>
        <w:tblStyle w:val="TableGrid"/>
        <w:tblW w:w="9360" w:type="dxa"/>
        <w:jc w:val="center"/>
        <w:tblLayout w:type="fixed"/>
        <w:tblLook w:val="04A0" w:firstRow="1" w:lastRow="0" w:firstColumn="1" w:lastColumn="0" w:noHBand="0" w:noVBand="1"/>
      </w:tblPr>
      <w:tblGrid>
        <w:gridCol w:w="4680"/>
        <w:gridCol w:w="4680"/>
      </w:tblGrid>
      <w:tr w:rsidR="00DA7B5D" w:rsidTr="00E725FC" w14:paraId="7B27BB4B" w14:textId="77777777">
        <w:trPr>
          <w:jc w:val="center"/>
        </w:trPr>
        <w:tc>
          <w:tcPr>
            <w:tcW w:w="5040" w:type="dxa"/>
            <w:tcBorders>
              <w:top w:val="nil"/>
              <w:left w:val="nil"/>
              <w:bottom w:val="single" w:color="auto" w:sz="4" w:space="0"/>
              <w:right w:val="single" w:color="auto" w:sz="4" w:space="0"/>
            </w:tcBorders>
          </w:tcPr>
          <w:p w:rsidRPr="00DA7B5D" w:rsidR="00DA7B5D" w:rsidP="00C10B5F" w:rsidRDefault="009B27AF" w14:paraId="466A23F0" w14:textId="27EA3F24">
            <w:pPr>
              <w:spacing w:line="240" w:lineRule="auto"/>
              <w:ind w:firstLine="0"/>
              <w:rPr>
                <w:rFonts w:cs="Arial"/>
                <w:szCs w:val="26"/>
              </w:rPr>
            </w:pPr>
            <w:r w:rsidRPr="009B27AF">
              <w:rPr>
                <w:rFonts w:cs="Arial"/>
                <w:szCs w:val="26"/>
              </w:rPr>
              <w:t>Order Instituting Rulemaking on Regulations Relating to Passenger Carriers, Ridesharing, and New Online-Enabled Transportation Services.</w:t>
            </w:r>
            <w:r w:rsidRPr="00DA7B5D" w:rsidR="00DA7B5D">
              <w:rPr>
                <w:rFonts w:cs="Arial"/>
                <w:szCs w:val="26"/>
              </w:rPr>
              <w:br/>
            </w:r>
          </w:p>
        </w:tc>
        <w:tc>
          <w:tcPr>
            <w:tcW w:w="5040" w:type="dxa"/>
            <w:tcBorders>
              <w:top w:val="nil"/>
              <w:left w:val="single" w:color="auto" w:sz="4" w:space="0"/>
              <w:bottom w:val="nil"/>
              <w:right w:val="nil"/>
            </w:tcBorders>
            <w:vAlign w:val="center"/>
          </w:tcPr>
          <w:p w:rsidRPr="00DA7B5D" w:rsidR="00DA7B5D" w:rsidP="00412C83" w:rsidRDefault="00F1251E" w14:paraId="70F17BD0" w14:textId="62C9D984">
            <w:pPr>
              <w:spacing w:line="240" w:lineRule="auto"/>
              <w:ind w:firstLine="0"/>
              <w:jc w:val="center"/>
              <w:rPr>
                <w:rFonts w:cs="Arial"/>
                <w:szCs w:val="26"/>
              </w:rPr>
            </w:pPr>
            <w:r>
              <w:rPr>
                <w:rFonts w:cs="Arial"/>
                <w:szCs w:val="26"/>
              </w:rPr>
              <w:t>Rulemaking</w:t>
            </w:r>
            <w:r w:rsidR="00A920D5">
              <w:rPr>
                <w:rFonts w:cs="Arial"/>
                <w:szCs w:val="26"/>
              </w:rPr>
              <w:t> </w:t>
            </w:r>
            <w:r>
              <w:rPr>
                <w:rFonts w:cs="Arial"/>
                <w:szCs w:val="26"/>
              </w:rPr>
              <w:t>12-12-011</w:t>
            </w:r>
          </w:p>
        </w:tc>
      </w:tr>
    </w:tbl>
    <w:p w:rsidR="00DA7B5D" w:rsidP="008F0116" w:rsidRDefault="00DA7B5D" w14:paraId="3E491944" w14:textId="77777777">
      <w:pPr>
        <w:spacing w:line="240" w:lineRule="auto"/>
        <w:ind w:firstLine="0"/>
        <w:rPr>
          <w:rFonts w:ascii="Arial" w:hAnsi="Arial" w:cs="Arial"/>
          <w:sz w:val="24"/>
          <w:szCs w:val="24"/>
        </w:rPr>
      </w:pPr>
    </w:p>
    <w:p w:rsidR="00DA7B5D" w:rsidP="008F0116" w:rsidRDefault="00DA7B5D" w14:paraId="155B2AA2" w14:textId="77777777">
      <w:pPr>
        <w:spacing w:line="240" w:lineRule="auto"/>
        <w:ind w:firstLine="0"/>
        <w:rPr>
          <w:rFonts w:ascii="Arial" w:hAnsi="Arial" w:cs="Arial"/>
          <w:sz w:val="24"/>
          <w:szCs w:val="24"/>
        </w:rPr>
      </w:pPr>
    </w:p>
    <w:p w:rsidR="0098655A" w:rsidP="009B27AF" w:rsidRDefault="00F1251E" w14:paraId="66D64BE7" w14:textId="6A0AFAF3">
      <w:pPr>
        <w:pStyle w:val="Dummy"/>
        <w:spacing w:after="360"/>
        <w:jc w:val="center"/>
      </w:pPr>
      <w:bookmarkStart w:name="_Toc193873921" w:id="0"/>
      <w:r>
        <w:t>DECISION FOLLOWING LIMITED REHEARING OF</w:t>
      </w:r>
      <w:r w:rsidR="009B27AF">
        <w:br/>
      </w:r>
      <w:r w:rsidRPr="00A920D5">
        <w:t>DECISION</w:t>
      </w:r>
      <w:r w:rsidRPr="00A920D5" w:rsidR="00A920D5">
        <w:t> </w:t>
      </w:r>
      <w:r w:rsidRPr="00A920D5">
        <w:t>23</w:t>
      </w:r>
      <w:r w:rsidRPr="00A920D5" w:rsidR="00A920D5">
        <w:noBreakHyphen/>
      </w:r>
      <w:r w:rsidRPr="00A920D5">
        <w:t>12</w:t>
      </w:r>
      <w:r w:rsidRPr="00A920D5" w:rsidR="00A920D5">
        <w:noBreakHyphen/>
      </w:r>
      <w:r w:rsidRPr="00A920D5">
        <w:t>015</w:t>
      </w:r>
      <w:bookmarkEnd w:id="0"/>
      <w:r w:rsidR="00A920D5">
        <w:t xml:space="preserve"> </w:t>
      </w:r>
    </w:p>
    <w:p w:rsidR="005A148C" w:rsidP="00A920D5" w:rsidRDefault="005A148C" w14:paraId="462AD8D9" w14:textId="77777777">
      <w:pPr>
        <w:pStyle w:val="Dummy"/>
      </w:pPr>
      <w:bookmarkStart w:name="_Toc8123714" w:id="1"/>
      <w:bookmarkStart w:name="_Toc193873922" w:id="2"/>
      <w:r>
        <w:t>Summary</w:t>
      </w:r>
      <w:bookmarkEnd w:id="1"/>
      <w:bookmarkEnd w:id="2"/>
    </w:p>
    <w:p w:rsidR="009B27AF" w:rsidP="009B27AF" w:rsidRDefault="007B02E2" w14:paraId="75299C6C" w14:textId="3A75A5CF">
      <w:pPr>
        <w:pStyle w:val="Standard"/>
        <w:sectPr w:rsidR="009B27AF" w:rsidSect="00A920D5">
          <w:footerReference w:type="default" r:id="rId11"/>
          <w:pgSz w:w="12240" w:h="15840"/>
          <w:pgMar w:top="1728" w:right="1440" w:bottom="1440" w:left="1440" w:header="720" w:footer="720" w:gutter="0"/>
          <w:pgNumType w:start="1"/>
          <w:cols w:space="720"/>
          <w:docGrid w:linePitch="360"/>
        </w:sectPr>
      </w:pPr>
      <w:r>
        <w:t>Decision 24-10-034 granted limited rehearing of Decision 23-12-015 on the issue of whether Lyft, Inc.’s</w:t>
      </w:r>
      <w:r w:rsidR="00573C93">
        <w:t xml:space="preserve"> (Lyft’s)</w:t>
      </w:r>
      <w:r>
        <w:t xml:space="preserve"> trip data contained in its </w:t>
      </w:r>
      <w:r w:rsidR="00AD4A9E">
        <w:t xml:space="preserve">2014-2019 </w:t>
      </w:r>
      <w:r>
        <w:t>Annual Reports continue</w:t>
      </w:r>
      <w:r w:rsidR="007F30D7">
        <w:t>s</w:t>
      </w:r>
      <w:r>
        <w:t xml:space="preserve"> to have independent economic value to support a trade secret claim </w:t>
      </w:r>
      <w:r w:rsidR="007F30D7">
        <w:t>considering</w:t>
      </w:r>
      <w:r>
        <w:t xml:space="preserve"> the data’s age.</w:t>
      </w:r>
      <w:r w:rsidR="007F30D7">
        <w:t xml:space="preserve"> </w:t>
      </w:r>
      <w:r w:rsidR="00831CEB">
        <w:t xml:space="preserve"> </w:t>
      </w:r>
      <w:r>
        <w:t xml:space="preserve">Based on the record presented </w:t>
      </w:r>
      <w:r w:rsidR="00CE1200">
        <w:t xml:space="preserve">during the limited </w:t>
      </w:r>
      <w:r>
        <w:t>rehearing, Lyft</w:t>
      </w:r>
      <w:r w:rsidR="00573C93">
        <w:t xml:space="preserve"> </w:t>
      </w:r>
      <w:r>
        <w:t xml:space="preserve">has met its burden of demonstrating that the trip data for 2014-2019 still has independent economic value. </w:t>
      </w:r>
      <w:r w:rsidR="005C7A86">
        <w:t xml:space="preserve"> </w:t>
      </w:r>
      <w:r w:rsidR="00CE1200">
        <w:t>However, a</w:t>
      </w:r>
      <w:r>
        <w:t xml:space="preserve"> trade secret claim, even if established, is not an absolute privilege</w:t>
      </w:r>
      <w:r w:rsidR="00D65DD3">
        <w:t>, therefore</w:t>
      </w:r>
      <w:r>
        <w:t xml:space="preserve"> Lyft’s trip data</w:t>
      </w:r>
      <w:r w:rsidR="00261963">
        <w:t xml:space="preserve"> for 2014-2019</w:t>
      </w:r>
      <w:r>
        <w:t xml:space="preserve"> must be made public </w:t>
      </w:r>
      <w:r w:rsidR="007F30D7">
        <w:t xml:space="preserve">(with the restrictions </w:t>
      </w:r>
      <w:r w:rsidR="00CE1200">
        <w:t>previously established</w:t>
      </w:r>
      <w:r w:rsidR="007F30D7">
        <w:t xml:space="preserve">) because the </w:t>
      </w:r>
      <w:r w:rsidR="002E6CD2">
        <w:t xml:space="preserve">Commission has determined that the </w:t>
      </w:r>
      <w:r w:rsidR="007F30D7">
        <w:t>public interest in obtaining access to the trip data outweighs Lyft’</w:t>
      </w:r>
      <w:r w:rsidR="008714B6">
        <w:t>s</w:t>
      </w:r>
      <w:r w:rsidR="007F30D7">
        <w:t xml:space="preserve"> trade secret </w:t>
      </w:r>
      <w:r w:rsidR="009B27AF">
        <w:t>claim.</w:t>
      </w:r>
    </w:p>
    <w:p w:rsidR="002C7FE9" w:rsidP="00831CEB" w:rsidRDefault="002C7FE9" w14:paraId="58BA8909" w14:textId="088B7118">
      <w:pPr>
        <w:pStyle w:val="Heading1"/>
      </w:pPr>
      <w:bookmarkStart w:name="_Toc8123715" w:id="3"/>
      <w:bookmarkStart w:name="_Toc193873923" w:id="4"/>
      <w:r w:rsidRPr="00121089">
        <w:lastRenderedPageBreak/>
        <w:t>Background</w:t>
      </w:r>
      <w:bookmarkEnd w:id="3"/>
      <w:bookmarkEnd w:id="4"/>
    </w:p>
    <w:p w:rsidR="0063491C" w:rsidP="00831CEB" w:rsidRDefault="0063491C" w14:paraId="07280779" w14:textId="77777777">
      <w:pPr>
        <w:pStyle w:val="Heading2"/>
      </w:pPr>
      <w:bookmarkStart w:name="_Toc8123716" w:id="5"/>
      <w:bookmarkStart w:name="_Toc193873924" w:id="6"/>
      <w:r>
        <w:t>Factual Background</w:t>
      </w:r>
      <w:bookmarkEnd w:id="5"/>
      <w:bookmarkEnd w:id="6"/>
    </w:p>
    <w:p w:rsidR="005D5281" w:rsidP="008F679F" w:rsidRDefault="005D5281" w14:paraId="3C60C3C1" w14:textId="7E51AAA7">
      <w:pPr>
        <w:pStyle w:val="Standard"/>
      </w:pPr>
      <w:r>
        <w:t>Ever since the Commission adopted D.20-03-014 and eliminated</w:t>
      </w:r>
      <w:r w:rsidR="006D67B3">
        <w:t>, prospectively,</w:t>
      </w:r>
      <w:r>
        <w:t xml:space="preserve"> the presumption of confidentiality for trip data that </w:t>
      </w:r>
      <w:r w:rsidR="00EF1820">
        <w:t xml:space="preserve">had </w:t>
      </w:r>
      <w:r>
        <w:t xml:space="preserve">previously been </w:t>
      </w:r>
      <w:r w:rsidR="00EF1820">
        <w:t>created</w:t>
      </w:r>
      <w:r>
        <w:t xml:space="preserve"> by D.13-09-045, fn. 42, it became </w:t>
      </w:r>
      <w:r w:rsidR="00D65DD3">
        <w:t xml:space="preserve">necessary </w:t>
      </w:r>
      <w:r w:rsidR="00425DF7">
        <w:t>f</w:t>
      </w:r>
      <w:r>
        <w:t>o</w:t>
      </w:r>
      <w:r w:rsidR="00425DF7">
        <w:t>r</w:t>
      </w:r>
      <w:r>
        <w:t xml:space="preserve"> a </w:t>
      </w:r>
      <w:r w:rsidR="006120E0">
        <w:t>Transportation Network Company (</w:t>
      </w:r>
      <w:r>
        <w:t>TNC</w:t>
      </w:r>
      <w:r w:rsidR="006120E0">
        <w:t>)</w:t>
      </w:r>
      <w:r>
        <w:t xml:space="preserve"> seeking to shield the trip data in its Annual Report from public disclosure on either confidentiality or privacy grounds to make the necessary granular factual showing to substantiate th</w:t>
      </w:r>
      <w:r w:rsidR="00527C28">
        <w:t>e</w:t>
      </w:r>
      <w:r>
        <w:t xml:space="preserve"> claim</w:t>
      </w:r>
      <w:r w:rsidR="00527C28">
        <w:t>(s)</w:t>
      </w:r>
      <w:r>
        <w:t xml:space="preserve">. </w:t>
      </w:r>
      <w:r w:rsidR="008714B6">
        <w:t xml:space="preserve"> </w:t>
      </w:r>
      <w:r>
        <w:t xml:space="preserve">Since then, TNCs </w:t>
      </w:r>
      <w:r w:rsidR="0005561F">
        <w:t>have</w:t>
      </w:r>
      <w:r>
        <w:t xml:space="preserve"> file</w:t>
      </w:r>
      <w:r w:rsidR="0005561F">
        <w:t>d</w:t>
      </w:r>
      <w:r>
        <w:t xml:space="preserve"> motions </w:t>
      </w:r>
      <w:r w:rsidR="00EC1F8D">
        <w:t xml:space="preserve">each year </w:t>
      </w:r>
      <w:r>
        <w:t xml:space="preserve">for confidential treatment of their trip data </w:t>
      </w:r>
      <w:r w:rsidR="008B7538">
        <w:t>on the grounds</w:t>
      </w:r>
      <w:r>
        <w:t xml:space="preserve"> that their trip data was exempt from public disclosure on trade secret and privacy grounds.</w:t>
      </w:r>
      <w:r w:rsidR="00811BA8">
        <w:rPr>
          <w:rStyle w:val="FootnoteReference"/>
        </w:rPr>
        <w:footnoteReference w:id="2"/>
      </w:r>
      <w:r>
        <w:t xml:space="preserve"> </w:t>
      </w:r>
      <w:r w:rsidR="008714B6">
        <w:t xml:space="preserve"> </w:t>
      </w:r>
      <w:r w:rsidR="00C4129C">
        <w:t>The Commission has addressed a number of these motions by way o</w:t>
      </w:r>
      <w:r w:rsidR="00B71B96">
        <w:t>f</w:t>
      </w:r>
      <w:r w:rsidR="00C4129C">
        <w:t xml:space="preserve"> rulings and decisions.</w:t>
      </w:r>
      <w:r w:rsidR="008D2E06">
        <w:rPr>
          <w:rStyle w:val="FootnoteReference"/>
        </w:rPr>
        <w:footnoteReference w:id="3"/>
      </w:r>
    </w:p>
    <w:p w:rsidR="003305C8" w:rsidP="003305C8" w:rsidRDefault="003305C8" w14:paraId="135A83CB" w14:textId="33E00D03">
      <w:pPr>
        <w:pStyle w:val="Heading2"/>
      </w:pPr>
      <w:bookmarkStart w:name="_Toc193873925" w:id="7"/>
      <w:r>
        <w:t>Procedural Background</w:t>
      </w:r>
      <w:bookmarkEnd w:id="7"/>
    </w:p>
    <w:p w:rsidR="007F1101" w:rsidP="006E6574" w:rsidRDefault="004F1955" w14:paraId="37A4BFBF" w14:textId="1E776D5E">
      <w:pPr>
        <w:pStyle w:val="Standard"/>
      </w:pPr>
      <w:r>
        <w:t>On December 15, 2023, the C</w:t>
      </w:r>
      <w:r w:rsidR="00591CAA">
        <w:t xml:space="preserve">ommission </w:t>
      </w:r>
      <w:r w:rsidR="00A6788C">
        <w:t xml:space="preserve">issued </w:t>
      </w:r>
      <w:r w:rsidR="00591CAA">
        <w:t>D.23-12-015</w:t>
      </w:r>
      <w:r w:rsidR="007B3927">
        <w:t xml:space="preserve"> </w:t>
      </w:r>
      <w:r w:rsidR="00A6788C">
        <w:t>which</w:t>
      </w:r>
      <w:r w:rsidR="007B3927">
        <w:t xml:space="preserve"> terminated the presumption </w:t>
      </w:r>
      <w:r w:rsidR="00E25853">
        <w:t xml:space="preserve">of confidentiality for the trip data in the 2014-2019 Annual Reports and </w:t>
      </w:r>
      <w:r w:rsidR="00FB5DA2">
        <w:t xml:space="preserve">ordered </w:t>
      </w:r>
      <w:r w:rsidR="00E25853">
        <w:t xml:space="preserve">that this information </w:t>
      </w:r>
      <w:r w:rsidR="00B040DA">
        <w:t>be</w:t>
      </w:r>
      <w:r w:rsidR="00F126FC">
        <w:t xml:space="preserve"> made publicly available with limited redactions</w:t>
      </w:r>
      <w:r w:rsidR="002F3A38">
        <w:t xml:space="preserve"> based on privacy grounds, </w:t>
      </w:r>
      <w:r w:rsidR="00D16B66">
        <w:t>a</w:t>
      </w:r>
      <w:r w:rsidR="0060084D">
        <w:t>nd</w:t>
      </w:r>
      <w:r w:rsidR="006D239B">
        <w:t xml:space="preserve"> </w:t>
      </w:r>
      <w:r w:rsidR="002F3A38">
        <w:t>with some trip data being provided in aggregated form</w:t>
      </w:r>
      <w:r w:rsidR="00B040DA">
        <w:t xml:space="preserve">. </w:t>
      </w:r>
      <w:r w:rsidR="008714B6">
        <w:t xml:space="preserve"> </w:t>
      </w:r>
      <w:r w:rsidR="00B040DA">
        <w:t>TNC</w:t>
      </w:r>
      <w:r w:rsidR="00B72FDF">
        <w:t>s</w:t>
      </w:r>
      <w:r w:rsidR="00B040DA">
        <w:t xml:space="preserve"> were ordered to submit </w:t>
      </w:r>
      <w:r w:rsidR="000233E4">
        <w:t xml:space="preserve">their Annual </w:t>
      </w:r>
      <w:r w:rsidR="000233E4">
        <w:lastRenderedPageBreak/>
        <w:t>Reports for 2014-2019 to the Commission in accordance with the disclosure and redaction templates attached to D.</w:t>
      </w:r>
      <w:r w:rsidR="00704357">
        <w:t xml:space="preserve">23-12-015 as </w:t>
      </w:r>
      <w:r w:rsidR="0060084D">
        <w:t>A</w:t>
      </w:r>
      <w:r w:rsidR="00704357">
        <w:t>ppendices A through U</w:t>
      </w:r>
      <w:r w:rsidR="00621A1A">
        <w:t>.</w:t>
      </w:r>
    </w:p>
    <w:p w:rsidR="000A4C45" w:rsidP="006E6574" w:rsidRDefault="002048EE" w14:paraId="4CC4C87E" w14:textId="137CA3BB">
      <w:pPr>
        <w:pStyle w:val="Standard"/>
      </w:pPr>
      <w:r>
        <w:t>On January 16, 2024, Lyft</w:t>
      </w:r>
      <w:r w:rsidR="00CE1200">
        <w:t>, Inc. (Lyft)</w:t>
      </w:r>
      <w:r>
        <w:t xml:space="preserve"> filed an </w:t>
      </w:r>
      <w:r w:rsidRPr="00EC0AD4" w:rsidR="00EC0AD4">
        <w:rPr>
          <w:i/>
          <w:iCs/>
        </w:rPr>
        <w:t>A</w:t>
      </w:r>
      <w:r w:rsidRPr="00EC0AD4">
        <w:rPr>
          <w:i/>
          <w:iCs/>
        </w:rPr>
        <w:t xml:space="preserve">pplication for </w:t>
      </w:r>
      <w:r w:rsidRPr="00EC0AD4" w:rsidR="00AE53EB">
        <w:rPr>
          <w:i/>
          <w:iCs/>
        </w:rPr>
        <w:t>R</w:t>
      </w:r>
      <w:r w:rsidRPr="00EC0AD4">
        <w:rPr>
          <w:i/>
          <w:iCs/>
        </w:rPr>
        <w:t>ehearing</w:t>
      </w:r>
      <w:r>
        <w:t xml:space="preserve"> </w:t>
      </w:r>
      <w:r w:rsidRPr="00A02DB1">
        <w:rPr>
          <w:i/>
          <w:iCs/>
        </w:rPr>
        <w:t>of D.23-12-015</w:t>
      </w:r>
      <w:r w:rsidR="00A9230B">
        <w:t xml:space="preserve"> and alleged, </w:t>
      </w:r>
      <w:r w:rsidRPr="009930B4" w:rsidR="00A9230B">
        <w:rPr>
          <w:i/>
          <w:iCs/>
        </w:rPr>
        <w:t>inter alia</w:t>
      </w:r>
      <w:r w:rsidR="00A9230B">
        <w:t xml:space="preserve">, that the decision erred when it found that Lyft failed to establish </w:t>
      </w:r>
      <w:r w:rsidR="004C7058">
        <w:t>that the trip data for 2014-2019 had independent economic value.</w:t>
      </w:r>
      <w:r w:rsidR="00587640">
        <w:rPr>
          <w:rStyle w:val="FootnoteReference"/>
        </w:rPr>
        <w:footnoteReference w:id="4"/>
      </w:r>
      <w:r w:rsidR="004C7058">
        <w:t xml:space="preserve"> </w:t>
      </w:r>
    </w:p>
    <w:p w:rsidR="0045266B" w:rsidP="006E6574" w:rsidRDefault="001E31F1" w14:paraId="051E5CD7" w14:textId="7E8C6BFA">
      <w:pPr>
        <w:pStyle w:val="Standard"/>
      </w:pPr>
      <w:r>
        <w:t xml:space="preserve">On </w:t>
      </w:r>
      <w:r w:rsidR="0019097C">
        <w:t>October 22, 2024, the Commission issued D.24-10-034</w:t>
      </w:r>
      <w:r w:rsidR="00B72FDF">
        <w:t xml:space="preserve"> which modified portions of</w:t>
      </w:r>
      <w:r w:rsidR="00FF0D57">
        <w:t xml:space="preserve"> D.23-12-015, </w:t>
      </w:r>
      <w:r w:rsidR="00AB6D2D">
        <w:t xml:space="preserve">rejected the majority of the issues that Lyft had raised, </w:t>
      </w:r>
      <w:r w:rsidR="00F50C28">
        <w:t xml:space="preserve">and </w:t>
      </w:r>
      <w:r w:rsidR="00AF781B">
        <w:t>found that Lyft had established that the trip data from 2014-2019 had indep</w:t>
      </w:r>
      <w:r w:rsidR="00856AFD">
        <w:t>endent economic value</w:t>
      </w:r>
      <w:r w:rsidR="008C30A2">
        <w:t xml:space="preserve">. </w:t>
      </w:r>
      <w:r w:rsidR="008714B6">
        <w:t xml:space="preserve"> </w:t>
      </w:r>
      <w:r w:rsidR="008C30A2">
        <w:t>In reaching this</w:t>
      </w:r>
      <w:r w:rsidR="0051080F">
        <w:t xml:space="preserve"> later conclusion, the Commission found </w:t>
      </w:r>
      <w:r w:rsidR="004B2068">
        <w:t>that at l</w:t>
      </w:r>
      <w:r w:rsidR="00B72FDF">
        <w:t>e</w:t>
      </w:r>
      <w:r w:rsidR="004B2068">
        <w:t xml:space="preserve">ast one non-TNC party inquired about purchasing or </w:t>
      </w:r>
      <w:r w:rsidR="003512D3">
        <w:t xml:space="preserve">licensing the company’s trip data; that Lyft took significant steps to maintain the secrecy of the trip data; and </w:t>
      </w:r>
      <w:r w:rsidR="006C7C1E">
        <w:t>the City and County of San Francico recognized the economic value o</w:t>
      </w:r>
      <w:r w:rsidR="008714B6">
        <w:t>f</w:t>
      </w:r>
      <w:r w:rsidR="006C7C1E">
        <w:t xml:space="preserve"> Lyft’s trip data to San Francisco. </w:t>
      </w:r>
      <w:r w:rsidR="00425DF7">
        <w:t xml:space="preserve"> </w:t>
      </w:r>
      <w:r w:rsidR="00533C3E">
        <w:t xml:space="preserve">In the Commission’s view, these factors taken together were sufficient to satisfy the independent </w:t>
      </w:r>
      <w:r w:rsidR="009003C9">
        <w:t xml:space="preserve">economic value standard set forth in </w:t>
      </w:r>
      <w:r w:rsidRPr="0045266B" w:rsidR="009003C9">
        <w:rPr>
          <w:i/>
          <w:iCs/>
        </w:rPr>
        <w:t xml:space="preserve">Yield </w:t>
      </w:r>
      <w:r w:rsidRPr="0045266B" w:rsidR="0045266B">
        <w:rPr>
          <w:i/>
          <w:iCs/>
        </w:rPr>
        <w:t>D</w:t>
      </w:r>
      <w:r w:rsidRPr="0045266B" w:rsidR="009003C9">
        <w:rPr>
          <w:i/>
          <w:iCs/>
        </w:rPr>
        <w:t>ynamics, Inc. v. TEA Systems</w:t>
      </w:r>
      <w:r w:rsidR="009003C9">
        <w:t xml:space="preserve"> (2007) 154 Cal.App</w:t>
      </w:r>
      <w:r w:rsidR="00462613">
        <w:t>.4</w:t>
      </w:r>
      <w:r w:rsidRPr="00462613" w:rsidR="00462613">
        <w:rPr>
          <w:vertAlign w:val="superscript"/>
        </w:rPr>
        <w:t>th</w:t>
      </w:r>
      <w:r w:rsidR="00462613">
        <w:t xml:space="preserve"> 547</w:t>
      </w:r>
      <w:r w:rsidR="00B72FDF">
        <w:t>,</w:t>
      </w:r>
      <w:r w:rsidR="00462613">
        <w:t xml:space="preserve"> 564-565.</w:t>
      </w:r>
    </w:p>
    <w:p w:rsidR="0063491C" w:rsidP="006E6574" w:rsidRDefault="00311195" w14:paraId="25B36155" w14:textId="62831101">
      <w:pPr>
        <w:pStyle w:val="Standard"/>
      </w:pPr>
      <w:r>
        <w:t>Notwithstanding that conclusion, the Commission</w:t>
      </w:r>
      <w:r w:rsidR="00AB6D2D">
        <w:t xml:space="preserve"> ordered a limited rehearing on whether the trip data from 2014-2019 </w:t>
      </w:r>
      <w:r w:rsidR="00856AFD">
        <w:t xml:space="preserve">continued to have </w:t>
      </w:r>
      <w:r w:rsidR="006006CD">
        <w:lastRenderedPageBreak/>
        <w:t xml:space="preserve">independent economic value </w:t>
      </w:r>
      <w:r w:rsidR="00B72FDF">
        <w:t>despite</w:t>
      </w:r>
      <w:r w:rsidR="006006CD">
        <w:t xml:space="preserve"> its age. </w:t>
      </w:r>
      <w:r w:rsidR="008714B6">
        <w:t xml:space="preserve"> </w:t>
      </w:r>
      <w:r w:rsidR="004007D5">
        <w:t xml:space="preserve">The Commission </w:t>
      </w:r>
      <w:r w:rsidR="00BC08E4">
        <w:t xml:space="preserve">grounded its order for a limited rehearing on the basis that </w:t>
      </w:r>
      <w:r w:rsidR="00D46E0F">
        <w:t xml:space="preserve">it was a </w:t>
      </w:r>
      <w:r w:rsidR="00144EE5">
        <w:t xml:space="preserve">factual </w:t>
      </w:r>
      <w:r w:rsidR="00D46E0F">
        <w:t>question</w:t>
      </w:r>
      <w:r w:rsidR="00144EE5">
        <w:t xml:space="preserve"> </w:t>
      </w:r>
      <w:r w:rsidR="0042697F">
        <w:t xml:space="preserve">whether data that once </w:t>
      </w:r>
      <w:r w:rsidR="00F3322D">
        <w:t xml:space="preserve">had </w:t>
      </w:r>
      <w:r w:rsidR="005C089D">
        <w:t xml:space="preserve">independent economic value </w:t>
      </w:r>
      <w:r w:rsidR="00F3322D">
        <w:t>s</w:t>
      </w:r>
      <w:r w:rsidR="005C089D">
        <w:t>till</w:t>
      </w:r>
      <w:r w:rsidR="00A92F4D">
        <w:t xml:space="preserve"> maintains that value when the data is between five and ten years old.</w:t>
      </w:r>
      <w:r w:rsidR="00DC3648">
        <w:rPr>
          <w:rStyle w:val="FootnoteReference"/>
        </w:rPr>
        <w:footnoteReference w:id="5"/>
      </w:r>
    </w:p>
    <w:p w:rsidR="0007349B" w:rsidP="006E6574" w:rsidRDefault="0007349B" w14:paraId="509FEB50" w14:textId="3410C428">
      <w:pPr>
        <w:pStyle w:val="Standard"/>
      </w:pPr>
      <w:r>
        <w:t>On December 16, 2024, a prehearing conference was held in which Lyft was instructed to file its opening brief</w:t>
      </w:r>
      <w:r w:rsidR="004410B3">
        <w:t>, accompanied by all supporting documents such as declarations and any secondary source materials by January</w:t>
      </w:r>
      <w:r w:rsidR="008714B6">
        <w:t> </w:t>
      </w:r>
      <w:r w:rsidR="004410B3">
        <w:t>31, 2025.</w:t>
      </w:r>
    </w:p>
    <w:p w:rsidR="00EA18F0" w:rsidP="006E6574" w:rsidRDefault="00EA18F0" w14:paraId="11122239" w14:textId="398448CF">
      <w:pPr>
        <w:pStyle w:val="Standard"/>
      </w:pPr>
      <w:r>
        <w:t xml:space="preserve">After Lyft complied with </w:t>
      </w:r>
      <w:r w:rsidR="00C17A19">
        <w:t xml:space="preserve">its </w:t>
      </w:r>
      <w:r>
        <w:t>filin</w:t>
      </w:r>
      <w:r w:rsidR="00C17A19">
        <w:t>g</w:t>
      </w:r>
      <w:r>
        <w:t xml:space="preserve"> deadline</w:t>
      </w:r>
      <w:r w:rsidR="00EC0AD4">
        <w:t xml:space="preserve"> for its</w:t>
      </w:r>
      <w:r w:rsidR="007678BA">
        <w:t xml:space="preserve"> </w:t>
      </w:r>
      <w:r w:rsidRPr="007678BA" w:rsidR="007678BA">
        <w:rPr>
          <w:i/>
          <w:iCs/>
        </w:rPr>
        <w:t>Opening Brief</w:t>
      </w:r>
      <w:r>
        <w:t xml:space="preserve">, </w:t>
      </w:r>
      <w:r w:rsidR="00606596">
        <w:t xml:space="preserve">on February 14, 2025, the San Francisco County Transportation Authority </w:t>
      </w:r>
      <w:r w:rsidR="00C17A19">
        <w:t xml:space="preserve">filed </w:t>
      </w:r>
      <w:r w:rsidR="0017517C">
        <w:t>its</w:t>
      </w:r>
      <w:r w:rsidR="00C17A19">
        <w:t xml:space="preserve"> </w:t>
      </w:r>
      <w:r w:rsidRPr="00EC0AD4" w:rsidR="0017517C">
        <w:rPr>
          <w:i/>
          <w:iCs/>
        </w:rPr>
        <w:t>Opposition</w:t>
      </w:r>
      <w:r w:rsidR="0017517C">
        <w:t>.</w:t>
      </w:r>
    </w:p>
    <w:p w:rsidR="00397CB2" w:rsidP="006E6574" w:rsidRDefault="00397CB2" w14:paraId="7E044257" w14:textId="6C6DE85F">
      <w:pPr>
        <w:pStyle w:val="Standard"/>
      </w:pPr>
      <w:r>
        <w:t xml:space="preserve">On March 11, 2025, Lyft filed its </w:t>
      </w:r>
      <w:r w:rsidRPr="007678BA" w:rsidR="000A2643">
        <w:rPr>
          <w:i/>
          <w:iCs/>
        </w:rPr>
        <w:t>Reply</w:t>
      </w:r>
      <w:r w:rsidR="000A2643">
        <w:t>.</w:t>
      </w:r>
    </w:p>
    <w:p w:rsidR="00683B2C" w:rsidP="00683B2C" w:rsidRDefault="00683B2C" w14:paraId="0D159848" w14:textId="77777777">
      <w:pPr>
        <w:pStyle w:val="Heading2"/>
      </w:pPr>
      <w:bookmarkStart w:name="_Toc193873927" w:id="8"/>
      <w:r>
        <w:t>Submission Date</w:t>
      </w:r>
      <w:bookmarkEnd w:id="8"/>
    </w:p>
    <w:p w:rsidR="00683B2C" w:rsidP="006E6574" w:rsidRDefault="00683B2C" w14:paraId="0CC14C8A" w14:textId="0E428F50">
      <w:pPr>
        <w:pStyle w:val="Standard"/>
      </w:pPr>
      <w:r w:rsidRPr="00FF0265">
        <w:t xml:space="preserve">This matter was submitted on </w:t>
      </w:r>
      <w:r w:rsidR="00676DB0">
        <w:t xml:space="preserve">March 11, </w:t>
      </w:r>
      <w:r w:rsidR="009A11BE">
        <w:t>2025,</w:t>
      </w:r>
      <w:r w:rsidRPr="00FF0265">
        <w:t xml:space="preserve"> upon </w:t>
      </w:r>
      <w:r w:rsidR="00676DB0">
        <w:t xml:space="preserve">Lyft’s filing of its </w:t>
      </w:r>
      <w:r w:rsidRPr="00676DB0" w:rsidR="00676DB0">
        <w:rPr>
          <w:i/>
          <w:iCs/>
        </w:rPr>
        <w:t>Reply</w:t>
      </w:r>
      <w:r w:rsidR="00676DB0">
        <w:t>.</w:t>
      </w:r>
    </w:p>
    <w:p w:rsidR="005A148C" w:rsidP="00831CEB" w:rsidRDefault="005939A5" w14:paraId="61901AC9" w14:textId="77777777">
      <w:pPr>
        <w:pStyle w:val="Heading1"/>
      </w:pPr>
      <w:bookmarkStart w:name="_Toc8123719" w:id="9"/>
      <w:bookmarkStart w:name="_Toc193873928" w:id="10"/>
      <w:r>
        <w:t xml:space="preserve">Issues Before the </w:t>
      </w:r>
      <w:bookmarkEnd w:id="9"/>
      <w:r w:rsidR="008A08BF">
        <w:t>Commission</w:t>
      </w:r>
      <w:bookmarkEnd w:id="10"/>
    </w:p>
    <w:p w:rsidR="005939A5" w:rsidP="00A44E8D" w:rsidRDefault="006078F1" w14:paraId="7060889A" w14:textId="46B59197">
      <w:pPr>
        <w:pStyle w:val="Standard"/>
      </w:pPr>
      <w:r>
        <w:t xml:space="preserve">The limited issue on rehearing is </w:t>
      </w:r>
      <w:r w:rsidR="00B72FDF">
        <w:t>despite</w:t>
      </w:r>
      <w:r w:rsidR="00F47E06">
        <w:t xml:space="preserve"> its age, does</w:t>
      </w:r>
      <w:r>
        <w:t xml:space="preserve"> Lyft’s trip data for the years 2014-2019 continue to have independent economic value for a trade secret claim</w:t>
      </w:r>
      <w:r w:rsidR="00F47E06">
        <w:t>.</w:t>
      </w:r>
    </w:p>
    <w:p w:rsidR="005939A5" w:rsidP="005939A5" w:rsidRDefault="005939A5" w14:paraId="42657840" w14:textId="2912E83F">
      <w:pPr>
        <w:pStyle w:val="Heading1"/>
      </w:pPr>
      <w:bookmarkStart w:name="_Toc8123720" w:id="11"/>
      <w:bookmarkStart w:name="_Toc193873929" w:id="12"/>
      <w:r>
        <w:lastRenderedPageBreak/>
        <w:t>Discussion and Analysis</w:t>
      </w:r>
      <w:bookmarkEnd w:id="11"/>
      <w:bookmarkEnd w:id="12"/>
    </w:p>
    <w:p w:rsidR="00EA36C6" w:rsidP="00D2041C" w:rsidRDefault="00436A34" w14:paraId="5C3A7244" w14:textId="16017469">
      <w:pPr>
        <w:pStyle w:val="Heading2"/>
      </w:pPr>
      <w:bookmarkStart w:name="_Toc193873930" w:id="13"/>
      <w:r>
        <w:t xml:space="preserve">Lyft has Established that its Trip Data for 2014-2019 Continues to </w:t>
      </w:r>
      <w:r w:rsidR="008714B6">
        <w:t>H</w:t>
      </w:r>
      <w:r>
        <w:t xml:space="preserve">ave </w:t>
      </w:r>
      <w:r w:rsidR="00D30553">
        <w:t>Independent Economic Value.</w:t>
      </w:r>
      <w:bookmarkEnd w:id="13"/>
    </w:p>
    <w:p w:rsidR="00A6160C" w:rsidP="009B27AF" w:rsidRDefault="00D649F3" w14:paraId="7CA7CE29" w14:textId="39AF5BA9">
      <w:pPr>
        <w:pStyle w:val="Standard"/>
      </w:pPr>
      <w:r>
        <w:t xml:space="preserve">The law recognizes that </w:t>
      </w:r>
      <w:r w:rsidR="00C947D4">
        <w:t>a trade secret can last as long</w:t>
      </w:r>
      <w:r w:rsidR="00A6160C">
        <w:t xml:space="preserve"> as it meets the requirements for trade secret status. </w:t>
      </w:r>
      <w:r w:rsidR="008714B6">
        <w:t xml:space="preserve"> </w:t>
      </w:r>
      <w:r w:rsidR="004402A2">
        <w:t>(</w:t>
      </w:r>
      <w:r w:rsidRPr="00802B71" w:rsidR="00802B71">
        <w:rPr>
          <w:i/>
          <w:iCs/>
        </w:rPr>
        <w:t>See, e.g.</w:t>
      </w:r>
      <w:r w:rsidRPr="00802B71" w:rsidR="00802B71">
        <w:t xml:space="preserve">, </w:t>
      </w:r>
      <w:r w:rsidRPr="00802B71" w:rsidR="00802B71">
        <w:rPr>
          <w:i/>
          <w:iCs/>
        </w:rPr>
        <w:t xml:space="preserve">Fujikura Composite America, Inc. v. Dee </w:t>
      </w:r>
      <w:r w:rsidRPr="00802B71" w:rsidR="00802B71">
        <w:t xml:space="preserve">(S.D. Cal., June 28, 2024, No. 24-CV-782 JLS (MSB)) 2024 WL 3261214, at *11 (“So long as the at-issue information (1) retains potential value and (2) remains secret, it will retain trade secret protection regardless of how long the inventor sits on their creation.”); </w:t>
      </w:r>
      <w:r w:rsidRPr="00802B71" w:rsidR="00802B71">
        <w:rPr>
          <w:i/>
          <w:iCs/>
        </w:rPr>
        <w:t xml:space="preserve">Altavion, Inc. v. Konica Minolta Systems Laboratory, Inc. </w:t>
      </w:r>
      <w:r w:rsidRPr="00802B71" w:rsidR="00802B71">
        <w:t>(2014) 226 Cal.App.4th 26, 55</w:t>
      </w:r>
      <w:r w:rsidR="003D5C37">
        <w:t>, fn. 23</w:t>
      </w:r>
      <w:r w:rsidRPr="00802B71" w:rsidR="00802B71">
        <w:t xml:space="preserve"> (Noting that trade secret protection “can last forever.”), </w:t>
      </w:r>
      <w:r w:rsidRPr="00802B71" w:rsidR="00802B71">
        <w:rPr>
          <w:i/>
          <w:iCs/>
        </w:rPr>
        <w:t xml:space="preserve">quoting </w:t>
      </w:r>
      <w:r w:rsidRPr="00802B71" w:rsidR="00802B71">
        <w:t xml:space="preserve">Schwartz, </w:t>
      </w:r>
      <w:r w:rsidRPr="00802B71" w:rsidR="00802B71">
        <w:rPr>
          <w:i/>
          <w:iCs/>
        </w:rPr>
        <w:t xml:space="preserve">The Corporate Preference for Trade Secret </w:t>
      </w:r>
      <w:r w:rsidRPr="00802B71" w:rsidR="00802B71">
        <w:t>(2013) 74</w:t>
      </w:r>
      <w:r w:rsidR="008714B6">
        <w:t> </w:t>
      </w:r>
      <w:r w:rsidRPr="00802B71" w:rsidR="00802B71">
        <w:t>Ohio St. L.J. 623, 62</w:t>
      </w:r>
      <w:r w:rsidR="004402A2">
        <w:t>4.)</w:t>
      </w:r>
      <w:r w:rsidR="000E794E">
        <w:t xml:space="preserve"> </w:t>
      </w:r>
      <w:r w:rsidR="008714B6">
        <w:t xml:space="preserve"> </w:t>
      </w:r>
      <w:r w:rsidR="000E794E">
        <w:t>Thus, for our purposes, if the trade secret continues to have independent economic value</w:t>
      </w:r>
      <w:r w:rsidR="003B2F7C">
        <w:t xml:space="preserve">, a claim of trade secret protection may be </w:t>
      </w:r>
      <w:r w:rsidR="00DA7C2D">
        <w:t>asserted</w:t>
      </w:r>
      <w:r w:rsidR="003B2F7C">
        <w:t xml:space="preserve"> without regard to the age of </w:t>
      </w:r>
      <w:r w:rsidR="00DA7C2D">
        <w:t>the information that is the subject of the trade secret.</w:t>
      </w:r>
    </w:p>
    <w:p w:rsidR="003907BB" w:rsidP="009B27AF" w:rsidRDefault="003907BB" w14:paraId="0DB2B682" w14:textId="2C1124FE">
      <w:pPr>
        <w:pStyle w:val="Standard"/>
      </w:pPr>
      <w:r>
        <w:t xml:space="preserve">Lyft has met its burden of proof. </w:t>
      </w:r>
      <w:r w:rsidR="008714B6">
        <w:t xml:space="preserve"> </w:t>
      </w:r>
      <w:r w:rsidR="00BE7A34">
        <w:t xml:space="preserve">First, Lyft has documented the continuing </w:t>
      </w:r>
      <w:r w:rsidR="00294150">
        <w:t>economic</w:t>
      </w:r>
      <w:r w:rsidR="000270B5">
        <w:t xml:space="preserve"> </w:t>
      </w:r>
      <w:r w:rsidR="00BE7A34">
        <w:t xml:space="preserve">use of trip data, even trip data that may be </w:t>
      </w:r>
      <w:r w:rsidR="008714B6">
        <w:t>10 </w:t>
      </w:r>
      <w:r w:rsidR="00BE7A34">
        <w:t>years</w:t>
      </w:r>
      <w:r w:rsidR="004551C4">
        <w:t xml:space="preserve"> old. Lyft explains that it uses all of the trip data on a regular basis to “glean insights into various aspects of Lyft’s business</w:t>
      </w:r>
      <w:r w:rsidR="00257217">
        <w:t xml:space="preserve">” by examining the supply of drivers with the demand from passengers in a given geography during a given time period. </w:t>
      </w:r>
      <w:r w:rsidR="000162F0">
        <w:t xml:space="preserve">(Lyft </w:t>
      </w:r>
      <w:r w:rsidRPr="00850275" w:rsidR="000162F0">
        <w:rPr>
          <w:i/>
          <w:iCs/>
        </w:rPr>
        <w:t>Opening Brief</w:t>
      </w:r>
      <w:r w:rsidR="000162F0">
        <w:t xml:space="preserve"> at 3, and Declaration of Jonathan </w:t>
      </w:r>
      <w:r w:rsidR="00850275">
        <w:t>Pelsis</w:t>
      </w:r>
      <w:r w:rsidR="00E858BC">
        <w:t xml:space="preserve"> [Pelsis Decl.]</w:t>
      </w:r>
      <w:r w:rsidR="00850275">
        <w:t>, ¶</w:t>
      </w:r>
      <w:r w:rsidR="00B84BF7">
        <w:t>4,</w:t>
      </w:r>
      <w:r w:rsidR="00934498">
        <w:t xml:space="preserve"> Lyft Staff Data Scientist.)</w:t>
      </w:r>
      <w:r w:rsidR="00850275">
        <w:t xml:space="preserve"> Lyft’s</w:t>
      </w:r>
      <w:r w:rsidR="001A2D51">
        <w:t xml:space="preserve"> ability to monitor the supply and demand of the trip data is a </w:t>
      </w:r>
      <w:r w:rsidR="0093342E">
        <w:t xml:space="preserve">skill that it </w:t>
      </w:r>
      <w:r w:rsidR="009258B2">
        <w:t xml:space="preserve">claims it </w:t>
      </w:r>
      <w:r w:rsidR="0093342E">
        <w:t>has developed over time and “at great expense to increase supply or demand or otherwise help to balance these continually changing variables.”</w:t>
      </w:r>
      <w:r w:rsidR="00850275">
        <w:t xml:space="preserve"> </w:t>
      </w:r>
      <w:r w:rsidR="008714B6">
        <w:t xml:space="preserve"> </w:t>
      </w:r>
      <w:r w:rsidR="00850275">
        <w:t>(</w:t>
      </w:r>
      <w:r w:rsidRPr="00850275" w:rsidR="00850275">
        <w:rPr>
          <w:i/>
          <w:iCs/>
        </w:rPr>
        <w:t>Id</w:t>
      </w:r>
      <w:r w:rsidR="00850275">
        <w:t>.)</w:t>
      </w:r>
      <w:r w:rsidR="00041840">
        <w:t xml:space="preserve"> </w:t>
      </w:r>
      <w:r w:rsidR="008714B6">
        <w:t xml:space="preserve"> </w:t>
      </w:r>
      <w:r w:rsidR="00041840">
        <w:t xml:space="preserve">By evaluating the trip data, Lyft claims it can identify </w:t>
      </w:r>
      <w:r w:rsidR="00995B61">
        <w:lastRenderedPageBreak/>
        <w:t xml:space="preserve">market travel </w:t>
      </w:r>
      <w:r w:rsidR="00041840">
        <w:t>trends</w:t>
      </w:r>
      <w:r w:rsidR="00995B61">
        <w:t xml:space="preserve">, both </w:t>
      </w:r>
      <w:r w:rsidR="008401E4">
        <w:t>positive</w:t>
      </w:r>
      <w:r w:rsidR="00995B61">
        <w:t xml:space="preserve"> and negative, and determine which of its business initiatives have been successful. </w:t>
      </w:r>
      <w:r w:rsidR="008714B6">
        <w:t xml:space="preserve"> </w:t>
      </w:r>
      <w:r w:rsidR="008401E4">
        <w:t>(</w:t>
      </w:r>
      <w:r w:rsidRPr="008401E4" w:rsidR="008401E4">
        <w:rPr>
          <w:i/>
          <w:iCs/>
        </w:rPr>
        <w:t>Id</w:t>
      </w:r>
      <w:r w:rsidR="008401E4">
        <w:t>.)</w:t>
      </w:r>
    </w:p>
    <w:p w:rsidR="000270B5" w:rsidP="009B27AF" w:rsidRDefault="000270B5" w14:paraId="4D6900A9" w14:textId="65F49405">
      <w:pPr>
        <w:pStyle w:val="Standard"/>
      </w:pPr>
      <w:r>
        <w:t>Second, Lyft has documented the economic usefulness of trip dat</w:t>
      </w:r>
      <w:r w:rsidR="00FC2C43">
        <w:t>a</w:t>
      </w:r>
      <w:r>
        <w:t xml:space="preserve"> dating back to 2014 for Lyft’s competitors. </w:t>
      </w:r>
      <w:r w:rsidR="008714B6">
        <w:t xml:space="preserve"> </w:t>
      </w:r>
      <w:r w:rsidR="00C8681C">
        <w:t>It argues that the trip data from 2014-2019 relates to</w:t>
      </w:r>
      <w:r w:rsidR="00662F80">
        <w:t xml:space="preserve"> </w:t>
      </w:r>
      <w:r w:rsidR="00C8681C">
        <w:t>a unique period of exponential gro</w:t>
      </w:r>
      <w:r w:rsidR="00533F0E">
        <w:t>w</w:t>
      </w:r>
      <w:r w:rsidR="00662F80">
        <w:t>th</w:t>
      </w:r>
      <w:r w:rsidR="00C8681C">
        <w:t xml:space="preserve"> for the early-stage TNCs</w:t>
      </w:r>
      <w:r w:rsidR="00D46ED1">
        <w:t xml:space="preserve"> and represents a snapshot in time that documents a period of competition in </w:t>
      </w:r>
      <w:r w:rsidR="0001610E">
        <w:t>a</w:t>
      </w:r>
      <w:r w:rsidR="00D46ED1">
        <w:t xml:space="preserve"> new </w:t>
      </w:r>
      <w:r w:rsidR="0063032F">
        <w:t xml:space="preserve">transportation industry segment. </w:t>
      </w:r>
      <w:r w:rsidR="008714B6">
        <w:t xml:space="preserve"> </w:t>
      </w:r>
      <w:r w:rsidR="0063032F">
        <w:t xml:space="preserve">(Lyft </w:t>
      </w:r>
      <w:r w:rsidRPr="0001610E" w:rsidR="0063032F">
        <w:rPr>
          <w:i/>
          <w:iCs/>
        </w:rPr>
        <w:t xml:space="preserve">Opening </w:t>
      </w:r>
      <w:r w:rsidRPr="0001610E" w:rsidR="0001610E">
        <w:rPr>
          <w:i/>
          <w:iCs/>
        </w:rPr>
        <w:t>Brief</w:t>
      </w:r>
      <w:r w:rsidR="0001610E">
        <w:t xml:space="preserve"> at 4.</w:t>
      </w:r>
      <w:r w:rsidR="0063032F">
        <w:t>)</w:t>
      </w:r>
      <w:r w:rsidR="0001610E">
        <w:t xml:space="preserve"> </w:t>
      </w:r>
      <w:r w:rsidR="008714B6">
        <w:t xml:space="preserve"> </w:t>
      </w:r>
      <w:r w:rsidR="0001610E">
        <w:t xml:space="preserve">Lyft argues that new entrants into the TNC market would find the 2014-2019 trip data useful to understand what Lyft did </w:t>
      </w:r>
      <w:r w:rsidR="00613D05">
        <w:t xml:space="preserve">in the early stages of its operations </w:t>
      </w:r>
      <w:r w:rsidR="0001610E">
        <w:t xml:space="preserve">to compete effectively with limited resources, and what </w:t>
      </w:r>
      <w:r w:rsidR="008B5547">
        <w:t>L</w:t>
      </w:r>
      <w:r w:rsidR="0001610E">
        <w:t xml:space="preserve">yft </w:t>
      </w:r>
      <w:r w:rsidR="0033439E">
        <w:t>operations</w:t>
      </w:r>
      <w:r w:rsidR="0001610E">
        <w:t xml:space="preserve"> w</w:t>
      </w:r>
      <w:r w:rsidR="0033439E">
        <w:t>ere</w:t>
      </w:r>
      <w:r w:rsidR="0001610E">
        <w:t xml:space="preserve"> less effective as it entered the marketplace.</w:t>
      </w:r>
      <w:r w:rsidR="00272922">
        <w:t xml:space="preserve"> </w:t>
      </w:r>
      <w:r w:rsidR="006F28E5">
        <w:t xml:space="preserve"> </w:t>
      </w:r>
      <w:r w:rsidR="00272922">
        <w:t>(</w:t>
      </w:r>
      <w:r w:rsidRPr="003F66D1" w:rsidR="00272922">
        <w:rPr>
          <w:i/>
          <w:iCs/>
        </w:rPr>
        <w:t>Id</w:t>
      </w:r>
      <w:r w:rsidR="00272922">
        <w:t xml:space="preserve">., </w:t>
      </w:r>
      <w:r w:rsidR="009E1280">
        <w:t>Pelsis Decl., ¶6.)</w:t>
      </w:r>
    </w:p>
    <w:p w:rsidR="00533F0E" w:rsidP="009B27AF" w:rsidRDefault="00533F0E" w14:paraId="59943B4B" w14:textId="2D8AB826">
      <w:pPr>
        <w:pStyle w:val="Standard"/>
      </w:pPr>
      <w:r>
        <w:t xml:space="preserve">Third, Lyft argues that this trip data would be of use </w:t>
      </w:r>
      <w:r w:rsidR="00570D25">
        <w:t xml:space="preserve">to third-party data brokers </w:t>
      </w:r>
      <w:r w:rsidR="00613D05">
        <w:t xml:space="preserve">who </w:t>
      </w:r>
      <w:r w:rsidR="00570D25">
        <w:t xml:space="preserve">would seek to monetize the information. </w:t>
      </w:r>
      <w:r w:rsidR="008714B6">
        <w:t xml:space="preserve"> </w:t>
      </w:r>
      <w:r w:rsidR="00570D25">
        <w:t xml:space="preserve">Lyft claims there are a number of third-party data brokers who are focused on </w:t>
      </w:r>
      <w:r w:rsidR="002E41B7">
        <w:t>gathering</w:t>
      </w:r>
      <w:r w:rsidR="00570D25">
        <w:t xml:space="preserve"> data regarding completed TNC trips</w:t>
      </w:r>
      <w:r w:rsidR="00613D05">
        <w:t>,</w:t>
      </w:r>
      <w:r w:rsidR="00570D25">
        <w:t xml:space="preserve"> who will then analyze and resell</w:t>
      </w:r>
      <w:r w:rsidR="001F0856">
        <w:t xml:space="preserve"> the data for a variety of purposes. </w:t>
      </w:r>
      <w:r w:rsidR="008714B6">
        <w:t xml:space="preserve"> </w:t>
      </w:r>
      <w:r w:rsidR="002E41B7">
        <w:t>(</w:t>
      </w:r>
      <w:r w:rsidR="00E9639D">
        <w:t xml:space="preserve">Lyft </w:t>
      </w:r>
      <w:r w:rsidRPr="00C10179" w:rsidR="00E9639D">
        <w:rPr>
          <w:i/>
          <w:iCs/>
        </w:rPr>
        <w:t>Opening Brief</w:t>
      </w:r>
      <w:r w:rsidR="00E9639D">
        <w:rPr>
          <w:i/>
          <w:iCs/>
        </w:rPr>
        <w:t xml:space="preserve"> </w:t>
      </w:r>
      <w:r w:rsidRPr="00C10179" w:rsidR="00E9639D">
        <w:t xml:space="preserve">at </w:t>
      </w:r>
      <w:r w:rsidR="00E9639D">
        <w:rPr>
          <w:i/>
          <w:iCs/>
        </w:rPr>
        <w:t>4</w:t>
      </w:r>
      <w:r w:rsidR="002E41B7">
        <w:t>, Pelsis Decl., ¶7.)</w:t>
      </w:r>
      <w:r w:rsidR="00D26E4D">
        <w:t xml:space="preserve"> </w:t>
      </w:r>
      <w:r w:rsidR="008714B6">
        <w:t xml:space="preserve"> </w:t>
      </w:r>
      <w:r w:rsidR="00D26E4D">
        <w:t>As an example, Lyft points to a company called YipitData that collects data regarding completed TNC trip</w:t>
      </w:r>
      <w:r w:rsidR="00611037">
        <w:t>s and issues periodic reports with estimates of TNC market activity, which are purchased by investors</w:t>
      </w:r>
      <w:r w:rsidR="00AC2E72">
        <w:t>, analysts, and others</w:t>
      </w:r>
      <w:r w:rsidR="00613D05">
        <w:t>,</w:t>
      </w:r>
      <w:r w:rsidR="00AC2E72">
        <w:t xml:space="preserve"> for various purposes. </w:t>
      </w:r>
      <w:r w:rsidR="008714B6">
        <w:t xml:space="preserve"> </w:t>
      </w:r>
      <w:r w:rsidR="00AC2E72">
        <w:t>(</w:t>
      </w:r>
      <w:r w:rsidRPr="00AC2E72" w:rsidR="00AC2E72">
        <w:rPr>
          <w:i/>
          <w:iCs/>
        </w:rPr>
        <w:t>Id</w:t>
      </w:r>
      <w:r w:rsidR="00AC2E72">
        <w:t>.)</w:t>
      </w:r>
      <w:r w:rsidR="00AA38C3">
        <w:t xml:space="preserve"> </w:t>
      </w:r>
      <w:r w:rsidR="008714B6">
        <w:t xml:space="preserve"> </w:t>
      </w:r>
      <w:r w:rsidR="00AA38C3">
        <w:t xml:space="preserve">While YipitData collects data </w:t>
      </w:r>
      <w:r w:rsidR="004C381C">
        <w:t xml:space="preserve">regarding completed TNC trips from emails sent by TNCs to passengers upon the completion of a trip, </w:t>
      </w:r>
      <w:r w:rsidR="007201B0">
        <w:t>the trip data from 2014-2019 would be more granular and therefore more financially useful for analysts</w:t>
      </w:r>
      <w:r w:rsidR="00754FF9">
        <w:t>, investment banks, investor representative</w:t>
      </w:r>
      <w:r w:rsidR="00425DF7">
        <w:t>s</w:t>
      </w:r>
      <w:r w:rsidR="00754FF9">
        <w:t>, and industry analysts</w:t>
      </w:r>
      <w:r w:rsidR="007201B0">
        <w:t xml:space="preserve"> looking to understand Lyft’s past performance and projections of future performance. </w:t>
      </w:r>
      <w:r w:rsidR="008714B6">
        <w:t xml:space="preserve"> </w:t>
      </w:r>
      <w:r w:rsidR="008C5CA0">
        <w:t>(</w:t>
      </w:r>
      <w:r w:rsidR="001D7219">
        <w:t xml:space="preserve">Lyft </w:t>
      </w:r>
      <w:r w:rsidRPr="00C10179" w:rsidR="001D7219">
        <w:rPr>
          <w:i/>
          <w:iCs/>
        </w:rPr>
        <w:t>Opening</w:t>
      </w:r>
      <w:r w:rsidR="001D7219">
        <w:t xml:space="preserve"> </w:t>
      </w:r>
      <w:r w:rsidRPr="00C10179" w:rsidR="001D7219">
        <w:rPr>
          <w:i/>
          <w:iCs/>
        </w:rPr>
        <w:t>Brief</w:t>
      </w:r>
      <w:r w:rsidR="001D7219">
        <w:t xml:space="preserve"> at 5,</w:t>
      </w:r>
      <w:r w:rsidR="008C5CA0">
        <w:t xml:space="preserve"> Pelsis Decl., ¶8.)</w:t>
      </w:r>
    </w:p>
    <w:p w:rsidR="004034D4" w:rsidP="009B27AF" w:rsidRDefault="004034D4" w14:paraId="0ACD2319" w14:textId="255AA1B6">
      <w:pPr>
        <w:pStyle w:val="Standard"/>
      </w:pPr>
      <w:r>
        <w:lastRenderedPageBreak/>
        <w:t xml:space="preserve">Finally, Lyft asserts that the 2014-2019 trip data would have independent economic value for </w:t>
      </w:r>
      <w:r w:rsidR="006600D0">
        <w:t>its future business ventures</w:t>
      </w:r>
      <w:r w:rsidR="007D3911">
        <w:t xml:space="preserve"> in the autonomous vehicle</w:t>
      </w:r>
      <w:r w:rsidR="00E603F1">
        <w:t xml:space="preserve"> (AV) transportation market</w:t>
      </w:r>
      <w:r w:rsidR="006600D0">
        <w:t>.</w:t>
      </w:r>
      <w:r w:rsidR="00E603F1">
        <w:t xml:space="preserve"> </w:t>
      </w:r>
      <w:r w:rsidR="008714B6">
        <w:t xml:space="preserve"> </w:t>
      </w:r>
      <w:r w:rsidR="002E4468">
        <w:t xml:space="preserve">Lyft </w:t>
      </w:r>
      <w:r w:rsidR="00613D05">
        <w:t>claims</w:t>
      </w:r>
      <w:r w:rsidR="002E4468">
        <w:t xml:space="preserve"> that in November 2024, it partnered with May Mobility</w:t>
      </w:r>
      <w:r w:rsidR="00ED3CEF">
        <w:t xml:space="preserve"> </w:t>
      </w:r>
      <w:r w:rsidR="00613D05">
        <w:t xml:space="preserve">to </w:t>
      </w:r>
      <w:r w:rsidR="00ED3CEF">
        <w:t>make A</w:t>
      </w:r>
      <w:r w:rsidR="00524440">
        <w:t>V</w:t>
      </w:r>
      <w:r w:rsidR="00ED3CEF">
        <w:t>s available on the L</w:t>
      </w:r>
      <w:r w:rsidR="00942ACE">
        <w:t>y</w:t>
      </w:r>
      <w:r w:rsidR="00ED3CEF">
        <w:t xml:space="preserve">ft platform in certain </w:t>
      </w:r>
      <w:r w:rsidR="00E44D8D">
        <w:t>geographic</w:t>
      </w:r>
      <w:r w:rsidR="00ED3CEF">
        <w:t xml:space="preserve"> areas</w:t>
      </w:r>
      <w:r w:rsidR="00613D05">
        <w:t>,</w:t>
      </w:r>
      <w:r w:rsidR="00ED3CEF">
        <w:t xml:space="preserve"> and Lyft will utilize its historical trip data to aid in the onboarding and deployment process.</w:t>
      </w:r>
      <w:r w:rsidR="006600D0">
        <w:t xml:space="preserve"> </w:t>
      </w:r>
      <w:r w:rsidR="008714B6">
        <w:t xml:space="preserve"> </w:t>
      </w:r>
      <w:r w:rsidR="004C200D">
        <w:t>(</w:t>
      </w:r>
      <w:r w:rsidR="001D7219">
        <w:t xml:space="preserve">Lyft </w:t>
      </w:r>
      <w:r w:rsidRPr="00C10179" w:rsidR="001D7219">
        <w:rPr>
          <w:i/>
          <w:iCs/>
        </w:rPr>
        <w:t>Opening Brief</w:t>
      </w:r>
      <w:r w:rsidR="001D7219">
        <w:t xml:space="preserve"> at 6</w:t>
      </w:r>
      <w:r w:rsidR="004C200D">
        <w:t xml:space="preserve">, Declaration of Chiraag Devani, Lyft Senior Manager, </w:t>
      </w:r>
      <w:r w:rsidR="004A0D80">
        <w:t>¶</w:t>
      </w:r>
      <w:r w:rsidR="000700D8">
        <w:t>3.)</w:t>
      </w:r>
    </w:p>
    <w:p w:rsidR="00CB2768" w:rsidP="009B27AF" w:rsidRDefault="00CB2768" w14:paraId="422D1CA4" w14:textId="25A0AF60">
      <w:pPr>
        <w:pStyle w:val="Standard"/>
      </w:pPr>
      <w:r>
        <w:t xml:space="preserve">Also in November 2024, Lyft states it partnered with a company </w:t>
      </w:r>
      <w:r w:rsidR="006C03BA">
        <w:t>called</w:t>
      </w:r>
      <w:r>
        <w:t xml:space="preserve"> Nexar, which provides video </w:t>
      </w:r>
      <w:r w:rsidR="00D852CD">
        <w:t>dashcams</w:t>
      </w:r>
      <w:r>
        <w:t xml:space="preserve"> to explore ways to harness the power of aggregated, </w:t>
      </w:r>
      <w:r w:rsidR="00D852CD">
        <w:t>anonymized</w:t>
      </w:r>
      <w:r>
        <w:t xml:space="preserve"> marketplace and fleet data </w:t>
      </w:r>
      <w:r w:rsidR="003228BE">
        <w:t xml:space="preserve">to help </w:t>
      </w:r>
      <w:r w:rsidR="00D852CD">
        <w:t>Original</w:t>
      </w:r>
      <w:r w:rsidR="003228BE">
        <w:t xml:space="preserve"> Equipment Manufacturers and AV companies </w:t>
      </w:r>
      <w:r w:rsidR="00D852CD">
        <w:t>bu</w:t>
      </w:r>
      <w:r w:rsidR="003228BE">
        <w:t>ild better and safer autonomous technology.</w:t>
      </w:r>
      <w:r w:rsidR="00D852CD">
        <w:t xml:space="preserve"> </w:t>
      </w:r>
      <w:r w:rsidR="008714B6">
        <w:t xml:space="preserve"> </w:t>
      </w:r>
      <w:r w:rsidR="00D852CD">
        <w:t>(</w:t>
      </w:r>
      <w:r w:rsidRPr="00D852CD" w:rsidR="00D852CD">
        <w:rPr>
          <w:i/>
          <w:iCs/>
        </w:rPr>
        <w:t>Id.</w:t>
      </w:r>
      <w:r w:rsidR="00D852CD">
        <w:t>)</w:t>
      </w:r>
      <w:r w:rsidR="00DE0EC4">
        <w:t xml:space="preserve"> </w:t>
      </w:r>
      <w:r w:rsidR="008714B6">
        <w:t xml:space="preserve"> </w:t>
      </w:r>
      <w:r w:rsidR="00DE0EC4">
        <w:t xml:space="preserve">By pairing Lyft’s trip data with Nexar’s </w:t>
      </w:r>
      <w:r w:rsidR="00691F97">
        <w:t xml:space="preserve">millions of hours of video footage, Lyft claims that it and Nexar can jointly contribute to a more complete data set for autonomous </w:t>
      </w:r>
      <w:r w:rsidR="00942ACE">
        <w:t>research</w:t>
      </w:r>
      <w:r w:rsidR="00691F97">
        <w:t xml:space="preserve"> and development. </w:t>
      </w:r>
      <w:r w:rsidR="008714B6">
        <w:t xml:space="preserve"> </w:t>
      </w:r>
      <w:r w:rsidR="00942ACE">
        <w:t>(</w:t>
      </w:r>
      <w:r w:rsidRPr="00942ACE" w:rsidR="00942ACE">
        <w:rPr>
          <w:i/>
          <w:iCs/>
        </w:rPr>
        <w:t>Id</w:t>
      </w:r>
      <w:r w:rsidR="00942ACE">
        <w:t>.)</w:t>
      </w:r>
    </w:p>
    <w:p w:rsidR="008E5B22" w:rsidP="009B27AF" w:rsidRDefault="008E5B22" w14:paraId="374605E7" w14:textId="604F0E37">
      <w:pPr>
        <w:pStyle w:val="Standard"/>
      </w:pPr>
      <w:r>
        <w:t xml:space="preserve">In </w:t>
      </w:r>
      <w:r w:rsidR="00B26219">
        <w:t>summary,</w:t>
      </w:r>
      <w:r>
        <w:t xml:space="preserve"> we conclude that Lyft has demonstrated that the trip data from 2014-2019 continues to have independent economic value. </w:t>
      </w:r>
      <w:r w:rsidR="008714B6">
        <w:t xml:space="preserve"> </w:t>
      </w:r>
      <w:r w:rsidR="00E633DA">
        <w:t xml:space="preserve">The trip data </w:t>
      </w:r>
      <w:r w:rsidR="0056481A">
        <w:t xml:space="preserve">may </w:t>
      </w:r>
      <w:r w:rsidR="00E633DA">
        <w:t xml:space="preserve">have economic value to competitors for model validation and refinement, to </w:t>
      </w:r>
      <w:r w:rsidR="00B26219">
        <w:t>new</w:t>
      </w:r>
      <w:r w:rsidR="00E633DA">
        <w:t xml:space="preserve"> entrants and potential new entrants </w:t>
      </w:r>
      <w:r w:rsidR="003077ED">
        <w:t xml:space="preserve">seeking </w:t>
      </w:r>
      <w:r w:rsidR="00E633DA">
        <w:t>to refine</w:t>
      </w:r>
      <w:r w:rsidR="003077ED">
        <w:t xml:space="preserve"> their </w:t>
      </w:r>
      <w:r w:rsidR="00E633DA">
        <w:t>business strategies</w:t>
      </w:r>
      <w:r w:rsidR="000660A6">
        <w:t>, and for</w:t>
      </w:r>
      <w:r w:rsidR="00AE1FBB">
        <w:t xml:space="preserve"> actual and potential Lyft business partners. </w:t>
      </w:r>
    </w:p>
    <w:p w:rsidR="00BE5AE2" w:rsidP="00BE5AE2" w:rsidRDefault="006D2CFC" w14:paraId="247C8DEA" w14:textId="09FF49C3">
      <w:pPr>
        <w:pStyle w:val="Heading2"/>
      </w:pPr>
      <w:bookmarkStart w:name="_Toc193873931" w:id="14"/>
      <w:r>
        <w:t>Public</w:t>
      </w:r>
      <w:r w:rsidR="00180E3E">
        <w:t xml:space="preserve"> Interest in</w:t>
      </w:r>
      <w:r w:rsidR="00877E26">
        <w:t xml:space="preserve"> </w:t>
      </w:r>
      <w:r>
        <w:t xml:space="preserve">Access to </w:t>
      </w:r>
      <w:r w:rsidR="00877E26">
        <w:t>the</w:t>
      </w:r>
      <w:r w:rsidR="00180E3E">
        <w:t xml:space="preserve"> Trip Data Outweighs the </w:t>
      </w:r>
      <w:r w:rsidR="00ED4E3B">
        <w:t>Claim of Trade Secret Protection</w:t>
      </w:r>
      <w:bookmarkEnd w:id="14"/>
    </w:p>
    <w:p w:rsidR="00A86853" w:rsidP="00ED4E3B" w:rsidRDefault="002B7DBD" w14:paraId="5489AE30" w14:textId="1881E763">
      <w:pPr>
        <w:pStyle w:val="Standard"/>
      </w:pPr>
      <w:r>
        <w:t xml:space="preserve">Even if a trade secret claim has been established, </w:t>
      </w:r>
      <w:r w:rsidR="001A1303">
        <w:t xml:space="preserve">such a claim is not an absolute bar to making trade secret information public. </w:t>
      </w:r>
      <w:r w:rsidR="008714B6">
        <w:t xml:space="preserve"> </w:t>
      </w:r>
      <w:r w:rsidR="005A0BFE">
        <w:t>(</w:t>
      </w:r>
      <w:r w:rsidRPr="007669AE" w:rsidR="005A0BFE">
        <w:rPr>
          <w:i/>
          <w:iCs/>
        </w:rPr>
        <w:t>See</w:t>
      </w:r>
      <w:r w:rsidR="005A0BFE">
        <w:t xml:space="preserve"> </w:t>
      </w:r>
      <w:r w:rsidRPr="007669AE" w:rsidR="005A0BFE">
        <w:rPr>
          <w:i/>
          <w:iCs/>
        </w:rPr>
        <w:t xml:space="preserve">Bridgestone/Firestone, Inc. v. Superior </w:t>
      </w:r>
      <w:r w:rsidR="007669AE">
        <w:rPr>
          <w:i/>
          <w:iCs/>
        </w:rPr>
        <w:t>C</w:t>
      </w:r>
      <w:r w:rsidRPr="007669AE" w:rsidR="005A0BFE">
        <w:rPr>
          <w:i/>
          <w:iCs/>
        </w:rPr>
        <w:t>ourt</w:t>
      </w:r>
      <w:r w:rsidR="005A0BFE">
        <w:t xml:space="preserve"> (1992) 7 Cal.App.4</w:t>
      </w:r>
      <w:r w:rsidRPr="005A0BFE" w:rsidR="005A0BFE">
        <w:rPr>
          <w:vertAlign w:val="superscript"/>
        </w:rPr>
        <w:t>th</w:t>
      </w:r>
      <w:r w:rsidR="005A0BFE">
        <w:t xml:space="preserve"> 1384</w:t>
      </w:r>
      <w:r w:rsidR="00562BB2">
        <w:t>, 1390-1393</w:t>
      </w:r>
      <w:r w:rsidR="007669AE">
        <w:t xml:space="preserve">.) </w:t>
      </w:r>
      <w:r w:rsidR="008714B6">
        <w:t xml:space="preserve"> </w:t>
      </w:r>
      <w:r w:rsidR="001A1303">
        <w:t xml:space="preserve">Unlike </w:t>
      </w:r>
      <w:r w:rsidR="006D7510">
        <w:t xml:space="preserve">privileges </w:t>
      </w:r>
      <w:r w:rsidR="008F6B83">
        <w:t>such as</w:t>
      </w:r>
      <w:r w:rsidR="006D7510">
        <w:t xml:space="preserve"> the attorney-client or the physician-patient</w:t>
      </w:r>
      <w:r w:rsidR="001E1FE5">
        <w:t>,</w:t>
      </w:r>
      <w:r w:rsidR="006D7510">
        <w:t xml:space="preserve"> which</w:t>
      </w:r>
      <w:r w:rsidR="00613D05">
        <w:t>--</w:t>
      </w:r>
      <w:r w:rsidR="00C160E4">
        <w:t>with limited exceptions</w:t>
      </w:r>
      <w:r w:rsidR="00613D05">
        <w:t>--</w:t>
      </w:r>
      <w:r w:rsidR="00C160E4">
        <w:t xml:space="preserve"> bar </w:t>
      </w:r>
      <w:r w:rsidR="007E32FE">
        <w:t xml:space="preserve">the public’s intrusion into the content of these privileges, a trade secret claim </w:t>
      </w:r>
      <w:r w:rsidR="007E32FE">
        <w:lastRenderedPageBreak/>
        <w:t xml:space="preserve">does not </w:t>
      </w:r>
      <w:r w:rsidR="00791F69">
        <w:t>enjoy the same automatic protection against public disclosure.</w:t>
      </w:r>
      <w:r w:rsidR="008714B6">
        <w:t xml:space="preserve"> </w:t>
      </w:r>
      <w:r w:rsidR="00FC3F6B">
        <w:t xml:space="preserve"> (</w:t>
      </w:r>
      <w:r w:rsidRPr="00FC3F6B" w:rsidR="00FC3F6B">
        <w:rPr>
          <w:i/>
          <w:iCs/>
        </w:rPr>
        <w:t>Id</w:t>
      </w:r>
      <w:r w:rsidR="00FC3F6B">
        <w:t>.)</w:t>
      </w:r>
      <w:r w:rsidR="00FB3985">
        <w:t xml:space="preserve"> Instead, a court must conduct a balancing test to determine</w:t>
      </w:r>
      <w:r w:rsidR="003F3D2F">
        <w:t xml:space="preserve"> which interest</w:t>
      </w:r>
      <w:r w:rsidR="00CE0161">
        <w:t xml:space="preserve"> is</w:t>
      </w:r>
      <w:r w:rsidR="003F3D2F">
        <w:t xml:space="preserve"> </w:t>
      </w:r>
      <w:r w:rsidR="00CF5CE1">
        <w:t>greater</w:t>
      </w:r>
      <w:r w:rsidR="00613D05">
        <w:t>:</w:t>
      </w:r>
      <w:r w:rsidR="003F3D2F">
        <w:t xml:space="preserve"> the public’s interest in disc</w:t>
      </w:r>
      <w:r w:rsidR="00CE0161">
        <w:t>losure</w:t>
      </w:r>
      <w:r w:rsidR="003F3D2F">
        <w:t xml:space="preserve"> or the claimant’s interest in maintaining the secrecy of trade secret information. </w:t>
      </w:r>
      <w:r w:rsidR="008714B6">
        <w:t xml:space="preserve"> </w:t>
      </w:r>
      <w:r w:rsidR="003F3D2F">
        <w:t>(</w:t>
      </w:r>
      <w:r w:rsidRPr="00FE6C7C" w:rsidR="003F3D2F">
        <w:rPr>
          <w:i/>
          <w:iCs/>
        </w:rPr>
        <w:t>See</w:t>
      </w:r>
      <w:r w:rsidR="003F3D2F">
        <w:t xml:space="preserve"> </w:t>
      </w:r>
      <w:r w:rsidR="00F87ACB">
        <w:t>Evidence Code Section</w:t>
      </w:r>
      <w:r w:rsidR="008714B6">
        <w:t> </w:t>
      </w:r>
      <w:r w:rsidR="00F87ACB">
        <w:t>1060</w:t>
      </w:r>
      <w:r w:rsidR="00E21A2F">
        <w:rPr>
          <w:rStyle w:val="FootnoteReference"/>
        </w:rPr>
        <w:footnoteReference w:id="6"/>
      </w:r>
      <w:r w:rsidR="00F87ACB">
        <w:t xml:space="preserve"> and Government Code Section 7</w:t>
      </w:r>
      <w:r w:rsidR="00E129C8">
        <w:t>920</w:t>
      </w:r>
      <w:r w:rsidR="00F87ACB">
        <w:t xml:space="preserve">.000 (formerly </w:t>
      </w:r>
      <w:r w:rsidR="00FE6C7C">
        <w:t xml:space="preserve">Government Code </w:t>
      </w:r>
      <w:r w:rsidR="00F87ACB">
        <w:t>Section</w:t>
      </w:r>
      <w:r w:rsidR="008714B6">
        <w:t> </w:t>
      </w:r>
      <w:r w:rsidR="00F87ACB">
        <w:t>6255).</w:t>
      </w:r>
      <w:r w:rsidR="00B50942">
        <w:rPr>
          <w:rStyle w:val="FootnoteReference"/>
        </w:rPr>
        <w:footnoteReference w:id="7"/>
      </w:r>
      <w:r w:rsidR="00791F69">
        <w:t xml:space="preserve"> </w:t>
      </w:r>
    </w:p>
    <w:p w:rsidR="00760F1D" w:rsidP="00ED4E3B" w:rsidRDefault="0098375D" w14:paraId="2BB209B6" w14:textId="0E46B1C0">
      <w:pPr>
        <w:pStyle w:val="Standard"/>
      </w:pPr>
      <w:r>
        <w:t xml:space="preserve">The balancing test has been applied in a variety of factual contexts. </w:t>
      </w:r>
      <w:r w:rsidR="008714B6">
        <w:t xml:space="preserve"> </w:t>
      </w:r>
      <w:r w:rsidR="00745C2A">
        <w:t>For example, i</w:t>
      </w:r>
      <w:r w:rsidR="00826D70">
        <w:t xml:space="preserve">n </w:t>
      </w:r>
      <w:r w:rsidRPr="007A5595" w:rsidR="00826D70">
        <w:rPr>
          <w:i/>
          <w:iCs/>
        </w:rPr>
        <w:t>Uribe v. Howie</w:t>
      </w:r>
      <w:r w:rsidR="00826D70">
        <w:t xml:space="preserve"> (1971)</w:t>
      </w:r>
      <w:r w:rsidR="00AD47B7">
        <w:t xml:space="preserve"> 19 Cal.App.3d 194, 210, </w:t>
      </w:r>
      <w:r w:rsidR="002130C0">
        <w:t xml:space="preserve">the Court </w:t>
      </w:r>
      <w:r w:rsidR="00663E98">
        <w:t xml:space="preserve">recognized the </w:t>
      </w:r>
      <w:r w:rsidR="00AA3232">
        <w:t>importance of the public</w:t>
      </w:r>
      <w:r w:rsidR="00663E98">
        <w:t xml:space="preserve"> interest</w:t>
      </w:r>
      <w:r w:rsidR="005B3D07">
        <w:t xml:space="preserve"> in a dispute regarding physical harms allegedly caused by exposure to </w:t>
      </w:r>
      <w:r w:rsidR="00E55F22">
        <w:t>pesticides</w:t>
      </w:r>
      <w:r w:rsidR="004D7539">
        <w:t>:</w:t>
      </w:r>
      <w:r w:rsidR="00663E98">
        <w:t xml:space="preserve"> “Alternatively, even if the information in the spray reports does contain trade secrets, we believe that the public is far better served by disclosure</w:t>
      </w:r>
      <w:r w:rsidR="007A5595">
        <w:t xml:space="preserve"> than by the converse.”</w:t>
      </w:r>
      <w:r w:rsidR="00E55F22">
        <w:t xml:space="preserve"> </w:t>
      </w:r>
      <w:r w:rsidR="008714B6">
        <w:t xml:space="preserve"> </w:t>
      </w:r>
      <w:r w:rsidR="00E55F22">
        <w:t xml:space="preserve">The Court noted that </w:t>
      </w:r>
      <w:r w:rsidR="00B4618C">
        <w:t>the public had a strong interest in the spray reports that defendant claim</w:t>
      </w:r>
      <w:r w:rsidR="00425DF7">
        <w:t>ed</w:t>
      </w:r>
      <w:r w:rsidR="00B4618C">
        <w:t xml:space="preserve"> were trade secret protected becaus</w:t>
      </w:r>
      <w:r w:rsidR="00A155B4">
        <w:t>e</w:t>
      </w:r>
      <w:r w:rsidR="00971F7A">
        <w:t xml:space="preserve"> “the information contained in the reports is important to the study of the effect of pesticides on man. </w:t>
      </w:r>
      <w:r w:rsidR="006F28E5">
        <w:t xml:space="preserve"> </w:t>
      </w:r>
      <w:r w:rsidR="00971F7A">
        <w:t xml:space="preserve">The information would be useful to study the </w:t>
      </w:r>
      <w:r w:rsidR="00613D05">
        <w:t>long-range</w:t>
      </w:r>
      <w:r w:rsidR="00971F7A">
        <w:t xml:space="preserve"> effects of pesticides on humans, and in the treatment of present illness traceable in whole or part to exposure to these </w:t>
      </w:r>
      <w:r w:rsidR="00971F7A">
        <w:lastRenderedPageBreak/>
        <w:t xml:space="preserve">chemicals.” </w:t>
      </w:r>
      <w:r w:rsidR="008714B6">
        <w:t xml:space="preserve"> </w:t>
      </w:r>
      <w:r w:rsidR="00971F7A">
        <w:t>(</w:t>
      </w:r>
      <w:r w:rsidRPr="00971F7A" w:rsidR="00971F7A">
        <w:rPr>
          <w:i/>
          <w:iCs/>
        </w:rPr>
        <w:t>Id</w:t>
      </w:r>
      <w:r w:rsidR="00971F7A">
        <w:t>.)</w:t>
      </w:r>
      <w:r w:rsidR="00AD1EBB">
        <w:t xml:space="preserve"> </w:t>
      </w:r>
      <w:r w:rsidR="008714B6">
        <w:t xml:space="preserve"> </w:t>
      </w:r>
      <w:r w:rsidR="00AD1EBB">
        <w:t>Against such important public health interests</w:t>
      </w:r>
      <w:r w:rsidR="00071D93">
        <w:t xml:space="preserve">, the </w:t>
      </w:r>
      <w:r w:rsidR="00976FF4">
        <w:t xml:space="preserve">Court concluded that </w:t>
      </w:r>
      <w:r w:rsidR="00426DE1">
        <w:t>disclosure</w:t>
      </w:r>
      <w:r w:rsidR="00976FF4">
        <w:t xml:space="preserve"> took precedence over maintaining </w:t>
      </w:r>
      <w:r w:rsidR="00071D93">
        <w:t>trade secret protection</w:t>
      </w:r>
      <w:r w:rsidR="001C0F4A">
        <w:t>.</w:t>
      </w:r>
    </w:p>
    <w:p w:rsidR="00ED4E3B" w:rsidP="00ED4E3B" w:rsidRDefault="00276779" w14:paraId="1ED9A36E" w14:textId="5B57B554">
      <w:pPr>
        <w:pStyle w:val="Standard"/>
      </w:pPr>
      <w:r w:rsidRPr="00A25C97">
        <w:rPr>
          <w:i/>
          <w:iCs/>
        </w:rPr>
        <w:t>Uribe’s</w:t>
      </w:r>
      <w:r>
        <w:t xml:space="preserve"> rational</w:t>
      </w:r>
      <w:r w:rsidR="00A25C97">
        <w:t>e</w:t>
      </w:r>
      <w:r>
        <w:t xml:space="preserve"> was </w:t>
      </w:r>
      <w:r w:rsidR="00A25C97">
        <w:t>re</w:t>
      </w:r>
      <w:r>
        <w:t xml:space="preserve">affirmed by </w:t>
      </w:r>
      <w:r w:rsidR="00704F79">
        <w:t xml:space="preserve">the California Supreme </w:t>
      </w:r>
      <w:r w:rsidR="00B21452">
        <w:t>C</w:t>
      </w:r>
      <w:r w:rsidR="00704F79">
        <w:t xml:space="preserve">ourt in </w:t>
      </w:r>
      <w:r w:rsidRPr="00A25C97" w:rsidR="00704F79">
        <w:rPr>
          <w:i/>
          <w:iCs/>
        </w:rPr>
        <w:t>State Farm Mutual Automobile Insurance Company v. Garamendi</w:t>
      </w:r>
      <w:r w:rsidR="00704F79">
        <w:t xml:space="preserve"> (2004) 32 Cal.4</w:t>
      </w:r>
      <w:r w:rsidRPr="00704F79" w:rsidR="00704F79">
        <w:rPr>
          <w:vertAlign w:val="superscript"/>
        </w:rPr>
        <w:t>th</w:t>
      </w:r>
      <w:r w:rsidR="00704F79">
        <w:t xml:space="preserve"> 1029</w:t>
      </w:r>
      <w:r w:rsidR="004D7539">
        <w:t>, 1039</w:t>
      </w:r>
      <w:r w:rsidR="00770DCD">
        <w:t xml:space="preserve">, </w:t>
      </w:r>
      <w:r w:rsidR="00613D05">
        <w:t>where</w:t>
      </w:r>
      <w:r w:rsidR="00770DCD">
        <w:t xml:space="preserve"> the </w:t>
      </w:r>
      <w:r w:rsidR="00027444">
        <w:t>C</w:t>
      </w:r>
      <w:r w:rsidR="00770DCD">
        <w:t>ourt</w:t>
      </w:r>
      <w:r w:rsidR="00377FF1">
        <w:t xml:space="preserve"> addressed the public’s right to inspect insurance</w:t>
      </w:r>
      <w:r w:rsidR="00D356EE">
        <w:t xml:space="preserve"> company records filed with the Insurance Commissioner</w:t>
      </w:r>
      <w:r w:rsidR="00B97295">
        <w:t xml:space="preserve"> to which a trade secret</w:t>
      </w:r>
      <w:r w:rsidR="006E1CAA">
        <w:t xml:space="preserve"> privilege had been asserted</w:t>
      </w:r>
      <w:r w:rsidR="00D356EE">
        <w:t xml:space="preserve">. </w:t>
      </w:r>
      <w:r w:rsidR="00770DCD">
        <w:t xml:space="preserve"> </w:t>
      </w:r>
      <w:r w:rsidR="006E1CAA">
        <w:t xml:space="preserve">The Court </w:t>
      </w:r>
      <w:r w:rsidR="00770DCD">
        <w:t>first noted that t</w:t>
      </w:r>
      <w:r w:rsidR="00AA2D47">
        <w:t>h</w:t>
      </w:r>
      <w:r w:rsidR="00770DCD">
        <w:t xml:space="preserve">e trial court and the court of appeal </w:t>
      </w:r>
      <w:r w:rsidR="00AA2D47">
        <w:t xml:space="preserve">applied the </w:t>
      </w:r>
      <w:r w:rsidRPr="00C621FB" w:rsidR="00AA2D47">
        <w:rPr>
          <w:i/>
          <w:iCs/>
        </w:rPr>
        <w:t>Uribe</w:t>
      </w:r>
      <w:r w:rsidR="00AA2D47">
        <w:t xml:space="preserve"> balancing test</w:t>
      </w:r>
      <w:r w:rsidR="00440EEE">
        <w:t>: “Finally, the court held that, even if the trade secret</w:t>
      </w:r>
      <w:r w:rsidR="00A81BCA">
        <w:t xml:space="preserve"> applied</w:t>
      </w:r>
      <w:r w:rsidR="00853AD5">
        <w:t>,</w:t>
      </w:r>
      <w:r w:rsidR="00841798">
        <w:t xml:space="preserve"> it still would </w:t>
      </w:r>
      <w:r w:rsidR="006E5E5C">
        <w:t>not protect State Farm’s record A data</w:t>
      </w:r>
      <w:r w:rsidR="00994BA9">
        <w:t>.”</w:t>
      </w:r>
      <w:r w:rsidR="00324C36">
        <w:t xml:space="preserve"> </w:t>
      </w:r>
      <w:r w:rsidR="007514BF">
        <w:t xml:space="preserve">The Court noted that there was a </w:t>
      </w:r>
      <w:r w:rsidR="008E61E7">
        <w:t xml:space="preserve">strong California policy in encouraging public participation in the insurance rate-setting process, which would be frustrated if </w:t>
      </w:r>
      <w:r w:rsidR="00641157">
        <w:t>insurers were allowed to withhold, on trade secret grounds, information on how insurance rates were calculated</w:t>
      </w:r>
      <w:r w:rsidR="00F4125F">
        <w:t xml:space="preserve">: </w:t>
      </w:r>
      <w:r w:rsidR="007C7ED2">
        <w:t>“By giving the public access to all information provided to the Commissioner pursuant to article 10—which was enacted by Proposition 103—our construction of Insurance Code Section</w:t>
      </w:r>
      <w:r w:rsidR="00B54846">
        <w:t> </w:t>
      </w:r>
      <w:r w:rsidR="007C7ED2">
        <w:t>1861.07 is wholly consistent with Proposition 103’s goal of fostering consumer participation in the rate-setting process.”</w:t>
      </w:r>
      <w:r w:rsidR="00EF0422">
        <w:t xml:space="preserve"> </w:t>
      </w:r>
      <w:r w:rsidR="00324C36">
        <w:t>After analyzing the applicable law, the Supreme Court</w:t>
      </w:r>
      <w:r w:rsidR="007141AC">
        <w:t xml:space="preserve"> ruled in favor of disclosure: “[W]e conclude that Insurance Code section 1861.07 does not incorporate the exemption to disclosure </w:t>
      </w:r>
      <w:r w:rsidR="00841B24">
        <w:t>found</w:t>
      </w:r>
      <w:r w:rsidR="007B0956">
        <w:t xml:space="preserve"> in Government Code section 6254, subdivision (k), and that trade secret </w:t>
      </w:r>
      <w:r w:rsidR="00841B24">
        <w:t>information is</w:t>
      </w:r>
      <w:r w:rsidR="007B0956">
        <w:t xml:space="preserve"> therefore not exempt from disclosure</w:t>
      </w:r>
      <w:r w:rsidR="00841B24">
        <w:t xml:space="preserve">.” </w:t>
      </w:r>
      <w:r w:rsidR="000C5372">
        <w:t>(32</w:t>
      </w:r>
      <w:r w:rsidR="00841B24">
        <w:t xml:space="preserve"> Cal.4</w:t>
      </w:r>
      <w:r w:rsidRPr="00841B24" w:rsidR="00841B24">
        <w:rPr>
          <w:vertAlign w:val="superscript"/>
        </w:rPr>
        <w:t>th</w:t>
      </w:r>
      <w:r w:rsidR="00841B24">
        <w:t xml:space="preserve"> at 1047.)</w:t>
      </w:r>
      <w:r w:rsidR="00ED07F1">
        <w:rPr>
          <w:rStyle w:val="FootnoteReference"/>
        </w:rPr>
        <w:footnoteReference w:id="8"/>
      </w:r>
      <w:r w:rsidR="00DD4E70">
        <w:t xml:space="preserve"> </w:t>
      </w:r>
    </w:p>
    <w:p w:rsidR="00CA2865" w:rsidP="00ED4E3B" w:rsidRDefault="00EF0422" w14:paraId="4F35B265" w14:textId="66C50AE1">
      <w:pPr>
        <w:pStyle w:val="Standard"/>
      </w:pPr>
      <w:r>
        <w:lastRenderedPageBreak/>
        <w:t xml:space="preserve">The public interests recognized </w:t>
      </w:r>
      <w:r w:rsidR="00B55413">
        <w:t xml:space="preserve">in </w:t>
      </w:r>
      <w:r w:rsidRPr="005D2768" w:rsidR="00B55413">
        <w:rPr>
          <w:i/>
          <w:iCs/>
        </w:rPr>
        <w:t>Uribe</w:t>
      </w:r>
      <w:r w:rsidR="00B55413">
        <w:t xml:space="preserve"> and </w:t>
      </w:r>
      <w:r w:rsidRPr="005D2768" w:rsidR="00B55413">
        <w:rPr>
          <w:i/>
          <w:iCs/>
        </w:rPr>
        <w:t>State Farm</w:t>
      </w:r>
      <w:r w:rsidR="00B55413">
        <w:t xml:space="preserve"> are no greater than the public</w:t>
      </w:r>
      <w:r w:rsidR="007669AE">
        <w:t>’s</w:t>
      </w:r>
      <w:r w:rsidR="00B55413">
        <w:t xml:space="preserve"> interest in obtaining </w:t>
      </w:r>
      <w:r w:rsidR="005D2768">
        <w:t xml:space="preserve">Lyft’s trip data for 2014-2019. </w:t>
      </w:r>
      <w:r w:rsidR="006F28E5">
        <w:t xml:space="preserve"> </w:t>
      </w:r>
      <w:r w:rsidR="003B23F9">
        <w:t>D.24</w:t>
      </w:r>
      <w:r w:rsidR="00D73AAA">
        <w:t>-10-034</w:t>
      </w:r>
      <w:r w:rsidR="00134EE7">
        <w:t xml:space="preserve"> </w:t>
      </w:r>
      <w:r w:rsidR="0072206B">
        <w:t xml:space="preserve">agreed with D.23-12-015’s conclusion that the </w:t>
      </w:r>
      <w:r w:rsidR="00641A0A">
        <w:t xml:space="preserve">public interest would be served by the public disclosure of </w:t>
      </w:r>
      <w:r w:rsidR="00540685">
        <w:t xml:space="preserve">the trip data regardless of whether a trade secret claim had been established. </w:t>
      </w:r>
      <w:r w:rsidR="00153C44">
        <w:t xml:space="preserve"> </w:t>
      </w:r>
      <w:r w:rsidR="00300427">
        <w:t xml:space="preserve">In agreeing that nondisclosure of the trip data would work </w:t>
      </w:r>
      <w:r w:rsidR="00755BF8">
        <w:t>an injustice, D.24-10-034</w:t>
      </w:r>
      <w:r w:rsidR="00687014">
        <w:t xml:space="preserve"> acknowledged </w:t>
      </w:r>
      <w:r w:rsidR="00421C31">
        <w:t>how the dissemination of the trip data sheds public light on how the Commission regulates the TNC business</w:t>
      </w:r>
      <w:r w:rsidR="00A51D87">
        <w:t xml:space="preserve"> in several respects:</w:t>
      </w:r>
      <w:r w:rsidR="003E3A0B">
        <w:t xml:space="preserve"> </w:t>
      </w:r>
      <w:r w:rsidR="00F9195C">
        <w:t xml:space="preserve">(1) </w:t>
      </w:r>
      <w:r w:rsidR="003E3A0B">
        <w:t xml:space="preserve">to ensure that TNCs conduct their operations in a safe manner; </w:t>
      </w:r>
      <w:r w:rsidR="00F9195C">
        <w:t xml:space="preserve">(2) </w:t>
      </w:r>
      <w:r w:rsidR="00277FD7">
        <w:t xml:space="preserve">to ensure that TNCs operate in a nondiscriminatory manner; </w:t>
      </w:r>
      <w:r w:rsidR="00F9195C">
        <w:t xml:space="preserve">(3) </w:t>
      </w:r>
      <w:r w:rsidR="004A7A51">
        <w:t xml:space="preserve">to ensure that TNC vehicles are accessible to people with disabilities; and </w:t>
      </w:r>
      <w:r w:rsidR="008F654E">
        <w:t xml:space="preserve">(4) </w:t>
      </w:r>
      <w:r w:rsidR="004A7A51">
        <w:t>to evaluate the impact of TNCs on traffic congestion, infrastructure, and air pollution.</w:t>
      </w:r>
      <w:r w:rsidR="00AB0F8C">
        <w:t xml:space="preserve"> </w:t>
      </w:r>
      <w:r w:rsidR="00153C44">
        <w:t xml:space="preserve"> </w:t>
      </w:r>
      <w:r w:rsidR="00AB0F8C">
        <w:t xml:space="preserve">(D.24-10-034 at </w:t>
      </w:r>
      <w:r w:rsidR="00F5233C">
        <w:t>11, citing to D.23-12-015 at 85-91</w:t>
      </w:r>
      <w:r w:rsidR="00F9195C">
        <w:t>.)</w:t>
      </w:r>
      <w:r w:rsidR="00BD032D">
        <w:t xml:space="preserve"> </w:t>
      </w:r>
      <w:r w:rsidR="00153C44">
        <w:t xml:space="preserve"> </w:t>
      </w:r>
      <w:r w:rsidR="0048398E">
        <w:t xml:space="preserve">These and other public interest considerations </w:t>
      </w:r>
      <w:r w:rsidR="0085748D">
        <w:t xml:space="preserve">were </w:t>
      </w:r>
      <w:r w:rsidR="005B5553">
        <w:t xml:space="preserve">also </w:t>
      </w:r>
      <w:r w:rsidR="0085748D">
        <w:t xml:space="preserve">deemed </w:t>
      </w:r>
      <w:r w:rsidR="00B73A55">
        <w:t xml:space="preserve">persuasive </w:t>
      </w:r>
      <w:r w:rsidR="0085748D">
        <w:t xml:space="preserve">by the Court in </w:t>
      </w:r>
      <w:r w:rsidRPr="005B5553" w:rsidR="0085748D">
        <w:rPr>
          <w:i/>
          <w:iCs/>
        </w:rPr>
        <w:t>City of San Francisco v. Uber Technology</w:t>
      </w:r>
      <w:r w:rsidRPr="005B5553" w:rsidR="00B73A55">
        <w:rPr>
          <w:i/>
          <w:iCs/>
        </w:rPr>
        <w:t>, Inc</w:t>
      </w:r>
      <w:r w:rsidR="00B73A55">
        <w:t>. (2019) 36 Cal.App. 5</w:t>
      </w:r>
      <w:r w:rsidRPr="00B73A55" w:rsidR="00B73A55">
        <w:rPr>
          <w:vertAlign w:val="superscript"/>
        </w:rPr>
        <w:t>th</w:t>
      </w:r>
      <w:r w:rsidR="00B73A55">
        <w:t xml:space="preserve"> 66</w:t>
      </w:r>
      <w:r w:rsidR="005E083E">
        <w:t>, 75-76</w:t>
      </w:r>
      <w:r w:rsidR="005B5553">
        <w:t>,</w:t>
      </w:r>
      <w:r w:rsidR="00265BE8">
        <w:t xml:space="preserve"> in</w:t>
      </w:r>
      <w:r w:rsidR="00A55F37">
        <w:t xml:space="preserve"> </w:t>
      </w:r>
      <w:r w:rsidR="00265BE8">
        <w:t xml:space="preserve">approving the City attorney’s investigative powers to issue administrative subpoenas to obtain </w:t>
      </w:r>
      <w:r w:rsidR="00CD3A6D">
        <w:t>Uber</w:t>
      </w:r>
      <w:r w:rsidR="00153C44">
        <w:t xml:space="preserve">’s </w:t>
      </w:r>
      <w:r w:rsidR="00A55F37">
        <w:t xml:space="preserve">trip data. </w:t>
      </w:r>
    </w:p>
    <w:p w:rsidR="002D0E53" w:rsidP="00ED4E3B" w:rsidRDefault="00BD032D" w14:paraId="50B65448" w14:textId="43E9B459">
      <w:pPr>
        <w:pStyle w:val="Standard"/>
      </w:pPr>
      <w:r>
        <w:t xml:space="preserve">The fact that the trip data from 2014-2019 may continue to have independent economic value does not </w:t>
      </w:r>
      <w:r w:rsidR="00DD1E44">
        <w:t>outweigh the public’s interest in the trip data’s disclosure.</w:t>
      </w:r>
      <w:r w:rsidR="006C2C6B">
        <w:rPr>
          <w:rStyle w:val="FootnoteReference"/>
        </w:rPr>
        <w:footnoteReference w:id="9"/>
      </w:r>
      <w:r w:rsidR="00DD1E44">
        <w:t xml:space="preserve"> </w:t>
      </w:r>
      <w:r w:rsidR="00CE1200">
        <w:t xml:space="preserve"> </w:t>
      </w:r>
      <w:r w:rsidR="00175640">
        <w:t>Lyft recognizes th</w:t>
      </w:r>
      <w:r w:rsidR="00590F1E">
        <w:t>is</w:t>
      </w:r>
      <w:r w:rsidR="00175640">
        <w:t xml:space="preserve"> conundrum yet</w:t>
      </w:r>
      <w:r w:rsidR="00890601">
        <w:t xml:space="preserve"> urges the Commission to </w:t>
      </w:r>
      <w:r w:rsidR="00890601">
        <w:lastRenderedPageBreak/>
        <w:t xml:space="preserve">revisit that determination </w:t>
      </w:r>
      <w:r w:rsidR="00E76B89">
        <w:t xml:space="preserve">because </w:t>
      </w:r>
      <w:r w:rsidR="00890601">
        <w:t xml:space="preserve">of the reasons set forth in its </w:t>
      </w:r>
      <w:r w:rsidRPr="00535348" w:rsidR="00890601">
        <w:rPr>
          <w:i/>
          <w:iCs/>
        </w:rPr>
        <w:t xml:space="preserve">Application for </w:t>
      </w:r>
      <w:r w:rsidRPr="00535348" w:rsidR="00535348">
        <w:rPr>
          <w:i/>
          <w:iCs/>
        </w:rPr>
        <w:t>Rehearing</w:t>
      </w:r>
      <w:r w:rsidR="00535348">
        <w:t xml:space="preserve">. </w:t>
      </w:r>
      <w:r w:rsidR="002E7A94">
        <w:t xml:space="preserve"> </w:t>
      </w:r>
      <w:r w:rsidR="00DA1EE7">
        <w:t xml:space="preserve">Lyft </w:t>
      </w:r>
      <w:r w:rsidR="00C43B9E">
        <w:t>claims</w:t>
      </w:r>
      <w:r w:rsidR="00DA1EE7">
        <w:t xml:space="preserve"> that while </w:t>
      </w:r>
      <w:r w:rsidR="00613D05">
        <w:t xml:space="preserve">examining </w:t>
      </w:r>
      <w:r w:rsidR="00DA1EE7">
        <w:t xml:space="preserve">trip data </w:t>
      </w:r>
      <w:r w:rsidR="008725B3">
        <w:t xml:space="preserve">is relevant to </w:t>
      </w:r>
      <w:r w:rsidR="00613D05">
        <w:t>deciding if</w:t>
      </w:r>
      <w:r w:rsidR="008725B3">
        <w:t xml:space="preserve"> the </w:t>
      </w:r>
      <w:r w:rsidR="002E2FF4">
        <w:t>information</w:t>
      </w:r>
      <w:r w:rsidR="008725B3">
        <w:t xml:space="preserve"> is a public record, </w:t>
      </w:r>
      <w:r w:rsidR="003F3CAF">
        <w:t>and that</w:t>
      </w:r>
      <w:r w:rsidR="00403B42">
        <w:t xml:space="preserve"> the trip data may be useful for other salutary purposes</w:t>
      </w:r>
      <w:r w:rsidR="00871915">
        <w:t xml:space="preserve">, the trade secret claim should prevail over those considerations. </w:t>
      </w:r>
      <w:r w:rsidR="002E7A94">
        <w:t xml:space="preserve"> </w:t>
      </w:r>
      <w:r w:rsidR="00871915">
        <w:t xml:space="preserve">(Lyft </w:t>
      </w:r>
      <w:r w:rsidRPr="00C66E02" w:rsidR="00871915">
        <w:rPr>
          <w:i/>
          <w:iCs/>
        </w:rPr>
        <w:t>Opening Brief</w:t>
      </w:r>
      <w:r w:rsidR="00871915">
        <w:t xml:space="preserve"> at 7.)</w:t>
      </w:r>
      <w:r w:rsidR="00754AEF">
        <w:t xml:space="preserve"> </w:t>
      </w:r>
      <w:r w:rsidR="00CE1200">
        <w:t xml:space="preserve"> </w:t>
      </w:r>
      <w:r w:rsidR="00754AEF">
        <w:t xml:space="preserve">Lyft cites </w:t>
      </w:r>
      <w:r w:rsidRPr="0091363A" w:rsidR="00594B27">
        <w:rPr>
          <w:i/>
          <w:iCs/>
        </w:rPr>
        <w:t>Bambu Franchising, LLC v. Nguyen</w:t>
      </w:r>
      <w:r w:rsidR="00594B27">
        <w:t xml:space="preserve"> (N.D. Cal. 2021) 537 F.Supp.3d 1066, 1080</w:t>
      </w:r>
      <w:r w:rsidR="0042211B">
        <w:t xml:space="preserve"> and </w:t>
      </w:r>
      <w:r w:rsidRPr="0091363A" w:rsidR="0042211B">
        <w:rPr>
          <w:i/>
          <w:iCs/>
        </w:rPr>
        <w:t>Henry Schein, Inc. v. Cook</w:t>
      </w:r>
      <w:r w:rsidR="0042211B">
        <w:t xml:space="preserve"> (N</w:t>
      </w:r>
      <w:r w:rsidR="00913C0B">
        <w:t>.</w:t>
      </w:r>
      <w:r w:rsidR="0042211B">
        <w:t>D.</w:t>
      </w:r>
      <w:r w:rsidR="00913C0B">
        <w:t xml:space="preserve"> Cal. 2016) 191 F.Supp.3d 1072, 1078</w:t>
      </w:r>
      <w:r w:rsidR="00613D05">
        <w:t>, arguing</w:t>
      </w:r>
      <w:r w:rsidR="00913C0B">
        <w:t xml:space="preserve"> that </w:t>
      </w:r>
      <w:r w:rsidR="00B70712">
        <w:t xml:space="preserve">D.24-10-034 did not consider this public interest </w:t>
      </w:r>
      <w:r w:rsidR="009A0D36">
        <w:t xml:space="preserve">argument, </w:t>
      </w:r>
      <w:r w:rsidR="00B70712">
        <w:t xml:space="preserve">so Lyft is </w:t>
      </w:r>
      <w:r w:rsidR="0091363A">
        <w:t xml:space="preserve">free to make this argument now. </w:t>
      </w:r>
      <w:r w:rsidR="0042211B">
        <w:t xml:space="preserve"> </w:t>
      </w:r>
      <w:r w:rsidR="00A17621">
        <w:t xml:space="preserve">Lyft’s position appears to be that the duty to </w:t>
      </w:r>
      <w:r w:rsidR="00005424">
        <w:t xml:space="preserve">protect against </w:t>
      </w:r>
      <w:r w:rsidR="00820B85">
        <w:t xml:space="preserve">potentially </w:t>
      </w:r>
      <w:r w:rsidR="00005424">
        <w:t xml:space="preserve">unfair business competition </w:t>
      </w:r>
      <w:r w:rsidR="00C8626E">
        <w:t xml:space="preserve">outweighs the public’s interest in </w:t>
      </w:r>
      <w:r w:rsidR="00412592">
        <w:t xml:space="preserve">obtaining </w:t>
      </w:r>
      <w:r w:rsidR="00C8626E">
        <w:t>Lyft’s trip data for 2014-2019.</w:t>
      </w:r>
    </w:p>
    <w:p w:rsidR="00CF74ED" w:rsidP="00ED4E3B" w:rsidRDefault="00486819" w14:paraId="4D8C940A" w14:textId="0230869E">
      <w:pPr>
        <w:pStyle w:val="Standard"/>
      </w:pPr>
      <w:r>
        <w:t xml:space="preserve">Lyft’s argument </w:t>
      </w:r>
      <w:r w:rsidR="00761613">
        <w:t>is unpersuasive as it relies on authorities that are factually inapposite</w:t>
      </w:r>
      <w:r w:rsidR="00463FA4">
        <w:t xml:space="preserve"> because they arose in the context</w:t>
      </w:r>
      <w:r w:rsidR="003861C3">
        <w:t xml:space="preserve"> of trade secret misappropriation litigation</w:t>
      </w:r>
      <w:r w:rsidR="00761613">
        <w:t>.</w:t>
      </w:r>
      <w:r w:rsidR="00CE1200">
        <w:t xml:space="preserve"> </w:t>
      </w:r>
      <w:r w:rsidR="00761613">
        <w:t xml:space="preserve"> </w:t>
      </w:r>
      <w:r>
        <w:t xml:space="preserve">In </w:t>
      </w:r>
      <w:r w:rsidRPr="00511AE4">
        <w:rPr>
          <w:i/>
          <w:iCs/>
        </w:rPr>
        <w:t>Bambu</w:t>
      </w:r>
      <w:r w:rsidR="00E4329A">
        <w:rPr>
          <w:i/>
          <w:iCs/>
        </w:rPr>
        <w:t xml:space="preserve"> </w:t>
      </w:r>
      <w:r w:rsidR="00726AD8">
        <w:rPr>
          <w:i/>
          <w:iCs/>
        </w:rPr>
        <w:t>Franchising</w:t>
      </w:r>
      <w:r>
        <w:t>, the</w:t>
      </w:r>
      <w:r w:rsidR="0084418B">
        <w:t xml:space="preserve"> plaintiff sued</w:t>
      </w:r>
      <w:r w:rsidR="00430415">
        <w:t xml:space="preserve"> for violations of the Defend Trade Secrets Act, the California Uniform </w:t>
      </w:r>
      <w:r w:rsidR="00A67FB5">
        <w:t>T</w:t>
      </w:r>
      <w:r w:rsidR="00430415">
        <w:t xml:space="preserve">rade Secrets Act, breach of contract, violations of the Business and Professions </w:t>
      </w:r>
      <w:r w:rsidR="00497493">
        <w:t>C</w:t>
      </w:r>
      <w:r w:rsidR="00430415">
        <w:t xml:space="preserve">ode, conspiracy, and intentional </w:t>
      </w:r>
      <w:r w:rsidR="002F3F91">
        <w:t>misrepresentation and</w:t>
      </w:r>
      <w:r w:rsidR="00430415">
        <w:t xml:space="preserve"> sought a preliminary in</w:t>
      </w:r>
      <w:r w:rsidR="00497493">
        <w:t>j</w:t>
      </w:r>
      <w:r w:rsidR="00430415">
        <w:t>u</w:t>
      </w:r>
      <w:r w:rsidR="00497493">
        <w:t>n</w:t>
      </w:r>
      <w:r w:rsidR="00430415">
        <w:t xml:space="preserve">ction against all defendants. </w:t>
      </w:r>
      <w:r w:rsidR="00CE1200">
        <w:t xml:space="preserve"> </w:t>
      </w:r>
      <w:r w:rsidR="008268DA">
        <w:t xml:space="preserve">In deciding whether to grant injunctive </w:t>
      </w:r>
      <w:r w:rsidR="002F3F91">
        <w:t>relief</w:t>
      </w:r>
      <w:r w:rsidR="008268DA">
        <w:t xml:space="preserve">, the </w:t>
      </w:r>
      <w:r w:rsidR="007538CA">
        <w:t>Court balanced the</w:t>
      </w:r>
      <w:r w:rsidR="00AD4E22">
        <w:t xml:space="preserve"> </w:t>
      </w:r>
      <w:r w:rsidR="00017097">
        <w:t xml:space="preserve">policy favoring competition versus the need to protect trade secrets and concluded that the </w:t>
      </w:r>
      <w:r w:rsidR="00F776D4">
        <w:t>latter</w:t>
      </w:r>
      <w:r w:rsidR="00017097">
        <w:t xml:space="preserve"> prevailed: </w:t>
      </w:r>
      <w:r w:rsidR="00105E79">
        <w:t xml:space="preserve">“Though </w:t>
      </w:r>
      <w:r w:rsidR="00F776D4">
        <w:t>California</w:t>
      </w:r>
      <w:r w:rsidR="00105E79">
        <w:t xml:space="preserve"> has a strong public policy in favor of vigorous </w:t>
      </w:r>
      <w:r w:rsidR="008513C4">
        <w:t xml:space="preserve">competition, that interest ‘yields to California’s interest in protecting a company’s trade secrets.’” </w:t>
      </w:r>
      <w:r w:rsidR="002E7A94">
        <w:t xml:space="preserve"> </w:t>
      </w:r>
      <w:r w:rsidR="008513C4">
        <w:t xml:space="preserve">(537 F.Supp.3d at 1080, quoting </w:t>
      </w:r>
      <w:r w:rsidRPr="00F776D4" w:rsidR="008513C4">
        <w:rPr>
          <w:i/>
          <w:iCs/>
        </w:rPr>
        <w:t>Lato</w:t>
      </w:r>
      <w:r w:rsidRPr="00F776D4" w:rsidR="00C71F6E">
        <w:rPr>
          <w:i/>
          <w:iCs/>
        </w:rPr>
        <w:t xml:space="preserve">na v. </w:t>
      </w:r>
      <w:r w:rsidRPr="00F776D4" w:rsidR="00F776D4">
        <w:rPr>
          <w:i/>
          <w:iCs/>
        </w:rPr>
        <w:t>Aetna</w:t>
      </w:r>
      <w:r w:rsidRPr="00F776D4" w:rsidR="00C71F6E">
        <w:rPr>
          <w:i/>
          <w:iCs/>
        </w:rPr>
        <w:t xml:space="preserve"> U.S. Healthcare, Inc</w:t>
      </w:r>
      <w:r w:rsidR="00C71F6E">
        <w:t>., 82 F.Supp.2d 1089, 1096</w:t>
      </w:r>
      <w:r w:rsidR="00F776D4">
        <w:t xml:space="preserve"> (C.D. Cal. 1999.)</w:t>
      </w:r>
      <w:r w:rsidR="00B774E0">
        <w:t xml:space="preserve"> </w:t>
      </w:r>
      <w:r w:rsidR="002E7A94">
        <w:t xml:space="preserve"> </w:t>
      </w:r>
      <w:r w:rsidR="00A03AE4">
        <w:t xml:space="preserve">Here, however, the Commission </w:t>
      </w:r>
      <w:r w:rsidR="00AA5C44">
        <w:t xml:space="preserve">did not ground its decision on the need to promote competition in </w:t>
      </w:r>
      <w:r w:rsidR="00AA5C44">
        <w:lastRenderedPageBreak/>
        <w:t xml:space="preserve">the TNC industry. </w:t>
      </w:r>
      <w:r w:rsidR="002E7A94">
        <w:t xml:space="preserve"> </w:t>
      </w:r>
      <w:r w:rsidR="00AA5C44">
        <w:t xml:space="preserve">Instead, the Commission </w:t>
      </w:r>
      <w:r w:rsidR="00A03AE4">
        <w:t xml:space="preserve">determined the public interest in understanding how the Commission regulated the TNCs and </w:t>
      </w:r>
      <w:r w:rsidR="00C00D8C">
        <w:t xml:space="preserve">the impact of TNC operations on the public outweighed the trade secret claim. </w:t>
      </w:r>
    </w:p>
    <w:p w:rsidR="00511AE4" w:rsidP="00ED4E3B" w:rsidRDefault="00E4329A" w14:paraId="6812DB39" w14:textId="783C13AB">
      <w:pPr>
        <w:pStyle w:val="Standard"/>
      </w:pPr>
      <w:r>
        <w:t xml:space="preserve">Similarly, in </w:t>
      </w:r>
      <w:r w:rsidRPr="00E51F08">
        <w:rPr>
          <w:i/>
          <w:iCs/>
        </w:rPr>
        <w:t>Henry Schein</w:t>
      </w:r>
      <w:r>
        <w:t xml:space="preserve">, </w:t>
      </w:r>
      <w:r w:rsidR="00A7293D">
        <w:t>the Court had to balance the hardships in deciding whether to grant a temporary restraining order to prevent defendant from accessing, using, disclosing, or making available</w:t>
      </w:r>
      <w:r w:rsidR="009A0D36">
        <w:t>,</w:t>
      </w:r>
      <w:r w:rsidR="00A7293D">
        <w:t xml:space="preserve"> any of plaintiff’s trade secret information</w:t>
      </w:r>
      <w:r w:rsidR="00E51F08">
        <w:t>.</w:t>
      </w:r>
      <w:r w:rsidR="00A95AC2">
        <w:t xml:space="preserve"> </w:t>
      </w:r>
      <w:r w:rsidR="002E7A94">
        <w:t xml:space="preserve"> </w:t>
      </w:r>
      <w:r w:rsidR="00A95AC2">
        <w:t xml:space="preserve">The Court determined that the public interest was served by </w:t>
      </w:r>
      <w:r w:rsidR="00C46325">
        <w:t>enabling the protection of trade secrets, especially since</w:t>
      </w:r>
      <w:r w:rsidR="00D26911">
        <w:t xml:space="preserve"> the defendant’s employer had signed a contractual agreement to be bound by the trade laws. </w:t>
      </w:r>
      <w:r w:rsidR="002E7A94">
        <w:t xml:space="preserve"> </w:t>
      </w:r>
      <w:r w:rsidR="00624E96">
        <w:t xml:space="preserve">In contrast, there is no contractual agreement binding the Commission to a trade secret agreement that would prevent </w:t>
      </w:r>
      <w:r w:rsidR="00455328">
        <w:t>it</w:t>
      </w:r>
      <w:r w:rsidR="00624E96">
        <w:t xml:space="preserve"> from weighing the public interest in trip data disclosure. </w:t>
      </w:r>
    </w:p>
    <w:p w:rsidR="00211504" w:rsidP="00ED4E3B" w:rsidRDefault="00211504" w14:paraId="27A74949" w14:textId="301A82D2">
      <w:pPr>
        <w:pStyle w:val="Standard"/>
      </w:pPr>
      <w:r>
        <w:t xml:space="preserve">Finally, Lyft asks that if the Commission still intends to require the public disclosure of the 2014-2019 trip data, </w:t>
      </w:r>
      <w:r w:rsidR="00FF47C2">
        <w:t xml:space="preserve">it should adopt additional </w:t>
      </w:r>
      <w:r w:rsidR="00BA4B13">
        <w:t>data anonymization</w:t>
      </w:r>
      <w:r w:rsidR="003D5C37">
        <w:t xml:space="preserve"> as a further safeguard</w:t>
      </w:r>
      <w:r w:rsidR="00BA4B13">
        <w:t xml:space="preserve">, something Lyft notes was </w:t>
      </w:r>
      <w:r w:rsidR="00FF47C2">
        <w:t xml:space="preserve">utilized by the </w:t>
      </w:r>
      <w:r w:rsidR="00BA4B13">
        <w:t>City of Chicago</w:t>
      </w:r>
      <w:r w:rsidR="00BE7ECD">
        <w:t xml:space="preserve">. </w:t>
      </w:r>
      <w:r w:rsidR="006F28E5">
        <w:t xml:space="preserve"> </w:t>
      </w:r>
      <w:r w:rsidR="00BE7ECD">
        <w:t xml:space="preserve">(Lyft </w:t>
      </w:r>
      <w:r w:rsidRPr="00BE7ECD" w:rsidR="00BE7ECD">
        <w:rPr>
          <w:i/>
          <w:iCs/>
        </w:rPr>
        <w:t>Opening Brief</w:t>
      </w:r>
      <w:r w:rsidR="00BE7ECD">
        <w:t xml:space="preserve"> at 8.)</w:t>
      </w:r>
      <w:r w:rsidR="00BA4B13">
        <w:t xml:space="preserve"> </w:t>
      </w:r>
      <w:r w:rsidR="00CE1200">
        <w:t xml:space="preserve"> </w:t>
      </w:r>
      <w:r w:rsidR="00E56D61">
        <w:t xml:space="preserve">San Francisco County Transit Authority </w:t>
      </w:r>
      <w:r w:rsidR="0072322F">
        <w:t xml:space="preserve">opposes any attempt by Lyft to </w:t>
      </w:r>
      <w:r w:rsidR="00CE1200">
        <w:t xml:space="preserve">expand </w:t>
      </w:r>
      <w:r w:rsidR="0072322F">
        <w:t>confidential treatment of trip data submitted to the Commission beyond that w</w:t>
      </w:r>
      <w:r w:rsidR="003D5C37">
        <w:t>hich</w:t>
      </w:r>
      <w:r w:rsidR="0072322F">
        <w:t xml:space="preserve"> the Commission has already approved </w:t>
      </w:r>
      <w:r w:rsidR="003D5C37">
        <w:t xml:space="preserve">for </w:t>
      </w:r>
      <w:r w:rsidR="0072322F">
        <w:t xml:space="preserve">confidential treatment. </w:t>
      </w:r>
      <w:r w:rsidR="00456D67">
        <w:t xml:space="preserve"> (San Francisco County Transit Authority </w:t>
      </w:r>
      <w:r w:rsidRPr="00456D67" w:rsidR="00456D67">
        <w:rPr>
          <w:i/>
          <w:iCs/>
        </w:rPr>
        <w:t>Opposition</w:t>
      </w:r>
      <w:r w:rsidR="00456D67">
        <w:t xml:space="preserve"> at 2.)</w:t>
      </w:r>
    </w:p>
    <w:p w:rsidRPr="000E270A" w:rsidR="000E270A" w:rsidP="000E270A" w:rsidRDefault="000C4E92" w14:paraId="6D699547" w14:textId="25865043">
      <w:pPr>
        <w:pStyle w:val="Standard"/>
      </w:pPr>
      <w:r>
        <w:t xml:space="preserve">We reject Lyft’s request. </w:t>
      </w:r>
      <w:r w:rsidR="002E7A94">
        <w:t xml:space="preserve"> </w:t>
      </w:r>
      <w:r>
        <w:t xml:space="preserve">The Commission has already considered how the City of Chicago anonymized TNC trip data and </w:t>
      </w:r>
      <w:r w:rsidR="000E7071">
        <w:t xml:space="preserve">developed its own aggregation approach in order to preserve </w:t>
      </w:r>
      <w:r w:rsidR="00482433">
        <w:t>passenger and driver safety</w:t>
      </w:r>
      <w:r w:rsidR="000E45AD">
        <w:t xml:space="preserve">, and we ordered that </w:t>
      </w:r>
      <w:r w:rsidR="00B07DAB">
        <w:t>trip request date/time, trip request accepted date/time, passenger pick up date/time</w:t>
      </w:r>
      <w:r w:rsidR="00F23050">
        <w:t>, and passenger drop off date/time be aggregated to the nearest 30 minutes interval</w:t>
      </w:r>
      <w:r w:rsidR="00482433">
        <w:t>.</w:t>
      </w:r>
      <w:r w:rsidR="00CE1200">
        <w:t xml:space="preserve"> </w:t>
      </w:r>
      <w:r w:rsidR="00A456F6">
        <w:t xml:space="preserve"> (</w:t>
      </w:r>
      <w:r w:rsidRPr="000C11A6" w:rsidR="000C11A6">
        <w:rPr>
          <w:i/>
          <w:iCs/>
        </w:rPr>
        <w:t xml:space="preserve">See </w:t>
      </w:r>
      <w:r w:rsidR="00D5648A">
        <w:t xml:space="preserve">D.23-12-015 at </w:t>
      </w:r>
      <w:r w:rsidR="00D34C76">
        <w:t>107-112</w:t>
      </w:r>
      <w:r w:rsidR="00B86D05">
        <w:t>, and Ordering Paragraph</w:t>
      </w:r>
      <w:r w:rsidR="002E7A94">
        <w:t> </w:t>
      </w:r>
      <w:r w:rsidR="00B86D05">
        <w:t>3</w:t>
      </w:r>
      <w:r w:rsidR="000C11A6">
        <w:t>.)</w:t>
      </w:r>
      <w:r w:rsidR="00E55891">
        <w:t xml:space="preserve"> </w:t>
      </w:r>
      <w:r w:rsidR="00CE1200">
        <w:t xml:space="preserve"> </w:t>
      </w:r>
      <w:r w:rsidR="00E55891">
        <w:t xml:space="preserve">There </w:t>
      </w:r>
      <w:r w:rsidR="00E55891">
        <w:lastRenderedPageBreak/>
        <w:t xml:space="preserve">is no reason to require further anonymization of the 2014-2019 trip data beyond what we have already required. </w:t>
      </w:r>
    </w:p>
    <w:p w:rsidR="00603238" w:rsidP="00FA1B4F" w:rsidRDefault="00603238" w14:paraId="0690C84C" w14:textId="77777777">
      <w:pPr>
        <w:pStyle w:val="Heading1"/>
      </w:pPr>
      <w:bookmarkStart w:name="_Toc193873932" w:id="15"/>
      <w:bookmarkStart w:name="_Toc8123721" w:id="16"/>
      <w:r>
        <w:t>Summary of Public Comment</w:t>
      </w:r>
      <w:bookmarkEnd w:id="15"/>
    </w:p>
    <w:p w:rsidR="00603238" w:rsidP="009B27AF" w:rsidRDefault="00603238" w14:paraId="484D8F26" w14:textId="6B8B327B">
      <w:pPr>
        <w:pStyle w:val="Standard"/>
      </w:pPr>
      <w:r w:rsidRPr="00D6697D">
        <w:t>Rule</w:t>
      </w:r>
      <w:r w:rsidR="00831CEB">
        <w:t> </w:t>
      </w:r>
      <w:r w:rsidRPr="00D6697D">
        <w:t xml:space="preserve">1.18 </w:t>
      </w:r>
      <w:r w:rsidR="00831CEB">
        <w:t xml:space="preserve">of the </w:t>
      </w:r>
      <w:r w:rsidRPr="00831CEB" w:rsidR="00831CEB">
        <w:t xml:space="preserve">Commission’s Rules of Practice and Procedure </w:t>
      </w:r>
      <w:r w:rsidR="00831CEB">
        <w:t xml:space="preserve">(Rule or Rules) </w:t>
      </w:r>
      <w:r w:rsidRPr="00D6697D">
        <w:t>allows any member of the public to submit written comment in any Commission proceeding using the “Public Comment” tab of the online Docket Card for that proceeding on the Commission’s website.  Rule 1.18(b) requires that relevant written comment submitted in a proceeding be summarized in the final decision issued in that proceeding.</w:t>
      </w:r>
    </w:p>
    <w:p w:rsidRPr="00D6697D" w:rsidR="00455328" w:rsidP="009B27AF" w:rsidRDefault="00CE1200" w14:paraId="03D3B9F2" w14:textId="32C98567">
      <w:pPr>
        <w:pStyle w:val="Standard"/>
        <w:rPr>
          <w:rFonts w:ascii="Calibri" w:hAnsi="Calibri"/>
          <w:sz w:val="22"/>
        </w:rPr>
      </w:pPr>
      <w:r>
        <w:t>No</w:t>
      </w:r>
      <w:r w:rsidR="00455328">
        <w:t xml:space="preserve"> public comments were submitted</w:t>
      </w:r>
      <w:r w:rsidR="00A37F61">
        <w:t xml:space="preserve"> following the limited rehearing</w:t>
      </w:r>
      <w:r w:rsidR="00455328">
        <w:t>.</w:t>
      </w:r>
    </w:p>
    <w:p w:rsidR="005939A5" w:rsidP="005939A5" w:rsidRDefault="005939A5" w14:paraId="1EC882B7" w14:textId="77777777">
      <w:pPr>
        <w:pStyle w:val="Heading1"/>
      </w:pPr>
      <w:bookmarkStart w:name="_Toc8123723" w:id="17"/>
      <w:bookmarkStart w:name="_Toc193873933" w:id="18"/>
      <w:bookmarkEnd w:id="16"/>
      <w:r>
        <w:t>Comments on Proposed Decision</w:t>
      </w:r>
      <w:bookmarkEnd w:id="17"/>
      <w:bookmarkEnd w:id="18"/>
    </w:p>
    <w:p w:rsidR="00363419" w:rsidP="00440D0E" w:rsidRDefault="005C58FA" w14:paraId="0D3D89BA" w14:textId="0EEA4DCA">
      <w:pPr>
        <w:pStyle w:val="Standard"/>
      </w:pPr>
      <w:r w:rsidRPr="00971752">
        <w:t>The proposed decision of Commissioner</w:t>
      </w:r>
      <w:r w:rsidRPr="00971752" w:rsidR="00DB039A">
        <w:t xml:space="preserve"> Matthew Baker</w:t>
      </w:r>
      <w:r>
        <w:t xml:space="preserve"> in this matter was mailed to the parties in accordance with Section 311 of the Public Utilities Code and comments were allowed under Rule 14.3 of the Commission’s Rules of Practice and Procedure.  </w:t>
      </w:r>
      <w:r w:rsidR="00DC4631">
        <w:t xml:space="preserve">Lyft filed </w:t>
      </w:r>
      <w:r w:rsidR="00440D0E">
        <w:t>o</w:t>
      </w:r>
      <w:r w:rsidR="00363419">
        <w:t xml:space="preserve">pening </w:t>
      </w:r>
      <w:r w:rsidR="00440D0E">
        <w:t>c</w:t>
      </w:r>
      <w:r>
        <w:t xml:space="preserve">omments </w:t>
      </w:r>
      <w:r w:rsidR="00DC4631">
        <w:t>on April 29, 2025.</w:t>
      </w:r>
      <w:r w:rsidRPr="00C878D5" w:rsidR="00C878D5">
        <w:t xml:space="preserve"> </w:t>
      </w:r>
      <w:r w:rsidR="00440D0E">
        <w:t xml:space="preserve"> </w:t>
      </w:r>
      <w:r w:rsidR="00F40EAC">
        <w:t xml:space="preserve">No party filed </w:t>
      </w:r>
      <w:r w:rsidR="00440D0E">
        <w:t>r</w:t>
      </w:r>
      <w:r w:rsidR="00F40EAC">
        <w:t>eply</w:t>
      </w:r>
      <w:r w:rsidR="00363419">
        <w:t xml:space="preserve"> </w:t>
      </w:r>
      <w:r w:rsidR="00440D0E">
        <w:t>c</w:t>
      </w:r>
      <w:r w:rsidR="00363419">
        <w:t>omments.</w:t>
      </w:r>
    </w:p>
    <w:p w:rsidR="006120E0" w:rsidP="00440D0E" w:rsidRDefault="00DC4631" w14:paraId="25A87977" w14:textId="77777777">
      <w:pPr>
        <w:pStyle w:val="Standard"/>
      </w:pPr>
      <w:r>
        <w:t xml:space="preserve">We set forth and </w:t>
      </w:r>
      <w:r w:rsidR="00363419">
        <w:t>address</w:t>
      </w:r>
      <w:r>
        <w:t xml:space="preserve"> Lyft’s main arguments.</w:t>
      </w:r>
    </w:p>
    <w:p w:rsidRPr="00440D0E" w:rsidR="006120E0" w:rsidP="00B53802" w:rsidRDefault="006120E0" w14:paraId="2A3F89C6" w14:textId="77777777">
      <w:pPr>
        <w:pStyle w:val="Heading2"/>
      </w:pPr>
      <w:r w:rsidRPr="00440D0E">
        <w:t>Government Code § 6254(k) (now Government Code § 7927.705) and Evidence Code 1060</w:t>
      </w:r>
    </w:p>
    <w:p w:rsidRPr="00440D0E" w:rsidR="006120E0" w:rsidP="006120E0" w:rsidRDefault="006120E0" w14:paraId="62952959" w14:textId="78416666">
      <w:pPr>
        <w:pStyle w:val="Standard"/>
      </w:pPr>
      <w:r w:rsidRPr="00440D0E">
        <w:t>Lyft argues that the decision errs in concluding that the public interest/private interest balancing test should be employed to determine if allegedly protected trade secret trip data should be publicly disclosed</w:t>
      </w:r>
      <w:r w:rsidR="006F28E5">
        <w:t xml:space="preserve">.  </w:t>
      </w:r>
      <w:r w:rsidRPr="00440D0E">
        <w:t xml:space="preserve">Lyft claims that the phrase “work [an] injustice” found in Evidence Code § 1060 only allows for consideration of the impact of not disclosing information protected by a trade secret to a party in a litigation dispute, and quotes the following language from </w:t>
      </w:r>
      <w:r w:rsidRPr="00440D0E">
        <w:rPr>
          <w:i/>
          <w:iCs/>
        </w:rPr>
        <w:t>Bridgestone/Firestone</w:t>
      </w:r>
      <w:r w:rsidRPr="00440D0E">
        <w:t>: “Failure to disclose the information would ‘work an injustice’ within the meaning of Evidence Code section 1060</w:t>
      </w:r>
      <w:r w:rsidR="00D420FF">
        <w:t xml:space="preserve"> </w:t>
      </w:r>
      <w:r w:rsidRPr="00440D0E">
        <w:t xml:space="preserve">[where] one side </w:t>
      </w:r>
      <w:r w:rsidRPr="00440D0E">
        <w:lastRenderedPageBreak/>
        <w:t>would have evidence—reasonably believed to be essential to a fair resolution of the lawsuit—</w:t>
      </w:r>
      <w:r w:rsidR="00D420FF">
        <w:t xml:space="preserve">which </w:t>
      </w:r>
      <w:r w:rsidRPr="00440D0E">
        <w:t>was denied the opposing party.” (Comments at 3.) Lyft’s position appears to be that there must be a civil complaint, and either the plaintiff or the defendant needs access to trade secret information to successfully establish a cause of action or a defense</w:t>
      </w:r>
      <w:r w:rsidRPr="00D420FF" w:rsidR="00D420FF">
        <w:t xml:space="preserve"> before the balancing test can be employed</w:t>
      </w:r>
      <w:r w:rsidRPr="00440D0E">
        <w:t>.</w:t>
      </w:r>
    </w:p>
    <w:p w:rsidRPr="00440D0E" w:rsidR="006120E0" w:rsidP="006120E0" w:rsidRDefault="006120E0" w14:paraId="0F6032EC" w14:textId="6289C71D">
      <w:pPr>
        <w:pStyle w:val="Standard"/>
      </w:pPr>
      <w:r w:rsidRPr="00440D0E">
        <w:t xml:space="preserve">But while </w:t>
      </w:r>
      <w:r w:rsidRPr="00440D0E">
        <w:rPr>
          <w:i/>
          <w:iCs/>
        </w:rPr>
        <w:t>Bridgestone/Firestone</w:t>
      </w:r>
      <w:r w:rsidRPr="00440D0E">
        <w:t xml:space="preserve"> did involve a personal injury action, there is nothing in the decision holding that the impact on parties to a civil litigation is the only scenario that can be considered in deciding if the failure to disclose trade secret information would work an injustice</w:t>
      </w:r>
      <w:r w:rsidR="006F28E5">
        <w:t xml:space="preserve">.  </w:t>
      </w:r>
      <w:r w:rsidRPr="00440D0E">
        <w:t xml:space="preserve">Such a construction would run afoul of the purpose behind the CPRA—to give </w:t>
      </w:r>
      <w:r w:rsidRPr="00440D0E">
        <w:rPr>
          <w:i/>
          <w:iCs/>
        </w:rPr>
        <w:t>the public</w:t>
      </w:r>
      <w:r w:rsidRPr="00440D0E">
        <w:t xml:space="preserve"> access to records in the Government’s possession, an objective that the Court in </w:t>
      </w:r>
      <w:r w:rsidRPr="00440D0E">
        <w:rPr>
          <w:i/>
          <w:iCs/>
        </w:rPr>
        <w:t>ACLU of Northern California v. Superior Court</w:t>
      </w:r>
      <w:r w:rsidRPr="00440D0E">
        <w:t xml:space="preserve"> (2011) 202 Cal.App.4</w:t>
      </w:r>
      <w:r w:rsidRPr="00440D0E">
        <w:rPr>
          <w:vertAlign w:val="superscript"/>
        </w:rPr>
        <w:t>th</w:t>
      </w:r>
      <w:r w:rsidRPr="00440D0E">
        <w:t xml:space="preserve"> 55 underscored:</w:t>
      </w:r>
    </w:p>
    <w:p w:rsidRPr="00440D0E" w:rsidR="006120E0" w:rsidP="006120E0" w:rsidRDefault="006120E0" w14:paraId="788E3750" w14:textId="77777777">
      <w:pPr>
        <w:pStyle w:val="BlockQuote"/>
        <w:rPr>
          <w:u w:val="single"/>
        </w:rPr>
      </w:pPr>
      <w:r w:rsidRPr="00440D0E">
        <w:rPr>
          <w:u w:val="single"/>
        </w:rPr>
        <w:t>Endorsing the proposition “that access to information concerning the conduct of the people</w:t>
      </w:r>
      <w:r w:rsidRPr="00440D0E">
        <w:rPr>
          <w:rFonts w:ascii="Times New Roman" w:hAnsi="Times New Roman" w:cs="Times New Roman"/>
          <w:u w:val="single"/>
        </w:rPr>
        <w:t>‟</w:t>
      </w:r>
      <w:r w:rsidRPr="00440D0E">
        <w:rPr>
          <w:u w:val="single"/>
        </w:rPr>
        <w:t>s business is a fundamental and necessary right of every person in this state” (§ 6250), the Legislature enacted the PRA “for the purpose of increasing freedom of information by giving members of the public access to information in the possession of public agencies.</w:t>
      </w:r>
      <w:r w:rsidRPr="00440D0E">
        <w:rPr>
          <w:rFonts w:ascii="Times New Roman" w:hAnsi="Times New Roman" w:cs="Times New Roman"/>
          <w:u w:val="single"/>
        </w:rPr>
        <w:t>‟</w:t>
      </w:r>
      <w:r w:rsidRPr="00440D0E">
        <w:rPr>
          <w:u w:val="single"/>
        </w:rPr>
        <w:t xml:space="preserve"> [Citation.] Legislative policy favors disclosure. [Citation.] „All public records are subject to disclosure unless the Public Records Act expressly provides otherwise.</w:t>
      </w:r>
      <w:r w:rsidRPr="00440D0E">
        <w:rPr>
          <w:rFonts w:ascii="Times New Roman" w:hAnsi="Times New Roman" w:cs="Times New Roman"/>
          <w:u w:val="single"/>
        </w:rPr>
        <w:t>‟</w:t>
      </w:r>
      <w:r w:rsidRPr="00440D0E">
        <w:rPr>
          <w:u w:val="single"/>
        </w:rPr>
        <w:t xml:space="preserve"> [Citations]” (</w:t>
      </w:r>
      <w:r w:rsidRPr="00440D0E">
        <w:rPr>
          <w:i/>
          <w:iCs/>
          <w:u w:val="single"/>
        </w:rPr>
        <w:t>County of Santa Clara v. Superior Court</w:t>
      </w:r>
      <w:r w:rsidRPr="00440D0E">
        <w:rPr>
          <w:u w:val="single"/>
        </w:rPr>
        <w:t xml:space="preserve">, </w:t>
      </w:r>
      <w:r w:rsidRPr="00440D0E">
        <w:rPr>
          <w:i/>
          <w:iCs/>
          <w:u w:val="single"/>
        </w:rPr>
        <w:t>supra</w:t>
      </w:r>
      <w:r w:rsidRPr="00440D0E">
        <w:rPr>
          <w:u w:val="single"/>
        </w:rPr>
        <w:t xml:space="preserve">,170 Cal.App.4th at pp. 1319-1320; </w:t>
      </w:r>
      <w:r w:rsidRPr="00440D0E">
        <w:rPr>
          <w:i/>
          <w:iCs/>
          <w:u w:val="single"/>
        </w:rPr>
        <w:t>accord</w:t>
      </w:r>
      <w:r w:rsidRPr="00440D0E">
        <w:rPr>
          <w:u w:val="single"/>
        </w:rPr>
        <w:t xml:space="preserve">, </w:t>
      </w:r>
      <w:r w:rsidRPr="00440D0E">
        <w:rPr>
          <w:i/>
          <w:iCs/>
          <w:u w:val="single"/>
        </w:rPr>
        <w:t>Williams v. Superior Court</w:t>
      </w:r>
      <w:r w:rsidRPr="00440D0E">
        <w:rPr>
          <w:u w:val="single"/>
        </w:rPr>
        <w:t xml:space="preserve"> (1993) 5 Cal.4th 337, 346.) (202 Cal.App.4</w:t>
      </w:r>
      <w:r w:rsidRPr="00440D0E">
        <w:rPr>
          <w:u w:val="single"/>
          <w:vertAlign w:val="superscript"/>
        </w:rPr>
        <w:t>th</w:t>
      </w:r>
      <w:r w:rsidRPr="00440D0E">
        <w:rPr>
          <w:u w:val="single"/>
        </w:rPr>
        <w:t xml:space="preserve"> at 66-67.)</w:t>
      </w:r>
    </w:p>
    <w:p w:rsidRPr="00440D0E" w:rsidR="006120E0" w:rsidP="006120E0" w:rsidRDefault="006120E0" w14:paraId="02ECDF05" w14:textId="77777777">
      <w:pPr>
        <w:pStyle w:val="Standard"/>
        <w:spacing w:before="240"/>
      </w:pPr>
      <w:r w:rsidRPr="00440D0E">
        <w:rPr>
          <w:i/>
          <w:iCs/>
        </w:rPr>
        <w:t>ACLU</w:t>
      </w:r>
      <w:r w:rsidRPr="00440D0E">
        <w:t xml:space="preserve"> went further and explained that provisions in the CPRA must be interpreted broadly to promote disclosure and that any restrictions on disclosure must be interpreted narrowly:</w:t>
      </w:r>
    </w:p>
    <w:p w:rsidRPr="00440D0E" w:rsidR="006120E0" w:rsidP="00B53802" w:rsidRDefault="006120E0" w14:paraId="5434661B" w14:textId="77777777">
      <w:pPr>
        <w:pStyle w:val="BlockQuote"/>
      </w:pPr>
      <w:r w:rsidRPr="00440D0E">
        <w:t>This policy of transparency was endorsed by California voters in 2004 when they approved Proposition 59, which amended the state Constitution by specifically acknowledging therein the “right of access to information concerning the conduct of the people</w:t>
      </w:r>
      <w:r w:rsidRPr="00440D0E">
        <w:rPr>
          <w:rFonts w:ascii="Times New Roman" w:hAnsi="Times New Roman" w:cs="Times New Roman"/>
        </w:rPr>
        <w:t>‟</w:t>
      </w:r>
      <w:r w:rsidRPr="00440D0E">
        <w:t xml:space="preserve">s </w:t>
      </w:r>
      <w:r w:rsidRPr="00440D0E">
        <w:lastRenderedPageBreak/>
        <w:t>business,” and providing that “the writings of public agencies and agencies shall be open to public scrutiny.” (Cal. Const., art. I, § 3, subd. (b)(1).) The amendment required the PRA to “ „be broadly construed if it furthers the people</w:t>
      </w:r>
      <w:r w:rsidRPr="00440D0E">
        <w:rPr>
          <w:rFonts w:ascii="Times New Roman" w:hAnsi="Times New Roman" w:cs="Times New Roman"/>
        </w:rPr>
        <w:t>‟</w:t>
      </w:r>
      <w:r w:rsidRPr="00440D0E">
        <w:t>s right of access, and narrowly construed if it limits the right of access</w:t>
      </w:r>
      <w:r w:rsidRPr="00440D0E">
        <w:rPr>
          <w:rFonts w:ascii="Times New Roman" w:hAnsi="Times New Roman" w:cs="Times New Roman"/>
        </w:rPr>
        <w:t>‟</w:t>
      </w:r>
      <w:r w:rsidRPr="00440D0E">
        <w:t xml:space="preserve"> ” (id., art. I, § 3, subd. (b), par. 2) though, as has been noted, that rule of construction was applied prior to the amendment. (</w:t>
      </w:r>
      <w:r w:rsidRPr="00440D0E">
        <w:rPr>
          <w:i/>
          <w:iCs/>
        </w:rPr>
        <w:t>BRV, Inc. v. Superior Court</w:t>
      </w:r>
      <w:r w:rsidRPr="00440D0E">
        <w:t xml:space="preserve"> (2006) 143 Cal.App.4th 742, 750-751, citing </w:t>
      </w:r>
      <w:r w:rsidRPr="00440D0E">
        <w:rPr>
          <w:i/>
          <w:iCs/>
        </w:rPr>
        <w:t>California State University, Fresno Assn., Inc. v. Superior Court</w:t>
      </w:r>
      <w:r w:rsidRPr="00440D0E">
        <w:t xml:space="preserve"> (2001) 90 Cal.App.4th 810, 831.) (202 Cal.App.4</w:t>
      </w:r>
      <w:r w:rsidRPr="00440D0E">
        <w:rPr>
          <w:vertAlign w:val="superscript"/>
        </w:rPr>
        <w:t>th</w:t>
      </w:r>
      <w:r w:rsidRPr="00440D0E">
        <w:t xml:space="preserve"> at 67, fn. 2.)</w:t>
      </w:r>
    </w:p>
    <w:p w:rsidRPr="00440D0E" w:rsidR="006120E0" w:rsidP="006120E0" w:rsidRDefault="006120E0" w14:paraId="793E08DA" w14:textId="4C2F7323">
      <w:pPr>
        <w:pStyle w:val="Standard"/>
        <w:spacing w:before="240"/>
      </w:pPr>
      <w:r w:rsidRPr="00440D0E">
        <w:t>Even in cases involving a claim of trade secret privilege, it is the impact on the public’s access to the information that is the touchstone for determining if an injustice will result</w:t>
      </w:r>
      <w:r w:rsidR="006F28E5">
        <w:t xml:space="preserve">.  </w:t>
      </w:r>
      <w:r w:rsidRPr="00440D0E">
        <w:t xml:space="preserve">The Court of Appeal in </w:t>
      </w:r>
      <w:r w:rsidRPr="00440D0E">
        <w:rPr>
          <w:i/>
          <w:iCs/>
        </w:rPr>
        <w:t>Uribe</w:t>
      </w:r>
      <w:r w:rsidRPr="00440D0E">
        <w:t xml:space="preserve"> understood that even in an action seeking equitable relief, the need to consider the public’s interest in access to trade secret information was an appropriate consideration under the balancing test that must be employed in conformity with Evidence Code §1060: </w:t>
      </w:r>
    </w:p>
    <w:p w:rsidRPr="00440D0E" w:rsidR="006120E0" w:rsidP="00B53802" w:rsidRDefault="006120E0" w14:paraId="5BE68B61" w14:textId="77777777">
      <w:pPr>
        <w:pStyle w:val="BlockQuote"/>
      </w:pPr>
      <w:r w:rsidRPr="00440D0E">
        <w:t>As noted above, at the time of trial of this case, trade secrets were exempt from the requirement that public records be open for inspection by two provisions of Government Code section 6254. They were specifically exempted by subdivision (d), and by reference through subdivision (k) which incorporated the terms of Evidence Code section 1060. Then subdivision (d) appeared to grant a per se exemption to public inspection for all material containing trade secrets, while Evidence Code section 1060 grants such exemption only if "allowance of the privilege will not tend to conceal fraud or otherwise work injustice." Thus, a balancing of interests is necessary to determine whether the exemption will be allowed under Evidence Code section 1060. (19 Cal.App.3d at 206.)</w:t>
      </w:r>
    </w:p>
    <w:p w:rsidRPr="00440D0E" w:rsidR="006120E0" w:rsidP="006120E0" w:rsidRDefault="006120E0" w14:paraId="367DEF91" w14:textId="19F3574D">
      <w:pPr>
        <w:pStyle w:val="Standard"/>
        <w:spacing w:before="240"/>
      </w:pPr>
      <w:r w:rsidRPr="00440D0E">
        <w:t>To be clear</w:t>
      </w:r>
      <w:r w:rsidRPr="00440D0E">
        <w:rPr>
          <w:i/>
          <w:iCs/>
        </w:rPr>
        <w:t>, Uribe</w:t>
      </w:r>
      <w:r w:rsidRPr="00440D0E">
        <w:t xml:space="preserve"> did not involve litigation between private parties where access to trade secret information was essential to a defense</w:t>
      </w:r>
      <w:r w:rsidR="006F28E5">
        <w:t xml:space="preserve">.  </w:t>
      </w:r>
      <w:r w:rsidRPr="00440D0E">
        <w:t xml:space="preserve">Instead, the petitioner was a resident alien who worked at a vineyard and started to suffer from nausea and blurred vision after she came in contact with white powder on </w:t>
      </w:r>
      <w:r w:rsidRPr="00440D0E">
        <w:lastRenderedPageBreak/>
        <w:t>the vines</w:t>
      </w:r>
      <w:r w:rsidR="006F28E5">
        <w:t xml:space="preserve">.  </w:t>
      </w:r>
      <w:r w:rsidRPr="00440D0E">
        <w:t>She and her attorney appeared before Robert Howie, the Riverside County Agricultural Commissioner, and asked for permission to inspect and copy the pest control operator reports</w:t>
      </w:r>
      <w:r w:rsidR="006F28E5">
        <w:t xml:space="preserve">.  </w:t>
      </w:r>
      <w:r w:rsidRPr="00440D0E">
        <w:t>Following a dispute, the petitioner filed a petition for writ of mandate to compel production of the records</w:t>
      </w:r>
      <w:r w:rsidR="006F28E5">
        <w:t xml:space="preserve">.  </w:t>
      </w:r>
      <w:r w:rsidRPr="00440D0E">
        <w:t xml:space="preserve">Despite the absence of civil court litigation between parties, which is the only scenario that Lyft claims is covered by Evidence Code §1060, </w:t>
      </w:r>
      <w:r w:rsidRPr="00440D0E">
        <w:rPr>
          <w:i/>
          <w:iCs/>
        </w:rPr>
        <w:t>Uribe</w:t>
      </w:r>
      <w:r w:rsidRPr="00440D0E">
        <w:t xml:space="preserve"> gave this code section a wider application</w:t>
      </w:r>
      <w:r w:rsidR="006F28E5">
        <w:t xml:space="preserve">.  </w:t>
      </w:r>
    </w:p>
    <w:p w:rsidRPr="00440D0E" w:rsidR="006120E0" w:rsidP="006120E0" w:rsidRDefault="006120E0" w14:paraId="185C53A9" w14:textId="77777777">
      <w:pPr>
        <w:pStyle w:val="Standard"/>
      </w:pPr>
      <w:r w:rsidRPr="00440D0E">
        <w:t xml:space="preserve">While Lyft claims that </w:t>
      </w:r>
      <w:r w:rsidRPr="00440D0E">
        <w:rPr>
          <w:i/>
          <w:iCs/>
        </w:rPr>
        <w:t>Uribe</w:t>
      </w:r>
      <w:r w:rsidRPr="00440D0E">
        <w:t xml:space="preserve"> is distinguishable because the Court found that there was no trade secret, </w:t>
      </w:r>
      <w:r w:rsidRPr="00440D0E">
        <w:rPr>
          <w:i/>
          <w:iCs/>
        </w:rPr>
        <w:t>Uribe</w:t>
      </w:r>
      <w:r w:rsidRPr="00440D0E">
        <w:t xml:space="preserve"> employed the balancing test even if a trade secret had been established:</w:t>
      </w:r>
    </w:p>
    <w:p w:rsidRPr="00440D0E" w:rsidR="006120E0" w:rsidP="00B53802" w:rsidRDefault="006120E0" w14:paraId="290246E6" w14:textId="77777777">
      <w:pPr>
        <w:pStyle w:val="BlockQuote"/>
      </w:pPr>
      <w:r w:rsidRPr="00440D0E">
        <w:t>Alternatively, even if the information in the spray reports does contain trade secrets, we believe that the public interest is far better served by disclosure than by the converse. …Against this [nondisclosure] must be measured the interest of the public in having access to the contents of the spray reports. There was testimony presented that the information contained in the reports is important to the study of the effect of pesticides on man. The information would be useful to study the long range effects of pesticides on humans, and in the treatment of present illnesses traceable in whole or part to exposure to these chemicals. (19 Cal.App.3d at 210.)</w:t>
      </w:r>
    </w:p>
    <w:p w:rsidRPr="00440D0E" w:rsidR="006120E0" w:rsidP="006120E0" w:rsidRDefault="006120E0" w14:paraId="5766AA7D" w14:textId="6B137574">
      <w:pPr>
        <w:pStyle w:val="Standard"/>
        <w:spacing w:before="240"/>
      </w:pPr>
      <w:r w:rsidRPr="00440D0E">
        <w:t>Thus, Lyft has failed to demonstrate any error on the Commission’s part in applying the public interest/private interest balancing test to determine whether alleged trade secret information should be publicly disclosed</w:t>
      </w:r>
      <w:r w:rsidR="006F28E5">
        <w:t xml:space="preserve">.  </w:t>
      </w:r>
      <w:r w:rsidRPr="00440D0E">
        <w:t>In reaching this conclusion, we have considered all of Lyft’s arguments, along with its attempts to distinguish case law that is supportive of the Commission’s position, and dismiss these arguments as unpersuasive.</w:t>
      </w:r>
    </w:p>
    <w:p w:rsidRPr="00440D0E" w:rsidR="006120E0" w:rsidP="00B53802" w:rsidRDefault="006120E0" w14:paraId="18A75B73" w14:textId="77777777">
      <w:pPr>
        <w:pStyle w:val="Heading2"/>
      </w:pPr>
      <w:r w:rsidRPr="00440D0E">
        <w:lastRenderedPageBreak/>
        <w:t>Government Code § 6255 (now Government Code § 7922.000)</w:t>
      </w:r>
    </w:p>
    <w:p w:rsidRPr="00440D0E" w:rsidR="006120E0" w:rsidP="006120E0" w:rsidRDefault="006120E0" w14:paraId="676BFCAD" w14:textId="4DB6E917">
      <w:pPr>
        <w:pStyle w:val="Standard"/>
      </w:pPr>
      <w:r w:rsidRPr="00440D0E">
        <w:t>Lyft faults the Commission for attempting to merge the trade secret exemption in former Government Code § 6254(k) (now Government Code § 7927.705) with the catchall exemption in former Government Code § 6255 (now Government Code § 7922.000)</w:t>
      </w:r>
      <w:r w:rsidR="006F28E5">
        <w:t xml:space="preserve">.  </w:t>
      </w:r>
      <w:r w:rsidRPr="00440D0E">
        <w:t xml:space="preserve">Lyft acknowledges that  Government Code § 6255 does provide for a public interest balancing </w:t>
      </w:r>
      <w:r w:rsidRPr="00B53802">
        <w:t>test but</w:t>
      </w:r>
      <w:r w:rsidRPr="00440D0E">
        <w:t xml:space="preserve"> claims that the balancing test does not apply if the information that may be subject to disclosure is protected by an expressed exemption in former Government Code § 6254(k)</w:t>
      </w:r>
      <w:r w:rsidR="006F28E5">
        <w:t xml:space="preserve">.  </w:t>
      </w:r>
      <w:r w:rsidRPr="00440D0E">
        <w:t>Since trade secrets are provisionally protected by former Government Code § 6254(k) and Evidence Code § 1060, the balancing interest test is inapplicable</w:t>
      </w:r>
      <w:r w:rsidR="006F28E5">
        <w:t xml:space="preserve">.  </w:t>
      </w:r>
    </w:p>
    <w:p w:rsidRPr="00440D0E" w:rsidR="006120E0" w:rsidP="006120E0" w:rsidRDefault="006120E0" w14:paraId="34C97801" w14:textId="198FC94B">
      <w:pPr>
        <w:pStyle w:val="Standard"/>
      </w:pPr>
      <w:r w:rsidRPr="00440D0E">
        <w:t>We reject Lyft’s argument as moot</w:t>
      </w:r>
      <w:r w:rsidR="006F28E5">
        <w:t xml:space="preserve">.  </w:t>
      </w:r>
      <w:r w:rsidRPr="00440D0E">
        <w:t>Since we have determined that the public interest/private interest balancing test must be employed even if a trade secret claim is established, we need not consider if it was error to also cite to and analyze Lyft’s claim under former Government Code § 6255.</w:t>
      </w:r>
    </w:p>
    <w:p w:rsidRPr="00440D0E" w:rsidR="006120E0" w:rsidP="00B53802" w:rsidRDefault="006120E0" w14:paraId="300D7B35" w14:textId="77777777">
      <w:pPr>
        <w:pStyle w:val="Heading2"/>
      </w:pPr>
      <w:r w:rsidRPr="00440D0E">
        <w:t>Consideration of Less Intrusive Means for Accessing Trip Data</w:t>
      </w:r>
    </w:p>
    <w:p w:rsidRPr="00B53802" w:rsidR="00DC4631" w:rsidP="00440D0E" w:rsidRDefault="006120E0" w14:paraId="08A1A94B" w14:textId="43FD7967">
      <w:pPr>
        <w:pStyle w:val="Standard"/>
        <w:rPr>
          <w:color w:val="FF0000"/>
          <w:u w:val="single"/>
        </w:rPr>
      </w:pPr>
      <w:r w:rsidRPr="00440D0E">
        <w:t xml:space="preserve">We reject Lyft’s assertion that the Commission </w:t>
      </w:r>
      <w:r w:rsidRPr="00B53802">
        <w:t>failed</w:t>
      </w:r>
      <w:r w:rsidRPr="00440D0E">
        <w:t xml:space="preserve"> to give due consideration to Lyft’s proposal that the Commission adopt additional anonymization to trip data that the City of Chicago adopted</w:t>
      </w:r>
      <w:r w:rsidR="006F28E5">
        <w:t xml:space="preserve">.  </w:t>
      </w:r>
      <w:r w:rsidRPr="00440D0E">
        <w:t>(Comments at 9-10.) The Commission did analyze how the City of Chicago had structured its anonymization of trip data in the TNC Annual Reports and adopted those aspects that it felt best balanced the conflicting needs of privacy and trade secret on the one hand, and the public’s right to information in a state agency’s possession on the other hand</w:t>
      </w:r>
      <w:r w:rsidR="006F28E5">
        <w:t xml:space="preserve">.  </w:t>
      </w:r>
    </w:p>
    <w:p w:rsidR="005939A5" w:rsidP="005939A5" w:rsidRDefault="005939A5" w14:paraId="0952B7F9" w14:textId="5995E20F">
      <w:pPr>
        <w:pStyle w:val="Heading1"/>
      </w:pPr>
      <w:bookmarkStart w:name="_Toc8123724" w:id="19"/>
      <w:bookmarkStart w:name="_Toc193873934" w:id="20"/>
      <w:r>
        <w:lastRenderedPageBreak/>
        <w:t>Assignment of Proceeding</w:t>
      </w:r>
      <w:bookmarkEnd w:id="19"/>
      <w:bookmarkEnd w:id="20"/>
    </w:p>
    <w:p w:rsidR="005939A5" w:rsidP="006E6574" w:rsidRDefault="00971752" w14:paraId="45689051" w14:textId="16604640">
      <w:pPr>
        <w:pStyle w:val="Standard"/>
      </w:pPr>
      <w:r>
        <w:t>Matthew Baker</w:t>
      </w:r>
      <w:r w:rsidR="005939A5">
        <w:t xml:space="preserve"> is the assigned Commissioner and </w:t>
      </w:r>
      <w:r>
        <w:t>Robert M. Mason III</w:t>
      </w:r>
      <w:r w:rsidR="005939A5">
        <w:t xml:space="preserve"> is the assigned Administrative Law Judge in this proceeding.</w:t>
      </w:r>
    </w:p>
    <w:p w:rsidR="005939A5" w:rsidP="009B27AF" w:rsidRDefault="005939A5" w14:paraId="57754A7E" w14:textId="77777777">
      <w:pPr>
        <w:pStyle w:val="Dummy"/>
      </w:pPr>
      <w:bookmarkStart w:name="_Toc8123725" w:id="21"/>
      <w:bookmarkStart w:name="_Toc193873935" w:id="22"/>
      <w:r>
        <w:t>Findings of Fact</w:t>
      </w:r>
      <w:bookmarkEnd w:id="21"/>
      <w:bookmarkEnd w:id="22"/>
    </w:p>
    <w:p w:rsidR="00581842" w:rsidP="001E2A62" w:rsidRDefault="005405B6" w14:paraId="6F0A133E" w14:textId="77777777">
      <w:pPr>
        <w:pStyle w:val="FoF"/>
      </w:pPr>
      <w:r>
        <w:t>Lyft continues to use its trip data from 2014-2019</w:t>
      </w:r>
      <w:r w:rsidR="00E3351D">
        <w:t xml:space="preserve"> to examine driver supply with the demand from passengers</w:t>
      </w:r>
      <w:r w:rsidR="00581842">
        <w:t xml:space="preserve"> in a given geography during a given time period.</w:t>
      </w:r>
    </w:p>
    <w:p w:rsidR="00E0772E" w:rsidP="001E2A62" w:rsidRDefault="00B31810" w14:paraId="46CD7272" w14:textId="77777777">
      <w:pPr>
        <w:pStyle w:val="FoF"/>
      </w:pPr>
      <w:r>
        <w:t>Lyft has documented that new entrants into the TNC market would find its trip data from 2014-2019</w:t>
      </w:r>
      <w:r w:rsidR="00E0772E">
        <w:t xml:space="preserve"> useful to understand Lyft’s business operations at the beginning of the TNC market.</w:t>
      </w:r>
    </w:p>
    <w:p w:rsidR="00386520" w:rsidP="001E2A62" w:rsidRDefault="00386520" w14:paraId="043800E5" w14:textId="77777777">
      <w:pPr>
        <w:pStyle w:val="FoF"/>
      </w:pPr>
      <w:r>
        <w:t>Lyft has documented that its trip data from 2014-2019 would be useful to third-party data brokers who would seek to monetize the information.</w:t>
      </w:r>
    </w:p>
    <w:p w:rsidR="00492F78" w:rsidP="001E2A62" w:rsidRDefault="00C84633" w14:paraId="26274C7F" w14:textId="578BFA46">
      <w:pPr>
        <w:pStyle w:val="FoF"/>
      </w:pPr>
      <w:r>
        <w:t>Lyft has documented that its trip data from 2014-</w:t>
      </w:r>
      <w:r w:rsidR="00492F78">
        <w:t>2019 may</w:t>
      </w:r>
      <w:r w:rsidR="0056051E">
        <w:t xml:space="preserve"> help in creating </w:t>
      </w:r>
      <w:r w:rsidR="00492F78">
        <w:t>better and safer autonomous vehicle technology from autonomous vehicle transport.</w:t>
      </w:r>
    </w:p>
    <w:p w:rsidR="005939A5" w:rsidP="005939A5" w:rsidRDefault="005939A5" w14:paraId="6E6F9E8F" w14:textId="77777777">
      <w:pPr>
        <w:pStyle w:val="Dummy"/>
      </w:pPr>
      <w:bookmarkStart w:name="_Toc8123726" w:id="23"/>
      <w:bookmarkStart w:name="_Toc193873936" w:id="24"/>
      <w:r>
        <w:t>Conclusions of Law</w:t>
      </w:r>
      <w:bookmarkEnd w:id="23"/>
      <w:bookmarkEnd w:id="24"/>
    </w:p>
    <w:p w:rsidR="005D5145" w:rsidP="001E2A62" w:rsidRDefault="004E404C" w14:paraId="6D86FA08" w14:textId="77777777">
      <w:pPr>
        <w:pStyle w:val="CoL"/>
      </w:pPr>
      <w:r>
        <w:t xml:space="preserve">It is reasonable to conclude that Lyft’s trip data for 2014-2019 </w:t>
      </w:r>
      <w:r w:rsidR="005D5145">
        <w:t>has independent economic value.</w:t>
      </w:r>
    </w:p>
    <w:p w:rsidR="00932865" w:rsidP="001E2A62" w:rsidRDefault="005D5145" w14:paraId="4B22C16B" w14:textId="562E2A88">
      <w:pPr>
        <w:pStyle w:val="CoL"/>
      </w:pPr>
      <w:r>
        <w:t xml:space="preserve">It is reasonable to conclude that even with independent economic value, </w:t>
      </w:r>
      <w:r w:rsidR="00FB3C6A">
        <w:t xml:space="preserve">the public interest in access to Lyft’s trip data for 2014-2019 </w:t>
      </w:r>
      <w:r w:rsidR="009407D8">
        <w:t>outweighs Lyft’s claim of trade secret protection.</w:t>
      </w:r>
    </w:p>
    <w:p w:rsidRPr="001E2A62" w:rsidR="009407D8" w:rsidP="001E2A62" w:rsidRDefault="009407D8" w14:paraId="7C3F73A1" w14:textId="581BB6A1">
      <w:pPr>
        <w:pStyle w:val="CoL"/>
      </w:pPr>
      <w:r>
        <w:t xml:space="preserve">It is reasonable to conclude that Lyft has failed to </w:t>
      </w:r>
      <w:r w:rsidR="008E5405">
        <w:t xml:space="preserve">advance any credible argument for requiring the Commission to </w:t>
      </w:r>
      <w:r w:rsidR="00791FF5">
        <w:t xml:space="preserve">order </w:t>
      </w:r>
      <w:r w:rsidR="008E5405">
        <w:t xml:space="preserve">further </w:t>
      </w:r>
      <w:r w:rsidR="0022280D">
        <w:t>anonymiz</w:t>
      </w:r>
      <w:r w:rsidR="00791FF5">
        <w:t>ation</w:t>
      </w:r>
      <w:r w:rsidR="008E5405">
        <w:t xml:space="preserve"> </w:t>
      </w:r>
      <w:r w:rsidR="00791FF5">
        <w:t xml:space="preserve">of </w:t>
      </w:r>
      <w:r w:rsidR="008E5405">
        <w:t>the 2014-2019 trip data</w:t>
      </w:r>
      <w:r w:rsidR="0022280D">
        <w:t xml:space="preserve"> beyond what is required by D.23-12-015.</w:t>
      </w:r>
    </w:p>
    <w:p w:rsidR="00BB0243" w:rsidP="00B55E74" w:rsidRDefault="005939A5" w14:paraId="697EEF8F" w14:textId="77777777">
      <w:pPr>
        <w:pStyle w:val="Mainex"/>
        <w:spacing w:before="180" w:after="120" w:line="240" w:lineRule="auto"/>
      </w:pPr>
      <w:bookmarkStart w:name="_Toc193873937" w:id="25"/>
      <w:r>
        <w:lastRenderedPageBreak/>
        <w:t>O</w:t>
      </w:r>
      <w:r w:rsidR="00722850">
        <w:t>RDER</w:t>
      </w:r>
      <w:bookmarkEnd w:id="25"/>
    </w:p>
    <w:p w:rsidR="00BB0243" w:rsidP="000A6E05" w:rsidRDefault="00BB0243" w14:paraId="45B9317E" w14:textId="77777777">
      <w:pPr>
        <w:keepNext/>
      </w:pPr>
      <w:r w:rsidRPr="00BB0243">
        <w:rPr>
          <w:b/>
        </w:rPr>
        <w:t>IT IS ORDERED</w:t>
      </w:r>
      <w:r>
        <w:t xml:space="preserve"> that:</w:t>
      </w:r>
    </w:p>
    <w:p w:rsidRPr="001E2A62" w:rsidR="00932865" w:rsidP="001E2A62" w:rsidRDefault="00144AED" w14:paraId="6CAC81DE" w14:textId="04388A93">
      <w:pPr>
        <w:pStyle w:val="OP"/>
      </w:pPr>
      <w:r>
        <w:t>Lyft</w:t>
      </w:r>
      <w:r w:rsidR="00C9752E">
        <w:t xml:space="preserve">, </w:t>
      </w:r>
      <w:r w:rsidR="004C4F89">
        <w:t xml:space="preserve">Inc. </w:t>
      </w:r>
      <w:r w:rsidR="00C9752E">
        <w:t xml:space="preserve">shall </w:t>
      </w:r>
      <w:r w:rsidR="0009085F">
        <w:t>submit</w:t>
      </w:r>
      <w:r w:rsidR="00C15D6D">
        <w:t xml:space="preserve"> public versions of its Annual Reports </w:t>
      </w:r>
      <w:r w:rsidR="00791FF5">
        <w:t xml:space="preserve">to the Commission </w:t>
      </w:r>
      <w:r w:rsidR="00C15D6D">
        <w:t>for the years 2014-2019 in accordance with the requirements adopted in Decision</w:t>
      </w:r>
      <w:r w:rsidR="00831CEB">
        <w:t> </w:t>
      </w:r>
      <w:r w:rsidR="00ED2E1E">
        <w:t>23-12-015 and affirmed by Decision</w:t>
      </w:r>
      <w:r w:rsidR="00831CEB">
        <w:t> </w:t>
      </w:r>
      <w:r w:rsidR="00404FB4">
        <w:t>24-10-034.</w:t>
      </w:r>
    </w:p>
    <w:p w:rsidR="00F6397D" w:rsidP="009B27AF" w:rsidRDefault="004B70FB" w14:paraId="30FF0C59" w14:textId="582B6F07">
      <w:pPr>
        <w:pStyle w:val="OP"/>
        <w:keepNext/>
      </w:pPr>
      <w:r>
        <w:t>Rulemaking</w:t>
      </w:r>
      <w:r w:rsidR="00EB3606">
        <w:t> </w:t>
      </w:r>
      <w:r>
        <w:t>12-12</w:t>
      </w:r>
      <w:r w:rsidR="0010536B">
        <w:t>-</w:t>
      </w:r>
      <w:r>
        <w:t>011</w:t>
      </w:r>
      <w:r w:rsidR="0010536B">
        <w:t xml:space="preserve"> remains open</w:t>
      </w:r>
      <w:r w:rsidRPr="001E2A62" w:rsidR="00E23CBB">
        <w:t>.</w:t>
      </w:r>
    </w:p>
    <w:p w:rsidR="008F0116" w:rsidP="009B27AF" w:rsidRDefault="008F0116" w14:paraId="43897EFC" w14:textId="77777777">
      <w:pPr>
        <w:pStyle w:val="Standard"/>
        <w:keepNext/>
      </w:pPr>
      <w:r>
        <w:t>This order is effective today.</w:t>
      </w:r>
    </w:p>
    <w:p w:rsidR="00714CF2" w:rsidP="009B27AF" w:rsidRDefault="008F0116" w14:paraId="0CD95C6C" w14:textId="4F8AC612">
      <w:pPr>
        <w:pStyle w:val="Standard"/>
        <w:keepNext/>
      </w:pPr>
      <w:r>
        <w:t xml:space="preserve">Dated </w:t>
      </w:r>
      <w:r>
        <w:rPr>
          <w:u w:val="single"/>
        </w:rPr>
        <w:tab/>
      </w:r>
      <w:r>
        <w:rPr>
          <w:u w:val="single"/>
        </w:rPr>
        <w:tab/>
      </w:r>
      <w:r>
        <w:rPr>
          <w:u w:val="single"/>
        </w:rPr>
        <w:tab/>
      </w:r>
      <w:r>
        <w:rPr>
          <w:u w:val="single"/>
        </w:rPr>
        <w:tab/>
      </w:r>
      <w:r>
        <w:rPr>
          <w:u w:val="single"/>
        </w:rPr>
        <w:tab/>
      </w:r>
      <w:r>
        <w:t xml:space="preserve">, at </w:t>
      </w:r>
      <w:r w:rsidR="00440D0E">
        <w:t>Kings Beach</w:t>
      </w:r>
      <w:r>
        <w:t>, California</w:t>
      </w:r>
    </w:p>
    <w:p w:rsidR="009B27AF" w:rsidP="009B27AF" w:rsidRDefault="009B27AF" w14:paraId="39CA17E0" w14:textId="77777777">
      <w:pPr>
        <w:pStyle w:val="Standard"/>
        <w:keepNext/>
      </w:pPr>
    </w:p>
    <w:p w:rsidR="009B27AF" w:rsidP="009B27AF" w:rsidRDefault="009B27AF" w14:paraId="16CF07F2" w14:textId="77777777">
      <w:pPr>
        <w:pStyle w:val="Standard"/>
        <w:keepNext/>
      </w:pPr>
    </w:p>
    <w:p w:rsidRPr="00714CF2" w:rsidR="009B27AF" w:rsidP="009B27AF" w:rsidRDefault="009B27AF" w14:paraId="3AF0A05F" w14:textId="77777777">
      <w:pPr>
        <w:pStyle w:val="Standard"/>
        <w:keepNext/>
      </w:pPr>
    </w:p>
    <w:sectPr w:rsidRPr="00714CF2" w:rsidR="009B27AF" w:rsidSect="009B27AF">
      <w:headerReference w:type="default" r:id="rId12"/>
      <w:footerReference w:type="default" r:id="rId13"/>
      <w:pgSz w:w="12240" w:h="15840"/>
      <w:pgMar w:top="1728" w:right="1440" w:bottom="1440" w:left="1440" w:header="720" w:footer="720" w:gutter="0"/>
      <w:pgNumType w:start="2"/>
      <w:cols w:space="720"/>
      <w:docGrid w:linePitch="360"/>
    </w:sectPr>
    <w:p>
      <w:r>
        <w:t xml:space="preserve"/>
      </w:r>
    </w:p>
    <w:p>
      <w:r>
        <w:t xml:space="preserve">Attachment 1: </w:t>
      </w:r>
    </w:p>
    <w:p>
      <w:hyperlink w:history="true" r:id="R848173dcbb99479c">
        <w:r w:rsidRPr="00CB1292">
          <w:rPr>
            <w:rStyle w:val="Hyperlink"/>
            <w:color w:val="2E74B5" w:themeColor="accent1" w:themeShade="BF"/>
            <w:u w:val="single"/>
          </w:rPr>
          <w:t>R1212011 Baker PD Agenda ID# 23418_redline version</w:t>
        </w:r>
      </w:hyperlink>
    </w:p>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DC475D" w14:textId="77777777" w:rsidR="00081389" w:rsidRDefault="00081389" w:rsidP="0098138E">
      <w:pPr>
        <w:spacing w:line="240" w:lineRule="auto"/>
      </w:pPr>
      <w:r>
        <w:separator/>
      </w:r>
    </w:p>
  </w:endnote>
  <w:endnote w:type="continuationSeparator" w:id="0">
    <w:p w14:paraId="734B845B" w14:textId="77777777" w:rsidR="00081389" w:rsidRDefault="00081389" w:rsidP="0098138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Book Antiqua">
    <w:altName w:val="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55E3A7" w14:textId="19DD7CC7" w:rsidR="00E23CBB" w:rsidRDefault="00440D0E" w:rsidP="009B27AF">
    <w:pPr>
      <w:tabs>
        <w:tab w:val="center" w:pos="4680"/>
      </w:tabs>
      <w:spacing w:line="240" w:lineRule="auto"/>
      <w:ind w:firstLine="0"/>
    </w:pPr>
    <w:r w:rsidRPr="00440D0E">
      <w:rPr>
        <w:sz w:val="16"/>
        <w:szCs w:val="16"/>
      </w:rPr>
      <w:t>566246136</w:t>
    </w:r>
    <w:r w:rsidR="009B27AF">
      <w:tab/>
    </w:r>
    <w:r w:rsidR="00E23CBB">
      <w:t>-</w:t>
    </w:r>
    <w:sdt>
      <w:sdtPr>
        <w:id w:val="-1034043401"/>
        <w:docPartObj>
          <w:docPartGallery w:val="Page Numbers (Bottom of Page)"/>
          <w:docPartUnique/>
        </w:docPartObj>
      </w:sdtPr>
      <w:sdtEndPr>
        <w:rPr>
          <w:noProof/>
        </w:rPr>
      </w:sdtEndPr>
      <w:sdtContent>
        <w:r w:rsidR="00EE4315">
          <w:t xml:space="preserve"> </w:t>
        </w:r>
        <w:r w:rsidR="00E23CBB">
          <w:fldChar w:fldCharType="begin"/>
        </w:r>
        <w:r w:rsidR="00E23CBB">
          <w:instrText xml:space="preserve"> PAGE   \* MERGEFORMAT </w:instrText>
        </w:r>
        <w:r w:rsidR="00E23CBB">
          <w:fldChar w:fldCharType="separate"/>
        </w:r>
        <w:r w:rsidR="00D65DD3">
          <w:rPr>
            <w:noProof/>
          </w:rPr>
          <w:t>1</w:t>
        </w:r>
        <w:r w:rsidR="00E23CBB">
          <w:rPr>
            <w:noProof/>
          </w:rPr>
          <w:fldChar w:fldCharType="end"/>
        </w:r>
        <w:r w:rsidR="00EE4315">
          <w:rPr>
            <w:noProof/>
          </w:rPr>
          <w:t xml:space="preserve"> </w:t>
        </w:r>
        <w:r w:rsidR="00E23CBB">
          <w:rPr>
            <w:noProof/>
          </w:rP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491D39" w14:textId="3AE4CEB9" w:rsidR="009B27AF" w:rsidRDefault="009B27AF" w:rsidP="00E91C5F">
    <w:pPr>
      <w:tabs>
        <w:tab w:val="center" w:pos="4680"/>
      </w:tabs>
      <w:spacing w:line="240" w:lineRule="auto"/>
      <w:ind w:firstLine="0"/>
      <w:jc w:val="center"/>
    </w:pPr>
    <w:r>
      <w:t>-</w:t>
    </w:r>
    <w:sdt>
      <w:sdtPr>
        <w:id w:val="1757010453"/>
        <w:docPartObj>
          <w:docPartGallery w:val="Page Numbers (Bottom of Page)"/>
          <w:docPartUnique/>
        </w:docPartObj>
      </w:sdtPr>
      <w:sdtEndPr>
        <w:rPr>
          <w:noProof/>
        </w:rPr>
      </w:sdtEndPr>
      <w:sdtContent>
        <w:r>
          <w:t xml:space="preserve"> </w:t>
        </w:r>
        <w:r>
          <w:fldChar w:fldCharType="begin"/>
        </w:r>
        <w:r>
          <w:instrText xml:space="preserve"> PAGE   \* MERGEFORMAT </w:instrText>
        </w:r>
        <w:r>
          <w:fldChar w:fldCharType="separate"/>
        </w:r>
        <w:r w:rsidR="002D448A">
          <w:rPr>
            <w:noProof/>
          </w:rPr>
          <w:t>6</w:t>
        </w:r>
        <w:r>
          <w:rPr>
            <w:noProof/>
          </w:rPr>
          <w:fldChar w:fldCharType="end"/>
        </w:r>
        <w:r>
          <w:rPr>
            <w:noProof/>
          </w:rPr>
          <w:t xml:space="preserve"> -</w:t>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A33AF1" w14:textId="77777777" w:rsidR="00081389" w:rsidRDefault="00081389" w:rsidP="00DF58E7">
      <w:pPr>
        <w:spacing w:line="240" w:lineRule="auto"/>
        <w:ind w:firstLine="0"/>
      </w:pPr>
      <w:r>
        <w:separator/>
      </w:r>
    </w:p>
  </w:footnote>
  <w:footnote w:type="continuationSeparator" w:id="0">
    <w:p w14:paraId="1533D6E2" w14:textId="77777777" w:rsidR="00081389" w:rsidRDefault="00081389" w:rsidP="00DF58E7">
      <w:pPr>
        <w:spacing w:line="240" w:lineRule="auto"/>
        <w:ind w:firstLine="0"/>
      </w:pPr>
      <w:r>
        <w:continuationSeparator/>
      </w:r>
    </w:p>
  </w:footnote>
  <w:footnote w:type="continuationNotice" w:id="1">
    <w:p w14:paraId="7A7B3B78" w14:textId="77777777" w:rsidR="00081389" w:rsidRPr="00DF58E7" w:rsidRDefault="00081389" w:rsidP="00DF58E7">
      <w:pPr>
        <w:spacing w:line="240" w:lineRule="auto"/>
        <w:ind w:firstLine="0"/>
        <w:jc w:val="right"/>
        <w:rPr>
          <w:i/>
          <w:sz w:val="22"/>
        </w:rPr>
      </w:pPr>
      <w:r w:rsidRPr="00DF58E7">
        <w:rPr>
          <w:i/>
          <w:sz w:val="22"/>
        </w:rPr>
        <w:t>Footnote continued on next page.</w:t>
      </w:r>
    </w:p>
  </w:footnote>
  <w:footnote w:id="2">
    <w:p w14:paraId="661F6155" w14:textId="193C4C14" w:rsidR="00811BA8" w:rsidRPr="009B27AF" w:rsidRDefault="00811BA8" w:rsidP="009B27AF">
      <w:pPr>
        <w:pStyle w:val="FootnoteText"/>
        <w:rPr>
          <w:szCs w:val="22"/>
        </w:rPr>
      </w:pPr>
      <w:r w:rsidRPr="009B27AF">
        <w:rPr>
          <w:rStyle w:val="FootnoteReference"/>
          <w:szCs w:val="22"/>
        </w:rPr>
        <w:footnoteRef/>
      </w:r>
      <w:r w:rsidRPr="009B27AF">
        <w:rPr>
          <w:szCs w:val="22"/>
        </w:rPr>
        <w:t xml:space="preserve"> Currently</w:t>
      </w:r>
      <w:r w:rsidR="00AE53EB" w:rsidRPr="009B27AF">
        <w:rPr>
          <w:szCs w:val="22"/>
        </w:rPr>
        <w:t>,</w:t>
      </w:r>
      <w:r w:rsidRPr="009B27AF">
        <w:rPr>
          <w:szCs w:val="22"/>
        </w:rPr>
        <w:t xml:space="preserve"> the following motions for confidential treatment are pending before the Commission and will be addressed</w:t>
      </w:r>
      <w:r w:rsidR="00A85C82" w:rsidRPr="009B27AF">
        <w:rPr>
          <w:szCs w:val="22"/>
        </w:rPr>
        <w:t xml:space="preserve"> in a subsequent decision: </w:t>
      </w:r>
      <w:r w:rsidR="00D43ED8" w:rsidRPr="009B27AF">
        <w:rPr>
          <w:i/>
          <w:iCs/>
          <w:szCs w:val="22"/>
        </w:rPr>
        <w:t>Motions of Lyft</w:t>
      </w:r>
      <w:r w:rsidR="00560619" w:rsidRPr="009B27AF">
        <w:rPr>
          <w:i/>
          <w:iCs/>
          <w:szCs w:val="22"/>
        </w:rPr>
        <w:t>, Uber,</w:t>
      </w:r>
      <w:r w:rsidR="00670A73" w:rsidRPr="009B27AF">
        <w:rPr>
          <w:i/>
          <w:iCs/>
          <w:szCs w:val="22"/>
        </w:rPr>
        <w:t xml:space="preserve"> </w:t>
      </w:r>
      <w:r w:rsidR="00527C28">
        <w:rPr>
          <w:i/>
          <w:iCs/>
          <w:szCs w:val="22"/>
        </w:rPr>
        <w:t xml:space="preserve">Nomad, </w:t>
      </w:r>
      <w:r w:rsidR="00670A73" w:rsidRPr="009B27AF">
        <w:rPr>
          <w:i/>
          <w:iCs/>
          <w:szCs w:val="22"/>
        </w:rPr>
        <w:t>and</w:t>
      </w:r>
      <w:r w:rsidR="00560619" w:rsidRPr="009B27AF">
        <w:rPr>
          <w:i/>
          <w:iCs/>
          <w:szCs w:val="22"/>
        </w:rPr>
        <w:t xml:space="preserve"> HopSkipDrive</w:t>
      </w:r>
      <w:r w:rsidR="00D43ED8" w:rsidRPr="009B27AF">
        <w:rPr>
          <w:i/>
          <w:iCs/>
          <w:szCs w:val="22"/>
        </w:rPr>
        <w:t xml:space="preserve"> for Confidential Treatment of Certain Data in </w:t>
      </w:r>
      <w:r w:rsidR="00670A73" w:rsidRPr="009B27AF">
        <w:rPr>
          <w:i/>
          <w:iCs/>
          <w:szCs w:val="22"/>
        </w:rPr>
        <w:t>Their</w:t>
      </w:r>
      <w:r w:rsidR="00D43ED8" w:rsidRPr="009B27AF">
        <w:rPr>
          <w:i/>
          <w:iCs/>
          <w:szCs w:val="22"/>
        </w:rPr>
        <w:t xml:space="preserve"> </w:t>
      </w:r>
      <w:r w:rsidR="00527C28">
        <w:rPr>
          <w:i/>
          <w:iCs/>
          <w:szCs w:val="22"/>
        </w:rPr>
        <w:t xml:space="preserve">2021, </w:t>
      </w:r>
      <w:r w:rsidR="00B7779F" w:rsidRPr="009B27AF">
        <w:rPr>
          <w:i/>
          <w:iCs/>
          <w:szCs w:val="22"/>
        </w:rPr>
        <w:t>2022, 2023, and 2024 Annual Reports</w:t>
      </w:r>
      <w:r w:rsidR="00527C28">
        <w:rPr>
          <w:i/>
          <w:iCs/>
          <w:szCs w:val="22"/>
        </w:rPr>
        <w:t>.</w:t>
      </w:r>
    </w:p>
  </w:footnote>
  <w:footnote w:id="3">
    <w:p w14:paraId="7432D2E9" w14:textId="58E0B228" w:rsidR="008D2E06" w:rsidRPr="009B27AF" w:rsidRDefault="008D2E06" w:rsidP="009B27AF">
      <w:pPr>
        <w:pStyle w:val="FootnoteText"/>
        <w:rPr>
          <w:szCs w:val="22"/>
        </w:rPr>
      </w:pPr>
      <w:r w:rsidRPr="009B27AF">
        <w:rPr>
          <w:rStyle w:val="FootnoteReference"/>
          <w:szCs w:val="22"/>
        </w:rPr>
        <w:footnoteRef/>
      </w:r>
      <w:r w:rsidRPr="009B27AF">
        <w:rPr>
          <w:szCs w:val="22"/>
        </w:rPr>
        <w:t xml:space="preserve"> </w:t>
      </w:r>
      <w:r w:rsidR="00B15E90" w:rsidRPr="009B27AF">
        <w:rPr>
          <w:i/>
          <w:iCs/>
          <w:szCs w:val="22"/>
        </w:rPr>
        <w:t>See, e.g.,</w:t>
      </w:r>
      <w:r w:rsidR="00B15E90" w:rsidRPr="009B27AF">
        <w:rPr>
          <w:szCs w:val="22"/>
        </w:rPr>
        <w:t xml:space="preserve"> </w:t>
      </w:r>
      <w:r w:rsidR="00B15E90" w:rsidRPr="009B27AF">
        <w:rPr>
          <w:i/>
          <w:iCs/>
          <w:szCs w:val="22"/>
        </w:rPr>
        <w:t>Ruling on Uber’s and Lyft’s Motion for Confidential Treatment of Certain Information in Their 2020 Annual Reports</w:t>
      </w:r>
      <w:r w:rsidR="00B15E90" w:rsidRPr="009B27AF">
        <w:rPr>
          <w:szCs w:val="22"/>
        </w:rPr>
        <w:t xml:space="preserve"> </w:t>
      </w:r>
      <w:r w:rsidR="0015442C" w:rsidRPr="009B27AF">
        <w:rPr>
          <w:szCs w:val="22"/>
        </w:rPr>
        <w:t>(</w:t>
      </w:r>
      <w:r w:rsidR="00B15E90" w:rsidRPr="009B27AF">
        <w:rPr>
          <w:szCs w:val="22"/>
        </w:rPr>
        <w:t>December 21, 2020</w:t>
      </w:r>
      <w:r w:rsidR="0015442C" w:rsidRPr="009B27AF">
        <w:rPr>
          <w:szCs w:val="22"/>
        </w:rPr>
        <w:t>)</w:t>
      </w:r>
      <w:r w:rsidR="00B15E90" w:rsidRPr="009B27AF">
        <w:rPr>
          <w:szCs w:val="22"/>
        </w:rPr>
        <w:t xml:space="preserve">; </w:t>
      </w:r>
      <w:r w:rsidR="00B15E90" w:rsidRPr="009B27AF">
        <w:rPr>
          <w:i/>
          <w:iCs/>
          <w:szCs w:val="22"/>
        </w:rPr>
        <w:t>Ruling on the Motions of Uber, Lyft, HSD, and Nomad for Confidential Treatment of Portions of Their 2021 Annual Transportation Network Company (“TNC”) Reports</w:t>
      </w:r>
      <w:r w:rsidR="00B15E90" w:rsidRPr="009B27AF">
        <w:rPr>
          <w:szCs w:val="22"/>
        </w:rPr>
        <w:t xml:space="preserve"> </w:t>
      </w:r>
      <w:r w:rsidR="00A81FB3" w:rsidRPr="009B27AF">
        <w:rPr>
          <w:szCs w:val="22"/>
        </w:rPr>
        <w:t>(</w:t>
      </w:r>
      <w:r w:rsidR="00B15E90" w:rsidRPr="009B27AF">
        <w:rPr>
          <w:szCs w:val="22"/>
        </w:rPr>
        <w:t>November 24, 2021</w:t>
      </w:r>
      <w:r w:rsidR="00A81FB3" w:rsidRPr="009B27AF">
        <w:rPr>
          <w:szCs w:val="22"/>
        </w:rPr>
        <w:t>)</w:t>
      </w:r>
      <w:r w:rsidR="00B15E90" w:rsidRPr="009B27AF">
        <w:rPr>
          <w:szCs w:val="22"/>
        </w:rPr>
        <w:t>; D</w:t>
      </w:r>
      <w:r w:rsidR="00A81FB3" w:rsidRPr="009B27AF">
        <w:rPr>
          <w:szCs w:val="22"/>
        </w:rPr>
        <w:t>.</w:t>
      </w:r>
      <w:r w:rsidR="00B15E90" w:rsidRPr="009B27AF">
        <w:rPr>
          <w:szCs w:val="22"/>
        </w:rPr>
        <w:t xml:space="preserve"> 21-06-023</w:t>
      </w:r>
      <w:r w:rsidR="00F33C67" w:rsidRPr="009B27AF">
        <w:rPr>
          <w:szCs w:val="22"/>
        </w:rPr>
        <w:t xml:space="preserve"> (</w:t>
      </w:r>
      <w:r w:rsidR="00F33C67" w:rsidRPr="009B27AF">
        <w:rPr>
          <w:i/>
          <w:iCs/>
          <w:szCs w:val="22"/>
        </w:rPr>
        <w:t>Order</w:t>
      </w:r>
      <w:r w:rsidR="00B15E90" w:rsidRPr="009B27AF">
        <w:rPr>
          <w:szCs w:val="22"/>
        </w:rPr>
        <w:t xml:space="preserve"> </w:t>
      </w:r>
      <w:r w:rsidR="00B15E90" w:rsidRPr="009B27AF">
        <w:rPr>
          <w:i/>
          <w:iCs/>
          <w:szCs w:val="22"/>
        </w:rPr>
        <w:t>Modifying Decision 20-03-014 and Denying Rehearing of Decision, As Modified</w:t>
      </w:r>
      <w:r w:rsidR="00884349" w:rsidRPr="009B27AF">
        <w:rPr>
          <w:szCs w:val="22"/>
        </w:rPr>
        <w:t>)</w:t>
      </w:r>
      <w:r w:rsidR="00B15E90" w:rsidRPr="009B27AF">
        <w:rPr>
          <w:szCs w:val="22"/>
        </w:rPr>
        <w:t xml:space="preserve"> </w:t>
      </w:r>
      <w:r w:rsidR="006B56A4" w:rsidRPr="009B27AF">
        <w:rPr>
          <w:szCs w:val="22"/>
        </w:rPr>
        <w:t>(</w:t>
      </w:r>
      <w:r w:rsidR="00B15E90" w:rsidRPr="009B27AF">
        <w:rPr>
          <w:szCs w:val="22"/>
        </w:rPr>
        <w:t>June 4, 2021</w:t>
      </w:r>
      <w:r w:rsidR="006B56A4" w:rsidRPr="009B27AF">
        <w:rPr>
          <w:szCs w:val="22"/>
        </w:rPr>
        <w:t>)</w:t>
      </w:r>
      <w:r w:rsidR="00B15E90" w:rsidRPr="009B27AF">
        <w:rPr>
          <w:szCs w:val="22"/>
        </w:rPr>
        <w:t xml:space="preserve">; </w:t>
      </w:r>
      <w:r w:rsidR="00C42B60" w:rsidRPr="009B27AF">
        <w:rPr>
          <w:szCs w:val="22"/>
        </w:rPr>
        <w:t>and D.23-02-041 (</w:t>
      </w:r>
      <w:r w:rsidR="00C42B60" w:rsidRPr="009B27AF">
        <w:rPr>
          <w:i/>
          <w:iCs/>
          <w:szCs w:val="22"/>
        </w:rPr>
        <w:t>Order</w:t>
      </w:r>
      <w:r w:rsidR="00E10AFA" w:rsidRPr="009B27AF">
        <w:rPr>
          <w:i/>
          <w:iCs/>
          <w:szCs w:val="22"/>
        </w:rPr>
        <w:t xml:space="preserve"> Modifying Decision 22-05-003 and Denying Rehearing of the Decision, as Modified</w:t>
      </w:r>
      <w:r w:rsidR="00E10AFA" w:rsidRPr="009B27AF">
        <w:rPr>
          <w:szCs w:val="22"/>
        </w:rPr>
        <w:t>)</w:t>
      </w:r>
      <w:r w:rsidR="00884349" w:rsidRPr="009B27AF">
        <w:rPr>
          <w:szCs w:val="22"/>
        </w:rPr>
        <w:t xml:space="preserve"> </w:t>
      </w:r>
      <w:r w:rsidR="00BE4623" w:rsidRPr="009B27AF">
        <w:rPr>
          <w:szCs w:val="22"/>
        </w:rPr>
        <w:t>(February 24, 2023).</w:t>
      </w:r>
      <w:r w:rsidR="00B15E90" w:rsidRPr="009B27AF">
        <w:rPr>
          <w:szCs w:val="22"/>
        </w:rPr>
        <w:t xml:space="preserve"> </w:t>
      </w:r>
    </w:p>
  </w:footnote>
  <w:footnote w:id="4">
    <w:p w14:paraId="7E0CA3AA" w14:textId="4022D31C" w:rsidR="00587640" w:rsidRPr="009B27AF" w:rsidRDefault="00587640" w:rsidP="009B27AF">
      <w:pPr>
        <w:pStyle w:val="FootnoteText"/>
        <w:rPr>
          <w:szCs w:val="22"/>
        </w:rPr>
      </w:pPr>
      <w:r w:rsidRPr="009B27AF">
        <w:rPr>
          <w:rStyle w:val="FootnoteReference"/>
          <w:szCs w:val="22"/>
        </w:rPr>
        <w:footnoteRef/>
      </w:r>
      <w:r w:rsidRPr="009B27AF">
        <w:rPr>
          <w:szCs w:val="22"/>
        </w:rPr>
        <w:t xml:space="preserve"> </w:t>
      </w:r>
      <w:r w:rsidR="00314D8B" w:rsidRPr="009B27AF">
        <w:rPr>
          <w:szCs w:val="22"/>
        </w:rPr>
        <w:t xml:space="preserve">Lyft’s other arguments on rehearing were </w:t>
      </w:r>
      <w:r w:rsidR="00775B89" w:rsidRPr="009B27AF">
        <w:rPr>
          <w:szCs w:val="22"/>
        </w:rPr>
        <w:t xml:space="preserve">that </w:t>
      </w:r>
      <w:r w:rsidR="008B2C19" w:rsidRPr="009B27AF">
        <w:rPr>
          <w:szCs w:val="22"/>
        </w:rPr>
        <w:t>D.23-12-015 (1) made an incorrect conclusion that disclosure of a trade secret does not destroy a property right under the Fifth Amendment; (2) err</w:t>
      </w:r>
      <w:r w:rsidR="00B92251" w:rsidRPr="009B27AF">
        <w:rPr>
          <w:szCs w:val="22"/>
        </w:rPr>
        <w:t xml:space="preserve">ed in finding that Lyft had no expectation of confidentiality when filing its annual reports; (3) mischaracterized </w:t>
      </w:r>
      <w:r w:rsidR="00B92251" w:rsidRPr="009B27AF">
        <w:rPr>
          <w:i/>
          <w:iCs/>
          <w:szCs w:val="22"/>
        </w:rPr>
        <w:t>Carpenter v. U.S.</w:t>
      </w:r>
      <w:r w:rsidR="00B92251" w:rsidRPr="009B27AF">
        <w:rPr>
          <w:szCs w:val="22"/>
        </w:rPr>
        <w:t xml:space="preserve"> (2018) 138 S.Ct. 2206; (4) </w:t>
      </w:r>
      <w:r w:rsidR="00EC14C4" w:rsidRPr="009B27AF">
        <w:rPr>
          <w:szCs w:val="22"/>
        </w:rPr>
        <w:t>misconstrued the requirements of Evidence Code Section 1060 to support disclosure of Lyft’s trip data; (</w:t>
      </w:r>
      <w:r w:rsidR="008857B0" w:rsidRPr="009B27AF">
        <w:rPr>
          <w:szCs w:val="22"/>
        </w:rPr>
        <w:t xml:space="preserve">5) violated </w:t>
      </w:r>
      <w:r w:rsidR="00D41E30" w:rsidRPr="009B27AF">
        <w:rPr>
          <w:szCs w:val="22"/>
        </w:rPr>
        <w:t>Lyft’s</w:t>
      </w:r>
      <w:r w:rsidR="008857B0" w:rsidRPr="009B27AF">
        <w:rPr>
          <w:szCs w:val="22"/>
        </w:rPr>
        <w:t xml:space="preserve"> constitutional right to privacy </w:t>
      </w:r>
      <w:r w:rsidR="00D41E30" w:rsidRPr="009B27AF">
        <w:rPr>
          <w:szCs w:val="22"/>
        </w:rPr>
        <w:t>under</w:t>
      </w:r>
      <w:r w:rsidR="008857B0" w:rsidRPr="009B27AF">
        <w:rPr>
          <w:szCs w:val="22"/>
        </w:rPr>
        <w:t xml:space="preserve"> the Fourth Amendment; (6) did not protect privacy with time aggregation; (7) did not accurately follow putative expert approach to data disclosure; (8) rejected expert analysis in a</w:t>
      </w:r>
      <w:r w:rsidR="00640A9E" w:rsidRPr="009B27AF">
        <w:rPr>
          <w:szCs w:val="22"/>
        </w:rPr>
        <w:t>n arbitrary and unsupported manner; (9) did not consider each of Lyft’s objections raised in proposed decision comments; and (10)</w:t>
      </w:r>
      <w:r w:rsidR="00D41E30" w:rsidRPr="009B27AF">
        <w:rPr>
          <w:szCs w:val="22"/>
        </w:rPr>
        <w:t xml:space="preserve"> improperly required Lyft to establish confidentiality. </w:t>
      </w:r>
      <w:r w:rsidR="00211DF2" w:rsidRPr="009B27AF">
        <w:rPr>
          <w:szCs w:val="22"/>
        </w:rPr>
        <w:t>D.24-10-034</w:t>
      </w:r>
      <w:r w:rsidR="00F01640" w:rsidRPr="009B27AF">
        <w:rPr>
          <w:szCs w:val="22"/>
        </w:rPr>
        <w:t xml:space="preserve"> rejected these arguments but did make some modifications to D.23-12-015. (</w:t>
      </w:r>
      <w:r w:rsidR="00527C28" w:rsidRPr="009A0D36">
        <w:rPr>
          <w:i/>
          <w:iCs/>
          <w:szCs w:val="22"/>
        </w:rPr>
        <w:t>See</w:t>
      </w:r>
      <w:r w:rsidR="00527C28">
        <w:rPr>
          <w:szCs w:val="22"/>
        </w:rPr>
        <w:t xml:space="preserve"> </w:t>
      </w:r>
      <w:r w:rsidR="00F01640" w:rsidRPr="009B27AF">
        <w:rPr>
          <w:szCs w:val="22"/>
        </w:rPr>
        <w:t>D.24-10-0</w:t>
      </w:r>
      <w:r w:rsidR="007D77C9" w:rsidRPr="009B27AF">
        <w:rPr>
          <w:szCs w:val="22"/>
        </w:rPr>
        <w:t>34 at 20-21.)</w:t>
      </w:r>
    </w:p>
  </w:footnote>
  <w:footnote w:id="5">
    <w:p w14:paraId="7DBCF3EB" w14:textId="2AE2AAB6" w:rsidR="00DC3648" w:rsidRPr="009B27AF" w:rsidRDefault="00DC3648" w:rsidP="009B27AF">
      <w:pPr>
        <w:pStyle w:val="FootnoteText"/>
        <w:rPr>
          <w:szCs w:val="22"/>
        </w:rPr>
      </w:pPr>
      <w:r w:rsidRPr="009B27AF">
        <w:rPr>
          <w:rStyle w:val="FootnoteReference"/>
          <w:szCs w:val="22"/>
        </w:rPr>
        <w:footnoteRef/>
      </w:r>
      <w:r w:rsidRPr="009B27AF">
        <w:rPr>
          <w:szCs w:val="22"/>
        </w:rPr>
        <w:t xml:space="preserve"> </w:t>
      </w:r>
      <w:r w:rsidR="009A7CBD" w:rsidRPr="009B27AF">
        <w:rPr>
          <w:szCs w:val="22"/>
        </w:rPr>
        <w:t xml:space="preserve">D.24-10-034 at </w:t>
      </w:r>
      <w:r w:rsidR="00983268" w:rsidRPr="009B27AF">
        <w:rPr>
          <w:szCs w:val="22"/>
        </w:rPr>
        <w:t xml:space="preserve">5, citing to </w:t>
      </w:r>
      <w:r w:rsidR="00983268" w:rsidRPr="009B27AF">
        <w:rPr>
          <w:i/>
          <w:iCs/>
          <w:szCs w:val="22"/>
        </w:rPr>
        <w:t>Fox Sports Net North, LLC v. Minn. Twins Partnership</w:t>
      </w:r>
      <w:r w:rsidR="00983268" w:rsidRPr="009B27AF">
        <w:rPr>
          <w:szCs w:val="22"/>
        </w:rPr>
        <w:t xml:space="preserve"> (8</w:t>
      </w:r>
      <w:r w:rsidR="00983268" w:rsidRPr="009B27AF">
        <w:rPr>
          <w:szCs w:val="22"/>
          <w:vertAlign w:val="superscript"/>
        </w:rPr>
        <w:t>th</w:t>
      </w:r>
      <w:r w:rsidR="00983268" w:rsidRPr="009B27AF">
        <w:rPr>
          <w:szCs w:val="22"/>
        </w:rPr>
        <w:t xml:space="preserve"> </w:t>
      </w:r>
      <w:r w:rsidR="00927F5E" w:rsidRPr="009B27AF">
        <w:rPr>
          <w:szCs w:val="22"/>
        </w:rPr>
        <w:t>Cir.</w:t>
      </w:r>
      <w:r w:rsidR="00983268" w:rsidRPr="009B27AF">
        <w:rPr>
          <w:szCs w:val="22"/>
        </w:rPr>
        <w:t xml:space="preserve"> 2003)</w:t>
      </w:r>
      <w:r w:rsidR="007D61D6" w:rsidRPr="009B27AF">
        <w:rPr>
          <w:szCs w:val="22"/>
        </w:rPr>
        <w:t xml:space="preserve"> 319 F.3d 329, 336</w:t>
      </w:r>
      <w:r w:rsidR="006D7F75" w:rsidRPr="009B27AF">
        <w:rPr>
          <w:szCs w:val="22"/>
        </w:rPr>
        <w:t xml:space="preserve">; </w:t>
      </w:r>
      <w:r w:rsidR="006D7F75" w:rsidRPr="009B27AF">
        <w:rPr>
          <w:i/>
          <w:iCs/>
          <w:szCs w:val="22"/>
        </w:rPr>
        <w:t>Taylor v. Babbitt</w:t>
      </w:r>
      <w:r w:rsidR="006D7F75" w:rsidRPr="009B27AF">
        <w:rPr>
          <w:szCs w:val="22"/>
        </w:rPr>
        <w:t xml:space="preserve"> (D.C</w:t>
      </w:r>
      <w:r w:rsidR="0028475F" w:rsidRPr="009B27AF">
        <w:rPr>
          <w:szCs w:val="22"/>
        </w:rPr>
        <w:t xml:space="preserve">. </w:t>
      </w:r>
      <w:r w:rsidR="00927F5E" w:rsidRPr="009B27AF">
        <w:rPr>
          <w:szCs w:val="22"/>
        </w:rPr>
        <w:t>Cir.</w:t>
      </w:r>
      <w:r w:rsidR="0028475F" w:rsidRPr="009B27AF">
        <w:rPr>
          <w:szCs w:val="22"/>
        </w:rPr>
        <w:t xml:space="preserve"> 2011) 760 F.Supp.2d 80, 81</w:t>
      </w:r>
      <w:r w:rsidR="00822114" w:rsidRPr="009B27AF">
        <w:rPr>
          <w:szCs w:val="22"/>
        </w:rPr>
        <w:t xml:space="preserve">; </w:t>
      </w:r>
      <w:r w:rsidR="00822114" w:rsidRPr="009B27AF">
        <w:rPr>
          <w:i/>
          <w:iCs/>
          <w:szCs w:val="22"/>
        </w:rPr>
        <w:t>Vendavo Inc. v. Long</w:t>
      </w:r>
      <w:r w:rsidR="00822114" w:rsidRPr="009B27AF">
        <w:rPr>
          <w:szCs w:val="22"/>
        </w:rPr>
        <w:t xml:space="preserve"> (N.D.Ill. 2019) 397 F.Supp.3d 1115, 1133</w:t>
      </w:r>
      <w:r w:rsidR="00921A47" w:rsidRPr="009B27AF">
        <w:rPr>
          <w:szCs w:val="22"/>
        </w:rPr>
        <w:t xml:space="preserve">; and </w:t>
      </w:r>
      <w:r w:rsidR="00921A47" w:rsidRPr="009B27AF">
        <w:rPr>
          <w:i/>
          <w:iCs/>
          <w:szCs w:val="22"/>
        </w:rPr>
        <w:t>Microstrategy, Inc. v. Business Objects, S.A</w:t>
      </w:r>
      <w:r w:rsidR="00921A47" w:rsidRPr="009B27AF">
        <w:rPr>
          <w:szCs w:val="22"/>
        </w:rPr>
        <w:t>. (E.D.Va. 2009) 661 F.Supp.2d 548, 554.</w:t>
      </w:r>
    </w:p>
  </w:footnote>
  <w:footnote w:id="6">
    <w:p w14:paraId="68686879" w14:textId="4309C5D6" w:rsidR="00E21A2F" w:rsidRPr="009B27AF" w:rsidRDefault="00E21A2F" w:rsidP="009B27AF">
      <w:pPr>
        <w:pStyle w:val="FootnoteText"/>
        <w:rPr>
          <w:szCs w:val="22"/>
        </w:rPr>
      </w:pPr>
      <w:r w:rsidRPr="009B27AF">
        <w:rPr>
          <w:rStyle w:val="FootnoteReference"/>
          <w:szCs w:val="22"/>
        </w:rPr>
        <w:footnoteRef/>
      </w:r>
      <w:r w:rsidRPr="009B27AF">
        <w:rPr>
          <w:szCs w:val="22"/>
        </w:rPr>
        <w:t xml:space="preserve"> </w:t>
      </w:r>
      <w:r w:rsidR="00F164CD" w:rsidRPr="009B27AF">
        <w:rPr>
          <w:szCs w:val="22"/>
        </w:rPr>
        <w:t xml:space="preserve">Evidence Code Section 1060 states: “If he or his agent or employee claims the privilege, the owner of a trade secret has a privilege to refuse to disclose the secret, and to prevent another from disclosing it, if the allowance of the privilege will not tend to conceal fraud </w:t>
      </w:r>
      <w:r w:rsidR="00F164CD" w:rsidRPr="009A0D36">
        <w:rPr>
          <w:i/>
          <w:iCs/>
          <w:szCs w:val="22"/>
        </w:rPr>
        <w:t>or otherwise work injustice.</w:t>
      </w:r>
      <w:r w:rsidR="00F164CD" w:rsidRPr="009B27AF">
        <w:rPr>
          <w:szCs w:val="22"/>
        </w:rPr>
        <w:t>”</w:t>
      </w:r>
      <w:r w:rsidR="003D5C37">
        <w:rPr>
          <w:szCs w:val="22"/>
        </w:rPr>
        <w:t xml:space="preserve"> (Italics added.)</w:t>
      </w:r>
    </w:p>
  </w:footnote>
  <w:footnote w:id="7">
    <w:p w14:paraId="7704B3BB" w14:textId="0B5EBF09" w:rsidR="00B50942" w:rsidRPr="009B27AF" w:rsidRDefault="00B50942" w:rsidP="009B27AF">
      <w:pPr>
        <w:pStyle w:val="FootnoteText"/>
        <w:rPr>
          <w:szCs w:val="22"/>
        </w:rPr>
      </w:pPr>
      <w:r w:rsidRPr="009B27AF">
        <w:rPr>
          <w:rStyle w:val="FootnoteReference"/>
          <w:szCs w:val="22"/>
        </w:rPr>
        <w:footnoteRef/>
      </w:r>
      <w:r w:rsidRPr="009B27AF">
        <w:rPr>
          <w:szCs w:val="22"/>
        </w:rPr>
        <w:t xml:space="preserve"> </w:t>
      </w:r>
      <w:r w:rsidR="003F3D5C" w:rsidRPr="009B27AF">
        <w:rPr>
          <w:szCs w:val="22"/>
        </w:rPr>
        <w:t xml:space="preserve">Government Code </w:t>
      </w:r>
      <w:r w:rsidR="002253D0" w:rsidRPr="009B27AF">
        <w:rPr>
          <w:szCs w:val="22"/>
        </w:rPr>
        <w:t>Section</w:t>
      </w:r>
      <w:r w:rsidR="00596005" w:rsidRPr="009B27AF">
        <w:rPr>
          <w:szCs w:val="22"/>
        </w:rPr>
        <w:t>s</w:t>
      </w:r>
      <w:r w:rsidR="002253D0" w:rsidRPr="009B27AF">
        <w:rPr>
          <w:szCs w:val="22"/>
        </w:rPr>
        <w:t xml:space="preserve"> </w:t>
      </w:r>
      <w:r w:rsidR="00D8239C" w:rsidRPr="009B27AF">
        <w:rPr>
          <w:szCs w:val="22"/>
        </w:rPr>
        <w:t xml:space="preserve">7920.000 </w:t>
      </w:r>
      <w:r w:rsidR="00E829FE" w:rsidRPr="009B27AF">
        <w:rPr>
          <w:szCs w:val="22"/>
        </w:rPr>
        <w:t xml:space="preserve">through 7930.215 </w:t>
      </w:r>
      <w:r w:rsidR="00D8239C" w:rsidRPr="009B27AF">
        <w:rPr>
          <w:szCs w:val="22"/>
        </w:rPr>
        <w:t xml:space="preserve">continue the former </w:t>
      </w:r>
      <w:r w:rsidR="008D3759" w:rsidRPr="009B27AF">
        <w:rPr>
          <w:szCs w:val="22"/>
        </w:rPr>
        <w:t xml:space="preserve">Government Code </w:t>
      </w:r>
      <w:r w:rsidR="00D8239C" w:rsidRPr="009B27AF">
        <w:rPr>
          <w:szCs w:val="22"/>
        </w:rPr>
        <w:t>Section</w:t>
      </w:r>
      <w:r w:rsidR="00E829FE" w:rsidRPr="009B27AF">
        <w:rPr>
          <w:szCs w:val="22"/>
        </w:rPr>
        <w:t>s</w:t>
      </w:r>
      <w:r w:rsidR="009A7B80" w:rsidRPr="009B27AF">
        <w:rPr>
          <w:szCs w:val="22"/>
        </w:rPr>
        <w:t xml:space="preserve"> dealing with records requests</w:t>
      </w:r>
      <w:r w:rsidR="00D8239C" w:rsidRPr="009B27AF">
        <w:rPr>
          <w:szCs w:val="22"/>
        </w:rPr>
        <w:t xml:space="preserve"> without substantive change. </w:t>
      </w:r>
      <w:r w:rsidR="00E15C2E" w:rsidRPr="009B27AF">
        <w:rPr>
          <w:szCs w:val="22"/>
        </w:rPr>
        <w:t>(</w:t>
      </w:r>
      <w:r w:rsidR="00E15C2E" w:rsidRPr="009B27AF">
        <w:rPr>
          <w:i/>
          <w:iCs/>
          <w:szCs w:val="22"/>
        </w:rPr>
        <w:t>See</w:t>
      </w:r>
      <w:r w:rsidR="00E15C2E" w:rsidRPr="009B27AF">
        <w:rPr>
          <w:szCs w:val="22"/>
        </w:rPr>
        <w:t xml:space="preserve"> Assembly Bill 473</w:t>
      </w:r>
      <w:r w:rsidR="00A860DA" w:rsidRPr="009B27AF">
        <w:rPr>
          <w:szCs w:val="22"/>
        </w:rPr>
        <w:t xml:space="preserve"> [Chau].) </w:t>
      </w:r>
      <w:r w:rsidR="00D8239C" w:rsidRPr="009B27AF">
        <w:rPr>
          <w:szCs w:val="22"/>
        </w:rPr>
        <w:t>The California Public Records Act or CPRA was formerly codified as Chapter 3.5</w:t>
      </w:r>
      <w:r w:rsidR="004C6685" w:rsidRPr="009B27AF">
        <w:rPr>
          <w:szCs w:val="22"/>
        </w:rPr>
        <w:t>, commencing with Section 6250</w:t>
      </w:r>
      <w:r w:rsidR="00AB3134" w:rsidRPr="009B27AF">
        <w:rPr>
          <w:szCs w:val="22"/>
        </w:rPr>
        <w:t xml:space="preserve"> and </w:t>
      </w:r>
      <w:r w:rsidR="006A7F31" w:rsidRPr="009B27AF">
        <w:rPr>
          <w:szCs w:val="22"/>
        </w:rPr>
        <w:t xml:space="preserve">through </w:t>
      </w:r>
      <w:r w:rsidR="00951B41" w:rsidRPr="009B27AF">
        <w:rPr>
          <w:szCs w:val="22"/>
        </w:rPr>
        <w:t>6276.48</w:t>
      </w:r>
      <w:r w:rsidR="004C6685" w:rsidRPr="009B27AF">
        <w:rPr>
          <w:szCs w:val="22"/>
        </w:rPr>
        <w:t xml:space="preserve">. The renumbering of the </w:t>
      </w:r>
      <w:r w:rsidR="00700381" w:rsidRPr="009B27AF">
        <w:rPr>
          <w:szCs w:val="22"/>
        </w:rPr>
        <w:t xml:space="preserve">CPRA </w:t>
      </w:r>
      <w:r w:rsidR="007A79E1" w:rsidRPr="009B27AF">
        <w:rPr>
          <w:szCs w:val="22"/>
        </w:rPr>
        <w:t>was designed to make the</w:t>
      </w:r>
      <w:r w:rsidR="00700381" w:rsidRPr="009B27AF">
        <w:rPr>
          <w:szCs w:val="22"/>
        </w:rPr>
        <w:t xml:space="preserve"> law</w:t>
      </w:r>
      <w:r w:rsidR="007A79E1" w:rsidRPr="009B27AF">
        <w:rPr>
          <w:szCs w:val="22"/>
        </w:rPr>
        <w:t xml:space="preserve"> more user-friendly, thus furthering the public’s right </w:t>
      </w:r>
      <w:r w:rsidR="00014E24" w:rsidRPr="009B27AF">
        <w:rPr>
          <w:szCs w:val="22"/>
        </w:rPr>
        <w:t>to</w:t>
      </w:r>
      <w:r w:rsidR="007A79E1" w:rsidRPr="009B27AF">
        <w:rPr>
          <w:szCs w:val="22"/>
        </w:rPr>
        <w:t xml:space="preserve"> access information concerning the conduct of public business.</w:t>
      </w:r>
      <w:r w:rsidR="00A860DA" w:rsidRPr="009B27AF">
        <w:rPr>
          <w:szCs w:val="22"/>
        </w:rPr>
        <w:t xml:space="preserve"> (</w:t>
      </w:r>
      <w:r w:rsidR="00A860DA" w:rsidRPr="009B27AF">
        <w:rPr>
          <w:i/>
          <w:iCs/>
          <w:szCs w:val="22"/>
        </w:rPr>
        <w:t>Id</w:t>
      </w:r>
      <w:r w:rsidR="00A860DA" w:rsidRPr="009B27AF">
        <w:rPr>
          <w:szCs w:val="22"/>
        </w:rPr>
        <w:t>.)</w:t>
      </w:r>
      <w:r w:rsidR="007A79E1" w:rsidRPr="009B27AF">
        <w:rPr>
          <w:szCs w:val="22"/>
        </w:rPr>
        <w:t xml:space="preserve"> </w:t>
      </w:r>
      <w:r w:rsidR="00A860DA" w:rsidRPr="009B27AF">
        <w:rPr>
          <w:szCs w:val="22"/>
        </w:rPr>
        <w:t xml:space="preserve">Government Code </w:t>
      </w:r>
      <w:r w:rsidR="00394F1E" w:rsidRPr="009B27AF">
        <w:rPr>
          <w:szCs w:val="22"/>
        </w:rPr>
        <w:t>Section 6255 now appears at Section 7922.000</w:t>
      </w:r>
      <w:r w:rsidR="009E0C08" w:rsidRPr="009B27AF">
        <w:rPr>
          <w:szCs w:val="22"/>
        </w:rPr>
        <w:t xml:space="preserve"> and states:</w:t>
      </w:r>
      <w:r w:rsidR="001A5C4A" w:rsidRPr="009B27AF">
        <w:rPr>
          <w:color w:val="666666"/>
          <w:szCs w:val="22"/>
          <w:shd w:val="clear" w:color="auto" w:fill="FFFFFF"/>
        </w:rPr>
        <w:t xml:space="preserve"> “</w:t>
      </w:r>
      <w:r w:rsidR="001A5C4A" w:rsidRPr="009B27AF">
        <w:rPr>
          <w:szCs w:val="22"/>
        </w:rPr>
        <w:t>An agency shall justify withholding any record by demonstrating that the record in question is exempt under express provisions of this division, or that on the facts of the particular case</w:t>
      </w:r>
      <w:r w:rsidR="008C7684" w:rsidRPr="009B27AF">
        <w:rPr>
          <w:szCs w:val="22"/>
        </w:rPr>
        <w:t>,</w:t>
      </w:r>
      <w:r w:rsidR="001A5C4A" w:rsidRPr="009B27AF">
        <w:rPr>
          <w:szCs w:val="22"/>
        </w:rPr>
        <w:t xml:space="preserve"> </w:t>
      </w:r>
      <w:r w:rsidR="001A5C4A" w:rsidRPr="009A0D36">
        <w:rPr>
          <w:i/>
          <w:iCs/>
          <w:szCs w:val="22"/>
        </w:rPr>
        <w:t>the public interest served by not disclosing the record clearly outweighs the public interest served by disclosure of the record</w:t>
      </w:r>
      <w:r w:rsidR="001A5C4A" w:rsidRPr="009B27AF">
        <w:rPr>
          <w:szCs w:val="22"/>
        </w:rPr>
        <w:t>.”</w:t>
      </w:r>
      <w:r w:rsidR="003D5C37">
        <w:rPr>
          <w:szCs w:val="22"/>
        </w:rPr>
        <w:t xml:space="preserve"> (Italics added.)</w:t>
      </w:r>
    </w:p>
  </w:footnote>
  <w:footnote w:id="8">
    <w:p w14:paraId="49169713" w14:textId="0CCC3983" w:rsidR="00ED07F1" w:rsidRPr="009B27AF" w:rsidRDefault="00ED07F1" w:rsidP="009B27AF">
      <w:pPr>
        <w:pStyle w:val="FootnoteText"/>
        <w:rPr>
          <w:szCs w:val="22"/>
        </w:rPr>
      </w:pPr>
      <w:r w:rsidRPr="009B27AF">
        <w:rPr>
          <w:rStyle w:val="FootnoteReference"/>
          <w:szCs w:val="22"/>
        </w:rPr>
        <w:footnoteRef/>
      </w:r>
      <w:r w:rsidRPr="009B27AF">
        <w:rPr>
          <w:szCs w:val="22"/>
        </w:rPr>
        <w:t xml:space="preserve"> Other decisions </w:t>
      </w:r>
      <w:r w:rsidR="00290A15" w:rsidRPr="009B27AF">
        <w:rPr>
          <w:szCs w:val="22"/>
        </w:rPr>
        <w:t>applying the balancing test when a trade secret claim has been made include</w:t>
      </w:r>
      <w:r w:rsidR="00FC2B4F" w:rsidRPr="009B27AF">
        <w:rPr>
          <w:szCs w:val="22"/>
        </w:rPr>
        <w:t xml:space="preserve"> </w:t>
      </w:r>
      <w:r w:rsidR="00FC2B4F" w:rsidRPr="009B27AF">
        <w:rPr>
          <w:i/>
          <w:iCs/>
          <w:szCs w:val="22"/>
        </w:rPr>
        <w:t>Stadish v. Superior Court</w:t>
      </w:r>
      <w:r w:rsidR="00FC2B4F" w:rsidRPr="009B27AF">
        <w:rPr>
          <w:szCs w:val="22"/>
        </w:rPr>
        <w:t xml:space="preserve"> </w:t>
      </w:r>
      <w:r w:rsidR="00791A02" w:rsidRPr="009B27AF">
        <w:rPr>
          <w:szCs w:val="22"/>
        </w:rPr>
        <w:t>(1999) 71 Cal.App.4</w:t>
      </w:r>
      <w:r w:rsidR="00791A02" w:rsidRPr="009B27AF">
        <w:rPr>
          <w:szCs w:val="22"/>
          <w:vertAlign w:val="superscript"/>
        </w:rPr>
        <w:t>th</w:t>
      </w:r>
      <w:r w:rsidR="00791A02" w:rsidRPr="009B27AF">
        <w:rPr>
          <w:szCs w:val="22"/>
        </w:rPr>
        <w:t xml:space="preserve"> 1130, </w:t>
      </w:r>
      <w:r w:rsidR="00D14473" w:rsidRPr="009B27AF">
        <w:rPr>
          <w:szCs w:val="22"/>
        </w:rPr>
        <w:t>1145-1146</w:t>
      </w:r>
      <w:r w:rsidR="008F524B" w:rsidRPr="009B27AF">
        <w:rPr>
          <w:szCs w:val="22"/>
        </w:rPr>
        <w:t xml:space="preserve">; and </w:t>
      </w:r>
      <w:r w:rsidR="008F524B" w:rsidRPr="009B27AF">
        <w:rPr>
          <w:i/>
          <w:iCs/>
          <w:szCs w:val="22"/>
        </w:rPr>
        <w:t>Westinghouse Electric Corporation v. Newman &amp; Holzinger</w:t>
      </w:r>
      <w:r w:rsidR="008F524B" w:rsidRPr="009B27AF">
        <w:rPr>
          <w:szCs w:val="22"/>
        </w:rPr>
        <w:t xml:space="preserve"> (1995) 39 Cal.App.4</w:t>
      </w:r>
      <w:r w:rsidR="008F524B" w:rsidRPr="009B27AF">
        <w:rPr>
          <w:szCs w:val="22"/>
          <w:vertAlign w:val="superscript"/>
        </w:rPr>
        <w:t>th</w:t>
      </w:r>
      <w:r w:rsidR="008F524B" w:rsidRPr="009B27AF">
        <w:rPr>
          <w:szCs w:val="22"/>
        </w:rPr>
        <w:t xml:space="preserve"> 1194,</w:t>
      </w:r>
      <w:r w:rsidR="00CD15E1" w:rsidRPr="009B27AF">
        <w:rPr>
          <w:szCs w:val="22"/>
        </w:rPr>
        <w:t xml:space="preserve"> 1208-1209</w:t>
      </w:r>
      <w:r w:rsidR="00E84DDB" w:rsidRPr="009B27AF">
        <w:rPr>
          <w:szCs w:val="22"/>
        </w:rPr>
        <w:t>. Superior Court judges also have the power to seal records after conducting a balancing test</w:t>
      </w:r>
      <w:r w:rsidR="006209E0" w:rsidRPr="009B27AF">
        <w:rPr>
          <w:szCs w:val="22"/>
        </w:rPr>
        <w:t xml:space="preserve"> </w:t>
      </w:r>
      <w:r w:rsidR="00B50C4C" w:rsidRPr="009B27AF">
        <w:rPr>
          <w:szCs w:val="22"/>
        </w:rPr>
        <w:t xml:space="preserve">similar to </w:t>
      </w:r>
      <w:r w:rsidR="006209E0" w:rsidRPr="009B27AF">
        <w:rPr>
          <w:szCs w:val="22"/>
        </w:rPr>
        <w:t>Evidence Code Section 1060 and Government Code Section 7</w:t>
      </w:r>
      <w:r w:rsidR="00E40936" w:rsidRPr="009B27AF">
        <w:rPr>
          <w:szCs w:val="22"/>
        </w:rPr>
        <w:t>920</w:t>
      </w:r>
      <w:r w:rsidR="006209E0" w:rsidRPr="009B27AF">
        <w:rPr>
          <w:szCs w:val="22"/>
        </w:rPr>
        <w:t>.000</w:t>
      </w:r>
      <w:r w:rsidR="00B50C4C" w:rsidRPr="009B27AF">
        <w:rPr>
          <w:szCs w:val="22"/>
        </w:rPr>
        <w:t>. (</w:t>
      </w:r>
      <w:r w:rsidR="00B50C4C" w:rsidRPr="009B27AF">
        <w:rPr>
          <w:i/>
          <w:iCs/>
          <w:szCs w:val="22"/>
        </w:rPr>
        <w:t>See</w:t>
      </w:r>
      <w:r w:rsidR="00B50C4C" w:rsidRPr="009B27AF">
        <w:rPr>
          <w:szCs w:val="22"/>
        </w:rPr>
        <w:t xml:space="preserve"> California Rules of Court, Rule</w:t>
      </w:r>
      <w:r w:rsidR="004634FD">
        <w:rPr>
          <w:szCs w:val="22"/>
        </w:rPr>
        <w:t> </w:t>
      </w:r>
      <w:r w:rsidR="00B50C4C" w:rsidRPr="009B27AF">
        <w:rPr>
          <w:szCs w:val="22"/>
        </w:rPr>
        <w:t>2.250(d) [“</w:t>
      </w:r>
      <w:r w:rsidR="006D0838" w:rsidRPr="009B27AF">
        <w:rPr>
          <w:szCs w:val="22"/>
        </w:rPr>
        <w:t>The court may order that a record be filed under seal only if it expressly finds facts that establish---there exists an overriding interest that overcomes the right of public access to the record</w:t>
      </w:r>
      <w:r w:rsidR="00F43B88" w:rsidRPr="009B27AF">
        <w:rPr>
          <w:szCs w:val="22"/>
        </w:rPr>
        <w:t>[.]”].)</w:t>
      </w:r>
    </w:p>
  </w:footnote>
  <w:footnote w:id="9">
    <w:p w14:paraId="3376B1C3" w14:textId="4B2819F5" w:rsidR="006C2C6B" w:rsidRPr="009B27AF" w:rsidRDefault="006C2C6B" w:rsidP="009B27AF">
      <w:pPr>
        <w:pStyle w:val="FootnoteText"/>
        <w:rPr>
          <w:szCs w:val="22"/>
        </w:rPr>
      </w:pPr>
      <w:r w:rsidRPr="009B27AF">
        <w:rPr>
          <w:rStyle w:val="FootnoteReference"/>
          <w:szCs w:val="22"/>
        </w:rPr>
        <w:footnoteRef/>
      </w:r>
      <w:r w:rsidRPr="009B27AF">
        <w:rPr>
          <w:szCs w:val="22"/>
        </w:rPr>
        <w:t xml:space="preserve"> Ironically, the Commission notes that one of Lyft’s arguments </w:t>
      </w:r>
      <w:r w:rsidR="00BC77A8" w:rsidRPr="009B27AF">
        <w:rPr>
          <w:szCs w:val="22"/>
        </w:rPr>
        <w:t xml:space="preserve">regarding continuing independent economic value </w:t>
      </w:r>
      <w:r w:rsidRPr="009B27AF">
        <w:rPr>
          <w:szCs w:val="22"/>
        </w:rPr>
        <w:t xml:space="preserve">underscores why there is a great public interest in requiring the public disclosure of its trip data for 2014-2019. Lyft argues that it is making unredacted trip data available to its partner, Nexar, to build “better and safer autonomous technology.” (Lyft </w:t>
      </w:r>
      <w:r w:rsidRPr="009B27AF">
        <w:rPr>
          <w:i/>
          <w:iCs/>
          <w:szCs w:val="22"/>
        </w:rPr>
        <w:t>Opening Brief</w:t>
      </w:r>
      <w:r w:rsidRPr="009B27AF">
        <w:rPr>
          <w:szCs w:val="22"/>
        </w:rPr>
        <w:t xml:space="preserve"> at 6.) As the Commission has jurisdiction over autonomous vehicles and has </w:t>
      </w:r>
      <w:r w:rsidR="001F3EAC" w:rsidRPr="009B27AF">
        <w:rPr>
          <w:szCs w:val="22"/>
        </w:rPr>
        <w:t>issued decisions</w:t>
      </w:r>
      <w:r w:rsidRPr="009B27AF">
        <w:rPr>
          <w:szCs w:val="22"/>
        </w:rPr>
        <w:t xml:space="preserve"> authorizing their operation on both a pilot and full deployment basis, trip data information sharing that may result in safer AV transportation supports the Commission’s regulatory duty to ensure that the transportation services it oversees are provided safely.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904B0" w14:textId="15174603" w:rsidR="009B27AF" w:rsidRPr="009B27AF" w:rsidRDefault="009B27AF" w:rsidP="009B27AF">
    <w:pPr>
      <w:pStyle w:val="Header"/>
      <w:tabs>
        <w:tab w:val="clear" w:pos="4680"/>
      </w:tabs>
      <w:ind w:firstLine="0"/>
      <w:rPr>
        <w:b/>
        <w:bCs/>
        <w:iCs/>
      </w:rPr>
    </w:pPr>
    <w:r>
      <w:rPr>
        <w:iCs/>
      </w:rPr>
      <w:t>R.12-12-011  COM/MBK/jnf</w:t>
    </w:r>
    <w:r>
      <w:rPr>
        <w:iCs/>
      </w:rPr>
      <w:tab/>
    </w:r>
    <w:r>
      <w:rPr>
        <w:b/>
        <w:bCs/>
        <w:iCs/>
      </w:rPr>
      <w:t>PROPOSED DECISION</w:t>
    </w:r>
    <w:r w:rsidR="00440D0E">
      <w:rPr>
        <w:b/>
        <w:bCs/>
        <w:iCs/>
      </w:rPr>
      <w:t xml:space="preserve"> (Rev.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8"/>
    <w:multiLevelType w:val="singleLevel"/>
    <w:tmpl w:val="5BAEB6C6"/>
    <w:lvl w:ilvl="0">
      <w:start w:val="1"/>
      <w:numFmt w:val="decimal"/>
      <w:lvlText w:val="%1."/>
      <w:lvlJc w:val="left"/>
      <w:pPr>
        <w:tabs>
          <w:tab w:val="num" w:pos="360"/>
        </w:tabs>
        <w:ind w:left="360" w:hanging="360"/>
      </w:pPr>
    </w:lvl>
  </w:abstractNum>
  <w:abstractNum w:abstractNumId="1" w15:restartNumberingAfterBreak="0">
    <w:nsid w:val="FFFFFF89"/>
    <w:multiLevelType w:val="singleLevel"/>
    <w:tmpl w:val="700E38FC"/>
    <w:lvl w:ilvl="0">
      <w:start w:val="1"/>
      <w:numFmt w:val="bullet"/>
      <w:pStyle w:val="ListBullet"/>
      <w:lvlText w:val=""/>
      <w:lvlJc w:val="left"/>
      <w:pPr>
        <w:tabs>
          <w:tab w:val="num" w:pos="360"/>
        </w:tabs>
        <w:ind w:left="360" w:hanging="360"/>
      </w:pPr>
      <w:rPr>
        <w:rFonts w:ascii="Symbol" w:hAnsi="Symbol" w:hint="default"/>
      </w:rPr>
    </w:lvl>
  </w:abstractNum>
  <w:abstractNum w:abstractNumId="2" w15:restartNumberingAfterBreak="0">
    <w:nsid w:val="146C1C14"/>
    <w:multiLevelType w:val="multilevel"/>
    <w:tmpl w:val="38CA23DE"/>
    <w:styleLink w:val="FoFCoLOP"/>
    <w:lvl w:ilvl="0">
      <w:start w:val="1"/>
      <w:numFmt w:val="decimal"/>
      <w:pStyle w:val="OP"/>
      <w:lvlText w:val="%1."/>
      <w:lvlJc w:val="right"/>
      <w:pPr>
        <w:ind w:left="0" w:firstLine="540"/>
      </w:pPr>
      <w:rPr>
        <w:rFonts w:hint="default"/>
      </w:rPr>
    </w:lvl>
    <w:lvl w:ilvl="1">
      <w:start w:val="1"/>
      <w:numFmt w:val="lowerLetter"/>
      <w:lvlText w:val="(%2)"/>
      <w:lvlJc w:val="right"/>
      <w:pPr>
        <w:ind w:left="1152" w:hanging="72"/>
      </w:pPr>
      <w:rPr>
        <w:rFonts w:hint="default"/>
      </w:rPr>
    </w:lvl>
    <w:lvl w:ilvl="2">
      <w:start w:val="1"/>
      <w:numFmt w:val="none"/>
      <w:lvlText w:val=""/>
      <w:lvlJc w:val="left"/>
      <w:pPr>
        <w:ind w:left="720" w:firstLine="0"/>
      </w:pPr>
      <w:rPr>
        <w:rFonts w:hint="default"/>
      </w:rPr>
    </w:lvl>
    <w:lvl w:ilvl="3">
      <w:start w:val="1"/>
      <w:numFmt w:val="none"/>
      <w:lvlText w:val=""/>
      <w:lvlJc w:val="left"/>
      <w:pPr>
        <w:ind w:left="720" w:firstLine="0"/>
      </w:pPr>
      <w:rPr>
        <w:rFonts w:hint="default"/>
      </w:rPr>
    </w:lvl>
    <w:lvl w:ilvl="4">
      <w:start w:val="1"/>
      <w:numFmt w:val="none"/>
      <w:lvlText w:val=""/>
      <w:lvlJc w:val="left"/>
      <w:pPr>
        <w:ind w:left="720" w:firstLine="0"/>
      </w:pPr>
      <w:rPr>
        <w:rFonts w:hint="default"/>
      </w:rPr>
    </w:lvl>
    <w:lvl w:ilvl="5">
      <w:start w:val="1"/>
      <w:numFmt w:val="none"/>
      <w:lvlText w:val=""/>
      <w:lvlJc w:val="left"/>
      <w:pPr>
        <w:ind w:left="720" w:firstLine="0"/>
      </w:pPr>
      <w:rPr>
        <w:rFonts w:hint="default"/>
      </w:rPr>
    </w:lvl>
    <w:lvl w:ilvl="6">
      <w:start w:val="1"/>
      <w:numFmt w:val="none"/>
      <w:lvlText w:val=""/>
      <w:lvlJc w:val="left"/>
      <w:pPr>
        <w:ind w:left="720" w:firstLine="0"/>
      </w:pPr>
      <w:rPr>
        <w:rFonts w:hint="default"/>
      </w:rPr>
    </w:lvl>
    <w:lvl w:ilvl="7">
      <w:start w:val="1"/>
      <w:numFmt w:val="none"/>
      <w:lvlText w:val=""/>
      <w:lvlJc w:val="left"/>
      <w:pPr>
        <w:ind w:left="720" w:firstLine="0"/>
      </w:pPr>
      <w:rPr>
        <w:rFonts w:hint="default"/>
      </w:rPr>
    </w:lvl>
    <w:lvl w:ilvl="8">
      <w:start w:val="1"/>
      <w:numFmt w:val="none"/>
      <w:lvlText w:val=""/>
      <w:lvlJc w:val="left"/>
      <w:pPr>
        <w:ind w:left="720" w:firstLine="0"/>
      </w:pPr>
      <w:rPr>
        <w:rFonts w:hint="default"/>
      </w:rPr>
    </w:lvl>
  </w:abstractNum>
  <w:abstractNum w:abstractNumId="3" w15:restartNumberingAfterBreak="0">
    <w:nsid w:val="15F056CB"/>
    <w:multiLevelType w:val="multilevel"/>
    <w:tmpl w:val="38CA23DE"/>
    <w:numStyleLink w:val="FoFCoLOP"/>
  </w:abstractNum>
  <w:abstractNum w:abstractNumId="4" w15:restartNumberingAfterBreak="0">
    <w:nsid w:val="1CD67F4B"/>
    <w:multiLevelType w:val="hybridMultilevel"/>
    <w:tmpl w:val="C2A26642"/>
    <w:lvl w:ilvl="0" w:tplc="7A988B5E">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1D70038F"/>
    <w:multiLevelType w:val="multilevel"/>
    <w:tmpl w:val="3C526EDE"/>
    <w:numStyleLink w:val="Headings"/>
  </w:abstractNum>
  <w:abstractNum w:abstractNumId="6" w15:restartNumberingAfterBreak="0">
    <w:nsid w:val="1E2242C9"/>
    <w:multiLevelType w:val="multilevel"/>
    <w:tmpl w:val="3C526EDE"/>
    <w:numStyleLink w:val="Headings"/>
  </w:abstractNum>
  <w:abstractNum w:abstractNumId="7" w15:restartNumberingAfterBreak="0">
    <w:nsid w:val="21FB58FE"/>
    <w:multiLevelType w:val="multilevel"/>
    <w:tmpl w:val="3C526EDE"/>
    <w:numStyleLink w:val="Headings"/>
  </w:abstractNum>
  <w:abstractNum w:abstractNumId="8" w15:restartNumberingAfterBreak="0">
    <w:nsid w:val="243663A0"/>
    <w:multiLevelType w:val="multilevel"/>
    <w:tmpl w:val="3C526EDE"/>
    <w:numStyleLink w:val="Headings"/>
  </w:abstractNum>
  <w:abstractNum w:abstractNumId="9" w15:restartNumberingAfterBreak="0">
    <w:nsid w:val="2B8124D7"/>
    <w:multiLevelType w:val="multilevel"/>
    <w:tmpl w:val="3C526EDE"/>
    <w:numStyleLink w:val="Headings"/>
  </w:abstractNum>
  <w:abstractNum w:abstractNumId="10" w15:restartNumberingAfterBreak="0">
    <w:nsid w:val="331F6D42"/>
    <w:multiLevelType w:val="multilevel"/>
    <w:tmpl w:val="3C526EDE"/>
    <w:styleLink w:val="Headings"/>
    <w:lvl w:ilvl="0">
      <w:start w:val="1"/>
      <w:numFmt w:val="decimal"/>
      <w:pStyle w:val="Heading1"/>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 w:ilvl="1">
      <w:start w:val="1"/>
      <w:numFmt w:val="decimal"/>
      <w:pStyle w:val="Heading2"/>
      <w:lvlText w:val="%1.%2."/>
      <w:lvlJc w:val="left"/>
      <w:pPr>
        <w:tabs>
          <w:tab w:val="num" w:pos="1080"/>
        </w:tabs>
        <w:ind w:left="1080" w:hanging="720"/>
      </w:pPr>
      <w:rPr>
        <w:rFonts w:ascii="Arial" w:hAnsi="Arial" w:hint="default"/>
        <w:b/>
        <w:i w:val="0"/>
        <w:caps w:val="0"/>
        <w:strike w:val="0"/>
        <w:dstrike w:val="0"/>
        <w:vanish w:val="0"/>
        <w:color w:val="auto"/>
        <w:kern w:val="0"/>
        <w:sz w:val="26"/>
        <w:u w:val="none"/>
        <w:vertAlign w:val="baseline"/>
        <w14:cntxtAlts w14:val="0"/>
      </w:rPr>
    </w:lvl>
    <w:lvl w:ilvl="2">
      <w:start w:val="1"/>
      <w:numFmt w:val="decimal"/>
      <w:pStyle w:val="Heading3"/>
      <w:lvlText w:val="%1.%2.%3."/>
      <w:lvlJc w:val="left"/>
      <w:pPr>
        <w:tabs>
          <w:tab w:val="num" w:pos="1656"/>
        </w:tabs>
        <w:ind w:left="1656" w:hanging="936"/>
      </w:pPr>
      <w:rPr>
        <w:rFonts w:ascii="Arial" w:hAnsi="Arial" w:hint="default"/>
        <w:b/>
        <w:i w:val="0"/>
        <w:caps w:val="0"/>
        <w:strike w:val="0"/>
        <w:dstrike w:val="0"/>
        <w:vanish w:val="0"/>
        <w:color w:val="auto"/>
        <w:kern w:val="0"/>
        <w:sz w:val="26"/>
        <w:u w:val="none"/>
        <w:vertAlign w:val="baseline"/>
        <w14:cntxtAlts w14:val="0"/>
      </w:rPr>
    </w:lvl>
    <w:lvl w:ilvl="3">
      <w:start w:val="1"/>
      <w:numFmt w:val="decimal"/>
      <w:pStyle w:val="Heading4"/>
      <w:lvlText w:val="%1.%2.%3.%4."/>
      <w:lvlJc w:val="left"/>
      <w:pPr>
        <w:tabs>
          <w:tab w:val="num" w:pos="2232"/>
        </w:tabs>
        <w:ind w:left="2232" w:hanging="1152"/>
      </w:pPr>
      <w:rPr>
        <w:rFonts w:ascii="Arial" w:hAnsi="Arial" w:hint="default"/>
        <w:b/>
        <w:i w:val="0"/>
        <w:caps w:val="0"/>
        <w:strike w:val="0"/>
        <w:dstrike w:val="0"/>
        <w:vanish w:val="0"/>
        <w:kern w:val="0"/>
        <w:sz w:val="26"/>
        <w:vertAlign w:val="baseline"/>
        <w14:cntxtAlts w14:val="0"/>
      </w:rPr>
    </w:lvl>
    <w:lvl w:ilvl="4">
      <w:start w:val="1"/>
      <w:numFmt w:val="decimal"/>
      <w:pStyle w:val="Heading5"/>
      <w:lvlText w:val="%1.%2.%3.%4.%5."/>
      <w:lvlJc w:val="left"/>
      <w:pPr>
        <w:tabs>
          <w:tab w:val="num" w:pos="2880"/>
        </w:tabs>
        <w:ind w:left="2880" w:hanging="1440"/>
      </w:pPr>
      <w:rPr>
        <w:rFonts w:ascii="Arial" w:hAnsi="Arial" w:hint="default"/>
        <w:b/>
        <w:i w:val="0"/>
        <w:sz w:val="26"/>
      </w:rPr>
    </w:lvl>
    <w:lvl w:ilvl="5">
      <w:start w:val="1"/>
      <w:numFmt w:val="decimal"/>
      <w:pStyle w:val="Heading6"/>
      <w:lvlText w:val="%1.%2.%3.%4.%5.%6."/>
      <w:lvlJc w:val="left"/>
      <w:pPr>
        <w:tabs>
          <w:tab w:val="num" w:pos="3528"/>
        </w:tabs>
        <w:ind w:left="3528" w:hanging="1728"/>
      </w:pPr>
      <w:rPr>
        <w:rFonts w:ascii="Arial" w:hAnsi="Arial" w:hint="default"/>
        <w:b/>
        <w:i w:val="0"/>
        <w:sz w:val="26"/>
      </w:rPr>
    </w:lvl>
    <w:lvl w:ilvl="6">
      <w:start w:val="1"/>
      <w:numFmt w:val="decimal"/>
      <w:pStyle w:val="ListNum"/>
      <w:lvlText w:val="%7."/>
      <w:lvlJc w:val="left"/>
      <w:pPr>
        <w:tabs>
          <w:tab w:val="num" w:pos="1080"/>
        </w:tabs>
        <w:ind w:left="1080" w:hanging="360"/>
      </w:pPr>
      <w:rPr>
        <w:rFonts w:ascii="Book Antiqua" w:hAnsi="Book Antiqua" w:hint="default"/>
        <w:b w:val="0"/>
        <w:i w:val="0"/>
        <w:sz w:val="26"/>
      </w:rPr>
    </w:lvl>
    <w:lvl w:ilvl="7">
      <w:start w:val="1"/>
      <w:numFmt w:val="lowerLetter"/>
      <w:pStyle w:val="ListAlpha"/>
      <w:lvlText w:val="%8."/>
      <w:lvlJc w:val="left"/>
      <w:pPr>
        <w:ind w:left="1080" w:hanging="360"/>
      </w:pPr>
      <w:rPr>
        <w:rFonts w:ascii="Book Antiqua" w:hAnsi="Book Antiqua" w:hint="default"/>
        <w:sz w:val="26"/>
      </w:rPr>
    </w:lvl>
    <w:lvl w:ilvl="8">
      <w:start w:val="1"/>
      <w:numFmt w:val="none"/>
      <w:lvlText w:val=""/>
      <w:lvlJc w:val="left"/>
      <w:pPr>
        <w:ind w:left="3240" w:hanging="360"/>
      </w:pPr>
      <w:rPr>
        <w:rFonts w:hint="default"/>
      </w:rPr>
    </w:lvl>
  </w:abstractNum>
  <w:abstractNum w:abstractNumId="11" w15:restartNumberingAfterBreak="0">
    <w:nsid w:val="445659DF"/>
    <w:multiLevelType w:val="multilevel"/>
    <w:tmpl w:val="44EC73EE"/>
    <w:lvl w:ilvl="0">
      <w:start w:val="1"/>
      <w:numFmt w:val="lowerLetter"/>
      <w:lvlText w:val="(%1)"/>
      <w:lvlJc w:val="left"/>
      <w:pPr>
        <w:ind w:left="720" w:firstLine="0"/>
      </w:pPr>
      <w:rPr>
        <w:rFonts w:ascii="Book Antiqua" w:hAnsi="Book Antiqua" w:hint="default"/>
        <w:b w:val="0"/>
        <w:i w:val="0"/>
        <w:sz w:val="26"/>
      </w:rPr>
    </w:lvl>
    <w:lvl w:ilvl="1">
      <w:start w:val="1"/>
      <w:numFmt w:val="decimal"/>
      <w:lvlText w:val="(%2)"/>
      <w:lvlJc w:val="left"/>
      <w:pPr>
        <w:ind w:left="1080" w:firstLine="0"/>
      </w:pPr>
      <w:rPr>
        <w:rFonts w:hint="default"/>
      </w:rPr>
    </w:lvl>
    <w:lvl w:ilvl="2">
      <w:start w:val="1"/>
      <w:numFmt w:val="lowerRoman"/>
      <w:lvlText w:val="(%3)"/>
      <w:lvlJc w:val="left"/>
      <w:pPr>
        <w:ind w:left="1440" w:firstLine="0"/>
      </w:pPr>
      <w:rPr>
        <w:rFonts w:hint="default"/>
      </w:rPr>
    </w:lvl>
    <w:lvl w:ilvl="3">
      <w:start w:val="1"/>
      <w:numFmt w:val="decimal"/>
      <w:lvlText w:val="(%4)"/>
      <w:lvlJc w:val="left"/>
      <w:pPr>
        <w:ind w:left="1800" w:firstLine="0"/>
      </w:pPr>
      <w:rPr>
        <w:rFonts w:hint="default"/>
      </w:rPr>
    </w:lvl>
    <w:lvl w:ilvl="4">
      <w:start w:val="1"/>
      <w:numFmt w:val="lowerLetter"/>
      <w:lvlText w:val="(%5)"/>
      <w:lvlJc w:val="left"/>
      <w:pPr>
        <w:ind w:left="2160" w:firstLine="0"/>
      </w:pPr>
      <w:rPr>
        <w:rFonts w:hint="default"/>
      </w:rPr>
    </w:lvl>
    <w:lvl w:ilvl="5">
      <w:start w:val="1"/>
      <w:numFmt w:val="lowerRoman"/>
      <w:lvlText w:val="(%6)"/>
      <w:lvlJc w:val="left"/>
      <w:pPr>
        <w:ind w:left="2520" w:firstLine="0"/>
      </w:pPr>
      <w:rPr>
        <w:rFonts w:hint="default"/>
      </w:rPr>
    </w:lvl>
    <w:lvl w:ilvl="6">
      <w:start w:val="1"/>
      <w:numFmt w:val="decimal"/>
      <w:lvlText w:val="%7."/>
      <w:lvlJc w:val="left"/>
      <w:pPr>
        <w:ind w:left="2880" w:firstLine="0"/>
      </w:pPr>
      <w:rPr>
        <w:rFonts w:hint="default"/>
      </w:rPr>
    </w:lvl>
    <w:lvl w:ilvl="7">
      <w:start w:val="1"/>
      <w:numFmt w:val="lowerLetter"/>
      <w:lvlText w:val="%8."/>
      <w:lvlJc w:val="left"/>
      <w:pPr>
        <w:ind w:left="3240" w:firstLine="0"/>
      </w:pPr>
      <w:rPr>
        <w:rFonts w:hint="default"/>
      </w:rPr>
    </w:lvl>
    <w:lvl w:ilvl="8">
      <w:start w:val="1"/>
      <w:numFmt w:val="lowerRoman"/>
      <w:lvlText w:val="%9."/>
      <w:lvlJc w:val="left"/>
      <w:pPr>
        <w:ind w:left="3600" w:firstLine="0"/>
      </w:pPr>
      <w:rPr>
        <w:rFonts w:hint="default"/>
      </w:rPr>
    </w:lvl>
  </w:abstractNum>
  <w:abstractNum w:abstractNumId="12" w15:restartNumberingAfterBreak="0">
    <w:nsid w:val="560C4A29"/>
    <w:multiLevelType w:val="multilevel"/>
    <w:tmpl w:val="9D30E5B6"/>
    <w:styleLink w:val="Rules"/>
    <w:lvl w:ilvl="0">
      <w:start w:val="1"/>
      <w:numFmt w:val="lowerLetter"/>
      <w:pStyle w:val="ListNumber"/>
      <w:lvlText w:val="(%1)"/>
      <w:lvlJc w:val="left"/>
      <w:pPr>
        <w:ind w:left="720" w:firstLine="0"/>
      </w:pPr>
      <w:rPr>
        <w:rFonts w:ascii="Book Antiqua" w:hAnsi="Book Antiqua" w:hint="default"/>
        <w:b w:val="0"/>
        <w:i w:val="0"/>
        <w:sz w:val="26"/>
      </w:rPr>
    </w:lvl>
    <w:lvl w:ilvl="1">
      <w:start w:val="1"/>
      <w:numFmt w:val="decimal"/>
      <w:pStyle w:val="List2"/>
      <w:lvlText w:val="(%2)"/>
      <w:lvlJc w:val="left"/>
      <w:pPr>
        <w:ind w:left="1080" w:firstLine="0"/>
      </w:pPr>
      <w:rPr>
        <w:rFonts w:hint="default"/>
      </w:rPr>
    </w:lvl>
    <w:lvl w:ilvl="2">
      <w:start w:val="1"/>
      <w:numFmt w:val="lowerRoman"/>
      <w:pStyle w:val="List3"/>
      <w:lvlText w:val="(%3)"/>
      <w:lvlJc w:val="left"/>
      <w:pPr>
        <w:ind w:left="1440" w:firstLine="0"/>
      </w:pPr>
      <w:rPr>
        <w:rFonts w:hint="default"/>
      </w:rPr>
    </w:lvl>
    <w:lvl w:ilvl="3">
      <w:start w:val="1"/>
      <w:numFmt w:val="decimal"/>
      <w:lvlText w:val="(%4)"/>
      <w:lvlJc w:val="left"/>
      <w:pPr>
        <w:ind w:left="1800" w:firstLine="0"/>
      </w:pPr>
      <w:rPr>
        <w:rFonts w:hint="default"/>
      </w:rPr>
    </w:lvl>
    <w:lvl w:ilvl="4">
      <w:start w:val="1"/>
      <w:numFmt w:val="lowerLetter"/>
      <w:lvlText w:val="(%5)"/>
      <w:lvlJc w:val="left"/>
      <w:pPr>
        <w:ind w:left="2160" w:firstLine="0"/>
      </w:pPr>
      <w:rPr>
        <w:rFonts w:hint="default"/>
      </w:rPr>
    </w:lvl>
    <w:lvl w:ilvl="5">
      <w:start w:val="1"/>
      <w:numFmt w:val="lowerRoman"/>
      <w:lvlText w:val="(%6)"/>
      <w:lvlJc w:val="left"/>
      <w:pPr>
        <w:ind w:left="2520" w:firstLine="0"/>
      </w:pPr>
      <w:rPr>
        <w:rFonts w:hint="default"/>
      </w:rPr>
    </w:lvl>
    <w:lvl w:ilvl="6">
      <w:start w:val="1"/>
      <w:numFmt w:val="decimal"/>
      <w:lvlText w:val="%7."/>
      <w:lvlJc w:val="left"/>
      <w:pPr>
        <w:ind w:left="2880" w:firstLine="0"/>
      </w:pPr>
      <w:rPr>
        <w:rFonts w:hint="default"/>
      </w:rPr>
    </w:lvl>
    <w:lvl w:ilvl="7">
      <w:start w:val="1"/>
      <w:numFmt w:val="lowerLetter"/>
      <w:lvlText w:val="%8."/>
      <w:lvlJc w:val="left"/>
      <w:pPr>
        <w:ind w:left="3240" w:firstLine="0"/>
      </w:pPr>
      <w:rPr>
        <w:rFonts w:hint="default"/>
      </w:rPr>
    </w:lvl>
    <w:lvl w:ilvl="8">
      <w:start w:val="1"/>
      <w:numFmt w:val="lowerRoman"/>
      <w:lvlText w:val="%9."/>
      <w:lvlJc w:val="left"/>
      <w:pPr>
        <w:ind w:left="3600" w:firstLine="0"/>
      </w:pPr>
      <w:rPr>
        <w:rFonts w:hint="default"/>
      </w:rPr>
    </w:lvl>
  </w:abstractNum>
  <w:abstractNum w:abstractNumId="13" w15:restartNumberingAfterBreak="0">
    <w:nsid w:val="59D042D7"/>
    <w:multiLevelType w:val="multilevel"/>
    <w:tmpl w:val="38CA23DE"/>
    <w:numStyleLink w:val="FoFCoLOP"/>
  </w:abstractNum>
  <w:abstractNum w:abstractNumId="14" w15:restartNumberingAfterBreak="0">
    <w:nsid w:val="5A9E2171"/>
    <w:multiLevelType w:val="multilevel"/>
    <w:tmpl w:val="3C526EDE"/>
    <w:numStyleLink w:val="Headings"/>
  </w:abstractNum>
  <w:abstractNum w:abstractNumId="15" w15:restartNumberingAfterBreak="0">
    <w:nsid w:val="61A25780"/>
    <w:multiLevelType w:val="multilevel"/>
    <w:tmpl w:val="3C526EDE"/>
    <w:numStyleLink w:val="Headings"/>
  </w:abstractNum>
  <w:abstractNum w:abstractNumId="16" w15:restartNumberingAfterBreak="0">
    <w:nsid w:val="6FDF7E1C"/>
    <w:multiLevelType w:val="hybridMultilevel"/>
    <w:tmpl w:val="2F5AD6F8"/>
    <w:lvl w:ilvl="0" w:tplc="721C3134">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789A0AFE"/>
    <w:multiLevelType w:val="multilevel"/>
    <w:tmpl w:val="38CA23DE"/>
    <w:numStyleLink w:val="FoFCoLOP"/>
  </w:abstractNum>
  <w:num w:numId="1" w16cid:durableId="661394918">
    <w:abstractNumId w:val="14"/>
    <w:lvlOverride w:ilvl="0">
      <w:lvl w:ilvl="0">
        <w:start w:val="1"/>
        <w:numFmt w:val="decimal"/>
        <w:lvlText w:val="%1."/>
        <w:lvlJc w:val="left"/>
        <w:pPr>
          <w:ind w:left="720" w:hanging="720"/>
        </w:pPr>
        <w:rPr>
          <w:rFonts w:ascii="Arial" w:hAnsi="Arial" w:hint="default"/>
          <w:b/>
          <w:i w:val="0"/>
          <w:caps w:val="0"/>
          <w:strike w:val="0"/>
          <w:dstrike w:val="0"/>
          <w:vanish w:val="0"/>
          <w:color w:val="auto"/>
          <w:kern w:val="0"/>
          <w:position w:val="0"/>
          <w:sz w:val="26"/>
          <w:u w:val="none"/>
          <w:vertAlign w:val="baseline"/>
          <w14:ligatures w14:val="none"/>
          <w14:numSpacing w14:val="default"/>
          <w14:cntxtAlts w14:val="0"/>
        </w:rPr>
      </w:lvl>
    </w:lvlOverride>
  </w:num>
  <w:num w:numId="2" w16cid:durableId="1717198435">
    <w:abstractNumId w:val="2"/>
  </w:num>
  <w:num w:numId="3" w16cid:durableId="798035769">
    <w:abstractNumId w:val="13"/>
  </w:num>
  <w:num w:numId="4" w16cid:durableId="450168515">
    <w:abstractNumId w:val="3"/>
  </w:num>
  <w:num w:numId="5" w16cid:durableId="20715236">
    <w:abstractNumId w:val="17"/>
  </w:num>
  <w:num w:numId="6" w16cid:durableId="1767580383">
    <w:abstractNumId w:val="10"/>
  </w:num>
  <w:num w:numId="7" w16cid:durableId="146747522">
    <w:abstractNumId w:val="6"/>
  </w:num>
  <w:num w:numId="8" w16cid:durableId="473837593">
    <w:abstractNumId w:val="16"/>
  </w:num>
  <w:num w:numId="9" w16cid:durableId="1629507106">
    <w:abstractNumId w:val="1"/>
  </w:num>
  <w:num w:numId="10" w16cid:durableId="1995449877">
    <w:abstractNumId w:val="5"/>
  </w:num>
  <w:num w:numId="11" w16cid:durableId="2066248031">
    <w:abstractNumId w:val="7"/>
  </w:num>
  <w:num w:numId="12" w16cid:durableId="2097093957">
    <w:abstractNumId w:val="4"/>
  </w:num>
  <w:num w:numId="13" w16cid:durableId="895778427">
    <w:abstractNumId w:val="8"/>
  </w:num>
  <w:num w:numId="14" w16cid:durableId="2107725986">
    <w:abstractNumId w:val="9"/>
  </w:num>
  <w:num w:numId="15" w16cid:durableId="2023820528">
    <w:abstractNumId w:val="15"/>
  </w:num>
  <w:num w:numId="16" w16cid:durableId="1102533946">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433012242">
    <w:abstractNumId w:val="15"/>
  </w:num>
  <w:num w:numId="18" w16cid:durableId="463474945">
    <w:abstractNumId w:val="3"/>
  </w:num>
  <w:num w:numId="19" w16cid:durableId="1503083737">
    <w:abstractNumId w:val="13"/>
  </w:num>
  <w:num w:numId="20" w16cid:durableId="1046681395">
    <w:abstractNumId w:val="15"/>
  </w:num>
  <w:num w:numId="21" w16cid:durableId="344787225">
    <w:abstractNumId w:val="15"/>
  </w:num>
  <w:num w:numId="22" w16cid:durableId="2016640740">
    <w:abstractNumId w:val="15"/>
  </w:num>
  <w:num w:numId="23" w16cid:durableId="249124358">
    <w:abstractNumId w:val="15"/>
  </w:num>
  <w:num w:numId="24" w16cid:durableId="510413379">
    <w:abstractNumId w:val="15"/>
  </w:num>
  <w:num w:numId="25" w16cid:durableId="487524186">
    <w:abstractNumId w:val="15"/>
  </w:num>
  <w:num w:numId="26" w16cid:durableId="1984770653">
    <w:abstractNumId w:val="11"/>
    <w:lvlOverride w:ilvl="0">
      <w:lvl w:ilvl="0">
        <w:start w:val="1"/>
        <w:numFmt w:val="lowerLetter"/>
        <w:lvlText w:val="(%1)"/>
        <w:lvlJc w:val="left"/>
        <w:pPr>
          <w:ind w:left="720" w:firstLine="0"/>
        </w:pPr>
        <w:rPr>
          <w:rFonts w:ascii="Book Antiqua" w:hAnsi="Book Antiqua" w:hint="default"/>
          <w:b w:val="0"/>
          <w:i w:val="0"/>
          <w:sz w:val="26"/>
        </w:rPr>
      </w:lvl>
    </w:lvlOverride>
  </w:num>
  <w:num w:numId="27" w16cid:durableId="874578718">
    <w:abstractNumId w:val="11"/>
    <w:lvlOverride w:ilvl="0">
      <w:lvl w:ilvl="0">
        <w:start w:val="1"/>
        <w:numFmt w:val="lowerLetter"/>
        <w:lvlText w:val="(%1)"/>
        <w:lvlJc w:val="left"/>
        <w:pPr>
          <w:ind w:left="720" w:firstLine="0"/>
        </w:pPr>
        <w:rPr>
          <w:rFonts w:ascii="Book Antiqua" w:hAnsi="Book Antiqua" w:hint="default"/>
          <w:b w:val="0"/>
          <w:i w:val="0"/>
          <w:sz w:val="26"/>
        </w:rPr>
      </w:lvl>
    </w:lvlOverride>
  </w:num>
  <w:num w:numId="28" w16cid:durableId="674721945">
    <w:abstractNumId w:val="11"/>
    <w:lvlOverride w:ilvl="0">
      <w:lvl w:ilvl="0">
        <w:start w:val="1"/>
        <w:numFmt w:val="lowerLetter"/>
        <w:lvlText w:val="(%1)"/>
        <w:lvlJc w:val="left"/>
        <w:pPr>
          <w:ind w:left="720" w:firstLine="0"/>
        </w:pPr>
        <w:rPr>
          <w:rFonts w:ascii="Book Antiqua" w:hAnsi="Book Antiqua" w:hint="default"/>
          <w:b w:val="0"/>
          <w:i w:val="0"/>
          <w:sz w:val="26"/>
        </w:rPr>
      </w:lvl>
    </w:lvlOverride>
  </w:num>
  <w:num w:numId="29" w16cid:durableId="1699088719">
    <w:abstractNumId w:val="11"/>
    <w:lvlOverride w:ilvl="0">
      <w:lvl w:ilvl="0">
        <w:start w:val="1"/>
        <w:numFmt w:val="lowerLetter"/>
        <w:lvlText w:val="(%1)"/>
        <w:lvlJc w:val="left"/>
        <w:pPr>
          <w:ind w:left="720" w:firstLine="0"/>
        </w:pPr>
        <w:rPr>
          <w:rFonts w:ascii="Book Antiqua" w:hAnsi="Book Antiqua" w:hint="default"/>
          <w:b w:val="0"/>
          <w:i w:val="0"/>
          <w:sz w:val="26"/>
        </w:rPr>
      </w:lvl>
    </w:lvlOverride>
  </w:num>
  <w:num w:numId="30" w16cid:durableId="1310017108">
    <w:abstractNumId w:val="1"/>
  </w:num>
  <w:num w:numId="31" w16cid:durableId="518663832">
    <w:abstractNumId w:val="15"/>
  </w:num>
  <w:num w:numId="32" w16cid:durableId="1485469282">
    <w:abstractNumId w:val="15"/>
    <w:lvlOverride w:ilvl="0">
      <w:lvl w:ilvl="0">
        <w:start w:val="1"/>
        <w:numFmt w:val="decimal"/>
        <w:pStyle w:val="Heading1"/>
        <w:lvlText w:val="%1."/>
        <w:lvlJc w:val="left"/>
        <w:pPr>
          <w:ind w:left="720" w:hanging="720"/>
        </w:pPr>
      </w:lvl>
    </w:lvlOverride>
    <w:lvlOverride w:ilvl="1">
      <w:lvl w:ilvl="1">
        <w:start w:val="1"/>
        <w:numFmt w:val="decimal"/>
        <w:pStyle w:val="Heading2"/>
        <w:lvlText w:val="%1.%2."/>
        <w:lvlJc w:val="left"/>
        <w:pPr>
          <w:tabs>
            <w:tab w:val="num" w:pos="1080"/>
          </w:tabs>
          <w:ind w:left="1080" w:hanging="720"/>
        </w:pPr>
      </w:lvl>
    </w:lvlOverride>
  </w:num>
  <w:num w:numId="33" w16cid:durableId="258491066">
    <w:abstractNumId w:val="0"/>
  </w:num>
  <w:num w:numId="34" w16cid:durableId="1609965709">
    <w:abstractNumId w:val="11"/>
    <w:lvlOverride w:ilvl="0">
      <w:lvl w:ilvl="0">
        <w:start w:val="1"/>
        <w:numFmt w:val="lowerLetter"/>
        <w:lvlText w:val="(%1)"/>
        <w:lvlJc w:val="left"/>
        <w:pPr>
          <w:ind w:left="720" w:firstLine="0"/>
        </w:pPr>
        <w:rPr>
          <w:rFonts w:ascii="Book Antiqua" w:hAnsi="Book Antiqua" w:hint="default"/>
          <w:b w:val="0"/>
          <w:i w:val="0"/>
          <w:sz w:val="26"/>
        </w:rPr>
      </w:lvl>
    </w:lvlOverride>
  </w:num>
  <w:num w:numId="35" w16cid:durableId="1140417887">
    <w:abstractNumId w:val="11"/>
    <w:lvlOverride w:ilvl="0">
      <w:lvl w:ilvl="0">
        <w:start w:val="1"/>
        <w:numFmt w:val="lowerLetter"/>
        <w:lvlText w:val="(%1)"/>
        <w:lvlJc w:val="left"/>
        <w:pPr>
          <w:ind w:left="720" w:firstLine="0"/>
        </w:pPr>
        <w:rPr>
          <w:rFonts w:ascii="Book Antiqua" w:hAnsi="Book Antiqua" w:hint="default"/>
          <w:b w:val="0"/>
          <w:i w:val="0"/>
          <w:sz w:val="26"/>
        </w:rPr>
      </w:lvl>
    </w:lvlOverride>
  </w:num>
  <w:num w:numId="36" w16cid:durableId="1757744334">
    <w:abstractNumId w:val="17"/>
  </w:num>
  <w:num w:numId="37" w16cid:durableId="169832837">
    <w:abstractNumId w:val="11"/>
    <w:lvlOverride w:ilvl="0">
      <w:lvl w:ilvl="0">
        <w:start w:val="1"/>
        <w:numFmt w:val="lowerLetter"/>
        <w:lvlText w:val="(%1)"/>
        <w:lvlJc w:val="left"/>
        <w:pPr>
          <w:ind w:left="720" w:firstLine="0"/>
        </w:pPr>
        <w:rPr>
          <w:rFonts w:ascii="Book Antiqua" w:hAnsi="Book Antiqua" w:hint="default"/>
          <w:b w:val="0"/>
          <w:i w:val="0"/>
          <w:sz w:val="26"/>
        </w:rPr>
      </w:lvl>
    </w:lvlOverride>
  </w:num>
  <w:num w:numId="38" w16cid:durableId="676885799">
    <w:abstractNumId w:val="11"/>
    <w:lvlOverride w:ilvl="0">
      <w:lvl w:ilvl="0">
        <w:start w:val="1"/>
        <w:numFmt w:val="lowerLetter"/>
        <w:lvlText w:val="(%1)"/>
        <w:lvlJc w:val="left"/>
        <w:pPr>
          <w:ind w:left="720" w:firstLine="0"/>
        </w:pPr>
        <w:rPr>
          <w:rFonts w:ascii="Book Antiqua" w:hAnsi="Book Antiqua" w:hint="default"/>
          <w:b w:val="0"/>
          <w:i w:val="0"/>
          <w:sz w:val="26"/>
        </w:rPr>
      </w:lvl>
    </w:lvlOverride>
  </w:num>
  <w:num w:numId="39" w16cid:durableId="1141460765">
    <w:abstractNumId w:val="11"/>
    <w:lvlOverride w:ilvl="0">
      <w:lvl w:ilvl="0">
        <w:start w:val="1"/>
        <w:numFmt w:val="lowerLetter"/>
        <w:lvlText w:val="(%1)"/>
        <w:lvlJc w:val="left"/>
        <w:pPr>
          <w:ind w:left="720" w:firstLine="0"/>
        </w:pPr>
        <w:rPr>
          <w:rFonts w:ascii="Book Antiqua" w:hAnsi="Book Antiqua" w:hint="default"/>
          <w:b w:val="0"/>
          <w:i w:val="0"/>
          <w:sz w:val="26"/>
        </w:rPr>
      </w:lvl>
    </w:lvlOverride>
  </w:num>
  <w:num w:numId="40" w16cid:durableId="282927903">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51E"/>
    <w:rsid w:val="00000F6A"/>
    <w:rsid w:val="00005424"/>
    <w:rsid w:val="00005C89"/>
    <w:rsid w:val="00014DD5"/>
    <w:rsid w:val="00014E24"/>
    <w:rsid w:val="0001610E"/>
    <w:rsid w:val="000162F0"/>
    <w:rsid w:val="00017097"/>
    <w:rsid w:val="000233E4"/>
    <w:rsid w:val="000270B5"/>
    <w:rsid w:val="00027444"/>
    <w:rsid w:val="00033F77"/>
    <w:rsid w:val="00036650"/>
    <w:rsid w:val="00041840"/>
    <w:rsid w:val="0005561F"/>
    <w:rsid w:val="000660A6"/>
    <w:rsid w:val="00067578"/>
    <w:rsid w:val="000700D8"/>
    <w:rsid w:val="0007115A"/>
    <w:rsid w:val="00071D93"/>
    <w:rsid w:val="0007349B"/>
    <w:rsid w:val="00077788"/>
    <w:rsid w:val="00081389"/>
    <w:rsid w:val="0009085F"/>
    <w:rsid w:val="0009371B"/>
    <w:rsid w:val="00093AC2"/>
    <w:rsid w:val="000973C8"/>
    <w:rsid w:val="000A2643"/>
    <w:rsid w:val="000A2AA9"/>
    <w:rsid w:val="000A4C45"/>
    <w:rsid w:val="000A56F2"/>
    <w:rsid w:val="000A6E05"/>
    <w:rsid w:val="000B12FA"/>
    <w:rsid w:val="000B3418"/>
    <w:rsid w:val="000C08BF"/>
    <w:rsid w:val="000C11A6"/>
    <w:rsid w:val="000C3B9A"/>
    <w:rsid w:val="000C4D60"/>
    <w:rsid w:val="000C4E92"/>
    <w:rsid w:val="000C5372"/>
    <w:rsid w:val="000D25A8"/>
    <w:rsid w:val="000E270A"/>
    <w:rsid w:val="000E45AD"/>
    <w:rsid w:val="000E4C53"/>
    <w:rsid w:val="000E7071"/>
    <w:rsid w:val="000E794E"/>
    <w:rsid w:val="000F48C6"/>
    <w:rsid w:val="0010536B"/>
    <w:rsid w:val="00105E79"/>
    <w:rsid w:val="00121089"/>
    <w:rsid w:val="00134EE7"/>
    <w:rsid w:val="00144AED"/>
    <w:rsid w:val="00144EE5"/>
    <w:rsid w:val="00153C44"/>
    <w:rsid w:val="0015442C"/>
    <w:rsid w:val="00154DCF"/>
    <w:rsid w:val="0017517C"/>
    <w:rsid w:val="00175640"/>
    <w:rsid w:val="00180E3E"/>
    <w:rsid w:val="001847A9"/>
    <w:rsid w:val="00184A8F"/>
    <w:rsid w:val="001875DE"/>
    <w:rsid w:val="0019097C"/>
    <w:rsid w:val="001970FF"/>
    <w:rsid w:val="001A1303"/>
    <w:rsid w:val="001A2D51"/>
    <w:rsid w:val="001A5C4A"/>
    <w:rsid w:val="001C0F4A"/>
    <w:rsid w:val="001C363F"/>
    <w:rsid w:val="001D7219"/>
    <w:rsid w:val="001E1FE5"/>
    <w:rsid w:val="001E2A62"/>
    <w:rsid w:val="001E31F1"/>
    <w:rsid w:val="001E73EA"/>
    <w:rsid w:val="001F0856"/>
    <w:rsid w:val="001F0B55"/>
    <w:rsid w:val="001F2819"/>
    <w:rsid w:val="001F3EAC"/>
    <w:rsid w:val="002043EC"/>
    <w:rsid w:val="002048EE"/>
    <w:rsid w:val="00211504"/>
    <w:rsid w:val="00211DF2"/>
    <w:rsid w:val="002130C0"/>
    <w:rsid w:val="0021406B"/>
    <w:rsid w:val="00215667"/>
    <w:rsid w:val="00216D2F"/>
    <w:rsid w:val="0022280D"/>
    <w:rsid w:val="002253D0"/>
    <w:rsid w:val="0024326A"/>
    <w:rsid w:val="00243DC0"/>
    <w:rsid w:val="00247477"/>
    <w:rsid w:val="00257217"/>
    <w:rsid w:val="0026145D"/>
    <w:rsid w:val="00261963"/>
    <w:rsid w:val="00263B9F"/>
    <w:rsid w:val="00265BE8"/>
    <w:rsid w:val="00270440"/>
    <w:rsid w:val="00272922"/>
    <w:rsid w:val="00276779"/>
    <w:rsid w:val="00277FD7"/>
    <w:rsid w:val="00280A16"/>
    <w:rsid w:val="0028475F"/>
    <w:rsid w:val="00284D8D"/>
    <w:rsid w:val="00287BC5"/>
    <w:rsid w:val="00290A15"/>
    <w:rsid w:val="00293DEE"/>
    <w:rsid w:val="00294150"/>
    <w:rsid w:val="002A0B5D"/>
    <w:rsid w:val="002A4243"/>
    <w:rsid w:val="002B7DBD"/>
    <w:rsid w:val="002C73F2"/>
    <w:rsid w:val="002C7FE9"/>
    <w:rsid w:val="002D0DC5"/>
    <w:rsid w:val="002D0E53"/>
    <w:rsid w:val="002D448A"/>
    <w:rsid w:val="002D4EFD"/>
    <w:rsid w:val="002E258C"/>
    <w:rsid w:val="002E2692"/>
    <w:rsid w:val="002E2FF4"/>
    <w:rsid w:val="002E41B7"/>
    <w:rsid w:val="002E4468"/>
    <w:rsid w:val="002E6CD2"/>
    <w:rsid w:val="002E7A94"/>
    <w:rsid w:val="002F3201"/>
    <w:rsid w:val="002F3A38"/>
    <w:rsid w:val="002F3F91"/>
    <w:rsid w:val="00300427"/>
    <w:rsid w:val="003016C5"/>
    <w:rsid w:val="003077ED"/>
    <w:rsid w:val="00311195"/>
    <w:rsid w:val="00314D8B"/>
    <w:rsid w:val="00315A97"/>
    <w:rsid w:val="00316071"/>
    <w:rsid w:val="003224E6"/>
    <w:rsid w:val="003228BE"/>
    <w:rsid w:val="00324C36"/>
    <w:rsid w:val="00326EE8"/>
    <w:rsid w:val="003305C8"/>
    <w:rsid w:val="0033439E"/>
    <w:rsid w:val="00343E5C"/>
    <w:rsid w:val="00344FB8"/>
    <w:rsid w:val="003512D3"/>
    <w:rsid w:val="0036017B"/>
    <w:rsid w:val="00362755"/>
    <w:rsid w:val="00363419"/>
    <w:rsid w:val="00370107"/>
    <w:rsid w:val="00373B93"/>
    <w:rsid w:val="00377FF1"/>
    <w:rsid w:val="00380CD1"/>
    <w:rsid w:val="003861C3"/>
    <w:rsid w:val="00386520"/>
    <w:rsid w:val="00387A5D"/>
    <w:rsid w:val="003907BB"/>
    <w:rsid w:val="00394F1E"/>
    <w:rsid w:val="00397CB2"/>
    <w:rsid w:val="003A02CA"/>
    <w:rsid w:val="003A38F0"/>
    <w:rsid w:val="003A503F"/>
    <w:rsid w:val="003B23F9"/>
    <w:rsid w:val="003B2F7C"/>
    <w:rsid w:val="003D1BA6"/>
    <w:rsid w:val="003D5C37"/>
    <w:rsid w:val="003D6D98"/>
    <w:rsid w:val="003E3A0B"/>
    <w:rsid w:val="003F069A"/>
    <w:rsid w:val="003F3CAF"/>
    <w:rsid w:val="003F3D2F"/>
    <w:rsid w:val="003F3D5C"/>
    <w:rsid w:val="003F42F6"/>
    <w:rsid w:val="003F4329"/>
    <w:rsid w:val="003F4CBB"/>
    <w:rsid w:val="003F66D1"/>
    <w:rsid w:val="003F7490"/>
    <w:rsid w:val="004007D5"/>
    <w:rsid w:val="004017A2"/>
    <w:rsid w:val="004034D4"/>
    <w:rsid w:val="00403B42"/>
    <w:rsid w:val="00404FB4"/>
    <w:rsid w:val="00410F48"/>
    <w:rsid w:val="00412534"/>
    <w:rsid w:val="00412592"/>
    <w:rsid w:val="00412C83"/>
    <w:rsid w:val="00421C31"/>
    <w:rsid w:val="0042211B"/>
    <w:rsid w:val="00425DF7"/>
    <w:rsid w:val="00425F54"/>
    <w:rsid w:val="00426014"/>
    <w:rsid w:val="0042697F"/>
    <w:rsid w:val="00426DE1"/>
    <w:rsid w:val="00430415"/>
    <w:rsid w:val="00433573"/>
    <w:rsid w:val="00436A34"/>
    <w:rsid w:val="004402A2"/>
    <w:rsid w:val="00440D0E"/>
    <w:rsid w:val="00440EEE"/>
    <w:rsid w:val="004410B3"/>
    <w:rsid w:val="0044617E"/>
    <w:rsid w:val="0045266B"/>
    <w:rsid w:val="004538DE"/>
    <w:rsid w:val="004551C4"/>
    <w:rsid w:val="00455328"/>
    <w:rsid w:val="00456D67"/>
    <w:rsid w:val="0046078B"/>
    <w:rsid w:val="00460B7D"/>
    <w:rsid w:val="00462613"/>
    <w:rsid w:val="004634FD"/>
    <w:rsid w:val="00463CB3"/>
    <w:rsid w:val="00463FA4"/>
    <w:rsid w:val="00467896"/>
    <w:rsid w:val="00474D8D"/>
    <w:rsid w:val="00480CB0"/>
    <w:rsid w:val="00482433"/>
    <w:rsid w:val="00483603"/>
    <w:rsid w:val="0048398E"/>
    <w:rsid w:val="00486819"/>
    <w:rsid w:val="00492F78"/>
    <w:rsid w:val="00497493"/>
    <w:rsid w:val="004A0D80"/>
    <w:rsid w:val="004A1EAD"/>
    <w:rsid w:val="004A47BE"/>
    <w:rsid w:val="004A6876"/>
    <w:rsid w:val="004A7A51"/>
    <w:rsid w:val="004B2068"/>
    <w:rsid w:val="004B34EA"/>
    <w:rsid w:val="004B5494"/>
    <w:rsid w:val="004B70FB"/>
    <w:rsid w:val="004C200D"/>
    <w:rsid w:val="004C381C"/>
    <w:rsid w:val="004C4F89"/>
    <w:rsid w:val="004C5944"/>
    <w:rsid w:val="004C6685"/>
    <w:rsid w:val="004C7058"/>
    <w:rsid w:val="004C7A2B"/>
    <w:rsid w:val="004C7D3A"/>
    <w:rsid w:val="004D56E3"/>
    <w:rsid w:val="004D7539"/>
    <w:rsid w:val="004E404C"/>
    <w:rsid w:val="004F1955"/>
    <w:rsid w:val="004F412D"/>
    <w:rsid w:val="004F7195"/>
    <w:rsid w:val="005018A8"/>
    <w:rsid w:val="00505A39"/>
    <w:rsid w:val="0051080F"/>
    <w:rsid w:val="00511AE4"/>
    <w:rsid w:val="00520563"/>
    <w:rsid w:val="005240BF"/>
    <w:rsid w:val="00524440"/>
    <w:rsid w:val="00527C28"/>
    <w:rsid w:val="00533C3E"/>
    <w:rsid w:val="00533F0E"/>
    <w:rsid w:val="00535348"/>
    <w:rsid w:val="005405B6"/>
    <w:rsid w:val="00540685"/>
    <w:rsid w:val="005505C5"/>
    <w:rsid w:val="005573B7"/>
    <w:rsid w:val="0056051E"/>
    <w:rsid w:val="00560619"/>
    <w:rsid w:val="005621F7"/>
    <w:rsid w:val="00562BB2"/>
    <w:rsid w:val="0056481A"/>
    <w:rsid w:val="00570D25"/>
    <w:rsid w:val="005734BE"/>
    <w:rsid w:val="00573C93"/>
    <w:rsid w:val="00581842"/>
    <w:rsid w:val="00583FCE"/>
    <w:rsid w:val="00585390"/>
    <w:rsid w:val="00587640"/>
    <w:rsid w:val="00590F1E"/>
    <w:rsid w:val="00591C21"/>
    <w:rsid w:val="00591CAA"/>
    <w:rsid w:val="005939A5"/>
    <w:rsid w:val="00594B27"/>
    <w:rsid w:val="00596005"/>
    <w:rsid w:val="005A0BFE"/>
    <w:rsid w:val="005A148C"/>
    <w:rsid w:val="005B3B93"/>
    <w:rsid w:val="005B3D07"/>
    <w:rsid w:val="005B5553"/>
    <w:rsid w:val="005B5E7E"/>
    <w:rsid w:val="005C089D"/>
    <w:rsid w:val="005C5791"/>
    <w:rsid w:val="005C58FA"/>
    <w:rsid w:val="005C7A86"/>
    <w:rsid w:val="005D2768"/>
    <w:rsid w:val="005D35AB"/>
    <w:rsid w:val="005D5145"/>
    <w:rsid w:val="005D5281"/>
    <w:rsid w:val="005E083E"/>
    <w:rsid w:val="005F56DE"/>
    <w:rsid w:val="006006CD"/>
    <w:rsid w:val="0060084D"/>
    <w:rsid w:val="00603238"/>
    <w:rsid w:val="00604B49"/>
    <w:rsid w:val="00606596"/>
    <w:rsid w:val="006078F1"/>
    <w:rsid w:val="00611037"/>
    <w:rsid w:val="006120E0"/>
    <w:rsid w:val="00613D05"/>
    <w:rsid w:val="006209E0"/>
    <w:rsid w:val="00621A1A"/>
    <w:rsid w:val="00624E96"/>
    <w:rsid w:val="0063032F"/>
    <w:rsid w:val="00632207"/>
    <w:rsid w:val="006339BE"/>
    <w:rsid w:val="0063491C"/>
    <w:rsid w:val="00640A9E"/>
    <w:rsid w:val="00641157"/>
    <w:rsid w:val="00641A0A"/>
    <w:rsid w:val="00641A5C"/>
    <w:rsid w:val="0064555F"/>
    <w:rsid w:val="006600D0"/>
    <w:rsid w:val="00661AFE"/>
    <w:rsid w:val="00662F80"/>
    <w:rsid w:val="00663E98"/>
    <w:rsid w:val="00667963"/>
    <w:rsid w:val="006701A8"/>
    <w:rsid w:val="00670A73"/>
    <w:rsid w:val="00676DB0"/>
    <w:rsid w:val="00680F19"/>
    <w:rsid w:val="00683B2C"/>
    <w:rsid w:val="0068697D"/>
    <w:rsid w:val="00687014"/>
    <w:rsid w:val="00691F97"/>
    <w:rsid w:val="006A7F31"/>
    <w:rsid w:val="006B56A4"/>
    <w:rsid w:val="006C03BA"/>
    <w:rsid w:val="006C1404"/>
    <w:rsid w:val="006C1F10"/>
    <w:rsid w:val="006C2C6B"/>
    <w:rsid w:val="006C7C1E"/>
    <w:rsid w:val="006D0838"/>
    <w:rsid w:val="006D239B"/>
    <w:rsid w:val="006D2CFC"/>
    <w:rsid w:val="006D67B3"/>
    <w:rsid w:val="006D7510"/>
    <w:rsid w:val="006D7F75"/>
    <w:rsid w:val="006E01DB"/>
    <w:rsid w:val="006E1CAA"/>
    <w:rsid w:val="006E5DA8"/>
    <w:rsid w:val="006E5E28"/>
    <w:rsid w:val="006E5E5C"/>
    <w:rsid w:val="006E5EA0"/>
    <w:rsid w:val="006E6574"/>
    <w:rsid w:val="006F2814"/>
    <w:rsid w:val="006F28E5"/>
    <w:rsid w:val="00700381"/>
    <w:rsid w:val="00704357"/>
    <w:rsid w:val="00704F79"/>
    <w:rsid w:val="00707864"/>
    <w:rsid w:val="007141AC"/>
    <w:rsid w:val="00714CF2"/>
    <w:rsid w:val="007156B9"/>
    <w:rsid w:val="007201B0"/>
    <w:rsid w:val="00720817"/>
    <w:rsid w:val="0072206B"/>
    <w:rsid w:val="00722850"/>
    <w:rsid w:val="00722EAB"/>
    <w:rsid w:val="0072322F"/>
    <w:rsid w:val="00726AD8"/>
    <w:rsid w:val="0073247D"/>
    <w:rsid w:val="0073353F"/>
    <w:rsid w:val="00735A91"/>
    <w:rsid w:val="00742E45"/>
    <w:rsid w:val="007447AF"/>
    <w:rsid w:val="00745C2A"/>
    <w:rsid w:val="0074669D"/>
    <w:rsid w:val="00750086"/>
    <w:rsid w:val="00750816"/>
    <w:rsid w:val="007514BF"/>
    <w:rsid w:val="00751818"/>
    <w:rsid w:val="007538CA"/>
    <w:rsid w:val="00754AEF"/>
    <w:rsid w:val="00754FF9"/>
    <w:rsid w:val="00755BF8"/>
    <w:rsid w:val="00760F1D"/>
    <w:rsid w:val="00761613"/>
    <w:rsid w:val="007657C1"/>
    <w:rsid w:val="007669AE"/>
    <w:rsid w:val="007678BA"/>
    <w:rsid w:val="00770DCD"/>
    <w:rsid w:val="00775B89"/>
    <w:rsid w:val="00776FED"/>
    <w:rsid w:val="0077755F"/>
    <w:rsid w:val="007859DF"/>
    <w:rsid w:val="00791A02"/>
    <w:rsid w:val="00791F69"/>
    <w:rsid w:val="00791FF5"/>
    <w:rsid w:val="00796A8E"/>
    <w:rsid w:val="007A406D"/>
    <w:rsid w:val="007A46C2"/>
    <w:rsid w:val="007A5595"/>
    <w:rsid w:val="007A62B0"/>
    <w:rsid w:val="007A79E1"/>
    <w:rsid w:val="007B02E2"/>
    <w:rsid w:val="007B0956"/>
    <w:rsid w:val="007B3927"/>
    <w:rsid w:val="007B56D4"/>
    <w:rsid w:val="007C455F"/>
    <w:rsid w:val="007C5A0C"/>
    <w:rsid w:val="007C5C20"/>
    <w:rsid w:val="007C7ED2"/>
    <w:rsid w:val="007D3911"/>
    <w:rsid w:val="007D61D6"/>
    <w:rsid w:val="007D77C9"/>
    <w:rsid w:val="007E0FEE"/>
    <w:rsid w:val="007E32FE"/>
    <w:rsid w:val="007F0A49"/>
    <w:rsid w:val="007F0D88"/>
    <w:rsid w:val="007F1101"/>
    <w:rsid w:val="007F2017"/>
    <w:rsid w:val="007F30D7"/>
    <w:rsid w:val="00802B71"/>
    <w:rsid w:val="0080390E"/>
    <w:rsid w:val="00803C2E"/>
    <w:rsid w:val="00811BA8"/>
    <w:rsid w:val="008159CF"/>
    <w:rsid w:val="00816E05"/>
    <w:rsid w:val="0082008A"/>
    <w:rsid w:val="00820B85"/>
    <w:rsid w:val="00822114"/>
    <w:rsid w:val="00823B0C"/>
    <w:rsid w:val="008268DA"/>
    <w:rsid w:val="00826D70"/>
    <w:rsid w:val="00831CEB"/>
    <w:rsid w:val="008339BB"/>
    <w:rsid w:val="008401E4"/>
    <w:rsid w:val="00841798"/>
    <w:rsid w:val="00841B24"/>
    <w:rsid w:val="0084418B"/>
    <w:rsid w:val="00850275"/>
    <w:rsid w:val="008503D3"/>
    <w:rsid w:val="008513C4"/>
    <w:rsid w:val="00853AD5"/>
    <w:rsid w:val="00856AFD"/>
    <w:rsid w:val="0085748D"/>
    <w:rsid w:val="00862290"/>
    <w:rsid w:val="00862408"/>
    <w:rsid w:val="0086419A"/>
    <w:rsid w:val="00864ABB"/>
    <w:rsid w:val="0087023B"/>
    <w:rsid w:val="008714B6"/>
    <w:rsid w:val="00871915"/>
    <w:rsid w:val="008725B3"/>
    <w:rsid w:val="00877E26"/>
    <w:rsid w:val="00884349"/>
    <w:rsid w:val="0088536D"/>
    <w:rsid w:val="008857B0"/>
    <w:rsid w:val="00890601"/>
    <w:rsid w:val="00894950"/>
    <w:rsid w:val="00895D01"/>
    <w:rsid w:val="00895D47"/>
    <w:rsid w:val="008A08BF"/>
    <w:rsid w:val="008A179F"/>
    <w:rsid w:val="008A24D2"/>
    <w:rsid w:val="008B0864"/>
    <w:rsid w:val="008B0CD0"/>
    <w:rsid w:val="008B175A"/>
    <w:rsid w:val="008B2C19"/>
    <w:rsid w:val="008B5547"/>
    <w:rsid w:val="008B7538"/>
    <w:rsid w:val="008C30A2"/>
    <w:rsid w:val="008C3CB7"/>
    <w:rsid w:val="008C5CA0"/>
    <w:rsid w:val="008C7413"/>
    <w:rsid w:val="008C7684"/>
    <w:rsid w:val="008D16B7"/>
    <w:rsid w:val="008D2E06"/>
    <w:rsid w:val="008D3759"/>
    <w:rsid w:val="008E5405"/>
    <w:rsid w:val="008E5B22"/>
    <w:rsid w:val="008E61E7"/>
    <w:rsid w:val="008E6AE6"/>
    <w:rsid w:val="008F0116"/>
    <w:rsid w:val="008F143D"/>
    <w:rsid w:val="008F524B"/>
    <w:rsid w:val="008F654E"/>
    <w:rsid w:val="008F679F"/>
    <w:rsid w:val="008F6B83"/>
    <w:rsid w:val="009003C9"/>
    <w:rsid w:val="00900E6D"/>
    <w:rsid w:val="00911117"/>
    <w:rsid w:val="0091363A"/>
    <w:rsid w:val="00913C0B"/>
    <w:rsid w:val="00914558"/>
    <w:rsid w:val="0091459E"/>
    <w:rsid w:val="00914750"/>
    <w:rsid w:val="0092170A"/>
    <w:rsid w:val="00921A47"/>
    <w:rsid w:val="009258B2"/>
    <w:rsid w:val="00927F5E"/>
    <w:rsid w:val="00932865"/>
    <w:rsid w:val="0093342E"/>
    <w:rsid w:val="00934498"/>
    <w:rsid w:val="009407D8"/>
    <w:rsid w:val="00942ACE"/>
    <w:rsid w:val="00944246"/>
    <w:rsid w:val="00951B41"/>
    <w:rsid w:val="00952D9F"/>
    <w:rsid w:val="00966DC2"/>
    <w:rsid w:val="00970F37"/>
    <w:rsid w:val="00971752"/>
    <w:rsid w:val="00971F7A"/>
    <w:rsid w:val="00976FF4"/>
    <w:rsid w:val="0098138E"/>
    <w:rsid w:val="00981DC7"/>
    <w:rsid w:val="00983268"/>
    <w:rsid w:val="0098375D"/>
    <w:rsid w:val="00986395"/>
    <w:rsid w:val="0098655A"/>
    <w:rsid w:val="009930B4"/>
    <w:rsid w:val="00994BA9"/>
    <w:rsid w:val="00995B61"/>
    <w:rsid w:val="00997CAE"/>
    <w:rsid w:val="009A0D36"/>
    <w:rsid w:val="009A102F"/>
    <w:rsid w:val="009A11BE"/>
    <w:rsid w:val="009A6E36"/>
    <w:rsid w:val="009A7B80"/>
    <w:rsid w:val="009A7CBD"/>
    <w:rsid w:val="009B27AF"/>
    <w:rsid w:val="009B6333"/>
    <w:rsid w:val="009C581F"/>
    <w:rsid w:val="009D155C"/>
    <w:rsid w:val="009E0931"/>
    <w:rsid w:val="009E0C08"/>
    <w:rsid w:val="009E1280"/>
    <w:rsid w:val="009E6052"/>
    <w:rsid w:val="009E7C7F"/>
    <w:rsid w:val="00A001C7"/>
    <w:rsid w:val="00A02DB1"/>
    <w:rsid w:val="00A03AE4"/>
    <w:rsid w:val="00A155B4"/>
    <w:rsid w:val="00A16FB4"/>
    <w:rsid w:val="00A17621"/>
    <w:rsid w:val="00A17CE0"/>
    <w:rsid w:val="00A22E21"/>
    <w:rsid w:val="00A23D48"/>
    <w:rsid w:val="00A25C97"/>
    <w:rsid w:val="00A37F61"/>
    <w:rsid w:val="00A42306"/>
    <w:rsid w:val="00A44E8D"/>
    <w:rsid w:val="00A456F6"/>
    <w:rsid w:val="00A46EA8"/>
    <w:rsid w:val="00A51D87"/>
    <w:rsid w:val="00A55ACD"/>
    <w:rsid w:val="00A55F37"/>
    <w:rsid w:val="00A6160C"/>
    <w:rsid w:val="00A67093"/>
    <w:rsid w:val="00A6788C"/>
    <w:rsid w:val="00A67FB5"/>
    <w:rsid w:val="00A7293D"/>
    <w:rsid w:val="00A73B5A"/>
    <w:rsid w:val="00A74B02"/>
    <w:rsid w:val="00A74D3D"/>
    <w:rsid w:val="00A77EE4"/>
    <w:rsid w:val="00A81BCA"/>
    <w:rsid w:val="00A81FB3"/>
    <w:rsid w:val="00A82A0D"/>
    <w:rsid w:val="00A85C82"/>
    <w:rsid w:val="00A85D27"/>
    <w:rsid w:val="00A860DA"/>
    <w:rsid w:val="00A86853"/>
    <w:rsid w:val="00A920D5"/>
    <w:rsid w:val="00A9230B"/>
    <w:rsid w:val="00A92F4D"/>
    <w:rsid w:val="00A95AC2"/>
    <w:rsid w:val="00AA2D47"/>
    <w:rsid w:val="00AA3232"/>
    <w:rsid w:val="00AA38C3"/>
    <w:rsid w:val="00AA5C44"/>
    <w:rsid w:val="00AB0F8C"/>
    <w:rsid w:val="00AB3134"/>
    <w:rsid w:val="00AB6D2D"/>
    <w:rsid w:val="00AB7875"/>
    <w:rsid w:val="00AC2E72"/>
    <w:rsid w:val="00AC68EE"/>
    <w:rsid w:val="00AD1EBB"/>
    <w:rsid w:val="00AD47B7"/>
    <w:rsid w:val="00AD4A9E"/>
    <w:rsid w:val="00AD4E22"/>
    <w:rsid w:val="00AD6723"/>
    <w:rsid w:val="00AE1FBB"/>
    <w:rsid w:val="00AE2A23"/>
    <w:rsid w:val="00AE53EB"/>
    <w:rsid w:val="00AF781B"/>
    <w:rsid w:val="00B01F7E"/>
    <w:rsid w:val="00B03C33"/>
    <w:rsid w:val="00B040DA"/>
    <w:rsid w:val="00B07DAB"/>
    <w:rsid w:val="00B15E90"/>
    <w:rsid w:val="00B16C2A"/>
    <w:rsid w:val="00B209CB"/>
    <w:rsid w:val="00B21452"/>
    <w:rsid w:val="00B224DC"/>
    <w:rsid w:val="00B26219"/>
    <w:rsid w:val="00B3087D"/>
    <w:rsid w:val="00B31810"/>
    <w:rsid w:val="00B34794"/>
    <w:rsid w:val="00B4618C"/>
    <w:rsid w:val="00B50942"/>
    <w:rsid w:val="00B50C4C"/>
    <w:rsid w:val="00B53802"/>
    <w:rsid w:val="00B54846"/>
    <w:rsid w:val="00B55413"/>
    <w:rsid w:val="00B55E74"/>
    <w:rsid w:val="00B60421"/>
    <w:rsid w:val="00B6436F"/>
    <w:rsid w:val="00B70712"/>
    <w:rsid w:val="00B71B96"/>
    <w:rsid w:val="00B72FDF"/>
    <w:rsid w:val="00B73A55"/>
    <w:rsid w:val="00B774E0"/>
    <w:rsid w:val="00B7779F"/>
    <w:rsid w:val="00B81EB6"/>
    <w:rsid w:val="00B8371D"/>
    <w:rsid w:val="00B83B44"/>
    <w:rsid w:val="00B83EC1"/>
    <w:rsid w:val="00B84BF7"/>
    <w:rsid w:val="00B86D05"/>
    <w:rsid w:val="00B92251"/>
    <w:rsid w:val="00B97295"/>
    <w:rsid w:val="00BA4B13"/>
    <w:rsid w:val="00BA507F"/>
    <w:rsid w:val="00BB0243"/>
    <w:rsid w:val="00BB73B3"/>
    <w:rsid w:val="00BC08E4"/>
    <w:rsid w:val="00BC77A8"/>
    <w:rsid w:val="00BD032D"/>
    <w:rsid w:val="00BD3407"/>
    <w:rsid w:val="00BD41B5"/>
    <w:rsid w:val="00BE26D1"/>
    <w:rsid w:val="00BE4623"/>
    <w:rsid w:val="00BE5AE2"/>
    <w:rsid w:val="00BE7A34"/>
    <w:rsid w:val="00BE7ECD"/>
    <w:rsid w:val="00BF2E6F"/>
    <w:rsid w:val="00C00D8C"/>
    <w:rsid w:val="00C10179"/>
    <w:rsid w:val="00C10B5F"/>
    <w:rsid w:val="00C11975"/>
    <w:rsid w:val="00C15D6D"/>
    <w:rsid w:val="00C160E4"/>
    <w:rsid w:val="00C17A19"/>
    <w:rsid w:val="00C40D76"/>
    <w:rsid w:val="00C4129C"/>
    <w:rsid w:val="00C413B0"/>
    <w:rsid w:val="00C42B60"/>
    <w:rsid w:val="00C43B9E"/>
    <w:rsid w:val="00C44746"/>
    <w:rsid w:val="00C46325"/>
    <w:rsid w:val="00C50265"/>
    <w:rsid w:val="00C50D4E"/>
    <w:rsid w:val="00C51B04"/>
    <w:rsid w:val="00C60539"/>
    <w:rsid w:val="00C621FB"/>
    <w:rsid w:val="00C66E02"/>
    <w:rsid w:val="00C71F6E"/>
    <w:rsid w:val="00C804C9"/>
    <w:rsid w:val="00C84633"/>
    <w:rsid w:val="00C8626E"/>
    <w:rsid w:val="00C8681C"/>
    <w:rsid w:val="00C878D5"/>
    <w:rsid w:val="00C9033B"/>
    <w:rsid w:val="00C913A1"/>
    <w:rsid w:val="00C947D4"/>
    <w:rsid w:val="00C9752E"/>
    <w:rsid w:val="00CA2865"/>
    <w:rsid w:val="00CA67B2"/>
    <w:rsid w:val="00CB2768"/>
    <w:rsid w:val="00CC6A99"/>
    <w:rsid w:val="00CD15E1"/>
    <w:rsid w:val="00CD3A6D"/>
    <w:rsid w:val="00CE0161"/>
    <w:rsid w:val="00CE1200"/>
    <w:rsid w:val="00CE5392"/>
    <w:rsid w:val="00CF5CE1"/>
    <w:rsid w:val="00CF6827"/>
    <w:rsid w:val="00CF74ED"/>
    <w:rsid w:val="00D00AA3"/>
    <w:rsid w:val="00D02FFC"/>
    <w:rsid w:val="00D0504E"/>
    <w:rsid w:val="00D07F73"/>
    <w:rsid w:val="00D14473"/>
    <w:rsid w:val="00D14844"/>
    <w:rsid w:val="00D16B66"/>
    <w:rsid w:val="00D2041C"/>
    <w:rsid w:val="00D25ADE"/>
    <w:rsid w:val="00D26911"/>
    <w:rsid w:val="00D26E4D"/>
    <w:rsid w:val="00D27199"/>
    <w:rsid w:val="00D30553"/>
    <w:rsid w:val="00D34C76"/>
    <w:rsid w:val="00D356EE"/>
    <w:rsid w:val="00D41225"/>
    <w:rsid w:val="00D41E30"/>
    <w:rsid w:val="00D420FF"/>
    <w:rsid w:val="00D42909"/>
    <w:rsid w:val="00D43297"/>
    <w:rsid w:val="00D43ED8"/>
    <w:rsid w:val="00D44DB6"/>
    <w:rsid w:val="00D46E0F"/>
    <w:rsid w:val="00D46ED1"/>
    <w:rsid w:val="00D50119"/>
    <w:rsid w:val="00D5648A"/>
    <w:rsid w:val="00D649F3"/>
    <w:rsid w:val="00D65DD3"/>
    <w:rsid w:val="00D6697D"/>
    <w:rsid w:val="00D67C18"/>
    <w:rsid w:val="00D73AAA"/>
    <w:rsid w:val="00D8239C"/>
    <w:rsid w:val="00D82A43"/>
    <w:rsid w:val="00D83820"/>
    <w:rsid w:val="00D852CD"/>
    <w:rsid w:val="00DA1EE7"/>
    <w:rsid w:val="00DA7B5D"/>
    <w:rsid w:val="00DA7C2D"/>
    <w:rsid w:val="00DB039A"/>
    <w:rsid w:val="00DB0F44"/>
    <w:rsid w:val="00DC3648"/>
    <w:rsid w:val="00DC4631"/>
    <w:rsid w:val="00DC7737"/>
    <w:rsid w:val="00DD1E44"/>
    <w:rsid w:val="00DD2650"/>
    <w:rsid w:val="00DD4E70"/>
    <w:rsid w:val="00DD7EB7"/>
    <w:rsid w:val="00DE0EC4"/>
    <w:rsid w:val="00DF5709"/>
    <w:rsid w:val="00DF58E7"/>
    <w:rsid w:val="00E02C93"/>
    <w:rsid w:val="00E0772E"/>
    <w:rsid w:val="00E10AFA"/>
    <w:rsid w:val="00E11876"/>
    <w:rsid w:val="00E129C8"/>
    <w:rsid w:val="00E15C2E"/>
    <w:rsid w:val="00E21A2F"/>
    <w:rsid w:val="00E23CBB"/>
    <w:rsid w:val="00E25853"/>
    <w:rsid w:val="00E33155"/>
    <w:rsid w:val="00E3351D"/>
    <w:rsid w:val="00E34FA6"/>
    <w:rsid w:val="00E37797"/>
    <w:rsid w:val="00E37B59"/>
    <w:rsid w:val="00E40936"/>
    <w:rsid w:val="00E4329A"/>
    <w:rsid w:val="00E44D8D"/>
    <w:rsid w:val="00E47FF5"/>
    <w:rsid w:val="00E51F08"/>
    <w:rsid w:val="00E53438"/>
    <w:rsid w:val="00E55891"/>
    <w:rsid w:val="00E55F22"/>
    <w:rsid w:val="00E56416"/>
    <w:rsid w:val="00E56D61"/>
    <w:rsid w:val="00E603F1"/>
    <w:rsid w:val="00E633DA"/>
    <w:rsid w:val="00E725FC"/>
    <w:rsid w:val="00E72D2D"/>
    <w:rsid w:val="00E76B89"/>
    <w:rsid w:val="00E829FE"/>
    <w:rsid w:val="00E84DDB"/>
    <w:rsid w:val="00E858BC"/>
    <w:rsid w:val="00E91C5F"/>
    <w:rsid w:val="00E9639D"/>
    <w:rsid w:val="00EA18F0"/>
    <w:rsid w:val="00EA36C6"/>
    <w:rsid w:val="00EB3606"/>
    <w:rsid w:val="00EB69BF"/>
    <w:rsid w:val="00EB73E5"/>
    <w:rsid w:val="00EC0AD4"/>
    <w:rsid w:val="00EC14C4"/>
    <w:rsid w:val="00EC1F8D"/>
    <w:rsid w:val="00EC30F9"/>
    <w:rsid w:val="00EC605E"/>
    <w:rsid w:val="00ED07F1"/>
    <w:rsid w:val="00ED2E1E"/>
    <w:rsid w:val="00ED3CEF"/>
    <w:rsid w:val="00ED4E3B"/>
    <w:rsid w:val="00ED5725"/>
    <w:rsid w:val="00ED7031"/>
    <w:rsid w:val="00ED7EDB"/>
    <w:rsid w:val="00EE3060"/>
    <w:rsid w:val="00EE4315"/>
    <w:rsid w:val="00EE4B64"/>
    <w:rsid w:val="00EF0422"/>
    <w:rsid w:val="00EF1820"/>
    <w:rsid w:val="00EF6925"/>
    <w:rsid w:val="00F01640"/>
    <w:rsid w:val="00F04ED8"/>
    <w:rsid w:val="00F12118"/>
    <w:rsid w:val="00F1251E"/>
    <w:rsid w:val="00F126FC"/>
    <w:rsid w:val="00F164CD"/>
    <w:rsid w:val="00F23050"/>
    <w:rsid w:val="00F26ED3"/>
    <w:rsid w:val="00F3322D"/>
    <w:rsid w:val="00F33C67"/>
    <w:rsid w:val="00F40EAC"/>
    <w:rsid w:val="00F4125F"/>
    <w:rsid w:val="00F43B88"/>
    <w:rsid w:val="00F47E06"/>
    <w:rsid w:val="00F50C28"/>
    <w:rsid w:val="00F5233C"/>
    <w:rsid w:val="00F62B7A"/>
    <w:rsid w:val="00F6397D"/>
    <w:rsid w:val="00F707D8"/>
    <w:rsid w:val="00F7293E"/>
    <w:rsid w:val="00F76650"/>
    <w:rsid w:val="00F776D4"/>
    <w:rsid w:val="00F87ACB"/>
    <w:rsid w:val="00F9187B"/>
    <w:rsid w:val="00F9195C"/>
    <w:rsid w:val="00F92385"/>
    <w:rsid w:val="00F9669D"/>
    <w:rsid w:val="00FA1B4F"/>
    <w:rsid w:val="00FA2D6F"/>
    <w:rsid w:val="00FB19EE"/>
    <w:rsid w:val="00FB19FD"/>
    <w:rsid w:val="00FB3985"/>
    <w:rsid w:val="00FB3C6A"/>
    <w:rsid w:val="00FB56F0"/>
    <w:rsid w:val="00FB5DA2"/>
    <w:rsid w:val="00FC2B4F"/>
    <w:rsid w:val="00FC2C43"/>
    <w:rsid w:val="00FC3F6B"/>
    <w:rsid w:val="00FC47F9"/>
    <w:rsid w:val="00FE2351"/>
    <w:rsid w:val="00FE337D"/>
    <w:rsid w:val="00FE3446"/>
    <w:rsid w:val="00FE5580"/>
    <w:rsid w:val="00FE6C7C"/>
    <w:rsid w:val="00FF0D57"/>
    <w:rsid w:val="00FF110C"/>
    <w:rsid w:val="00FF47C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1348B79"/>
  <w15:docId w15:val="{1BCA73A2-274C-4A97-BFF7-717C53C4A02B}"/>
  <w:removePersonalInformation/>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uiPriority="4"/>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uiPriority="4"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A920D5"/>
    <w:pPr>
      <w:spacing w:after="0" w:line="360" w:lineRule="auto"/>
      <w:ind w:firstLine="720"/>
    </w:pPr>
    <w:rPr>
      <w:rFonts w:ascii="Book Antiqua" w:hAnsi="Book Antiqua"/>
      <w:sz w:val="26"/>
    </w:rPr>
  </w:style>
  <w:style w:type="paragraph" w:styleId="Heading1">
    <w:name w:val="heading 1"/>
    <w:basedOn w:val="Dummy"/>
    <w:next w:val="Standard"/>
    <w:link w:val="Heading1Char"/>
    <w:uiPriority w:val="4"/>
    <w:qFormat/>
    <w:rsid w:val="00A920D5"/>
    <w:pPr>
      <w:numPr>
        <w:numId w:val="32"/>
      </w:numPr>
      <w:ind w:right="2160"/>
    </w:pPr>
    <w:rPr>
      <w:rFonts w:eastAsiaTheme="majorEastAsia" w:cstheme="majorBidi"/>
      <w:szCs w:val="32"/>
    </w:rPr>
  </w:style>
  <w:style w:type="paragraph" w:styleId="Heading2">
    <w:name w:val="heading 2"/>
    <w:basedOn w:val="Dummy"/>
    <w:next w:val="Standard"/>
    <w:link w:val="Heading2Char"/>
    <w:uiPriority w:val="4"/>
    <w:qFormat/>
    <w:rsid w:val="00A920D5"/>
    <w:pPr>
      <w:numPr>
        <w:ilvl w:val="1"/>
        <w:numId w:val="32"/>
      </w:numPr>
      <w:ind w:right="2160"/>
      <w:outlineLvl w:val="1"/>
    </w:pPr>
  </w:style>
  <w:style w:type="paragraph" w:styleId="Heading3">
    <w:name w:val="heading 3"/>
    <w:basedOn w:val="Dummy"/>
    <w:next w:val="Standard"/>
    <w:link w:val="Heading3Char"/>
    <w:uiPriority w:val="4"/>
    <w:qFormat/>
    <w:rsid w:val="00A920D5"/>
    <w:pPr>
      <w:numPr>
        <w:ilvl w:val="2"/>
        <w:numId w:val="32"/>
      </w:numPr>
      <w:ind w:right="2160"/>
      <w:outlineLvl w:val="2"/>
    </w:pPr>
    <w:rPr>
      <w:rFonts w:eastAsiaTheme="majorEastAsia" w:cstheme="majorBidi"/>
      <w:szCs w:val="24"/>
    </w:rPr>
  </w:style>
  <w:style w:type="paragraph" w:styleId="Heading4">
    <w:name w:val="heading 4"/>
    <w:basedOn w:val="Dummy"/>
    <w:next w:val="Standard"/>
    <w:link w:val="Heading4Char"/>
    <w:uiPriority w:val="4"/>
    <w:rsid w:val="00A920D5"/>
    <w:pPr>
      <w:numPr>
        <w:ilvl w:val="3"/>
        <w:numId w:val="32"/>
      </w:numPr>
      <w:ind w:right="2160"/>
      <w:outlineLvl w:val="3"/>
    </w:pPr>
    <w:rPr>
      <w:rFonts w:eastAsiaTheme="majorEastAsia" w:cstheme="majorBidi"/>
      <w:iCs/>
    </w:rPr>
  </w:style>
  <w:style w:type="paragraph" w:styleId="Heading5">
    <w:name w:val="heading 5"/>
    <w:basedOn w:val="Dummy"/>
    <w:next w:val="Standard"/>
    <w:link w:val="Heading5Char"/>
    <w:uiPriority w:val="4"/>
    <w:rsid w:val="00A920D5"/>
    <w:pPr>
      <w:numPr>
        <w:ilvl w:val="4"/>
        <w:numId w:val="32"/>
      </w:numPr>
      <w:ind w:right="2160"/>
      <w:outlineLvl w:val="4"/>
    </w:pPr>
    <w:rPr>
      <w:rFonts w:eastAsiaTheme="majorEastAsia" w:cstheme="majorBidi"/>
    </w:rPr>
  </w:style>
  <w:style w:type="paragraph" w:styleId="Heading6">
    <w:name w:val="heading 6"/>
    <w:basedOn w:val="Dummy"/>
    <w:next w:val="Standard"/>
    <w:link w:val="Heading6Char"/>
    <w:uiPriority w:val="4"/>
    <w:rsid w:val="00A920D5"/>
    <w:pPr>
      <w:numPr>
        <w:ilvl w:val="5"/>
        <w:numId w:val="32"/>
      </w:numPr>
      <w:spacing w:before="40"/>
      <w:ind w:right="2160"/>
      <w:outlineLvl w:val="5"/>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DA7B5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4"/>
    <w:rsid w:val="00A920D5"/>
    <w:rPr>
      <w:rFonts w:ascii="Arial" w:eastAsiaTheme="majorEastAsia" w:hAnsi="Arial" w:cstheme="majorBidi"/>
      <w:b/>
      <w:sz w:val="26"/>
      <w:szCs w:val="32"/>
    </w:rPr>
  </w:style>
  <w:style w:type="paragraph" w:styleId="TOCHeading">
    <w:name w:val="TOC Heading"/>
    <w:next w:val="Normal"/>
    <w:uiPriority w:val="39"/>
    <w:unhideWhenUsed/>
    <w:rsid w:val="001E2A62"/>
    <w:pPr>
      <w:spacing w:line="240" w:lineRule="auto"/>
      <w:jc w:val="center"/>
    </w:pPr>
    <w:rPr>
      <w:rFonts w:ascii="Arial" w:eastAsiaTheme="majorEastAsia" w:hAnsi="Arial" w:cstheme="majorBidi"/>
      <w:b/>
      <w:sz w:val="26"/>
      <w:szCs w:val="32"/>
    </w:rPr>
  </w:style>
  <w:style w:type="paragraph" w:styleId="Title">
    <w:name w:val="Title"/>
    <w:basedOn w:val="Dummy"/>
    <w:next w:val="Normal"/>
    <w:link w:val="TitleChar"/>
    <w:uiPriority w:val="10"/>
    <w:semiHidden/>
    <w:rsid w:val="00A920D5"/>
    <w:pPr>
      <w:spacing w:after="0"/>
      <w:contextualSpacing/>
      <w:jc w:val="center"/>
    </w:pPr>
    <w:rPr>
      <w:rFonts w:eastAsiaTheme="majorEastAsia" w:cstheme="majorBidi"/>
      <w:caps/>
      <w:szCs w:val="56"/>
    </w:rPr>
  </w:style>
  <w:style w:type="character" w:customStyle="1" w:styleId="TitleChar">
    <w:name w:val="Title Char"/>
    <w:basedOn w:val="DefaultParagraphFont"/>
    <w:link w:val="Title"/>
    <w:uiPriority w:val="10"/>
    <w:semiHidden/>
    <w:rsid w:val="00A920D5"/>
    <w:rPr>
      <w:rFonts w:ascii="Arial" w:eastAsiaTheme="majorEastAsia" w:hAnsi="Arial" w:cstheme="majorBidi"/>
      <w:b/>
      <w:caps/>
      <w:sz w:val="26"/>
      <w:szCs w:val="56"/>
    </w:rPr>
  </w:style>
  <w:style w:type="paragraph" w:customStyle="1" w:styleId="Dummy">
    <w:name w:val="Dummy"/>
    <w:next w:val="Normal"/>
    <w:uiPriority w:val="19"/>
    <w:rsid w:val="00A920D5"/>
    <w:pPr>
      <w:keepNext/>
      <w:keepLines/>
      <w:spacing w:after="120" w:line="240" w:lineRule="auto"/>
      <w:outlineLvl w:val="0"/>
    </w:pPr>
    <w:rPr>
      <w:rFonts w:ascii="Arial" w:hAnsi="Arial" w:cs="Arial"/>
      <w:b/>
      <w:sz w:val="26"/>
      <w:szCs w:val="26"/>
    </w:rPr>
  </w:style>
  <w:style w:type="character" w:customStyle="1" w:styleId="Heading2Char">
    <w:name w:val="Heading 2 Char"/>
    <w:basedOn w:val="DefaultParagraphFont"/>
    <w:link w:val="Heading2"/>
    <w:uiPriority w:val="4"/>
    <w:rsid w:val="00A920D5"/>
    <w:rPr>
      <w:rFonts w:ascii="Arial" w:hAnsi="Arial" w:cs="Arial"/>
      <w:b/>
      <w:sz w:val="26"/>
      <w:szCs w:val="26"/>
    </w:rPr>
  </w:style>
  <w:style w:type="character" w:customStyle="1" w:styleId="Heading3Char">
    <w:name w:val="Heading 3 Char"/>
    <w:basedOn w:val="DefaultParagraphFont"/>
    <w:link w:val="Heading3"/>
    <w:uiPriority w:val="4"/>
    <w:rsid w:val="00A920D5"/>
    <w:rPr>
      <w:rFonts w:ascii="Arial" w:eastAsiaTheme="majorEastAsia" w:hAnsi="Arial" w:cstheme="majorBidi"/>
      <w:b/>
      <w:sz w:val="26"/>
      <w:szCs w:val="24"/>
    </w:rPr>
  </w:style>
  <w:style w:type="character" w:customStyle="1" w:styleId="Heading4Char">
    <w:name w:val="Heading 4 Char"/>
    <w:basedOn w:val="DefaultParagraphFont"/>
    <w:link w:val="Heading4"/>
    <w:uiPriority w:val="4"/>
    <w:rsid w:val="00A920D5"/>
    <w:rPr>
      <w:rFonts w:ascii="Arial" w:eastAsiaTheme="majorEastAsia" w:hAnsi="Arial" w:cstheme="majorBidi"/>
      <w:b/>
      <w:iCs/>
      <w:sz w:val="26"/>
      <w:szCs w:val="26"/>
    </w:rPr>
  </w:style>
  <w:style w:type="character" w:customStyle="1" w:styleId="Heading5Char">
    <w:name w:val="Heading 5 Char"/>
    <w:basedOn w:val="DefaultParagraphFont"/>
    <w:link w:val="Heading5"/>
    <w:uiPriority w:val="4"/>
    <w:rsid w:val="00A920D5"/>
    <w:rPr>
      <w:rFonts w:ascii="Arial" w:eastAsiaTheme="majorEastAsia" w:hAnsi="Arial" w:cstheme="majorBidi"/>
      <w:b/>
      <w:sz w:val="26"/>
      <w:szCs w:val="26"/>
    </w:rPr>
  </w:style>
  <w:style w:type="paragraph" w:customStyle="1" w:styleId="Main">
    <w:name w:val="Main"/>
    <w:next w:val="Normal"/>
    <w:uiPriority w:val="19"/>
    <w:rsid w:val="00F62B7A"/>
    <w:pPr>
      <w:spacing w:after="0" w:line="240" w:lineRule="auto"/>
      <w:jc w:val="center"/>
    </w:pPr>
    <w:rPr>
      <w:rFonts w:ascii="Arial" w:eastAsiaTheme="majorEastAsia" w:hAnsi="Arial" w:cstheme="majorBidi"/>
      <w:b/>
      <w:caps/>
      <w:sz w:val="26"/>
      <w:szCs w:val="56"/>
    </w:rPr>
  </w:style>
  <w:style w:type="paragraph" w:customStyle="1" w:styleId="Mainex">
    <w:name w:val="Mainex"/>
    <w:basedOn w:val="Main"/>
    <w:next w:val="Normal"/>
    <w:uiPriority w:val="19"/>
    <w:rsid w:val="000A6E05"/>
    <w:pPr>
      <w:keepNext/>
      <w:spacing w:line="360" w:lineRule="auto"/>
      <w:outlineLvl w:val="0"/>
    </w:pPr>
    <w:rPr>
      <w:spacing w:val="120"/>
    </w:rPr>
  </w:style>
  <w:style w:type="paragraph" w:styleId="TOC2">
    <w:name w:val="toc 2"/>
    <w:basedOn w:val="Normal"/>
    <w:next w:val="Normal"/>
    <w:uiPriority w:val="39"/>
    <w:unhideWhenUsed/>
    <w:rsid w:val="00A920D5"/>
    <w:pPr>
      <w:spacing w:line="240" w:lineRule="auto"/>
      <w:ind w:left="864" w:right="720" w:hanging="648"/>
    </w:pPr>
    <w:rPr>
      <w:rFonts w:eastAsiaTheme="minorEastAsia" w:cs="Times New Roman"/>
    </w:rPr>
  </w:style>
  <w:style w:type="paragraph" w:styleId="TOC1">
    <w:name w:val="toc 1"/>
    <w:basedOn w:val="Normal"/>
    <w:next w:val="Normal"/>
    <w:uiPriority w:val="39"/>
    <w:unhideWhenUsed/>
    <w:rsid w:val="00A920D5"/>
    <w:pPr>
      <w:spacing w:line="240" w:lineRule="auto"/>
      <w:ind w:left="432" w:right="720" w:hanging="432"/>
    </w:pPr>
    <w:rPr>
      <w:rFonts w:eastAsiaTheme="minorEastAsia" w:cs="Times New Roman"/>
    </w:rPr>
  </w:style>
  <w:style w:type="paragraph" w:styleId="TOC3">
    <w:name w:val="toc 3"/>
    <w:basedOn w:val="Normal"/>
    <w:next w:val="Normal"/>
    <w:uiPriority w:val="39"/>
    <w:unhideWhenUsed/>
    <w:rsid w:val="00A920D5"/>
    <w:pPr>
      <w:spacing w:line="240" w:lineRule="auto"/>
      <w:ind w:left="1296" w:right="720" w:hanging="864"/>
    </w:pPr>
    <w:rPr>
      <w:rFonts w:eastAsiaTheme="minorEastAsia" w:cs="Times New Roman"/>
    </w:rPr>
  </w:style>
  <w:style w:type="character" w:styleId="Hyperlink">
    <w:name w:val="Hyperlink"/>
    <w:basedOn w:val="DefaultParagraphFont"/>
    <w:uiPriority w:val="99"/>
    <w:rsid w:val="00D82A43"/>
    <w:rPr>
      <w:color w:val="0563C1" w:themeColor="hyperlink"/>
      <w:u w:val="single"/>
    </w:rPr>
  </w:style>
  <w:style w:type="numbering" w:customStyle="1" w:styleId="FoFCoLOP">
    <w:name w:val="FoF/CoL/OP"/>
    <w:uiPriority w:val="99"/>
    <w:rsid w:val="008E6AE6"/>
    <w:pPr>
      <w:numPr>
        <w:numId w:val="2"/>
      </w:numPr>
    </w:pPr>
  </w:style>
  <w:style w:type="paragraph" w:styleId="TOC9">
    <w:name w:val="toc 9"/>
    <w:basedOn w:val="Normal"/>
    <w:next w:val="Normal"/>
    <w:autoRedefine/>
    <w:uiPriority w:val="39"/>
    <w:semiHidden/>
    <w:unhideWhenUsed/>
    <w:rsid w:val="00A920D5"/>
    <w:pPr>
      <w:spacing w:after="100"/>
      <w:ind w:left="2080"/>
    </w:pPr>
  </w:style>
  <w:style w:type="paragraph" w:styleId="Header">
    <w:name w:val="header"/>
    <w:basedOn w:val="Normal"/>
    <w:link w:val="HeaderChar"/>
    <w:uiPriority w:val="99"/>
    <w:semiHidden/>
    <w:rsid w:val="00A920D5"/>
    <w:pPr>
      <w:tabs>
        <w:tab w:val="center" w:pos="4680"/>
        <w:tab w:val="right" w:pos="9360"/>
      </w:tabs>
      <w:spacing w:line="240" w:lineRule="auto"/>
    </w:pPr>
  </w:style>
  <w:style w:type="character" w:customStyle="1" w:styleId="HeaderChar">
    <w:name w:val="Header Char"/>
    <w:basedOn w:val="DefaultParagraphFont"/>
    <w:link w:val="Header"/>
    <w:uiPriority w:val="99"/>
    <w:semiHidden/>
    <w:rsid w:val="00A920D5"/>
    <w:rPr>
      <w:rFonts w:ascii="Book Antiqua" w:hAnsi="Book Antiqua"/>
      <w:sz w:val="26"/>
    </w:rPr>
  </w:style>
  <w:style w:type="paragraph" w:styleId="Footer">
    <w:name w:val="footer"/>
    <w:basedOn w:val="Normal"/>
    <w:link w:val="FooterChar"/>
    <w:uiPriority w:val="99"/>
    <w:semiHidden/>
    <w:rsid w:val="00EE3060"/>
    <w:pPr>
      <w:tabs>
        <w:tab w:val="center" w:pos="4680"/>
        <w:tab w:val="right" w:pos="9360"/>
      </w:tabs>
      <w:spacing w:line="240" w:lineRule="auto"/>
    </w:pPr>
  </w:style>
  <w:style w:type="character" w:customStyle="1" w:styleId="FooterChar">
    <w:name w:val="Footer Char"/>
    <w:basedOn w:val="DefaultParagraphFont"/>
    <w:link w:val="Footer"/>
    <w:uiPriority w:val="99"/>
    <w:semiHidden/>
    <w:rsid w:val="007657C1"/>
    <w:rPr>
      <w:rFonts w:ascii="Book Antiqua" w:hAnsi="Book Antiqua"/>
      <w:sz w:val="26"/>
    </w:rPr>
  </w:style>
  <w:style w:type="paragraph" w:customStyle="1" w:styleId="BlockQuote">
    <w:name w:val="Block Quote"/>
    <w:basedOn w:val="Standard"/>
    <w:uiPriority w:val="5"/>
    <w:qFormat/>
    <w:rsid w:val="00A920D5"/>
    <w:pPr>
      <w:spacing w:after="120" w:line="240" w:lineRule="auto"/>
      <w:ind w:left="720" w:right="720" w:firstLine="0"/>
    </w:pPr>
  </w:style>
  <w:style w:type="paragraph" w:styleId="FootnoteText">
    <w:name w:val="footnote text"/>
    <w:basedOn w:val="Normal"/>
    <w:link w:val="FootnoteTextChar"/>
    <w:uiPriority w:val="40"/>
    <w:rsid w:val="00B01F7E"/>
    <w:pPr>
      <w:spacing w:after="120" w:line="240" w:lineRule="auto"/>
      <w:ind w:firstLine="0"/>
    </w:pPr>
    <w:rPr>
      <w:sz w:val="22"/>
      <w:szCs w:val="20"/>
    </w:rPr>
  </w:style>
  <w:style w:type="character" w:customStyle="1" w:styleId="FootnoteTextChar">
    <w:name w:val="Footnote Text Char"/>
    <w:basedOn w:val="DefaultParagraphFont"/>
    <w:link w:val="FootnoteText"/>
    <w:uiPriority w:val="40"/>
    <w:rsid w:val="007657C1"/>
    <w:rPr>
      <w:rFonts w:ascii="Book Antiqua" w:hAnsi="Book Antiqua"/>
      <w:szCs w:val="20"/>
    </w:rPr>
  </w:style>
  <w:style w:type="character" w:styleId="FootnoteReference">
    <w:name w:val="footnote reference"/>
    <w:basedOn w:val="DefaultParagraphFont"/>
    <w:uiPriority w:val="99"/>
    <w:semiHidden/>
    <w:unhideWhenUsed/>
    <w:rsid w:val="00DF58E7"/>
    <w:rPr>
      <w:vertAlign w:val="superscript"/>
    </w:rPr>
  </w:style>
  <w:style w:type="paragraph" w:customStyle="1" w:styleId="FoF">
    <w:name w:val="FoF"/>
    <w:basedOn w:val="Standard"/>
    <w:uiPriority w:val="6"/>
    <w:qFormat/>
    <w:rsid w:val="00A920D5"/>
    <w:pPr>
      <w:numPr>
        <w:numId w:val="19"/>
      </w:numPr>
    </w:pPr>
  </w:style>
  <w:style w:type="paragraph" w:customStyle="1" w:styleId="CoL">
    <w:name w:val="CoL"/>
    <w:basedOn w:val="Standard"/>
    <w:uiPriority w:val="7"/>
    <w:qFormat/>
    <w:rsid w:val="00A920D5"/>
    <w:pPr>
      <w:numPr>
        <w:numId w:val="18"/>
      </w:numPr>
    </w:pPr>
  </w:style>
  <w:style w:type="paragraph" w:styleId="NoSpacing">
    <w:name w:val="No Spacing"/>
    <w:basedOn w:val="Standard"/>
    <w:uiPriority w:val="1"/>
    <w:rsid w:val="00287BC5"/>
    <w:pPr>
      <w:spacing w:after="120" w:line="240" w:lineRule="auto"/>
      <w:ind w:firstLine="0"/>
      <w:contextualSpacing/>
    </w:pPr>
  </w:style>
  <w:style w:type="paragraph" w:customStyle="1" w:styleId="OP">
    <w:name w:val="OP"/>
    <w:basedOn w:val="Standard"/>
    <w:uiPriority w:val="8"/>
    <w:qFormat/>
    <w:rsid w:val="00A920D5"/>
    <w:pPr>
      <w:numPr>
        <w:numId w:val="36"/>
      </w:numPr>
    </w:pPr>
  </w:style>
  <w:style w:type="paragraph" w:styleId="BalloonText">
    <w:name w:val="Balloon Text"/>
    <w:basedOn w:val="Normal"/>
    <w:link w:val="BalloonTextChar"/>
    <w:uiPriority w:val="99"/>
    <w:semiHidden/>
    <w:unhideWhenUsed/>
    <w:rsid w:val="004C7D3A"/>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C7D3A"/>
    <w:rPr>
      <w:rFonts w:ascii="Segoe UI" w:hAnsi="Segoe UI" w:cs="Segoe UI"/>
      <w:sz w:val="18"/>
      <w:szCs w:val="18"/>
    </w:rPr>
  </w:style>
  <w:style w:type="numbering" w:customStyle="1" w:styleId="Headings">
    <w:name w:val="Headings"/>
    <w:uiPriority w:val="99"/>
    <w:rsid w:val="000E270A"/>
    <w:pPr>
      <w:numPr>
        <w:numId w:val="6"/>
      </w:numPr>
    </w:pPr>
  </w:style>
  <w:style w:type="paragraph" w:customStyle="1" w:styleId="Standard">
    <w:name w:val="Standard"/>
    <w:basedOn w:val="Normal"/>
    <w:qFormat/>
    <w:rsid w:val="00A920D5"/>
  </w:style>
  <w:style w:type="paragraph" w:customStyle="1" w:styleId="ListAlpha">
    <w:name w:val="List Alpha"/>
    <w:basedOn w:val="Standard"/>
    <w:uiPriority w:val="4"/>
    <w:qFormat/>
    <w:rsid w:val="00A920D5"/>
    <w:pPr>
      <w:numPr>
        <w:ilvl w:val="7"/>
        <w:numId w:val="32"/>
      </w:numPr>
      <w:spacing w:after="120" w:line="240" w:lineRule="auto"/>
    </w:pPr>
  </w:style>
  <w:style w:type="paragraph" w:styleId="ListBullet">
    <w:name w:val="List Bullet"/>
    <w:basedOn w:val="Standard"/>
    <w:uiPriority w:val="4"/>
    <w:qFormat/>
    <w:rsid w:val="00A920D5"/>
    <w:pPr>
      <w:numPr>
        <w:numId w:val="30"/>
      </w:numPr>
      <w:tabs>
        <w:tab w:val="clear" w:pos="360"/>
      </w:tabs>
      <w:spacing w:after="120" w:line="240" w:lineRule="auto"/>
      <w:ind w:right="1440"/>
    </w:pPr>
  </w:style>
  <w:style w:type="character" w:customStyle="1" w:styleId="Heading6Char">
    <w:name w:val="Heading 6 Char"/>
    <w:basedOn w:val="DefaultParagraphFont"/>
    <w:link w:val="Heading6"/>
    <w:uiPriority w:val="4"/>
    <w:rsid w:val="00A920D5"/>
    <w:rPr>
      <w:rFonts w:ascii="Arial" w:eastAsiaTheme="majorEastAsia" w:hAnsi="Arial" w:cstheme="majorBidi"/>
      <w:b/>
      <w:sz w:val="26"/>
      <w:szCs w:val="26"/>
    </w:rPr>
  </w:style>
  <w:style w:type="paragraph" w:styleId="TOC4">
    <w:name w:val="toc 4"/>
    <w:basedOn w:val="Normal"/>
    <w:next w:val="Normal"/>
    <w:autoRedefine/>
    <w:uiPriority w:val="39"/>
    <w:unhideWhenUsed/>
    <w:rsid w:val="00A920D5"/>
    <w:pPr>
      <w:spacing w:line="240" w:lineRule="auto"/>
      <w:ind w:left="1728" w:right="720" w:hanging="1080"/>
    </w:pPr>
  </w:style>
  <w:style w:type="paragraph" w:styleId="TOC5">
    <w:name w:val="toc 5"/>
    <w:basedOn w:val="Normal"/>
    <w:next w:val="Normal"/>
    <w:autoRedefine/>
    <w:uiPriority w:val="39"/>
    <w:unhideWhenUsed/>
    <w:rsid w:val="00A920D5"/>
    <w:pPr>
      <w:spacing w:line="240" w:lineRule="auto"/>
      <w:ind w:left="2160" w:right="720" w:hanging="1296"/>
    </w:pPr>
  </w:style>
  <w:style w:type="paragraph" w:styleId="TOC6">
    <w:name w:val="toc 6"/>
    <w:basedOn w:val="Normal"/>
    <w:next w:val="Normal"/>
    <w:autoRedefine/>
    <w:uiPriority w:val="39"/>
    <w:unhideWhenUsed/>
    <w:rsid w:val="00A920D5"/>
    <w:pPr>
      <w:spacing w:line="240" w:lineRule="auto"/>
      <w:ind w:left="2592" w:right="720" w:hanging="1512"/>
    </w:pPr>
  </w:style>
  <w:style w:type="paragraph" w:customStyle="1" w:styleId="TableText">
    <w:name w:val="Table Text"/>
    <w:basedOn w:val="NoSpacing"/>
    <w:uiPriority w:val="5"/>
    <w:rsid w:val="00E53438"/>
    <w:pPr>
      <w:spacing w:after="0"/>
    </w:pPr>
    <w:rPr>
      <w:sz w:val="22"/>
    </w:rPr>
  </w:style>
  <w:style w:type="paragraph" w:customStyle="1" w:styleId="ListNum">
    <w:name w:val="List Num"/>
    <w:basedOn w:val="Standard"/>
    <w:uiPriority w:val="4"/>
    <w:rsid w:val="00A920D5"/>
    <w:pPr>
      <w:numPr>
        <w:ilvl w:val="6"/>
        <w:numId w:val="32"/>
      </w:numPr>
      <w:spacing w:after="120" w:line="240" w:lineRule="auto"/>
    </w:pPr>
  </w:style>
  <w:style w:type="paragraph" w:styleId="List2">
    <w:name w:val="List 2"/>
    <w:basedOn w:val="Normal"/>
    <w:uiPriority w:val="99"/>
    <w:unhideWhenUsed/>
    <w:rsid w:val="00A920D5"/>
    <w:pPr>
      <w:numPr>
        <w:ilvl w:val="1"/>
        <w:numId w:val="40"/>
      </w:numPr>
      <w:spacing w:after="120" w:line="240" w:lineRule="auto"/>
    </w:pPr>
  </w:style>
  <w:style w:type="paragraph" w:styleId="List3">
    <w:name w:val="List 3"/>
    <w:basedOn w:val="Normal"/>
    <w:uiPriority w:val="99"/>
    <w:unhideWhenUsed/>
    <w:rsid w:val="00A920D5"/>
    <w:pPr>
      <w:numPr>
        <w:ilvl w:val="2"/>
        <w:numId w:val="40"/>
      </w:numPr>
      <w:spacing w:after="120" w:line="240" w:lineRule="auto"/>
    </w:pPr>
  </w:style>
  <w:style w:type="paragraph" w:styleId="ListNumber">
    <w:name w:val="List Number"/>
    <w:basedOn w:val="Normal"/>
    <w:uiPriority w:val="99"/>
    <w:unhideWhenUsed/>
    <w:rsid w:val="00A920D5"/>
    <w:pPr>
      <w:numPr>
        <w:numId w:val="40"/>
      </w:numPr>
      <w:tabs>
        <w:tab w:val="left" w:pos="360"/>
      </w:tabs>
      <w:spacing w:after="120" w:line="240" w:lineRule="auto"/>
    </w:pPr>
  </w:style>
  <w:style w:type="numbering" w:customStyle="1" w:styleId="Rules">
    <w:name w:val="Rules"/>
    <w:uiPriority w:val="99"/>
    <w:rsid w:val="00A920D5"/>
    <w:pPr>
      <w:numPr>
        <w:numId w:val="40"/>
      </w:numPr>
    </w:pPr>
  </w:style>
  <w:style w:type="character" w:styleId="CommentReference">
    <w:name w:val="annotation reference"/>
    <w:basedOn w:val="DefaultParagraphFont"/>
    <w:uiPriority w:val="99"/>
    <w:semiHidden/>
    <w:unhideWhenUsed/>
    <w:rsid w:val="00831CEB"/>
    <w:rPr>
      <w:sz w:val="16"/>
      <w:szCs w:val="16"/>
    </w:rPr>
  </w:style>
  <w:style w:type="paragraph" w:styleId="CommentText">
    <w:name w:val="annotation text"/>
    <w:basedOn w:val="Normal"/>
    <w:link w:val="CommentTextChar"/>
    <w:uiPriority w:val="99"/>
    <w:unhideWhenUsed/>
    <w:rsid w:val="00831CEB"/>
    <w:pPr>
      <w:spacing w:line="240" w:lineRule="auto"/>
    </w:pPr>
    <w:rPr>
      <w:sz w:val="20"/>
      <w:szCs w:val="20"/>
    </w:rPr>
  </w:style>
  <w:style w:type="character" w:customStyle="1" w:styleId="CommentTextChar">
    <w:name w:val="Comment Text Char"/>
    <w:basedOn w:val="DefaultParagraphFont"/>
    <w:link w:val="CommentText"/>
    <w:uiPriority w:val="99"/>
    <w:rsid w:val="00831CEB"/>
    <w:rPr>
      <w:rFonts w:ascii="Book Antiqua" w:hAnsi="Book Antiqua"/>
      <w:sz w:val="20"/>
      <w:szCs w:val="20"/>
    </w:rPr>
  </w:style>
  <w:style w:type="paragraph" w:styleId="CommentSubject">
    <w:name w:val="annotation subject"/>
    <w:basedOn w:val="CommentText"/>
    <w:next w:val="CommentText"/>
    <w:link w:val="CommentSubjectChar"/>
    <w:uiPriority w:val="99"/>
    <w:semiHidden/>
    <w:unhideWhenUsed/>
    <w:rsid w:val="00831CEB"/>
    <w:rPr>
      <w:b/>
      <w:bCs/>
    </w:rPr>
  </w:style>
  <w:style w:type="character" w:customStyle="1" w:styleId="CommentSubjectChar">
    <w:name w:val="Comment Subject Char"/>
    <w:basedOn w:val="CommentTextChar"/>
    <w:link w:val="CommentSubject"/>
    <w:uiPriority w:val="99"/>
    <w:semiHidden/>
    <w:rsid w:val="00831CEB"/>
    <w:rPr>
      <w:rFonts w:ascii="Book Antiqua" w:hAnsi="Book Antiqua"/>
      <w:b/>
      <w:bCs/>
      <w:sz w:val="20"/>
      <w:szCs w:val="20"/>
    </w:rPr>
  </w:style>
  <w:style w:type="paragraph" w:styleId="Revision">
    <w:name w:val="Revision"/>
    <w:hidden/>
    <w:uiPriority w:val="99"/>
    <w:semiHidden/>
    <w:rsid w:val="00527C28"/>
    <w:pPr>
      <w:spacing w:after="0" w:line="240" w:lineRule="auto"/>
    </w:pPr>
    <w:rPr>
      <w:rFonts w:ascii="Book Antiqua" w:hAnsi="Book Antiqua"/>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754110">
      <w:bodyDiv w:val="1"/>
      <w:marLeft w:val="0"/>
      <w:marRight w:val="0"/>
      <w:marTop w:val="0"/>
      <w:marBottom w:val="0"/>
      <w:divBdr>
        <w:top w:val="none" w:sz="0" w:space="0" w:color="auto"/>
        <w:left w:val="none" w:sz="0" w:space="0" w:color="auto"/>
        <w:bottom w:val="none" w:sz="0" w:space="0" w:color="auto"/>
        <w:right w:val="none" w:sz="0" w:space="0" w:color="auto"/>
      </w:divBdr>
    </w:div>
    <w:div w:id="234050233">
      <w:bodyDiv w:val="1"/>
      <w:marLeft w:val="0"/>
      <w:marRight w:val="0"/>
      <w:marTop w:val="0"/>
      <w:marBottom w:val="0"/>
      <w:divBdr>
        <w:top w:val="none" w:sz="0" w:space="0" w:color="auto"/>
        <w:left w:val="none" w:sz="0" w:space="0" w:color="auto"/>
        <w:bottom w:val="none" w:sz="0" w:space="0" w:color="auto"/>
        <w:right w:val="none" w:sz="0" w:space="0" w:color="auto"/>
      </w:divBdr>
    </w:div>
    <w:div w:id="840004558">
      <w:bodyDiv w:val="1"/>
      <w:marLeft w:val="0"/>
      <w:marRight w:val="0"/>
      <w:marTop w:val="0"/>
      <w:marBottom w:val="0"/>
      <w:divBdr>
        <w:top w:val="none" w:sz="0" w:space="0" w:color="auto"/>
        <w:left w:val="none" w:sz="0" w:space="0" w:color="auto"/>
        <w:bottom w:val="none" w:sz="0" w:space="0" w:color="auto"/>
        <w:right w:val="none" w:sz="0" w:space="0" w:color="auto"/>
      </w:divBdr>
    </w:div>
    <w:div w:id="1112432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2.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theme" Target="theme/theme1.xml" Id="rId1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ntTable" Target="fontTable.xml" Id="rId14" /><Relationship Type="http://schemas.openxmlformats.org/officeDocument/2006/relationships/hyperlink" Target="https://docs.cpuc.ca.gov/PublishedDocs/Published/G000/M566/K268/566268709.pdf" TargetMode="External" Id="R848173dcbb99479c"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40c2bee6-72d2-4c4b-bbf2-19a975248824">
      <UserInfo>
        <DisplayName>Doherty, Patrick</DisplayName>
        <AccountId>53</AccountId>
        <AccountType/>
      </UserInfo>
      <UserInfo>
        <DisplayName>McKinney, Jeanne</DisplayName>
        <AccountId>29</AccountId>
        <AccountType/>
      </UserInfo>
      <UserInfo>
        <DisplayName>Kim, Kimberly</DisplayName>
        <AccountId>12</AccountId>
        <AccountType/>
      </UserInfo>
      <UserInfo>
        <DisplayName>MacDonald, Katherine</DisplayName>
        <AccountId>33</AccountId>
        <AccountType/>
      </UserInfo>
      <UserInfo>
        <DisplayName>Odell, Eileen</DisplayName>
        <AccountId>362</AccountId>
        <AccountType/>
      </UserInfo>
    </SharedWithUsers>
    <lcf76f155ced4ddcb4097134ff3c332f xmlns="ef7e321c-44a6-4cb5-81f0-0bfd95ece253">
      <Terms xmlns="http://schemas.microsoft.com/office/infopath/2007/PartnerControls"/>
    </lcf76f155ced4ddcb4097134ff3c332f>
    <TaxCatchAll xmlns="40c2bee6-72d2-4c4b-bbf2-19a975248824" xsi:nil="true"/>
    <ContentTagLIst xmlns="ef7e321c-44a6-4cb5-81f0-0bfd95ece253"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E1B8BADF2214F6448E5045310EA9B796" ma:contentTypeVersion="16" ma:contentTypeDescription="Create a new document." ma:contentTypeScope="" ma:versionID="eea420ac1ba3dcd00acdf10f671c25ee">
  <xsd:schema xmlns:xsd="http://www.w3.org/2001/XMLSchema" xmlns:xs="http://www.w3.org/2001/XMLSchema" xmlns:p="http://schemas.microsoft.com/office/2006/metadata/properties" xmlns:ns2="40c2bee6-72d2-4c4b-bbf2-19a975248824" xmlns:ns3="ef7e321c-44a6-4cb5-81f0-0bfd95ece253" targetNamespace="http://schemas.microsoft.com/office/2006/metadata/properties" ma:root="true" ma:fieldsID="654a2f02f20c70d75825c1ed89053b75" ns2:_="" ns3:_="">
    <xsd:import namespace="40c2bee6-72d2-4c4b-bbf2-19a975248824"/>
    <xsd:import namespace="ef7e321c-44a6-4cb5-81f0-0bfd95ece253"/>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LengthInSeconds" minOccurs="0"/>
                <xsd:element ref="ns3:MediaServiceDateTaken"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ObjectDetectorVersions" minOccurs="0"/>
                <xsd:element ref="ns3:MediaServiceSearchProperties" minOccurs="0"/>
                <xsd:element ref="ns3:MediaServiceLocation" minOccurs="0"/>
                <xsd:element ref="ns3:ContentTagLIs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c2bee6-72d2-4c4b-bbf2-19a97524882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cd35960-7829-44dd-b243-a39bb7be529f}" ma:internalName="TaxCatchAll" ma:showField="CatchAllData" ma:web="40c2bee6-72d2-4c4b-bbf2-19a975248824">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f7e321c-44a6-4cb5-81f0-0bfd95ece253"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LengthInSeconds" ma:index="12" nillable="true" ma:displayName="Length (seconds)" ma:internalName="MediaLengthInSeconds" ma:readOnly="true">
      <xsd:simpleType>
        <xsd:restriction base="dms:Unknown"/>
      </xsd:simpleType>
    </xsd:element>
    <xsd:element name="MediaServiceDateTaken" ma:index="13" nillable="true" ma:displayName="MediaServiceDateTaken" ma:hidden="true" ma:internalName="MediaServiceDateTaken"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958c64cc-ee56-435d-b6d0-239f1a5e0d97"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indexed="true" ma:internalName="MediaServiceLocation" ma:readOnly="true">
      <xsd:simpleType>
        <xsd:restriction base="dms:Text"/>
      </xsd:simpleType>
    </xsd:element>
    <xsd:element name="ContentTagLIst" ma:index="23" nillable="true" ma:displayName="Content Tag" ma:format="Dropdown" ma:internalName="ContentTagLIst">
      <xsd:complexType>
        <xsd:complexContent>
          <xsd:extension base="dms:MultiChoice">
            <xsd:sequence>
              <xsd:element name="Value" maxOccurs="unbounded" minOccurs="0" nillable="true">
                <xsd:simpleType>
                  <xsd:restriction base="dms:Choice">
                    <xsd:enumeration value="ALJ Material"/>
                    <xsd:enumeration value="Support Material"/>
                    <xsd:enumeration value="Miscellaneo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0E4752-B270-4867-90BA-5719077E84AA}">
  <ds:schemaRefs>
    <ds:schemaRef ds:uri="http://schemas.microsoft.com/office/2006/metadata/properties"/>
    <ds:schemaRef ds:uri="http://schemas.microsoft.com/office/infopath/2007/PartnerControls"/>
    <ds:schemaRef ds:uri="40c2bee6-72d2-4c4b-bbf2-19a975248824"/>
    <ds:schemaRef ds:uri="ef7e321c-44a6-4cb5-81f0-0bfd95ece253"/>
  </ds:schemaRefs>
</ds:datastoreItem>
</file>

<file path=customXml/itemProps2.xml><?xml version="1.0" encoding="utf-8"?>
<ds:datastoreItem xmlns:ds="http://schemas.openxmlformats.org/officeDocument/2006/customXml" ds:itemID="{CBBC4C2B-94C6-4A43-93A3-860D84461F7F}">
  <ds:schemaRefs>
    <ds:schemaRef ds:uri="http://schemas.openxmlformats.org/officeDocument/2006/bibliography"/>
  </ds:schemaRefs>
</ds:datastoreItem>
</file>

<file path=customXml/itemProps3.xml><?xml version="1.0" encoding="utf-8"?>
<ds:datastoreItem xmlns:ds="http://schemas.openxmlformats.org/officeDocument/2006/customXml" ds:itemID="{B930DE7C-9577-4EA8-AC89-8E2B6CC952CB}">
  <ds:schemaRefs>
    <ds:schemaRef ds:uri="http://schemas.microsoft.com/sharepoint/v3/contenttype/forms"/>
  </ds:schemaRefs>
</ds:datastoreItem>
</file>

<file path=customXml/itemProps4.xml><?xml version="1.0" encoding="utf-8"?>
<ds:datastoreItem xmlns:ds="http://schemas.openxmlformats.org/officeDocument/2006/customXml" ds:itemID="{62079FFE-0A8C-409C-9D2A-DF55C286FFF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c2bee6-72d2-4c4b-bbf2-19a975248824"/>
    <ds:schemaRef ds:uri="ef7e321c-44a6-4cb5-81f0-0bfd95ece2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vt="http://schemas.openxmlformats.org/officeDocument/2006/docPropsVTypes" xmlns:ap="http://schemas.openxmlformats.org/officeDocument/2006/extended-properties">
  <ap:Template>Normal.dotm</ap:Template>
  <ap:TotalTime>0</ap:TotalTime>
  <ap:Pages>19</ap:Pages>
  <ap:Words>4605</ap:Words>
  <ap:Characters>24856</ap:Characters>
  <ap:Application>Microsoft Office Word</ap:Application>
  <ap:DocSecurity>0</ap:DocSecurity>
  <ap:Lines>207</ap:Lines>
  <ap:Paragraphs>58</ap:Paragraphs>
  <ap:ScaleCrop>false</ap:ScaleCrop>
  <ap:HeadingPairs>
    <vt:vector baseType="variant" size="2">
      <vt:variant>
        <vt:lpstr>Title</vt:lpstr>
      </vt:variant>
      <vt:variant>
        <vt:i4>1</vt:i4>
      </vt:variant>
    </vt:vector>
  </ap:HeadingPairs>
  <ap:TitlesOfParts>
    <vt:vector baseType="lpstr" size="1">
      <vt:lpstr/>
    </vt:vector>
  </ap:TitlesOfParts>
  <ap:Company/>
  <ap:LinksUpToDate>false</ap:LinksUpToDate>
  <ap:CharactersWithSpaces>29403</ap:CharactersWithSpaces>
  <ap:SharedDoc>false</ap:SharedDoc>
  <ap:HyperlinksChanged>false</ap:HyperlinksChanged>
  <ap:AppVersion>12.0000</ap:AppVersion>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lastPrinted>2025-04-09T18:59:00Z</cp:lastPrinted>
  <dcterms:created xsi:type="dcterms:W3CDTF">2025-05-13T09:44:57Z</dcterms:created>
  <dcterms:modified xsi:type="dcterms:W3CDTF">2025-05-13T09:44:57Z</dcterms:modified>
</cp:coreProperties>
</file>