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0E47" w:rsidR="00BB1B03" w:rsidP="00BB1B03" w:rsidRDefault="00BB1B03" w14:paraId="4212DD62" w14:textId="7C5742D0">
      <w:pPr>
        <w:pStyle w:val="BodyText"/>
        <w:ind w:firstLine="0"/>
        <w:rPr>
          <w:szCs w:val="26"/>
        </w:rPr>
      </w:pPr>
      <w:r w:rsidRPr="00884697">
        <w:rPr>
          <w:szCs w:val="26"/>
        </w:rPr>
        <w:t xml:space="preserve">Decision </w:t>
      </w:r>
      <w:r w:rsidRPr="00370E47" w:rsidR="00B11704">
        <w:rPr>
          <w:szCs w:val="26"/>
        </w:rPr>
        <w:t>25-05-028</w:t>
      </w:r>
      <w:r w:rsidR="00370E47">
        <w:rPr>
          <w:szCs w:val="26"/>
        </w:rPr>
        <w:tab/>
      </w:r>
      <w:r w:rsidR="00370E47">
        <w:rPr>
          <w:szCs w:val="26"/>
        </w:rPr>
        <w:tab/>
      </w:r>
      <w:r w:rsidR="00370E47">
        <w:rPr>
          <w:szCs w:val="26"/>
        </w:rPr>
        <w:tab/>
        <w:t>May 15, 2025</w:t>
      </w:r>
    </w:p>
    <w:bookmarkStart w:name="Initials" w:id="0"/>
    <w:bookmarkEnd w:id="0"/>
    <w:p w:rsidRPr="00884697" w:rsidR="00BB1B03" w:rsidP="00BB1B03" w:rsidRDefault="00BB1B03" w14:paraId="68C3E026" w14:textId="77777777">
      <w:pPr>
        <w:rPr>
          <w:szCs w:val="26"/>
        </w:rPr>
      </w:pPr>
      <w:r w:rsidRPr="00884697">
        <w:rPr>
          <w:szCs w:val="26"/>
        </w:rPr>
        <w:fldChar w:fldCharType="begin"/>
      </w:r>
      <w:r w:rsidRPr="00884697">
        <w:rPr>
          <w:szCs w:val="26"/>
        </w:rPr>
        <w:instrText xml:space="preserve"> ASK Initials "Enter your initials in all CAPS (e.g. ATTY)" [/d "ATTY"]Initials  \* MERGEFORMAT </w:instrText>
      </w:r>
      <w:r w:rsidRPr="00884697">
        <w:rPr>
          <w:szCs w:val="26"/>
        </w:rPr>
        <w:fldChar w:fldCharType="end"/>
      </w:r>
    </w:p>
    <w:bookmarkStart w:name="AgendaNo" w:id="1"/>
    <w:bookmarkEnd w:id="1"/>
    <w:p w:rsidRPr="00884697" w:rsidR="00BB1B03" w:rsidP="00BB1B03" w:rsidRDefault="00BB1B03" w14:paraId="3D7B130E" w14:textId="77777777">
      <w:pPr>
        <w:pStyle w:val="BriefHeading"/>
        <w:rPr>
          <w:sz w:val="26"/>
          <w:szCs w:val="26"/>
        </w:rPr>
      </w:pPr>
      <w:r w:rsidRPr="00884697">
        <w:rPr>
          <w:sz w:val="26"/>
          <w:szCs w:val="26"/>
        </w:rPr>
        <w:fldChar w:fldCharType="begin"/>
      </w:r>
      <w:r w:rsidRPr="00884697">
        <w:rPr>
          <w:sz w:val="26"/>
          <w:szCs w:val="26"/>
        </w:rPr>
        <w:instrText xml:space="preserve"> ASK AgendaNo "Enter the agenda item number (e.g. CA-4)" [/d "Agenda Item No."] \* MERGEFORMAT </w:instrText>
      </w:r>
      <w:r w:rsidRPr="00884697">
        <w:rPr>
          <w:sz w:val="26"/>
          <w:szCs w:val="26"/>
        </w:rPr>
        <w:fldChar w:fldCharType="end"/>
      </w:r>
      <w:r w:rsidRPr="00884697">
        <w:rPr>
          <w:sz w:val="26"/>
          <w:szCs w:val="26"/>
        </w:rPr>
        <w:t>Before The Public Utilities Commission Of The State Of California</w:t>
      </w:r>
    </w:p>
    <w:p w:rsidRPr="00884697" w:rsidR="00BB1B03" w:rsidP="00BB1B03" w:rsidRDefault="00BB1B03" w14:paraId="3596E697" w14:textId="77777777">
      <w:pPr>
        <w:suppressAutoHyphens/>
        <w:rPr>
          <w:szCs w:val="26"/>
        </w:rPr>
      </w:pPr>
    </w:p>
    <w:tbl>
      <w:tblPr>
        <w:tblW w:w="9558" w:type="dxa"/>
        <w:tblLayout w:type="fixed"/>
        <w:tblLook w:val="0000" w:firstRow="0" w:lastRow="0" w:firstColumn="0" w:lastColumn="0" w:noHBand="0" w:noVBand="0"/>
      </w:tblPr>
      <w:tblGrid>
        <w:gridCol w:w="5058"/>
        <w:gridCol w:w="4500"/>
      </w:tblGrid>
      <w:tr w:rsidRPr="00884697" w:rsidR="0076247F" w:rsidTr="005B0E15" w14:paraId="205DF20E" w14:textId="77777777">
        <w:tc>
          <w:tcPr>
            <w:tcW w:w="5058" w:type="dxa"/>
            <w:tcBorders>
              <w:bottom w:val="single" w:color="auto" w:sz="4" w:space="0"/>
              <w:right w:val="single" w:color="auto" w:sz="6" w:space="0"/>
            </w:tcBorders>
          </w:tcPr>
          <w:p w:rsidR="00102B44" w:rsidP="00C35DEC" w:rsidRDefault="00102B44" w14:paraId="7918F4E9" w14:textId="77777777">
            <w:pPr>
              <w:tabs>
                <w:tab w:val="left" w:pos="4575"/>
              </w:tabs>
              <w:rPr>
                <w:szCs w:val="26"/>
              </w:rPr>
            </w:pPr>
          </w:p>
          <w:p w:rsidRPr="00884697" w:rsidR="0076247F" w:rsidP="00C01CC8" w:rsidRDefault="00915B88" w14:paraId="5E7E8149" w14:textId="0CF5B785">
            <w:pPr>
              <w:rPr>
                <w:szCs w:val="26"/>
              </w:rPr>
            </w:pPr>
            <w:r>
              <w:rPr>
                <w:szCs w:val="26"/>
              </w:rPr>
              <w:t>I</w:t>
            </w:r>
            <w:r w:rsidRPr="00915B88">
              <w:rPr>
                <w:szCs w:val="26"/>
              </w:rPr>
              <w:t>n the matter of the Application of the GOLDEN STATE WATER COMPANY (U133W) for an order (1) authorizing it to increase rates for water service by $87,060,700 or 22.95% in 2025; (2) authorizing it to increase rates by $20,699,200 or 4.42% in 2026, and increase rates by $22,408,200 or 4.57% in 2027 in accordance with the Rate Case Plan; and (3) adopting other related rulings and relief necessary to implement the Commission's ratemaking policies.</w:t>
            </w:r>
          </w:p>
        </w:tc>
        <w:tc>
          <w:tcPr>
            <w:tcW w:w="4500" w:type="dxa"/>
            <w:tcBorders>
              <w:left w:val="nil"/>
            </w:tcBorders>
          </w:tcPr>
          <w:p w:rsidR="0076247F" w:rsidP="00EA0416" w:rsidRDefault="0076247F" w14:paraId="540B5AE6" w14:textId="77777777">
            <w:pPr>
              <w:tabs>
                <w:tab w:val="clear" w:pos="5040"/>
              </w:tabs>
              <w:rPr>
                <w:szCs w:val="26"/>
              </w:rPr>
            </w:pPr>
          </w:p>
          <w:p w:rsidR="009820B0" w:rsidP="00EA0416" w:rsidRDefault="009820B0" w14:paraId="3111DAFD" w14:textId="77777777">
            <w:pPr>
              <w:tabs>
                <w:tab w:val="clear" w:pos="5040"/>
              </w:tabs>
              <w:rPr>
                <w:szCs w:val="26"/>
              </w:rPr>
            </w:pPr>
          </w:p>
          <w:p w:rsidR="009820B0" w:rsidP="00EA0416" w:rsidRDefault="009820B0" w14:paraId="7CFCF277" w14:textId="77777777">
            <w:pPr>
              <w:tabs>
                <w:tab w:val="clear" w:pos="5040"/>
              </w:tabs>
              <w:rPr>
                <w:szCs w:val="26"/>
              </w:rPr>
            </w:pPr>
          </w:p>
          <w:p w:rsidRPr="00884697" w:rsidR="009820B0" w:rsidP="00EA0416" w:rsidRDefault="009820B0" w14:paraId="7172D350" w14:textId="77777777">
            <w:pPr>
              <w:tabs>
                <w:tab w:val="clear" w:pos="5040"/>
              </w:tabs>
              <w:rPr>
                <w:szCs w:val="26"/>
              </w:rPr>
            </w:pPr>
          </w:p>
          <w:p w:rsidRPr="00884697" w:rsidR="0076247F" w:rsidP="00C01CC8" w:rsidRDefault="0076247F" w14:paraId="52AB0797" w14:textId="655024E0">
            <w:pPr>
              <w:jc w:val="center"/>
              <w:rPr>
                <w:szCs w:val="26"/>
              </w:rPr>
            </w:pPr>
            <w:r w:rsidRPr="00884697">
              <w:rPr>
                <w:szCs w:val="26"/>
              </w:rPr>
              <w:t xml:space="preserve">Application </w:t>
            </w:r>
            <w:r w:rsidR="00102B44">
              <w:rPr>
                <w:szCs w:val="26"/>
              </w:rPr>
              <w:t>2</w:t>
            </w:r>
            <w:r w:rsidR="009820B0">
              <w:rPr>
                <w:szCs w:val="26"/>
              </w:rPr>
              <w:t>3</w:t>
            </w:r>
            <w:r w:rsidRPr="00884697">
              <w:rPr>
                <w:szCs w:val="26"/>
              </w:rPr>
              <w:t>-</w:t>
            </w:r>
            <w:r w:rsidR="00102B44">
              <w:rPr>
                <w:szCs w:val="26"/>
              </w:rPr>
              <w:t>0</w:t>
            </w:r>
            <w:r w:rsidR="009820B0">
              <w:rPr>
                <w:szCs w:val="26"/>
              </w:rPr>
              <w:t>8</w:t>
            </w:r>
            <w:r w:rsidRPr="00884697">
              <w:rPr>
                <w:szCs w:val="26"/>
              </w:rPr>
              <w:t>-0</w:t>
            </w:r>
            <w:r w:rsidR="00FA6068">
              <w:rPr>
                <w:szCs w:val="26"/>
              </w:rPr>
              <w:t>1</w:t>
            </w:r>
            <w:r w:rsidR="009820B0">
              <w:rPr>
                <w:szCs w:val="26"/>
              </w:rPr>
              <w:t>0</w:t>
            </w:r>
          </w:p>
          <w:p w:rsidRPr="00884697" w:rsidR="0076247F" w:rsidP="00C01CC8" w:rsidRDefault="0076247F" w14:paraId="064F0420" w14:textId="7BC456F7">
            <w:pPr>
              <w:jc w:val="center"/>
              <w:rPr>
                <w:szCs w:val="26"/>
              </w:rPr>
            </w:pPr>
          </w:p>
        </w:tc>
      </w:tr>
    </w:tbl>
    <w:p w:rsidRPr="00884697" w:rsidR="00EA7782" w:rsidRDefault="00EA7782" w14:paraId="4F1BBFED" w14:textId="77777777">
      <w:pPr>
        <w:rPr>
          <w:szCs w:val="26"/>
        </w:rPr>
      </w:pPr>
    </w:p>
    <w:p w:rsidRPr="00884697" w:rsidR="003976ED" w:rsidRDefault="003976ED" w14:paraId="769ED3D1" w14:textId="77777777">
      <w:pPr>
        <w:rPr>
          <w:szCs w:val="26"/>
        </w:rPr>
      </w:pPr>
    </w:p>
    <w:p w:rsidRPr="00884697" w:rsidR="003976ED" w:rsidP="003976ED" w:rsidRDefault="00EA7782" w14:paraId="5D4B75E8" w14:textId="4D989605">
      <w:pPr>
        <w:jc w:val="center"/>
        <w:rPr>
          <w:b/>
          <w:szCs w:val="26"/>
          <w:u w:val="single"/>
        </w:rPr>
      </w:pPr>
      <w:r w:rsidRPr="00884697">
        <w:rPr>
          <w:b/>
          <w:szCs w:val="26"/>
          <w:u w:val="single"/>
        </w:rPr>
        <w:t>ORDER</w:t>
      </w:r>
      <w:r w:rsidRPr="00884697" w:rsidR="003976ED">
        <w:rPr>
          <w:b/>
          <w:szCs w:val="26"/>
          <w:u w:val="single"/>
        </w:rPr>
        <w:t xml:space="preserve"> </w:t>
      </w:r>
      <w:r w:rsidR="00102B44">
        <w:rPr>
          <w:b/>
          <w:szCs w:val="26"/>
          <w:u w:val="single"/>
        </w:rPr>
        <w:t>DENYING</w:t>
      </w:r>
      <w:r w:rsidR="00897A0F">
        <w:rPr>
          <w:b/>
          <w:szCs w:val="26"/>
          <w:u w:val="single"/>
        </w:rPr>
        <w:t xml:space="preserve"> </w:t>
      </w:r>
      <w:r w:rsidRPr="00884697" w:rsidR="003976ED">
        <w:rPr>
          <w:b/>
          <w:szCs w:val="26"/>
          <w:u w:val="single"/>
        </w:rPr>
        <w:t>REHEARING</w:t>
      </w:r>
      <w:r w:rsidR="007262A7">
        <w:rPr>
          <w:b/>
          <w:szCs w:val="26"/>
          <w:u w:val="single"/>
        </w:rPr>
        <w:t xml:space="preserve"> </w:t>
      </w:r>
      <w:r w:rsidR="00897A0F">
        <w:rPr>
          <w:b/>
          <w:szCs w:val="26"/>
          <w:u w:val="single"/>
        </w:rPr>
        <w:t>OF DECISION 25-01-036</w:t>
      </w:r>
    </w:p>
    <w:p w:rsidRPr="00884697" w:rsidR="00EA7782" w:rsidRDefault="00EA7782" w14:paraId="32F73321" w14:textId="77777777">
      <w:pPr>
        <w:rPr>
          <w:b/>
          <w:szCs w:val="26"/>
        </w:rPr>
      </w:pPr>
    </w:p>
    <w:p w:rsidRPr="00884697" w:rsidR="007705CE" w:rsidP="00E267E5" w:rsidRDefault="0076247F" w14:paraId="50713767" w14:textId="523D7233">
      <w:pPr>
        <w:pStyle w:val="Heading1"/>
        <w:rPr>
          <w:szCs w:val="26"/>
        </w:rPr>
      </w:pPr>
      <w:r w:rsidRPr="00884697">
        <w:rPr>
          <w:szCs w:val="26"/>
        </w:rPr>
        <w:t>INTRODUCTION</w:t>
      </w:r>
    </w:p>
    <w:p w:rsidRPr="004B7458" w:rsidR="00254FFD" w:rsidP="004B7458" w:rsidRDefault="00FD4125" w14:paraId="480F2B32" w14:textId="44CFA4F1">
      <w:pPr>
        <w:tabs>
          <w:tab w:val="clear" w:pos="5040"/>
        </w:tabs>
        <w:overflowPunct/>
        <w:autoSpaceDE/>
        <w:autoSpaceDN/>
        <w:adjustRightInd/>
        <w:spacing w:line="360" w:lineRule="auto"/>
        <w:ind w:firstLine="1440"/>
        <w:textAlignment w:val="auto"/>
      </w:pPr>
      <w:r w:rsidRPr="00007133">
        <w:t xml:space="preserve">In this Order, we dispose of the application for rehearing of </w:t>
      </w:r>
      <w:r w:rsidR="00897A0F">
        <w:rPr>
          <w:szCs w:val="26"/>
        </w:rPr>
        <w:t>Decision</w:t>
      </w:r>
      <w:r>
        <w:rPr>
          <w:szCs w:val="26"/>
        </w:rPr>
        <w:t xml:space="preserve"> </w:t>
      </w:r>
      <w:r w:rsidR="00BF4217">
        <w:rPr>
          <w:szCs w:val="26"/>
        </w:rPr>
        <w:br/>
      </w:r>
      <w:r>
        <w:rPr>
          <w:szCs w:val="26"/>
        </w:rPr>
        <w:t>(</w:t>
      </w:r>
      <w:r w:rsidR="00897A0F">
        <w:rPr>
          <w:szCs w:val="26"/>
        </w:rPr>
        <w:t>D.</w:t>
      </w:r>
      <w:r>
        <w:rPr>
          <w:szCs w:val="26"/>
        </w:rPr>
        <w:t>)</w:t>
      </w:r>
      <w:r w:rsidR="00874AA9">
        <w:rPr>
          <w:szCs w:val="26"/>
        </w:rPr>
        <w:t xml:space="preserve"> </w:t>
      </w:r>
      <w:r w:rsidR="00897A0F">
        <w:rPr>
          <w:szCs w:val="26"/>
        </w:rPr>
        <w:t>25-01-036</w:t>
      </w:r>
      <w:r>
        <w:rPr>
          <w:szCs w:val="26"/>
        </w:rPr>
        <w:t xml:space="preserve"> (the </w:t>
      </w:r>
      <w:r w:rsidR="00897A0F">
        <w:rPr>
          <w:szCs w:val="26"/>
        </w:rPr>
        <w:t>Decision)</w:t>
      </w:r>
      <w:r>
        <w:rPr>
          <w:szCs w:val="26"/>
        </w:rPr>
        <w:t xml:space="preserve"> fil</w:t>
      </w:r>
      <w:r>
        <w:t xml:space="preserve">ed </w:t>
      </w:r>
      <w:r w:rsidRPr="00897A0F" w:rsidR="00897A0F">
        <w:t>by Golden State Water Company (GSW)</w:t>
      </w:r>
      <w:r w:rsidR="004B7458">
        <w:rPr>
          <w:szCs w:val="26"/>
        </w:rPr>
        <w:t>.</w:t>
      </w:r>
      <w:bookmarkStart w:name="_Hlk148515200" w:id="2"/>
      <w:r w:rsidR="00254FFD">
        <w:rPr>
          <w:rStyle w:val="FootnoteReference"/>
          <w:szCs w:val="26"/>
        </w:rPr>
        <w:footnoteReference w:id="2"/>
      </w:r>
      <w:bookmarkEnd w:id="2"/>
    </w:p>
    <w:p w:rsidR="00897A0F" w:rsidP="00897A0F" w:rsidRDefault="00093236" w14:paraId="19F25BAE" w14:textId="6CF7913B">
      <w:pPr>
        <w:pStyle w:val="BodyText"/>
        <w:ind w:firstLine="1440"/>
        <w:rPr>
          <w:szCs w:val="26"/>
        </w:rPr>
      </w:pPr>
      <w:r>
        <w:rPr>
          <w:szCs w:val="26"/>
        </w:rPr>
        <w:t xml:space="preserve">The </w:t>
      </w:r>
      <w:r w:rsidR="00897A0F">
        <w:rPr>
          <w:szCs w:val="26"/>
        </w:rPr>
        <w:t>Decision resolved the issues in GSW’s general rate case (GRC) application</w:t>
      </w:r>
      <w:r w:rsidR="00874AA9">
        <w:rPr>
          <w:szCs w:val="26"/>
        </w:rPr>
        <w:t xml:space="preserve"> for test year 2025</w:t>
      </w:r>
      <w:r w:rsidR="00254FFD">
        <w:rPr>
          <w:szCs w:val="26"/>
        </w:rPr>
        <w:t xml:space="preserve">.  </w:t>
      </w:r>
      <w:r w:rsidRPr="00897A0F" w:rsidR="00897A0F">
        <w:rPr>
          <w:szCs w:val="26"/>
        </w:rPr>
        <w:t xml:space="preserve">GSW seeks rehearing </w:t>
      </w:r>
      <w:r w:rsidRPr="009820B0" w:rsidR="009820B0">
        <w:rPr>
          <w:szCs w:val="26"/>
        </w:rPr>
        <w:t xml:space="preserve">of two </w:t>
      </w:r>
      <w:r w:rsidRPr="00202F9E" w:rsidR="00202F9E">
        <w:rPr>
          <w:szCs w:val="26"/>
        </w:rPr>
        <w:t>ordering paragraphs</w:t>
      </w:r>
      <w:r w:rsidRPr="009820B0" w:rsidR="009820B0">
        <w:rPr>
          <w:szCs w:val="26"/>
        </w:rPr>
        <w:t xml:space="preserve"> in the Decision: (1) an order denying GSW’s proposed Water Conservation Advancement Plan (WCAP) </w:t>
      </w:r>
      <w:r w:rsidR="008F64D8">
        <w:rPr>
          <w:szCs w:val="26"/>
        </w:rPr>
        <w:t xml:space="preserve">and </w:t>
      </w:r>
      <w:r w:rsidRPr="009820B0" w:rsidR="009820B0">
        <w:rPr>
          <w:szCs w:val="26"/>
        </w:rPr>
        <w:t xml:space="preserve">requiring instead a Monterey Water Revenue Adjustment Mechanism </w:t>
      </w:r>
      <w:r w:rsidR="00BF4217">
        <w:rPr>
          <w:szCs w:val="26"/>
        </w:rPr>
        <w:br/>
      </w:r>
      <w:r w:rsidRPr="009820B0" w:rsidR="009820B0">
        <w:rPr>
          <w:szCs w:val="26"/>
        </w:rPr>
        <w:t>(M-WRAM); and (2) an order to present plans for capital investments related to Polyfluoroalkyl Substance (PFAS) treatment in a separate application or in its GRC filing, rather than recording them in its PFAS Memorandum Account (PFASMA).</w:t>
      </w:r>
    </w:p>
    <w:p w:rsidR="00897A0F" w:rsidP="00254FFD" w:rsidRDefault="009820B0" w14:paraId="6F0A8537" w14:textId="0D1D6177">
      <w:pPr>
        <w:pStyle w:val="BodyText"/>
        <w:ind w:firstLine="1440"/>
        <w:rPr>
          <w:szCs w:val="26"/>
        </w:rPr>
      </w:pPr>
      <w:r w:rsidRPr="009820B0">
        <w:rPr>
          <w:szCs w:val="26"/>
        </w:rPr>
        <w:lastRenderedPageBreak/>
        <w:t xml:space="preserve">First, </w:t>
      </w:r>
      <w:r>
        <w:rPr>
          <w:szCs w:val="26"/>
        </w:rPr>
        <w:t>regarding</w:t>
      </w:r>
      <w:r w:rsidRPr="009820B0">
        <w:rPr>
          <w:szCs w:val="26"/>
        </w:rPr>
        <w:t xml:space="preserve"> the denial of the WCAP, GSW </w:t>
      </w:r>
      <w:r w:rsidR="00C46780">
        <w:rPr>
          <w:szCs w:val="26"/>
        </w:rPr>
        <w:t>alleges</w:t>
      </w:r>
      <w:r w:rsidRPr="009820B0" w:rsidR="00C46780">
        <w:rPr>
          <w:szCs w:val="26"/>
        </w:rPr>
        <w:t xml:space="preserve"> </w:t>
      </w:r>
      <w:r w:rsidRPr="009820B0">
        <w:rPr>
          <w:szCs w:val="26"/>
        </w:rPr>
        <w:t xml:space="preserve">that the </w:t>
      </w:r>
      <w:r w:rsidR="00202F9E">
        <w:rPr>
          <w:szCs w:val="26"/>
        </w:rPr>
        <w:t>California Public Utilities Commission (</w:t>
      </w:r>
      <w:r w:rsidRPr="009820B0">
        <w:rPr>
          <w:szCs w:val="26"/>
        </w:rPr>
        <w:t>Commission</w:t>
      </w:r>
      <w:r w:rsidR="00202F9E">
        <w:rPr>
          <w:szCs w:val="26"/>
        </w:rPr>
        <w:t>)</w:t>
      </w:r>
      <w:r w:rsidRPr="009820B0">
        <w:rPr>
          <w:szCs w:val="26"/>
        </w:rPr>
        <w:t xml:space="preserve"> ignored the weight of the evidence and did not provide proper findings in support of its order.</w:t>
      </w:r>
      <w:r>
        <w:rPr>
          <w:rStyle w:val="FootnoteReference"/>
          <w:szCs w:val="26"/>
        </w:rPr>
        <w:footnoteReference w:id="3"/>
      </w:r>
      <w:r w:rsidRPr="009820B0">
        <w:rPr>
          <w:szCs w:val="26"/>
        </w:rPr>
        <w:t xml:space="preserve">  GSW also </w:t>
      </w:r>
      <w:r w:rsidR="00C46780">
        <w:rPr>
          <w:szCs w:val="26"/>
        </w:rPr>
        <w:t>alleges</w:t>
      </w:r>
      <w:r w:rsidRPr="009820B0" w:rsidR="00C46780">
        <w:rPr>
          <w:szCs w:val="26"/>
        </w:rPr>
        <w:t xml:space="preserve"> </w:t>
      </w:r>
      <w:r w:rsidRPr="009820B0">
        <w:rPr>
          <w:szCs w:val="26"/>
        </w:rPr>
        <w:t>that the Commission failed to properly consider a decoupling mechanism, as is required by Senate Bill (SB) 1469, codified at Public Utilities Code section 727.5(d)(2)(A).</w:t>
      </w:r>
      <w:bookmarkStart w:name="_Hlk194928976" w:id="3"/>
      <w:r>
        <w:rPr>
          <w:rStyle w:val="FootnoteReference"/>
          <w:szCs w:val="26"/>
        </w:rPr>
        <w:footnoteReference w:id="4"/>
      </w:r>
      <w:bookmarkEnd w:id="3"/>
      <w:r w:rsidRPr="009820B0">
        <w:rPr>
          <w:szCs w:val="26"/>
        </w:rPr>
        <w:t xml:space="preserve">  GSW claims that SB 1469 made several legislative findings that the Commission </w:t>
      </w:r>
      <w:r w:rsidR="00C46780">
        <w:rPr>
          <w:szCs w:val="26"/>
        </w:rPr>
        <w:t>ignored</w:t>
      </w:r>
      <w:r w:rsidRPr="009820B0">
        <w:rPr>
          <w:szCs w:val="26"/>
        </w:rPr>
        <w:t>, and moreover, that the law required that the Commission make several specific findings in determining water rates.</w:t>
      </w:r>
      <w:r w:rsidR="00D13248">
        <w:rPr>
          <w:rStyle w:val="FootnoteReference"/>
          <w:szCs w:val="26"/>
        </w:rPr>
        <w:footnoteReference w:id="5"/>
      </w:r>
      <w:r w:rsidRPr="009820B0">
        <w:rPr>
          <w:szCs w:val="26"/>
        </w:rPr>
        <w:t xml:space="preserve">   Finally, GSW </w:t>
      </w:r>
      <w:r w:rsidR="00C46780">
        <w:rPr>
          <w:szCs w:val="26"/>
        </w:rPr>
        <w:t>alleges</w:t>
      </w:r>
      <w:r w:rsidRPr="009820B0" w:rsidR="00C46780">
        <w:rPr>
          <w:szCs w:val="26"/>
        </w:rPr>
        <w:t xml:space="preserve"> </w:t>
      </w:r>
      <w:r w:rsidRPr="009820B0">
        <w:rPr>
          <w:szCs w:val="26"/>
        </w:rPr>
        <w:t xml:space="preserve">that </w:t>
      </w:r>
      <w:r w:rsidR="00D13248">
        <w:rPr>
          <w:szCs w:val="26"/>
        </w:rPr>
        <w:t>the Commission order</w:t>
      </w:r>
      <w:r w:rsidRPr="009820B0">
        <w:rPr>
          <w:szCs w:val="26"/>
        </w:rPr>
        <w:t xml:space="preserve"> relies on a finding in D.20-08-047 which was vacated by the California Supreme Court in </w:t>
      </w:r>
      <w:r w:rsidRPr="00D13248">
        <w:rPr>
          <w:i/>
          <w:iCs/>
          <w:szCs w:val="26"/>
        </w:rPr>
        <w:t>Golden State Water Company v. Public Utilities Com</w:t>
      </w:r>
      <w:r w:rsidRPr="009820B0">
        <w:rPr>
          <w:szCs w:val="26"/>
        </w:rPr>
        <w:t>.</w:t>
      </w:r>
      <w:bookmarkStart w:name="_Hlk194929126" w:id="4"/>
      <w:r w:rsidR="00D13248">
        <w:rPr>
          <w:rStyle w:val="FootnoteReference"/>
          <w:szCs w:val="26"/>
        </w:rPr>
        <w:footnoteReference w:id="6"/>
      </w:r>
      <w:r w:rsidRPr="009820B0">
        <w:rPr>
          <w:szCs w:val="26"/>
        </w:rPr>
        <w:t xml:space="preserve"> </w:t>
      </w:r>
      <w:bookmarkEnd w:id="4"/>
      <w:r w:rsidRPr="009820B0">
        <w:rPr>
          <w:szCs w:val="26"/>
        </w:rPr>
        <w:t xml:space="preserve"> </w:t>
      </w:r>
    </w:p>
    <w:p w:rsidR="00D13248" w:rsidP="00D13248" w:rsidRDefault="00202F9E" w14:paraId="0674626C" w14:textId="67A16392">
      <w:pPr>
        <w:pStyle w:val="BodyText"/>
        <w:ind w:firstLine="1440"/>
        <w:rPr>
          <w:szCs w:val="26"/>
        </w:rPr>
      </w:pPr>
      <w:r>
        <w:rPr>
          <w:szCs w:val="26"/>
        </w:rPr>
        <w:t>S</w:t>
      </w:r>
      <w:r w:rsidRPr="00202F9E">
        <w:rPr>
          <w:szCs w:val="26"/>
        </w:rPr>
        <w:t xml:space="preserve">econd, regarding the treatment of PFAS-related capital costs, </w:t>
      </w:r>
      <w:r w:rsidRPr="00D13248" w:rsidR="00D13248">
        <w:rPr>
          <w:szCs w:val="26"/>
        </w:rPr>
        <w:t xml:space="preserve">GSW claims that the Commission cannot order it to report </w:t>
      </w:r>
      <w:r>
        <w:rPr>
          <w:szCs w:val="26"/>
        </w:rPr>
        <w:t>these costs</w:t>
      </w:r>
      <w:r w:rsidRPr="00D13248" w:rsidR="00D13248">
        <w:rPr>
          <w:szCs w:val="26"/>
        </w:rPr>
        <w:t xml:space="preserve"> in a separate application or in a GRC filing; or </w:t>
      </w:r>
      <w:r w:rsidR="000B314C">
        <w:rPr>
          <w:szCs w:val="26"/>
        </w:rPr>
        <w:t xml:space="preserve">rather, </w:t>
      </w:r>
      <w:r w:rsidRPr="00D13248" w:rsidR="00D13248">
        <w:rPr>
          <w:szCs w:val="26"/>
        </w:rPr>
        <w:t xml:space="preserve">as GSW characterizes it, </w:t>
      </w:r>
      <w:r w:rsidR="008F64D8">
        <w:rPr>
          <w:szCs w:val="26"/>
        </w:rPr>
        <w:t xml:space="preserve">that </w:t>
      </w:r>
      <w:r w:rsidRPr="00D13248" w:rsidR="00D13248">
        <w:rPr>
          <w:szCs w:val="26"/>
        </w:rPr>
        <w:t>the Commission cannot order GSW not to report these costs in its Contaminant Remediation Memorandum Account (“CRMA”), because the CRMA was outside the scope of the GRC.</w:t>
      </w:r>
      <w:r w:rsidR="00D13248">
        <w:rPr>
          <w:rStyle w:val="FootnoteReference"/>
          <w:szCs w:val="26"/>
        </w:rPr>
        <w:footnoteReference w:id="7"/>
      </w:r>
      <w:r w:rsidRPr="009820B0" w:rsidR="00D13248">
        <w:rPr>
          <w:szCs w:val="26"/>
        </w:rPr>
        <w:t xml:space="preserve"> </w:t>
      </w:r>
      <w:r w:rsidRPr="00D13248" w:rsidR="00D13248">
        <w:rPr>
          <w:szCs w:val="26"/>
        </w:rPr>
        <w:t xml:space="preserve"> GSW </w:t>
      </w:r>
      <w:r w:rsidR="00C46780">
        <w:rPr>
          <w:szCs w:val="26"/>
        </w:rPr>
        <w:t>claims</w:t>
      </w:r>
      <w:r w:rsidRPr="00D13248" w:rsidR="00C46780">
        <w:rPr>
          <w:szCs w:val="26"/>
        </w:rPr>
        <w:t xml:space="preserve"> </w:t>
      </w:r>
      <w:r w:rsidRPr="00D13248" w:rsidR="00D13248">
        <w:rPr>
          <w:szCs w:val="26"/>
        </w:rPr>
        <w:t xml:space="preserve">that the Administrative Law Judge (ALJ) and the initial Proposed Decision made statements </w:t>
      </w:r>
      <w:r w:rsidR="005128EF">
        <w:rPr>
          <w:szCs w:val="26"/>
        </w:rPr>
        <w:t>that</w:t>
      </w:r>
      <w:r w:rsidRPr="00D13248" w:rsidR="00D13248">
        <w:rPr>
          <w:szCs w:val="26"/>
        </w:rPr>
        <w:t xml:space="preserve"> the CRMA was </w:t>
      </w:r>
      <w:r w:rsidR="005128EF">
        <w:rPr>
          <w:szCs w:val="26"/>
        </w:rPr>
        <w:t xml:space="preserve">not </w:t>
      </w:r>
      <w:r w:rsidRPr="00D13248" w:rsidR="00D13248">
        <w:rPr>
          <w:szCs w:val="26"/>
        </w:rPr>
        <w:t>within the scope of the proceeding.</w:t>
      </w:r>
      <w:r w:rsidR="00D13248">
        <w:rPr>
          <w:rStyle w:val="FootnoteReference"/>
          <w:szCs w:val="26"/>
        </w:rPr>
        <w:footnoteReference w:id="8"/>
      </w:r>
      <w:r w:rsidRPr="00D13248" w:rsidR="00D13248">
        <w:rPr>
          <w:szCs w:val="26"/>
        </w:rPr>
        <w:t xml:space="preserve">   GSW also claims that the Decision misstates the nature of the CRMA, PFASMA</w:t>
      </w:r>
      <w:r w:rsidR="005128EF">
        <w:rPr>
          <w:szCs w:val="26"/>
        </w:rPr>
        <w:t>,</w:t>
      </w:r>
      <w:r w:rsidRPr="00D13248" w:rsidR="00D13248">
        <w:rPr>
          <w:szCs w:val="26"/>
        </w:rPr>
        <w:t xml:space="preserve"> and memorandum accounts in general.</w:t>
      </w:r>
    </w:p>
    <w:p w:rsidRPr="001067E0" w:rsidR="00254FFD" w:rsidP="00D13248" w:rsidRDefault="00D13248" w14:paraId="7AC84074" w14:textId="3D8168D9">
      <w:pPr>
        <w:pStyle w:val="BodyText"/>
        <w:ind w:firstLine="1440"/>
        <w:rPr>
          <w:szCs w:val="26"/>
        </w:rPr>
      </w:pPr>
      <w:r w:rsidRPr="00D13248">
        <w:rPr>
          <w:szCs w:val="26"/>
        </w:rPr>
        <w:lastRenderedPageBreak/>
        <w:t>GSW also seeks oral argument, arguing that its claimed issues “present</w:t>
      </w:r>
      <w:r w:rsidR="007A5CB1">
        <w:rPr>
          <w:szCs w:val="26"/>
        </w:rPr>
        <w:t>[]</w:t>
      </w:r>
      <w:r w:rsidRPr="00D13248">
        <w:rPr>
          <w:szCs w:val="26"/>
        </w:rPr>
        <w:t xml:space="preserve"> legal issues of exceptional controversy, complexity, or public importance” and that the challenged orders depart from Commission precedent</w:t>
      </w:r>
      <w:r w:rsidR="007A5CB1">
        <w:rPr>
          <w:szCs w:val="26"/>
        </w:rPr>
        <w:t>.</w:t>
      </w:r>
      <w:r w:rsidR="007A5CB1">
        <w:rPr>
          <w:rStyle w:val="FootnoteReference"/>
          <w:szCs w:val="26"/>
        </w:rPr>
        <w:footnoteReference w:id="9"/>
      </w:r>
    </w:p>
    <w:p w:rsidR="00254FFD" w:rsidP="00254FFD" w:rsidRDefault="00254FFD" w14:paraId="6F5DA7F6" w14:textId="2C9A216D">
      <w:pPr>
        <w:pStyle w:val="BodyText"/>
        <w:ind w:firstLine="1440"/>
        <w:rPr>
          <w:szCs w:val="26"/>
        </w:rPr>
      </w:pPr>
      <w:r>
        <w:rPr>
          <w:szCs w:val="26"/>
        </w:rPr>
        <w:t>W</w:t>
      </w:r>
      <w:r w:rsidRPr="007262A7">
        <w:rPr>
          <w:szCs w:val="26"/>
        </w:rPr>
        <w:t>e have carefully considered all the arguments presented by</w:t>
      </w:r>
      <w:r>
        <w:rPr>
          <w:szCs w:val="26"/>
        </w:rPr>
        <w:t xml:space="preserve"> </w:t>
      </w:r>
      <w:r w:rsidR="00897A0F">
        <w:rPr>
          <w:szCs w:val="26"/>
        </w:rPr>
        <w:t>GSW</w:t>
      </w:r>
      <w:r>
        <w:rPr>
          <w:szCs w:val="26"/>
        </w:rPr>
        <w:t xml:space="preserve">.  For the reasons set forth below, </w:t>
      </w:r>
      <w:r w:rsidR="004B7458">
        <w:rPr>
          <w:szCs w:val="26"/>
        </w:rPr>
        <w:t xml:space="preserve">we have determined that </w:t>
      </w:r>
      <w:r w:rsidR="0088437F">
        <w:rPr>
          <w:szCs w:val="26"/>
        </w:rPr>
        <w:t xml:space="preserve">rehearing </w:t>
      </w:r>
      <w:r w:rsidR="004B7458">
        <w:rPr>
          <w:szCs w:val="26"/>
        </w:rPr>
        <w:t xml:space="preserve">of the </w:t>
      </w:r>
      <w:r w:rsidR="00897A0F">
        <w:rPr>
          <w:szCs w:val="26"/>
        </w:rPr>
        <w:t>Decision should be</w:t>
      </w:r>
      <w:r w:rsidR="0088437F">
        <w:rPr>
          <w:szCs w:val="26"/>
        </w:rPr>
        <w:t xml:space="preserve"> denied</w:t>
      </w:r>
      <w:r>
        <w:rPr>
          <w:szCs w:val="26"/>
        </w:rPr>
        <w:t xml:space="preserve">.  </w:t>
      </w:r>
      <w:r w:rsidR="00897A0F">
        <w:rPr>
          <w:szCs w:val="26"/>
        </w:rPr>
        <w:t>GSW</w:t>
      </w:r>
      <w:r>
        <w:rPr>
          <w:szCs w:val="26"/>
        </w:rPr>
        <w:t xml:space="preserve">’s </w:t>
      </w:r>
      <w:r w:rsidR="00897A0F">
        <w:rPr>
          <w:szCs w:val="26"/>
        </w:rPr>
        <w:t>request for oral argument</w:t>
      </w:r>
      <w:r>
        <w:rPr>
          <w:szCs w:val="26"/>
        </w:rPr>
        <w:t xml:space="preserve"> is also denied.</w:t>
      </w:r>
    </w:p>
    <w:p w:rsidRPr="00A712BF" w:rsidR="00254FFD" w:rsidP="00254FFD" w:rsidRDefault="0073005E" w14:paraId="0B93E090" w14:textId="028C9850">
      <w:pPr>
        <w:pStyle w:val="Heading1"/>
      </w:pPr>
      <w:r>
        <w:t>BACKGROUND AND PROCEDURAL HISTORY</w:t>
      </w:r>
    </w:p>
    <w:p w:rsidR="008219A2" w:rsidP="008219A2" w:rsidRDefault="008219A2" w14:paraId="408F512E" w14:textId="76148E4F">
      <w:pPr>
        <w:pStyle w:val="BodyText"/>
        <w:ind w:firstLine="1440"/>
        <w:rPr>
          <w:szCs w:val="26"/>
        </w:rPr>
      </w:pPr>
      <w:r w:rsidRPr="008219A2">
        <w:rPr>
          <w:szCs w:val="26"/>
        </w:rPr>
        <w:t>Central to the main issue of t</w:t>
      </w:r>
      <w:r>
        <w:rPr>
          <w:szCs w:val="26"/>
        </w:rPr>
        <w:t>h</w:t>
      </w:r>
      <w:r w:rsidRPr="008219A2">
        <w:rPr>
          <w:szCs w:val="26"/>
        </w:rPr>
        <w:t xml:space="preserve">e </w:t>
      </w:r>
      <w:r>
        <w:rPr>
          <w:szCs w:val="26"/>
        </w:rPr>
        <w:t xml:space="preserve">application for rehearing </w:t>
      </w:r>
      <w:r w:rsidRPr="008219A2">
        <w:rPr>
          <w:szCs w:val="26"/>
        </w:rPr>
        <w:t xml:space="preserve">is the revenue mechanism to be used to prevent a water utility’s incentive to collect revenues </w:t>
      </w:r>
      <w:r>
        <w:rPr>
          <w:szCs w:val="26"/>
        </w:rPr>
        <w:t xml:space="preserve">from </w:t>
      </w:r>
      <w:r w:rsidRPr="008219A2">
        <w:rPr>
          <w:szCs w:val="26"/>
        </w:rPr>
        <w:t>countering water conservation goals.  In</w:t>
      </w:r>
      <w:r>
        <w:rPr>
          <w:szCs w:val="26"/>
        </w:rPr>
        <w:t xml:space="preserve"> the Decision, </w:t>
      </w:r>
      <w:r w:rsidRPr="008219A2">
        <w:rPr>
          <w:szCs w:val="26"/>
        </w:rPr>
        <w:t>the Commission favored the use of an M-WRAM, rather than a full revenue decoupling mechanism (or WRAM), such as GSW’s proposed WCAP</w:t>
      </w:r>
      <w:r w:rsidR="00254FFD">
        <w:rPr>
          <w:szCs w:val="26"/>
        </w:rPr>
        <w:t>.</w:t>
      </w:r>
      <w:r>
        <w:rPr>
          <w:rStyle w:val="FootnoteReference"/>
          <w:szCs w:val="26"/>
        </w:rPr>
        <w:footnoteReference w:id="10"/>
      </w:r>
    </w:p>
    <w:p w:rsidR="00254FFD" w:rsidP="001067E0" w:rsidRDefault="00D95252" w14:paraId="0FEEBEE8" w14:textId="7E005F67">
      <w:pPr>
        <w:pStyle w:val="BodyText"/>
        <w:ind w:firstLine="1440"/>
        <w:rPr>
          <w:szCs w:val="26"/>
        </w:rPr>
      </w:pPr>
      <w:r w:rsidRPr="00D95252">
        <w:rPr>
          <w:szCs w:val="26"/>
        </w:rPr>
        <w:t>In Rulemaking (R.)</w:t>
      </w:r>
      <w:r w:rsidR="00874AA9">
        <w:rPr>
          <w:szCs w:val="26"/>
        </w:rPr>
        <w:t xml:space="preserve"> </w:t>
      </w:r>
      <w:r w:rsidRPr="00D95252">
        <w:rPr>
          <w:szCs w:val="26"/>
        </w:rPr>
        <w:t>17-06-024, involving all Class A water utilities, the Commission considered its 2010 Water Action Plan, examined water forecasting and evaluated low-income water assistance programs, among other things.  In D.20-</w:t>
      </w:r>
      <w:r w:rsidR="00C46780">
        <w:rPr>
          <w:szCs w:val="26"/>
        </w:rPr>
        <w:t>08-047</w:t>
      </w:r>
      <w:r>
        <w:rPr>
          <w:szCs w:val="26"/>
        </w:rPr>
        <w:t xml:space="preserve"> </w:t>
      </w:r>
      <w:r w:rsidRPr="00D95252">
        <w:rPr>
          <w:szCs w:val="26"/>
        </w:rPr>
        <w:t>issued in that rulemaking, among other things, the Commission ordered that Class A water utilities should no longer propose WRAMs in their subsequent GRCs but could propose M-WRAMs.</w:t>
      </w:r>
      <w:r w:rsidR="00254FFD">
        <w:rPr>
          <w:rStyle w:val="FootnoteReference"/>
          <w:szCs w:val="26"/>
        </w:rPr>
        <w:footnoteReference w:id="11"/>
      </w:r>
    </w:p>
    <w:p w:rsidR="00457A65" w:rsidP="00457A65" w:rsidRDefault="00457A65" w14:paraId="5B23F456" w14:textId="14560C69">
      <w:pPr>
        <w:pStyle w:val="BodyText"/>
        <w:ind w:firstLine="1440"/>
        <w:rPr>
          <w:szCs w:val="26"/>
        </w:rPr>
      </w:pPr>
      <w:r w:rsidRPr="00D95252">
        <w:rPr>
          <w:szCs w:val="26"/>
        </w:rPr>
        <w:lastRenderedPageBreak/>
        <w:t>SB 1469 was signed by the Governor on September 30, 2022.</w:t>
      </w:r>
      <w:r>
        <w:rPr>
          <w:rStyle w:val="FootnoteReference"/>
          <w:szCs w:val="26"/>
        </w:rPr>
        <w:footnoteReference w:id="12"/>
      </w:r>
      <w:r w:rsidRPr="00D95252">
        <w:rPr>
          <w:szCs w:val="26"/>
        </w:rPr>
        <w:t xml:space="preserve">  SB 1469 effectively overturned D.20-</w:t>
      </w:r>
      <w:r>
        <w:rPr>
          <w:szCs w:val="26"/>
        </w:rPr>
        <w:t>08-047</w:t>
      </w:r>
      <w:r w:rsidRPr="00D95252">
        <w:rPr>
          <w:szCs w:val="26"/>
        </w:rPr>
        <w:t xml:space="preserve">’s elimination of WRAM, requiring that “the commission shall consider, and may authorize, the implementation of a mechanism that separates the water corporation’s revenues and its water sales, commonly referred to as a </w:t>
      </w:r>
      <w:r>
        <w:rPr>
          <w:szCs w:val="26"/>
        </w:rPr>
        <w:t>‘</w:t>
      </w:r>
      <w:r w:rsidRPr="00D95252">
        <w:rPr>
          <w:szCs w:val="26"/>
        </w:rPr>
        <w:t>decoupling mechanism.</w:t>
      </w:r>
      <w:r>
        <w:rPr>
          <w:szCs w:val="26"/>
        </w:rPr>
        <w:t>’</w:t>
      </w:r>
      <w:r w:rsidRPr="00D95252">
        <w:rPr>
          <w:szCs w:val="26"/>
        </w:rPr>
        <w:t>”</w:t>
      </w:r>
      <w:r>
        <w:rPr>
          <w:rStyle w:val="FootnoteReference"/>
          <w:szCs w:val="26"/>
        </w:rPr>
        <w:footnoteReference w:id="13"/>
      </w:r>
      <w:r>
        <w:rPr>
          <w:szCs w:val="26"/>
        </w:rPr>
        <w:t xml:space="preserve"> </w:t>
      </w:r>
    </w:p>
    <w:p w:rsidR="00E97059" w:rsidP="00E97059" w:rsidRDefault="00D95252" w14:paraId="3A3F33F3" w14:textId="5AC7407F">
      <w:pPr>
        <w:pStyle w:val="BodyText"/>
        <w:ind w:firstLine="1440"/>
        <w:rPr>
          <w:szCs w:val="26"/>
        </w:rPr>
      </w:pPr>
      <w:r w:rsidRPr="00D95252">
        <w:rPr>
          <w:szCs w:val="26"/>
        </w:rPr>
        <w:t>On August 14, 2023, GSW filed Application (A.)</w:t>
      </w:r>
      <w:r w:rsidR="00874AA9">
        <w:rPr>
          <w:szCs w:val="26"/>
        </w:rPr>
        <w:t xml:space="preserve"> </w:t>
      </w:r>
      <w:r w:rsidRPr="00D95252">
        <w:rPr>
          <w:szCs w:val="26"/>
        </w:rPr>
        <w:t xml:space="preserve">23-08-010, its GRC application.  The Commission held a telephonic prehearing conference on October 27, </w:t>
      </w:r>
      <w:r w:rsidRPr="00D95252" w:rsidR="00966C93">
        <w:rPr>
          <w:szCs w:val="26"/>
        </w:rPr>
        <w:t>2023,</w:t>
      </w:r>
      <w:r w:rsidRPr="00D95252">
        <w:rPr>
          <w:szCs w:val="26"/>
        </w:rPr>
        <w:t xml:space="preserve"> to determine the schedule and scope of the proceeding.  On January 4, 2024, Commissioner Shiroma issued </w:t>
      </w:r>
      <w:r w:rsidR="000D4F68">
        <w:rPr>
          <w:szCs w:val="26"/>
        </w:rPr>
        <w:t xml:space="preserve">the </w:t>
      </w:r>
      <w:r w:rsidRPr="00D95252">
        <w:rPr>
          <w:szCs w:val="26"/>
        </w:rPr>
        <w:t>Assigned Commissioner’s Scoping Memo and Ruling (Scoping Memo).  On June 13, 2024, the Commission held a remote evidentiary hearing</w:t>
      </w:r>
      <w:r w:rsidR="004C2C55">
        <w:rPr>
          <w:szCs w:val="26"/>
        </w:rPr>
        <w:t>.</w:t>
      </w:r>
    </w:p>
    <w:p w:rsidR="00D95252" w:rsidP="00D95252" w:rsidRDefault="00D95252" w14:paraId="195A0D25" w14:textId="2560B619">
      <w:pPr>
        <w:pStyle w:val="BodyText"/>
        <w:ind w:firstLine="1440"/>
        <w:rPr>
          <w:szCs w:val="26"/>
        </w:rPr>
      </w:pPr>
      <w:r w:rsidRPr="00D95252">
        <w:rPr>
          <w:szCs w:val="26"/>
        </w:rPr>
        <w:t>On July 8, 2024, the California Supreme Court issued a decision finding that the elimination of WRAM from subsequent GRCs was outside the scope of R.17-06-024.</w:t>
      </w:r>
      <w:r>
        <w:rPr>
          <w:rStyle w:val="FootnoteReference"/>
          <w:szCs w:val="26"/>
        </w:rPr>
        <w:footnoteReference w:id="14"/>
      </w:r>
      <w:r w:rsidRPr="00D95252">
        <w:rPr>
          <w:szCs w:val="26"/>
        </w:rPr>
        <w:t xml:space="preserve">   The Court set aside that Commission order, as well as “the accompanying findings and conclusions.”</w:t>
      </w:r>
      <w:r w:rsidRPr="00D95252">
        <w:rPr>
          <w:rStyle w:val="FootnoteReference"/>
          <w:szCs w:val="26"/>
        </w:rPr>
        <w:t xml:space="preserve"> </w:t>
      </w:r>
      <w:r>
        <w:rPr>
          <w:rStyle w:val="FootnoteReference"/>
          <w:szCs w:val="26"/>
        </w:rPr>
        <w:footnoteReference w:id="15"/>
      </w:r>
      <w:r w:rsidRPr="00795FF0">
        <w:rPr>
          <w:szCs w:val="26"/>
        </w:rPr>
        <w:t xml:space="preserve"> </w:t>
      </w:r>
      <w:r>
        <w:rPr>
          <w:szCs w:val="26"/>
        </w:rPr>
        <w:t xml:space="preserve"> </w:t>
      </w:r>
      <w:r w:rsidRPr="00D95252">
        <w:rPr>
          <w:szCs w:val="26"/>
        </w:rPr>
        <w:t>As the Court noted, the case before it was only procedural, it did not</w:t>
      </w:r>
      <w:r>
        <w:rPr>
          <w:szCs w:val="26"/>
        </w:rPr>
        <w:t xml:space="preserve"> </w:t>
      </w:r>
      <w:r w:rsidRPr="00D95252">
        <w:rPr>
          <w:szCs w:val="26"/>
        </w:rPr>
        <w:t>concern the substance of the Commission’s order eliminating WRAM</w:t>
      </w:r>
      <w:r w:rsidR="00795FF0">
        <w:rPr>
          <w:szCs w:val="26"/>
        </w:rPr>
        <w:t>.</w:t>
      </w:r>
      <w:bookmarkStart w:name="_Hlk194931190" w:id="5"/>
      <w:r w:rsidR="00795FF0">
        <w:rPr>
          <w:rStyle w:val="FootnoteReference"/>
          <w:szCs w:val="26"/>
        </w:rPr>
        <w:footnoteReference w:id="16"/>
      </w:r>
      <w:bookmarkEnd w:id="5"/>
    </w:p>
    <w:p w:rsidR="00A84C08" w:rsidP="00001A59" w:rsidRDefault="00001A59" w14:paraId="568D8359" w14:textId="4C30F3B5">
      <w:pPr>
        <w:pStyle w:val="BodyText"/>
        <w:ind w:firstLine="1440"/>
        <w:rPr>
          <w:szCs w:val="26"/>
        </w:rPr>
      </w:pPr>
      <w:r w:rsidRPr="00001A59">
        <w:rPr>
          <w:szCs w:val="26"/>
        </w:rPr>
        <w:t>On February 3, 2025, the Commission issued the Decision.  Much of the GRC</w:t>
      </w:r>
      <w:r w:rsidR="00426CC0">
        <w:rPr>
          <w:szCs w:val="26"/>
        </w:rPr>
        <w:t>, not at issue here,</w:t>
      </w:r>
      <w:r w:rsidRPr="00001A59">
        <w:rPr>
          <w:szCs w:val="26"/>
        </w:rPr>
        <w:t xml:space="preserve"> was resolved by a Settlement Agreement between GSW and the Public Advocates Office (Cal Advocates).</w:t>
      </w:r>
      <w:r>
        <w:rPr>
          <w:rStyle w:val="FootnoteReference"/>
          <w:szCs w:val="26"/>
        </w:rPr>
        <w:footnoteReference w:id="17"/>
      </w:r>
      <w:r w:rsidRPr="00001A59">
        <w:rPr>
          <w:szCs w:val="26"/>
        </w:rPr>
        <w:t xml:space="preserve">  GSW filed its </w:t>
      </w:r>
      <w:r>
        <w:rPr>
          <w:szCs w:val="26"/>
        </w:rPr>
        <w:t>application for rehearing</w:t>
      </w:r>
      <w:r w:rsidRPr="00001A59">
        <w:rPr>
          <w:szCs w:val="26"/>
        </w:rPr>
        <w:t xml:space="preserve"> on March 5, 2015.  On March 20, 2025, Cal Advocates, the California Water Association (CWA)</w:t>
      </w:r>
      <w:r w:rsidR="001E491E">
        <w:rPr>
          <w:szCs w:val="26"/>
        </w:rPr>
        <w:t>,</w:t>
      </w:r>
      <w:r w:rsidRPr="00001A59">
        <w:rPr>
          <w:szCs w:val="26"/>
        </w:rPr>
        <w:t xml:space="preserve"> and the National Association of Water Companies (NAWC) filed responses to the </w:t>
      </w:r>
      <w:r>
        <w:rPr>
          <w:szCs w:val="26"/>
        </w:rPr>
        <w:t>application for rehearing</w:t>
      </w:r>
      <w:r w:rsidRPr="00001A59">
        <w:rPr>
          <w:szCs w:val="26"/>
        </w:rPr>
        <w:t xml:space="preserve">.  Cal Advocates </w:t>
      </w:r>
      <w:r>
        <w:rPr>
          <w:szCs w:val="26"/>
        </w:rPr>
        <w:t xml:space="preserve">generally </w:t>
      </w:r>
      <w:r w:rsidRPr="00001A59">
        <w:rPr>
          <w:szCs w:val="26"/>
        </w:rPr>
        <w:t xml:space="preserve">opposed </w:t>
      </w:r>
      <w:r>
        <w:rPr>
          <w:szCs w:val="26"/>
        </w:rPr>
        <w:t>rehearing</w:t>
      </w:r>
      <w:r w:rsidRPr="00001A59">
        <w:rPr>
          <w:szCs w:val="26"/>
        </w:rPr>
        <w:t xml:space="preserve">, </w:t>
      </w:r>
      <w:r>
        <w:rPr>
          <w:szCs w:val="26"/>
        </w:rPr>
        <w:t xml:space="preserve">while </w:t>
      </w:r>
      <w:r w:rsidRPr="00001A59">
        <w:rPr>
          <w:szCs w:val="26"/>
        </w:rPr>
        <w:t xml:space="preserve">CWA and NAWC supported </w:t>
      </w:r>
      <w:r>
        <w:rPr>
          <w:szCs w:val="26"/>
        </w:rPr>
        <w:t>rehearing</w:t>
      </w:r>
      <w:r w:rsidRPr="00795FF0" w:rsidR="00795FF0">
        <w:rPr>
          <w:szCs w:val="26"/>
        </w:rPr>
        <w:t>.</w:t>
      </w:r>
    </w:p>
    <w:p w:rsidRPr="00A712BF" w:rsidR="005128EF" w:rsidP="005128EF" w:rsidRDefault="005128EF" w14:paraId="22CADCB7" w14:textId="77777777">
      <w:pPr>
        <w:pStyle w:val="Heading1"/>
      </w:pPr>
      <w:r>
        <w:lastRenderedPageBreak/>
        <w:t>REHEARING STANDARD</w:t>
      </w:r>
    </w:p>
    <w:p w:rsidR="005128EF" w:rsidP="005128EF" w:rsidRDefault="005128EF" w14:paraId="501E9F05" w14:textId="7A40C6C6">
      <w:pPr>
        <w:pStyle w:val="BodyText"/>
        <w:ind w:firstLine="1440"/>
        <w:rPr>
          <w:szCs w:val="26"/>
        </w:rPr>
      </w:pPr>
      <w:r>
        <w:rPr>
          <w:szCs w:val="26"/>
        </w:rPr>
        <w:t xml:space="preserve"> </w:t>
      </w:r>
      <w:r w:rsidRPr="0088437F">
        <w:rPr>
          <w:szCs w:val="26"/>
        </w:rPr>
        <w:t>“The purpose of an application for rehearing is to alert the Commission to a</w:t>
      </w:r>
      <w:r>
        <w:rPr>
          <w:szCs w:val="26"/>
        </w:rPr>
        <w:t xml:space="preserve"> </w:t>
      </w:r>
      <w:r w:rsidRPr="0088437F">
        <w:rPr>
          <w:szCs w:val="26"/>
        </w:rPr>
        <w:t>legal error, so that the Commission may correct it expeditiously.”</w:t>
      </w:r>
      <w:r w:rsidR="00F1181B">
        <w:rPr>
          <w:rStyle w:val="FootnoteReference"/>
          <w:szCs w:val="26"/>
        </w:rPr>
        <w:footnoteReference w:id="18"/>
      </w:r>
      <w:r>
        <w:rPr>
          <w:szCs w:val="26"/>
        </w:rPr>
        <w:t xml:space="preserve">  </w:t>
      </w:r>
      <w:r w:rsidRPr="0088437F">
        <w:rPr>
          <w:szCs w:val="26"/>
        </w:rPr>
        <w:t>An application for</w:t>
      </w:r>
      <w:r>
        <w:rPr>
          <w:szCs w:val="26"/>
        </w:rPr>
        <w:t xml:space="preserve"> </w:t>
      </w:r>
      <w:r w:rsidRPr="0088437F">
        <w:rPr>
          <w:szCs w:val="26"/>
        </w:rPr>
        <w:t>rehearing should not “relitigate issues already determined by the Commission” or seek</w:t>
      </w:r>
      <w:r>
        <w:rPr>
          <w:szCs w:val="26"/>
        </w:rPr>
        <w:t xml:space="preserve"> </w:t>
      </w:r>
      <w:r w:rsidRPr="0088437F">
        <w:rPr>
          <w:szCs w:val="26"/>
        </w:rPr>
        <w:t>“to reweigh the evidence.”</w:t>
      </w:r>
      <w:r>
        <w:rPr>
          <w:rStyle w:val="FootnoteReference"/>
          <w:szCs w:val="26"/>
        </w:rPr>
        <w:footnoteReference w:id="19"/>
      </w:r>
      <w:r>
        <w:rPr>
          <w:szCs w:val="26"/>
        </w:rPr>
        <w:t xml:space="preserve">  </w:t>
      </w:r>
      <w:r w:rsidRPr="0088437F">
        <w:rPr>
          <w:szCs w:val="26"/>
        </w:rPr>
        <w:t>The rehearing applicant bears the “burden of proving legal</w:t>
      </w:r>
      <w:r>
        <w:rPr>
          <w:szCs w:val="26"/>
        </w:rPr>
        <w:t xml:space="preserve"> </w:t>
      </w:r>
      <w:r w:rsidRPr="0088437F">
        <w:rPr>
          <w:szCs w:val="26"/>
        </w:rPr>
        <w:t>error.</w:t>
      </w:r>
      <w:r>
        <w:rPr>
          <w:szCs w:val="26"/>
        </w:rPr>
        <w:t>”</w:t>
      </w:r>
      <w:r>
        <w:rPr>
          <w:rStyle w:val="FootnoteReference"/>
          <w:szCs w:val="26"/>
        </w:rPr>
        <w:footnoteReference w:id="20"/>
      </w:r>
      <w:r>
        <w:rPr>
          <w:szCs w:val="26"/>
        </w:rPr>
        <w:t xml:space="preserve">  </w:t>
      </w:r>
    </w:p>
    <w:p w:rsidR="007705CE" w:rsidP="00DE7B11" w:rsidRDefault="00F97E84" w14:paraId="43835B8D" w14:textId="51F2E3A3">
      <w:pPr>
        <w:pStyle w:val="Heading1"/>
        <w:rPr>
          <w:szCs w:val="26"/>
        </w:rPr>
      </w:pPr>
      <w:r w:rsidRPr="00884697">
        <w:rPr>
          <w:szCs w:val="26"/>
        </w:rPr>
        <w:t>DISCUSSION</w:t>
      </w:r>
    </w:p>
    <w:p w:rsidRPr="00884697" w:rsidR="00DB42E3" w:rsidP="00DB42E3" w:rsidRDefault="00AA5E4D" w14:paraId="116452AD" w14:textId="3624A8F8">
      <w:pPr>
        <w:pStyle w:val="Heading2"/>
      </w:pPr>
      <w:r>
        <w:t>The Decision Did Not Err in Denying the WCAP</w:t>
      </w:r>
    </w:p>
    <w:p w:rsidRPr="006959D0" w:rsidR="00254FFD" w:rsidP="000327BC" w:rsidRDefault="00470FF6" w14:paraId="4931F3C8" w14:textId="05334847">
      <w:pPr>
        <w:pStyle w:val="BodyText10"/>
        <w:ind w:firstLine="1440"/>
        <w:rPr>
          <w:szCs w:val="26"/>
        </w:rPr>
      </w:pPr>
      <w:r>
        <w:rPr>
          <w:szCs w:val="26"/>
        </w:rPr>
        <w:t xml:space="preserve">GSW advances several arguments against the Decision’s Ordering Paragraph </w:t>
      </w:r>
      <w:r w:rsidR="00EA0667">
        <w:rPr>
          <w:szCs w:val="26"/>
        </w:rPr>
        <w:t xml:space="preserve">(OP) </w:t>
      </w:r>
      <w:r>
        <w:rPr>
          <w:szCs w:val="26"/>
        </w:rPr>
        <w:t>4, which rejected GSW’s proposed WCAP and ordering a transition to an M-WRAM</w:t>
      </w:r>
      <w:r w:rsidR="00D41A45">
        <w:rPr>
          <w:szCs w:val="26"/>
        </w:rPr>
        <w:t>.</w:t>
      </w:r>
      <w:r>
        <w:rPr>
          <w:szCs w:val="26"/>
        </w:rPr>
        <w:t xml:space="preserve">  Each of GSW’s arguments are discussed below.</w:t>
      </w:r>
      <w:r w:rsidR="00254FFD">
        <w:rPr>
          <w:szCs w:val="26"/>
        </w:rPr>
        <w:t xml:space="preserve"> </w:t>
      </w:r>
    </w:p>
    <w:p w:rsidRPr="00884697" w:rsidR="00C01CC8" w:rsidP="00BF4217" w:rsidRDefault="00470FF6" w14:paraId="215C0E8F" w14:textId="5472FF5F">
      <w:pPr>
        <w:pStyle w:val="Heading3"/>
        <w:ind w:left="2160"/>
      </w:pPr>
      <w:r w:rsidRPr="00470FF6">
        <w:t>The Decision’s Denial of the WCAP Was Properly Supported by Evidence</w:t>
      </w:r>
      <w:r w:rsidR="003F5392">
        <w:t>.</w:t>
      </w:r>
    </w:p>
    <w:p w:rsidR="00227A76" w:rsidP="000327BC" w:rsidRDefault="00470FF6" w14:paraId="2D9C6D3D" w14:textId="364746A8">
      <w:pPr>
        <w:pStyle w:val="BodyText10"/>
        <w:ind w:firstLine="1440"/>
        <w:rPr>
          <w:szCs w:val="26"/>
        </w:rPr>
      </w:pPr>
      <w:bookmarkStart w:name="_Hlk103607812" w:id="6"/>
      <w:bookmarkStart w:name="_Hlk103607569" w:id="7"/>
      <w:bookmarkStart w:name="_Hlk147134300" w:id="8"/>
      <w:r w:rsidRPr="00470FF6">
        <w:rPr>
          <w:szCs w:val="26"/>
        </w:rPr>
        <w:t xml:space="preserve">GSW argues that the Commission’s denial of the WCAP is unlawful because it “ignores” record evidence; the </w:t>
      </w:r>
      <w:r>
        <w:rPr>
          <w:szCs w:val="26"/>
        </w:rPr>
        <w:t>application for rehearing</w:t>
      </w:r>
      <w:r w:rsidRPr="00470FF6">
        <w:rPr>
          <w:szCs w:val="26"/>
        </w:rPr>
        <w:t xml:space="preserve"> then restates at length much of the evidence GSW presented during the proceeding.</w:t>
      </w:r>
      <w:r>
        <w:rPr>
          <w:rStyle w:val="FootnoteReference"/>
          <w:szCs w:val="26"/>
        </w:rPr>
        <w:footnoteReference w:id="21"/>
      </w:r>
      <w:r w:rsidRPr="00470FF6">
        <w:rPr>
          <w:szCs w:val="26"/>
        </w:rPr>
        <w:t xml:space="preserve">  GSW </w:t>
      </w:r>
      <w:r>
        <w:rPr>
          <w:szCs w:val="26"/>
        </w:rPr>
        <w:t xml:space="preserve">includes this </w:t>
      </w:r>
      <w:r w:rsidRPr="00470FF6">
        <w:rPr>
          <w:szCs w:val="26"/>
        </w:rPr>
        <w:t xml:space="preserve">section of its </w:t>
      </w:r>
      <w:r>
        <w:rPr>
          <w:szCs w:val="26"/>
        </w:rPr>
        <w:t xml:space="preserve">application for rehearing </w:t>
      </w:r>
      <w:r w:rsidRPr="00470FF6">
        <w:rPr>
          <w:szCs w:val="26"/>
        </w:rPr>
        <w:t xml:space="preserve">with many statutory and legal citations, but in essence, it </w:t>
      </w:r>
      <w:r>
        <w:rPr>
          <w:szCs w:val="26"/>
        </w:rPr>
        <w:t>seek</w:t>
      </w:r>
      <w:r w:rsidRPr="00470FF6">
        <w:rPr>
          <w:szCs w:val="26"/>
        </w:rPr>
        <w:t>s to re-litigate the Commission’s policy decisions</w:t>
      </w:r>
      <w:r w:rsidR="00227A76">
        <w:rPr>
          <w:szCs w:val="26"/>
        </w:rPr>
        <w:t>.</w:t>
      </w:r>
    </w:p>
    <w:p w:rsidR="000B314C" w:rsidP="00E40131" w:rsidRDefault="00E40131" w14:paraId="779FC0AD" w14:textId="1A48136E">
      <w:pPr>
        <w:pStyle w:val="BodyText10"/>
        <w:ind w:firstLine="1440"/>
        <w:rPr>
          <w:szCs w:val="26"/>
        </w:rPr>
      </w:pPr>
      <w:r w:rsidRPr="00E40131">
        <w:rPr>
          <w:szCs w:val="26"/>
        </w:rPr>
        <w:t>The Commission need not re-weigh all the evidence in the proceeding, as that is not the purpose of an application for rehearing.</w:t>
      </w:r>
      <w:r>
        <w:rPr>
          <w:rStyle w:val="FootnoteReference"/>
          <w:szCs w:val="26"/>
        </w:rPr>
        <w:footnoteReference w:id="22"/>
      </w:r>
      <w:r w:rsidRPr="00E40131">
        <w:rPr>
          <w:szCs w:val="26"/>
        </w:rPr>
        <w:t xml:space="preserve">  In Sections 6.3 and 6.4 of the Decision, the Commission fully examined GSW’s Special Request 2, the implementation of the WCAP, as well as the use of a Sales Reconciliation Mechanism (SRM) to be used </w:t>
      </w:r>
      <w:r w:rsidRPr="00E40131">
        <w:rPr>
          <w:szCs w:val="26"/>
        </w:rPr>
        <w:lastRenderedPageBreak/>
        <w:t>in conjunction with the revenue mechanism.</w:t>
      </w:r>
      <w:r>
        <w:rPr>
          <w:rStyle w:val="FootnoteReference"/>
          <w:szCs w:val="26"/>
        </w:rPr>
        <w:footnoteReference w:id="23"/>
      </w:r>
      <w:r w:rsidRPr="00E40131">
        <w:rPr>
          <w:szCs w:val="26"/>
        </w:rPr>
        <w:t xml:space="preserve">  The Commission did not list or discuss every piece of evidence that GSW presented, but </w:t>
      </w:r>
      <w:r w:rsidRPr="000D4F68" w:rsidR="000D4F68">
        <w:rPr>
          <w:szCs w:val="26"/>
        </w:rPr>
        <w:t>there is no legal requirement to do so</w:t>
      </w:r>
      <w:r w:rsidR="000D4F68">
        <w:rPr>
          <w:szCs w:val="26"/>
        </w:rPr>
        <w:t>.  The Decision</w:t>
      </w:r>
      <w:r w:rsidRPr="00E40131">
        <w:rPr>
          <w:szCs w:val="26"/>
        </w:rPr>
        <w:t xml:space="preserve"> provided a good review of GSW’s arguments and evidence in favor of the WCAP.  The Commission did not “ignore” GSW’s extensive evidence, it </w:t>
      </w:r>
      <w:r>
        <w:rPr>
          <w:szCs w:val="26"/>
        </w:rPr>
        <w:t xml:space="preserve">was </w:t>
      </w:r>
      <w:r w:rsidRPr="00E40131">
        <w:rPr>
          <w:szCs w:val="26"/>
        </w:rPr>
        <w:t xml:space="preserve">simply </w:t>
      </w:r>
      <w:r>
        <w:rPr>
          <w:szCs w:val="26"/>
        </w:rPr>
        <w:t xml:space="preserve">persuaded </w:t>
      </w:r>
      <w:r w:rsidRPr="00E40131">
        <w:rPr>
          <w:szCs w:val="26"/>
        </w:rPr>
        <w:t xml:space="preserve">more </w:t>
      </w:r>
      <w:r>
        <w:rPr>
          <w:szCs w:val="26"/>
        </w:rPr>
        <w:t>by</w:t>
      </w:r>
      <w:r w:rsidRPr="00E40131">
        <w:rPr>
          <w:szCs w:val="26"/>
        </w:rPr>
        <w:t xml:space="preserve"> Cal Advocates’ arguments and evidence in favor of a M-WRAM.  </w:t>
      </w:r>
    </w:p>
    <w:p w:rsidRPr="006959D0" w:rsidR="00E8675B" w:rsidP="00E40131" w:rsidRDefault="009C1783" w14:paraId="49E6D369" w14:textId="27953DA1">
      <w:pPr>
        <w:pStyle w:val="BodyText10"/>
        <w:ind w:firstLine="1440"/>
        <w:rPr>
          <w:szCs w:val="26"/>
        </w:rPr>
      </w:pPr>
      <w:r>
        <w:rPr>
          <w:szCs w:val="26"/>
        </w:rPr>
        <w:t>S</w:t>
      </w:r>
      <w:r w:rsidR="00195FD6">
        <w:rPr>
          <w:szCs w:val="26"/>
        </w:rPr>
        <w:t>ubstantial evidence supports the Commission</w:t>
      </w:r>
      <w:r w:rsidR="00F32AEE">
        <w:rPr>
          <w:szCs w:val="26"/>
        </w:rPr>
        <w:t>’</w:t>
      </w:r>
      <w:r w:rsidR="00195FD6">
        <w:rPr>
          <w:szCs w:val="26"/>
        </w:rPr>
        <w:t>s findings of fact and conclusions of law, and OP 4.</w:t>
      </w:r>
      <w:r w:rsidR="00195FD6">
        <w:rPr>
          <w:rStyle w:val="FootnoteReference"/>
          <w:szCs w:val="26"/>
        </w:rPr>
        <w:footnoteReference w:id="24"/>
      </w:r>
      <w:r w:rsidR="00195FD6">
        <w:rPr>
          <w:szCs w:val="26"/>
        </w:rPr>
        <w:t xml:space="preserve">  </w:t>
      </w:r>
      <w:r w:rsidRPr="00E40131" w:rsidR="00E40131">
        <w:rPr>
          <w:szCs w:val="26"/>
        </w:rPr>
        <w:t>There is no legal deficiency</w:t>
      </w:r>
      <w:r w:rsidR="00E40131">
        <w:rPr>
          <w:szCs w:val="26"/>
        </w:rPr>
        <w:t xml:space="preserve"> in the Commission’s consideration of GSW’</w:t>
      </w:r>
      <w:bookmarkStart w:name="_Hlk148366549" w:id="9"/>
      <w:r w:rsidR="00E40131">
        <w:rPr>
          <w:szCs w:val="26"/>
        </w:rPr>
        <w:t>s evidence</w:t>
      </w:r>
      <w:r w:rsidR="00E8675B">
        <w:rPr>
          <w:szCs w:val="26"/>
        </w:rPr>
        <w:t>.</w:t>
      </w:r>
    </w:p>
    <w:p w:rsidRPr="00884697" w:rsidR="00BD5FF7" w:rsidP="00BF4217" w:rsidRDefault="00E8675B" w14:paraId="648A6630" w14:textId="66206677">
      <w:pPr>
        <w:pStyle w:val="Heading3"/>
        <w:ind w:left="2160"/>
      </w:pPr>
      <w:r>
        <w:t xml:space="preserve">The </w:t>
      </w:r>
      <w:r w:rsidRPr="00E40131" w:rsidR="00E40131">
        <w:t>Denial of the WCAP Was Properly Supported by Findings of Fact and Conclusions of Law</w:t>
      </w:r>
      <w:r>
        <w:t>.</w:t>
      </w:r>
      <w:r w:rsidR="00BD5FF7">
        <w:t xml:space="preserve"> </w:t>
      </w:r>
    </w:p>
    <w:p w:rsidR="005F2CB5" w:rsidP="00BD5FF7" w:rsidRDefault="00E40131" w14:paraId="50CB6918" w14:textId="2420D7F2">
      <w:pPr>
        <w:pStyle w:val="BodyText10"/>
        <w:ind w:firstLine="1440"/>
        <w:rPr>
          <w:szCs w:val="26"/>
        </w:rPr>
      </w:pPr>
      <w:r w:rsidRPr="00E40131">
        <w:rPr>
          <w:szCs w:val="26"/>
        </w:rPr>
        <w:t>As GSW argues, a Commission order must be supported by findings of fact and conclusions of law to “afford a rational basis for judicial review and assist the reviewing court to ascertain the principles relied upon by the commission and to determine whether it acted arbitrarily” as well as to “assist others planning activities involving similar questions . . .”</w:t>
      </w:r>
      <w:r w:rsidRPr="00AE0433">
        <w:rPr>
          <w:rStyle w:val="FootnoteReference"/>
          <w:szCs w:val="26"/>
        </w:rPr>
        <w:footnoteReference w:id="25"/>
      </w:r>
      <w:r w:rsidRPr="00E40131">
        <w:rPr>
          <w:szCs w:val="26"/>
        </w:rPr>
        <w:t xml:space="preserve">  </w:t>
      </w:r>
      <w:r w:rsidR="0030590D">
        <w:rPr>
          <w:szCs w:val="26"/>
        </w:rPr>
        <w:t>Pursuant to Public Utilities Code section 1705, s</w:t>
      </w:r>
      <w:r w:rsidRPr="00E40131">
        <w:rPr>
          <w:szCs w:val="26"/>
        </w:rPr>
        <w:t xml:space="preserve">uch findings of fact and conclusions of law </w:t>
      </w:r>
      <w:r w:rsidR="0030590D">
        <w:rPr>
          <w:szCs w:val="26"/>
        </w:rPr>
        <w:t>must</w:t>
      </w:r>
      <w:r w:rsidRPr="00E40131">
        <w:rPr>
          <w:szCs w:val="26"/>
        </w:rPr>
        <w:t xml:space="preserve"> be provided for all issues material to the decision</w:t>
      </w:r>
      <w:r>
        <w:rPr>
          <w:szCs w:val="26"/>
        </w:rPr>
        <w:t>.</w:t>
      </w:r>
      <w:bookmarkStart w:name="_Hlk194935057" w:id="11"/>
      <w:r w:rsidRPr="00AE0433">
        <w:rPr>
          <w:rStyle w:val="FootnoteReference"/>
          <w:szCs w:val="26"/>
        </w:rPr>
        <w:footnoteReference w:id="26"/>
      </w:r>
      <w:bookmarkEnd w:id="11"/>
      <w:r w:rsidRPr="00E40131">
        <w:rPr>
          <w:szCs w:val="26"/>
        </w:rPr>
        <w:t xml:space="preserve">  </w:t>
      </w:r>
    </w:p>
    <w:p w:rsidR="00A226EB" w:rsidP="00BD5FF7" w:rsidRDefault="009C1783" w14:paraId="59ACB370" w14:textId="432F85C8">
      <w:pPr>
        <w:pStyle w:val="BodyText10"/>
        <w:ind w:firstLine="1440"/>
        <w:rPr>
          <w:szCs w:val="26"/>
        </w:rPr>
      </w:pPr>
      <w:r>
        <w:rPr>
          <w:szCs w:val="26"/>
        </w:rPr>
        <w:t>T</w:t>
      </w:r>
      <w:r w:rsidRPr="00E40131" w:rsidR="00E40131">
        <w:rPr>
          <w:szCs w:val="26"/>
        </w:rPr>
        <w:t xml:space="preserve">he Decision properly supported </w:t>
      </w:r>
      <w:r w:rsidR="005F2CB5">
        <w:rPr>
          <w:szCs w:val="26"/>
        </w:rPr>
        <w:t xml:space="preserve">OP 4 </w:t>
      </w:r>
      <w:r w:rsidRPr="00E40131" w:rsidR="00E40131">
        <w:rPr>
          <w:szCs w:val="26"/>
        </w:rPr>
        <w:t>with findings of fact and conclusions of law.</w:t>
      </w:r>
      <w:r w:rsidRPr="00AE0433" w:rsidR="00E40131">
        <w:rPr>
          <w:rStyle w:val="FootnoteReference"/>
          <w:szCs w:val="26"/>
        </w:rPr>
        <w:footnoteReference w:id="27"/>
      </w:r>
      <w:r w:rsidR="00E40131">
        <w:rPr>
          <w:szCs w:val="26"/>
        </w:rPr>
        <w:t xml:space="preserve"> </w:t>
      </w:r>
      <w:r w:rsidRPr="00E40131" w:rsidR="00E40131">
        <w:rPr>
          <w:szCs w:val="26"/>
        </w:rPr>
        <w:t xml:space="preserve"> The</w:t>
      </w:r>
      <w:r w:rsidR="002E555E">
        <w:rPr>
          <w:szCs w:val="26"/>
        </w:rPr>
        <w:t>se findings of fact and conclusions of law are</w:t>
      </w:r>
      <w:r w:rsidRPr="00E40131" w:rsidR="00E40131">
        <w:rPr>
          <w:szCs w:val="26"/>
        </w:rPr>
        <w:t xml:space="preserve"> much more </w:t>
      </w:r>
      <w:r w:rsidR="002E555E">
        <w:rPr>
          <w:szCs w:val="26"/>
        </w:rPr>
        <w:t xml:space="preserve">substantive </w:t>
      </w:r>
      <w:r w:rsidRPr="00E40131" w:rsidR="00E40131">
        <w:rPr>
          <w:szCs w:val="26"/>
        </w:rPr>
        <w:t>than the “bare-bones conclusory findings . . . held insufficient” in other cases</w:t>
      </w:r>
      <w:r w:rsidR="002E555E">
        <w:rPr>
          <w:szCs w:val="26"/>
        </w:rPr>
        <w:t>.</w:t>
      </w:r>
      <w:r w:rsidRPr="00AE0433" w:rsidR="002E555E">
        <w:rPr>
          <w:rStyle w:val="FootnoteReference"/>
          <w:szCs w:val="26"/>
        </w:rPr>
        <w:footnoteReference w:id="28"/>
      </w:r>
      <w:r w:rsidR="006B5A8E">
        <w:rPr>
          <w:szCs w:val="26"/>
        </w:rPr>
        <w:t xml:space="preserve">  The Decision and OP 4 are well supported.</w:t>
      </w:r>
    </w:p>
    <w:p w:rsidR="003B46D4" w:rsidP="003B46D4" w:rsidRDefault="002E555E" w14:paraId="4FC2317C" w14:textId="5122A23D">
      <w:pPr>
        <w:pStyle w:val="BodyText10"/>
        <w:ind w:firstLine="1440"/>
        <w:rPr>
          <w:szCs w:val="26"/>
        </w:rPr>
      </w:pPr>
      <w:r w:rsidRPr="002E555E">
        <w:rPr>
          <w:szCs w:val="26"/>
        </w:rPr>
        <w:lastRenderedPageBreak/>
        <w:t>GSW also claims that Finding of Fact 16: “The M-WRAM encourages conservation through tiered rates;” and Finding of Fact 13: “The WRAM neither encourages nor discourages conservation efforts on the part of the utility;” are contradictory.  GSW argues that WCAP also utilizes the same tiered rates as M-WRAM, therefore the two findings are contradictory and constitute legal error.</w:t>
      </w:r>
      <w:r w:rsidRPr="00AE0433">
        <w:rPr>
          <w:rStyle w:val="FootnoteReference"/>
          <w:szCs w:val="26"/>
        </w:rPr>
        <w:footnoteReference w:id="29"/>
      </w:r>
      <w:r>
        <w:rPr>
          <w:szCs w:val="26"/>
        </w:rPr>
        <w:t xml:space="preserve">  </w:t>
      </w:r>
      <w:r w:rsidRPr="002E555E">
        <w:rPr>
          <w:szCs w:val="26"/>
        </w:rPr>
        <w:t>However, GSW provides no legal support for this argument, and the Decision explains why it rejects the purported conservation benefits of WRAM/WCAP</w:t>
      </w:r>
      <w:bookmarkStart w:name="_Hlk194935174" w:id="13"/>
      <w:r w:rsidR="00DC594C">
        <w:rPr>
          <w:szCs w:val="26"/>
        </w:rPr>
        <w:t>.</w:t>
      </w:r>
      <w:r w:rsidRPr="00AE0433" w:rsidR="00DC594C">
        <w:rPr>
          <w:rStyle w:val="FootnoteReference"/>
          <w:szCs w:val="26"/>
        </w:rPr>
        <w:footnoteReference w:id="30"/>
      </w:r>
      <w:bookmarkEnd w:id="13"/>
      <w:r w:rsidR="005F2CB5">
        <w:rPr>
          <w:szCs w:val="26"/>
        </w:rPr>
        <w:t xml:space="preserve">  </w:t>
      </w:r>
      <w:r w:rsidRPr="005F2CB5" w:rsidR="005F2CB5">
        <w:rPr>
          <w:szCs w:val="26"/>
        </w:rPr>
        <w:t>For example, the Decision cites Cal Advocates’ examination showing no significant difference in consumption between utilities with and without WRAM</w:t>
      </w:r>
      <w:r w:rsidR="008F64D8">
        <w:rPr>
          <w:szCs w:val="26"/>
        </w:rPr>
        <w:t>.</w:t>
      </w:r>
      <w:r w:rsidRPr="00AE0433" w:rsidR="008F64D8">
        <w:rPr>
          <w:rStyle w:val="FootnoteReference"/>
          <w:szCs w:val="26"/>
        </w:rPr>
        <w:footnoteReference w:id="31"/>
      </w:r>
      <w:r w:rsidR="008F64D8">
        <w:rPr>
          <w:szCs w:val="26"/>
        </w:rPr>
        <w:t xml:space="preserve">  </w:t>
      </w:r>
      <w:r w:rsidRPr="008F64D8" w:rsidR="008F64D8">
        <w:rPr>
          <w:szCs w:val="26"/>
        </w:rPr>
        <w:t>Moreover, the Decision explains how the M-WRAM</w:t>
      </w:r>
      <w:r w:rsidR="008F64D8">
        <w:rPr>
          <w:szCs w:val="26"/>
        </w:rPr>
        <w:t>, unlike the WRAM</w:t>
      </w:r>
      <w:r w:rsidRPr="008F64D8" w:rsidR="008F64D8">
        <w:rPr>
          <w:szCs w:val="26"/>
        </w:rPr>
        <w:t xml:space="preserve"> “provides a link between customer usage and utility revenue” and </w:t>
      </w:r>
      <w:r w:rsidR="008F64D8">
        <w:rPr>
          <w:szCs w:val="26"/>
        </w:rPr>
        <w:t xml:space="preserve">thus </w:t>
      </w:r>
      <w:r w:rsidRPr="008F64D8" w:rsidR="008F64D8">
        <w:rPr>
          <w:szCs w:val="26"/>
        </w:rPr>
        <w:t>better protects against a utility seeking greater revenue by encouraging consumption, as customers would be more impacted by higher bills if they consumed wastefully</w:t>
      </w:r>
      <w:r w:rsidR="008F64D8">
        <w:rPr>
          <w:szCs w:val="26"/>
        </w:rPr>
        <w:t>.</w:t>
      </w:r>
      <w:r w:rsidRPr="00AE0433" w:rsidR="008F64D8">
        <w:rPr>
          <w:rStyle w:val="FootnoteReference"/>
          <w:szCs w:val="26"/>
        </w:rPr>
        <w:footnoteReference w:id="32"/>
      </w:r>
      <w:r w:rsidR="008F64D8">
        <w:rPr>
          <w:szCs w:val="26"/>
        </w:rPr>
        <w:t xml:space="preserve">  The Decision is not contradictory.</w:t>
      </w:r>
    </w:p>
    <w:bookmarkEnd w:id="9"/>
    <w:p w:rsidRPr="00884697" w:rsidR="00B15213" w:rsidP="00BF4217" w:rsidRDefault="003B46D4" w14:paraId="2409753D" w14:textId="3550D3BD">
      <w:pPr>
        <w:pStyle w:val="Heading3"/>
        <w:ind w:left="2160"/>
      </w:pPr>
      <w:r w:rsidRPr="003B46D4">
        <w:t>SB 1469 Does Not Provide a Legal Basis to Overturn the Decision’s Rejection of WCAP</w:t>
      </w:r>
      <w:r w:rsidR="00B15213">
        <w:t>.</w:t>
      </w:r>
      <w:r w:rsidRPr="004E5F49" w:rsidR="00B15213">
        <w:t xml:space="preserve"> </w:t>
      </w:r>
    </w:p>
    <w:p w:rsidR="009419AB" w:rsidP="003B46D4" w:rsidRDefault="003B46D4" w14:paraId="6027D18C" w14:textId="236EE35D">
      <w:pPr>
        <w:pStyle w:val="BodyText10"/>
        <w:ind w:firstLine="1440"/>
        <w:rPr>
          <w:szCs w:val="26"/>
        </w:rPr>
      </w:pPr>
      <w:r w:rsidRPr="003B46D4">
        <w:rPr>
          <w:szCs w:val="26"/>
        </w:rPr>
        <w:t xml:space="preserve">GSW makes several arguments relying on SB 1469 to claim legal error in the order denying the WCAP.  SB 1469 states that the Commission “shall </w:t>
      </w:r>
      <w:proofErr w:type="gramStart"/>
      <w:r w:rsidRPr="003B46D4">
        <w:rPr>
          <w:szCs w:val="26"/>
        </w:rPr>
        <w:t>consider, and</w:t>
      </w:r>
      <w:proofErr w:type="gramEnd"/>
      <w:r w:rsidRPr="003B46D4">
        <w:rPr>
          <w:szCs w:val="26"/>
        </w:rPr>
        <w:t xml:space="preserve"> may authorize the implementation of” a decoupling mechanism </w:t>
      </w:r>
      <w:r w:rsidRPr="000D4F68" w:rsidR="000D4F68">
        <w:rPr>
          <w:szCs w:val="26"/>
        </w:rPr>
        <w:t>that separates water revenues and sales</w:t>
      </w:r>
      <w:r>
        <w:rPr>
          <w:szCs w:val="26"/>
        </w:rPr>
        <w:t>.</w:t>
      </w:r>
      <w:bookmarkStart w:name="_Hlk194935865" w:id="14"/>
      <w:r>
        <w:rPr>
          <w:rStyle w:val="FootnoteReference"/>
          <w:szCs w:val="26"/>
        </w:rPr>
        <w:footnoteReference w:id="33"/>
      </w:r>
      <w:bookmarkEnd w:id="14"/>
      <w:r w:rsidRPr="003B46D4">
        <w:rPr>
          <w:szCs w:val="26"/>
        </w:rPr>
        <w:t xml:space="preserve">  GSW does seem to recognize that SB 1649 does not </w:t>
      </w:r>
      <w:r w:rsidRPr="00966C93">
        <w:rPr>
          <w:szCs w:val="26"/>
        </w:rPr>
        <w:t xml:space="preserve">require </w:t>
      </w:r>
      <w:r w:rsidRPr="003B46D4">
        <w:rPr>
          <w:szCs w:val="26"/>
        </w:rPr>
        <w:t>that the Commission authorize a decoupling mechanism/WRAM.  Rather, GSW argues that  “[t]he Commission ignored extensive evidence of the merits of Golden State’s proposed WCAP</w:t>
      </w:r>
      <w:r>
        <w:rPr>
          <w:szCs w:val="26"/>
        </w:rPr>
        <w:t>,</w:t>
      </w:r>
      <w:r w:rsidRPr="003B46D4">
        <w:rPr>
          <w:szCs w:val="26"/>
        </w:rPr>
        <w:t>”</w:t>
      </w:r>
      <w:r w:rsidR="00475675">
        <w:rPr>
          <w:szCs w:val="26"/>
        </w:rPr>
        <w:t xml:space="preserve"> and</w:t>
      </w:r>
      <w:r w:rsidRPr="003B46D4">
        <w:rPr>
          <w:szCs w:val="26"/>
        </w:rPr>
        <w:t xml:space="preserve"> </w:t>
      </w:r>
      <w:r>
        <w:rPr>
          <w:szCs w:val="26"/>
        </w:rPr>
        <w:t>therefore</w:t>
      </w:r>
      <w:r w:rsidRPr="003B46D4">
        <w:rPr>
          <w:szCs w:val="26"/>
        </w:rPr>
        <w:t xml:space="preserve"> the Commission did not properly consider a decoupling </w:t>
      </w:r>
      <w:r w:rsidRPr="003B46D4">
        <w:rPr>
          <w:szCs w:val="26"/>
        </w:rPr>
        <w:lastRenderedPageBreak/>
        <w:t>mechanism as required by SB 1469.</w:t>
      </w:r>
      <w:r>
        <w:rPr>
          <w:rStyle w:val="FootnoteReference"/>
          <w:szCs w:val="26"/>
        </w:rPr>
        <w:footnoteReference w:id="34"/>
      </w:r>
      <w:r w:rsidRPr="003B46D4">
        <w:rPr>
          <w:szCs w:val="26"/>
        </w:rPr>
        <w:t xml:space="preserve">  However, as discussed in Section</w:t>
      </w:r>
      <w:r w:rsidR="00CA4F80">
        <w:rPr>
          <w:szCs w:val="26"/>
        </w:rPr>
        <w:t>s</w:t>
      </w:r>
      <w:r w:rsidRPr="003B46D4">
        <w:rPr>
          <w:szCs w:val="26"/>
        </w:rPr>
        <w:t xml:space="preserve"> </w:t>
      </w:r>
      <w:r w:rsidR="00EA3A61">
        <w:rPr>
          <w:szCs w:val="26"/>
        </w:rPr>
        <w:t>IV.A</w:t>
      </w:r>
      <w:r w:rsidR="00CA4F80">
        <w:rPr>
          <w:szCs w:val="26"/>
        </w:rPr>
        <w:t>.1 and IV.A.2</w:t>
      </w:r>
      <w:r w:rsidRPr="003B46D4">
        <w:rPr>
          <w:szCs w:val="26"/>
        </w:rPr>
        <w:t xml:space="preserve"> above, the Commission fully considered GSW’s proposed WCAP, but it decided that a</w:t>
      </w:r>
      <w:r>
        <w:rPr>
          <w:szCs w:val="26"/>
        </w:rPr>
        <w:t>n</w:t>
      </w:r>
      <w:r w:rsidRPr="003B46D4">
        <w:rPr>
          <w:szCs w:val="26"/>
        </w:rPr>
        <w:t xml:space="preserve"> M-WRAM was more appropriate.  Thus, the Commission met the requirements of Section </w:t>
      </w:r>
      <w:r w:rsidRPr="003B46D4" w:rsidR="000D4F68">
        <w:rPr>
          <w:szCs w:val="26"/>
        </w:rPr>
        <w:t>7</w:t>
      </w:r>
      <w:r w:rsidR="000D4F68">
        <w:rPr>
          <w:szCs w:val="26"/>
        </w:rPr>
        <w:t>2</w:t>
      </w:r>
      <w:r w:rsidRPr="003B46D4" w:rsidR="000D4F68">
        <w:rPr>
          <w:szCs w:val="26"/>
        </w:rPr>
        <w:t>7</w:t>
      </w:r>
      <w:r w:rsidRPr="003B46D4">
        <w:rPr>
          <w:szCs w:val="26"/>
        </w:rPr>
        <w:t>.5(d)(2)(A).</w:t>
      </w:r>
      <w:r w:rsidR="00EA3A61">
        <w:rPr>
          <w:rStyle w:val="FootnoteReference"/>
          <w:szCs w:val="26"/>
        </w:rPr>
        <w:footnoteReference w:id="35"/>
      </w:r>
      <w:r w:rsidRPr="003B46D4">
        <w:rPr>
          <w:szCs w:val="26"/>
        </w:rPr>
        <w:t xml:space="preserve">  GSW </w:t>
      </w:r>
      <w:r w:rsidR="00475675">
        <w:rPr>
          <w:szCs w:val="26"/>
        </w:rPr>
        <w:t xml:space="preserve">also </w:t>
      </w:r>
      <w:r w:rsidRPr="003B46D4">
        <w:rPr>
          <w:szCs w:val="26"/>
        </w:rPr>
        <w:t>claims that the Decision runs afoul of other requirements of SB 1469</w:t>
      </w:r>
      <w:r w:rsidR="00EA3A61">
        <w:rPr>
          <w:szCs w:val="26"/>
        </w:rPr>
        <w:t>.</w:t>
      </w:r>
      <w:r w:rsidR="006F6055">
        <w:rPr>
          <w:szCs w:val="26"/>
        </w:rPr>
        <w:t xml:space="preserve"> </w:t>
      </w:r>
    </w:p>
    <w:bookmarkEnd w:id="6"/>
    <w:bookmarkEnd w:id="7"/>
    <w:bookmarkEnd w:id="8"/>
    <w:p w:rsidRPr="00884697" w:rsidR="00BB768F" w:rsidP="009312A2" w:rsidRDefault="00EA3A61" w14:paraId="27E05B78" w14:textId="39D9EACD">
      <w:pPr>
        <w:pStyle w:val="Heading4"/>
      </w:pPr>
      <w:r>
        <w:t>The Decision Does Not Contradict the Legislative Findings of SB 1469</w:t>
      </w:r>
      <w:r w:rsidR="003F5392">
        <w:t>.</w:t>
      </w:r>
    </w:p>
    <w:p w:rsidRPr="00884697" w:rsidR="00863655" w:rsidP="00F25980" w:rsidRDefault="00863655" w14:paraId="4A95BA0C" w14:textId="0C604FD2">
      <w:pPr>
        <w:pStyle w:val="BodyText10"/>
        <w:ind w:firstLine="1440"/>
        <w:rPr>
          <w:szCs w:val="26"/>
        </w:rPr>
      </w:pPr>
      <w:r w:rsidRPr="00863655">
        <w:rPr>
          <w:szCs w:val="26"/>
        </w:rPr>
        <w:t>GSW argues that the Commission ignores and contradicts the “findings”</w:t>
      </w:r>
      <w:r w:rsidR="00F25980">
        <w:rPr>
          <w:szCs w:val="26"/>
        </w:rPr>
        <w:t xml:space="preserve"> </w:t>
      </w:r>
      <w:r w:rsidRPr="00863655">
        <w:rPr>
          <w:szCs w:val="26"/>
        </w:rPr>
        <w:t>that the Legislature included in SB 1469.</w:t>
      </w:r>
      <w:r w:rsidRPr="00AE0433">
        <w:rPr>
          <w:rStyle w:val="FootnoteReference"/>
          <w:szCs w:val="26"/>
        </w:rPr>
        <w:footnoteReference w:id="36"/>
      </w:r>
      <w:r>
        <w:rPr>
          <w:szCs w:val="26"/>
        </w:rPr>
        <w:t xml:space="preserve"> </w:t>
      </w:r>
      <w:r w:rsidRPr="00863655">
        <w:rPr>
          <w:szCs w:val="26"/>
        </w:rPr>
        <w:t xml:space="preserve"> However, the only legislative language that GSW discusses is not a legislative finding, </w:t>
      </w:r>
      <w:r>
        <w:rPr>
          <w:szCs w:val="26"/>
        </w:rPr>
        <w:t xml:space="preserve">rather </w:t>
      </w:r>
      <w:r w:rsidRPr="00863655">
        <w:rPr>
          <w:szCs w:val="26"/>
        </w:rPr>
        <w:t>it is an uncodified statement of legislative intent</w:t>
      </w:r>
      <w:r>
        <w:rPr>
          <w:szCs w:val="26"/>
        </w:rPr>
        <w:t>:</w:t>
      </w:r>
    </w:p>
    <w:p w:rsidRPr="0045620D" w:rsidR="00863655" w:rsidP="00203A22" w:rsidRDefault="00863655" w14:paraId="6D0F3EB7" w14:textId="14A0267E">
      <w:pPr>
        <w:pStyle w:val="Quotation"/>
        <w:spacing w:after="240"/>
      </w:pPr>
      <w:r>
        <w:t>It is the intent of the Legislature to ensure that water corporations are authorized to establish revenue adjustment mechanisms that provide for a full decoupling of sales and revenue in order to further incentivize water conservation efforts</w:t>
      </w:r>
      <w:r>
        <w:rPr>
          <w:szCs w:val="26"/>
        </w:rPr>
        <w:t>.</w:t>
      </w:r>
      <w:r w:rsidRPr="00AE0433" w:rsidR="00983082">
        <w:rPr>
          <w:rStyle w:val="FootnoteReference"/>
          <w:szCs w:val="26"/>
        </w:rPr>
        <w:footnoteReference w:id="37"/>
      </w:r>
    </w:p>
    <w:p w:rsidR="00983082" w:rsidP="00983082" w:rsidRDefault="00983082" w14:paraId="16F942A7" w14:textId="378F90B6">
      <w:pPr>
        <w:pStyle w:val="BodyText10"/>
        <w:ind w:firstLine="0"/>
        <w:rPr>
          <w:szCs w:val="26"/>
        </w:rPr>
      </w:pPr>
      <w:r w:rsidRPr="00983082">
        <w:rPr>
          <w:szCs w:val="26"/>
        </w:rPr>
        <w:t xml:space="preserve">Thus, GSW does not actually discuss any </w:t>
      </w:r>
      <w:r w:rsidRPr="00983082">
        <w:rPr>
          <w:i/>
          <w:iCs/>
          <w:szCs w:val="26"/>
        </w:rPr>
        <w:t>legislative finding</w:t>
      </w:r>
      <w:r w:rsidRPr="00983082">
        <w:rPr>
          <w:szCs w:val="26"/>
        </w:rPr>
        <w:t xml:space="preserve"> that the Commission purportedly contradicts, but rather a statement of legislative intent.  California courts have repeatedly held that “such statements in an uncodified section do not confer power, determine rights, or </w:t>
      </w:r>
      <w:r w:rsidRPr="002F72B8">
        <w:rPr>
          <w:szCs w:val="26"/>
        </w:rPr>
        <w:t>enlarge the scope of a measure</w:t>
      </w:r>
      <w:r w:rsidRPr="00983082">
        <w:rPr>
          <w:szCs w:val="26"/>
        </w:rPr>
        <w:t>,” but rather “they properly may be utilized as an aid in construing a statute.”</w:t>
      </w:r>
      <w:r w:rsidRPr="00AE0433">
        <w:rPr>
          <w:rStyle w:val="FootnoteReference"/>
          <w:szCs w:val="26"/>
        </w:rPr>
        <w:footnoteReference w:id="38"/>
      </w:r>
      <w:r w:rsidRPr="00983082">
        <w:rPr>
          <w:szCs w:val="26"/>
        </w:rPr>
        <w:t xml:space="preserve">  Thus, the statement of legislative intent does not impose any additional duties on the Commission,</w:t>
      </w:r>
      <w:r w:rsidRPr="00AE0433">
        <w:rPr>
          <w:rStyle w:val="FootnoteReference"/>
          <w:szCs w:val="26"/>
        </w:rPr>
        <w:footnoteReference w:id="39"/>
      </w:r>
      <w:r w:rsidRPr="00983082">
        <w:rPr>
          <w:szCs w:val="26"/>
        </w:rPr>
        <w:t xml:space="preserve"> </w:t>
      </w:r>
      <w:r w:rsidRPr="000D4F68" w:rsidR="000D4F68">
        <w:rPr>
          <w:szCs w:val="26"/>
        </w:rPr>
        <w:t xml:space="preserve">and does not change the statutory </w:t>
      </w:r>
      <w:r w:rsidRPr="000D4F68" w:rsidR="000D4F68">
        <w:rPr>
          <w:szCs w:val="26"/>
        </w:rPr>
        <w:lastRenderedPageBreak/>
        <w:t>directive that the Commission must consider, and may authorize, a full decoupling mechanism</w:t>
      </w:r>
      <w:r w:rsidR="00C6168D">
        <w:rPr>
          <w:szCs w:val="26"/>
        </w:rPr>
        <w:t>.</w:t>
      </w:r>
    </w:p>
    <w:p w:rsidR="00983082" w:rsidP="00983082" w:rsidRDefault="00983082" w14:paraId="488A963E" w14:textId="1DFEEC67">
      <w:pPr>
        <w:pStyle w:val="BodyText10"/>
        <w:rPr>
          <w:szCs w:val="26"/>
        </w:rPr>
      </w:pPr>
      <w:r w:rsidRPr="00983082">
        <w:rPr>
          <w:szCs w:val="26"/>
        </w:rPr>
        <w:t xml:space="preserve">GSW incorrectly interprets the statement of legislative intent as a </w:t>
      </w:r>
      <w:r w:rsidRPr="00983082">
        <w:rPr>
          <w:i/>
          <w:iCs/>
          <w:szCs w:val="26"/>
        </w:rPr>
        <w:t>finding</w:t>
      </w:r>
      <w:r w:rsidRPr="00983082">
        <w:rPr>
          <w:szCs w:val="26"/>
        </w:rPr>
        <w:t xml:space="preserve"> that full decoupling mechanisms necessarily incentivize water conversation efforts, which “finding” the Commission must address or run afoul of SB 1469.</w:t>
      </w:r>
      <w:r w:rsidRPr="00AE0433">
        <w:rPr>
          <w:rStyle w:val="FootnoteReference"/>
          <w:szCs w:val="26"/>
        </w:rPr>
        <w:footnoteReference w:id="40"/>
      </w:r>
      <w:r>
        <w:rPr>
          <w:szCs w:val="26"/>
        </w:rPr>
        <w:t xml:space="preserve"> </w:t>
      </w:r>
      <w:r w:rsidRPr="00983082">
        <w:rPr>
          <w:szCs w:val="26"/>
        </w:rPr>
        <w:t xml:space="preserve"> However, the Legislature never </w:t>
      </w:r>
      <w:r w:rsidRPr="00983082" w:rsidR="00F25980">
        <w:rPr>
          <w:szCs w:val="26"/>
        </w:rPr>
        <w:t>suggested</w:t>
      </w:r>
      <w:r w:rsidRPr="00983082">
        <w:rPr>
          <w:szCs w:val="26"/>
        </w:rPr>
        <w:t xml:space="preserve"> this was the purpose of its statement of legislative intent.  A plain reading of the statement shows that it is not a finding that the Commission must address</w:t>
      </w:r>
      <w:r w:rsidR="00834D88">
        <w:rPr>
          <w:szCs w:val="26"/>
        </w:rPr>
        <w:t>.</w:t>
      </w:r>
    </w:p>
    <w:p w:rsidR="00F25980" w:rsidP="00F25980" w:rsidRDefault="00983082" w14:paraId="3AAD30E2" w14:textId="2A411E6C">
      <w:pPr>
        <w:pStyle w:val="BodyText10"/>
        <w:rPr>
          <w:szCs w:val="26"/>
        </w:rPr>
      </w:pPr>
      <w:bookmarkStart w:name="_Hlk194935569" w:id="15"/>
      <w:r w:rsidRPr="00983082">
        <w:rPr>
          <w:szCs w:val="26"/>
        </w:rPr>
        <w:t>GSW also lists the actual legislative findings included in SB 1</w:t>
      </w:r>
      <w:r w:rsidR="00255FC7">
        <w:rPr>
          <w:szCs w:val="26"/>
        </w:rPr>
        <w:t>4</w:t>
      </w:r>
      <w:r w:rsidRPr="00983082">
        <w:rPr>
          <w:szCs w:val="26"/>
        </w:rPr>
        <w:t>69.</w:t>
      </w:r>
      <w:bookmarkStart w:name="_Hlk194997615" w:id="16"/>
      <w:r w:rsidRPr="00AE0433">
        <w:rPr>
          <w:rStyle w:val="FootnoteReference"/>
          <w:szCs w:val="26"/>
        </w:rPr>
        <w:footnoteReference w:id="41"/>
      </w:r>
      <w:bookmarkEnd w:id="16"/>
      <w:r>
        <w:rPr>
          <w:szCs w:val="26"/>
        </w:rPr>
        <w:t xml:space="preserve">  </w:t>
      </w:r>
      <w:r w:rsidRPr="00983082">
        <w:rPr>
          <w:szCs w:val="26"/>
        </w:rPr>
        <w:t xml:space="preserve">However, GSW does not attempt to demonstrate that the Decision contradicted any of these findings.  </w:t>
      </w:r>
      <w:r w:rsidR="00FF0206">
        <w:rPr>
          <w:szCs w:val="26"/>
        </w:rPr>
        <w:t>In any case, the</w:t>
      </w:r>
      <w:r w:rsidRPr="00983082">
        <w:rPr>
          <w:szCs w:val="26"/>
        </w:rPr>
        <w:t xml:space="preserve"> Commission did not contradict any of these legislative findings</w:t>
      </w:r>
      <w:r w:rsidR="00C6168D">
        <w:rPr>
          <w:szCs w:val="26"/>
        </w:rPr>
        <w:t>.</w:t>
      </w:r>
    </w:p>
    <w:p w:rsidRPr="00884697" w:rsidR="00F25980" w:rsidP="009312A2" w:rsidRDefault="00F25980" w14:paraId="213914E9" w14:textId="07270835">
      <w:pPr>
        <w:pStyle w:val="Heading4"/>
      </w:pPr>
      <w:r>
        <w:t xml:space="preserve">SB </w:t>
      </w:r>
      <w:r w:rsidRPr="00F25980">
        <w:t>1469 Does Not Require the Commission to Make Certain Findings in Deciding Water Rates, Except Perhaps When Authorizing Full Decoupling Mechanisms</w:t>
      </w:r>
      <w:r>
        <w:t>.</w:t>
      </w:r>
    </w:p>
    <w:p w:rsidR="00370E47" w:rsidP="003C7A22" w:rsidRDefault="00F25980" w14:paraId="4D62A3FC" w14:textId="4FDFD7AB">
      <w:pPr>
        <w:pStyle w:val="BodyText10"/>
        <w:ind w:firstLine="1440"/>
        <w:rPr>
          <w:szCs w:val="26"/>
        </w:rPr>
      </w:pPr>
      <w:r w:rsidRPr="00F25980">
        <w:rPr>
          <w:szCs w:val="26"/>
        </w:rPr>
        <w:t xml:space="preserve">GSW also argues that “the Legislature set forth the factors that the Commission ‘shall consider’ when reviewing a revenue decoupling proposal,” citing Public Utilities Code </w:t>
      </w:r>
      <w:r w:rsidR="008544B4">
        <w:rPr>
          <w:szCs w:val="26"/>
        </w:rPr>
        <w:t>s</w:t>
      </w:r>
      <w:r w:rsidRPr="00F25980">
        <w:rPr>
          <w:szCs w:val="26"/>
        </w:rPr>
        <w:t>ections 727.5(d)(2)(B), (C).</w:t>
      </w:r>
      <w:r w:rsidRPr="00AE0433">
        <w:rPr>
          <w:rStyle w:val="FootnoteReference"/>
          <w:szCs w:val="26"/>
        </w:rPr>
        <w:footnoteReference w:id="42"/>
      </w:r>
      <w:r w:rsidRPr="00F25980">
        <w:rPr>
          <w:szCs w:val="26"/>
        </w:rPr>
        <w:t xml:space="preserve">  </w:t>
      </w:r>
      <w:r w:rsidRPr="003C7A22" w:rsidR="003C7A22">
        <w:rPr>
          <w:szCs w:val="26"/>
        </w:rPr>
        <w:t>Subsection (d)(2) of the statute reads</w:t>
      </w:r>
      <w:r w:rsidR="003C7A22">
        <w:rPr>
          <w:szCs w:val="26"/>
        </w:rPr>
        <w:t>:</w:t>
      </w:r>
    </w:p>
    <w:p w:rsidR="00370E47" w:rsidP="00203A22" w:rsidRDefault="003C7A22" w14:paraId="6D5EEB09" w14:textId="031288FB">
      <w:pPr>
        <w:pStyle w:val="Quotation"/>
        <w:ind w:left="1980" w:hanging="540"/>
      </w:pPr>
      <w:r>
        <w:t xml:space="preserve">(A) </w:t>
      </w:r>
      <w:r w:rsidR="00203A22">
        <w:tab/>
      </w:r>
      <w:r>
        <w:t>Upon application by a water corporation with more than 10,000 service connections, the commission shall consider, and may authorize, the implementation of a mechanism that separates the water corporation’s revenues and its water sales, commonly referred to as a “decoupling mechanism.”</w:t>
      </w:r>
    </w:p>
    <w:p w:rsidR="00370E47" w:rsidRDefault="00370E47" w14:paraId="791DB7D5" w14:textId="77777777">
      <w:pPr>
        <w:tabs>
          <w:tab w:val="clear" w:pos="5040"/>
        </w:tabs>
        <w:overflowPunct/>
        <w:autoSpaceDE/>
        <w:autoSpaceDN/>
        <w:adjustRightInd/>
        <w:textAlignment w:val="auto"/>
      </w:pPr>
      <w:r>
        <w:br w:type="page"/>
      </w:r>
    </w:p>
    <w:p w:rsidR="003C7A22" w:rsidP="00203A22" w:rsidRDefault="003C7A22" w14:paraId="54D0B6E6" w14:textId="3614DF35">
      <w:pPr>
        <w:pStyle w:val="Quotation"/>
        <w:ind w:left="1980" w:hanging="540"/>
      </w:pPr>
      <w:r>
        <w:lastRenderedPageBreak/>
        <w:t xml:space="preserve">(B) </w:t>
      </w:r>
      <w:r w:rsidR="00203A22">
        <w:tab/>
      </w:r>
      <w:r>
        <w:t xml:space="preserve">An authorized decoupling mechanism shall be designed to ensure that the differences between actual and authorized water sales do not result in the </w:t>
      </w:r>
      <w:proofErr w:type="spellStart"/>
      <w:r>
        <w:t>overrecovery</w:t>
      </w:r>
      <w:proofErr w:type="spellEnd"/>
      <w:r>
        <w:t xml:space="preserve"> or </w:t>
      </w:r>
      <w:proofErr w:type="spellStart"/>
      <w:r>
        <w:t>underrecovery</w:t>
      </w:r>
      <w:proofErr w:type="spellEnd"/>
      <w:r>
        <w:t xml:space="preserve"> of the water corporation’s authorized water sales revenue.</w:t>
      </w:r>
    </w:p>
    <w:p w:rsidRPr="0045620D" w:rsidR="003C7A22" w:rsidP="00203A22" w:rsidRDefault="003C7A22" w14:paraId="5C39E192" w14:textId="59C3C912">
      <w:pPr>
        <w:pStyle w:val="Quotation"/>
        <w:ind w:left="1980" w:hanging="540"/>
      </w:pPr>
      <w:r>
        <w:t xml:space="preserve">(C) </w:t>
      </w:r>
      <w:r w:rsidR="00203A22">
        <w:tab/>
      </w:r>
      <w:r>
        <w:t>An authorized decoupling mechanism shall not enable the water corporation to earn a revenue windfall by encouraging higher sales</w:t>
      </w:r>
      <w:r>
        <w:rPr>
          <w:szCs w:val="26"/>
        </w:rPr>
        <w:t>.</w:t>
      </w:r>
    </w:p>
    <w:p w:rsidR="00F25980" w:rsidP="003C7A22" w:rsidRDefault="00F25980" w14:paraId="25E3FB13" w14:textId="40805AA4">
      <w:pPr>
        <w:pStyle w:val="BodyText10"/>
        <w:ind w:firstLine="0"/>
        <w:rPr>
          <w:szCs w:val="26"/>
        </w:rPr>
      </w:pPr>
      <w:r w:rsidRPr="00F25980">
        <w:rPr>
          <w:szCs w:val="26"/>
        </w:rPr>
        <w:t>GSW argues that the Commission’s failure to discuss these criteria demonstrates that the Commission did not properly consider water utility revenue decoupling proposals.</w:t>
      </w:r>
      <w:r w:rsidRPr="00AE0433">
        <w:rPr>
          <w:rStyle w:val="FootnoteReference"/>
          <w:szCs w:val="26"/>
        </w:rPr>
        <w:footnoteReference w:id="43"/>
      </w:r>
    </w:p>
    <w:p w:rsidR="00E3160F" w:rsidP="00E81B9F" w:rsidRDefault="00F25980" w14:paraId="36EEA82B" w14:textId="4705A90E">
      <w:pPr>
        <w:pStyle w:val="BodyText10"/>
        <w:rPr>
          <w:szCs w:val="26"/>
        </w:rPr>
      </w:pPr>
      <w:r w:rsidRPr="00F25980">
        <w:rPr>
          <w:szCs w:val="26"/>
        </w:rPr>
        <w:t xml:space="preserve">First, the Legislature never stated that it was requiring that the Commission consider these criteria for all water revenue mechanisms or in all GRCs.  Rather, the plain reading of </w:t>
      </w:r>
      <w:r w:rsidRPr="003C7A22" w:rsidR="003C7A22">
        <w:rPr>
          <w:szCs w:val="26"/>
        </w:rPr>
        <w:t xml:space="preserve">subsection (d)(2) of </w:t>
      </w:r>
      <w:r w:rsidRPr="00F25980">
        <w:rPr>
          <w:szCs w:val="26"/>
        </w:rPr>
        <w:t xml:space="preserve">the statute shows that these criteria only apply if a decoupling mechanism is </w:t>
      </w:r>
      <w:r>
        <w:rPr>
          <w:szCs w:val="26"/>
        </w:rPr>
        <w:t xml:space="preserve">to be </w:t>
      </w:r>
      <w:r w:rsidRPr="00F25980">
        <w:rPr>
          <w:szCs w:val="26"/>
        </w:rPr>
        <w:t xml:space="preserve">authorized.  Second, while the Decision never cites SB 1469 or </w:t>
      </w:r>
      <w:r w:rsidR="00E81B9F">
        <w:rPr>
          <w:szCs w:val="26"/>
        </w:rPr>
        <w:t xml:space="preserve">lists </w:t>
      </w:r>
      <w:r w:rsidRPr="00F25980">
        <w:rPr>
          <w:szCs w:val="26"/>
        </w:rPr>
        <w:t>these criteria verbatim</w:t>
      </w:r>
      <w:r w:rsidR="003C7A22">
        <w:rPr>
          <w:szCs w:val="26"/>
        </w:rPr>
        <w:t>,</w:t>
      </w:r>
      <w:r w:rsidRPr="00F25980">
        <w:rPr>
          <w:szCs w:val="26"/>
        </w:rPr>
        <w:t xml:space="preserve"> the Decision discussed </w:t>
      </w:r>
      <w:r w:rsidRPr="003C7A22" w:rsidR="003C7A22">
        <w:rPr>
          <w:szCs w:val="26"/>
        </w:rPr>
        <w:t xml:space="preserve">that </w:t>
      </w:r>
      <w:r w:rsidR="003C7A22">
        <w:rPr>
          <w:szCs w:val="26"/>
        </w:rPr>
        <w:t>a</w:t>
      </w:r>
      <w:r w:rsidRPr="003C7A22" w:rsidR="003C7A22">
        <w:rPr>
          <w:szCs w:val="26"/>
        </w:rPr>
        <w:t xml:space="preserve"> M-WRAM, rather than a WRAM, </w:t>
      </w:r>
      <w:r w:rsidRPr="00F25980">
        <w:rPr>
          <w:szCs w:val="26"/>
        </w:rPr>
        <w:t xml:space="preserve">would best </w:t>
      </w:r>
      <w:r>
        <w:rPr>
          <w:szCs w:val="26"/>
        </w:rPr>
        <w:t>prevent</w:t>
      </w:r>
      <w:r w:rsidRPr="00F25980">
        <w:rPr>
          <w:szCs w:val="26"/>
        </w:rPr>
        <w:t xml:space="preserve"> </w:t>
      </w:r>
      <w:proofErr w:type="spellStart"/>
      <w:r w:rsidRPr="00F25980">
        <w:rPr>
          <w:szCs w:val="26"/>
        </w:rPr>
        <w:t>overrecovery</w:t>
      </w:r>
      <w:proofErr w:type="spellEnd"/>
      <w:r w:rsidRPr="00F25980">
        <w:rPr>
          <w:szCs w:val="26"/>
        </w:rPr>
        <w:t xml:space="preserve"> or </w:t>
      </w:r>
      <w:proofErr w:type="spellStart"/>
      <w:r w:rsidRPr="00F25980">
        <w:rPr>
          <w:szCs w:val="26"/>
        </w:rPr>
        <w:t>underrecovery</w:t>
      </w:r>
      <w:proofErr w:type="spellEnd"/>
      <w:r w:rsidRPr="00F25980">
        <w:rPr>
          <w:szCs w:val="26"/>
        </w:rPr>
        <w:t xml:space="preserve"> of revenue, and</w:t>
      </w:r>
      <w:r>
        <w:rPr>
          <w:szCs w:val="26"/>
        </w:rPr>
        <w:t xml:space="preserve"> </w:t>
      </w:r>
      <w:r w:rsidRPr="00F25980">
        <w:rPr>
          <w:szCs w:val="26"/>
        </w:rPr>
        <w:t>utility windfalls.</w:t>
      </w:r>
      <w:r w:rsidRPr="00AE0433">
        <w:rPr>
          <w:rStyle w:val="FootnoteReference"/>
          <w:szCs w:val="26"/>
        </w:rPr>
        <w:footnoteReference w:id="44"/>
      </w:r>
      <w:r w:rsidRPr="00F25980">
        <w:rPr>
          <w:szCs w:val="26"/>
        </w:rPr>
        <w:t xml:space="preserve">  These issues </w:t>
      </w:r>
      <w:r w:rsidRPr="003C7A22" w:rsidR="003C7A22">
        <w:rPr>
          <w:szCs w:val="26"/>
        </w:rPr>
        <w:t xml:space="preserve">and the Commission’s preference of M-WRAM </w:t>
      </w:r>
      <w:r w:rsidRPr="00F25980">
        <w:rPr>
          <w:szCs w:val="26"/>
        </w:rPr>
        <w:t xml:space="preserve">were also </w:t>
      </w:r>
      <w:r w:rsidR="003C7A22">
        <w:rPr>
          <w:szCs w:val="26"/>
        </w:rPr>
        <w:t>discussed</w:t>
      </w:r>
      <w:r w:rsidRPr="00F25980" w:rsidR="003C7A22">
        <w:rPr>
          <w:szCs w:val="26"/>
        </w:rPr>
        <w:t xml:space="preserve"> </w:t>
      </w:r>
      <w:r w:rsidRPr="00F25980">
        <w:rPr>
          <w:szCs w:val="26"/>
        </w:rPr>
        <w:t>in findings of fact and a conclusion of law.</w:t>
      </w:r>
      <w:r w:rsidRPr="00AE0433" w:rsidR="00E81B9F">
        <w:rPr>
          <w:rStyle w:val="FootnoteReference"/>
          <w:szCs w:val="26"/>
        </w:rPr>
        <w:footnoteReference w:id="45"/>
      </w:r>
      <w:r w:rsidRPr="00F25980">
        <w:rPr>
          <w:szCs w:val="26"/>
        </w:rPr>
        <w:t xml:space="preserve">  Thus, the Commission discussed the substance of </w:t>
      </w:r>
      <w:r w:rsidR="00E81B9F">
        <w:rPr>
          <w:szCs w:val="26"/>
        </w:rPr>
        <w:t xml:space="preserve">the </w:t>
      </w:r>
      <w:r w:rsidRPr="00F25980">
        <w:rPr>
          <w:szCs w:val="26"/>
        </w:rPr>
        <w:t xml:space="preserve">criteria included in Public Utilities Code </w:t>
      </w:r>
      <w:r w:rsidR="00D729B0">
        <w:rPr>
          <w:szCs w:val="26"/>
        </w:rPr>
        <w:t>s</w:t>
      </w:r>
      <w:r w:rsidRPr="00F25980">
        <w:rPr>
          <w:szCs w:val="26"/>
        </w:rPr>
        <w:t>ections 727.5(d)(2)(B), (C), even though it ultimately did not authorize the WCAP.  In no way did the Decision run afoul of SB 1649</w:t>
      </w:r>
      <w:r w:rsidR="00E3160F">
        <w:rPr>
          <w:szCs w:val="26"/>
        </w:rPr>
        <w:t>.</w:t>
      </w:r>
    </w:p>
    <w:p w:rsidRPr="00884697" w:rsidR="00855928" w:rsidP="00203A22" w:rsidRDefault="00E81B9F" w14:paraId="2480A42B" w14:textId="1F38E350">
      <w:pPr>
        <w:pStyle w:val="Heading3"/>
        <w:ind w:left="2160"/>
      </w:pPr>
      <w:r>
        <w:t>The</w:t>
      </w:r>
      <w:r w:rsidRPr="0047419D" w:rsidR="00855928">
        <w:t xml:space="preserve"> </w:t>
      </w:r>
      <w:r w:rsidRPr="00E81B9F">
        <w:t xml:space="preserve">Order Transitioning from the WCAP to the </w:t>
      </w:r>
      <w:r w:rsidR="009312A2">
        <w:br/>
      </w:r>
      <w:r w:rsidRPr="00E81B9F">
        <w:t>M-WRAM Did Not Rely on a Vacated Finding</w:t>
      </w:r>
      <w:r w:rsidR="00855928">
        <w:t>.</w:t>
      </w:r>
    </w:p>
    <w:bookmarkEnd w:id="15"/>
    <w:p w:rsidR="003B46D4" w:rsidP="003B46D4" w:rsidRDefault="00E81B9F" w14:paraId="487706AC" w14:textId="511BB550">
      <w:pPr>
        <w:pStyle w:val="BodyText10"/>
        <w:rPr>
          <w:szCs w:val="26"/>
        </w:rPr>
      </w:pPr>
      <w:r w:rsidRPr="00E81B9F">
        <w:rPr>
          <w:szCs w:val="26"/>
        </w:rPr>
        <w:t>Citing a California appellate decision, GSW claims that the Commission’s order requiring a transition to M-WRAM is invalid because it relies on a finding from D.20-</w:t>
      </w:r>
      <w:r w:rsidR="0052364E">
        <w:rPr>
          <w:szCs w:val="26"/>
        </w:rPr>
        <w:t xml:space="preserve">08-047 </w:t>
      </w:r>
      <w:r w:rsidRPr="00E81B9F">
        <w:rPr>
          <w:szCs w:val="26"/>
        </w:rPr>
        <w:t xml:space="preserve">that was vacated by the California Supreme Court in </w:t>
      </w:r>
      <w:r w:rsidRPr="00E81B9F">
        <w:rPr>
          <w:i/>
          <w:iCs/>
          <w:szCs w:val="26"/>
        </w:rPr>
        <w:t xml:space="preserve">Golden State Water </w:t>
      </w:r>
      <w:r w:rsidRPr="00E81B9F">
        <w:rPr>
          <w:i/>
          <w:iCs/>
          <w:szCs w:val="26"/>
        </w:rPr>
        <w:lastRenderedPageBreak/>
        <w:t xml:space="preserve">Company v. </w:t>
      </w:r>
      <w:r w:rsidR="003C7A22">
        <w:rPr>
          <w:i/>
          <w:iCs/>
          <w:szCs w:val="26"/>
        </w:rPr>
        <w:t>Public Utilities Com</w:t>
      </w:r>
      <w:r w:rsidR="00EC17F7">
        <w:rPr>
          <w:i/>
          <w:iCs/>
          <w:szCs w:val="26"/>
        </w:rPr>
        <w:t>.</w:t>
      </w:r>
      <w:bookmarkStart w:name="_Hlk194998270" w:id="17"/>
      <w:r w:rsidRPr="00AE0433">
        <w:rPr>
          <w:rStyle w:val="FootnoteReference"/>
          <w:szCs w:val="26"/>
        </w:rPr>
        <w:footnoteReference w:id="46"/>
      </w:r>
      <w:bookmarkEnd w:id="17"/>
      <w:r w:rsidRPr="00E81B9F">
        <w:rPr>
          <w:szCs w:val="26"/>
        </w:rPr>
        <w:t xml:space="preserve">  However, </w:t>
      </w:r>
      <w:r w:rsidR="003C7A22">
        <w:rPr>
          <w:szCs w:val="26"/>
        </w:rPr>
        <w:t xml:space="preserve">the Decision did not rely on a </w:t>
      </w:r>
      <w:r w:rsidR="0005699A">
        <w:rPr>
          <w:szCs w:val="26"/>
        </w:rPr>
        <w:t>“</w:t>
      </w:r>
      <w:r w:rsidR="003C7A22">
        <w:rPr>
          <w:szCs w:val="26"/>
        </w:rPr>
        <w:t>vacated finding</w:t>
      </w:r>
      <w:r w:rsidR="003B46D4">
        <w:rPr>
          <w:szCs w:val="26"/>
        </w:rPr>
        <w:t>.</w:t>
      </w:r>
      <w:r w:rsidR="002E1C90">
        <w:rPr>
          <w:szCs w:val="26"/>
        </w:rPr>
        <w:t>”</w:t>
      </w:r>
    </w:p>
    <w:p w:rsidR="00E81B9F" w:rsidP="003B46D4" w:rsidRDefault="0005699A" w14:paraId="717AC81F" w14:textId="782EA5BA">
      <w:pPr>
        <w:pStyle w:val="BodyText10"/>
        <w:rPr>
          <w:szCs w:val="26"/>
        </w:rPr>
      </w:pPr>
      <w:r w:rsidRPr="0005699A">
        <w:rPr>
          <w:szCs w:val="26"/>
        </w:rPr>
        <w:t xml:space="preserve">The </w:t>
      </w:r>
      <w:r w:rsidR="00A25BF8">
        <w:rPr>
          <w:szCs w:val="26"/>
        </w:rPr>
        <w:t>language</w:t>
      </w:r>
      <w:r w:rsidRPr="0005699A">
        <w:rPr>
          <w:szCs w:val="26"/>
        </w:rPr>
        <w:t xml:space="preserve"> in the Decision that GSW claims was </w:t>
      </w:r>
      <w:r w:rsidR="00691A28">
        <w:rPr>
          <w:szCs w:val="26"/>
        </w:rPr>
        <w:t xml:space="preserve">based on a </w:t>
      </w:r>
      <w:r w:rsidRPr="0005699A">
        <w:rPr>
          <w:szCs w:val="26"/>
        </w:rPr>
        <w:t xml:space="preserve">vacated </w:t>
      </w:r>
      <w:r w:rsidR="00691A28">
        <w:rPr>
          <w:szCs w:val="26"/>
        </w:rPr>
        <w:t xml:space="preserve">finding </w:t>
      </w:r>
      <w:r w:rsidRPr="0005699A">
        <w:rPr>
          <w:szCs w:val="26"/>
        </w:rPr>
        <w:t>is not one of the Decision’s findings of fact</w:t>
      </w:r>
      <w:r>
        <w:rPr>
          <w:szCs w:val="26"/>
        </w:rPr>
        <w:t>.  T</w:t>
      </w:r>
      <w:r w:rsidRPr="00E81B9F" w:rsidR="00E81B9F">
        <w:rPr>
          <w:szCs w:val="26"/>
        </w:rPr>
        <w:t xml:space="preserve">he </w:t>
      </w:r>
      <w:r w:rsidR="00A25BF8">
        <w:rPr>
          <w:szCs w:val="26"/>
        </w:rPr>
        <w:t>language</w:t>
      </w:r>
      <w:r w:rsidRPr="0005699A">
        <w:rPr>
          <w:szCs w:val="26"/>
        </w:rPr>
        <w:t>: “[c]</w:t>
      </w:r>
      <w:proofErr w:type="spellStart"/>
      <w:r w:rsidRPr="0005699A">
        <w:rPr>
          <w:szCs w:val="26"/>
        </w:rPr>
        <w:t>onsumption</w:t>
      </w:r>
      <w:proofErr w:type="spellEnd"/>
      <w:r w:rsidRPr="0005699A">
        <w:rPr>
          <w:szCs w:val="26"/>
        </w:rPr>
        <w:t xml:space="preserve"> can change due to effects of conservation programs, rate designs, weather, drought, economic effects, or inaccurate sales forecast;” </w:t>
      </w:r>
      <w:r w:rsidR="00055559">
        <w:rPr>
          <w:szCs w:val="26"/>
        </w:rPr>
        <w:t>is quoted in the context of recount</w:t>
      </w:r>
      <w:r w:rsidR="00691A28">
        <w:rPr>
          <w:szCs w:val="26"/>
        </w:rPr>
        <w:t>ing</w:t>
      </w:r>
      <w:r w:rsidR="00055559">
        <w:rPr>
          <w:szCs w:val="26"/>
        </w:rPr>
        <w:t xml:space="preserve"> Cal Advocates’ argument</w:t>
      </w:r>
      <w:r w:rsidR="00FD486F">
        <w:rPr>
          <w:szCs w:val="26"/>
        </w:rPr>
        <w:t xml:space="preserve"> and </w:t>
      </w:r>
      <w:r w:rsidRPr="0005699A">
        <w:rPr>
          <w:szCs w:val="26"/>
        </w:rPr>
        <w:t>does not provide essential support for any of the Decision’s finding or orders.  As discussed in Section</w:t>
      </w:r>
      <w:r w:rsidR="00CA4F80">
        <w:rPr>
          <w:szCs w:val="26"/>
        </w:rPr>
        <w:t>s</w:t>
      </w:r>
      <w:r w:rsidRPr="0005699A">
        <w:rPr>
          <w:szCs w:val="26"/>
        </w:rPr>
        <w:t xml:space="preserve"> </w:t>
      </w:r>
      <w:r>
        <w:rPr>
          <w:szCs w:val="26"/>
        </w:rPr>
        <w:t>IV.A</w:t>
      </w:r>
      <w:r w:rsidR="00CA4F80">
        <w:rPr>
          <w:szCs w:val="26"/>
        </w:rPr>
        <w:t>.1 and IV.A.2</w:t>
      </w:r>
      <w:r w:rsidRPr="0005699A">
        <w:rPr>
          <w:szCs w:val="26"/>
        </w:rPr>
        <w:t xml:space="preserve"> above, the Commission relied on other evidence, including a Cal Advocates’ examination, to support its finding that WRAM did not encourage conservation</w:t>
      </w:r>
      <w:r w:rsidRPr="00E81B9F" w:rsidR="00E81B9F">
        <w:rPr>
          <w:szCs w:val="26"/>
        </w:rPr>
        <w:t>.</w:t>
      </w:r>
      <w:r w:rsidRPr="00AE0433">
        <w:rPr>
          <w:rStyle w:val="FootnoteReference"/>
          <w:szCs w:val="26"/>
        </w:rPr>
        <w:footnoteReference w:id="47"/>
      </w:r>
      <w:r w:rsidRPr="00E81B9F" w:rsidR="00E81B9F">
        <w:rPr>
          <w:szCs w:val="26"/>
        </w:rPr>
        <w:t xml:space="preserve">  </w:t>
      </w:r>
    </w:p>
    <w:p w:rsidR="00E81B9F" w:rsidP="00EF2CF6" w:rsidRDefault="00EF2CF6" w14:paraId="0017F38B" w14:textId="3E3ADCB4">
      <w:pPr>
        <w:pStyle w:val="BodyText10"/>
        <w:rPr>
          <w:szCs w:val="26"/>
        </w:rPr>
      </w:pPr>
      <w:r>
        <w:rPr>
          <w:szCs w:val="26"/>
        </w:rPr>
        <w:t>T</w:t>
      </w:r>
      <w:r w:rsidRPr="0005699A" w:rsidR="0005699A">
        <w:rPr>
          <w:szCs w:val="26"/>
        </w:rPr>
        <w:t>he Decision never cites D.20-08-047 in its findings or its text to support any of its factual determinations.  Thus, it is simply incorrect to claim that the Decision relied on a</w:t>
      </w:r>
      <w:r w:rsidR="0005699A">
        <w:rPr>
          <w:szCs w:val="26"/>
        </w:rPr>
        <w:t>ny</w:t>
      </w:r>
      <w:r w:rsidRPr="0005699A" w:rsidR="0005699A">
        <w:rPr>
          <w:szCs w:val="26"/>
        </w:rPr>
        <w:t xml:space="preserve"> finding</w:t>
      </w:r>
      <w:r w:rsidR="0005699A">
        <w:rPr>
          <w:szCs w:val="26"/>
        </w:rPr>
        <w:t xml:space="preserve"> from D.20-08-047, vacated or not.  </w:t>
      </w:r>
      <w:r>
        <w:rPr>
          <w:szCs w:val="26"/>
        </w:rPr>
        <w:t xml:space="preserve">Moreover, </w:t>
      </w:r>
      <w:r w:rsidRPr="00E81B9F" w:rsidR="00E81B9F">
        <w:rPr>
          <w:szCs w:val="26"/>
        </w:rPr>
        <w:t xml:space="preserve">the </w:t>
      </w:r>
      <w:r w:rsidR="00713963">
        <w:rPr>
          <w:szCs w:val="26"/>
        </w:rPr>
        <w:t>quote</w:t>
      </w:r>
      <w:r w:rsidRPr="00E81B9F" w:rsidR="00713963">
        <w:rPr>
          <w:szCs w:val="26"/>
        </w:rPr>
        <w:t xml:space="preserve"> </w:t>
      </w:r>
      <w:r w:rsidRPr="00E81B9F" w:rsidR="00E81B9F">
        <w:rPr>
          <w:szCs w:val="26"/>
        </w:rPr>
        <w:t>in question: “[c]</w:t>
      </w:r>
      <w:proofErr w:type="spellStart"/>
      <w:r w:rsidRPr="00E81B9F" w:rsidR="00E81B9F">
        <w:rPr>
          <w:szCs w:val="26"/>
        </w:rPr>
        <w:t>onsumption</w:t>
      </w:r>
      <w:proofErr w:type="spellEnd"/>
      <w:r w:rsidRPr="00E81B9F" w:rsidR="00E81B9F">
        <w:rPr>
          <w:szCs w:val="26"/>
        </w:rPr>
        <w:t xml:space="preserve"> can change due to effects of conservation programs, rate designs, weather, drought, economic effects, or inaccurate sales forecast;” was not a finding of fact of D.20-08-047.  In fact, this particular language cannot be found anywhere in </w:t>
      </w:r>
      <w:r w:rsidR="00203A22">
        <w:rPr>
          <w:szCs w:val="26"/>
        </w:rPr>
        <w:br/>
      </w:r>
      <w:r w:rsidRPr="00E81B9F" w:rsidR="00E81B9F">
        <w:rPr>
          <w:szCs w:val="26"/>
        </w:rPr>
        <w:t xml:space="preserve">D.20-08-047’s text.  GSW claims that this </w:t>
      </w:r>
      <w:r>
        <w:rPr>
          <w:szCs w:val="26"/>
        </w:rPr>
        <w:t>sentence</w:t>
      </w:r>
      <w:r w:rsidRPr="00E81B9F">
        <w:rPr>
          <w:szCs w:val="26"/>
        </w:rPr>
        <w:t xml:space="preserve"> </w:t>
      </w:r>
      <w:r w:rsidRPr="00E81B9F" w:rsidR="00E81B9F">
        <w:rPr>
          <w:szCs w:val="26"/>
        </w:rPr>
        <w:t xml:space="preserve">was somehow a “finding” of D.20-08-047 simply because the sentence was in Cal Advocates’ testimony, and Cal Advocates included a reference citing a finding of D.20-08-047, that also discussed </w:t>
      </w:r>
      <w:r w:rsidR="00EA0667">
        <w:rPr>
          <w:szCs w:val="26"/>
        </w:rPr>
        <w:t xml:space="preserve">changes in </w:t>
      </w:r>
      <w:r w:rsidRPr="00E81B9F" w:rsidR="00E81B9F">
        <w:rPr>
          <w:szCs w:val="26"/>
        </w:rPr>
        <w:t>consumption.</w:t>
      </w:r>
      <w:r w:rsidRPr="00AE0433" w:rsidR="00EA0667">
        <w:rPr>
          <w:rStyle w:val="FootnoteReference"/>
          <w:szCs w:val="26"/>
        </w:rPr>
        <w:footnoteReference w:id="48"/>
      </w:r>
      <w:r w:rsidRPr="00E81B9F" w:rsidR="00E81B9F">
        <w:rPr>
          <w:szCs w:val="26"/>
        </w:rPr>
        <w:t xml:space="preserve">  It is </w:t>
      </w:r>
      <w:r w:rsidR="00E81B9F">
        <w:rPr>
          <w:szCs w:val="26"/>
        </w:rPr>
        <w:t>i</w:t>
      </w:r>
      <w:r w:rsidRPr="00E81B9F" w:rsidR="00E81B9F">
        <w:rPr>
          <w:szCs w:val="26"/>
        </w:rPr>
        <w:t xml:space="preserve">ncorrect to describe the sentence in the Decision as a “finding” of </w:t>
      </w:r>
      <w:r w:rsidRPr="00E81B9F" w:rsidR="00E81B9F">
        <w:rPr>
          <w:szCs w:val="26"/>
        </w:rPr>
        <w:lastRenderedPageBreak/>
        <w:t>D.20-08-047, simply because both sentences discuss factors that can impact consumption.</w:t>
      </w:r>
      <w:r w:rsidRPr="00EA0667" w:rsidR="00EA0667">
        <w:rPr>
          <w:szCs w:val="26"/>
        </w:rPr>
        <w:t xml:space="preserve"> </w:t>
      </w:r>
      <w:r>
        <w:rPr>
          <w:szCs w:val="26"/>
        </w:rPr>
        <w:t xml:space="preserve"> T</w:t>
      </w:r>
      <w:r w:rsidRPr="00EA0667" w:rsidR="00EA0667">
        <w:rPr>
          <w:szCs w:val="26"/>
        </w:rPr>
        <w:t>he Decision did not rely on a “vacated finding” to support any of its orders</w:t>
      </w:r>
      <w:r w:rsidR="00AE02E9">
        <w:rPr>
          <w:szCs w:val="26"/>
        </w:rPr>
        <w:t>.</w:t>
      </w:r>
    </w:p>
    <w:p w:rsidRPr="00884697" w:rsidR="003B46D4" w:rsidP="003B46D4" w:rsidRDefault="00EA0667" w14:paraId="1947D49F" w14:textId="52155037">
      <w:pPr>
        <w:pStyle w:val="Heading2"/>
      </w:pPr>
      <w:r>
        <w:t>The</w:t>
      </w:r>
      <w:r w:rsidR="003B46D4">
        <w:t xml:space="preserve"> </w:t>
      </w:r>
      <w:r w:rsidRPr="00EA0667">
        <w:t>Commission’s Order on the Treatment of PFAS-Related Capital Costs Was in the Scope of this GRC</w:t>
      </w:r>
      <w:r w:rsidR="003B46D4">
        <w:t>.</w:t>
      </w:r>
    </w:p>
    <w:p w:rsidR="003D5EFE" w:rsidP="003D5EFE" w:rsidRDefault="00EA0667" w14:paraId="4842CBFB" w14:textId="4B9BCE12">
      <w:pPr>
        <w:pStyle w:val="BodyText10"/>
        <w:rPr>
          <w:szCs w:val="26"/>
        </w:rPr>
      </w:pPr>
      <w:r w:rsidRPr="00EA0667">
        <w:rPr>
          <w:szCs w:val="26"/>
        </w:rPr>
        <w:t xml:space="preserve">GSW incorrectly claims that the </w:t>
      </w:r>
      <w:r>
        <w:rPr>
          <w:szCs w:val="26"/>
        </w:rPr>
        <w:t>Decision</w:t>
      </w:r>
      <w:r w:rsidRPr="00EA0667">
        <w:rPr>
          <w:szCs w:val="26"/>
        </w:rPr>
        <w:t xml:space="preserve">’s OP 3, where the Commission orders that GSW </w:t>
      </w:r>
      <w:r w:rsidR="00690253">
        <w:rPr>
          <w:szCs w:val="26"/>
        </w:rPr>
        <w:t xml:space="preserve">shall </w:t>
      </w:r>
      <w:r w:rsidRPr="00EA0667">
        <w:rPr>
          <w:szCs w:val="26"/>
        </w:rPr>
        <w:t xml:space="preserve">present plans for PFAS-related capital investments in a separate application </w:t>
      </w:r>
      <w:r w:rsidR="0066674D">
        <w:rPr>
          <w:szCs w:val="26"/>
        </w:rPr>
        <w:t>or in its next GRC filing</w:t>
      </w:r>
      <w:r w:rsidR="0033061A">
        <w:rPr>
          <w:szCs w:val="26"/>
        </w:rPr>
        <w:t xml:space="preserve"> </w:t>
      </w:r>
      <w:r w:rsidRPr="00690253" w:rsidR="00690253">
        <w:rPr>
          <w:szCs w:val="26"/>
        </w:rPr>
        <w:t>and shall not record them in its PFAS memorandum account</w:t>
      </w:r>
      <w:r w:rsidR="00690253">
        <w:rPr>
          <w:szCs w:val="26"/>
        </w:rPr>
        <w:t>,</w:t>
      </w:r>
      <w:r w:rsidRPr="00690253" w:rsidR="00690253">
        <w:rPr>
          <w:szCs w:val="26"/>
        </w:rPr>
        <w:t xml:space="preserve"> </w:t>
      </w:r>
      <w:r w:rsidRPr="00EA0667">
        <w:rPr>
          <w:szCs w:val="26"/>
        </w:rPr>
        <w:t>is outside the scope of its GRC.</w:t>
      </w:r>
      <w:r w:rsidRPr="00AE0433">
        <w:rPr>
          <w:rStyle w:val="FootnoteReference"/>
          <w:szCs w:val="26"/>
        </w:rPr>
        <w:footnoteReference w:id="49"/>
      </w:r>
      <w:r w:rsidRPr="00EA0667">
        <w:rPr>
          <w:szCs w:val="26"/>
        </w:rPr>
        <w:t xml:space="preserve">  </w:t>
      </w:r>
      <w:r w:rsidR="00EF2CF6">
        <w:rPr>
          <w:szCs w:val="26"/>
        </w:rPr>
        <w:t xml:space="preserve">However, </w:t>
      </w:r>
      <w:r w:rsidRPr="00EA0667">
        <w:rPr>
          <w:szCs w:val="26"/>
        </w:rPr>
        <w:t xml:space="preserve">GSW never directly challenges OP 3 – it never even cites or </w:t>
      </w:r>
      <w:r w:rsidR="00956302">
        <w:rPr>
          <w:szCs w:val="26"/>
        </w:rPr>
        <w:t>discusses</w:t>
      </w:r>
      <w:r w:rsidRPr="00EA0667">
        <w:rPr>
          <w:szCs w:val="26"/>
        </w:rPr>
        <w:t xml:space="preserve"> it.  Rather, GSW claims that because the Scoping Memo in this application did not include the specific text “Contaminant Remediation Memorandum Account” or CRMA, the Decision, in its text, could not </w:t>
      </w:r>
      <w:r w:rsidR="00D22F5C">
        <w:rPr>
          <w:szCs w:val="26"/>
        </w:rPr>
        <w:t>direct</w:t>
      </w:r>
      <w:r w:rsidRPr="00EA0667" w:rsidR="00D22F5C">
        <w:rPr>
          <w:szCs w:val="26"/>
        </w:rPr>
        <w:t xml:space="preserve"> </w:t>
      </w:r>
      <w:r w:rsidRPr="00EA0667">
        <w:rPr>
          <w:szCs w:val="26"/>
        </w:rPr>
        <w:t>GSW not to include PFAS-related capital costs in the CRMA.</w:t>
      </w:r>
      <w:r w:rsidRPr="00AE0433" w:rsidR="00956302">
        <w:rPr>
          <w:rStyle w:val="FootnoteReference"/>
          <w:szCs w:val="26"/>
        </w:rPr>
        <w:footnoteReference w:id="50"/>
      </w:r>
      <w:r w:rsidR="00EF2CF6">
        <w:rPr>
          <w:szCs w:val="26"/>
        </w:rPr>
        <w:t xml:space="preserve">  </w:t>
      </w:r>
      <w:r w:rsidRPr="00EF2CF6" w:rsidR="00EF2CF6">
        <w:rPr>
          <w:szCs w:val="26"/>
        </w:rPr>
        <w:t>If GSW were allowed to include PFAS-related capital costs in the CRMA, in effect, OP 3 would be rescinded.  Thus, GSW seeks to indirectly rescind OP 3, without ever specifically discussing it.</w:t>
      </w:r>
      <w:r w:rsidR="003D5EFE">
        <w:rPr>
          <w:szCs w:val="26"/>
        </w:rPr>
        <w:t xml:space="preserve">  </w:t>
      </w:r>
      <w:r w:rsidRPr="00EF2CF6" w:rsidR="00EF2CF6">
        <w:rPr>
          <w:szCs w:val="26"/>
        </w:rPr>
        <w:t>In any case, as demonstrated below, the proper treatment of PFAS-related capital costs, as well as the proper use of the CRMA, were both in the scope of the proceeding</w:t>
      </w:r>
      <w:r w:rsidR="00202F9E">
        <w:rPr>
          <w:szCs w:val="26"/>
        </w:rPr>
        <w:t>.</w:t>
      </w:r>
      <w:r w:rsidRPr="00EF2CF6" w:rsidR="00EF2CF6">
        <w:rPr>
          <w:szCs w:val="26"/>
        </w:rPr>
        <w:t xml:space="preserve"> </w:t>
      </w:r>
      <w:r w:rsidR="00EF2CF6">
        <w:rPr>
          <w:szCs w:val="26"/>
        </w:rPr>
        <w:t xml:space="preserve"> </w:t>
      </w:r>
    </w:p>
    <w:p w:rsidR="00956302" w:rsidP="003D5EFE" w:rsidRDefault="00690253" w14:paraId="3C0BD171" w14:textId="7EFCCD3B">
      <w:pPr>
        <w:pStyle w:val="BodyText10"/>
        <w:rPr>
          <w:szCs w:val="26"/>
        </w:rPr>
      </w:pPr>
      <w:r w:rsidRPr="00690253">
        <w:rPr>
          <w:szCs w:val="26"/>
        </w:rPr>
        <w:t>The assigned Commissioner is required to issue a scoping memo which, among other things, sets forth the issues to be addressed in the proceeding</w:t>
      </w:r>
      <w:r>
        <w:rPr>
          <w:szCs w:val="26"/>
        </w:rPr>
        <w:t>.</w:t>
      </w:r>
      <w:r w:rsidRPr="00AE0433">
        <w:rPr>
          <w:rStyle w:val="FootnoteReference"/>
          <w:szCs w:val="26"/>
        </w:rPr>
        <w:footnoteReference w:id="51"/>
      </w:r>
      <w:r w:rsidRPr="00690253">
        <w:rPr>
          <w:szCs w:val="26"/>
        </w:rPr>
        <w:t xml:space="preserve"> </w:t>
      </w:r>
      <w:r>
        <w:rPr>
          <w:szCs w:val="26"/>
        </w:rPr>
        <w:t xml:space="preserve"> </w:t>
      </w:r>
      <w:r w:rsidRPr="00956302" w:rsidR="00956302">
        <w:rPr>
          <w:szCs w:val="26"/>
        </w:rPr>
        <w:t>A scoping memo need not “detail every possible outcome of a proceeding.”</w:t>
      </w:r>
      <w:r w:rsidRPr="00AE0433" w:rsidR="00956302">
        <w:rPr>
          <w:rStyle w:val="FootnoteReference"/>
          <w:szCs w:val="26"/>
        </w:rPr>
        <w:footnoteReference w:id="52"/>
      </w:r>
      <w:r w:rsidRPr="00956302" w:rsidR="00956302">
        <w:rPr>
          <w:szCs w:val="26"/>
        </w:rPr>
        <w:t xml:space="preserve">  Rather, the </w:t>
      </w:r>
      <w:r>
        <w:rPr>
          <w:szCs w:val="26"/>
        </w:rPr>
        <w:t>s</w:t>
      </w:r>
      <w:r w:rsidRPr="00956302">
        <w:rPr>
          <w:szCs w:val="26"/>
        </w:rPr>
        <w:t xml:space="preserve">coping </w:t>
      </w:r>
      <w:r>
        <w:rPr>
          <w:szCs w:val="26"/>
        </w:rPr>
        <w:t>m</w:t>
      </w:r>
      <w:r w:rsidRPr="00956302">
        <w:rPr>
          <w:szCs w:val="26"/>
        </w:rPr>
        <w:t xml:space="preserve">emo </w:t>
      </w:r>
      <w:r w:rsidRPr="00956302" w:rsidR="00956302">
        <w:rPr>
          <w:szCs w:val="26"/>
        </w:rPr>
        <w:t xml:space="preserve">must fairly include the issue, such that an informed observer would reasonably </w:t>
      </w:r>
      <w:r w:rsidRPr="00956302" w:rsidR="00956302">
        <w:rPr>
          <w:szCs w:val="26"/>
        </w:rPr>
        <w:lastRenderedPageBreak/>
        <w:t>have understood that an issue was within the scope.</w:t>
      </w:r>
      <w:r w:rsidRPr="00AE0433" w:rsidR="00956302">
        <w:rPr>
          <w:rStyle w:val="FootnoteReference"/>
          <w:szCs w:val="26"/>
        </w:rPr>
        <w:footnoteReference w:id="53"/>
      </w:r>
      <w:r w:rsidRPr="00956302" w:rsidR="00956302">
        <w:rPr>
          <w:szCs w:val="26"/>
        </w:rPr>
        <w:t xml:space="preserve">  If a scoping memo describes issues such that there is a reasonable possibility of a particular outcome, that outcome is fairly within the scope.</w:t>
      </w:r>
      <w:r w:rsidRPr="00AE0433" w:rsidR="00956302">
        <w:rPr>
          <w:rStyle w:val="FootnoteReference"/>
          <w:szCs w:val="26"/>
        </w:rPr>
        <w:footnoteReference w:id="54"/>
      </w:r>
      <w:r w:rsidRPr="00956302" w:rsidR="00956302">
        <w:rPr>
          <w:szCs w:val="26"/>
        </w:rPr>
        <w:t xml:space="preserve">  Moreover, </w:t>
      </w:r>
      <w:r>
        <w:rPr>
          <w:szCs w:val="26"/>
        </w:rPr>
        <w:t>to demonstrate legal error</w:t>
      </w:r>
      <w:r w:rsidRPr="00956302" w:rsidR="00956302">
        <w:rPr>
          <w:szCs w:val="26"/>
        </w:rPr>
        <w:t xml:space="preserve"> a party must show that any deviation from the </w:t>
      </w:r>
      <w:r w:rsidR="004E63A8">
        <w:rPr>
          <w:szCs w:val="26"/>
        </w:rPr>
        <w:t>s</w:t>
      </w:r>
      <w:r w:rsidRPr="00956302" w:rsidR="004E63A8">
        <w:rPr>
          <w:szCs w:val="26"/>
        </w:rPr>
        <w:t xml:space="preserve">coping </w:t>
      </w:r>
      <w:r w:rsidR="004E63A8">
        <w:rPr>
          <w:szCs w:val="26"/>
        </w:rPr>
        <w:t>m</w:t>
      </w:r>
      <w:r w:rsidRPr="00956302" w:rsidR="004E63A8">
        <w:rPr>
          <w:szCs w:val="26"/>
        </w:rPr>
        <w:t xml:space="preserve">emo </w:t>
      </w:r>
      <w:r w:rsidRPr="00956302" w:rsidR="00956302">
        <w:rPr>
          <w:szCs w:val="26"/>
        </w:rPr>
        <w:t>was significant, or that they were prejudiced by it.</w:t>
      </w:r>
      <w:r w:rsidRPr="00AE0433" w:rsidR="00956302">
        <w:rPr>
          <w:rStyle w:val="FootnoteReference"/>
          <w:szCs w:val="26"/>
        </w:rPr>
        <w:footnoteReference w:id="55"/>
      </w:r>
    </w:p>
    <w:p w:rsidRPr="00884697" w:rsidR="00EE4C52" w:rsidP="00EE4C52" w:rsidRDefault="00EE4C52" w14:paraId="727FC65B" w14:textId="11FF463F">
      <w:pPr>
        <w:pStyle w:val="BodyText10"/>
        <w:ind w:firstLine="1440"/>
        <w:rPr>
          <w:szCs w:val="26"/>
        </w:rPr>
      </w:pPr>
      <w:r w:rsidRPr="00EE4C52">
        <w:rPr>
          <w:szCs w:val="26"/>
        </w:rPr>
        <w:t xml:space="preserve">This application’s Scoping Memo </w:t>
      </w:r>
      <w:r w:rsidR="004E63A8">
        <w:rPr>
          <w:szCs w:val="26"/>
        </w:rPr>
        <w:t>set forth</w:t>
      </w:r>
      <w:r w:rsidRPr="00EE4C52">
        <w:rPr>
          <w:szCs w:val="26"/>
        </w:rPr>
        <w:t xml:space="preserve"> the issues </w:t>
      </w:r>
      <w:r w:rsidRPr="004E63A8" w:rsidR="004E63A8">
        <w:rPr>
          <w:szCs w:val="26"/>
        </w:rPr>
        <w:t xml:space="preserve">to be considered </w:t>
      </w:r>
      <w:r w:rsidRPr="00EE4C52">
        <w:rPr>
          <w:szCs w:val="26"/>
        </w:rPr>
        <w:t xml:space="preserve">in </w:t>
      </w:r>
      <w:r>
        <w:rPr>
          <w:szCs w:val="26"/>
        </w:rPr>
        <w:t>the GRC</w:t>
      </w:r>
      <w:r w:rsidRPr="00EE4C52">
        <w:rPr>
          <w:szCs w:val="26"/>
        </w:rPr>
        <w:t>, including</w:t>
      </w:r>
      <w:r>
        <w:rPr>
          <w:szCs w:val="26"/>
        </w:rPr>
        <w:t>:</w:t>
      </w:r>
    </w:p>
    <w:p w:rsidR="00EE4C52" w:rsidP="00EE4C52" w:rsidRDefault="00EE4C52" w14:paraId="1CE3DB22" w14:textId="576215C6">
      <w:pPr>
        <w:pStyle w:val="Quotation"/>
      </w:pPr>
      <w:r>
        <w:t>Special Request 1: Whether Golden State’s report on the status of its authorized memorandum accounts and balancing accounts is accurate, and whether these accounts are reasonable and remain in the public interest; [and]</w:t>
      </w:r>
    </w:p>
    <w:p w:rsidRPr="0045620D" w:rsidR="00EE4C52" w:rsidP="009312A2" w:rsidRDefault="00EE4C52" w14:paraId="2AE9898B" w14:textId="61BA32CE">
      <w:pPr>
        <w:pStyle w:val="Quotation"/>
        <w:spacing w:after="240"/>
      </w:pPr>
      <w:r>
        <w:t>Special Request 8: Whether Goldan State’s request to modify its existing Polyfluoroalkyl Substances (PFAS) Memorandum Account to allow inclusion of carrying costs at Golden State’s adopted rate of return on all incremental plant investments to address treatment for PFAS is reasonable</w:t>
      </w:r>
      <w:r>
        <w:rPr>
          <w:szCs w:val="26"/>
        </w:rPr>
        <w:t>.</w:t>
      </w:r>
      <w:r w:rsidRPr="00AE0433">
        <w:rPr>
          <w:rStyle w:val="FootnoteReference"/>
          <w:szCs w:val="26"/>
        </w:rPr>
        <w:footnoteReference w:id="56"/>
      </w:r>
    </w:p>
    <w:p w:rsidRPr="00884697" w:rsidR="00EE4C52" w:rsidP="00203A22" w:rsidRDefault="00EE4C52" w14:paraId="6F10BFBD" w14:textId="6F2CE3D3">
      <w:pPr>
        <w:pStyle w:val="BodyText10"/>
        <w:ind w:firstLine="1440"/>
        <w:rPr>
          <w:szCs w:val="26"/>
        </w:rPr>
      </w:pPr>
      <w:r>
        <w:rPr>
          <w:szCs w:val="26"/>
        </w:rPr>
        <w:t xml:space="preserve">In Special Request 8, </w:t>
      </w:r>
      <w:r w:rsidRPr="00EE4C52">
        <w:rPr>
          <w:szCs w:val="26"/>
        </w:rPr>
        <w:t xml:space="preserve">GSW requested that it be allowed to include PFAS-related capital costs in its PFASMA.  </w:t>
      </w:r>
      <w:bookmarkStart w:name="_Hlk195000271" w:id="18"/>
      <w:r>
        <w:rPr>
          <w:szCs w:val="26"/>
        </w:rPr>
        <w:t>Th</w:t>
      </w:r>
      <w:r w:rsidR="00202F9E">
        <w:rPr>
          <w:szCs w:val="26"/>
        </w:rPr>
        <w:t>us, th</w:t>
      </w:r>
      <w:r>
        <w:rPr>
          <w:szCs w:val="26"/>
        </w:rPr>
        <w:t>e proper treatment of PFAS-related capital costs was always in the scope of the GRC.  Moreo</w:t>
      </w:r>
      <w:r w:rsidRPr="00EE4C52">
        <w:rPr>
          <w:szCs w:val="26"/>
        </w:rPr>
        <w:t>ver</w:t>
      </w:r>
      <w:bookmarkEnd w:id="18"/>
      <w:r w:rsidRPr="00EE4C52">
        <w:rPr>
          <w:szCs w:val="26"/>
        </w:rPr>
        <w:t xml:space="preserve">, it was a </w:t>
      </w:r>
      <w:r>
        <w:rPr>
          <w:szCs w:val="26"/>
        </w:rPr>
        <w:t>reasonable</w:t>
      </w:r>
      <w:r w:rsidRPr="00EE4C52">
        <w:rPr>
          <w:szCs w:val="26"/>
        </w:rPr>
        <w:t xml:space="preserve"> possibility that the Commission would not grant this request and would order a different treatment of these capital costs, such as ordering a separate application.  In fact, in its prepared testimony, submitted with its initial application in August 2023, GSW stated</w:t>
      </w:r>
      <w:r>
        <w:rPr>
          <w:szCs w:val="26"/>
        </w:rPr>
        <w:t>:</w:t>
      </w:r>
    </w:p>
    <w:p w:rsidRPr="0045620D" w:rsidR="00EE4C52" w:rsidP="00203A22" w:rsidRDefault="00EE4C52" w14:paraId="29EDDA6B" w14:textId="64B1DF63">
      <w:pPr>
        <w:pStyle w:val="Quotation"/>
        <w:spacing w:after="240"/>
      </w:pPr>
      <w:r w:rsidRPr="00EE4C52">
        <w:t xml:space="preserve">If the Commission should not grant GSWC’s request to modify its existing PFASMA as noted above, GSWC </w:t>
      </w:r>
      <w:r w:rsidRPr="00EE4C52">
        <w:rPr>
          <w:i/>
          <w:iCs/>
        </w:rPr>
        <w:t>will plan to file separate applications</w:t>
      </w:r>
      <w:r w:rsidRPr="00EE4C52">
        <w:t xml:space="preserve"> with the Commission to authorize capital for each project related to PFAS treatment. However, GSWC does not believe that the Commission’s review of such individual applications would be an efficient use of Commission resources.  Additionally, given the delay in the processing of GSWC’s 2020 GRC, GSWC is </w:t>
      </w:r>
      <w:r w:rsidRPr="00EE4C52">
        <w:lastRenderedPageBreak/>
        <w:t>concerned that the Commission’s timeline for processing individual applications may not support completion of the capital projects by the compliance deadline</w:t>
      </w:r>
      <w:r>
        <w:rPr>
          <w:szCs w:val="26"/>
        </w:rPr>
        <w:t>.</w:t>
      </w:r>
      <w:r w:rsidRPr="00AE0433">
        <w:rPr>
          <w:rStyle w:val="FootnoteReference"/>
          <w:szCs w:val="26"/>
        </w:rPr>
        <w:footnoteReference w:id="57"/>
      </w:r>
    </w:p>
    <w:p w:rsidRPr="00884697" w:rsidR="00D56322" w:rsidP="00D56322" w:rsidRDefault="00D56322" w14:paraId="47656BE5" w14:textId="7BD9FDD0">
      <w:pPr>
        <w:pStyle w:val="BodyText10"/>
        <w:rPr>
          <w:szCs w:val="26"/>
        </w:rPr>
      </w:pPr>
      <w:r w:rsidRPr="00D56322">
        <w:rPr>
          <w:szCs w:val="26"/>
        </w:rPr>
        <w:t xml:space="preserve">Thus, that the Commission would order GSW </w:t>
      </w:r>
      <w:r w:rsidR="004E63A8">
        <w:rPr>
          <w:szCs w:val="26"/>
        </w:rPr>
        <w:t xml:space="preserve">to </w:t>
      </w:r>
      <w:r w:rsidRPr="00D56322">
        <w:rPr>
          <w:szCs w:val="26"/>
        </w:rPr>
        <w:t>file separate application(s) for its PFAS-related capital costs was a reasonabl</w:t>
      </w:r>
      <w:r>
        <w:rPr>
          <w:szCs w:val="26"/>
        </w:rPr>
        <w:t>y foreseeable</w:t>
      </w:r>
      <w:r w:rsidRPr="00D56322">
        <w:rPr>
          <w:szCs w:val="26"/>
        </w:rPr>
        <w:t xml:space="preserve"> outcome of Special Request 8.  GSW </w:t>
      </w:r>
      <w:r w:rsidR="00690253">
        <w:rPr>
          <w:szCs w:val="26"/>
        </w:rPr>
        <w:t xml:space="preserve">seeks to rescind </w:t>
      </w:r>
      <w:r w:rsidRPr="00D56322">
        <w:rPr>
          <w:szCs w:val="26"/>
        </w:rPr>
        <w:t>OP 3</w:t>
      </w:r>
      <w:r>
        <w:rPr>
          <w:szCs w:val="26"/>
        </w:rPr>
        <w:t xml:space="preserve"> (copied below)</w:t>
      </w:r>
      <w:r w:rsidR="00690253">
        <w:rPr>
          <w:szCs w:val="26"/>
        </w:rPr>
        <w:t xml:space="preserve"> as out of scope</w:t>
      </w:r>
      <w:r w:rsidRPr="00D56322">
        <w:rPr>
          <w:szCs w:val="26"/>
        </w:rPr>
        <w:t xml:space="preserve">, even though </w:t>
      </w:r>
      <w:r>
        <w:rPr>
          <w:szCs w:val="26"/>
        </w:rPr>
        <w:t>its substance is identical</w:t>
      </w:r>
      <w:r w:rsidRPr="00D56322">
        <w:rPr>
          <w:szCs w:val="26"/>
        </w:rPr>
        <w:t xml:space="preserve"> to its own August 2023 proposal </w:t>
      </w:r>
      <w:r>
        <w:rPr>
          <w:szCs w:val="26"/>
        </w:rPr>
        <w:t>(</w:t>
      </w:r>
      <w:r w:rsidRPr="00D56322">
        <w:rPr>
          <w:szCs w:val="26"/>
        </w:rPr>
        <w:t>copied above</w:t>
      </w:r>
      <w:r>
        <w:rPr>
          <w:szCs w:val="26"/>
        </w:rPr>
        <w:t>):</w:t>
      </w:r>
    </w:p>
    <w:p w:rsidRPr="0045620D" w:rsidR="00D56322" w:rsidP="00D56322" w:rsidRDefault="00D56322" w14:paraId="18E91187" w14:textId="420C6B21">
      <w:pPr>
        <w:pStyle w:val="Quotation"/>
      </w:pPr>
      <w:r w:rsidRPr="00D56322">
        <w:t xml:space="preserve">Golden State Water Company shall present plans for capital investments related to Polyfluoroalkyl Substances (PFAS) treatment </w:t>
      </w:r>
      <w:r w:rsidRPr="00D56322">
        <w:rPr>
          <w:i/>
          <w:iCs/>
        </w:rPr>
        <w:t xml:space="preserve">in a separate application or in its next general rate case </w:t>
      </w:r>
      <w:proofErr w:type="gramStart"/>
      <w:r w:rsidRPr="00D56322">
        <w:rPr>
          <w:i/>
          <w:iCs/>
        </w:rPr>
        <w:t>filing</w:t>
      </w:r>
      <w:r w:rsidRPr="00D56322">
        <w:t>, and</w:t>
      </w:r>
      <w:proofErr w:type="gramEnd"/>
      <w:r w:rsidRPr="00D56322">
        <w:t xml:space="preserve"> shall not record them in its PFAS memorandum account</w:t>
      </w:r>
      <w:r>
        <w:rPr>
          <w:szCs w:val="26"/>
        </w:rPr>
        <w:t>.</w:t>
      </w:r>
      <w:r w:rsidRPr="00AE0433">
        <w:rPr>
          <w:rStyle w:val="FootnoteReference"/>
          <w:szCs w:val="26"/>
        </w:rPr>
        <w:footnoteReference w:id="58"/>
      </w:r>
    </w:p>
    <w:p w:rsidR="00EE4C52" w:rsidP="00BB0333" w:rsidRDefault="00D56322" w14:paraId="05FDF736" w14:textId="61D95AE4">
      <w:pPr>
        <w:pStyle w:val="BodyText10"/>
        <w:ind w:firstLine="0"/>
        <w:rPr>
          <w:szCs w:val="26"/>
        </w:rPr>
      </w:pPr>
      <w:r w:rsidRPr="00D56322">
        <w:rPr>
          <w:szCs w:val="26"/>
        </w:rPr>
        <w:t>The proper treatment of PFAS-related capital costs, including a requirement for separate applications</w:t>
      </w:r>
      <w:r>
        <w:rPr>
          <w:szCs w:val="26"/>
        </w:rPr>
        <w:t>,</w:t>
      </w:r>
      <w:r w:rsidRPr="00D56322">
        <w:rPr>
          <w:szCs w:val="26"/>
        </w:rPr>
        <w:t xml:space="preserve"> was within the scope of the GRC from its inception</w:t>
      </w:r>
      <w:r>
        <w:rPr>
          <w:szCs w:val="26"/>
        </w:rPr>
        <w:t>.</w:t>
      </w:r>
    </w:p>
    <w:p w:rsidRPr="00884697" w:rsidR="003B46D4" w:rsidP="00203A22" w:rsidRDefault="004D69BC" w14:paraId="250909BD" w14:textId="0BF21A8E">
      <w:pPr>
        <w:pStyle w:val="Heading3"/>
        <w:ind w:left="2160"/>
      </w:pPr>
      <w:r w:rsidRPr="004D69BC">
        <w:t>Proper Use of the CRMA Was in the Scope of the GRC</w:t>
      </w:r>
      <w:r w:rsidR="003B46D4">
        <w:t>.</w:t>
      </w:r>
    </w:p>
    <w:p w:rsidR="0013425A" w:rsidP="00203A22" w:rsidRDefault="004D69BC" w14:paraId="602AA69B" w14:textId="7FAD080F">
      <w:pPr>
        <w:pStyle w:val="BodyText10"/>
        <w:ind w:firstLine="1440"/>
        <w:rPr>
          <w:szCs w:val="26"/>
        </w:rPr>
      </w:pPr>
      <w:r w:rsidRPr="004D69BC">
        <w:rPr>
          <w:szCs w:val="26"/>
        </w:rPr>
        <w:t xml:space="preserve">GSW seems to believe that because the Scoping Memo did not include the specific text “Contaminant Remediation Memorandum Account” or CRMA, the Decision could not </w:t>
      </w:r>
      <w:r w:rsidR="004E63A8">
        <w:rPr>
          <w:szCs w:val="26"/>
        </w:rPr>
        <w:t>discuss whether</w:t>
      </w:r>
      <w:r w:rsidRPr="004D69BC" w:rsidR="004E63A8">
        <w:rPr>
          <w:szCs w:val="26"/>
        </w:rPr>
        <w:t xml:space="preserve"> </w:t>
      </w:r>
      <w:r w:rsidRPr="004D69BC">
        <w:rPr>
          <w:szCs w:val="26"/>
        </w:rPr>
        <w:t xml:space="preserve">GSW </w:t>
      </w:r>
      <w:r w:rsidR="004E63A8">
        <w:rPr>
          <w:szCs w:val="26"/>
        </w:rPr>
        <w:t>should</w:t>
      </w:r>
      <w:r w:rsidRPr="004D69BC">
        <w:rPr>
          <w:szCs w:val="26"/>
        </w:rPr>
        <w:t xml:space="preserve"> include PFAS-related capital costs in the CRMA.</w:t>
      </w:r>
      <w:r w:rsidRPr="00AE0433">
        <w:rPr>
          <w:rStyle w:val="FootnoteReference"/>
          <w:szCs w:val="26"/>
        </w:rPr>
        <w:footnoteReference w:id="59"/>
      </w:r>
      <w:r w:rsidRPr="004D69BC">
        <w:rPr>
          <w:szCs w:val="26"/>
        </w:rPr>
        <w:t xml:space="preserve">  </w:t>
      </w:r>
      <w:r>
        <w:rPr>
          <w:szCs w:val="26"/>
        </w:rPr>
        <w:t>H</w:t>
      </w:r>
      <w:r w:rsidRPr="004D69BC">
        <w:rPr>
          <w:szCs w:val="26"/>
        </w:rPr>
        <w:t xml:space="preserve">owever, as discussed in the Scoping Memo, GSW’s Special Request 1 included </w:t>
      </w:r>
      <w:r>
        <w:rPr>
          <w:szCs w:val="26"/>
        </w:rPr>
        <w:t xml:space="preserve">a consideration of </w:t>
      </w:r>
      <w:r w:rsidRPr="004D69BC">
        <w:rPr>
          <w:szCs w:val="26"/>
        </w:rPr>
        <w:t>whether GSW’s report on all its memorandum accounts was accurate and whether all these accounts were reasonable.</w:t>
      </w:r>
      <w:r w:rsidRPr="00AE0433" w:rsidR="0013425A">
        <w:rPr>
          <w:rStyle w:val="FootnoteReference"/>
          <w:szCs w:val="26"/>
        </w:rPr>
        <w:footnoteReference w:id="60"/>
      </w:r>
      <w:r w:rsidRPr="004D69BC">
        <w:rPr>
          <w:szCs w:val="26"/>
        </w:rPr>
        <w:t xml:space="preserve">  It is immaterial that the Scoping Memo did not list all thirty memorandum accounts verbatim.  </w:t>
      </w:r>
      <w:r w:rsidR="0013425A">
        <w:rPr>
          <w:szCs w:val="26"/>
        </w:rPr>
        <w:t>P</w:t>
      </w:r>
      <w:r w:rsidRPr="004D69BC">
        <w:rPr>
          <w:szCs w:val="26"/>
        </w:rPr>
        <w:t>roper use of the CRMA was in the scope of the GRC from its inception</w:t>
      </w:r>
      <w:r w:rsidR="0013425A">
        <w:rPr>
          <w:szCs w:val="26"/>
        </w:rPr>
        <w:t>.</w:t>
      </w:r>
    </w:p>
    <w:p w:rsidRPr="00436219" w:rsidR="0013425A" w:rsidP="00203A22" w:rsidRDefault="0013425A" w14:paraId="761AC819" w14:textId="56563337">
      <w:pPr>
        <w:pStyle w:val="BodyText10"/>
        <w:ind w:firstLine="1440"/>
        <w:rPr>
          <w:szCs w:val="26"/>
        </w:rPr>
      </w:pPr>
      <w:r w:rsidRPr="0013425A">
        <w:rPr>
          <w:szCs w:val="26"/>
        </w:rPr>
        <w:lastRenderedPageBreak/>
        <w:t xml:space="preserve">In prepared testimony submitted with its initial </w:t>
      </w:r>
      <w:r>
        <w:rPr>
          <w:szCs w:val="26"/>
        </w:rPr>
        <w:t xml:space="preserve">GRC </w:t>
      </w:r>
      <w:r w:rsidRPr="0013425A">
        <w:rPr>
          <w:szCs w:val="26"/>
        </w:rPr>
        <w:t>application in August 2023, GSW described its proposed uses of the CRMA; for example, GSW proposed to use this account to “track incremental compliance and remediation costs” related to excess contaminants in water.</w:t>
      </w:r>
      <w:r w:rsidRPr="00AE0433">
        <w:rPr>
          <w:rStyle w:val="FootnoteReference"/>
          <w:szCs w:val="26"/>
        </w:rPr>
        <w:footnoteReference w:id="61"/>
      </w:r>
      <w:r w:rsidRPr="0013425A">
        <w:rPr>
          <w:szCs w:val="26"/>
        </w:rPr>
        <w:t xml:space="preserve">  </w:t>
      </w:r>
      <w:r>
        <w:rPr>
          <w:szCs w:val="26"/>
        </w:rPr>
        <w:t>I</w:t>
      </w:r>
      <w:r w:rsidRPr="0013425A">
        <w:rPr>
          <w:szCs w:val="26"/>
        </w:rPr>
        <w:t xml:space="preserve">n August 2023, GSW did not specifically propose that the CRMA include PFAS-related capital costs.  </w:t>
      </w:r>
      <w:r w:rsidR="00A82F8E">
        <w:rPr>
          <w:szCs w:val="26"/>
        </w:rPr>
        <w:t xml:space="preserve">However, GSW subsequently </w:t>
      </w:r>
      <w:r w:rsidR="00286887">
        <w:rPr>
          <w:szCs w:val="26"/>
        </w:rPr>
        <w:t xml:space="preserve">asserted </w:t>
      </w:r>
      <w:r w:rsidR="00274BB1">
        <w:rPr>
          <w:szCs w:val="26"/>
        </w:rPr>
        <w:t xml:space="preserve">in its rebuttal testimony </w:t>
      </w:r>
      <w:r w:rsidR="00286887">
        <w:rPr>
          <w:szCs w:val="26"/>
        </w:rPr>
        <w:t>that it would track the</w:t>
      </w:r>
      <w:r w:rsidR="00483EFA">
        <w:rPr>
          <w:szCs w:val="26"/>
        </w:rPr>
        <w:t xml:space="preserve"> PFAS-related capital </w:t>
      </w:r>
      <w:r w:rsidR="00286887">
        <w:rPr>
          <w:szCs w:val="26"/>
        </w:rPr>
        <w:t xml:space="preserve">costs in the CRMA if the Commission were to deny Special Request </w:t>
      </w:r>
      <w:r w:rsidR="0059304B">
        <w:rPr>
          <w:szCs w:val="26"/>
        </w:rPr>
        <w:t>8.</w:t>
      </w:r>
      <w:r w:rsidRPr="00AE0433" w:rsidR="00436219">
        <w:rPr>
          <w:rStyle w:val="FootnoteReference"/>
          <w:szCs w:val="26"/>
        </w:rPr>
        <w:footnoteReference w:id="62"/>
      </w:r>
      <w:r w:rsidR="0059304B">
        <w:rPr>
          <w:szCs w:val="26"/>
        </w:rPr>
        <w:t xml:space="preserve">  </w:t>
      </w:r>
      <w:r w:rsidR="00D27781">
        <w:rPr>
          <w:szCs w:val="26"/>
        </w:rPr>
        <w:t xml:space="preserve">To the extent </w:t>
      </w:r>
      <w:r w:rsidRPr="0013425A">
        <w:rPr>
          <w:szCs w:val="26"/>
        </w:rPr>
        <w:t>GSW claims that its proposal to track “incremental compliance and remediation costs” somehow includes PFAS-related capital costs,</w:t>
      </w:r>
      <w:r w:rsidRPr="00AE0433">
        <w:rPr>
          <w:rStyle w:val="FootnoteReference"/>
          <w:szCs w:val="26"/>
        </w:rPr>
        <w:footnoteReference w:id="63"/>
      </w:r>
      <w:r w:rsidRPr="0013425A">
        <w:rPr>
          <w:szCs w:val="26"/>
        </w:rPr>
        <w:t xml:space="preserve"> then this proposed use of the CRMA is within the scope of Special Request 1, and the Commission may reject it in OP 3 and may address it in </w:t>
      </w:r>
      <w:r w:rsidR="00F0548E">
        <w:rPr>
          <w:szCs w:val="26"/>
        </w:rPr>
        <w:t>the Decision</w:t>
      </w:r>
      <w:r w:rsidRPr="0013425A">
        <w:rPr>
          <w:szCs w:val="26"/>
        </w:rPr>
        <w:t>.</w:t>
      </w:r>
      <w:r w:rsidRPr="00AE0433" w:rsidR="00B51900">
        <w:rPr>
          <w:rStyle w:val="FootnoteReference"/>
          <w:szCs w:val="26"/>
        </w:rPr>
        <w:footnoteReference w:id="64"/>
      </w:r>
    </w:p>
    <w:p w:rsidR="00D56322" w:rsidP="00203A22" w:rsidRDefault="004E63A8" w14:paraId="2898D194" w14:textId="153ED14C">
      <w:pPr>
        <w:pStyle w:val="BodyText10"/>
        <w:ind w:firstLine="1440"/>
        <w:rPr>
          <w:szCs w:val="26"/>
        </w:rPr>
      </w:pPr>
      <w:r w:rsidRPr="004E63A8">
        <w:rPr>
          <w:szCs w:val="26"/>
        </w:rPr>
        <w:t>Moreover, the Commission had previously stated that for GSW’s PFAS-related costs, “the appropriate place to request rate increases to cover</w:t>
      </w:r>
      <w:r>
        <w:rPr>
          <w:szCs w:val="26"/>
        </w:rPr>
        <w:t xml:space="preserve"> </w:t>
      </w:r>
      <w:r w:rsidRPr="004E63A8">
        <w:rPr>
          <w:szCs w:val="26"/>
        </w:rPr>
        <w:t>incremental plant costs is an application where the utility can make the showing that the incremental plant is necessary to provide safe water service</w:t>
      </w:r>
      <w:r>
        <w:rPr>
          <w:szCs w:val="26"/>
        </w:rPr>
        <w:t>.”</w:t>
      </w:r>
      <w:r w:rsidRPr="00AE0433">
        <w:rPr>
          <w:rStyle w:val="FootnoteReference"/>
          <w:szCs w:val="26"/>
        </w:rPr>
        <w:footnoteReference w:id="65"/>
      </w:r>
      <w:r>
        <w:rPr>
          <w:szCs w:val="26"/>
        </w:rPr>
        <w:t xml:space="preserve">  </w:t>
      </w:r>
      <w:r w:rsidRPr="004E63A8">
        <w:rPr>
          <w:szCs w:val="26"/>
        </w:rPr>
        <w:t>Thus, OP 3 and</w:t>
      </w:r>
      <w:r w:rsidR="009B5163">
        <w:rPr>
          <w:szCs w:val="26"/>
        </w:rPr>
        <w:t xml:space="preserve"> the Decision’</w:t>
      </w:r>
      <w:r w:rsidR="008F09CD">
        <w:rPr>
          <w:szCs w:val="26"/>
        </w:rPr>
        <w:t>s</w:t>
      </w:r>
      <w:r w:rsidRPr="004E63A8">
        <w:rPr>
          <w:szCs w:val="26"/>
        </w:rPr>
        <w:t xml:space="preserve"> caution against using the CRMA</w:t>
      </w:r>
      <w:r w:rsidR="009B5163">
        <w:rPr>
          <w:szCs w:val="26"/>
        </w:rPr>
        <w:t xml:space="preserve"> for these costs</w:t>
      </w:r>
      <w:r w:rsidRPr="004E63A8">
        <w:rPr>
          <w:szCs w:val="26"/>
        </w:rPr>
        <w:t xml:space="preserve">, was just a continuation of Commission precedent regarding PFAS-related capital costs. </w:t>
      </w:r>
      <w:r w:rsidR="003D0E3B">
        <w:rPr>
          <w:szCs w:val="26"/>
        </w:rPr>
        <w:t xml:space="preserve"> </w:t>
      </w:r>
      <w:r w:rsidRPr="0013425A" w:rsidR="0013425A">
        <w:rPr>
          <w:szCs w:val="26"/>
        </w:rPr>
        <w:t>In any case, proper use of all memorandum accounts, including the CRMA, was within the scope of the proceeding from its inception, as part of GSW’s Special Request 1.  Th</w:t>
      </w:r>
      <w:r w:rsidR="0013425A">
        <w:rPr>
          <w:szCs w:val="26"/>
        </w:rPr>
        <w:t>us, th</w:t>
      </w:r>
      <w:r w:rsidRPr="0013425A" w:rsidR="0013425A">
        <w:rPr>
          <w:szCs w:val="26"/>
        </w:rPr>
        <w:t>e Commission may make orders related to all the memorandum accounts, including the PFASMA and the CRMA</w:t>
      </w:r>
      <w:r w:rsidR="003D0E3B">
        <w:rPr>
          <w:szCs w:val="26"/>
        </w:rPr>
        <w:t>, in this proceeding</w:t>
      </w:r>
      <w:r w:rsidRPr="0013425A" w:rsidR="0013425A">
        <w:rPr>
          <w:szCs w:val="26"/>
        </w:rPr>
        <w:t>.</w:t>
      </w:r>
    </w:p>
    <w:p w:rsidRPr="00884697" w:rsidR="003B46D4" w:rsidP="00203A22" w:rsidRDefault="0013425A" w14:paraId="04A8FEA9" w14:textId="3B7D7735">
      <w:pPr>
        <w:pStyle w:val="Heading3"/>
        <w:ind w:left="2160"/>
      </w:pPr>
      <w:r w:rsidRPr="0013425A">
        <w:lastRenderedPageBreak/>
        <w:t>GSW Suffered No Prejudice from Ordering Paragraph 3</w:t>
      </w:r>
      <w:r w:rsidR="003B46D4">
        <w:t>.</w:t>
      </w:r>
    </w:p>
    <w:p w:rsidR="003B46D4" w:rsidP="00203A22" w:rsidRDefault="00B51900" w14:paraId="0D3D508C" w14:textId="222BED07">
      <w:pPr>
        <w:pStyle w:val="BodyText10"/>
        <w:ind w:firstLine="1440"/>
        <w:rPr>
          <w:szCs w:val="26"/>
        </w:rPr>
      </w:pPr>
      <w:r w:rsidRPr="00B51900">
        <w:rPr>
          <w:szCs w:val="26"/>
        </w:rPr>
        <w:t>GSW did not suffer any prejudice</w:t>
      </w:r>
      <w:r>
        <w:rPr>
          <w:szCs w:val="26"/>
        </w:rPr>
        <w:t xml:space="preserve"> from OP 3</w:t>
      </w:r>
      <w:r w:rsidRPr="00B51900">
        <w:rPr>
          <w:szCs w:val="26"/>
        </w:rPr>
        <w:t xml:space="preserve">, as </w:t>
      </w:r>
      <w:r>
        <w:rPr>
          <w:szCs w:val="26"/>
        </w:rPr>
        <w:t>it</w:t>
      </w:r>
      <w:r w:rsidRPr="00B51900">
        <w:rPr>
          <w:szCs w:val="26"/>
        </w:rPr>
        <w:t xml:space="preserve"> simply paraphrased GSW’s own proposal for PFAS-related capital costs </w:t>
      </w:r>
      <w:r>
        <w:rPr>
          <w:szCs w:val="26"/>
        </w:rPr>
        <w:t>foun</w:t>
      </w:r>
      <w:r w:rsidRPr="00B51900">
        <w:rPr>
          <w:szCs w:val="26"/>
        </w:rPr>
        <w:t>d in Prepared Testimony accompanying its initial GRC application.  In making this proposal, GSW expressed disagreement with it, stating that separate applications would not be an efficient use of Commission resources, and that the applications may not be processed in a timely manner.</w:t>
      </w:r>
      <w:r w:rsidRPr="00AE0433">
        <w:rPr>
          <w:rStyle w:val="FootnoteReference"/>
          <w:szCs w:val="26"/>
        </w:rPr>
        <w:footnoteReference w:id="66"/>
      </w:r>
      <w:r>
        <w:rPr>
          <w:szCs w:val="26"/>
        </w:rPr>
        <w:t xml:space="preserve">  </w:t>
      </w:r>
      <w:r w:rsidRPr="00B51900">
        <w:rPr>
          <w:szCs w:val="26"/>
        </w:rPr>
        <w:t>GSW had already identified and discussed its objections against the requirement of separate applications for PFAS-related capital costs, at the inception of the GRC.  Thus, GSW had every opportunity to expand on its objections and advocate against separate applications throughout the proceeding.  GSW cannot claim that it was prejudiced by OP 3</w:t>
      </w:r>
      <w:r>
        <w:rPr>
          <w:szCs w:val="26"/>
        </w:rPr>
        <w:t>.</w:t>
      </w:r>
    </w:p>
    <w:p w:rsidR="0013425A" w:rsidP="00203A22" w:rsidRDefault="00B51900" w14:paraId="08CA5A0E" w14:textId="380116FB">
      <w:pPr>
        <w:pStyle w:val="BodyText10"/>
        <w:ind w:firstLine="1440"/>
        <w:rPr>
          <w:szCs w:val="26"/>
        </w:rPr>
      </w:pPr>
      <w:r w:rsidRPr="00B51900">
        <w:rPr>
          <w:szCs w:val="26"/>
        </w:rPr>
        <w:t>The proper use of all its memorandum accounts was in the scope of the application.  By its own admission, GSW did not specifically propose to use the CRMA to track PFAS-related capital costs until midway during the proceeding, in rebuttal testimony.</w:t>
      </w:r>
      <w:bookmarkStart w:name="_Hlk195003965" w:id="19"/>
      <w:r w:rsidRPr="00AE0433">
        <w:rPr>
          <w:rStyle w:val="FootnoteReference"/>
          <w:szCs w:val="26"/>
        </w:rPr>
        <w:footnoteReference w:id="67"/>
      </w:r>
      <w:bookmarkEnd w:id="19"/>
      <w:r w:rsidRPr="00B51900">
        <w:rPr>
          <w:szCs w:val="26"/>
        </w:rPr>
        <w:t xml:space="preserve">  Of course, GSW claims that tracking PFAS-related capital costs was already within the authorized use of the CRMA.</w:t>
      </w:r>
      <w:r w:rsidRPr="00AE0433" w:rsidR="005D577F">
        <w:rPr>
          <w:rStyle w:val="FootnoteReference"/>
          <w:szCs w:val="26"/>
        </w:rPr>
        <w:footnoteReference w:id="68"/>
      </w:r>
      <w:r w:rsidRPr="00B51900">
        <w:rPr>
          <w:szCs w:val="26"/>
        </w:rPr>
        <w:t xml:space="preserve">  In any case, GSW had every opportunity, since the inception of the GRC, to advocate for the use of the CRMA to track PFAS-related costs, since the proper use of all memorandum accounts was within the scope of the proceeding</w:t>
      </w:r>
      <w:r w:rsidR="005D577F">
        <w:rPr>
          <w:szCs w:val="26"/>
        </w:rPr>
        <w:t xml:space="preserve">.  </w:t>
      </w:r>
      <w:bookmarkStart w:name="_Hlk195004080" w:id="20"/>
      <w:r w:rsidR="005D577F">
        <w:rPr>
          <w:szCs w:val="26"/>
        </w:rPr>
        <w:t>GSW cannot claim that it was prejudiced by OP 3 or the Commission’s caution against using the CRMA to track PFAS-related costs</w:t>
      </w:r>
      <w:bookmarkEnd w:id="20"/>
      <w:r w:rsidR="00455ED1">
        <w:rPr>
          <w:szCs w:val="26"/>
        </w:rPr>
        <w:t xml:space="preserve">, which </w:t>
      </w:r>
      <w:r w:rsidR="00D619BE">
        <w:rPr>
          <w:szCs w:val="26"/>
        </w:rPr>
        <w:t xml:space="preserve">merely reiterated prior </w:t>
      </w:r>
      <w:r w:rsidRPr="004E63A8" w:rsidR="00ED669F">
        <w:rPr>
          <w:szCs w:val="26"/>
        </w:rPr>
        <w:t xml:space="preserve">Commission </w:t>
      </w:r>
      <w:r w:rsidR="00D619BE">
        <w:rPr>
          <w:szCs w:val="26"/>
        </w:rPr>
        <w:t>direction</w:t>
      </w:r>
      <w:r w:rsidRPr="004E63A8" w:rsidR="00ED669F">
        <w:rPr>
          <w:szCs w:val="26"/>
        </w:rPr>
        <w:t xml:space="preserve"> regarding PFAS-related capital costs</w:t>
      </w:r>
      <w:r w:rsidR="005D577F">
        <w:rPr>
          <w:szCs w:val="26"/>
        </w:rPr>
        <w:t>.</w:t>
      </w:r>
    </w:p>
    <w:p w:rsidRPr="00884697" w:rsidR="003B46D4" w:rsidP="00203A22" w:rsidRDefault="005D577F" w14:paraId="2FDC4847" w14:textId="47A98F90">
      <w:pPr>
        <w:pStyle w:val="Heading3"/>
        <w:ind w:left="2160"/>
      </w:pPr>
      <w:r>
        <w:lastRenderedPageBreak/>
        <w:t>Statements</w:t>
      </w:r>
      <w:r w:rsidRPr="0047419D" w:rsidR="003B46D4">
        <w:t xml:space="preserve"> </w:t>
      </w:r>
      <w:r w:rsidRPr="005D577F">
        <w:t>in the Proposed Decision and by the ALJ During a Hearing Provide No Basis to Limit the Scope of a Proceeding</w:t>
      </w:r>
      <w:r w:rsidR="003B46D4">
        <w:t>.</w:t>
      </w:r>
    </w:p>
    <w:p w:rsidR="003B46D4" w:rsidP="00203A22" w:rsidRDefault="005D577F" w14:paraId="518A9EE4" w14:textId="179F82B2">
      <w:pPr>
        <w:pStyle w:val="BodyText10"/>
        <w:ind w:firstLine="1440"/>
        <w:rPr>
          <w:szCs w:val="26"/>
        </w:rPr>
      </w:pPr>
      <w:r w:rsidRPr="005D577F">
        <w:rPr>
          <w:szCs w:val="26"/>
        </w:rPr>
        <w:t xml:space="preserve">GSW claims that the </w:t>
      </w:r>
      <w:r>
        <w:rPr>
          <w:szCs w:val="26"/>
        </w:rPr>
        <w:t xml:space="preserve">initial </w:t>
      </w:r>
      <w:r w:rsidRPr="005D577F">
        <w:rPr>
          <w:szCs w:val="26"/>
        </w:rPr>
        <w:t>Proposed Decision</w:t>
      </w:r>
      <w:r>
        <w:rPr>
          <w:szCs w:val="26"/>
        </w:rPr>
        <w:t xml:space="preserve"> in the GRC</w:t>
      </w:r>
      <w:r w:rsidRPr="005D577F">
        <w:rPr>
          <w:szCs w:val="26"/>
        </w:rPr>
        <w:t xml:space="preserve"> included a statement that clarified that “issues related to [GSW’s] CRMA are not within the scope of the proceeding.”</w:t>
      </w:r>
      <w:r w:rsidRPr="00AE0433">
        <w:rPr>
          <w:rStyle w:val="FootnoteReference"/>
          <w:szCs w:val="26"/>
        </w:rPr>
        <w:footnoteReference w:id="69"/>
      </w:r>
      <w:r w:rsidRPr="005D577F">
        <w:rPr>
          <w:szCs w:val="26"/>
        </w:rPr>
        <w:t xml:space="preserve">  Similarly, GSW claims that ALJ Nojan</w:t>
      </w:r>
      <w:r w:rsidR="009B5163">
        <w:rPr>
          <w:szCs w:val="26"/>
        </w:rPr>
        <w:t xml:space="preserve"> made a</w:t>
      </w:r>
      <w:r w:rsidRPr="005D577F">
        <w:rPr>
          <w:szCs w:val="26"/>
        </w:rPr>
        <w:t xml:space="preserve"> statement at the </w:t>
      </w:r>
      <w:r w:rsidR="00127EB1">
        <w:rPr>
          <w:szCs w:val="26"/>
        </w:rPr>
        <w:t>prehearing conference</w:t>
      </w:r>
      <w:r w:rsidRPr="005D577F">
        <w:rPr>
          <w:szCs w:val="26"/>
        </w:rPr>
        <w:t xml:space="preserve"> that </w:t>
      </w:r>
      <w:r w:rsidR="009B5163">
        <w:rPr>
          <w:szCs w:val="26"/>
        </w:rPr>
        <w:t>“</w:t>
      </w:r>
      <w:r w:rsidRPr="005D577F">
        <w:rPr>
          <w:szCs w:val="26"/>
        </w:rPr>
        <w:t>the CRMA is outside the scope of this proceeding.”</w:t>
      </w:r>
      <w:r w:rsidRPr="00AE0433" w:rsidR="006F569A">
        <w:rPr>
          <w:rStyle w:val="FootnoteReference"/>
          <w:szCs w:val="26"/>
        </w:rPr>
        <w:footnoteReference w:id="70"/>
      </w:r>
      <w:r w:rsidRPr="005D577F">
        <w:rPr>
          <w:szCs w:val="26"/>
        </w:rPr>
        <w:t xml:space="preserve"> </w:t>
      </w:r>
      <w:r w:rsidR="006F569A">
        <w:rPr>
          <w:szCs w:val="26"/>
        </w:rPr>
        <w:t xml:space="preserve"> </w:t>
      </w:r>
      <w:r w:rsidRPr="005D577F">
        <w:rPr>
          <w:szCs w:val="26"/>
        </w:rPr>
        <w:t xml:space="preserve">First, statements in a Proposed Decision have no </w:t>
      </w:r>
      <w:r w:rsidR="009B5163">
        <w:rPr>
          <w:szCs w:val="26"/>
        </w:rPr>
        <w:t>legal effect</w:t>
      </w:r>
      <w:r w:rsidRPr="005D577F">
        <w:rPr>
          <w:szCs w:val="26"/>
        </w:rPr>
        <w:t xml:space="preserve"> unless they are approved by the Commission; the Commission may reject all or portions of the Proposed Decision.</w:t>
      </w:r>
      <w:r w:rsidRPr="00AE0433" w:rsidR="006F569A">
        <w:rPr>
          <w:rStyle w:val="FootnoteReference"/>
          <w:szCs w:val="26"/>
        </w:rPr>
        <w:footnoteReference w:id="71"/>
      </w:r>
      <w:r w:rsidRPr="005D577F">
        <w:rPr>
          <w:szCs w:val="26"/>
        </w:rPr>
        <w:t xml:space="preserve">  Oral statements made by </w:t>
      </w:r>
      <w:r w:rsidR="004F645B">
        <w:rPr>
          <w:szCs w:val="26"/>
        </w:rPr>
        <w:t>the</w:t>
      </w:r>
      <w:r w:rsidRPr="005D577F">
        <w:rPr>
          <w:szCs w:val="26"/>
        </w:rPr>
        <w:t xml:space="preserve"> ALJ at </w:t>
      </w:r>
      <w:r w:rsidR="004F645B">
        <w:rPr>
          <w:szCs w:val="26"/>
        </w:rPr>
        <w:t>the</w:t>
      </w:r>
      <w:r w:rsidR="009B5163">
        <w:rPr>
          <w:szCs w:val="26"/>
        </w:rPr>
        <w:t xml:space="preserve"> evidentiary</w:t>
      </w:r>
      <w:r w:rsidRPr="005D577F">
        <w:rPr>
          <w:szCs w:val="26"/>
        </w:rPr>
        <w:t xml:space="preserve"> hearing</w:t>
      </w:r>
      <w:r w:rsidR="00F96AD2">
        <w:rPr>
          <w:szCs w:val="26"/>
        </w:rPr>
        <w:t xml:space="preserve"> (not the prehearing conference as claimed by GSW)</w:t>
      </w:r>
      <w:r w:rsidRPr="005D577F">
        <w:rPr>
          <w:szCs w:val="26"/>
        </w:rPr>
        <w:t xml:space="preserve"> </w:t>
      </w:r>
      <w:r w:rsidR="009B5163">
        <w:rPr>
          <w:szCs w:val="26"/>
        </w:rPr>
        <w:t>also do not set the scope of the proceeding</w:t>
      </w:r>
      <w:r w:rsidRPr="005D577F">
        <w:rPr>
          <w:szCs w:val="26"/>
        </w:rPr>
        <w:t>.</w:t>
      </w:r>
      <w:r w:rsidRPr="00AE0433" w:rsidR="006F569A">
        <w:rPr>
          <w:rStyle w:val="FootnoteReference"/>
          <w:szCs w:val="26"/>
        </w:rPr>
        <w:footnoteReference w:id="72"/>
      </w:r>
      <w:r w:rsidRPr="005D577F">
        <w:rPr>
          <w:szCs w:val="26"/>
        </w:rPr>
        <w:t xml:space="preserve">  GSW cannot demonstrate that these statement</w:t>
      </w:r>
      <w:r w:rsidR="00F00113">
        <w:rPr>
          <w:szCs w:val="26"/>
        </w:rPr>
        <w:t>s</w:t>
      </w:r>
      <w:r w:rsidRPr="005D577F">
        <w:rPr>
          <w:szCs w:val="26"/>
        </w:rPr>
        <w:t xml:space="preserve"> have any legal impact whatsoever.</w:t>
      </w:r>
    </w:p>
    <w:p w:rsidR="0061578F" w:rsidP="00203A22" w:rsidRDefault="006F569A" w14:paraId="77F360FE" w14:textId="05D15B37">
      <w:pPr>
        <w:pStyle w:val="BodyText10"/>
        <w:ind w:firstLine="1440"/>
        <w:rPr>
          <w:szCs w:val="26"/>
        </w:rPr>
      </w:pPr>
      <w:r w:rsidRPr="006F569A">
        <w:rPr>
          <w:szCs w:val="26"/>
        </w:rPr>
        <w:t xml:space="preserve">Second, it is not clear that either of these statements support the proposition that “issues related to [GSW’s] CRMA are not within the scope of the proceeding.”  Especially equivocal is the statement of the ALJ during the </w:t>
      </w:r>
      <w:r w:rsidR="00DD7BC7">
        <w:rPr>
          <w:szCs w:val="26"/>
        </w:rPr>
        <w:t>e</w:t>
      </w:r>
      <w:r w:rsidRPr="006F569A">
        <w:rPr>
          <w:szCs w:val="26"/>
        </w:rPr>
        <w:t xml:space="preserve">videntiary </w:t>
      </w:r>
      <w:r w:rsidR="00DD7BC7">
        <w:rPr>
          <w:szCs w:val="26"/>
        </w:rPr>
        <w:t>h</w:t>
      </w:r>
      <w:r w:rsidRPr="006F569A">
        <w:rPr>
          <w:szCs w:val="26"/>
        </w:rPr>
        <w:t>earing, saying “</w:t>
      </w:r>
      <w:r w:rsidRPr="006F569A">
        <w:rPr>
          <w:i/>
          <w:iCs/>
          <w:szCs w:val="26"/>
        </w:rPr>
        <w:t>I'm not sure</w:t>
      </w:r>
      <w:r w:rsidRPr="006F569A">
        <w:rPr>
          <w:szCs w:val="26"/>
        </w:rPr>
        <w:t xml:space="preserve"> about the extent to which I would consider the latter to be within the scope of this proceeding.”</w:t>
      </w:r>
      <w:r w:rsidRPr="00AE0433">
        <w:rPr>
          <w:rStyle w:val="FootnoteReference"/>
          <w:szCs w:val="26"/>
        </w:rPr>
        <w:footnoteReference w:id="73"/>
      </w:r>
      <w:r w:rsidRPr="006F569A">
        <w:rPr>
          <w:szCs w:val="26"/>
        </w:rPr>
        <w:t xml:space="preserve">  In any case, it is not necessary to parse the meaning of these statements, as they do not carry any authority.  </w:t>
      </w:r>
      <w:r w:rsidR="0061578F">
        <w:rPr>
          <w:szCs w:val="26"/>
        </w:rPr>
        <w:t>It is</w:t>
      </w:r>
      <w:r w:rsidRPr="006F569A">
        <w:rPr>
          <w:szCs w:val="26"/>
        </w:rPr>
        <w:t xml:space="preserve"> the Scoping Memo </w:t>
      </w:r>
      <w:r w:rsidR="0061578F">
        <w:rPr>
          <w:szCs w:val="26"/>
        </w:rPr>
        <w:t>that</w:t>
      </w:r>
      <w:r w:rsidRPr="006F569A" w:rsidR="0061578F">
        <w:rPr>
          <w:szCs w:val="26"/>
        </w:rPr>
        <w:t xml:space="preserve"> </w:t>
      </w:r>
      <w:r w:rsidRPr="006F569A">
        <w:rPr>
          <w:szCs w:val="26"/>
        </w:rPr>
        <w:t>determine</w:t>
      </w:r>
      <w:r w:rsidR="0061578F">
        <w:rPr>
          <w:szCs w:val="26"/>
        </w:rPr>
        <w:t>s</w:t>
      </w:r>
      <w:r w:rsidRPr="006F569A">
        <w:rPr>
          <w:szCs w:val="26"/>
        </w:rPr>
        <w:t xml:space="preserve"> the scope of the proceeding.</w:t>
      </w:r>
      <w:r w:rsidRPr="00AE0433">
        <w:rPr>
          <w:rStyle w:val="FootnoteReference"/>
          <w:szCs w:val="26"/>
        </w:rPr>
        <w:footnoteReference w:id="74"/>
      </w:r>
      <w:r w:rsidRPr="006F569A">
        <w:rPr>
          <w:szCs w:val="26"/>
        </w:rPr>
        <w:t xml:space="preserve">  As discussed above, the Scoping Memo included </w:t>
      </w:r>
      <w:r w:rsidRPr="006F569A">
        <w:rPr>
          <w:szCs w:val="26"/>
        </w:rPr>
        <w:lastRenderedPageBreak/>
        <w:t xml:space="preserve">treatment of PFAS-related capital costs and the proper uses of </w:t>
      </w:r>
      <w:r w:rsidR="0061578F">
        <w:rPr>
          <w:szCs w:val="26"/>
        </w:rPr>
        <w:t xml:space="preserve">all memorandum accounts, including </w:t>
      </w:r>
      <w:r w:rsidRPr="006F569A">
        <w:rPr>
          <w:szCs w:val="26"/>
        </w:rPr>
        <w:t>the CRMA.</w:t>
      </w:r>
    </w:p>
    <w:p w:rsidRPr="00884697" w:rsidR="0061578F" w:rsidP="0061578F" w:rsidRDefault="0061578F" w14:paraId="4559C52E" w14:textId="47C0F5B3">
      <w:pPr>
        <w:pStyle w:val="Heading2"/>
      </w:pPr>
      <w:r w:rsidRPr="0061578F">
        <w:t>The Decision Makes No Factual Inaccuracies Regarding Memorandum Accounts</w:t>
      </w:r>
      <w:r>
        <w:t>.</w:t>
      </w:r>
    </w:p>
    <w:p w:rsidR="0061578F" w:rsidP="00203A22" w:rsidRDefault="006F569A" w14:paraId="737B6CA3" w14:textId="77777777">
      <w:pPr>
        <w:pStyle w:val="BodyText10"/>
        <w:ind w:firstLine="1440"/>
        <w:rPr>
          <w:szCs w:val="26"/>
        </w:rPr>
      </w:pPr>
      <w:r w:rsidRPr="006F569A">
        <w:rPr>
          <w:szCs w:val="26"/>
        </w:rPr>
        <w:t>GSW complains about various statements in the Decisions, stating, that the Decision “is factually inaccurate as to the treatment of memorandum accounts.”</w:t>
      </w:r>
      <w:r w:rsidRPr="00AE0433">
        <w:rPr>
          <w:rStyle w:val="FootnoteReference"/>
          <w:szCs w:val="26"/>
        </w:rPr>
        <w:footnoteReference w:id="75"/>
      </w:r>
      <w:r>
        <w:rPr>
          <w:szCs w:val="26"/>
        </w:rPr>
        <w:t xml:space="preserve">  </w:t>
      </w:r>
      <w:r w:rsidRPr="0061578F" w:rsidR="0061578F">
        <w:rPr>
          <w:szCs w:val="26"/>
        </w:rPr>
        <w:t>GSW selectively quotes the Decision to claim that it portrays memorandum accounts as a “means to ‘avoid Commission review.’</w:t>
      </w:r>
      <w:r w:rsidR="0061578F">
        <w:rPr>
          <w:szCs w:val="26"/>
        </w:rPr>
        <w:t>”</w:t>
      </w:r>
      <w:r w:rsidRPr="00AE0433" w:rsidR="0061578F">
        <w:rPr>
          <w:rStyle w:val="FootnoteReference"/>
          <w:szCs w:val="26"/>
        </w:rPr>
        <w:footnoteReference w:id="76"/>
      </w:r>
      <w:r w:rsidR="0061578F">
        <w:rPr>
          <w:szCs w:val="26"/>
        </w:rPr>
        <w:t xml:space="preserve">  </w:t>
      </w:r>
      <w:r w:rsidRPr="0061578F" w:rsidR="0061578F">
        <w:rPr>
          <w:szCs w:val="26"/>
        </w:rPr>
        <w:t>However, the Decision was not making a</w:t>
      </w:r>
      <w:r w:rsidR="0061578F">
        <w:rPr>
          <w:szCs w:val="26"/>
        </w:rPr>
        <w:t xml:space="preserve"> factual</w:t>
      </w:r>
      <w:r w:rsidRPr="0061578F" w:rsidR="0061578F">
        <w:rPr>
          <w:szCs w:val="26"/>
        </w:rPr>
        <w:t xml:space="preserve"> statement about memorandum accounts here, but </w:t>
      </w:r>
      <w:r w:rsidR="0061578F">
        <w:rPr>
          <w:szCs w:val="26"/>
        </w:rPr>
        <w:t xml:space="preserve">rather </w:t>
      </w:r>
      <w:r w:rsidRPr="0061578F" w:rsidR="0061578F">
        <w:rPr>
          <w:szCs w:val="26"/>
        </w:rPr>
        <w:t xml:space="preserve">was ordering that “[t]he CRMA should not be utilized </w:t>
      </w:r>
      <w:r w:rsidRPr="0061578F" w:rsidR="0061578F">
        <w:rPr>
          <w:i/>
          <w:iCs/>
          <w:szCs w:val="26"/>
        </w:rPr>
        <w:t>to avoid Commission review</w:t>
      </w:r>
      <w:r w:rsidRPr="0061578F" w:rsidR="0061578F">
        <w:rPr>
          <w:szCs w:val="26"/>
        </w:rPr>
        <w:t xml:space="preserve"> and authorization of capital projects in a GRC or stand-alone application, prior to capital expenditures for those projects</w:t>
      </w:r>
      <w:r w:rsidR="0061578F">
        <w:rPr>
          <w:szCs w:val="26"/>
        </w:rPr>
        <w:t>.”</w:t>
      </w:r>
      <w:r w:rsidRPr="00AE0433" w:rsidR="0061578F">
        <w:rPr>
          <w:rStyle w:val="FootnoteReference"/>
          <w:szCs w:val="26"/>
        </w:rPr>
        <w:footnoteReference w:id="77"/>
      </w:r>
      <w:r w:rsidR="0061578F">
        <w:rPr>
          <w:szCs w:val="26"/>
        </w:rPr>
        <w:t xml:space="preserve"> </w:t>
      </w:r>
    </w:p>
    <w:p w:rsidR="002879E2" w:rsidP="00203A22" w:rsidRDefault="0061578F" w14:paraId="0DA37E6A" w14:textId="2C009827">
      <w:pPr>
        <w:pStyle w:val="BodyText10"/>
        <w:ind w:firstLine="1440"/>
        <w:rPr>
          <w:szCs w:val="26"/>
        </w:rPr>
      </w:pPr>
      <w:r>
        <w:rPr>
          <w:szCs w:val="26"/>
        </w:rPr>
        <w:t xml:space="preserve">GSW also </w:t>
      </w:r>
      <w:r w:rsidRPr="0061578F">
        <w:rPr>
          <w:szCs w:val="26"/>
        </w:rPr>
        <w:t>mistakenly claims that the Commission denied Special Request 8 in part based on a factually incorrect understanding that the tracking of PFAS treatment costs in the PFASMA would result in “lesser levels of review” of those costs</w:t>
      </w:r>
      <w:r>
        <w:rPr>
          <w:szCs w:val="26"/>
        </w:rPr>
        <w:t>.</w:t>
      </w:r>
      <w:r w:rsidRPr="00AE0433">
        <w:rPr>
          <w:rStyle w:val="FootnoteReference"/>
          <w:szCs w:val="26"/>
        </w:rPr>
        <w:footnoteReference w:id="78"/>
      </w:r>
      <w:r>
        <w:rPr>
          <w:szCs w:val="26"/>
        </w:rPr>
        <w:t xml:space="preserve">  </w:t>
      </w:r>
      <w:r w:rsidRPr="0061578F">
        <w:rPr>
          <w:szCs w:val="26"/>
        </w:rPr>
        <w:t>Review of these costs in a GRC application or a separate application, as OP 3 requires, would necessarily require approval by the Commission in a formal application proceeding</w:t>
      </w:r>
      <w:r w:rsidR="00704C3B">
        <w:rPr>
          <w:szCs w:val="26"/>
        </w:rPr>
        <w:t>.</w:t>
      </w:r>
      <w:r>
        <w:rPr>
          <w:szCs w:val="26"/>
        </w:rPr>
        <w:t xml:space="preserve">  </w:t>
      </w:r>
      <w:r w:rsidR="00704C3B">
        <w:rPr>
          <w:szCs w:val="26"/>
        </w:rPr>
        <w:t>Although</w:t>
      </w:r>
      <w:r w:rsidRPr="0061578F">
        <w:rPr>
          <w:szCs w:val="26"/>
        </w:rPr>
        <w:t xml:space="preserve"> GSW </w:t>
      </w:r>
      <w:r w:rsidRPr="005764EB" w:rsidR="005764EB">
        <w:rPr>
          <w:szCs w:val="26"/>
        </w:rPr>
        <w:t>is unclear about the details of its proposal to include PFAS-related capital costs in the CRMA, it leaves open the possibility that it may seek a reasonableness review of these costs via advice letter</w:t>
      </w:r>
      <w:r>
        <w:rPr>
          <w:szCs w:val="26"/>
        </w:rPr>
        <w:t>.</w:t>
      </w:r>
      <w:r w:rsidRPr="00AE0433">
        <w:rPr>
          <w:rStyle w:val="FootnoteReference"/>
          <w:szCs w:val="26"/>
        </w:rPr>
        <w:footnoteReference w:id="79"/>
      </w:r>
      <w:r w:rsidRPr="0061578F">
        <w:rPr>
          <w:szCs w:val="26"/>
        </w:rPr>
        <w:t xml:space="preserve"> </w:t>
      </w:r>
      <w:r w:rsidR="002879E2">
        <w:rPr>
          <w:szCs w:val="26"/>
        </w:rPr>
        <w:t xml:space="preserve"> </w:t>
      </w:r>
      <w:r w:rsidRPr="002879E2" w:rsidR="002879E2">
        <w:rPr>
          <w:szCs w:val="26"/>
        </w:rPr>
        <w:t xml:space="preserve">An advice letter process provides a quick and simplified review process, as compared to formal applications, with disposal after a much </w:t>
      </w:r>
      <w:r w:rsidRPr="002879E2" w:rsidR="002879E2">
        <w:rPr>
          <w:szCs w:val="26"/>
        </w:rPr>
        <w:lastRenderedPageBreak/>
        <w:t xml:space="preserve">shorter review period and without the possibility of </w:t>
      </w:r>
      <w:r w:rsidR="005764EB">
        <w:rPr>
          <w:szCs w:val="26"/>
        </w:rPr>
        <w:t xml:space="preserve">discovery or </w:t>
      </w:r>
      <w:r w:rsidRPr="002879E2" w:rsidR="002879E2">
        <w:rPr>
          <w:szCs w:val="26"/>
        </w:rPr>
        <w:t>an evidentiary hearing</w:t>
      </w:r>
      <w:r w:rsidR="002879E2">
        <w:rPr>
          <w:szCs w:val="26"/>
        </w:rPr>
        <w:t>.</w:t>
      </w:r>
      <w:r w:rsidRPr="00AE0433" w:rsidR="002879E2">
        <w:rPr>
          <w:rStyle w:val="FootnoteReference"/>
          <w:szCs w:val="26"/>
        </w:rPr>
        <w:footnoteReference w:id="80"/>
      </w:r>
      <w:r w:rsidR="002879E2">
        <w:rPr>
          <w:szCs w:val="26"/>
        </w:rPr>
        <w:t xml:space="preserve">  </w:t>
      </w:r>
      <w:r w:rsidRPr="002879E2" w:rsidR="002879E2">
        <w:rPr>
          <w:szCs w:val="26"/>
        </w:rPr>
        <w:t>Thus, it is factually correct to describe the request to use the existing PFASMA as potentially leading to a “lesser level of review,” as compared to a full formal proceeding.</w:t>
      </w:r>
      <w:r w:rsidR="002879E2">
        <w:rPr>
          <w:szCs w:val="26"/>
        </w:rPr>
        <w:t xml:space="preserve">  </w:t>
      </w:r>
      <w:bookmarkStart w:name="_Hlk196144389" w:id="21"/>
      <w:r w:rsidR="002879E2">
        <w:rPr>
          <w:szCs w:val="26"/>
        </w:rPr>
        <w:t>The Commission wanted to ensure that such costs would be reviewed in a formal proceeding and th</w:t>
      </w:r>
      <w:r w:rsidR="003850D5">
        <w:rPr>
          <w:szCs w:val="26"/>
        </w:rPr>
        <w:t>us adopted</w:t>
      </w:r>
      <w:r w:rsidR="002879E2">
        <w:rPr>
          <w:szCs w:val="26"/>
        </w:rPr>
        <w:t xml:space="preserve"> OP 3</w:t>
      </w:r>
      <w:bookmarkEnd w:id="21"/>
      <w:r w:rsidR="002879E2">
        <w:rPr>
          <w:szCs w:val="26"/>
        </w:rPr>
        <w:t>.</w:t>
      </w:r>
      <w:r w:rsidRPr="002879E2" w:rsidR="002879E2">
        <w:t xml:space="preserve"> </w:t>
      </w:r>
      <w:r w:rsidR="002879E2">
        <w:t xml:space="preserve"> </w:t>
      </w:r>
      <w:r w:rsidRPr="002879E2" w:rsidR="002879E2">
        <w:rPr>
          <w:szCs w:val="26"/>
        </w:rPr>
        <w:t>There is nothing factually incorrect about the Commission’s policy decision</w:t>
      </w:r>
      <w:r w:rsidR="000B5BC9">
        <w:rPr>
          <w:szCs w:val="26"/>
        </w:rPr>
        <w:t>.</w:t>
      </w:r>
    </w:p>
    <w:p w:rsidR="006F569A" w:rsidP="00203A22" w:rsidRDefault="006F569A" w14:paraId="1492C62C" w14:textId="0CCBC297">
      <w:pPr>
        <w:pStyle w:val="BodyText10"/>
        <w:ind w:firstLine="1440"/>
        <w:rPr>
          <w:szCs w:val="26"/>
        </w:rPr>
      </w:pPr>
      <w:r w:rsidRPr="006F569A">
        <w:rPr>
          <w:szCs w:val="26"/>
        </w:rPr>
        <w:t>GSW also complains that the Commission “ignores that memorandum account treatment requires that the underlying expenses are substantial” and that the “Decision appears to limit improperly [GSW’s] use of its approved capital budget.”</w:t>
      </w:r>
      <w:r w:rsidRPr="00AE0433" w:rsidR="00924F17">
        <w:rPr>
          <w:rStyle w:val="FootnoteReference"/>
          <w:szCs w:val="26"/>
        </w:rPr>
        <w:footnoteReference w:id="81"/>
      </w:r>
      <w:r w:rsidRPr="006F569A">
        <w:rPr>
          <w:szCs w:val="26"/>
        </w:rPr>
        <w:t xml:space="preserve">   GSW provides no legal authority supporting its arguments.  Rather, GSW simply takes issue with the Decision’s </w:t>
      </w:r>
      <w:bookmarkStart w:name="_Hlk196143526" w:id="22"/>
      <w:r w:rsidRPr="006F569A">
        <w:rPr>
          <w:szCs w:val="26"/>
        </w:rPr>
        <w:t>orders, and seeks to re-litigate its arguments against them.  This is not a proper basis for rehearing.</w:t>
      </w:r>
      <w:r w:rsidRPr="00AE0433" w:rsidR="00924F17">
        <w:rPr>
          <w:rStyle w:val="FootnoteReference"/>
          <w:szCs w:val="26"/>
        </w:rPr>
        <w:footnoteReference w:id="82"/>
      </w:r>
    </w:p>
    <w:p w:rsidRPr="00884697" w:rsidR="005D577F" w:rsidP="005D577F" w:rsidRDefault="00924F17" w14:paraId="3A943E32" w14:textId="3CF9C55B">
      <w:pPr>
        <w:pStyle w:val="Heading2"/>
      </w:pPr>
      <w:r w:rsidRPr="00924F17">
        <w:t xml:space="preserve">Oral Argument </w:t>
      </w:r>
      <w:r w:rsidR="00F96849">
        <w:t>is not Warranted</w:t>
      </w:r>
      <w:r w:rsidR="005D577F">
        <w:t>.</w:t>
      </w:r>
    </w:p>
    <w:p w:rsidRPr="00884697" w:rsidR="00924F17" w:rsidP="00203A22" w:rsidRDefault="005D577F" w14:paraId="3E203C37" w14:textId="65D39BBA">
      <w:pPr>
        <w:pStyle w:val="BodyText10"/>
        <w:ind w:firstLine="1440"/>
        <w:rPr>
          <w:szCs w:val="26"/>
        </w:rPr>
      </w:pPr>
      <w:r>
        <w:rPr>
          <w:szCs w:val="26"/>
        </w:rPr>
        <w:t xml:space="preserve">In </w:t>
      </w:r>
      <w:r w:rsidRPr="00924F17" w:rsidR="00924F17">
        <w:rPr>
          <w:szCs w:val="26"/>
        </w:rPr>
        <w:t>connection with its application for rehearing, GSW requests oral argument pursuant to Rule 16.3.</w:t>
      </w:r>
      <w:r w:rsidRPr="00AE0433" w:rsidR="00924F17">
        <w:rPr>
          <w:rStyle w:val="FootnoteReference"/>
          <w:szCs w:val="26"/>
        </w:rPr>
        <w:footnoteReference w:id="83"/>
      </w:r>
      <w:r w:rsidRPr="00924F17" w:rsidR="00924F17">
        <w:rPr>
          <w:szCs w:val="26"/>
        </w:rPr>
        <w:t xml:space="preserve">  Rule 16.3, </w:t>
      </w:r>
      <w:r w:rsidRPr="00924F17" w:rsidR="00623192">
        <w:rPr>
          <w:szCs w:val="26"/>
        </w:rPr>
        <w:t>subdivision</w:t>
      </w:r>
      <w:r w:rsidRPr="00924F17" w:rsidR="00924F17">
        <w:rPr>
          <w:szCs w:val="26"/>
        </w:rPr>
        <w:t xml:space="preserve"> (a)</w:t>
      </w:r>
      <w:r w:rsidR="00F96849">
        <w:rPr>
          <w:szCs w:val="26"/>
        </w:rPr>
        <w:t>,</w:t>
      </w:r>
      <w:r w:rsidRPr="00924F17" w:rsidR="00924F17">
        <w:rPr>
          <w:szCs w:val="26"/>
        </w:rPr>
        <w:t xml:space="preserve"> provides that oral argument </w:t>
      </w:r>
      <w:bookmarkEnd w:id="22"/>
      <w:r w:rsidRPr="00924F17" w:rsidR="00924F17">
        <w:rPr>
          <w:szCs w:val="26"/>
        </w:rPr>
        <w:t>is appropriate on rehearing where the</w:t>
      </w:r>
      <w:r w:rsidR="00924F17">
        <w:rPr>
          <w:szCs w:val="26"/>
        </w:rPr>
        <w:t xml:space="preserve"> </w:t>
      </w:r>
      <w:r w:rsidRPr="00924F17" w:rsidR="00924F17">
        <w:rPr>
          <w:szCs w:val="26"/>
        </w:rPr>
        <w:t>application raises issues of “major significance” to the Commission because the challenged decision</w:t>
      </w:r>
      <w:r w:rsidR="00924F17">
        <w:rPr>
          <w:szCs w:val="26"/>
        </w:rPr>
        <w:t>:</w:t>
      </w:r>
    </w:p>
    <w:p w:rsidR="00924F17" w:rsidP="00203A22" w:rsidRDefault="00924F17" w14:paraId="2340CE89" w14:textId="1904CDF3">
      <w:pPr>
        <w:pStyle w:val="Quotation"/>
        <w:ind w:left="1800" w:hanging="360"/>
      </w:pPr>
      <w:r>
        <w:t xml:space="preserve">(1) adopts new Commission precedent or departs from existing Commission precedent without adequate explanation; </w:t>
      </w:r>
    </w:p>
    <w:p w:rsidR="00924F17" w:rsidP="00203A22" w:rsidRDefault="00924F17" w14:paraId="08402D1F" w14:textId="77777777">
      <w:pPr>
        <w:pStyle w:val="Quotation"/>
        <w:ind w:left="1800" w:hanging="360"/>
      </w:pPr>
      <w:r>
        <w:t>(2) changes or refines existing Commission precedent;</w:t>
      </w:r>
    </w:p>
    <w:p w:rsidR="00924F17" w:rsidP="00203A22" w:rsidRDefault="00924F17" w14:paraId="210FBF74" w14:textId="77777777">
      <w:pPr>
        <w:pStyle w:val="Quotation"/>
        <w:ind w:left="1800" w:hanging="360"/>
      </w:pPr>
      <w:r>
        <w:t xml:space="preserve">(3) presents legal issues of exceptional controversy, complexity, or public importance; and/or </w:t>
      </w:r>
    </w:p>
    <w:p w:rsidRPr="0045620D" w:rsidR="00924F17" w:rsidP="00203A22" w:rsidRDefault="00924F17" w14:paraId="75B2E0E5" w14:textId="6D0AD224">
      <w:pPr>
        <w:pStyle w:val="Quotation"/>
        <w:spacing w:after="240"/>
        <w:ind w:left="1800" w:hanging="360"/>
      </w:pPr>
      <w:r>
        <w:t>(4) raises questions of first impression that are likely to have significant precedential impact</w:t>
      </w:r>
      <w:r>
        <w:rPr>
          <w:szCs w:val="26"/>
        </w:rPr>
        <w:t>.</w:t>
      </w:r>
    </w:p>
    <w:p w:rsidR="00203A22" w:rsidP="00924F17" w:rsidRDefault="00924F17" w14:paraId="75279312" w14:textId="600C9061">
      <w:pPr>
        <w:pStyle w:val="BodyText10"/>
        <w:rPr>
          <w:szCs w:val="26"/>
        </w:rPr>
      </w:pPr>
      <w:r w:rsidRPr="00924F17">
        <w:rPr>
          <w:szCs w:val="26"/>
        </w:rPr>
        <w:lastRenderedPageBreak/>
        <w:t xml:space="preserve">Pursuant to Rule 16.3, subdivision (a), the Commission has complete discretion to determine the appropriateness of oral argument in any matter.  While GSW may claim that the Commission acted controversially and did not follow precedent, in reality, the Decision was a </w:t>
      </w:r>
      <w:r w:rsidRPr="00924F17" w:rsidR="007128A8">
        <w:rPr>
          <w:szCs w:val="26"/>
        </w:rPr>
        <w:t>well-supported</w:t>
      </w:r>
      <w:r w:rsidRPr="00924F17">
        <w:rPr>
          <w:szCs w:val="26"/>
        </w:rPr>
        <w:t xml:space="preserve"> decision.  In this case, the issues are sufficiently briefed and there is no basis to conclude oral argument will benefit disposition of the application for rehearing.  Therefore</w:t>
      </w:r>
      <w:r>
        <w:rPr>
          <w:szCs w:val="26"/>
        </w:rPr>
        <w:t xml:space="preserve">, </w:t>
      </w:r>
      <w:r w:rsidRPr="00924F17">
        <w:rPr>
          <w:szCs w:val="26"/>
        </w:rPr>
        <w:t xml:space="preserve">the request for oral argument </w:t>
      </w:r>
      <w:r>
        <w:rPr>
          <w:szCs w:val="26"/>
        </w:rPr>
        <w:t xml:space="preserve">is </w:t>
      </w:r>
      <w:r w:rsidRPr="00924F17">
        <w:rPr>
          <w:szCs w:val="26"/>
        </w:rPr>
        <w:t>denied</w:t>
      </w:r>
      <w:r>
        <w:rPr>
          <w:szCs w:val="26"/>
        </w:rPr>
        <w:t>.</w:t>
      </w:r>
    </w:p>
    <w:p w:rsidRPr="00884697" w:rsidR="00DE7B11" w:rsidP="00203A22" w:rsidRDefault="00DE7B11" w14:paraId="0F191B00" w14:textId="2CB7ACCB">
      <w:pPr>
        <w:pStyle w:val="Heading1"/>
        <w:spacing w:before="0" w:after="0" w:line="360" w:lineRule="auto"/>
        <w:rPr>
          <w:szCs w:val="26"/>
        </w:rPr>
      </w:pPr>
      <w:r w:rsidRPr="00884697">
        <w:rPr>
          <w:szCs w:val="26"/>
        </w:rPr>
        <w:t>CONCLUSION</w:t>
      </w:r>
    </w:p>
    <w:p w:rsidRPr="00884697" w:rsidR="00E3160F" w:rsidP="00203A22" w:rsidRDefault="00DE7B11" w14:paraId="77812435" w14:textId="3DD95130">
      <w:pPr>
        <w:pStyle w:val="BodyText10"/>
        <w:ind w:firstLine="1440"/>
        <w:rPr>
          <w:szCs w:val="26"/>
        </w:rPr>
      </w:pPr>
      <w:r w:rsidRPr="00884697">
        <w:rPr>
          <w:szCs w:val="26"/>
        </w:rPr>
        <w:t xml:space="preserve">For the reasons discussed above, </w:t>
      </w:r>
      <w:r w:rsidRPr="00F8208B" w:rsidR="00F8208B">
        <w:rPr>
          <w:szCs w:val="26"/>
        </w:rPr>
        <w:t xml:space="preserve">we </w:t>
      </w:r>
      <w:r w:rsidR="00505812">
        <w:rPr>
          <w:szCs w:val="26"/>
        </w:rPr>
        <w:t>deny rehearing of the Decision</w:t>
      </w:r>
      <w:r w:rsidR="008D238E">
        <w:rPr>
          <w:szCs w:val="26"/>
        </w:rPr>
        <w:t>.</w:t>
      </w:r>
    </w:p>
    <w:p w:rsidRPr="00884697" w:rsidR="00FA2727" w:rsidP="00203A22" w:rsidRDefault="00884697" w14:paraId="5877E510" w14:textId="77777777">
      <w:pPr>
        <w:spacing w:line="360" w:lineRule="auto"/>
        <w:ind w:firstLine="1440"/>
        <w:rPr>
          <w:b/>
          <w:szCs w:val="26"/>
        </w:rPr>
      </w:pPr>
      <w:r>
        <w:rPr>
          <w:b/>
          <w:szCs w:val="26"/>
        </w:rPr>
        <w:tab/>
      </w:r>
      <w:r w:rsidRPr="00884697" w:rsidR="00C94C32">
        <w:rPr>
          <w:b/>
          <w:szCs w:val="26"/>
        </w:rPr>
        <w:t>THEREFORE, IT IS ORDERED:</w:t>
      </w:r>
    </w:p>
    <w:p w:rsidRPr="00596448" w:rsidR="00C050E4" w:rsidP="00203A22" w:rsidRDefault="000A6EB1" w14:paraId="3BBBBD19" w14:textId="14116FAE">
      <w:pPr>
        <w:pStyle w:val="LightGrid-Accent31"/>
        <w:tabs>
          <w:tab w:val="clear" w:pos="5040"/>
        </w:tabs>
        <w:spacing w:line="360" w:lineRule="auto"/>
        <w:ind w:left="0"/>
        <w:contextualSpacing w:val="0"/>
        <w:rPr>
          <w:szCs w:val="26"/>
        </w:rPr>
      </w:pPr>
      <w:r>
        <w:rPr>
          <w:szCs w:val="26"/>
        </w:rPr>
        <w:tab/>
        <w:t>1.</w:t>
      </w:r>
      <w:r>
        <w:rPr>
          <w:szCs w:val="26"/>
        </w:rPr>
        <w:tab/>
      </w:r>
      <w:r w:rsidR="00505812">
        <w:rPr>
          <w:szCs w:val="26"/>
        </w:rPr>
        <w:t>Rehearing of Decision 25-01-036 is denied</w:t>
      </w:r>
      <w:r w:rsidRPr="00596448" w:rsidR="00761CC5">
        <w:rPr>
          <w:szCs w:val="26"/>
        </w:rPr>
        <w:t>.</w:t>
      </w:r>
    </w:p>
    <w:p w:rsidRPr="00884697" w:rsidR="00643F96" w:rsidP="00203A22" w:rsidRDefault="000A6EB1" w14:paraId="519D192F" w14:textId="2C898857">
      <w:pPr>
        <w:pStyle w:val="LightGrid-Accent31"/>
        <w:tabs>
          <w:tab w:val="clear" w:pos="5040"/>
        </w:tabs>
        <w:spacing w:line="360" w:lineRule="auto"/>
        <w:ind w:left="0"/>
        <w:contextualSpacing w:val="0"/>
        <w:rPr>
          <w:szCs w:val="26"/>
        </w:rPr>
      </w:pPr>
      <w:r>
        <w:rPr>
          <w:szCs w:val="26"/>
        </w:rPr>
        <w:tab/>
        <w:t>2.</w:t>
      </w:r>
      <w:r>
        <w:rPr>
          <w:szCs w:val="26"/>
        </w:rPr>
        <w:tab/>
      </w:r>
      <w:r w:rsidR="00505812">
        <w:rPr>
          <w:szCs w:val="26"/>
        </w:rPr>
        <w:t xml:space="preserve">Application 23-08-010 </w:t>
      </w:r>
      <w:r w:rsidR="00E07473">
        <w:rPr>
          <w:szCs w:val="26"/>
        </w:rPr>
        <w:t>remain</w:t>
      </w:r>
      <w:r w:rsidR="000A1FAF">
        <w:rPr>
          <w:szCs w:val="26"/>
        </w:rPr>
        <w:t>s</w:t>
      </w:r>
      <w:r w:rsidR="00E07473">
        <w:rPr>
          <w:szCs w:val="26"/>
        </w:rPr>
        <w:t xml:space="preserve"> open.</w:t>
      </w:r>
      <w:r w:rsidR="00761CC5">
        <w:rPr>
          <w:szCs w:val="26"/>
        </w:rPr>
        <w:t xml:space="preserve"> </w:t>
      </w:r>
    </w:p>
    <w:p w:rsidRPr="00884697" w:rsidR="00FA2727" w:rsidP="00203A22" w:rsidRDefault="00BC5C81" w14:paraId="0934BD39" w14:textId="3EE4A82E">
      <w:pPr>
        <w:tabs>
          <w:tab w:val="clear" w:pos="5040"/>
        </w:tabs>
        <w:spacing w:line="360" w:lineRule="auto"/>
        <w:ind w:left="720"/>
        <w:rPr>
          <w:szCs w:val="26"/>
        </w:rPr>
      </w:pPr>
      <w:r>
        <w:rPr>
          <w:szCs w:val="26"/>
        </w:rPr>
        <w:tab/>
        <w:t>This order is effective today</w:t>
      </w:r>
      <w:r w:rsidRPr="00884697" w:rsidR="00D359CB">
        <w:rPr>
          <w:szCs w:val="26"/>
        </w:rPr>
        <w:t>.</w:t>
      </w:r>
      <w:r w:rsidRPr="00884697" w:rsidR="00676FF9">
        <w:rPr>
          <w:szCs w:val="26"/>
        </w:rPr>
        <w:t xml:space="preserve"> </w:t>
      </w:r>
    </w:p>
    <w:p w:rsidR="000443A3" w:rsidP="00203A22" w:rsidRDefault="005952C2" w14:paraId="474BDD98" w14:textId="71873AD9">
      <w:pPr>
        <w:tabs>
          <w:tab w:val="clear" w:pos="5040"/>
        </w:tabs>
        <w:spacing w:line="360" w:lineRule="auto"/>
        <w:ind w:left="720" w:firstLine="720"/>
        <w:rPr>
          <w:szCs w:val="26"/>
        </w:rPr>
      </w:pPr>
      <w:r>
        <w:rPr>
          <w:szCs w:val="26"/>
        </w:rPr>
        <w:t xml:space="preserve">Dated </w:t>
      </w:r>
      <w:r w:rsidRPr="00B1474B" w:rsidR="00B1474B">
        <w:rPr>
          <w:szCs w:val="26"/>
        </w:rPr>
        <w:t>May 15, 2025</w:t>
      </w:r>
      <w:r w:rsidRPr="00884697" w:rsidR="0021255E">
        <w:rPr>
          <w:szCs w:val="26"/>
        </w:rPr>
        <w:t xml:space="preserve">, </w:t>
      </w:r>
      <w:r w:rsidRPr="00884697" w:rsidR="000443A3">
        <w:rPr>
          <w:szCs w:val="26"/>
        </w:rPr>
        <w:t xml:space="preserve">at </w:t>
      </w:r>
      <w:r w:rsidR="0021255E">
        <w:rPr>
          <w:szCs w:val="26"/>
        </w:rPr>
        <w:t>Kings Beach</w:t>
      </w:r>
      <w:r w:rsidRPr="00884697" w:rsidR="000443A3">
        <w:rPr>
          <w:szCs w:val="26"/>
        </w:rPr>
        <w:t>, California</w:t>
      </w:r>
      <w:r w:rsidRPr="00884697" w:rsidR="00865876">
        <w:rPr>
          <w:szCs w:val="26"/>
        </w:rPr>
        <w:t>.</w:t>
      </w:r>
    </w:p>
    <w:p w:rsidR="00B1474B" w:rsidP="00203A22" w:rsidRDefault="00B1474B" w14:paraId="4DDB1C36" w14:textId="77777777">
      <w:pPr>
        <w:tabs>
          <w:tab w:val="clear" w:pos="5040"/>
        </w:tabs>
        <w:spacing w:line="360" w:lineRule="auto"/>
        <w:ind w:left="720" w:firstLine="720"/>
        <w:rPr>
          <w:szCs w:val="26"/>
        </w:rPr>
      </w:pPr>
    </w:p>
    <w:p w:rsidRPr="00370E47" w:rsidR="00B1474B" w:rsidP="00370E47" w:rsidRDefault="00B1474B" w14:paraId="1227F752" w14:textId="3E5B257A">
      <w:pPr>
        <w:ind w:left="5040"/>
      </w:pPr>
      <w:r w:rsidRPr="00370E47">
        <w:t>ALICE REYNOLDS</w:t>
      </w:r>
    </w:p>
    <w:p w:rsidRPr="00370E47" w:rsidR="00B1474B" w:rsidP="00370E47" w:rsidRDefault="00B1474B" w14:paraId="2247D15E" w14:textId="77777777">
      <w:pPr>
        <w:ind w:left="5040"/>
      </w:pPr>
      <w:r w:rsidRPr="00370E47">
        <w:t>                       President</w:t>
      </w:r>
    </w:p>
    <w:p w:rsidRPr="00370E47" w:rsidR="00B1474B" w:rsidP="00370E47" w:rsidRDefault="00B1474B" w14:paraId="3837CF0D" w14:textId="77777777">
      <w:pPr>
        <w:ind w:left="5040"/>
      </w:pPr>
      <w:r w:rsidRPr="00370E47">
        <w:t>DARCIE L. HOUCK</w:t>
      </w:r>
    </w:p>
    <w:p w:rsidRPr="00370E47" w:rsidR="00B1474B" w:rsidP="00370E47" w:rsidRDefault="00B1474B" w14:paraId="500EFFA3" w14:textId="77777777">
      <w:pPr>
        <w:ind w:left="5040"/>
      </w:pPr>
      <w:r w:rsidRPr="00370E47">
        <w:t>JOHN REYNOLDS</w:t>
      </w:r>
    </w:p>
    <w:p w:rsidRPr="00370E47" w:rsidR="00B1474B" w:rsidP="00370E47" w:rsidRDefault="00B1474B" w14:paraId="6A71E8DA" w14:textId="77777777">
      <w:pPr>
        <w:ind w:left="5040"/>
      </w:pPr>
      <w:r w:rsidRPr="00370E47">
        <w:t>KAREN DOUGLAS</w:t>
      </w:r>
    </w:p>
    <w:p w:rsidRPr="00370E47" w:rsidR="00B1474B" w:rsidP="00370E47" w:rsidRDefault="00B1474B" w14:paraId="2EFEEED4" w14:textId="77777777">
      <w:pPr>
        <w:ind w:left="5040"/>
      </w:pPr>
      <w:r w:rsidRPr="00370E47">
        <w:t>                       Commissioners</w:t>
      </w:r>
    </w:p>
    <w:p w:rsidR="00370E47" w:rsidP="00370E47" w:rsidRDefault="00370E47" w14:paraId="080CE68E" w14:textId="77777777">
      <w:pPr>
        <w:ind w:left="5040"/>
      </w:pPr>
    </w:p>
    <w:p w:rsidRPr="00370E47" w:rsidR="00B1474B" w:rsidP="00370E47" w:rsidRDefault="00B1474B" w14:paraId="5984DD06" w14:textId="3F7F0C6F">
      <w:pPr>
        <w:ind w:left="5040"/>
      </w:pPr>
      <w:r w:rsidRPr="00370E47">
        <w:t xml:space="preserve">Commissioner Matthew Baker recused himself </w:t>
      </w:r>
      <w:r w:rsidRPr="00370E47" w:rsidR="00370E47">
        <w:t xml:space="preserve">and did not participate in the vote </w:t>
      </w:r>
      <w:proofErr w:type="gramStart"/>
      <w:r w:rsidRPr="00370E47" w:rsidR="00370E47">
        <w:t>of</w:t>
      </w:r>
      <w:proofErr w:type="gramEnd"/>
      <w:r w:rsidRPr="00370E47" w:rsidR="00370E47">
        <w:t xml:space="preserve"> this item. </w:t>
      </w:r>
    </w:p>
    <w:sectPr w:rsidRPr="00370E47" w:rsidR="00B1474B" w:rsidSect="00370E47">
      <w:headerReference w:type="default" r:id="rId11"/>
      <w:footerReference w:type="default" r:id="rId12"/>
      <w:headerReference w:type="first" r:id="rId13"/>
      <w:footerReference w:type="first" r:id="rId14"/>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5D0F5" w14:textId="77777777" w:rsidR="004B42F0" w:rsidRDefault="004B42F0" w:rsidP="00EA7782">
      <w:r>
        <w:separator/>
      </w:r>
    </w:p>
  </w:endnote>
  <w:endnote w:type="continuationSeparator" w:id="0">
    <w:p w14:paraId="4F1CBD84" w14:textId="77777777" w:rsidR="004B42F0" w:rsidRDefault="004B42F0" w:rsidP="00EA7782">
      <w:r>
        <w:continuationSeparator/>
      </w:r>
    </w:p>
  </w:endnote>
  <w:endnote w:type="continuationNotice" w:id="1">
    <w:p w14:paraId="2901BD05" w14:textId="77777777" w:rsidR="004B42F0" w:rsidRDefault="004B4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Palatino">
    <w:altName w:val="Book Antiqua"/>
    <w:charset w:val="00"/>
    <w:family w:val="auto"/>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FEC11" w14:textId="77777777" w:rsidR="00C35DEC" w:rsidRDefault="00C35DEC" w:rsidP="00884697">
    <w:pPr>
      <w:pStyle w:val="Footer"/>
      <w:tabs>
        <w:tab w:val="clear" w:pos="4320"/>
        <w:tab w:val="clear" w:pos="5040"/>
      </w:tabs>
      <w:jc w:val="center"/>
    </w:pPr>
    <w:r>
      <w:fldChar w:fldCharType="begin"/>
    </w:r>
    <w:r>
      <w:instrText xml:space="preserve"> PAGE   \* MERGEFORMAT </w:instrText>
    </w:r>
    <w:r>
      <w:fldChar w:fldCharType="separate"/>
    </w:r>
    <w:r w:rsidR="005952C2">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206208"/>
      <w:docPartObj>
        <w:docPartGallery w:val="Page Numbers (Bottom of Page)"/>
        <w:docPartUnique/>
      </w:docPartObj>
    </w:sdtPr>
    <w:sdtEndPr>
      <w:rPr>
        <w:noProof/>
      </w:rPr>
    </w:sdtEndPr>
    <w:sdtContent>
      <w:p w14:paraId="48ED3ABE" w14:textId="28DD6C87" w:rsidR="00EB4D8B" w:rsidRDefault="00323ADB" w:rsidP="00EB4D8B">
        <w:pPr>
          <w:pStyle w:val="Footer"/>
        </w:pPr>
        <w:r w:rsidRPr="00323ADB">
          <w:rPr>
            <w:sz w:val="18"/>
            <w:szCs w:val="18"/>
          </w:rPr>
          <w:t>566493827</w:t>
        </w:r>
        <w:r w:rsidR="00EB4D8B">
          <w:tab/>
        </w:r>
        <w:r w:rsidR="00EB4D8B">
          <w:fldChar w:fldCharType="begin"/>
        </w:r>
        <w:r w:rsidR="00EB4D8B">
          <w:instrText xml:space="preserve"> PAGE   \* MERGEFORMAT </w:instrText>
        </w:r>
        <w:r w:rsidR="00EB4D8B">
          <w:fldChar w:fldCharType="separate"/>
        </w:r>
        <w:r w:rsidR="00EB4D8B">
          <w:rPr>
            <w:noProof/>
          </w:rPr>
          <w:t>2</w:t>
        </w:r>
        <w:r w:rsidR="00EB4D8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E92D9" w14:textId="77777777" w:rsidR="004B42F0" w:rsidRDefault="004B42F0" w:rsidP="00EA7782">
      <w:r>
        <w:separator/>
      </w:r>
    </w:p>
  </w:footnote>
  <w:footnote w:type="continuationSeparator" w:id="0">
    <w:p w14:paraId="6CC2FFB6" w14:textId="77777777" w:rsidR="004B42F0" w:rsidRDefault="004B42F0" w:rsidP="00EA7782">
      <w:r>
        <w:continuationSeparator/>
      </w:r>
    </w:p>
  </w:footnote>
  <w:footnote w:type="continuationNotice" w:id="1">
    <w:p w14:paraId="0AE13590" w14:textId="77777777" w:rsidR="004B42F0" w:rsidRDefault="004B42F0"/>
  </w:footnote>
  <w:footnote w:id="2">
    <w:p w14:paraId="45C567D3" w14:textId="77777777" w:rsidR="00254FFD" w:rsidRPr="00370E47" w:rsidRDefault="00254FFD" w:rsidP="00370E47">
      <w:pPr>
        <w:pStyle w:val="FootnoteText"/>
        <w:spacing w:line="240" w:lineRule="atLeast"/>
        <w:rPr>
          <w:sz w:val="26"/>
          <w:szCs w:val="26"/>
          <w:u w:val="single"/>
        </w:rPr>
      </w:pPr>
      <w:r w:rsidRPr="00370E47">
        <w:rPr>
          <w:rStyle w:val="FootnoteReference"/>
          <w:sz w:val="26"/>
          <w:szCs w:val="26"/>
        </w:rPr>
        <w:footnoteRef/>
      </w:r>
      <w:r w:rsidRPr="00370E47">
        <w:rPr>
          <w:sz w:val="26"/>
          <w:szCs w:val="26"/>
        </w:rPr>
        <w:t xml:space="preserve"> Unless otherwise noted, all citations to Commission decisions and resolutions are to the official pdf versions, which are available at </w:t>
      </w:r>
      <w:hyperlink r:id="rId1" w:history="1">
        <w:r w:rsidRPr="00370E47">
          <w:rPr>
            <w:rStyle w:val="Hyperlink"/>
            <w:sz w:val="26"/>
            <w:szCs w:val="26"/>
          </w:rPr>
          <w:t>http://docs.cpuc.ca.gov/DecisionSearchForm.aspx</w:t>
        </w:r>
      </w:hyperlink>
      <w:r w:rsidRPr="00370E47">
        <w:rPr>
          <w:sz w:val="26"/>
          <w:szCs w:val="26"/>
        </w:rPr>
        <w:t xml:space="preserve"> and </w:t>
      </w:r>
      <w:hyperlink r:id="rId2" w:history="1">
        <w:r w:rsidRPr="00370E47">
          <w:rPr>
            <w:rStyle w:val="Hyperlink"/>
            <w:sz w:val="26"/>
            <w:szCs w:val="26"/>
          </w:rPr>
          <w:t>https://docs.cpuc.ca.gov/ResolutionSearchForm.aspx</w:t>
        </w:r>
      </w:hyperlink>
      <w:r w:rsidRPr="00370E47">
        <w:rPr>
          <w:rStyle w:val="Hyperlink"/>
          <w:color w:val="auto"/>
          <w:sz w:val="26"/>
          <w:szCs w:val="26"/>
        </w:rPr>
        <w:t>.</w:t>
      </w:r>
    </w:p>
  </w:footnote>
  <w:footnote w:id="3">
    <w:p w14:paraId="351277C4" w14:textId="717D99D6" w:rsidR="009820B0" w:rsidRPr="00370E47" w:rsidRDefault="009820B0" w:rsidP="00370E47">
      <w:pPr>
        <w:pStyle w:val="FootnoteText"/>
        <w:spacing w:line="240" w:lineRule="atLeast"/>
        <w:rPr>
          <w:sz w:val="26"/>
          <w:szCs w:val="26"/>
          <w:u w:val="single"/>
        </w:rPr>
      </w:pPr>
      <w:r w:rsidRPr="00370E47">
        <w:rPr>
          <w:rStyle w:val="FootnoteReference"/>
          <w:sz w:val="26"/>
          <w:szCs w:val="26"/>
        </w:rPr>
        <w:footnoteRef/>
      </w:r>
      <w:r w:rsidRPr="00370E47">
        <w:rPr>
          <w:sz w:val="26"/>
          <w:szCs w:val="26"/>
        </w:rPr>
        <w:t xml:space="preserve"> Golden State Water Company Application for Rehearing of D.25-01-036 and Request for Oral Argument (</w:t>
      </w:r>
      <w:r w:rsidR="00EC17F7" w:rsidRPr="00370E47">
        <w:rPr>
          <w:sz w:val="26"/>
          <w:szCs w:val="26"/>
        </w:rPr>
        <w:t>App. Rehg.</w:t>
      </w:r>
      <w:r w:rsidRPr="00370E47">
        <w:rPr>
          <w:sz w:val="26"/>
          <w:szCs w:val="26"/>
        </w:rPr>
        <w:t>), pp. 4-9, 13, 21-22.</w:t>
      </w:r>
    </w:p>
  </w:footnote>
  <w:footnote w:id="4">
    <w:p w14:paraId="4C699F87" w14:textId="4F80CF38" w:rsidR="009820B0" w:rsidRPr="00370E47" w:rsidRDefault="009820B0" w:rsidP="00370E47">
      <w:pPr>
        <w:pStyle w:val="FootnoteText"/>
        <w:spacing w:line="240" w:lineRule="atLeast"/>
        <w:rPr>
          <w:sz w:val="26"/>
          <w:szCs w:val="26"/>
          <w:u w:val="single"/>
        </w:rPr>
      </w:pPr>
      <w:r w:rsidRPr="00370E47">
        <w:rPr>
          <w:rStyle w:val="FootnoteReference"/>
          <w:sz w:val="26"/>
          <w:szCs w:val="26"/>
        </w:rPr>
        <w:footnoteRef/>
      </w:r>
      <w:r w:rsidRPr="00370E47">
        <w:rPr>
          <w:sz w:val="26"/>
          <w:szCs w:val="26"/>
        </w:rPr>
        <w:t xml:space="preserve"> </w:t>
      </w:r>
      <w:r w:rsidRPr="00370E47">
        <w:rPr>
          <w:i/>
          <w:iCs/>
          <w:sz w:val="26"/>
          <w:szCs w:val="26"/>
        </w:rPr>
        <w:t>Id.</w:t>
      </w:r>
      <w:r w:rsidRPr="00370E47">
        <w:rPr>
          <w:sz w:val="26"/>
          <w:szCs w:val="26"/>
        </w:rPr>
        <w:t>, pp. 6, 15-17.</w:t>
      </w:r>
      <w:r w:rsidR="00D46C1C" w:rsidRPr="00370E47">
        <w:rPr>
          <w:sz w:val="26"/>
          <w:szCs w:val="26"/>
        </w:rPr>
        <w:t xml:space="preserve">  </w:t>
      </w:r>
      <w:r w:rsidR="00D46C1C" w:rsidRPr="00370E47">
        <w:rPr>
          <w:i/>
          <w:iCs/>
          <w:sz w:val="26"/>
          <w:szCs w:val="26"/>
        </w:rPr>
        <w:t>See</w:t>
      </w:r>
      <w:r w:rsidR="00D46C1C" w:rsidRPr="00370E47">
        <w:rPr>
          <w:sz w:val="26"/>
          <w:szCs w:val="26"/>
        </w:rPr>
        <w:t xml:space="preserve"> Stats. 2022, </w:t>
      </w:r>
      <w:proofErr w:type="spellStart"/>
      <w:r w:rsidR="00D46C1C" w:rsidRPr="00370E47">
        <w:rPr>
          <w:sz w:val="26"/>
          <w:szCs w:val="26"/>
        </w:rPr>
        <w:t>ch.</w:t>
      </w:r>
      <w:proofErr w:type="spellEnd"/>
      <w:r w:rsidR="00D46C1C" w:rsidRPr="00370E47">
        <w:rPr>
          <w:sz w:val="26"/>
          <w:szCs w:val="26"/>
        </w:rPr>
        <w:t xml:space="preserve"> 890 § 2 (SB 1469), effective January 1, 2023.</w:t>
      </w:r>
    </w:p>
  </w:footnote>
  <w:footnote w:id="5">
    <w:p w14:paraId="2E68550D" w14:textId="371B18A6" w:rsidR="00D13248" w:rsidRPr="00370E47" w:rsidRDefault="00D13248" w:rsidP="00370E47">
      <w:pPr>
        <w:pStyle w:val="FootnoteText"/>
        <w:spacing w:line="240" w:lineRule="atLeast"/>
        <w:rPr>
          <w:sz w:val="26"/>
          <w:szCs w:val="26"/>
          <w:u w:val="single"/>
        </w:rPr>
      </w:pPr>
      <w:r w:rsidRPr="00370E47">
        <w:rPr>
          <w:rStyle w:val="FootnoteReference"/>
          <w:sz w:val="26"/>
          <w:szCs w:val="26"/>
        </w:rPr>
        <w:footnoteRef/>
      </w:r>
      <w:r w:rsidRPr="00370E47">
        <w:rPr>
          <w:sz w:val="26"/>
          <w:szCs w:val="26"/>
        </w:rPr>
        <w:t xml:space="preserve"> </w:t>
      </w:r>
      <w:r w:rsidRPr="00370E47">
        <w:rPr>
          <w:i/>
          <w:iCs/>
          <w:sz w:val="26"/>
          <w:szCs w:val="26"/>
        </w:rPr>
        <w:t>Id</w:t>
      </w:r>
      <w:r w:rsidRPr="00370E47">
        <w:rPr>
          <w:sz w:val="26"/>
          <w:szCs w:val="26"/>
        </w:rPr>
        <w:t>., pp. 19-21.</w:t>
      </w:r>
    </w:p>
  </w:footnote>
  <w:footnote w:id="6">
    <w:p w14:paraId="4ABAF9CD" w14:textId="49B8B1BA" w:rsidR="00D13248" w:rsidRPr="00370E47" w:rsidRDefault="00D13248" w:rsidP="00370E47">
      <w:pPr>
        <w:pStyle w:val="FootnoteText"/>
        <w:spacing w:line="240" w:lineRule="atLeast"/>
        <w:rPr>
          <w:sz w:val="26"/>
          <w:szCs w:val="26"/>
          <w:u w:val="single"/>
        </w:rPr>
      </w:pPr>
      <w:r w:rsidRPr="00370E47">
        <w:rPr>
          <w:rStyle w:val="FootnoteReference"/>
          <w:sz w:val="26"/>
          <w:szCs w:val="26"/>
        </w:rPr>
        <w:footnoteRef/>
      </w:r>
      <w:r w:rsidRPr="00370E47">
        <w:rPr>
          <w:sz w:val="26"/>
          <w:szCs w:val="26"/>
        </w:rPr>
        <w:t xml:space="preserve"> </w:t>
      </w:r>
      <w:r w:rsidRPr="00370E47">
        <w:rPr>
          <w:i/>
          <w:iCs/>
          <w:sz w:val="26"/>
          <w:szCs w:val="26"/>
        </w:rPr>
        <w:t>Id</w:t>
      </w:r>
      <w:r w:rsidRPr="00370E47">
        <w:rPr>
          <w:sz w:val="26"/>
          <w:szCs w:val="26"/>
        </w:rPr>
        <w:t xml:space="preserve">., pp. 13-14, citing </w:t>
      </w:r>
      <w:r w:rsidRPr="00370E47">
        <w:rPr>
          <w:i/>
          <w:iCs/>
          <w:sz w:val="26"/>
          <w:szCs w:val="26"/>
        </w:rPr>
        <w:t>Golden State Water Company v. Public Utilities Com.</w:t>
      </w:r>
      <w:r w:rsidRPr="00370E47">
        <w:rPr>
          <w:sz w:val="26"/>
          <w:szCs w:val="26"/>
        </w:rPr>
        <w:t xml:space="preserve"> (2024) 16 Cal.5th 380, 399.</w:t>
      </w:r>
    </w:p>
  </w:footnote>
  <w:footnote w:id="7">
    <w:p w14:paraId="6FC8CFF8" w14:textId="2677B15F" w:rsidR="00D13248" w:rsidRPr="00370E47" w:rsidRDefault="00D13248" w:rsidP="00370E47">
      <w:pPr>
        <w:pStyle w:val="FootnoteText"/>
        <w:spacing w:line="240" w:lineRule="atLeast"/>
        <w:rPr>
          <w:sz w:val="26"/>
          <w:szCs w:val="26"/>
          <w:u w:val="single"/>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pp. 24-27.</w:t>
      </w:r>
    </w:p>
  </w:footnote>
  <w:footnote w:id="8">
    <w:p w14:paraId="4B31DF11" w14:textId="15BAECFF" w:rsidR="00D13248" w:rsidRPr="00370E47" w:rsidRDefault="00D13248" w:rsidP="00370E47">
      <w:pPr>
        <w:pStyle w:val="FootnoteText"/>
        <w:spacing w:line="240" w:lineRule="atLeast"/>
        <w:rPr>
          <w:sz w:val="26"/>
          <w:szCs w:val="26"/>
          <w:u w:val="single"/>
        </w:rPr>
      </w:pPr>
      <w:r w:rsidRPr="00370E47">
        <w:rPr>
          <w:rStyle w:val="FootnoteReference"/>
          <w:sz w:val="26"/>
          <w:szCs w:val="26"/>
        </w:rPr>
        <w:footnoteRef/>
      </w:r>
      <w:r w:rsidRPr="00370E47">
        <w:rPr>
          <w:sz w:val="26"/>
          <w:szCs w:val="26"/>
        </w:rPr>
        <w:t xml:space="preserve"> </w:t>
      </w:r>
      <w:r w:rsidRPr="00370E47">
        <w:rPr>
          <w:i/>
          <w:iCs/>
          <w:sz w:val="26"/>
          <w:szCs w:val="26"/>
        </w:rPr>
        <w:t>Id</w:t>
      </w:r>
      <w:r w:rsidRPr="00370E47">
        <w:rPr>
          <w:sz w:val="26"/>
          <w:szCs w:val="26"/>
        </w:rPr>
        <w:t>., pp. 2</w:t>
      </w:r>
      <w:r w:rsidR="00874AA9" w:rsidRPr="00370E47">
        <w:rPr>
          <w:sz w:val="26"/>
          <w:szCs w:val="26"/>
        </w:rPr>
        <w:t>4</w:t>
      </w:r>
      <w:r w:rsidRPr="00370E47">
        <w:rPr>
          <w:sz w:val="26"/>
          <w:szCs w:val="26"/>
        </w:rPr>
        <w:t>-25.</w:t>
      </w:r>
    </w:p>
  </w:footnote>
  <w:footnote w:id="9">
    <w:p w14:paraId="15E46B91" w14:textId="162092F9" w:rsidR="007A5CB1" w:rsidRPr="00370E47" w:rsidRDefault="007A5CB1" w:rsidP="00370E47">
      <w:pPr>
        <w:pStyle w:val="FootnoteText"/>
        <w:spacing w:line="240" w:lineRule="atLeast"/>
        <w:rPr>
          <w:sz w:val="26"/>
          <w:szCs w:val="26"/>
          <w:u w:val="single"/>
        </w:rPr>
      </w:pPr>
      <w:r w:rsidRPr="00370E47">
        <w:rPr>
          <w:rStyle w:val="FootnoteReference"/>
          <w:sz w:val="26"/>
          <w:szCs w:val="26"/>
        </w:rPr>
        <w:footnoteRef/>
      </w:r>
      <w:r w:rsidRPr="00370E47">
        <w:rPr>
          <w:sz w:val="26"/>
          <w:szCs w:val="26"/>
        </w:rPr>
        <w:t xml:space="preserve"> </w:t>
      </w:r>
      <w:r w:rsidRPr="00370E47">
        <w:rPr>
          <w:i/>
          <w:iCs/>
          <w:sz w:val="26"/>
          <w:szCs w:val="26"/>
        </w:rPr>
        <w:t>Id</w:t>
      </w:r>
      <w:r w:rsidRPr="00370E47">
        <w:rPr>
          <w:sz w:val="26"/>
          <w:szCs w:val="26"/>
        </w:rPr>
        <w:t xml:space="preserve">., pp. 31-32, citing Commission Rules of Practice and Procedure (Rule) 16.3(a)(1), </w:t>
      </w:r>
      <w:r w:rsidR="00BF4217" w:rsidRPr="00370E47">
        <w:rPr>
          <w:sz w:val="26"/>
          <w:szCs w:val="26"/>
        </w:rPr>
        <w:br/>
      </w:r>
      <w:r w:rsidRPr="00370E47">
        <w:rPr>
          <w:sz w:val="26"/>
          <w:szCs w:val="26"/>
        </w:rPr>
        <w:t>(2) &amp; (3).</w:t>
      </w:r>
    </w:p>
  </w:footnote>
  <w:footnote w:id="10">
    <w:p w14:paraId="4B3AAFE6" w14:textId="46D9011A" w:rsidR="008219A2" w:rsidRPr="00370E47" w:rsidRDefault="008219A2"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Decision, Conclusions of Law (COL</w:t>
      </w:r>
      <w:r w:rsidR="00C46780" w:rsidRPr="00370E47">
        <w:rPr>
          <w:sz w:val="26"/>
          <w:szCs w:val="26"/>
        </w:rPr>
        <w:t>s</w:t>
      </w:r>
      <w:r w:rsidRPr="00370E47">
        <w:rPr>
          <w:sz w:val="26"/>
          <w:szCs w:val="26"/>
        </w:rPr>
        <w:t xml:space="preserve">) 7, 8; Ordering Paragraph (OP) 4.  The M-WRAM is a revenue adjustment mechanism, but in contrast to a WRAM (such as GSW’s proposed WCAP), it is not a full decoupling mechanism; the M-WRAM instead adjusts for the difference between revenue collected under a tiered conservation rate structure, designed to impose increased costs for use of water exceeding certain thresholds, and the revenue that would have been collected, at actual sales levels, with a uniform rather than tiered structure in place. </w:t>
      </w:r>
      <w:r w:rsidR="00C46780" w:rsidRPr="00370E47">
        <w:rPr>
          <w:sz w:val="26"/>
          <w:szCs w:val="26"/>
        </w:rPr>
        <w:t>(</w:t>
      </w:r>
      <w:r w:rsidRPr="00370E47">
        <w:rPr>
          <w:sz w:val="26"/>
          <w:szCs w:val="26"/>
        </w:rPr>
        <w:t>Decision, n.92.</w:t>
      </w:r>
      <w:r w:rsidR="00C46780" w:rsidRPr="00370E47">
        <w:rPr>
          <w:sz w:val="26"/>
          <w:szCs w:val="26"/>
        </w:rPr>
        <w:t>)</w:t>
      </w:r>
    </w:p>
  </w:footnote>
  <w:footnote w:id="11">
    <w:p w14:paraId="00EA95C0" w14:textId="3C8D08F6" w:rsidR="00254FFD" w:rsidRPr="00370E47" w:rsidRDefault="00254FFD"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D95252" w:rsidRPr="00370E47">
        <w:rPr>
          <w:sz w:val="26"/>
          <w:szCs w:val="26"/>
        </w:rPr>
        <w:t>D.20-</w:t>
      </w:r>
      <w:r w:rsidR="00C46780" w:rsidRPr="00370E47">
        <w:rPr>
          <w:sz w:val="26"/>
          <w:szCs w:val="26"/>
        </w:rPr>
        <w:t>08-047</w:t>
      </w:r>
      <w:r w:rsidR="00D95252" w:rsidRPr="00370E47">
        <w:rPr>
          <w:sz w:val="26"/>
          <w:szCs w:val="26"/>
        </w:rPr>
        <w:t>, COL</w:t>
      </w:r>
      <w:r w:rsidR="00375217" w:rsidRPr="00370E47">
        <w:rPr>
          <w:sz w:val="26"/>
          <w:szCs w:val="26"/>
        </w:rPr>
        <w:t>s</w:t>
      </w:r>
      <w:r w:rsidR="00D95252" w:rsidRPr="00370E47">
        <w:rPr>
          <w:sz w:val="26"/>
          <w:szCs w:val="26"/>
        </w:rPr>
        <w:t xml:space="preserve"> 3</w:t>
      </w:r>
      <w:r w:rsidR="00375217" w:rsidRPr="00370E47">
        <w:rPr>
          <w:sz w:val="26"/>
          <w:szCs w:val="26"/>
        </w:rPr>
        <w:t>-</w:t>
      </w:r>
      <w:r w:rsidR="00D95252" w:rsidRPr="00370E47">
        <w:rPr>
          <w:sz w:val="26"/>
          <w:szCs w:val="26"/>
        </w:rPr>
        <w:t>5; OP 3</w:t>
      </w:r>
      <w:r w:rsidRPr="00370E47">
        <w:rPr>
          <w:sz w:val="26"/>
          <w:szCs w:val="26"/>
        </w:rPr>
        <w:t>.</w:t>
      </w:r>
    </w:p>
  </w:footnote>
  <w:footnote w:id="12">
    <w:p w14:paraId="0D61735E" w14:textId="020A1779" w:rsidR="00457A65" w:rsidRPr="00370E47" w:rsidRDefault="00457A65"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Stats. 2022, </w:t>
      </w:r>
      <w:proofErr w:type="spellStart"/>
      <w:r w:rsidRPr="00370E47">
        <w:rPr>
          <w:sz w:val="26"/>
          <w:szCs w:val="26"/>
        </w:rPr>
        <w:t>ch.</w:t>
      </w:r>
      <w:proofErr w:type="spellEnd"/>
      <w:r w:rsidRPr="00370E47">
        <w:rPr>
          <w:sz w:val="26"/>
          <w:szCs w:val="26"/>
        </w:rPr>
        <w:t xml:space="preserve"> 890 § 2 (SB 1469), effective January 1, 2023.</w:t>
      </w:r>
    </w:p>
  </w:footnote>
  <w:footnote w:id="13">
    <w:p w14:paraId="6E9394BE" w14:textId="77777777" w:rsidR="00457A65" w:rsidRPr="00370E47" w:rsidRDefault="00457A65" w:rsidP="00370E47">
      <w:pPr>
        <w:pStyle w:val="FootnoteText"/>
        <w:spacing w:line="240" w:lineRule="atLeast"/>
        <w:rPr>
          <w:sz w:val="26"/>
          <w:szCs w:val="26"/>
          <w:lang w:val="es-MX"/>
        </w:rPr>
      </w:pPr>
      <w:r w:rsidRPr="00370E47">
        <w:rPr>
          <w:rStyle w:val="FootnoteReference"/>
          <w:sz w:val="26"/>
          <w:szCs w:val="26"/>
        </w:rPr>
        <w:footnoteRef/>
      </w:r>
      <w:r w:rsidRPr="00370E47">
        <w:rPr>
          <w:sz w:val="26"/>
          <w:szCs w:val="26"/>
          <w:lang w:val="es-MX"/>
        </w:rPr>
        <w:t xml:space="preserve"> Pub. </w:t>
      </w:r>
      <w:proofErr w:type="spellStart"/>
      <w:r w:rsidRPr="00370E47">
        <w:rPr>
          <w:sz w:val="26"/>
          <w:szCs w:val="26"/>
          <w:lang w:val="es-MX"/>
        </w:rPr>
        <w:t>Util</w:t>
      </w:r>
      <w:proofErr w:type="spellEnd"/>
      <w:r w:rsidRPr="00370E47">
        <w:rPr>
          <w:sz w:val="26"/>
          <w:szCs w:val="26"/>
          <w:lang w:val="es-MX"/>
        </w:rPr>
        <w:t xml:space="preserve">. </w:t>
      </w:r>
      <w:proofErr w:type="spellStart"/>
      <w:r w:rsidRPr="00370E47">
        <w:rPr>
          <w:sz w:val="26"/>
          <w:szCs w:val="26"/>
          <w:lang w:val="es-MX"/>
        </w:rPr>
        <w:t>Code</w:t>
      </w:r>
      <w:proofErr w:type="spellEnd"/>
      <w:r w:rsidRPr="00370E47">
        <w:rPr>
          <w:sz w:val="26"/>
          <w:szCs w:val="26"/>
          <w:lang w:val="es-MX"/>
        </w:rPr>
        <w:t xml:space="preserve"> § 727.5(d)(2)(A).</w:t>
      </w:r>
    </w:p>
  </w:footnote>
  <w:footnote w:id="14">
    <w:p w14:paraId="14606A72" w14:textId="379D2E74" w:rsidR="00D95252" w:rsidRPr="00370E47" w:rsidRDefault="00D95252"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Pr="00370E47">
        <w:rPr>
          <w:i/>
          <w:iCs/>
          <w:sz w:val="26"/>
          <w:szCs w:val="26"/>
        </w:rPr>
        <w:t>Golden State Water Co</w:t>
      </w:r>
      <w:r w:rsidRPr="00370E47">
        <w:rPr>
          <w:sz w:val="26"/>
          <w:szCs w:val="26"/>
        </w:rPr>
        <w:t>.,</w:t>
      </w:r>
      <w:r w:rsidR="00966C93" w:rsidRPr="00370E47">
        <w:rPr>
          <w:sz w:val="26"/>
          <w:szCs w:val="26"/>
        </w:rPr>
        <w:t xml:space="preserve"> </w:t>
      </w:r>
      <w:r w:rsidR="00966C93" w:rsidRPr="00370E47">
        <w:rPr>
          <w:i/>
          <w:iCs/>
          <w:sz w:val="26"/>
          <w:szCs w:val="26"/>
        </w:rPr>
        <w:t>supra</w:t>
      </w:r>
      <w:r w:rsidR="00966C93" w:rsidRPr="00370E47">
        <w:rPr>
          <w:sz w:val="26"/>
          <w:szCs w:val="26"/>
        </w:rPr>
        <w:t>,</w:t>
      </w:r>
      <w:r w:rsidRPr="00370E47">
        <w:rPr>
          <w:sz w:val="26"/>
          <w:szCs w:val="26"/>
        </w:rPr>
        <w:t xml:space="preserve"> 16 Cal.5th at 398.</w:t>
      </w:r>
    </w:p>
  </w:footnote>
  <w:footnote w:id="15">
    <w:p w14:paraId="57563853" w14:textId="3F04B295" w:rsidR="00D95252" w:rsidRPr="00370E47" w:rsidRDefault="00D95252"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Pr="00370E47">
        <w:rPr>
          <w:i/>
          <w:iCs/>
          <w:sz w:val="26"/>
          <w:szCs w:val="26"/>
        </w:rPr>
        <w:t>Id</w:t>
      </w:r>
      <w:r w:rsidRPr="00370E47">
        <w:rPr>
          <w:sz w:val="26"/>
          <w:szCs w:val="26"/>
        </w:rPr>
        <w:t>. at 399.</w:t>
      </w:r>
    </w:p>
  </w:footnote>
  <w:footnote w:id="16">
    <w:p w14:paraId="373DB8C5" w14:textId="68201C67" w:rsidR="00795FF0" w:rsidRPr="00370E47" w:rsidRDefault="00795FF0"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D95252" w:rsidRPr="00370E47">
        <w:rPr>
          <w:i/>
          <w:iCs/>
          <w:sz w:val="26"/>
          <w:szCs w:val="26"/>
        </w:rPr>
        <w:t>Id</w:t>
      </w:r>
      <w:r w:rsidR="00D95252" w:rsidRPr="00370E47">
        <w:rPr>
          <w:sz w:val="26"/>
          <w:szCs w:val="26"/>
        </w:rPr>
        <w:t>. at 382</w:t>
      </w:r>
      <w:r w:rsidRPr="00370E47">
        <w:rPr>
          <w:sz w:val="26"/>
          <w:szCs w:val="26"/>
        </w:rPr>
        <w:t>.</w:t>
      </w:r>
    </w:p>
  </w:footnote>
  <w:footnote w:id="17">
    <w:p w14:paraId="3683552D" w14:textId="620A7714" w:rsidR="00001A59" w:rsidRPr="00370E47" w:rsidRDefault="00001A59"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Decision, p. 5.</w:t>
      </w:r>
    </w:p>
  </w:footnote>
  <w:footnote w:id="18">
    <w:p w14:paraId="68A20FAF" w14:textId="64BDD338" w:rsidR="00F1181B" w:rsidRPr="00370E47" w:rsidRDefault="00F1181B"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Commission Rule of Practice and Procedure (Rule) 16.1(c).</w:t>
      </w:r>
    </w:p>
  </w:footnote>
  <w:footnote w:id="19">
    <w:p w14:paraId="490E8B6C" w14:textId="77777777" w:rsidR="005128EF" w:rsidRPr="00370E47" w:rsidRDefault="005128EF"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D.21-03-048, p. 4.</w:t>
      </w:r>
    </w:p>
  </w:footnote>
  <w:footnote w:id="20">
    <w:p w14:paraId="4E079B54" w14:textId="77777777" w:rsidR="005128EF" w:rsidRPr="00370E47" w:rsidRDefault="005128EF"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D.17-08-015, p. 4.</w:t>
      </w:r>
    </w:p>
  </w:footnote>
  <w:footnote w:id="21">
    <w:p w14:paraId="5C9E68C7" w14:textId="1752A299" w:rsidR="00470FF6" w:rsidRPr="00370E47" w:rsidRDefault="00470FF6"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pp. 4-12.</w:t>
      </w:r>
    </w:p>
  </w:footnote>
  <w:footnote w:id="22">
    <w:p w14:paraId="1B2AF08D" w14:textId="61C43B42" w:rsidR="00E40131" w:rsidRPr="00370E47" w:rsidRDefault="00E40131"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D.21-03-048, p. 4.</w:t>
      </w:r>
    </w:p>
  </w:footnote>
  <w:footnote w:id="23">
    <w:p w14:paraId="74F5E2F0" w14:textId="12317370" w:rsidR="00E40131" w:rsidRPr="00370E47" w:rsidRDefault="00E40131"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Decision, pp. 70-76.</w:t>
      </w:r>
    </w:p>
  </w:footnote>
  <w:footnote w:id="24">
    <w:p w14:paraId="3F95F8A2" w14:textId="07F328F9" w:rsidR="00195FD6" w:rsidRPr="00370E47" w:rsidRDefault="00195FD6"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Decision, </w:t>
      </w:r>
      <w:r w:rsidR="000C5B8E" w:rsidRPr="00370E47">
        <w:rPr>
          <w:sz w:val="26"/>
          <w:szCs w:val="26"/>
        </w:rPr>
        <w:t>Findings of Fact (</w:t>
      </w:r>
      <w:r w:rsidR="00A30E48" w:rsidRPr="00370E47">
        <w:rPr>
          <w:sz w:val="26"/>
          <w:szCs w:val="26"/>
        </w:rPr>
        <w:t>FOF</w:t>
      </w:r>
      <w:r w:rsidR="00F32AEE" w:rsidRPr="00370E47">
        <w:rPr>
          <w:sz w:val="26"/>
          <w:szCs w:val="26"/>
        </w:rPr>
        <w:t>s</w:t>
      </w:r>
      <w:r w:rsidR="000C5B8E" w:rsidRPr="00370E47">
        <w:rPr>
          <w:sz w:val="26"/>
          <w:szCs w:val="26"/>
        </w:rPr>
        <w:t>)</w:t>
      </w:r>
      <w:r w:rsidR="00A30E48" w:rsidRPr="00370E47">
        <w:rPr>
          <w:sz w:val="26"/>
          <w:szCs w:val="26"/>
        </w:rPr>
        <w:t xml:space="preserve"> 13-17, COL</w:t>
      </w:r>
      <w:r w:rsidR="00F32AEE" w:rsidRPr="00370E47">
        <w:rPr>
          <w:sz w:val="26"/>
          <w:szCs w:val="26"/>
        </w:rPr>
        <w:t>s</w:t>
      </w:r>
      <w:r w:rsidR="00A30E48" w:rsidRPr="00370E47">
        <w:rPr>
          <w:sz w:val="26"/>
          <w:szCs w:val="26"/>
        </w:rPr>
        <w:t xml:space="preserve"> 7-8</w:t>
      </w:r>
      <w:r w:rsidRPr="00370E47">
        <w:rPr>
          <w:sz w:val="26"/>
          <w:szCs w:val="26"/>
        </w:rPr>
        <w:t>.</w:t>
      </w:r>
    </w:p>
  </w:footnote>
  <w:footnote w:id="25">
    <w:p w14:paraId="074F1675" w14:textId="7068A90E" w:rsidR="00E40131" w:rsidRPr="00370E47" w:rsidRDefault="00E40131"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xml:space="preserve">, pp. 2-3, citing </w:t>
      </w:r>
      <w:r w:rsidRPr="00370E47">
        <w:rPr>
          <w:i/>
          <w:iCs/>
          <w:sz w:val="26"/>
          <w:szCs w:val="26"/>
        </w:rPr>
        <w:t xml:space="preserve">Greyhound Lines, Inc. v. </w:t>
      </w:r>
      <w:bookmarkStart w:id="10" w:name="_Hlk195108467"/>
      <w:r w:rsidR="00EC17F7" w:rsidRPr="00370E47">
        <w:rPr>
          <w:i/>
          <w:iCs/>
          <w:sz w:val="26"/>
          <w:szCs w:val="26"/>
        </w:rPr>
        <w:t>Public Utilities Com</w:t>
      </w:r>
      <w:bookmarkEnd w:id="10"/>
      <w:r w:rsidR="00EC17F7" w:rsidRPr="00370E47">
        <w:rPr>
          <w:i/>
          <w:iCs/>
          <w:sz w:val="26"/>
          <w:szCs w:val="26"/>
        </w:rPr>
        <w:t>.</w:t>
      </w:r>
      <w:r w:rsidRPr="00370E47">
        <w:rPr>
          <w:sz w:val="26"/>
          <w:szCs w:val="26"/>
        </w:rPr>
        <w:t xml:space="preserve"> (1967) 65 Cal.2d 811, 813.</w:t>
      </w:r>
    </w:p>
  </w:footnote>
  <w:footnote w:id="26">
    <w:p w14:paraId="04236FF9" w14:textId="28F8FB76" w:rsidR="00E40131" w:rsidRPr="00370E47" w:rsidRDefault="00E40131"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bookmarkStart w:id="12" w:name="_Hlk196136729"/>
      <w:r w:rsidR="00D23D97" w:rsidRPr="00370E47">
        <w:rPr>
          <w:sz w:val="26"/>
          <w:szCs w:val="26"/>
        </w:rPr>
        <w:t>Pub. Util. Code § 1705</w:t>
      </w:r>
      <w:bookmarkEnd w:id="12"/>
      <w:r w:rsidR="00074FFF" w:rsidRPr="00370E47">
        <w:rPr>
          <w:sz w:val="26"/>
          <w:szCs w:val="26"/>
        </w:rPr>
        <w:t xml:space="preserve">; </w:t>
      </w:r>
      <w:r w:rsidR="00074FFF" w:rsidRPr="00370E47">
        <w:rPr>
          <w:i/>
          <w:iCs/>
          <w:sz w:val="26"/>
          <w:szCs w:val="26"/>
        </w:rPr>
        <w:t>s</w:t>
      </w:r>
      <w:r w:rsidR="00D23D97" w:rsidRPr="00370E47">
        <w:rPr>
          <w:i/>
          <w:iCs/>
          <w:sz w:val="26"/>
          <w:szCs w:val="26"/>
        </w:rPr>
        <w:t>ee also</w:t>
      </w:r>
      <w:r w:rsidR="00D23D97" w:rsidRPr="00370E47">
        <w:rPr>
          <w:sz w:val="26"/>
          <w:szCs w:val="26"/>
        </w:rPr>
        <w:t xml:space="preserve"> </w:t>
      </w:r>
      <w:r w:rsidRPr="00370E47">
        <w:rPr>
          <w:i/>
          <w:iCs/>
          <w:sz w:val="26"/>
          <w:szCs w:val="26"/>
        </w:rPr>
        <w:t>Cal. Manufacturers Assn.</w:t>
      </w:r>
      <w:r w:rsidR="00D23D97" w:rsidRPr="00370E47">
        <w:rPr>
          <w:i/>
          <w:iCs/>
          <w:sz w:val="26"/>
          <w:szCs w:val="26"/>
        </w:rPr>
        <w:t xml:space="preserve"> v. Public Utilities Com.</w:t>
      </w:r>
      <w:r w:rsidR="00D23D97" w:rsidRPr="00370E47">
        <w:rPr>
          <w:sz w:val="26"/>
          <w:szCs w:val="26"/>
        </w:rPr>
        <w:t xml:space="preserve"> (1979)</w:t>
      </w:r>
      <w:r w:rsidRPr="00370E47">
        <w:rPr>
          <w:sz w:val="26"/>
          <w:szCs w:val="26"/>
        </w:rPr>
        <w:t xml:space="preserve"> 24 Cal.3d </w:t>
      </w:r>
      <w:r w:rsidR="00D23D97" w:rsidRPr="00370E47">
        <w:rPr>
          <w:sz w:val="26"/>
          <w:szCs w:val="26"/>
        </w:rPr>
        <w:t>251,</w:t>
      </w:r>
      <w:r w:rsidRPr="00370E47">
        <w:rPr>
          <w:sz w:val="26"/>
          <w:szCs w:val="26"/>
        </w:rPr>
        <w:t xml:space="preserve"> 258</w:t>
      </w:r>
      <w:r w:rsidR="00D23D97" w:rsidRPr="00370E47">
        <w:rPr>
          <w:sz w:val="26"/>
          <w:szCs w:val="26"/>
        </w:rPr>
        <w:t>;</w:t>
      </w:r>
      <w:r w:rsidRPr="00370E47">
        <w:rPr>
          <w:sz w:val="26"/>
          <w:szCs w:val="26"/>
        </w:rPr>
        <w:t xml:space="preserve"> </w:t>
      </w:r>
      <w:r w:rsidR="00EC17F7" w:rsidRPr="00370E47">
        <w:rPr>
          <w:sz w:val="26"/>
          <w:szCs w:val="26"/>
        </w:rPr>
        <w:t>App. Rehg.</w:t>
      </w:r>
      <w:r w:rsidRPr="00370E47">
        <w:rPr>
          <w:sz w:val="26"/>
          <w:szCs w:val="26"/>
        </w:rPr>
        <w:t>, p. 3.</w:t>
      </w:r>
    </w:p>
  </w:footnote>
  <w:footnote w:id="27">
    <w:p w14:paraId="1126E9D3" w14:textId="36F15826" w:rsidR="00E40131" w:rsidRPr="00370E47" w:rsidRDefault="00E40131"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2E555E" w:rsidRPr="00370E47">
        <w:rPr>
          <w:sz w:val="26"/>
          <w:szCs w:val="26"/>
        </w:rPr>
        <w:t>Decision, FOF</w:t>
      </w:r>
      <w:r w:rsidR="008F64D8" w:rsidRPr="00370E47">
        <w:rPr>
          <w:sz w:val="26"/>
          <w:szCs w:val="26"/>
        </w:rPr>
        <w:t>s</w:t>
      </w:r>
      <w:r w:rsidR="002E555E" w:rsidRPr="00370E47">
        <w:rPr>
          <w:sz w:val="26"/>
          <w:szCs w:val="26"/>
        </w:rPr>
        <w:t xml:space="preserve"> 13-17, COL</w:t>
      </w:r>
      <w:r w:rsidR="008F64D8" w:rsidRPr="00370E47">
        <w:rPr>
          <w:sz w:val="26"/>
          <w:szCs w:val="26"/>
        </w:rPr>
        <w:t>s</w:t>
      </w:r>
      <w:r w:rsidR="002E555E" w:rsidRPr="00370E47">
        <w:rPr>
          <w:sz w:val="26"/>
          <w:szCs w:val="26"/>
        </w:rPr>
        <w:t xml:space="preserve"> 7-8</w:t>
      </w:r>
      <w:r w:rsidRPr="00370E47">
        <w:rPr>
          <w:sz w:val="26"/>
          <w:szCs w:val="26"/>
        </w:rPr>
        <w:t>.</w:t>
      </w:r>
    </w:p>
  </w:footnote>
  <w:footnote w:id="28">
    <w:p w14:paraId="5BE4B285" w14:textId="55F11869" w:rsidR="002E555E" w:rsidRPr="00370E47" w:rsidRDefault="002E555E"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Pr="00370E47">
        <w:rPr>
          <w:i/>
          <w:iCs/>
          <w:sz w:val="26"/>
          <w:szCs w:val="26"/>
        </w:rPr>
        <w:t xml:space="preserve">Toward Utility Rate Normalization v. Public Utilities Com. </w:t>
      </w:r>
      <w:r w:rsidRPr="00370E47">
        <w:rPr>
          <w:sz w:val="26"/>
          <w:szCs w:val="26"/>
        </w:rPr>
        <w:t>(1978) 22 Cal.3d 529, 540 (citations omitted).</w:t>
      </w:r>
    </w:p>
  </w:footnote>
  <w:footnote w:id="29">
    <w:p w14:paraId="1931297F" w14:textId="681CDB0E" w:rsidR="002E555E" w:rsidRPr="00370E47" w:rsidRDefault="002E555E"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pp. 21-22.</w:t>
      </w:r>
    </w:p>
  </w:footnote>
  <w:footnote w:id="30">
    <w:p w14:paraId="6C3F7AC4" w14:textId="6D90945F" w:rsidR="00DC594C" w:rsidRPr="00370E47" w:rsidRDefault="00DC594C"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3B46D4" w:rsidRPr="00370E47">
        <w:rPr>
          <w:sz w:val="26"/>
          <w:szCs w:val="26"/>
        </w:rPr>
        <w:t>Decision</w:t>
      </w:r>
      <w:r w:rsidRPr="00370E47">
        <w:rPr>
          <w:sz w:val="26"/>
          <w:szCs w:val="26"/>
        </w:rPr>
        <w:t>, pp. 7</w:t>
      </w:r>
      <w:r w:rsidR="003B46D4" w:rsidRPr="00370E47">
        <w:rPr>
          <w:sz w:val="26"/>
          <w:szCs w:val="26"/>
        </w:rPr>
        <w:t>2</w:t>
      </w:r>
      <w:r w:rsidRPr="00370E47">
        <w:rPr>
          <w:sz w:val="26"/>
          <w:szCs w:val="26"/>
        </w:rPr>
        <w:t>-</w:t>
      </w:r>
      <w:r w:rsidR="003B46D4" w:rsidRPr="00370E47">
        <w:rPr>
          <w:sz w:val="26"/>
          <w:szCs w:val="26"/>
        </w:rPr>
        <w:t>73</w:t>
      </w:r>
      <w:r w:rsidRPr="00370E47">
        <w:rPr>
          <w:sz w:val="26"/>
          <w:szCs w:val="26"/>
        </w:rPr>
        <w:t>.</w:t>
      </w:r>
    </w:p>
  </w:footnote>
  <w:footnote w:id="31">
    <w:p w14:paraId="73879A3B" w14:textId="4E5080E7" w:rsidR="008F64D8" w:rsidRPr="00370E47" w:rsidRDefault="008F64D8"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Decision, p. 72, citing </w:t>
      </w:r>
      <w:r w:rsidR="000C5B8E" w:rsidRPr="00370E47">
        <w:rPr>
          <w:sz w:val="26"/>
          <w:szCs w:val="26"/>
        </w:rPr>
        <w:t xml:space="preserve">Ex. </w:t>
      </w:r>
      <w:r w:rsidRPr="00370E47">
        <w:rPr>
          <w:sz w:val="26"/>
          <w:szCs w:val="26"/>
        </w:rPr>
        <w:t>PUBADV-SL-002, Figure 1</w:t>
      </w:r>
      <w:r w:rsidR="000C5B8E" w:rsidRPr="00370E47">
        <w:rPr>
          <w:sz w:val="26"/>
          <w:szCs w:val="26"/>
        </w:rPr>
        <w:t>;</w:t>
      </w:r>
      <w:r w:rsidRPr="00370E47">
        <w:rPr>
          <w:sz w:val="26"/>
          <w:szCs w:val="26"/>
        </w:rPr>
        <w:t xml:space="preserve"> </w:t>
      </w:r>
      <w:r w:rsidR="000C5B8E" w:rsidRPr="00370E47">
        <w:rPr>
          <w:i/>
          <w:iCs/>
          <w:sz w:val="26"/>
          <w:szCs w:val="26"/>
        </w:rPr>
        <w:t>s</w:t>
      </w:r>
      <w:r w:rsidRPr="00370E47">
        <w:rPr>
          <w:i/>
          <w:iCs/>
          <w:sz w:val="26"/>
          <w:szCs w:val="26"/>
        </w:rPr>
        <w:t>ee also</w:t>
      </w:r>
      <w:r w:rsidRPr="00370E47">
        <w:rPr>
          <w:sz w:val="26"/>
          <w:szCs w:val="26"/>
        </w:rPr>
        <w:t xml:space="preserve"> Decision, pp. 73-74.</w:t>
      </w:r>
    </w:p>
  </w:footnote>
  <w:footnote w:id="32">
    <w:p w14:paraId="0A53E1EB" w14:textId="508DC92E" w:rsidR="008F64D8" w:rsidRPr="00370E47" w:rsidRDefault="008F64D8"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Decision, pp. 72-73, FOF 15.</w:t>
      </w:r>
    </w:p>
  </w:footnote>
  <w:footnote w:id="33">
    <w:p w14:paraId="213FAFAA" w14:textId="7DCC7F30" w:rsidR="003B46D4" w:rsidRPr="00370E47" w:rsidRDefault="003B46D4" w:rsidP="00370E47">
      <w:pPr>
        <w:pStyle w:val="FootnoteText"/>
        <w:spacing w:line="240" w:lineRule="atLeast"/>
        <w:rPr>
          <w:sz w:val="26"/>
          <w:szCs w:val="26"/>
          <w:lang w:val="es-MX"/>
        </w:rPr>
      </w:pPr>
      <w:r w:rsidRPr="00370E47">
        <w:rPr>
          <w:rStyle w:val="FootnoteReference"/>
          <w:sz w:val="26"/>
          <w:szCs w:val="26"/>
        </w:rPr>
        <w:footnoteRef/>
      </w:r>
      <w:r w:rsidRPr="00370E47">
        <w:rPr>
          <w:sz w:val="26"/>
          <w:szCs w:val="26"/>
        </w:rPr>
        <w:t xml:space="preserve"> Pub. Util. </w:t>
      </w:r>
      <w:proofErr w:type="spellStart"/>
      <w:r w:rsidRPr="00370E47">
        <w:rPr>
          <w:sz w:val="26"/>
          <w:szCs w:val="26"/>
          <w:lang w:val="es-MX"/>
        </w:rPr>
        <w:t>Code</w:t>
      </w:r>
      <w:proofErr w:type="spellEnd"/>
      <w:r w:rsidRPr="00370E47">
        <w:rPr>
          <w:sz w:val="26"/>
          <w:szCs w:val="26"/>
          <w:lang w:val="es-MX"/>
        </w:rPr>
        <w:t xml:space="preserve"> § </w:t>
      </w:r>
      <w:r w:rsidR="000D4F68" w:rsidRPr="00370E47">
        <w:rPr>
          <w:sz w:val="26"/>
          <w:szCs w:val="26"/>
          <w:lang w:val="es-MX"/>
        </w:rPr>
        <w:t>727</w:t>
      </w:r>
      <w:r w:rsidRPr="00370E47">
        <w:rPr>
          <w:sz w:val="26"/>
          <w:szCs w:val="26"/>
          <w:lang w:val="es-MX"/>
        </w:rPr>
        <w:t>.5(d)(2)(A).</w:t>
      </w:r>
    </w:p>
  </w:footnote>
  <w:footnote w:id="34">
    <w:p w14:paraId="0F8FAA47" w14:textId="1DAC9B8D" w:rsidR="003B46D4" w:rsidRPr="00370E47" w:rsidRDefault="003B46D4" w:rsidP="00370E47">
      <w:pPr>
        <w:pStyle w:val="FootnoteText"/>
        <w:spacing w:line="240" w:lineRule="atLeast"/>
        <w:rPr>
          <w:sz w:val="26"/>
          <w:szCs w:val="26"/>
          <w:lang w:val="es-ES"/>
        </w:rPr>
      </w:pPr>
      <w:r w:rsidRPr="00370E47">
        <w:rPr>
          <w:rStyle w:val="FootnoteReference"/>
          <w:sz w:val="26"/>
          <w:szCs w:val="26"/>
        </w:rPr>
        <w:footnoteRef/>
      </w:r>
      <w:r w:rsidRPr="00370E47">
        <w:rPr>
          <w:sz w:val="26"/>
          <w:szCs w:val="26"/>
          <w:lang w:val="es-ES"/>
        </w:rPr>
        <w:t xml:space="preserve"> </w:t>
      </w:r>
      <w:r w:rsidR="00EC17F7" w:rsidRPr="00370E47">
        <w:rPr>
          <w:sz w:val="26"/>
          <w:szCs w:val="26"/>
          <w:lang w:val="es-ES"/>
        </w:rPr>
        <w:t xml:space="preserve">App. </w:t>
      </w:r>
      <w:proofErr w:type="spellStart"/>
      <w:r w:rsidR="00EC17F7" w:rsidRPr="00370E47">
        <w:rPr>
          <w:sz w:val="26"/>
          <w:szCs w:val="26"/>
          <w:lang w:val="es-ES"/>
        </w:rPr>
        <w:t>Rehg</w:t>
      </w:r>
      <w:proofErr w:type="spellEnd"/>
      <w:r w:rsidR="00EC17F7" w:rsidRPr="00370E47">
        <w:rPr>
          <w:sz w:val="26"/>
          <w:szCs w:val="26"/>
          <w:lang w:val="es-ES"/>
        </w:rPr>
        <w:t>.</w:t>
      </w:r>
      <w:r w:rsidR="00EA3A61" w:rsidRPr="00370E47">
        <w:rPr>
          <w:sz w:val="26"/>
          <w:szCs w:val="26"/>
          <w:lang w:val="es-ES"/>
        </w:rPr>
        <w:t>, p. 19</w:t>
      </w:r>
      <w:r w:rsidRPr="00370E47">
        <w:rPr>
          <w:sz w:val="26"/>
          <w:szCs w:val="26"/>
          <w:lang w:val="es-ES"/>
        </w:rPr>
        <w:t>.</w:t>
      </w:r>
    </w:p>
  </w:footnote>
  <w:footnote w:id="35">
    <w:p w14:paraId="5BC7870C" w14:textId="6B1B5FC7" w:rsidR="00EA3A61" w:rsidRPr="00370E47" w:rsidRDefault="00EA3A61"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Pr="00370E47">
        <w:rPr>
          <w:i/>
          <w:iCs/>
          <w:sz w:val="26"/>
          <w:szCs w:val="26"/>
        </w:rPr>
        <w:t>See cf. Id</w:t>
      </w:r>
      <w:r w:rsidRPr="00370E47">
        <w:rPr>
          <w:sz w:val="26"/>
          <w:szCs w:val="26"/>
        </w:rPr>
        <w:t xml:space="preserve">., pp. 15-16, citing </w:t>
      </w:r>
      <w:r w:rsidRPr="00370E47">
        <w:rPr>
          <w:i/>
          <w:iCs/>
          <w:sz w:val="26"/>
          <w:szCs w:val="26"/>
        </w:rPr>
        <w:t xml:space="preserve">Greyhound Lines, Inc. v. </w:t>
      </w:r>
      <w:r w:rsidR="00EC17F7" w:rsidRPr="00370E47">
        <w:rPr>
          <w:i/>
          <w:iCs/>
          <w:sz w:val="26"/>
          <w:szCs w:val="26"/>
        </w:rPr>
        <w:t>Public Utilities Com.</w:t>
      </w:r>
      <w:r w:rsidRPr="00370E47">
        <w:rPr>
          <w:sz w:val="26"/>
          <w:szCs w:val="26"/>
        </w:rPr>
        <w:t xml:space="preserve"> (1968) 68 Cal.2d 406, 410-11.</w:t>
      </w:r>
    </w:p>
  </w:footnote>
  <w:footnote w:id="36">
    <w:p w14:paraId="24CF4112" w14:textId="5C8DB3CF" w:rsidR="00863655" w:rsidRPr="00370E47" w:rsidRDefault="00863655"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pp. 15, 19-20.</w:t>
      </w:r>
    </w:p>
  </w:footnote>
  <w:footnote w:id="37">
    <w:p w14:paraId="668327C0" w14:textId="5501F978" w:rsidR="00983082" w:rsidRPr="00370E47" w:rsidRDefault="00983082"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pp. 14-16, 18, citing SB 1469, § 1(b).</w:t>
      </w:r>
    </w:p>
  </w:footnote>
  <w:footnote w:id="38">
    <w:p w14:paraId="631D624C" w14:textId="341C16DD" w:rsidR="00983082" w:rsidRPr="00370E47" w:rsidRDefault="00983082"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Pr="00370E47">
        <w:rPr>
          <w:i/>
          <w:iCs/>
          <w:sz w:val="26"/>
          <w:szCs w:val="26"/>
        </w:rPr>
        <w:t>Doe v. Superior Court</w:t>
      </w:r>
      <w:r w:rsidRPr="00370E47">
        <w:rPr>
          <w:sz w:val="26"/>
          <w:szCs w:val="26"/>
        </w:rPr>
        <w:t xml:space="preserve"> (2023) 15 Cal.5th 40, 69 (citation omitted).</w:t>
      </w:r>
    </w:p>
  </w:footnote>
  <w:footnote w:id="39">
    <w:p w14:paraId="1B986E41" w14:textId="7AE1FD55" w:rsidR="00983082" w:rsidRPr="00370E47" w:rsidRDefault="00983082"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Pr="00370E47">
        <w:rPr>
          <w:i/>
          <w:iCs/>
          <w:sz w:val="26"/>
          <w:szCs w:val="26"/>
        </w:rPr>
        <w:t>Shamsian v. Dept. of Conservation</w:t>
      </w:r>
      <w:r w:rsidRPr="00370E47">
        <w:rPr>
          <w:sz w:val="26"/>
          <w:szCs w:val="26"/>
        </w:rPr>
        <w:t xml:space="preserve"> (2006) 136 Cal.App.4th 621, 633.</w:t>
      </w:r>
    </w:p>
  </w:footnote>
  <w:footnote w:id="40">
    <w:p w14:paraId="4766A7FA" w14:textId="5273924B" w:rsidR="00983082" w:rsidRPr="00370E47" w:rsidRDefault="00983082"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pp. 14-16</w:t>
      </w:r>
      <w:r w:rsidR="00BD3D6A" w:rsidRPr="00370E47">
        <w:rPr>
          <w:sz w:val="26"/>
          <w:szCs w:val="26"/>
        </w:rPr>
        <w:t>;</w:t>
      </w:r>
      <w:r w:rsidRPr="00370E47">
        <w:rPr>
          <w:sz w:val="26"/>
          <w:szCs w:val="26"/>
        </w:rPr>
        <w:t xml:space="preserve"> </w:t>
      </w:r>
      <w:r w:rsidR="00BD3D6A" w:rsidRPr="00370E47">
        <w:rPr>
          <w:i/>
          <w:iCs/>
          <w:sz w:val="26"/>
          <w:szCs w:val="26"/>
        </w:rPr>
        <w:t>s</w:t>
      </w:r>
      <w:r w:rsidRPr="00370E47">
        <w:rPr>
          <w:i/>
          <w:iCs/>
          <w:sz w:val="26"/>
          <w:szCs w:val="26"/>
        </w:rPr>
        <w:t>ee also</w:t>
      </w:r>
      <w:r w:rsidRPr="00370E47">
        <w:rPr>
          <w:sz w:val="26"/>
          <w:szCs w:val="26"/>
        </w:rPr>
        <w:t xml:space="preserve"> NAWC Response to </w:t>
      </w:r>
      <w:r w:rsidR="00EC17F7" w:rsidRPr="00370E47">
        <w:rPr>
          <w:sz w:val="26"/>
          <w:szCs w:val="26"/>
        </w:rPr>
        <w:t>App. Rehg.</w:t>
      </w:r>
      <w:r w:rsidRPr="00370E47">
        <w:rPr>
          <w:sz w:val="26"/>
          <w:szCs w:val="26"/>
        </w:rPr>
        <w:t>, pp. 2-3.</w:t>
      </w:r>
    </w:p>
  </w:footnote>
  <w:footnote w:id="41">
    <w:p w14:paraId="00CA2FBD" w14:textId="5D5E82E5" w:rsidR="00983082" w:rsidRPr="00370E47" w:rsidRDefault="00983082"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p. 18, citing SB 1469, § 1(a)(1)-(6).</w:t>
      </w:r>
    </w:p>
  </w:footnote>
  <w:footnote w:id="42">
    <w:p w14:paraId="23717F57" w14:textId="409CC7F6" w:rsidR="00F25980" w:rsidRPr="00370E47" w:rsidRDefault="00F25980"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pp. 18-19.</w:t>
      </w:r>
    </w:p>
  </w:footnote>
  <w:footnote w:id="43">
    <w:p w14:paraId="460B48AB" w14:textId="54E7E5B6" w:rsidR="00F25980" w:rsidRPr="00370E47" w:rsidRDefault="00F25980"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xml:space="preserve">, p. 19.  </w:t>
      </w:r>
      <w:r w:rsidRPr="00370E47">
        <w:rPr>
          <w:i/>
          <w:iCs/>
          <w:sz w:val="26"/>
          <w:szCs w:val="26"/>
        </w:rPr>
        <w:t>See also</w:t>
      </w:r>
      <w:r w:rsidRPr="00370E47">
        <w:rPr>
          <w:sz w:val="26"/>
          <w:szCs w:val="26"/>
        </w:rPr>
        <w:t xml:space="preserve"> Response of CWA to </w:t>
      </w:r>
      <w:r w:rsidR="00EC17F7" w:rsidRPr="00370E47">
        <w:rPr>
          <w:sz w:val="26"/>
          <w:szCs w:val="26"/>
        </w:rPr>
        <w:t>App. Rehg.</w:t>
      </w:r>
      <w:r w:rsidRPr="00370E47">
        <w:rPr>
          <w:sz w:val="26"/>
          <w:szCs w:val="26"/>
        </w:rPr>
        <w:t>, pp. 3-4.</w:t>
      </w:r>
    </w:p>
  </w:footnote>
  <w:footnote w:id="44">
    <w:p w14:paraId="09C5489B" w14:textId="7668F98C" w:rsidR="00F25980" w:rsidRPr="00370E47" w:rsidRDefault="00F25980"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Decision, pp. 71-72, 74-76.</w:t>
      </w:r>
    </w:p>
  </w:footnote>
  <w:footnote w:id="45">
    <w:p w14:paraId="028FAC72" w14:textId="3233AE10" w:rsidR="00E81B9F" w:rsidRPr="00370E47" w:rsidRDefault="00E81B9F"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Decision, FOF 14, 15, 17; COL 8.</w:t>
      </w:r>
    </w:p>
  </w:footnote>
  <w:footnote w:id="46">
    <w:p w14:paraId="3702F959" w14:textId="4C4A392A" w:rsidR="00E81B9F" w:rsidRPr="00370E47" w:rsidRDefault="00E81B9F"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xml:space="preserve">, pp. 13-14, citing </w:t>
      </w:r>
      <w:r w:rsidRPr="00370E47">
        <w:rPr>
          <w:i/>
          <w:iCs/>
          <w:sz w:val="26"/>
          <w:szCs w:val="26"/>
        </w:rPr>
        <w:t>Toho-Towa Co., Ltd. v. Morgan Creek Productions, Inc</w:t>
      </w:r>
      <w:r w:rsidRPr="00370E47">
        <w:rPr>
          <w:sz w:val="26"/>
          <w:szCs w:val="26"/>
        </w:rPr>
        <w:t>. (2013) 217 Cal.App.4th 1096, 1105.</w:t>
      </w:r>
      <w:r w:rsidR="0005699A" w:rsidRPr="00370E47">
        <w:rPr>
          <w:sz w:val="26"/>
          <w:szCs w:val="26"/>
        </w:rPr>
        <w:t xml:space="preserve">  GSW misstates the holding of this decision.  The court, interpreting California rules of appellate practice, held that a party appealing a trial court’s decision could not rely on a declaration that was excluded by the trial court; the court’s interpretation of appellate practice is not applicable to the Commission’s reliance on findings.  </w:t>
      </w:r>
      <w:r w:rsidR="001B230C" w:rsidRPr="00370E47">
        <w:rPr>
          <w:sz w:val="26"/>
          <w:szCs w:val="26"/>
        </w:rPr>
        <w:t>(</w:t>
      </w:r>
      <w:r w:rsidR="0005699A" w:rsidRPr="00370E47">
        <w:rPr>
          <w:i/>
          <w:iCs/>
          <w:sz w:val="26"/>
          <w:szCs w:val="26"/>
        </w:rPr>
        <w:t>Toho-Towa Co., Ltd</w:t>
      </w:r>
      <w:r w:rsidR="0005699A" w:rsidRPr="00370E47">
        <w:rPr>
          <w:sz w:val="26"/>
          <w:szCs w:val="26"/>
        </w:rPr>
        <w:t>.,</w:t>
      </w:r>
      <w:r w:rsidR="001B230C" w:rsidRPr="00370E47">
        <w:rPr>
          <w:sz w:val="26"/>
          <w:szCs w:val="26"/>
        </w:rPr>
        <w:t xml:space="preserve"> </w:t>
      </w:r>
      <w:r w:rsidR="001B230C" w:rsidRPr="00370E47">
        <w:rPr>
          <w:i/>
          <w:iCs/>
          <w:sz w:val="26"/>
          <w:szCs w:val="26"/>
        </w:rPr>
        <w:t>supra</w:t>
      </w:r>
      <w:r w:rsidR="001B230C" w:rsidRPr="00370E47">
        <w:rPr>
          <w:sz w:val="26"/>
          <w:szCs w:val="26"/>
        </w:rPr>
        <w:t>,</w:t>
      </w:r>
      <w:r w:rsidR="0005699A" w:rsidRPr="00370E47">
        <w:rPr>
          <w:sz w:val="26"/>
          <w:szCs w:val="26"/>
        </w:rPr>
        <w:t xml:space="preserve"> 217 Cal.App.4th at 1105</w:t>
      </w:r>
      <w:r w:rsidR="001B230C" w:rsidRPr="00370E47">
        <w:rPr>
          <w:sz w:val="26"/>
          <w:szCs w:val="26"/>
        </w:rPr>
        <w:t>)</w:t>
      </w:r>
      <w:r w:rsidR="0005699A" w:rsidRPr="00370E47">
        <w:rPr>
          <w:sz w:val="26"/>
          <w:szCs w:val="26"/>
        </w:rPr>
        <w:t>.</w:t>
      </w:r>
    </w:p>
  </w:footnote>
  <w:footnote w:id="47">
    <w:p w14:paraId="6A68074B" w14:textId="18E63F70" w:rsidR="0005699A" w:rsidRPr="00370E47" w:rsidRDefault="0005699A"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Decision, pp, 72-73, 85, citing Figure 1, Exhibit PUBADV-SL-002 at 6-7; FOF 13.</w:t>
      </w:r>
    </w:p>
  </w:footnote>
  <w:footnote w:id="48">
    <w:p w14:paraId="0560C0C8" w14:textId="0ADF1A1D" w:rsidR="00EA0667" w:rsidRPr="00370E47" w:rsidRDefault="00EA0667"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xml:space="preserve">, pp. 13-14, citing </w:t>
      </w:r>
      <w:r w:rsidR="0075081B" w:rsidRPr="00370E47">
        <w:rPr>
          <w:sz w:val="26"/>
          <w:szCs w:val="26"/>
        </w:rPr>
        <w:t xml:space="preserve">Ex. </w:t>
      </w:r>
      <w:r w:rsidRPr="00370E47">
        <w:rPr>
          <w:sz w:val="26"/>
          <w:szCs w:val="26"/>
        </w:rPr>
        <w:t>PUBADV-SL-002 at 6-7, n.145, citing D.20-08-047, FOF 7.  D.20-08-</w:t>
      </w:r>
      <w:r w:rsidR="00690253" w:rsidRPr="00370E47">
        <w:rPr>
          <w:sz w:val="26"/>
          <w:szCs w:val="26"/>
        </w:rPr>
        <w:t>0</w:t>
      </w:r>
      <w:r w:rsidRPr="00370E47">
        <w:rPr>
          <w:sz w:val="26"/>
          <w:szCs w:val="26"/>
        </w:rPr>
        <w:t xml:space="preserve">47, FOF 7 reads: </w:t>
      </w:r>
      <w:r w:rsidR="00EF2CF6" w:rsidRPr="00370E47">
        <w:rPr>
          <w:sz w:val="26"/>
          <w:szCs w:val="26"/>
        </w:rPr>
        <w:t>“</w:t>
      </w:r>
      <w:r w:rsidRPr="00370E47">
        <w:rPr>
          <w:sz w:val="26"/>
          <w:szCs w:val="26"/>
        </w:rPr>
        <w:t>The WRAM/MCBA also adjusts for all water consumption reductions, not just consumption reductions due to implementing conservation. It is difficult to parse out consumption declines due to the sole effects of conservation programs and rate designs from other contributing factors such as weather, drought, economic effects, or inaccurate sales forecast, but the WRAM/MCBA goes beyond removing a utility’s disincentive to promote conservation by taking all of these factors into account.</w:t>
      </w:r>
      <w:r w:rsidR="00EF2CF6" w:rsidRPr="00370E47">
        <w:rPr>
          <w:sz w:val="26"/>
          <w:szCs w:val="26"/>
        </w:rPr>
        <w:t>”</w:t>
      </w:r>
    </w:p>
  </w:footnote>
  <w:footnote w:id="49">
    <w:p w14:paraId="50F47AF9" w14:textId="36B6CA0D" w:rsidR="00EA0667" w:rsidRPr="00370E47" w:rsidRDefault="00EA0667"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xml:space="preserve">, pp. 22-23; </w:t>
      </w:r>
      <w:r w:rsidRPr="00370E47">
        <w:rPr>
          <w:i/>
          <w:iCs/>
          <w:sz w:val="26"/>
          <w:szCs w:val="26"/>
        </w:rPr>
        <w:t>see also</w:t>
      </w:r>
      <w:r w:rsidRPr="00370E47">
        <w:rPr>
          <w:sz w:val="26"/>
          <w:szCs w:val="26"/>
        </w:rPr>
        <w:t xml:space="preserve"> Decision, OP 3.</w:t>
      </w:r>
    </w:p>
  </w:footnote>
  <w:footnote w:id="50">
    <w:p w14:paraId="60788B8E" w14:textId="40CD17D9" w:rsidR="00956302" w:rsidRPr="00370E47" w:rsidRDefault="00956302"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xml:space="preserve">, pp. 22-23; </w:t>
      </w:r>
      <w:r w:rsidRPr="00370E47">
        <w:rPr>
          <w:i/>
          <w:iCs/>
          <w:sz w:val="26"/>
          <w:szCs w:val="26"/>
        </w:rPr>
        <w:t>see also</w:t>
      </w:r>
      <w:r w:rsidRPr="00370E47">
        <w:rPr>
          <w:sz w:val="26"/>
          <w:szCs w:val="26"/>
        </w:rPr>
        <w:t xml:space="preserve"> Decision, p. 78.</w:t>
      </w:r>
    </w:p>
  </w:footnote>
  <w:footnote w:id="51">
    <w:p w14:paraId="71F83638" w14:textId="3ACED3F0" w:rsidR="00690253" w:rsidRPr="00370E47" w:rsidRDefault="00690253"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Pub. Util. Code, § 1701.1(b)(1); Rule 7.3.</w:t>
      </w:r>
    </w:p>
  </w:footnote>
  <w:footnote w:id="52">
    <w:p w14:paraId="238DB514" w14:textId="177E731E" w:rsidR="00956302" w:rsidRPr="00370E47" w:rsidRDefault="00956302"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Pr="00370E47">
        <w:rPr>
          <w:i/>
          <w:iCs/>
          <w:sz w:val="26"/>
          <w:szCs w:val="26"/>
        </w:rPr>
        <w:t>Golden State Water Co</w:t>
      </w:r>
      <w:r w:rsidRPr="00370E47">
        <w:rPr>
          <w:sz w:val="26"/>
          <w:szCs w:val="26"/>
        </w:rPr>
        <w:t xml:space="preserve">., </w:t>
      </w:r>
      <w:r w:rsidR="00690253" w:rsidRPr="00370E47">
        <w:rPr>
          <w:i/>
          <w:iCs/>
          <w:sz w:val="26"/>
          <w:szCs w:val="26"/>
        </w:rPr>
        <w:t>supra</w:t>
      </w:r>
      <w:r w:rsidR="00690253" w:rsidRPr="00370E47">
        <w:rPr>
          <w:sz w:val="26"/>
          <w:szCs w:val="26"/>
        </w:rPr>
        <w:t xml:space="preserve">, </w:t>
      </w:r>
      <w:r w:rsidRPr="00370E47">
        <w:rPr>
          <w:sz w:val="26"/>
          <w:szCs w:val="26"/>
        </w:rPr>
        <w:t>16 Cal.5th at 396.</w:t>
      </w:r>
    </w:p>
  </w:footnote>
  <w:footnote w:id="53">
    <w:p w14:paraId="49CFC910" w14:textId="7B0E6B73" w:rsidR="00956302" w:rsidRPr="00370E47" w:rsidRDefault="00956302"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DD4C48" w:rsidRPr="00370E47">
        <w:rPr>
          <w:i/>
          <w:iCs/>
          <w:sz w:val="26"/>
          <w:szCs w:val="26"/>
        </w:rPr>
        <w:t>Id.</w:t>
      </w:r>
      <w:r w:rsidRPr="00370E47">
        <w:rPr>
          <w:sz w:val="26"/>
          <w:szCs w:val="26"/>
        </w:rPr>
        <w:t xml:space="preserve"> at 394, 398.</w:t>
      </w:r>
    </w:p>
  </w:footnote>
  <w:footnote w:id="54">
    <w:p w14:paraId="4FAB1FF1" w14:textId="3DA03AD3" w:rsidR="00956302" w:rsidRPr="00370E47" w:rsidRDefault="00956302"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BD6A44" w:rsidRPr="00370E47">
        <w:rPr>
          <w:i/>
          <w:iCs/>
          <w:sz w:val="26"/>
          <w:szCs w:val="26"/>
        </w:rPr>
        <w:t>Id</w:t>
      </w:r>
      <w:r w:rsidRPr="00370E47">
        <w:rPr>
          <w:sz w:val="26"/>
          <w:szCs w:val="26"/>
        </w:rPr>
        <w:t>. at 395-96, 398.</w:t>
      </w:r>
    </w:p>
  </w:footnote>
  <w:footnote w:id="55">
    <w:p w14:paraId="4F730DC2" w14:textId="369FC945" w:rsidR="00956302" w:rsidRPr="00370E47" w:rsidRDefault="00956302"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proofErr w:type="spellStart"/>
      <w:r w:rsidRPr="00370E47">
        <w:rPr>
          <w:i/>
          <w:iCs/>
          <w:sz w:val="26"/>
          <w:szCs w:val="26"/>
        </w:rPr>
        <w:t>BullsEye</w:t>
      </w:r>
      <w:proofErr w:type="spellEnd"/>
      <w:r w:rsidRPr="00370E47">
        <w:rPr>
          <w:i/>
          <w:iCs/>
          <w:sz w:val="26"/>
          <w:szCs w:val="26"/>
        </w:rPr>
        <w:t xml:space="preserve"> Telecom, Inc. v. Public Utilities Com</w:t>
      </w:r>
      <w:r w:rsidRPr="00370E47">
        <w:rPr>
          <w:sz w:val="26"/>
          <w:szCs w:val="26"/>
        </w:rPr>
        <w:t xml:space="preserve">. (2021) 66 Cal.App.5th 301, 324-25; </w:t>
      </w:r>
      <w:r w:rsidRPr="00370E47">
        <w:rPr>
          <w:i/>
          <w:iCs/>
          <w:sz w:val="26"/>
          <w:szCs w:val="26"/>
        </w:rPr>
        <w:t>Volcano Telephone Co. v. Public Utilities Com</w:t>
      </w:r>
      <w:r w:rsidRPr="00370E47">
        <w:rPr>
          <w:sz w:val="26"/>
          <w:szCs w:val="26"/>
        </w:rPr>
        <w:t>.</w:t>
      </w:r>
      <w:r w:rsidR="00202F9E" w:rsidRPr="00370E47">
        <w:rPr>
          <w:sz w:val="26"/>
          <w:szCs w:val="26"/>
        </w:rPr>
        <w:t xml:space="preserve"> (2025)</w:t>
      </w:r>
      <w:r w:rsidRPr="00370E47">
        <w:rPr>
          <w:sz w:val="26"/>
          <w:szCs w:val="26"/>
        </w:rPr>
        <w:t xml:space="preserve"> </w:t>
      </w:r>
      <w:r w:rsidR="00202F9E" w:rsidRPr="00370E47">
        <w:rPr>
          <w:sz w:val="26"/>
          <w:szCs w:val="26"/>
        </w:rPr>
        <w:t>109 Cal.App.5th 701, 717-18</w:t>
      </w:r>
      <w:r w:rsidRPr="00370E47">
        <w:rPr>
          <w:sz w:val="26"/>
          <w:szCs w:val="26"/>
        </w:rPr>
        <w:t>.</w:t>
      </w:r>
    </w:p>
  </w:footnote>
  <w:footnote w:id="56">
    <w:p w14:paraId="30BE2506" w14:textId="17D80213" w:rsidR="00EE4C52" w:rsidRPr="00370E47" w:rsidRDefault="00EE4C52"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Assigned Commissioner’s Scoping Memo and Ruling, </w:t>
      </w:r>
      <w:r w:rsidR="0037648A" w:rsidRPr="00370E47">
        <w:rPr>
          <w:sz w:val="26"/>
          <w:szCs w:val="26"/>
        </w:rPr>
        <w:t xml:space="preserve">January </w:t>
      </w:r>
      <w:r w:rsidRPr="00370E47">
        <w:rPr>
          <w:sz w:val="26"/>
          <w:szCs w:val="26"/>
        </w:rPr>
        <w:t>4, 2024, pp. 3-4.</w:t>
      </w:r>
    </w:p>
  </w:footnote>
  <w:footnote w:id="57">
    <w:p w14:paraId="674979CA" w14:textId="7A238CEC" w:rsidR="00EE4C52" w:rsidRPr="00370E47" w:rsidRDefault="00EE4C52"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Prepared Testimony of Sunil Pillai, August 2023, p. 12 (emphasis added), assigned Exhibit No. GSW-SP-079.</w:t>
      </w:r>
    </w:p>
  </w:footnote>
  <w:footnote w:id="58">
    <w:p w14:paraId="28AEB239" w14:textId="5B77CCEF" w:rsidR="00D56322" w:rsidRPr="00370E47" w:rsidRDefault="00D56322"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Decision, OP 3 (emphasis added).</w:t>
      </w:r>
    </w:p>
  </w:footnote>
  <w:footnote w:id="59">
    <w:p w14:paraId="38C05937" w14:textId="76767509" w:rsidR="004D69BC" w:rsidRPr="00370E47" w:rsidRDefault="004D69BC"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xml:space="preserve">, pp. 22-23.  </w:t>
      </w:r>
      <w:r w:rsidR="00780145" w:rsidRPr="00370E47">
        <w:rPr>
          <w:sz w:val="26"/>
          <w:szCs w:val="26"/>
        </w:rPr>
        <w:t>T</w:t>
      </w:r>
      <w:r w:rsidRPr="00370E47">
        <w:rPr>
          <w:sz w:val="26"/>
          <w:szCs w:val="26"/>
        </w:rPr>
        <w:t xml:space="preserve">he caution not to use the CRMA does not appear in OP 3, but in the text of the Decision. </w:t>
      </w:r>
      <w:r w:rsidR="00142798" w:rsidRPr="00370E47">
        <w:rPr>
          <w:sz w:val="26"/>
          <w:szCs w:val="26"/>
        </w:rPr>
        <w:t xml:space="preserve"> (</w:t>
      </w:r>
      <w:r w:rsidRPr="00370E47">
        <w:rPr>
          <w:sz w:val="26"/>
          <w:szCs w:val="26"/>
        </w:rPr>
        <w:t>Decision, p. 78.</w:t>
      </w:r>
      <w:r w:rsidR="00142798" w:rsidRPr="00370E47">
        <w:rPr>
          <w:sz w:val="26"/>
          <w:szCs w:val="26"/>
        </w:rPr>
        <w:t>)</w:t>
      </w:r>
    </w:p>
  </w:footnote>
  <w:footnote w:id="60">
    <w:p w14:paraId="1AE6D288" w14:textId="0F096875" w:rsidR="0013425A" w:rsidRPr="00370E47" w:rsidRDefault="0013425A"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Assigned Commissioner’s Scoping Memo and Ruling, </w:t>
      </w:r>
      <w:r w:rsidR="0037648A" w:rsidRPr="00370E47">
        <w:rPr>
          <w:sz w:val="26"/>
          <w:szCs w:val="26"/>
        </w:rPr>
        <w:t xml:space="preserve">January </w:t>
      </w:r>
      <w:r w:rsidRPr="00370E47">
        <w:rPr>
          <w:sz w:val="26"/>
          <w:szCs w:val="26"/>
        </w:rPr>
        <w:t>4, 2024, p. 3.</w:t>
      </w:r>
    </w:p>
  </w:footnote>
  <w:footnote w:id="61">
    <w:p w14:paraId="1ABFC186" w14:textId="06D2BE1B" w:rsidR="0013425A" w:rsidRPr="00370E47" w:rsidRDefault="0013425A"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Prepared Testimony of Ronald Moore, August 2023, p. 4, assigned Exhibit No. GSW-RM-072.</w:t>
      </w:r>
    </w:p>
  </w:footnote>
  <w:footnote w:id="62">
    <w:p w14:paraId="2090EB60" w14:textId="343A3C0E" w:rsidR="00436219" w:rsidRPr="00370E47" w:rsidRDefault="00436219"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Rebuttal Testimony of Sunil Pillai, April 2024, p. 24, assigned Exhibit No. GSW-SP-080.</w:t>
      </w:r>
    </w:p>
  </w:footnote>
  <w:footnote w:id="63">
    <w:p w14:paraId="7B366F0F" w14:textId="7414D13C" w:rsidR="0013425A" w:rsidRPr="00370E47" w:rsidRDefault="0013425A"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Pr="00370E47">
        <w:rPr>
          <w:i/>
          <w:iCs/>
          <w:sz w:val="26"/>
          <w:szCs w:val="26"/>
        </w:rPr>
        <w:t>See</w:t>
      </w:r>
      <w:r w:rsidRPr="00370E47">
        <w:rPr>
          <w:sz w:val="26"/>
          <w:szCs w:val="26"/>
        </w:rPr>
        <w:t xml:space="preserve"> </w:t>
      </w:r>
      <w:r w:rsidR="00EC17F7" w:rsidRPr="00370E47">
        <w:rPr>
          <w:sz w:val="26"/>
          <w:szCs w:val="26"/>
        </w:rPr>
        <w:t>App. Rehg.</w:t>
      </w:r>
      <w:r w:rsidRPr="00370E47">
        <w:rPr>
          <w:sz w:val="26"/>
          <w:szCs w:val="26"/>
        </w:rPr>
        <w:t xml:space="preserve">, pp. 26-27; </w:t>
      </w:r>
      <w:r w:rsidRPr="00370E47">
        <w:rPr>
          <w:i/>
          <w:iCs/>
          <w:sz w:val="26"/>
          <w:szCs w:val="26"/>
        </w:rPr>
        <w:t>see als</w:t>
      </w:r>
      <w:r w:rsidRPr="00370E47">
        <w:rPr>
          <w:sz w:val="26"/>
          <w:szCs w:val="26"/>
        </w:rPr>
        <w:t>o Rebuttal Testimony of Sunil Pillai</w:t>
      </w:r>
      <w:r w:rsidR="00B51900" w:rsidRPr="00370E47">
        <w:rPr>
          <w:sz w:val="26"/>
          <w:szCs w:val="26"/>
        </w:rPr>
        <w:t xml:space="preserve">, </w:t>
      </w:r>
      <w:r w:rsidRPr="00370E47">
        <w:rPr>
          <w:sz w:val="26"/>
          <w:szCs w:val="26"/>
        </w:rPr>
        <w:t>pp. 21-22.</w:t>
      </w:r>
    </w:p>
  </w:footnote>
  <w:footnote w:id="64">
    <w:p w14:paraId="4CC2CE95" w14:textId="26707795" w:rsidR="00B51900" w:rsidRPr="00370E47" w:rsidRDefault="00B51900"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Decision, p. 78.</w:t>
      </w:r>
    </w:p>
  </w:footnote>
  <w:footnote w:id="65">
    <w:p w14:paraId="6CBB2E72" w14:textId="078C02A9" w:rsidR="004E63A8" w:rsidRPr="00370E47" w:rsidRDefault="004E63A8"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Decision, p. 78, citing Resolution W-5226, Finding and Conclusion 12.  This resolution established GSW’s PFASMA.</w:t>
      </w:r>
    </w:p>
  </w:footnote>
  <w:footnote w:id="66">
    <w:p w14:paraId="5CFB7676" w14:textId="73C1B816" w:rsidR="00B51900" w:rsidRPr="00370E47" w:rsidRDefault="00B51900"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Prepared Testimony of Sunil Pillai, p. 12.</w:t>
      </w:r>
    </w:p>
  </w:footnote>
  <w:footnote w:id="67">
    <w:p w14:paraId="7524EE4E" w14:textId="3AA20CC2" w:rsidR="00B51900" w:rsidRPr="00370E47" w:rsidRDefault="00B51900"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p. 24, citing Rebuttal Testimony of Sunil Pillai, p. 24.</w:t>
      </w:r>
    </w:p>
  </w:footnote>
  <w:footnote w:id="68">
    <w:p w14:paraId="21F0462D" w14:textId="522E2033" w:rsidR="005D577F" w:rsidRPr="00370E47" w:rsidRDefault="005D577F"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p. 24; Rebuttal Testimony of Sunil Pillai, pp. 21-22.</w:t>
      </w:r>
    </w:p>
  </w:footnote>
  <w:footnote w:id="69">
    <w:p w14:paraId="25337F61" w14:textId="1B9A6F9D" w:rsidR="005D577F" w:rsidRPr="00370E47" w:rsidRDefault="005D577F"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xml:space="preserve">, p. 24, citing Proposed Decision of ALJ </w:t>
      </w:r>
      <w:r w:rsidR="00D46C1C" w:rsidRPr="00370E47">
        <w:rPr>
          <w:sz w:val="26"/>
          <w:szCs w:val="26"/>
        </w:rPr>
        <w:t>Nojan</w:t>
      </w:r>
      <w:r w:rsidRPr="00370E47">
        <w:rPr>
          <w:sz w:val="26"/>
          <w:szCs w:val="26"/>
        </w:rPr>
        <w:t>, Nov. 15, 2024, pp. 73-74.</w:t>
      </w:r>
    </w:p>
  </w:footnote>
  <w:footnote w:id="70">
    <w:p w14:paraId="0FDBD019" w14:textId="4C269F82" w:rsidR="006F569A" w:rsidRPr="00370E47" w:rsidRDefault="006F569A"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xml:space="preserve">, p. 24, citing Reporters Transcript, Virtual Proceeding, June 13, 2024, Vol. 1, at 77:17-24.  </w:t>
      </w:r>
      <w:r w:rsidR="00CD0F1E" w:rsidRPr="00370E47">
        <w:rPr>
          <w:sz w:val="26"/>
          <w:szCs w:val="26"/>
        </w:rPr>
        <w:t>In</w:t>
      </w:r>
      <w:r w:rsidR="009B5163" w:rsidRPr="00370E47">
        <w:rPr>
          <w:sz w:val="26"/>
          <w:szCs w:val="26"/>
        </w:rPr>
        <w:t xml:space="preserve"> the App. Rehg., GSW mistakenly claims that ALJ </w:t>
      </w:r>
      <w:r w:rsidR="00D46C1C" w:rsidRPr="00370E47">
        <w:rPr>
          <w:sz w:val="26"/>
          <w:szCs w:val="26"/>
        </w:rPr>
        <w:t>Nojan</w:t>
      </w:r>
      <w:r w:rsidR="009B5163" w:rsidRPr="00370E47">
        <w:rPr>
          <w:sz w:val="26"/>
          <w:szCs w:val="26"/>
        </w:rPr>
        <w:t xml:space="preserve"> made the statement at the Prehearing Conference.  However, the statement occurred at the Evidentiary Hearing, not the Prehearing Conference</w:t>
      </w:r>
      <w:r w:rsidRPr="00370E47">
        <w:rPr>
          <w:sz w:val="26"/>
          <w:szCs w:val="26"/>
        </w:rPr>
        <w:t>.</w:t>
      </w:r>
    </w:p>
  </w:footnote>
  <w:footnote w:id="71">
    <w:p w14:paraId="682450FB" w14:textId="051AFFA0" w:rsidR="006F569A" w:rsidRPr="00370E47" w:rsidRDefault="006F569A" w:rsidP="00370E47">
      <w:pPr>
        <w:pStyle w:val="FootnoteText"/>
        <w:spacing w:line="240" w:lineRule="atLeast"/>
        <w:rPr>
          <w:sz w:val="26"/>
          <w:szCs w:val="26"/>
          <w:lang w:val="es-MX"/>
        </w:rPr>
      </w:pPr>
      <w:r w:rsidRPr="00370E47">
        <w:rPr>
          <w:rStyle w:val="FootnoteReference"/>
          <w:sz w:val="26"/>
          <w:szCs w:val="26"/>
        </w:rPr>
        <w:footnoteRef/>
      </w:r>
      <w:r w:rsidRPr="00370E47">
        <w:rPr>
          <w:sz w:val="26"/>
          <w:szCs w:val="26"/>
          <w:lang w:val="es-MX"/>
        </w:rPr>
        <w:t xml:space="preserve"> Pub. </w:t>
      </w:r>
      <w:proofErr w:type="spellStart"/>
      <w:r w:rsidRPr="00370E47">
        <w:rPr>
          <w:sz w:val="26"/>
          <w:szCs w:val="26"/>
          <w:lang w:val="es-MX"/>
        </w:rPr>
        <w:t>Util</w:t>
      </w:r>
      <w:proofErr w:type="spellEnd"/>
      <w:r w:rsidRPr="00370E47">
        <w:rPr>
          <w:sz w:val="26"/>
          <w:szCs w:val="26"/>
          <w:lang w:val="es-MX"/>
        </w:rPr>
        <w:t xml:space="preserve">. </w:t>
      </w:r>
      <w:proofErr w:type="spellStart"/>
      <w:r w:rsidRPr="00370E47">
        <w:rPr>
          <w:sz w:val="26"/>
          <w:szCs w:val="26"/>
          <w:lang w:val="es-MX"/>
        </w:rPr>
        <w:t>Code</w:t>
      </w:r>
      <w:proofErr w:type="spellEnd"/>
      <w:r w:rsidRPr="00370E47">
        <w:rPr>
          <w:sz w:val="26"/>
          <w:szCs w:val="26"/>
          <w:lang w:val="es-MX"/>
        </w:rPr>
        <w:t xml:space="preserve"> §</w:t>
      </w:r>
      <w:r w:rsidR="009B5163" w:rsidRPr="00370E47">
        <w:rPr>
          <w:sz w:val="26"/>
          <w:szCs w:val="26"/>
          <w:lang w:val="es-MX"/>
        </w:rPr>
        <w:t>§ 311(d),</w:t>
      </w:r>
      <w:r w:rsidRPr="00370E47">
        <w:rPr>
          <w:sz w:val="26"/>
          <w:szCs w:val="26"/>
          <w:lang w:val="es-MX"/>
        </w:rPr>
        <w:t xml:space="preserve"> 1701.3(j).</w:t>
      </w:r>
    </w:p>
  </w:footnote>
  <w:footnote w:id="72">
    <w:p w14:paraId="14E3037A" w14:textId="6030741E" w:rsidR="006F569A" w:rsidRPr="00370E47" w:rsidRDefault="006F569A"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D67AF2" w:rsidRPr="00370E47">
        <w:rPr>
          <w:sz w:val="26"/>
          <w:szCs w:val="26"/>
        </w:rPr>
        <w:t xml:space="preserve">See </w:t>
      </w:r>
      <w:r w:rsidRPr="00370E47">
        <w:rPr>
          <w:sz w:val="26"/>
          <w:szCs w:val="26"/>
        </w:rPr>
        <w:t xml:space="preserve">Rule </w:t>
      </w:r>
      <w:r w:rsidR="004210EF" w:rsidRPr="00370E47">
        <w:rPr>
          <w:sz w:val="26"/>
          <w:szCs w:val="26"/>
        </w:rPr>
        <w:t xml:space="preserve">7.3 </w:t>
      </w:r>
      <w:r w:rsidR="00A57D2E" w:rsidRPr="00370E47">
        <w:rPr>
          <w:sz w:val="26"/>
          <w:szCs w:val="26"/>
        </w:rPr>
        <w:t>(issues to be addressed are set forth in the scoping memo issued by the assigned Commissioner).</w:t>
      </w:r>
    </w:p>
  </w:footnote>
  <w:footnote w:id="73">
    <w:p w14:paraId="3681E1C7" w14:textId="408C7F48" w:rsidR="006F569A" w:rsidRPr="00370E47" w:rsidRDefault="006F569A"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Reporters Transcript, June 13, 2024, Vol. 1, at 77:22-24 (emphasis added).</w:t>
      </w:r>
    </w:p>
  </w:footnote>
  <w:footnote w:id="74">
    <w:p w14:paraId="340FF2D2" w14:textId="21CF3251" w:rsidR="006F569A" w:rsidRPr="00370E47" w:rsidRDefault="006F569A"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Pr="00370E47">
        <w:rPr>
          <w:i/>
          <w:iCs/>
          <w:sz w:val="26"/>
          <w:szCs w:val="26"/>
        </w:rPr>
        <w:t>Golden State Water Co</w:t>
      </w:r>
      <w:r w:rsidRPr="00370E47">
        <w:rPr>
          <w:sz w:val="26"/>
          <w:szCs w:val="26"/>
        </w:rPr>
        <w:t xml:space="preserve">., </w:t>
      </w:r>
      <w:r w:rsidR="0061578F" w:rsidRPr="00370E47">
        <w:rPr>
          <w:i/>
          <w:iCs/>
          <w:sz w:val="26"/>
          <w:szCs w:val="26"/>
        </w:rPr>
        <w:t>supra</w:t>
      </w:r>
      <w:r w:rsidR="0061578F" w:rsidRPr="00370E47">
        <w:rPr>
          <w:sz w:val="26"/>
          <w:szCs w:val="26"/>
        </w:rPr>
        <w:t>,</w:t>
      </w:r>
      <w:r w:rsidRPr="00370E47">
        <w:rPr>
          <w:sz w:val="26"/>
          <w:szCs w:val="26"/>
        </w:rPr>
        <w:t>16 Cal.5th at 394, citing Pub. Util. Code § 1701.1(c)</w:t>
      </w:r>
      <w:r w:rsidR="007C6306" w:rsidRPr="00370E47">
        <w:rPr>
          <w:sz w:val="26"/>
          <w:szCs w:val="26"/>
        </w:rPr>
        <w:t xml:space="preserve">; </w:t>
      </w:r>
      <w:r w:rsidR="007C6306" w:rsidRPr="00370E47">
        <w:rPr>
          <w:i/>
          <w:iCs/>
          <w:sz w:val="26"/>
          <w:szCs w:val="26"/>
        </w:rPr>
        <w:t>s</w:t>
      </w:r>
      <w:r w:rsidRPr="00370E47">
        <w:rPr>
          <w:i/>
          <w:iCs/>
          <w:sz w:val="26"/>
          <w:szCs w:val="26"/>
        </w:rPr>
        <w:t>ee also</w:t>
      </w:r>
      <w:r w:rsidRPr="00370E47">
        <w:rPr>
          <w:sz w:val="26"/>
          <w:szCs w:val="26"/>
        </w:rPr>
        <w:t xml:space="preserve"> Pub. Util. Code § 1701.1(b)(1)</w:t>
      </w:r>
      <w:r w:rsidR="0061578F" w:rsidRPr="00370E47">
        <w:rPr>
          <w:sz w:val="26"/>
          <w:szCs w:val="26"/>
        </w:rPr>
        <w:t>; Rule 7.3</w:t>
      </w:r>
      <w:r w:rsidRPr="00370E47">
        <w:rPr>
          <w:sz w:val="26"/>
          <w:szCs w:val="26"/>
        </w:rPr>
        <w:t>.</w:t>
      </w:r>
    </w:p>
  </w:footnote>
  <w:footnote w:id="75">
    <w:p w14:paraId="003A0C4F" w14:textId="6171D499" w:rsidR="006F569A" w:rsidRPr="00370E47" w:rsidRDefault="006F569A"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pp. 28-29.</w:t>
      </w:r>
    </w:p>
  </w:footnote>
  <w:footnote w:id="76">
    <w:p w14:paraId="3459968B" w14:textId="64238686" w:rsidR="0061578F" w:rsidRPr="00370E47" w:rsidRDefault="0061578F"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Pr="00370E47">
        <w:rPr>
          <w:i/>
          <w:iCs/>
          <w:sz w:val="26"/>
          <w:szCs w:val="26"/>
        </w:rPr>
        <w:t>Id</w:t>
      </w:r>
      <w:r w:rsidRPr="00370E47">
        <w:rPr>
          <w:sz w:val="26"/>
          <w:szCs w:val="26"/>
        </w:rPr>
        <w:t>., p. 28, quoting Decision, p. 78.</w:t>
      </w:r>
    </w:p>
  </w:footnote>
  <w:footnote w:id="77">
    <w:p w14:paraId="06F57D5F" w14:textId="0475E6F8" w:rsidR="0061578F" w:rsidRPr="00370E47" w:rsidRDefault="0061578F"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Decision, p. 78</w:t>
      </w:r>
      <w:r w:rsidR="0064493C" w:rsidRPr="00370E47">
        <w:rPr>
          <w:sz w:val="26"/>
          <w:szCs w:val="26"/>
        </w:rPr>
        <w:t xml:space="preserve"> (emphasis added)</w:t>
      </w:r>
      <w:r w:rsidRPr="00370E47">
        <w:rPr>
          <w:sz w:val="26"/>
          <w:szCs w:val="26"/>
        </w:rPr>
        <w:t>.</w:t>
      </w:r>
    </w:p>
  </w:footnote>
  <w:footnote w:id="78">
    <w:p w14:paraId="0E76ABC1" w14:textId="62400E0F" w:rsidR="0061578F" w:rsidRPr="00370E47" w:rsidRDefault="0061578F"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App. Rehg., p. 28, quoting Decision, p. 79.</w:t>
      </w:r>
    </w:p>
  </w:footnote>
  <w:footnote w:id="79">
    <w:p w14:paraId="4471FF6E" w14:textId="02ADA6D6" w:rsidR="0061578F" w:rsidRPr="00370E47" w:rsidRDefault="0061578F"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5764EB" w:rsidRPr="00370E47">
        <w:rPr>
          <w:sz w:val="26"/>
          <w:szCs w:val="26"/>
        </w:rPr>
        <w:t>App. Rehg., p. 28 (“Even if a utility seeks to recover memorandum account balances outside of a GRC, the Commission is free to require that such request be deferred to a GRC or a separate application.”)</w:t>
      </w:r>
      <w:r w:rsidRPr="00370E47">
        <w:rPr>
          <w:sz w:val="26"/>
          <w:szCs w:val="26"/>
        </w:rPr>
        <w:t>.</w:t>
      </w:r>
    </w:p>
  </w:footnote>
  <w:footnote w:id="80">
    <w:p w14:paraId="229E7ED4" w14:textId="772EDA83" w:rsidR="002879E2" w:rsidRPr="00370E47" w:rsidRDefault="002879E2"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GO 96-B, Rules 5.1, 7.5.2.</w:t>
      </w:r>
    </w:p>
  </w:footnote>
  <w:footnote w:id="81">
    <w:p w14:paraId="0331CCBC" w14:textId="74A639D7" w:rsidR="00924F17" w:rsidRPr="00370E47" w:rsidRDefault="00924F17"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pp. 29-31.</w:t>
      </w:r>
    </w:p>
  </w:footnote>
  <w:footnote w:id="82">
    <w:p w14:paraId="6764A7F0" w14:textId="3124D2BB" w:rsidR="00924F17" w:rsidRPr="00370E47" w:rsidRDefault="00924F17"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D.21-03-048, p. 4.</w:t>
      </w:r>
    </w:p>
  </w:footnote>
  <w:footnote w:id="83">
    <w:p w14:paraId="0E5F9C90" w14:textId="13C6F38E" w:rsidR="00924F17" w:rsidRPr="00370E47" w:rsidRDefault="00924F17" w:rsidP="00370E47">
      <w:pPr>
        <w:pStyle w:val="FootnoteText"/>
        <w:spacing w:line="240" w:lineRule="atLeast"/>
        <w:rPr>
          <w:sz w:val="26"/>
          <w:szCs w:val="26"/>
        </w:rPr>
      </w:pPr>
      <w:r w:rsidRPr="00370E47">
        <w:rPr>
          <w:rStyle w:val="FootnoteReference"/>
          <w:sz w:val="26"/>
          <w:szCs w:val="26"/>
        </w:rPr>
        <w:footnoteRef/>
      </w:r>
      <w:r w:rsidRPr="00370E47">
        <w:rPr>
          <w:sz w:val="26"/>
          <w:szCs w:val="26"/>
        </w:rPr>
        <w:t xml:space="preserve"> </w:t>
      </w:r>
      <w:r w:rsidR="00EC17F7" w:rsidRPr="00370E47">
        <w:rPr>
          <w:sz w:val="26"/>
          <w:szCs w:val="26"/>
        </w:rPr>
        <w:t>App. Rehg.</w:t>
      </w:r>
      <w:r w:rsidRPr="00370E47">
        <w:rPr>
          <w:sz w:val="26"/>
          <w:szCs w:val="26"/>
        </w:rPr>
        <w:t>, pp. 31-32.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E85E" w14:textId="12D4A100" w:rsidR="00EA0416" w:rsidRDefault="00BF4217" w:rsidP="00BF4217">
    <w:pPr>
      <w:tabs>
        <w:tab w:val="clear" w:pos="5040"/>
      </w:tabs>
    </w:pPr>
    <w:r w:rsidRPr="00884697">
      <w:rPr>
        <w:szCs w:val="26"/>
      </w:rPr>
      <w:t>A</w:t>
    </w:r>
    <w:r>
      <w:rPr>
        <w:szCs w:val="26"/>
      </w:rPr>
      <w:t>.23</w:t>
    </w:r>
    <w:r w:rsidRPr="00884697">
      <w:rPr>
        <w:szCs w:val="26"/>
      </w:rPr>
      <w:t>-</w:t>
    </w:r>
    <w:r>
      <w:rPr>
        <w:szCs w:val="26"/>
      </w:rPr>
      <w:t>08</w:t>
    </w:r>
    <w:r w:rsidRPr="00884697">
      <w:rPr>
        <w:szCs w:val="26"/>
      </w:rPr>
      <w:t>-0</w:t>
    </w:r>
    <w:r>
      <w:rPr>
        <w:szCs w:val="26"/>
      </w:rPr>
      <w:t>10</w:t>
    </w:r>
    <w:r>
      <w:rPr>
        <w:szCs w:val="26"/>
      </w:rPr>
      <w:tab/>
    </w:r>
    <w:r>
      <w:rPr>
        <w:szCs w:val="26"/>
      </w:rPr>
      <w:tab/>
    </w:r>
    <w:r>
      <w:rPr>
        <w:szCs w:val="26"/>
      </w:rPr>
      <w:tab/>
    </w:r>
    <w:r>
      <w:rPr>
        <w:szCs w:val="26"/>
      </w:rPr>
      <w:tab/>
    </w:r>
    <w:r>
      <w:t>L/</w:t>
    </w:r>
    <w:proofErr w:type="spellStart"/>
    <w:r>
      <w:t>jpv</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26923" w14:textId="77777777" w:rsidR="00B1474B" w:rsidRDefault="00BF4217" w:rsidP="00B1474B">
    <w:pPr>
      <w:pStyle w:val="Header"/>
      <w:tabs>
        <w:tab w:val="clear" w:pos="4680"/>
        <w:tab w:val="clear" w:pos="5040"/>
        <w:tab w:val="clear" w:pos="9360"/>
      </w:tabs>
      <w:ind w:left="2160" w:hanging="2160"/>
      <w:rPr>
        <w:b/>
        <w:bCs/>
      </w:rPr>
    </w:pPr>
    <w:r>
      <w:t>L/</w:t>
    </w:r>
    <w:proofErr w:type="spellStart"/>
    <w:r>
      <w:t>jpv</w:t>
    </w:r>
    <w:proofErr w:type="spellEnd"/>
    <w:r w:rsidR="003013BC">
      <w:tab/>
    </w:r>
    <w:r w:rsidR="00EA0416">
      <w:tab/>
    </w:r>
    <w:r w:rsidR="00EA0416">
      <w:tab/>
    </w:r>
    <w:r w:rsidR="00EA0416">
      <w:tab/>
    </w:r>
    <w:r w:rsidR="00EA0416">
      <w:tab/>
    </w:r>
    <w:r w:rsidR="00EA0416">
      <w:tab/>
    </w:r>
    <w:r w:rsidR="00EA0416">
      <w:tab/>
    </w:r>
    <w:r w:rsidR="00B1474B">
      <w:tab/>
    </w:r>
    <w:r w:rsidR="00B1474B">
      <w:rPr>
        <w:b/>
        <w:bCs/>
      </w:rPr>
      <w:t>Date of Issuance</w:t>
    </w:r>
  </w:p>
  <w:p w14:paraId="527B7EB7" w14:textId="19A878C7" w:rsidR="003013BC" w:rsidRPr="00BF4217" w:rsidRDefault="00B1474B" w:rsidP="00B1474B">
    <w:pPr>
      <w:pStyle w:val="Header"/>
      <w:tabs>
        <w:tab w:val="clear" w:pos="4680"/>
        <w:tab w:val="clear" w:pos="5040"/>
        <w:tab w:val="clear" w:pos="9360"/>
      </w:tabs>
      <w:ind w:left="7560"/>
      <w:rPr>
        <w:b/>
        <w:bCs/>
      </w:rPr>
    </w:pPr>
    <w:r>
      <w:rPr>
        <w:b/>
        <w:bCs/>
      </w:rPr>
      <w:t>May 1</w:t>
    </w:r>
    <w:r w:rsidR="00370E47">
      <w:rPr>
        <w:b/>
        <w:bCs/>
      </w:rPr>
      <w:t>6</w:t>
    </w:r>
    <w:r>
      <w:rPr>
        <w:b/>
        <w:bCs/>
      </w:rPr>
      <w:t>, 2025</w:t>
    </w:r>
  </w:p>
  <w:p w14:paraId="66B90F9D" w14:textId="77777777" w:rsidR="003013BC" w:rsidRPr="00BF4217" w:rsidRDefault="003013BC">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6AE09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D1DA54A2"/>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1980" w:hanging="720"/>
      </w:pPr>
      <w:rPr>
        <w:i w:val="0"/>
      </w:r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288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2" w15:restartNumberingAfterBreak="0">
    <w:nsid w:val="FFFFFFFE"/>
    <w:multiLevelType w:val="singleLevel"/>
    <w:tmpl w:val="FEBAD71E"/>
    <w:lvl w:ilvl="0">
      <w:numFmt w:val="decimal"/>
      <w:lvlText w:val="*"/>
      <w:lvlJc w:val="left"/>
    </w:lvl>
  </w:abstractNum>
  <w:abstractNum w:abstractNumId="3" w15:restartNumberingAfterBreak="0">
    <w:nsid w:val="07452464"/>
    <w:multiLevelType w:val="hybridMultilevel"/>
    <w:tmpl w:val="38D009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1A357B"/>
    <w:multiLevelType w:val="singleLevel"/>
    <w:tmpl w:val="DEA4D04C"/>
    <w:lvl w:ilvl="0">
      <w:start w:val="1"/>
      <w:numFmt w:val="decimal"/>
      <w:lvlText w:val="%1."/>
      <w:legacy w:legacy="1" w:legacySpace="0" w:legacyIndent="360"/>
      <w:lvlJc w:val="left"/>
      <w:pPr>
        <w:ind w:left="1080" w:hanging="360"/>
      </w:pPr>
    </w:lvl>
  </w:abstractNum>
  <w:abstractNum w:abstractNumId="5" w15:restartNumberingAfterBreak="0">
    <w:nsid w:val="22D043EE"/>
    <w:multiLevelType w:val="hybridMultilevel"/>
    <w:tmpl w:val="8B06EDF6"/>
    <w:lvl w:ilvl="0" w:tplc="8B7EE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031541"/>
    <w:multiLevelType w:val="hybridMultilevel"/>
    <w:tmpl w:val="5C5CB11A"/>
    <w:lvl w:ilvl="0" w:tplc="9C3899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12761"/>
    <w:multiLevelType w:val="hybridMultilevel"/>
    <w:tmpl w:val="FC8E5FFC"/>
    <w:lvl w:ilvl="0" w:tplc="11CC3B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726FB"/>
    <w:multiLevelType w:val="hybridMultilevel"/>
    <w:tmpl w:val="F932B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84F5C"/>
    <w:multiLevelType w:val="hybridMultilevel"/>
    <w:tmpl w:val="29ECC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4715051">
    <w:abstractNumId w:val="6"/>
  </w:num>
  <w:num w:numId="2" w16cid:durableId="2106726577">
    <w:abstractNumId w:val="8"/>
  </w:num>
  <w:num w:numId="3" w16cid:durableId="1971671097">
    <w:abstractNumId w:val="9"/>
  </w:num>
  <w:num w:numId="4" w16cid:durableId="1155143241">
    <w:abstractNumId w:val="5"/>
  </w:num>
  <w:num w:numId="5" w16cid:durableId="1620719436">
    <w:abstractNumId w:val="7"/>
  </w:num>
  <w:num w:numId="6" w16cid:durableId="1767798458">
    <w:abstractNumId w:val="0"/>
  </w:num>
  <w:num w:numId="7" w16cid:durableId="37358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7325638">
    <w:abstractNumId w:val="1"/>
  </w:num>
  <w:num w:numId="9" w16cid:durableId="578714294">
    <w:abstractNumId w:val="2"/>
    <w:lvlOverride w:ilvl="0">
      <w:lvl w:ilvl="0">
        <w:start w:val="1"/>
        <w:numFmt w:val="bullet"/>
        <w:lvlText w:val=""/>
        <w:legacy w:legacy="1" w:legacySpace="0" w:legacyIndent="360"/>
        <w:lvlJc w:val="left"/>
        <w:pPr>
          <w:ind w:left="360" w:hanging="360"/>
        </w:pPr>
        <w:rPr>
          <w:rFonts w:ascii="Courier New" w:hAnsi="Courier New" w:hint="default"/>
        </w:rPr>
      </w:lvl>
    </w:lvlOverride>
  </w:num>
  <w:num w:numId="10" w16cid:durableId="571353920">
    <w:abstractNumId w:val="4"/>
  </w:num>
  <w:num w:numId="11" w16cid:durableId="1409423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82"/>
    <w:rsid w:val="00000198"/>
    <w:rsid w:val="00001245"/>
    <w:rsid w:val="000015A1"/>
    <w:rsid w:val="00001A59"/>
    <w:rsid w:val="000024A0"/>
    <w:rsid w:val="000043EE"/>
    <w:rsid w:val="00007B84"/>
    <w:rsid w:val="00012365"/>
    <w:rsid w:val="00023734"/>
    <w:rsid w:val="0002558C"/>
    <w:rsid w:val="000309FE"/>
    <w:rsid w:val="000327BC"/>
    <w:rsid w:val="00043C06"/>
    <w:rsid w:val="000443A3"/>
    <w:rsid w:val="0004679F"/>
    <w:rsid w:val="00046A0E"/>
    <w:rsid w:val="00047E7A"/>
    <w:rsid w:val="00051F25"/>
    <w:rsid w:val="00052186"/>
    <w:rsid w:val="00055559"/>
    <w:rsid w:val="0005699A"/>
    <w:rsid w:val="000573C8"/>
    <w:rsid w:val="000577EB"/>
    <w:rsid w:val="00057EED"/>
    <w:rsid w:val="00062D2D"/>
    <w:rsid w:val="000637B9"/>
    <w:rsid w:val="00063C05"/>
    <w:rsid w:val="00063F05"/>
    <w:rsid w:val="00070E80"/>
    <w:rsid w:val="0007365F"/>
    <w:rsid w:val="00073BF1"/>
    <w:rsid w:val="00074FFF"/>
    <w:rsid w:val="00080F74"/>
    <w:rsid w:val="00084405"/>
    <w:rsid w:val="00086FE3"/>
    <w:rsid w:val="00093236"/>
    <w:rsid w:val="00093943"/>
    <w:rsid w:val="00096B26"/>
    <w:rsid w:val="00097602"/>
    <w:rsid w:val="000A0889"/>
    <w:rsid w:val="000A1FAF"/>
    <w:rsid w:val="000A4825"/>
    <w:rsid w:val="000A48AE"/>
    <w:rsid w:val="000A6583"/>
    <w:rsid w:val="000A6EB1"/>
    <w:rsid w:val="000B314C"/>
    <w:rsid w:val="000B59A4"/>
    <w:rsid w:val="000B5BC9"/>
    <w:rsid w:val="000C1235"/>
    <w:rsid w:val="000C2456"/>
    <w:rsid w:val="000C2622"/>
    <w:rsid w:val="000C4CB6"/>
    <w:rsid w:val="000C5B8E"/>
    <w:rsid w:val="000D2DFB"/>
    <w:rsid w:val="000D4F68"/>
    <w:rsid w:val="000D5FBB"/>
    <w:rsid w:val="000D76A9"/>
    <w:rsid w:val="000E5802"/>
    <w:rsid w:val="000E78CF"/>
    <w:rsid w:val="000F4F64"/>
    <w:rsid w:val="0010295A"/>
    <w:rsid w:val="00102B44"/>
    <w:rsid w:val="001067E0"/>
    <w:rsid w:val="00110C35"/>
    <w:rsid w:val="001157D8"/>
    <w:rsid w:val="00120068"/>
    <w:rsid w:val="00121D7A"/>
    <w:rsid w:val="00127A4C"/>
    <w:rsid w:val="00127EB1"/>
    <w:rsid w:val="00130C6F"/>
    <w:rsid w:val="00133F42"/>
    <w:rsid w:val="0013425A"/>
    <w:rsid w:val="00134574"/>
    <w:rsid w:val="0013554B"/>
    <w:rsid w:val="00142798"/>
    <w:rsid w:val="00142CF8"/>
    <w:rsid w:val="0014579A"/>
    <w:rsid w:val="00154FC0"/>
    <w:rsid w:val="00156BD7"/>
    <w:rsid w:val="00156CCD"/>
    <w:rsid w:val="001664F6"/>
    <w:rsid w:val="001668AA"/>
    <w:rsid w:val="00167F20"/>
    <w:rsid w:val="00176327"/>
    <w:rsid w:val="00176495"/>
    <w:rsid w:val="001765AE"/>
    <w:rsid w:val="001808A5"/>
    <w:rsid w:val="00180AA6"/>
    <w:rsid w:val="001842EF"/>
    <w:rsid w:val="00186DD7"/>
    <w:rsid w:val="001876B7"/>
    <w:rsid w:val="00190BC9"/>
    <w:rsid w:val="00193164"/>
    <w:rsid w:val="00194137"/>
    <w:rsid w:val="0019542E"/>
    <w:rsid w:val="00195FD6"/>
    <w:rsid w:val="001A467A"/>
    <w:rsid w:val="001A6D88"/>
    <w:rsid w:val="001A7331"/>
    <w:rsid w:val="001A7B1C"/>
    <w:rsid w:val="001B230C"/>
    <w:rsid w:val="001B3F61"/>
    <w:rsid w:val="001B7A75"/>
    <w:rsid w:val="001C0AC7"/>
    <w:rsid w:val="001D2046"/>
    <w:rsid w:val="001D31A8"/>
    <w:rsid w:val="001D4DB1"/>
    <w:rsid w:val="001E196E"/>
    <w:rsid w:val="001E1A60"/>
    <w:rsid w:val="001E396D"/>
    <w:rsid w:val="001E3A89"/>
    <w:rsid w:val="001E45E3"/>
    <w:rsid w:val="001E491E"/>
    <w:rsid w:val="001E5F5C"/>
    <w:rsid w:val="001F125E"/>
    <w:rsid w:val="001F23FE"/>
    <w:rsid w:val="001F3FE4"/>
    <w:rsid w:val="00200E95"/>
    <w:rsid w:val="00202F9E"/>
    <w:rsid w:val="00203A22"/>
    <w:rsid w:val="00210003"/>
    <w:rsid w:val="00210705"/>
    <w:rsid w:val="0021255E"/>
    <w:rsid w:val="002162D8"/>
    <w:rsid w:val="00217538"/>
    <w:rsid w:val="002205EB"/>
    <w:rsid w:val="002272D2"/>
    <w:rsid w:val="00227A76"/>
    <w:rsid w:val="00230FA0"/>
    <w:rsid w:val="002315F5"/>
    <w:rsid w:val="00237FCD"/>
    <w:rsid w:val="0024069B"/>
    <w:rsid w:val="00241BCD"/>
    <w:rsid w:val="00243160"/>
    <w:rsid w:val="00243D03"/>
    <w:rsid w:val="00244CD6"/>
    <w:rsid w:val="00245EDC"/>
    <w:rsid w:val="00253789"/>
    <w:rsid w:val="00254073"/>
    <w:rsid w:val="00254FFD"/>
    <w:rsid w:val="00255FC7"/>
    <w:rsid w:val="0027191D"/>
    <w:rsid w:val="00274BB1"/>
    <w:rsid w:val="00276537"/>
    <w:rsid w:val="00276794"/>
    <w:rsid w:val="0028145F"/>
    <w:rsid w:val="0028497C"/>
    <w:rsid w:val="00286887"/>
    <w:rsid w:val="00286E06"/>
    <w:rsid w:val="002879E2"/>
    <w:rsid w:val="00290753"/>
    <w:rsid w:val="002911BF"/>
    <w:rsid w:val="00293563"/>
    <w:rsid w:val="00295EF6"/>
    <w:rsid w:val="002A0518"/>
    <w:rsid w:val="002A3BD6"/>
    <w:rsid w:val="002A5A9D"/>
    <w:rsid w:val="002B0797"/>
    <w:rsid w:val="002B3688"/>
    <w:rsid w:val="002B371B"/>
    <w:rsid w:val="002B703F"/>
    <w:rsid w:val="002C0755"/>
    <w:rsid w:val="002C1612"/>
    <w:rsid w:val="002C2181"/>
    <w:rsid w:val="002C325A"/>
    <w:rsid w:val="002C6A3A"/>
    <w:rsid w:val="002D2493"/>
    <w:rsid w:val="002D7627"/>
    <w:rsid w:val="002E1C90"/>
    <w:rsid w:val="002E3FFC"/>
    <w:rsid w:val="002E555E"/>
    <w:rsid w:val="002E6B65"/>
    <w:rsid w:val="002F4876"/>
    <w:rsid w:val="002F72B8"/>
    <w:rsid w:val="003013BC"/>
    <w:rsid w:val="00301C0C"/>
    <w:rsid w:val="00304047"/>
    <w:rsid w:val="0030590D"/>
    <w:rsid w:val="00312788"/>
    <w:rsid w:val="003164C6"/>
    <w:rsid w:val="003166DE"/>
    <w:rsid w:val="003177A0"/>
    <w:rsid w:val="00317C12"/>
    <w:rsid w:val="00322460"/>
    <w:rsid w:val="00322B72"/>
    <w:rsid w:val="00323ADB"/>
    <w:rsid w:val="0032588C"/>
    <w:rsid w:val="0033061A"/>
    <w:rsid w:val="00330D15"/>
    <w:rsid w:val="00331E63"/>
    <w:rsid w:val="0034107F"/>
    <w:rsid w:val="00342233"/>
    <w:rsid w:val="00342FA6"/>
    <w:rsid w:val="00344396"/>
    <w:rsid w:val="00345C99"/>
    <w:rsid w:val="0034711F"/>
    <w:rsid w:val="00355FA7"/>
    <w:rsid w:val="0036178A"/>
    <w:rsid w:val="003620DF"/>
    <w:rsid w:val="00365409"/>
    <w:rsid w:val="003703AB"/>
    <w:rsid w:val="00370E47"/>
    <w:rsid w:val="003743C7"/>
    <w:rsid w:val="00375217"/>
    <w:rsid w:val="00375FFA"/>
    <w:rsid w:val="0037648A"/>
    <w:rsid w:val="00377BBC"/>
    <w:rsid w:val="00381894"/>
    <w:rsid w:val="00382C85"/>
    <w:rsid w:val="003850D5"/>
    <w:rsid w:val="00385347"/>
    <w:rsid w:val="00385CD6"/>
    <w:rsid w:val="00390732"/>
    <w:rsid w:val="003945E0"/>
    <w:rsid w:val="00395312"/>
    <w:rsid w:val="00396BFE"/>
    <w:rsid w:val="003976ED"/>
    <w:rsid w:val="003A1814"/>
    <w:rsid w:val="003A3679"/>
    <w:rsid w:val="003A3768"/>
    <w:rsid w:val="003A37A5"/>
    <w:rsid w:val="003A4B78"/>
    <w:rsid w:val="003A5789"/>
    <w:rsid w:val="003B0497"/>
    <w:rsid w:val="003B2C3B"/>
    <w:rsid w:val="003B46D4"/>
    <w:rsid w:val="003B4B41"/>
    <w:rsid w:val="003B72C4"/>
    <w:rsid w:val="003B79E5"/>
    <w:rsid w:val="003C2088"/>
    <w:rsid w:val="003C382B"/>
    <w:rsid w:val="003C3BA7"/>
    <w:rsid w:val="003C3F7B"/>
    <w:rsid w:val="003C719E"/>
    <w:rsid w:val="003C7A22"/>
    <w:rsid w:val="003D0E3B"/>
    <w:rsid w:val="003D1223"/>
    <w:rsid w:val="003D5EFE"/>
    <w:rsid w:val="003D60A8"/>
    <w:rsid w:val="003D7F45"/>
    <w:rsid w:val="003E2054"/>
    <w:rsid w:val="003E5450"/>
    <w:rsid w:val="003E55C1"/>
    <w:rsid w:val="003F24A6"/>
    <w:rsid w:val="003F467D"/>
    <w:rsid w:val="003F488A"/>
    <w:rsid w:val="003F5392"/>
    <w:rsid w:val="003F6E70"/>
    <w:rsid w:val="00400047"/>
    <w:rsid w:val="00405DE3"/>
    <w:rsid w:val="00405FB8"/>
    <w:rsid w:val="00414362"/>
    <w:rsid w:val="004147B8"/>
    <w:rsid w:val="0041529B"/>
    <w:rsid w:val="004159EC"/>
    <w:rsid w:val="00415B02"/>
    <w:rsid w:val="00416A55"/>
    <w:rsid w:val="004210EF"/>
    <w:rsid w:val="00423AAD"/>
    <w:rsid w:val="00424C53"/>
    <w:rsid w:val="0042607B"/>
    <w:rsid w:val="00426CC0"/>
    <w:rsid w:val="004324AC"/>
    <w:rsid w:val="00433024"/>
    <w:rsid w:val="0043316E"/>
    <w:rsid w:val="004343FB"/>
    <w:rsid w:val="00436219"/>
    <w:rsid w:val="004364DA"/>
    <w:rsid w:val="00437A6C"/>
    <w:rsid w:val="0044229E"/>
    <w:rsid w:val="00445869"/>
    <w:rsid w:val="00451A32"/>
    <w:rsid w:val="00455B75"/>
    <w:rsid w:val="00455ED1"/>
    <w:rsid w:val="0045620D"/>
    <w:rsid w:val="00456432"/>
    <w:rsid w:val="00457730"/>
    <w:rsid w:val="00457A65"/>
    <w:rsid w:val="004600B6"/>
    <w:rsid w:val="00460DFD"/>
    <w:rsid w:val="004614BE"/>
    <w:rsid w:val="0046682F"/>
    <w:rsid w:val="0047082A"/>
    <w:rsid w:val="00470FF6"/>
    <w:rsid w:val="00471C96"/>
    <w:rsid w:val="0047266F"/>
    <w:rsid w:val="00472D58"/>
    <w:rsid w:val="0047419D"/>
    <w:rsid w:val="00475012"/>
    <w:rsid w:val="00475675"/>
    <w:rsid w:val="004773BA"/>
    <w:rsid w:val="00481D30"/>
    <w:rsid w:val="00483EFA"/>
    <w:rsid w:val="0048540A"/>
    <w:rsid w:val="00487FE8"/>
    <w:rsid w:val="00490179"/>
    <w:rsid w:val="004914F6"/>
    <w:rsid w:val="00492459"/>
    <w:rsid w:val="00492BEF"/>
    <w:rsid w:val="00493306"/>
    <w:rsid w:val="00493ED3"/>
    <w:rsid w:val="004A7CC5"/>
    <w:rsid w:val="004B0D3F"/>
    <w:rsid w:val="004B2690"/>
    <w:rsid w:val="004B42F0"/>
    <w:rsid w:val="004B6D61"/>
    <w:rsid w:val="004B7458"/>
    <w:rsid w:val="004C2C55"/>
    <w:rsid w:val="004D2BEB"/>
    <w:rsid w:val="004D69BC"/>
    <w:rsid w:val="004E4645"/>
    <w:rsid w:val="004E5AD3"/>
    <w:rsid w:val="004E5F49"/>
    <w:rsid w:val="004E60D7"/>
    <w:rsid w:val="004E63A8"/>
    <w:rsid w:val="004F4A6D"/>
    <w:rsid w:val="004F645B"/>
    <w:rsid w:val="004F67A9"/>
    <w:rsid w:val="004F7B91"/>
    <w:rsid w:val="004F7C59"/>
    <w:rsid w:val="00501744"/>
    <w:rsid w:val="00503432"/>
    <w:rsid w:val="00504FC8"/>
    <w:rsid w:val="005053D1"/>
    <w:rsid w:val="00505812"/>
    <w:rsid w:val="00507491"/>
    <w:rsid w:val="005128EF"/>
    <w:rsid w:val="005149BA"/>
    <w:rsid w:val="005175FB"/>
    <w:rsid w:val="00522BF2"/>
    <w:rsid w:val="0052364E"/>
    <w:rsid w:val="00530F50"/>
    <w:rsid w:val="0053744F"/>
    <w:rsid w:val="00541FAD"/>
    <w:rsid w:val="005431A6"/>
    <w:rsid w:val="00543E26"/>
    <w:rsid w:val="00544454"/>
    <w:rsid w:val="005472C1"/>
    <w:rsid w:val="00551AF5"/>
    <w:rsid w:val="005535D3"/>
    <w:rsid w:val="005537F2"/>
    <w:rsid w:val="005543E4"/>
    <w:rsid w:val="00554ED6"/>
    <w:rsid w:val="00555609"/>
    <w:rsid w:val="00556943"/>
    <w:rsid w:val="005602CD"/>
    <w:rsid w:val="00566E32"/>
    <w:rsid w:val="0056778A"/>
    <w:rsid w:val="00573A4B"/>
    <w:rsid w:val="00573EEB"/>
    <w:rsid w:val="005750DB"/>
    <w:rsid w:val="00575B70"/>
    <w:rsid w:val="005764EB"/>
    <w:rsid w:val="00580456"/>
    <w:rsid w:val="005808BD"/>
    <w:rsid w:val="00581E43"/>
    <w:rsid w:val="005823EB"/>
    <w:rsid w:val="00586888"/>
    <w:rsid w:val="00586C5A"/>
    <w:rsid w:val="005928D1"/>
    <w:rsid w:val="0059304B"/>
    <w:rsid w:val="00595021"/>
    <w:rsid w:val="005952C2"/>
    <w:rsid w:val="00596448"/>
    <w:rsid w:val="005A3516"/>
    <w:rsid w:val="005B0E15"/>
    <w:rsid w:val="005B1614"/>
    <w:rsid w:val="005B26F3"/>
    <w:rsid w:val="005B5F62"/>
    <w:rsid w:val="005C0433"/>
    <w:rsid w:val="005C0B4E"/>
    <w:rsid w:val="005C1A0D"/>
    <w:rsid w:val="005C269A"/>
    <w:rsid w:val="005C3B7B"/>
    <w:rsid w:val="005C3EDC"/>
    <w:rsid w:val="005C592E"/>
    <w:rsid w:val="005C75FC"/>
    <w:rsid w:val="005D4B21"/>
    <w:rsid w:val="005D5268"/>
    <w:rsid w:val="005D577F"/>
    <w:rsid w:val="005D65EA"/>
    <w:rsid w:val="005D7271"/>
    <w:rsid w:val="005E15E9"/>
    <w:rsid w:val="005E7CB5"/>
    <w:rsid w:val="005F1F3F"/>
    <w:rsid w:val="005F2CB5"/>
    <w:rsid w:val="005F5835"/>
    <w:rsid w:val="005F5C3C"/>
    <w:rsid w:val="005F7290"/>
    <w:rsid w:val="006027DD"/>
    <w:rsid w:val="0060394F"/>
    <w:rsid w:val="00606E38"/>
    <w:rsid w:val="00607768"/>
    <w:rsid w:val="0061578F"/>
    <w:rsid w:val="0062260A"/>
    <w:rsid w:val="006229F7"/>
    <w:rsid w:val="00622BEA"/>
    <w:rsid w:val="00622FD3"/>
    <w:rsid w:val="00623192"/>
    <w:rsid w:val="006237F0"/>
    <w:rsid w:val="00627E68"/>
    <w:rsid w:val="006300CB"/>
    <w:rsid w:val="006340A0"/>
    <w:rsid w:val="00634A81"/>
    <w:rsid w:val="00635A3C"/>
    <w:rsid w:val="00637F56"/>
    <w:rsid w:val="0064260E"/>
    <w:rsid w:val="00643F96"/>
    <w:rsid w:val="0064493C"/>
    <w:rsid w:val="00645ED2"/>
    <w:rsid w:val="006546B0"/>
    <w:rsid w:val="00654D9E"/>
    <w:rsid w:val="006572CD"/>
    <w:rsid w:val="006663D0"/>
    <w:rsid w:val="0066674D"/>
    <w:rsid w:val="00667854"/>
    <w:rsid w:val="0067440F"/>
    <w:rsid w:val="00676629"/>
    <w:rsid w:val="00676FF9"/>
    <w:rsid w:val="00680989"/>
    <w:rsid w:val="00682E05"/>
    <w:rsid w:val="00690253"/>
    <w:rsid w:val="00691A28"/>
    <w:rsid w:val="00692789"/>
    <w:rsid w:val="006959D0"/>
    <w:rsid w:val="00696C2E"/>
    <w:rsid w:val="006A26D3"/>
    <w:rsid w:val="006A2CEE"/>
    <w:rsid w:val="006A35AE"/>
    <w:rsid w:val="006A52E7"/>
    <w:rsid w:val="006B06EA"/>
    <w:rsid w:val="006B1AA8"/>
    <w:rsid w:val="006B24FF"/>
    <w:rsid w:val="006B49B0"/>
    <w:rsid w:val="006B5039"/>
    <w:rsid w:val="006B5555"/>
    <w:rsid w:val="006B5A8E"/>
    <w:rsid w:val="006B6F5D"/>
    <w:rsid w:val="006C4615"/>
    <w:rsid w:val="006C668D"/>
    <w:rsid w:val="006C7763"/>
    <w:rsid w:val="006D48A2"/>
    <w:rsid w:val="006D5F65"/>
    <w:rsid w:val="006D7C83"/>
    <w:rsid w:val="006E02C4"/>
    <w:rsid w:val="006E0682"/>
    <w:rsid w:val="006E1953"/>
    <w:rsid w:val="006E1CE1"/>
    <w:rsid w:val="006E6439"/>
    <w:rsid w:val="006F085C"/>
    <w:rsid w:val="006F569A"/>
    <w:rsid w:val="006F6055"/>
    <w:rsid w:val="006F66D1"/>
    <w:rsid w:val="006F7642"/>
    <w:rsid w:val="00701916"/>
    <w:rsid w:val="00704394"/>
    <w:rsid w:val="00704AD0"/>
    <w:rsid w:val="00704C3B"/>
    <w:rsid w:val="00705E9E"/>
    <w:rsid w:val="00706436"/>
    <w:rsid w:val="007118EB"/>
    <w:rsid w:val="007128A8"/>
    <w:rsid w:val="00713963"/>
    <w:rsid w:val="00714201"/>
    <w:rsid w:val="00717585"/>
    <w:rsid w:val="00721CFA"/>
    <w:rsid w:val="00723C7A"/>
    <w:rsid w:val="00726047"/>
    <w:rsid w:val="007262A7"/>
    <w:rsid w:val="00727603"/>
    <w:rsid w:val="0073005E"/>
    <w:rsid w:val="00737167"/>
    <w:rsid w:val="0075081B"/>
    <w:rsid w:val="00751D1A"/>
    <w:rsid w:val="00752FCD"/>
    <w:rsid w:val="00756EB5"/>
    <w:rsid w:val="00757B1F"/>
    <w:rsid w:val="00761CC5"/>
    <w:rsid w:val="0076247F"/>
    <w:rsid w:val="0076514D"/>
    <w:rsid w:val="00765D2A"/>
    <w:rsid w:val="007705CE"/>
    <w:rsid w:val="007735BC"/>
    <w:rsid w:val="00776575"/>
    <w:rsid w:val="00780145"/>
    <w:rsid w:val="007828CE"/>
    <w:rsid w:val="00784052"/>
    <w:rsid w:val="007843B0"/>
    <w:rsid w:val="00786151"/>
    <w:rsid w:val="007869F9"/>
    <w:rsid w:val="00787088"/>
    <w:rsid w:val="0079297D"/>
    <w:rsid w:val="007936B7"/>
    <w:rsid w:val="00794514"/>
    <w:rsid w:val="00795A32"/>
    <w:rsid w:val="00795FF0"/>
    <w:rsid w:val="007A5CB1"/>
    <w:rsid w:val="007A6942"/>
    <w:rsid w:val="007B7769"/>
    <w:rsid w:val="007C3C71"/>
    <w:rsid w:val="007C6306"/>
    <w:rsid w:val="007C7B7F"/>
    <w:rsid w:val="007D339B"/>
    <w:rsid w:val="007D3CF8"/>
    <w:rsid w:val="007D4652"/>
    <w:rsid w:val="007D5D60"/>
    <w:rsid w:val="007D7B1D"/>
    <w:rsid w:val="007E077D"/>
    <w:rsid w:val="007E18A7"/>
    <w:rsid w:val="007E5AF9"/>
    <w:rsid w:val="007E667A"/>
    <w:rsid w:val="007E6F49"/>
    <w:rsid w:val="007F4942"/>
    <w:rsid w:val="007F6FA6"/>
    <w:rsid w:val="00800606"/>
    <w:rsid w:val="0080253F"/>
    <w:rsid w:val="0080323E"/>
    <w:rsid w:val="00803CAB"/>
    <w:rsid w:val="00803D35"/>
    <w:rsid w:val="00810D18"/>
    <w:rsid w:val="00811488"/>
    <w:rsid w:val="00812EED"/>
    <w:rsid w:val="00813266"/>
    <w:rsid w:val="00814B6F"/>
    <w:rsid w:val="00817E42"/>
    <w:rsid w:val="008219A2"/>
    <w:rsid w:val="0082323C"/>
    <w:rsid w:val="008316C8"/>
    <w:rsid w:val="00833950"/>
    <w:rsid w:val="008343CD"/>
    <w:rsid w:val="00834D88"/>
    <w:rsid w:val="00836A55"/>
    <w:rsid w:val="0084026C"/>
    <w:rsid w:val="00843164"/>
    <w:rsid w:val="008453D7"/>
    <w:rsid w:val="008472B0"/>
    <w:rsid w:val="008523DA"/>
    <w:rsid w:val="00852D04"/>
    <w:rsid w:val="008544B4"/>
    <w:rsid w:val="00855928"/>
    <w:rsid w:val="00856A62"/>
    <w:rsid w:val="00862B7C"/>
    <w:rsid w:val="00863655"/>
    <w:rsid w:val="00865876"/>
    <w:rsid w:val="008666B1"/>
    <w:rsid w:val="00867043"/>
    <w:rsid w:val="008727EE"/>
    <w:rsid w:val="00873A1C"/>
    <w:rsid w:val="008742D7"/>
    <w:rsid w:val="00874AA9"/>
    <w:rsid w:val="00881E5A"/>
    <w:rsid w:val="00881E82"/>
    <w:rsid w:val="00882419"/>
    <w:rsid w:val="00883588"/>
    <w:rsid w:val="0088437F"/>
    <w:rsid w:val="00884697"/>
    <w:rsid w:val="0088767F"/>
    <w:rsid w:val="008915C5"/>
    <w:rsid w:val="00891964"/>
    <w:rsid w:val="008939EC"/>
    <w:rsid w:val="008971D8"/>
    <w:rsid w:val="00897A0F"/>
    <w:rsid w:val="00897EB3"/>
    <w:rsid w:val="008A1F43"/>
    <w:rsid w:val="008A25C5"/>
    <w:rsid w:val="008A34BD"/>
    <w:rsid w:val="008A5E17"/>
    <w:rsid w:val="008A66F8"/>
    <w:rsid w:val="008B3794"/>
    <w:rsid w:val="008B4303"/>
    <w:rsid w:val="008B7252"/>
    <w:rsid w:val="008C2A09"/>
    <w:rsid w:val="008C39EF"/>
    <w:rsid w:val="008C60A8"/>
    <w:rsid w:val="008D0513"/>
    <w:rsid w:val="008D238E"/>
    <w:rsid w:val="008D25A0"/>
    <w:rsid w:val="008D2B23"/>
    <w:rsid w:val="008D3BD2"/>
    <w:rsid w:val="008E13B4"/>
    <w:rsid w:val="008E3BA2"/>
    <w:rsid w:val="008E44D3"/>
    <w:rsid w:val="008E5108"/>
    <w:rsid w:val="008F09CD"/>
    <w:rsid w:val="008F3E39"/>
    <w:rsid w:val="008F54FD"/>
    <w:rsid w:val="008F64D8"/>
    <w:rsid w:val="008F6BD8"/>
    <w:rsid w:val="008F777E"/>
    <w:rsid w:val="00902531"/>
    <w:rsid w:val="00906F5D"/>
    <w:rsid w:val="00913F8E"/>
    <w:rsid w:val="009152D4"/>
    <w:rsid w:val="00915B88"/>
    <w:rsid w:val="00916F8E"/>
    <w:rsid w:val="00924F17"/>
    <w:rsid w:val="00926123"/>
    <w:rsid w:val="00930EBC"/>
    <w:rsid w:val="009312A2"/>
    <w:rsid w:val="00931DF2"/>
    <w:rsid w:val="009364EF"/>
    <w:rsid w:val="009419AB"/>
    <w:rsid w:val="0094246D"/>
    <w:rsid w:val="009430C7"/>
    <w:rsid w:val="009526D5"/>
    <w:rsid w:val="00953870"/>
    <w:rsid w:val="00954247"/>
    <w:rsid w:val="00955A66"/>
    <w:rsid w:val="00956302"/>
    <w:rsid w:val="00960DB6"/>
    <w:rsid w:val="00961C85"/>
    <w:rsid w:val="009644EA"/>
    <w:rsid w:val="009649E2"/>
    <w:rsid w:val="009654B5"/>
    <w:rsid w:val="00965E8A"/>
    <w:rsid w:val="00966C93"/>
    <w:rsid w:val="00967A78"/>
    <w:rsid w:val="00967D9A"/>
    <w:rsid w:val="0097291D"/>
    <w:rsid w:val="00981352"/>
    <w:rsid w:val="009820B0"/>
    <w:rsid w:val="00983082"/>
    <w:rsid w:val="00986C6E"/>
    <w:rsid w:val="00986D53"/>
    <w:rsid w:val="009930A3"/>
    <w:rsid w:val="00993900"/>
    <w:rsid w:val="009942D6"/>
    <w:rsid w:val="009947BB"/>
    <w:rsid w:val="00995C4B"/>
    <w:rsid w:val="009A2240"/>
    <w:rsid w:val="009A3392"/>
    <w:rsid w:val="009A3B29"/>
    <w:rsid w:val="009A3BC1"/>
    <w:rsid w:val="009A3C6B"/>
    <w:rsid w:val="009A6B08"/>
    <w:rsid w:val="009B1E64"/>
    <w:rsid w:val="009B3819"/>
    <w:rsid w:val="009B5163"/>
    <w:rsid w:val="009B6CFC"/>
    <w:rsid w:val="009C1783"/>
    <w:rsid w:val="009C486A"/>
    <w:rsid w:val="009C63E6"/>
    <w:rsid w:val="009D0C6E"/>
    <w:rsid w:val="009D24C9"/>
    <w:rsid w:val="009D4E71"/>
    <w:rsid w:val="009D7127"/>
    <w:rsid w:val="009E12D9"/>
    <w:rsid w:val="009E65F1"/>
    <w:rsid w:val="009E79A5"/>
    <w:rsid w:val="009F0017"/>
    <w:rsid w:val="009F146C"/>
    <w:rsid w:val="009F2150"/>
    <w:rsid w:val="009F228B"/>
    <w:rsid w:val="009F49D0"/>
    <w:rsid w:val="009F4E92"/>
    <w:rsid w:val="009F572B"/>
    <w:rsid w:val="009F7B4B"/>
    <w:rsid w:val="00A01C68"/>
    <w:rsid w:val="00A027F4"/>
    <w:rsid w:val="00A02B92"/>
    <w:rsid w:val="00A05D5C"/>
    <w:rsid w:val="00A10102"/>
    <w:rsid w:val="00A1014E"/>
    <w:rsid w:val="00A11F81"/>
    <w:rsid w:val="00A13631"/>
    <w:rsid w:val="00A15A7D"/>
    <w:rsid w:val="00A178B3"/>
    <w:rsid w:val="00A223D7"/>
    <w:rsid w:val="00A226EB"/>
    <w:rsid w:val="00A259F1"/>
    <w:rsid w:val="00A25BF8"/>
    <w:rsid w:val="00A2629A"/>
    <w:rsid w:val="00A300F1"/>
    <w:rsid w:val="00A30D18"/>
    <w:rsid w:val="00A30E48"/>
    <w:rsid w:val="00A3140A"/>
    <w:rsid w:val="00A36C44"/>
    <w:rsid w:val="00A37044"/>
    <w:rsid w:val="00A374BE"/>
    <w:rsid w:val="00A37F24"/>
    <w:rsid w:val="00A41499"/>
    <w:rsid w:val="00A42704"/>
    <w:rsid w:val="00A450C4"/>
    <w:rsid w:val="00A456AA"/>
    <w:rsid w:val="00A47489"/>
    <w:rsid w:val="00A50CC3"/>
    <w:rsid w:val="00A529A8"/>
    <w:rsid w:val="00A55764"/>
    <w:rsid w:val="00A570DC"/>
    <w:rsid w:val="00A57D2E"/>
    <w:rsid w:val="00A57E7F"/>
    <w:rsid w:val="00A6329E"/>
    <w:rsid w:val="00A634D0"/>
    <w:rsid w:val="00A67057"/>
    <w:rsid w:val="00A741D3"/>
    <w:rsid w:val="00A82F8E"/>
    <w:rsid w:val="00A84C08"/>
    <w:rsid w:val="00A923B3"/>
    <w:rsid w:val="00AA044B"/>
    <w:rsid w:val="00AA0E4D"/>
    <w:rsid w:val="00AA3B62"/>
    <w:rsid w:val="00AA5E4D"/>
    <w:rsid w:val="00AB0D3B"/>
    <w:rsid w:val="00AB3B2C"/>
    <w:rsid w:val="00AC1BF6"/>
    <w:rsid w:val="00AC5C29"/>
    <w:rsid w:val="00AD0263"/>
    <w:rsid w:val="00AD0346"/>
    <w:rsid w:val="00AD0C29"/>
    <w:rsid w:val="00AD68B7"/>
    <w:rsid w:val="00AD7ED0"/>
    <w:rsid w:val="00AE02E9"/>
    <w:rsid w:val="00AE0433"/>
    <w:rsid w:val="00AE2F9F"/>
    <w:rsid w:val="00AE37D9"/>
    <w:rsid w:val="00AE4E77"/>
    <w:rsid w:val="00AF2501"/>
    <w:rsid w:val="00AF3654"/>
    <w:rsid w:val="00B0370E"/>
    <w:rsid w:val="00B11704"/>
    <w:rsid w:val="00B1474B"/>
    <w:rsid w:val="00B15213"/>
    <w:rsid w:val="00B153C7"/>
    <w:rsid w:val="00B15670"/>
    <w:rsid w:val="00B15EC0"/>
    <w:rsid w:val="00B16FF0"/>
    <w:rsid w:val="00B1739B"/>
    <w:rsid w:val="00B178B3"/>
    <w:rsid w:val="00B22139"/>
    <w:rsid w:val="00B22FE6"/>
    <w:rsid w:val="00B23F68"/>
    <w:rsid w:val="00B30B82"/>
    <w:rsid w:val="00B324EF"/>
    <w:rsid w:val="00B34E03"/>
    <w:rsid w:val="00B359D7"/>
    <w:rsid w:val="00B40045"/>
    <w:rsid w:val="00B40D7E"/>
    <w:rsid w:val="00B42985"/>
    <w:rsid w:val="00B44D88"/>
    <w:rsid w:val="00B479E5"/>
    <w:rsid w:val="00B50B86"/>
    <w:rsid w:val="00B5145D"/>
    <w:rsid w:val="00B51900"/>
    <w:rsid w:val="00B53B06"/>
    <w:rsid w:val="00B54D18"/>
    <w:rsid w:val="00B6284A"/>
    <w:rsid w:val="00B62F87"/>
    <w:rsid w:val="00B72170"/>
    <w:rsid w:val="00B73496"/>
    <w:rsid w:val="00B802E9"/>
    <w:rsid w:val="00B817F3"/>
    <w:rsid w:val="00B8350F"/>
    <w:rsid w:val="00B874CD"/>
    <w:rsid w:val="00BA487C"/>
    <w:rsid w:val="00BB02AE"/>
    <w:rsid w:val="00BB0333"/>
    <w:rsid w:val="00BB058F"/>
    <w:rsid w:val="00BB1B03"/>
    <w:rsid w:val="00BB3C29"/>
    <w:rsid w:val="00BB768F"/>
    <w:rsid w:val="00BB7FCC"/>
    <w:rsid w:val="00BC04D0"/>
    <w:rsid w:val="00BC5C81"/>
    <w:rsid w:val="00BC6B32"/>
    <w:rsid w:val="00BD2294"/>
    <w:rsid w:val="00BD3D6A"/>
    <w:rsid w:val="00BD5FF7"/>
    <w:rsid w:val="00BD6A44"/>
    <w:rsid w:val="00BE0193"/>
    <w:rsid w:val="00BE0292"/>
    <w:rsid w:val="00BE10FB"/>
    <w:rsid w:val="00BE2595"/>
    <w:rsid w:val="00BE394E"/>
    <w:rsid w:val="00BE3CB9"/>
    <w:rsid w:val="00BE42E6"/>
    <w:rsid w:val="00BE4FF7"/>
    <w:rsid w:val="00BE61EE"/>
    <w:rsid w:val="00BF10AD"/>
    <w:rsid w:val="00BF4217"/>
    <w:rsid w:val="00BF546C"/>
    <w:rsid w:val="00BF6142"/>
    <w:rsid w:val="00BF7D58"/>
    <w:rsid w:val="00BF7D72"/>
    <w:rsid w:val="00C01B65"/>
    <w:rsid w:val="00C01CC8"/>
    <w:rsid w:val="00C021D7"/>
    <w:rsid w:val="00C03CE6"/>
    <w:rsid w:val="00C050E4"/>
    <w:rsid w:val="00C05BD9"/>
    <w:rsid w:val="00C1185C"/>
    <w:rsid w:val="00C13682"/>
    <w:rsid w:val="00C144A4"/>
    <w:rsid w:val="00C15BAE"/>
    <w:rsid w:val="00C1781D"/>
    <w:rsid w:val="00C17DF7"/>
    <w:rsid w:val="00C22672"/>
    <w:rsid w:val="00C23378"/>
    <w:rsid w:val="00C2601E"/>
    <w:rsid w:val="00C26B98"/>
    <w:rsid w:val="00C32CE0"/>
    <w:rsid w:val="00C35DEC"/>
    <w:rsid w:val="00C37576"/>
    <w:rsid w:val="00C4043C"/>
    <w:rsid w:val="00C40F15"/>
    <w:rsid w:val="00C448F9"/>
    <w:rsid w:val="00C46780"/>
    <w:rsid w:val="00C50052"/>
    <w:rsid w:val="00C5675B"/>
    <w:rsid w:val="00C6168D"/>
    <w:rsid w:val="00C64AD6"/>
    <w:rsid w:val="00C742B7"/>
    <w:rsid w:val="00C74BE4"/>
    <w:rsid w:val="00C76413"/>
    <w:rsid w:val="00C8114F"/>
    <w:rsid w:val="00C824E1"/>
    <w:rsid w:val="00C82C51"/>
    <w:rsid w:val="00C85414"/>
    <w:rsid w:val="00C917B5"/>
    <w:rsid w:val="00C92761"/>
    <w:rsid w:val="00C94C32"/>
    <w:rsid w:val="00CA4F80"/>
    <w:rsid w:val="00CA57C8"/>
    <w:rsid w:val="00CB6151"/>
    <w:rsid w:val="00CB7421"/>
    <w:rsid w:val="00CC06EE"/>
    <w:rsid w:val="00CC20B6"/>
    <w:rsid w:val="00CC2AD2"/>
    <w:rsid w:val="00CC5DCF"/>
    <w:rsid w:val="00CC60F5"/>
    <w:rsid w:val="00CC7A07"/>
    <w:rsid w:val="00CD0F1E"/>
    <w:rsid w:val="00CD197E"/>
    <w:rsid w:val="00CD1DC1"/>
    <w:rsid w:val="00CD2ED3"/>
    <w:rsid w:val="00CD4101"/>
    <w:rsid w:val="00CD5D66"/>
    <w:rsid w:val="00CD7846"/>
    <w:rsid w:val="00CE48A9"/>
    <w:rsid w:val="00CE63B8"/>
    <w:rsid w:val="00CE6F45"/>
    <w:rsid w:val="00CF228F"/>
    <w:rsid w:val="00CF4C7E"/>
    <w:rsid w:val="00D003D7"/>
    <w:rsid w:val="00D06A5C"/>
    <w:rsid w:val="00D109B9"/>
    <w:rsid w:val="00D13248"/>
    <w:rsid w:val="00D13CEF"/>
    <w:rsid w:val="00D14820"/>
    <w:rsid w:val="00D16402"/>
    <w:rsid w:val="00D21898"/>
    <w:rsid w:val="00D22F5C"/>
    <w:rsid w:val="00D23D97"/>
    <w:rsid w:val="00D24A2D"/>
    <w:rsid w:val="00D25778"/>
    <w:rsid w:val="00D2672B"/>
    <w:rsid w:val="00D27094"/>
    <w:rsid w:val="00D27510"/>
    <w:rsid w:val="00D27781"/>
    <w:rsid w:val="00D359CB"/>
    <w:rsid w:val="00D41A45"/>
    <w:rsid w:val="00D42691"/>
    <w:rsid w:val="00D43CB7"/>
    <w:rsid w:val="00D43D86"/>
    <w:rsid w:val="00D442D0"/>
    <w:rsid w:val="00D46C1C"/>
    <w:rsid w:val="00D47883"/>
    <w:rsid w:val="00D51C57"/>
    <w:rsid w:val="00D5407B"/>
    <w:rsid w:val="00D557A8"/>
    <w:rsid w:val="00D56322"/>
    <w:rsid w:val="00D619BE"/>
    <w:rsid w:val="00D65F0C"/>
    <w:rsid w:val="00D67AF2"/>
    <w:rsid w:val="00D67E02"/>
    <w:rsid w:val="00D70981"/>
    <w:rsid w:val="00D729B0"/>
    <w:rsid w:val="00D81313"/>
    <w:rsid w:val="00D84276"/>
    <w:rsid w:val="00D90592"/>
    <w:rsid w:val="00D9447D"/>
    <w:rsid w:val="00D94634"/>
    <w:rsid w:val="00D95252"/>
    <w:rsid w:val="00D96731"/>
    <w:rsid w:val="00DA0300"/>
    <w:rsid w:val="00DA06C6"/>
    <w:rsid w:val="00DA27A6"/>
    <w:rsid w:val="00DA2C0D"/>
    <w:rsid w:val="00DA5852"/>
    <w:rsid w:val="00DA6A98"/>
    <w:rsid w:val="00DA6AD7"/>
    <w:rsid w:val="00DB0763"/>
    <w:rsid w:val="00DB096C"/>
    <w:rsid w:val="00DB0ABB"/>
    <w:rsid w:val="00DB22CF"/>
    <w:rsid w:val="00DB278F"/>
    <w:rsid w:val="00DB42E3"/>
    <w:rsid w:val="00DB61BA"/>
    <w:rsid w:val="00DC221D"/>
    <w:rsid w:val="00DC2D29"/>
    <w:rsid w:val="00DC594C"/>
    <w:rsid w:val="00DC70EC"/>
    <w:rsid w:val="00DD4C48"/>
    <w:rsid w:val="00DD7BC7"/>
    <w:rsid w:val="00DE0242"/>
    <w:rsid w:val="00DE0DEA"/>
    <w:rsid w:val="00DE7B02"/>
    <w:rsid w:val="00DE7B11"/>
    <w:rsid w:val="00DF1E33"/>
    <w:rsid w:val="00DF2489"/>
    <w:rsid w:val="00DF3D1C"/>
    <w:rsid w:val="00DF7FEF"/>
    <w:rsid w:val="00E01121"/>
    <w:rsid w:val="00E0126A"/>
    <w:rsid w:val="00E02004"/>
    <w:rsid w:val="00E048FA"/>
    <w:rsid w:val="00E07440"/>
    <w:rsid w:val="00E07473"/>
    <w:rsid w:val="00E17B3F"/>
    <w:rsid w:val="00E2228E"/>
    <w:rsid w:val="00E24793"/>
    <w:rsid w:val="00E24BA5"/>
    <w:rsid w:val="00E25598"/>
    <w:rsid w:val="00E2659F"/>
    <w:rsid w:val="00E265AA"/>
    <w:rsid w:val="00E267E5"/>
    <w:rsid w:val="00E309C3"/>
    <w:rsid w:val="00E314CD"/>
    <w:rsid w:val="00E3160F"/>
    <w:rsid w:val="00E31F85"/>
    <w:rsid w:val="00E333BC"/>
    <w:rsid w:val="00E35A4C"/>
    <w:rsid w:val="00E36F4A"/>
    <w:rsid w:val="00E37401"/>
    <w:rsid w:val="00E40131"/>
    <w:rsid w:val="00E40220"/>
    <w:rsid w:val="00E44E44"/>
    <w:rsid w:val="00E501E1"/>
    <w:rsid w:val="00E516C7"/>
    <w:rsid w:val="00E63ABF"/>
    <w:rsid w:val="00E73C53"/>
    <w:rsid w:val="00E8154D"/>
    <w:rsid w:val="00E81B9F"/>
    <w:rsid w:val="00E85C87"/>
    <w:rsid w:val="00E860EE"/>
    <w:rsid w:val="00E8675B"/>
    <w:rsid w:val="00E86D17"/>
    <w:rsid w:val="00E879DA"/>
    <w:rsid w:val="00E92FB2"/>
    <w:rsid w:val="00E97059"/>
    <w:rsid w:val="00EA0416"/>
    <w:rsid w:val="00EA0667"/>
    <w:rsid w:val="00EA07D9"/>
    <w:rsid w:val="00EA3A61"/>
    <w:rsid w:val="00EA5D3B"/>
    <w:rsid w:val="00EA7782"/>
    <w:rsid w:val="00EB04E9"/>
    <w:rsid w:val="00EB2A6C"/>
    <w:rsid w:val="00EB4D8B"/>
    <w:rsid w:val="00EB501A"/>
    <w:rsid w:val="00EC17F7"/>
    <w:rsid w:val="00EC4228"/>
    <w:rsid w:val="00EC47F4"/>
    <w:rsid w:val="00ED0877"/>
    <w:rsid w:val="00ED3569"/>
    <w:rsid w:val="00ED5A34"/>
    <w:rsid w:val="00ED5A4A"/>
    <w:rsid w:val="00ED669F"/>
    <w:rsid w:val="00ED7704"/>
    <w:rsid w:val="00EE2C14"/>
    <w:rsid w:val="00EE3649"/>
    <w:rsid w:val="00EE4937"/>
    <w:rsid w:val="00EE4C52"/>
    <w:rsid w:val="00EF2CF6"/>
    <w:rsid w:val="00EF2E12"/>
    <w:rsid w:val="00EF588D"/>
    <w:rsid w:val="00EF7F84"/>
    <w:rsid w:val="00F00113"/>
    <w:rsid w:val="00F039EA"/>
    <w:rsid w:val="00F0548E"/>
    <w:rsid w:val="00F10A47"/>
    <w:rsid w:val="00F1181B"/>
    <w:rsid w:val="00F125A8"/>
    <w:rsid w:val="00F12728"/>
    <w:rsid w:val="00F14C16"/>
    <w:rsid w:val="00F15708"/>
    <w:rsid w:val="00F22796"/>
    <w:rsid w:val="00F25447"/>
    <w:rsid w:val="00F25980"/>
    <w:rsid w:val="00F25BA0"/>
    <w:rsid w:val="00F264AB"/>
    <w:rsid w:val="00F30671"/>
    <w:rsid w:val="00F3209E"/>
    <w:rsid w:val="00F32AEE"/>
    <w:rsid w:val="00F37C1D"/>
    <w:rsid w:val="00F408C1"/>
    <w:rsid w:val="00F45CC3"/>
    <w:rsid w:val="00F47A1C"/>
    <w:rsid w:val="00F520FF"/>
    <w:rsid w:val="00F52162"/>
    <w:rsid w:val="00F52D44"/>
    <w:rsid w:val="00F574A7"/>
    <w:rsid w:val="00F60DAF"/>
    <w:rsid w:val="00F61719"/>
    <w:rsid w:val="00F632D6"/>
    <w:rsid w:val="00F6357B"/>
    <w:rsid w:val="00F65C41"/>
    <w:rsid w:val="00F662AC"/>
    <w:rsid w:val="00F70824"/>
    <w:rsid w:val="00F7088D"/>
    <w:rsid w:val="00F8208B"/>
    <w:rsid w:val="00F83607"/>
    <w:rsid w:val="00F87FA8"/>
    <w:rsid w:val="00F90AD5"/>
    <w:rsid w:val="00F96849"/>
    <w:rsid w:val="00F96AD2"/>
    <w:rsid w:val="00F978F8"/>
    <w:rsid w:val="00F97E84"/>
    <w:rsid w:val="00FA1E35"/>
    <w:rsid w:val="00FA2727"/>
    <w:rsid w:val="00FA2F2C"/>
    <w:rsid w:val="00FA6068"/>
    <w:rsid w:val="00FB3A18"/>
    <w:rsid w:val="00FB48DA"/>
    <w:rsid w:val="00FB7E09"/>
    <w:rsid w:val="00FC0F2B"/>
    <w:rsid w:val="00FC108A"/>
    <w:rsid w:val="00FC1510"/>
    <w:rsid w:val="00FC3A17"/>
    <w:rsid w:val="00FC7BF9"/>
    <w:rsid w:val="00FD125A"/>
    <w:rsid w:val="00FD406C"/>
    <w:rsid w:val="00FD4125"/>
    <w:rsid w:val="00FD486F"/>
    <w:rsid w:val="00FE1BEC"/>
    <w:rsid w:val="00FE2855"/>
    <w:rsid w:val="00FE2DB3"/>
    <w:rsid w:val="00FE6894"/>
    <w:rsid w:val="00FF0206"/>
    <w:rsid w:val="00FF02D6"/>
    <w:rsid w:val="00FF0B10"/>
    <w:rsid w:val="00FF405D"/>
    <w:rsid w:val="00FF5A89"/>
    <w:rsid w:val="00FF61E9"/>
    <w:rsid w:val="00FF7CB7"/>
    <w:rsid w:val="1077542D"/>
    <w:rsid w:val="1D8D313C"/>
    <w:rsid w:val="1E5135F1"/>
    <w:rsid w:val="2625240C"/>
    <w:rsid w:val="54C3B531"/>
    <w:rsid w:val="5E7FAEE0"/>
    <w:rsid w:val="6E462E6D"/>
    <w:rsid w:val="79C6C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20ABA2"/>
  <w14:defaultImageDpi w14:val="330"/>
  <w15:chartTrackingRefBased/>
  <w15:docId w15:val="{F107C3CE-AC69-4549-835D-962476928D02}"/>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744"/>
    <w:pPr>
      <w:tabs>
        <w:tab w:val="right" w:pos="5040"/>
      </w:tabs>
      <w:overflowPunct w:val="0"/>
      <w:autoSpaceDE w:val="0"/>
      <w:autoSpaceDN w:val="0"/>
      <w:adjustRightInd w:val="0"/>
      <w:textAlignment w:val="baseline"/>
    </w:pPr>
    <w:rPr>
      <w:rFonts w:ascii="Times New Roman" w:eastAsia="Times New Roman" w:hAnsi="Times New Roman"/>
      <w:sz w:val="26"/>
    </w:rPr>
  </w:style>
  <w:style w:type="paragraph" w:styleId="Heading1">
    <w:name w:val="heading 1"/>
    <w:basedOn w:val="BodyText"/>
    <w:next w:val="BodyText"/>
    <w:link w:val="Heading1Char"/>
    <w:qFormat/>
    <w:rsid w:val="00501744"/>
    <w:pPr>
      <w:keepNext/>
      <w:keepLines/>
      <w:numPr>
        <w:numId w:val="8"/>
      </w:numPr>
      <w:spacing w:before="120" w:after="120" w:line="240" w:lineRule="auto"/>
      <w:ind w:right="720"/>
      <w:outlineLvl w:val="0"/>
    </w:pPr>
    <w:rPr>
      <w:b/>
      <w:kern w:val="28"/>
    </w:rPr>
  </w:style>
  <w:style w:type="paragraph" w:styleId="Heading2">
    <w:name w:val="heading 2"/>
    <w:basedOn w:val="BodyText"/>
    <w:next w:val="BodyText"/>
    <w:link w:val="Heading2Char"/>
    <w:qFormat/>
    <w:rsid w:val="00501744"/>
    <w:pPr>
      <w:keepNext/>
      <w:numPr>
        <w:ilvl w:val="1"/>
        <w:numId w:val="8"/>
      </w:numPr>
      <w:spacing w:before="120" w:after="120" w:line="240" w:lineRule="auto"/>
      <w:ind w:right="1440"/>
      <w:outlineLvl w:val="1"/>
    </w:pPr>
    <w:rPr>
      <w:b/>
    </w:rPr>
  </w:style>
  <w:style w:type="paragraph" w:styleId="Heading3">
    <w:name w:val="heading 3"/>
    <w:basedOn w:val="BodyText"/>
    <w:next w:val="BodyText"/>
    <w:link w:val="Heading3Char"/>
    <w:qFormat/>
    <w:rsid w:val="00501744"/>
    <w:pPr>
      <w:keepNext/>
      <w:numPr>
        <w:ilvl w:val="2"/>
        <w:numId w:val="8"/>
      </w:numPr>
      <w:spacing w:before="120" w:after="120" w:line="240" w:lineRule="auto"/>
      <w:ind w:right="1440"/>
      <w:outlineLvl w:val="2"/>
    </w:pPr>
    <w:rPr>
      <w:b/>
    </w:rPr>
  </w:style>
  <w:style w:type="paragraph" w:styleId="Heading4">
    <w:name w:val="heading 4"/>
    <w:basedOn w:val="BodyText"/>
    <w:next w:val="BodyText"/>
    <w:link w:val="Heading4Char"/>
    <w:autoRedefine/>
    <w:qFormat/>
    <w:rsid w:val="009312A2"/>
    <w:pPr>
      <w:keepNext/>
      <w:numPr>
        <w:ilvl w:val="3"/>
        <w:numId w:val="8"/>
      </w:numPr>
      <w:spacing w:before="120" w:after="120" w:line="240" w:lineRule="auto"/>
      <w:ind w:right="720"/>
      <w:outlineLvl w:val="3"/>
    </w:pPr>
    <w:rPr>
      <w:b/>
    </w:rPr>
  </w:style>
  <w:style w:type="paragraph" w:styleId="Heading5">
    <w:name w:val="heading 5"/>
    <w:basedOn w:val="Normal"/>
    <w:next w:val="Normal"/>
    <w:link w:val="Heading5Char"/>
    <w:autoRedefine/>
    <w:qFormat/>
    <w:rsid w:val="00501744"/>
    <w:pPr>
      <w:numPr>
        <w:ilvl w:val="4"/>
        <w:numId w:val="8"/>
      </w:numPr>
      <w:spacing w:before="120" w:after="120"/>
      <w:outlineLvl w:val="4"/>
    </w:pPr>
    <w:rPr>
      <w:b/>
    </w:rPr>
  </w:style>
  <w:style w:type="paragraph" w:styleId="Heading6">
    <w:name w:val="heading 6"/>
    <w:basedOn w:val="Normal"/>
    <w:next w:val="Normal"/>
    <w:link w:val="Heading6Char"/>
    <w:autoRedefine/>
    <w:qFormat/>
    <w:rsid w:val="00501744"/>
    <w:pPr>
      <w:numPr>
        <w:ilvl w:val="5"/>
        <w:numId w:val="8"/>
      </w:numPr>
      <w:spacing w:before="240" w:after="60"/>
      <w:outlineLvl w:val="5"/>
    </w:pPr>
    <w:rPr>
      <w:b/>
    </w:rPr>
  </w:style>
  <w:style w:type="paragraph" w:styleId="Heading7">
    <w:name w:val="heading 7"/>
    <w:basedOn w:val="Normal"/>
    <w:next w:val="Normal"/>
    <w:link w:val="Heading7Char"/>
    <w:autoRedefine/>
    <w:qFormat/>
    <w:rsid w:val="00501744"/>
    <w:pPr>
      <w:numPr>
        <w:ilvl w:val="6"/>
        <w:numId w:val="8"/>
      </w:numPr>
      <w:spacing w:before="240" w:after="60"/>
      <w:outlineLvl w:val="6"/>
    </w:pPr>
    <w:rPr>
      <w:b/>
    </w:rPr>
  </w:style>
  <w:style w:type="paragraph" w:styleId="Heading8">
    <w:name w:val="heading 8"/>
    <w:basedOn w:val="Normal"/>
    <w:next w:val="Normal"/>
    <w:link w:val="Heading8Char"/>
    <w:autoRedefine/>
    <w:qFormat/>
    <w:rsid w:val="00501744"/>
    <w:pPr>
      <w:numPr>
        <w:ilvl w:val="7"/>
        <w:numId w:val="8"/>
      </w:numPr>
      <w:spacing w:before="240" w:after="60"/>
      <w:outlineLvl w:val="7"/>
    </w:pPr>
    <w:rPr>
      <w:b/>
    </w:rPr>
  </w:style>
  <w:style w:type="paragraph" w:styleId="Heading9">
    <w:name w:val="heading 9"/>
    <w:basedOn w:val="Normal"/>
    <w:next w:val="Normal"/>
    <w:link w:val="Heading9Char"/>
    <w:autoRedefine/>
    <w:qFormat/>
    <w:rsid w:val="00501744"/>
    <w:pPr>
      <w:numPr>
        <w:ilvl w:val="8"/>
        <w:numId w:val="8"/>
      </w:numPr>
      <w:spacing w:before="24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w:basedOn w:val="Normal"/>
    <w:link w:val="FootnoteTextChar"/>
    <w:uiPriority w:val="99"/>
    <w:rsid w:val="00501744"/>
    <w:pPr>
      <w:widowControl w:val="0"/>
      <w:spacing w:after="120" w:line="240" w:lineRule="exact"/>
    </w:pPr>
    <w:rPr>
      <w:sz w:val="22"/>
    </w:rPr>
  </w:style>
  <w:style w:type="character" w:customStyle="1" w:styleId="FootnoteTextChar">
    <w:name w:val="Footnote Text Char"/>
    <w:aliases w:val="Char Char"/>
    <w:link w:val="FootnoteText"/>
    <w:uiPriority w:val="99"/>
    <w:rsid w:val="00EA7782"/>
    <w:rPr>
      <w:rFonts w:ascii="Times New Roman" w:eastAsia="Times New Roman" w:hAnsi="Times New Roman"/>
      <w:sz w:val="22"/>
    </w:rPr>
  </w:style>
  <w:style w:type="character" w:styleId="FootnoteReference">
    <w:name w:val="footnote reference"/>
    <w:uiPriority w:val="99"/>
    <w:rsid w:val="00501744"/>
    <w:rPr>
      <w:rFonts w:ascii="Times New Roman" w:hAnsi="Times New Roman"/>
      <w:b/>
      <w:sz w:val="28"/>
      <w:u w:val="single"/>
      <w:vertAlign w:val="superscript"/>
    </w:rPr>
  </w:style>
  <w:style w:type="paragraph" w:customStyle="1" w:styleId="LightGrid-Accent31">
    <w:name w:val="Light Grid - Accent 31"/>
    <w:basedOn w:val="Normal"/>
    <w:uiPriority w:val="34"/>
    <w:qFormat/>
    <w:rsid w:val="00C94C32"/>
    <w:pPr>
      <w:ind w:left="720"/>
      <w:contextualSpacing/>
    </w:pPr>
  </w:style>
  <w:style w:type="paragraph" w:styleId="Footer">
    <w:name w:val="footer"/>
    <w:basedOn w:val="Normal"/>
    <w:link w:val="FooterChar"/>
    <w:uiPriority w:val="99"/>
    <w:rsid w:val="00501744"/>
    <w:pPr>
      <w:tabs>
        <w:tab w:val="center" w:pos="4320"/>
        <w:tab w:val="right" w:pos="8640"/>
      </w:tabs>
    </w:pPr>
  </w:style>
  <w:style w:type="character" w:customStyle="1" w:styleId="FooterChar">
    <w:name w:val="Footer Char"/>
    <w:link w:val="Footer"/>
    <w:uiPriority w:val="99"/>
    <w:rsid w:val="002D7627"/>
    <w:rPr>
      <w:rFonts w:ascii="Times New Roman" w:eastAsia="Times New Roman" w:hAnsi="Times New Roman"/>
      <w:sz w:val="26"/>
    </w:rPr>
  </w:style>
  <w:style w:type="character" w:styleId="PageNumber">
    <w:name w:val="page number"/>
    <w:uiPriority w:val="99"/>
    <w:semiHidden/>
    <w:unhideWhenUsed/>
    <w:rsid w:val="002D7627"/>
  </w:style>
  <w:style w:type="paragraph" w:styleId="BodyText">
    <w:name w:val="Body Text"/>
    <w:link w:val="BodyTextChar"/>
    <w:rsid w:val="00501744"/>
    <w:pPr>
      <w:overflowPunct w:val="0"/>
      <w:autoSpaceDE w:val="0"/>
      <w:autoSpaceDN w:val="0"/>
      <w:adjustRightInd w:val="0"/>
      <w:spacing w:line="360" w:lineRule="auto"/>
      <w:ind w:firstLine="720"/>
      <w:textAlignment w:val="baseline"/>
    </w:pPr>
    <w:rPr>
      <w:rFonts w:ascii="Times New Roman" w:eastAsia="Times New Roman" w:hAnsi="Times New Roman"/>
      <w:sz w:val="26"/>
    </w:rPr>
  </w:style>
  <w:style w:type="character" w:customStyle="1" w:styleId="BodyTextChar">
    <w:name w:val="Body Text Char"/>
    <w:link w:val="BodyText"/>
    <w:rsid w:val="00BB1B03"/>
    <w:rPr>
      <w:rFonts w:ascii="Times New Roman" w:eastAsia="Times New Roman" w:hAnsi="Times New Roman"/>
      <w:sz w:val="26"/>
    </w:rPr>
  </w:style>
  <w:style w:type="paragraph" w:customStyle="1" w:styleId="BriefHeading">
    <w:name w:val="Brief Heading"/>
    <w:basedOn w:val="Normal"/>
    <w:rsid w:val="00501744"/>
    <w:pPr>
      <w:jc w:val="center"/>
    </w:pPr>
    <w:rPr>
      <w:smallCaps/>
      <w:sz w:val="28"/>
    </w:rPr>
  </w:style>
  <w:style w:type="paragraph" w:styleId="Header">
    <w:name w:val="header"/>
    <w:basedOn w:val="Normal"/>
    <w:link w:val="HeaderChar"/>
    <w:uiPriority w:val="99"/>
    <w:unhideWhenUsed/>
    <w:rsid w:val="00BB1B03"/>
    <w:pPr>
      <w:tabs>
        <w:tab w:val="center" w:pos="4680"/>
        <w:tab w:val="right" w:pos="9360"/>
      </w:tabs>
    </w:pPr>
  </w:style>
  <w:style w:type="character" w:customStyle="1" w:styleId="HeaderChar">
    <w:name w:val="Header Char"/>
    <w:link w:val="Header"/>
    <w:uiPriority w:val="99"/>
    <w:rsid w:val="00BB1B03"/>
    <w:rPr>
      <w:sz w:val="24"/>
      <w:szCs w:val="24"/>
    </w:rPr>
  </w:style>
  <w:style w:type="character" w:styleId="Hyperlink">
    <w:name w:val="Hyperlink"/>
    <w:uiPriority w:val="99"/>
    <w:unhideWhenUsed/>
    <w:rsid w:val="009F572B"/>
    <w:rPr>
      <w:color w:val="0000FF"/>
      <w:u w:val="single"/>
    </w:rPr>
  </w:style>
  <w:style w:type="paragraph" w:styleId="BalloonText">
    <w:name w:val="Balloon Text"/>
    <w:basedOn w:val="Normal"/>
    <w:link w:val="BalloonTextChar"/>
    <w:uiPriority w:val="99"/>
    <w:semiHidden/>
    <w:unhideWhenUsed/>
    <w:rsid w:val="000443A3"/>
    <w:rPr>
      <w:rFonts w:ascii="Lucida Grande" w:hAnsi="Lucida Grande" w:cs="Lucida Grande"/>
      <w:sz w:val="18"/>
      <w:szCs w:val="18"/>
    </w:rPr>
  </w:style>
  <w:style w:type="character" w:customStyle="1" w:styleId="BalloonTextChar">
    <w:name w:val="Balloon Text Char"/>
    <w:link w:val="BalloonText"/>
    <w:uiPriority w:val="99"/>
    <w:semiHidden/>
    <w:rsid w:val="000443A3"/>
    <w:rPr>
      <w:rFonts w:ascii="Lucida Grande" w:hAnsi="Lucida Grande" w:cs="Lucida Grande"/>
      <w:sz w:val="18"/>
      <w:szCs w:val="18"/>
    </w:rPr>
  </w:style>
  <w:style w:type="character" w:styleId="CommentReference">
    <w:name w:val="annotation reference"/>
    <w:uiPriority w:val="99"/>
    <w:semiHidden/>
    <w:unhideWhenUsed/>
    <w:rsid w:val="00C448F9"/>
    <w:rPr>
      <w:sz w:val="16"/>
      <w:szCs w:val="16"/>
    </w:rPr>
  </w:style>
  <w:style w:type="paragraph" w:styleId="CommentText">
    <w:name w:val="annotation text"/>
    <w:basedOn w:val="Normal"/>
    <w:link w:val="CommentTextChar"/>
    <w:uiPriority w:val="99"/>
    <w:unhideWhenUsed/>
    <w:rsid w:val="00C448F9"/>
    <w:rPr>
      <w:sz w:val="20"/>
    </w:rPr>
  </w:style>
  <w:style w:type="character" w:customStyle="1" w:styleId="CommentTextChar">
    <w:name w:val="Comment Text Char"/>
    <w:basedOn w:val="DefaultParagraphFont"/>
    <w:link w:val="CommentText"/>
    <w:uiPriority w:val="99"/>
    <w:rsid w:val="00C448F9"/>
  </w:style>
  <w:style w:type="paragraph" w:styleId="CommentSubject">
    <w:name w:val="annotation subject"/>
    <w:basedOn w:val="CommentText"/>
    <w:next w:val="CommentText"/>
    <w:link w:val="CommentSubjectChar"/>
    <w:uiPriority w:val="99"/>
    <w:semiHidden/>
    <w:unhideWhenUsed/>
    <w:rsid w:val="00C448F9"/>
    <w:rPr>
      <w:b/>
      <w:bCs/>
    </w:rPr>
  </w:style>
  <w:style w:type="character" w:customStyle="1" w:styleId="CommentSubjectChar">
    <w:name w:val="Comment Subject Char"/>
    <w:link w:val="CommentSubject"/>
    <w:uiPriority w:val="99"/>
    <w:semiHidden/>
    <w:rsid w:val="00C448F9"/>
    <w:rPr>
      <w:b/>
      <w:bCs/>
    </w:rPr>
  </w:style>
  <w:style w:type="paragraph" w:customStyle="1" w:styleId="BodyText10">
    <w:name w:val="Body Text 10"/>
    <w:basedOn w:val="BodyText"/>
    <w:rsid w:val="00501744"/>
    <w:pPr>
      <w:overflowPunct/>
      <w:autoSpaceDE/>
      <w:autoSpaceDN/>
      <w:adjustRightInd/>
      <w:ind w:firstLine="1296"/>
      <w:textAlignment w:val="auto"/>
    </w:pPr>
  </w:style>
  <w:style w:type="character" w:customStyle="1" w:styleId="Heading1Char">
    <w:name w:val="Heading 1 Char"/>
    <w:link w:val="Heading1"/>
    <w:rsid w:val="00C01CC8"/>
    <w:rPr>
      <w:rFonts w:ascii="Times New Roman" w:eastAsia="Times New Roman" w:hAnsi="Times New Roman"/>
      <w:b/>
      <w:kern w:val="28"/>
      <w:sz w:val="26"/>
    </w:rPr>
  </w:style>
  <w:style w:type="character" w:customStyle="1" w:styleId="Heading2Char">
    <w:name w:val="Heading 2 Char"/>
    <w:link w:val="Heading2"/>
    <w:rsid w:val="00C01CC8"/>
    <w:rPr>
      <w:rFonts w:ascii="Times New Roman" w:eastAsia="Times New Roman" w:hAnsi="Times New Roman"/>
      <w:b/>
      <w:sz w:val="26"/>
    </w:rPr>
  </w:style>
  <w:style w:type="character" w:customStyle="1" w:styleId="Heading3Char">
    <w:name w:val="Heading 3 Char"/>
    <w:link w:val="Heading3"/>
    <w:rsid w:val="00C01CC8"/>
    <w:rPr>
      <w:rFonts w:ascii="Times New Roman" w:eastAsia="Times New Roman" w:hAnsi="Times New Roman"/>
      <w:b/>
      <w:sz w:val="26"/>
    </w:rPr>
  </w:style>
  <w:style w:type="character" w:customStyle="1" w:styleId="Heading4Char">
    <w:name w:val="Heading 4 Char"/>
    <w:link w:val="Heading4"/>
    <w:rsid w:val="009312A2"/>
    <w:rPr>
      <w:rFonts w:ascii="Times New Roman" w:eastAsia="Times New Roman" w:hAnsi="Times New Roman"/>
      <w:b/>
      <w:sz w:val="26"/>
    </w:rPr>
  </w:style>
  <w:style w:type="character" w:customStyle="1" w:styleId="Heading5Char">
    <w:name w:val="Heading 5 Char"/>
    <w:link w:val="Heading5"/>
    <w:rsid w:val="00C01CC8"/>
    <w:rPr>
      <w:rFonts w:ascii="Times New Roman" w:eastAsia="Times New Roman" w:hAnsi="Times New Roman"/>
      <w:b/>
      <w:sz w:val="26"/>
    </w:rPr>
  </w:style>
  <w:style w:type="character" w:customStyle="1" w:styleId="Heading6Char">
    <w:name w:val="Heading 6 Char"/>
    <w:link w:val="Heading6"/>
    <w:rsid w:val="00C01CC8"/>
    <w:rPr>
      <w:rFonts w:ascii="Times New Roman" w:eastAsia="Times New Roman" w:hAnsi="Times New Roman"/>
      <w:b/>
      <w:sz w:val="26"/>
    </w:rPr>
  </w:style>
  <w:style w:type="character" w:customStyle="1" w:styleId="Heading7Char">
    <w:name w:val="Heading 7 Char"/>
    <w:link w:val="Heading7"/>
    <w:rsid w:val="00C01CC8"/>
    <w:rPr>
      <w:rFonts w:ascii="Times New Roman" w:eastAsia="Times New Roman" w:hAnsi="Times New Roman"/>
      <w:b/>
      <w:sz w:val="26"/>
    </w:rPr>
  </w:style>
  <w:style w:type="character" w:customStyle="1" w:styleId="Heading8Char">
    <w:name w:val="Heading 8 Char"/>
    <w:link w:val="Heading8"/>
    <w:rsid w:val="00C01CC8"/>
    <w:rPr>
      <w:rFonts w:ascii="Times New Roman" w:eastAsia="Times New Roman" w:hAnsi="Times New Roman"/>
      <w:b/>
      <w:sz w:val="26"/>
    </w:rPr>
  </w:style>
  <w:style w:type="character" w:customStyle="1" w:styleId="Heading9Char">
    <w:name w:val="Heading 9 Char"/>
    <w:link w:val="Heading9"/>
    <w:rsid w:val="00C01CC8"/>
    <w:rPr>
      <w:rFonts w:ascii="Times New Roman" w:eastAsia="Times New Roman" w:hAnsi="Times New Roman"/>
      <w:b/>
      <w:sz w:val="26"/>
    </w:rPr>
  </w:style>
  <w:style w:type="character" w:customStyle="1" w:styleId="QuotationChar">
    <w:name w:val="Quotation Char"/>
    <w:link w:val="Quotation"/>
    <w:locked/>
    <w:rsid w:val="00C01CC8"/>
    <w:rPr>
      <w:rFonts w:ascii="Times New Roman" w:eastAsia="Times New Roman" w:hAnsi="Times New Roman"/>
      <w:sz w:val="26"/>
    </w:rPr>
  </w:style>
  <w:style w:type="paragraph" w:customStyle="1" w:styleId="Quotation">
    <w:name w:val="Quotation"/>
    <w:basedOn w:val="BodyText"/>
    <w:next w:val="BodyText"/>
    <w:link w:val="QuotationChar"/>
    <w:rsid w:val="00501744"/>
    <w:pPr>
      <w:spacing w:after="120" w:line="240" w:lineRule="auto"/>
      <w:ind w:left="1440" w:right="1440" w:firstLine="0"/>
    </w:pPr>
  </w:style>
  <w:style w:type="paragraph" w:styleId="TOC1">
    <w:name w:val="toc 1"/>
    <w:basedOn w:val="Normal"/>
    <w:next w:val="Normal"/>
    <w:autoRedefine/>
    <w:semiHidden/>
    <w:rsid w:val="00501744"/>
    <w:pPr>
      <w:keepNext/>
      <w:tabs>
        <w:tab w:val="clear" w:pos="5040"/>
        <w:tab w:val="right" w:leader="dot" w:pos="8640"/>
      </w:tabs>
      <w:suppressAutoHyphens/>
      <w:spacing w:before="120" w:after="120"/>
      <w:ind w:left="720" w:right="1440" w:hanging="720"/>
    </w:pPr>
    <w:rPr>
      <w:caps/>
      <w:noProof/>
      <w:sz w:val="24"/>
    </w:rPr>
  </w:style>
  <w:style w:type="paragraph" w:styleId="TOC2">
    <w:name w:val="toc 2"/>
    <w:basedOn w:val="Normal"/>
    <w:next w:val="Normal"/>
    <w:autoRedefine/>
    <w:semiHidden/>
    <w:rsid w:val="00501744"/>
    <w:pPr>
      <w:tabs>
        <w:tab w:val="clear" w:pos="5040"/>
        <w:tab w:val="right" w:leader="dot" w:pos="8640"/>
      </w:tabs>
      <w:suppressAutoHyphens/>
      <w:spacing w:after="120"/>
      <w:ind w:left="720" w:right="1440" w:hanging="288"/>
    </w:pPr>
    <w:rPr>
      <w:smallCaps/>
      <w:noProof/>
      <w:sz w:val="24"/>
    </w:rPr>
  </w:style>
  <w:style w:type="paragraph" w:styleId="TOC3">
    <w:name w:val="toc 3"/>
    <w:basedOn w:val="Normal"/>
    <w:next w:val="Normal"/>
    <w:autoRedefine/>
    <w:semiHidden/>
    <w:rsid w:val="00501744"/>
    <w:pPr>
      <w:tabs>
        <w:tab w:val="clear" w:pos="5040"/>
        <w:tab w:val="right" w:leader="dot" w:pos="8640"/>
      </w:tabs>
      <w:spacing w:after="120"/>
      <w:ind w:left="1109" w:right="1440" w:hanging="245"/>
    </w:pPr>
    <w:rPr>
      <w:noProof/>
      <w:sz w:val="24"/>
    </w:rPr>
  </w:style>
  <w:style w:type="paragraph" w:styleId="TOC4">
    <w:name w:val="toc 4"/>
    <w:basedOn w:val="Normal"/>
    <w:next w:val="Normal"/>
    <w:autoRedefine/>
    <w:semiHidden/>
    <w:rsid w:val="00501744"/>
    <w:pPr>
      <w:widowControl w:val="0"/>
      <w:tabs>
        <w:tab w:val="clear" w:pos="5040"/>
        <w:tab w:val="right" w:leader="dot" w:pos="8640"/>
      </w:tabs>
      <w:spacing w:after="120"/>
      <w:ind w:left="1627" w:right="1440" w:hanging="360"/>
    </w:pPr>
    <w:rPr>
      <w:sz w:val="24"/>
    </w:rPr>
  </w:style>
  <w:style w:type="paragraph" w:styleId="TOC5">
    <w:name w:val="toc 5"/>
    <w:basedOn w:val="Normal"/>
    <w:next w:val="Normal"/>
    <w:autoRedefine/>
    <w:semiHidden/>
    <w:rsid w:val="00501744"/>
    <w:pPr>
      <w:tabs>
        <w:tab w:val="clear" w:pos="5040"/>
        <w:tab w:val="right" w:leader="dot" w:pos="8640"/>
      </w:tabs>
      <w:spacing w:after="120"/>
      <w:ind w:left="1980" w:right="1440" w:hanging="360"/>
    </w:pPr>
    <w:rPr>
      <w:sz w:val="24"/>
    </w:rPr>
  </w:style>
  <w:style w:type="paragraph" w:styleId="TOC6">
    <w:name w:val="toc 6"/>
    <w:basedOn w:val="Normal"/>
    <w:next w:val="Normal"/>
    <w:autoRedefine/>
    <w:semiHidden/>
    <w:rsid w:val="00501744"/>
    <w:pPr>
      <w:tabs>
        <w:tab w:val="clear" w:pos="5040"/>
        <w:tab w:val="right" w:leader="dot" w:pos="8640"/>
      </w:tabs>
      <w:spacing w:after="120"/>
      <w:ind w:left="2333" w:right="1440" w:hanging="331"/>
    </w:pPr>
    <w:rPr>
      <w:sz w:val="24"/>
    </w:rPr>
  </w:style>
  <w:style w:type="paragraph" w:styleId="TOC7">
    <w:name w:val="toc 7"/>
    <w:basedOn w:val="Normal"/>
    <w:next w:val="Normal"/>
    <w:autoRedefine/>
    <w:semiHidden/>
    <w:rsid w:val="00501744"/>
    <w:pPr>
      <w:tabs>
        <w:tab w:val="clear" w:pos="5040"/>
        <w:tab w:val="right" w:leader="dot" w:pos="8640"/>
      </w:tabs>
      <w:spacing w:after="120"/>
      <w:ind w:left="2707" w:right="1440" w:hanging="360"/>
    </w:pPr>
    <w:rPr>
      <w:sz w:val="24"/>
    </w:rPr>
  </w:style>
  <w:style w:type="paragraph" w:styleId="TOC8">
    <w:name w:val="toc 8"/>
    <w:basedOn w:val="Normal"/>
    <w:next w:val="Normal"/>
    <w:autoRedefine/>
    <w:semiHidden/>
    <w:rsid w:val="00501744"/>
    <w:pPr>
      <w:tabs>
        <w:tab w:val="clear" w:pos="5040"/>
        <w:tab w:val="right" w:leader="dot" w:pos="8640"/>
      </w:tabs>
      <w:spacing w:after="120"/>
      <w:ind w:left="3067" w:right="1440" w:hanging="360"/>
    </w:pPr>
    <w:rPr>
      <w:sz w:val="24"/>
    </w:rPr>
  </w:style>
  <w:style w:type="paragraph" w:styleId="TOC9">
    <w:name w:val="toc 9"/>
    <w:basedOn w:val="Normal"/>
    <w:next w:val="Normal"/>
    <w:autoRedefine/>
    <w:semiHidden/>
    <w:rsid w:val="00501744"/>
    <w:pPr>
      <w:tabs>
        <w:tab w:val="clear" w:pos="5040"/>
        <w:tab w:val="right" w:leader="dot" w:pos="8640"/>
      </w:tabs>
      <w:spacing w:after="120"/>
      <w:ind w:left="3427" w:right="1440" w:hanging="360"/>
    </w:pPr>
    <w:rPr>
      <w:sz w:val="24"/>
    </w:rPr>
  </w:style>
  <w:style w:type="paragraph" w:styleId="TOAHeading">
    <w:name w:val="toa heading"/>
    <w:basedOn w:val="Normal"/>
    <w:next w:val="Normal"/>
    <w:semiHidden/>
    <w:rsid w:val="00501744"/>
    <w:pPr>
      <w:spacing w:before="240" w:after="120"/>
    </w:pPr>
    <w:rPr>
      <w:b/>
      <w:smallCaps/>
    </w:rPr>
  </w:style>
  <w:style w:type="paragraph" w:styleId="Caption">
    <w:name w:val="caption"/>
    <w:basedOn w:val="BodyText"/>
    <w:qFormat/>
    <w:rsid w:val="00501744"/>
    <w:pPr>
      <w:tabs>
        <w:tab w:val="left" w:pos="4320"/>
        <w:tab w:val="left" w:pos="5040"/>
      </w:tabs>
      <w:spacing w:line="240" w:lineRule="auto"/>
      <w:ind w:firstLine="0"/>
    </w:pPr>
  </w:style>
  <w:style w:type="paragraph" w:customStyle="1" w:styleId="BriefTitle">
    <w:name w:val="Brief Title"/>
    <w:basedOn w:val="Normal"/>
    <w:rsid w:val="00501744"/>
    <w:pPr>
      <w:jc w:val="center"/>
    </w:pPr>
    <w:rPr>
      <w:b/>
      <w:caps/>
    </w:rPr>
  </w:style>
  <w:style w:type="paragraph" w:customStyle="1" w:styleId="BodyText6">
    <w:name w:val="Body Text 6"/>
    <w:basedOn w:val="BodyText"/>
    <w:autoRedefine/>
    <w:rsid w:val="00501744"/>
    <w:pPr>
      <w:overflowPunct/>
      <w:autoSpaceDE/>
      <w:autoSpaceDN/>
      <w:adjustRightInd/>
      <w:ind w:firstLine="864"/>
      <w:textAlignment w:val="auto"/>
    </w:pPr>
  </w:style>
  <w:style w:type="character" w:styleId="UnresolvedMention">
    <w:name w:val="Unresolved Mention"/>
    <w:basedOn w:val="DefaultParagraphFont"/>
    <w:uiPriority w:val="99"/>
    <w:semiHidden/>
    <w:unhideWhenUsed/>
    <w:rsid w:val="003A3768"/>
    <w:rPr>
      <w:color w:val="605E5C"/>
      <w:shd w:val="clear" w:color="auto" w:fill="E1DFDD"/>
    </w:rPr>
  </w:style>
  <w:style w:type="paragraph" w:styleId="Revision">
    <w:name w:val="Revision"/>
    <w:hidden/>
    <w:uiPriority w:val="71"/>
    <w:semiHidden/>
    <w:rsid w:val="003A3768"/>
    <w:rPr>
      <w:rFonts w:ascii="Times New Roman" w:eastAsia="Times New Roman" w:hAnsi="Times New Roman"/>
      <w:sz w:val="26"/>
    </w:rPr>
  </w:style>
  <w:style w:type="paragraph" w:customStyle="1" w:styleId="standard">
    <w:name w:val="standard"/>
    <w:basedOn w:val="Normal"/>
    <w:link w:val="standardChar"/>
    <w:rsid w:val="00B1474B"/>
    <w:pPr>
      <w:tabs>
        <w:tab w:val="clear" w:pos="5040"/>
      </w:tabs>
      <w:overflowPunct/>
      <w:autoSpaceDE/>
      <w:autoSpaceDN/>
      <w:adjustRightInd/>
      <w:spacing w:line="360" w:lineRule="auto"/>
      <w:ind w:firstLine="720"/>
      <w:textAlignment w:val="auto"/>
    </w:pPr>
    <w:rPr>
      <w:rFonts w:ascii="Palatino" w:hAnsi="Palatino"/>
    </w:rPr>
  </w:style>
  <w:style w:type="character" w:customStyle="1" w:styleId="standardChar">
    <w:name w:val="standard Char"/>
    <w:link w:val="standard"/>
    <w:locked/>
    <w:rsid w:val="00B1474B"/>
    <w:rPr>
      <w:rFonts w:ascii="Palatino" w:eastAsia="Times New Roman" w:hAnsi="Palatino"/>
      <w:sz w:val="26"/>
    </w:rPr>
  </w:style>
  <w:style w:type="paragraph" w:styleId="NormalWeb">
    <w:name w:val="Normal (Web)"/>
    <w:basedOn w:val="Normal"/>
    <w:uiPriority w:val="99"/>
    <w:unhideWhenUsed/>
    <w:rsid w:val="00B1474B"/>
    <w:pPr>
      <w:tabs>
        <w:tab w:val="clear" w:pos="5040"/>
      </w:tabs>
      <w:overflowPunct/>
      <w:autoSpaceDE/>
      <w:autoSpaceDN/>
      <w:adjustRightInd/>
      <w:spacing w:before="100" w:beforeAutospacing="1" w:after="100" w:afterAutospacing="1"/>
      <w:textAlignment w:val="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11981">
      <w:bodyDiv w:val="1"/>
      <w:marLeft w:val="0"/>
      <w:marRight w:val="0"/>
      <w:marTop w:val="0"/>
      <w:marBottom w:val="0"/>
      <w:divBdr>
        <w:top w:val="none" w:sz="0" w:space="0" w:color="auto"/>
        <w:left w:val="none" w:sz="0" w:space="0" w:color="auto"/>
        <w:bottom w:val="none" w:sz="0" w:space="0" w:color="auto"/>
        <w:right w:val="none" w:sz="0" w:space="0" w:color="auto"/>
      </w:divBdr>
    </w:div>
    <w:div w:id="489491003">
      <w:bodyDiv w:val="1"/>
      <w:marLeft w:val="0"/>
      <w:marRight w:val="0"/>
      <w:marTop w:val="0"/>
      <w:marBottom w:val="0"/>
      <w:divBdr>
        <w:top w:val="none" w:sz="0" w:space="0" w:color="auto"/>
        <w:left w:val="none" w:sz="0" w:space="0" w:color="auto"/>
        <w:bottom w:val="none" w:sz="0" w:space="0" w:color="auto"/>
        <w:right w:val="none" w:sz="0" w:space="0" w:color="auto"/>
      </w:divBdr>
    </w:div>
    <w:div w:id="538475596">
      <w:bodyDiv w:val="1"/>
      <w:marLeft w:val="0"/>
      <w:marRight w:val="0"/>
      <w:marTop w:val="0"/>
      <w:marBottom w:val="0"/>
      <w:divBdr>
        <w:top w:val="none" w:sz="0" w:space="0" w:color="auto"/>
        <w:left w:val="none" w:sz="0" w:space="0" w:color="auto"/>
        <w:bottom w:val="none" w:sz="0" w:space="0" w:color="auto"/>
        <w:right w:val="none" w:sz="0" w:space="0" w:color="auto"/>
      </w:divBdr>
    </w:div>
    <w:div w:id="764035103">
      <w:bodyDiv w:val="1"/>
      <w:marLeft w:val="0"/>
      <w:marRight w:val="0"/>
      <w:marTop w:val="0"/>
      <w:marBottom w:val="0"/>
      <w:divBdr>
        <w:top w:val="none" w:sz="0" w:space="0" w:color="auto"/>
        <w:left w:val="none" w:sz="0" w:space="0" w:color="auto"/>
        <w:bottom w:val="none" w:sz="0" w:space="0" w:color="auto"/>
        <w:right w:val="none" w:sz="0" w:space="0" w:color="auto"/>
      </w:divBdr>
    </w:div>
    <w:div w:id="1080830276">
      <w:bodyDiv w:val="1"/>
      <w:marLeft w:val="0"/>
      <w:marRight w:val="0"/>
      <w:marTop w:val="0"/>
      <w:marBottom w:val="0"/>
      <w:divBdr>
        <w:top w:val="none" w:sz="0" w:space="0" w:color="auto"/>
        <w:left w:val="none" w:sz="0" w:space="0" w:color="auto"/>
        <w:bottom w:val="none" w:sz="0" w:space="0" w:color="auto"/>
        <w:right w:val="none" w:sz="0" w:space="0" w:color="auto"/>
      </w:divBdr>
    </w:div>
    <w:div w:id="1080911691">
      <w:bodyDiv w:val="1"/>
      <w:marLeft w:val="0"/>
      <w:marRight w:val="0"/>
      <w:marTop w:val="0"/>
      <w:marBottom w:val="0"/>
      <w:divBdr>
        <w:top w:val="none" w:sz="0" w:space="0" w:color="auto"/>
        <w:left w:val="none" w:sz="0" w:space="0" w:color="auto"/>
        <w:bottom w:val="none" w:sz="0" w:space="0" w:color="auto"/>
        <w:right w:val="none" w:sz="0" w:space="0" w:color="auto"/>
      </w:divBdr>
    </w:div>
    <w:div w:id="1415394083">
      <w:bodyDiv w:val="1"/>
      <w:marLeft w:val="0"/>
      <w:marRight w:val="0"/>
      <w:marTop w:val="0"/>
      <w:marBottom w:val="0"/>
      <w:divBdr>
        <w:top w:val="none" w:sz="0" w:space="0" w:color="auto"/>
        <w:left w:val="none" w:sz="0" w:space="0" w:color="auto"/>
        <w:bottom w:val="none" w:sz="0" w:space="0" w:color="auto"/>
        <w:right w:val="none" w:sz="0" w:space="0" w:color="auto"/>
      </w:divBdr>
    </w:div>
    <w:div w:id="18807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docs.cpuc.ca.gov/ResolutionSearchForm.aspx" TargetMode="External"/><Relationship Id="rId1" Type="http://schemas.openxmlformats.org/officeDocument/2006/relationships/hyperlink" Target="http://docs.cpuc.ca.gov/DecisionSearchFo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3a7631f-c7a6-45a8-83ff-f796eb6a2c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5BFF018FA8C8468DEF270F4A39FD9E" ma:contentTypeVersion="8" ma:contentTypeDescription="Create a new document." ma:contentTypeScope="" ma:versionID="6eb04674ed2ccfed29c87390b1a9e095">
  <xsd:schema xmlns:xsd="http://www.w3.org/2001/XMLSchema" xmlns:xs="http://www.w3.org/2001/XMLSchema" xmlns:p="http://schemas.microsoft.com/office/2006/metadata/properties" xmlns:ns3="43a7631f-c7a6-45a8-83ff-f796eb6a2c2d" xmlns:ns4="c9f433cb-6fef-4dc0-b8a7-8f5df00cb154" targetNamespace="http://schemas.microsoft.com/office/2006/metadata/properties" ma:root="true" ma:fieldsID="0fa9ca8261d31691ac011e6b0bafab75" ns3:_="" ns4:_="">
    <xsd:import namespace="43a7631f-c7a6-45a8-83ff-f796eb6a2c2d"/>
    <xsd:import namespace="c9f433cb-6fef-4dc0-b8a7-8f5df00cb15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7631f-c7a6-45a8-83ff-f796eb6a2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433cb-6fef-4dc0-b8a7-8f5df00cb1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EB1A-63B3-4F5F-9B4C-BCC51142E979}">
  <ds:schemaRefs>
    <ds:schemaRef ds:uri="http://schemas.microsoft.com/office/2006/metadata/properties"/>
    <ds:schemaRef ds:uri="http://schemas.microsoft.com/office/infopath/2007/PartnerControls"/>
    <ds:schemaRef ds:uri="43a7631f-c7a6-45a8-83ff-f796eb6a2c2d"/>
  </ds:schemaRefs>
</ds:datastoreItem>
</file>

<file path=customXml/itemProps2.xml><?xml version="1.0" encoding="utf-8"?>
<ds:datastoreItem xmlns:ds="http://schemas.openxmlformats.org/officeDocument/2006/customXml" ds:itemID="{0CAD80DE-105D-4C9F-B8BC-A1D4F41CEC0F}">
  <ds:schemaRefs>
    <ds:schemaRef ds:uri="http://schemas.microsoft.com/sharepoint/v3/contenttype/forms"/>
  </ds:schemaRefs>
</ds:datastoreItem>
</file>

<file path=customXml/itemProps3.xml><?xml version="1.0" encoding="utf-8"?>
<ds:datastoreItem xmlns:ds="http://schemas.openxmlformats.org/officeDocument/2006/customXml" ds:itemID="{806272C1-5736-4439-BA0A-BC58D8B07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7631f-c7a6-45a8-83ff-f796eb6a2c2d"/>
    <ds:schemaRef ds:uri="c9f433cb-6fef-4dc0-b8a7-8f5df00c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0FC35-E722-4CA2-98A5-2151A4DB7154}">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20</ap:Pages>
  <ap:Words>4565</ap:Words>
  <ap:Characters>26024</ap:Characters>
  <ap:Application>Microsoft Office Word</ap:Application>
  <ap:DocSecurity>0</ap:DocSecurity>
  <ap:Lines>216</ap:Lines>
  <ap:Paragraphs>61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30528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2024-09-20T21:49:00Z</cp:lastPrinted>
  <dcterms:created xsi:type="dcterms:W3CDTF">2025-05-16T11:20:51Z</dcterms:created>
  <dcterms:modified xsi:type="dcterms:W3CDTF">2025-05-16T11:20:51Z</dcterms:modified>
</cp:coreProperties>
</file>