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4F7A" w:rsidR="00800E2C" w:rsidP="009F5A39" w:rsidRDefault="004F30F8" w14:paraId="435B7951" w14:textId="1270DE19">
      <w:pPr>
        <w:tabs>
          <w:tab w:val="center" w:pos="4320"/>
          <w:tab w:val="right" w:pos="9360"/>
        </w:tabs>
        <w:spacing w:line="240" w:lineRule="auto"/>
        <w:ind w:firstLine="0"/>
        <w:rPr>
          <w:b/>
          <w:bCs/>
        </w:rPr>
      </w:pPr>
      <w:r>
        <w:t>COM/DH7/</w:t>
      </w:r>
      <w:r w:rsidR="0005382E">
        <w:t>jnf</w:t>
      </w:r>
      <w:r w:rsidR="003B4F7A">
        <w:tab/>
      </w:r>
      <w:r w:rsidRPr="003B4F7A" w:rsidR="003B4F7A">
        <w:rPr>
          <w:b/>
          <w:bCs/>
          <w:sz w:val="28"/>
          <w:szCs w:val="28"/>
        </w:rPr>
        <w:t>PROPOSED DECISION</w:t>
      </w:r>
      <w:r w:rsidR="003B4F7A">
        <w:rPr>
          <w:b/>
          <w:bCs/>
        </w:rPr>
        <w:tab/>
      </w:r>
      <w:r w:rsidRPr="0005382E" w:rsidR="003B4F7A">
        <w:rPr>
          <w:b/>
          <w:bCs/>
        </w:rPr>
        <w:t>Agenda ID #</w:t>
      </w:r>
      <w:r w:rsidR="00121614">
        <w:rPr>
          <w:b/>
          <w:bCs/>
        </w:rPr>
        <w:t>23388</w:t>
      </w:r>
      <w:r w:rsidR="009F5A39">
        <w:rPr>
          <w:b/>
          <w:bCs/>
        </w:rPr>
        <w:t xml:space="preserve"> (Rev. 1)</w:t>
      </w:r>
    </w:p>
    <w:p w:rsidR="00DA7B5D" w:rsidP="0005382E" w:rsidRDefault="0005382E" w14:paraId="2C580295" w14:textId="17AF3888">
      <w:pPr>
        <w:spacing w:line="240" w:lineRule="auto"/>
        <w:ind w:firstLine="0"/>
        <w:jc w:val="right"/>
        <w:rPr>
          <w:b/>
          <w:bCs/>
        </w:rPr>
      </w:pPr>
      <w:r w:rsidRPr="0005382E">
        <w:rPr>
          <w:b/>
          <w:bCs/>
        </w:rPr>
        <w:t>Quasi-Legislative</w:t>
      </w:r>
    </w:p>
    <w:p w:rsidRPr="0005382E" w:rsidR="009F5A39" w:rsidP="0005382E" w:rsidRDefault="009F5A39" w14:paraId="1CDE10C3" w14:textId="2F64488F">
      <w:pPr>
        <w:spacing w:line="240" w:lineRule="auto"/>
        <w:ind w:firstLine="0"/>
        <w:jc w:val="right"/>
        <w:rPr>
          <w:b/>
          <w:bCs/>
        </w:rPr>
      </w:pPr>
      <w:r>
        <w:rPr>
          <w:b/>
          <w:bCs/>
        </w:rPr>
        <w:t>6/12/2025 Item #56</w:t>
      </w:r>
    </w:p>
    <w:p w:rsidR="004F30F8" w:rsidP="0005382E" w:rsidRDefault="004F30F8" w14:paraId="4BA1BE46" w14:textId="77777777">
      <w:pPr>
        <w:ind w:firstLine="0"/>
        <w:jc w:val="right"/>
      </w:pPr>
    </w:p>
    <w:p w:rsidRPr="0005382E" w:rsidR="00DA7B5D" w:rsidP="0005382E" w:rsidRDefault="00DA7B5D" w14:paraId="4767D4C9" w14:textId="0FF61F36">
      <w:pPr>
        <w:spacing w:line="276" w:lineRule="auto"/>
        <w:ind w:left="1051" w:hanging="1051"/>
      </w:pPr>
      <w:r>
        <w:t>Decision</w:t>
      </w:r>
      <w:r w:rsidR="0005382E">
        <w:t> </w:t>
      </w:r>
      <w:r w:rsidR="0005382E">
        <w:rPr>
          <w:b/>
          <w:bCs/>
          <w:u w:val="single"/>
        </w:rPr>
        <w:t>PROPOSED DECISION OF COMMISSIONER HOUCK</w:t>
      </w:r>
      <w:r w:rsidR="0005382E">
        <w:rPr>
          <w:b/>
          <w:bCs/>
          <w:u w:val="single"/>
        </w:rPr>
        <w:br/>
      </w:r>
      <w:r w:rsidR="0005382E">
        <w:rPr>
          <w:b/>
          <w:bCs/>
        </w:rPr>
        <w:t>(</w:t>
      </w:r>
      <w:r w:rsidRPr="00A77DC5" w:rsidR="0005382E">
        <w:rPr>
          <w:b/>
          <w:bCs/>
          <w:u w:val="single"/>
        </w:rPr>
        <w:t xml:space="preserve">Mailed </w:t>
      </w:r>
      <w:r w:rsidRPr="00A77DC5" w:rsidR="00121614">
        <w:rPr>
          <w:b/>
          <w:bCs/>
          <w:u w:val="single"/>
        </w:rPr>
        <w:t>3</w:t>
      </w:r>
      <w:r w:rsidRPr="00A77DC5" w:rsidR="0005382E">
        <w:rPr>
          <w:b/>
          <w:bCs/>
          <w:u w:val="single"/>
        </w:rPr>
        <w:t>/</w:t>
      </w:r>
      <w:r w:rsidRPr="00A77DC5" w:rsidR="00121614">
        <w:rPr>
          <w:b/>
          <w:bCs/>
          <w:u w:val="single"/>
        </w:rPr>
        <w:t>2</w:t>
      </w:r>
      <w:r w:rsidRPr="00A77DC5" w:rsidR="00A77DC5">
        <w:rPr>
          <w:b/>
          <w:bCs/>
          <w:u w:val="single"/>
        </w:rPr>
        <w:t>6</w:t>
      </w:r>
      <w:r w:rsidRPr="00A77DC5" w:rsidR="0005382E">
        <w:rPr>
          <w:b/>
          <w:bCs/>
          <w:u w:val="single"/>
        </w:rPr>
        <w:t>/</w:t>
      </w:r>
      <w:r w:rsidRPr="00A77DC5" w:rsidR="00121614">
        <w:rPr>
          <w:b/>
          <w:bCs/>
          <w:u w:val="single"/>
        </w:rPr>
        <w:t>2025</w:t>
      </w:r>
      <w:r w:rsidR="0005382E">
        <w:rPr>
          <w:b/>
          <w:bCs/>
        </w:rPr>
        <w:t>)</w:t>
      </w:r>
    </w:p>
    <w:p w:rsidR="00DA7B5D" w:rsidP="0005382E" w:rsidRDefault="00DA7B5D" w14:paraId="755B07DF" w14:textId="77777777">
      <w:pPr>
        <w:ind w:firstLine="0"/>
        <w:rPr>
          <w:u w:val="single"/>
        </w:rPr>
      </w:pPr>
    </w:p>
    <w:p w:rsidR="00DA7B5D" w:rsidP="00BB0243" w:rsidRDefault="00DA7B5D" w14:paraId="4049E295"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6D864F9C" w14:textId="77777777">
      <w:pPr>
        <w:spacing w:line="240" w:lineRule="auto"/>
        <w:ind w:firstLine="0"/>
        <w:rPr>
          <w:rFonts w:ascii="Arial" w:hAnsi="Arial" w:cs="Arial"/>
          <w:sz w:val="24"/>
          <w:szCs w:val="24"/>
        </w:rPr>
      </w:pPr>
    </w:p>
    <w:tbl>
      <w:tblPr>
        <w:tblStyle w:val="TableGrid"/>
        <w:tblW w:w="9360" w:type="dxa"/>
        <w:tblLayout w:type="fixed"/>
        <w:tblLook w:val="04A0" w:firstRow="1" w:lastRow="0" w:firstColumn="1" w:lastColumn="0" w:noHBand="0" w:noVBand="1"/>
      </w:tblPr>
      <w:tblGrid>
        <w:gridCol w:w="4680"/>
        <w:gridCol w:w="4680"/>
      </w:tblGrid>
      <w:tr w:rsidR="00835761" w:rsidTr="00DD4909" w14:paraId="23982AAA" w14:textId="77777777">
        <w:tc>
          <w:tcPr>
            <w:tcW w:w="5040" w:type="dxa"/>
            <w:tcBorders>
              <w:top w:val="nil"/>
              <w:left w:val="nil"/>
              <w:bottom w:val="single" w:color="auto" w:sz="4" w:space="0"/>
              <w:right w:val="single" w:color="auto" w:sz="4" w:space="0"/>
            </w:tcBorders>
          </w:tcPr>
          <w:p w:rsidR="002B279C" w:rsidRDefault="0005382E" w14:paraId="0E9F4505" w14:textId="4E8440B8">
            <w:pPr>
              <w:spacing w:line="240" w:lineRule="auto"/>
              <w:ind w:firstLine="0"/>
              <w:rPr>
                <w:rFonts w:cs="Arial"/>
                <w:szCs w:val="26"/>
              </w:rPr>
            </w:pPr>
            <w:r w:rsidRPr="0005382E">
              <w:rPr>
                <w:rFonts w:cs="Arial"/>
                <w:szCs w:val="26"/>
              </w:rPr>
              <w:t>Order Instituting Rulemaking Regarding Building Decarbonization.</w:t>
            </w:r>
          </w:p>
          <w:p w:rsidRPr="00DA7B5D" w:rsidR="00835761" w:rsidRDefault="00835761" w14:paraId="6D9B555F" w14:textId="0F27863E">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835761" w:rsidRDefault="00835761" w14:paraId="7B27092E" w14:textId="67057211">
            <w:pPr>
              <w:spacing w:line="240" w:lineRule="auto"/>
              <w:ind w:firstLine="0"/>
              <w:jc w:val="center"/>
              <w:rPr>
                <w:rFonts w:cs="Arial"/>
              </w:rPr>
            </w:pPr>
            <w:r w:rsidRPr="52FB1058">
              <w:rPr>
                <w:rFonts w:cs="Arial"/>
              </w:rPr>
              <w:t>Rulemaking</w:t>
            </w:r>
            <w:r w:rsidR="0005382E">
              <w:rPr>
                <w:rFonts w:cs="Arial"/>
              </w:rPr>
              <w:t> </w:t>
            </w:r>
            <w:r w:rsidRPr="52FB1058">
              <w:rPr>
                <w:rFonts w:cs="Arial"/>
              </w:rPr>
              <w:t>19</w:t>
            </w:r>
            <w:r w:rsidR="0005382E">
              <w:rPr>
                <w:rFonts w:cs="Arial"/>
              </w:rPr>
              <w:noBreakHyphen/>
            </w:r>
            <w:r w:rsidRPr="52FB1058">
              <w:rPr>
                <w:rFonts w:cs="Arial"/>
              </w:rPr>
              <w:t>01</w:t>
            </w:r>
            <w:r w:rsidR="0005382E">
              <w:rPr>
                <w:rFonts w:cs="Arial"/>
              </w:rPr>
              <w:noBreakHyphen/>
            </w:r>
            <w:r w:rsidRPr="52FB1058">
              <w:rPr>
                <w:rFonts w:cs="Arial"/>
              </w:rPr>
              <w:t>011</w:t>
            </w:r>
          </w:p>
        </w:tc>
      </w:tr>
    </w:tbl>
    <w:p w:rsidR="00DA7B5D" w:rsidP="008F0116" w:rsidRDefault="00DA7B5D" w14:paraId="70FFA7F4" w14:textId="77777777">
      <w:pPr>
        <w:spacing w:line="240" w:lineRule="auto"/>
        <w:ind w:firstLine="0"/>
        <w:rPr>
          <w:rFonts w:ascii="Arial" w:hAnsi="Arial" w:cs="Arial"/>
          <w:sz w:val="24"/>
          <w:szCs w:val="24"/>
        </w:rPr>
      </w:pPr>
    </w:p>
    <w:p w:rsidR="00DA7B5D" w:rsidP="008F0116" w:rsidRDefault="00DA7B5D" w14:paraId="1ADB1DCD" w14:textId="4A5F7BA5">
      <w:pPr>
        <w:spacing w:line="240" w:lineRule="auto"/>
        <w:ind w:firstLine="0"/>
        <w:rPr>
          <w:rFonts w:ascii="Arial" w:hAnsi="Arial" w:cs="Arial"/>
          <w:sz w:val="24"/>
          <w:szCs w:val="24"/>
        </w:rPr>
      </w:pPr>
    </w:p>
    <w:p w:rsidR="004F30F8" w:rsidP="00924113" w:rsidRDefault="00F86CD5" w14:paraId="0B7CD2FE" w14:textId="147A9588">
      <w:pPr>
        <w:pStyle w:val="Dummy"/>
        <w:spacing w:after="240"/>
        <w:jc w:val="center"/>
      </w:pPr>
      <w:bookmarkStart w:name="_Toc192263672" w:id="0"/>
      <w:bookmarkStart w:name="_Toc200370959" w:id="1"/>
      <w:r w:rsidRPr="0005382E">
        <w:t xml:space="preserve">PHASE 4 TRACK A </w:t>
      </w:r>
      <w:r w:rsidR="006C423F">
        <w:t xml:space="preserve">DECISION </w:t>
      </w:r>
      <w:r w:rsidRPr="0005382E" w:rsidR="001F0915">
        <w:t>ESTABLISHING</w:t>
      </w:r>
      <w:r w:rsidR="006C423F">
        <w:t xml:space="preserve"> </w:t>
      </w:r>
      <w:r w:rsidRPr="0005382E" w:rsidR="001F0915">
        <w:t>NEW</w:t>
      </w:r>
      <w:r w:rsidR="006C423F">
        <w:t xml:space="preserve"> </w:t>
      </w:r>
      <w:r w:rsidRPr="0005382E" w:rsidR="001F0915">
        <w:t>ELECTRIC</w:t>
      </w:r>
      <w:r w:rsidR="006C423F">
        <w:br/>
      </w:r>
      <w:r w:rsidRPr="0005382E" w:rsidR="001F0915">
        <w:t xml:space="preserve">SERVICE LINE UPSIZING RULES, </w:t>
      </w:r>
      <w:r w:rsidRPr="0005382E" w:rsidR="001962D6">
        <w:t>MODIFYING</w:t>
      </w:r>
      <w:r w:rsidR="006C423F">
        <w:t xml:space="preserve"> </w:t>
      </w:r>
      <w:r w:rsidRPr="0005382E" w:rsidR="007B54BE">
        <w:t>ELECTRIC LINE</w:t>
      </w:r>
      <w:r w:rsidR="006C423F">
        <w:br/>
      </w:r>
      <w:r w:rsidRPr="0005382E" w:rsidR="007B54BE">
        <w:t>EXTENSION RULES</w:t>
      </w:r>
      <w:r w:rsidRPr="0005382E" w:rsidR="00954E30">
        <w:t xml:space="preserve"> AND</w:t>
      </w:r>
      <w:r w:rsidR="006C423F">
        <w:t xml:space="preserve"> </w:t>
      </w:r>
      <w:r w:rsidRPr="0005382E" w:rsidR="00954E30">
        <w:t>REPORTING REQUIREMENTS</w:t>
      </w:r>
      <w:r w:rsidRPr="0005382E" w:rsidR="007B54BE">
        <w:t>, AND</w:t>
      </w:r>
      <w:r w:rsidR="006C423F">
        <w:br/>
      </w:r>
      <w:r w:rsidRPr="0005382E" w:rsidR="007B54BE">
        <w:t>IMPLEMENTING ASSEMBLY BILL</w:t>
      </w:r>
      <w:r w:rsidR="00924113">
        <w:t> </w:t>
      </w:r>
      <w:r w:rsidRPr="0005382E" w:rsidR="007B54BE">
        <w:t>157</w:t>
      </w:r>
      <w:bookmarkEnd w:id="0"/>
      <w:bookmarkEnd w:id="1"/>
    </w:p>
    <w:p w:rsidRPr="004F30F8" w:rsidR="004F30F8" w:rsidP="004F30F8" w:rsidRDefault="004F30F8" w14:paraId="6312F326" w14:textId="167587AA">
      <w:pPr>
        <w:sectPr w:rsidRPr="004F30F8" w:rsidR="004F30F8" w:rsidSect="00C26357">
          <w:headerReference w:type="default" r:id="rId11"/>
          <w:footerReference w:type="first" r:id="rId12"/>
          <w:pgSz w:w="12240" w:h="15840"/>
          <w:pgMar w:top="1728" w:right="1440" w:bottom="1440" w:left="1440" w:header="720" w:footer="720" w:gutter="0"/>
          <w:pgNumType w:start="1"/>
          <w:cols w:space="720"/>
          <w:titlePg/>
          <w:docGrid w:linePitch="360"/>
        </w:sectPr>
      </w:pPr>
    </w:p>
    <w:p w:rsidRPr="001E2A62" w:rsidR="00924113" w:rsidP="00924113" w:rsidRDefault="00924113" w14:paraId="6D4D536D" w14:textId="77777777">
      <w:pPr>
        <w:pStyle w:val="Main"/>
        <w:rPr>
          <w:rFonts w:ascii="Book Antiqua" w:hAnsi="Book Antiqua"/>
        </w:rPr>
      </w:pPr>
      <w:r w:rsidRPr="001E2A62">
        <w:rPr>
          <w:rFonts w:ascii="Book Antiqua" w:hAnsi="Book Antiqua"/>
        </w:rPr>
        <w:lastRenderedPageBreak/>
        <w:t>TABLE OF CONTENTS</w:t>
      </w:r>
    </w:p>
    <w:p w:rsidRPr="00D50119" w:rsidR="00924113" w:rsidP="00924113" w:rsidRDefault="00924113" w14:paraId="4A8667D2"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1D63C9" w:rsidRDefault="00924113" w14:paraId="1590AE90" w14:textId="43592EDF">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200370959">
            <w:r w:rsidRPr="00FB2E47" w:rsidR="001D63C9">
              <w:rPr>
                <w:rStyle w:val="Hyperlink"/>
                <w:noProof/>
              </w:rPr>
              <w:t>PHASE 4 TRACK A DECISION ESTABLISHING NEW ELECTRIC SERVICE LINE UPSIZING RULES, MODIFYING ELECTRIC LINE EXTENSION RULES AND REPORTING REQUIREMENTS, AND IMPLEMENTING ASSEMBLY BILL 157</w:t>
            </w:r>
            <w:r w:rsidR="001D63C9">
              <w:rPr>
                <w:noProof/>
                <w:webHidden/>
              </w:rPr>
              <w:tab/>
            </w:r>
            <w:r w:rsidR="001D63C9">
              <w:rPr>
                <w:noProof/>
                <w:webHidden/>
              </w:rPr>
              <w:fldChar w:fldCharType="begin"/>
            </w:r>
            <w:r w:rsidR="001D63C9">
              <w:rPr>
                <w:noProof/>
                <w:webHidden/>
              </w:rPr>
              <w:instrText xml:space="preserve"> PAGEREF _Toc200370959 \h </w:instrText>
            </w:r>
            <w:r w:rsidR="001D63C9">
              <w:rPr>
                <w:noProof/>
                <w:webHidden/>
              </w:rPr>
            </w:r>
            <w:r w:rsidR="001D63C9">
              <w:rPr>
                <w:noProof/>
                <w:webHidden/>
              </w:rPr>
              <w:fldChar w:fldCharType="separate"/>
            </w:r>
            <w:r w:rsidR="00A801FD">
              <w:rPr>
                <w:noProof/>
                <w:webHidden/>
              </w:rPr>
              <w:t>1</w:t>
            </w:r>
            <w:r w:rsidR="001D63C9">
              <w:rPr>
                <w:noProof/>
                <w:webHidden/>
              </w:rPr>
              <w:fldChar w:fldCharType="end"/>
            </w:r>
          </w:hyperlink>
        </w:p>
        <w:p w:rsidR="001D63C9" w:rsidRDefault="001D63C9" w14:paraId="6A8586ED" w14:textId="0FF455CC">
          <w:pPr>
            <w:pStyle w:val="TOC1"/>
            <w:tabs>
              <w:tab w:val="right" w:leader="dot" w:pos="9350"/>
            </w:tabs>
            <w:rPr>
              <w:rFonts w:asciiTheme="minorHAnsi" w:hAnsiTheme="minorHAnsi" w:cstheme="minorBidi"/>
              <w:noProof/>
              <w:kern w:val="2"/>
              <w:sz w:val="24"/>
              <w:szCs w:val="24"/>
              <w14:ligatures w14:val="standardContextual"/>
            </w:rPr>
          </w:pPr>
          <w:hyperlink w:history="1" w:anchor="_Toc200370960">
            <w:r w:rsidRPr="00FB2E47">
              <w:rPr>
                <w:rStyle w:val="Hyperlink"/>
                <w:noProof/>
              </w:rPr>
              <w:t>Summary</w:t>
            </w:r>
            <w:r>
              <w:rPr>
                <w:noProof/>
                <w:webHidden/>
              </w:rPr>
              <w:tab/>
            </w:r>
            <w:r>
              <w:rPr>
                <w:noProof/>
                <w:webHidden/>
              </w:rPr>
              <w:fldChar w:fldCharType="begin"/>
            </w:r>
            <w:r>
              <w:rPr>
                <w:noProof/>
                <w:webHidden/>
              </w:rPr>
              <w:instrText xml:space="preserve"> PAGEREF _Toc200370960 \h </w:instrText>
            </w:r>
            <w:r>
              <w:rPr>
                <w:noProof/>
                <w:webHidden/>
              </w:rPr>
            </w:r>
            <w:r>
              <w:rPr>
                <w:noProof/>
                <w:webHidden/>
              </w:rPr>
              <w:fldChar w:fldCharType="separate"/>
            </w:r>
            <w:r w:rsidR="00A801FD">
              <w:rPr>
                <w:noProof/>
                <w:webHidden/>
              </w:rPr>
              <w:t>2</w:t>
            </w:r>
            <w:r>
              <w:rPr>
                <w:noProof/>
                <w:webHidden/>
              </w:rPr>
              <w:fldChar w:fldCharType="end"/>
            </w:r>
          </w:hyperlink>
        </w:p>
        <w:p w:rsidR="001D63C9" w:rsidRDefault="001D63C9" w14:paraId="1F963047" w14:textId="3CDEC113">
          <w:pPr>
            <w:pStyle w:val="TOC1"/>
            <w:tabs>
              <w:tab w:val="right" w:leader="dot" w:pos="9350"/>
            </w:tabs>
            <w:rPr>
              <w:rFonts w:asciiTheme="minorHAnsi" w:hAnsiTheme="minorHAnsi" w:cstheme="minorBidi"/>
              <w:noProof/>
              <w:kern w:val="2"/>
              <w:sz w:val="24"/>
              <w:szCs w:val="24"/>
              <w14:ligatures w14:val="standardContextual"/>
            </w:rPr>
          </w:pPr>
          <w:hyperlink w:history="1" w:anchor="_Toc200370961">
            <w:r w:rsidRPr="00FB2E47">
              <w:rPr>
                <w:rStyle w:val="Hyperlink"/>
                <w:noProof/>
              </w:rPr>
              <w:t>1.</w:t>
            </w:r>
            <w:r>
              <w:rPr>
                <w:rFonts w:asciiTheme="minorHAnsi" w:hAnsiTheme="minorHAnsi" w:cstheme="minorBidi"/>
                <w:noProof/>
                <w:kern w:val="2"/>
                <w:sz w:val="24"/>
                <w:szCs w:val="24"/>
                <w14:ligatures w14:val="standardContextual"/>
              </w:rPr>
              <w:tab/>
            </w:r>
            <w:r w:rsidRPr="00FB2E47">
              <w:rPr>
                <w:rStyle w:val="Hyperlink"/>
                <w:noProof/>
              </w:rPr>
              <w:t>Procedural Background</w:t>
            </w:r>
            <w:r>
              <w:rPr>
                <w:noProof/>
                <w:webHidden/>
              </w:rPr>
              <w:tab/>
            </w:r>
            <w:r>
              <w:rPr>
                <w:noProof/>
                <w:webHidden/>
              </w:rPr>
              <w:fldChar w:fldCharType="begin"/>
            </w:r>
            <w:r>
              <w:rPr>
                <w:noProof/>
                <w:webHidden/>
              </w:rPr>
              <w:instrText xml:space="preserve"> PAGEREF _Toc200370961 \h </w:instrText>
            </w:r>
            <w:r>
              <w:rPr>
                <w:noProof/>
                <w:webHidden/>
              </w:rPr>
            </w:r>
            <w:r>
              <w:rPr>
                <w:noProof/>
                <w:webHidden/>
              </w:rPr>
              <w:fldChar w:fldCharType="separate"/>
            </w:r>
            <w:r w:rsidR="00A801FD">
              <w:rPr>
                <w:noProof/>
                <w:webHidden/>
              </w:rPr>
              <w:t>3</w:t>
            </w:r>
            <w:r>
              <w:rPr>
                <w:noProof/>
                <w:webHidden/>
              </w:rPr>
              <w:fldChar w:fldCharType="end"/>
            </w:r>
          </w:hyperlink>
        </w:p>
        <w:p w:rsidR="001D63C9" w:rsidRDefault="001D63C9" w14:paraId="5FC6E922" w14:textId="0385F3DF">
          <w:pPr>
            <w:pStyle w:val="TOC2"/>
            <w:tabs>
              <w:tab w:val="right" w:leader="dot" w:pos="9350"/>
            </w:tabs>
            <w:rPr>
              <w:rFonts w:asciiTheme="minorHAnsi" w:hAnsiTheme="minorHAnsi" w:cstheme="minorBidi"/>
              <w:noProof/>
              <w:kern w:val="2"/>
              <w:sz w:val="24"/>
              <w:szCs w:val="24"/>
              <w14:ligatures w14:val="standardContextual"/>
            </w:rPr>
          </w:pPr>
          <w:hyperlink w:history="1" w:anchor="_Toc200370962">
            <w:r w:rsidRPr="00FB2E47">
              <w:rPr>
                <w:rStyle w:val="Hyperlink"/>
                <w:noProof/>
              </w:rPr>
              <w:t>1.1.</w:t>
            </w:r>
            <w:r>
              <w:rPr>
                <w:rFonts w:asciiTheme="minorHAnsi" w:hAnsiTheme="minorHAnsi" w:cstheme="minorBidi"/>
                <w:noProof/>
                <w:kern w:val="2"/>
                <w:sz w:val="24"/>
                <w:szCs w:val="24"/>
                <w14:ligatures w14:val="standardContextual"/>
              </w:rPr>
              <w:tab/>
            </w:r>
            <w:r w:rsidRPr="00FB2E47">
              <w:rPr>
                <w:rStyle w:val="Hyperlink"/>
                <w:noProof/>
              </w:rPr>
              <w:t>Phase 4</w:t>
            </w:r>
            <w:r>
              <w:rPr>
                <w:noProof/>
                <w:webHidden/>
              </w:rPr>
              <w:tab/>
            </w:r>
            <w:r>
              <w:rPr>
                <w:noProof/>
                <w:webHidden/>
              </w:rPr>
              <w:fldChar w:fldCharType="begin"/>
            </w:r>
            <w:r>
              <w:rPr>
                <w:noProof/>
                <w:webHidden/>
              </w:rPr>
              <w:instrText xml:space="preserve"> PAGEREF _Toc200370962 \h </w:instrText>
            </w:r>
            <w:r>
              <w:rPr>
                <w:noProof/>
                <w:webHidden/>
              </w:rPr>
            </w:r>
            <w:r>
              <w:rPr>
                <w:noProof/>
                <w:webHidden/>
              </w:rPr>
              <w:fldChar w:fldCharType="separate"/>
            </w:r>
            <w:r w:rsidR="00A801FD">
              <w:rPr>
                <w:noProof/>
                <w:webHidden/>
              </w:rPr>
              <w:t>5</w:t>
            </w:r>
            <w:r>
              <w:rPr>
                <w:noProof/>
                <w:webHidden/>
              </w:rPr>
              <w:fldChar w:fldCharType="end"/>
            </w:r>
          </w:hyperlink>
        </w:p>
        <w:p w:rsidR="001D63C9" w:rsidRDefault="001D63C9" w14:paraId="6CEAB948" w14:textId="47E489B9">
          <w:pPr>
            <w:pStyle w:val="TOC2"/>
            <w:tabs>
              <w:tab w:val="right" w:leader="dot" w:pos="9350"/>
            </w:tabs>
            <w:rPr>
              <w:rFonts w:asciiTheme="minorHAnsi" w:hAnsiTheme="minorHAnsi" w:cstheme="minorBidi"/>
              <w:noProof/>
              <w:kern w:val="2"/>
              <w:sz w:val="24"/>
              <w:szCs w:val="24"/>
              <w14:ligatures w14:val="standardContextual"/>
            </w:rPr>
          </w:pPr>
          <w:hyperlink w:history="1" w:anchor="_Toc200370963">
            <w:r w:rsidRPr="00FB2E47">
              <w:rPr>
                <w:rStyle w:val="Hyperlink"/>
                <w:noProof/>
              </w:rPr>
              <w:t>1.2.</w:t>
            </w:r>
            <w:r>
              <w:rPr>
                <w:rFonts w:asciiTheme="minorHAnsi" w:hAnsiTheme="minorHAnsi" w:cstheme="minorBidi"/>
                <w:noProof/>
                <w:kern w:val="2"/>
                <w:sz w:val="24"/>
                <w:szCs w:val="24"/>
                <w14:ligatures w14:val="standardContextual"/>
              </w:rPr>
              <w:tab/>
            </w:r>
            <w:r w:rsidRPr="00FB2E47">
              <w:rPr>
                <w:rStyle w:val="Hyperlink"/>
                <w:noProof/>
              </w:rPr>
              <w:t>AB 157 Implementation</w:t>
            </w:r>
            <w:r>
              <w:rPr>
                <w:noProof/>
                <w:webHidden/>
              </w:rPr>
              <w:tab/>
            </w:r>
            <w:r>
              <w:rPr>
                <w:noProof/>
                <w:webHidden/>
              </w:rPr>
              <w:fldChar w:fldCharType="begin"/>
            </w:r>
            <w:r>
              <w:rPr>
                <w:noProof/>
                <w:webHidden/>
              </w:rPr>
              <w:instrText xml:space="preserve"> PAGEREF _Toc200370963 \h </w:instrText>
            </w:r>
            <w:r>
              <w:rPr>
                <w:noProof/>
                <w:webHidden/>
              </w:rPr>
            </w:r>
            <w:r>
              <w:rPr>
                <w:noProof/>
                <w:webHidden/>
              </w:rPr>
              <w:fldChar w:fldCharType="separate"/>
            </w:r>
            <w:r w:rsidR="00A801FD">
              <w:rPr>
                <w:noProof/>
                <w:webHidden/>
              </w:rPr>
              <w:t>6</w:t>
            </w:r>
            <w:r>
              <w:rPr>
                <w:noProof/>
                <w:webHidden/>
              </w:rPr>
              <w:fldChar w:fldCharType="end"/>
            </w:r>
          </w:hyperlink>
        </w:p>
        <w:p w:rsidR="001D63C9" w:rsidRDefault="001D63C9" w14:paraId="03D2E9A2" w14:textId="5F38ACCA">
          <w:pPr>
            <w:pStyle w:val="TOC1"/>
            <w:tabs>
              <w:tab w:val="right" w:leader="dot" w:pos="9350"/>
            </w:tabs>
            <w:rPr>
              <w:rFonts w:asciiTheme="minorHAnsi" w:hAnsiTheme="minorHAnsi" w:cstheme="minorBidi"/>
              <w:noProof/>
              <w:kern w:val="2"/>
              <w:sz w:val="24"/>
              <w:szCs w:val="24"/>
              <w14:ligatures w14:val="standardContextual"/>
            </w:rPr>
          </w:pPr>
          <w:hyperlink w:history="1" w:anchor="_Toc200370964">
            <w:r w:rsidRPr="00FB2E47">
              <w:rPr>
                <w:rStyle w:val="Hyperlink"/>
                <w:noProof/>
              </w:rPr>
              <w:t>2.</w:t>
            </w:r>
            <w:r>
              <w:rPr>
                <w:rFonts w:asciiTheme="minorHAnsi" w:hAnsiTheme="minorHAnsi" w:cstheme="minorBidi"/>
                <w:noProof/>
                <w:kern w:val="2"/>
                <w:sz w:val="24"/>
                <w:szCs w:val="24"/>
                <w14:ligatures w14:val="standardContextual"/>
              </w:rPr>
              <w:tab/>
            </w:r>
            <w:r w:rsidRPr="00FB2E47">
              <w:rPr>
                <w:rStyle w:val="Hyperlink"/>
                <w:noProof/>
              </w:rPr>
              <w:t>Submission Date</w:t>
            </w:r>
            <w:r>
              <w:rPr>
                <w:noProof/>
                <w:webHidden/>
              </w:rPr>
              <w:tab/>
            </w:r>
            <w:r>
              <w:rPr>
                <w:noProof/>
                <w:webHidden/>
              </w:rPr>
              <w:fldChar w:fldCharType="begin"/>
            </w:r>
            <w:r>
              <w:rPr>
                <w:noProof/>
                <w:webHidden/>
              </w:rPr>
              <w:instrText xml:space="preserve"> PAGEREF _Toc200370964 \h </w:instrText>
            </w:r>
            <w:r>
              <w:rPr>
                <w:noProof/>
                <w:webHidden/>
              </w:rPr>
            </w:r>
            <w:r>
              <w:rPr>
                <w:noProof/>
                <w:webHidden/>
              </w:rPr>
              <w:fldChar w:fldCharType="separate"/>
            </w:r>
            <w:r w:rsidR="00A801FD">
              <w:rPr>
                <w:noProof/>
                <w:webHidden/>
              </w:rPr>
              <w:t>7</w:t>
            </w:r>
            <w:r>
              <w:rPr>
                <w:noProof/>
                <w:webHidden/>
              </w:rPr>
              <w:fldChar w:fldCharType="end"/>
            </w:r>
          </w:hyperlink>
        </w:p>
        <w:p w:rsidR="001D63C9" w:rsidRDefault="001D63C9" w14:paraId="4D59A3AC" w14:textId="53F93026">
          <w:pPr>
            <w:pStyle w:val="TOC1"/>
            <w:tabs>
              <w:tab w:val="right" w:leader="dot" w:pos="9350"/>
            </w:tabs>
            <w:rPr>
              <w:rFonts w:asciiTheme="minorHAnsi" w:hAnsiTheme="minorHAnsi" w:cstheme="minorBidi"/>
              <w:noProof/>
              <w:kern w:val="2"/>
              <w:sz w:val="24"/>
              <w:szCs w:val="24"/>
              <w14:ligatures w14:val="standardContextual"/>
            </w:rPr>
          </w:pPr>
          <w:hyperlink w:history="1" w:anchor="_Toc200370965">
            <w:r w:rsidRPr="00FB2E47">
              <w:rPr>
                <w:rStyle w:val="Hyperlink"/>
                <w:noProof/>
              </w:rPr>
              <w:t>3.</w:t>
            </w:r>
            <w:r>
              <w:rPr>
                <w:rFonts w:asciiTheme="minorHAnsi" w:hAnsiTheme="minorHAnsi" w:cstheme="minorBidi"/>
                <w:noProof/>
                <w:kern w:val="2"/>
                <w:sz w:val="24"/>
                <w:szCs w:val="24"/>
                <w14:ligatures w14:val="standardContextual"/>
              </w:rPr>
              <w:tab/>
            </w:r>
            <w:r w:rsidRPr="00FB2E47">
              <w:rPr>
                <w:rStyle w:val="Hyperlink"/>
                <w:noProof/>
              </w:rPr>
              <w:t>Issues Before the Commission</w:t>
            </w:r>
            <w:r>
              <w:rPr>
                <w:noProof/>
                <w:webHidden/>
              </w:rPr>
              <w:tab/>
            </w:r>
            <w:r>
              <w:rPr>
                <w:noProof/>
                <w:webHidden/>
              </w:rPr>
              <w:fldChar w:fldCharType="begin"/>
            </w:r>
            <w:r>
              <w:rPr>
                <w:noProof/>
                <w:webHidden/>
              </w:rPr>
              <w:instrText xml:space="preserve"> PAGEREF _Toc200370965 \h </w:instrText>
            </w:r>
            <w:r>
              <w:rPr>
                <w:noProof/>
                <w:webHidden/>
              </w:rPr>
            </w:r>
            <w:r>
              <w:rPr>
                <w:noProof/>
                <w:webHidden/>
              </w:rPr>
              <w:fldChar w:fldCharType="separate"/>
            </w:r>
            <w:r w:rsidR="00A801FD">
              <w:rPr>
                <w:noProof/>
                <w:webHidden/>
              </w:rPr>
              <w:t>7</w:t>
            </w:r>
            <w:r>
              <w:rPr>
                <w:noProof/>
                <w:webHidden/>
              </w:rPr>
              <w:fldChar w:fldCharType="end"/>
            </w:r>
          </w:hyperlink>
        </w:p>
        <w:p w:rsidR="001D63C9" w:rsidRDefault="001D63C9" w14:paraId="02E8E3B1" w14:textId="67644894">
          <w:pPr>
            <w:pStyle w:val="TOC1"/>
            <w:tabs>
              <w:tab w:val="right" w:leader="dot" w:pos="9350"/>
            </w:tabs>
            <w:rPr>
              <w:rFonts w:asciiTheme="minorHAnsi" w:hAnsiTheme="minorHAnsi" w:cstheme="minorBidi"/>
              <w:noProof/>
              <w:kern w:val="2"/>
              <w:sz w:val="24"/>
              <w:szCs w:val="24"/>
              <w14:ligatures w14:val="standardContextual"/>
            </w:rPr>
          </w:pPr>
          <w:hyperlink w:history="1" w:anchor="_Toc200370966">
            <w:r w:rsidRPr="00FB2E47">
              <w:rPr>
                <w:rStyle w:val="Hyperlink"/>
                <w:noProof/>
              </w:rPr>
              <w:t>4.</w:t>
            </w:r>
            <w:r>
              <w:rPr>
                <w:rFonts w:asciiTheme="minorHAnsi" w:hAnsiTheme="minorHAnsi" w:cstheme="minorBidi"/>
                <w:noProof/>
                <w:kern w:val="2"/>
                <w:sz w:val="24"/>
                <w:szCs w:val="24"/>
                <w14:ligatures w14:val="standardContextual"/>
              </w:rPr>
              <w:tab/>
            </w:r>
            <w:r w:rsidRPr="00FB2E47">
              <w:rPr>
                <w:rStyle w:val="Hyperlink"/>
                <w:noProof/>
              </w:rPr>
              <w:t>Common Facility Cost Treatment for</w:t>
            </w:r>
            <w:r w:rsidRPr="00FB2E47">
              <w:rPr>
                <w:rStyle w:val="Hyperlink"/>
                <w:rFonts w:eastAsia="Book Antiqua" w:cs="Book Antiqua"/>
                <w:noProof/>
              </w:rPr>
              <w:t xml:space="preserve"> Electric Service Line Upsizing</w:t>
            </w:r>
            <w:r>
              <w:rPr>
                <w:noProof/>
                <w:webHidden/>
              </w:rPr>
              <w:tab/>
            </w:r>
            <w:r>
              <w:rPr>
                <w:noProof/>
                <w:webHidden/>
              </w:rPr>
              <w:fldChar w:fldCharType="begin"/>
            </w:r>
            <w:r>
              <w:rPr>
                <w:noProof/>
                <w:webHidden/>
              </w:rPr>
              <w:instrText xml:space="preserve"> PAGEREF _Toc200370966 \h </w:instrText>
            </w:r>
            <w:r>
              <w:rPr>
                <w:noProof/>
                <w:webHidden/>
              </w:rPr>
            </w:r>
            <w:r>
              <w:rPr>
                <w:noProof/>
                <w:webHidden/>
              </w:rPr>
              <w:fldChar w:fldCharType="separate"/>
            </w:r>
            <w:r w:rsidR="00A801FD">
              <w:rPr>
                <w:noProof/>
                <w:webHidden/>
              </w:rPr>
              <w:t>8</w:t>
            </w:r>
            <w:r>
              <w:rPr>
                <w:noProof/>
                <w:webHidden/>
              </w:rPr>
              <w:fldChar w:fldCharType="end"/>
            </w:r>
          </w:hyperlink>
        </w:p>
        <w:p w:rsidR="001D63C9" w:rsidRDefault="001D63C9" w14:paraId="3B73A77C" w14:textId="1C3037ED">
          <w:pPr>
            <w:pStyle w:val="TOC2"/>
            <w:tabs>
              <w:tab w:val="right" w:leader="dot" w:pos="9350"/>
            </w:tabs>
            <w:rPr>
              <w:rFonts w:asciiTheme="minorHAnsi" w:hAnsiTheme="minorHAnsi" w:cstheme="minorBidi"/>
              <w:noProof/>
              <w:kern w:val="2"/>
              <w:sz w:val="24"/>
              <w:szCs w:val="24"/>
              <w14:ligatures w14:val="standardContextual"/>
            </w:rPr>
          </w:pPr>
          <w:hyperlink w:history="1" w:anchor="_Toc200370967">
            <w:r w:rsidRPr="00FB2E47">
              <w:rPr>
                <w:rStyle w:val="Hyperlink"/>
                <w:noProof/>
              </w:rPr>
              <w:t>4.1.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_Toc200370967 \h </w:instrText>
            </w:r>
            <w:r>
              <w:rPr>
                <w:noProof/>
                <w:webHidden/>
              </w:rPr>
            </w:r>
            <w:r>
              <w:rPr>
                <w:noProof/>
                <w:webHidden/>
              </w:rPr>
              <w:fldChar w:fldCharType="separate"/>
            </w:r>
            <w:r w:rsidR="00A801FD">
              <w:rPr>
                <w:noProof/>
                <w:webHidden/>
              </w:rPr>
              <w:t>9</w:t>
            </w:r>
            <w:r>
              <w:rPr>
                <w:noProof/>
                <w:webHidden/>
              </w:rPr>
              <w:fldChar w:fldCharType="end"/>
            </w:r>
          </w:hyperlink>
        </w:p>
        <w:p w:rsidR="001D63C9" w:rsidRDefault="001D63C9" w14:paraId="5EED2401" w14:textId="6A6BDEDC">
          <w:pPr>
            <w:pStyle w:val="TOC2"/>
            <w:tabs>
              <w:tab w:val="right" w:leader="dot" w:pos="9350"/>
            </w:tabs>
            <w:rPr>
              <w:rFonts w:asciiTheme="minorHAnsi" w:hAnsiTheme="minorHAnsi" w:cstheme="minorBidi"/>
              <w:noProof/>
              <w:kern w:val="2"/>
              <w:sz w:val="24"/>
              <w:szCs w:val="24"/>
              <w14:ligatures w14:val="standardContextual"/>
            </w:rPr>
          </w:pPr>
          <w:hyperlink w:history="1" w:anchor="_Toc200370968">
            <w:r w:rsidRPr="00FB2E47">
              <w:rPr>
                <w:rStyle w:val="Hyperlink"/>
                <w:noProof/>
              </w:rPr>
              <w:t>4.2.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_Toc200370968 \h </w:instrText>
            </w:r>
            <w:r>
              <w:rPr>
                <w:noProof/>
                <w:webHidden/>
              </w:rPr>
            </w:r>
            <w:r>
              <w:rPr>
                <w:noProof/>
                <w:webHidden/>
              </w:rPr>
              <w:fldChar w:fldCharType="separate"/>
            </w:r>
            <w:r w:rsidR="00A801FD">
              <w:rPr>
                <w:noProof/>
                <w:webHidden/>
              </w:rPr>
              <w:t>14</w:t>
            </w:r>
            <w:r>
              <w:rPr>
                <w:noProof/>
                <w:webHidden/>
              </w:rPr>
              <w:fldChar w:fldCharType="end"/>
            </w:r>
          </w:hyperlink>
        </w:p>
        <w:p w:rsidR="001D63C9" w:rsidRDefault="001D63C9" w14:paraId="4A8B10AE" w14:textId="20A7D4B6">
          <w:pPr>
            <w:pStyle w:val="TOC1"/>
            <w:tabs>
              <w:tab w:val="right" w:leader="dot" w:pos="9350"/>
            </w:tabs>
            <w:rPr>
              <w:rFonts w:asciiTheme="minorHAnsi" w:hAnsiTheme="minorHAnsi" w:cstheme="minorBidi"/>
              <w:noProof/>
              <w:kern w:val="2"/>
              <w:sz w:val="24"/>
              <w:szCs w:val="24"/>
              <w14:ligatures w14:val="standardContextual"/>
            </w:rPr>
          </w:pPr>
          <w:hyperlink w:history="1" w:anchor="_Toc200370969">
            <w:r w:rsidRPr="00FB2E47">
              <w:rPr>
                <w:rStyle w:val="Hyperlink"/>
                <w:noProof/>
              </w:rPr>
              <w:t>5.</w:t>
            </w:r>
            <w:r>
              <w:rPr>
                <w:rFonts w:asciiTheme="minorHAnsi" w:hAnsiTheme="minorHAnsi" w:cstheme="minorBidi"/>
                <w:noProof/>
                <w:kern w:val="2"/>
                <w:sz w:val="24"/>
                <w:szCs w:val="24"/>
                <w14:ligatures w14:val="standardContextual"/>
              </w:rPr>
              <w:tab/>
            </w:r>
            <w:r w:rsidRPr="00FB2E47">
              <w:rPr>
                <w:rStyle w:val="Hyperlink"/>
                <w:noProof/>
              </w:rPr>
              <w:t>Adopting</w:t>
            </w:r>
            <w:r w:rsidRPr="00FB2E47">
              <w:rPr>
                <w:rStyle w:val="Hyperlink"/>
                <w:rFonts w:eastAsia="Book Antiqua" w:cs="Book Antiqua"/>
                <w:noProof/>
              </w:rPr>
              <w:t xml:space="preserve"> Measures to Prevent Unnecessary Electric Service Line Upsizing</w:t>
            </w:r>
            <w:r>
              <w:rPr>
                <w:noProof/>
                <w:webHidden/>
              </w:rPr>
              <w:tab/>
            </w:r>
            <w:r>
              <w:rPr>
                <w:noProof/>
                <w:webHidden/>
              </w:rPr>
              <w:fldChar w:fldCharType="begin"/>
            </w:r>
            <w:r>
              <w:rPr>
                <w:noProof/>
                <w:webHidden/>
              </w:rPr>
              <w:instrText xml:space="preserve"> PAGEREF _Toc200370969 \h </w:instrText>
            </w:r>
            <w:r>
              <w:rPr>
                <w:noProof/>
                <w:webHidden/>
              </w:rPr>
            </w:r>
            <w:r>
              <w:rPr>
                <w:noProof/>
                <w:webHidden/>
              </w:rPr>
              <w:fldChar w:fldCharType="separate"/>
            </w:r>
            <w:r w:rsidR="00A801FD">
              <w:rPr>
                <w:noProof/>
                <w:webHidden/>
              </w:rPr>
              <w:t>22</w:t>
            </w:r>
            <w:r>
              <w:rPr>
                <w:noProof/>
                <w:webHidden/>
              </w:rPr>
              <w:fldChar w:fldCharType="end"/>
            </w:r>
          </w:hyperlink>
        </w:p>
        <w:p w:rsidR="001D63C9" w:rsidRDefault="001D63C9" w14:paraId="540BC6A4" w14:textId="230D322C">
          <w:pPr>
            <w:pStyle w:val="TOC2"/>
            <w:tabs>
              <w:tab w:val="right" w:leader="dot" w:pos="9350"/>
            </w:tabs>
            <w:rPr>
              <w:rFonts w:asciiTheme="minorHAnsi" w:hAnsiTheme="minorHAnsi" w:cstheme="minorBidi"/>
              <w:noProof/>
              <w:kern w:val="2"/>
              <w:sz w:val="24"/>
              <w:szCs w:val="24"/>
              <w14:ligatures w14:val="standardContextual"/>
            </w:rPr>
          </w:pPr>
          <w:hyperlink w:history="1" w:anchor="_Toc200370970">
            <w:r w:rsidRPr="00FB2E47">
              <w:rPr>
                <w:rStyle w:val="Hyperlink"/>
                <w:noProof/>
              </w:rPr>
              <w:t>5.1.</w:t>
            </w:r>
            <w:r>
              <w:rPr>
                <w:rFonts w:asciiTheme="minorHAnsi" w:hAnsiTheme="minorHAnsi" w:cstheme="minorBidi"/>
                <w:noProof/>
                <w:kern w:val="2"/>
                <w:sz w:val="24"/>
                <w:szCs w:val="24"/>
                <w14:ligatures w14:val="standardContextual"/>
              </w:rPr>
              <w:tab/>
            </w:r>
            <w:r w:rsidRPr="00FB2E47">
              <w:rPr>
                <w:rStyle w:val="Hyperlink"/>
                <w:noProof/>
              </w:rPr>
              <w:t>Summary of the Staff Proposal</w:t>
            </w:r>
            <w:r>
              <w:rPr>
                <w:noProof/>
                <w:webHidden/>
              </w:rPr>
              <w:tab/>
            </w:r>
            <w:r>
              <w:rPr>
                <w:noProof/>
                <w:webHidden/>
              </w:rPr>
              <w:fldChar w:fldCharType="begin"/>
            </w:r>
            <w:r>
              <w:rPr>
                <w:noProof/>
                <w:webHidden/>
              </w:rPr>
              <w:instrText xml:space="preserve"> PAGEREF _Toc200370970 \h </w:instrText>
            </w:r>
            <w:r>
              <w:rPr>
                <w:noProof/>
                <w:webHidden/>
              </w:rPr>
            </w:r>
            <w:r>
              <w:rPr>
                <w:noProof/>
                <w:webHidden/>
              </w:rPr>
              <w:fldChar w:fldCharType="separate"/>
            </w:r>
            <w:r w:rsidR="00A801FD">
              <w:rPr>
                <w:noProof/>
                <w:webHidden/>
              </w:rPr>
              <w:t>22</w:t>
            </w:r>
            <w:r>
              <w:rPr>
                <w:noProof/>
                <w:webHidden/>
              </w:rPr>
              <w:fldChar w:fldCharType="end"/>
            </w:r>
          </w:hyperlink>
        </w:p>
        <w:p w:rsidR="001D63C9" w:rsidRDefault="001D63C9" w14:paraId="62D05CD7" w14:textId="618B8A63">
          <w:pPr>
            <w:pStyle w:val="TOC2"/>
            <w:tabs>
              <w:tab w:val="right" w:leader="dot" w:pos="9350"/>
            </w:tabs>
            <w:rPr>
              <w:rFonts w:asciiTheme="minorHAnsi" w:hAnsiTheme="minorHAnsi" w:cstheme="minorBidi"/>
              <w:noProof/>
              <w:kern w:val="2"/>
              <w:sz w:val="24"/>
              <w:szCs w:val="24"/>
              <w14:ligatures w14:val="standardContextual"/>
            </w:rPr>
          </w:pPr>
          <w:hyperlink w:history="1" w:anchor="_Toc200370971">
            <w:r w:rsidRPr="00FB2E47">
              <w:rPr>
                <w:rStyle w:val="Hyperlink"/>
                <w:noProof/>
              </w:rPr>
              <w:t>5.2.</w:t>
            </w:r>
            <w:r>
              <w:rPr>
                <w:rFonts w:asciiTheme="minorHAnsi" w:hAnsiTheme="minorHAnsi" w:cstheme="minorBidi"/>
                <w:noProof/>
                <w:kern w:val="2"/>
                <w:sz w:val="24"/>
                <w:szCs w:val="24"/>
                <w14:ligatures w14:val="standardContextual"/>
              </w:rPr>
              <w:tab/>
            </w:r>
            <w:r w:rsidRPr="00FB2E47">
              <w:rPr>
                <w:rStyle w:val="Hyperlink"/>
                <w:noProof/>
              </w:rPr>
              <w:t>Capturing Customer Peak Demand Data and Service Line Size on Bills</w:t>
            </w:r>
            <w:r>
              <w:rPr>
                <w:noProof/>
                <w:webHidden/>
              </w:rPr>
              <w:tab/>
            </w:r>
            <w:r>
              <w:rPr>
                <w:noProof/>
                <w:webHidden/>
              </w:rPr>
              <w:fldChar w:fldCharType="begin"/>
            </w:r>
            <w:r>
              <w:rPr>
                <w:noProof/>
                <w:webHidden/>
              </w:rPr>
              <w:instrText xml:space="preserve"> PAGEREF _Toc200370971 \h </w:instrText>
            </w:r>
            <w:r>
              <w:rPr>
                <w:noProof/>
                <w:webHidden/>
              </w:rPr>
            </w:r>
            <w:r>
              <w:rPr>
                <w:noProof/>
                <w:webHidden/>
              </w:rPr>
              <w:fldChar w:fldCharType="separate"/>
            </w:r>
            <w:r w:rsidR="00A801FD">
              <w:rPr>
                <w:noProof/>
                <w:webHidden/>
              </w:rPr>
              <w:t>25</w:t>
            </w:r>
            <w:r>
              <w:rPr>
                <w:noProof/>
                <w:webHidden/>
              </w:rPr>
              <w:fldChar w:fldCharType="end"/>
            </w:r>
          </w:hyperlink>
        </w:p>
        <w:p w:rsidR="001D63C9" w:rsidRDefault="001D63C9" w14:paraId="6E868715" w14:textId="2603CB34">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72">
            <w:r w:rsidRPr="00FB2E47">
              <w:rPr>
                <w:rStyle w:val="Hyperlink"/>
                <w:noProof/>
              </w:rPr>
              <w:t>5.2.1.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_Toc200370972 \h </w:instrText>
            </w:r>
            <w:r>
              <w:rPr>
                <w:noProof/>
                <w:webHidden/>
              </w:rPr>
            </w:r>
            <w:r>
              <w:rPr>
                <w:noProof/>
                <w:webHidden/>
              </w:rPr>
              <w:fldChar w:fldCharType="separate"/>
            </w:r>
            <w:r w:rsidR="00A801FD">
              <w:rPr>
                <w:noProof/>
                <w:webHidden/>
              </w:rPr>
              <w:t>25</w:t>
            </w:r>
            <w:r>
              <w:rPr>
                <w:noProof/>
                <w:webHidden/>
              </w:rPr>
              <w:fldChar w:fldCharType="end"/>
            </w:r>
          </w:hyperlink>
        </w:p>
        <w:p w:rsidR="001D63C9" w:rsidRDefault="001D63C9" w14:paraId="39F92ECF" w14:textId="18422381">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73">
            <w:r w:rsidRPr="00FB2E47">
              <w:rPr>
                <w:rStyle w:val="Hyperlink"/>
                <w:noProof/>
              </w:rPr>
              <w:t>5.2.2.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_Toc200370973 \h </w:instrText>
            </w:r>
            <w:r>
              <w:rPr>
                <w:noProof/>
                <w:webHidden/>
              </w:rPr>
            </w:r>
            <w:r>
              <w:rPr>
                <w:noProof/>
                <w:webHidden/>
              </w:rPr>
              <w:fldChar w:fldCharType="separate"/>
            </w:r>
            <w:r w:rsidR="00A801FD">
              <w:rPr>
                <w:noProof/>
                <w:webHidden/>
              </w:rPr>
              <w:t>31</w:t>
            </w:r>
            <w:r>
              <w:rPr>
                <w:noProof/>
                <w:webHidden/>
              </w:rPr>
              <w:fldChar w:fldCharType="end"/>
            </w:r>
          </w:hyperlink>
        </w:p>
        <w:p w:rsidR="001D63C9" w:rsidRDefault="001D63C9" w14:paraId="2785908B" w14:textId="33440331">
          <w:pPr>
            <w:pStyle w:val="TOC2"/>
            <w:tabs>
              <w:tab w:val="right" w:leader="dot" w:pos="9350"/>
            </w:tabs>
            <w:rPr>
              <w:rFonts w:asciiTheme="minorHAnsi" w:hAnsiTheme="minorHAnsi" w:cstheme="minorBidi"/>
              <w:noProof/>
              <w:kern w:val="2"/>
              <w:sz w:val="24"/>
              <w:szCs w:val="24"/>
              <w14:ligatures w14:val="standardContextual"/>
            </w:rPr>
          </w:pPr>
          <w:hyperlink w:history="1" w:anchor="_Toc200370974">
            <w:r w:rsidRPr="00FB2E47">
              <w:rPr>
                <w:rStyle w:val="Hyperlink"/>
                <w:noProof/>
              </w:rPr>
              <w:t>5.3.</w:t>
            </w:r>
            <w:r>
              <w:rPr>
                <w:rFonts w:asciiTheme="minorHAnsi" w:hAnsiTheme="minorHAnsi" w:cstheme="minorBidi"/>
                <w:noProof/>
                <w:kern w:val="2"/>
                <w:sz w:val="24"/>
                <w:szCs w:val="24"/>
                <w14:ligatures w14:val="standardContextual"/>
              </w:rPr>
              <w:tab/>
            </w:r>
            <w:r w:rsidRPr="00FB2E47">
              <w:rPr>
                <w:rStyle w:val="Hyperlink"/>
                <w:noProof/>
              </w:rPr>
              <w:t>Expanding Utility Safety Evaluation Processes to Non-Isolating Devices that Interface with Utility Metering Equipment</w:t>
            </w:r>
            <w:r>
              <w:rPr>
                <w:noProof/>
                <w:webHidden/>
              </w:rPr>
              <w:tab/>
            </w:r>
            <w:r>
              <w:rPr>
                <w:noProof/>
                <w:webHidden/>
              </w:rPr>
              <w:fldChar w:fldCharType="begin"/>
            </w:r>
            <w:r>
              <w:rPr>
                <w:noProof/>
                <w:webHidden/>
              </w:rPr>
              <w:instrText xml:space="preserve"> PAGEREF _Toc200370974 \h </w:instrText>
            </w:r>
            <w:r>
              <w:rPr>
                <w:noProof/>
                <w:webHidden/>
              </w:rPr>
            </w:r>
            <w:r>
              <w:rPr>
                <w:noProof/>
                <w:webHidden/>
              </w:rPr>
              <w:fldChar w:fldCharType="separate"/>
            </w:r>
            <w:r w:rsidR="00A801FD">
              <w:rPr>
                <w:noProof/>
                <w:webHidden/>
              </w:rPr>
              <w:t>37</w:t>
            </w:r>
            <w:r>
              <w:rPr>
                <w:noProof/>
                <w:webHidden/>
              </w:rPr>
              <w:fldChar w:fldCharType="end"/>
            </w:r>
          </w:hyperlink>
        </w:p>
        <w:p w:rsidR="001D63C9" w:rsidRDefault="001D63C9" w14:paraId="4A06FA10" w14:textId="24C6089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75">
            <w:r w:rsidRPr="00FB2E47">
              <w:rPr>
                <w:rStyle w:val="Hyperlink"/>
                <w:noProof/>
              </w:rPr>
              <w:t>5.3.1.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_Toc200370975 \h </w:instrText>
            </w:r>
            <w:r>
              <w:rPr>
                <w:noProof/>
                <w:webHidden/>
              </w:rPr>
            </w:r>
            <w:r>
              <w:rPr>
                <w:noProof/>
                <w:webHidden/>
              </w:rPr>
              <w:fldChar w:fldCharType="separate"/>
            </w:r>
            <w:r w:rsidR="00A801FD">
              <w:rPr>
                <w:noProof/>
                <w:webHidden/>
              </w:rPr>
              <w:t>37</w:t>
            </w:r>
            <w:r>
              <w:rPr>
                <w:noProof/>
                <w:webHidden/>
              </w:rPr>
              <w:fldChar w:fldCharType="end"/>
            </w:r>
          </w:hyperlink>
        </w:p>
        <w:p w:rsidR="001D63C9" w:rsidRDefault="001D63C9" w14:paraId="08B4224A" w14:textId="4CFD0E1A">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76">
            <w:r w:rsidRPr="00FB2E47">
              <w:rPr>
                <w:rStyle w:val="Hyperlink"/>
                <w:noProof/>
              </w:rPr>
              <w:t>5.3.2.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_Toc200370976 \h </w:instrText>
            </w:r>
            <w:r>
              <w:rPr>
                <w:noProof/>
                <w:webHidden/>
              </w:rPr>
            </w:r>
            <w:r>
              <w:rPr>
                <w:noProof/>
                <w:webHidden/>
              </w:rPr>
              <w:fldChar w:fldCharType="separate"/>
            </w:r>
            <w:r w:rsidR="00A801FD">
              <w:rPr>
                <w:noProof/>
                <w:webHidden/>
              </w:rPr>
              <w:t>43</w:t>
            </w:r>
            <w:r>
              <w:rPr>
                <w:noProof/>
                <w:webHidden/>
              </w:rPr>
              <w:fldChar w:fldCharType="end"/>
            </w:r>
          </w:hyperlink>
        </w:p>
        <w:p w:rsidR="001D63C9" w:rsidRDefault="001D63C9" w14:paraId="019428A2" w14:textId="26700D77">
          <w:pPr>
            <w:pStyle w:val="TOC2"/>
            <w:tabs>
              <w:tab w:val="right" w:leader="dot" w:pos="9350"/>
            </w:tabs>
            <w:rPr>
              <w:rFonts w:asciiTheme="minorHAnsi" w:hAnsiTheme="minorHAnsi" w:cstheme="minorBidi"/>
              <w:noProof/>
              <w:kern w:val="2"/>
              <w:sz w:val="24"/>
              <w:szCs w:val="24"/>
              <w14:ligatures w14:val="standardContextual"/>
            </w:rPr>
          </w:pPr>
          <w:hyperlink w:history="1" w:anchor="_Toc200370977">
            <w:r w:rsidRPr="00FB2E47">
              <w:rPr>
                <w:rStyle w:val="Hyperlink"/>
                <w:noProof/>
              </w:rPr>
              <w:t>5.4.</w:t>
            </w:r>
            <w:r>
              <w:rPr>
                <w:rFonts w:asciiTheme="minorHAnsi" w:hAnsiTheme="minorHAnsi" w:cstheme="minorBidi"/>
                <w:noProof/>
                <w:kern w:val="2"/>
                <w:sz w:val="24"/>
                <w:szCs w:val="24"/>
                <w14:ligatures w14:val="standardContextual"/>
              </w:rPr>
              <w:tab/>
            </w:r>
            <w:r w:rsidRPr="00FB2E47">
              <w:rPr>
                <w:rStyle w:val="Hyperlink"/>
                <w:noProof/>
              </w:rPr>
              <w:t>Encouraging Service Upsizing Alternatives</w:t>
            </w:r>
            <w:r>
              <w:rPr>
                <w:noProof/>
                <w:webHidden/>
              </w:rPr>
              <w:tab/>
            </w:r>
            <w:r>
              <w:rPr>
                <w:noProof/>
                <w:webHidden/>
              </w:rPr>
              <w:fldChar w:fldCharType="begin"/>
            </w:r>
            <w:r>
              <w:rPr>
                <w:noProof/>
                <w:webHidden/>
              </w:rPr>
              <w:instrText xml:space="preserve"> PAGEREF _Toc200370977 \h </w:instrText>
            </w:r>
            <w:r>
              <w:rPr>
                <w:noProof/>
                <w:webHidden/>
              </w:rPr>
            </w:r>
            <w:r>
              <w:rPr>
                <w:noProof/>
                <w:webHidden/>
              </w:rPr>
              <w:fldChar w:fldCharType="separate"/>
            </w:r>
            <w:r w:rsidR="00A801FD">
              <w:rPr>
                <w:noProof/>
                <w:webHidden/>
              </w:rPr>
              <w:t>51</w:t>
            </w:r>
            <w:r>
              <w:rPr>
                <w:noProof/>
                <w:webHidden/>
              </w:rPr>
              <w:fldChar w:fldCharType="end"/>
            </w:r>
          </w:hyperlink>
        </w:p>
        <w:p w:rsidR="001D63C9" w:rsidRDefault="001D63C9" w14:paraId="2BE787B9" w14:textId="1D6C1018">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78">
            <w:r w:rsidRPr="00FB2E47">
              <w:rPr>
                <w:rStyle w:val="Hyperlink"/>
                <w:noProof/>
              </w:rPr>
              <w:t>5.4.1.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_Toc200370978 \h </w:instrText>
            </w:r>
            <w:r>
              <w:rPr>
                <w:noProof/>
                <w:webHidden/>
              </w:rPr>
            </w:r>
            <w:r>
              <w:rPr>
                <w:noProof/>
                <w:webHidden/>
              </w:rPr>
              <w:fldChar w:fldCharType="separate"/>
            </w:r>
            <w:r w:rsidR="00A801FD">
              <w:rPr>
                <w:noProof/>
                <w:webHidden/>
              </w:rPr>
              <w:t>51</w:t>
            </w:r>
            <w:r>
              <w:rPr>
                <w:noProof/>
                <w:webHidden/>
              </w:rPr>
              <w:fldChar w:fldCharType="end"/>
            </w:r>
          </w:hyperlink>
        </w:p>
        <w:p w:rsidR="001D63C9" w:rsidRDefault="001D63C9" w14:paraId="6C4E98E0" w14:textId="2E26EDD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79">
            <w:r w:rsidRPr="00FB2E47">
              <w:rPr>
                <w:rStyle w:val="Hyperlink"/>
                <w:noProof/>
              </w:rPr>
              <w:t>5.4.2.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_Toc200370979 \h </w:instrText>
            </w:r>
            <w:r>
              <w:rPr>
                <w:noProof/>
                <w:webHidden/>
              </w:rPr>
            </w:r>
            <w:r>
              <w:rPr>
                <w:noProof/>
                <w:webHidden/>
              </w:rPr>
              <w:fldChar w:fldCharType="separate"/>
            </w:r>
            <w:r w:rsidR="00A801FD">
              <w:rPr>
                <w:noProof/>
                <w:webHidden/>
              </w:rPr>
              <w:t>55</w:t>
            </w:r>
            <w:r>
              <w:rPr>
                <w:noProof/>
                <w:webHidden/>
              </w:rPr>
              <w:fldChar w:fldCharType="end"/>
            </w:r>
          </w:hyperlink>
        </w:p>
        <w:p w:rsidR="001D63C9" w:rsidRDefault="001D63C9" w14:paraId="1E4BB875" w14:textId="2216AE7A">
          <w:pPr>
            <w:pStyle w:val="TOC1"/>
            <w:tabs>
              <w:tab w:val="right" w:leader="dot" w:pos="9350"/>
            </w:tabs>
            <w:rPr>
              <w:rFonts w:asciiTheme="minorHAnsi" w:hAnsiTheme="minorHAnsi" w:cstheme="minorBidi"/>
              <w:noProof/>
              <w:kern w:val="2"/>
              <w:sz w:val="24"/>
              <w:szCs w:val="24"/>
              <w14:ligatures w14:val="standardContextual"/>
            </w:rPr>
          </w:pPr>
          <w:hyperlink w:history="1" w:anchor="_Toc200370980">
            <w:r w:rsidRPr="00FB2E47">
              <w:rPr>
                <w:rStyle w:val="Hyperlink"/>
                <w:noProof/>
              </w:rPr>
              <w:t>6.</w:t>
            </w:r>
            <w:r>
              <w:rPr>
                <w:rFonts w:asciiTheme="minorHAnsi" w:hAnsiTheme="minorHAnsi" w:cstheme="minorBidi"/>
                <w:noProof/>
                <w:kern w:val="2"/>
                <w:sz w:val="24"/>
                <w:szCs w:val="24"/>
                <w14:ligatures w14:val="standardContextual"/>
              </w:rPr>
              <w:tab/>
            </w:r>
            <w:r w:rsidRPr="00FB2E47">
              <w:rPr>
                <w:rStyle w:val="Hyperlink"/>
                <w:noProof/>
              </w:rPr>
              <w:t>Revisiting Aspects of D.23-12-037</w:t>
            </w:r>
            <w:r>
              <w:rPr>
                <w:noProof/>
                <w:webHidden/>
              </w:rPr>
              <w:tab/>
            </w:r>
            <w:r>
              <w:rPr>
                <w:noProof/>
                <w:webHidden/>
              </w:rPr>
              <w:fldChar w:fldCharType="begin"/>
            </w:r>
            <w:r>
              <w:rPr>
                <w:noProof/>
                <w:webHidden/>
              </w:rPr>
              <w:instrText xml:space="preserve"> PAGEREF _Toc200370980 \h </w:instrText>
            </w:r>
            <w:r>
              <w:rPr>
                <w:noProof/>
                <w:webHidden/>
              </w:rPr>
            </w:r>
            <w:r>
              <w:rPr>
                <w:noProof/>
                <w:webHidden/>
              </w:rPr>
              <w:fldChar w:fldCharType="separate"/>
            </w:r>
            <w:r w:rsidR="00A801FD">
              <w:rPr>
                <w:noProof/>
                <w:webHidden/>
              </w:rPr>
              <w:t>58</w:t>
            </w:r>
            <w:r>
              <w:rPr>
                <w:noProof/>
                <w:webHidden/>
              </w:rPr>
              <w:fldChar w:fldCharType="end"/>
            </w:r>
          </w:hyperlink>
        </w:p>
        <w:p w:rsidR="001D63C9" w:rsidRDefault="001D63C9" w14:paraId="59F03219" w14:textId="67150130">
          <w:pPr>
            <w:pStyle w:val="TOC2"/>
            <w:tabs>
              <w:tab w:val="right" w:leader="dot" w:pos="9350"/>
            </w:tabs>
            <w:rPr>
              <w:rFonts w:asciiTheme="minorHAnsi" w:hAnsiTheme="minorHAnsi" w:cstheme="minorBidi"/>
              <w:noProof/>
              <w:kern w:val="2"/>
              <w:sz w:val="24"/>
              <w:szCs w:val="24"/>
              <w14:ligatures w14:val="standardContextual"/>
            </w:rPr>
          </w:pPr>
          <w:hyperlink w:history="1" w:anchor="_Toc200370981">
            <w:r w:rsidRPr="00FB2E47">
              <w:rPr>
                <w:rStyle w:val="Hyperlink"/>
                <w:noProof/>
              </w:rPr>
              <w:t>6.1.</w:t>
            </w:r>
            <w:r>
              <w:rPr>
                <w:rFonts w:asciiTheme="minorHAnsi" w:hAnsiTheme="minorHAnsi" w:cstheme="minorBidi"/>
                <w:noProof/>
                <w:kern w:val="2"/>
                <w:sz w:val="24"/>
                <w:szCs w:val="24"/>
                <w14:ligatures w14:val="standardContextual"/>
              </w:rPr>
              <w:tab/>
            </w:r>
            <w:r w:rsidRPr="00FB2E47">
              <w:rPr>
                <w:rStyle w:val="Hyperlink"/>
                <w:noProof/>
              </w:rPr>
              <w:t>Modifying the Energization Deadline for Mixed-Fuel New Construction Projects Seeking Electric Line Extension Subsidies</w:t>
            </w:r>
            <w:r>
              <w:rPr>
                <w:noProof/>
                <w:webHidden/>
              </w:rPr>
              <w:tab/>
            </w:r>
            <w:r>
              <w:rPr>
                <w:noProof/>
                <w:webHidden/>
              </w:rPr>
              <w:fldChar w:fldCharType="begin"/>
            </w:r>
            <w:r>
              <w:rPr>
                <w:noProof/>
                <w:webHidden/>
              </w:rPr>
              <w:instrText xml:space="preserve"> PAGEREF _Toc200370981 \h </w:instrText>
            </w:r>
            <w:r>
              <w:rPr>
                <w:noProof/>
                <w:webHidden/>
              </w:rPr>
            </w:r>
            <w:r>
              <w:rPr>
                <w:noProof/>
                <w:webHidden/>
              </w:rPr>
              <w:fldChar w:fldCharType="separate"/>
            </w:r>
            <w:r w:rsidR="00A801FD">
              <w:rPr>
                <w:noProof/>
                <w:webHidden/>
              </w:rPr>
              <w:t>59</w:t>
            </w:r>
            <w:r>
              <w:rPr>
                <w:noProof/>
                <w:webHidden/>
              </w:rPr>
              <w:fldChar w:fldCharType="end"/>
            </w:r>
          </w:hyperlink>
        </w:p>
        <w:p w:rsidR="001D63C9" w:rsidRDefault="001D63C9" w14:paraId="6EBEE1DD" w14:textId="1DDCDF34">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82">
            <w:r w:rsidRPr="00FB2E47">
              <w:rPr>
                <w:rStyle w:val="Hyperlink"/>
                <w:noProof/>
              </w:rPr>
              <w:t>6.1.1.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_Toc200370982 \h </w:instrText>
            </w:r>
            <w:r>
              <w:rPr>
                <w:noProof/>
                <w:webHidden/>
              </w:rPr>
            </w:r>
            <w:r>
              <w:rPr>
                <w:noProof/>
                <w:webHidden/>
              </w:rPr>
              <w:fldChar w:fldCharType="separate"/>
            </w:r>
            <w:r w:rsidR="00A801FD">
              <w:rPr>
                <w:noProof/>
                <w:webHidden/>
              </w:rPr>
              <w:t>59</w:t>
            </w:r>
            <w:r>
              <w:rPr>
                <w:noProof/>
                <w:webHidden/>
              </w:rPr>
              <w:fldChar w:fldCharType="end"/>
            </w:r>
          </w:hyperlink>
        </w:p>
        <w:p w:rsidR="001D63C9" w:rsidRDefault="001D63C9" w14:paraId="2BEBD3FF" w14:textId="65340C6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83">
            <w:r w:rsidRPr="00FB2E47">
              <w:rPr>
                <w:rStyle w:val="Hyperlink"/>
                <w:noProof/>
              </w:rPr>
              <w:t>6.1.2.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_Toc200370983 \h </w:instrText>
            </w:r>
            <w:r>
              <w:rPr>
                <w:noProof/>
                <w:webHidden/>
              </w:rPr>
            </w:r>
            <w:r>
              <w:rPr>
                <w:noProof/>
                <w:webHidden/>
              </w:rPr>
              <w:fldChar w:fldCharType="separate"/>
            </w:r>
            <w:r w:rsidR="00A801FD">
              <w:rPr>
                <w:noProof/>
                <w:webHidden/>
              </w:rPr>
              <w:t>62</w:t>
            </w:r>
            <w:r>
              <w:rPr>
                <w:noProof/>
                <w:webHidden/>
              </w:rPr>
              <w:fldChar w:fldCharType="end"/>
            </w:r>
          </w:hyperlink>
        </w:p>
        <w:p w:rsidR="001D63C9" w:rsidRDefault="001D63C9" w14:paraId="1130A918" w14:textId="2CCACAD8">
          <w:pPr>
            <w:pStyle w:val="TOC2"/>
            <w:tabs>
              <w:tab w:val="right" w:leader="dot" w:pos="9350"/>
            </w:tabs>
            <w:rPr>
              <w:rFonts w:asciiTheme="minorHAnsi" w:hAnsiTheme="minorHAnsi" w:cstheme="minorBidi"/>
              <w:noProof/>
              <w:kern w:val="2"/>
              <w:sz w:val="24"/>
              <w:szCs w:val="24"/>
              <w14:ligatures w14:val="standardContextual"/>
            </w:rPr>
          </w:pPr>
          <w:hyperlink w:history="1" w:anchor="_Toc200370984">
            <w:r w:rsidRPr="00FB2E47">
              <w:rPr>
                <w:rStyle w:val="Hyperlink"/>
                <w:noProof/>
              </w:rPr>
              <w:t>6.2.</w:t>
            </w:r>
            <w:r>
              <w:rPr>
                <w:rFonts w:asciiTheme="minorHAnsi" w:hAnsiTheme="minorHAnsi" w:cstheme="minorBidi"/>
                <w:noProof/>
                <w:kern w:val="2"/>
                <w:sz w:val="24"/>
                <w:szCs w:val="24"/>
                <w14:ligatures w14:val="standardContextual"/>
              </w:rPr>
              <w:tab/>
            </w:r>
            <w:r w:rsidRPr="00FB2E47">
              <w:rPr>
                <w:rStyle w:val="Hyperlink"/>
                <w:noProof/>
              </w:rPr>
              <w:t>Tariff Rule 13 Conformance Considerations</w:t>
            </w:r>
            <w:r>
              <w:rPr>
                <w:noProof/>
                <w:webHidden/>
              </w:rPr>
              <w:tab/>
            </w:r>
            <w:r>
              <w:rPr>
                <w:noProof/>
                <w:webHidden/>
              </w:rPr>
              <w:fldChar w:fldCharType="begin"/>
            </w:r>
            <w:r>
              <w:rPr>
                <w:noProof/>
                <w:webHidden/>
              </w:rPr>
              <w:instrText xml:space="preserve"> PAGEREF _Toc200370984 \h </w:instrText>
            </w:r>
            <w:r>
              <w:rPr>
                <w:noProof/>
                <w:webHidden/>
              </w:rPr>
            </w:r>
            <w:r>
              <w:rPr>
                <w:noProof/>
                <w:webHidden/>
              </w:rPr>
              <w:fldChar w:fldCharType="separate"/>
            </w:r>
            <w:r w:rsidR="00A801FD">
              <w:rPr>
                <w:noProof/>
                <w:webHidden/>
              </w:rPr>
              <w:t>64</w:t>
            </w:r>
            <w:r>
              <w:rPr>
                <w:noProof/>
                <w:webHidden/>
              </w:rPr>
              <w:fldChar w:fldCharType="end"/>
            </w:r>
          </w:hyperlink>
        </w:p>
        <w:p w:rsidR="001D63C9" w:rsidRDefault="001D63C9" w14:paraId="12D3ADD3" w14:textId="46F1B43C">
          <w:pPr>
            <w:pStyle w:val="TOC2"/>
            <w:tabs>
              <w:tab w:val="right" w:leader="dot" w:pos="9350"/>
            </w:tabs>
            <w:rPr>
              <w:rFonts w:asciiTheme="minorHAnsi" w:hAnsiTheme="minorHAnsi" w:cstheme="minorBidi"/>
              <w:noProof/>
              <w:kern w:val="2"/>
              <w:sz w:val="24"/>
              <w:szCs w:val="24"/>
              <w14:ligatures w14:val="standardContextual"/>
            </w:rPr>
          </w:pPr>
          <w:hyperlink w:history="1" w:anchor="_Toc200370985">
            <w:r w:rsidRPr="00FB2E47">
              <w:rPr>
                <w:rStyle w:val="Hyperlink"/>
                <w:noProof/>
              </w:rPr>
              <w:t>6.3.</w:t>
            </w:r>
            <w:r>
              <w:rPr>
                <w:rFonts w:asciiTheme="minorHAnsi" w:hAnsiTheme="minorHAnsi" w:cstheme="minorBidi"/>
                <w:noProof/>
                <w:kern w:val="2"/>
                <w:sz w:val="24"/>
                <w:szCs w:val="24"/>
                <w14:ligatures w14:val="standardContextual"/>
              </w:rPr>
              <w:tab/>
            </w:r>
            <w:r w:rsidRPr="00FB2E47">
              <w:rPr>
                <w:rStyle w:val="Hyperlink"/>
                <w:noProof/>
              </w:rPr>
              <w:t>Additional Clarifications</w:t>
            </w:r>
            <w:r>
              <w:rPr>
                <w:noProof/>
                <w:webHidden/>
              </w:rPr>
              <w:tab/>
            </w:r>
            <w:r>
              <w:rPr>
                <w:noProof/>
                <w:webHidden/>
              </w:rPr>
              <w:fldChar w:fldCharType="begin"/>
            </w:r>
            <w:r>
              <w:rPr>
                <w:noProof/>
                <w:webHidden/>
              </w:rPr>
              <w:instrText xml:space="preserve"> PAGEREF _Toc200370985 \h </w:instrText>
            </w:r>
            <w:r>
              <w:rPr>
                <w:noProof/>
                <w:webHidden/>
              </w:rPr>
            </w:r>
            <w:r>
              <w:rPr>
                <w:noProof/>
                <w:webHidden/>
              </w:rPr>
              <w:fldChar w:fldCharType="separate"/>
            </w:r>
            <w:r w:rsidR="00A801FD">
              <w:rPr>
                <w:noProof/>
                <w:webHidden/>
              </w:rPr>
              <w:t>65</w:t>
            </w:r>
            <w:r>
              <w:rPr>
                <w:noProof/>
                <w:webHidden/>
              </w:rPr>
              <w:fldChar w:fldCharType="end"/>
            </w:r>
          </w:hyperlink>
        </w:p>
        <w:p w:rsidR="001D63C9" w:rsidRDefault="001D63C9" w14:paraId="5DC042A7" w14:textId="24660E5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86">
            <w:r w:rsidRPr="00FB2E47">
              <w:rPr>
                <w:rStyle w:val="Hyperlink"/>
                <w:noProof/>
              </w:rPr>
              <w:t>6.3.1.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_Toc200370986 \h </w:instrText>
            </w:r>
            <w:r>
              <w:rPr>
                <w:noProof/>
                <w:webHidden/>
              </w:rPr>
            </w:r>
            <w:r>
              <w:rPr>
                <w:noProof/>
                <w:webHidden/>
              </w:rPr>
              <w:fldChar w:fldCharType="separate"/>
            </w:r>
            <w:r w:rsidR="00A801FD">
              <w:rPr>
                <w:noProof/>
                <w:webHidden/>
              </w:rPr>
              <w:t>65</w:t>
            </w:r>
            <w:r>
              <w:rPr>
                <w:noProof/>
                <w:webHidden/>
              </w:rPr>
              <w:fldChar w:fldCharType="end"/>
            </w:r>
          </w:hyperlink>
        </w:p>
        <w:p w:rsidR="001D63C9" w:rsidRDefault="001D63C9" w14:paraId="33C9FA0E" w14:textId="1CE72F43">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87">
            <w:r w:rsidRPr="00FB2E47">
              <w:rPr>
                <w:rStyle w:val="Hyperlink"/>
                <w:noProof/>
              </w:rPr>
              <w:t>6.3.2.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_Toc200370987 \h </w:instrText>
            </w:r>
            <w:r>
              <w:rPr>
                <w:noProof/>
                <w:webHidden/>
              </w:rPr>
            </w:r>
            <w:r>
              <w:rPr>
                <w:noProof/>
                <w:webHidden/>
              </w:rPr>
              <w:fldChar w:fldCharType="separate"/>
            </w:r>
            <w:r w:rsidR="00A801FD">
              <w:rPr>
                <w:noProof/>
                <w:webHidden/>
              </w:rPr>
              <w:t>67</w:t>
            </w:r>
            <w:r>
              <w:rPr>
                <w:noProof/>
                <w:webHidden/>
              </w:rPr>
              <w:fldChar w:fldCharType="end"/>
            </w:r>
          </w:hyperlink>
        </w:p>
        <w:p w:rsidR="001D63C9" w:rsidRDefault="001D63C9" w14:paraId="668AA873" w14:textId="440CA414">
          <w:pPr>
            <w:pStyle w:val="TOC1"/>
            <w:tabs>
              <w:tab w:val="right" w:leader="dot" w:pos="9350"/>
            </w:tabs>
            <w:rPr>
              <w:rFonts w:asciiTheme="minorHAnsi" w:hAnsiTheme="minorHAnsi" w:cstheme="minorBidi"/>
              <w:noProof/>
              <w:kern w:val="2"/>
              <w:sz w:val="24"/>
              <w:szCs w:val="24"/>
              <w14:ligatures w14:val="standardContextual"/>
            </w:rPr>
          </w:pPr>
          <w:hyperlink w:history="1" w:anchor="_Toc200370988">
            <w:r w:rsidRPr="00FB2E47">
              <w:rPr>
                <w:rStyle w:val="Hyperlink"/>
                <w:noProof/>
              </w:rPr>
              <w:t>7.</w:t>
            </w:r>
            <w:r>
              <w:rPr>
                <w:rFonts w:asciiTheme="minorHAnsi" w:hAnsiTheme="minorHAnsi" w:cstheme="minorBidi"/>
                <w:noProof/>
                <w:kern w:val="2"/>
                <w:sz w:val="24"/>
                <w:szCs w:val="24"/>
                <w14:ligatures w14:val="standardContextual"/>
              </w:rPr>
              <w:tab/>
            </w:r>
            <w:r w:rsidRPr="00FB2E47">
              <w:rPr>
                <w:rStyle w:val="Hyperlink"/>
                <w:noProof/>
              </w:rPr>
              <w:t>Modifications to Building Decarbonization Reporting Requirements</w:t>
            </w:r>
            <w:r>
              <w:rPr>
                <w:noProof/>
                <w:webHidden/>
              </w:rPr>
              <w:tab/>
            </w:r>
            <w:r>
              <w:rPr>
                <w:noProof/>
                <w:webHidden/>
              </w:rPr>
              <w:fldChar w:fldCharType="begin"/>
            </w:r>
            <w:r>
              <w:rPr>
                <w:noProof/>
                <w:webHidden/>
              </w:rPr>
              <w:instrText xml:space="preserve"> PAGEREF _Toc200370988 \h </w:instrText>
            </w:r>
            <w:r>
              <w:rPr>
                <w:noProof/>
                <w:webHidden/>
              </w:rPr>
            </w:r>
            <w:r>
              <w:rPr>
                <w:noProof/>
                <w:webHidden/>
              </w:rPr>
              <w:fldChar w:fldCharType="separate"/>
            </w:r>
            <w:r w:rsidR="00A801FD">
              <w:rPr>
                <w:noProof/>
                <w:webHidden/>
              </w:rPr>
              <w:t>69</w:t>
            </w:r>
            <w:r>
              <w:rPr>
                <w:noProof/>
                <w:webHidden/>
              </w:rPr>
              <w:fldChar w:fldCharType="end"/>
            </w:r>
          </w:hyperlink>
        </w:p>
        <w:p w:rsidR="001D63C9" w:rsidRDefault="001D63C9" w14:paraId="706D3AE9" w14:textId="699EEFC1">
          <w:pPr>
            <w:pStyle w:val="TOC2"/>
            <w:tabs>
              <w:tab w:val="right" w:leader="dot" w:pos="9350"/>
            </w:tabs>
            <w:rPr>
              <w:rFonts w:asciiTheme="minorHAnsi" w:hAnsiTheme="minorHAnsi" w:cstheme="minorBidi"/>
              <w:noProof/>
              <w:kern w:val="2"/>
              <w:sz w:val="24"/>
              <w:szCs w:val="24"/>
              <w14:ligatures w14:val="standardContextual"/>
            </w:rPr>
          </w:pPr>
          <w:hyperlink w:history="1" w:anchor="_Toc200370989">
            <w:r w:rsidRPr="00FB2E47">
              <w:rPr>
                <w:rStyle w:val="Hyperlink"/>
                <w:noProof/>
              </w:rPr>
              <w:t>7.1.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_Toc200370989 \h </w:instrText>
            </w:r>
            <w:r>
              <w:rPr>
                <w:noProof/>
                <w:webHidden/>
              </w:rPr>
            </w:r>
            <w:r>
              <w:rPr>
                <w:noProof/>
                <w:webHidden/>
              </w:rPr>
              <w:fldChar w:fldCharType="separate"/>
            </w:r>
            <w:r w:rsidR="00A801FD">
              <w:rPr>
                <w:noProof/>
                <w:webHidden/>
              </w:rPr>
              <w:t>69</w:t>
            </w:r>
            <w:r>
              <w:rPr>
                <w:noProof/>
                <w:webHidden/>
              </w:rPr>
              <w:fldChar w:fldCharType="end"/>
            </w:r>
          </w:hyperlink>
        </w:p>
        <w:p w:rsidR="001D63C9" w:rsidRDefault="001D63C9" w14:paraId="2979F581" w14:textId="4428BFAC">
          <w:pPr>
            <w:pStyle w:val="TOC2"/>
            <w:tabs>
              <w:tab w:val="right" w:leader="dot" w:pos="9350"/>
            </w:tabs>
            <w:rPr>
              <w:rFonts w:asciiTheme="minorHAnsi" w:hAnsiTheme="minorHAnsi" w:cstheme="minorBidi"/>
              <w:noProof/>
              <w:kern w:val="2"/>
              <w:sz w:val="24"/>
              <w:szCs w:val="24"/>
              <w14:ligatures w14:val="standardContextual"/>
            </w:rPr>
          </w:pPr>
          <w:hyperlink w:history="1" w:anchor="_Toc200370990">
            <w:r w:rsidRPr="00FB2E47">
              <w:rPr>
                <w:rStyle w:val="Hyperlink"/>
                <w:noProof/>
              </w:rPr>
              <w:t>7.2.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_Toc200370990 \h </w:instrText>
            </w:r>
            <w:r>
              <w:rPr>
                <w:noProof/>
                <w:webHidden/>
              </w:rPr>
            </w:r>
            <w:r>
              <w:rPr>
                <w:noProof/>
                <w:webHidden/>
              </w:rPr>
              <w:fldChar w:fldCharType="separate"/>
            </w:r>
            <w:r w:rsidR="00A801FD">
              <w:rPr>
                <w:noProof/>
                <w:webHidden/>
              </w:rPr>
              <w:t>70</w:t>
            </w:r>
            <w:r>
              <w:rPr>
                <w:noProof/>
                <w:webHidden/>
              </w:rPr>
              <w:fldChar w:fldCharType="end"/>
            </w:r>
          </w:hyperlink>
        </w:p>
        <w:p w:rsidR="001D63C9" w:rsidRDefault="001D63C9" w14:paraId="46CC2F41" w14:textId="4D136223">
          <w:pPr>
            <w:pStyle w:val="TOC1"/>
            <w:tabs>
              <w:tab w:val="right" w:leader="dot" w:pos="9350"/>
            </w:tabs>
            <w:rPr>
              <w:rFonts w:asciiTheme="minorHAnsi" w:hAnsiTheme="minorHAnsi" w:cstheme="minorBidi"/>
              <w:noProof/>
              <w:kern w:val="2"/>
              <w:sz w:val="24"/>
              <w:szCs w:val="24"/>
              <w14:ligatures w14:val="standardContextual"/>
            </w:rPr>
          </w:pPr>
          <w:hyperlink w:history="1" w:anchor="_Toc200370991">
            <w:r w:rsidRPr="00FB2E47">
              <w:rPr>
                <w:rStyle w:val="Hyperlink"/>
                <w:noProof/>
              </w:rPr>
              <w:t>8.</w:t>
            </w:r>
            <w:r>
              <w:rPr>
                <w:rFonts w:asciiTheme="minorHAnsi" w:hAnsiTheme="minorHAnsi" w:cstheme="minorBidi"/>
                <w:noProof/>
                <w:kern w:val="2"/>
                <w:sz w:val="24"/>
                <w:szCs w:val="24"/>
                <w14:ligatures w14:val="standardContextual"/>
              </w:rPr>
              <w:tab/>
            </w:r>
            <w:r w:rsidRPr="00FB2E47">
              <w:rPr>
                <w:rStyle w:val="Hyperlink"/>
                <w:rFonts w:eastAsia="Book Antiqua" w:cs="Book Antiqua"/>
                <w:noProof/>
              </w:rPr>
              <w:t>AB 157 Implementation</w:t>
            </w:r>
            <w:r>
              <w:rPr>
                <w:noProof/>
                <w:webHidden/>
              </w:rPr>
              <w:tab/>
            </w:r>
            <w:r>
              <w:rPr>
                <w:noProof/>
                <w:webHidden/>
              </w:rPr>
              <w:fldChar w:fldCharType="begin"/>
            </w:r>
            <w:r>
              <w:rPr>
                <w:noProof/>
                <w:webHidden/>
              </w:rPr>
              <w:instrText xml:space="preserve"> PAGEREF _Toc200370991 \h </w:instrText>
            </w:r>
            <w:r>
              <w:rPr>
                <w:noProof/>
                <w:webHidden/>
              </w:rPr>
            </w:r>
            <w:r>
              <w:rPr>
                <w:noProof/>
                <w:webHidden/>
              </w:rPr>
              <w:fldChar w:fldCharType="separate"/>
            </w:r>
            <w:r w:rsidR="00A801FD">
              <w:rPr>
                <w:noProof/>
                <w:webHidden/>
              </w:rPr>
              <w:t>73</w:t>
            </w:r>
            <w:r>
              <w:rPr>
                <w:noProof/>
                <w:webHidden/>
              </w:rPr>
              <w:fldChar w:fldCharType="end"/>
            </w:r>
          </w:hyperlink>
        </w:p>
        <w:p w:rsidR="001D63C9" w:rsidRDefault="001D63C9" w14:paraId="223D9ED7" w14:textId="103E95A0">
          <w:pPr>
            <w:pStyle w:val="TOC2"/>
            <w:tabs>
              <w:tab w:val="right" w:leader="dot" w:pos="9350"/>
            </w:tabs>
            <w:rPr>
              <w:rFonts w:asciiTheme="minorHAnsi" w:hAnsiTheme="minorHAnsi" w:cstheme="minorBidi"/>
              <w:noProof/>
              <w:kern w:val="2"/>
              <w:sz w:val="24"/>
              <w:szCs w:val="24"/>
              <w14:ligatures w14:val="standardContextual"/>
            </w:rPr>
          </w:pPr>
          <w:hyperlink w:history="1" w:anchor="_Toc200370992">
            <w:r w:rsidRPr="00FB2E47">
              <w:rPr>
                <w:rStyle w:val="Hyperlink"/>
                <w:noProof/>
              </w:rPr>
              <w:t>8.2.</w:t>
            </w:r>
            <w:r>
              <w:rPr>
                <w:rFonts w:asciiTheme="minorHAnsi" w:hAnsiTheme="minorHAnsi" w:cstheme="minorBidi"/>
                <w:noProof/>
                <w:kern w:val="2"/>
                <w:sz w:val="24"/>
                <w:szCs w:val="24"/>
                <w14:ligatures w14:val="standardContextual"/>
              </w:rPr>
              <w:tab/>
            </w:r>
            <w:r w:rsidRPr="00FB2E47">
              <w:rPr>
                <w:rStyle w:val="Hyperlink"/>
                <w:noProof/>
              </w:rPr>
              <w:t>Budgetary Considerations</w:t>
            </w:r>
            <w:r>
              <w:rPr>
                <w:noProof/>
                <w:webHidden/>
              </w:rPr>
              <w:tab/>
            </w:r>
            <w:r>
              <w:rPr>
                <w:noProof/>
                <w:webHidden/>
              </w:rPr>
              <w:fldChar w:fldCharType="begin"/>
            </w:r>
            <w:r>
              <w:rPr>
                <w:noProof/>
                <w:webHidden/>
              </w:rPr>
              <w:instrText xml:space="preserve"> PAGEREF _Toc200370992 \h </w:instrText>
            </w:r>
            <w:r>
              <w:rPr>
                <w:noProof/>
                <w:webHidden/>
              </w:rPr>
            </w:r>
            <w:r>
              <w:rPr>
                <w:noProof/>
                <w:webHidden/>
              </w:rPr>
              <w:fldChar w:fldCharType="separate"/>
            </w:r>
            <w:r w:rsidR="00A801FD">
              <w:rPr>
                <w:noProof/>
                <w:webHidden/>
              </w:rPr>
              <w:t>75</w:t>
            </w:r>
            <w:r>
              <w:rPr>
                <w:noProof/>
                <w:webHidden/>
              </w:rPr>
              <w:fldChar w:fldCharType="end"/>
            </w:r>
          </w:hyperlink>
        </w:p>
        <w:p w:rsidR="001D63C9" w:rsidRDefault="001D63C9" w14:paraId="310369DC" w14:textId="0AAD2B96">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93">
            <w:r w:rsidRPr="00FB2E47">
              <w:rPr>
                <w:rStyle w:val="Hyperlink"/>
                <w:noProof/>
              </w:rPr>
              <w:t>8.2.1.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_Toc200370993 \h </w:instrText>
            </w:r>
            <w:r>
              <w:rPr>
                <w:noProof/>
                <w:webHidden/>
              </w:rPr>
            </w:r>
            <w:r>
              <w:rPr>
                <w:noProof/>
                <w:webHidden/>
              </w:rPr>
              <w:fldChar w:fldCharType="separate"/>
            </w:r>
            <w:r w:rsidR="00A801FD">
              <w:rPr>
                <w:noProof/>
                <w:webHidden/>
              </w:rPr>
              <w:t>75</w:t>
            </w:r>
            <w:r>
              <w:rPr>
                <w:noProof/>
                <w:webHidden/>
              </w:rPr>
              <w:fldChar w:fldCharType="end"/>
            </w:r>
          </w:hyperlink>
        </w:p>
        <w:p w:rsidR="001D63C9" w:rsidRDefault="001D63C9" w14:paraId="6B00E8E6" w14:textId="7D746DB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94">
            <w:r w:rsidRPr="00FB2E47">
              <w:rPr>
                <w:rStyle w:val="Hyperlink"/>
                <w:noProof/>
              </w:rPr>
              <w:t>8.2.2.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_Toc200370994 \h </w:instrText>
            </w:r>
            <w:r>
              <w:rPr>
                <w:noProof/>
                <w:webHidden/>
              </w:rPr>
            </w:r>
            <w:r>
              <w:rPr>
                <w:noProof/>
                <w:webHidden/>
              </w:rPr>
              <w:fldChar w:fldCharType="separate"/>
            </w:r>
            <w:r w:rsidR="00A801FD">
              <w:rPr>
                <w:noProof/>
                <w:webHidden/>
              </w:rPr>
              <w:t>78</w:t>
            </w:r>
            <w:r>
              <w:rPr>
                <w:noProof/>
                <w:webHidden/>
              </w:rPr>
              <w:fldChar w:fldCharType="end"/>
            </w:r>
          </w:hyperlink>
        </w:p>
        <w:p w:rsidR="001D63C9" w:rsidRDefault="001D63C9" w14:paraId="1CF3A070" w14:textId="702EBA0C">
          <w:pPr>
            <w:pStyle w:val="TOC2"/>
            <w:tabs>
              <w:tab w:val="right" w:leader="dot" w:pos="9350"/>
            </w:tabs>
            <w:rPr>
              <w:rFonts w:asciiTheme="minorHAnsi" w:hAnsiTheme="minorHAnsi" w:cstheme="minorBidi"/>
              <w:noProof/>
              <w:kern w:val="2"/>
              <w:sz w:val="24"/>
              <w:szCs w:val="24"/>
              <w14:ligatures w14:val="standardContextual"/>
            </w:rPr>
          </w:pPr>
          <w:hyperlink w:history="1" w:anchor="_Toc200370995">
            <w:r w:rsidRPr="00FB2E47">
              <w:rPr>
                <w:rStyle w:val="Hyperlink"/>
                <w:noProof/>
              </w:rPr>
              <w:t>8.3.</w:t>
            </w:r>
            <w:r>
              <w:rPr>
                <w:rFonts w:asciiTheme="minorHAnsi" w:hAnsiTheme="minorHAnsi" w:cstheme="minorBidi"/>
                <w:noProof/>
                <w:kern w:val="2"/>
                <w:sz w:val="24"/>
                <w:szCs w:val="24"/>
                <w14:ligatures w14:val="standardContextual"/>
              </w:rPr>
              <w:tab/>
            </w:r>
            <w:r w:rsidRPr="00FB2E47">
              <w:rPr>
                <w:rStyle w:val="Hyperlink"/>
                <w:noProof/>
              </w:rPr>
              <w:t>Equity Allocation</w:t>
            </w:r>
            <w:r>
              <w:rPr>
                <w:noProof/>
                <w:webHidden/>
              </w:rPr>
              <w:tab/>
            </w:r>
            <w:r>
              <w:rPr>
                <w:noProof/>
                <w:webHidden/>
              </w:rPr>
              <w:fldChar w:fldCharType="begin"/>
            </w:r>
            <w:r>
              <w:rPr>
                <w:noProof/>
                <w:webHidden/>
              </w:rPr>
              <w:instrText xml:space="preserve"> PAGEREF _Toc200370995 \h </w:instrText>
            </w:r>
            <w:r>
              <w:rPr>
                <w:noProof/>
                <w:webHidden/>
              </w:rPr>
            </w:r>
            <w:r>
              <w:rPr>
                <w:noProof/>
                <w:webHidden/>
              </w:rPr>
              <w:fldChar w:fldCharType="separate"/>
            </w:r>
            <w:r w:rsidR="00A801FD">
              <w:rPr>
                <w:noProof/>
                <w:webHidden/>
              </w:rPr>
              <w:t>79</w:t>
            </w:r>
            <w:r>
              <w:rPr>
                <w:noProof/>
                <w:webHidden/>
              </w:rPr>
              <w:fldChar w:fldCharType="end"/>
            </w:r>
          </w:hyperlink>
        </w:p>
        <w:p w:rsidR="001D63C9" w:rsidRDefault="001D63C9" w14:paraId="495EBD48" w14:textId="7879B256">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96">
            <w:r w:rsidRPr="00FB2E47">
              <w:rPr>
                <w:rStyle w:val="Hyperlink"/>
                <w:noProof/>
              </w:rPr>
              <w:t>8.3.1.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_Toc200370996 \h </w:instrText>
            </w:r>
            <w:r>
              <w:rPr>
                <w:noProof/>
                <w:webHidden/>
              </w:rPr>
            </w:r>
            <w:r>
              <w:rPr>
                <w:noProof/>
                <w:webHidden/>
              </w:rPr>
              <w:fldChar w:fldCharType="separate"/>
            </w:r>
            <w:r w:rsidR="00A801FD">
              <w:rPr>
                <w:noProof/>
                <w:webHidden/>
              </w:rPr>
              <w:t>79</w:t>
            </w:r>
            <w:r>
              <w:rPr>
                <w:noProof/>
                <w:webHidden/>
              </w:rPr>
              <w:fldChar w:fldCharType="end"/>
            </w:r>
          </w:hyperlink>
        </w:p>
        <w:p w:rsidR="001D63C9" w:rsidRDefault="001D63C9" w14:paraId="52904FC4" w14:textId="08FD4270">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97">
            <w:r w:rsidRPr="00FB2E47">
              <w:rPr>
                <w:rStyle w:val="Hyperlink"/>
                <w:noProof/>
              </w:rPr>
              <w:t>8.3.2.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_Toc200370997 \h </w:instrText>
            </w:r>
            <w:r>
              <w:rPr>
                <w:noProof/>
                <w:webHidden/>
              </w:rPr>
            </w:r>
            <w:r>
              <w:rPr>
                <w:noProof/>
                <w:webHidden/>
              </w:rPr>
              <w:fldChar w:fldCharType="separate"/>
            </w:r>
            <w:r w:rsidR="00A801FD">
              <w:rPr>
                <w:noProof/>
                <w:webHidden/>
              </w:rPr>
              <w:t>83</w:t>
            </w:r>
            <w:r>
              <w:rPr>
                <w:noProof/>
                <w:webHidden/>
              </w:rPr>
              <w:fldChar w:fldCharType="end"/>
            </w:r>
          </w:hyperlink>
        </w:p>
        <w:p w:rsidR="001D63C9" w:rsidRDefault="001D63C9" w14:paraId="0550FF87" w14:textId="1CCC6F09">
          <w:pPr>
            <w:pStyle w:val="TOC2"/>
            <w:tabs>
              <w:tab w:val="right" w:leader="dot" w:pos="9350"/>
            </w:tabs>
            <w:rPr>
              <w:rFonts w:asciiTheme="minorHAnsi" w:hAnsiTheme="minorHAnsi" w:cstheme="minorBidi"/>
              <w:noProof/>
              <w:kern w:val="2"/>
              <w:sz w:val="24"/>
              <w:szCs w:val="24"/>
              <w14:ligatures w14:val="standardContextual"/>
            </w:rPr>
          </w:pPr>
          <w:hyperlink w:history="1" w:anchor="_Toc200370998">
            <w:r w:rsidRPr="00FB2E47">
              <w:rPr>
                <w:rStyle w:val="Hyperlink"/>
                <w:noProof/>
              </w:rPr>
              <w:t>8.4.</w:t>
            </w:r>
            <w:r>
              <w:rPr>
                <w:rFonts w:asciiTheme="minorHAnsi" w:hAnsiTheme="minorHAnsi" w:cstheme="minorBidi"/>
                <w:noProof/>
                <w:kern w:val="2"/>
                <w:sz w:val="24"/>
                <w:szCs w:val="24"/>
                <w14:ligatures w14:val="standardContextual"/>
              </w:rPr>
              <w:tab/>
            </w:r>
            <w:r w:rsidRPr="00FB2E47">
              <w:rPr>
                <w:rStyle w:val="Hyperlink"/>
                <w:noProof/>
              </w:rPr>
              <w:t>Authorization of New Measures</w:t>
            </w:r>
            <w:r>
              <w:rPr>
                <w:noProof/>
                <w:webHidden/>
              </w:rPr>
              <w:tab/>
            </w:r>
            <w:r>
              <w:rPr>
                <w:noProof/>
                <w:webHidden/>
              </w:rPr>
              <w:fldChar w:fldCharType="begin"/>
            </w:r>
            <w:r>
              <w:rPr>
                <w:noProof/>
                <w:webHidden/>
              </w:rPr>
              <w:instrText xml:space="preserve"> PAGEREF _Toc200370998 \h </w:instrText>
            </w:r>
            <w:r>
              <w:rPr>
                <w:noProof/>
                <w:webHidden/>
              </w:rPr>
            </w:r>
            <w:r>
              <w:rPr>
                <w:noProof/>
                <w:webHidden/>
              </w:rPr>
              <w:fldChar w:fldCharType="separate"/>
            </w:r>
            <w:r w:rsidR="00A801FD">
              <w:rPr>
                <w:noProof/>
                <w:webHidden/>
              </w:rPr>
              <w:t>84</w:t>
            </w:r>
            <w:r>
              <w:rPr>
                <w:noProof/>
                <w:webHidden/>
              </w:rPr>
              <w:fldChar w:fldCharType="end"/>
            </w:r>
          </w:hyperlink>
        </w:p>
        <w:p w:rsidR="001D63C9" w:rsidRDefault="001D63C9" w14:paraId="0F67920C" w14:textId="6122ECD1">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0999">
            <w:r w:rsidRPr="00FB2E47">
              <w:rPr>
                <w:rStyle w:val="Hyperlink"/>
                <w:noProof/>
              </w:rPr>
              <w:t>8.4.1.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_Toc200370999 \h </w:instrText>
            </w:r>
            <w:r>
              <w:rPr>
                <w:noProof/>
                <w:webHidden/>
              </w:rPr>
            </w:r>
            <w:r>
              <w:rPr>
                <w:noProof/>
                <w:webHidden/>
              </w:rPr>
              <w:fldChar w:fldCharType="separate"/>
            </w:r>
            <w:r w:rsidR="00A801FD">
              <w:rPr>
                <w:noProof/>
                <w:webHidden/>
              </w:rPr>
              <w:t>84</w:t>
            </w:r>
            <w:r>
              <w:rPr>
                <w:noProof/>
                <w:webHidden/>
              </w:rPr>
              <w:fldChar w:fldCharType="end"/>
            </w:r>
          </w:hyperlink>
        </w:p>
        <w:p w:rsidR="001D63C9" w:rsidRDefault="001D63C9" w14:paraId="135A8C16" w14:textId="2916DDB0">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1000">
            <w:r w:rsidRPr="00FB2E47">
              <w:rPr>
                <w:rStyle w:val="Hyperlink"/>
                <w:noProof/>
              </w:rPr>
              <w:t>8.4.2.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_Toc200371000 \h </w:instrText>
            </w:r>
            <w:r>
              <w:rPr>
                <w:noProof/>
                <w:webHidden/>
              </w:rPr>
            </w:r>
            <w:r>
              <w:rPr>
                <w:noProof/>
                <w:webHidden/>
              </w:rPr>
              <w:fldChar w:fldCharType="separate"/>
            </w:r>
            <w:r w:rsidR="00A801FD">
              <w:rPr>
                <w:noProof/>
                <w:webHidden/>
              </w:rPr>
              <w:t>86</w:t>
            </w:r>
            <w:r>
              <w:rPr>
                <w:noProof/>
                <w:webHidden/>
              </w:rPr>
              <w:fldChar w:fldCharType="end"/>
            </w:r>
          </w:hyperlink>
        </w:p>
        <w:p w:rsidR="001D63C9" w:rsidRDefault="001D63C9" w14:paraId="13BCE48A" w14:textId="4F117F97">
          <w:pPr>
            <w:pStyle w:val="TOC2"/>
            <w:tabs>
              <w:tab w:val="right" w:leader="dot" w:pos="9350"/>
            </w:tabs>
            <w:rPr>
              <w:rFonts w:asciiTheme="minorHAnsi" w:hAnsiTheme="minorHAnsi" w:cstheme="minorBidi"/>
              <w:noProof/>
              <w:kern w:val="2"/>
              <w:sz w:val="24"/>
              <w:szCs w:val="24"/>
              <w14:ligatures w14:val="standardContextual"/>
            </w:rPr>
          </w:pPr>
          <w:hyperlink w:history="1" w:anchor="_Toc200371001">
            <w:r w:rsidRPr="00FB2E47">
              <w:rPr>
                <w:rStyle w:val="Hyperlink"/>
                <w:noProof/>
              </w:rPr>
              <w:t>8.5.</w:t>
            </w:r>
            <w:r>
              <w:rPr>
                <w:rFonts w:asciiTheme="minorHAnsi" w:hAnsiTheme="minorHAnsi" w:cstheme="minorBidi"/>
                <w:noProof/>
                <w:kern w:val="2"/>
                <w:sz w:val="24"/>
                <w:szCs w:val="24"/>
                <w14:ligatures w14:val="standardContextual"/>
              </w:rPr>
              <w:tab/>
            </w:r>
            <w:r w:rsidRPr="00FB2E47">
              <w:rPr>
                <w:rStyle w:val="Hyperlink"/>
                <w:noProof/>
              </w:rPr>
              <w:t>Programmatic Changes</w:t>
            </w:r>
            <w:r>
              <w:rPr>
                <w:noProof/>
                <w:webHidden/>
              </w:rPr>
              <w:tab/>
            </w:r>
            <w:r>
              <w:rPr>
                <w:noProof/>
                <w:webHidden/>
              </w:rPr>
              <w:fldChar w:fldCharType="begin"/>
            </w:r>
            <w:r>
              <w:rPr>
                <w:noProof/>
                <w:webHidden/>
              </w:rPr>
              <w:instrText xml:space="preserve"> PAGEREF _Toc200371001 \h </w:instrText>
            </w:r>
            <w:r>
              <w:rPr>
                <w:noProof/>
                <w:webHidden/>
              </w:rPr>
            </w:r>
            <w:r>
              <w:rPr>
                <w:noProof/>
                <w:webHidden/>
              </w:rPr>
              <w:fldChar w:fldCharType="separate"/>
            </w:r>
            <w:r w:rsidR="00A801FD">
              <w:rPr>
                <w:noProof/>
                <w:webHidden/>
              </w:rPr>
              <w:t>88</w:t>
            </w:r>
            <w:r>
              <w:rPr>
                <w:noProof/>
                <w:webHidden/>
              </w:rPr>
              <w:fldChar w:fldCharType="end"/>
            </w:r>
          </w:hyperlink>
        </w:p>
        <w:p w:rsidR="001D63C9" w:rsidRDefault="001D63C9" w14:paraId="50982C9E" w14:textId="7B338C81">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1002">
            <w:r w:rsidRPr="00FB2E47">
              <w:rPr>
                <w:rStyle w:val="Hyperlink"/>
                <w:noProof/>
              </w:rPr>
              <w:t>8.5.1.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_Toc200371002 \h </w:instrText>
            </w:r>
            <w:r>
              <w:rPr>
                <w:noProof/>
                <w:webHidden/>
              </w:rPr>
            </w:r>
            <w:r>
              <w:rPr>
                <w:noProof/>
                <w:webHidden/>
              </w:rPr>
              <w:fldChar w:fldCharType="separate"/>
            </w:r>
            <w:r w:rsidR="00A801FD">
              <w:rPr>
                <w:noProof/>
                <w:webHidden/>
              </w:rPr>
              <w:t>88</w:t>
            </w:r>
            <w:r>
              <w:rPr>
                <w:noProof/>
                <w:webHidden/>
              </w:rPr>
              <w:fldChar w:fldCharType="end"/>
            </w:r>
          </w:hyperlink>
        </w:p>
        <w:p w:rsidR="001D63C9" w:rsidRDefault="001D63C9" w14:paraId="78F482DC" w14:textId="01EA97C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1003">
            <w:r w:rsidRPr="00FB2E47">
              <w:rPr>
                <w:rStyle w:val="Hyperlink"/>
                <w:noProof/>
              </w:rPr>
              <w:t>8.5.2.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_Toc200371003 \h </w:instrText>
            </w:r>
            <w:r>
              <w:rPr>
                <w:noProof/>
                <w:webHidden/>
              </w:rPr>
            </w:r>
            <w:r>
              <w:rPr>
                <w:noProof/>
                <w:webHidden/>
              </w:rPr>
              <w:fldChar w:fldCharType="separate"/>
            </w:r>
            <w:r w:rsidR="00A801FD">
              <w:rPr>
                <w:noProof/>
                <w:webHidden/>
              </w:rPr>
              <w:t>92</w:t>
            </w:r>
            <w:r>
              <w:rPr>
                <w:noProof/>
                <w:webHidden/>
              </w:rPr>
              <w:fldChar w:fldCharType="end"/>
            </w:r>
          </w:hyperlink>
        </w:p>
        <w:p w:rsidR="001D63C9" w:rsidRDefault="001D63C9" w14:paraId="574D2D7A" w14:textId="321540D6">
          <w:pPr>
            <w:pStyle w:val="TOC2"/>
            <w:tabs>
              <w:tab w:val="right" w:leader="dot" w:pos="9350"/>
            </w:tabs>
            <w:rPr>
              <w:rFonts w:asciiTheme="minorHAnsi" w:hAnsiTheme="minorHAnsi" w:cstheme="minorBidi"/>
              <w:noProof/>
              <w:kern w:val="2"/>
              <w:sz w:val="24"/>
              <w:szCs w:val="24"/>
              <w14:ligatures w14:val="standardContextual"/>
            </w:rPr>
          </w:pPr>
          <w:hyperlink w:history="1" w:anchor="_Toc200371004">
            <w:r w:rsidRPr="00FB2E47">
              <w:rPr>
                <w:rStyle w:val="Hyperlink"/>
                <w:noProof/>
              </w:rPr>
              <w:t>8.6.</w:t>
            </w:r>
            <w:r>
              <w:rPr>
                <w:rFonts w:asciiTheme="minorHAnsi" w:hAnsiTheme="minorHAnsi" w:cstheme="minorBidi"/>
                <w:noProof/>
                <w:kern w:val="2"/>
                <w:sz w:val="24"/>
                <w:szCs w:val="24"/>
                <w14:ligatures w14:val="standardContextual"/>
              </w:rPr>
              <w:tab/>
            </w:r>
            <w:r w:rsidRPr="00FB2E47">
              <w:rPr>
                <w:rStyle w:val="Hyperlink"/>
                <w:noProof/>
              </w:rPr>
              <w:t>Contracting Agent Arrangements</w:t>
            </w:r>
            <w:r>
              <w:rPr>
                <w:noProof/>
                <w:webHidden/>
              </w:rPr>
              <w:tab/>
            </w:r>
            <w:r>
              <w:rPr>
                <w:noProof/>
                <w:webHidden/>
              </w:rPr>
              <w:fldChar w:fldCharType="begin"/>
            </w:r>
            <w:r>
              <w:rPr>
                <w:noProof/>
                <w:webHidden/>
              </w:rPr>
              <w:instrText xml:space="preserve"> PAGEREF _Toc200371004 \h </w:instrText>
            </w:r>
            <w:r>
              <w:rPr>
                <w:noProof/>
                <w:webHidden/>
              </w:rPr>
            </w:r>
            <w:r>
              <w:rPr>
                <w:noProof/>
                <w:webHidden/>
              </w:rPr>
              <w:fldChar w:fldCharType="separate"/>
            </w:r>
            <w:r w:rsidR="00A801FD">
              <w:rPr>
                <w:noProof/>
                <w:webHidden/>
              </w:rPr>
              <w:t>94</w:t>
            </w:r>
            <w:r>
              <w:rPr>
                <w:noProof/>
                <w:webHidden/>
              </w:rPr>
              <w:fldChar w:fldCharType="end"/>
            </w:r>
          </w:hyperlink>
        </w:p>
        <w:p w:rsidR="001D63C9" w:rsidRDefault="001D63C9" w14:paraId="46D68F64" w14:textId="664BDB8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1005">
            <w:r w:rsidRPr="00FB2E47">
              <w:rPr>
                <w:rStyle w:val="Hyperlink"/>
                <w:noProof/>
              </w:rPr>
              <w:t>8.6.1.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_Toc200371005 \h </w:instrText>
            </w:r>
            <w:r>
              <w:rPr>
                <w:noProof/>
                <w:webHidden/>
              </w:rPr>
            </w:r>
            <w:r>
              <w:rPr>
                <w:noProof/>
                <w:webHidden/>
              </w:rPr>
              <w:fldChar w:fldCharType="separate"/>
            </w:r>
            <w:r w:rsidR="00A801FD">
              <w:rPr>
                <w:noProof/>
                <w:webHidden/>
              </w:rPr>
              <w:t>94</w:t>
            </w:r>
            <w:r>
              <w:rPr>
                <w:noProof/>
                <w:webHidden/>
              </w:rPr>
              <w:fldChar w:fldCharType="end"/>
            </w:r>
          </w:hyperlink>
        </w:p>
        <w:p w:rsidR="001D63C9" w:rsidRDefault="001D63C9" w14:paraId="3047C2A6" w14:textId="49911991">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1006">
            <w:r w:rsidRPr="00FB2E47">
              <w:rPr>
                <w:rStyle w:val="Hyperlink"/>
                <w:noProof/>
              </w:rPr>
              <w:t>8.6.2.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_Toc200371006 \h </w:instrText>
            </w:r>
            <w:r>
              <w:rPr>
                <w:noProof/>
                <w:webHidden/>
              </w:rPr>
            </w:r>
            <w:r>
              <w:rPr>
                <w:noProof/>
                <w:webHidden/>
              </w:rPr>
              <w:fldChar w:fldCharType="separate"/>
            </w:r>
            <w:r w:rsidR="00A801FD">
              <w:rPr>
                <w:noProof/>
                <w:webHidden/>
              </w:rPr>
              <w:t>96</w:t>
            </w:r>
            <w:r>
              <w:rPr>
                <w:noProof/>
                <w:webHidden/>
              </w:rPr>
              <w:fldChar w:fldCharType="end"/>
            </w:r>
          </w:hyperlink>
        </w:p>
        <w:p w:rsidR="001D63C9" w:rsidRDefault="001D63C9" w14:paraId="4C03338B" w14:textId="1F975AD2">
          <w:pPr>
            <w:pStyle w:val="TOC2"/>
            <w:tabs>
              <w:tab w:val="right" w:leader="dot" w:pos="9350"/>
            </w:tabs>
            <w:rPr>
              <w:rFonts w:asciiTheme="minorHAnsi" w:hAnsiTheme="minorHAnsi" w:cstheme="minorBidi"/>
              <w:noProof/>
              <w:kern w:val="2"/>
              <w:sz w:val="24"/>
              <w:szCs w:val="24"/>
              <w14:ligatures w14:val="standardContextual"/>
            </w:rPr>
          </w:pPr>
          <w:hyperlink w:history="1" w:anchor="_Toc200371007">
            <w:r w:rsidRPr="00FB2E47">
              <w:rPr>
                <w:rStyle w:val="Hyperlink"/>
                <w:noProof/>
              </w:rPr>
              <w:t>8.7.</w:t>
            </w:r>
            <w:r>
              <w:rPr>
                <w:rFonts w:asciiTheme="minorHAnsi" w:hAnsiTheme="minorHAnsi" w:cstheme="minorBidi"/>
                <w:noProof/>
                <w:kern w:val="2"/>
                <w:sz w:val="24"/>
                <w:szCs w:val="24"/>
                <w14:ligatures w14:val="standardContextual"/>
              </w:rPr>
              <w:tab/>
            </w:r>
            <w:r w:rsidRPr="00FB2E47">
              <w:rPr>
                <w:rStyle w:val="Hyperlink"/>
                <w:noProof/>
              </w:rPr>
              <w:t>Reporting Requirements</w:t>
            </w:r>
            <w:r>
              <w:rPr>
                <w:noProof/>
                <w:webHidden/>
              </w:rPr>
              <w:tab/>
            </w:r>
            <w:r>
              <w:rPr>
                <w:noProof/>
                <w:webHidden/>
              </w:rPr>
              <w:fldChar w:fldCharType="begin"/>
            </w:r>
            <w:r>
              <w:rPr>
                <w:noProof/>
                <w:webHidden/>
              </w:rPr>
              <w:instrText xml:space="preserve"> PAGEREF _Toc200371007 \h </w:instrText>
            </w:r>
            <w:r>
              <w:rPr>
                <w:noProof/>
                <w:webHidden/>
              </w:rPr>
            </w:r>
            <w:r>
              <w:rPr>
                <w:noProof/>
                <w:webHidden/>
              </w:rPr>
              <w:fldChar w:fldCharType="separate"/>
            </w:r>
            <w:r w:rsidR="00A801FD">
              <w:rPr>
                <w:noProof/>
                <w:webHidden/>
              </w:rPr>
              <w:t>96</w:t>
            </w:r>
            <w:r>
              <w:rPr>
                <w:noProof/>
                <w:webHidden/>
              </w:rPr>
              <w:fldChar w:fldCharType="end"/>
            </w:r>
          </w:hyperlink>
        </w:p>
        <w:p w:rsidR="001D63C9" w:rsidRDefault="001D63C9" w14:paraId="31DD4226" w14:textId="3C355EFA">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1008">
            <w:r w:rsidRPr="00FB2E47">
              <w:rPr>
                <w:rStyle w:val="Hyperlink"/>
                <w:noProof/>
              </w:rPr>
              <w:t>8.7.1.</w:t>
            </w:r>
            <w:r>
              <w:rPr>
                <w:rFonts w:asciiTheme="minorHAnsi" w:hAnsiTheme="minorHAnsi" w:cstheme="minorBidi"/>
                <w:noProof/>
                <w:kern w:val="2"/>
                <w:sz w:val="24"/>
                <w:szCs w:val="24"/>
                <w14:ligatures w14:val="standardContextual"/>
              </w:rPr>
              <w:tab/>
            </w:r>
            <w:r w:rsidRPr="00FB2E47">
              <w:rPr>
                <w:rStyle w:val="Hyperlink"/>
                <w:noProof/>
              </w:rPr>
              <w:t>Summary of Party Positions</w:t>
            </w:r>
            <w:r>
              <w:rPr>
                <w:noProof/>
                <w:webHidden/>
              </w:rPr>
              <w:tab/>
            </w:r>
            <w:r>
              <w:rPr>
                <w:noProof/>
                <w:webHidden/>
              </w:rPr>
              <w:fldChar w:fldCharType="begin"/>
            </w:r>
            <w:r>
              <w:rPr>
                <w:noProof/>
                <w:webHidden/>
              </w:rPr>
              <w:instrText xml:space="preserve"> PAGEREF _Toc200371008 \h </w:instrText>
            </w:r>
            <w:r>
              <w:rPr>
                <w:noProof/>
                <w:webHidden/>
              </w:rPr>
            </w:r>
            <w:r>
              <w:rPr>
                <w:noProof/>
                <w:webHidden/>
              </w:rPr>
              <w:fldChar w:fldCharType="separate"/>
            </w:r>
            <w:r w:rsidR="00A801FD">
              <w:rPr>
                <w:noProof/>
                <w:webHidden/>
              </w:rPr>
              <w:t>96</w:t>
            </w:r>
            <w:r>
              <w:rPr>
                <w:noProof/>
                <w:webHidden/>
              </w:rPr>
              <w:fldChar w:fldCharType="end"/>
            </w:r>
          </w:hyperlink>
        </w:p>
        <w:p w:rsidR="001D63C9" w:rsidRDefault="001D63C9" w14:paraId="103F7FCD" w14:textId="408EDA9B">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0371009">
            <w:r w:rsidRPr="00FB2E47">
              <w:rPr>
                <w:rStyle w:val="Hyperlink"/>
                <w:noProof/>
              </w:rPr>
              <w:t>8.7.2.</w:t>
            </w:r>
            <w:r>
              <w:rPr>
                <w:rFonts w:asciiTheme="minorHAnsi" w:hAnsiTheme="minorHAnsi" w:cstheme="minorBidi"/>
                <w:noProof/>
                <w:kern w:val="2"/>
                <w:sz w:val="24"/>
                <w:szCs w:val="24"/>
                <w14:ligatures w14:val="standardContextual"/>
              </w:rPr>
              <w:tab/>
            </w:r>
            <w:r w:rsidRPr="00FB2E47">
              <w:rPr>
                <w:rStyle w:val="Hyperlink"/>
                <w:noProof/>
              </w:rPr>
              <w:t>Discussion</w:t>
            </w:r>
            <w:r>
              <w:rPr>
                <w:noProof/>
                <w:webHidden/>
              </w:rPr>
              <w:tab/>
            </w:r>
            <w:r>
              <w:rPr>
                <w:noProof/>
                <w:webHidden/>
              </w:rPr>
              <w:fldChar w:fldCharType="begin"/>
            </w:r>
            <w:r>
              <w:rPr>
                <w:noProof/>
                <w:webHidden/>
              </w:rPr>
              <w:instrText xml:space="preserve"> PAGEREF _Toc200371009 \h </w:instrText>
            </w:r>
            <w:r>
              <w:rPr>
                <w:noProof/>
                <w:webHidden/>
              </w:rPr>
            </w:r>
            <w:r>
              <w:rPr>
                <w:noProof/>
                <w:webHidden/>
              </w:rPr>
              <w:fldChar w:fldCharType="separate"/>
            </w:r>
            <w:r w:rsidR="00A801FD">
              <w:rPr>
                <w:noProof/>
                <w:webHidden/>
              </w:rPr>
              <w:t>99</w:t>
            </w:r>
            <w:r>
              <w:rPr>
                <w:noProof/>
                <w:webHidden/>
              </w:rPr>
              <w:fldChar w:fldCharType="end"/>
            </w:r>
          </w:hyperlink>
        </w:p>
        <w:p w:rsidR="001D63C9" w:rsidRDefault="001D63C9" w14:paraId="6F16A6B3" w14:textId="1C9A9000">
          <w:pPr>
            <w:pStyle w:val="TOC1"/>
            <w:tabs>
              <w:tab w:val="right" w:leader="dot" w:pos="9350"/>
            </w:tabs>
            <w:rPr>
              <w:rFonts w:asciiTheme="minorHAnsi" w:hAnsiTheme="minorHAnsi" w:cstheme="minorBidi"/>
              <w:noProof/>
              <w:kern w:val="2"/>
              <w:sz w:val="24"/>
              <w:szCs w:val="24"/>
              <w14:ligatures w14:val="standardContextual"/>
            </w:rPr>
          </w:pPr>
          <w:hyperlink w:history="1" w:anchor="_Toc200371010">
            <w:r w:rsidRPr="00FB2E47">
              <w:rPr>
                <w:rStyle w:val="Hyperlink"/>
                <w:noProof/>
              </w:rPr>
              <w:t>9.</w:t>
            </w:r>
            <w:r>
              <w:rPr>
                <w:rFonts w:asciiTheme="minorHAnsi" w:hAnsiTheme="minorHAnsi" w:cstheme="minorBidi"/>
                <w:noProof/>
                <w:kern w:val="2"/>
                <w:sz w:val="24"/>
                <w:szCs w:val="24"/>
                <w14:ligatures w14:val="standardContextual"/>
              </w:rPr>
              <w:tab/>
            </w:r>
            <w:r w:rsidRPr="00FB2E47">
              <w:rPr>
                <w:rStyle w:val="Hyperlink"/>
                <w:noProof/>
              </w:rPr>
              <w:t>ESJ Action Plan Goals</w:t>
            </w:r>
            <w:r>
              <w:rPr>
                <w:noProof/>
                <w:webHidden/>
              </w:rPr>
              <w:tab/>
            </w:r>
            <w:r>
              <w:rPr>
                <w:noProof/>
                <w:webHidden/>
              </w:rPr>
              <w:fldChar w:fldCharType="begin"/>
            </w:r>
            <w:r>
              <w:rPr>
                <w:noProof/>
                <w:webHidden/>
              </w:rPr>
              <w:instrText xml:space="preserve"> PAGEREF _Toc200371010 \h </w:instrText>
            </w:r>
            <w:r>
              <w:rPr>
                <w:noProof/>
                <w:webHidden/>
              </w:rPr>
            </w:r>
            <w:r>
              <w:rPr>
                <w:noProof/>
                <w:webHidden/>
              </w:rPr>
              <w:fldChar w:fldCharType="separate"/>
            </w:r>
            <w:r w:rsidR="00A801FD">
              <w:rPr>
                <w:noProof/>
                <w:webHidden/>
              </w:rPr>
              <w:t>101</w:t>
            </w:r>
            <w:r>
              <w:rPr>
                <w:noProof/>
                <w:webHidden/>
              </w:rPr>
              <w:fldChar w:fldCharType="end"/>
            </w:r>
          </w:hyperlink>
        </w:p>
        <w:p w:rsidR="001D63C9" w:rsidRDefault="001D63C9" w14:paraId="530608F4" w14:textId="54ED5A7D">
          <w:pPr>
            <w:pStyle w:val="TOC1"/>
            <w:tabs>
              <w:tab w:val="right" w:leader="dot" w:pos="9350"/>
            </w:tabs>
            <w:rPr>
              <w:rFonts w:asciiTheme="minorHAnsi" w:hAnsiTheme="minorHAnsi" w:cstheme="minorBidi"/>
              <w:noProof/>
              <w:kern w:val="2"/>
              <w:sz w:val="24"/>
              <w:szCs w:val="24"/>
              <w14:ligatures w14:val="standardContextual"/>
            </w:rPr>
          </w:pPr>
          <w:hyperlink w:history="1" w:anchor="_Toc200371011">
            <w:r w:rsidRPr="00FB2E47">
              <w:rPr>
                <w:rStyle w:val="Hyperlink"/>
                <w:noProof/>
              </w:rPr>
              <w:t>10.</w:t>
            </w:r>
            <w:r>
              <w:rPr>
                <w:rFonts w:asciiTheme="minorHAnsi" w:hAnsiTheme="minorHAnsi" w:cstheme="minorBidi"/>
                <w:noProof/>
                <w:kern w:val="2"/>
                <w:sz w:val="24"/>
                <w:szCs w:val="24"/>
                <w14:ligatures w14:val="standardContextual"/>
              </w:rPr>
              <w:tab/>
            </w:r>
            <w:r w:rsidRPr="00FB2E47">
              <w:rPr>
                <w:rStyle w:val="Hyperlink"/>
                <w:noProof/>
              </w:rPr>
              <w:t>Comments on Proposed Decision</w:t>
            </w:r>
            <w:r>
              <w:rPr>
                <w:noProof/>
                <w:webHidden/>
              </w:rPr>
              <w:tab/>
            </w:r>
            <w:r>
              <w:rPr>
                <w:noProof/>
                <w:webHidden/>
              </w:rPr>
              <w:fldChar w:fldCharType="begin"/>
            </w:r>
            <w:r>
              <w:rPr>
                <w:noProof/>
                <w:webHidden/>
              </w:rPr>
              <w:instrText xml:space="preserve"> PAGEREF _Toc200371011 \h </w:instrText>
            </w:r>
            <w:r>
              <w:rPr>
                <w:noProof/>
                <w:webHidden/>
              </w:rPr>
            </w:r>
            <w:r>
              <w:rPr>
                <w:noProof/>
                <w:webHidden/>
              </w:rPr>
              <w:fldChar w:fldCharType="separate"/>
            </w:r>
            <w:r w:rsidR="00A801FD">
              <w:rPr>
                <w:noProof/>
                <w:webHidden/>
              </w:rPr>
              <w:t>102</w:t>
            </w:r>
            <w:r>
              <w:rPr>
                <w:noProof/>
                <w:webHidden/>
              </w:rPr>
              <w:fldChar w:fldCharType="end"/>
            </w:r>
          </w:hyperlink>
        </w:p>
        <w:p w:rsidR="001D63C9" w:rsidRDefault="001D63C9" w14:paraId="29925015" w14:textId="37302044">
          <w:pPr>
            <w:pStyle w:val="TOC1"/>
            <w:tabs>
              <w:tab w:val="right" w:leader="dot" w:pos="9350"/>
            </w:tabs>
            <w:rPr>
              <w:rFonts w:asciiTheme="minorHAnsi" w:hAnsiTheme="minorHAnsi" w:cstheme="minorBidi"/>
              <w:noProof/>
              <w:kern w:val="2"/>
              <w:sz w:val="24"/>
              <w:szCs w:val="24"/>
              <w14:ligatures w14:val="standardContextual"/>
            </w:rPr>
          </w:pPr>
          <w:hyperlink w:history="1" w:anchor="_Toc200371012">
            <w:r w:rsidRPr="00FB2E47">
              <w:rPr>
                <w:rStyle w:val="Hyperlink"/>
                <w:noProof/>
              </w:rPr>
              <w:t>11.</w:t>
            </w:r>
            <w:r>
              <w:rPr>
                <w:rFonts w:asciiTheme="minorHAnsi" w:hAnsiTheme="minorHAnsi" w:cstheme="minorBidi"/>
                <w:noProof/>
                <w:kern w:val="2"/>
                <w:sz w:val="24"/>
                <w:szCs w:val="24"/>
                <w14:ligatures w14:val="standardContextual"/>
              </w:rPr>
              <w:tab/>
            </w:r>
            <w:r w:rsidRPr="00FB2E47">
              <w:rPr>
                <w:rStyle w:val="Hyperlink"/>
                <w:noProof/>
              </w:rPr>
              <w:t>Assignment of Proceeding</w:t>
            </w:r>
            <w:r>
              <w:rPr>
                <w:noProof/>
                <w:webHidden/>
              </w:rPr>
              <w:tab/>
            </w:r>
            <w:r>
              <w:rPr>
                <w:noProof/>
                <w:webHidden/>
              </w:rPr>
              <w:fldChar w:fldCharType="begin"/>
            </w:r>
            <w:r>
              <w:rPr>
                <w:noProof/>
                <w:webHidden/>
              </w:rPr>
              <w:instrText xml:space="preserve"> PAGEREF _Toc200371012 \h </w:instrText>
            </w:r>
            <w:r>
              <w:rPr>
                <w:noProof/>
                <w:webHidden/>
              </w:rPr>
            </w:r>
            <w:r>
              <w:rPr>
                <w:noProof/>
                <w:webHidden/>
              </w:rPr>
              <w:fldChar w:fldCharType="separate"/>
            </w:r>
            <w:r w:rsidR="00A801FD">
              <w:rPr>
                <w:noProof/>
                <w:webHidden/>
              </w:rPr>
              <w:t>106</w:t>
            </w:r>
            <w:r>
              <w:rPr>
                <w:noProof/>
                <w:webHidden/>
              </w:rPr>
              <w:fldChar w:fldCharType="end"/>
            </w:r>
          </w:hyperlink>
        </w:p>
        <w:p w:rsidR="001D63C9" w:rsidRDefault="001D63C9" w14:paraId="6D170E7E" w14:textId="18713EAC">
          <w:pPr>
            <w:pStyle w:val="TOC1"/>
            <w:tabs>
              <w:tab w:val="right" w:leader="dot" w:pos="9350"/>
            </w:tabs>
            <w:rPr>
              <w:rFonts w:asciiTheme="minorHAnsi" w:hAnsiTheme="minorHAnsi" w:cstheme="minorBidi"/>
              <w:noProof/>
              <w:kern w:val="2"/>
              <w:sz w:val="24"/>
              <w:szCs w:val="24"/>
              <w14:ligatures w14:val="standardContextual"/>
            </w:rPr>
          </w:pPr>
          <w:hyperlink w:history="1" w:anchor="_Toc200371013">
            <w:r w:rsidRPr="00FB2E47">
              <w:rPr>
                <w:rStyle w:val="Hyperlink"/>
                <w:noProof/>
              </w:rPr>
              <w:t>Findings of Fact</w:t>
            </w:r>
            <w:r>
              <w:rPr>
                <w:noProof/>
                <w:webHidden/>
              </w:rPr>
              <w:tab/>
            </w:r>
            <w:r>
              <w:rPr>
                <w:noProof/>
                <w:webHidden/>
              </w:rPr>
              <w:fldChar w:fldCharType="begin"/>
            </w:r>
            <w:r>
              <w:rPr>
                <w:noProof/>
                <w:webHidden/>
              </w:rPr>
              <w:instrText xml:space="preserve"> PAGEREF _Toc200371013 \h </w:instrText>
            </w:r>
            <w:r>
              <w:rPr>
                <w:noProof/>
                <w:webHidden/>
              </w:rPr>
            </w:r>
            <w:r>
              <w:rPr>
                <w:noProof/>
                <w:webHidden/>
              </w:rPr>
              <w:fldChar w:fldCharType="separate"/>
            </w:r>
            <w:r w:rsidR="00A801FD">
              <w:rPr>
                <w:noProof/>
                <w:webHidden/>
              </w:rPr>
              <w:t>106</w:t>
            </w:r>
            <w:r>
              <w:rPr>
                <w:noProof/>
                <w:webHidden/>
              </w:rPr>
              <w:fldChar w:fldCharType="end"/>
            </w:r>
          </w:hyperlink>
        </w:p>
        <w:p w:rsidR="001D63C9" w:rsidRDefault="001D63C9" w14:paraId="2893E1F3" w14:textId="3FB9A509">
          <w:pPr>
            <w:pStyle w:val="TOC1"/>
            <w:tabs>
              <w:tab w:val="right" w:leader="dot" w:pos="9350"/>
            </w:tabs>
            <w:rPr>
              <w:rFonts w:asciiTheme="minorHAnsi" w:hAnsiTheme="minorHAnsi" w:cstheme="minorBidi"/>
              <w:noProof/>
              <w:kern w:val="2"/>
              <w:sz w:val="24"/>
              <w:szCs w:val="24"/>
              <w14:ligatures w14:val="standardContextual"/>
            </w:rPr>
          </w:pPr>
          <w:hyperlink w:history="1" w:anchor="_Toc200371014">
            <w:r w:rsidRPr="00FB2E47">
              <w:rPr>
                <w:rStyle w:val="Hyperlink"/>
                <w:noProof/>
              </w:rPr>
              <w:t>Conclusions of Law</w:t>
            </w:r>
            <w:r>
              <w:rPr>
                <w:noProof/>
                <w:webHidden/>
              </w:rPr>
              <w:tab/>
            </w:r>
            <w:r>
              <w:rPr>
                <w:noProof/>
                <w:webHidden/>
              </w:rPr>
              <w:fldChar w:fldCharType="begin"/>
            </w:r>
            <w:r>
              <w:rPr>
                <w:noProof/>
                <w:webHidden/>
              </w:rPr>
              <w:instrText xml:space="preserve"> PAGEREF _Toc200371014 \h </w:instrText>
            </w:r>
            <w:r>
              <w:rPr>
                <w:noProof/>
                <w:webHidden/>
              </w:rPr>
            </w:r>
            <w:r>
              <w:rPr>
                <w:noProof/>
                <w:webHidden/>
              </w:rPr>
              <w:fldChar w:fldCharType="separate"/>
            </w:r>
            <w:r w:rsidR="00A801FD">
              <w:rPr>
                <w:noProof/>
                <w:webHidden/>
              </w:rPr>
              <w:t>113</w:t>
            </w:r>
            <w:r>
              <w:rPr>
                <w:noProof/>
                <w:webHidden/>
              </w:rPr>
              <w:fldChar w:fldCharType="end"/>
            </w:r>
          </w:hyperlink>
        </w:p>
        <w:p w:rsidR="001D63C9" w:rsidRDefault="001D63C9" w14:paraId="4C4FE997" w14:textId="3B1A71F8">
          <w:pPr>
            <w:pStyle w:val="TOC1"/>
            <w:tabs>
              <w:tab w:val="right" w:leader="dot" w:pos="9350"/>
            </w:tabs>
            <w:rPr>
              <w:rFonts w:asciiTheme="minorHAnsi" w:hAnsiTheme="minorHAnsi" w:cstheme="minorBidi"/>
              <w:noProof/>
              <w:kern w:val="2"/>
              <w:sz w:val="24"/>
              <w:szCs w:val="24"/>
              <w14:ligatures w14:val="standardContextual"/>
            </w:rPr>
          </w:pPr>
          <w:hyperlink w:history="1" w:anchor="_Toc200371015">
            <w:r w:rsidRPr="00FB2E47">
              <w:rPr>
                <w:rStyle w:val="Hyperlink"/>
                <w:noProof/>
              </w:rPr>
              <w:t>ORDER</w:t>
            </w:r>
            <w:r>
              <w:rPr>
                <w:noProof/>
                <w:webHidden/>
              </w:rPr>
              <w:tab/>
            </w:r>
            <w:r>
              <w:rPr>
                <w:noProof/>
                <w:webHidden/>
              </w:rPr>
              <w:fldChar w:fldCharType="begin"/>
            </w:r>
            <w:r>
              <w:rPr>
                <w:noProof/>
                <w:webHidden/>
              </w:rPr>
              <w:instrText xml:space="preserve"> PAGEREF _Toc200371015 \h </w:instrText>
            </w:r>
            <w:r>
              <w:rPr>
                <w:noProof/>
                <w:webHidden/>
              </w:rPr>
            </w:r>
            <w:r>
              <w:rPr>
                <w:noProof/>
                <w:webHidden/>
              </w:rPr>
              <w:fldChar w:fldCharType="separate"/>
            </w:r>
            <w:r w:rsidR="00A801FD">
              <w:rPr>
                <w:noProof/>
                <w:webHidden/>
              </w:rPr>
              <w:t>122</w:t>
            </w:r>
            <w:r>
              <w:rPr>
                <w:noProof/>
                <w:webHidden/>
              </w:rPr>
              <w:fldChar w:fldCharType="end"/>
            </w:r>
          </w:hyperlink>
        </w:p>
        <w:p w:rsidR="00924113" w:rsidP="00924113" w:rsidRDefault="00924113" w14:paraId="6C4B9F25" w14:textId="30C1162E">
          <w:pPr>
            <w:pStyle w:val="TOC1"/>
            <w:tabs>
              <w:tab w:val="right" w:leader="dot" w:pos="9350"/>
            </w:tabs>
          </w:pPr>
          <w:r>
            <w:rPr>
              <w:rFonts w:asciiTheme="minorHAnsi" w:hAnsiTheme="minorHAnsi"/>
              <w:sz w:val="22"/>
            </w:rPr>
            <w:fldChar w:fldCharType="end"/>
          </w:r>
        </w:p>
      </w:sdtContent>
    </w:sdt>
    <w:p w:rsidRPr="0098655A" w:rsidR="00924113" w:rsidP="00924113" w:rsidRDefault="00924113" w14:paraId="2C253E63" w14:textId="00916B09">
      <w:pPr>
        <w:spacing w:line="240" w:lineRule="auto"/>
        <w:ind w:firstLine="0"/>
        <w:rPr>
          <w:rFonts w:cs="Arial"/>
          <w:szCs w:val="26"/>
        </w:rPr>
      </w:pPr>
      <w:r w:rsidRPr="0098655A">
        <w:rPr>
          <w:rFonts w:cs="Arial"/>
          <w:b/>
          <w:szCs w:val="26"/>
        </w:rPr>
        <w:t>Appendix A</w:t>
      </w:r>
      <w:r w:rsidRPr="0098655A">
        <w:rPr>
          <w:rFonts w:cs="Arial"/>
          <w:szCs w:val="26"/>
        </w:rPr>
        <w:t xml:space="preserve"> –</w:t>
      </w:r>
      <w:r>
        <w:rPr>
          <w:rFonts w:cs="Arial"/>
          <w:szCs w:val="26"/>
        </w:rPr>
        <w:t xml:space="preserve"> </w:t>
      </w:r>
      <w:r w:rsidR="00F71515">
        <w:rPr>
          <w:rFonts w:cs="Arial"/>
          <w:szCs w:val="26"/>
        </w:rPr>
        <w:t>Electric Utilities</w:t>
      </w:r>
      <w:r w:rsidRPr="00097D0C" w:rsidR="00097D0C">
        <w:rPr>
          <w:rFonts w:cs="Arial"/>
          <w:szCs w:val="26"/>
        </w:rPr>
        <w:t xml:space="preserve"> New Reporting Requirements Established by </w:t>
      </w:r>
      <w:r w:rsidR="00097D0C">
        <w:rPr>
          <w:rFonts w:cs="Arial"/>
          <w:szCs w:val="26"/>
        </w:rPr>
        <w:t>D.XX</w:t>
      </w:r>
      <w:r w:rsidR="00220DCD">
        <w:rPr>
          <w:rFonts w:cs="Arial"/>
          <w:szCs w:val="26"/>
        </w:rPr>
        <w:noBreakHyphen/>
      </w:r>
      <w:r w:rsidR="00097D0C">
        <w:rPr>
          <w:rFonts w:cs="Arial"/>
          <w:szCs w:val="26"/>
        </w:rPr>
        <w:t>XX</w:t>
      </w:r>
      <w:r w:rsidR="00220DCD">
        <w:rPr>
          <w:rFonts w:cs="Arial"/>
          <w:szCs w:val="26"/>
        </w:rPr>
        <w:noBreakHyphen/>
      </w:r>
      <w:r w:rsidR="00097D0C">
        <w:rPr>
          <w:rFonts w:cs="Arial"/>
          <w:szCs w:val="26"/>
        </w:rPr>
        <w:t>XXX</w:t>
      </w:r>
    </w:p>
    <w:p w:rsidRPr="00097D0C" w:rsidR="00D44DB6" w:rsidP="00924113" w:rsidRDefault="00924113" w14:paraId="05B46884" w14:textId="5411FC46">
      <w:pPr>
        <w:spacing w:line="240" w:lineRule="auto"/>
        <w:ind w:firstLine="0"/>
        <w:rPr>
          <w:rFonts w:cs="Arial"/>
          <w:szCs w:val="26"/>
        </w:rPr>
      </w:pPr>
      <w:r w:rsidRPr="0098655A">
        <w:rPr>
          <w:rFonts w:cs="Arial"/>
          <w:b/>
          <w:szCs w:val="26"/>
        </w:rPr>
        <w:t>Appendix B</w:t>
      </w:r>
      <w:r w:rsidRPr="0098655A">
        <w:rPr>
          <w:rFonts w:cs="Arial"/>
          <w:szCs w:val="26"/>
        </w:rPr>
        <w:t xml:space="preserve"> – </w:t>
      </w:r>
      <w:r w:rsidRPr="00097D0C" w:rsidR="00097D0C">
        <w:rPr>
          <w:rFonts w:cs="Arial"/>
          <w:szCs w:val="26"/>
        </w:rPr>
        <w:t>TECH Tenant Protection Agreement</w:t>
      </w:r>
    </w:p>
    <w:p w:rsidRPr="00D44DB6" w:rsidR="00D44DB6" w:rsidP="00D44DB6" w:rsidRDefault="00D44DB6" w14:paraId="751A4AFE" w14:textId="7C7BF543">
      <w:pPr>
        <w:spacing w:line="240" w:lineRule="auto"/>
        <w:ind w:firstLine="0"/>
        <w:rPr>
          <w:rFonts w:cs="Arial"/>
          <w:i/>
          <w:szCs w:val="26"/>
        </w:rPr>
        <w:sectPr w:rsidRPr="00D44DB6" w:rsidR="00D44DB6" w:rsidSect="004F30F8">
          <w:footerReference w:type="default" r:id="rId13"/>
          <w:pgSz w:w="12240" w:h="15840"/>
          <w:pgMar w:top="1728" w:right="1440" w:bottom="1440" w:left="1440" w:header="720" w:footer="720" w:gutter="0"/>
          <w:pgNumType w:fmt="lowerRoman" w:start="1"/>
          <w:cols w:space="720"/>
          <w:docGrid w:linePitch="360"/>
        </w:sectPr>
      </w:pPr>
    </w:p>
    <w:p w:rsidRPr="006C423F" w:rsidR="006C423F" w:rsidP="006C423F" w:rsidRDefault="006C423F" w14:paraId="02EE9575" w14:textId="77777777">
      <w:pPr>
        <w:spacing w:line="240" w:lineRule="auto"/>
        <w:ind w:firstLine="0"/>
        <w:jc w:val="center"/>
        <w:rPr>
          <w:rFonts w:ascii="Arial" w:hAnsi="Arial" w:eastAsiaTheme="majorEastAsia" w:cstheme="majorBidi"/>
          <w:b/>
          <w:caps/>
          <w:szCs w:val="56"/>
        </w:rPr>
      </w:pPr>
      <w:r w:rsidRPr="006C423F">
        <w:rPr>
          <w:rFonts w:ascii="Arial" w:hAnsi="Arial" w:eastAsiaTheme="majorEastAsia" w:cstheme="majorBidi"/>
          <w:b/>
          <w:caps/>
          <w:szCs w:val="56"/>
        </w:rPr>
        <w:lastRenderedPageBreak/>
        <w:t>PHASE 4 TRACK A DECISION ESTABLISHING NEW ELECTRIC</w:t>
      </w:r>
    </w:p>
    <w:p w:rsidRPr="006C423F" w:rsidR="006C423F" w:rsidP="006C423F" w:rsidRDefault="006C423F" w14:paraId="15E85F4E" w14:textId="77777777">
      <w:pPr>
        <w:spacing w:line="240" w:lineRule="auto"/>
        <w:ind w:firstLine="0"/>
        <w:jc w:val="center"/>
        <w:rPr>
          <w:rFonts w:ascii="Arial" w:hAnsi="Arial" w:eastAsiaTheme="majorEastAsia" w:cstheme="majorBidi"/>
          <w:b/>
          <w:caps/>
          <w:szCs w:val="56"/>
        </w:rPr>
      </w:pPr>
      <w:r w:rsidRPr="006C423F">
        <w:rPr>
          <w:rFonts w:ascii="Arial" w:hAnsi="Arial" w:eastAsiaTheme="majorEastAsia" w:cstheme="majorBidi"/>
          <w:b/>
          <w:caps/>
          <w:szCs w:val="56"/>
        </w:rPr>
        <w:t>SERVICE LINE UPSIZING RULES, MODIFYING ELECTRIC LINE</w:t>
      </w:r>
    </w:p>
    <w:p w:rsidRPr="006C423F" w:rsidR="006C423F" w:rsidP="006C423F" w:rsidRDefault="006C423F" w14:paraId="0E9CF6DA" w14:textId="77777777">
      <w:pPr>
        <w:spacing w:line="240" w:lineRule="auto"/>
        <w:ind w:firstLine="0"/>
        <w:jc w:val="center"/>
        <w:rPr>
          <w:rFonts w:ascii="Arial" w:hAnsi="Arial" w:eastAsiaTheme="majorEastAsia" w:cstheme="majorBidi"/>
          <w:b/>
          <w:caps/>
          <w:szCs w:val="56"/>
        </w:rPr>
      </w:pPr>
      <w:r w:rsidRPr="006C423F">
        <w:rPr>
          <w:rFonts w:ascii="Arial" w:hAnsi="Arial" w:eastAsiaTheme="majorEastAsia" w:cstheme="majorBidi"/>
          <w:b/>
          <w:caps/>
          <w:szCs w:val="56"/>
        </w:rPr>
        <w:t>EXTENSION RULES AND REPORTING REQUIREMENTS, AND</w:t>
      </w:r>
    </w:p>
    <w:p w:rsidRPr="007A1CFC" w:rsidR="007A1CFC" w:rsidP="006C423F" w:rsidRDefault="006C423F" w14:paraId="37256D04" w14:textId="36B6C690">
      <w:pPr>
        <w:spacing w:after="240" w:line="240" w:lineRule="auto"/>
        <w:ind w:firstLine="0"/>
        <w:jc w:val="center"/>
      </w:pPr>
      <w:r w:rsidRPr="006C423F">
        <w:rPr>
          <w:rFonts w:ascii="Arial" w:hAnsi="Arial" w:eastAsiaTheme="majorEastAsia" w:cstheme="majorBidi"/>
          <w:b/>
          <w:caps/>
          <w:szCs w:val="56"/>
        </w:rPr>
        <w:t>IMPLEMENTING ASSEMBLY BILL 157</w:t>
      </w:r>
    </w:p>
    <w:p w:rsidRPr="00BE1283" w:rsidR="005A148C" w:rsidP="00BE1283" w:rsidRDefault="005A148C" w14:paraId="22157B46" w14:textId="00CFD336">
      <w:pPr>
        <w:pStyle w:val="Dummy"/>
      </w:pPr>
      <w:bookmarkStart w:name="_Toc8123714" w:id="2"/>
      <w:bookmarkStart w:name="_Toc185579347" w:id="3"/>
      <w:bookmarkStart w:name="_Toc192263673" w:id="4"/>
      <w:bookmarkStart w:name="_Toc200370960" w:id="5"/>
      <w:r w:rsidRPr="009D1072">
        <w:t>Summary</w:t>
      </w:r>
      <w:bookmarkEnd w:id="2"/>
      <w:bookmarkEnd w:id="3"/>
      <w:bookmarkEnd w:id="4"/>
      <w:bookmarkEnd w:id="5"/>
    </w:p>
    <w:p w:rsidR="0075101B" w:rsidP="00220DCD" w:rsidRDefault="51602A86" w14:paraId="6017774B" w14:textId="0F4E00A7">
      <w:pPr>
        <w:pStyle w:val="Standard"/>
      </w:pPr>
      <w:r>
        <w:t xml:space="preserve">This </w:t>
      </w:r>
      <w:r w:rsidR="3C920F55">
        <w:t xml:space="preserve">decision </w:t>
      </w:r>
      <w:r w:rsidR="008E2B80">
        <w:t xml:space="preserve">resolves the </w:t>
      </w:r>
      <w:r w:rsidR="00965771">
        <w:t xml:space="preserve">Phase 4 </w:t>
      </w:r>
      <w:r w:rsidR="5FAE0BC4">
        <w:t>Track </w:t>
      </w:r>
      <w:r w:rsidR="6A699565">
        <w:t>A</w:t>
      </w:r>
      <w:r w:rsidR="008E2B80">
        <w:t xml:space="preserve"> issues</w:t>
      </w:r>
      <w:r w:rsidR="50977910">
        <w:t xml:space="preserve"> </w:t>
      </w:r>
      <w:r w:rsidR="182013D4">
        <w:t xml:space="preserve">identified in the </w:t>
      </w:r>
      <w:r w:rsidR="0CAA49A3">
        <w:t xml:space="preserve">Assigned Commissioner’s </w:t>
      </w:r>
      <w:r w:rsidR="182013D4">
        <w:t xml:space="preserve">Phase 4 Scoping </w:t>
      </w:r>
      <w:r w:rsidR="28685E4E">
        <w:t xml:space="preserve">Memo and </w:t>
      </w:r>
      <w:r w:rsidR="182013D4">
        <w:t>Ruling</w:t>
      </w:r>
      <w:r w:rsidR="166BE99A">
        <w:t xml:space="preserve"> a</w:t>
      </w:r>
      <w:r w:rsidR="009D16EE">
        <w:t>nd the</w:t>
      </w:r>
      <w:r w:rsidR="166BE99A">
        <w:t xml:space="preserve"> implementation </w:t>
      </w:r>
      <w:r w:rsidR="009D16EE">
        <w:t>issues relating to</w:t>
      </w:r>
      <w:r w:rsidR="5F1B5D7B">
        <w:t xml:space="preserve"> </w:t>
      </w:r>
      <w:r w:rsidR="166BE99A">
        <w:t>Assembly Bill 157 (Gabriel</w:t>
      </w:r>
      <w:r w:rsidR="618B733B">
        <w:t xml:space="preserve">, Chapter </w:t>
      </w:r>
      <w:r w:rsidR="256AF3E3">
        <w:t>994</w:t>
      </w:r>
      <w:r w:rsidR="618B733B">
        <w:t>, Statutes 2024)</w:t>
      </w:r>
      <w:r w:rsidR="3BB24072">
        <w:t xml:space="preserve"> identified in the </w:t>
      </w:r>
      <w:r w:rsidR="3C52CD6B">
        <w:t xml:space="preserve">Assigned </w:t>
      </w:r>
      <w:r w:rsidR="3BB24072">
        <w:t xml:space="preserve">Administrative Law Judge’s </w:t>
      </w:r>
      <w:r w:rsidR="00EF3CC9">
        <w:t xml:space="preserve">October 8, 2024 </w:t>
      </w:r>
      <w:r w:rsidR="3BB24072">
        <w:t xml:space="preserve">Ruling. </w:t>
      </w:r>
      <w:r w:rsidR="009D16EE">
        <w:t>S</w:t>
      </w:r>
      <w:r w:rsidR="3BB24072">
        <w:t>pecifically, this decision</w:t>
      </w:r>
      <w:r w:rsidR="534C5A4E">
        <w:t>:</w:t>
      </w:r>
      <w:r w:rsidR="3BB24072">
        <w:t xml:space="preserve"> </w:t>
      </w:r>
    </w:p>
    <w:p w:rsidR="009D16EE" w:rsidP="00E22537" w:rsidRDefault="0075101B" w14:paraId="5124C7C6" w14:textId="6C8B8631">
      <w:pPr>
        <w:pStyle w:val="ListNum"/>
        <w:ind w:right="1080"/>
      </w:pPr>
      <w:r>
        <w:t>A</w:t>
      </w:r>
      <w:r w:rsidR="4ED5DD74">
        <w:t xml:space="preserve">uthorizes up to </w:t>
      </w:r>
      <w:r w:rsidR="37F50F8D">
        <w:t>$5</w:t>
      </w:r>
      <w:r w:rsidR="002E58D8">
        <w:t> million</w:t>
      </w:r>
      <w:r w:rsidR="4ED5DD74">
        <w:t xml:space="preserve"> annually </w:t>
      </w:r>
      <w:r w:rsidR="001D1EB3">
        <w:t>through</w:t>
      </w:r>
      <w:r w:rsidR="00283BDF">
        <w:t xml:space="preserve"> the end of 2029 </w:t>
      </w:r>
      <w:r w:rsidR="4ED5DD74">
        <w:t xml:space="preserve">for </w:t>
      </w:r>
      <w:r w:rsidR="33A6C86D">
        <w:t xml:space="preserve">California’s electric </w:t>
      </w:r>
      <w:r w:rsidR="00E41DE0">
        <w:t xml:space="preserve">utilities </w:t>
      </w:r>
      <w:r w:rsidR="33A6C86D">
        <w:t xml:space="preserve">to </w:t>
      </w:r>
      <w:r w:rsidR="68E22955">
        <w:t xml:space="preserve">provide electric service line </w:t>
      </w:r>
      <w:r w:rsidR="00513458">
        <w:t>upsizing</w:t>
      </w:r>
      <w:r w:rsidR="661CE403">
        <w:t xml:space="preserve"> </w:t>
      </w:r>
      <w:r w:rsidR="15C1E74D">
        <w:t xml:space="preserve">to </w:t>
      </w:r>
      <w:r w:rsidR="121B4CFE">
        <w:t>qualif</w:t>
      </w:r>
      <w:r w:rsidR="303B8F68">
        <w:t>ied</w:t>
      </w:r>
      <w:r w:rsidR="121B4CFE">
        <w:t xml:space="preserve"> </w:t>
      </w:r>
      <w:r w:rsidDel="00F13B84" w:rsidR="35DA476A">
        <w:t>under-resourced</w:t>
      </w:r>
      <w:r w:rsidR="35DA476A">
        <w:t xml:space="preserve"> </w:t>
      </w:r>
      <w:r w:rsidR="15C1E74D">
        <w:t>customers</w:t>
      </w:r>
      <w:r w:rsidR="303B8F68">
        <w:t xml:space="preserve"> pursuing electrification of their home or business; </w:t>
      </w:r>
    </w:p>
    <w:p w:rsidR="009D16EE" w:rsidP="00E22537" w:rsidRDefault="0075101B" w14:paraId="4EF5F8BC" w14:textId="10C07C7F">
      <w:pPr>
        <w:pStyle w:val="ListNum"/>
        <w:ind w:right="1080"/>
      </w:pPr>
      <w:r>
        <w:t>A</w:t>
      </w:r>
      <w:r w:rsidR="226D6A54">
        <w:t xml:space="preserve">dopts measures to </w:t>
      </w:r>
      <w:r w:rsidR="529C81EE">
        <w:t xml:space="preserve">help </w:t>
      </w:r>
      <w:r w:rsidR="226D6A54">
        <w:t>prevent unnecessary electric service line upsizing</w:t>
      </w:r>
      <w:r w:rsidR="4D8ECFB8">
        <w:t xml:space="preserve">, </w:t>
      </w:r>
      <w:r w:rsidR="671769D7">
        <w:t>including</w:t>
      </w:r>
      <w:r w:rsidR="226D6A54">
        <w:t xml:space="preserve"> </w:t>
      </w:r>
      <w:r w:rsidR="656A5222">
        <w:t>expand</w:t>
      </w:r>
      <w:r w:rsidR="4D8ECFB8">
        <w:t>ing</w:t>
      </w:r>
      <w:r w:rsidR="656A5222">
        <w:t xml:space="preserve"> </w:t>
      </w:r>
      <w:r w:rsidR="53E07E9F">
        <w:t xml:space="preserve">the </w:t>
      </w:r>
      <w:r w:rsidR="656A5222">
        <w:t xml:space="preserve">existing electric utility safety evaluation processes to </w:t>
      </w:r>
      <w:r w:rsidR="4D8ECFB8">
        <w:t xml:space="preserve">authorize </w:t>
      </w:r>
      <w:r w:rsidR="656A5222">
        <w:t>non-isolating devices</w:t>
      </w:r>
      <w:r w:rsidR="00A55D0B">
        <w:t xml:space="preserve"> that interface with utility metering equipment</w:t>
      </w:r>
      <w:r w:rsidR="1B1E54A0">
        <w:t xml:space="preserve">; </w:t>
      </w:r>
    </w:p>
    <w:p w:rsidR="009D16EE" w:rsidP="00E22537" w:rsidRDefault="49424C2B" w14:paraId="4651DC67" w14:textId="7BB85FEF">
      <w:pPr>
        <w:pStyle w:val="ListNum"/>
        <w:ind w:right="1080"/>
      </w:pPr>
      <w:r>
        <w:t>C</w:t>
      </w:r>
      <w:r w:rsidR="64B5BB50">
        <w:t>l</w:t>
      </w:r>
      <w:r w:rsidR="6331205D">
        <w:t>arifies and modifies various aspects of D</w:t>
      </w:r>
      <w:r w:rsidR="7C03CB6E">
        <w:t>ecision</w:t>
      </w:r>
      <w:r w:rsidR="002E58D8">
        <w:t> </w:t>
      </w:r>
      <w:r w:rsidR="6331205D">
        <w:t>23</w:t>
      </w:r>
      <w:r w:rsidR="002E58D8">
        <w:noBreakHyphen/>
      </w:r>
      <w:r w:rsidR="6331205D">
        <w:t>12</w:t>
      </w:r>
      <w:r w:rsidR="002E58D8">
        <w:noBreakHyphen/>
      </w:r>
      <w:r w:rsidR="6331205D">
        <w:t xml:space="preserve">037, including </w:t>
      </w:r>
      <w:r w:rsidR="35ACF556">
        <w:t xml:space="preserve">extending </w:t>
      </w:r>
      <w:r w:rsidR="4B13E9B7">
        <w:t>the energization deadline for mixed-fuel new construction project</w:t>
      </w:r>
      <w:r w:rsidR="7CFEE7FA">
        <w:t>s</w:t>
      </w:r>
      <w:r w:rsidR="4B13E9B7">
        <w:t xml:space="preserve"> to receive electric line extension subsidies; </w:t>
      </w:r>
    </w:p>
    <w:p w:rsidR="009D16EE" w:rsidP="00E22537" w:rsidRDefault="49424C2B" w14:paraId="36C65855" w14:textId="2E7B0E44">
      <w:pPr>
        <w:pStyle w:val="ListNum"/>
        <w:ind w:right="1080"/>
      </w:pPr>
      <w:r>
        <w:t>R</w:t>
      </w:r>
      <w:r w:rsidR="7CFEE7FA">
        <w:t>equires</w:t>
      </w:r>
      <w:r w:rsidR="4E928B06">
        <w:t>,</w:t>
      </w:r>
      <w:r w:rsidR="05D437FF">
        <w:t xml:space="preserve"> starting </w:t>
      </w:r>
      <w:r w:rsidR="2D48EAA4">
        <w:t>in 2026</w:t>
      </w:r>
      <w:r w:rsidR="0075101B">
        <w:t xml:space="preserve">, </w:t>
      </w:r>
      <w:r w:rsidR="4B488FDC">
        <w:t>all annual repo</w:t>
      </w:r>
      <w:r w:rsidR="11C9ACD5">
        <w:t>rts ordered pursuant to decisions in this proceeding</w:t>
      </w:r>
      <w:r w:rsidR="0646CD45">
        <w:t xml:space="preserve"> </w:t>
      </w:r>
      <w:r w:rsidR="7CFEE7FA">
        <w:t xml:space="preserve">to be </w:t>
      </w:r>
      <w:r w:rsidR="000222A1">
        <w:t xml:space="preserve">submitted </w:t>
      </w:r>
      <w:r w:rsidR="7CFEE7FA">
        <w:t>on</w:t>
      </w:r>
      <w:r w:rsidR="0646CD45">
        <w:t xml:space="preserve"> April 15</w:t>
      </w:r>
      <w:r w:rsidR="7CFEE7FA">
        <w:t xml:space="preserve"> of each year</w:t>
      </w:r>
      <w:r w:rsidR="6D7DE953">
        <w:t xml:space="preserve"> </w:t>
      </w:r>
      <w:r w:rsidR="117E0F63">
        <w:t xml:space="preserve">via an </w:t>
      </w:r>
      <w:r w:rsidR="677FDABF">
        <w:t>Advice Letter</w:t>
      </w:r>
      <w:r w:rsidR="73E1D324">
        <w:t xml:space="preserve"> and </w:t>
      </w:r>
      <w:r w:rsidRPr="0017209E" w:rsidR="0017209E">
        <w:t>select information</w:t>
      </w:r>
      <w:r w:rsidR="0017209E">
        <w:t xml:space="preserve"> </w:t>
      </w:r>
      <w:r w:rsidR="001059F1">
        <w:t xml:space="preserve"> </w:t>
      </w:r>
      <w:r w:rsidR="73E1D324">
        <w:t>available on the utility’s website</w:t>
      </w:r>
      <w:r w:rsidR="001059F1">
        <w:t xml:space="preserve"> consistent with the </w:t>
      </w:r>
      <w:r w:rsidR="00561269">
        <w:t>discussion below</w:t>
      </w:r>
      <w:r w:rsidR="117E0F63">
        <w:t>;</w:t>
      </w:r>
      <w:r w:rsidR="0646CD45">
        <w:t xml:space="preserve"> and </w:t>
      </w:r>
    </w:p>
    <w:p w:rsidR="009D16EE" w:rsidP="00E22537" w:rsidRDefault="0075101B" w14:paraId="44AD0A63" w14:textId="263B59D4">
      <w:pPr>
        <w:pStyle w:val="ListNum"/>
        <w:ind w:right="1080"/>
      </w:pPr>
      <w:r>
        <w:t>A</w:t>
      </w:r>
      <w:r w:rsidR="11A22F33">
        <w:t xml:space="preserve">uthorizes </w:t>
      </w:r>
      <w:r w:rsidR="00687472">
        <w:t>augmentation</w:t>
      </w:r>
      <w:r w:rsidR="70C9C578">
        <w:t xml:space="preserve"> of </w:t>
      </w:r>
      <w:r w:rsidR="001760E7">
        <w:t>the</w:t>
      </w:r>
      <w:r w:rsidR="77D4B840">
        <w:t xml:space="preserve"> </w:t>
      </w:r>
      <w:r w:rsidR="4DE2EE7E">
        <w:t xml:space="preserve">Technology and Equipment for Clean Heating </w:t>
      </w:r>
      <w:r w:rsidR="77D4B840">
        <w:t xml:space="preserve">Initiative </w:t>
      </w:r>
      <w:r w:rsidR="00F379D3">
        <w:t>budget by</w:t>
      </w:r>
      <w:r w:rsidR="001760E7">
        <w:t xml:space="preserve"> an additional $40</w:t>
      </w:r>
      <w:r w:rsidR="002E58D8">
        <w:t> million</w:t>
      </w:r>
      <w:r w:rsidR="00764344">
        <w:t xml:space="preserve"> in</w:t>
      </w:r>
      <w:r w:rsidR="004544C0">
        <w:t xml:space="preserve"> </w:t>
      </w:r>
      <w:r w:rsidR="77D4B840">
        <w:t>funding</w:t>
      </w:r>
      <w:r w:rsidR="1AD79EE6">
        <w:t xml:space="preserve"> from the Aliso Canyon Recovery Account</w:t>
      </w:r>
      <w:r w:rsidR="000313E4">
        <w:t>, directed for use</w:t>
      </w:r>
      <w:r w:rsidR="77D4B840">
        <w:t xml:space="preserve"> </w:t>
      </w:r>
      <w:r w:rsidR="48DB804C">
        <w:t>in Southern California Gas Company service territory</w:t>
      </w:r>
      <w:r w:rsidR="77D4B840">
        <w:t xml:space="preserve"> </w:t>
      </w:r>
      <w:r w:rsidR="009024DD">
        <w:t xml:space="preserve">in a manner </w:t>
      </w:r>
      <w:r w:rsidR="77D4B840">
        <w:t xml:space="preserve">consistent both with </w:t>
      </w:r>
      <w:r w:rsidR="00F75AF9">
        <w:t xml:space="preserve">new </w:t>
      </w:r>
      <w:r w:rsidR="77D4B840">
        <w:t>legislative direction and past precedent</w:t>
      </w:r>
      <w:r w:rsidR="4DE2EE7E">
        <w:t>.</w:t>
      </w:r>
      <w:r w:rsidR="50977910">
        <w:t xml:space="preserve"> </w:t>
      </w:r>
    </w:p>
    <w:p w:rsidR="004965A0" w:rsidP="002E58D8" w:rsidRDefault="00484F56" w14:paraId="6A4AD97C" w14:textId="012E1C28">
      <w:pPr>
        <w:pStyle w:val="Standard"/>
        <w:spacing w:before="180"/>
      </w:pPr>
      <w:r>
        <w:lastRenderedPageBreak/>
        <w:t xml:space="preserve">This decision </w:t>
      </w:r>
      <w:r w:rsidR="1B67A9A6">
        <w:t xml:space="preserve">furthers the </w:t>
      </w:r>
      <w:r w:rsidRPr="00321CD1" w:rsidR="1B67A9A6">
        <w:t>Commission</w:t>
      </w:r>
      <w:r w:rsidRPr="00321CD1" w:rsidR="002B1766">
        <w:t>’</w:t>
      </w:r>
      <w:r w:rsidRPr="00321CD1" w:rsidR="1B67A9A6">
        <w:t>s</w:t>
      </w:r>
      <w:r w:rsidR="211297F9">
        <w:t xml:space="preserve"> goal to adopt</w:t>
      </w:r>
      <w:r w:rsidR="251B23DD">
        <w:t xml:space="preserve"> </w:t>
      </w:r>
      <w:r w:rsidR="63D2B2B5">
        <w:t xml:space="preserve">policies </w:t>
      </w:r>
      <w:r w:rsidR="6F7D232B">
        <w:t>aimed at</w:t>
      </w:r>
      <w:r w:rsidR="63D2B2B5">
        <w:t xml:space="preserve"> </w:t>
      </w:r>
      <w:r w:rsidR="251B23DD">
        <w:t>reduc</w:t>
      </w:r>
      <w:r w:rsidR="6F7D232B">
        <w:t>ing</w:t>
      </w:r>
      <w:r w:rsidR="251B23DD">
        <w:t xml:space="preserve"> greenhouse gas emissions associated with energy use in buildings </w:t>
      </w:r>
      <w:r w:rsidR="6AF0772C">
        <w:t xml:space="preserve">while also </w:t>
      </w:r>
      <w:r w:rsidR="00346103">
        <w:t xml:space="preserve">advancing </w:t>
      </w:r>
      <w:r w:rsidR="251B23DD">
        <w:t>the State of California</w:t>
      </w:r>
      <w:r w:rsidR="002B1766">
        <w:t>’</w:t>
      </w:r>
      <w:r w:rsidR="251B23DD">
        <w:t xml:space="preserve">s goals of reducing </w:t>
      </w:r>
      <w:r w:rsidR="00BB669D">
        <w:t>economy-</w:t>
      </w:r>
      <w:r w:rsidR="37ECC41E">
        <w:t>wide</w:t>
      </w:r>
      <w:r w:rsidR="251B23DD">
        <w:t xml:space="preserve"> </w:t>
      </w:r>
      <w:r w:rsidR="63D2B2B5">
        <w:t xml:space="preserve">greenhouse gas </w:t>
      </w:r>
      <w:r w:rsidR="251B23DD">
        <w:t xml:space="preserve">emissions </w:t>
      </w:r>
      <w:r w:rsidR="709836CA">
        <w:t xml:space="preserve">to </w:t>
      </w:r>
      <w:r w:rsidR="251B23DD">
        <w:t>40</w:t>
      </w:r>
      <w:r w:rsidR="00A84592">
        <w:t> percent</w:t>
      </w:r>
      <w:r w:rsidR="251B23DD">
        <w:t xml:space="preserve"> below 1990 level</w:t>
      </w:r>
      <w:r w:rsidR="1FF6A312">
        <w:t>s</w:t>
      </w:r>
      <w:r w:rsidR="251B23DD">
        <w:t xml:space="preserve"> by 2030 and achieving carbon neutrality by 2045 or sooner</w:t>
      </w:r>
      <w:r w:rsidR="007B0299">
        <w:t>, while keeping affordability top of mind</w:t>
      </w:r>
      <w:r w:rsidR="211297F9">
        <w:t>.</w:t>
      </w:r>
      <w:r w:rsidR="00F75AF9">
        <w:t xml:space="preserve"> </w:t>
      </w:r>
    </w:p>
    <w:p w:rsidR="009D16EE" w:rsidP="004965A0" w:rsidRDefault="006E5801" w14:paraId="12CDBB85" w14:textId="3A97BD6D">
      <w:pPr>
        <w:pStyle w:val="Standard"/>
      </w:pPr>
      <w:r>
        <w:rPr>
          <w:szCs w:val="26"/>
        </w:rPr>
        <w:t>Lastly</w:t>
      </w:r>
      <w:r w:rsidR="009D16EE">
        <w:rPr>
          <w:szCs w:val="26"/>
        </w:rPr>
        <w:t>, t</w:t>
      </w:r>
      <w:r w:rsidRPr="00871292" w:rsidR="009D16EE">
        <w:rPr>
          <w:szCs w:val="26"/>
        </w:rPr>
        <w:t xml:space="preserve">his decision </w:t>
      </w:r>
      <w:r w:rsidRPr="009D16EE" w:rsidR="009D16EE">
        <w:rPr>
          <w:szCs w:val="26"/>
        </w:rPr>
        <w:t>promotes and furthers the Commission’s</w:t>
      </w:r>
      <w:r w:rsidR="009D16EE">
        <w:rPr>
          <w:szCs w:val="26"/>
        </w:rPr>
        <w:t xml:space="preserve"> goals adopted in</w:t>
      </w:r>
      <w:r w:rsidRPr="009D16EE" w:rsidR="009D16EE">
        <w:rPr>
          <w:szCs w:val="26"/>
        </w:rPr>
        <w:t xml:space="preserve"> </w:t>
      </w:r>
      <w:r w:rsidR="003C3FE0">
        <w:rPr>
          <w:szCs w:val="26"/>
        </w:rPr>
        <w:t>the</w:t>
      </w:r>
      <w:r w:rsidR="009D16EE">
        <w:rPr>
          <w:szCs w:val="26"/>
        </w:rPr>
        <w:t xml:space="preserve"> Environmental and Social Justice</w:t>
      </w:r>
      <w:r w:rsidRPr="00871292" w:rsidR="009D16EE">
        <w:rPr>
          <w:szCs w:val="26"/>
        </w:rPr>
        <w:t xml:space="preserve"> Action Plan (Version 2.0)</w:t>
      </w:r>
      <w:r w:rsidR="003C3FE0">
        <w:rPr>
          <w:szCs w:val="26"/>
        </w:rPr>
        <w:t>.</w:t>
      </w:r>
    </w:p>
    <w:p w:rsidR="001C008B" w:rsidP="006E6574" w:rsidRDefault="0D6CC859" w14:paraId="183FC75E" w14:textId="25A0464A">
      <w:pPr>
        <w:pStyle w:val="Standard"/>
      </w:pPr>
      <w:r>
        <w:t>This proceeding remain</w:t>
      </w:r>
      <w:r w:rsidR="00286A52">
        <w:t>s</w:t>
      </w:r>
      <w:r>
        <w:t xml:space="preserve"> open</w:t>
      </w:r>
      <w:r w:rsidR="7063B520">
        <w:t>.</w:t>
      </w:r>
    </w:p>
    <w:p w:rsidRPr="009D1072" w:rsidR="005A148C" w:rsidP="008256FA" w:rsidRDefault="00C22527" w14:paraId="3823A4F5" w14:textId="7D329309">
      <w:pPr>
        <w:pStyle w:val="Heading1"/>
        <w:numPr>
          <w:ilvl w:val="0"/>
          <w:numId w:val="13"/>
        </w:numPr>
      </w:pPr>
      <w:bookmarkStart w:name="_Toc8123715" w:id="6"/>
      <w:bookmarkStart w:name="_Toc185579348" w:id="7"/>
      <w:bookmarkStart w:name="_Toc192263674" w:id="8"/>
      <w:bookmarkStart w:name="_Toc200370961" w:id="9"/>
      <w:r w:rsidRPr="009D1072">
        <w:t xml:space="preserve">Procedural </w:t>
      </w:r>
      <w:r w:rsidRPr="009D1072" w:rsidR="002C7FE9">
        <w:t>Background</w:t>
      </w:r>
      <w:bookmarkEnd w:id="6"/>
      <w:bookmarkEnd w:id="7"/>
      <w:bookmarkEnd w:id="8"/>
      <w:bookmarkEnd w:id="9"/>
    </w:p>
    <w:p w:rsidR="001C008B" w:rsidP="00220DCD" w:rsidRDefault="26F8A852" w14:paraId="65E47A12" w14:textId="31277BB9">
      <w:pPr>
        <w:pStyle w:val="Standard"/>
      </w:pPr>
      <w:r>
        <w:t xml:space="preserve">On </w:t>
      </w:r>
      <w:r w:rsidR="00D8043E">
        <w:t>September </w:t>
      </w:r>
      <w:r>
        <w:t xml:space="preserve">13, 2018, Governor Jerry Brown signed into law </w:t>
      </w:r>
      <w:r w:rsidRPr="00321CD1">
        <w:t xml:space="preserve">Senate Bill </w:t>
      </w:r>
      <w:r>
        <w:t>(</w:t>
      </w:r>
      <w:r w:rsidRPr="00321CD1">
        <w:t>SB</w:t>
      </w:r>
      <w:r>
        <w:t>)</w:t>
      </w:r>
      <w:r w:rsidR="00E143D0">
        <w:t> </w:t>
      </w:r>
      <w:r>
        <w:t>1477 (</w:t>
      </w:r>
      <w:r w:rsidRPr="00FF3D91" w:rsidR="000B379C">
        <w:t>Stern</w:t>
      </w:r>
      <w:r w:rsidRPr="000B379C" w:rsidR="000B379C">
        <w:t>, Chapter</w:t>
      </w:r>
      <w:r w:rsidR="00301609">
        <w:t> </w:t>
      </w:r>
      <w:r w:rsidRPr="000B379C" w:rsidR="000B379C">
        <w:t>378, Statutes</w:t>
      </w:r>
      <w:r w:rsidR="00301609">
        <w:t> </w:t>
      </w:r>
      <w:r w:rsidR="000B379C">
        <w:t>2018</w:t>
      </w:r>
      <w:r>
        <w:t xml:space="preserve">). </w:t>
      </w:r>
      <w:r w:rsidR="0039512F">
        <w:t xml:space="preserve">To </w:t>
      </w:r>
      <w:r>
        <w:t>promote California</w:t>
      </w:r>
      <w:r w:rsidR="002B1766">
        <w:t>’</w:t>
      </w:r>
      <w:r>
        <w:t>s building</w:t>
      </w:r>
      <w:r w:rsidR="00653708">
        <w:noBreakHyphen/>
      </w:r>
      <w:r>
        <w:t xml:space="preserve">related </w:t>
      </w:r>
      <w:r w:rsidRPr="00321CD1">
        <w:t xml:space="preserve">greenhouse gas </w:t>
      </w:r>
      <w:r>
        <w:t>(</w:t>
      </w:r>
      <w:r w:rsidRPr="00321CD1">
        <w:t>GHG</w:t>
      </w:r>
      <w:r>
        <w:t>) emission</w:t>
      </w:r>
      <w:r w:rsidR="42589F72">
        <w:t>s</w:t>
      </w:r>
      <w:r>
        <w:t xml:space="preserve"> reduction goals</w:t>
      </w:r>
      <w:r w:rsidR="5F2DA7A0">
        <w:t xml:space="preserve">, </w:t>
      </w:r>
      <w:r w:rsidR="00E143D0">
        <w:t>SB </w:t>
      </w:r>
      <w:r w:rsidR="36CF6D10">
        <w:t>1477</w:t>
      </w:r>
      <w:r>
        <w:t xml:space="preserve"> ma</w:t>
      </w:r>
      <w:r w:rsidR="00EA482C">
        <w:t>d</w:t>
      </w:r>
      <w:r>
        <w:t>e available $50</w:t>
      </w:r>
      <w:r w:rsidR="002E58D8">
        <w:t> million</w:t>
      </w:r>
      <w:r>
        <w:t xml:space="preserve"> annually for four years, for a total of $200</w:t>
      </w:r>
      <w:r w:rsidR="002E58D8">
        <w:t> million</w:t>
      </w:r>
      <w:r>
        <w:t xml:space="preserve">, </w:t>
      </w:r>
      <w:r w:rsidR="0034403F">
        <w:t>to</w:t>
      </w:r>
      <w:r w:rsidR="007B3E7D">
        <w:t xml:space="preserve"> establis</w:t>
      </w:r>
      <w:r w:rsidR="0034403F">
        <w:t>h</w:t>
      </w:r>
      <w:r w:rsidR="00061A0A">
        <w:t xml:space="preserve"> </w:t>
      </w:r>
      <w:r>
        <w:t xml:space="preserve">two </w:t>
      </w:r>
      <w:r w:rsidR="007B3E7D">
        <w:t xml:space="preserve">new </w:t>
      </w:r>
      <w:r>
        <w:t>building electrification pilot programs</w:t>
      </w:r>
      <w:r w:rsidR="00EC584A">
        <w:t xml:space="preserve">: the </w:t>
      </w:r>
      <w:r w:rsidRPr="00321CD1" w:rsidR="00EC584A">
        <w:t>Building Initiative for Low</w:t>
      </w:r>
      <w:r w:rsidR="00EC584A">
        <w:noBreakHyphen/>
      </w:r>
      <w:r w:rsidRPr="00321CD1" w:rsidR="00EC584A">
        <w:t>Emissions Development</w:t>
      </w:r>
      <w:r w:rsidR="00EC584A">
        <w:t xml:space="preserve"> (BUILD) Program and the </w:t>
      </w:r>
      <w:r w:rsidRPr="00321CD1" w:rsidR="00EC584A">
        <w:t>Technology and Equipment for Clean Heating</w:t>
      </w:r>
      <w:r w:rsidR="00EC584A">
        <w:t xml:space="preserve"> (TECH) Initiative</w:t>
      </w:r>
      <w:r>
        <w:t xml:space="preserve">. </w:t>
      </w:r>
      <w:r w:rsidR="00061A0A">
        <w:t xml:space="preserve">Program </w:t>
      </w:r>
      <w:r>
        <w:t>fund</w:t>
      </w:r>
      <w:r w:rsidR="00061A0A">
        <w:t>ing</w:t>
      </w:r>
      <w:r>
        <w:t xml:space="preserve"> derive</w:t>
      </w:r>
      <w:r w:rsidR="00061A0A">
        <w:t>d</w:t>
      </w:r>
      <w:r>
        <w:t xml:space="preserve"> from the revenue generated from the GHG emission</w:t>
      </w:r>
      <w:r w:rsidR="275D7D97">
        <w:t>s</w:t>
      </w:r>
      <w:r>
        <w:t xml:space="preserve"> allowances directly allocated to gas corporations and consigned to auction as part of the </w:t>
      </w:r>
      <w:r w:rsidRPr="00321CD1">
        <w:t xml:space="preserve">California Air Resources Board </w:t>
      </w:r>
      <w:r>
        <w:t>(</w:t>
      </w:r>
      <w:r w:rsidRPr="00321CD1">
        <w:t>CARB</w:t>
      </w:r>
      <w:r>
        <w:t>) Cap</w:t>
      </w:r>
      <w:r w:rsidR="00653708">
        <w:noBreakHyphen/>
      </w:r>
      <w:r>
        <w:t>and</w:t>
      </w:r>
      <w:r w:rsidR="00653708">
        <w:noBreakHyphen/>
      </w:r>
      <w:r>
        <w:t xml:space="preserve">Trade program. </w:t>
      </w:r>
    </w:p>
    <w:p w:rsidR="00C22527" w:rsidP="00EA1645" w:rsidRDefault="26F8A852" w14:paraId="0ABD3FDA" w14:textId="4DF1D9A1">
      <w:pPr>
        <w:pStyle w:val="Standard"/>
      </w:pPr>
      <w:r>
        <w:t xml:space="preserve">In response to </w:t>
      </w:r>
      <w:r w:rsidR="275D7D97">
        <w:t xml:space="preserve">the </w:t>
      </w:r>
      <w:r w:rsidR="00EF3CC9">
        <w:t>enactment</w:t>
      </w:r>
      <w:r>
        <w:t xml:space="preserve"> of </w:t>
      </w:r>
      <w:r w:rsidR="00E143D0">
        <w:t>SB </w:t>
      </w:r>
      <w:r>
        <w:t xml:space="preserve">1477, the </w:t>
      </w:r>
      <w:r w:rsidRPr="00321CD1" w:rsidR="5C1C2BC6">
        <w:t xml:space="preserve">Commission </w:t>
      </w:r>
      <w:r>
        <w:t xml:space="preserve">initiated </w:t>
      </w:r>
      <w:r w:rsidRPr="00321CD1" w:rsidR="5737F9D0">
        <w:t>Rulemaking</w:t>
      </w:r>
      <w:r w:rsidR="5737F9D0">
        <w:t xml:space="preserve"> (</w:t>
      </w:r>
      <w:r w:rsidRPr="00321CD1">
        <w:t>R.</w:t>
      </w:r>
      <w:r w:rsidR="5737F9D0">
        <w:t>)</w:t>
      </w:r>
      <w:r w:rsidR="00D8043E">
        <w:t> </w:t>
      </w:r>
      <w:r>
        <w:t>19</w:t>
      </w:r>
      <w:r w:rsidR="00653708">
        <w:noBreakHyphen/>
      </w:r>
      <w:r>
        <w:t>01</w:t>
      </w:r>
      <w:r w:rsidR="00653708">
        <w:noBreakHyphen/>
      </w:r>
      <w:r>
        <w:t>011.</w:t>
      </w:r>
    </w:p>
    <w:p w:rsidR="008173AE" w:rsidP="00EA1645" w:rsidRDefault="008173AE" w14:paraId="7879D92B" w14:textId="2C1AB4D4">
      <w:pPr>
        <w:pStyle w:val="Standard"/>
      </w:pPr>
      <w:r w:rsidRPr="008173AE">
        <w:t xml:space="preserve">On </w:t>
      </w:r>
      <w:r w:rsidRPr="00321CD1" w:rsidR="00D8043E">
        <w:t>May </w:t>
      </w:r>
      <w:r w:rsidRPr="00321CD1">
        <w:t>17, 2019</w:t>
      </w:r>
      <w:r w:rsidRPr="008173AE">
        <w:t xml:space="preserve">, the </w:t>
      </w:r>
      <w:r w:rsidR="004B43A3">
        <w:t>A</w:t>
      </w:r>
      <w:r w:rsidRPr="008173AE" w:rsidR="004B43A3">
        <w:t xml:space="preserve">ssigned </w:t>
      </w:r>
      <w:r w:rsidRPr="008173AE">
        <w:t xml:space="preserve">Commissioner issued a Scoping Memo and Ruling setting forth the issues to be considered in </w:t>
      </w:r>
      <w:r w:rsidR="00C61060">
        <w:t>Phase </w:t>
      </w:r>
      <w:r w:rsidR="00E1078C">
        <w:t>1</w:t>
      </w:r>
      <w:r w:rsidRPr="008173AE">
        <w:t xml:space="preserve"> of </w:t>
      </w:r>
      <w:r w:rsidR="007E411C">
        <w:t>R.</w:t>
      </w:r>
      <w:r w:rsidRPr="008173AE">
        <w:t>19</w:t>
      </w:r>
      <w:r w:rsidRPr="008173AE" w:rsidR="79A7619E">
        <w:t>-</w:t>
      </w:r>
      <w:r w:rsidRPr="008173AE">
        <w:t>01</w:t>
      </w:r>
      <w:r w:rsidRPr="008173AE" w:rsidR="79A7619E">
        <w:t>-</w:t>
      </w:r>
      <w:r w:rsidRPr="008173AE">
        <w:t>011 (</w:t>
      </w:r>
      <w:r w:rsidRPr="00321CD1" w:rsidR="00C61060">
        <w:t>Phase </w:t>
      </w:r>
      <w:r w:rsidR="00E1078C">
        <w:t>1</w:t>
      </w:r>
      <w:r w:rsidRPr="00321CD1">
        <w:t xml:space="preserve"> Scoping Memo</w:t>
      </w:r>
      <w:r w:rsidRPr="008173AE">
        <w:t xml:space="preserve">). The </w:t>
      </w:r>
      <w:r w:rsidR="00C61060">
        <w:t>Phase </w:t>
      </w:r>
      <w:r w:rsidR="00E1078C">
        <w:t>1</w:t>
      </w:r>
      <w:r w:rsidRPr="008173AE">
        <w:t xml:space="preserve"> Scoping Memo was amended on </w:t>
      </w:r>
      <w:r w:rsidR="00D8043E">
        <w:t>July </w:t>
      </w:r>
      <w:r w:rsidRPr="008173AE">
        <w:t>16, 2019, to include</w:t>
      </w:r>
      <w:r>
        <w:t xml:space="preserve"> </w:t>
      </w:r>
      <w:r w:rsidRPr="008173AE">
        <w:t xml:space="preserve">additional issues. </w:t>
      </w:r>
      <w:r w:rsidR="00C61060">
        <w:t>Phase </w:t>
      </w:r>
      <w:r w:rsidR="00E1078C">
        <w:t>1</w:t>
      </w:r>
      <w:r w:rsidRPr="008173AE">
        <w:t xml:space="preserve"> issues were resolved in </w:t>
      </w:r>
      <w:r w:rsidRPr="00321CD1" w:rsidR="006345DE">
        <w:t>Decision</w:t>
      </w:r>
      <w:r w:rsidR="006345DE">
        <w:t xml:space="preserve"> </w:t>
      </w:r>
      <w:r w:rsidR="006345DE">
        <w:lastRenderedPageBreak/>
        <w:t>(</w:t>
      </w:r>
      <w:r w:rsidRPr="00321CD1">
        <w:t>D.</w:t>
      </w:r>
      <w:r w:rsidR="006345DE">
        <w:t>)</w:t>
      </w:r>
      <w:r w:rsidR="00E31358">
        <w:t> </w:t>
      </w:r>
      <w:r w:rsidRPr="008173AE">
        <w:t>20</w:t>
      </w:r>
      <w:r w:rsidR="00653708">
        <w:noBreakHyphen/>
      </w:r>
      <w:r w:rsidRPr="008173AE">
        <w:t>03</w:t>
      </w:r>
      <w:r w:rsidR="00653708">
        <w:noBreakHyphen/>
      </w:r>
      <w:r w:rsidRPr="008173AE">
        <w:t xml:space="preserve">027, which established the two building decarbonization pilot programs required by </w:t>
      </w:r>
      <w:r w:rsidR="00E143D0">
        <w:t>SB </w:t>
      </w:r>
      <w:r w:rsidRPr="008173AE">
        <w:t>1477</w:t>
      </w:r>
      <w:r w:rsidR="00D8043E">
        <w:t xml:space="preserve">: </w:t>
      </w:r>
      <w:r w:rsidRPr="008173AE">
        <w:t xml:space="preserve">the </w:t>
      </w:r>
      <w:r w:rsidRPr="00321CD1">
        <w:t>BUILD</w:t>
      </w:r>
      <w:r w:rsidRPr="008173AE">
        <w:t xml:space="preserve"> Program and the </w:t>
      </w:r>
      <w:r w:rsidRPr="00321CD1">
        <w:t>TECH</w:t>
      </w:r>
      <w:r w:rsidRPr="008173AE">
        <w:t xml:space="preserve"> Initiative.</w:t>
      </w:r>
    </w:p>
    <w:p w:rsidR="00C43FC1" w:rsidP="00EA1645" w:rsidRDefault="28507DEB" w14:paraId="5717C841" w14:textId="255AC579">
      <w:pPr>
        <w:pStyle w:val="Standard"/>
      </w:pPr>
      <w:r>
        <w:t>O</w:t>
      </w:r>
      <w:r w:rsidRPr="00C43FC1">
        <w:t xml:space="preserve">n </w:t>
      </w:r>
      <w:r w:rsidR="59E27D05">
        <w:t>August </w:t>
      </w:r>
      <w:r w:rsidRPr="00C43FC1">
        <w:t xml:space="preserve">25, 2020, the </w:t>
      </w:r>
      <w:r w:rsidR="7C35A8F4">
        <w:t>A</w:t>
      </w:r>
      <w:r w:rsidRPr="00C43FC1" w:rsidR="7C35A8F4">
        <w:t xml:space="preserve">ssigned </w:t>
      </w:r>
      <w:r w:rsidRPr="00C43FC1">
        <w:t xml:space="preserve">Commissioner issued an Amended Scoping Memo and Ruling setting forth the issues to be considered in </w:t>
      </w:r>
      <w:r w:rsidR="56214A82">
        <w:t>Phase </w:t>
      </w:r>
      <w:r w:rsidR="165DE7EC">
        <w:t>2</w:t>
      </w:r>
      <w:r w:rsidRPr="00C43FC1">
        <w:t xml:space="preserve"> of R.19</w:t>
      </w:r>
      <w:r w:rsidR="00653708">
        <w:noBreakHyphen/>
      </w:r>
      <w:r w:rsidRPr="00C43FC1">
        <w:t>01</w:t>
      </w:r>
      <w:r w:rsidR="00653708">
        <w:noBreakHyphen/>
      </w:r>
      <w:r w:rsidRPr="00C43FC1">
        <w:t>011</w:t>
      </w:r>
      <w:r w:rsidR="1A66A900">
        <w:t>,</w:t>
      </w:r>
      <w:r w:rsidRPr="00C43FC1">
        <w:t xml:space="preserve"> and included an associated Energy Division Staff Proposal. </w:t>
      </w:r>
      <w:r w:rsidR="56214A82">
        <w:t>Phase </w:t>
      </w:r>
      <w:r w:rsidR="165DE7EC">
        <w:t>2</w:t>
      </w:r>
      <w:r w:rsidRPr="00C43FC1">
        <w:t xml:space="preserve"> issues were resolved in D.21</w:t>
      </w:r>
      <w:r w:rsidR="00653708">
        <w:noBreakHyphen/>
      </w:r>
      <w:r w:rsidRPr="00C43FC1">
        <w:t>11</w:t>
      </w:r>
      <w:r w:rsidR="00653708">
        <w:noBreakHyphen/>
      </w:r>
      <w:r w:rsidRPr="00C43FC1">
        <w:t>002, which</w:t>
      </w:r>
      <w:r w:rsidR="59E27D05">
        <w:t xml:space="preserve">: </w:t>
      </w:r>
      <w:r w:rsidRPr="00C43FC1">
        <w:t>(1</w:t>
      </w:r>
      <w:r w:rsidR="425CF401">
        <w:t>) </w:t>
      </w:r>
      <w:r w:rsidRPr="00C43FC1">
        <w:t>adopted guiding principles for the layering of incentives when multiple programs fund the same equipment; (2</w:t>
      </w:r>
      <w:r w:rsidR="425CF401">
        <w:t>) </w:t>
      </w:r>
      <w:r w:rsidRPr="00C43FC1">
        <w:t>established a new Wildfire and Natural Disaster Resiliency Rebuild</w:t>
      </w:r>
      <w:r w:rsidR="183F8826">
        <w:t xml:space="preserve"> </w:t>
      </w:r>
      <w:r w:rsidRPr="00C43FC1">
        <w:t xml:space="preserve">program to provide financial incentives to help victims of wildfires and </w:t>
      </w:r>
      <w:r w:rsidR="61A18036">
        <w:t xml:space="preserve">other </w:t>
      </w:r>
      <w:r w:rsidRPr="00C43FC1">
        <w:t>natural disasters rebuild all</w:t>
      </w:r>
      <w:r w:rsidR="606B0871">
        <w:t>-</w:t>
      </w:r>
      <w:r w:rsidRPr="00C43FC1">
        <w:t>electric properties; (3</w:t>
      </w:r>
      <w:r w:rsidR="425CF401">
        <w:t>) </w:t>
      </w:r>
      <w:r w:rsidRPr="00C43FC1">
        <w:t>provided guidance on data sharing; (4</w:t>
      </w:r>
      <w:r w:rsidR="425CF401">
        <w:t>) </w:t>
      </w:r>
      <w:r w:rsidRPr="00C43FC1">
        <w:t>directed California</w:t>
      </w:r>
      <w:r w:rsidR="4CFCCA15">
        <w:t>’</w:t>
      </w:r>
      <w:r w:rsidRPr="00C43FC1">
        <w:t xml:space="preserve">s three large electric </w:t>
      </w:r>
      <w:r w:rsidRPr="00321CD1">
        <w:t>investor</w:t>
      </w:r>
      <w:r w:rsidR="00653708">
        <w:noBreakHyphen/>
      </w:r>
      <w:r w:rsidRPr="00321CD1">
        <w:t xml:space="preserve">owned utilities </w:t>
      </w:r>
      <w:r w:rsidRPr="00C43FC1">
        <w:t xml:space="preserve">to study energy bill impacts that result from switching from gas water heaters to electric heat pump water heaters, and to propose a rate adjustment in a new Rate Design Window application if their study reflected a net energy bill increase (resolved in </w:t>
      </w:r>
      <w:r w:rsidRPr="00321CD1" w:rsidR="425CF401">
        <w:t>Resolution</w:t>
      </w:r>
      <w:r w:rsidR="425CF401">
        <w:t> </w:t>
      </w:r>
      <w:r w:rsidRPr="00C43FC1">
        <w:t>E</w:t>
      </w:r>
      <w:r w:rsidR="00653708">
        <w:noBreakHyphen/>
      </w:r>
      <w:r w:rsidRPr="00C43FC1">
        <w:t>5233)</w:t>
      </w:r>
      <w:r w:rsidR="69BE6A59">
        <w:t>; and (5</w:t>
      </w:r>
      <w:r w:rsidR="425CF401">
        <w:t>) </w:t>
      </w:r>
      <w:r w:rsidRPr="00C43FC1">
        <w:t xml:space="preserve">directed the </w:t>
      </w:r>
      <w:r w:rsidR="3B1C1426">
        <w:t xml:space="preserve">large electric </w:t>
      </w:r>
      <w:r w:rsidR="00F71515">
        <w:t>utilities</w:t>
      </w:r>
      <w:r w:rsidRPr="00C43FC1">
        <w:t xml:space="preserve"> to collect data </w:t>
      </w:r>
      <w:r w:rsidR="08FC6317">
        <w:t xml:space="preserve">from </w:t>
      </w:r>
      <w:r w:rsidR="552AAA9F">
        <w:t xml:space="preserve">all customers commencing electric service </w:t>
      </w:r>
      <w:r w:rsidRPr="00C43FC1">
        <w:t>on fuels used to power various appliances, including propane.</w:t>
      </w:r>
    </w:p>
    <w:p w:rsidR="002C7C50" w:rsidP="00EA1645" w:rsidRDefault="002C7C50" w14:paraId="47994E4A" w14:textId="6ABFFF2E">
      <w:pPr>
        <w:pStyle w:val="Standard"/>
      </w:pPr>
      <w:r w:rsidRPr="002C7C50">
        <w:t xml:space="preserve">On </w:t>
      </w:r>
      <w:r w:rsidR="00D8043E">
        <w:t>November </w:t>
      </w:r>
      <w:r w:rsidRPr="002C7C50">
        <w:t xml:space="preserve">16, 2021, the </w:t>
      </w:r>
      <w:r w:rsidR="00325997">
        <w:t>A</w:t>
      </w:r>
      <w:r w:rsidRPr="002C7C50" w:rsidR="00325997">
        <w:t xml:space="preserve">ssigned </w:t>
      </w:r>
      <w:r w:rsidRPr="002C7C50">
        <w:t xml:space="preserve">Commissioner issued an Amended Scoping Memo and Ruling setting forth the issues to be considered in </w:t>
      </w:r>
      <w:r w:rsidR="00C61060">
        <w:t>Phase </w:t>
      </w:r>
      <w:r w:rsidR="003A6070">
        <w:t>3</w:t>
      </w:r>
      <w:r w:rsidRPr="002C7C50" w:rsidR="003A6070">
        <w:t xml:space="preserve"> </w:t>
      </w:r>
      <w:r w:rsidRPr="002C7C50">
        <w:t>of R.19</w:t>
      </w:r>
      <w:r w:rsidR="00653708">
        <w:noBreakHyphen/>
      </w:r>
      <w:r w:rsidRPr="002C7C50">
        <w:t>01</w:t>
      </w:r>
      <w:r w:rsidR="00653708">
        <w:noBreakHyphen/>
      </w:r>
      <w:r w:rsidRPr="002C7C50">
        <w:t>011</w:t>
      </w:r>
      <w:r w:rsidR="00586C64">
        <w:t xml:space="preserve">, </w:t>
      </w:r>
      <w:r w:rsidRPr="00C43FC1" w:rsidR="00586C64">
        <w:t>and included an associated Energy Division Staff Proposal</w:t>
      </w:r>
      <w:r w:rsidRPr="002C7C50">
        <w:t xml:space="preserve">. </w:t>
      </w:r>
      <w:r w:rsidR="001469D9">
        <w:t xml:space="preserve">Initial </w:t>
      </w:r>
      <w:r w:rsidR="00C61060">
        <w:t>Phase </w:t>
      </w:r>
      <w:r w:rsidR="003A6070">
        <w:t>3</w:t>
      </w:r>
      <w:r w:rsidRPr="002C7C50" w:rsidR="003A6070">
        <w:t xml:space="preserve"> </w:t>
      </w:r>
      <w:r w:rsidR="003C3FE0">
        <w:t xml:space="preserve">or Phase 3A </w:t>
      </w:r>
      <w:r w:rsidRPr="002C7C50">
        <w:t>issues were resolved in D.22</w:t>
      </w:r>
      <w:r w:rsidR="00653708">
        <w:noBreakHyphen/>
      </w:r>
      <w:r w:rsidRPr="002C7C50">
        <w:t>09</w:t>
      </w:r>
      <w:r w:rsidR="00653708">
        <w:noBreakHyphen/>
      </w:r>
      <w:r w:rsidRPr="002C7C50">
        <w:t xml:space="preserve">026, which eliminated gas line extension </w:t>
      </w:r>
      <w:r w:rsidR="008C69AF">
        <w:t>subsidies (</w:t>
      </w:r>
      <w:r w:rsidRPr="007F4706" w:rsidR="00A84592">
        <w:t>i.e.</w:t>
      </w:r>
      <w:r w:rsidRPr="00A545BD" w:rsidR="008C69AF">
        <w:t>,</w:t>
      </w:r>
      <w:r w:rsidR="008C69AF">
        <w:t xml:space="preserve"> </w:t>
      </w:r>
      <w:r w:rsidRPr="002C7C50">
        <w:t>allowances, refunds, and discounts</w:t>
      </w:r>
      <w:r w:rsidR="008C69AF">
        <w:t>)</w:t>
      </w:r>
      <w:r w:rsidRPr="002C7C50">
        <w:t xml:space="preserve"> for all new </w:t>
      </w:r>
      <w:r w:rsidR="00B148B1">
        <w:t xml:space="preserve">gas </w:t>
      </w:r>
      <w:r w:rsidR="008C69AF">
        <w:t>line extension requests</w:t>
      </w:r>
      <w:r w:rsidRPr="002C7C50" w:rsidR="008C69AF">
        <w:t xml:space="preserve"> </w:t>
      </w:r>
      <w:r w:rsidRPr="002C7C50">
        <w:t xml:space="preserve">submitted on or after </w:t>
      </w:r>
      <w:r w:rsidR="00D8043E">
        <w:t>July </w:t>
      </w:r>
      <w:r w:rsidRPr="002C7C50">
        <w:t>1, 2023</w:t>
      </w:r>
      <w:r w:rsidR="00DD0009">
        <w:t>,</w:t>
      </w:r>
      <w:r w:rsidRPr="002C7C50">
        <w:t xml:space="preserve"> for all customer classes unless otherwise exempted</w:t>
      </w:r>
      <w:r>
        <w:t>.</w:t>
      </w:r>
    </w:p>
    <w:p w:rsidR="006B4920" w:rsidP="006B4920" w:rsidRDefault="24A0DFAD" w14:paraId="6EFCB762" w14:textId="524295AB">
      <w:pPr>
        <w:pStyle w:val="Standard"/>
        <w:rPr>
          <w:rFonts w:eastAsia="Times New Roman" w:cs="Arial"/>
          <w:color w:val="000000"/>
          <w:szCs w:val="26"/>
        </w:rPr>
      </w:pPr>
      <w:r>
        <w:t xml:space="preserve">On </w:t>
      </w:r>
      <w:r w:rsidRPr="00321CD1" w:rsidR="7EC72A68">
        <w:t>July </w:t>
      </w:r>
      <w:r w:rsidRPr="00321CD1">
        <w:t>26, 2023</w:t>
      </w:r>
      <w:r>
        <w:t xml:space="preserve">, </w:t>
      </w:r>
      <w:r w:rsidR="3B4876C6">
        <w:t xml:space="preserve">the </w:t>
      </w:r>
      <w:r w:rsidR="00325997">
        <w:t xml:space="preserve">Assigned </w:t>
      </w:r>
      <w:r w:rsidR="3B4876C6">
        <w:t xml:space="preserve">Commissioner issued an </w:t>
      </w:r>
      <w:r w:rsidRPr="07F68B7F" w:rsidR="3B4876C6">
        <w:rPr>
          <w:rFonts w:eastAsia="Book Antiqua" w:cs="Book Antiqua"/>
        </w:rPr>
        <w:t>Amended Scoping Memo and Ruling (</w:t>
      </w:r>
      <w:r w:rsidRPr="00321CD1" w:rsidR="67ECB542">
        <w:t>Phase </w:t>
      </w:r>
      <w:r w:rsidRPr="00321CD1" w:rsidR="009B8C82">
        <w:t>3B</w:t>
      </w:r>
      <w:r w:rsidRPr="00321CD1" w:rsidR="3F9CC999">
        <w:t xml:space="preserve"> Scoping Memo</w:t>
      </w:r>
      <w:r w:rsidRPr="07F68B7F" w:rsidR="3B4876C6">
        <w:rPr>
          <w:rFonts w:eastAsia="Book Antiqua" w:cs="Book Antiqua"/>
        </w:rPr>
        <w:t xml:space="preserve">) </w:t>
      </w:r>
      <w:r w:rsidRPr="07F68B7F" w:rsidR="22663F7E">
        <w:rPr>
          <w:rFonts w:eastAsia="Book Antiqua" w:cs="Book Antiqua"/>
        </w:rPr>
        <w:t>setting the</w:t>
      </w:r>
      <w:r w:rsidRPr="07F68B7F" w:rsidR="3B4876C6">
        <w:rPr>
          <w:rFonts w:eastAsia="Book Antiqua" w:cs="Book Antiqua"/>
        </w:rPr>
        <w:t xml:space="preserve"> scope and schedule for </w:t>
      </w:r>
      <w:r w:rsidR="67ECB542">
        <w:rPr>
          <w:rFonts w:eastAsia="Book Antiqua" w:cs="Book Antiqua"/>
        </w:rPr>
        <w:lastRenderedPageBreak/>
        <w:t>Phase </w:t>
      </w:r>
      <w:r w:rsidRPr="07F68B7F" w:rsidR="3B4876C6">
        <w:rPr>
          <w:rFonts w:eastAsia="Book Antiqua" w:cs="Book Antiqua"/>
        </w:rPr>
        <w:t>3B of this proceeding</w:t>
      </w:r>
      <w:r w:rsidRPr="07F68B7F" w:rsidR="330A343F">
        <w:rPr>
          <w:rFonts w:eastAsia="Book Antiqua" w:cs="Book Antiqua"/>
        </w:rPr>
        <w:t xml:space="preserve">, </w:t>
      </w:r>
      <w:r w:rsidRPr="00C43FC1" w:rsidR="00586C64">
        <w:t>and included an associated Energy Division Staff Proposal</w:t>
      </w:r>
      <w:r w:rsidRPr="07F68B7F" w:rsidR="6EACD725">
        <w:rPr>
          <w:rFonts w:eastAsia="Book Antiqua" w:cs="Book Antiqua"/>
        </w:rPr>
        <w:t>.</w:t>
      </w:r>
      <w:r w:rsidR="006B4920">
        <w:rPr>
          <w:rFonts w:eastAsia="Book Antiqua" w:cs="Book Antiqua"/>
        </w:rPr>
        <w:t xml:space="preserve"> </w:t>
      </w:r>
      <w:r w:rsidRPr="002C7C50" w:rsidR="00A86775">
        <w:t>D.</w:t>
      </w:r>
      <w:r w:rsidRPr="006B4920" w:rsidR="00A86775">
        <w:rPr>
          <w:rFonts w:eastAsia="Times New Roman" w:cs="Arial"/>
          <w:color w:val="000000"/>
          <w:szCs w:val="26"/>
        </w:rPr>
        <w:t>23</w:t>
      </w:r>
      <w:r w:rsidR="00A86775">
        <w:rPr>
          <w:rFonts w:eastAsia="Times New Roman" w:cs="Arial"/>
          <w:color w:val="000000"/>
          <w:szCs w:val="26"/>
        </w:rPr>
        <w:t>-</w:t>
      </w:r>
      <w:r w:rsidRPr="006B4920" w:rsidR="00A86775">
        <w:rPr>
          <w:rFonts w:eastAsia="Times New Roman" w:cs="Arial"/>
          <w:color w:val="000000"/>
          <w:szCs w:val="26"/>
        </w:rPr>
        <w:t>12</w:t>
      </w:r>
      <w:r w:rsidR="00A86775">
        <w:rPr>
          <w:rFonts w:eastAsia="Times New Roman" w:cs="Arial"/>
          <w:color w:val="000000"/>
          <w:szCs w:val="26"/>
        </w:rPr>
        <w:t>-</w:t>
      </w:r>
      <w:r w:rsidRPr="006B4920" w:rsidR="00A86775">
        <w:rPr>
          <w:rFonts w:eastAsia="Times New Roman" w:cs="Arial"/>
          <w:color w:val="000000"/>
          <w:szCs w:val="26"/>
        </w:rPr>
        <w:t>037</w:t>
      </w:r>
      <w:r w:rsidR="00A86775">
        <w:rPr>
          <w:rFonts w:eastAsia="Times New Roman" w:cs="Arial"/>
          <w:color w:val="000000"/>
          <w:szCs w:val="26"/>
        </w:rPr>
        <w:t xml:space="preserve"> resolved </w:t>
      </w:r>
      <w:r w:rsidR="006B4920">
        <w:t>Phase 3B</w:t>
      </w:r>
      <w:r w:rsidRPr="002C7C50" w:rsidR="006B4920">
        <w:t xml:space="preserve"> issues</w:t>
      </w:r>
      <w:r w:rsidR="00877F8D">
        <w:t xml:space="preserve">, </w:t>
      </w:r>
      <w:r w:rsidRPr="002C7C50" w:rsidR="006B4920">
        <w:t>elimi</w:t>
      </w:r>
      <w:r w:rsidRPr="006B4920" w:rsidR="006B4920">
        <w:rPr>
          <w:szCs w:val="26"/>
        </w:rPr>
        <w:t>nat</w:t>
      </w:r>
      <w:r w:rsidR="00877F8D">
        <w:rPr>
          <w:szCs w:val="26"/>
        </w:rPr>
        <w:t>ed</w:t>
      </w:r>
      <w:r w:rsidRPr="006B4920" w:rsidR="006B4920">
        <w:rPr>
          <w:rFonts w:eastAsia="Times New Roman" w:cs="Arial"/>
          <w:color w:val="000000"/>
          <w:szCs w:val="26"/>
        </w:rPr>
        <w:t xml:space="preserve"> </w:t>
      </w:r>
      <w:r w:rsidR="006B4920">
        <w:rPr>
          <w:rFonts w:eastAsia="Times New Roman" w:cs="Arial"/>
          <w:color w:val="000000"/>
          <w:szCs w:val="26"/>
        </w:rPr>
        <w:t>e</w:t>
      </w:r>
      <w:r w:rsidRPr="006B4920" w:rsidR="006B4920">
        <w:rPr>
          <w:rFonts w:eastAsia="Times New Roman" w:cs="Arial"/>
          <w:color w:val="000000"/>
          <w:szCs w:val="26"/>
        </w:rPr>
        <w:t xml:space="preserve">lectric </w:t>
      </w:r>
      <w:r w:rsidR="006B4920">
        <w:rPr>
          <w:rFonts w:eastAsia="Times New Roman" w:cs="Arial"/>
          <w:color w:val="000000"/>
          <w:szCs w:val="26"/>
        </w:rPr>
        <w:t>l</w:t>
      </w:r>
      <w:r w:rsidRPr="006B4920" w:rsidR="006B4920">
        <w:rPr>
          <w:rFonts w:eastAsia="Times New Roman" w:cs="Arial"/>
          <w:color w:val="000000"/>
          <w:szCs w:val="26"/>
        </w:rPr>
        <w:t xml:space="preserve">ine </w:t>
      </w:r>
      <w:r w:rsidR="006B4920">
        <w:rPr>
          <w:rFonts w:eastAsia="Times New Roman" w:cs="Arial"/>
          <w:color w:val="000000"/>
          <w:szCs w:val="26"/>
        </w:rPr>
        <w:t>e</w:t>
      </w:r>
      <w:r w:rsidRPr="006B4920" w:rsidR="006B4920">
        <w:rPr>
          <w:rFonts w:eastAsia="Times New Roman" w:cs="Arial"/>
          <w:color w:val="000000"/>
          <w:szCs w:val="26"/>
        </w:rPr>
        <w:t xml:space="preserve">xtension </w:t>
      </w:r>
      <w:r w:rsidR="006B4920">
        <w:rPr>
          <w:rFonts w:eastAsia="Times New Roman" w:cs="Arial"/>
          <w:color w:val="000000"/>
          <w:szCs w:val="26"/>
        </w:rPr>
        <w:t>s</w:t>
      </w:r>
      <w:r w:rsidRPr="006B4920" w:rsidR="006B4920">
        <w:rPr>
          <w:rFonts w:eastAsia="Times New Roman" w:cs="Arial"/>
          <w:color w:val="000000"/>
          <w:szCs w:val="26"/>
        </w:rPr>
        <w:t xml:space="preserve">ubsidies </w:t>
      </w:r>
      <w:r w:rsidR="006B4920">
        <w:rPr>
          <w:rFonts w:eastAsia="Times New Roman" w:cs="Arial"/>
          <w:color w:val="000000"/>
          <w:szCs w:val="26"/>
        </w:rPr>
        <w:t>f</w:t>
      </w:r>
      <w:r w:rsidRPr="006B4920" w:rsidR="006B4920">
        <w:rPr>
          <w:rFonts w:eastAsia="Times New Roman" w:cs="Arial"/>
          <w:color w:val="000000"/>
          <w:szCs w:val="26"/>
        </w:rPr>
        <w:t xml:space="preserve">or </w:t>
      </w:r>
      <w:r w:rsidR="006B4920">
        <w:rPr>
          <w:rFonts w:eastAsia="Times New Roman" w:cs="Arial"/>
          <w:color w:val="000000"/>
          <w:szCs w:val="26"/>
        </w:rPr>
        <w:t>m</w:t>
      </w:r>
      <w:r w:rsidRPr="006B4920" w:rsidR="006B4920">
        <w:rPr>
          <w:rFonts w:eastAsia="Times New Roman" w:cs="Arial"/>
          <w:color w:val="000000"/>
          <w:szCs w:val="26"/>
        </w:rPr>
        <w:t>ixed-</w:t>
      </w:r>
      <w:r w:rsidR="006B4920">
        <w:rPr>
          <w:rFonts w:eastAsia="Times New Roman" w:cs="Arial"/>
          <w:color w:val="000000"/>
          <w:szCs w:val="26"/>
        </w:rPr>
        <w:t>f</w:t>
      </w:r>
      <w:r w:rsidRPr="006B4920" w:rsidR="006B4920">
        <w:rPr>
          <w:rFonts w:eastAsia="Times New Roman" w:cs="Arial"/>
          <w:color w:val="000000"/>
          <w:szCs w:val="26"/>
        </w:rPr>
        <w:t xml:space="preserve">uel </w:t>
      </w:r>
      <w:r w:rsidR="006B4920">
        <w:rPr>
          <w:rFonts w:eastAsia="Times New Roman" w:cs="Arial"/>
          <w:color w:val="000000"/>
          <w:szCs w:val="26"/>
        </w:rPr>
        <w:t>n</w:t>
      </w:r>
      <w:r w:rsidRPr="006B4920" w:rsidR="006B4920">
        <w:rPr>
          <w:rFonts w:eastAsia="Times New Roman" w:cs="Arial"/>
          <w:color w:val="000000"/>
          <w:szCs w:val="26"/>
        </w:rPr>
        <w:t xml:space="preserve">ew </w:t>
      </w:r>
      <w:r w:rsidR="006B4920">
        <w:rPr>
          <w:rFonts w:eastAsia="Times New Roman" w:cs="Arial"/>
          <w:color w:val="000000"/>
          <w:szCs w:val="26"/>
        </w:rPr>
        <w:t>c</w:t>
      </w:r>
      <w:r w:rsidRPr="006B4920" w:rsidR="006B4920">
        <w:rPr>
          <w:rFonts w:eastAsia="Times New Roman" w:cs="Arial"/>
          <w:color w:val="000000"/>
          <w:szCs w:val="26"/>
        </w:rPr>
        <w:t>onstruction</w:t>
      </w:r>
      <w:r w:rsidR="00877F8D">
        <w:rPr>
          <w:rFonts w:eastAsia="Times New Roman" w:cs="Arial"/>
          <w:color w:val="000000"/>
          <w:szCs w:val="26"/>
        </w:rPr>
        <w:t>,</w:t>
      </w:r>
      <w:r w:rsidRPr="006B4920" w:rsidR="006B4920">
        <w:rPr>
          <w:rFonts w:eastAsia="Times New Roman" w:cs="Arial"/>
          <w:color w:val="000000"/>
          <w:szCs w:val="26"/>
        </w:rPr>
        <w:t xml:space="preserve"> </w:t>
      </w:r>
      <w:r w:rsidR="006B4920">
        <w:rPr>
          <w:rFonts w:eastAsia="Times New Roman" w:cs="Arial"/>
          <w:color w:val="000000"/>
          <w:szCs w:val="26"/>
        </w:rPr>
        <w:t>a</w:t>
      </w:r>
      <w:r w:rsidRPr="006B4920" w:rsidR="006B4920">
        <w:rPr>
          <w:rFonts w:eastAsia="Times New Roman" w:cs="Arial"/>
          <w:color w:val="000000"/>
          <w:szCs w:val="26"/>
        </w:rPr>
        <w:t xml:space="preserve">nd </w:t>
      </w:r>
      <w:r w:rsidR="006B4920">
        <w:rPr>
          <w:rFonts w:eastAsia="Times New Roman" w:cs="Arial"/>
          <w:color w:val="000000"/>
          <w:szCs w:val="26"/>
        </w:rPr>
        <w:t>s</w:t>
      </w:r>
      <w:r w:rsidRPr="006B4920" w:rsidR="006B4920">
        <w:rPr>
          <w:rFonts w:eastAsia="Times New Roman" w:cs="Arial"/>
          <w:color w:val="000000"/>
          <w:szCs w:val="26"/>
        </w:rPr>
        <w:t>et</w:t>
      </w:r>
      <w:r w:rsidR="006B4920">
        <w:rPr>
          <w:rFonts w:eastAsia="Times New Roman" w:cs="Arial"/>
          <w:color w:val="000000"/>
          <w:szCs w:val="26"/>
        </w:rPr>
        <w:t xml:space="preserve"> r</w:t>
      </w:r>
      <w:r w:rsidRPr="006B4920" w:rsidR="006B4920">
        <w:rPr>
          <w:rFonts w:eastAsia="Times New Roman" w:cs="Arial"/>
          <w:color w:val="000000"/>
          <w:szCs w:val="26"/>
        </w:rPr>
        <w:t xml:space="preserve">eporting </w:t>
      </w:r>
      <w:r w:rsidR="006B4920">
        <w:rPr>
          <w:rFonts w:eastAsia="Times New Roman" w:cs="Arial"/>
          <w:color w:val="000000"/>
          <w:szCs w:val="26"/>
        </w:rPr>
        <w:t>r</w:t>
      </w:r>
      <w:r w:rsidRPr="006B4920" w:rsidR="006B4920">
        <w:rPr>
          <w:rFonts w:eastAsia="Times New Roman" w:cs="Arial"/>
          <w:color w:val="000000"/>
          <w:szCs w:val="26"/>
        </w:rPr>
        <w:t>equirements.</w:t>
      </w:r>
      <w:r w:rsidR="000534FD">
        <w:t xml:space="preserve"> </w:t>
      </w:r>
    </w:p>
    <w:p w:rsidRPr="009D1072" w:rsidR="0063200F" w:rsidP="000E7D14" w:rsidRDefault="00EF3801" w14:paraId="5B050E38" w14:textId="3C4B418F">
      <w:pPr>
        <w:pStyle w:val="Heading2"/>
      </w:pPr>
      <w:bookmarkStart w:name="_Toc185579349" w:id="10"/>
      <w:bookmarkStart w:name="_Toc192263675" w:id="11"/>
      <w:bookmarkStart w:name="_Toc200370962" w:id="12"/>
      <w:r w:rsidRPr="009D1072">
        <w:t>Phase 4</w:t>
      </w:r>
      <w:bookmarkEnd w:id="10"/>
      <w:bookmarkEnd w:id="11"/>
      <w:bookmarkEnd w:id="12"/>
    </w:p>
    <w:p w:rsidR="006D215A" w:rsidP="00D33A62" w:rsidRDefault="005C5A28" w14:paraId="4A8D2544" w14:textId="4A1B5849">
      <w:pPr>
        <w:pStyle w:val="Standard"/>
        <w:rPr>
          <w:rFonts w:eastAsia="Book Antiqua" w:cs="Book Antiqua"/>
        </w:rPr>
      </w:pPr>
      <w:r>
        <w:t xml:space="preserve">On </w:t>
      </w:r>
      <w:r w:rsidRPr="00321CD1">
        <w:t>July </w:t>
      </w:r>
      <w:r>
        <w:t>1</w:t>
      </w:r>
      <w:r w:rsidRPr="00321CD1">
        <w:t>, 202</w:t>
      </w:r>
      <w:r>
        <w:t xml:space="preserve">4, the </w:t>
      </w:r>
      <w:r w:rsidR="004B015F">
        <w:t xml:space="preserve">Assigned </w:t>
      </w:r>
      <w:r>
        <w:t xml:space="preserve">Commissioner issued an </w:t>
      </w:r>
      <w:r w:rsidRPr="07F68B7F">
        <w:rPr>
          <w:rFonts w:eastAsia="Book Antiqua" w:cs="Book Antiqua"/>
        </w:rPr>
        <w:t>Amended Scoping Memo and Ruling (</w:t>
      </w:r>
      <w:r w:rsidRPr="00321CD1">
        <w:t>Phase </w:t>
      </w:r>
      <w:r>
        <w:t xml:space="preserve">4 </w:t>
      </w:r>
      <w:r w:rsidRPr="00321CD1">
        <w:t>Scoping Memo</w:t>
      </w:r>
      <w:r w:rsidRPr="07F68B7F">
        <w:rPr>
          <w:rFonts w:eastAsia="Book Antiqua" w:cs="Book Antiqua"/>
        </w:rPr>
        <w:t xml:space="preserve">) setting the scope and schedule for </w:t>
      </w:r>
      <w:r>
        <w:rPr>
          <w:rFonts w:eastAsia="Book Antiqua" w:cs="Book Antiqua"/>
        </w:rPr>
        <w:t>Phase 4</w:t>
      </w:r>
      <w:r w:rsidRPr="07F68B7F">
        <w:rPr>
          <w:rFonts w:eastAsia="Book Antiqua" w:cs="Book Antiqua"/>
        </w:rPr>
        <w:t xml:space="preserve"> of this proceeding</w:t>
      </w:r>
      <w:r>
        <w:rPr>
          <w:rFonts w:eastAsia="Book Antiqua" w:cs="Book Antiqua"/>
        </w:rPr>
        <w:t xml:space="preserve">. </w:t>
      </w:r>
      <w:r w:rsidR="009B2798">
        <w:rPr>
          <w:rFonts w:eastAsia="Book Antiqua" w:cs="Book Antiqua"/>
        </w:rPr>
        <w:t>On</w:t>
      </w:r>
      <w:r>
        <w:rPr>
          <w:rFonts w:eastAsia="Book Antiqua" w:cs="Book Antiqua"/>
        </w:rPr>
        <w:t xml:space="preserve"> July 18, 2024</w:t>
      </w:r>
      <w:r w:rsidR="00EF3CC9">
        <w:rPr>
          <w:rFonts w:eastAsia="Book Antiqua" w:cs="Book Antiqua"/>
        </w:rPr>
        <w:t>,</w:t>
      </w:r>
      <w:r>
        <w:rPr>
          <w:rFonts w:eastAsia="Book Antiqua" w:cs="Book Antiqua"/>
        </w:rPr>
        <w:t xml:space="preserve"> </w:t>
      </w:r>
      <w:r w:rsidRPr="00321CD1">
        <w:t>Energy Division’s Phase</w:t>
      </w:r>
      <w:r>
        <w:t xml:space="preserve"> 4</w:t>
      </w:r>
      <w:r w:rsidR="003C3FE0">
        <w:t xml:space="preserve"> Track </w:t>
      </w:r>
      <w:r w:rsidR="00236A72">
        <w:t>A</w:t>
      </w:r>
      <w:r w:rsidRPr="00321CD1">
        <w:t xml:space="preserve"> </w:t>
      </w:r>
      <w:r w:rsidR="003C3FE0">
        <w:t xml:space="preserve">or Phase 4A </w:t>
      </w:r>
      <w:r w:rsidRPr="00321CD1">
        <w:t xml:space="preserve">Staff Proposal </w:t>
      </w:r>
      <w:r w:rsidRPr="07F68B7F">
        <w:rPr>
          <w:rFonts w:eastAsia="Book Antiqua" w:cs="Book Antiqua"/>
        </w:rPr>
        <w:t>(</w:t>
      </w:r>
      <w:r w:rsidRPr="00321CD1">
        <w:t>Staff Proposal</w:t>
      </w:r>
      <w:r w:rsidRPr="07F68B7F">
        <w:rPr>
          <w:rFonts w:eastAsia="Book Antiqua" w:cs="Book Antiqua"/>
        </w:rPr>
        <w:t>)</w:t>
      </w:r>
      <w:r w:rsidR="00A91F20">
        <w:rPr>
          <w:rFonts w:eastAsia="Book Antiqua" w:cs="Book Antiqua"/>
        </w:rPr>
        <w:t xml:space="preserve"> was </w:t>
      </w:r>
      <w:r w:rsidR="00EF3CC9">
        <w:rPr>
          <w:rFonts w:eastAsia="Book Antiqua" w:cs="Book Antiqua"/>
        </w:rPr>
        <w:t>released to the proceeding service list</w:t>
      </w:r>
      <w:r w:rsidR="00A91F20">
        <w:rPr>
          <w:rFonts w:eastAsia="Book Antiqua" w:cs="Book Antiqua"/>
        </w:rPr>
        <w:t xml:space="preserve"> by </w:t>
      </w:r>
      <w:r w:rsidR="00EF3CC9">
        <w:rPr>
          <w:rFonts w:eastAsia="Book Antiqua" w:cs="Book Antiqua"/>
        </w:rPr>
        <w:t xml:space="preserve">a </w:t>
      </w:r>
      <w:r w:rsidR="00A91F20">
        <w:rPr>
          <w:rFonts w:eastAsia="Book Antiqua" w:cs="Book Antiqua"/>
        </w:rPr>
        <w:t>ruling.</w:t>
      </w:r>
      <w:r>
        <w:rPr>
          <w:rFonts w:eastAsia="Book Antiqua" w:cs="Book Antiqua"/>
        </w:rPr>
        <w:t xml:space="preserve"> </w:t>
      </w:r>
      <w:r w:rsidR="00A91F20">
        <w:rPr>
          <w:rFonts w:eastAsia="Book Antiqua" w:cs="Book Antiqua"/>
        </w:rPr>
        <w:t>This same ruling</w:t>
      </w:r>
      <w:r>
        <w:rPr>
          <w:rFonts w:eastAsia="Book Antiqua" w:cs="Book Antiqua"/>
        </w:rPr>
        <w:t xml:space="preserve"> directed parties to </w:t>
      </w:r>
      <w:r w:rsidR="003C3FE0">
        <w:rPr>
          <w:rFonts w:eastAsia="Book Antiqua" w:cs="Book Antiqua"/>
        </w:rPr>
        <w:t>file</w:t>
      </w:r>
      <w:r>
        <w:rPr>
          <w:rFonts w:eastAsia="Book Antiqua" w:cs="Book Antiqua"/>
        </w:rPr>
        <w:t xml:space="preserve"> </w:t>
      </w:r>
      <w:r w:rsidRPr="005C5A28">
        <w:rPr>
          <w:rFonts w:eastAsia="Book Antiqua" w:cs="Book Antiqua"/>
        </w:rPr>
        <w:t xml:space="preserve">comments on </w:t>
      </w:r>
      <w:r>
        <w:rPr>
          <w:rFonts w:eastAsia="Book Antiqua" w:cs="Book Antiqua"/>
        </w:rPr>
        <w:t>the</w:t>
      </w:r>
      <w:r w:rsidR="006D215A">
        <w:rPr>
          <w:rFonts w:eastAsia="Book Antiqua" w:cs="Book Antiqua"/>
        </w:rPr>
        <w:t xml:space="preserve"> </w:t>
      </w:r>
      <w:r w:rsidR="00603F52">
        <w:rPr>
          <w:rFonts w:eastAsia="Book Antiqua" w:cs="Book Antiqua"/>
        </w:rPr>
        <w:t>Staff</w:t>
      </w:r>
      <w:r w:rsidR="00985BCB">
        <w:rPr>
          <w:rFonts w:eastAsia="Book Antiqua" w:cs="Book Antiqua"/>
        </w:rPr>
        <w:t xml:space="preserve"> Proposal</w:t>
      </w:r>
      <w:r w:rsidR="00A87572">
        <w:rPr>
          <w:rFonts w:eastAsia="Book Antiqua" w:cs="Book Antiqua"/>
        </w:rPr>
        <w:t xml:space="preserve"> while also extending the </w:t>
      </w:r>
      <w:r w:rsidR="00485C11">
        <w:rPr>
          <w:rFonts w:eastAsia="Book Antiqua" w:cs="Book Antiqua"/>
        </w:rPr>
        <w:t xml:space="preserve">time to </w:t>
      </w:r>
      <w:r w:rsidR="003C3FE0">
        <w:rPr>
          <w:rFonts w:eastAsia="Book Antiqua" w:cs="Book Antiqua"/>
        </w:rPr>
        <w:t>fil</w:t>
      </w:r>
      <w:r w:rsidR="00485C11">
        <w:rPr>
          <w:rFonts w:eastAsia="Book Antiqua" w:cs="Book Antiqua"/>
        </w:rPr>
        <w:t>e comments in response to the Phase 4 Scoping Memo questions</w:t>
      </w:r>
      <w:r>
        <w:rPr>
          <w:rFonts w:eastAsia="Book Antiqua" w:cs="Book Antiqua"/>
        </w:rPr>
        <w:t>.</w:t>
      </w:r>
    </w:p>
    <w:p w:rsidR="00C91D4A" w:rsidP="00FB5742" w:rsidRDefault="7DE8D491" w14:paraId="702D668C" w14:textId="2D0EC696">
      <w:r w:rsidRPr="07F68B7F">
        <w:t xml:space="preserve">On </w:t>
      </w:r>
      <w:r w:rsidR="00133D39">
        <w:t xml:space="preserve">or before </w:t>
      </w:r>
      <w:r w:rsidR="00D8043E">
        <w:t>August </w:t>
      </w:r>
      <w:r w:rsidR="00D33A62">
        <w:t>7</w:t>
      </w:r>
      <w:r w:rsidRPr="07F68B7F">
        <w:t>, 202</w:t>
      </w:r>
      <w:r w:rsidR="00D33A62">
        <w:t>4</w:t>
      </w:r>
      <w:r w:rsidRPr="07F68B7F">
        <w:t xml:space="preserve">, </w:t>
      </w:r>
      <w:r w:rsidR="00EF3CC9">
        <w:t xml:space="preserve">the following </w:t>
      </w:r>
      <w:r w:rsidRPr="07F68B7F">
        <w:t xml:space="preserve">parties filed </w:t>
      </w:r>
      <w:r w:rsidRPr="07F68B7F" w:rsidR="63399543">
        <w:t>opening comments</w:t>
      </w:r>
      <w:r w:rsidR="004C4A9E">
        <w:t xml:space="preserve"> in response to the Phase 4 Scoping Memo and </w:t>
      </w:r>
      <w:r w:rsidR="003C3FE0">
        <w:t>the Phase 4A</w:t>
      </w:r>
      <w:r w:rsidR="004C4A9E">
        <w:t xml:space="preserve"> Staff Proposal</w:t>
      </w:r>
      <w:r w:rsidR="003D6485">
        <w:t xml:space="preserve">: (1) </w:t>
      </w:r>
      <w:r w:rsidRPr="003D6485" w:rsidR="003D6485">
        <w:t>Association of Bay Area Governments for the Bay Area Regional Energy Network Program and County of Ventura for the Tri-County Regional Energy Network Program (</w:t>
      </w:r>
      <w:r w:rsidR="00F07BD8">
        <w:t>collectively “</w:t>
      </w:r>
      <w:r w:rsidR="006071C6">
        <w:t>the Joint RENs</w:t>
      </w:r>
      <w:r w:rsidR="00F07BD8">
        <w:t>”</w:t>
      </w:r>
      <w:r w:rsidRPr="003D6485" w:rsidR="003D6485">
        <w:t xml:space="preserve">), </w:t>
      </w:r>
      <w:r w:rsidR="003D6485">
        <w:t>(</w:t>
      </w:r>
      <w:r w:rsidR="00EB20B4">
        <w:t>2</w:t>
      </w:r>
      <w:r w:rsidR="003D6485">
        <w:t xml:space="preserve">) </w:t>
      </w:r>
      <w:r w:rsidRPr="003D6485" w:rsidR="003D6485">
        <w:t>California Solar &amp; Storage Association (</w:t>
      </w:r>
      <w:r w:rsidRPr="00183E87" w:rsidR="003D6485">
        <w:t>CALSSA</w:t>
      </w:r>
      <w:r w:rsidRPr="003D6485" w:rsidR="003D6485">
        <w:t xml:space="preserve">), </w:t>
      </w:r>
      <w:r w:rsidR="00D90D7F">
        <w:t>(</w:t>
      </w:r>
      <w:r w:rsidR="00EB20B4">
        <w:t>3</w:t>
      </w:r>
      <w:r w:rsidR="00D90D7F">
        <w:t xml:space="preserve">) </w:t>
      </w:r>
      <w:r w:rsidRPr="003D6485" w:rsidR="003D6485">
        <w:t>Clean Power Alliance of Southern California (</w:t>
      </w:r>
      <w:r w:rsidRPr="00183E87" w:rsidR="003D6485">
        <w:t>CPA</w:t>
      </w:r>
      <w:r w:rsidRPr="003D6485" w:rsidR="003D6485">
        <w:t xml:space="preserve">), </w:t>
      </w:r>
      <w:r w:rsidR="002E0EB7">
        <w:t>(</w:t>
      </w:r>
      <w:r w:rsidR="00EB20B4">
        <w:t>4</w:t>
      </w:r>
      <w:r w:rsidR="002E0EB7">
        <w:t xml:space="preserve">) </w:t>
      </w:r>
      <w:r w:rsidRPr="003D6485" w:rsidR="003D6485">
        <w:t>Coalition of California Utility Employees (</w:t>
      </w:r>
      <w:r w:rsidRPr="00183E87" w:rsidR="003D6485">
        <w:t>CUE</w:t>
      </w:r>
      <w:r w:rsidRPr="003D6485" w:rsidR="003D6485">
        <w:t xml:space="preserve">), </w:t>
      </w:r>
      <w:r w:rsidR="002E0EB7">
        <w:t>(</w:t>
      </w:r>
      <w:r w:rsidR="00C76E9A">
        <w:t>5</w:t>
      </w:r>
      <w:r w:rsidR="002E0EB7">
        <w:t xml:space="preserve">) </w:t>
      </w:r>
      <w:r w:rsidRPr="003D6485" w:rsidR="003D6485">
        <w:t>ConnectDER Inc. (</w:t>
      </w:r>
      <w:r w:rsidRPr="00183E87" w:rsidR="003D6485">
        <w:t>ConnectDER</w:t>
      </w:r>
      <w:r w:rsidRPr="003D6485" w:rsidR="003D6485">
        <w:t xml:space="preserve">), </w:t>
      </w:r>
      <w:r w:rsidR="002E0EB7">
        <w:t>(</w:t>
      </w:r>
      <w:r w:rsidR="00C76E9A">
        <w:t>6</w:t>
      </w:r>
      <w:r w:rsidR="002E0EB7">
        <w:t xml:space="preserve">) </w:t>
      </w:r>
      <w:r w:rsidR="00A439A3">
        <w:t>Co</w:t>
      </w:r>
      <w:r w:rsidR="004750FA">
        <w:t xml:space="preserve">unty of Los Angeles for </w:t>
      </w:r>
      <w:r w:rsidRPr="00655860" w:rsidR="00655860">
        <w:t>the Southern California Regional Energy Network</w:t>
      </w:r>
      <w:r w:rsidR="00655860">
        <w:t xml:space="preserve"> (</w:t>
      </w:r>
      <w:r w:rsidRPr="00183E87" w:rsidR="00655860">
        <w:t>SoCalREN</w:t>
      </w:r>
      <w:r w:rsidR="00655860">
        <w:t>),</w:t>
      </w:r>
      <w:r w:rsidR="00487FB1">
        <w:rPr>
          <w:rStyle w:val="FootnoteReference"/>
          <w:rFonts w:eastAsia="Book Antiqua" w:cs="Book Antiqua"/>
        </w:rPr>
        <w:footnoteReference w:id="2"/>
      </w:r>
      <w:r w:rsidRPr="003D6485" w:rsidR="003D6485">
        <w:t xml:space="preserve"> </w:t>
      </w:r>
      <w:r w:rsidR="002E0EB7">
        <w:t>(</w:t>
      </w:r>
      <w:r w:rsidR="00C76E9A">
        <w:t>7</w:t>
      </w:r>
      <w:r w:rsidR="002E0EB7">
        <w:t xml:space="preserve">) </w:t>
      </w:r>
      <w:r w:rsidRPr="003D6485" w:rsidR="003D6485">
        <w:t>Pacific Gas and Electric Company (</w:t>
      </w:r>
      <w:r w:rsidRPr="00183E87" w:rsidR="003D6485">
        <w:t>PG&amp;E</w:t>
      </w:r>
      <w:r w:rsidRPr="003D6485" w:rsidR="003D6485">
        <w:t xml:space="preserve">), </w:t>
      </w:r>
      <w:r w:rsidR="002E0EB7">
        <w:t>(</w:t>
      </w:r>
      <w:r w:rsidR="00C76E9A">
        <w:t>8</w:t>
      </w:r>
      <w:r w:rsidR="002E0EB7">
        <w:t xml:space="preserve">) </w:t>
      </w:r>
      <w:r w:rsidRPr="003D6485" w:rsidR="003D6485">
        <w:t xml:space="preserve">Public Advocates Office </w:t>
      </w:r>
      <w:r w:rsidR="000B72C9">
        <w:t xml:space="preserve">at the California Public Utilities Commission </w:t>
      </w:r>
      <w:r w:rsidRPr="003D6485" w:rsidR="003D6485">
        <w:t>(</w:t>
      </w:r>
      <w:r w:rsidRPr="00183E87" w:rsidR="003D6485">
        <w:t>Cal</w:t>
      </w:r>
      <w:r w:rsidR="005D5228">
        <w:t xml:space="preserve"> </w:t>
      </w:r>
      <w:r w:rsidRPr="00183E87" w:rsidR="003D6485">
        <w:t>Advocates</w:t>
      </w:r>
      <w:r w:rsidRPr="003D6485" w:rsidR="003D6485">
        <w:t xml:space="preserve">), </w:t>
      </w:r>
      <w:r w:rsidR="009E03D5">
        <w:t>(</w:t>
      </w:r>
      <w:r w:rsidR="00C76E9A">
        <w:t>9</w:t>
      </w:r>
      <w:r w:rsidR="009E03D5">
        <w:t xml:space="preserve">) </w:t>
      </w:r>
      <w:r w:rsidRPr="003D6485" w:rsidR="003D6485">
        <w:t>San Diego Gas &amp; Electric Company</w:t>
      </w:r>
      <w:r w:rsidR="00F55505">
        <w:t xml:space="preserve"> (SDG&amp;E)</w:t>
      </w:r>
      <w:r w:rsidR="00017297">
        <w:t xml:space="preserve"> and </w:t>
      </w:r>
      <w:r w:rsidRPr="003D6485" w:rsidR="00017297">
        <w:t>Southern California Gas Company</w:t>
      </w:r>
      <w:r w:rsidR="00017297">
        <w:t xml:space="preserve"> </w:t>
      </w:r>
      <w:r w:rsidR="00982EE8">
        <w:t xml:space="preserve">(SoCalGas) </w:t>
      </w:r>
      <w:r w:rsidR="00017297">
        <w:t>(</w:t>
      </w:r>
      <w:r w:rsidR="00EE09B1">
        <w:t>collectively “</w:t>
      </w:r>
      <w:r w:rsidRPr="00183E87" w:rsidR="00017297">
        <w:t>Sempra</w:t>
      </w:r>
      <w:r w:rsidR="00F01032">
        <w:t xml:space="preserve"> Utilities</w:t>
      </w:r>
      <w:r w:rsidR="00EE09B1">
        <w:t>”</w:t>
      </w:r>
      <w:r w:rsidR="00017297">
        <w:t>)</w:t>
      </w:r>
      <w:r w:rsidRPr="003D6485" w:rsidR="003D6485">
        <w:t xml:space="preserve">, </w:t>
      </w:r>
      <w:r w:rsidR="009E03D5">
        <w:t>(1</w:t>
      </w:r>
      <w:r w:rsidR="00C76E9A">
        <w:t>0</w:t>
      </w:r>
      <w:r w:rsidR="009E03D5">
        <w:t xml:space="preserve">) </w:t>
      </w:r>
      <w:r w:rsidRPr="003D6485" w:rsidR="003D6485">
        <w:t>San Francisco Bay Area Planning and Urban Research Association (</w:t>
      </w:r>
      <w:r w:rsidRPr="00183E87" w:rsidR="003D6485">
        <w:t>SPUR</w:t>
      </w:r>
      <w:r w:rsidRPr="003D6485" w:rsidR="003D6485">
        <w:t xml:space="preserve">), </w:t>
      </w:r>
      <w:r w:rsidR="009E03D5">
        <w:t>(1</w:t>
      </w:r>
      <w:r w:rsidR="00C76E9A">
        <w:t>1</w:t>
      </w:r>
      <w:r w:rsidR="009E03D5">
        <w:t xml:space="preserve">) </w:t>
      </w:r>
      <w:r w:rsidRPr="003D6485" w:rsidR="003D6485">
        <w:t xml:space="preserve">Sierra </w:t>
      </w:r>
      <w:r w:rsidRPr="003D6485" w:rsidR="003D6485">
        <w:lastRenderedPageBreak/>
        <w:t>Club</w:t>
      </w:r>
      <w:r w:rsidR="00EB20B4">
        <w:t xml:space="preserve">, </w:t>
      </w:r>
      <w:r w:rsidRPr="003D6485" w:rsidR="00EB20B4">
        <w:t>California Environmental Justice Alliance</w:t>
      </w:r>
      <w:r w:rsidR="000E40F4">
        <w:t xml:space="preserve"> (CEJA)</w:t>
      </w:r>
      <w:r w:rsidR="00EB20B4">
        <w:t xml:space="preserve">, and </w:t>
      </w:r>
      <w:r w:rsidRPr="003D6485" w:rsidR="00EB20B4">
        <w:t>Natural Resources Defense Council</w:t>
      </w:r>
      <w:r w:rsidR="00982EE8">
        <w:t xml:space="preserve"> (NRDC)</w:t>
      </w:r>
      <w:r w:rsidR="00EB20B4">
        <w:t xml:space="preserve"> (</w:t>
      </w:r>
      <w:r w:rsidR="00EE09B1">
        <w:t>collectively “</w:t>
      </w:r>
      <w:r w:rsidR="00FE1116">
        <w:t xml:space="preserve">the </w:t>
      </w:r>
      <w:r w:rsidRPr="00183E87" w:rsidR="00EB20B4">
        <w:t>Joint Parties</w:t>
      </w:r>
      <w:r w:rsidR="00EE09B1">
        <w:t>”</w:t>
      </w:r>
      <w:r w:rsidR="00EB20B4">
        <w:t>)</w:t>
      </w:r>
      <w:r w:rsidRPr="003D6485" w:rsidR="003D6485">
        <w:t xml:space="preserve">, </w:t>
      </w:r>
      <w:r w:rsidR="009E03D5">
        <w:t>(1</w:t>
      </w:r>
      <w:r w:rsidR="00C76E9A">
        <w:t>2</w:t>
      </w:r>
      <w:r w:rsidR="009E03D5">
        <w:t xml:space="preserve">) </w:t>
      </w:r>
      <w:r w:rsidRPr="003D6485" w:rsidR="003D6485">
        <w:t>Small Business Utility Advocates (</w:t>
      </w:r>
      <w:r w:rsidRPr="00183E87" w:rsidR="003D6485">
        <w:t>SBUA</w:t>
      </w:r>
      <w:r w:rsidRPr="003D6485" w:rsidR="003D6485">
        <w:t xml:space="preserve">), </w:t>
      </w:r>
      <w:r w:rsidR="009E03D5">
        <w:t>(1</w:t>
      </w:r>
      <w:r w:rsidR="00C76E9A">
        <w:t>3</w:t>
      </w:r>
      <w:r w:rsidR="009E03D5">
        <w:t xml:space="preserve">) </w:t>
      </w:r>
      <w:r w:rsidRPr="003D6485" w:rsidR="003D6485">
        <w:t>Southern California Edison Company (</w:t>
      </w:r>
      <w:r w:rsidRPr="00183E87" w:rsidR="003D6485">
        <w:t>SCE</w:t>
      </w:r>
      <w:r w:rsidRPr="003D6485" w:rsidR="003D6485">
        <w:t xml:space="preserve">), </w:t>
      </w:r>
      <w:r w:rsidR="009E03D5">
        <w:t>(1</w:t>
      </w:r>
      <w:r w:rsidR="00017297">
        <w:t>4</w:t>
      </w:r>
      <w:r w:rsidR="009E03D5">
        <w:t xml:space="preserve">) </w:t>
      </w:r>
      <w:r w:rsidRPr="003D6485" w:rsidR="003D6485">
        <w:t>Vermont Energy Investment Corporation (</w:t>
      </w:r>
      <w:r w:rsidRPr="00183E87" w:rsidR="003D6485">
        <w:t>VEIC</w:t>
      </w:r>
      <w:r w:rsidRPr="003D6485" w:rsidR="003D6485">
        <w:t xml:space="preserve">), </w:t>
      </w:r>
      <w:r w:rsidR="009E03D5">
        <w:t>(1</w:t>
      </w:r>
      <w:r w:rsidR="00017297">
        <w:t>5</w:t>
      </w:r>
      <w:r w:rsidR="009E03D5">
        <w:t xml:space="preserve">) </w:t>
      </w:r>
      <w:r w:rsidRPr="003D6485" w:rsidR="003D6485">
        <w:t>Western Riverside Council of Governments (</w:t>
      </w:r>
      <w:r w:rsidRPr="00183E87" w:rsidR="003D6485">
        <w:t>WRCOG</w:t>
      </w:r>
      <w:r w:rsidRPr="003D6485" w:rsidR="003D6485">
        <w:t>)</w:t>
      </w:r>
      <w:r w:rsidR="000D4707">
        <w:t>, and (1</w:t>
      </w:r>
      <w:r w:rsidR="00017297">
        <w:t>6</w:t>
      </w:r>
      <w:r w:rsidR="000D4707">
        <w:t xml:space="preserve">) </w:t>
      </w:r>
      <w:r w:rsidRPr="00183E87" w:rsidR="000D4707">
        <w:t>Wild Tree Foundation</w:t>
      </w:r>
      <w:r w:rsidR="009B247D">
        <w:t xml:space="preserve"> (Wild Tree)</w:t>
      </w:r>
      <w:r w:rsidRPr="003D6485" w:rsidR="003D6485">
        <w:t>.</w:t>
      </w:r>
      <w:r w:rsidR="00A43C56">
        <w:t xml:space="preserve"> While most parties </w:t>
      </w:r>
      <w:r w:rsidR="006B700E">
        <w:t xml:space="preserve">consolidated their </w:t>
      </w:r>
      <w:r w:rsidR="00183E87">
        <w:t xml:space="preserve">opening </w:t>
      </w:r>
      <w:r w:rsidR="006B700E">
        <w:t xml:space="preserve">comments on both the Phase 4 Scoping Memo and the Staff Proposal into a single filing, </w:t>
      </w:r>
      <w:r w:rsidR="006066A0">
        <w:t>PG&amp;E and SDG&amp;E (exclu</w:t>
      </w:r>
      <w:r w:rsidR="00FE09F6">
        <w:t>sive of</w:t>
      </w:r>
      <w:r w:rsidR="006066A0">
        <w:t xml:space="preserve"> So</w:t>
      </w:r>
      <w:r w:rsidR="00982EE8">
        <w:t>CalGas</w:t>
      </w:r>
      <w:r w:rsidR="006066A0">
        <w:t xml:space="preserve">) </w:t>
      </w:r>
      <w:r w:rsidR="002021E6">
        <w:t>both filed two</w:t>
      </w:r>
      <w:r w:rsidR="000B72C9">
        <w:t> </w:t>
      </w:r>
      <w:r w:rsidR="002021E6">
        <w:t xml:space="preserve">sets of </w:t>
      </w:r>
      <w:r w:rsidR="005A0D51">
        <w:t xml:space="preserve">opening </w:t>
      </w:r>
      <w:r w:rsidR="002021E6">
        <w:t>comments</w:t>
      </w:r>
      <w:r w:rsidR="00EF3486">
        <w:t xml:space="preserve"> addressing the Phase 4 Scoping Memo and the Staff Proposal separately.</w:t>
      </w:r>
    </w:p>
    <w:p w:rsidR="001C008B" w:rsidP="000D5044" w:rsidRDefault="3DF21115" w14:paraId="1B8AD6A3" w14:textId="168CA42C">
      <w:pPr>
        <w:pStyle w:val="Standard"/>
      </w:pPr>
      <w:r w:rsidRPr="07F68B7F">
        <w:rPr>
          <w:rFonts w:eastAsia="Book Antiqua" w:cs="Book Antiqua"/>
        </w:rPr>
        <w:t xml:space="preserve">On </w:t>
      </w:r>
      <w:r w:rsidR="00133D39">
        <w:rPr>
          <w:rFonts w:eastAsia="Book Antiqua" w:cs="Book Antiqua"/>
        </w:rPr>
        <w:t xml:space="preserve">or before </w:t>
      </w:r>
      <w:r w:rsidR="00D8043E">
        <w:rPr>
          <w:rFonts w:eastAsia="Book Antiqua" w:cs="Book Antiqua"/>
        </w:rPr>
        <w:t>August </w:t>
      </w:r>
      <w:r w:rsidR="00D33A62">
        <w:rPr>
          <w:rFonts w:eastAsia="Book Antiqua" w:cs="Book Antiqua"/>
        </w:rPr>
        <w:t>19</w:t>
      </w:r>
      <w:r w:rsidRPr="07F68B7F">
        <w:rPr>
          <w:rFonts w:eastAsia="Book Antiqua" w:cs="Book Antiqua"/>
        </w:rPr>
        <w:t>, 202</w:t>
      </w:r>
      <w:r w:rsidR="00D33A62">
        <w:rPr>
          <w:rFonts w:eastAsia="Book Antiqua" w:cs="Book Antiqua"/>
        </w:rPr>
        <w:t>4</w:t>
      </w:r>
      <w:r w:rsidRPr="07F68B7F" w:rsidR="6FBF1F6D">
        <w:rPr>
          <w:rFonts w:eastAsia="Book Antiqua" w:cs="Book Antiqua"/>
        </w:rPr>
        <w:t xml:space="preserve">, </w:t>
      </w:r>
      <w:r w:rsidR="00EF3CC9">
        <w:rPr>
          <w:rFonts w:eastAsia="Book Antiqua" w:cs="Book Antiqua"/>
        </w:rPr>
        <w:t xml:space="preserve">the following </w:t>
      </w:r>
      <w:r w:rsidRPr="07F68B7F" w:rsidR="6FBF1F6D">
        <w:rPr>
          <w:rFonts w:eastAsia="Book Antiqua" w:cs="Book Antiqua"/>
        </w:rPr>
        <w:t>parties filed reply comments</w:t>
      </w:r>
      <w:r w:rsidR="00841F18">
        <w:rPr>
          <w:rFonts w:eastAsia="Book Antiqua" w:cs="Book Antiqua"/>
        </w:rPr>
        <w:t>: (1)</w:t>
      </w:r>
      <w:r w:rsidRPr="0058004B" w:rsidR="0058004B">
        <w:t xml:space="preserve"> </w:t>
      </w:r>
      <w:r w:rsidR="006071C6">
        <w:rPr>
          <w:rFonts w:eastAsia="Book Antiqua" w:cs="Book Antiqua"/>
        </w:rPr>
        <w:t xml:space="preserve">the Joint </w:t>
      </w:r>
      <w:r w:rsidR="0058004B">
        <w:rPr>
          <w:rFonts w:eastAsia="Book Antiqua" w:cs="Book Antiqua"/>
        </w:rPr>
        <w:t>REN</w:t>
      </w:r>
      <w:r w:rsidR="006071C6">
        <w:rPr>
          <w:rFonts w:eastAsia="Book Antiqua" w:cs="Book Antiqua"/>
        </w:rPr>
        <w:t>s</w:t>
      </w:r>
      <w:r w:rsidRPr="0058004B" w:rsidR="0058004B">
        <w:rPr>
          <w:rFonts w:eastAsia="Book Antiqua" w:cs="Book Antiqua"/>
        </w:rPr>
        <w:t xml:space="preserve">, </w:t>
      </w:r>
      <w:r w:rsidR="0058004B">
        <w:rPr>
          <w:rFonts w:eastAsia="Book Antiqua" w:cs="Book Antiqua"/>
        </w:rPr>
        <w:t xml:space="preserve">(2) </w:t>
      </w:r>
      <w:r w:rsidR="005D5228">
        <w:rPr>
          <w:rFonts w:eastAsia="Book Antiqua" w:cs="Book Antiqua"/>
        </w:rPr>
        <w:t>Cal Advocates</w:t>
      </w:r>
      <w:r w:rsidRPr="0058004B" w:rsidR="0058004B">
        <w:rPr>
          <w:rFonts w:eastAsia="Book Antiqua" w:cs="Book Antiqua"/>
        </w:rPr>
        <w:t xml:space="preserve">, </w:t>
      </w:r>
      <w:r w:rsidR="00A23975">
        <w:rPr>
          <w:rFonts w:eastAsia="Book Antiqua" w:cs="Book Antiqua"/>
        </w:rPr>
        <w:t xml:space="preserve">(3) </w:t>
      </w:r>
      <w:r w:rsidRPr="0058004B" w:rsidR="00454BA0">
        <w:rPr>
          <w:rFonts w:eastAsia="Book Antiqua" w:cs="Book Antiqua"/>
        </w:rPr>
        <w:t>California Building Industry Association (CBIA)</w:t>
      </w:r>
      <w:r w:rsidR="00454BA0">
        <w:rPr>
          <w:rFonts w:eastAsia="Book Antiqua" w:cs="Book Antiqua"/>
        </w:rPr>
        <w:t xml:space="preserve">, (4) </w:t>
      </w:r>
      <w:r w:rsidRPr="0058004B" w:rsidR="0058004B">
        <w:rPr>
          <w:rFonts w:eastAsia="Book Antiqua" w:cs="Book Antiqua"/>
        </w:rPr>
        <w:t>C</w:t>
      </w:r>
      <w:r w:rsidR="000D3C26">
        <w:rPr>
          <w:rFonts w:eastAsia="Book Antiqua" w:cs="Book Antiqua"/>
        </w:rPr>
        <w:t>ALSSA</w:t>
      </w:r>
      <w:r w:rsidRPr="0058004B" w:rsidR="0058004B">
        <w:rPr>
          <w:rFonts w:eastAsia="Book Antiqua" w:cs="Book Antiqua"/>
        </w:rPr>
        <w:t xml:space="preserve">, </w:t>
      </w:r>
      <w:r w:rsidR="00A23975">
        <w:rPr>
          <w:rFonts w:eastAsia="Book Antiqua" w:cs="Book Antiqua"/>
        </w:rPr>
        <w:t>(</w:t>
      </w:r>
      <w:r w:rsidR="00454BA0">
        <w:rPr>
          <w:rFonts w:eastAsia="Book Antiqua" w:cs="Book Antiqua"/>
        </w:rPr>
        <w:t>5</w:t>
      </w:r>
      <w:r w:rsidR="00A23975">
        <w:rPr>
          <w:rFonts w:eastAsia="Book Antiqua" w:cs="Book Antiqua"/>
        </w:rPr>
        <w:t xml:space="preserve">) </w:t>
      </w:r>
      <w:r w:rsidRPr="0058004B" w:rsidR="0058004B">
        <w:rPr>
          <w:rFonts w:eastAsia="Book Antiqua" w:cs="Book Antiqua"/>
        </w:rPr>
        <w:t xml:space="preserve">CUE, </w:t>
      </w:r>
      <w:r w:rsidR="00A23975">
        <w:rPr>
          <w:rFonts w:eastAsia="Book Antiqua" w:cs="Book Antiqua"/>
        </w:rPr>
        <w:t xml:space="preserve">(6) </w:t>
      </w:r>
      <w:r w:rsidR="00FE1116">
        <w:rPr>
          <w:rFonts w:eastAsia="Book Antiqua" w:cs="Book Antiqua"/>
        </w:rPr>
        <w:t xml:space="preserve">the </w:t>
      </w:r>
      <w:r w:rsidR="000D52BE">
        <w:rPr>
          <w:rFonts w:eastAsia="Book Antiqua" w:cs="Book Antiqua"/>
        </w:rPr>
        <w:t xml:space="preserve">Joint Parties, </w:t>
      </w:r>
      <w:r w:rsidR="00A23975">
        <w:rPr>
          <w:rFonts w:eastAsia="Book Antiqua" w:cs="Book Antiqua"/>
        </w:rPr>
        <w:t xml:space="preserve">(7) </w:t>
      </w:r>
      <w:r w:rsidRPr="0058004B" w:rsidR="0058004B">
        <w:rPr>
          <w:rFonts w:eastAsia="Book Antiqua" w:cs="Book Antiqua"/>
        </w:rPr>
        <w:t xml:space="preserve">PG&amp;E, </w:t>
      </w:r>
      <w:r w:rsidR="00A23975">
        <w:rPr>
          <w:rFonts w:eastAsia="Book Antiqua" w:cs="Book Antiqua"/>
        </w:rPr>
        <w:t xml:space="preserve">(8) </w:t>
      </w:r>
      <w:r w:rsidRPr="0058004B" w:rsidR="0058004B">
        <w:rPr>
          <w:rFonts w:eastAsia="Book Antiqua" w:cs="Book Antiqua"/>
        </w:rPr>
        <w:t xml:space="preserve">SBUA, </w:t>
      </w:r>
      <w:r w:rsidR="00A23975">
        <w:rPr>
          <w:rFonts w:eastAsia="Book Antiqua" w:cs="Book Antiqua"/>
        </w:rPr>
        <w:t xml:space="preserve">(9) </w:t>
      </w:r>
      <w:r w:rsidRPr="0058004B" w:rsidR="0058004B">
        <w:rPr>
          <w:rFonts w:eastAsia="Book Antiqua" w:cs="Book Antiqua"/>
        </w:rPr>
        <w:t xml:space="preserve">SCE, </w:t>
      </w:r>
      <w:r w:rsidR="00A23975">
        <w:rPr>
          <w:rFonts w:eastAsia="Book Antiqua" w:cs="Book Antiqua"/>
        </w:rPr>
        <w:t xml:space="preserve">(10) </w:t>
      </w:r>
      <w:r w:rsidRPr="0058004B" w:rsidR="0058004B">
        <w:rPr>
          <w:rFonts w:eastAsia="Book Antiqua" w:cs="Book Antiqua"/>
        </w:rPr>
        <w:t>S</w:t>
      </w:r>
      <w:r w:rsidR="009F6BF3">
        <w:rPr>
          <w:rFonts w:eastAsia="Book Antiqua" w:cs="Book Antiqua"/>
        </w:rPr>
        <w:t>empra</w:t>
      </w:r>
      <w:r w:rsidR="00BA1FA9">
        <w:rPr>
          <w:rFonts w:eastAsia="Book Antiqua" w:cs="Book Antiqua"/>
        </w:rPr>
        <w:t xml:space="preserve"> Utilities</w:t>
      </w:r>
      <w:r w:rsidRPr="0058004B" w:rsidR="0058004B">
        <w:rPr>
          <w:rFonts w:eastAsia="Book Antiqua" w:cs="Book Antiqua"/>
        </w:rPr>
        <w:t xml:space="preserve">, </w:t>
      </w:r>
      <w:r w:rsidR="00A23975">
        <w:rPr>
          <w:rFonts w:eastAsia="Book Antiqua" w:cs="Book Antiqua"/>
        </w:rPr>
        <w:t xml:space="preserve">(11) </w:t>
      </w:r>
      <w:r w:rsidRPr="0058004B" w:rsidR="0058004B">
        <w:rPr>
          <w:rFonts w:eastAsia="Book Antiqua" w:cs="Book Antiqua"/>
        </w:rPr>
        <w:t xml:space="preserve">The Utility Reform Network (TURN), and </w:t>
      </w:r>
      <w:r w:rsidR="00A23975">
        <w:rPr>
          <w:rFonts w:eastAsia="Book Antiqua" w:cs="Book Antiqua"/>
        </w:rPr>
        <w:t xml:space="preserve">(12) </w:t>
      </w:r>
      <w:r w:rsidRPr="0058004B" w:rsidR="0058004B">
        <w:rPr>
          <w:rFonts w:eastAsia="Book Antiqua" w:cs="Book Antiqua"/>
        </w:rPr>
        <w:t>WRCOG.</w:t>
      </w:r>
      <w:r w:rsidR="00CC3646">
        <w:rPr>
          <w:rFonts w:eastAsia="Book Antiqua" w:cs="Book Antiqua"/>
        </w:rPr>
        <w:t xml:space="preserve"> </w:t>
      </w:r>
    </w:p>
    <w:p w:rsidRPr="009D1072" w:rsidR="00EF3801" w:rsidP="000E7D14" w:rsidRDefault="00240655" w14:paraId="1822C469" w14:textId="19CE267E">
      <w:pPr>
        <w:pStyle w:val="Heading2"/>
      </w:pPr>
      <w:bookmarkStart w:name="_Toc185579350" w:id="13"/>
      <w:bookmarkStart w:name="_Toc192263676" w:id="14"/>
      <w:bookmarkStart w:name="_Toc200370963" w:id="15"/>
      <w:r>
        <w:t>AB </w:t>
      </w:r>
      <w:r w:rsidRPr="009D1072" w:rsidR="002F4721">
        <w:t>157 Implementation</w:t>
      </w:r>
      <w:bookmarkEnd w:id="13"/>
      <w:bookmarkEnd w:id="14"/>
      <w:bookmarkEnd w:id="15"/>
    </w:p>
    <w:p w:rsidRPr="006E5801" w:rsidR="004309F0" w:rsidP="001D63C9" w:rsidRDefault="004309F0" w14:paraId="7B498315" w14:textId="4FCF5D94">
      <w:pPr>
        <w:pStyle w:val="Standard"/>
      </w:pPr>
      <w:r>
        <w:t>On October</w:t>
      </w:r>
      <w:r w:rsidRPr="00321CD1">
        <w:t> </w:t>
      </w:r>
      <w:r>
        <w:t>8</w:t>
      </w:r>
      <w:r w:rsidRPr="00321CD1">
        <w:t>, 202</w:t>
      </w:r>
      <w:r>
        <w:t xml:space="preserve">4, the Assigned </w:t>
      </w:r>
      <w:r w:rsidR="00B64DD4">
        <w:t>Administrative Law Judge (</w:t>
      </w:r>
      <w:r>
        <w:t>ALJ</w:t>
      </w:r>
      <w:r w:rsidR="00B64DD4">
        <w:t>)</w:t>
      </w:r>
      <w:r>
        <w:t xml:space="preserve"> issued a </w:t>
      </w:r>
      <w:r w:rsidR="00133D39">
        <w:rPr>
          <w:rFonts w:eastAsia="Book Antiqua" w:cs="Book Antiqua"/>
        </w:rPr>
        <w:t>r</w:t>
      </w:r>
      <w:r w:rsidRPr="07F68B7F">
        <w:rPr>
          <w:rFonts w:eastAsia="Book Antiqua" w:cs="Book Antiqua"/>
        </w:rPr>
        <w:t xml:space="preserve">uling </w:t>
      </w:r>
      <w:r>
        <w:rPr>
          <w:rFonts w:eastAsia="Book Antiqua" w:cs="Book Antiqua"/>
        </w:rPr>
        <w:t>direct</w:t>
      </w:r>
      <w:r w:rsidR="00133D39">
        <w:rPr>
          <w:rFonts w:eastAsia="Book Antiqua" w:cs="Book Antiqua"/>
        </w:rPr>
        <w:t>ing</w:t>
      </w:r>
      <w:r>
        <w:rPr>
          <w:rFonts w:eastAsia="Book Antiqua" w:cs="Book Antiqua"/>
        </w:rPr>
        <w:t xml:space="preserve"> parties to </w:t>
      </w:r>
      <w:r w:rsidR="003C3FE0">
        <w:rPr>
          <w:rFonts w:eastAsia="Book Antiqua" w:cs="Book Antiqua"/>
        </w:rPr>
        <w:t>file</w:t>
      </w:r>
      <w:r>
        <w:rPr>
          <w:rFonts w:eastAsia="Book Antiqua" w:cs="Book Antiqua"/>
        </w:rPr>
        <w:t xml:space="preserve"> </w:t>
      </w:r>
      <w:r w:rsidRPr="005C5A28">
        <w:rPr>
          <w:rFonts w:eastAsia="Book Antiqua" w:cs="Book Antiqua"/>
        </w:rPr>
        <w:t>comments on</w:t>
      </w:r>
      <w:r w:rsidR="002E1E5A">
        <w:rPr>
          <w:rFonts w:eastAsia="Book Antiqua" w:cs="Book Antiqua"/>
        </w:rPr>
        <w:t xml:space="preserve"> how the Commission should implement </w:t>
      </w:r>
      <w:r w:rsidR="00D564D7">
        <w:rPr>
          <w:rFonts w:eastAsia="Book Antiqua" w:cs="Book Antiqua"/>
        </w:rPr>
        <w:t xml:space="preserve">the </w:t>
      </w:r>
      <w:r w:rsidR="002E1E5A">
        <w:rPr>
          <w:rFonts w:eastAsia="Book Antiqua" w:cs="Book Antiqua"/>
        </w:rPr>
        <w:t xml:space="preserve">portion of </w:t>
      </w:r>
      <w:r w:rsidR="000534FD">
        <w:t>Assembly Bill (AB) 157 (Gabriel, Chapter 994, Statutes 2024)</w:t>
      </w:r>
      <w:r w:rsidR="000534FD">
        <w:rPr>
          <w:rFonts w:eastAsia="Book Antiqua" w:cs="Book Antiqua"/>
        </w:rPr>
        <w:t xml:space="preserve"> </w:t>
      </w:r>
      <w:r w:rsidR="008745FD">
        <w:rPr>
          <w:rFonts w:eastAsia="Book Antiqua" w:cs="Book Antiqua"/>
        </w:rPr>
        <w:t xml:space="preserve">regarding </w:t>
      </w:r>
      <w:r w:rsidR="006854D6">
        <w:rPr>
          <w:rFonts w:eastAsia="Book Antiqua" w:cs="Book Antiqua"/>
        </w:rPr>
        <w:t xml:space="preserve">new </w:t>
      </w:r>
      <w:r w:rsidR="008745FD">
        <w:rPr>
          <w:rFonts w:eastAsia="Book Antiqua" w:cs="Book Antiqua"/>
        </w:rPr>
        <w:t>TECH Initiative</w:t>
      </w:r>
      <w:r w:rsidR="00CE5AAB">
        <w:rPr>
          <w:rFonts w:eastAsia="Book Antiqua" w:cs="Book Antiqua"/>
        </w:rPr>
        <w:t xml:space="preserve"> funding</w:t>
      </w:r>
      <w:r w:rsidR="006854D6">
        <w:rPr>
          <w:rFonts w:eastAsia="Book Antiqua" w:cs="Book Antiqua"/>
        </w:rPr>
        <w:t xml:space="preserve"> in SoCalGas service territory</w:t>
      </w:r>
      <w:r w:rsidR="00FD7658">
        <w:rPr>
          <w:rFonts w:eastAsia="Book Antiqua" w:cs="Book Antiqua"/>
        </w:rPr>
        <w:t>.</w:t>
      </w:r>
    </w:p>
    <w:p w:rsidRPr="00985AAB" w:rsidR="00EF3801" w:rsidP="00985AAB" w:rsidRDefault="6357D2CF" w14:paraId="2AEE4676" w14:textId="21C0DFAF">
      <w:pPr>
        <w:pStyle w:val="Standard"/>
        <w:rPr>
          <w:rFonts w:eastAsia="Book Antiqua" w:cs="Book Antiqua"/>
        </w:rPr>
      </w:pPr>
      <w:r w:rsidRPr="65D4EDFF">
        <w:rPr>
          <w:rFonts w:eastAsia="Book Antiqua" w:cs="Book Antiqua"/>
        </w:rPr>
        <w:t xml:space="preserve">On </w:t>
      </w:r>
      <w:r w:rsidRPr="65D4EDFF" w:rsidR="38B335C9">
        <w:rPr>
          <w:rFonts w:eastAsia="Book Antiqua" w:cs="Book Antiqua"/>
        </w:rPr>
        <w:t xml:space="preserve">or before </w:t>
      </w:r>
      <w:r w:rsidRPr="00ED392E" w:rsidR="18740F7D">
        <w:rPr>
          <w:rFonts w:eastAsia="Book Antiqua" w:cs="Book Antiqua"/>
        </w:rPr>
        <w:t>October</w:t>
      </w:r>
      <w:r w:rsidRPr="65D4EDFF">
        <w:rPr>
          <w:rFonts w:eastAsia="Book Antiqua" w:cs="Book Antiqua"/>
        </w:rPr>
        <w:t> </w:t>
      </w:r>
      <w:r w:rsidRPr="00ED392E" w:rsidR="18740F7D">
        <w:rPr>
          <w:rFonts w:eastAsia="Book Antiqua" w:cs="Book Antiqua"/>
        </w:rPr>
        <w:t>28</w:t>
      </w:r>
      <w:r w:rsidRPr="65D4EDFF">
        <w:rPr>
          <w:rFonts w:eastAsia="Book Antiqua" w:cs="Book Antiqua"/>
        </w:rPr>
        <w:t xml:space="preserve">, 2024, </w:t>
      </w:r>
      <w:r w:rsidR="006131C1">
        <w:rPr>
          <w:rFonts w:eastAsia="Book Antiqua" w:cs="Book Antiqua"/>
        </w:rPr>
        <w:t xml:space="preserve">the following </w:t>
      </w:r>
      <w:r w:rsidRPr="65D4EDFF">
        <w:rPr>
          <w:rFonts w:eastAsia="Book Antiqua" w:cs="Book Antiqua"/>
        </w:rPr>
        <w:t xml:space="preserve">parties filed opening comments in response to the </w:t>
      </w:r>
      <w:r w:rsidR="00DD0EC0">
        <w:rPr>
          <w:rFonts w:eastAsia="Book Antiqua" w:cs="Book Antiqua"/>
        </w:rPr>
        <w:t xml:space="preserve">October 8, 2024 </w:t>
      </w:r>
      <w:r w:rsidR="006131C1">
        <w:rPr>
          <w:rFonts w:eastAsia="Book Antiqua" w:cs="Book Antiqua"/>
        </w:rPr>
        <w:t>r</w:t>
      </w:r>
      <w:r w:rsidRPr="00ED392E" w:rsidR="18740F7D">
        <w:rPr>
          <w:rFonts w:eastAsia="Book Antiqua" w:cs="Book Antiqua"/>
        </w:rPr>
        <w:t>uling</w:t>
      </w:r>
      <w:r w:rsidR="00DD0EC0">
        <w:rPr>
          <w:rFonts w:eastAsia="Book Antiqua" w:cs="Book Antiqua"/>
        </w:rPr>
        <w:t xml:space="preserve"> regarding </w:t>
      </w:r>
      <w:r w:rsidR="00240655">
        <w:rPr>
          <w:rFonts w:eastAsia="Book Antiqua" w:cs="Book Antiqua"/>
        </w:rPr>
        <w:t>AB </w:t>
      </w:r>
      <w:r w:rsidR="00DD0EC0">
        <w:rPr>
          <w:rFonts w:eastAsia="Book Antiqua" w:cs="Book Antiqua"/>
        </w:rPr>
        <w:t>157</w:t>
      </w:r>
      <w:r w:rsidRPr="65D4EDFF">
        <w:rPr>
          <w:rFonts w:eastAsia="Book Antiqua" w:cs="Book Antiqua"/>
        </w:rPr>
        <w:t xml:space="preserve">: (1) </w:t>
      </w:r>
      <w:r w:rsidR="005D5228">
        <w:rPr>
          <w:rFonts w:eastAsia="Book Antiqua" w:cs="Book Antiqua"/>
        </w:rPr>
        <w:t>Cal Advocates</w:t>
      </w:r>
      <w:r w:rsidRPr="65D4EDFF" w:rsidR="347F0324">
        <w:rPr>
          <w:rFonts w:eastAsia="Book Antiqua" w:cs="Book Antiqua"/>
        </w:rPr>
        <w:t xml:space="preserve">, (2) </w:t>
      </w:r>
      <w:r w:rsidRPr="65D4EDFF" w:rsidR="5AD6A8D4">
        <w:rPr>
          <w:rFonts w:eastAsia="Book Antiqua" w:cs="Book Antiqua"/>
        </w:rPr>
        <w:t xml:space="preserve">Climate Action Campaign (CAC), (3) </w:t>
      </w:r>
      <w:r w:rsidRPr="65D4EDFF" w:rsidR="15D88838">
        <w:rPr>
          <w:rFonts w:eastAsia="Book Antiqua" w:cs="Book Antiqua"/>
        </w:rPr>
        <w:t xml:space="preserve">ConnectDER, (4) </w:t>
      </w:r>
      <w:r w:rsidRPr="65D4EDFF" w:rsidR="322FE38E">
        <w:rPr>
          <w:rFonts w:eastAsia="Book Antiqua" w:cs="Book Antiqua"/>
        </w:rPr>
        <w:t xml:space="preserve">the </w:t>
      </w:r>
      <w:r w:rsidRPr="65D4EDFF" w:rsidR="018EDC4A">
        <w:rPr>
          <w:rFonts w:eastAsia="Book Antiqua" w:cs="Book Antiqua"/>
        </w:rPr>
        <w:t xml:space="preserve">Joint Parties, (5) PG&amp;E, (6) </w:t>
      </w:r>
      <w:r w:rsidRPr="00ED392E" w:rsidR="18740F7D">
        <w:rPr>
          <w:rFonts w:eastAsia="Book Antiqua" w:cs="Book Antiqua"/>
        </w:rPr>
        <w:t>SCE, (</w:t>
      </w:r>
      <w:r w:rsidRPr="65D4EDFF" w:rsidR="018EDC4A">
        <w:rPr>
          <w:rFonts w:eastAsia="Book Antiqua" w:cs="Book Antiqua"/>
        </w:rPr>
        <w:t>7</w:t>
      </w:r>
      <w:r w:rsidRPr="00ED392E" w:rsidR="18740F7D">
        <w:rPr>
          <w:rFonts w:eastAsia="Book Antiqua" w:cs="Book Antiqua"/>
        </w:rPr>
        <w:t xml:space="preserve">) </w:t>
      </w:r>
      <w:r w:rsidRPr="00ED392E" w:rsidR="665B770E">
        <w:rPr>
          <w:rFonts w:eastAsia="Book Antiqua" w:cs="Book Antiqua"/>
        </w:rPr>
        <w:t>SPUR, (</w:t>
      </w:r>
      <w:r w:rsidRPr="65D4EDFF" w:rsidR="018EDC4A">
        <w:rPr>
          <w:rFonts w:eastAsia="Book Antiqua" w:cs="Book Antiqua"/>
        </w:rPr>
        <w:t>8</w:t>
      </w:r>
      <w:r w:rsidRPr="00ED392E" w:rsidR="665B770E">
        <w:rPr>
          <w:rFonts w:eastAsia="Book Antiqua" w:cs="Book Antiqua"/>
        </w:rPr>
        <w:t>)</w:t>
      </w:r>
      <w:r w:rsidR="00C40B59">
        <w:rPr>
          <w:rFonts w:eastAsia="Book Antiqua" w:cs="Book Antiqua"/>
        </w:rPr>
        <w:t> </w:t>
      </w:r>
      <w:r w:rsidRPr="00ED392E" w:rsidR="665B770E">
        <w:rPr>
          <w:rFonts w:eastAsia="Book Antiqua" w:cs="Book Antiqua"/>
        </w:rPr>
        <w:t xml:space="preserve">TURN, </w:t>
      </w:r>
      <w:r w:rsidRPr="65D4EDFF" w:rsidR="018EDC4A">
        <w:rPr>
          <w:rFonts w:eastAsia="Book Antiqua" w:cs="Book Antiqua"/>
        </w:rPr>
        <w:t xml:space="preserve">and </w:t>
      </w:r>
      <w:r w:rsidRPr="00ED392E" w:rsidR="665B770E">
        <w:rPr>
          <w:rFonts w:eastAsia="Book Antiqua" w:cs="Book Antiqua"/>
        </w:rPr>
        <w:t>(</w:t>
      </w:r>
      <w:r w:rsidRPr="65D4EDFF" w:rsidR="018EDC4A">
        <w:rPr>
          <w:rFonts w:eastAsia="Book Antiqua" w:cs="Book Antiqua"/>
        </w:rPr>
        <w:t>9</w:t>
      </w:r>
      <w:r w:rsidRPr="00ED392E" w:rsidR="59F85D5E">
        <w:rPr>
          <w:rFonts w:eastAsia="Book Antiqua" w:cs="Book Antiqua"/>
        </w:rPr>
        <w:t xml:space="preserve">) </w:t>
      </w:r>
      <w:r w:rsidRPr="00ED392E" w:rsidR="24F5B7BB">
        <w:rPr>
          <w:rFonts w:eastAsia="Book Antiqua" w:cs="Book Antiqua"/>
        </w:rPr>
        <w:t>VEIC</w:t>
      </w:r>
      <w:r w:rsidRPr="65D4EDFF" w:rsidR="2EB23072">
        <w:rPr>
          <w:rFonts w:eastAsia="Book Antiqua" w:cs="Book Antiqua"/>
        </w:rPr>
        <w:t>.</w:t>
      </w:r>
      <w:r w:rsidR="00985AAB">
        <w:rPr>
          <w:rStyle w:val="FootnoteReference"/>
          <w:rFonts w:eastAsia="Book Antiqua" w:cs="Book Antiqua"/>
        </w:rPr>
        <w:footnoteReference w:id="3"/>
      </w:r>
    </w:p>
    <w:p w:rsidR="00EF3801" w:rsidP="00EF3801" w:rsidRDefault="2EB23072" w14:paraId="4EA42E7F" w14:textId="052B17A2">
      <w:pPr>
        <w:pStyle w:val="Standard"/>
      </w:pPr>
      <w:r w:rsidRPr="65D4EDFF">
        <w:rPr>
          <w:rFonts w:eastAsia="Book Antiqua" w:cs="Book Antiqua"/>
        </w:rPr>
        <w:lastRenderedPageBreak/>
        <w:t xml:space="preserve">On </w:t>
      </w:r>
      <w:r w:rsidRPr="65D4EDFF" w:rsidR="212871FC">
        <w:rPr>
          <w:rFonts w:eastAsia="Book Antiqua" w:cs="Book Antiqua"/>
        </w:rPr>
        <w:t xml:space="preserve">or before </w:t>
      </w:r>
      <w:r w:rsidRPr="00ED392E" w:rsidR="24F5B7BB">
        <w:rPr>
          <w:rFonts w:eastAsia="Book Antiqua" w:cs="Book Antiqua"/>
        </w:rPr>
        <w:t>November</w:t>
      </w:r>
      <w:r w:rsidRPr="65D4EDFF">
        <w:rPr>
          <w:rFonts w:eastAsia="Book Antiqua" w:cs="Book Antiqua"/>
        </w:rPr>
        <w:t> </w:t>
      </w:r>
      <w:r w:rsidRPr="00ED392E" w:rsidR="03FFF966">
        <w:rPr>
          <w:rFonts w:eastAsia="Book Antiqua" w:cs="Book Antiqua"/>
        </w:rPr>
        <w:t>7</w:t>
      </w:r>
      <w:r w:rsidRPr="65D4EDFF">
        <w:rPr>
          <w:rFonts w:eastAsia="Book Antiqua" w:cs="Book Antiqua"/>
        </w:rPr>
        <w:t xml:space="preserve">, 2024, </w:t>
      </w:r>
      <w:r w:rsidR="006131C1">
        <w:rPr>
          <w:rFonts w:eastAsia="Book Antiqua" w:cs="Book Antiqua"/>
        </w:rPr>
        <w:t xml:space="preserve">the following </w:t>
      </w:r>
      <w:r w:rsidRPr="65D4EDFF">
        <w:rPr>
          <w:rFonts w:eastAsia="Book Antiqua" w:cs="Book Antiqua"/>
        </w:rPr>
        <w:t>parties filed reply comments: (1)</w:t>
      </w:r>
      <w:r w:rsidRPr="00ED392E" w:rsidR="03FFF966">
        <w:rPr>
          <w:rFonts w:eastAsia="Book Antiqua" w:cs="Book Antiqua"/>
        </w:rPr>
        <w:t xml:space="preserve"> </w:t>
      </w:r>
      <w:r w:rsidRPr="65D4EDFF" w:rsidR="44DAAEF5">
        <w:rPr>
          <w:rFonts w:eastAsia="Book Antiqua" w:cs="Book Antiqua"/>
        </w:rPr>
        <w:t>A.O. Smith Corporation (A.O. Smith), (2)</w:t>
      </w:r>
      <w:r w:rsidR="00C40B59">
        <w:rPr>
          <w:rFonts w:eastAsia="Book Antiqua" w:cs="Book Antiqua"/>
        </w:rPr>
        <w:t> </w:t>
      </w:r>
      <w:r w:rsidRPr="65D4EDFF" w:rsidR="467CC045">
        <w:rPr>
          <w:rFonts w:eastAsia="Book Antiqua" w:cs="Book Antiqua"/>
        </w:rPr>
        <w:t>CAC, (</w:t>
      </w:r>
      <w:r w:rsidRPr="65D4EDFF" w:rsidR="56915BCE">
        <w:rPr>
          <w:rFonts w:eastAsia="Book Antiqua" w:cs="Book Antiqua"/>
        </w:rPr>
        <w:t>3</w:t>
      </w:r>
      <w:r w:rsidRPr="65D4EDFF" w:rsidR="467CC045">
        <w:rPr>
          <w:rFonts w:eastAsia="Book Antiqua" w:cs="Book Antiqua"/>
        </w:rPr>
        <w:t xml:space="preserve">) </w:t>
      </w:r>
      <w:r w:rsidRPr="005065DD" w:rsidR="11D4DE3A">
        <w:rPr>
          <w:rFonts w:eastAsia="Book Antiqua" w:cs="Book Antiqua"/>
        </w:rPr>
        <w:t xml:space="preserve">CEJA (exclusive </w:t>
      </w:r>
      <w:r w:rsidRPr="005065DD" w:rsidR="5E136B41">
        <w:rPr>
          <w:rFonts w:eastAsia="Book Antiqua" w:cs="Book Antiqua"/>
        </w:rPr>
        <w:t xml:space="preserve">of Sierra Club and </w:t>
      </w:r>
      <w:r w:rsidRPr="65D4EDFF" w:rsidR="5E136B41">
        <w:rPr>
          <w:rFonts w:eastAsia="Book Antiqua" w:cs="Book Antiqua"/>
        </w:rPr>
        <w:t>N</w:t>
      </w:r>
      <w:r w:rsidRPr="65D4EDFF" w:rsidR="6687D7A1">
        <w:rPr>
          <w:rFonts w:eastAsia="Book Antiqua" w:cs="Book Antiqua"/>
        </w:rPr>
        <w:t>RDC</w:t>
      </w:r>
      <w:r w:rsidRPr="65D4EDFF" w:rsidR="5E136B41">
        <w:rPr>
          <w:rFonts w:eastAsia="Book Antiqua" w:cs="Book Antiqua"/>
        </w:rPr>
        <w:t xml:space="preserve">), </w:t>
      </w:r>
      <w:r w:rsidRPr="65D4EDFF" w:rsidR="347F0324">
        <w:rPr>
          <w:rFonts w:eastAsia="Book Antiqua" w:cs="Book Antiqua"/>
        </w:rPr>
        <w:t>(</w:t>
      </w:r>
      <w:r w:rsidRPr="65D4EDFF" w:rsidR="56915BCE">
        <w:rPr>
          <w:rFonts w:eastAsia="Book Antiqua" w:cs="Book Antiqua"/>
        </w:rPr>
        <w:t>4</w:t>
      </w:r>
      <w:r w:rsidRPr="65D4EDFF" w:rsidR="347F0324">
        <w:rPr>
          <w:rFonts w:eastAsia="Book Antiqua" w:cs="Book Antiqua"/>
        </w:rPr>
        <w:t>)</w:t>
      </w:r>
      <w:r w:rsidRPr="65D4EDFF" w:rsidR="36694394">
        <w:rPr>
          <w:rFonts w:eastAsia="Book Antiqua" w:cs="Book Antiqua"/>
        </w:rPr>
        <w:t xml:space="preserve"> </w:t>
      </w:r>
      <w:r w:rsidRPr="65D4EDFF" w:rsidR="44DAAEF5">
        <w:rPr>
          <w:rFonts w:eastAsia="Book Antiqua" w:cs="Book Antiqua"/>
        </w:rPr>
        <w:t>Los Angeles Department of Water and Power (LADWP), (</w:t>
      </w:r>
      <w:r w:rsidRPr="65D4EDFF" w:rsidR="56915BCE">
        <w:rPr>
          <w:rFonts w:eastAsia="Book Antiqua" w:cs="Book Antiqua"/>
        </w:rPr>
        <w:t>5</w:t>
      </w:r>
      <w:r w:rsidRPr="65D4EDFF" w:rsidR="44DAAEF5">
        <w:rPr>
          <w:rFonts w:eastAsia="Book Antiqua" w:cs="Book Antiqua"/>
        </w:rPr>
        <w:t xml:space="preserve">) </w:t>
      </w:r>
      <w:r w:rsidRPr="65D4EDFF" w:rsidR="00ACA9CD">
        <w:rPr>
          <w:rFonts w:eastAsia="Book Antiqua" w:cs="Book Antiqua"/>
        </w:rPr>
        <w:t>PG&amp;E, (</w:t>
      </w:r>
      <w:r w:rsidRPr="65D4EDFF" w:rsidR="56915BCE">
        <w:rPr>
          <w:rFonts w:eastAsia="Book Antiqua" w:cs="Book Antiqua"/>
        </w:rPr>
        <w:t>6</w:t>
      </w:r>
      <w:r w:rsidRPr="65D4EDFF" w:rsidR="00ACA9CD">
        <w:rPr>
          <w:rFonts w:eastAsia="Book Antiqua" w:cs="Book Antiqua"/>
        </w:rPr>
        <w:t xml:space="preserve">) </w:t>
      </w:r>
      <w:r w:rsidRPr="65D4EDFF" w:rsidR="44EF2470">
        <w:rPr>
          <w:rFonts w:eastAsia="Book Antiqua" w:cs="Book Antiqua"/>
        </w:rPr>
        <w:t>SCE, (</w:t>
      </w:r>
      <w:r w:rsidRPr="65D4EDFF" w:rsidR="665EC29E">
        <w:rPr>
          <w:rFonts w:eastAsia="Book Antiqua" w:cs="Book Antiqua"/>
        </w:rPr>
        <w:t>7</w:t>
      </w:r>
      <w:r w:rsidRPr="65D4EDFF" w:rsidR="44EF2470">
        <w:rPr>
          <w:rFonts w:eastAsia="Book Antiqua" w:cs="Book Antiqua"/>
        </w:rPr>
        <w:t>) SoCalGas</w:t>
      </w:r>
      <w:r w:rsidRPr="65D4EDFF" w:rsidR="1DC002D3">
        <w:rPr>
          <w:rFonts w:eastAsia="Book Antiqua" w:cs="Book Antiqua"/>
        </w:rPr>
        <w:t xml:space="preserve"> (exclusive of SDG&amp;E),</w:t>
      </w:r>
      <w:r w:rsidRPr="65D4EDFF" w:rsidR="665EC29E">
        <w:rPr>
          <w:rFonts w:eastAsia="Book Antiqua" w:cs="Book Antiqua"/>
        </w:rPr>
        <w:t xml:space="preserve"> </w:t>
      </w:r>
      <w:r w:rsidRPr="65D4EDFF" w:rsidR="56915BCE">
        <w:rPr>
          <w:rFonts w:eastAsia="Book Antiqua" w:cs="Book Antiqua"/>
        </w:rPr>
        <w:t xml:space="preserve">and </w:t>
      </w:r>
      <w:r w:rsidRPr="65D4EDFF" w:rsidR="77E73C85">
        <w:rPr>
          <w:rFonts w:eastAsia="Book Antiqua" w:cs="Book Antiqua"/>
        </w:rPr>
        <w:t>(</w:t>
      </w:r>
      <w:r w:rsidRPr="65D4EDFF" w:rsidR="56915BCE">
        <w:rPr>
          <w:rFonts w:eastAsia="Book Antiqua" w:cs="Book Antiqua"/>
        </w:rPr>
        <w:t>8</w:t>
      </w:r>
      <w:r w:rsidRPr="65D4EDFF" w:rsidR="77E73C85">
        <w:rPr>
          <w:rFonts w:eastAsia="Book Antiqua" w:cs="Book Antiqua"/>
        </w:rPr>
        <w:t xml:space="preserve">) </w:t>
      </w:r>
      <w:r w:rsidRPr="65D4EDFF" w:rsidR="66717874">
        <w:rPr>
          <w:rFonts w:eastAsia="Book Antiqua" w:cs="Book Antiqua"/>
        </w:rPr>
        <w:t>VEIC</w:t>
      </w:r>
      <w:r w:rsidRPr="65D4EDFF" w:rsidR="72B4DD66">
        <w:rPr>
          <w:rFonts w:eastAsia="Book Antiqua" w:cs="Book Antiqua"/>
        </w:rPr>
        <w:t>.</w:t>
      </w:r>
    </w:p>
    <w:p w:rsidRPr="00021997" w:rsidR="0066131C" w:rsidP="00021315" w:rsidRDefault="0066131C" w14:paraId="1CE1CDFF" w14:textId="0B38C283">
      <w:pPr>
        <w:pStyle w:val="Heading1"/>
      </w:pPr>
      <w:bookmarkStart w:name="_Toc185579351" w:id="16"/>
      <w:bookmarkStart w:name="_Toc192263677" w:id="17"/>
      <w:bookmarkStart w:name="_Toc200370964" w:id="18"/>
      <w:r w:rsidRPr="00021997">
        <w:t>Submission Date</w:t>
      </w:r>
      <w:bookmarkEnd w:id="16"/>
      <w:bookmarkEnd w:id="17"/>
      <w:bookmarkEnd w:id="18"/>
    </w:p>
    <w:p w:rsidR="0066131C" w:rsidP="006E6574" w:rsidRDefault="00D33A62" w14:paraId="13489BF1" w14:textId="1261AB32">
      <w:pPr>
        <w:pStyle w:val="Standard"/>
      </w:pPr>
      <w:r w:rsidRPr="00021997">
        <w:t>Phase 4</w:t>
      </w:r>
      <w:r w:rsidRPr="00021997" w:rsidR="00236A72">
        <w:t>A</w:t>
      </w:r>
      <w:r w:rsidRPr="00021997">
        <w:t xml:space="preserve"> issues</w:t>
      </w:r>
      <w:r w:rsidR="006131C1">
        <w:t xml:space="preserve"> were</w:t>
      </w:r>
      <w:r w:rsidRPr="00021997" w:rsidR="112723B3">
        <w:t xml:space="preserve"> submitted on </w:t>
      </w:r>
      <w:r w:rsidRPr="00ED392E" w:rsidR="00A84D94">
        <w:rPr>
          <w:rFonts w:eastAsia="Book Antiqua" w:cs="Book Antiqua"/>
        </w:rPr>
        <w:t>November</w:t>
      </w:r>
      <w:r w:rsidRPr="65D4EDFF" w:rsidR="00A84D94">
        <w:rPr>
          <w:rFonts w:eastAsia="Book Antiqua" w:cs="Book Antiqua"/>
        </w:rPr>
        <w:t> </w:t>
      </w:r>
      <w:r w:rsidRPr="00ED392E" w:rsidR="00A84D94">
        <w:rPr>
          <w:rFonts w:eastAsia="Book Antiqua" w:cs="Book Antiqua"/>
        </w:rPr>
        <w:t>7</w:t>
      </w:r>
      <w:r w:rsidRPr="65D4EDFF" w:rsidR="00A84D94">
        <w:rPr>
          <w:rFonts w:eastAsia="Book Antiqua" w:cs="Book Antiqua"/>
        </w:rPr>
        <w:t>, 2024</w:t>
      </w:r>
      <w:r w:rsidRPr="00021997" w:rsidR="006F6E39">
        <w:t>.</w:t>
      </w:r>
      <w:r w:rsidRPr="00021997" w:rsidR="00417BC7">
        <w:rPr>
          <w:rStyle w:val="FootnoteReference"/>
        </w:rPr>
        <w:footnoteReference w:id="4"/>
      </w:r>
      <w:r w:rsidRPr="004A6720" w:rsidR="006F6E39">
        <w:t xml:space="preserve"> </w:t>
      </w:r>
    </w:p>
    <w:p w:rsidRPr="009D1072" w:rsidR="005A148C" w:rsidP="00021315" w:rsidRDefault="005939A5" w14:paraId="4D735F6E" w14:textId="77777777">
      <w:pPr>
        <w:pStyle w:val="Heading1"/>
      </w:pPr>
      <w:bookmarkStart w:name="_Toc8123719" w:id="19"/>
      <w:bookmarkStart w:name="_Toc185579352" w:id="20"/>
      <w:bookmarkStart w:name="_Toc192263678" w:id="21"/>
      <w:bookmarkStart w:name="_Toc200370965" w:id="22"/>
      <w:r w:rsidRPr="009D1072">
        <w:t>Issues Before the Commission</w:t>
      </w:r>
      <w:bookmarkEnd w:id="19"/>
      <w:bookmarkEnd w:id="20"/>
      <w:bookmarkEnd w:id="21"/>
      <w:bookmarkEnd w:id="22"/>
    </w:p>
    <w:p w:rsidR="00B50446" w:rsidP="00B50446" w:rsidRDefault="006131C1" w14:paraId="522C798F" w14:textId="648EFC31">
      <w:pPr>
        <w:pStyle w:val="Standard"/>
      </w:pPr>
      <w:bookmarkStart w:name="_Toc8123720" w:id="23"/>
      <w:r>
        <w:rPr>
          <w:rFonts w:eastAsia="Book Antiqua" w:cs="Book Antiqua"/>
        </w:rPr>
        <w:t>T</w:t>
      </w:r>
      <w:r w:rsidR="00B50446">
        <w:rPr>
          <w:rFonts w:eastAsia="Book Antiqua" w:cs="Book Antiqua"/>
        </w:rPr>
        <w:t>his decision</w:t>
      </w:r>
      <w:r w:rsidRPr="07F68B7F" w:rsidR="00B50446">
        <w:rPr>
          <w:rFonts w:eastAsia="Book Antiqua" w:cs="Book Antiqua"/>
        </w:rPr>
        <w:t xml:space="preserve"> address</w:t>
      </w:r>
      <w:r w:rsidR="00B50446">
        <w:rPr>
          <w:rFonts w:eastAsia="Book Antiqua" w:cs="Book Antiqua"/>
        </w:rPr>
        <w:t>es</w:t>
      </w:r>
      <w:r w:rsidRPr="07F68B7F" w:rsidR="00B50446">
        <w:rPr>
          <w:rFonts w:eastAsia="Book Antiqua" w:cs="Book Antiqua"/>
        </w:rPr>
        <w:t xml:space="preserve"> the following</w:t>
      </w:r>
      <w:r w:rsidR="00B50446">
        <w:rPr>
          <w:rFonts w:eastAsia="Book Antiqua" w:cs="Book Antiqua"/>
        </w:rPr>
        <w:t xml:space="preserve"> Phase 4</w:t>
      </w:r>
      <w:r w:rsidR="00DD0EC0">
        <w:rPr>
          <w:rFonts w:eastAsia="Book Antiqua" w:cs="Book Antiqua"/>
        </w:rPr>
        <w:t xml:space="preserve"> Track </w:t>
      </w:r>
      <w:r w:rsidR="00B50446">
        <w:rPr>
          <w:rFonts w:eastAsia="Book Antiqua" w:cs="Book Antiqua"/>
        </w:rPr>
        <w:t>A</w:t>
      </w:r>
      <w:r w:rsidRPr="07F68B7F" w:rsidR="00B50446">
        <w:rPr>
          <w:rFonts w:eastAsia="Book Antiqua" w:cs="Book Antiqua"/>
        </w:rPr>
        <w:t xml:space="preserve"> issues</w:t>
      </w:r>
      <w:r w:rsidR="00B50446">
        <w:rPr>
          <w:rFonts w:eastAsia="Book Antiqua" w:cs="Book Antiqua"/>
        </w:rPr>
        <w:t xml:space="preserve"> </w:t>
      </w:r>
      <w:r w:rsidR="00615E91">
        <w:rPr>
          <w:rFonts w:eastAsia="Book Antiqua" w:cs="Book Antiqua"/>
        </w:rPr>
        <w:t>identified</w:t>
      </w:r>
      <w:r w:rsidR="00B50446">
        <w:rPr>
          <w:rFonts w:eastAsia="Book Antiqua" w:cs="Book Antiqua"/>
        </w:rPr>
        <w:t xml:space="preserve"> in the </w:t>
      </w:r>
      <w:r w:rsidRPr="00C7788E" w:rsidR="00B50446">
        <w:t>Phase 4 Scoping Memo</w:t>
      </w:r>
      <w:r w:rsidR="00B50446">
        <w:t>:</w:t>
      </w:r>
    </w:p>
    <w:p w:rsidR="002E58D8" w:rsidP="008256FA" w:rsidRDefault="00B50446" w14:paraId="639A1AE2" w14:textId="77777777">
      <w:pPr>
        <w:pStyle w:val="ListBullet"/>
        <w:numPr>
          <w:ilvl w:val="0"/>
          <w:numId w:val="7"/>
        </w:numPr>
      </w:pPr>
      <w:r w:rsidRPr="00017B6C">
        <w:t xml:space="preserve">Whether the Commission should allocate a portion of the ratepayer savings from elimination of the gas and electric line extension allowances for mixed fuel developments to provide necessary electrical service line upsizing to </w:t>
      </w:r>
      <w:r w:rsidRPr="00017B6C" w:rsidDel="00653A4F">
        <w:t>under-resourced</w:t>
      </w:r>
      <w:r w:rsidRPr="00017B6C">
        <w:t xml:space="preserve"> customers, and define what is necessary electrical service line upsizing</w:t>
      </w:r>
      <w:r>
        <w:t>.</w:t>
      </w:r>
      <w:r w:rsidRPr="00017B6C">
        <w:t xml:space="preserve"> </w:t>
      </w:r>
    </w:p>
    <w:p w:rsidR="006E5801" w:rsidP="008256FA" w:rsidRDefault="00B50446" w14:paraId="33E6DAD0" w14:textId="617ADA71">
      <w:pPr>
        <w:pStyle w:val="ListBullet"/>
        <w:numPr>
          <w:ilvl w:val="0"/>
          <w:numId w:val="7"/>
        </w:numPr>
      </w:pPr>
      <w:r w:rsidRPr="00017B6C">
        <w:t>Whether the Commission should adopt measures to prevent unnecessary service line upsizing; and if so what those measures should be</w:t>
      </w:r>
      <w:r>
        <w:t>.</w:t>
      </w:r>
      <w:r w:rsidR="002E58D8">
        <w:t xml:space="preserve"> </w:t>
      </w:r>
    </w:p>
    <w:p w:rsidR="00B50446" w:rsidP="008256FA" w:rsidRDefault="00B50446" w14:paraId="0326BD4A" w14:textId="12ADE2EA">
      <w:pPr>
        <w:pStyle w:val="ListBullet"/>
        <w:numPr>
          <w:ilvl w:val="0"/>
          <w:numId w:val="7"/>
        </w:numPr>
      </w:pPr>
      <w:r w:rsidRPr="00017B6C">
        <w:t>Whether the Commission should revisit the line extension subsidy July 1, 2024 energization</w:t>
      </w:r>
      <w:r>
        <w:t xml:space="preserve"> </w:t>
      </w:r>
      <w:r w:rsidRPr="00017B6C">
        <w:t>deadline, established in D.23-12-037 Ordering Paragraph 5</w:t>
      </w:r>
      <w:r>
        <w:t>; a</w:t>
      </w:r>
      <w:r w:rsidRPr="00017B6C">
        <w:t>nd if so under what circumstances</w:t>
      </w:r>
      <w:r>
        <w:t>.</w:t>
      </w:r>
    </w:p>
    <w:p w:rsidR="00B50446" w:rsidP="00B50446" w:rsidRDefault="00B50446" w14:paraId="003865A7" w14:textId="29DBE558">
      <w:pPr>
        <w:pStyle w:val="Standard"/>
      </w:pPr>
      <w:r w:rsidRPr="00017B6C">
        <w:t>This decision</w:t>
      </w:r>
      <w:r w:rsidR="00DD0EC0">
        <w:t xml:space="preserve"> </w:t>
      </w:r>
      <w:r w:rsidR="006131C1">
        <w:t xml:space="preserve">also </w:t>
      </w:r>
      <w:r w:rsidRPr="00017B6C">
        <w:t>address</w:t>
      </w:r>
      <w:r w:rsidR="00DD0EC0">
        <w:t>es</w:t>
      </w:r>
      <w:r w:rsidRPr="00017B6C">
        <w:t xml:space="preserve"> the environmental and social justice (ESJ) </w:t>
      </w:r>
      <w:r w:rsidR="009307F0">
        <w:t>issue</w:t>
      </w:r>
      <w:r w:rsidRPr="00017B6C">
        <w:t xml:space="preserve">, </w:t>
      </w:r>
      <w:r>
        <w:t xml:space="preserve">which the </w:t>
      </w:r>
      <w:r w:rsidRPr="00C7788E">
        <w:t>Phase 4 Scoping Memo</w:t>
      </w:r>
      <w:r w:rsidRPr="00017B6C">
        <w:t xml:space="preserve"> identified as </w:t>
      </w:r>
      <w:r w:rsidR="006131C1">
        <w:t>an</w:t>
      </w:r>
      <w:r w:rsidRPr="00017B6C">
        <w:t xml:space="preserve"> issue to be considered </w:t>
      </w:r>
      <w:r w:rsidR="00615E91">
        <w:t>in</w:t>
      </w:r>
      <w:r w:rsidRPr="00017B6C">
        <w:t xml:space="preserve"> </w:t>
      </w:r>
      <w:r w:rsidR="007669D8">
        <w:t>a</w:t>
      </w:r>
      <w:r w:rsidRPr="00017B6C">
        <w:t xml:space="preserve">ll </w:t>
      </w:r>
      <w:r w:rsidR="007669D8">
        <w:t>Phase 4 t</w:t>
      </w:r>
      <w:r w:rsidRPr="00017B6C">
        <w:t>racks</w:t>
      </w:r>
      <w:r>
        <w:t xml:space="preserve">:  </w:t>
      </w:r>
    </w:p>
    <w:p w:rsidR="00462690" w:rsidP="002E58D8" w:rsidRDefault="00B50446" w14:paraId="47D19CBE" w14:textId="53984A14">
      <w:pPr>
        <w:pStyle w:val="ListBullet"/>
      </w:pPr>
      <w:r w:rsidRPr="002157A5">
        <w:t>Are there potential impacts to ESJ communities and if so how best to incorporate the goals of the ESJ Action Plan 2.0 in developing the building decarbonization action plan</w:t>
      </w:r>
      <w:r>
        <w:t xml:space="preserve">. </w:t>
      </w:r>
    </w:p>
    <w:p w:rsidR="00B50446" w:rsidP="002E58D8" w:rsidRDefault="00462690" w14:paraId="379C06FE" w14:textId="0BC7418C">
      <w:pPr>
        <w:pStyle w:val="Standard"/>
        <w:spacing w:before="180"/>
      </w:pPr>
      <w:r>
        <w:lastRenderedPageBreak/>
        <w:t xml:space="preserve">Finally, </w:t>
      </w:r>
      <w:r w:rsidRPr="00462690">
        <w:t xml:space="preserve">the Phase 4 Scoping Memo </w:t>
      </w:r>
      <w:r>
        <w:t xml:space="preserve">envisioned </w:t>
      </w:r>
      <w:r w:rsidR="007669D8">
        <w:t>consideration of</w:t>
      </w:r>
      <w:r w:rsidRPr="007669D8" w:rsidR="007669D8">
        <w:t xml:space="preserve"> “all policy framework issues, including programs, rules, and rates, that will help accomplish building decarbonization, as part of the state’s GHG reduction goals”</w:t>
      </w:r>
      <w:r w:rsidR="000F39A3">
        <w:t xml:space="preserve"> </w:t>
      </w:r>
      <w:r w:rsidR="00615E91">
        <w:t xml:space="preserve">in </w:t>
      </w:r>
      <w:r>
        <w:t>all Phase 4 tracks</w:t>
      </w:r>
      <w:r w:rsidR="00615E91">
        <w:t>.</w:t>
      </w:r>
      <w:r w:rsidR="00B50446">
        <w:rPr>
          <w:rStyle w:val="FootnoteReference"/>
        </w:rPr>
        <w:footnoteReference w:id="5"/>
      </w:r>
      <w:r w:rsidR="00B50446">
        <w:t xml:space="preserve"> </w:t>
      </w:r>
      <w:r w:rsidR="00474673">
        <w:t>Consistent therewith</w:t>
      </w:r>
      <w:r w:rsidR="000F39A3">
        <w:t>,</w:t>
      </w:r>
      <w:r w:rsidR="00693790">
        <w:t xml:space="preserve"> this decision addresses the following issues as potential “</w:t>
      </w:r>
      <w:r w:rsidRPr="001C1A51" w:rsidR="00B50446">
        <w:t>additional actions that may help achieve California’s climate and equity goals</w:t>
      </w:r>
      <w:r w:rsidR="00B50446">
        <w:t>”:</w:t>
      </w:r>
    </w:p>
    <w:p w:rsidR="00693790" w:rsidP="002E58D8" w:rsidRDefault="00B50446" w14:paraId="460AB2A3" w14:textId="32D9A189">
      <w:pPr>
        <w:pStyle w:val="ListBullet"/>
      </w:pPr>
      <w:r>
        <w:t>Whether the Commission should change any reporting requirement procedures previously adopted in this proceeding.</w:t>
      </w:r>
      <w:r>
        <w:rPr>
          <w:rStyle w:val="FootnoteReference"/>
          <w:rFonts w:eastAsia="Book Antiqua" w:cs="Book Antiqua"/>
        </w:rPr>
        <w:footnoteReference w:id="6"/>
      </w:r>
      <w:r w:rsidR="002E58D8">
        <w:t xml:space="preserve"> </w:t>
      </w:r>
    </w:p>
    <w:p w:rsidRPr="006E5801" w:rsidR="00B50446" w:rsidP="002E58D8" w:rsidRDefault="00B50446" w14:paraId="609F522B" w14:textId="5B415471">
      <w:pPr>
        <w:pStyle w:val="ListBullet"/>
      </w:pPr>
      <w:r w:rsidRPr="002E58D8">
        <w:t xml:space="preserve">How the Commission should implement the portion of </w:t>
      </w:r>
      <w:r w:rsidR="00240655">
        <w:t>AB </w:t>
      </w:r>
      <w:r w:rsidRPr="002E58D8">
        <w:t>157 regarding new TECH Initiative funding in SoCalGas service territory</w:t>
      </w:r>
      <w:bookmarkEnd w:id="23"/>
      <w:r w:rsidRPr="002E58D8">
        <w:t>.</w:t>
      </w:r>
      <w:r>
        <w:rPr>
          <w:rStyle w:val="FootnoteReference"/>
          <w:rFonts w:eastAsia="Book Antiqua" w:cs="Book Antiqua"/>
        </w:rPr>
        <w:footnoteReference w:id="7"/>
      </w:r>
    </w:p>
    <w:p w:rsidRPr="009D1072" w:rsidR="005939A5" w:rsidP="002E58D8" w:rsidRDefault="001414DC" w14:paraId="304BFE10" w14:textId="120AFF9E">
      <w:pPr>
        <w:pStyle w:val="Heading1"/>
        <w:spacing w:before="180"/>
      </w:pPr>
      <w:bookmarkStart w:name="_Toc185579353" w:id="24"/>
      <w:bookmarkStart w:name="_Toc192263679" w:id="25"/>
      <w:bookmarkStart w:name="_Toc200370966" w:id="26"/>
      <w:r w:rsidRPr="009D1072">
        <w:t>Common Facility Cost Treatment for</w:t>
      </w:r>
      <w:r w:rsidRPr="009D1072" w:rsidR="00DF6FE6">
        <w:rPr>
          <w:rFonts w:eastAsia="Book Antiqua" w:cs="Book Antiqua"/>
        </w:rPr>
        <w:t xml:space="preserve"> Electric Service Line Upsizing</w:t>
      </w:r>
      <w:bookmarkEnd w:id="24"/>
      <w:bookmarkEnd w:id="25"/>
      <w:bookmarkEnd w:id="26"/>
    </w:p>
    <w:p w:rsidR="00D276CC" w:rsidP="00C6533D" w:rsidRDefault="0056185E" w14:paraId="552124E7" w14:textId="0EA9F13F">
      <w:pPr>
        <w:pStyle w:val="Standard"/>
        <w:rPr>
          <w:rFonts w:eastAsia="Book Antiqua" w:cs="Book Antiqua"/>
        </w:rPr>
      </w:pPr>
      <w:r>
        <w:t>T</w:t>
      </w:r>
      <w:r w:rsidR="4FB9B399">
        <w:t xml:space="preserve">he </w:t>
      </w:r>
      <w:r w:rsidR="00C61060">
        <w:t>Phase</w:t>
      </w:r>
      <w:r w:rsidR="005479A0">
        <w:t xml:space="preserve"> 4</w:t>
      </w:r>
      <w:r w:rsidR="4FB9B399">
        <w:t xml:space="preserve"> Scoping Memo </w:t>
      </w:r>
      <w:r w:rsidR="00615E91">
        <w:t xml:space="preserve">sought </w:t>
      </w:r>
      <w:r w:rsidR="4FB9B399">
        <w:t>part</w:t>
      </w:r>
      <w:r w:rsidR="00615E91">
        <w:t>y</w:t>
      </w:r>
      <w:r w:rsidR="004513D8">
        <w:t xml:space="preserve"> </w:t>
      </w:r>
      <w:r w:rsidR="673CA17D">
        <w:t>comment</w:t>
      </w:r>
      <w:r w:rsidR="00707AB9">
        <w:t>s</w:t>
      </w:r>
      <w:r w:rsidR="4FB9B399">
        <w:t xml:space="preserve"> </w:t>
      </w:r>
      <w:r w:rsidR="1D289EDD">
        <w:t xml:space="preserve">on </w:t>
      </w:r>
      <w:r w:rsidR="4FB9B399">
        <w:t xml:space="preserve">whether </w:t>
      </w:r>
      <w:r w:rsidRPr="00F377F3" w:rsidR="00DF6FE6">
        <w:rPr>
          <w:rFonts w:eastAsia="Book Antiqua" w:cs="Book Antiqua"/>
        </w:rPr>
        <w:t xml:space="preserve">the Commission should allocate a portion of ratepayer savings from elimination of the gas and electric line extension allowances for </w:t>
      </w:r>
      <w:r w:rsidRPr="00F377F3" w:rsidR="001009A0">
        <w:rPr>
          <w:rFonts w:eastAsia="Book Antiqua" w:cs="Book Antiqua"/>
        </w:rPr>
        <w:t>mixed</w:t>
      </w:r>
      <w:r w:rsidR="001009A0">
        <w:rPr>
          <w:rFonts w:eastAsia="Book Antiqua" w:cs="Book Antiqua"/>
        </w:rPr>
        <w:t>-</w:t>
      </w:r>
      <w:r w:rsidRPr="00F377F3" w:rsidR="00DF6FE6">
        <w:rPr>
          <w:rFonts w:eastAsia="Book Antiqua" w:cs="Book Antiqua"/>
        </w:rPr>
        <w:t xml:space="preserve">fuel developments to provide necessary electric service line upsizing to </w:t>
      </w:r>
      <w:r w:rsidRPr="00F377F3" w:rsidDel="00653A4F" w:rsidR="00DF6FE6">
        <w:rPr>
          <w:rFonts w:eastAsia="Book Antiqua" w:cs="Book Antiqua"/>
        </w:rPr>
        <w:t>under-resourced</w:t>
      </w:r>
      <w:r w:rsidRPr="00F377F3" w:rsidR="00DF6FE6">
        <w:rPr>
          <w:rFonts w:eastAsia="Book Antiqua" w:cs="Book Antiqua"/>
        </w:rPr>
        <w:t xml:space="preserve"> customers, and </w:t>
      </w:r>
      <w:r w:rsidR="00877F8D">
        <w:rPr>
          <w:rFonts w:eastAsia="Book Antiqua" w:cs="Book Antiqua"/>
        </w:rPr>
        <w:t xml:space="preserve">to </w:t>
      </w:r>
      <w:r w:rsidRPr="00F377F3" w:rsidR="00DF6FE6">
        <w:rPr>
          <w:rFonts w:eastAsia="Book Antiqua" w:cs="Book Antiqua"/>
        </w:rPr>
        <w:t>define what is necessary electrical service line upsizing</w:t>
      </w:r>
      <w:r w:rsidR="00DF6FE6">
        <w:rPr>
          <w:rFonts w:eastAsia="Book Antiqua" w:cs="Book Antiqua"/>
        </w:rPr>
        <w:t>.</w:t>
      </w:r>
      <w:r w:rsidR="00C6533D">
        <w:rPr>
          <w:rStyle w:val="FootnoteReference"/>
          <w:rFonts w:eastAsia="Book Antiqua" w:cs="Book Antiqua"/>
        </w:rPr>
        <w:footnoteReference w:id="8"/>
      </w:r>
      <w:r w:rsidR="00CA095E">
        <w:rPr>
          <w:rFonts w:eastAsia="Book Antiqua" w:cs="Book Antiqua"/>
        </w:rPr>
        <w:t xml:space="preserve"> </w:t>
      </w:r>
    </w:p>
    <w:p w:rsidR="00B8096A" w:rsidP="00C6533D" w:rsidRDefault="00940E81" w14:paraId="7D9A8711" w14:textId="3B284DF6">
      <w:pPr>
        <w:pStyle w:val="Standard"/>
        <w:rPr>
          <w:rFonts w:eastAsia="Book Antiqua" w:cs="Book Antiqua"/>
        </w:rPr>
      </w:pPr>
      <w:r>
        <w:rPr>
          <w:rFonts w:eastAsia="Book Antiqua" w:cs="Book Antiqua"/>
        </w:rPr>
        <w:lastRenderedPageBreak/>
        <w:t>The Phase 4</w:t>
      </w:r>
      <w:r w:rsidR="00095431">
        <w:rPr>
          <w:rFonts w:eastAsia="Book Antiqua" w:cs="Book Antiqua"/>
        </w:rPr>
        <w:t xml:space="preserve"> Scoping Memo </w:t>
      </w:r>
      <w:r w:rsidR="00E45459">
        <w:rPr>
          <w:rFonts w:eastAsia="Book Antiqua" w:cs="Book Antiqua"/>
        </w:rPr>
        <w:t xml:space="preserve">additionally </w:t>
      </w:r>
      <w:r w:rsidR="00615E91">
        <w:rPr>
          <w:rFonts w:eastAsia="Book Antiqua" w:cs="Book Antiqua"/>
        </w:rPr>
        <w:t xml:space="preserve">sought </w:t>
      </w:r>
      <w:r w:rsidR="00E45459">
        <w:rPr>
          <w:rFonts w:eastAsia="Book Antiqua" w:cs="Book Antiqua"/>
        </w:rPr>
        <w:t>part</w:t>
      </w:r>
      <w:r w:rsidR="00615E91">
        <w:rPr>
          <w:rFonts w:eastAsia="Book Antiqua" w:cs="Book Antiqua"/>
        </w:rPr>
        <w:t xml:space="preserve">y comments on </w:t>
      </w:r>
      <w:r w:rsidR="00E45459">
        <w:rPr>
          <w:rFonts w:eastAsia="Book Antiqua" w:cs="Book Antiqua"/>
        </w:rPr>
        <w:t xml:space="preserve">how </w:t>
      </w:r>
      <w:r w:rsidR="00315E61">
        <w:rPr>
          <w:rFonts w:eastAsia="Book Antiqua" w:cs="Book Antiqua"/>
        </w:rPr>
        <w:t xml:space="preserve">the Commission should define who is considered </w:t>
      </w:r>
      <w:r w:rsidRPr="00E45459" w:rsidR="00315E61">
        <w:rPr>
          <w:rFonts w:eastAsia="Book Antiqua" w:cs="Book Antiqua"/>
        </w:rPr>
        <w:t xml:space="preserve">an “under-resourced” customer </w:t>
      </w:r>
      <w:r w:rsidR="008E5162">
        <w:rPr>
          <w:rFonts w:eastAsia="Book Antiqua" w:cs="Book Antiqua"/>
        </w:rPr>
        <w:t xml:space="preserve">in the event </w:t>
      </w:r>
      <w:r w:rsidRPr="00E45459" w:rsidR="00E45459">
        <w:rPr>
          <w:rFonts w:eastAsia="Book Antiqua" w:cs="Book Antiqua"/>
        </w:rPr>
        <w:t>common facility cost treatment</w:t>
      </w:r>
      <w:r w:rsidR="001306DF">
        <w:rPr>
          <w:rFonts w:eastAsia="Book Antiqua" w:cs="Book Antiqua"/>
        </w:rPr>
        <w:t xml:space="preserve"> </w:t>
      </w:r>
      <w:r w:rsidRPr="00A91AA2" w:rsidR="001306DF">
        <w:t xml:space="preserve">(i.e., subsidization </w:t>
      </w:r>
      <w:r w:rsidRPr="00A91AA2" w:rsidR="00BA7BE7">
        <w:t xml:space="preserve">of </w:t>
      </w:r>
      <w:r w:rsidRPr="00A91AA2" w:rsidR="007D29E0">
        <w:t xml:space="preserve">an </w:t>
      </w:r>
      <w:r w:rsidRPr="00A91AA2" w:rsidR="00BA7BE7">
        <w:t xml:space="preserve">electric service line </w:t>
      </w:r>
      <w:r w:rsidRPr="00A91AA2" w:rsidR="007D29E0">
        <w:t>upsizing</w:t>
      </w:r>
      <w:r w:rsidRPr="00A91AA2" w:rsidR="00BA7BE7">
        <w:t xml:space="preserve"> </w:t>
      </w:r>
      <w:r w:rsidR="001306DF">
        <w:t>to the requesting party)</w:t>
      </w:r>
      <w:r w:rsidRPr="00E45459" w:rsidR="00E45459">
        <w:rPr>
          <w:rFonts w:eastAsia="Book Antiqua" w:cs="Book Antiqua"/>
        </w:rPr>
        <w:t xml:space="preserve"> </w:t>
      </w:r>
      <w:r w:rsidR="004D6BDE">
        <w:rPr>
          <w:rFonts w:eastAsia="Book Antiqua" w:cs="Book Antiqua"/>
        </w:rPr>
        <w:t xml:space="preserve">is extended </w:t>
      </w:r>
      <w:r w:rsidRPr="00E45459" w:rsidR="00E45459">
        <w:rPr>
          <w:rFonts w:eastAsia="Book Antiqua" w:cs="Book Antiqua"/>
        </w:rPr>
        <w:t xml:space="preserve">solely </w:t>
      </w:r>
      <w:r w:rsidR="004D6BDE">
        <w:rPr>
          <w:rFonts w:eastAsia="Book Antiqua" w:cs="Book Antiqua"/>
        </w:rPr>
        <w:t>to such customers.</w:t>
      </w:r>
      <w:r w:rsidR="00C6533D">
        <w:rPr>
          <w:rStyle w:val="FootnoteReference"/>
          <w:rFonts w:eastAsia="Book Antiqua" w:cs="Book Antiqua"/>
        </w:rPr>
        <w:footnoteReference w:id="9"/>
      </w:r>
      <w:r w:rsidR="004D6BDE">
        <w:rPr>
          <w:rFonts w:eastAsia="Book Antiqua" w:cs="Book Antiqua"/>
        </w:rPr>
        <w:t xml:space="preserve"> </w:t>
      </w:r>
    </w:p>
    <w:p w:rsidRPr="00C6533D" w:rsidR="00766D43" w:rsidP="00C6533D" w:rsidRDefault="00BD6BFB" w14:paraId="5A74D8FE" w14:textId="05837F25">
      <w:pPr>
        <w:pStyle w:val="Standard"/>
        <w:rPr>
          <w:rFonts w:eastAsia="Book Antiqua" w:cs="Book Antiqua"/>
        </w:rPr>
      </w:pPr>
      <w:r>
        <w:rPr>
          <w:rFonts w:eastAsia="Book Antiqua" w:cs="Book Antiqua"/>
        </w:rPr>
        <w:t xml:space="preserve">Finally, the Phase 4 Scoping Memo </w:t>
      </w:r>
      <w:r w:rsidR="00615E91">
        <w:rPr>
          <w:rFonts w:eastAsia="Book Antiqua" w:cs="Book Antiqua"/>
        </w:rPr>
        <w:t xml:space="preserve">sought </w:t>
      </w:r>
      <w:r w:rsidR="00A2356C">
        <w:rPr>
          <w:rFonts w:eastAsia="Book Antiqua" w:cs="Book Antiqua"/>
        </w:rPr>
        <w:t>part</w:t>
      </w:r>
      <w:r w:rsidR="00615E91">
        <w:rPr>
          <w:rFonts w:eastAsia="Book Antiqua" w:cs="Book Antiqua"/>
        </w:rPr>
        <w:t>y comments on</w:t>
      </w:r>
      <w:r w:rsidR="00A2356C">
        <w:rPr>
          <w:rFonts w:eastAsia="Book Antiqua" w:cs="Book Antiqua"/>
        </w:rPr>
        <w:t xml:space="preserve"> whether the </w:t>
      </w:r>
      <w:r w:rsidRPr="0007628A" w:rsidR="0007628A">
        <w:rPr>
          <w:rFonts w:eastAsia="Book Antiqua" w:cs="Book Antiqua"/>
        </w:rPr>
        <w:t xml:space="preserve">Commission </w:t>
      </w:r>
      <w:r w:rsidR="0007628A">
        <w:rPr>
          <w:rFonts w:eastAsia="Book Antiqua" w:cs="Book Antiqua"/>
        </w:rPr>
        <w:t xml:space="preserve">should </w:t>
      </w:r>
      <w:r w:rsidRPr="0007628A" w:rsidR="0007628A">
        <w:rPr>
          <w:rFonts w:eastAsia="Book Antiqua" w:cs="Book Antiqua"/>
        </w:rPr>
        <w:t>limit any potential extended common facility cost treatment solely to customers who participate in an incentive or assistance program</w:t>
      </w:r>
      <w:r w:rsidR="0007628A">
        <w:rPr>
          <w:rFonts w:eastAsia="Book Antiqua" w:cs="Book Antiqua"/>
        </w:rPr>
        <w:t>.</w:t>
      </w:r>
      <w:r w:rsidR="00C6533D">
        <w:rPr>
          <w:rStyle w:val="FootnoteReference"/>
          <w:rFonts w:eastAsia="Book Antiqua" w:cs="Book Antiqua"/>
        </w:rPr>
        <w:footnoteReference w:id="10"/>
      </w:r>
      <w:r w:rsidR="0007628A">
        <w:rPr>
          <w:rFonts w:eastAsia="Book Antiqua" w:cs="Book Antiqua"/>
        </w:rPr>
        <w:t xml:space="preserve"> </w:t>
      </w:r>
    </w:p>
    <w:p w:rsidRPr="009D1072" w:rsidR="00EA36C6" w:rsidP="000E7D14" w:rsidRDefault="00766D43" w14:paraId="3B54082D" w14:textId="4D7403A8">
      <w:pPr>
        <w:pStyle w:val="Heading2"/>
      </w:pPr>
      <w:bookmarkStart w:name="_Toc185579354" w:id="27"/>
      <w:bookmarkStart w:name="_Toc192263680" w:id="28"/>
      <w:bookmarkStart w:name="_Toc200370967" w:id="29"/>
      <w:r w:rsidRPr="009D1072">
        <w:t xml:space="preserve">Summary of </w:t>
      </w:r>
      <w:r w:rsidR="00B11A8A">
        <w:t>Party Positions</w:t>
      </w:r>
      <w:bookmarkEnd w:id="27"/>
      <w:bookmarkEnd w:id="28"/>
      <w:bookmarkEnd w:id="29"/>
    </w:p>
    <w:p w:rsidRPr="00BA1601" w:rsidR="00BA1601" w:rsidP="00E55654" w:rsidRDefault="006071C6" w14:paraId="529BAE54" w14:textId="75276B47">
      <w:pPr>
        <w:pStyle w:val="Standard"/>
      </w:pPr>
      <w:r>
        <w:t xml:space="preserve">The Joint </w:t>
      </w:r>
      <w:r w:rsidR="00672299">
        <w:t>REN</w:t>
      </w:r>
      <w:r>
        <w:t>s</w:t>
      </w:r>
      <w:r w:rsidR="00672299">
        <w:rPr>
          <w:b/>
          <w:bCs/>
        </w:rPr>
        <w:t xml:space="preserve"> </w:t>
      </w:r>
      <w:r w:rsidRPr="008923B2" w:rsidR="00BA1601">
        <w:t xml:space="preserve">support </w:t>
      </w:r>
      <w:r w:rsidRPr="00021997" w:rsidR="00BA1601">
        <w:t>allocati</w:t>
      </w:r>
      <w:r w:rsidRPr="00021997" w:rsidR="008923B2">
        <w:t xml:space="preserve">ng </w:t>
      </w:r>
      <w:r w:rsidR="008923B2">
        <w:t xml:space="preserve">savings from the elimination of line extension subsidies </w:t>
      </w:r>
      <w:r w:rsidR="0001118A">
        <w:t>for expanded common facility cost treatment</w:t>
      </w:r>
      <w:r w:rsidRPr="008923B2" w:rsidR="00BA1601">
        <w:t>,</w:t>
      </w:r>
      <w:r w:rsidRPr="00BA1601" w:rsidR="00BA1601">
        <w:t xml:space="preserve"> viewing </w:t>
      </w:r>
      <w:r w:rsidR="00544CAA">
        <w:t>common facility cost treatment</w:t>
      </w:r>
      <w:r w:rsidRPr="00BA1601" w:rsidR="00544CAA">
        <w:t xml:space="preserve"> </w:t>
      </w:r>
      <w:r w:rsidRPr="00BA1601" w:rsidR="00BA1601">
        <w:t xml:space="preserve">as a necessary </w:t>
      </w:r>
      <w:r w:rsidR="00544CAA">
        <w:t>measure</w:t>
      </w:r>
      <w:r w:rsidRPr="00BA1601" w:rsidR="00BA1601">
        <w:t xml:space="preserve"> to help under-resourced customers benefit from building electrification, and to prevent </w:t>
      </w:r>
      <w:r w:rsidRPr="00BA1601" w:rsidR="007C5F58">
        <w:t>th</w:t>
      </w:r>
      <w:r w:rsidR="007C5F58">
        <w:t>o</w:t>
      </w:r>
      <w:r w:rsidRPr="00BA1601" w:rsidR="007C5F58">
        <w:t xml:space="preserve">se </w:t>
      </w:r>
      <w:r w:rsidRPr="00BA1601" w:rsidR="00BA1601">
        <w:t>customers from bearing the costs of legacy gas systems.</w:t>
      </w:r>
      <w:r w:rsidR="00FD48D1">
        <w:t xml:space="preserve"> They also recommend tying this allocation to participation in </w:t>
      </w:r>
      <w:r w:rsidR="003D7A1A">
        <w:t xml:space="preserve">other </w:t>
      </w:r>
      <w:r w:rsidR="00C94C63">
        <w:t>Commis</w:t>
      </w:r>
      <w:r w:rsidR="00A50079">
        <w:t>s</w:t>
      </w:r>
      <w:r w:rsidR="00C94C63">
        <w:t>ion-authorized programs.</w:t>
      </w:r>
      <w:r w:rsidR="006219CB">
        <w:rPr>
          <w:rStyle w:val="FootnoteReference"/>
        </w:rPr>
        <w:footnoteReference w:id="11"/>
      </w:r>
    </w:p>
    <w:p w:rsidRPr="00DF6FE6" w:rsidR="009A3E9E" w:rsidP="009A3E9E" w:rsidRDefault="009A3E9E" w14:paraId="4517D61D" w14:textId="3F7211E2">
      <w:pPr>
        <w:pStyle w:val="Standard"/>
        <w:rPr>
          <w:b/>
          <w:bCs/>
        </w:rPr>
      </w:pPr>
      <w:r w:rsidRPr="00A5365F">
        <w:lastRenderedPageBreak/>
        <w:t>The Joint Parties argue service line upsizing costs triggered by building electrification should receive common facility cost treatment</w:t>
      </w:r>
      <w:r w:rsidR="00D435D2">
        <w:t xml:space="preserve"> for all customer</w:t>
      </w:r>
      <w:r w:rsidR="00FF0BBF">
        <w:t>s</w:t>
      </w:r>
      <w:r w:rsidRPr="00A5365F">
        <w:t xml:space="preserve">, </w:t>
      </w:r>
      <w:r w:rsidR="007F6DC5">
        <w:t xml:space="preserve">not </w:t>
      </w:r>
      <w:r w:rsidR="002F60D2">
        <w:t>only</w:t>
      </w:r>
      <w:r w:rsidR="007F6DC5">
        <w:t xml:space="preserve"> </w:t>
      </w:r>
      <w:r w:rsidR="00241313">
        <w:t xml:space="preserve">for </w:t>
      </w:r>
      <w:r w:rsidR="002F60D2">
        <w:t>under-resourced</w:t>
      </w:r>
      <w:r w:rsidR="00D435D2">
        <w:t xml:space="preserve"> customers</w:t>
      </w:r>
      <w:r w:rsidRPr="00A5365F">
        <w:t xml:space="preserve">, as </w:t>
      </w:r>
      <w:r w:rsidR="00125509">
        <w:t>is</w:t>
      </w:r>
      <w:r w:rsidRPr="00A5365F">
        <w:t xml:space="preserve"> </w:t>
      </w:r>
      <w:r w:rsidR="00241313">
        <w:t>current</w:t>
      </w:r>
      <w:r w:rsidR="008C0DC7">
        <w:t xml:space="preserve"> practice</w:t>
      </w:r>
      <w:r w:rsidRPr="00A5365F">
        <w:t xml:space="preserve"> </w:t>
      </w:r>
      <w:r w:rsidR="00A6439C">
        <w:t>when service line upsizing costs are triggered by</w:t>
      </w:r>
      <w:r w:rsidRPr="00A5365F" w:rsidR="00A6439C">
        <w:t xml:space="preserve"> </w:t>
      </w:r>
      <w:r w:rsidRPr="00A5365F">
        <w:t>electric vehicle (EV) charging</w:t>
      </w:r>
      <w:r>
        <w:t xml:space="preserve">, </w:t>
      </w:r>
      <w:r w:rsidR="00BB50D3">
        <w:t xml:space="preserve">stating </w:t>
      </w:r>
      <w:r>
        <w:t>this</w:t>
      </w:r>
      <w:r w:rsidRPr="00A5365F">
        <w:t xml:space="preserve"> policy is necessary to help California achieve its climate objectives and to facilitate compliance with upcoming zero</w:t>
      </w:r>
      <w:r w:rsidR="007A2B29">
        <w:t xml:space="preserve"> nitrogen oxides</w:t>
      </w:r>
      <w:r w:rsidRPr="00A5365F">
        <w:t xml:space="preserve"> regulations. The</w:t>
      </w:r>
      <w:r>
        <w:t xml:space="preserve">y further </w:t>
      </w:r>
      <w:r w:rsidRPr="00A5365F">
        <w:t xml:space="preserve">recommend </w:t>
      </w:r>
      <w:r w:rsidR="00B861C1">
        <w:t>against</w:t>
      </w:r>
      <w:r w:rsidRPr="00A5365F" w:rsidR="00B861C1">
        <w:t xml:space="preserve"> </w:t>
      </w:r>
      <w:r w:rsidRPr="00A5365F">
        <w:t>linking the socialization of costs to savings from eliminated electric line subsidies</w:t>
      </w:r>
      <w:r w:rsidR="00554289">
        <w:t>.</w:t>
      </w:r>
      <w:r w:rsidR="004D3739">
        <w:t xml:space="preserve"> </w:t>
      </w:r>
      <w:r w:rsidR="00B861C1">
        <w:t>Finally, the</w:t>
      </w:r>
      <w:r w:rsidR="00916FC3">
        <w:t xml:space="preserve"> Joint Parties </w:t>
      </w:r>
      <w:r w:rsidR="00615E91">
        <w:t xml:space="preserve">propose </w:t>
      </w:r>
      <w:r w:rsidR="00916FC3">
        <w:t xml:space="preserve">common facility cost treatment </w:t>
      </w:r>
      <w:r w:rsidR="00962139">
        <w:t>to</w:t>
      </w:r>
      <w:r w:rsidR="00916FC3">
        <w:t xml:space="preserve"> be piloted for </w:t>
      </w:r>
      <w:r w:rsidR="00B073B1">
        <w:t>four</w:t>
      </w:r>
      <w:r w:rsidR="00916FC3">
        <w:t xml:space="preserve"> years, with the last </w:t>
      </w:r>
      <w:r w:rsidR="00F63EBD">
        <w:t xml:space="preserve">and fourth </w:t>
      </w:r>
      <w:r w:rsidR="00916FC3">
        <w:t xml:space="preserve">year </w:t>
      </w:r>
      <w:r w:rsidR="0028033C">
        <w:t>to be used for Commission decision-making on whether to extend</w:t>
      </w:r>
      <w:r w:rsidR="00701B87">
        <w:t xml:space="preserve"> </w:t>
      </w:r>
      <w:r w:rsidR="00953FE0">
        <w:t>such treatment</w:t>
      </w:r>
      <w:r w:rsidRPr="00DF10A4" w:rsidR="00DF10A4">
        <w:t xml:space="preserve"> </w:t>
      </w:r>
      <w:r w:rsidR="00DF10A4">
        <w:t>based on the prior three years of data</w:t>
      </w:r>
      <w:r w:rsidR="00701B87">
        <w:t>.</w:t>
      </w:r>
      <w:r w:rsidR="00685C4D">
        <w:rPr>
          <w:rStyle w:val="FootnoteReference"/>
        </w:rPr>
        <w:footnoteReference w:id="12"/>
      </w:r>
    </w:p>
    <w:p w:rsidR="00AF7BF0" w:rsidP="009E5F9D" w:rsidRDefault="00BA1601" w14:paraId="3181A1BC" w14:textId="44DB82B8">
      <w:pPr>
        <w:pStyle w:val="Standard"/>
      </w:pPr>
      <w:r w:rsidRPr="00775323">
        <w:t>PG&amp;E</w:t>
      </w:r>
      <w:r w:rsidR="005C70C2">
        <w:t xml:space="preserve"> </w:t>
      </w:r>
      <w:r w:rsidR="00B855E8">
        <w:t xml:space="preserve">also </w:t>
      </w:r>
      <w:r w:rsidRPr="00775323" w:rsidR="00072DD8">
        <w:t xml:space="preserve">supports </w:t>
      </w:r>
      <w:r w:rsidR="00701B87">
        <w:t>common facility cost treatment</w:t>
      </w:r>
      <w:r w:rsidR="005C70C2">
        <w:t xml:space="preserve"> </w:t>
      </w:r>
      <w:r w:rsidR="001E3B0A">
        <w:t xml:space="preserve">for all customers </w:t>
      </w:r>
      <w:r w:rsidR="001E5EBD">
        <w:t xml:space="preserve">– </w:t>
      </w:r>
      <w:r w:rsidR="00D435D2">
        <w:t>not just under-resourced customers</w:t>
      </w:r>
      <w:r w:rsidR="001E5EBD">
        <w:t xml:space="preserve"> –</w:t>
      </w:r>
      <w:r w:rsidR="00D435D2">
        <w:t xml:space="preserve"> </w:t>
      </w:r>
      <w:r w:rsidR="005C70C2">
        <w:t xml:space="preserve">and </w:t>
      </w:r>
      <w:r w:rsidR="007902B7">
        <w:t xml:space="preserve">similarly </w:t>
      </w:r>
      <w:r w:rsidR="005C70C2">
        <w:t xml:space="preserve">argues that it is consistent with </w:t>
      </w:r>
      <w:r w:rsidR="00A9034A">
        <w:t xml:space="preserve">the common facility cost treatment policy the </w:t>
      </w:r>
      <w:r w:rsidR="00B67CCA">
        <w:t xml:space="preserve">Commission </w:t>
      </w:r>
      <w:r w:rsidR="00A9034A">
        <w:t xml:space="preserve">established for </w:t>
      </w:r>
      <w:r w:rsidR="00883497">
        <w:t xml:space="preserve">service </w:t>
      </w:r>
      <w:r w:rsidR="00593161">
        <w:t xml:space="preserve">line </w:t>
      </w:r>
      <w:r w:rsidR="00883497">
        <w:t xml:space="preserve">upsizing triggered due to installation of </w:t>
      </w:r>
      <w:r w:rsidR="00A9034A">
        <w:t>EV char</w:t>
      </w:r>
      <w:r w:rsidR="002F656C">
        <w:t>ging</w:t>
      </w:r>
      <w:r w:rsidR="00883497">
        <w:t xml:space="preserve"> infrastructure.</w:t>
      </w:r>
      <w:r w:rsidR="00554289">
        <w:rPr>
          <w:rStyle w:val="FootnoteReference"/>
        </w:rPr>
        <w:footnoteReference w:id="13"/>
      </w:r>
    </w:p>
    <w:p w:rsidR="009E5F9D" w:rsidP="009E5F9D" w:rsidRDefault="00962139" w14:paraId="65041AD4" w14:textId="1624F341">
      <w:pPr>
        <w:pStyle w:val="Standard"/>
      </w:pPr>
      <w:r>
        <w:t>T</w:t>
      </w:r>
      <w:r w:rsidR="00AF7BF0">
        <w:t>he Joint Parties</w:t>
      </w:r>
      <w:r w:rsidR="00DF1151">
        <w:t xml:space="preserve"> and PG&amp;E</w:t>
      </w:r>
      <w:r w:rsidR="00AF7BF0">
        <w:t xml:space="preserve"> </w:t>
      </w:r>
      <w:r w:rsidR="001B1D31">
        <w:t>favor</w:t>
      </w:r>
      <w:r w:rsidR="00395741">
        <w:t xml:space="preserve"> </w:t>
      </w:r>
      <w:r w:rsidR="00B6237D">
        <w:t xml:space="preserve">all </w:t>
      </w:r>
      <w:r w:rsidR="00B11A8A">
        <w:t xml:space="preserve">of </w:t>
      </w:r>
      <w:r w:rsidR="00B6237D">
        <w:t xml:space="preserve">the following: </w:t>
      </w:r>
      <w:r w:rsidR="00684F8A">
        <w:t xml:space="preserve">(1) </w:t>
      </w:r>
      <w:r w:rsidR="001B1D31">
        <w:t>no income verification of the applicant</w:t>
      </w:r>
      <w:r w:rsidR="00F9204B">
        <w:t>;</w:t>
      </w:r>
      <w:r w:rsidR="001B1D31">
        <w:t xml:space="preserve"> </w:t>
      </w:r>
      <w:r w:rsidR="00684F8A">
        <w:t xml:space="preserve">(2) </w:t>
      </w:r>
      <w:r w:rsidR="00403253">
        <w:t>limiting</w:t>
      </w:r>
      <w:r w:rsidR="007717F8">
        <w:t xml:space="preserve"> the final upsized line </w:t>
      </w:r>
      <w:r w:rsidR="00775323">
        <w:t>to</w:t>
      </w:r>
      <w:r w:rsidR="007717F8">
        <w:t xml:space="preserve"> no more than </w:t>
      </w:r>
      <w:r w:rsidR="00206504">
        <w:t>200-</w:t>
      </w:r>
      <w:r w:rsidR="007717F8">
        <w:t>amp service</w:t>
      </w:r>
      <w:r w:rsidR="00CE5203">
        <w:t>;</w:t>
      </w:r>
      <w:r w:rsidR="00D77D39">
        <w:t xml:space="preserve"> </w:t>
      </w:r>
      <w:r w:rsidR="00684F8A">
        <w:t xml:space="preserve">(3) </w:t>
      </w:r>
      <w:r w:rsidR="00D77D39">
        <w:t>no</w:t>
      </w:r>
      <w:r w:rsidR="005D6CB9">
        <w:t>t imposing</w:t>
      </w:r>
      <w:r w:rsidR="00D77D39">
        <w:t xml:space="preserve"> verification requirements </w:t>
      </w:r>
      <w:r w:rsidR="005D6CB9">
        <w:t>on utilities t</w:t>
      </w:r>
      <w:r w:rsidR="00A168D8">
        <w:t>o</w:t>
      </w:r>
      <w:r w:rsidR="00D77D39">
        <w:t xml:space="preserve"> </w:t>
      </w:r>
      <w:r w:rsidR="00A168D8">
        <w:t>check whether</w:t>
      </w:r>
      <w:r w:rsidR="00D77D39">
        <w:t xml:space="preserve"> the customer first pursued alternative</w:t>
      </w:r>
      <w:r w:rsidR="006E435A">
        <w:t xml:space="preserve"> pathways</w:t>
      </w:r>
      <w:r w:rsidR="00F9204B">
        <w:t>;</w:t>
      </w:r>
      <w:r w:rsidR="006E435A">
        <w:t xml:space="preserve"> </w:t>
      </w:r>
      <w:r w:rsidR="00684F8A">
        <w:t xml:space="preserve">(4) </w:t>
      </w:r>
      <w:r w:rsidR="006E435A">
        <w:t>no upper cap, or cost threshold</w:t>
      </w:r>
      <w:r w:rsidR="00A804C4">
        <w:t>,</w:t>
      </w:r>
      <w:r w:rsidR="006E435A">
        <w:t xml:space="preserve"> per project</w:t>
      </w:r>
      <w:r w:rsidR="00CE5203">
        <w:t>;</w:t>
      </w:r>
      <w:r w:rsidR="006E435A">
        <w:t xml:space="preserve"> </w:t>
      </w:r>
      <w:r w:rsidR="00684F8A">
        <w:t xml:space="preserve">(5) </w:t>
      </w:r>
      <w:r w:rsidR="006E435A">
        <w:t>no cap on funding availability</w:t>
      </w:r>
      <w:r w:rsidR="003147F4">
        <w:t xml:space="preserve">; </w:t>
      </w:r>
      <w:r w:rsidR="00B031F2">
        <w:t xml:space="preserve">and </w:t>
      </w:r>
      <w:r w:rsidR="00684F8A">
        <w:t xml:space="preserve">(6) </w:t>
      </w:r>
      <w:r w:rsidR="00B031F2">
        <w:t xml:space="preserve">not limiting </w:t>
      </w:r>
      <w:r w:rsidR="004B232E">
        <w:t xml:space="preserve">common facility cost treatment </w:t>
      </w:r>
      <w:r w:rsidR="00B031F2">
        <w:t xml:space="preserve">only to participants of </w:t>
      </w:r>
      <w:r w:rsidR="00593161">
        <w:t xml:space="preserve">electrification programs. </w:t>
      </w:r>
    </w:p>
    <w:p w:rsidRPr="00BA1601" w:rsidR="00BA1601" w:rsidP="00E55654" w:rsidRDefault="005D5228" w14:paraId="1BFA3F58" w14:textId="672554C0">
      <w:pPr>
        <w:pStyle w:val="Standard"/>
      </w:pPr>
      <w:r>
        <w:t>Cal Advocates</w:t>
      </w:r>
      <w:r w:rsidRPr="00E55654" w:rsidR="00BA1601">
        <w:t xml:space="preserve"> </w:t>
      </w:r>
      <w:r w:rsidR="007B097B">
        <w:t>support</w:t>
      </w:r>
      <w:r w:rsidR="009E5F9D">
        <w:t>s</w:t>
      </w:r>
      <w:r w:rsidRPr="00BA1601" w:rsidR="00BA1601">
        <w:t xml:space="preserve"> allocating a portion of ratepayer savings for service line upsizing for under-resourced customers, </w:t>
      </w:r>
      <w:r w:rsidR="00AE0F8C">
        <w:t>em</w:t>
      </w:r>
      <w:r w:rsidR="00883065">
        <w:t>p</w:t>
      </w:r>
      <w:r w:rsidR="00AE0F8C">
        <w:t>hasizing</w:t>
      </w:r>
      <w:r w:rsidRPr="00BA1601" w:rsidR="00BA1601">
        <w:t xml:space="preserve"> this can help </w:t>
      </w:r>
      <w:r w:rsidRPr="00BA1601" w:rsidR="00BA1601">
        <w:lastRenderedPageBreak/>
        <w:t>reduce the capital barriers to electrification.</w:t>
      </w:r>
      <w:r w:rsidR="008D3659">
        <w:t xml:space="preserve"> </w:t>
      </w:r>
      <w:r w:rsidR="004A518D">
        <w:t xml:space="preserve">Their other recommendations </w:t>
      </w:r>
      <w:r w:rsidR="00985BF6">
        <w:t>include</w:t>
      </w:r>
      <w:r w:rsidR="00575606">
        <w:t>:</w:t>
      </w:r>
      <w:r w:rsidR="008D3659">
        <w:t xml:space="preserve"> </w:t>
      </w:r>
      <w:r w:rsidR="00575606">
        <w:t xml:space="preserve">(1) </w:t>
      </w:r>
      <w:r w:rsidR="004A518D">
        <w:t>common facility cost treatment</w:t>
      </w:r>
      <w:r w:rsidR="008D3659">
        <w:t xml:space="preserve"> to be agnostic to end use</w:t>
      </w:r>
      <w:r w:rsidR="004A518D">
        <w:t xml:space="preserve"> to </w:t>
      </w:r>
      <w:r w:rsidR="00C363B2">
        <w:t xml:space="preserve">avoid </w:t>
      </w:r>
      <w:r w:rsidR="004A518D">
        <w:t>undue verification burdens</w:t>
      </w:r>
      <w:r w:rsidR="000055F4">
        <w:t xml:space="preserve">; </w:t>
      </w:r>
      <w:r w:rsidR="002542D9">
        <w:t xml:space="preserve">(2) </w:t>
      </w:r>
      <w:r w:rsidR="000055F4">
        <w:t xml:space="preserve">a budget cap for total ratepayer expenditures </w:t>
      </w:r>
      <w:r w:rsidR="00B713FF">
        <w:t xml:space="preserve">equal to savings from elimination of gas line extension subsidies and </w:t>
      </w:r>
      <w:r w:rsidR="00745EC6">
        <w:t>proportionally</w:t>
      </w:r>
      <w:r w:rsidR="00B713FF">
        <w:t xml:space="preserve"> allocated by residential and non-residential customer classes; </w:t>
      </w:r>
      <w:r w:rsidR="00575606">
        <w:t xml:space="preserve">(3) </w:t>
      </w:r>
      <w:r w:rsidR="007D66E1">
        <w:t>a soft limit of $10,000 per project, with higher limits subject to case-by-case review</w:t>
      </w:r>
      <w:r w:rsidR="00055C72">
        <w:t xml:space="preserve">; </w:t>
      </w:r>
      <w:r w:rsidR="00575606">
        <w:t xml:space="preserve">(4) </w:t>
      </w:r>
      <w:r w:rsidR="00055C72">
        <w:t>creati</w:t>
      </w:r>
      <w:r w:rsidR="00BE3901">
        <w:t>on</w:t>
      </w:r>
      <w:r w:rsidR="00055C72">
        <w:t xml:space="preserve"> of a biennial review process to determine new </w:t>
      </w:r>
      <w:r w:rsidR="00E100D5">
        <w:t xml:space="preserve">funding and project cap </w:t>
      </w:r>
      <w:r w:rsidR="00055C72">
        <w:t>limits</w:t>
      </w:r>
      <w:r w:rsidR="00305AB5">
        <w:t xml:space="preserve">; </w:t>
      </w:r>
      <w:r w:rsidR="00D86A0E">
        <w:t xml:space="preserve">and </w:t>
      </w:r>
      <w:r w:rsidR="00575606">
        <w:t xml:space="preserve">(5) </w:t>
      </w:r>
      <w:r w:rsidR="00305AB5">
        <w:t xml:space="preserve">defining “under-resourced customer” as </w:t>
      </w:r>
      <w:r w:rsidR="00A109CA">
        <w:t xml:space="preserve">a </w:t>
      </w:r>
      <w:r w:rsidR="00E40E96">
        <w:t xml:space="preserve">participant of </w:t>
      </w:r>
      <w:r w:rsidR="00D86A0E">
        <w:t xml:space="preserve">the </w:t>
      </w:r>
      <w:r w:rsidRPr="00D86A0E" w:rsidR="00D86A0E">
        <w:t xml:space="preserve">Energy Savings Assistance </w:t>
      </w:r>
      <w:r w:rsidR="00D86A0E">
        <w:t>(</w:t>
      </w:r>
      <w:r w:rsidR="00E40E96">
        <w:t>ESA</w:t>
      </w:r>
      <w:r w:rsidR="00D86A0E">
        <w:t>)</w:t>
      </w:r>
      <w:r w:rsidR="00E40E96">
        <w:t xml:space="preserve"> program, or </w:t>
      </w:r>
      <w:r w:rsidR="00B70D1D">
        <w:t>“</w:t>
      </w:r>
      <w:r w:rsidR="00E40E96">
        <w:t>hard-to-reach customers</w:t>
      </w:r>
      <w:r w:rsidR="00B70D1D">
        <w:t>,”</w:t>
      </w:r>
      <w:r w:rsidR="00E40E96">
        <w:t xml:space="preserve"> as defined by the </w:t>
      </w:r>
      <w:r w:rsidR="00B70D1D">
        <w:t xml:space="preserve">Commission’s </w:t>
      </w:r>
      <w:r w:rsidR="00CE5D2C">
        <w:t>E</w:t>
      </w:r>
      <w:r w:rsidR="00E40E96">
        <w:t xml:space="preserve">nergy </w:t>
      </w:r>
      <w:r w:rsidR="00CE5D2C">
        <w:t>E</w:t>
      </w:r>
      <w:r w:rsidR="00E40E96">
        <w:t>fficiency proceeding</w:t>
      </w:r>
      <w:r w:rsidR="00B70D1D">
        <w:t xml:space="preserve"> (</w:t>
      </w:r>
      <w:r w:rsidRPr="003D7A32" w:rsidR="00B70D1D">
        <w:t>R.</w:t>
      </w:r>
      <w:r w:rsidRPr="003D7A32" w:rsidR="003D7A32">
        <w:t>13-11-005</w:t>
      </w:r>
      <w:r w:rsidR="00B70D1D">
        <w:t>)</w:t>
      </w:r>
      <w:r w:rsidR="00E40E96">
        <w:t>.</w:t>
      </w:r>
      <w:r w:rsidR="00833654">
        <w:rPr>
          <w:rStyle w:val="FootnoteReference"/>
        </w:rPr>
        <w:footnoteReference w:id="14"/>
      </w:r>
    </w:p>
    <w:p w:rsidR="006B255E" w:rsidP="00137A23" w:rsidRDefault="00BA1601" w14:paraId="2EF3D97C" w14:textId="4B36DC4C">
      <w:pPr>
        <w:pStyle w:val="Standard"/>
      </w:pPr>
      <w:r w:rsidRPr="00E55654">
        <w:t>SBUA</w:t>
      </w:r>
      <w:r w:rsidRPr="00E55654" w:rsidR="00943D7C">
        <w:t xml:space="preserve"> </w:t>
      </w:r>
      <w:r w:rsidRPr="0001118A" w:rsidR="00943D7C">
        <w:t xml:space="preserve">supports </w:t>
      </w:r>
      <w:r w:rsidRPr="00021997" w:rsidR="00943D7C">
        <w:t>allocatin</w:t>
      </w:r>
      <w:r w:rsidRPr="0001118A" w:rsidR="0001118A">
        <w:t>g</w:t>
      </w:r>
      <w:r w:rsidR="0001118A">
        <w:t xml:space="preserve"> savings from the elimination of line extension subsidies for expanded common facility cost treatment</w:t>
      </w:r>
      <w:r w:rsidRPr="00E55654" w:rsidR="00943D7C">
        <w:t xml:space="preserve">, </w:t>
      </w:r>
      <w:r w:rsidR="009E5F9D">
        <w:t>but</w:t>
      </w:r>
      <w:r w:rsidRPr="00E55654" w:rsidR="00943D7C">
        <w:t xml:space="preserve"> argues that </w:t>
      </w:r>
      <w:r w:rsidR="00544CAA">
        <w:t>common facility cost treatment</w:t>
      </w:r>
      <w:r w:rsidRPr="00E55654" w:rsidR="00544CAA">
        <w:t xml:space="preserve"> </w:t>
      </w:r>
      <w:r w:rsidRPr="00E55654" w:rsidR="00943D7C">
        <w:t xml:space="preserve">should not be limited to under-resourced </w:t>
      </w:r>
      <w:r w:rsidR="00B70D1D">
        <w:t xml:space="preserve">residential </w:t>
      </w:r>
      <w:r w:rsidRPr="00E55654" w:rsidR="00943D7C">
        <w:t>customers alone,</w:t>
      </w:r>
      <w:r w:rsidR="00A8367A">
        <w:t xml:space="preserve"> </w:t>
      </w:r>
      <w:r w:rsidR="00883065">
        <w:t>and</w:t>
      </w:r>
      <w:r w:rsidR="00A8367A">
        <w:t xml:space="preserve"> should include </w:t>
      </w:r>
      <w:r w:rsidR="007C3730">
        <w:t>under-resourced s</w:t>
      </w:r>
      <w:r w:rsidR="00241479">
        <w:t xml:space="preserve">mall business customers, </w:t>
      </w:r>
      <w:r w:rsidR="00137A23">
        <w:t>as defined in D</w:t>
      </w:r>
      <w:r w:rsidR="00A81D6F">
        <w:t>.</w:t>
      </w:r>
      <w:r w:rsidR="00137A23">
        <w:t xml:space="preserve">23-06-055: </w:t>
      </w:r>
    </w:p>
    <w:p w:rsidR="00137A23" w:rsidP="008256FA" w:rsidRDefault="00137A23" w14:paraId="04D35A7B" w14:textId="3EE62D89">
      <w:pPr>
        <w:pStyle w:val="BlockQuote0"/>
        <w:numPr>
          <w:ilvl w:val="0"/>
          <w:numId w:val="24"/>
        </w:numPr>
      </w:pPr>
      <w:r w:rsidRPr="00137A23">
        <w:t>25 or fewer employees and/or classified as Very Small (Customers whose annual</w:t>
      </w:r>
      <w:r w:rsidR="006B255E">
        <w:t xml:space="preserve"> </w:t>
      </w:r>
      <w:r w:rsidRPr="00137A23">
        <w:t>electric demand is less than 20 kilowatts (kW), or whose annual gas consumption is</w:t>
      </w:r>
      <w:r w:rsidR="006B255E">
        <w:t xml:space="preserve"> </w:t>
      </w:r>
      <w:r w:rsidRPr="00137A23">
        <w:t>less than 10,000 therm</w:t>
      </w:r>
      <w:r w:rsidR="00846FB2">
        <w:t>s</w:t>
      </w:r>
      <w:r w:rsidRPr="00137A23">
        <w:t>, or both</w:t>
      </w:r>
      <w:r w:rsidRPr="00137A23" w:rsidR="001E3ED1">
        <w:t>)</w:t>
      </w:r>
      <w:r w:rsidR="001E3ED1">
        <w:t>;</w:t>
      </w:r>
      <w:r w:rsidRPr="00137A23" w:rsidR="001E3ED1">
        <w:t xml:space="preserve"> </w:t>
      </w:r>
      <w:r w:rsidRPr="00137A23">
        <w:t>and/or</w:t>
      </w:r>
    </w:p>
    <w:p w:rsidRPr="00A8367A" w:rsidR="00047B9C" w:rsidP="008256FA" w:rsidRDefault="00137A23" w14:paraId="4FB78F96" w14:textId="794A2121">
      <w:pPr>
        <w:pStyle w:val="BlockQuote0"/>
        <w:numPr>
          <w:ilvl w:val="0"/>
          <w:numId w:val="24"/>
        </w:numPr>
      </w:pPr>
      <w:r w:rsidRPr="00137A23">
        <w:t>Leased or Rented Facilities – Investments in improvements to a facility rented or leased</w:t>
      </w:r>
      <w:r w:rsidR="006B255E">
        <w:t xml:space="preserve"> </w:t>
      </w:r>
      <w:r w:rsidRPr="00137A23">
        <w:t>by a participating business customer.</w:t>
      </w:r>
      <w:r w:rsidR="003E0FD5">
        <w:rPr>
          <w:rStyle w:val="FootnoteReference"/>
        </w:rPr>
        <w:footnoteReference w:id="15"/>
      </w:r>
    </w:p>
    <w:p w:rsidRPr="00BA1601" w:rsidR="00BA1601" w:rsidP="002E58D8" w:rsidRDefault="00BA1601" w14:paraId="1D8DC129" w14:textId="2294CA86">
      <w:pPr>
        <w:pStyle w:val="Standard"/>
        <w:spacing w:before="180"/>
      </w:pPr>
      <w:r w:rsidRPr="00BA1601">
        <w:t xml:space="preserve">SCE supports allocating a portion of the savings </w:t>
      </w:r>
      <w:r w:rsidR="009A57C0">
        <w:t xml:space="preserve">from eliminating gas and electric line extension subsidies </w:t>
      </w:r>
      <w:r w:rsidRPr="00BA1601">
        <w:t xml:space="preserve">to </w:t>
      </w:r>
      <w:r w:rsidR="002420B0">
        <w:t>provide common facility cost treatment for</w:t>
      </w:r>
      <w:r w:rsidRPr="00BA1601">
        <w:t xml:space="preserve"> under-resourced</w:t>
      </w:r>
      <w:r w:rsidR="006B255E">
        <w:t xml:space="preserve"> </w:t>
      </w:r>
      <w:r w:rsidRPr="00BA1601">
        <w:t>customers</w:t>
      </w:r>
      <w:r w:rsidR="00B17188">
        <w:t>.</w:t>
      </w:r>
      <w:r w:rsidR="00B15023">
        <w:t xml:space="preserve"> SCE</w:t>
      </w:r>
      <w:r w:rsidR="009017E0">
        <w:t xml:space="preserve"> </w:t>
      </w:r>
      <w:r w:rsidR="003576DE">
        <w:t>emphasiz</w:t>
      </w:r>
      <w:r w:rsidR="009017E0">
        <w:t>ed</w:t>
      </w:r>
      <w:r w:rsidR="003576DE">
        <w:t xml:space="preserve"> </w:t>
      </w:r>
      <w:r w:rsidR="00102FF7">
        <w:t>t</w:t>
      </w:r>
      <w:r w:rsidRPr="00BA1601">
        <w:t xml:space="preserve">his should be implemented </w:t>
      </w:r>
      <w:r w:rsidRPr="00BA1601">
        <w:lastRenderedPageBreak/>
        <w:t xml:space="preserve">gradually </w:t>
      </w:r>
      <w:r w:rsidR="006A0E12">
        <w:t xml:space="preserve">to </w:t>
      </w:r>
      <w:r w:rsidR="00A11F9A">
        <w:t>provide</w:t>
      </w:r>
      <w:r w:rsidRPr="00BA1601">
        <w:t xml:space="preserve"> actual savings </w:t>
      </w:r>
      <w:r w:rsidR="00102FF7">
        <w:t xml:space="preserve">from line </w:t>
      </w:r>
      <w:r w:rsidR="00F708DF">
        <w:t xml:space="preserve">extension subsidy elimination </w:t>
      </w:r>
      <w:r w:rsidR="00A806F7">
        <w:t xml:space="preserve">to </w:t>
      </w:r>
      <w:r w:rsidRPr="00BA1601">
        <w:t xml:space="preserve">materialize before implementation. </w:t>
      </w:r>
      <w:r w:rsidR="00773E85">
        <w:t xml:space="preserve">SCE </w:t>
      </w:r>
      <w:r w:rsidR="00067BC6">
        <w:t>propose</w:t>
      </w:r>
      <w:r w:rsidR="00773E85">
        <w:t>s</w:t>
      </w:r>
      <w:r w:rsidR="00067BC6">
        <w:t xml:space="preserve"> the </w:t>
      </w:r>
      <w:r w:rsidRPr="00BA1601">
        <w:t>process should begin by establishing a methodology for estimating savings and include rules for administration, eligibility, and accounting challenges.</w:t>
      </w:r>
      <w:r w:rsidR="00AA3F83">
        <w:rPr>
          <w:rStyle w:val="FootnoteReference"/>
        </w:rPr>
        <w:footnoteReference w:id="16"/>
      </w:r>
    </w:p>
    <w:p w:rsidRPr="00BA1601" w:rsidR="00BA1601" w:rsidP="00640DD3" w:rsidRDefault="006B255E" w14:paraId="1ACC8CA8" w14:textId="02D2B75C">
      <w:pPr>
        <w:pStyle w:val="Standard"/>
      </w:pPr>
      <w:r>
        <w:t>S</w:t>
      </w:r>
      <w:r w:rsidR="00CC226E">
        <w:t>empra Utilitie</w:t>
      </w:r>
      <w:r w:rsidRPr="00BA1601" w:rsidR="00BA1601">
        <w:t xml:space="preserve">s </w:t>
      </w:r>
      <w:r w:rsidR="00877F8D">
        <w:t>oppose</w:t>
      </w:r>
      <w:r w:rsidRPr="007C5F58" w:rsidR="00BA1601">
        <w:t xml:space="preserve"> </w:t>
      </w:r>
      <w:r w:rsidRPr="00021997" w:rsidR="00BA1601">
        <w:t>allocatin</w:t>
      </w:r>
      <w:r w:rsidRPr="007C5F58" w:rsidR="007C5F58">
        <w:t>g</w:t>
      </w:r>
      <w:r w:rsidR="007C5F58">
        <w:t xml:space="preserve"> savings from the elimination of line extension subsidies for expanded common facility cost treatment</w:t>
      </w:r>
      <w:r w:rsidR="00B8273A">
        <w:t xml:space="preserve"> until </w:t>
      </w:r>
      <w:r w:rsidRPr="00BA1601" w:rsidR="00BA1601">
        <w:t>the ratepayer savings</w:t>
      </w:r>
      <w:r w:rsidR="00067BC6">
        <w:t xml:space="preserve"> from </w:t>
      </w:r>
      <w:r w:rsidR="008F2E77">
        <w:t xml:space="preserve">elimination of </w:t>
      </w:r>
      <w:r w:rsidR="00067BC6">
        <w:t>line extension</w:t>
      </w:r>
      <w:r w:rsidR="008F2E77">
        <w:t xml:space="preserve"> subsidies</w:t>
      </w:r>
      <w:r w:rsidRPr="00BA1601" w:rsidR="00BA1601">
        <w:t xml:space="preserve"> are quantified. They </w:t>
      </w:r>
      <w:r w:rsidR="00495CD5">
        <w:t>contend</w:t>
      </w:r>
      <w:r w:rsidRPr="00BA1601" w:rsidR="00BA1601">
        <w:t xml:space="preserve"> </w:t>
      </w:r>
      <w:r w:rsidR="00E073AF">
        <w:t>that</w:t>
      </w:r>
      <w:r w:rsidRPr="00BA1601" w:rsidR="00BA1601">
        <w:t xml:space="preserve"> extending customer incentives without reliable data could burden all ratepayers, including those who do not benefit from such programs.</w:t>
      </w:r>
      <w:r w:rsidR="00DD5A8C">
        <w:rPr>
          <w:rStyle w:val="FootnoteReference"/>
        </w:rPr>
        <w:footnoteReference w:id="17"/>
      </w:r>
    </w:p>
    <w:p w:rsidR="00962139" w:rsidP="00640DD3" w:rsidRDefault="008A59C1" w14:paraId="771EAF46" w14:textId="412A3C37">
      <w:pPr>
        <w:pStyle w:val="Standard"/>
      </w:pPr>
      <w:r>
        <w:t>SP</w:t>
      </w:r>
      <w:r w:rsidRPr="00BA1601" w:rsidR="00BA1601">
        <w:t xml:space="preserve">UR supports using a portion of the savings </w:t>
      </w:r>
      <w:r w:rsidR="00E073AF">
        <w:t>from line extension subsidy elimination</w:t>
      </w:r>
      <w:r w:rsidRPr="00BA1601" w:rsidR="00BA1601">
        <w:t xml:space="preserve"> for service line upsizing for </w:t>
      </w:r>
      <w:r w:rsidR="00507CFA">
        <w:t xml:space="preserve">all </w:t>
      </w:r>
      <w:r w:rsidR="00F71515">
        <w:t>electric utility</w:t>
      </w:r>
      <w:r w:rsidRPr="00BA1601" w:rsidR="00BA1601">
        <w:t xml:space="preserve"> customers</w:t>
      </w:r>
      <w:r w:rsidR="00507CFA">
        <w:t xml:space="preserve"> seeking to electrify</w:t>
      </w:r>
      <w:r w:rsidR="00A43D41">
        <w:t xml:space="preserve">, at a minimum, </w:t>
      </w:r>
      <w:r w:rsidR="00507CFA">
        <w:t>home heating</w:t>
      </w:r>
      <w:r w:rsidR="00A43D41">
        <w:t xml:space="preserve"> alone</w:t>
      </w:r>
      <w:r w:rsidR="00174BAC">
        <w:t>. SPUR contends</w:t>
      </w:r>
      <w:r w:rsidRPr="00BA1601" w:rsidR="00BA1601">
        <w:t xml:space="preserve"> it is necessary to enable affordable electrification and compliance with California's clean heating goals.</w:t>
      </w:r>
      <w:r w:rsidR="00FC2B2C">
        <w:t xml:space="preserve"> </w:t>
      </w:r>
      <w:r w:rsidR="00C41201">
        <w:t>SPUR</w:t>
      </w:r>
      <w:r w:rsidR="00FC2B2C">
        <w:t xml:space="preserve"> cite</w:t>
      </w:r>
      <w:r w:rsidR="00C41201">
        <w:t>s</w:t>
      </w:r>
      <w:r w:rsidR="00FC2B2C">
        <w:t xml:space="preserve"> </w:t>
      </w:r>
      <w:r w:rsidR="00962139">
        <w:t xml:space="preserve">to </w:t>
      </w:r>
      <w:r w:rsidR="00420F9F">
        <w:t>PG&amp;E</w:t>
      </w:r>
      <w:r w:rsidR="00962139">
        <w:t>’s</w:t>
      </w:r>
      <w:r w:rsidR="00420F9F">
        <w:t xml:space="preserve"> website </w:t>
      </w:r>
      <w:r w:rsidR="00253CB3">
        <w:t xml:space="preserve">on Building and Renovation Services </w:t>
      </w:r>
      <w:r w:rsidR="000B16B4">
        <w:t>noting that</w:t>
      </w:r>
      <w:r w:rsidR="00253CB3">
        <w:t xml:space="preserve"> </w:t>
      </w:r>
      <w:r w:rsidR="00BC515F">
        <w:t>for at least 80</w:t>
      </w:r>
      <w:r w:rsidR="000B72C9">
        <w:t> percent</w:t>
      </w:r>
      <w:r w:rsidR="00BC515F">
        <w:t xml:space="preserve"> </w:t>
      </w:r>
      <w:r w:rsidR="00603978">
        <w:t xml:space="preserve">of </w:t>
      </w:r>
      <w:r w:rsidR="00BC515F">
        <w:t xml:space="preserve">customers, existing allowances do not cover the full cost of upsizing, </w:t>
      </w:r>
      <w:r w:rsidR="00DC3633">
        <w:t>with</w:t>
      </w:r>
      <w:r w:rsidR="00C83515">
        <w:t xml:space="preserve"> </w:t>
      </w:r>
      <w:r w:rsidR="00000D65">
        <w:t>7</w:t>
      </w:r>
      <w:r w:rsidR="009C1D74">
        <w:t>5</w:t>
      </w:r>
      <w:r w:rsidR="000B72C9">
        <w:t> percent</w:t>
      </w:r>
      <w:r w:rsidR="009C1D74">
        <w:t xml:space="preserve"> </w:t>
      </w:r>
      <w:r w:rsidR="008E374F">
        <w:t xml:space="preserve">of </w:t>
      </w:r>
      <w:r w:rsidR="00B570D2">
        <w:t>customers</w:t>
      </w:r>
      <w:r w:rsidR="009C1D74">
        <w:t xml:space="preserve"> </w:t>
      </w:r>
      <w:r w:rsidR="00377A99">
        <w:t xml:space="preserve">paying </w:t>
      </w:r>
      <w:r w:rsidR="001B03B6">
        <w:t>up</w:t>
      </w:r>
      <w:r w:rsidR="00377A99">
        <w:t xml:space="preserve"> to</w:t>
      </w:r>
      <w:r w:rsidR="009D0DC6">
        <w:t xml:space="preserve"> </w:t>
      </w:r>
      <w:r w:rsidR="00BC515F">
        <w:t>$</w:t>
      </w:r>
      <w:r w:rsidR="005C743A">
        <w:t>10</w:t>
      </w:r>
      <w:r w:rsidR="00BC515F">
        <w:t>,000</w:t>
      </w:r>
      <w:r w:rsidR="00CD2812">
        <w:t xml:space="preserve"> post-allowance</w:t>
      </w:r>
      <w:r w:rsidR="00741FD2">
        <w:t xml:space="preserve">, </w:t>
      </w:r>
      <w:r w:rsidR="00056769">
        <w:t>5</w:t>
      </w:r>
      <w:r w:rsidR="000B72C9">
        <w:t> percent</w:t>
      </w:r>
      <w:r w:rsidR="00741FD2">
        <w:t xml:space="preserve"> </w:t>
      </w:r>
      <w:r w:rsidR="00FC275D">
        <w:t>paying in excess of $30,000</w:t>
      </w:r>
      <w:r w:rsidR="00145F67">
        <w:t xml:space="preserve"> post-allowance</w:t>
      </w:r>
      <w:r w:rsidR="00FC275D">
        <w:t xml:space="preserve">, and </w:t>
      </w:r>
      <w:r w:rsidR="00145F67">
        <w:t xml:space="preserve">the remaining </w:t>
      </w:r>
      <w:r w:rsidR="00600C97">
        <w:t>20</w:t>
      </w:r>
      <w:r w:rsidR="000B72C9">
        <w:t> percent</w:t>
      </w:r>
      <w:r w:rsidR="00600C97">
        <w:t xml:space="preserve"> paying between</w:t>
      </w:r>
      <w:r w:rsidR="0070373E">
        <w:t xml:space="preserve"> $10</w:t>
      </w:r>
      <w:r w:rsidR="00F76B84">
        <w:t>,000</w:t>
      </w:r>
      <w:r w:rsidR="007A2B29">
        <w:t xml:space="preserve"> to $</w:t>
      </w:r>
      <w:r w:rsidR="0070373E">
        <w:t>30,000</w:t>
      </w:r>
      <w:r w:rsidR="00BC5CE7">
        <w:t xml:space="preserve"> post-allowance</w:t>
      </w:r>
      <w:r w:rsidR="001E28D1">
        <w:t>, for electric underground upsizing less than 400 amp</w:t>
      </w:r>
      <w:r w:rsidR="00BC515F">
        <w:t>.</w:t>
      </w:r>
      <w:r w:rsidR="006D408B">
        <w:rPr>
          <w:rStyle w:val="FootnoteReference"/>
        </w:rPr>
        <w:footnoteReference w:id="18"/>
      </w:r>
      <w:r w:rsidR="00D32F1E">
        <w:t xml:space="preserve"> </w:t>
      </w:r>
    </w:p>
    <w:p w:rsidRPr="00BA1601" w:rsidR="00BA1601" w:rsidP="00640DD3" w:rsidRDefault="00AA5544" w14:paraId="5D190521" w14:textId="10FDE3F4">
      <w:pPr>
        <w:pStyle w:val="Standard"/>
      </w:pPr>
      <w:r>
        <w:t xml:space="preserve">For the method of verification, </w:t>
      </w:r>
      <w:r w:rsidR="00D32F1E">
        <w:t xml:space="preserve">SPUR recommends </w:t>
      </w:r>
      <w:r w:rsidR="00A173FB">
        <w:t>utilities</w:t>
      </w:r>
      <w:r w:rsidR="00FA6FE2">
        <w:t xml:space="preserve"> collect information regarding </w:t>
      </w:r>
      <w:r w:rsidR="00683584">
        <w:t xml:space="preserve">expected </w:t>
      </w:r>
      <w:r w:rsidR="00FA6FE2">
        <w:t>end use</w:t>
      </w:r>
      <w:r w:rsidR="00683584">
        <w:t>s</w:t>
      </w:r>
      <w:r w:rsidR="005F05A7">
        <w:t xml:space="preserve"> directly from </w:t>
      </w:r>
      <w:r w:rsidR="001E7134">
        <w:t>the customer</w:t>
      </w:r>
      <w:r w:rsidR="00F1339A">
        <w:t xml:space="preserve"> (</w:t>
      </w:r>
      <w:r w:rsidR="006C1430">
        <w:t xml:space="preserve">that is, </w:t>
      </w:r>
      <w:r w:rsidR="00F1339A">
        <w:t>self-</w:t>
      </w:r>
      <w:r w:rsidR="00F1339A">
        <w:lastRenderedPageBreak/>
        <w:t>attested by the customer)</w:t>
      </w:r>
      <w:r w:rsidR="006C1430">
        <w:t xml:space="preserve"> with</w:t>
      </w:r>
      <w:r w:rsidR="001E7134">
        <w:t>in the customer application</w:t>
      </w:r>
      <w:r w:rsidR="00FA6FE2">
        <w:t xml:space="preserve">, </w:t>
      </w:r>
      <w:r w:rsidR="00F1339A">
        <w:t>a</w:t>
      </w:r>
      <w:r w:rsidR="006C1430">
        <w:t>s well as</w:t>
      </w:r>
      <w:r w:rsidR="00F1339A">
        <w:t xml:space="preserve"> information </w:t>
      </w:r>
      <w:r>
        <w:t>about</w:t>
      </w:r>
      <w:r w:rsidR="00FA6FE2">
        <w:t xml:space="preserve"> replaced </w:t>
      </w:r>
      <w:r w:rsidR="00683584">
        <w:t xml:space="preserve">and </w:t>
      </w:r>
      <w:r w:rsidR="00A47EAE">
        <w:t>installed</w:t>
      </w:r>
      <w:r w:rsidR="00683584">
        <w:t xml:space="preserve"> </w:t>
      </w:r>
      <w:r w:rsidR="00FA6FE2">
        <w:t>equipment</w:t>
      </w:r>
      <w:r w:rsidR="000B0221">
        <w:t>.</w:t>
      </w:r>
      <w:r w:rsidR="000B0221">
        <w:rPr>
          <w:rStyle w:val="FootnoteReference"/>
        </w:rPr>
        <w:footnoteReference w:id="19"/>
      </w:r>
    </w:p>
    <w:p w:rsidR="009C155A" w:rsidP="00D50F71" w:rsidRDefault="00D50F71" w14:paraId="23246E3C" w14:textId="1568D2B8">
      <w:pPr>
        <w:pStyle w:val="Standard"/>
      </w:pPr>
      <w:bookmarkStart w:name="_Toc185579355" w:id="30"/>
      <w:bookmarkStart w:name="_Toc192263681" w:id="31"/>
      <w:r>
        <w:t xml:space="preserve">While </w:t>
      </w:r>
      <w:bookmarkStart w:name="_Toc183039208" w:id="32"/>
      <w:bookmarkStart w:name="_Toc184240501" w:id="33"/>
      <w:bookmarkStart w:name="_Toc184241067" w:id="34"/>
      <w:bookmarkStart w:name="_Toc184241630" w:id="35"/>
      <w:bookmarkStart w:name="_Toc184242466" w:id="36"/>
      <w:bookmarkStart w:name="_Toc184242547" w:id="37"/>
      <w:bookmarkStart w:name="_Toc184242629" w:id="38"/>
      <w:bookmarkStart w:name="_Toc184242709" w:id="39"/>
      <w:bookmarkStart w:name="_Toc184242788" w:id="40"/>
      <w:bookmarkStart w:name="_Toc184242869" w:id="41"/>
      <w:bookmarkStart w:name="_Toc184242948" w:id="42"/>
      <w:bookmarkStart w:name="_Toc184243029" w:id="43"/>
      <w:bookmarkStart w:name="_Toc184243315" w:id="44"/>
      <w:bookmarkStart w:name="_Toc184501791" w:id="45"/>
      <w:bookmarkStart w:name="_Toc184680221" w:id="46"/>
      <w:bookmarkStart w:name="_Toc184830902" w:id="47"/>
      <w:bookmarkStart w:name="_Toc184831153" w:id="48"/>
      <w:bookmarkStart w:name="_Toc184840661" w:id="49"/>
      <w:bookmarkStart w:name="_Toc184840770" w:id="50"/>
      <w:bookmarkStart w:name="_Toc184854681" w:id="51"/>
      <w:bookmarkStart w:name="_Toc185269643" w:id="52"/>
      <w:bookmarkStart w:name="_Toc185275749" w:id="53"/>
      <w:bookmarkStart w:name="_Toc185278438" w:id="54"/>
      <w:bookmarkStart w:name="_Toc185278542" w:id="55"/>
      <w:bookmarkStart w:name="_Toc185278646" w:id="56"/>
      <w:bookmarkStart w:name="_Toc185278830" w:id="57"/>
      <w:bookmarkStart w:name="_Toc185321791" w:id="58"/>
      <w:bookmarkStart w:name="_Toc185329741" w:id="5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m</w:t>
      </w:r>
      <w:r w:rsidRPr="00FB2DF8" w:rsidR="00346384">
        <w:t>ost parties re</w:t>
      </w:r>
      <w:r w:rsidR="00E54E3D">
        <w:t>i</w:t>
      </w:r>
      <w:r w:rsidR="00692D00">
        <w:t>terated</w:t>
      </w:r>
      <w:r w:rsidRPr="00FB2DF8" w:rsidR="00346384">
        <w:t xml:space="preserve"> their original position</w:t>
      </w:r>
      <w:r w:rsidR="00E54E3D">
        <w:t>s</w:t>
      </w:r>
      <w:r w:rsidRPr="00FB2DF8" w:rsidR="00346384">
        <w:t xml:space="preserve"> in </w:t>
      </w:r>
      <w:r w:rsidR="00E54E3D">
        <w:t xml:space="preserve">their </w:t>
      </w:r>
      <w:r w:rsidRPr="00FB2DF8" w:rsidR="00346384">
        <w:t>reply comments</w:t>
      </w:r>
      <w:r>
        <w:t>,</w:t>
      </w:r>
      <w:r w:rsidRPr="00FB2DF8" w:rsidR="00346384">
        <w:t xml:space="preserve"> </w:t>
      </w:r>
      <w:r>
        <w:t>s</w:t>
      </w:r>
      <w:r w:rsidRPr="00FB2DF8">
        <w:t xml:space="preserve">ome </w:t>
      </w:r>
      <w:r w:rsidRPr="00FB2DF8" w:rsidR="00346384">
        <w:t>parties modified their position</w:t>
      </w:r>
      <w:r w:rsidR="00E54E3D">
        <w:t>s</w:t>
      </w:r>
      <w:r w:rsidRPr="00FB2DF8" w:rsidR="00346384">
        <w:t xml:space="preserve"> on specific </w:t>
      </w:r>
      <w:r w:rsidRPr="00FB2DF8" w:rsidR="00FB2DF8">
        <w:t>sub-topics or issues</w:t>
      </w:r>
      <w:r w:rsidR="00571EF7">
        <w:t xml:space="preserve"> </w:t>
      </w:r>
      <w:r w:rsidRPr="00FB2DF8" w:rsidR="00571EF7">
        <w:t>only</w:t>
      </w:r>
      <w:r w:rsidRPr="00FB2DF8" w:rsidR="00FB2DF8">
        <w:t>.</w:t>
      </w:r>
      <w:r w:rsidRPr="00FB2DF8" w:rsidR="00063E96">
        <w:t xml:space="preserve"> </w:t>
      </w:r>
      <w:r>
        <w:t>For example, the</w:t>
      </w:r>
      <w:r w:rsidR="006071C6">
        <w:t xml:space="preserve"> Joint </w:t>
      </w:r>
      <w:r w:rsidR="00664D78">
        <w:t>REN</w:t>
      </w:r>
      <w:r w:rsidR="006071C6">
        <w:t>s</w:t>
      </w:r>
      <w:r w:rsidR="00962139">
        <w:t>’</w:t>
      </w:r>
      <w:r w:rsidR="00901095">
        <w:t xml:space="preserve"> </w:t>
      </w:r>
      <w:r w:rsidR="00877F8D">
        <w:t>reply</w:t>
      </w:r>
      <w:r w:rsidR="009C155A">
        <w:t xml:space="preserve"> </w:t>
      </w:r>
      <w:r w:rsidR="00877F8D">
        <w:t>comments</w:t>
      </w:r>
      <w:r w:rsidR="00692D00">
        <w:t>,</w:t>
      </w:r>
      <w:r w:rsidR="00877F8D">
        <w:t xml:space="preserve"> </w:t>
      </w:r>
      <w:r w:rsidR="00962139">
        <w:t xml:space="preserve">to </w:t>
      </w:r>
      <w:r w:rsidR="00820013">
        <w:t>PG&amp;E</w:t>
      </w:r>
      <w:r w:rsidR="00962139">
        <w:t>’s</w:t>
      </w:r>
      <w:r w:rsidR="00820013">
        <w:t xml:space="preserve"> and </w:t>
      </w:r>
      <w:r w:rsidR="00877F8D">
        <w:t xml:space="preserve">the </w:t>
      </w:r>
      <w:r w:rsidR="00820013">
        <w:t>Joint Parties</w:t>
      </w:r>
      <w:r w:rsidR="00962139">
        <w:t>’ opening comments</w:t>
      </w:r>
      <w:r w:rsidR="00820013">
        <w:t xml:space="preserve">, </w:t>
      </w:r>
      <w:r w:rsidR="009C155A">
        <w:t>support extend</w:t>
      </w:r>
      <w:r w:rsidR="00C9662D">
        <w:t>ing</w:t>
      </w:r>
      <w:r w:rsidR="009C155A">
        <w:t xml:space="preserve"> common facility cost treatment to all customers</w:t>
      </w:r>
      <w:r w:rsidR="00692D00">
        <w:t>; this is a</w:t>
      </w:r>
      <w:r w:rsidR="009C155A">
        <w:t xml:space="preserve"> </w:t>
      </w:r>
      <w:r w:rsidR="00F2618A">
        <w:t>chang</w:t>
      </w:r>
      <w:r w:rsidR="00692D00">
        <w:t>e from Joint RENs’</w:t>
      </w:r>
      <w:r w:rsidR="00FB2DF8">
        <w:t xml:space="preserve"> original position </w:t>
      </w:r>
      <w:r w:rsidR="00692D00">
        <w:t xml:space="preserve">which </w:t>
      </w:r>
      <w:r w:rsidR="00FB2DF8">
        <w:t>support</w:t>
      </w:r>
      <w:r w:rsidR="00692D00">
        <w:t xml:space="preserve">ed extension of common facility treatment only to </w:t>
      </w:r>
      <w:r w:rsidR="009C155A">
        <w:t>under-resourced customers</w:t>
      </w:r>
      <w:r w:rsidR="005B2E69">
        <w:t>. They also agreed with SBUA that it should be</w:t>
      </w:r>
      <w:r w:rsidR="001F763B">
        <w:t xml:space="preserve"> extend</w:t>
      </w:r>
      <w:r w:rsidR="005B2E69">
        <w:t>ed</w:t>
      </w:r>
      <w:r w:rsidR="001F763B">
        <w:t xml:space="preserve"> to s</w:t>
      </w:r>
      <w:r w:rsidR="009E7DDF">
        <w:t xml:space="preserve">mall business customers. </w:t>
      </w:r>
      <w:r w:rsidR="00823AD3">
        <w:t xml:space="preserve">Further, they </w:t>
      </w:r>
      <w:r w:rsidR="00D5302D">
        <w:t>add</w:t>
      </w:r>
      <w:r w:rsidR="00823AD3">
        <w:t xml:space="preserve"> that </w:t>
      </w:r>
      <w:r w:rsidR="00650795">
        <w:t>com</w:t>
      </w:r>
      <w:r w:rsidR="00475C4D">
        <w:t>m</w:t>
      </w:r>
      <w:r w:rsidR="00650795">
        <w:t xml:space="preserve">on facility cost treatment should be limited to </w:t>
      </w:r>
      <w:r w:rsidR="00475C4D">
        <w:t xml:space="preserve">participating </w:t>
      </w:r>
      <w:r w:rsidR="00650795">
        <w:t>customers</w:t>
      </w:r>
      <w:r w:rsidR="00475C4D">
        <w:t xml:space="preserve"> of certain </w:t>
      </w:r>
      <w:r w:rsidR="00901095">
        <w:t>Commission</w:t>
      </w:r>
      <w:r w:rsidR="00FD77C4">
        <w:t>-</w:t>
      </w:r>
      <w:r w:rsidR="00823AD3">
        <w:t xml:space="preserve">authorized programs with </w:t>
      </w:r>
      <w:r w:rsidR="00077084">
        <w:t xml:space="preserve">the idea that </w:t>
      </w:r>
      <w:r w:rsidR="00823AD3">
        <w:t>education materials</w:t>
      </w:r>
      <w:r w:rsidR="00590547">
        <w:t xml:space="preserve"> (“program offering touchpoints”) </w:t>
      </w:r>
      <w:r w:rsidR="00B44A82">
        <w:t xml:space="preserve">should be </w:t>
      </w:r>
      <w:r w:rsidR="00C36181">
        <w:t xml:space="preserve">offered by the utility </w:t>
      </w:r>
      <w:r w:rsidR="00B721FB">
        <w:t xml:space="preserve">to applicants </w:t>
      </w:r>
      <w:r w:rsidR="00C36181">
        <w:t xml:space="preserve">during the </w:t>
      </w:r>
      <w:r w:rsidR="00077084">
        <w:t xml:space="preserve">service upsizing </w:t>
      </w:r>
      <w:r w:rsidR="00C36181">
        <w:t>application process</w:t>
      </w:r>
      <w:r w:rsidR="00BD02FC">
        <w:t>, including workforce training program offerings for contractors.</w:t>
      </w:r>
      <w:r w:rsidR="00741114">
        <w:rPr>
          <w:rStyle w:val="FootnoteReference"/>
        </w:rPr>
        <w:footnoteReference w:id="20"/>
      </w:r>
      <w:r w:rsidR="00C36181">
        <w:t xml:space="preserve"> </w:t>
      </w:r>
    </w:p>
    <w:p w:rsidR="00604A3B" w:rsidP="00604A3B" w:rsidRDefault="00604A3B" w14:paraId="6EEE695E" w14:textId="536FABB8">
      <w:pPr>
        <w:pStyle w:val="Standard"/>
      </w:pPr>
      <w:r>
        <w:t>TURN, in its reply comments, recommend</w:t>
      </w:r>
      <w:r w:rsidR="00F04E8C">
        <w:t>ed</w:t>
      </w:r>
      <w:r w:rsidR="00252983">
        <w:t xml:space="preserve">: (1) </w:t>
      </w:r>
      <w:r>
        <w:t xml:space="preserve">any potential </w:t>
      </w:r>
      <w:r w:rsidR="00462DFC">
        <w:t xml:space="preserve">expansion </w:t>
      </w:r>
      <w:r>
        <w:t>of common facility cost treatment should initially be limited to residential and small business under-resourced customers as a three</w:t>
      </w:r>
      <w:r w:rsidR="00692D00">
        <w:t>-</w:t>
      </w:r>
      <w:r w:rsidR="00C04F90">
        <w:t xml:space="preserve"> or four</w:t>
      </w:r>
      <w:r w:rsidR="00692D00">
        <w:t>-</w:t>
      </w:r>
      <w:r>
        <w:t>year pilot before establishing a long-term policy</w:t>
      </w:r>
      <w:r w:rsidR="00705142">
        <w:t>;</w:t>
      </w:r>
      <w:r>
        <w:t xml:space="preserve"> </w:t>
      </w:r>
      <w:r w:rsidR="003D3BC8">
        <w:t>(</w:t>
      </w:r>
      <w:r w:rsidR="00705142">
        <w:t>2</w:t>
      </w:r>
      <w:r w:rsidR="003D3BC8">
        <w:t xml:space="preserve">) </w:t>
      </w:r>
      <w:r>
        <w:t xml:space="preserve">limiting common facility cost treatment only for applicants pursuing appliance electrification; </w:t>
      </w:r>
      <w:r w:rsidR="003D3BC8">
        <w:t>(</w:t>
      </w:r>
      <w:r w:rsidR="006D1531">
        <w:t>3</w:t>
      </w:r>
      <w:r w:rsidR="003D3BC8">
        <w:t>)</w:t>
      </w:r>
      <w:r>
        <w:t xml:space="preserve"> requiring utilities to collect data, in line with SPUR’s recommendations</w:t>
      </w:r>
      <w:r w:rsidR="00227A7A">
        <w:t>,</w:t>
      </w:r>
      <w:r>
        <w:t xml:space="preserve"> so the Commission can determine whether to continue </w:t>
      </w:r>
      <w:r w:rsidR="003A445C">
        <w:t>common facility cost treatment</w:t>
      </w:r>
      <w:r>
        <w:t xml:space="preserve"> in </w:t>
      </w:r>
      <w:r w:rsidR="0000682F">
        <w:t xml:space="preserve">the </w:t>
      </w:r>
      <w:r>
        <w:t xml:space="preserve">future; </w:t>
      </w:r>
      <w:r w:rsidR="003D3BC8">
        <w:t>(</w:t>
      </w:r>
      <w:r w:rsidR="006D1531">
        <w:t>4</w:t>
      </w:r>
      <w:r w:rsidR="003D3BC8">
        <w:t>)</w:t>
      </w:r>
      <w:r>
        <w:t xml:space="preserve"> limiting common facility cost treatment to customers with existing </w:t>
      </w:r>
      <w:r w:rsidR="00A85593">
        <w:t xml:space="preserve">electric </w:t>
      </w:r>
      <w:r>
        <w:t xml:space="preserve">service </w:t>
      </w:r>
      <w:r w:rsidR="00A85593">
        <w:t>line</w:t>
      </w:r>
      <w:r>
        <w:t xml:space="preserve"> </w:t>
      </w:r>
      <w:r w:rsidR="00A85593">
        <w:lastRenderedPageBreak/>
        <w:t>capacity</w:t>
      </w:r>
      <w:r>
        <w:t xml:space="preserve"> of less than 100 </w:t>
      </w:r>
      <w:r w:rsidR="00467070">
        <w:t>ampere</w:t>
      </w:r>
      <w:r w:rsidR="00A85593">
        <w:t>s</w:t>
      </w:r>
      <w:r w:rsidR="007B0D18">
        <w:t xml:space="preserve"> (amps)</w:t>
      </w:r>
      <w:r>
        <w:t xml:space="preserve">, and limiting the final upsized </w:t>
      </w:r>
      <w:r w:rsidR="00A85593">
        <w:t xml:space="preserve">electric service </w:t>
      </w:r>
      <w:r>
        <w:t xml:space="preserve">line </w:t>
      </w:r>
      <w:r w:rsidR="00A85593">
        <w:t>capacity</w:t>
      </w:r>
      <w:r>
        <w:t xml:space="preserve"> to </w:t>
      </w:r>
      <w:r w:rsidR="00543634">
        <w:t>not exceed</w:t>
      </w:r>
      <w:r>
        <w:t xml:space="preserve"> 200 </w:t>
      </w:r>
      <w:r w:rsidR="00467070">
        <w:t>amp</w:t>
      </w:r>
      <w:r>
        <w:t xml:space="preserve">s; </w:t>
      </w:r>
      <w:r w:rsidR="003D3BC8">
        <w:t>(</w:t>
      </w:r>
      <w:r w:rsidR="006D1531">
        <w:t>5</w:t>
      </w:r>
      <w:r w:rsidR="003D3BC8">
        <w:t xml:space="preserve">) </w:t>
      </w:r>
      <w:r>
        <w:t xml:space="preserve">requiring utilities to collect documentation of customer-pursued load mitigation strategies; </w:t>
      </w:r>
      <w:r w:rsidR="003D3BC8">
        <w:t>(</w:t>
      </w:r>
      <w:r w:rsidR="006D1531">
        <w:t>6</w:t>
      </w:r>
      <w:r w:rsidR="003D3BC8">
        <w:t xml:space="preserve">) </w:t>
      </w:r>
      <w:r>
        <w:t xml:space="preserve">setting a budget cap for the common facility cost treatment to be equal to </w:t>
      </w:r>
      <w:r w:rsidR="0090645F">
        <w:t xml:space="preserve">fifty percent of the projected </w:t>
      </w:r>
      <w:r>
        <w:t xml:space="preserve">savings from elimination of gas line extension subsidies; and </w:t>
      </w:r>
      <w:r w:rsidR="003D3BC8">
        <w:t>(</w:t>
      </w:r>
      <w:r w:rsidR="00972812">
        <w:t>7</w:t>
      </w:r>
      <w:r w:rsidR="003D3BC8">
        <w:t xml:space="preserve">) </w:t>
      </w:r>
      <w:r>
        <w:t xml:space="preserve">limiting participation to residential customers </w:t>
      </w:r>
      <w:r w:rsidR="008305D5">
        <w:t>receiving</w:t>
      </w:r>
      <w:r>
        <w:t xml:space="preserve"> </w:t>
      </w:r>
      <w:r w:rsidR="003D3BC8">
        <w:t>either</w:t>
      </w:r>
      <w:r w:rsidR="00636A05">
        <w:t xml:space="preserve"> California Alternate Rates for Energy</w:t>
      </w:r>
      <w:r>
        <w:t xml:space="preserve"> </w:t>
      </w:r>
      <w:r w:rsidR="00636A05">
        <w:t>(</w:t>
      </w:r>
      <w:r>
        <w:t>CARE</w:t>
      </w:r>
      <w:r w:rsidR="00636A05">
        <w:t>)</w:t>
      </w:r>
      <w:r w:rsidR="003D3BC8">
        <w:t xml:space="preserve"> or</w:t>
      </w:r>
      <w:r>
        <w:t xml:space="preserve"> </w:t>
      </w:r>
      <w:r w:rsidR="00636A05">
        <w:t>Family Electric Rate Assistance Program (</w:t>
      </w:r>
      <w:r>
        <w:t>FERA</w:t>
      </w:r>
      <w:r w:rsidR="00636A05">
        <w:t>)</w:t>
      </w:r>
      <w:r w:rsidR="004A6CE2">
        <w:t xml:space="preserve"> rate discounts</w:t>
      </w:r>
      <w:r>
        <w:t xml:space="preserve">, or </w:t>
      </w:r>
      <w:r w:rsidR="004A6CE2">
        <w:t xml:space="preserve">customers </w:t>
      </w:r>
      <w:r w:rsidR="00F2618A">
        <w:t xml:space="preserve">participating </w:t>
      </w:r>
      <w:r w:rsidR="004A6CE2">
        <w:t>in the</w:t>
      </w:r>
      <w:r>
        <w:t xml:space="preserve"> ESA program, and for non-residential customers of </w:t>
      </w:r>
      <w:r w:rsidR="0029693A">
        <w:t xml:space="preserve">disadvantaged </w:t>
      </w:r>
      <w:r>
        <w:t>communities</w:t>
      </w:r>
      <w:r w:rsidR="0029693A">
        <w:t xml:space="preserve"> (DACs)</w:t>
      </w:r>
      <w:r>
        <w:t>, or the criteria provided by SBUA</w:t>
      </w:r>
      <w:r w:rsidR="005A3A69">
        <w:t>.</w:t>
      </w:r>
      <w:r w:rsidR="00153C7E">
        <w:rPr>
          <w:rStyle w:val="FootnoteReference"/>
        </w:rPr>
        <w:footnoteReference w:id="21"/>
      </w:r>
    </w:p>
    <w:p w:rsidRPr="00BF3622" w:rsidR="00604A3B" w:rsidP="006F4174" w:rsidRDefault="00D37216" w14:paraId="43826641" w14:textId="3BE5CE4C">
      <w:pPr>
        <w:pStyle w:val="Standard"/>
      </w:pPr>
      <w:r>
        <w:t xml:space="preserve">SBUA agrees with </w:t>
      </w:r>
      <w:r w:rsidR="006071C6">
        <w:t xml:space="preserve">the Joint </w:t>
      </w:r>
      <w:r w:rsidR="008504E5">
        <w:t>REN</w:t>
      </w:r>
      <w:r w:rsidR="006071C6">
        <w:t>s</w:t>
      </w:r>
      <w:r w:rsidR="008504E5">
        <w:t xml:space="preserve"> </w:t>
      </w:r>
      <w:r>
        <w:t>that common facility cost treatment should be tied to programs, not end use</w:t>
      </w:r>
      <w:r w:rsidR="00DC3470">
        <w:t>.</w:t>
      </w:r>
      <w:r w:rsidR="008103DA">
        <w:rPr>
          <w:rStyle w:val="FootnoteReference"/>
        </w:rPr>
        <w:footnoteReference w:id="22"/>
      </w:r>
      <w:r w:rsidR="0083031A">
        <w:t xml:space="preserve"> </w:t>
      </w:r>
    </w:p>
    <w:p w:rsidRPr="007C1A21" w:rsidR="0045097B" w:rsidP="0096672A" w:rsidRDefault="0045097B" w14:paraId="044E1A14" w14:textId="6CCBC427">
      <w:pPr>
        <w:pStyle w:val="Heading2"/>
      </w:pPr>
      <w:bookmarkStart w:name="_Toc185579356" w:id="60"/>
      <w:bookmarkStart w:name="_Toc192263682" w:id="61"/>
      <w:bookmarkStart w:name="_Toc200370968" w:id="62"/>
      <w:r w:rsidRPr="007C1A21">
        <w:t>Discussion</w:t>
      </w:r>
      <w:bookmarkEnd w:id="60"/>
      <w:bookmarkEnd w:id="61"/>
      <w:bookmarkEnd w:id="62"/>
    </w:p>
    <w:p w:rsidR="00A626A6" w:rsidP="00854EED" w:rsidRDefault="00692D00" w14:paraId="635DFAE3" w14:textId="6D492ABA">
      <w:pPr>
        <w:pStyle w:val="Standard"/>
      </w:pPr>
      <w:bookmarkStart w:name="_Hlk191791541" w:id="63"/>
      <w:r>
        <w:t>T</w:t>
      </w:r>
      <w:r w:rsidRPr="00B84DFE" w:rsidR="00B84DFE">
        <w:t>he Commission</w:t>
      </w:r>
      <w:r w:rsidR="006F57DB">
        <w:t xml:space="preserve"> </w:t>
      </w:r>
      <w:r w:rsidR="00A878DA">
        <w:t xml:space="preserve">understands that many </w:t>
      </w:r>
      <w:r w:rsidRPr="004371B2" w:rsidR="00805F96">
        <w:t xml:space="preserve">California </w:t>
      </w:r>
      <w:r w:rsidR="00930F08">
        <w:t>ratepayers</w:t>
      </w:r>
      <w:r w:rsidR="00E2399B">
        <w:t xml:space="preserve"> </w:t>
      </w:r>
      <w:r w:rsidR="00CE1D0B">
        <w:t xml:space="preserve">are </w:t>
      </w:r>
      <w:r w:rsidR="00BA1060">
        <w:t xml:space="preserve">currently </w:t>
      </w:r>
      <w:r w:rsidR="00CE1D0B">
        <w:t xml:space="preserve">experiencing the </w:t>
      </w:r>
      <w:r w:rsidR="00BA1060">
        <w:t xml:space="preserve">impact </w:t>
      </w:r>
      <w:r w:rsidR="00A83BD4">
        <w:t>of</w:t>
      </w:r>
      <w:r w:rsidR="00FA6EFA">
        <w:t xml:space="preserve"> </w:t>
      </w:r>
      <w:r w:rsidR="00ED3554">
        <w:t>recent rate increases</w:t>
      </w:r>
      <w:r w:rsidR="00EF25A8">
        <w:t>.</w:t>
      </w:r>
      <w:bookmarkEnd w:id="63"/>
      <w:r w:rsidR="00EF25A8">
        <w:t xml:space="preserve"> </w:t>
      </w:r>
      <w:r w:rsidRPr="00B84DFE" w:rsidR="00B84DFE">
        <w:t>Accordingly, this decision</w:t>
      </w:r>
      <w:r w:rsidR="0016261F">
        <w:t xml:space="preserve"> carefully </w:t>
      </w:r>
      <w:r w:rsidR="00290EF1">
        <w:t>examine</w:t>
      </w:r>
      <w:r w:rsidR="0016261F">
        <w:t>d</w:t>
      </w:r>
      <w:r w:rsidR="00290EF1">
        <w:t xml:space="preserve"> </w:t>
      </w:r>
      <w:r w:rsidR="0031165B">
        <w:t>th</w:t>
      </w:r>
      <w:r w:rsidR="00E16CB6">
        <w:t>e</w:t>
      </w:r>
      <w:r w:rsidR="00050057">
        <w:t xml:space="preserve"> </w:t>
      </w:r>
      <w:r w:rsidR="0031165B">
        <w:t xml:space="preserve">issue of </w:t>
      </w:r>
      <w:r w:rsidR="00E3392E">
        <w:t xml:space="preserve">common </w:t>
      </w:r>
      <w:r w:rsidR="00083A26">
        <w:t xml:space="preserve">facility </w:t>
      </w:r>
      <w:r w:rsidR="00E3392E">
        <w:t xml:space="preserve">cost treatment </w:t>
      </w:r>
      <w:r w:rsidR="00FF348E">
        <w:t xml:space="preserve">for </w:t>
      </w:r>
      <w:r w:rsidR="00083A26">
        <w:t xml:space="preserve">an </w:t>
      </w:r>
      <w:r w:rsidR="0006347B">
        <w:t xml:space="preserve">expanded segment of </w:t>
      </w:r>
      <w:r w:rsidR="00E3392E">
        <w:t>customer</w:t>
      </w:r>
      <w:r w:rsidR="0006347B">
        <w:t>s</w:t>
      </w:r>
      <w:r w:rsidR="00A878DA">
        <w:t xml:space="preserve"> while keeping affordability top of mind</w:t>
      </w:r>
      <w:r w:rsidR="0034258A">
        <w:t>, as discussed below</w:t>
      </w:r>
      <w:r w:rsidR="00A626A6">
        <w:t>.</w:t>
      </w:r>
    </w:p>
    <w:p w:rsidR="00BF2D51" w:rsidP="00BF2D51" w:rsidRDefault="00CD3AB4" w14:paraId="1AA4025F" w14:textId="5132E11B">
      <w:pPr>
        <w:pStyle w:val="Standard"/>
      </w:pPr>
      <w:bookmarkStart w:name="_Hlk191953350" w:id="64"/>
      <w:r>
        <w:t>T</w:t>
      </w:r>
      <w:r w:rsidR="00F35EAC">
        <w:t>he Commission</w:t>
      </w:r>
      <w:r w:rsidR="00017649">
        <w:t xml:space="preserve"> finds that </w:t>
      </w:r>
      <w:r w:rsidRPr="00A73CCA" w:rsidR="43E85776">
        <w:t>common facility cost treatment should be equitable, minimal, subject to re-evaluation</w:t>
      </w:r>
      <w:r w:rsidR="003F0356">
        <w:t xml:space="preserve">, and any funds not expended </w:t>
      </w:r>
      <w:r w:rsidR="00B84DFE">
        <w:t xml:space="preserve">must be </w:t>
      </w:r>
      <w:r w:rsidR="003F0356">
        <w:t>returned to ratepayers</w:t>
      </w:r>
      <w:r w:rsidR="40FB76DB">
        <w:t>.</w:t>
      </w:r>
      <w:r w:rsidR="113AB2F5">
        <w:t xml:space="preserve"> </w:t>
      </w:r>
      <w:r w:rsidR="4403851E">
        <w:t>We</w:t>
      </w:r>
      <w:r w:rsidR="468982A6">
        <w:t xml:space="preserve"> </w:t>
      </w:r>
      <w:r w:rsidR="4D32F739">
        <w:t xml:space="preserve">therefore </w:t>
      </w:r>
      <w:r w:rsidR="113AB2F5">
        <w:t xml:space="preserve">adopt common facility cost treatment </w:t>
      </w:r>
      <w:r w:rsidR="04ACB3C9">
        <w:t xml:space="preserve">solely </w:t>
      </w:r>
      <w:r w:rsidR="113AB2F5">
        <w:t xml:space="preserve">for under-resourced </w:t>
      </w:r>
      <w:r w:rsidR="008F1214">
        <w:t xml:space="preserve">residential and small business </w:t>
      </w:r>
      <w:r w:rsidR="113AB2F5">
        <w:t>customers</w:t>
      </w:r>
      <w:r w:rsidR="12E506E7">
        <w:t xml:space="preserve"> </w:t>
      </w:r>
      <w:r w:rsidR="336D16F4">
        <w:t xml:space="preserve">who are participants </w:t>
      </w:r>
      <w:r w:rsidR="00DE4331">
        <w:t>in</w:t>
      </w:r>
      <w:r w:rsidR="336D16F4">
        <w:t xml:space="preserve"> </w:t>
      </w:r>
      <w:r w:rsidR="5D08BCA7">
        <w:t>a</w:t>
      </w:r>
      <w:r w:rsidR="59C1D1BF">
        <w:t>n</w:t>
      </w:r>
      <w:r w:rsidR="5D08BCA7">
        <w:t xml:space="preserve"> </w:t>
      </w:r>
      <w:r w:rsidR="336D16F4">
        <w:t>electrification program</w:t>
      </w:r>
      <w:r w:rsidR="3FF7BB14">
        <w:t xml:space="preserve"> that triggers the need for service line </w:t>
      </w:r>
      <w:r w:rsidR="3FF7BB14">
        <w:lastRenderedPageBreak/>
        <w:t>upsizing</w:t>
      </w:r>
      <w:r w:rsidR="003F0356">
        <w:t xml:space="preserve">. Customers should </w:t>
      </w:r>
      <w:r w:rsidR="000C4264">
        <w:t xml:space="preserve">also </w:t>
      </w:r>
      <w:r w:rsidR="003F0356">
        <w:t>first seek</w:t>
      </w:r>
      <w:r w:rsidR="25D502C0">
        <w:t xml:space="preserve"> alternative approaches</w:t>
      </w:r>
      <w:r w:rsidR="003F0356">
        <w:t xml:space="preserve"> to fund service line upsizing. </w:t>
      </w:r>
      <w:r w:rsidR="000C4264">
        <w:t xml:space="preserve">The program authorizes an amount </w:t>
      </w:r>
      <w:r w:rsidR="25AE76D9">
        <w:t xml:space="preserve">up to </w:t>
      </w:r>
      <w:r w:rsidR="000C4264">
        <w:t>an</w:t>
      </w:r>
      <w:r w:rsidR="00E12569">
        <w:t xml:space="preserve"> </w:t>
      </w:r>
      <w:r w:rsidR="5731F214">
        <w:t>annual f</w:t>
      </w:r>
      <w:r w:rsidR="7B352FF1">
        <w:t>u</w:t>
      </w:r>
      <w:r w:rsidR="5731F214">
        <w:t>nding cap of $</w:t>
      </w:r>
      <w:r w:rsidR="00FC58CF">
        <w:t>5 </w:t>
      </w:r>
      <w:r w:rsidR="002E58D8">
        <w:t>million</w:t>
      </w:r>
      <w:r w:rsidR="7B352FF1">
        <w:t xml:space="preserve"> statewide, and</w:t>
      </w:r>
      <w:r w:rsidR="5731F214">
        <w:t xml:space="preserve"> </w:t>
      </w:r>
      <w:r w:rsidR="7B352FF1">
        <w:t>proportionally</w:t>
      </w:r>
      <w:r w:rsidR="5731F214">
        <w:t xml:space="preserve"> al</w:t>
      </w:r>
      <w:r w:rsidR="7B352FF1">
        <w:t xml:space="preserve">located </w:t>
      </w:r>
      <w:r w:rsidR="5731F214">
        <w:t xml:space="preserve">across </w:t>
      </w:r>
      <w:r w:rsidR="00792E07">
        <w:t xml:space="preserve">the three large </w:t>
      </w:r>
      <w:r w:rsidR="6C174AC4">
        <w:t>electric utilities</w:t>
      </w:r>
      <w:r w:rsidR="00792E07">
        <w:t xml:space="preserve"> (i.e., PG&amp;E, SCE, and SDG&amp;E)</w:t>
      </w:r>
      <w:r w:rsidRPr="000F4C41" w:rsidR="12E506E7">
        <w:t>.</w:t>
      </w:r>
      <w:r w:rsidR="0084597B">
        <w:rPr>
          <w:rStyle w:val="FootnoteReference"/>
        </w:rPr>
        <w:footnoteReference w:id="23"/>
      </w:r>
      <w:r w:rsidR="00E12569">
        <w:t xml:space="preserve"> </w:t>
      </w:r>
      <w:r w:rsidR="00B84DFE">
        <w:t xml:space="preserve">We </w:t>
      </w:r>
      <w:r w:rsidR="006C4904">
        <w:t xml:space="preserve">will </w:t>
      </w:r>
      <w:r w:rsidR="00B84DFE">
        <w:t>set t</w:t>
      </w:r>
      <w:r w:rsidR="00E12569">
        <w:t xml:space="preserve">his initial program for </w:t>
      </w:r>
      <w:r w:rsidR="006C4904">
        <w:t xml:space="preserve">an </w:t>
      </w:r>
      <w:r w:rsidR="00E12569">
        <w:t>a</w:t>
      </w:r>
      <w:r w:rsidR="00D85960">
        <w:t>pproximate</w:t>
      </w:r>
      <w:r w:rsidR="00E12569">
        <w:t xml:space="preserve"> </w:t>
      </w:r>
      <w:r w:rsidR="007B0CAB">
        <w:t>four</w:t>
      </w:r>
      <w:r w:rsidR="00E12569">
        <w:t>-year test period</w:t>
      </w:r>
      <w:r w:rsidR="006C4904">
        <w:t xml:space="preserve">, from </w:t>
      </w:r>
      <w:r w:rsidR="00186100">
        <w:t xml:space="preserve">October </w:t>
      </w:r>
      <w:r w:rsidR="00741C11">
        <w:t>1, 2025</w:t>
      </w:r>
      <w:r w:rsidR="00E22537">
        <w:t>,</w:t>
      </w:r>
      <w:r w:rsidR="00741C11">
        <w:t xml:space="preserve"> to June 30, 2029</w:t>
      </w:r>
      <w:r w:rsidR="00E12569">
        <w:t>.</w:t>
      </w:r>
      <w:r w:rsidR="008D251D">
        <w:t xml:space="preserve"> </w:t>
      </w:r>
      <w:r w:rsidR="009F6BA8">
        <w:t>The first-year test period will run for nine months, whereas each remaining test year will run for full 12</w:t>
      </w:r>
      <w:r>
        <w:t xml:space="preserve"> </w:t>
      </w:r>
      <w:r w:rsidR="009F6BA8">
        <w:t>month</w:t>
      </w:r>
      <w:r>
        <w:t>s</w:t>
      </w:r>
      <w:r w:rsidR="009F6BA8">
        <w:t xml:space="preserve">. </w:t>
      </w:r>
      <w:r w:rsidR="00FD6C57">
        <w:t xml:space="preserve">During the </w:t>
      </w:r>
      <w:r w:rsidR="008D251D">
        <w:t xml:space="preserve">last </w:t>
      </w:r>
      <w:r w:rsidR="009F6BA8">
        <w:t xml:space="preserve">test </w:t>
      </w:r>
      <w:r w:rsidR="008D251D">
        <w:t>year</w:t>
      </w:r>
      <w:r w:rsidR="00FD6C57">
        <w:t xml:space="preserve"> (July 1, 2028, to June 30, 2029)</w:t>
      </w:r>
      <w:r w:rsidR="00CE403A">
        <w:t xml:space="preserve">, the Commission will </w:t>
      </w:r>
      <w:r w:rsidRPr="00CE403A" w:rsidR="006C4904">
        <w:t>evaluat</w:t>
      </w:r>
      <w:r w:rsidR="006C4904">
        <w:t>e</w:t>
      </w:r>
      <w:r w:rsidRPr="00CE403A" w:rsidR="006C4904">
        <w:t xml:space="preserve"> the program</w:t>
      </w:r>
      <w:r w:rsidR="006C4904">
        <w:t xml:space="preserve"> by </w:t>
      </w:r>
      <w:r w:rsidR="00010C6D">
        <w:t>review</w:t>
      </w:r>
      <w:r w:rsidR="006C4904">
        <w:t>ing</w:t>
      </w:r>
      <w:r w:rsidR="00010C6D">
        <w:t xml:space="preserve"> the</w:t>
      </w:r>
      <w:r w:rsidR="00CE4E69">
        <w:t xml:space="preserve"> information submitted by the </w:t>
      </w:r>
      <w:r w:rsidR="00FE6807">
        <w:t>participating</w:t>
      </w:r>
      <w:r w:rsidR="00792E07">
        <w:t xml:space="preserve"> </w:t>
      </w:r>
      <w:r w:rsidR="00CE4E69">
        <w:t xml:space="preserve">electric utilities </w:t>
      </w:r>
      <w:r w:rsidR="00CE403A">
        <w:t xml:space="preserve">during </w:t>
      </w:r>
      <w:r w:rsidR="00CE4E69">
        <w:t>the pr</w:t>
      </w:r>
      <w:r w:rsidR="00CE403A">
        <w:t>eceding</w:t>
      </w:r>
      <w:r w:rsidR="00CE4E69">
        <w:t xml:space="preserve"> three years</w:t>
      </w:r>
      <w:r w:rsidR="006C4904">
        <w:t>.</w:t>
      </w:r>
      <w:r w:rsidR="00CE403A">
        <w:t xml:space="preserve"> If the Commission decides not to continue the program beyond June 30, 2029, all a</w:t>
      </w:r>
      <w:r w:rsidR="00E8675E">
        <w:t xml:space="preserve">pplications </w:t>
      </w:r>
      <w:r w:rsidR="00B26FDD">
        <w:t>submitted</w:t>
      </w:r>
      <w:r w:rsidR="00E8675E">
        <w:t xml:space="preserve"> </w:t>
      </w:r>
      <w:r w:rsidR="00642D24">
        <w:t>by</w:t>
      </w:r>
      <w:r w:rsidR="00E8675E">
        <w:t xml:space="preserve"> the program end date</w:t>
      </w:r>
      <w:r w:rsidR="00463D54">
        <w:t xml:space="preserve"> of June 30, 2029</w:t>
      </w:r>
      <w:r w:rsidR="00A91AA2">
        <w:t>,</w:t>
      </w:r>
      <w:r w:rsidR="00463D54">
        <w:t xml:space="preserve"> shall</w:t>
      </w:r>
      <w:r w:rsidR="00E8675E">
        <w:t xml:space="preserve"> remain eligible for funding</w:t>
      </w:r>
      <w:r w:rsidR="00F30015">
        <w:t xml:space="preserve"> </w:t>
      </w:r>
      <w:r w:rsidR="00F43692">
        <w:t>provided</w:t>
      </w:r>
      <w:r w:rsidR="00F30015">
        <w:t xml:space="preserve"> funds remain available</w:t>
      </w:r>
      <w:r w:rsidR="009076A5">
        <w:t>. Any u</w:t>
      </w:r>
      <w:r w:rsidR="00E107A3">
        <w:t xml:space="preserve">nallocated funds </w:t>
      </w:r>
      <w:r w:rsidR="006421DD">
        <w:t>remaining</w:t>
      </w:r>
      <w:r w:rsidR="00E107A3">
        <w:t xml:space="preserve"> </w:t>
      </w:r>
      <w:r w:rsidR="00D14F86">
        <w:t>after December 31, 2029</w:t>
      </w:r>
      <w:r w:rsidR="00A91AA2">
        <w:t>,</w:t>
      </w:r>
      <w:r w:rsidR="00D14F86">
        <w:t xml:space="preserve"> </w:t>
      </w:r>
      <w:r w:rsidR="00E107A3">
        <w:t>shall be returned to ratepayers</w:t>
      </w:r>
      <w:r w:rsidR="00D14F86">
        <w:t>.</w:t>
      </w:r>
      <w:r w:rsidR="00E107A3">
        <w:t xml:space="preserve"> </w:t>
      </w:r>
    </w:p>
    <w:p w:rsidRPr="002E58D8" w:rsidR="00295F81" w:rsidP="00295F81" w:rsidRDefault="00295F81" w14:paraId="26989862" w14:textId="5A546A28">
      <w:pPr>
        <w:pStyle w:val="Standard"/>
        <w:keepNext/>
        <w:spacing w:before="120" w:line="240" w:lineRule="auto"/>
        <w:ind w:firstLine="0"/>
        <w:jc w:val="center"/>
        <w:rPr>
          <w:rFonts w:cs="Arial"/>
          <w:b/>
          <w:bCs/>
        </w:rPr>
      </w:pPr>
      <w:r w:rsidRPr="002E58D8">
        <w:rPr>
          <w:rFonts w:cs="Arial"/>
          <w:b/>
          <w:bCs/>
        </w:rPr>
        <w:t xml:space="preserve">Table </w:t>
      </w:r>
      <w:r>
        <w:rPr>
          <w:rFonts w:cs="Arial"/>
          <w:b/>
          <w:bCs/>
        </w:rPr>
        <w:t>1</w:t>
      </w:r>
      <w:r w:rsidRPr="002E58D8">
        <w:rPr>
          <w:rFonts w:cs="Arial"/>
          <w:b/>
          <w:bCs/>
        </w:rPr>
        <w:t>:</w:t>
      </w:r>
    </w:p>
    <w:p w:rsidRPr="008402EC" w:rsidR="00EA4608" w:rsidP="008402EC" w:rsidRDefault="00295F81" w14:paraId="1988AA9B" w14:textId="2FAFB84A">
      <w:pPr>
        <w:pStyle w:val="Standard"/>
        <w:keepNext/>
        <w:spacing w:after="240" w:line="240" w:lineRule="auto"/>
        <w:ind w:firstLine="0"/>
        <w:jc w:val="center"/>
        <w:rPr>
          <w:rFonts w:cs="Arial"/>
          <w:b/>
          <w:bCs/>
        </w:rPr>
      </w:pPr>
      <w:r>
        <w:rPr>
          <w:b/>
          <w:bCs/>
        </w:rPr>
        <w:t>Yearly Allocation of Funds for Common Facility Cost Treatment</w:t>
      </w:r>
    </w:p>
    <w:tbl>
      <w:tblPr>
        <w:tblW w:w="9355" w:type="dxa"/>
        <w:tblLook w:val="04A0" w:firstRow="1" w:lastRow="0" w:firstColumn="1" w:lastColumn="0" w:noHBand="0" w:noVBand="1"/>
      </w:tblPr>
      <w:tblGrid>
        <w:gridCol w:w="2425"/>
        <w:gridCol w:w="4050"/>
        <w:gridCol w:w="2880"/>
      </w:tblGrid>
      <w:tr w:rsidRPr="00D36825" w:rsidR="00DC1554" w:rsidTr="00427CE2" w14:paraId="7C556495" w14:textId="77777777">
        <w:trPr>
          <w:trHeight w:val="323"/>
        </w:trPr>
        <w:tc>
          <w:tcPr>
            <w:tcW w:w="2425" w:type="dxa"/>
            <w:tcBorders>
              <w:top w:val="single" w:color="auto" w:sz="4" w:space="0"/>
              <w:left w:val="single" w:color="auto" w:sz="4" w:space="0"/>
              <w:bottom w:val="single" w:color="auto" w:sz="4" w:space="0"/>
              <w:right w:val="single" w:color="auto" w:sz="4" w:space="0"/>
            </w:tcBorders>
            <w:shd w:val="clear" w:color="auto" w:fill="auto"/>
          </w:tcPr>
          <w:bookmarkEnd w:id="64"/>
          <w:p w:rsidR="00006823" w:rsidP="00D03F62" w:rsidRDefault="004D0A9F" w14:paraId="272D934F" w14:textId="77777777">
            <w:pPr>
              <w:spacing w:line="240" w:lineRule="auto"/>
              <w:ind w:firstLine="0"/>
              <w:jc w:val="center"/>
              <w:rPr>
                <w:b/>
                <w:bCs/>
              </w:rPr>
            </w:pPr>
            <w:r w:rsidRPr="00860395">
              <w:rPr>
                <w:b/>
                <w:bCs/>
              </w:rPr>
              <w:t>Year</w:t>
            </w:r>
          </w:p>
          <w:p w:rsidRPr="00963DF5" w:rsidR="00604653" w:rsidP="00963DF5" w:rsidRDefault="00604653" w14:paraId="4F2899CA" w14:textId="467A3E12"/>
        </w:tc>
        <w:tc>
          <w:tcPr>
            <w:tcW w:w="40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006823" w:rsidP="000F1CA2" w:rsidRDefault="00006823" w14:paraId="09EC73EB" w14:textId="18F465C5">
            <w:pPr>
              <w:spacing w:line="240" w:lineRule="auto"/>
              <w:ind w:firstLine="0"/>
              <w:jc w:val="center"/>
              <w:rPr>
                <w:b/>
                <w:bCs/>
              </w:rPr>
            </w:pPr>
            <w:r w:rsidRPr="00860395">
              <w:rPr>
                <w:b/>
                <w:bCs/>
              </w:rPr>
              <w:t xml:space="preserve">Time </w:t>
            </w:r>
            <w:r w:rsidR="00427CE2">
              <w:rPr>
                <w:b/>
                <w:bCs/>
              </w:rPr>
              <w:t>P</w:t>
            </w:r>
            <w:r w:rsidRPr="00860395">
              <w:rPr>
                <w:b/>
                <w:bCs/>
              </w:rPr>
              <w:t>eriod</w:t>
            </w:r>
          </w:p>
          <w:p w:rsidR="00897861" w:rsidP="00963DF5" w:rsidRDefault="00897861" w14:paraId="4264D1BF" w14:textId="77777777">
            <w:pPr>
              <w:spacing w:line="240" w:lineRule="auto"/>
              <w:ind w:firstLine="0"/>
              <w:jc w:val="center"/>
              <w:rPr>
                <w:b/>
                <w:bCs/>
              </w:rPr>
            </w:pPr>
          </w:p>
          <w:p w:rsidR="000F1CA2" w:rsidP="00935D7D" w:rsidRDefault="000F1CA2" w14:paraId="17B2C34D" w14:textId="77777777">
            <w:pPr>
              <w:spacing w:line="240" w:lineRule="auto"/>
              <w:ind w:firstLine="0"/>
              <w:rPr>
                <w:b/>
                <w:bCs/>
              </w:rPr>
            </w:pPr>
          </w:p>
          <w:p w:rsidRPr="00860395" w:rsidR="000F1CA2" w:rsidP="00935D7D" w:rsidRDefault="000F1CA2" w14:paraId="428559F8" w14:textId="05CCCEF0">
            <w:pPr>
              <w:spacing w:line="240" w:lineRule="auto"/>
              <w:ind w:firstLine="0"/>
              <w:rPr>
                <w:b/>
                <w:bCs/>
              </w:rPr>
            </w:pPr>
          </w:p>
        </w:tc>
        <w:tc>
          <w:tcPr>
            <w:tcW w:w="2880" w:type="dxa"/>
            <w:tcBorders>
              <w:top w:val="single" w:color="auto" w:sz="4" w:space="0"/>
              <w:left w:val="nil"/>
              <w:bottom w:val="single" w:color="auto" w:sz="4" w:space="0"/>
              <w:right w:val="single" w:color="auto" w:sz="4" w:space="0"/>
            </w:tcBorders>
            <w:vAlign w:val="bottom"/>
            <w:hideMark/>
          </w:tcPr>
          <w:p w:rsidRPr="00860395" w:rsidR="00006823" w:rsidP="00963DF5" w:rsidRDefault="00006823" w14:paraId="10D95317" w14:textId="1FE4F2F2">
            <w:pPr>
              <w:spacing w:line="240" w:lineRule="auto"/>
              <w:ind w:firstLine="0"/>
              <w:jc w:val="center"/>
              <w:rPr>
                <w:b/>
                <w:bCs/>
              </w:rPr>
            </w:pPr>
            <w:r w:rsidRPr="00860395">
              <w:rPr>
                <w:b/>
                <w:bCs/>
              </w:rPr>
              <w:t xml:space="preserve">Funds </w:t>
            </w:r>
            <w:r w:rsidR="00D64AAF">
              <w:rPr>
                <w:b/>
                <w:bCs/>
              </w:rPr>
              <w:t>D</w:t>
            </w:r>
            <w:r w:rsidRPr="00860395">
              <w:rPr>
                <w:b/>
                <w:bCs/>
              </w:rPr>
              <w:t xml:space="preserve">eposited </w:t>
            </w:r>
            <w:r w:rsidR="00D64AAF">
              <w:rPr>
                <w:b/>
                <w:bCs/>
              </w:rPr>
              <w:t>I</w:t>
            </w:r>
            <w:r w:rsidRPr="00860395">
              <w:rPr>
                <w:b/>
                <w:bCs/>
              </w:rPr>
              <w:t xml:space="preserve">nto </w:t>
            </w:r>
            <w:r w:rsidR="00181667">
              <w:rPr>
                <w:b/>
                <w:bCs/>
              </w:rPr>
              <w:t xml:space="preserve">Utility </w:t>
            </w:r>
            <w:r w:rsidRPr="00860395">
              <w:rPr>
                <w:b/>
                <w:bCs/>
              </w:rPr>
              <w:t>Balancing Accounts</w:t>
            </w:r>
          </w:p>
        </w:tc>
      </w:tr>
      <w:tr w:rsidRPr="00D36825" w:rsidR="00C3418B" w:rsidTr="00EC37EB" w14:paraId="4CEF53FB" w14:textId="77777777">
        <w:trPr>
          <w:trHeight w:val="395"/>
        </w:trPr>
        <w:tc>
          <w:tcPr>
            <w:tcW w:w="2425" w:type="dxa"/>
            <w:tcBorders>
              <w:top w:val="nil"/>
              <w:left w:val="single" w:color="auto" w:sz="4" w:space="0"/>
              <w:bottom w:val="single" w:color="auto" w:sz="4" w:space="0"/>
              <w:right w:val="single" w:color="auto" w:sz="4" w:space="0"/>
            </w:tcBorders>
            <w:shd w:val="clear" w:color="auto" w:fill="auto"/>
          </w:tcPr>
          <w:p w:rsidRPr="00860395" w:rsidR="00006823" w:rsidP="00D36825" w:rsidRDefault="004D0A9F" w14:paraId="7FF74BFA" w14:textId="77777777">
            <w:pPr>
              <w:spacing w:line="240" w:lineRule="auto"/>
              <w:ind w:firstLine="0"/>
            </w:pPr>
            <w:r w:rsidRPr="00860395">
              <w:t>Year 1</w:t>
            </w:r>
          </w:p>
          <w:p w:rsidRPr="00860395" w:rsidR="00BC22D6" w:rsidP="00D36825" w:rsidRDefault="00BC22D6" w14:paraId="62EDA523" w14:textId="62517019">
            <w:pPr>
              <w:spacing w:line="240" w:lineRule="auto"/>
              <w:ind w:firstLine="0"/>
            </w:pPr>
            <w:r w:rsidRPr="00860395">
              <w:t>(</w:t>
            </w:r>
            <w:r w:rsidR="00F43692">
              <w:t>Partial</w:t>
            </w:r>
            <w:r w:rsidRPr="00860395">
              <w:t xml:space="preserve"> </w:t>
            </w:r>
            <w:r w:rsidR="00F43692">
              <w:t>Y</w:t>
            </w:r>
            <w:r w:rsidRPr="00860395">
              <w:t>ear)</w:t>
            </w:r>
          </w:p>
        </w:tc>
        <w:tc>
          <w:tcPr>
            <w:tcW w:w="4050" w:type="dxa"/>
            <w:tcBorders>
              <w:top w:val="nil"/>
              <w:left w:val="single" w:color="auto" w:sz="4" w:space="0"/>
              <w:bottom w:val="single" w:color="auto" w:sz="4" w:space="0"/>
              <w:right w:val="single" w:color="auto" w:sz="4" w:space="0"/>
            </w:tcBorders>
            <w:shd w:val="clear" w:color="auto" w:fill="auto"/>
            <w:vAlign w:val="bottom"/>
            <w:hideMark/>
          </w:tcPr>
          <w:p w:rsidRPr="00860395" w:rsidR="00006823" w:rsidP="00D36825" w:rsidRDefault="00034C63" w14:paraId="7300900D" w14:textId="0C901FC2">
            <w:pPr>
              <w:spacing w:line="240" w:lineRule="auto"/>
              <w:ind w:firstLine="0"/>
            </w:pPr>
            <w:r>
              <w:t>October 1, 2025</w:t>
            </w:r>
            <w:r w:rsidRPr="00860395" w:rsidR="00006823">
              <w:t xml:space="preserve"> - June 30, 2026</w:t>
            </w:r>
          </w:p>
        </w:tc>
        <w:tc>
          <w:tcPr>
            <w:tcW w:w="2880" w:type="dxa"/>
            <w:tcBorders>
              <w:top w:val="nil"/>
              <w:left w:val="nil"/>
              <w:bottom w:val="single" w:color="auto" w:sz="4" w:space="0"/>
              <w:right w:val="single" w:color="auto" w:sz="4" w:space="0"/>
            </w:tcBorders>
            <w:noWrap/>
            <w:vAlign w:val="bottom"/>
            <w:hideMark/>
          </w:tcPr>
          <w:p w:rsidRPr="00860395" w:rsidR="00006823" w:rsidP="00D36825" w:rsidRDefault="00006823" w14:paraId="77A34086" w14:textId="694661A5">
            <w:pPr>
              <w:spacing w:line="240" w:lineRule="auto"/>
              <w:ind w:firstLine="0"/>
            </w:pPr>
            <w:r w:rsidRPr="00860395">
              <w:t>$5 million</w:t>
            </w:r>
          </w:p>
        </w:tc>
      </w:tr>
      <w:tr w:rsidRPr="00D36825" w:rsidR="00C3418B" w:rsidTr="00EC37EB" w14:paraId="26231B79" w14:textId="77777777">
        <w:trPr>
          <w:trHeight w:val="300"/>
        </w:trPr>
        <w:tc>
          <w:tcPr>
            <w:tcW w:w="2425" w:type="dxa"/>
            <w:tcBorders>
              <w:top w:val="nil"/>
              <w:left w:val="single" w:color="auto" w:sz="4" w:space="0"/>
              <w:bottom w:val="single" w:color="auto" w:sz="4" w:space="0"/>
              <w:right w:val="single" w:color="auto" w:sz="4" w:space="0"/>
            </w:tcBorders>
            <w:shd w:val="clear" w:color="auto" w:fill="auto"/>
          </w:tcPr>
          <w:p w:rsidRPr="00860395" w:rsidR="00006823" w:rsidP="00D36825" w:rsidRDefault="004D0A9F" w14:paraId="3B7BD82B" w14:textId="704F68D2">
            <w:pPr>
              <w:spacing w:line="240" w:lineRule="auto"/>
              <w:ind w:firstLine="0"/>
            </w:pPr>
            <w:r w:rsidRPr="00860395">
              <w:t>Year 2</w:t>
            </w:r>
          </w:p>
        </w:tc>
        <w:tc>
          <w:tcPr>
            <w:tcW w:w="4050" w:type="dxa"/>
            <w:tcBorders>
              <w:top w:val="nil"/>
              <w:left w:val="single" w:color="auto" w:sz="4" w:space="0"/>
              <w:bottom w:val="single" w:color="auto" w:sz="4" w:space="0"/>
              <w:right w:val="single" w:color="auto" w:sz="4" w:space="0"/>
            </w:tcBorders>
            <w:shd w:val="clear" w:color="auto" w:fill="auto"/>
            <w:noWrap/>
            <w:vAlign w:val="bottom"/>
            <w:hideMark/>
          </w:tcPr>
          <w:p w:rsidRPr="00860395" w:rsidR="00006823" w:rsidP="00D36825" w:rsidRDefault="00006823" w14:paraId="1475B567" w14:textId="30AFB67A">
            <w:pPr>
              <w:spacing w:line="240" w:lineRule="auto"/>
              <w:ind w:firstLine="0"/>
            </w:pPr>
            <w:r w:rsidRPr="00860395">
              <w:t>Jul</w:t>
            </w:r>
            <w:r w:rsidR="009E3C98">
              <w:t>y</w:t>
            </w:r>
            <w:r w:rsidRPr="00860395">
              <w:t xml:space="preserve"> 1, 2026</w:t>
            </w:r>
            <w:r w:rsidR="009A5DD9">
              <w:t xml:space="preserve"> </w:t>
            </w:r>
            <w:r w:rsidRPr="00860395">
              <w:t>- June 30, 2027</w:t>
            </w:r>
          </w:p>
        </w:tc>
        <w:tc>
          <w:tcPr>
            <w:tcW w:w="2880" w:type="dxa"/>
            <w:tcBorders>
              <w:top w:val="nil"/>
              <w:left w:val="nil"/>
              <w:bottom w:val="single" w:color="auto" w:sz="4" w:space="0"/>
              <w:right w:val="single" w:color="auto" w:sz="4" w:space="0"/>
            </w:tcBorders>
            <w:noWrap/>
            <w:vAlign w:val="bottom"/>
            <w:hideMark/>
          </w:tcPr>
          <w:p w:rsidRPr="00860395" w:rsidR="00006823" w:rsidP="00D36825" w:rsidRDefault="00006823" w14:paraId="02BCF582" w14:textId="4C1CECBA">
            <w:pPr>
              <w:spacing w:line="240" w:lineRule="auto"/>
              <w:ind w:firstLine="0"/>
            </w:pPr>
            <w:r w:rsidRPr="00860395">
              <w:t>$5 million</w:t>
            </w:r>
          </w:p>
        </w:tc>
      </w:tr>
      <w:tr w:rsidRPr="00D36825" w:rsidR="00C3418B" w:rsidTr="00EC37EB" w14:paraId="5C73ABAA" w14:textId="77777777">
        <w:trPr>
          <w:trHeight w:val="300"/>
        </w:trPr>
        <w:tc>
          <w:tcPr>
            <w:tcW w:w="2425" w:type="dxa"/>
            <w:tcBorders>
              <w:top w:val="nil"/>
              <w:left w:val="single" w:color="auto" w:sz="4" w:space="0"/>
              <w:bottom w:val="single" w:color="auto" w:sz="4" w:space="0"/>
              <w:right w:val="single" w:color="auto" w:sz="4" w:space="0"/>
            </w:tcBorders>
            <w:shd w:val="clear" w:color="auto" w:fill="auto"/>
          </w:tcPr>
          <w:p w:rsidRPr="00860395" w:rsidR="00006823" w:rsidP="00D36825" w:rsidRDefault="004D0A9F" w14:paraId="675EB322" w14:textId="15930259">
            <w:pPr>
              <w:spacing w:line="240" w:lineRule="auto"/>
              <w:ind w:firstLine="0"/>
            </w:pPr>
            <w:r w:rsidRPr="00860395">
              <w:t>Year 3</w:t>
            </w:r>
          </w:p>
        </w:tc>
        <w:tc>
          <w:tcPr>
            <w:tcW w:w="4050" w:type="dxa"/>
            <w:tcBorders>
              <w:top w:val="nil"/>
              <w:left w:val="single" w:color="auto" w:sz="4" w:space="0"/>
              <w:bottom w:val="single" w:color="auto" w:sz="4" w:space="0"/>
              <w:right w:val="single" w:color="auto" w:sz="4" w:space="0"/>
            </w:tcBorders>
            <w:shd w:val="clear" w:color="auto" w:fill="auto"/>
            <w:noWrap/>
            <w:vAlign w:val="bottom"/>
            <w:hideMark/>
          </w:tcPr>
          <w:p w:rsidRPr="00860395" w:rsidR="00006823" w:rsidP="00D36825" w:rsidRDefault="00006823" w14:paraId="2BE1C0FC" w14:textId="20780DC6">
            <w:pPr>
              <w:spacing w:line="240" w:lineRule="auto"/>
              <w:ind w:firstLine="0"/>
            </w:pPr>
            <w:r w:rsidRPr="00860395">
              <w:t>Jul</w:t>
            </w:r>
            <w:r w:rsidR="009E3C98">
              <w:t>y</w:t>
            </w:r>
            <w:r w:rsidRPr="00860395">
              <w:t xml:space="preserve"> 1, 2027</w:t>
            </w:r>
            <w:r w:rsidR="009A5DD9">
              <w:t xml:space="preserve"> </w:t>
            </w:r>
            <w:r w:rsidRPr="00860395">
              <w:t>- June 30, 2028</w:t>
            </w:r>
          </w:p>
        </w:tc>
        <w:tc>
          <w:tcPr>
            <w:tcW w:w="2880" w:type="dxa"/>
            <w:tcBorders>
              <w:top w:val="nil"/>
              <w:left w:val="nil"/>
              <w:bottom w:val="single" w:color="auto" w:sz="4" w:space="0"/>
              <w:right w:val="single" w:color="auto" w:sz="4" w:space="0"/>
            </w:tcBorders>
            <w:noWrap/>
            <w:vAlign w:val="bottom"/>
            <w:hideMark/>
          </w:tcPr>
          <w:p w:rsidRPr="00860395" w:rsidR="00006823" w:rsidP="00D36825" w:rsidRDefault="00006823" w14:paraId="0EB54DBB" w14:textId="0CB28A18">
            <w:pPr>
              <w:spacing w:line="240" w:lineRule="auto"/>
              <w:ind w:firstLine="0"/>
            </w:pPr>
            <w:r w:rsidRPr="00860395">
              <w:t>$5 million</w:t>
            </w:r>
          </w:p>
        </w:tc>
      </w:tr>
      <w:tr w:rsidRPr="00D36825" w:rsidR="00C3418B" w:rsidTr="00EC37EB" w14:paraId="57888D67" w14:textId="77777777">
        <w:trPr>
          <w:trHeight w:val="300"/>
        </w:trPr>
        <w:tc>
          <w:tcPr>
            <w:tcW w:w="2425" w:type="dxa"/>
            <w:tcBorders>
              <w:top w:val="nil"/>
              <w:left w:val="single" w:color="auto" w:sz="4" w:space="0"/>
              <w:bottom w:val="single" w:color="auto" w:sz="4" w:space="0"/>
              <w:right w:val="single" w:color="auto" w:sz="4" w:space="0"/>
            </w:tcBorders>
            <w:shd w:val="clear" w:color="auto" w:fill="auto"/>
          </w:tcPr>
          <w:p w:rsidRPr="00860395" w:rsidR="00006823" w:rsidP="00D36825" w:rsidRDefault="004D0A9F" w14:paraId="405479ED" w14:textId="477B52E0">
            <w:pPr>
              <w:spacing w:line="240" w:lineRule="auto"/>
              <w:ind w:firstLine="0"/>
            </w:pPr>
            <w:r w:rsidRPr="00860395">
              <w:lastRenderedPageBreak/>
              <w:t>Year 4</w:t>
            </w:r>
            <w:r w:rsidRPr="00860395" w:rsidR="00BF2F68">
              <w:br/>
              <w:t>(Evaluation Year)</w:t>
            </w:r>
          </w:p>
        </w:tc>
        <w:tc>
          <w:tcPr>
            <w:tcW w:w="4050" w:type="dxa"/>
            <w:tcBorders>
              <w:top w:val="nil"/>
              <w:left w:val="single" w:color="auto" w:sz="4" w:space="0"/>
              <w:bottom w:val="single" w:color="auto" w:sz="4" w:space="0"/>
              <w:right w:val="single" w:color="auto" w:sz="4" w:space="0"/>
            </w:tcBorders>
            <w:shd w:val="clear" w:color="auto" w:fill="auto"/>
            <w:noWrap/>
            <w:vAlign w:val="bottom"/>
            <w:hideMark/>
          </w:tcPr>
          <w:p w:rsidRPr="00860395" w:rsidR="00006823" w:rsidP="00D36825" w:rsidRDefault="00006823" w14:paraId="5C8D8374" w14:textId="29E60EAF">
            <w:pPr>
              <w:spacing w:line="240" w:lineRule="auto"/>
              <w:ind w:firstLine="0"/>
            </w:pPr>
            <w:r w:rsidRPr="00860395">
              <w:t>Jul</w:t>
            </w:r>
            <w:r w:rsidR="009E3C98">
              <w:t>y</w:t>
            </w:r>
            <w:r w:rsidRPr="00860395">
              <w:t xml:space="preserve"> 1, 2028</w:t>
            </w:r>
            <w:r w:rsidR="009A5DD9">
              <w:t xml:space="preserve"> </w:t>
            </w:r>
            <w:r w:rsidRPr="00860395">
              <w:t>- June 30, 2029</w:t>
            </w:r>
          </w:p>
        </w:tc>
        <w:tc>
          <w:tcPr>
            <w:tcW w:w="2880" w:type="dxa"/>
            <w:tcBorders>
              <w:top w:val="nil"/>
              <w:left w:val="nil"/>
              <w:bottom w:val="single" w:color="auto" w:sz="4" w:space="0"/>
              <w:right w:val="single" w:color="auto" w:sz="4" w:space="0"/>
            </w:tcBorders>
            <w:noWrap/>
            <w:vAlign w:val="bottom"/>
            <w:hideMark/>
          </w:tcPr>
          <w:p w:rsidRPr="00860395" w:rsidR="00006823" w:rsidP="00D36825" w:rsidRDefault="00006823" w14:paraId="3BF8EC28" w14:textId="18E26B24">
            <w:pPr>
              <w:spacing w:line="240" w:lineRule="auto"/>
              <w:ind w:firstLine="0"/>
            </w:pPr>
            <w:r w:rsidRPr="00860395">
              <w:t>$5 million</w:t>
            </w:r>
            <w:r w:rsidRPr="00860395" w:rsidR="00A039CF">
              <w:t xml:space="preserve"> </w:t>
            </w:r>
          </w:p>
        </w:tc>
      </w:tr>
    </w:tbl>
    <w:p w:rsidR="00EB4769" w:rsidP="00BF2D51" w:rsidRDefault="00EB4769" w14:paraId="278C007B" w14:textId="77777777">
      <w:pPr>
        <w:pStyle w:val="Standard"/>
      </w:pPr>
    </w:p>
    <w:p w:rsidR="00E12569" w:rsidP="00541D01" w:rsidRDefault="004E74B9" w14:paraId="45A3390A" w14:textId="211B0FC9">
      <w:pPr>
        <w:pStyle w:val="Standard"/>
      </w:pPr>
      <w:r>
        <w:t xml:space="preserve">The record </w:t>
      </w:r>
      <w:r w:rsidR="00134EA1">
        <w:t xml:space="preserve">supports </w:t>
      </w:r>
      <w:r w:rsidR="007C1A21">
        <w:t>a need for customer</w:t>
      </w:r>
      <w:r w:rsidR="00134EA1">
        <w:t xml:space="preserve"> </w:t>
      </w:r>
      <w:r>
        <w:t>cost relief</w:t>
      </w:r>
      <w:r w:rsidR="00017F0E">
        <w:t>,</w:t>
      </w:r>
      <w:r w:rsidRPr="009D1072" w:rsidR="00E74A13">
        <w:t xml:space="preserve"> </w:t>
      </w:r>
      <w:r w:rsidR="00937D9B">
        <w:t xml:space="preserve">as to a </w:t>
      </w:r>
      <w:r w:rsidR="007C1A21">
        <w:t>subset of</w:t>
      </w:r>
      <w:r w:rsidRPr="009D1072" w:rsidR="00E74A13">
        <w:t xml:space="preserve"> customers who may</w:t>
      </w:r>
      <w:r w:rsidR="00937D9B">
        <w:t xml:space="preserve"> not be able to achieve electrification without assistance</w:t>
      </w:r>
      <w:r w:rsidRPr="009D1072" w:rsidR="00E74A13">
        <w:t xml:space="preserve">. </w:t>
      </w:r>
      <w:r w:rsidR="00E12569">
        <w:t>Given the current affordability crisis</w:t>
      </w:r>
      <w:r w:rsidR="00EE697C">
        <w:t xml:space="preserve"> and need to assess actual savings that result from </w:t>
      </w:r>
      <w:r w:rsidR="00507780">
        <w:t>the</w:t>
      </w:r>
      <w:r w:rsidR="00EE697C">
        <w:t xml:space="preserve"> elimination</w:t>
      </w:r>
      <w:r w:rsidR="00507780">
        <w:t xml:space="preserve"> of gas line extension subsidies and </w:t>
      </w:r>
      <w:r w:rsidR="00626CCD">
        <w:t>mixed-fuel electric line extension subsidies</w:t>
      </w:r>
      <w:r w:rsidR="00D96240">
        <w:t>,</w:t>
      </w:r>
      <w:r w:rsidR="00541D01">
        <w:t xml:space="preserve"> </w:t>
      </w:r>
      <w:r w:rsidRPr="009D1072" w:rsidR="00E12569">
        <w:t xml:space="preserve">we find it </w:t>
      </w:r>
      <w:r w:rsidR="00E12569">
        <w:t>necessary</w:t>
      </w:r>
      <w:r w:rsidRPr="009D1072" w:rsidR="00E12569">
        <w:t xml:space="preserve"> </w:t>
      </w:r>
      <w:r w:rsidR="00541D01">
        <w:t>to limit</w:t>
      </w:r>
      <w:r w:rsidRPr="009D1072" w:rsidR="00E12569">
        <w:t xml:space="preserve"> the</w:t>
      </w:r>
      <w:r w:rsidR="00E12569">
        <w:t xml:space="preserve"> funding for this </w:t>
      </w:r>
      <w:r w:rsidR="00134EA1">
        <w:t xml:space="preserve">initial </w:t>
      </w:r>
      <w:r w:rsidR="00E12569">
        <w:t>program.</w:t>
      </w:r>
    </w:p>
    <w:p w:rsidR="00F1345C" w:rsidP="003A75E8" w:rsidRDefault="00504795" w14:paraId="3EA60599" w14:textId="238A4216">
      <w:pPr>
        <w:pStyle w:val="Standard"/>
      </w:pPr>
      <w:r>
        <w:t xml:space="preserve">Electric </w:t>
      </w:r>
      <w:r w:rsidR="00017F0E">
        <w:t xml:space="preserve">Tariff </w:t>
      </w:r>
      <w:r>
        <w:t>Rule 16</w:t>
      </w:r>
      <w:r w:rsidR="00017F0E">
        <w:t xml:space="preserve"> defines</w:t>
      </w:r>
      <w:r w:rsidR="00DB08C7">
        <w:t xml:space="preserve"> “service facilities</w:t>
      </w:r>
      <w:r w:rsidR="00AA0BC4">
        <w:t xml:space="preserve">” </w:t>
      </w:r>
      <w:r w:rsidR="00017F0E">
        <w:t>as</w:t>
      </w:r>
      <w:r w:rsidR="00DB08C7">
        <w:t xml:space="preserve"> (a) primary or</w:t>
      </w:r>
      <w:r w:rsidR="00E04337">
        <w:t xml:space="preserve"> </w:t>
      </w:r>
      <w:r w:rsidR="00DB08C7">
        <w:t>secondary underground or overhead service conductors, (b) poles to support</w:t>
      </w:r>
      <w:r w:rsidR="00BA7DD9">
        <w:t xml:space="preserve"> </w:t>
      </w:r>
      <w:r w:rsidR="00DB08C7">
        <w:t xml:space="preserve">overhead service conductors, (c) service transformers, (d) </w:t>
      </w:r>
      <w:r w:rsidR="00BA7DD9">
        <w:t>utility</w:t>
      </w:r>
      <w:r w:rsidR="00DB08C7">
        <w:t>-owned metering</w:t>
      </w:r>
      <w:r w:rsidR="00BA7DD9">
        <w:t xml:space="preserve"> </w:t>
      </w:r>
      <w:r w:rsidR="00DB08C7">
        <w:t xml:space="preserve">equipment, and (e) other </w:t>
      </w:r>
      <w:r w:rsidR="00BA7DD9">
        <w:t>utility</w:t>
      </w:r>
      <w:r w:rsidR="00DB08C7">
        <w:t xml:space="preserve">-owned </w:t>
      </w:r>
      <w:r w:rsidR="00BE5A0D">
        <w:t>service-related</w:t>
      </w:r>
      <w:r w:rsidR="00DB08C7">
        <w:t xml:space="preserve"> equipment.</w:t>
      </w:r>
      <w:r w:rsidR="003A75E8">
        <w:t xml:space="preserve"> </w:t>
      </w:r>
      <w:r w:rsidR="0043465E">
        <w:t>Common facility cost treatment shall apply to utility-owned service facilities</w:t>
      </w:r>
      <w:r w:rsidR="00017F0E">
        <w:t>, consistent with that definition</w:t>
      </w:r>
      <w:r w:rsidR="0043465E">
        <w:t xml:space="preserve">. </w:t>
      </w:r>
      <w:r w:rsidR="00017F0E">
        <w:t>A</w:t>
      </w:r>
      <w:r w:rsidR="00F1345C">
        <w:t xml:space="preserve">ny </w:t>
      </w:r>
      <w:r w:rsidR="00F93E0F">
        <w:t xml:space="preserve">costs for </w:t>
      </w:r>
      <w:r w:rsidR="00F1345C">
        <w:t xml:space="preserve">upsizing </w:t>
      </w:r>
      <w:r w:rsidR="00F93E0F">
        <w:t>electric service</w:t>
      </w:r>
      <w:r w:rsidR="004056D7">
        <w:t xml:space="preserve"> facilities</w:t>
      </w:r>
      <w:r w:rsidR="00F1345C">
        <w:t xml:space="preserve"> for building electrification</w:t>
      </w:r>
      <w:r w:rsidR="00AF75F7">
        <w:t xml:space="preserve"> in excess of the </w:t>
      </w:r>
      <w:r w:rsidRPr="008508CB" w:rsidR="00EC1CB7">
        <w:t xml:space="preserve">existing </w:t>
      </w:r>
      <w:r w:rsidRPr="008508CB" w:rsidR="00AF75F7">
        <w:t>allowance</w:t>
      </w:r>
      <w:r w:rsidR="00CC009F">
        <w:t xml:space="preserve"> would be treated as </w:t>
      </w:r>
      <w:r w:rsidR="008355F8">
        <w:t>common facility costs.</w:t>
      </w:r>
    </w:p>
    <w:p w:rsidR="0051502C" w:rsidP="003D6CEA" w:rsidRDefault="0051502C" w14:paraId="4FC1F971" w14:textId="34B9ACDA">
      <w:pPr>
        <w:pStyle w:val="Standard"/>
      </w:pPr>
      <w:r>
        <w:t xml:space="preserve">For purposes of this decision, we </w:t>
      </w:r>
      <w:r w:rsidR="0090645F">
        <w:t>defer to</w:t>
      </w:r>
      <w:r>
        <w:t xml:space="preserve"> E</w:t>
      </w:r>
      <w:r w:rsidR="00267613">
        <w:t xml:space="preserve">lectric </w:t>
      </w:r>
      <w:r>
        <w:t xml:space="preserve">Tariff </w:t>
      </w:r>
      <w:r w:rsidR="00DA77FB">
        <w:t>Rule 1</w:t>
      </w:r>
      <w:r w:rsidR="006E6C9B">
        <w:t xml:space="preserve"> </w:t>
      </w:r>
      <w:r w:rsidR="0090645F">
        <w:t xml:space="preserve">for the </w:t>
      </w:r>
      <w:r w:rsidRPr="006E6C9B" w:rsidR="006E6C9B">
        <w:t>definition of “small business</w:t>
      </w:r>
      <w:r w:rsidR="00D803D1">
        <w:t>”</w:t>
      </w:r>
      <w:r w:rsidR="003516A2">
        <w:t xml:space="preserve">: (1) </w:t>
      </w:r>
      <w:r w:rsidR="008C6715">
        <w:t>businesses</w:t>
      </w:r>
      <w:r w:rsidR="00EE5439">
        <w:t xml:space="preserve"> with 25 or fewer employees and allow</w:t>
      </w:r>
      <w:r w:rsidR="00AD2291">
        <w:t>s self-attestation</w:t>
      </w:r>
      <w:r w:rsidR="00725349">
        <w:t xml:space="preserve">, </w:t>
      </w:r>
      <w:r w:rsidR="003516A2">
        <w:t xml:space="preserve">and (2) </w:t>
      </w:r>
      <w:r w:rsidR="008C6715">
        <w:t>n</w:t>
      </w:r>
      <w:r w:rsidR="00BC06E6">
        <w:t>on</w:t>
      </w:r>
      <w:r w:rsidR="008C6715">
        <w:t>-</w:t>
      </w:r>
      <w:r w:rsidR="00BC06E6">
        <w:t>residential metered service customer</w:t>
      </w:r>
      <w:r w:rsidR="00B87871">
        <w:t>s</w:t>
      </w:r>
      <w:r w:rsidR="006508E7">
        <w:t xml:space="preserve"> </w:t>
      </w:r>
      <w:r w:rsidR="008508CB">
        <w:t>that either</w:t>
      </w:r>
      <w:r w:rsidR="009B2E3A">
        <w:t xml:space="preserve"> </w:t>
      </w:r>
      <w:r w:rsidR="006508E7">
        <w:t>(</w:t>
      </w:r>
      <w:r w:rsidR="003516A2">
        <w:t>a</w:t>
      </w:r>
      <w:r w:rsidRPr="00A9236A" w:rsidR="00A9236A">
        <w:t xml:space="preserve">) </w:t>
      </w:r>
      <w:r w:rsidR="009B2E3A">
        <w:t>ha</w:t>
      </w:r>
      <w:r w:rsidR="00B87871">
        <w:t>ve</w:t>
      </w:r>
      <w:r w:rsidR="009B2E3A">
        <w:t xml:space="preserve"> an</w:t>
      </w:r>
      <w:r w:rsidRPr="00A9236A" w:rsidR="00A9236A">
        <w:t xml:space="preserve"> annual </w:t>
      </w:r>
      <w:r w:rsidR="00DB0EB4">
        <w:t xml:space="preserve">electricity </w:t>
      </w:r>
      <w:r w:rsidRPr="00A9236A" w:rsidR="00A9236A">
        <w:t xml:space="preserve">usage </w:t>
      </w:r>
      <w:r w:rsidR="0022767F">
        <w:t>equal to or less than</w:t>
      </w:r>
      <w:r w:rsidRPr="00A9236A" w:rsidR="00A9236A">
        <w:t xml:space="preserve"> 40,000</w:t>
      </w:r>
      <w:r w:rsidR="0099039E">
        <w:t xml:space="preserve"> kilowatt-hours (</w:t>
      </w:r>
      <w:r w:rsidRPr="00A9236A" w:rsidR="00A9236A">
        <w:t>kWh</w:t>
      </w:r>
      <w:r w:rsidR="0099039E">
        <w:t>)</w:t>
      </w:r>
      <w:r w:rsidR="009B2E3A">
        <w:t>,</w:t>
      </w:r>
      <w:r w:rsidRPr="00A9236A" w:rsidR="00A9236A">
        <w:t xml:space="preserve"> or </w:t>
      </w:r>
      <w:r w:rsidR="009C0270">
        <w:t xml:space="preserve">whose </w:t>
      </w:r>
      <w:r w:rsidRPr="00A9236A" w:rsidR="00A9236A">
        <w:t>demand</w:t>
      </w:r>
      <w:r w:rsidR="00267613">
        <w:t xml:space="preserve"> is</w:t>
      </w:r>
      <w:r w:rsidRPr="00A9236A" w:rsidDel="00267613" w:rsidR="00A9236A">
        <w:t xml:space="preserve"> </w:t>
      </w:r>
      <w:r w:rsidR="0022767F">
        <w:t>equal to or less than</w:t>
      </w:r>
      <w:r w:rsidRPr="00A9236A" w:rsidR="00A9236A">
        <w:t xml:space="preserve"> 20kW</w:t>
      </w:r>
      <w:r w:rsidR="009B2E3A">
        <w:t>,</w:t>
      </w:r>
      <w:r w:rsidRPr="00A9236A" w:rsidR="00A9236A">
        <w:t xml:space="preserve"> or </w:t>
      </w:r>
      <w:r w:rsidR="006508E7">
        <w:t>(</w:t>
      </w:r>
      <w:r w:rsidR="003516A2">
        <w:t>b</w:t>
      </w:r>
      <w:r w:rsidRPr="00A9236A" w:rsidR="00A9236A">
        <w:t xml:space="preserve">) </w:t>
      </w:r>
      <w:r w:rsidR="00B87871">
        <w:t>are</w:t>
      </w:r>
      <w:r w:rsidR="000C47FD">
        <w:t xml:space="preserve"> a</w:t>
      </w:r>
      <w:r w:rsidR="000D63B3">
        <w:t xml:space="preserve"> s</w:t>
      </w:r>
      <w:r w:rsidRPr="00A9236A" w:rsidR="00A9236A">
        <w:t>elf-certified “Microbusiness</w:t>
      </w:r>
      <w:r w:rsidR="00456B6E">
        <w:t>”</w:t>
      </w:r>
      <w:r w:rsidRPr="00A9236A" w:rsidR="00A9236A">
        <w:t xml:space="preserve"> as per C</w:t>
      </w:r>
      <w:r w:rsidR="001F1E5A">
        <w:t>alifornia</w:t>
      </w:r>
      <w:r w:rsidRPr="00A9236A" w:rsidR="00A9236A">
        <w:t xml:space="preserve"> Gov</w:t>
      </w:r>
      <w:r w:rsidR="001F1E5A">
        <w:t>ernment</w:t>
      </w:r>
      <w:r w:rsidRPr="00A9236A" w:rsidR="00A9236A">
        <w:t xml:space="preserve"> Code</w:t>
      </w:r>
      <w:r w:rsidR="00CE0A2C">
        <w:t xml:space="preserve"> Section </w:t>
      </w:r>
      <w:r w:rsidRPr="00A9236A" w:rsidR="00CE0A2C">
        <w:lastRenderedPageBreak/>
        <w:t>14837(d)(2)</w:t>
      </w:r>
      <w:r w:rsidR="00B6260E">
        <w:t>,</w:t>
      </w:r>
      <w:r w:rsidR="00A9236A">
        <w:rPr>
          <w:rStyle w:val="FootnoteReference"/>
        </w:rPr>
        <w:footnoteReference w:id="24"/>
      </w:r>
      <w:r w:rsidR="00003518">
        <w:t xml:space="preserve"> </w:t>
      </w:r>
      <w:r w:rsidR="00134EA1">
        <w:t xml:space="preserve">including any </w:t>
      </w:r>
      <w:r w:rsidR="003516A2">
        <w:t>amend</w:t>
      </w:r>
      <w:r w:rsidR="00134EA1">
        <w:t>ments</w:t>
      </w:r>
      <w:r w:rsidR="003516A2">
        <w:t xml:space="preserve"> </w:t>
      </w:r>
      <w:r w:rsidR="00B6260E">
        <w:t xml:space="preserve">to that Government Code section </w:t>
      </w:r>
      <w:r w:rsidR="003516A2">
        <w:t>adopt</w:t>
      </w:r>
      <w:r w:rsidR="00134EA1">
        <w:t>ed</w:t>
      </w:r>
      <w:r w:rsidR="003516A2">
        <w:t xml:space="preserve"> </w:t>
      </w:r>
      <w:r w:rsidR="00134EA1">
        <w:t>after</w:t>
      </w:r>
      <w:r w:rsidR="003516A2">
        <w:t xml:space="preserve"> </w:t>
      </w:r>
      <w:r w:rsidR="00B6260E">
        <w:t xml:space="preserve">the issuance of </w:t>
      </w:r>
      <w:r w:rsidR="003516A2">
        <w:t>this decision</w:t>
      </w:r>
      <w:r w:rsidRPr="008079DF" w:rsidR="008079DF">
        <w:t>.</w:t>
      </w:r>
      <w:r w:rsidR="00CD1675">
        <w:t xml:space="preserve"> </w:t>
      </w:r>
    </w:p>
    <w:p w:rsidR="00086429" w:rsidP="003D6CEA" w:rsidRDefault="00086429" w14:paraId="5FF7868B" w14:textId="6469F3FC">
      <w:pPr>
        <w:pStyle w:val="Standard"/>
      </w:pPr>
      <w:r>
        <w:t>For purposes of this decision, we define a multi</w:t>
      </w:r>
      <w:r w:rsidR="00840B4F">
        <w:t>-</w:t>
      </w:r>
      <w:r>
        <w:t>family property as any property with two or more dwelling units.</w:t>
      </w:r>
    </w:p>
    <w:p w:rsidR="001835DF" w:rsidP="00854EED" w:rsidRDefault="00856021" w14:paraId="590090D7" w14:textId="0ADF8B07">
      <w:pPr>
        <w:pStyle w:val="Standard"/>
      </w:pPr>
      <w:r>
        <w:t>To qualify for</w:t>
      </w:r>
      <w:r w:rsidR="7AD968B1">
        <w:t xml:space="preserve"> </w:t>
      </w:r>
      <w:r w:rsidRPr="00F85B92" w:rsidR="5BE080E7">
        <w:t>common facility cost treatment</w:t>
      </w:r>
      <w:r>
        <w:t xml:space="preserve">, an </w:t>
      </w:r>
      <w:r w:rsidRPr="00F85B92" w:rsidR="5BE080E7">
        <w:t xml:space="preserve">under-resourced </w:t>
      </w:r>
      <w:r w:rsidR="00DF1FA5">
        <w:t>single</w:t>
      </w:r>
      <w:r w:rsidR="003641EB">
        <w:t>-</w:t>
      </w:r>
      <w:r w:rsidR="00DF1FA5">
        <w:t>family</w:t>
      </w:r>
      <w:r w:rsidR="0051502C">
        <w:t>’s</w:t>
      </w:r>
      <w:r w:rsidRPr="00F85B92" w:rsidR="00DF1FA5">
        <w:t xml:space="preserve"> </w:t>
      </w:r>
      <w:r w:rsidRPr="00F85B92" w:rsidR="5BE080E7">
        <w:t>and small business customer</w:t>
      </w:r>
      <w:r w:rsidR="003641EB">
        <w:t>’</w:t>
      </w:r>
      <w:r w:rsidRPr="00F85B92" w:rsidR="5BE080E7">
        <w:t xml:space="preserve">s existing service capacity </w:t>
      </w:r>
      <w:r w:rsidR="003E73DA">
        <w:t xml:space="preserve">must be </w:t>
      </w:r>
      <w:r w:rsidR="5BE080E7">
        <w:t>below</w:t>
      </w:r>
      <w:r w:rsidRPr="00F85B92" w:rsidR="5BE080E7">
        <w:t xml:space="preserve"> 100</w:t>
      </w:r>
      <w:r w:rsidR="00CD6569">
        <w:t> </w:t>
      </w:r>
      <w:r w:rsidR="001B1C52">
        <w:t>amps</w:t>
      </w:r>
      <w:r w:rsidR="5BE080E7">
        <w:t xml:space="preserve">, </w:t>
      </w:r>
      <w:r w:rsidR="00BD257E">
        <w:t>and</w:t>
      </w:r>
      <w:r w:rsidR="5BE080E7">
        <w:t xml:space="preserve"> the </w:t>
      </w:r>
      <w:r w:rsidRPr="00F85B92" w:rsidR="5BE080E7">
        <w:t>upsized line</w:t>
      </w:r>
      <w:r w:rsidR="01EEBFA9">
        <w:t xml:space="preserve"> shall not</w:t>
      </w:r>
      <w:r w:rsidR="02C1529D">
        <w:t xml:space="preserve"> </w:t>
      </w:r>
      <w:r w:rsidR="5BE080E7">
        <w:t>exceed</w:t>
      </w:r>
      <w:r w:rsidRPr="00F85B92" w:rsidR="5BE080E7">
        <w:t xml:space="preserve"> 200 </w:t>
      </w:r>
      <w:r w:rsidR="00467070">
        <w:t>amp</w:t>
      </w:r>
      <w:r w:rsidRPr="00F85B92" w:rsidR="5BE080E7">
        <w:t>s</w:t>
      </w:r>
      <w:r w:rsidR="00993756">
        <w:t xml:space="preserve">. </w:t>
      </w:r>
      <w:r w:rsidR="00C01C13">
        <w:t>Similarly,</w:t>
      </w:r>
      <w:r w:rsidR="0067304D">
        <w:t xml:space="preserve"> to qualify for </w:t>
      </w:r>
      <w:r w:rsidRPr="00F85B92" w:rsidR="0067304D">
        <w:t>common facility cost treatment</w:t>
      </w:r>
      <w:r w:rsidR="0067304D">
        <w:t>,</w:t>
      </w:r>
      <w:r w:rsidR="00C01C13">
        <w:t xml:space="preserve"> a</w:t>
      </w:r>
      <w:r w:rsidR="00993756">
        <w:t xml:space="preserve"> multi</w:t>
      </w:r>
      <w:r w:rsidR="00D15D5A">
        <w:t>-</w:t>
      </w:r>
      <w:r w:rsidR="00993756">
        <w:t>family property</w:t>
      </w:r>
      <w:r w:rsidR="007642BB">
        <w:t xml:space="preserve">’s </w:t>
      </w:r>
      <w:r w:rsidR="00107C41">
        <w:t xml:space="preserve">existing electric </w:t>
      </w:r>
      <w:r w:rsidR="007642BB">
        <w:t>service line</w:t>
      </w:r>
      <w:r w:rsidR="0072518E">
        <w:t>(s)</w:t>
      </w:r>
      <w:r w:rsidR="00993756">
        <w:t xml:space="preserve"> </w:t>
      </w:r>
      <w:r w:rsidR="00C01C13">
        <w:t>must</w:t>
      </w:r>
      <w:r w:rsidR="00BA244A">
        <w:t xml:space="preserve"> be </w:t>
      </w:r>
      <w:r w:rsidR="007642BB">
        <w:t>less than</w:t>
      </w:r>
      <w:r w:rsidR="00F21B77">
        <w:t xml:space="preserve"> 100 amp</w:t>
      </w:r>
      <w:r w:rsidR="00D15D5A">
        <w:t>s</w:t>
      </w:r>
      <w:r w:rsidR="00134EA1">
        <w:t xml:space="preserve"> per </w:t>
      </w:r>
      <w:r w:rsidR="00CB3F14">
        <w:t xml:space="preserve">dwelling </w:t>
      </w:r>
      <w:r w:rsidR="00134EA1">
        <w:t>unit</w:t>
      </w:r>
      <w:r w:rsidR="00F21B77">
        <w:t xml:space="preserve">, </w:t>
      </w:r>
      <w:r w:rsidR="00134EA1">
        <w:t xml:space="preserve">and </w:t>
      </w:r>
      <w:r w:rsidR="0067304D">
        <w:t xml:space="preserve">the </w:t>
      </w:r>
      <w:r w:rsidRPr="00F85B92" w:rsidR="0067304D">
        <w:t>upsized line</w:t>
      </w:r>
      <w:r w:rsidR="0067304D">
        <w:t xml:space="preserve"> shall not exceed </w:t>
      </w:r>
      <w:r w:rsidR="00E86D3B">
        <w:t>200 amp</w:t>
      </w:r>
      <w:r w:rsidR="00D15D5A">
        <w:t>s</w:t>
      </w:r>
      <w:r w:rsidR="00134EA1">
        <w:t xml:space="preserve"> per </w:t>
      </w:r>
      <w:r w:rsidR="00B403A0">
        <w:t xml:space="preserve">dwelling </w:t>
      </w:r>
      <w:r w:rsidR="00134EA1">
        <w:t>unit</w:t>
      </w:r>
      <w:r w:rsidR="00E86D3B">
        <w:t>.</w:t>
      </w:r>
      <w:r w:rsidR="00F21B77">
        <w:t xml:space="preserve"> </w:t>
      </w:r>
      <w:r w:rsidR="00993756">
        <w:t xml:space="preserve"> </w:t>
      </w:r>
    </w:p>
    <w:p w:rsidR="00326F9D" w:rsidP="00854EED" w:rsidRDefault="009C201A" w14:paraId="4BE26C0F" w14:textId="6C306B1B">
      <w:pPr>
        <w:pStyle w:val="Standard"/>
      </w:pPr>
      <w:r>
        <w:t>To be eligible for</w:t>
      </w:r>
      <w:r w:rsidR="00F230A3">
        <w:t xml:space="preserve"> common facility cost treatment</w:t>
      </w:r>
      <w:r w:rsidR="00407C3E">
        <w:t>,</w:t>
      </w:r>
      <w:r>
        <w:t xml:space="preserve"> a customer must comply with </w:t>
      </w:r>
      <w:r w:rsidR="003D6CEA">
        <w:t xml:space="preserve">both of </w:t>
      </w:r>
      <w:r>
        <w:t xml:space="preserve">the following eligibility measures, which are consistent with the </w:t>
      </w:r>
      <w:r w:rsidR="00FD3788">
        <w:t xml:space="preserve">required measures </w:t>
      </w:r>
      <w:r w:rsidR="006C35A6">
        <w:t xml:space="preserve">adopted </w:t>
      </w:r>
      <w:r w:rsidR="00DB413F">
        <w:t>for</w:t>
      </w:r>
      <w:r w:rsidR="006C35A6">
        <w:t xml:space="preserve"> </w:t>
      </w:r>
      <w:r w:rsidR="00A91F96">
        <w:t>the</w:t>
      </w:r>
      <w:r w:rsidR="00AB19FA">
        <w:t xml:space="preserve"> California Energy Commission’s</w:t>
      </w:r>
      <w:r w:rsidR="00A91F96">
        <w:t xml:space="preserve"> </w:t>
      </w:r>
      <w:r w:rsidR="00AB19FA">
        <w:t>(</w:t>
      </w:r>
      <w:r>
        <w:t>CEC</w:t>
      </w:r>
      <w:r w:rsidR="00AB19FA">
        <w:t>)</w:t>
      </w:r>
      <w:r>
        <w:t xml:space="preserve"> Equitable Building Decarbonization </w:t>
      </w:r>
      <w:r w:rsidR="0063656E">
        <w:t xml:space="preserve">(EBD) </w:t>
      </w:r>
      <w:r>
        <w:t>Program Guidelines</w:t>
      </w:r>
      <w:r w:rsidR="00F230A3">
        <w:t>:</w:t>
      </w:r>
      <w:r>
        <w:rPr>
          <w:rStyle w:val="FootnoteReference"/>
        </w:rPr>
        <w:footnoteReference w:id="25"/>
      </w:r>
      <w:r>
        <w:t xml:space="preserve"> </w:t>
      </w:r>
    </w:p>
    <w:p w:rsidR="007D5686" w:rsidP="007D5686" w:rsidRDefault="004B47EB" w14:paraId="10A2339D" w14:textId="0E5C2928">
      <w:pPr>
        <w:pStyle w:val="ListNum"/>
      </w:pPr>
      <w:r>
        <w:t>Replace existing gas-fired</w:t>
      </w:r>
      <w:r w:rsidR="00F44B26">
        <w:t xml:space="preserve"> </w:t>
      </w:r>
      <w:r>
        <w:t xml:space="preserve">heating equipment </w:t>
      </w:r>
      <w:r w:rsidR="000A635C">
        <w:t>(i.e.</w:t>
      </w:r>
      <w:r w:rsidR="0076272C">
        <w:t>,</w:t>
      </w:r>
      <w:r w:rsidR="000A635C">
        <w:t xml:space="preserve"> </w:t>
      </w:r>
      <w:r w:rsidRPr="00F44B26" w:rsidR="00F44B26">
        <w:t>equipment fueled by natural gas, propane, or another fossil fuel</w:t>
      </w:r>
      <w:r w:rsidR="00F855C1">
        <w:t>)</w:t>
      </w:r>
      <w:r>
        <w:t xml:space="preserve"> with a heat pump for space heating and cooling, or replace an existing gas-fired water heater with a heat pump water heater</w:t>
      </w:r>
      <w:r w:rsidR="002F5D84">
        <w:t>; and</w:t>
      </w:r>
    </w:p>
    <w:p w:rsidR="00585ABB" w:rsidP="008402EC" w:rsidRDefault="004B47EB" w14:paraId="5F294B46" w14:textId="5A7A750D">
      <w:pPr>
        <w:pStyle w:val="ListNum"/>
      </w:pPr>
      <w:r>
        <w:t>At the conclusion of the retrofit, at least two of the following four end uses in the building must be electric: space heating, water heating, cooking, and clothes drying. Full building electrification is encouraged but not required.</w:t>
      </w:r>
    </w:p>
    <w:p w:rsidR="000A19A8" w:rsidP="00854EED" w:rsidRDefault="00D10F35" w14:paraId="7F79E459" w14:textId="088062C3">
      <w:pPr>
        <w:pStyle w:val="Standard"/>
      </w:pPr>
      <w:r w:rsidRPr="00261EAD">
        <w:rPr>
          <w:szCs w:val="26"/>
        </w:rPr>
        <w:lastRenderedPageBreak/>
        <w:t>Th</w:t>
      </w:r>
      <w:r>
        <w:rPr>
          <w:szCs w:val="26"/>
        </w:rPr>
        <w:t xml:space="preserve">is decision does not adopt a </w:t>
      </w:r>
      <w:r w:rsidRPr="00261EAD">
        <w:rPr>
          <w:szCs w:val="26"/>
        </w:rPr>
        <w:t>definition of “under-resourced</w:t>
      </w:r>
      <w:r w:rsidR="00522C0C">
        <w:rPr>
          <w:szCs w:val="26"/>
        </w:rPr>
        <w:t>.</w:t>
      </w:r>
      <w:r w:rsidRPr="00261EAD">
        <w:rPr>
          <w:szCs w:val="26"/>
        </w:rPr>
        <w:t>”</w:t>
      </w:r>
      <w:r>
        <w:rPr>
          <w:szCs w:val="26"/>
        </w:rPr>
        <w:t xml:space="preserve"> </w:t>
      </w:r>
      <w:r w:rsidR="000D099A">
        <w:rPr>
          <w:szCs w:val="26"/>
        </w:rPr>
        <w:t>I</w:t>
      </w:r>
      <w:r>
        <w:rPr>
          <w:szCs w:val="26"/>
        </w:rPr>
        <w:t>nstead</w:t>
      </w:r>
      <w:r w:rsidR="00522C0C">
        <w:rPr>
          <w:szCs w:val="26"/>
        </w:rPr>
        <w:t>,</w:t>
      </w:r>
      <w:r w:rsidRPr="00261EAD">
        <w:rPr>
          <w:szCs w:val="26"/>
        </w:rPr>
        <w:t xml:space="preserve"> </w:t>
      </w:r>
      <w:r w:rsidR="000D099A">
        <w:rPr>
          <w:szCs w:val="26"/>
        </w:rPr>
        <w:t>it</w:t>
      </w:r>
      <w:r w:rsidR="0051502C">
        <w:rPr>
          <w:szCs w:val="26"/>
        </w:rPr>
        <w:t xml:space="preserve"> </w:t>
      </w:r>
      <w:r>
        <w:rPr>
          <w:szCs w:val="26"/>
        </w:rPr>
        <w:t xml:space="preserve">accepts </w:t>
      </w:r>
      <w:r w:rsidRPr="00261EAD">
        <w:rPr>
          <w:szCs w:val="26"/>
        </w:rPr>
        <w:t xml:space="preserve">the </w:t>
      </w:r>
      <w:r>
        <w:rPr>
          <w:szCs w:val="26"/>
        </w:rPr>
        <w:t xml:space="preserve">need-based </w:t>
      </w:r>
      <w:r w:rsidRPr="00261EAD">
        <w:rPr>
          <w:szCs w:val="26"/>
        </w:rPr>
        <w:t xml:space="preserve">eligibility criteria </w:t>
      </w:r>
      <w:r>
        <w:rPr>
          <w:szCs w:val="26"/>
        </w:rPr>
        <w:t xml:space="preserve">established by </w:t>
      </w:r>
      <w:r w:rsidRPr="00261EAD">
        <w:rPr>
          <w:szCs w:val="26"/>
        </w:rPr>
        <w:t xml:space="preserve">the </w:t>
      </w:r>
      <w:r w:rsidR="00C46163">
        <w:rPr>
          <w:szCs w:val="26"/>
        </w:rPr>
        <w:t xml:space="preserve">applicable </w:t>
      </w:r>
      <w:r w:rsidRPr="00261EAD">
        <w:rPr>
          <w:szCs w:val="26"/>
        </w:rPr>
        <w:t>program</w:t>
      </w:r>
      <w:r w:rsidR="00A577A1">
        <w:rPr>
          <w:szCs w:val="26"/>
        </w:rPr>
        <w:t>(s)</w:t>
      </w:r>
      <w:r w:rsidRPr="00261EAD">
        <w:rPr>
          <w:szCs w:val="26"/>
        </w:rPr>
        <w:t xml:space="preserve"> through which the customer </w:t>
      </w:r>
      <w:r>
        <w:rPr>
          <w:szCs w:val="26"/>
        </w:rPr>
        <w:t>will</w:t>
      </w:r>
      <w:r w:rsidRPr="00261EAD">
        <w:rPr>
          <w:szCs w:val="26"/>
        </w:rPr>
        <w:t xml:space="preserve"> receiv</w:t>
      </w:r>
      <w:r>
        <w:rPr>
          <w:szCs w:val="26"/>
        </w:rPr>
        <w:t>e</w:t>
      </w:r>
      <w:r w:rsidRPr="00261EAD">
        <w:rPr>
          <w:szCs w:val="26"/>
        </w:rPr>
        <w:t xml:space="preserve"> incentives </w:t>
      </w:r>
      <w:r>
        <w:rPr>
          <w:szCs w:val="26"/>
        </w:rPr>
        <w:t>towards</w:t>
      </w:r>
      <w:r w:rsidRPr="00261EAD">
        <w:rPr>
          <w:szCs w:val="26"/>
        </w:rPr>
        <w:t xml:space="preserve"> electrification</w:t>
      </w:r>
      <w:r>
        <w:rPr>
          <w:szCs w:val="26"/>
        </w:rPr>
        <w:t xml:space="preserve"> measures</w:t>
      </w:r>
      <w:r w:rsidR="009E4EDF">
        <w:rPr>
          <w:szCs w:val="26"/>
        </w:rPr>
        <w:t xml:space="preserve">, </w:t>
      </w:r>
      <w:r w:rsidR="009C201A">
        <w:t>consistent with the eligibility criteria set forth above</w:t>
      </w:r>
      <w:r w:rsidR="4510F80F">
        <w:t>.</w:t>
      </w:r>
      <w:r w:rsidR="2C606115">
        <w:t xml:space="preserve"> </w:t>
      </w:r>
      <w:r w:rsidR="00812901">
        <w:t>In this context</w:t>
      </w:r>
      <w:r w:rsidR="0051502C">
        <w:t>,</w:t>
      </w:r>
      <w:r w:rsidR="00812901">
        <w:t xml:space="preserve"> we </w:t>
      </w:r>
      <w:r w:rsidR="00E631FA">
        <w:t>define</w:t>
      </w:r>
      <w:r w:rsidR="00812901">
        <w:t xml:space="preserve"> a “</w:t>
      </w:r>
      <w:r w:rsidR="00B55D4A">
        <w:t>P</w:t>
      </w:r>
      <w:r w:rsidR="00812901">
        <w:t>rogram</w:t>
      </w:r>
      <w:r w:rsidR="00291A14">
        <w:t xml:space="preserve">” to mean any </w:t>
      </w:r>
      <w:r w:rsidR="000C5C5C">
        <w:t xml:space="preserve">collective </w:t>
      </w:r>
      <w:r w:rsidR="00D6459B">
        <w:t>public service</w:t>
      </w:r>
      <w:r w:rsidR="00B35DBA">
        <w:t xml:space="preserve"> </w:t>
      </w:r>
      <w:r w:rsidR="00BB5EB5">
        <w:t>initiative</w:t>
      </w:r>
      <w:r w:rsidR="00B35DBA">
        <w:t xml:space="preserve"> includ</w:t>
      </w:r>
      <w:r w:rsidR="00CF2C85">
        <w:t>ing</w:t>
      </w:r>
      <w:r w:rsidR="002A1BCB">
        <w:t xml:space="preserve"> but not limited to</w:t>
      </w:r>
      <w:r w:rsidR="00B35DBA">
        <w:t xml:space="preserve"> those </w:t>
      </w:r>
      <w:r w:rsidR="007E6EEE">
        <w:t xml:space="preserve">overseen, managed, or </w:t>
      </w:r>
      <w:r w:rsidR="00B35DBA">
        <w:t xml:space="preserve">led </w:t>
      </w:r>
      <w:r w:rsidR="00585482">
        <w:t xml:space="preserve">by </w:t>
      </w:r>
      <w:r w:rsidR="00CF2C85">
        <w:t xml:space="preserve">utilities, </w:t>
      </w:r>
      <w:r w:rsidR="007E6EEE">
        <w:t>Community Choice Aggregators</w:t>
      </w:r>
      <w:r w:rsidR="001E200F">
        <w:t xml:space="preserve"> (CCAs)</w:t>
      </w:r>
      <w:r w:rsidR="007E6EEE">
        <w:t xml:space="preserve">, </w:t>
      </w:r>
      <w:r w:rsidR="00585482">
        <w:t xml:space="preserve">local governments, </w:t>
      </w:r>
      <w:r w:rsidR="007E6EEE">
        <w:t>R</w:t>
      </w:r>
      <w:r w:rsidR="00585482">
        <w:t xml:space="preserve">egional </w:t>
      </w:r>
      <w:r w:rsidR="007E6EEE">
        <w:t>E</w:t>
      </w:r>
      <w:r w:rsidR="00585482">
        <w:t xml:space="preserve">nergy </w:t>
      </w:r>
      <w:r w:rsidR="007E6EEE">
        <w:t>Networks</w:t>
      </w:r>
      <w:r w:rsidR="00C53ABD">
        <w:t xml:space="preserve"> (RENs)</w:t>
      </w:r>
      <w:r w:rsidR="007E6EEE">
        <w:t xml:space="preserve">, state </w:t>
      </w:r>
      <w:r w:rsidR="000F56DF">
        <w:t>or</w:t>
      </w:r>
      <w:r w:rsidR="007E6EEE">
        <w:t xml:space="preserve"> federal agencies, non-profit</w:t>
      </w:r>
      <w:r w:rsidR="007E2754">
        <w:t xml:space="preserve"> organizations, or community-based organizations</w:t>
      </w:r>
      <w:r w:rsidR="00B65EC7">
        <w:t>,</w:t>
      </w:r>
      <w:r w:rsidR="000F56DF">
        <w:t xml:space="preserve"> with the </w:t>
      </w:r>
      <w:r w:rsidR="00720E42">
        <w:t xml:space="preserve">general purpose of making a positive impact towards </w:t>
      </w:r>
      <w:r w:rsidR="00BB7E6F">
        <w:t xml:space="preserve">reducing </w:t>
      </w:r>
      <w:r w:rsidR="005122CA">
        <w:t>GHG</w:t>
      </w:r>
      <w:r w:rsidR="00226FF0">
        <w:t xml:space="preserve"> emissions </w:t>
      </w:r>
      <w:r w:rsidR="007A0D09">
        <w:t>from</w:t>
      </w:r>
      <w:r w:rsidR="00720E42">
        <w:t xml:space="preserve"> building energy use. </w:t>
      </w:r>
      <w:r w:rsidR="00416EA9">
        <w:t>These include but are not limited to</w:t>
      </w:r>
      <w:r w:rsidR="0072596A">
        <w:t xml:space="preserve"> </w:t>
      </w:r>
      <w:r w:rsidR="00956ECA">
        <w:t>initiatives</w:t>
      </w:r>
      <w:r w:rsidR="00664890">
        <w:t xml:space="preserve"> </w:t>
      </w:r>
      <w:r w:rsidR="00902970">
        <w:t>support</w:t>
      </w:r>
      <w:r w:rsidR="00BF2D51">
        <w:t>ing</w:t>
      </w:r>
      <w:r w:rsidR="00A74422">
        <w:t xml:space="preserve"> </w:t>
      </w:r>
      <w:r w:rsidR="0072596A">
        <w:t>building electrification</w:t>
      </w:r>
      <w:r w:rsidR="00D05DD9">
        <w:t xml:space="preserve"> or fuel substitution</w:t>
      </w:r>
      <w:r w:rsidR="00216726">
        <w:t xml:space="preserve">. </w:t>
      </w:r>
      <w:r w:rsidR="000A19A8">
        <w:t>G</w:t>
      </w:r>
      <w:r w:rsidRPr="000A19A8" w:rsidR="000A19A8">
        <w:t>as efficiency programs</w:t>
      </w:r>
      <w:r w:rsidR="00FC0CA7">
        <w:t>, however,</w:t>
      </w:r>
      <w:r w:rsidRPr="000A19A8" w:rsidR="000A19A8">
        <w:t xml:space="preserve"> do not qualify as a</w:t>
      </w:r>
      <w:r w:rsidR="000A19A8">
        <w:t>n eligible</w:t>
      </w:r>
      <w:r w:rsidRPr="000A19A8" w:rsidR="000A19A8">
        <w:t xml:space="preserve"> </w:t>
      </w:r>
      <w:r w:rsidR="00B55D4A">
        <w:t>P</w:t>
      </w:r>
      <w:r w:rsidRPr="000A19A8" w:rsidR="000A19A8">
        <w:t>rogram</w:t>
      </w:r>
      <w:r w:rsidR="000A19A8">
        <w:t xml:space="preserve"> </w:t>
      </w:r>
      <w:r w:rsidR="00326141">
        <w:t xml:space="preserve">and therefore fall outside of </w:t>
      </w:r>
      <w:r w:rsidR="000A19A8">
        <w:t>this definition</w:t>
      </w:r>
      <w:r w:rsidRPr="000A19A8" w:rsidR="000A19A8">
        <w:t>.</w:t>
      </w:r>
    </w:p>
    <w:p w:rsidR="001824BC" w:rsidP="00854EED" w:rsidRDefault="000B0D4D" w14:paraId="25AEF56D" w14:textId="44F2E990">
      <w:pPr>
        <w:pStyle w:val="Standard"/>
      </w:pPr>
      <w:r w:rsidRPr="000B0D4D">
        <w:t>Where applicable, the program administrator shall be responsible for income verification</w:t>
      </w:r>
      <w:r w:rsidR="74253071">
        <w:t xml:space="preserve">. </w:t>
      </w:r>
      <w:r w:rsidR="4AAB42B9">
        <w:t xml:space="preserve">The </w:t>
      </w:r>
      <w:r w:rsidR="00FE6807">
        <w:t>participating</w:t>
      </w:r>
      <w:r w:rsidR="00532886">
        <w:t xml:space="preserve"> </w:t>
      </w:r>
      <w:r w:rsidR="17A7AF56">
        <w:t xml:space="preserve">electric utilities </w:t>
      </w:r>
      <w:r w:rsidR="38B32072">
        <w:t>are</w:t>
      </w:r>
      <w:r w:rsidR="71287994">
        <w:t xml:space="preserve"> </w:t>
      </w:r>
      <w:r w:rsidR="55AE7963">
        <w:t xml:space="preserve">not required to collect </w:t>
      </w:r>
      <w:r w:rsidR="17A7AF56">
        <w:t xml:space="preserve">new </w:t>
      </w:r>
      <w:r w:rsidR="55AE7963">
        <w:t>proof of income</w:t>
      </w:r>
      <w:r w:rsidR="00FC0CA7">
        <w:t>; instead, t</w:t>
      </w:r>
      <w:r w:rsidR="00865D50">
        <w:t xml:space="preserve">he </w:t>
      </w:r>
      <w:r w:rsidR="55AE7963">
        <w:t>customer</w:t>
      </w:r>
      <w:r w:rsidR="5FB798DC">
        <w:t xml:space="preserve"> </w:t>
      </w:r>
      <w:r w:rsidR="0051502C">
        <w:t>must</w:t>
      </w:r>
      <w:r w:rsidR="00865D50">
        <w:t xml:space="preserve"> provide information </w:t>
      </w:r>
      <w:r w:rsidR="418EEF87">
        <w:t>during the application process</w:t>
      </w:r>
      <w:r w:rsidR="60E498C2">
        <w:t xml:space="preserve">, </w:t>
      </w:r>
      <w:r w:rsidR="00865D50">
        <w:t xml:space="preserve">as to </w:t>
      </w:r>
      <w:r w:rsidR="55AE7963">
        <w:t>whether the</w:t>
      </w:r>
      <w:r w:rsidR="60E498C2">
        <w:t xml:space="preserve"> customer </w:t>
      </w:r>
      <w:r w:rsidR="00AA5E5C">
        <w:t>is</w:t>
      </w:r>
      <w:r w:rsidR="60E498C2">
        <w:t xml:space="preserve"> </w:t>
      </w:r>
      <w:r w:rsidR="55AE7963">
        <w:t xml:space="preserve">part </w:t>
      </w:r>
      <w:r w:rsidR="3DD82C4E">
        <w:t>of a</w:t>
      </w:r>
      <w:r w:rsidR="4F5201D0">
        <w:t xml:space="preserve">n income-based </w:t>
      </w:r>
      <w:r w:rsidR="3DD82C4E">
        <w:t>program, the name of the program</w:t>
      </w:r>
      <w:r w:rsidR="29F2BF9D">
        <w:t xml:space="preserve">, </w:t>
      </w:r>
      <w:r w:rsidR="00865D50">
        <w:t xml:space="preserve">and </w:t>
      </w:r>
      <w:r w:rsidR="455BFCCF">
        <w:t xml:space="preserve">the year in which </w:t>
      </w:r>
      <w:r w:rsidR="0C746C01">
        <w:t>the customer enrolled in the program</w:t>
      </w:r>
      <w:r w:rsidR="27BB4B80">
        <w:t xml:space="preserve">. </w:t>
      </w:r>
    </w:p>
    <w:p w:rsidR="00642BEB" w:rsidP="001824BC" w:rsidRDefault="0D44012B" w14:paraId="49ECA43C" w14:textId="66F5B8AB">
      <w:pPr>
        <w:pStyle w:val="Standard"/>
      </w:pPr>
      <w:r>
        <w:t xml:space="preserve">The </w:t>
      </w:r>
      <w:r w:rsidR="00FE6807">
        <w:t>participating</w:t>
      </w:r>
      <w:r w:rsidR="00532886">
        <w:t xml:space="preserve"> </w:t>
      </w:r>
      <w:r>
        <w:t xml:space="preserve">electric utilities </w:t>
      </w:r>
      <w:r w:rsidR="5F13BF22">
        <w:t xml:space="preserve">shall also collect and report information on </w:t>
      </w:r>
      <w:r w:rsidR="3E03ED23">
        <w:t>the added loads trigger</w:t>
      </w:r>
      <w:r w:rsidR="00BF2D51">
        <w:t>ing</w:t>
      </w:r>
      <w:r w:rsidR="3E03ED23">
        <w:t xml:space="preserve"> service upsizing, the existing </w:t>
      </w:r>
      <w:r w:rsidRPr="008508CB" w:rsidR="3E03ED23">
        <w:t xml:space="preserve">service and </w:t>
      </w:r>
      <w:r w:rsidRPr="008508CB" w:rsidR="00620388">
        <w:t xml:space="preserve">main electrical </w:t>
      </w:r>
      <w:r w:rsidRPr="008508CB" w:rsidR="3E03ED23">
        <w:t xml:space="preserve">panel size, and the installed service and </w:t>
      </w:r>
      <w:r w:rsidRPr="008508CB" w:rsidR="00C03650">
        <w:t xml:space="preserve">main electrical </w:t>
      </w:r>
      <w:r w:rsidRPr="008508CB" w:rsidR="3E03ED23">
        <w:t>panel siz</w:t>
      </w:r>
      <w:r w:rsidR="3E03ED23">
        <w:t>e</w:t>
      </w:r>
      <w:r w:rsidR="60E498C2">
        <w:t xml:space="preserve">. </w:t>
      </w:r>
      <w:r w:rsidR="491AC354">
        <w:t xml:space="preserve">The </w:t>
      </w:r>
      <w:r w:rsidR="00FE6807">
        <w:t xml:space="preserve">participating </w:t>
      </w:r>
      <w:r w:rsidR="491AC354">
        <w:t xml:space="preserve">electric utilities shall </w:t>
      </w:r>
      <w:r w:rsidR="754375AB">
        <w:t>refer to</w:t>
      </w:r>
      <w:r w:rsidR="20441FA2">
        <w:t xml:space="preserve"> Appendix</w:t>
      </w:r>
      <w:r w:rsidR="754375AB">
        <w:t xml:space="preserve"> A for the full list of </w:t>
      </w:r>
      <w:r w:rsidR="00AA5E5C">
        <w:t>requirements and</w:t>
      </w:r>
      <w:r w:rsidR="60E498C2">
        <w:t xml:space="preserve"> shall</w:t>
      </w:r>
      <w:r w:rsidR="29F2BF9D">
        <w:t xml:space="preserve"> include this information </w:t>
      </w:r>
      <w:r w:rsidR="157B98FE">
        <w:t xml:space="preserve">as </w:t>
      </w:r>
      <w:r w:rsidR="17C37E4E">
        <w:t>part of the annual reporting required under Resolution E-5105</w:t>
      </w:r>
      <w:r w:rsidR="3DD82C4E">
        <w:t>.</w:t>
      </w:r>
      <w:r w:rsidR="4221A00C">
        <w:t xml:space="preserve"> All information required under Resolution E</w:t>
      </w:r>
      <w:r w:rsidR="00CD6569">
        <w:noBreakHyphen/>
      </w:r>
      <w:r w:rsidR="4221A00C">
        <w:t>5105, including the new requirements</w:t>
      </w:r>
      <w:r w:rsidR="3A193320">
        <w:t xml:space="preserve"> </w:t>
      </w:r>
      <w:r w:rsidR="005927EC">
        <w:t xml:space="preserve">detailed </w:t>
      </w:r>
      <w:r w:rsidR="3A193320">
        <w:t>in Appendix A</w:t>
      </w:r>
      <w:r w:rsidR="4221A00C">
        <w:t xml:space="preserve">, shall be </w:t>
      </w:r>
      <w:r w:rsidR="4221A00C">
        <w:lastRenderedPageBreak/>
        <w:t xml:space="preserve">submitted as a Tier 1 </w:t>
      </w:r>
      <w:r w:rsidR="61CA5571">
        <w:t>Advice Letter</w:t>
      </w:r>
      <w:r w:rsidR="7DC1E93C">
        <w:t xml:space="preserve"> </w:t>
      </w:r>
      <w:r w:rsidR="10BE07AB">
        <w:t xml:space="preserve">in accordance with </w:t>
      </w:r>
      <w:r w:rsidR="39E0A655">
        <w:t xml:space="preserve">the </w:t>
      </w:r>
      <w:r w:rsidR="10BE07AB">
        <w:t xml:space="preserve">revised reporting </w:t>
      </w:r>
      <w:r w:rsidR="39E0A655">
        <w:t>timelines established in</w:t>
      </w:r>
      <w:r w:rsidR="10BE07AB">
        <w:t xml:space="preserve"> </w:t>
      </w:r>
      <w:r w:rsidRPr="00B55D4A" w:rsidR="10BE07AB">
        <w:t>Section 7.</w:t>
      </w:r>
      <w:r w:rsidR="009D48AD">
        <w:t>2</w:t>
      </w:r>
      <w:r w:rsidR="10BE07AB">
        <w:t xml:space="preserve"> of this decision.</w:t>
      </w:r>
      <w:r w:rsidR="39E0A655">
        <w:t xml:space="preserve"> </w:t>
      </w:r>
      <w:r w:rsidRPr="004950DD" w:rsidR="004950DD">
        <w:t xml:space="preserve">Utilities shall report information listed and required by Appendix A for all customers replacing an existing </w:t>
      </w:r>
      <w:r w:rsidR="0090492D">
        <w:t>or</w:t>
      </w:r>
      <w:r w:rsidR="004B210E">
        <w:t xml:space="preserve"> </w:t>
      </w:r>
      <w:r w:rsidR="00F21E4B">
        <w:t xml:space="preserve">installing a </w:t>
      </w:r>
      <w:r w:rsidR="00A43B6B">
        <w:t xml:space="preserve">new </w:t>
      </w:r>
      <w:r w:rsidRPr="004950DD" w:rsidR="004950DD">
        <w:t>service line</w:t>
      </w:r>
      <w:r w:rsidR="009F2F06">
        <w:t>, regardless of whether they received common facility cost treatment</w:t>
      </w:r>
      <w:r w:rsidR="000F6460">
        <w:t xml:space="preserve"> subsidy</w:t>
      </w:r>
      <w:r w:rsidRPr="004950DD" w:rsidR="004950DD">
        <w:t>.</w:t>
      </w:r>
      <w:r w:rsidDel="00F56525" w:rsidR="00F56525">
        <w:rPr>
          <w:rStyle w:val="FootnoteReference"/>
        </w:rPr>
        <w:t xml:space="preserve"> </w:t>
      </w:r>
    </w:p>
    <w:p w:rsidR="00B7393B" w:rsidP="008402EC" w:rsidRDefault="006D1228" w14:paraId="0E2A4778" w14:textId="50B60522">
      <w:pPr>
        <w:pStyle w:val="Standard"/>
      </w:pPr>
      <w:r>
        <w:t>The Commission affirms</w:t>
      </w:r>
      <w:r w:rsidR="00035671">
        <w:t xml:space="preserve"> </w:t>
      </w:r>
      <w:r w:rsidR="000C0A81">
        <w:t xml:space="preserve">that in cases where service lines exist and are currently serving customers, service upsizing should be avoided unless necessary and </w:t>
      </w:r>
      <w:r w:rsidR="00394B1F">
        <w:t xml:space="preserve">only if </w:t>
      </w:r>
      <w:r w:rsidR="000C0A81">
        <w:t>other reasonable options (</w:t>
      </w:r>
      <w:r w:rsidR="00A15D7B">
        <w:t>e.g.</w:t>
      </w:r>
      <w:r w:rsidR="009B60A3">
        <w:t>,</w:t>
      </w:r>
      <w:r w:rsidR="000C0A81">
        <w:t xml:space="preserve"> panel optimization solutions) have been exhausted. </w:t>
      </w:r>
      <w:r w:rsidR="00A21211">
        <w:t>T</w:t>
      </w:r>
      <w:r w:rsidDel="00E637A2" w:rsidR="000E055E">
        <w:t>he</w:t>
      </w:r>
      <w:r w:rsidR="000E055E">
        <w:t xml:space="preserve"> utility</w:t>
      </w:r>
      <w:r w:rsidR="00DC1863">
        <w:t>, through its application submittal process,</w:t>
      </w:r>
      <w:r w:rsidR="000E055E">
        <w:t xml:space="preserve"> must </w:t>
      </w:r>
      <w:r w:rsidR="00B7393B">
        <w:t>track the end use(s) (</w:t>
      </w:r>
      <w:r w:rsidR="00895319">
        <w:t xml:space="preserve">e.g., </w:t>
      </w:r>
      <w:r w:rsidR="00B7393B">
        <w:t>electrification, solar panel installation, etc.) triggering the need for the service line upsizing.</w:t>
      </w:r>
    </w:p>
    <w:p w:rsidR="003D0D9A" w:rsidP="001D63C9" w:rsidRDefault="001824BC" w14:paraId="32FA49F0" w14:textId="3F84083F">
      <w:pPr>
        <w:pStyle w:val="Standard"/>
      </w:pPr>
      <w:bookmarkStart w:name="_Hlk191953032" w:id="65"/>
      <w:r>
        <w:t>This decision</w:t>
      </w:r>
      <w:r w:rsidR="000725C5">
        <w:t xml:space="preserve"> extend</w:t>
      </w:r>
      <w:r>
        <w:t>s</w:t>
      </w:r>
      <w:r w:rsidR="000725C5">
        <w:t xml:space="preserve"> common facility cost treatment to s</w:t>
      </w:r>
      <w:r w:rsidR="23DAA912">
        <w:t>ingle-</w:t>
      </w:r>
      <w:r w:rsidR="12EC9F0B">
        <w:t xml:space="preserve">family </w:t>
      </w:r>
      <w:r w:rsidR="00C54017">
        <w:t xml:space="preserve">and small business </w:t>
      </w:r>
      <w:r w:rsidR="3F20A99D">
        <w:t>projects u</w:t>
      </w:r>
      <w:r w:rsidR="1A2345AC">
        <w:t>p to</w:t>
      </w:r>
      <w:r w:rsidR="3F20A99D">
        <w:t xml:space="preserve"> a </w:t>
      </w:r>
      <w:r w:rsidR="0479A874">
        <w:t xml:space="preserve">per </w:t>
      </w:r>
      <w:r w:rsidR="3F20A99D">
        <w:t xml:space="preserve">project cap of </w:t>
      </w:r>
      <w:r w:rsidR="1A2345AC">
        <w:t>$</w:t>
      </w:r>
      <w:r w:rsidR="6CD94127">
        <w:t>10</w:t>
      </w:r>
      <w:r w:rsidR="1A2345AC">
        <w:t>,000</w:t>
      </w:r>
      <w:r w:rsidR="60D826D3">
        <w:t xml:space="preserve"> </w:t>
      </w:r>
      <w:r w:rsidR="000725C5">
        <w:t>above</w:t>
      </w:r>
      <w:r w:rsidR="006911CF">
        <w:t xml:space="preserve"> the existing allowan</w:t>
      </w:r>
      <w:r w:rsidR="007C620E">
        <w:t>ce</w:t>
      </w:r>
      <w:r w:rsidR="000725C5">
        <w:t>,</w:t>
      </w:r>
      <w:r w:rsidR="007C620E">
        <w:t xml:space="preserve"> </w:t>
      </w:r>
      <w:r w:rsidR="60D826D3">
        <w:t xml:space="preserve">to </w:t>
      </w:r>
      <w:r w:rsidR="000725C5">
        <w:t>maximize</w:t>
      </w:r>
      <w:r w:rsidRPr="008508CB" w:rsidR="000725C5">
        <w:t xml:space="preserve"> </w:t>
      </w:r>
      <w:r w:rsidR="000725C5">
        <w:t xml:space="preserve">the </w:t>
      </w:r>
      <w:r w:rsidRPr="008508CB" w:rsidR="00D45E52">
        <w:t xml:space="preserve">number of customers </w:t>
      </w:r>
      <w:r w:rsidR="000725C5">
        <w:t xml:space="preserve">able to benefit from the </w:t>
      </w:r>
      <w:r w:rsidRPr="008508CB" w:rsidR="40960463">
        <w:t>limited funding</w:t>
      </w:r>
      <w:r w:rsidRPr="008508CB" w:rsidR="1A2345AC">
        <w:t>.</w:t>
      </w:r>
      <w:r>
        <w:t xml:space="preserve"> </w:t>
      </w:r>
      <w:r w:rsidRPr="00DC1863" w:rsidR="00DC1863">
        <w:t>The customer</w:t>
      </w:r>
      <w:r>
        <w:t>s must</w:t>
      </w:r>
      <w:r w:rsidRPr="00DC1863" w:rsidR="00DC1863">
        <w:t xml:space="preserve"> bear any</w:t>
      </w:r>
      <w:r w:rsidRPr="008508CB" w:rsidR="009439DB">
        <w:t xml:space="preserve"> c</w:t>
      </w:r>
      <w:r w:rsidRPr="008508CB" w:rsidR="00F30B06">
        <w:t xml:space="preserve">osts </w:t>
      </w:r>
      <w:r w:rsidR="00DC1863">
        <w:t>that exceed</w:t>
      </w:r>
      <w:r w:rsidRPr="008508CB" w:rsidR="00F30B06">
        <w:t xml:space="preserve"> the </w:t>
      </w:r>
      <w:r w:rsidRPr="008508CB" w:rsidR="0021023F">
        <w:t>common facility cost</w:t>
      </w:r>
      <w:r w:rsidRPr="008508CB" w:rsidR="00485C6A">
        <w:t>.</w:t>
      </w:r>
      <w:r w:rsidRPr="008508CB" w:rsidR="007D46E6">
        <w:t xml:space="preserve"> Common facility cost treatment for small business under-resourced customers shall not exceed 25</w:t>
      </w:r>
      <w:r w:rsidR="00F632BB">
        <w:t xml:space="preserve"> percent</w:t>
      </w:r>
      <w:r w:rsidRPr="008508CB" w:rsidR="007D46E6">
        <w:t xml:space="preserve"> of total annual program funding.</w:t>
      </w:r>
    </w:p>
    <w:p w:rsidRPr="008508CB" w:rsidR="00092079" w:rsidP="00A73CCA" w:rsidRDefault="001D06BA" w14:paraId="313DC886" w14:textId="2CCFFCDD">
      <w:pPr>
        <w:pStyle w:val="Standard"/>
      </w:pPr>
      <w:r>
        <w:t>T</w:t>
      </w:r>
      <w:r w:rsidR="1A2345AC">
        <w:t xml:space="preserve">he utilities shall track </w:t>
      </w:r>
      <w:r w:rsidR="2C15BC17">
        <w:t>total c</w:t>
      </w:r>
      <w:r w:rsidR="60BC2BCE">
        <w:t xml:space="preserve">osts </w:t>
      </w:r>
      <w:r w:rsidR="004D2C50">
        <w:t xml:space="preserve">associated with providing this </w:t>
      </w:r>
      <w:r w:rsidR="007441B5">
        <w:t>expanded common facility cost treatment</w:t>
      </w:r>
      <w:r w:rsidR="0063182E">
        <w:t xml:space="preserve"> </w:t>
      </w:r>
      <w:r w:rsidR="60BC2BCE">
        <w:t xml:space="preserve">for all projects, </w:t>
      </w:r>
      <w:r w:rsidR="302C3B0F">
        <w:t xml:space="preserve">and </w:t>
      </w:r>
      <w:r w:rsidR="06DB5F34">
        <w:t xml:space="preserve">report </w:t>
      </w:r>
      <w:r w:rsidR="125BC398">
        <w:t>annually</w:t>
      </w:r>
      <w:r w:rsidR="5A7EB007">
        <w:t xml:space="preserve"> – </w:t>
      </w:r>
      <w:r w:rsidRPr="008508CB" w:rsidR="1AD08A73">
        <w:t>as part of the reporting required under Resolution E-5105</w:t>
      </w:r>
      <w:r w:rsidRPr="008508CB" w:rsidR="5A7EB007">
        <w:t xml:space="preserve"> – </w:t>
      </w:r>
      <w:r w:rsidRPr="008508CB" w:rsidR="302C3B0F">
        <w:t>how many projects exceed</w:t>
      </w:r>
      <w:r w:rsidRPr="008508CB" w:rsidR="000249FD">
        <w:t>ed</w:t>
      </w:r>
      <w:r w:rsidRPr="008508CB" w:rsidR="302C3B0F">
        <w:t xml:space="preserve"> th</w:t>
      </w:r>
      <w:r w:rsidRPr="008508CB" w:rsidR="6916742D">
        <w:t>e</w:t>
      </w:r>
      <w:r w:rsidRPr="008508CB" w:rsidR="302C3B0F">
        <w:t xml:space="preserve"> </w:t>
      </w:r>
      <w:r w:rsidRPr="008508CB" w:rsidR="6916742D">
        <w:t>$</w:t>
      </w:r>
      <w:r w:rsidRPr="008508CB" w:rsidR="6CD94127">
        <w:t>10</w:t>
      </w:r>
      <w:r w:rsidRPr="008508CB" w:rsidR="6916742D">
        <w:t xml:space="preserve">,000 </w:t>
      </w:r>
      <w:r w:rsidRPr="008508CB" w:rsidR="302C3B0F">
        <w:t>cap</w:t>
      </w:r>
      <w:r w:rsidR="00E54967">
        <w:t xml:space="preserve"> for single-family and small business customers</w:t>
      </w:r>
      <w:r w:rsidRPr="008508CB" w:rsidR="302C3B0F">
        <w:t xml:space="preserve">, and </w:t>
      </w:r>
      <w:r w:rsidRPr="008508CB" w:rsidR="7AD42592">
        <w:t>document the conditions</w:t>
      </w:r>
      <w:r w:rsidRPr="008508CB" w:rsidR="7669CA19">
        <w:t xml:space="preserve"> and reasons result</w:t>
      </w:r>
      <w:r w:rsidRPr="008508CB" w:rsidR="00B7393B">
        <w:t>ing</w:t>
      </w:r>
      <w:r w:rsidRPr="008508CB" w:rsidR="7669CA19">
        <w:t xml:space="preserve"> in the projects</w:t>
      </w:r>
      <w:r w:rsidRPr="008508CB" w:rsidR="0923800B">
        <w:t xml:space="preserve"> exceed</w:t>
      </w:r>
      <w:r w:rsidRPr="008508CB" w:rsidR="7669CA19">
        <w:t>ing</w:t>
      </w:r>
      <w:r w:rsidRPr="008508CB" w:rsidR="0923800B">
        <w:t xml:space="preserve"> the cap</w:t>
      </w:r>
      <w:r w:rsidRPr="008508CB" w:rsidR="302C3B0F">
        <w:t>.</w:t>
      </w:r>
      <w:r w:rsidRPr="008508CB" w:rsidR="51BFF5F9">
        <w:t xml:space="preserve"> </w:t>
      </w:r>
      <w:r w:rsidRPr="008508CB" w:rsidR="43E85776">
        <w:t xml:space="preserve">This reporting requirement </w:t>
      </w:r>
      <w:r w:rsidRPr="008508CB" w:rsidR="73736422">
        <w:t>shall</w:t>
      </w:r>
      <w:r w:rsidRPr="008508CB" w:rsidR="43E85776">
        <w:t xml:space="preserve"> automatically </w:t>
      </w:r>
      <w:r w:rsidRPr="008508CB" w:rsidR="5587612F">
        <w:t>sunset</w:t>
      </w:r>
      <w:r w:rsidRPr="008508CB" w:rsidR="43E85776">
        <w:t xml:space="preserve"> after the final report, once the authorized funds have been fully expended</w:t>
      </w:r>
      <w:r w:rsidR="00E53816">
        <w:t>,</w:t>
      </w:r>
      <w:r w:rsidRPr="008508CB" w:rsidR="00D07247">
        <w:t xml:space="preserve"> or after four years, whichever comes first</w:t>
      </w:r>
      <w:r w:rsidRPr="008508CB" w:rsidR="43E85776">
        <w:t xml:space="preserve">. </w:t>
      </w:r>
      <w:r w:rsidRPr="008508CB" w:rsidR="00A77878">
        <w:t>Any funds not expended after four years shall be returned to ratepayers.</w:t>
      </w:r>
    </w:p>
    <w:p w:rsidR="004E0A08" w:rsidP="00531FFB" w:rsidRDefault="43E85776" w14:paraId="6686296C" w14:textId="0BBA15D6">
      <w:pPr>
        <w:pStyle w:val="Standard"/>
      </w:pPr>
      <w:r w:rsidRPr="008508CB">
        <w:lastRenderedPageBreak/>
        <w:t>W</w:t>
      </w:r>
      <w:r w:rsidRPr="008508CB" w:rsidR="51BFF5F9">
        <w:t xml:space="preserve">e do not </w:t>
      </w:r>
      <w:r w:rsidRPr="008508CB" w:rsidR="00531FFB">
        <w:t>adopt</w:t>
      </w:r>
      <w:r w:rsidRPr="008508CB" w:rsidR="6FD12436">
        <w:t xml:space="preserve"> a </w:t>
      </w:r>
      <w:r w:rsidRPr="008508CB" w:rsidR="3C4838D9">
        <w:t xml:space="preserve">per project cost </w:t>
      </w:r>
      <w:r w:rsidRPr="008508CB" w:rsidR="6FD12436">
        <w:t>cap for multi</w:t>
      </w:r>
      <w:r w:rsidRPr="008508CB" w:rsidR="063705F7">
        <w:t>-</w:t>
      </w:r>
      <w:r w:rsidRPr="008508CB" w:rsidR="6FD12436">
        <w:t xml:space="preserve">family projects </w:t>
      </w:r>
      <w:r w:rsidRPr="008508CB" w:rsidR="3331156C">
        <w:t>because</w:t>
      </w:r>
      <w:r w:rsidRPr="008508CB" w:rsidR="546EF4A4">
        <w:t xml:space="preserve"> </w:t>
      </w:r>
      <w:r w:rsidRPr="008508CB" w:rsidR="06C517D2">
        <w:t xml:space="preserve">a large </w:t>
      </w:r>
      <w:r w:rsidR="004608D8">
        <w:t>segment</w:t>
      </w:r>
      <w:r w:rsidRPr="008508CB" w:rsidR="06C517D2">
        <w:t xml:space="preserve"> of under-resourced customers live in multi</w:t>
      </w:r>
      <w:r w:rsidRPr="008508CB" w:rsidR="3C4838D9">
        <w:t>-</w:t>
      </w:r>
      <w:r w:rsidRPr="008508CB" w:rsidR="06C517D2">
        <w:t>family housing, and</w:t>
      </w:r>
      <w:r w:rsidRPr="008508CB" w:rsidR="2BED336D">
        <w:t xml:space="preserve"> the barriers to electrifying larger properties </w:t>
      </w:r>
      <w:r w:rsidRPr="008508CB" w:rsidR="0A6821F8">
        <w:t xml:space="preserve">that rely on multiple funding sources </w:t>
      </w:r>
      <w:r w:rsidRPr="008508CB" w:rsidR="4681D253">
        <w:t xml:space="preserve">for upgrades </w:t>
      </w:r>
      <w:r w:rsidRPr="008508CB" w:rsidR="0A6821F8">
        <w:t xml:space="preserve">are </w:t>
      </w:r>
      <w:r w:rsidRPr="008508CB" w:rsidR="3B6D4072">
        <w:t>greater</w:t>
      </w:r>
      <w:r w:rsidRPr="008508CB" w:rsidR="0A6821F8">
        <w:t xml:space="preserve"> than </w:t>
      </w:r>
      <w:r w:rsidRPr="008508CB" w:rsidR="3B6D4072">
        <w:t>for single-</w:t>
      </w:r>
      <w:r w:rsidRPr="008508CB" w:rsidR="0A6821F8">
        <w:t>family projects.</w:t>
      </w:r>
      <w:bookmarkEnd w:id="65"/>
      <w:r w:rsidRPr="008508CB" w:rsidR="00531FFB">
        <w:t xml:space="preserve"> </w:t>
      </w:r>
      <w:r w:rsidR="00EA6D42">
        <w:t>M</w:t>
      </w:r>
      <w:r w:rsidRPr="008508CB" w:rsidR="004E0A08">
        <w:t>ulti</w:t>
      </w:r>
      <w:r w:rsidRPr="008508CB" w:rsidR="00477CCE">
        <w:t>-</w:t>
      </w:r>
      <w:r w:rsidRPr="008508CB" w:rsidR="004E0A08">
        <w:t xml:space="preserve">family properties </w:t>
      </w:r>
      <w:r w:rsidRPr="008508CB" w:rsidR="006A0FAF">
        <w:t xml:space="preserve">often have </w:t>
      </w:r>
      <w:r w:rsidRPr="008508CB" w:rsidR="00477CCE">
        <w:t xml:space="preserve">substantial </w:t>
      </w:r>
      <w:r w:rsidRPr="008508CB" w:rsidR="006A0FAF">
        <w:t>costs associated with service upsizing on the customer</w:t>
      </w:r>
      <w:r w:rsidR="009828DA">
        <w:t xml:space="preserve"> or </w:t>
      </w:r>
      <w:r w:rsidRPr="008508CB" w:rsidR="0076279A">
        <w:t>property</w:t>
      </w:r>
      <w:r w:rsidR="009828DA">
        <w:t>-</w:t>
      </w:r>
      <w:r w:rsidRPr="008508CB" w:rsidR="0076279A">
        <w:t>owner</w:t>
      </w:r>
      <w:r w:rsidRPr="008508CB" w:rsidR="006A0FAF">
        <w:t xml:space="preserve"> side of the meter and up to the electrical panel</w:t>
      </w:r>
      <w:r w:rsidRPr="008508CB" w:rsidR="00543EDE">
        <w:t>. These</w:t>
      </w:r>
      <w:r w:rsidRPr="008508CB" w:rsidR="008543D7">
        <w:t xml:space="preserve"> costs </w:t>
      </w:r>
      <w:r w:rsidRPr="008508CB" w:rsidR="00543EDE">
        <w:t>could include</w:t>
      </w:r>
      <w:r w:rsidRPr="008508CB" w:rsidR="008543D7">
        <w:t xml:space="preserve"> upgrade</w:t>
      </w:r>
      <w:r w:rsidR="00F57DB5">
        <w:t>s to</w:t>
      </w:r>
      <w:r w:rsidRPr="008508CB" w:rsidR="008543D7">
        <w:t xml:space="preserve"> the service mains,</w:t>
      </w:r>
      <w:r w:rsidRPr="008508CB" w:rsidR="00FA3BF9">
        <w:t xml:space="preserve"> feeder cables, and associated trenching</w:t>
      </w:r>
      <w:r w:rsidR="00FA3BF9">
        <w:t xml:space="preserve"> </w:t>
      </w:r>
      <w:r w:rsidR="00122BC4">
        <w:t xml:space="preserve">costs up </w:t>
      </w:r>
      <w:r w:rsidR="00FA3BF9">
        <w:t xml:space="preserve">to </w:t>
      </w:r>
      <w:r w:rsidR="006A3EE4">
        <w:t xml:space="preserve">sub-panels of </w:t>
      </w:r>
      <w:r w:rsidR="00FA3BF9">
        <w:t xml:space="preserve">individual </w:t>
      </w:r>
      <w:r w:rsidR="00122BC4">
        <w:t xml:space="preserve">dwelling </w:t>
      </w:r>
      <w:r w:rsidR="00FA3BF9">
        <w:t>units.</w:t>
      </w:r>
      <w:r w:rsidR="008543D7">
        <w:t xml:space="preserve"> </w:t>
      </w:r>
      <w:r w:rsidRPr="009C0CDB" w:rsidR="009C0CDB">
        <w:t xml:space="preserve">Costs such as engineering studies or assessments to determine whether upsizing is needed are not included in the costs allowed under this program. </w:t>
      </w:r>
      <w:r w:rsidR="00341C5F">
        <w:t>Currently</w:t>
      </w:r>
      <w:r w:rsidR="006A3EE4">
        <w:t>,</w:t>
      </w:r>
      <w:r w:rsidR="00341C5F">
        <w:t xml:space="preserve"> only the </w:t>
      </w:r>
      <w:r w:rsidRPr="00891018" w:rsidR="008E079C">
        <w:t>H</w:t>
      </w:r>
      <w:r w:rsidR="004E7A3C">
        <w:t xml:space="preserve">igh-Efficiency </w:t>
      </w:r>
      <w:r w:rsidRPr="00891018" w:rsidR="008E079C">
        <w:t>Electri</w:t>
      </w:r>
      <w:r w:rsidR="004E7A3C">
        <w:t>c Home</w:t>
      </w:r>
      <w:r w:rsidRPr="00891018" w:rsidR="008E079C">
        <w:t xml:space="preserve"> Rebate</w:t>
      </w:r>
      <w:r w:rsidR="004E7A3C">
        <w:t xml:space="preserve"> A</w:t>
      </w:r>
      <w:r w:rsidR="008E079C">
        <w:t xml:space="preserve"> (</w:t>
      </w:r>
      <w:r w:rsidR="008F2404">
        <w:t>HEEHRA</w:t>
      </w:r>
      <w:r w:rsidR="008E079C">
        <w:t>)</w:t>
      </w:r>
      <w:r w:rsidR="00357E21">
        <w:t xml:space="preserve"> program administered by the </w:t>
      </w:r>
      <w:r w:rsidR="000C74EE">
        <w:t>CEC</w:t>
      </w:r>
      <w:r w:rsidR="00357E21">
        <w:t xml:space="preserve"> offers a modest </w:t>
      </w:r>
      <w:r w:rsidR="008F77BF">
        <w:t xml:space="preserve">incentive </w:t>
      </w:r>
      <w:r w:rsidR="003E1172">
        <w:t xml:space="preserve">to offset </w:t>
      </w:r>
      <w:r w:rsidR="0058598B">
        <w:t>some of these costs</w:t>
      </w:r>
      <w:r w:rsidR="006A3EE4">
        <w:t>.</w:t>
      </w:r>
      <w:r w:rsidR="00E33446">
        <w:t xml:space="preserve"> </w:t>
      </w:r>
      <w:r w:rsidR="00C63E5C">
        <w:t xml:space="preserve">High costs for service line extensions in multi-family properties can be a barrier to electrification for these properties. This program will not resolve this </w:t>
      </w:r>
      <w:r w:rsidR="00AA6308">
        <w:t>barrier but</w:t>
      </w:r>
      <w:r w:rsidR="00C63E5C">
        <w:t xml:space="preserve"> may provide funding to </w:t>
      </w:r>
      <w:r w:rsidR="00AB19FA">
        <w:t xml:space="preserve">offset </w:t>
      </w:r>
      <w:r w:rsidR="00C63E5C">
        <w:t>these costs for some properties</w:t>
      </w:r>
      <w:r w:rsidRPr="008508CB" w:rsidR="0076279A">
        <w:t>.</w:t>
      </w:r>
    </w:p>
    <w:p w:rsidR="00311678" w:rsidP="00AD1381" w:rsidRDefault="000B66BE" w14:paraId="79EA1028" w14:textId="74C8BE30">
      <w:pPr>
        <w:pStyle w:val="Standard"/>
      </w:pPr>
      <w:r>
        <w:t>Utility admin</w:t>
      </w:r>
      <w:r w:rsidR="00A523F5">
        <w:t>istrative</w:t>
      </w:r>
      <w:r>
        <w:t xml:space="preserve"> costs shall be capped at </w:t>
      </w:r>
      <w:r w:rsidR="003E5DCA">
        <w:t>1</w:t>
      </w:r>
      <w:r w:rsidR="000B72C9">
        <w:t> percent</w:t>
      </w:r>
      <w:r w:rsidR="00311678">
        <w:t xml:space="preserve"> of total expenditures</w:t>
      </w:r>
      <w:r w:rsidR="00AC71F8">
        <w:t xml:space="preserve"> tracked in a su</w:t>
      </w:r>
      <w:r w:rsidR="00285C3B">
        <w:t xml:space="preserve">b-account within the </w:t>
      </w:r>
      <w:r w:rsidR="002A2290">
        <w:t>b</w:t>
      </w:r>
      <w:r w:rsidR="00285C3B">
        <w:t xml:space="preserve">alancing </w:t>
      </w:r>
      <w:r w:rsidR="002A2290">
        <w:t>a</w:t>
      </w:r>
      <w:r w:rsidR="00285C3B">
        <w:t xml:space="preserve">ccounts established </w:t>
      </w:r>
      <w:r w:rsidR="008E320B">
        <w:t>under</w:t>
      </w:r>
      <w:r w:rsidR="00285C3B">
        <w:t xml:space="preserve"> this p</w:t>
      </w:r>
      <w:r w:rsidR="008E320B">
        <w:t>rogram</w:t>
      </w:r>
      <w:r w:rsidR="00374473">
        <w:t>, with the expectation that utilities will leverag</w:t>
      </w:r>
      <w:r w:rsidR="00287EE1">
        <w:t>e</w:t>
      </w:r>
      <w:r w:rsidR="00374473">
        <w:t xml:space="preserve"> existing utility portals and personnel</w:t>
      </w:r>
      <w:r w:rsidR="00311678">
        <w:t xml:space="preserve">. Each </w:t>
      </w:r>
      <w:r w:rsidR="00272E48">
        <w:t xml:space="preserve">participating </w:t>
      </w:r>
      <w:r w:rsidR="00311678">
        <w:t xml:space="preserve">electric </w:t>
      </w:r>
      <w:r w:rsidR="003C1DD6">
        <w:t xml:space="preserve">utility </w:t>
      </w:r>
      <w:r w:rsidR="00311678">
        <w:t xml:space="preserve">shall submit a Tier 1 </w:t>
      </w:r>
      <w:r w:rsidR="005957C9">
        <w:t>Advice Letter</w:t>
      </w:r>
      <w:r w:rsidR="00311678">
        <w:t xml:space="preserve"> within 60 days of the issuance of this decision to establish its </w:t>
      </w:r>
      <w:r w:rsidR="005E5484">
        <w:t>balancing account</w:t>
      </w:r>
      <w:r w:rsidR="00311678">
        <w:t>.</w:t>
      </w:r>
      <w:r w:rsidR="008F6172">
        <w:t xml:space="preserve"> The </w:t>
      </w:r>
      <w:r w:rsidR="004F2ECF">
        <w:t>$</w:t>
      </w:r>
      <w:r w:rsidR="00171605">
        <w:t>5</w:t>
      </w:r>
      <w:r w:rsidR="002E58D8">
        <w:t> million</w:t>
      </w:r>
      <w:r w:rsidR="00297271">
        <w:t xml:space="preserve"> </w:t>
      </w:r>
      <w:r w:rsidR="001D210F">
        <w:t xml:space="preserve">annual funding </w:t>
      </w:r>
      <w:r w:rsidR="004F2ECF">
        <w:t xml:space="preserve">shall be allocated proportionally across the </w:t>
      </w:r>
      <w:r w:rsidR="00272E48">
        <w:t>participating</w:t>
      </w:r>
      <w:r w:rsidR="00886AB1">
        <w:t xml:space="preserve"> </w:t>
      </w:r>
      <w:r w:rsidR="005E4218">
        <w:t xml:space="preserve">electric </w:t>
      </w:r>
      <w:r w:rsidR="00F71515">
        <w:t xml:space="preserve">utilities’ </w:t>
      </w:r>
      <w:r w:rsidR="005E4218">
        <w:t>service territories as follows</w:t>
      </w:r>
      <w:r w:rsidR="00857A12">
        <w:t>:</w:t>
      </w:r>
      <w:r w:rsidR="00171605">
        <w:t xml:space="preserve"> </w:t>
      </w:r>
    </w:p>
    <w:p w:rsidRPr="002E58D8" w:rsidR="002E58D8" w:rsidP="00E204DE" w:rsidRDefault="002E58D8" w14:paraId="5AB8BAE8" w14:textId="2256E628">
      <w:pPr>
        <w:pStyle w:val="Standard"/>
        <w:keepNext/>
        <w:spacing w:before="120" w:line="240" w:lineRule="auto"/>
        <w:ind w:firstLine="0"/>
        <w:jc w:val="center"/>
        <w:rPr>
          <w:rFonts w:cs="Arial"/>
          <w:b/>
          <w:bCs/>
        </w:rPr>
      </w:pPr>
      <w:r w:rsidRPr="002E58D8">
        <w:rPr>
          <w:rFonts w:cs="Arial"/>
          <w:b/>
          <w:bCs/>
        </w:rPr>
        <w:lastRenderedPageBreak/>
        <w:t xml:space="preserve">Table </w:t>
      </w:r>
      <w:r w:rsidR="00897861">
        <w:rPr>
          <w:rFonts w:cs="Arial"/>
          <w:b/>
          <w:bCs/>
        </w:rPr>
        <w:t>2</w:t>
      </w:r>
      <w:r w:rsidRPr="002E58D8">
        <w:rPr>
          <w:rFonts w:cs="Arial"/>
          <w:b/>
          <w:bCs/>
        </w:rPr>
        <w:t>:</w:t>
      </w:r>
    </w:p>
    <w:p w:rsidRPr="002E58D8" w:rsidR="73E55884" w:rsidP="004F54BF" w:rsidRDefault="002E58D8" w14:paraId="28BFB8A1" w14:textId="3A16E0EB">
      <w:pPr>
        <w:pStyle w:val="Standard"/>
        <w:keepNext/>
        <w:spacing w:after="240" w:line="240" w:lineRule="auto"/>
        <w:ind w:firstLine="0"/>
        <w:jc w:val="center"/>
        <w:rPr>
          <w:rFonts w:cs="Arial"/>
          <w:b/>
          <w:bCs/>
        </w:rPr>
      </w:pPr>
      <w:r w:rsidRPr="002E58D8">
        <w:rPr>
          <w:rFonts w:cs="Arial"/>
          <w:b/>
          <w:bCs/>
        </w:rPr>
        <w:t xml:space="preserve">Proportional </w:t>
      </w:r>
      <w:r w:rsidR="002C53D4">
        <w:rPr>
          <w:rFonts w:cs="Arial"/>
          <w:b/>
          <w:bCs/>
        </w:rPr>
        <w:t xml:space="preserve">Annual </w:t>
      </w:r>
      <w:r w:rsidRPr="002E58D8">
        <w:rPr>
          <w:rFonts w:cs="Arial"/>
          <w:b/>
          <w:bCs/>
        </w:rPr>
        <w:t xml:space="preserve">Allocation Amounts for </w:t>
      </w:r>
      <w:r w:rsidR="00E406BE">
        <w:rPr>
          <w:rFonts w:cs="Arial"/>
          <w:b/>
          <w:bCs/>
        </w:rPr>
        <w:t xml:space="preserve">Participating </w:t>
      </w:r>
      <w:r w:rsidRPr="002E58D8">
        <w:rPr>
          <w:rFonts w:cs="Arial"/>
          <w:b/>
          <w:bCs/>
        </w:rPr>
        <w:t>Electric Utilities to</w:t>
      </w:r>
      <w:r w:rsidR="0062300D">
        <w:rPr>
          <w:rFonts w:cs="Arial"/>
          <w:b/>
          <w:bCs/>
        </w:rPr>
        <w:t xml:space="preserve"> </w:t>
      </w:r>
      <w:r w:rsidRPr="002E58D8">
        <w:rPr>
          <w:rFonts w:cs="Arial"/>
          <w:b/>
          <w:bCs/>
        </w:rPr>
        <w:t>Establish</w:t>
      </w:r>
      <w:r w:rsidR="0062300D">
        <w:rPr>
          <w:rFonts w:cs="Arial"/>
          <w:b/>
          <w:bCs/>
        </w:rPr>
        <w:t xml:space="preserve"> </w:t>
      </w:r>
      <w:r w:rsidRPr="002E58D8">
        <w:rPr>
          <w:rFonts w:cs="Arial"/>
          <w:b/>
          <w:bCs/>
        </w:rPr>
        <w:t>Common Facility Cost Treatment Balancing Accounts</w:t>
      </w:r>
      <w:r w:rsidR="002C53D4">
        <w:rPr>
          <w:rFonts w:cs="Arial"/>
          <w:b/>
          <w:bCs/>
        </w:rPr>
        <w:t xml:space="preserve"> </w:t>
      </w:r>
    </w:p>
    <w:tbl>
      <w:tblPr>
        <w:tblW w:w="0" w:type="auto"/>
        <w:tblBorders>
          <w:insideH w:val="single" w:color="auto" w:sz="4" w:space="0"/>
          <w:insideV w:val="single" w:color="auto" w:sz="4" w:space="0"/>
        </w:tblBorders>
        <w:tblLayout w:type="fixed"/>
        <w:tblCellMar>
          <w:top w:w="58" w:type="dxa"/>
          <w:bottom w:w="58" w:type="dxa"/>
        </w:tblCellMar>
        <w:tblLook w:val="04A0" w:firstRow="1" w:lastRow="0" w:firstColumn="1" w:lastColumn="0" w:noHBand="0" w:noVBand="1"/>
      </w:tblPr>
      <w:tblGrid>
        <w:gridCol w:w="3325"/>
        <w:gridCol w:w="1530"/>
        <w:gridCol w:w="1440"/>
        <w:gridCol w:w="1440"/>
        <w:gridCol w:w="1615"/>
      </w:tblGrid>
      <w:tr w:rsidRPr="002663BC" w:rsidR="002663BC" w:rsidTr="002663BC" w14:paraId="4A8EFA1E" w14:textId="1CC9A848">
        <w:trPr>
          <w:cantSplit/>
          <w:trHeight w:val="742"/>
          <w:tblHeader/>
        </w:trPr>
        <w:tc>
          <w:tcPr>
            <w:tcW w:w="3325" w:type="dxa"/>
            <w:tcBorders>
              <w:top w:val="single" w:color="auto" w:sz="4" w:space="0"/>
              <w:left w:val="single" w:color="auto" w:sz="4" w:space="0"/>
              <w:bottom w:val="single" w:color="auto" w:sz="4" w:space="0"/>
            </w:tcBorders>
            <w:shd w:val="clear" w:color="auto" w:fill="auto"/>
            <w:vAlign w:val="bottom"/>
            <w:hideMark/>
          </w:tcPr>
          <w:p w:rsidRPr="002663BC" w:rsidR="0048298B" w:rsidP="008402EC" w:rsidRDefault="0048298B" w14:paraId="2F1AFDB7" w14:textId="381F0935">
            <w:pPr>
              <w:pStyle w:val="Standard"/>
              <w:keepNext/>
              <w:spacing w:after="240" w:line="240" w:lineRule="auto"/>
              <w:ind w:firstLine="0"/>
              <w:jc w:val="center"/>
              <w:rPr>
                <w:rFonts w:eastAsia="Times New Roman" w:cs="Times New Roman"/>
                <w:b/>
                <w:bCs/>
                <w:color w:val="000000"/>
                <w:sz w:val="24"/>
                <w:szCs w:val="24"/>
              </w:rPr>
            </w:pPr>
            <w:r w:rsidRPr="002663BC">
              <w:rPr>
                <w:rFonts w:eastAsia="Times New Roman" w:cs="Times New Roman"/>
                <w:b/>
                <w:bCs/>
                <w:color w:val="000000"/>
                <w:sz w:val="24"/>
                <w:szCs w:val="24"/>
              </w:rPr>
              <w:t>Utility Name</w:t>
            </w:r>
          </w:p>
        </w:tc>
        <w:tc>
          <w:tcPr>
            <w:tcW w:w="1530" w:type="dxa"/>
            <w:tcBorders>
              <w:top w:val="single" w:color="auto" w:sz="4" w:space="0"/>
              <w:bottom w:val="single" w:color="auto" w:sz="4" w:space="0"/>
            </w:tcBorders>
            <w:shd w:val="clear" w:color="auto" w:fill="auto"/>
            <w:vAlign w:val="bottom"/>
            <w:hideMark/>
          </w:tcPr>
          <w:p w:rsidRPr="002663BC" w:rsidR="0048298B" w:rsidP="008402EC" w:rsidRDefault="0048298B" w14:paraId="3984219C" w14:textId="19B108C1">
            <w:pPr>
              <w:pStyle w:val="Standard"/>
              <w:keepNext/>
              <w:spacing w:after="240" w:line="240" w:lineRule="auto"/>
              <w:ind w:firstLine="0"/>
              <w:jc w:val="center"/>
              <w:rPr>
                <w:rFonts w:eastAsia="Times New Roman" w:cs="Times New Roman"/>
                <w:b/>
                <w:bCs/>
                <w:color w:val="000000"/>
                <w:sz w:val="24"/>
                <w:szCs w:val="24"/>
              </w:rPr>
            </w:pPr>
            <w:r w:rsidRPr="002663BC">
              <w:rPr>
                <w:rFonts w:eastAsia="Times New Roman" w:cs="Times New Roman"/>
                <w:b/>
                <w:bCs/>
                <w:color w:val="000000"/>
                <w:sz w:val="24"/>
                <w:szCs w:val="24"/>
              </w:rPr>
              <w:t>Number of Residential Accounts</w:t>
            </w:r>
          </w:p>
        </w:tc>
        <w:tc>
          <w:tcPr>
            <w:tcW w:w="1440" w:type="dxa"/>
            <w:tcBorders>
              <w:top w:val="single" w:color="auto" w:sz="4" w:space="0"/>
              <w:bottom w:val="single" w:color="auto" w:sz="4" w:space="0"/>
            </w:tcBorders>
            <w:shd w:val="clear" w:color="auto" w:fill="auto"/>
            <w:vAlign w:val="bottom"/>
            <w:hideMark/>
          </w:tcPr>
          <w:p w:rsidRPr="002663BC" w:rsidR="0048298B" w:rsidP="008402EC" w:rsidRDefault="0048298B" w14:paraId="1D0A2621" w14:textId="37A98711">
            <w:pPr>
              <w:pStyle w:val="Standard"/>
              <w:keepNext/>
              <w:spacing w:after="240" w:line="240" w:lineRule="auto"/>
              <w:ind w:firstLine="0"/>
              <w:jc w:val="center"/>
              <w:rPr>
                <w:rFonts w:eastAsia="Times New Roman" w:cs="Times New Roman"/>
                <w:b/>
                <w:bCs/>
                <w:color w:val="000000"/>
                <w:sz w:val="24"/>
                <w:szCs w:val="24"/>
              </w:rPr>
            </w:pPr>
            <w:r w:rsidRPr="002663BC">
              <w:rPr>
                <w:rFonts w:eastAsia="Times New Roman" w:cs="Times New Roman"/>
                <w:b/>
                <w:bCs/>
                <w:color w:val="000000"/>
                <w:sz w:val="24"/>
                <w:szCs w:val="24"/>
              </w:rPr>
              <w:t>Number of Small Business Accounts</w:t>
            </w:r>
          </w:p>
        </w:tc>
        <w:tc>
          <w:tcPr>
            <w:tcW w:w="1440" w:type="dxa"/>
            <w:tcBorders>
              <w:top w:val="single" w:color="auto" w:sz="4" w:space="0"/>
              <w:bottom w:val="single" w:color="auto" w:sz="4" w:space="0"/>
            </w:tcBorders>
            <w:shd w:val="clear" w:color="auto" w:fill="auto"/>
            <w:vAlign w:val="bottom"/>
            <w:hideMark/>
          </w:tcPr>
          <w:p w:rsidRPr="002663BC" w:rsidR="0048298B" w:rsidP="008402EC" w:rsidRDefault="0048298B" w14:paraId="29658C44" w14:textId="7DAF5E6E">
            <w:pPr>
              <w:pStyle w:val="Standard"/>
              <w:keepNext/>
              <w:spacing w:after="240" w:line="240" w:lineRule="auto"/>
              <w:ind w:firstLine="0"/>
              <w:jc w:val="center"/>
              <w:rPr>
                <w:rFonts w:eastAsia="Times New Roman" w:cs="Times New Roman"/>
                <w:b/>
                <w:bCs/>
                <w:color w:val="000000"/>
                <w:sz w:val="24"/>
                <w:szCs w:val="24"/>
              </w:rPr>
            </w:pPr>
            <w:r w:rsidRPr="002663BC">
              <w:rPr>
                <w:rFonts w:eastAsia="Times New Roman" w:cs="Times New Roman"/>
                <w:b/>
                <w:bCs/>
                <w:color w:val="000000"/>
                <w:sz w:val="24"/>
                <w:szCs w:val="24"/>
              </w:rPr>
              <w:t>Funding Percentage</w:t>
            </w:r>
          </w:p>
        </w:tc>
        <w:tc>
          <w:tcPr>
            <w:tcW w:w="1615" w:type="dxa"/>
            <w:tcBorders>
              <w:top w:val="single" w:color="auto" w:sz="4" w:space="0"/>
              <w:bottom w:val="single" w:color="auto" w:sz="4" w:space="0"/>
              <w:right w:val="single" w:color="auto" w:sz="4" w:space="0"/>
            </w:tcBorders>
            <w:shd w:val="clear" w:color="auto" w:fill="auto"/>
            <w:vAlign w:val="bottom"/>
            <w:hideMark/>
          </w:tcPr>
          <w:p w:rsidRPr="002663BC" w:rsidR="0048298B" w:rsidP="008402EC" w:rsidRDefault="0048298B" w14:paraId="37C2E319" w14:textId="4BC69833">
            <w:pPr>
              <w:pStyle w:val="Standard"/>
              <w:keepNext/>
              <w:spacing w:after="240" w:line="240" w:lineRule="auto"/>
              <w:ind w:firstLine="0"/>
              <w:jc w:val="center"/>
              <w:rPr>
                <w:rFonts w:eastAsia="Times New Roman" w:cs="Times New Roman"/>
                <w:b/>
                <w:bCs/>
                <w:color w:val="000000"/>
                <w:sz w:val="24"/>
                <w:szCs w:val="24"/>
              </w:rPr>
            </w:pPr>
            <w:r w:rsidRPr="002663BC">
              <w:rPr>
                <w:rFonts w:eastAsia="Times New Roman" w:cs="Times New Roman"/>
                <w:b/>
                <w:bCs/>
                <w:color w:val="000000"/>
                <w:sz w:val="24"/>
                <w:szCs w:val="24"/>
              </w:rPr>
              <w:t>Funding Amount</w:t>
            </w:r>
          </w:p>
        </w:tc>
      </w:tr>
      <w:tr w:rsidRPr="002663BC" w:rsidR="002663BC" w:rsidTr="002663BC" w14:paraId="7C1FD828" w14:textId="1D6FF130">
        <w:trPr>
          <w:cantSplit/>
          <w:trHeight w:val="265"/>
        </w:trPr>
        <w:tc>
          <w:tcPr>
            <w:tcW w:w="3325" w:type="dxa"/>
            <w:tcBorders>
              <w:top w:val="single" w:color="auto" w:sz="4" w:space="0"/>
              <w:left w:val="single" w:color="auto" w:sz="4" w:space="0"/>
              <w:bottom w:val="single" w:color="auto" w:sz="4" w:space="0"/>
            </w:tcBorders>
            <w:shd w:val="clear" w:color="auto" w:fill="auto"/>
            <w:hideMark/>
          </w:tcPr>
          <w:p w:rsidRPr="002663BC" w:rsidR="0048298B" w:rsidP="008402EC" w:rsidRDefault="0048298B" w14:paraId="2BDA0167" w14:textId="6B2BE2A8">
            <w:pPr>
              <w:pStyle w:val="Standard"/>
              <w:keepNext/>
              <w:spacing w:after="240" w:line="240" w:lineRule="auto"/>
              <w:ind w:firstLine="0"/>
              <w:jc w:val="center"/>
              <w:rPr>
                <w:rFonts w:eastAsia="Times New Roman" w:cs="Times New Roman"/>
                <w:color w:val="000000"/>
                <w:sz w:val="24"/>
                <w:szCs w:val="24"/>
              </w:rPr>
            </w:pPr>
            <w:bookmarkStart w:name="_Hlk198883415" w:id="66"/>
            <w:r w:rsidRPr="002663BC">
              <w:rPr>
                <w:rFonts w:eastAsia="Times New Roman" w:cs="Times New Roman"/>
                <w:color w:val="000000"/>
                <w:sz w:val="24"/>
                <w:szCs w:val="24"/>
              </w:rPr>
              <w:t>Pacific Gas and Electric</w:t>
            </w:r>
            <w:r w:rsidRPr="002663BC" w:rsidR="00D612FC">
              <w:rPr>
                <w:rFonts w:eastAsia="Times New Roman" w:cs="Times New Roman"/>
                <w:color w:val="000000"/>
                <w:sz w:val="24"/>
                <w:szCs w:val="24"/>
              </w:rPr>
              <w:t xml:space="preserve"> Company</w:t>
            </w:r>
          </w:p>
        </w:tc>
        <w:tc>
          <w:tcPr>
            <w:tcW w:w="1530" w:type="dxa"/>
            <w:tcBorders>
              <w:top w:val="single" w:color="auto" w:sz="4" w:space="0"/>
              <w:bottom w:val="single" w:color="auto" w:sz="4" w:space="0"/>
            </w:tcBorders>
            <w:shd w:val="clear" w:color="auto" w:fill="auto"/>
            <w:hideMark/>
          </w:tcPr>
          <w:p w:rsidRPr="002663BC" w:rsidR="0048298B" w:rsidP="008402EC" w:rsidRDefault="0048298B" w14:paraId="65748AC2" w14:textId="0DA3400B">
            <w:pPr>
              <w:pStyle w:val="Standard"/>
              <w:keepNext/>
              <w:spacing w:after="240" w:line="240" w:lineRule="auto"/>
              <w:ind w:firstLine="0"/>
              <w:jc w:val="center"/>
              <w:rPr>
                <w:rFonts w:eastAsia="Times New Roman" w:cs="Times New Roman"/>
                <w:color w:val="000000"/>
                <w:sz w:val="24"/>
                <w:szCs w:val="24"/>
              </w:rPr>
            </w:pPr>
            <w:r w:rsidRPr="002663BC">
              <w:rPr>
                <w:rFonts w:eastAsia="Times New Roman" w:cs="Times New Roman"/>
                <w:color w:val="000000"/>
                <w:sz w:val="24"/>
                <w:szCs w:val="24"/>
              </w:rPr>
              <w:t xml:space="preserve">5,171,416 </w:t>
            </w:r>
          </w:p>
        </w:tc>
        <w:tc>
          <w:tcPr>
            <w:tcW w:w="1440" w:type="dxa"/>
            <w:tcBorders>
              <w:top w:val="single" w:color="auto" w:sz="4" w:space="0"/>
              <w:bottom w:val="single" w:color="auto" w:sz="4" w:space="0"/>
            </w:tcBorders>
            <w:shd w:val="clear" w:color="auto" w:fill="auto"/>
            <w:hideMark/>
          </w:tcPr>
          <w:p w:rsidRPr="002663BC" w:rsidR="0048298B" w:rsidP="008402EC" w:rsidRDefault="0048298B" w14:paraId="42FC131C" w14:textId="4ADCA6F5">
            <w:pPr>
              <w:pStyle w:val="Standard"/>
              <w:keepNext/>
              <w:spacing w:after="240" w:line="240" w:lineRule="auto"/>
              <w:ind w:firstLine="0"/>
              <w:jc w:val="center"/>
              <w:rPr>
                <w:rFonts w:eastAsia="Times New Roman" w:cs="Times New Roman"/>
                <w:color w:val="000000"/>
                <w:sz w:val="24"/>
                <w:szCs w:val="24"/>
              </w:rPr>
            </w:pPr>
            <w:r w:rsidRPr="002663BC">
              <w:rPr>
                <w:rFonts w:eastAsia="Times New Roman" w:cs="Times New Roman"/>
                <w:color w:val="000000"/>
                <w:sz w:val="24"/>
                <w:szCs w:val="24"/>
              </w:rPr>
              <w:t xml:space="preserve">480,629 </w:t>
            </w:r>
          </w:p>
        </w:tc>
        <w:tc>
          <w:tcPr>
            <w:tcW w:w="1440" w:type="dxa"/>
            <w:tcBorders>
              <w:top w:val="single" w:color="auto" w:sz="4" w:space="0"/>
              <w:bottom w:val="single" w:color="auto" w:sz="4" w:space="0"/>
            </w:tcBorders>
            <w:shd w:val="clear" w:color="auto" w:fill="auto"/>
            <w:hideMark/>
          </w:tcPr>
          <w:p w:rsidRPr="002663BC" w:rsidR="0048298B" w:rsidP="008402EC" w:rsidRDefault="0048298B" w14:paraId="5B7602D2" w14:textId="1ABF5C3C">
            <w:pPr>
              <w:pStyle w:val="Standard"/>
              <w:keepNext/>
              <w:spacing w:after="240" w:line="240" w:lineRule="auto"/>
              <w:ind w:firstLine="0"/>
              <w:jc w:val="center"/>
              <w:rPr>
                <w:rFonts w:eastAsia="Times New Roman" w:cs="Times New Roman"/>
                <w:color w:val="000000"/>
                <w:sz w:val="24"/>
                <w:szCs w:val="24"/>
              </w:rPr>
            </w:pPr>
            <w:r w:rsidRPr="002663BC">
              <w:rPr>
                <w:rFonts w:eastAsia="Times New Roman" w:cs="Times New Roman"/>
                <w:color w:val="000000"/>
                <w:sz w:val="24"/>
                <w:szCs w:val="24"/>
              </w:rPr>
              <w:t>45.</w:t>
            </w:r>
            <w:r w:rsidR="00F92390">
              <w:rPr>
                <w:rFonts w:eastAsia="Times New Roman" w:cs="Times New Roman"/>
                <w:color w:val="000000"/>
                <w:sz w:val="24"/>
                <w:szCs w:val="24"/>
              </w:rPr>
              <w:t>92</w:t>
            </w:r>
            <w:r w:rsidRPr="002663BC">
              <w:rPr>
                <w:rFonts w:eastAsia="Times New Roman" w:cs="Times New Roman"/>
                <w:color w:val="000000"/>
                <w:sz w:val="24"/>
                <w:szCs w:val="24"/>
              </w:rPr>
              <w:t>%</w:t>
            </w:r>
          </w:p>
        </w:tc>
        <w:tc>
          <w:tcPr>
            <w:tcW w:w="1615" w:type="dxa"/>
            <w:tcBorders>
              <w:top w:val="single" w:color="auto" w:sz="4" w:space="0"/>
              <w:bottom w:val="single" w:color="auto" w:sz="4" w:space="0"/>
              <w:right w:val="single" w:color="auto" w:sz="4" w:space="0"/>
            </w:tcBorders>
            <w:shd w:val="clear" w:color="auto" w:fill="auto"/>
            <w:hideMark/>
          </w:tcPr>
          <w:p w:rsidRPr="002663BC" w:rsidR="0048298B" w:rsidP="008402EC" w:rsidRDefault="000622F5" w14:paraId="59571079" w14:textId="14FF7CE4">
            <w:pPr>
              <w:pStyle w:val="Standard"/>
              <w:keepNext/>
              <w:spacing w:after="240" w:line="240" w:lineRule="auto"/>
              <w:ind w:firstLine="0"/>
              <w:jc w:val="center"/>
              <w:rPr>
                <w:rFonts w:eastAsia="Times New Roman" w:cs="Times New Roman"/>
                <w:color w:val="000000"/>
                <w:sz w:val="24"/>
                <w:szCs w:val="24"/>
              </w:rPr>
            </w:pPr>
            <w:r w:rsidRPr="000622F5">
              <w:rPr>
                <w:rFonts w:eastAsia="Times New Roman" w:cs="Times New Roman"/>
                <w:color w:val="000000"/>
                <w:sz w:val="24"/>
                <w:szCs w:val="24"/>
              </w:rPr>
              <w:t>$2,296,059</w:t>
            </w:r>
          </w:p>
        </w:tc>
      </w:tr>
      <w:tr w:rsidRPr="002663BC" w:rsidR="002663BC" w:rsidTr="002663BC" w14:paraId="6FCCB04C" w14:textId="0FC20E63">
        <w:trPr>
          <w:cantSplit/>
          <w:trHeight w:val="27"/>
        </w:trPr>
        <w:tc>
          <w:tcPr>
            <w:tcW w:w="3325" w:type="dxa"/>
            <w:tcBorders>
              <w:top w:val="single" w:color="auto" w:sz="4" w:space="0"/>
              <w:left w:val="single" w:color="auto" w:sz="4" w:space="0"/>
              <w:bottom w:val="single" w:color="auto" w:sz="4" w:space="0"/>
            </w:tcBorders>
            <w:shd w:val="clear" w:color="auto" w:fill="auto"/>
            <w:hideMark/>
          </w:tcPr>
          <w:p w:rsidRPr="002663BC" w:rsidR="0048298B" w:rsidP="008402EC" w:rsidRDefault="0048298B" w14:paraId="6CB46D71" w14:textId="2434C8EA">
            <w:pPr>
              <w:pStyle w:val="Standard"/>
              <w:keepNext/>
              <w:spacing w:after="240" w:line="240" w:lineRule="auto"/>
              <w:ind w:firstLine="0"/>
              <w:jc w:val="center"/>
              <w:rPr>
                <w:rFonts w:eastAsia="Times New Roman" w:cs="Times New Roman"/>
                <w:color w:val="000000"/>
                <w:sz w:val="24"/>
                <w:szCs w:val="24"/>
              </w:rPr>
            </w:pPr>
            <w:r w:rsidRPr="002663BC">
              <w:rPr>
                <w:rFonts w:eastAsia="Times New Roman" w:cs="Times New Roman"/>
                <w:color w:val="000000"/>
                <w:sz w:val="24"/>
                <w:szCs w:val="24"/>
              </w:rPr>
              <w:t>Southern California Edison</w:t>
            </w:r>
            <w:r w:rsidRPr="002663BC" w:rsidR="00406B18">
              <w:rPr>
                <w:rFonts w:eastAsia="Times New Roman" w:cs="Times New Roman"/>
                <w:color w:val="000000"/>
                <w:sz w:val="24"/>
                <w:szCs w:val="24"/>
              </w:rPr>
              <w:t xml:space="preserve"> Company</w:t>
            </w:r>
          </w:p>
        </w:tc>
        <w:tc>
          <w:tcPr>
            <w:tcW w:w="1530" w:type="dxa"/>
            <w:tcBorders>
              <w:top w:val="single" w:color="auto" w:sz="4" w:space="0"/>
              <w:bottom w:val="single" w:color="auto" w:sz="4" w:space="0"/>
            </w:tcBorders>
            <w:shd w:val="clear" w:color="auto" w:fill="auto"/>
            <w:hideMark/>
          </w:tcPr>
          <w:p w:rsidRPr="002663BC" w:rsidR="0048298B" w:rsidP="008402EC" w:rsidRDefault="0048298B" w14:paraId="60D76C14" w14:textId="180C82D1">
            <w:pPr>
              <w:pStyle w:val="Standard"/>
              <w:keepNext/>
              <w:spacing w:after="240" w:line="240" w:lineRule="auto"/>
              <w:ind w:firstLine="0"/>
              <w:jc w:val="center"/>
              <w:rPr>
                <w:rFonts w:eastAsia="Times New Roman" w:cs="Times New Roman"/>
                <w:color w:val="000000"/>
                <w:sz w:val="24"/>
                <w:szCs w:val="24"/>
              </w:rPr>
            </w:pPr>
            <w:r w:rsidRPr="002663BC">
              <w:rPr>
                <w:rFonts w:eastAsia="Times New Roman" w:cs="Times New Roman"/>
                <w:color w:val="000000"/>
                <w:sz w:val="24"/>
                <w:szCs w:val="24"/>
              </w:rPr>
              <w:t xml:space="preserve">4,621,605 </w:t>
            </w:r>
          </w:p>
        </w:tc>
        <w:tc>
          <w:tcPr>
            <w:tcW w:w="1440" w:type="dxa"/>
            <w:tcBorders>
              <w:top w:val="single" w:color="auto" w:sz="4" w:space="0"/>
              <w:bottom w:val="single" w:color="auto" w:sz="4" w:space="0"/>
            </w:tcBorders>
            <w:shd w:val="clear" w:color="auto" w:fill="auto"/>
            <w:hideMark/>
          </w:tcPr>
          <w:p w:rsidRPr="002663BC" w:rsidR="0048298B" w:rsidP="008402EC" w:rsidRDefault="0048298B" w14:paraId="435A27FD" w14:textId="33033C2E">
            <w:pPr>
              <w:pStyle w:val="Standard"/>
              <w:keepNext/>
              <w:spacing w:after="240" w:line="240" w:lineRule="auto"/>
              <w:ind w:firstLine="0"/>
              <w:jc w:val="center"/>
              <w:rPr>
                <w:rFonts w:eastAsia="Times New Roman" w:cs="Times New Roman"/>
                <w:color w:val="000000"/>
                <w:sz w:val="24"/>
                <w:szCs w:val="24"/>
              </w:rPr>
            </w:pPr>
            <w:r w:rsidRPr="002663BC">
              <w:rPr>
                <w:rFonts w:eastAsia="Times New Roman" w:cs="Times New Roman"/>
                <w:color w:val="000000"/>
                <w:sz w:val="24"/>
                <w:szCs w:val="24"/>
              </w:rPr>
              <w:t xml:space="preserve"> 538,525 </w:t>
            </w:r>
          </w:p>
        </w:tc>
        <w:tc>
          <w:tcPr>
            <w:tcW w:w="1440" w:type="dxa"/>
            <w:tcBorders>
              <w:top w:val="single" w:color="auto" w:sz="4" w:space="0"/>
              <w:bottom w:val="single" w:color="auto" w:sz="4" w:space="0"/>
            </w:tcBorders>
            <w:shd w:val="clear" w:color="auto" w:fill="auto"/>
            <w:hideMark/>
          </w:tcPr>
          <w:p w:rsidRPr="002663BC" w:rsidR="0048298B" w:rsidP="008402EC" w:rsidRDefault="0048298B" w14:paraId="74BCDDE3" w14:textId="2866E8E2">
            <w:pPr>
              <w:pStyle w:val="Standard"/>
              <w:keepNext/>
              <w:spacing w:after="240" w:line="240" w:lineRule="auto"/>
              <w:ind w:firstLine="0"/>
              <w:jc w:val="center"/>
              <w:rPr>
                <w:rFonts w:eastAsia="Times New Roman" w:cs="Times New Roman"/>
                <w:color w:val="000000"/>
                <w:sz w:val="24"/>
                <w:szCs w:val="24"/>
              </w:rPr>
            </w:pPr>
            <w:r w:rsidRPr="002663BC">
              <w:rPr>
                <w:rFonts w:eastAsia="Times New Roman" w:cs="Times New Roman"/>
                <w:color w:val="000000"/>
                <w:sz w:val="24"/>
                <w:szCs w:val="24"/>
              </w:rPr>
              <w:t>41.</w:t>
            </w:r>
            <w:r w:rsidR="00F92390">
              <w:rPr>
                <w:rFonts w:eastAsia="Times New Roman" w:cs="Times New Roman"/>
                <w:color w:val="000000"/>
                <w:sz w:val="24"/>
                <w:szCs w:val="24"/>
              </w:rPr>
              <w:t>9</w:t>
            </w:r>
            <w:r w:rsidRPr="002663BC">
              <w:rPr>
                <w:rFonts w:eastAsia="Times New Roman" w:cs="Times New Roman"/>
                <w:color w:val="000000"/>
                <w:sz w:val="24"/>
                <w:szCs w:val="24"/>
              </w:rPr>
              <w:t>2%</w:t>
            </w:r>
          </w:p>
        </w:tc>
        <w:tc>
          <w:tcPr>
            <w:tcW w:w="1615" w:type="dxa"/>
            <w:tcBorders>
              <w:top w:val="single" w:color="auto" w:sz="4" w:space="0"/>
              <w:bottom w:val="single" w:color="auto" w:sz="4" w:space="0"/>
              <w:right w:val="single" w:color="auto" w:sz="4" w:space="0"/>
            </w:tcBorders>
            <w:shd w:val="clear" w:color="auto" w:fill="auto"/>
            <w:hideMark/>
          </w:tcPr>
          <w:p w:rsidRPr="002663BC" w:rsidR="0048298B" w:rsidP="008402EC" w:rsidRDefault="00E22D4C" w14:paraId="0C994A86" w14:textId="30963E32">
            <w:pPr>
              <w:pStyle w:val="Standard"/>
              <w:keepNext/>
              <w:spacing w:after="240" w:line="240" w:lineRule="auto"/>
              <w:ind w:firstLine="0"/>
              <w:jc w:val="center"/>
              <w:rPr>
                <w:rFonts w:eastAsia="Times New Roman" w:cs="Times New Roman"/>
                <w:color w:val="000000"/>
                <w:sz w:val="24"/>
                <w:szCs w:val="24"/>
              </w:rPr>
            </w:pPr>
            <w:r w:rsidRPr="00E22D4C">
              <w:rPr>
                <w:rFonts w:eastAsia="Times New Roman" w:cs="Times New Roman"/>
                <w:color w:val="000000"/>
                <w:sz w:val="24"/>
                <w:szCs w:val="24"/>
              </w:rPr>
              <w:t>$2,096,22</w:t>
            </w:r>
            <w:r>
              <w:rPr>
                <w:rFonts w:eastAsia="Times New Roman" w:cs="Times New Roman"/>
                <w:color w:val="000000"/>
                <w:sz w:val="24"/>
                <w:szCs w:val="24"/>
              </w:rPr>
              <w:t>6</w:t>
            </w:r>
          </w:p>
        </w:tc>
      </w:tr>
      <w:tr w:rsidRPr="002663BC" w:rsidR="002663BC" w:rsidTr="002663BC" w14:paraId="147DB2D2" w14:textId="111E62D4">
        <w:trPr>
          <w:cantSplit/>
          <w:trHeight w:val="27"/>
        </w:trPr>
        <w:tc>
          <w:tcPr>
            <w:tcW w:w="3325" w:type="dxa"/>
            <w:tcBorders>
              <w:top w:val="single" w:color="auto" w:sz="4" w:space="0"/>
              <w:left w:val="single" w:color="auto" w:sz="4" w:space="0"/>
              <w:bottom w:val="single" w:color="auto" w:sz="4" w:space="0"/>
            </w:tcBorders>
            <w:shd w:val="clear" w:color="auto" w:fill="auto"/>
            <w:hideMark/>
          </w:tcPr>
          <w:p w:rsidRPr="002663BC" w:rsidR="0048298B" w:rsidP="008402EC" w:rsidRDefault="0048298B" w14:paraId="1A94479A" w14:textId="2CC8F2E6">
            <w:pPr>
              <w:pStyle w:val="Standard"/>
              <w:keepNext/>
              <w:spacing w:after="240" w:line="240" w:lineRule="auto"/>
              <w:ind w:firstLine="0"/>
              <w:jc w:val="center"/>
              <w:rPr>
                <w:rFonts w:eastAsia="Times New Roman" w:cs="Times New Roman"/>
                <w:color w:val="000000"/>
                <w:sz w:val="24"/>
                <w:szCs w:val="24"/>
              </w:rPr>
            </w:pPr>
            <w:r w:rsidRPr="002663BC">
              <w:rPr>
                <w:rFonts w:eastAsia="Times New Roman" w:cs="Times New Roman"/>
                <w:color w:val="000000"/>
                <w:sz w:val="24"/>
                <w:szCs w:val="24"/>
              </w:rPr>
              <w:t>San Diego Gas &amp; Electric</w:t>
            </w:r>
            <w:r w:rsidRPr="002663BC" w:rsidR="00D612FC">
              <w:rPr>
                <w:rFonts w:eastAsia="Times New Roman" w:cs="Times New Roman"/>
                <w:color w:val="000000"/>
                <w:sz w:val="24"/>
                <w:szCs w:val="24"/>
              </w:rPr>
              <w:t xml:space="preserve"> Company</w:t>
            </w:r>
          </w:p>
        </w:tc>
        <w:tc>
          <w:tcPr>
            <w:tcW w:w="1530" w:type="dxa"/>
            <w:tcBorders>
              <w:top w:val="single" w:color="auto" w:sz="4" w:space="0"/>
              <w:bottom w:val="single" w:color="auto" w:sz="4" w:space="0"/>
            </w:tcBorders>
            <w:shd w:val="clear" w:color="auto" w:fill="auto"/>
            <w:hideMark/>
          </w:tcPr>
          <w:p w:rsidRPr="002663BC" w:rsidR="0048298B" w:rsidP="008402EC" w:rsidRDefault="0048298B" w14:paraId="458B9950" w14:textId="341B1987">
            <w:pPr>
              <w:pStyle w:val="Standard"/>
              <w:keepNext/>
              <w:spacing w:after="240" w:line="240" w:lineRule="auto"/>
              <w:ind w:firstLine="0"/>
              <w:jc w:val="center"/>
              <w:rPr>
                <w:rFonts w:eastAsia="Times New Roman" w:cs="Times New Roman"/>
                <w:color w:val="000000"/>
                <w:sz w:val="24"/>
                <w:szCs w:val="24"/>
              </w:rPr>
            </w:pPr>
            <w:r w:rsidRPr="002663BC">
              <w:rPr>
                <w:rFonts w:eastAsia="Times New Roman" w:cs="Times New Roman"/>
                <w:color w:val="000000"/>
                <w:sz w:val="24"/>
                <w:szCs w:val="24"/>
              </w:rPr>
              <w:t xml:space="preserve">1,371,321 </w:t>
            </w:r>
          </w:p>
        </w:tc>
        <w:tc>
          <w:tcPr>
            <w:tcW w:w="1440" w:type="dxa"/>
            <w:tcBorders>
              <w:top w:val="single" w:color="auto" w:sz="4" w:space="0"/>
              <w:bottom w:val="single" w:color="auto" w:sz="4" w:space="0"/>
            </w:tcBorders>
            <w:shd w:val="clear" w:color="auto" w:fill="auto"/>
            <w:hideMark/>
          </w:tcPr>
          <w:p w:rsidRPr="002663BC" w:rsidR="0048298B" w:rsidP="008402EC" w:rsidRDefault="0048298B" w14:paraId="17857F03" w14:textId="7E9DB0EB">
            <w:pPr>
              <w:pStyle w:val="Standard"/>
              <w:keepNext/>
              <w:spacing w:after="240" w:line="240" w:lineRule="auto"/>
              <w:ind w:firstLine="0"/>
              <w:jc w:val="center"/>
              <w:rPr>
                <w:rFonts w:eastAsia="Times New Roman" w:cs="Times New Roman"/>
                <w:color w:val="000000"/>
                <w:sz w:val="24"/>
                <w:szCs w:val="24"/>
              </w:rPr>
            </w:pPr>
            <w:r w:rsidRPr="002663BC">
              <w:rPr>
                <w:rFonts w:eastAsia="Times New Roman" w:cs="Times New Roman"/>
                <w:color w:val="000000"/>
                <w:sz w:val="24"/>
                <w:szCs w:val="24"/>
              </w:rPr>
              <w:t>124,648</w:t>
            </w:r>
            <w:r w:rsidRPr="002663BC" w:rsidR="00A00467">
              <w:rPr>
                <w:rFonts w:eastAsia="Times New Roman" w:cs="Times New Roman"/>
                <w:color w:val="000000"/>
                <w:sz w:val="24"/>
                <w:szCs w:val="24"/>
              </w:rPr>
              <w:t xml:space="preserve"> </w:t>
            </w:r>
          </w:p>
        </w:tc>
        <w:tc>
          <w:tcPr>
            <w:tcW w:w="1440" w:type="dxa"/>
            <w:tcBorders>
              <w:top w:val="single" w:color="auto" w:sz="4" w:space="0"/>
              <w:bottom w:val="single" w:color="auto" w:sz="4" w:space="0"/>
            </w:tcBorders>
            <w:shd w:val="clear" w:color="auto" w:fill="auto"/>
            <w:hideMark/>
          </w:tcPr>
          <w:p w:rsidRPr="002663BC" w:rsidR="0048298B" w:rsidP="008402EC" w:rsidRDefault="0048298B" w14:paraId="77664D9C" w14:textId="0EDCCB46">
            <w:pPr>
              <w:pStyle w:val="Standard"/>
              <w:keepNext/>
              <w:spacing w:after="240" w:line="240" w:lineRule="auto"/>
              <w:ind w:firstLine="0"/>
              <w:jc w:val="center"/>
              <w:rPr>
                <w:rFonts w:eastAsia="Times New Roman" w:cs="Times New Roman"/>
                <w:color w:val="000000"/>
                <w:sz w:val="24"/>
                <w:szCs w:val="24"/>
              </w:rPr>
            </w:pPr>
            <w:r w:rsidRPr="002663BC">
              <w:rPr>
                <w:rFonts w:eastAsia="Times New Roman" w:cs="Times New Roman"/>
                <w:color w:val="000000"/>
                <w:sz w:val="24"/>
                <w:szCs w:val="24"/>
              </w:rPr>
              <w:t>12.</w:t>
            </w:r>
            <w:r w:rsidR="00F92390">
              <w:rPr>
                <w:rFonts w:eastAsia="Times New Roman" w:cs="Times New Roman"/>
                <w:color w:val="000000"/>
                <w:sz w:val="24"/>
                <w:szCs w:val="24"/>
              </w:rPr>
              <w:t>15</w:t>
            </w:r>
            <w:r w:rsidRPr="002663BC">
              <w:rPr>
                <w:rFonts w:eastAsia="Times New Roman" w:cs="Times New Roman"/>
                <w:color w:val="000000"/>
                <w:sz w:val="24"/>
                <w:szCs w:val="24"/>
              </w:rPr>
              <w:t>%</w:t>
            </w:r>
          </w:p>
        </w:tc>
        <w:tc>
          <w:tcPr>
            <w:tcW w:w="1615" w:type="dxa"/>
            <w:tcBorders>
              <w:top w:val="single" w:color="auto" w:sz="4" w:space="0"/>
              <w:bottom w:val="single" w:color="auto" w:sz="4" w:space="0"/>
              <w:right w:val="single" w:color="auto" w:sz="4" w:space="0"/>
            </w:tcBorders>
            <w:shd w:val="clear" w:color="auto" w:fill="auto"/>
            <w:hideMark/>
          </w:tcPr>
          <w:p w:rsidRPr="002663BC" w:rsidR="0048298B" w:rsidP="008402EC" w:rsidRDefault="00E22D4C" w14:paraId="2ABC4A5E" w14:textId="08212FFF">
            <w:pPr>
              <w:pStyle w:val="Standard"/>
              <w:keepNext/>
              <w:spacing w:after="240" w:line="240" w:lineRule="auto"/>
              <w:ind w:firstLine="0"/>
              <w:jc w:val="center"/>
              <w:rPr>
                <w:rFonts w:eastAsia="Times New Roman" w:cs="Times New Roman"/>
                <w:color w:val="000000"/>
                <w:sz w:val="24"/>
                <w:szCs w:val="24"/>
              </w:rPr>
            </w:pPr>
            <w:r w:rsidRPr="00E22D4C">
              <w:rPr>
                <w:rFonts w:eastAsia="Times New Roman" w:cs="Times New Roman"/>
                <w:color w:val="000000"/>
                <w:sz w:val="24"/>
                <w:szCs w:val="24"/>
              </w:rPr>
              <w:t>$607,715</w:t>
            </w:r>
          </w:p>
        </w:tc>
      </w:tr>
      <w:bookmarkEnd w:id="66"/>
      <w:tr w:rsidRPr="002663BC" w:rsidR="002663BC" w:rsidTr="002663BC" w14:paraId="1972D9B3" w14:textId="2929B2E6">
        <w:trPr>
          <w:cantSplit/>
          <w:trHeight w:val="202"/>
        </w:trPr>
        <w:tc>
          <w:tcPr>
            <w:tcW w:w="3325" w:type="dxa"/>
            <w:tcBorders>
              <w:top w:val="single" w:color="auto" w:sz="4" w:space="0"/>
              <w:left w:val="single" w:color="auto" w:sz="4" w:space="0"/>
              <w:bottom w:val="single" w:color="auto" w:sz="4" w:space="0"/>
            </w:tcBorders>
            <w:shd w:val="clear" w:color="auto" w:fill="auto"/>
            <w:hideMark/>
          </w:tcPr>
          <w:p w:rsidRPr="002663BC" w:rsidR="0048298B" w:rsidP="008402EC" w:rsidRDefault="0048298B" w14:paraId="3541DE62" w14:textId="5A190AFA">
            <w:pPr>
              <w:pStyle w:val="Standard"/>
              <w:keepNext/>
              <w:spacing w:after="240" w:line="240" w:lineRule="auto"/>
              <w:ind w:firstLine="0"/>
              <w:jc w:val="center"/>
              <w:rPr>
                <w:rFonts w:eastAsia="Times New Roman" w:cs="Times New Roman"/>
                <w:b/>
                <w:bCs/>
                <w:color w:val="000000"/>
                <w:sz w:val="24"/>
                <w:szCs w:val="24"/>
              </w:rPr>
            </w:pPr>
            <w:r w:rsidRPr="002663BC">
              <w:rPr>
                <w:rFonts w:eastAsia="Times New Roman" w:cs="Times New Roman"/>
                <w:b/>
                <w:bCs/>
                <w:color w:val="000000"/>
                <w:sz w:val="24"/>
                <w:szCs w:val="24"/>
              </w:rPr>
              <w:t>TOTAL</w:t>
            </w:r>
            <w:r w:rsidRPr="002663BC" w:rsidR="00A00467">
              <w:rPr>
                <w:rFonts w:eastAsia="Times New Roman" w:cs="Times New Roman"/>
                <w:b/>
                <w:bCs/>
                <w:color w:val="000000"/>
                <w:sz w:val="24"/>
                <w:szCs w:val="24"/>
              </w:rPr>
              <w:t xml:space="preserve"> </w:t>
            </w:r>
          </w:p>
        </w:tc>
        <w:tc>
          <w:tcPr>
            <w:tcW w:w="1530" w:type="dxa"/>
            <w:tcBorders>
              <w:top w:val="single" w:color="auto" w:sz="4" w:space="0"/>
              <w:bottom w:val="single" w:color="auto" w:sz="4" w:space="0"/>
            </w:tcBorders>
            <w:shd w:val="clear" w:color="auto" w:fill="auto"/>
            <w:hideMark/>
          </w:tcPr>
          <w:p w:rsidRPr="002663BC" w:rsidR="0048298B" w:rsidP="008402EC" w:rsidRDefault="00486332" w14:paraId="3AFD2301" w14:textId="4A3D5FD1">
            <w:pPr>
              <w:pStyle w:val="Standard"/>
              <w:keepNext/>
              <w:spacing w:after="240" w:line="240" w:lineRule="auto"/>
              <w:ind w:firstLine="0"/>
              <w:jc w:val="center"/>
              <w:rPr>
                <w:rFonts w:eastAsia="Times New Roman" w:cs="Times New Roman"/>
                <w:b/>
                <w:bCs/>
                <w:color w:val="000000"/>
                <w:sz w:val="24"/>
                <w:szCs w:val="24"/>
              </w:rPr>
            </w:pPr>
            <w:r w:rsidRPr="00486332">
              <w:rPr>
                <w:rFonts w:eastAsia="Times New Roman" w:cs="Times New Roman"/>
                <w:b/>
                <w:bCs/>
                <w:color w:val="000000"/>
                <w:sz w:val="24"/>
                <w:szCs w:val="24"/>
              </w:rPr>
              <w:t>11,164,342</w:t>
            </w:r>
          </w:p>
        </w:tc>
        <w:tc>
          <w:tcPr>
            <w:tcW w:w="1440" w:type="dxa"/>
            <w:tcBorders>
              <w:top w:val="single" w:color="auto" w:sz="4" w:space="0"/>
              <w:bottom w:val="single" w:color="auto" w:sz="4" w:space="0"/>
            </w:tcBorders>
            <w:shd w:val="clear" w:color="auto" w:fill="auto"/>
            <w:hideMark/>
          </w:tcPr>
          <w:p w:rsidRPr="002663BC" w:rsidR="0048298B" w:rsidP="008402EC" w:rsidRDefault="008A4277" w14:paraId="1C34A931" w14:textId="2F91A15B">
            <w:pPr>
              <w:pStyle w:val="Standard"/>
              <w:keepNext/>
              <w:spacing w:after="240" w:line="240" w:lineRule="auto"/>
              <w:ind w:firstLine="0"/>
              <w:jc w:val="center"/>
              <w:rPr>
                <w:rFonts w:eastAsia="Times New Roman" w:cs="Times New Roman"/>
                <w:b/>
                <w:bCs/>
                <w:color w:val="000000"/>
                <w:sz w:val="24"/>
                <w:szCs w:val="24"/>
              </w:rPr>
            </w:pPr>
            <w:r w:rsidRPr="008A4277">
              <w:rPr>
                <w:rFonts w:eastAsia="Times New Roman" w:cs="Times New Roman"/>
                <w:b/>
                <w:bCs/>
                <w:color w:val="000000"/>
                <w:sz w:val="24"/>
                <w:szCs w:val="24"/>
              </w:rPr>
              <w:t>1,143,802</w:t>
            </w:r>
          </w:p>
        </w:tc>
        <w:tc>
          <w:tcPr>
            <w:tcW w:w="1440" w:type="dxa"/>
            <w:tcBorders>
              <w:top w:val="single" w:color="auto" w:sz="4" w:space="0"/>
              <w:bottom w:val="single" w:color="auto" w:sz="4" w:space="0"/>
            </w:tcBorders>
            <w:shd w:val="clear" w:color="auto" w:fill="auto"/>
            <w:hideMark/>
          </w:tcPr>
          <w:p w:rsidRPr="002663BC" w:rsidR="0048298B" w:rsidP="008402EC" w:rsidRDefault="0048298B" w14:paraId="2B4B8FBF" w14:textId="5EC63F43">
            <w:pPr>
              <w:pStyle w:val="Standard"/>
              <w:keepNext/>
              <w:spacing w:after="240" w:line="240" w:lineRule="auto"/>
              <w:ind w:firstLine="0"/>
              <w:jc w:val="center"/>
              <w:rPr>
                <w:rFonts w:eastAsia="Times New Roman" w:cs="Times New Roman"/>
                <w:b/>
                <w:bCs/>
                <w:color w:val="000000"/>
                <w:sz w:val="24"/>
                <w:szCs w:val="24"/>
              </w:rPr>
            </w:pPr>
            <w:r w:rsidRPr="002663BC">
              <w:rPr>
                <w:rFonts w:eastAsia="Times New Roman" w:cs="Times New Roman"/>
                <w:b/>
                <w:bCs/>
                <w:color w:val="000000"/>
                <w:sz w:val="24"/>
                <w:szCs w:val="24"/>
              </w:rPr>
              <w:t>100.00%</w:t>
            </w:r>
            <w:r w:rsidRPr="002663BC" w:rsidR="00A00467">
              <w:rPr>
                <w:rFonts w:eastAsia="Times New Roman" w:cs="Times New Roman"/>
                <w:b/>
                <w:bCs/>
                <w:color w:val="000000"/>
                <w:sz w:val="24"/>
                <w:szCs w:val="24"/>
              </w:rPr>
              <w:t xml:space="preserve"> </w:t>
            </w:r>
          </w:p>
        </w:tc>
        <w:tc>
          <w:tcPr>
            <w:tcW w:w="1615" w:type="dxa"/>
            <w:tcBorders>
              <w:top w:val="single" w:color="auto" w:sz="4" w:space="0"/>
              <w:bottom w:val="single" w:color="auto" w:sz="4" w:space="0"/>
              <w:right w:val="single" w:color="auto" w:sz="4" w:space="0"/>
            </w:tcBorders>
            <w:shd w:val="clear" w:color="auto" w:fill="auto"/>
            <w:hideMark/>
          </w:tcPr>
          <w:p w:rsidRPr="002663BC" w:rsidR="0048298B" w:rsidP="008402EC" w:rsidRDefault="0048298B" w14:paraId="0CD66F27" w14:textId="00E7DE07">
            <w:pPr>
              <w:pStyle w:val="Standard"/>
              <w:keepNext/>
              <w:spacing w:after="240" w:line="240" w:lineRule="auto"/>
              <w:ind w:firstLine="0"/>
              <w:jc w:val="center"/>
              <w:rPr>
                <w:rFonts w:eastAsia="Times New Roman" w:cs="Times New Roman"/>
                <w:b/>
                <w:bCs/>
                <w:color w:val="000000"/>
                <w:sz w:val="24"/>
                <w:szCs w:val="24"/>
              </w:rPr>
            </w:pPr>
            <w:r w:rsidRPr="002663BC">
              <w:rPr>
                <w:rFonts w:eastAsia="Times New Roman" w:cs="Times New Roman"/>
                <w:b/>
                <w:bCs/>
                <w:color w:val="000000"/>
                <w:sz w:val="24"/>
                <w:szCs w:val="24"/>
              </w:rPr>
              <w:t>$</w:t>
            </w:r>
            <w:r w:rsidRPr="002663BC" w:rsidR="003552E5">
              <w:rPr>
                <w:rFonts w:eastAsia="Times New Roman" w:cs="Times New Roman"/>
                <w:b/>
                <w:bCs/>
                <w:color w:val="000000"/>
                <w:sz w:val="24"/>
                <w:szCs w:val="24"/>
              </w:rPr>
              <w:t>5</w:t>
            </w:r>
            <w:r w:rsidRPr="002663BC">
              <w:rPr>
                <w:rFonts w:eastAsia="Times New Roman" w:cs="Times New Roman"/>
                <w:b/>
                <w:bCs/>
                <w:color w:val="000000"/>
                <w:sz w:val="24"/>
                <w:szCs w:val="24"/>
              </w:rPr>
              <w:t>,000,000</w:t>
            </w:r>
            <w:r w:rsidRPr="002663BC" w:rsidR="00A00467">
              <w:rPr>
                <w:rFonts w:eastAsia="Times New Roman" w:cs="Times New Roman"/>
                <w:b/>
                <w:bCs/>
                <w:color w:val="000000"/>
                <w:sz w:val="24"/>
                <w:szCs w:val="24"/>
              </w:rPr>
              <w:t xml:space="preserve"> </w:t>
            </w:r>
          </w:p>
        </w:tc>
      </w:tr>
      <w:tr w:rsidRPr="002663BC" w:rsidR="00642639" w:rsidTr="00A00467" w14:paraId="2B165934" w14:textId="1F164376">
        <w:trPr>
          <w:cantSplit/>
          <w:trHeight w:val="345"/>
        </w:trPr>
        <w:tc>
          <w:tcPr>
            <w:tcW w:w="9350" w:type="dxa"/>
            <w:gridSpan w:val="5"/>
            <w:tcBorders>
              <w:top w:val="single" w:color="auto" w:sz="4" w:space="0"/>
            </w:tcBorders>
            <w:shd w:val="clear" w:color="auto" w:fill="auto"/>
            <w:vAlign w:val="center"/>
          </w:tcPr>
          <w:p w:rsidRPr="002663BC" w:rsidR="00642639" w:rsidP="008402EC" w:rsidRDefault="00E63318" w14:paraId="740CD362" w14:textId="39F7F5AA">
            <w:pPr>
              <w:pStyle w:val="Standard"/>
              <w:keepNext/>
              <w:spacing w:after="240" w:line="240" w:lineRule="auto"/>
              <w:ind w:firstLine="0"/>
              <w:rPr>
                <w:rFonts w:eastAsia="Times New Roman" w:cs="Times New Roman"/>
                <w:color w:val="000000"/>
                <w:sz w:val="20"/>
                <w:szCs w:val="20"/>
              </w:rPr>
            </w:pPr>
            <w:r w:rsidRPr="002663BC">
              <w:rPr>
                <w:rFonts w:eastAsia="Times New Roman" w:cs="Times New Roman"/>
                <w:color w:val="000000"/>
                <w:sz w:val="20"/>
                <w:szCs w:val="20"/>
              </w:rPr>
              <w:t xml:space="preserve">Source: </w:t>
            </w:r>
            <w:r w:rsidRPr="002663BC" w:rsidR="00C86271">
              <w:rPr>
                <w:rFonts w:eastAsia="Times New Roman" w:cs="Times New Roman"/>
                <w:color w:val="000000"/>
                <w:sz w:val="20"/>
                <w:szCs w:val="20"/>
              </w:rPr>
              <w:t xml:space="preserve">2023 </w:t>
            </w:r>
            <w:r w:rsidRPr="002663BC" w:rsidR="00333888">
              <w:rPr>
                <w:rFonts w:eastAsia="Times New Roman" w:cs="Times New Roman"/>
                <w:color w:val="000000"/>
                <w:sz w:val="20"/>
                <w:szCs w:val="20"/>
              </w:rPr>
              <w:t xml:space="preserve">Energy Resource Recovery Account </w:t>
            </w:r>
            <w:r w:rsidRPr="002663BC" w:rsidR="006C4506">
              <w:rPr>
                <w:rFonts w:eastAsia="Times New Roman" w:cs="Times New Roman"/>
                <w:color w:val="000000"/>
                <w:sz w:val="20"/>
                <w:szCs w:val="20"/>
              </w:rPr>
              <w:t xml:space="preserve">Compliance </w:t>
            </w:r>
            <w:r w:rsidRPr="002663BC" w:rsidR="00333888">
              <w:rPr>
                <w:rFonts w:eastAsia="Times New Roman" w:cs="Times New Roman"/>
                <w:color w:val="000000"/>
                <w:sz w:val="20"/>
                <w:szCs w:val="20"/>
              </w:rPr>
              <w:t>Proceeding</w:t>
            </w:r>
            <w:r w:rsidRPr="002663BC" w:rsidR="00927294">
              <w:rPr>
                <w:rFonts w:eastAsia="Times New Roman" w:cs="Times New Roman"/>
                <w:color w:val="000000"/>
                <w:sz w:val="20"/>
                <w:szCs w:val="20"/>
              </w:rPr>
              <w:t xml:space="preserve">. Decisions Approving the Return of Cap-and-Trade Program Funds for Electric </w:t>
            </w:r>
            <w:r w:rsidR="00395EFD">
              <w:rPr>
                <w:rFonts w:eastAsia="Times New Roman" w:cs="Times New Roman"/>
                <w:color w:val="000000"/>
                <w:sz w:val="20"/>
                <w:szCs w:val="20"/>
              </w:rPr>
              <w:t>U</w:t>
            </w:r>
            <w:r w:rsidRPr="002663BC" w:rsidR="000B7452">
              <w:rPr>
                <w:rFonts w:eastAsia="Times New Roman" w:cs="Times New Roman"/>
                <w:color w:val="000000"/>
                <w:sz w:val="20"/>
                <w:szCs w:val="20"/>
              </w:rPr>
              <w:t>tilities</w:t>
            </w:r>
            <w:r w:rsidRPr="002663BC" w:rsidR="00E05270">
              <w:rPr>
                <w:rFonts w:eastAsia="Times New Roman" w:cs="Times New Roman"/>
                <w:color w:val="000000"/>
                <w:sz w:val="20"/>
                <w:szCs w:val="20"/>
              </w:rPr>
              <w:t xml:space="preserve"> </w:t>
            </w:r>
            <w:r w:rsidR="009371D1">
              <w:rPr>
                <w:rFonts w:eastAsia="Times New Roman" w:cs="Times New Roman"/>
                <w:color w:val="000000"/>
                <w:sz w:val="20"/>
                <w:szCs w:val="20"/>
              </w:rPr>
              <w:t>(</w:t>
            </w:r>
            <w:r w:rsidRPr="002663BC" w:rsidR="00E05270">
              <w:rPr>
                <w:rFonts w:eastAsia="Times New Roman" w:cs="Times New Roman"/>
                <w:color w:val="000000"/>
                <w:sz w:val="20"/>
                <w:szCs w:val="20"/>
              </w:rPr>
              <w:t>PG&amp;E: D.23-12</w:t>
            </w:r>
            <w:r w:rsidR="00B75808">
              <w:rPr>
                <w:rFonts w:eastAsia="Times New Roman" w:cs="Times New Roman"/>
                <w:color w:val="000000"/>
                <w:sz w:val="20"/>
                <w:szCs w:val="20"/>
              </w:rPr>
              <w:t>-</w:t>
            </w:r>
            <w:r w:rsidRPr="002663BC" w:rsidR="00E05270">
              <w:rPr>
                <w:rFonts w:eastAsia="Times New Roman" w:cs="Times New Roman"/>
                <w:color w:val="000000"/>
                <w:sz w:val="20"/>
                <w:szCs w:val="20"/>
              </w:rPr>
              <w:t>022</w:t>
            </w:r>
            <w:r w:rsidRPr="002663BC" w:rsidR="00A26888">
              <w:rPr>
                <w:rFonts w:eastAsia="Times New Roman" w:cs="Times New Roman"/>
                <w:color w:val="000000"/>
                <w:sz w:val="20"/>
                <w:szCs w:val="20"/>
              </w:rPr>
              <w:t xml:space="preserve">, </w:t>
            </w:r>
            <w:r w:rsidRPr="002663BC" w:rsidR="004D38B9">
              <w:rPr>
                <w:rFonts w:eastAsia="Times New Roman" w:cs="Times New Roman"/>
                <w:color w:val="000000"/>
                <w:sz w:val="20"/>
                <w:szCs w:val="20"/>
              </w:rPr>
              <w:t>SCE: D.23</w:t>
            </w:r>
            <w:r w:rsidR="00CD6569">
              <w:rPr>
                <w:rFonts w:eastAsia="Times New Roman" w:cs="Times New Roman"/>
                <w:color w:val="000000"/>
                <w:sz w:val="20"/>
                <w:szCs w:val="20"/>
              </w:rPr>
              <w:noBreakHyphen/>
            </w:r>
            <w:r w:rsidRPr="002663BC" w:rsidR="004D38B9">
              <w:rPr>
                <w:rFonts w:eastAsia="Times New Roman" w:cs="Times New Roman"/>
                <w:color w:val="000000"/>
                <w:sz w:val="20"/>
                <w:szCs w:val="20"/>
              </w:rPr>
              <w:t>11</w:t>
            </w:r>
            <w:r w:rsidR="00CD6569">
              <w:rPr>
                <w:rFonts w:eastAsia="Times New Roman" w:cs="Times New Roman"/>
                <w:color w:val="000000"/>
                <w:sz w:val="20"/>
                <w:szCs w:val="20"/>
              </w:rPr>
              <w:noBreakHyphen/>
            </w:r>
            <w:r w:rsidRPr="002663BC" w:rsidR="004D38B9">
              <w:rPr>
                <w:rFonts w:eastAsia="Times New Roman" w:cs="Times New Roman"/>
                <w:color w:val="000000"/>
                <w:sz w:val="20"/>
                <w:szCs w:val="20"/>
              </w:rPr>
              <w:t xml:space="preserve">094, </w:t>
            </w:r>
            <w:r w:rsidR="00395EFD">
              <w:rPr>
                <w:rFonts w:eastAsia="Times New Roman" w:cs="Times New Roman"/>
                <w:color w:val="000000"/>
                <w:sz w:val="20"/>
                <w:szCs w:val="20"/>
              </w:rPr>
              <w:t xml:space="preserve">and </w:t>
            </w:r>
            <w:r w:rsidRPr="002663BC" w:rsidR="003972B8">
              <w:rPr>
                <w:rFonts w:eastAsia="Times New Roman" w:cs="Times New Roman"/>
                <w:color w:val="000000"/>
                <w:sz w:val="20"/>
                <w:szCs w:val="20"/>
              </w:rPr>
              <w:t>SDG&amp;E: D.23-12-021</w:t>
            </w:r>
            <w:r w:rsidR="009371D1">
              <w:rPr>
                <w:rFonts w:eastAsia="Times New Roman" w:cs="Times New Roman"/>
                <w:color w:val="000000"/>
                <w:sz w:val="20"/>
                <w:szCs w:val="20"/>
              </w:rPr>
              <w:t>).</w:t>
            </w:r>
            <w:r w:rsidRPr="002663BC" w:rsidR="009371D1">
              <w:rPr>
                <w:rFonts w:eastAsia="Times New Roman" w:cs="Times New Roman"/>
                <w:color w:val="000000"/>
                <w:sz w:val="20"/>
                <w:szCs w:val="20"/>
              </w:rPr>
              <w:t xml:space="preserve"> </w:t>
            </w:r>
            <w:r w:rsidRPr="002663BC" w:rsidR="006643C2">
              <w:rPr>
                <w:rFonts w:eastAsia="Times New Roman" w:cs="Times New Roman"/>
                <w:color w:val="000000"/>
                <w:sz w:val="20"/>
                <w:szCs w:val="20"/>
              </w:rPr>
              <w:t xml:space="preserve">Small Business numbers taken from </w:t>
            </w:r>
            <w:r w:rsidR="00F71515">
              <w:rPr>
                <w:rFonts w:eastAsia="Times New Roman" w:cs="Times New Roman"/>
                <w:color w:val="000000"/>
                <w:sz w:val="20"/>
                <w:szCs w:val="20"/>
              </w:rPr>
              <w:t>electric utilities’</w:t>
            </w:r>
            <w:r w:rsidRPr="002663BC" w:rsidR="006643C2">
              <w:rPr>
                <w:rFonts w:eastAsia="Times New Roman" w:cs="Times New Roman"/>
                <w:color w:val="000000"/>
                <w:sz w:val="20"/>
                <w:szCs w:val="20"/>
              </w:rPr>
              <w:t xml:space="preserve"> tes</w:t>
            </w:r>
            <w:r w:rsidRPr="002663BC" w:rsidR="00301DAF">
              <w:rPr>
                <w:rFonts w:eastAsia="Times New Roman" w:cs="Times New Roman"/>
                <w:color w:val="000000"/>
                <w:sz w:val="20"/>
                <w:szCs w:val="20"/>
              </w:rPr>
              <w:t>timonies</w:t>
            </w:r>
            <w:r w:rsidRPr="002663BC" w:rsidR="00791433">
              <w:rPr>
                <w:rFonts w:eastAsia="Times New Roman" w:cs="Times New Roman"/>
                <w:color w:val="000000"/>
                <w:sz w:val="20"/>
                <w:szCs w:val="20"/>
              </w:rPr>
              <w:t xml:space="preserve"> submitted to each docket.</w:t>
            </w:r>
            <w:r w:rsidRPr="002663BC" w:rsidR="00E05270">
              <w:rPr>
                <w:rFonts w:eastAsia="Times New Roman" w:cs="Times New Roman"/>
                <w:color w:val="000000"/>
                <w:sz w:val="20"/>
                <w:szCs w:val="20"/>
              </w:rPr>
              <w:t xml:space="preserve"> </w:t>
            </w:r>
            <w:r w:rsidRPr="002663BC" w:rsidR="002C0394">
              <w:rPr>
                <w:rFonts w:eastAsia="Times New Roman" w:cs="Times New Roman"/>
                <w:color w:val="000000"/>
                <w:sz w:val="20"/>
                <w:szCs w:val="20"/>
              </w:rPr>
              <w:t xml:space="preserve"> </w:t>
            </w:r>
          </w:p>
        </w:tc>
      </w:tr>
    </w:tbl>
    <w:p w:rsidR="007D4008" w:rsidP="003F06B0" w:rsidRDefault="00995B8D" w14:paraId="2073D3C4" w14:textId="50513D34">
      <w:pPr>
        <w:pStyle w:val="Standard"/>
      </w:pPr>
      <w:r>
        <w:t>The electric utilities are directed to inform</w:t>
      </w:r>
      <w:r w:rsidR="00E1308B">
        <w:t xml:space="preserve"> </w:t>
      </w:r>
      <w:r w:rsidR="001C36B6">
        <w:t>applicant customer</w:t>
      </w:r>
      <w:r w:rsidR="00B32008">
        <w:t>s</w:t>
      </w:r>
      <w:r w:rsidR="001C36B6">
        <w:t xml:space="preserve"> </w:t>
      </w:r>
      <w:r w:rsidRPr="00B32008" w:rsidR="00B32008">
        <w:t xml:space="preserve">of </w:t>
      </w:r>
      <w:r w:rsidDel="00B32008" w:rsidR="00B32008">
        <w:t xml:space="preserve"> </w:t>
      </w:r>
      <w:r w:rsidR="001C36B6">
        <w:t xml:space="preserve">all possible alternatives to service </w:t>
      </w:r>
      <w:r w:rsidR="00C52E4E">
        <w:t xml:space="preserve">line </w:t>
      </w:r>
      <w:r w:rsidR="001C36B6">
        <w:t>upsizing</w:t>
      </w:r>
      <w:r w:rsidR="00C52E4E">
        <w:t xml:space="preserve">, </w:t>
      </w:r>
      <w:r w:rsidR="00F2163D">
        <w:t>as out</w:t>
      </w:r>
      <w:r w:rsidR="00B32008">
        <w:t>lined</w:t>
      </w:r>
      <w:r w:rsidR="00F2163D">
        <w:t xml:space="preserve"> in </w:t>
      </w:r>
      <w:r w:rsidRPr="001C7329" w:rsidR="009D1072">
        <w:t>S</w:t>
      </w:r>
      <w:r w:rsidRPr="001C7329" w:rsidR="00F2163D">
        <w:t xml:space="preserve">ection </w:t>
      </w:r>
      <w:r w:rsidRPr="001C7329" w:rsidR="00B579B8">
        <w:t>5</w:t>
      </w:r>
      <w:r w:rsidR="00B579B8">
        <w:t xml:space="preserve"> of this decision. </w:t>
      </w:r>
      <w:r w:rsidR="00B84DFE">
        <w:t xml:space="preserve">The electric utilities </w:t>
      </w:r>
      <w:r w:rsidRPr="009828DA" w:rsidR="009828DA">
        <w:t>shall provide</w:t>
      </w:r>
      <w:r w:rsidR="00B84DFE">
        <w:t xml:space="preserve"> this information</w:t>
      </w:r>
      <w:r w:rsidRPr="009828DA" w:rsidR="009828DA">
        <w:t xml:space="preserve"> through locations commonly used by applicants</w:t>
      </w:r>
      <w:r w:rsidR="009828DA">
        <w:t xml:space="preserve"> and their agents</w:t>
      </w:r>
      <w:r w:rsidRPr="009828DA" w:rsidR="009828DA">
        <w:t xml:space="preserve"> during the </w:t>
      </w:r>
      <w:r w:rsidR="009828DA">
        <w:t>application</w:t>
      </w:r>
      <w:r w:rsidRPr="009828DA" w:rsidR="009828DA">
        <w:t xml:space="preserve"> process, such as </w:t>
      </w:r>
      <w:r w:rsidR="009828DA">
        <w:t>the service upsizing</w:t>
      </w:r>
      <w:r w:rsidRPr="009828DA" w:rsidR="009828DA">
        <w:t xml:space="preserve"> application portals or websites.</w:t>
      </w:r>
      <w:r w:rsidR="003B1DCA">
        <w:t xml:space="preserve"> The </w:t>
      </w:r>
      <w:r w:rsidR="007C7E4E">
        <w:t xml:space="preserve">electric </w:t>
      </w:r>
      <w:r w:rsidR="003B1DCA">
        <w:t>utilit</w:t>
      </w:r>
      <w:r w:rsidR="007C7E4E">
        <w:t>ies</w:t>
      </w:r>
      <w:r w:rsidR="003B1DCA">
        <w:t xml:space="preserve"> shall leverage existing </w:t>
      </w:r>
      <w:r w:rsidR="00EB74DA">
        <w:t xml:space="preserve">studies and </w:t>
      </w:r>
      <w:r w:rsidR="00AE6011">
        <w:t xml:space="preserve">the </w:t>
      </w:r>
      <w:r w:rsidR="00B32008">
        <w:t xml:space="preserve">established </w:t>
      </w:r>
      <w:r w:rsidR="00EB74DA">
        <w:t>body of work</w:t>
      </w:r>
      <w:r w:rsidR="003B1DCA">
        <w:t xml:space="preserve"> on </w:t>
      </w:r>
      <w:r w:rsidR="00B32008">
        <w:t xml:space="preserve">alternatives </w:t>
      </w:r>
      <w:r w:rsidR="00C25D60">
        <w:t xml:space="preserve">to electrical </w:t>
      </w:r>
      <w:r w:rsidR="00AE6011">
        <w:t xml:space="preserve">service line </w:t>
      </w:r>
      <w:r w:rsidR="00C25D60">
        <w:t>upsizing</w:t>
      </w:r>
      <w:r w:rsidR="003B1DCA">
        <w:t xml:space="preserve">, </w:t>
      </w:r>
      <w:r w:rsidR="00140920">
        <w:t xml:space="preserve">and </w:t>
      </w:r>
      <w:r w:rsidR="00B32008">
        <w:t xml:space="preserve">shall </w:t>
      </w:r>
      <w:r w:rsidR="00140920">
        <w:t>avoid deploying admin</w:t>
      </w:r>
      <w:r w:rsidR="00AE6011">
        <w:t>istrative</w:t>
      </w:r>
      <w:r w:rsidR="00140920">
        <w:t xml:space="preserve"> resources</w:t>
      </w:r>
      <w:r w:rsidR="0045103D">
        <w:t xml:space="preserve"> </w:t>
      </w:r>
      <w:r w:rsidR="00140920">
        <w:t xml:space="preserve">or </w:t>
      </w:r>
      <w:r w:rsidR="007C7E4E">
        <w:t>commissioning</w:t>
      </w:r>
      <w:r w:rsidR="0080681A">
        <w:t xml:space="preserve"> new</w:t>
      </w:r>
      <w:r w:rsidR="007C7E4E">
        <w:t xml:space="preserve"> studies</w:t>
      </w:r>
      <w:r w:rsidR="00B32008">
        <w:t xml:space="preserve"> for this purpose</w:t>
      </w:r>
      <w:r w:rsidR="007C7E4E">
        <w:t>.</w:t>
      </w:r>
      <w:r w:rsidR="00342F78">
        <w:t xml:space="preserve">  </w:t>
      </w:r>
      <w:r w:rsidR="004608D8">
        <w:t xml:space="preserve">To participate in this </w:t>
      </w:r>
      <w:r w:rsidRPr="00D537B0" w:rsidR="004608D8">
        <w:t xml:space="preserve">program, </w:t>
      </w:r>
      <w:r w:rsidRPr="001D63C9" w:rsidR="004608D8">
        <w:t>c</w:t>
      </w:r>
      <w:r w:rsidRPr="00D537B0" w:rsidR="00B64B59">
        <w:t xml:space="preserve">ustomers </w:t>
      </w:r>
      <w:r w:rsidRPr="001D63C9" w:rsidR="004608D8">
        <w:t>must</w:t>
      </w:r>
      <w:r w:rsidRPr="00D537B0" w:rsidR="00B64B59">
        <w:t xml:space="preserve"> sign a </w:t>
      </w:r>
      <w:r w:rsidRPr="00D537B0" w:rsidR="00A5763F">
        <w:t>verification</w:t>
      </w:r>
      <w:r w:rsidRPr="00D537B0" w:rsidR="00DC6E3B">
        <w:t>,</w:t>
      </w:r>
      <w:r w:rsidRPr="00D537B0" w:rsidR="00BF44A0">
        <w:t xml:space="preserve"> as part of the application for this program</w:t>
      </w:r>
      <w:r w:rsidRPr="00D537B0" w:rsidR="00DC6E3B">
        <w:t>,</w:t>
      </w:r>
      <w:r w:rsidRPr="00D537B0" w:rsidR="00A5763F">
        <w:t xml:space="preserve"> </w:t>
      </w:r>
      <w:r w:rsidRPr="001D63C9" w:rsidR="00DC6E3B">
        <w:t xml:space="preserve">and confirm </w:t>
      </w:r>
      <w:r w:rsidRPr="00D537B0" w:rsidR="00A5763F">
        <w:t>that</w:t>
      </w:r>
      <w:r w:rsidRPr="001D63C9" w:rsidR="00DC6E3B">
        <w:t>:</w:t>
      </w:r>
      <w:r w:rsidRPr="00D537B0" w:rsidR="00A5763F">
        <w:t xml:space="preserve"> </w:t>
      </w:r>
      <w:r w:rsidRPr="001D63C9" w:rsidR="00DC6E3B">
        <w:t xml:space="preserve">(1) </w:t>
      </w:r>
      <w:r w:rsidRPr="00D537B0" w:rsidR="00A5763F">
        <w:t xml:space="preserve">all </w:t>
      </w:r>
      <w:r w:rsidRPr="001D63C9" w:rsidR="00DC6E3B">
        <w:t xml:space="preserve">potential </w:t>
      </w:r>
      <w:r w:rsidRPr="00D537B0" w:rsidR="00A5763F">
        <w:t xml:space="preserve">alternatives to upsizing were </w:t>
      </w:r>
      <w:r w:rsidRPr="00D537B0" w:rsidR="00A5763F">
        <w:lastRenderedPageBreak/>
        <w:t>reviewed and considered</w:t>
      </w:r>
      <w:r w:rsidRPr="001D63C9" w:rsidR="00DC6E3B">
        <w:t>;</w:t>
      </w:r>
      <w:r w:rsidRPr="00D537B0" w:rsidR="00A5763F">
        <w:t xml:space="preserve"> </w:t>
      </w:r>
      <w:r w:rsidRPr="001D63C9" w:rsidR="00DC6E3B">
        <w:t xml:space="preserve">and (2) </w:t>
      </w:r>
      <w:r w:rsidRPr="00D537B0" w:rsidR="00A5763F">
        <w:t xml:space="preserve">no viable alternatives </w:t>
      </w:r>
      <w:r w:rsidRPr="001D63C9" w:rsidR="00DC6E3B">
        <w:t xml:space="preserve">are </w:t>
      </w:r>
      <w:r w:rsidRPr="00D537B0" w:rsidR="00A5763F">
        <w:t>available</w:t>
      </w:r>
      <w:r w:rsidRPr="00D537B0" w:rsidR="00287877">
        <w:t>.</w:t>
      </w:r>
      <w:r w:rsidRPr="00D537B0" w:rsidR="004F1328">
        <w:t xml:space="preserve"> </w:t>
      </w:r>
      <w:r w:rsidRPr="00D537B0" w:rsidR="006442C6">
        <w:t>Also see</w:t>
      </w:r>
      <w:r w:rsidR="006442C6">
        <w:t xml:space="preserve"> discussion set out below </w:t>
      </w:r>
      <w:r w:rsidR="0037331C">
        <w:t xml:space="preserve">in </w:t>
      </w:r>
      <w:r w:rsidR="00F36152">
        <w:t>Section 5.4.2.</w:t>
      </w:r>
    </w:p>
    <w:p w:rsidRPr="009D1072" w:rsidR="005479A0" w:rsidP="005479A0" w:rsidRDefault="005479A0" w14:paraId="049265F8" w14:textId="5F19FC71">
      <w:pPr>
        <w:pStyle w:val="Heading1"/>
      </w:pPr>
      <w:bookmarkStart w:name="_Toc184240504" w:id="67"/>
      <w:bookmarkStart w:name="_Toc184241070" w:id="68"/>
      <w:bookmarkStart w:name="_Toc184241633" w:id="69"/>
      <w:bookmarkStart w:name="_Toc184242469" w:id="70"/>
      <w:bookmarkStart w:name="_Toc184242550" w:id="71"/>
      <w:bookmarkStart w:name="_Toc184242632" w:id="72"/>
      <w:bookmarkStart w:name="_Toc184242712" w:id="73"/>
      <w:bookmarkStart w:name="_Toc184242791" w:id="74"/>
      <w:bookmarkStart w:name="_Toc184242872" w:id="75"/>
      <w:bookmarkStart w:name="_Toc184242951" w:id="76"/>
      <w:bookmarkStart w:name="_Toc184243032" w:id="77"/>
      <w:bookmarkStart w:name="_Toc184243318" w:id="78"/>
      <w:bookmarkStart w:name="_Toc184501794" w:id="79"/>
      <w:bookmarkStart w:name="_Toc184680224" w:id="80"/>
      <w:bookmarkStart w:name="_Toc184830905" w:id="81"/>
      <w:bookmarkStart w:name="_Toc184831156" w:id="82"/>
      <w:bookmarkStart w:name="_Toc184840664" w:id="83"/>
      <w:bookmarkStart w:name="_Toc184840773" w:id="84"/>
      <w:bookmarkStart w:name="_Toc184854684" w:id="85"/>
      <w:bookmarkStart w:name="_Toc185269646" w:id="86"/>
      <w:bookmarkStart w:name="_Toc185275752" w:id="87"/>
      <w:bookmarkStart w:name="_Toc185278441" w:id="88"/>
      <w:bookmarkStart w:name="_Toc185278545" w:id="89"/>
      <w:bookmarkStart w:name="_Toc185278649" w:id="90"/>
      <w:bookmarkStart w:name="_Toc185278833" w:id="91"/>
      <w:bookmarkStart w:name="_Toc185321794" w:id="92"/>
      <w:bookmarkStart w:name="_Toc185329744" w:id="93"/>
      <w:bookmarkStart w:name="_Toc185366167" w:id="94"/>
      <w:bookmarkStart w:name="_Toc185368823" w:id="95"/>
      <w:bookmarkStart w:name="_Toc185420421" w:id="96"/>
      <w:bookmarkStart w:name="_Toc185421237" w:id="97"/>
      <w:bookmarkStart w:name="_Toc185422534" w:id="98"/>
      <w:bookmarkStart w:name="_Toc185425551" w:id="99"/>
      <w:bookmarkStart w:name="_Toc185496624" w:id="100"/>
      <w:bookmarkStart w:name="_Toc185496834" w:id="101"/>
      <w:bookmarkStart w:name="_Toc185496944" w:id="102"/>
      <w:bookmarkStart w:name="_Toc185579357" w:id="103"/>
      <w:bookmarkStart w:name="_Toc192263683" w:id="104"/>
      <w:bookmarkStart w:name="_Toc200370969" w:id="10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6C423F">
        <w:t>Adopting</w:t>
      </w:r>
      <w:r w:rsidRPr="009D1072">
        <w:rPr>
          <w:rFonts w:eastAsia="Book Antiqua" w:cs="Book Antiqua"/>
        </w:rPr>
        <w:t xml:space="preserve"> Measures to Prevent Unnecessary </w:t>
      </w:r>
      <w:r w:rsidRPr="009D1072" w:rsidR="009D3F33">
        <w:rPr>
          <w:rFonts w:eastAsia="Book Antiqua" w:cs="Book Antiqua"/>
        </w:rPr>
        <w:t xml:space="preserve">Electric </w:t>
      </w:r>
      <w:r w:rsidRPr="009D1072">
        <w:rPr>
          <w:rFonts w:eastAsia="Book Antiqua" w:cs="Book Antiqua"/>
        </w:rPr>
        <w:t>Service Line Upsizing</w:t>
      </w:r>
      <w:bookmarkEnd w:id="103"/>
      <w:bookmarkEnd w:id="104"/>
      <w:bookmarkEnd w:id="105"/>
    </w:p>
    <w:p w:rsidR="00FA7B38" w:rsidP="00997B64" w:rsidRDefault="00DA64BC" w14:paraId="5ECFDEFE" w14:textId="1047FFCC">
      <w:pPr>
        <w:pStyle w:val="Standard"/>
        <w:rPr>
          <w:rFonts w:eastAsia="Book Antiqua" w:cs="Book Antiqua"/>
        </w:rPr>
      </w:pPr>
      <w:r>
        <w:t>T</w:t>
      </w:r>
      <w:r w:rsidR="005479A0">
        <w:t xml:space="preserve">he Phase 4 Scoping Memo </w:t>
      </w:r>
      <w:r w:rsidR="00DC6E3B">
        <w:t xml:space="preserve">sought </w:t>
      </w:r>
      <w:r w:rsidR="005479A0">
        <w:t>part</w:t>
      </w:r>
      <w:r w:rsidR="00DC6E3B">
        <w:t>y</w:t>
      </w:r>
      <w:r w:rsidR="005479A0">
        <w:t xml:space="preserve"> comments on whether </w:t>
      </w:r>
      <w:r w:rsidRPr="00F377F3" w:rsidR="005479A0">
        <w:rPr>
          <w:rFonts w:eastAsia="Book Antiqua" w:cs="Book Antiqua"/>
        </w:rPr>
        <w:t>the Commission should adopt measures to prevent unnecessary service line upsizing and</w:t>
      </w:r>
      <w:r w:rsidR="005479A0">
        <w:rPr>
          <w:rFonts w:eastAsia="Book Antiqua" w:cs="Book Antiqua"/>
        </w:rPr>
        <w:t>,</w:t>
      </w:r>
      <w:r w:rsidRPr="00F377F3" w:rsidR="005479A0">
        <w:rPr>
          <w:rFonts w:eastAsia="Book Antiqua" w:cs="Book Antiqua"/>
        </w:rPr>
        <w:t xml:space="preserve"> if so</w:t>
      </w:r>
      <w:r w:rsidR="005479A0">
        <w:rPr>
          <w:rFonts w:eastAsia="Book Antiqua" w:cs="Book Antiqua"/>
        </w:rPr>
        <w:t>,</w:t>
      </w:r>
      <w:r w:rsidRPr="00F377F3" w:rsidR="005479A0">
        <w:rPr>
          <w:rFonts w:eastAsia="Book Antiqua" w:cs="Book Antiqua"/>
        </w:rPr>
        <w:t xml:space="preserve"> what those measures should be</w:t>
      </w:r>
      <w:r w:rsidR="005479A0">
        <w:rPr>
          <w:rFonts w:eastAsia="Book Antiqua" w:cs="Book Antiqua"/>
        </w:rPr>
        <w:t>.</w:t>
      </w:r>
      <w:r w:rsidR="001E24F6">
        <w:rPr>
          <w:rStyle w:val="FootnoteReference"/>
          <w:rFonts w:eastAsia="Book Antiqua" w:cs="Book Antiqua"/>
        </w:rPr>
        <w:footnoteReference w:id="26"/>
      </w:r>
      <w:r w:rsidR="00997B64">
        <w:rPr>
          <w:rFonts w:eastAsia="Book Antiqua" w:cs="Book Antiqua"/>
        </w:rPr>
        <w:t xml:space="preserve"> </w:t>
      </w:r>
      <w:r w:rsidR="007F0112">
        <w:rPr>
          <w:rFonts w:eastAsia="Book Antiqua" w:cs="Book Antiqua"/>
        </w:rPr>
        <w:t xml:space="preserve">The Staff Proposal </w:t>
      </w:r>
      <w:r w:rsidR="0035072E">
        <w:rPr>
          <w:rFonts w:eastAsia="Book Antiqua" w:cs="Book Antiqua"/>
        </w:rPr>
        <w:t>released with</w:t>
      </w:r>
      <w:r w:rsidR="00623B78">
        <w:rPr>
          <w:rFonts w:eastAsia="Book Antiqua" w:cs="Book Antiqua"/>
        </w:rPr>
        <w:t xml:space="preserve"> the Assigned ALJ’s </w:t>
      </w:r>
      <w:r w:rsidR="001D095D">
        <w:rPr>
          <w:rFonts w:eastAsia="Book Antiqua" w:cs="Book Antiqua"/>
        </w:rPr>
        <w:t xml:space="preserve">July 18, 2024 </w:t>
      </w:r>
      <w:r w:rsidR="00A2351B">
        <w:rPr>
          <w:rFonts w:eastAsia="Book Antiqua" w:cs="Book Antiqua"/>
        </w:rPr>
        <w:t>r</w:t>
      </w:r>
      <w:r w:rsidR="001D095D">
        <w:rPr>
          <w:rFonts w:eastAsia="Book Antiqua" w:cs="Book Antiqua"/>
        </w:rPr>
        <w:t xml:space="preserve">uling addresses </w:t>
      </w:r>
      <w:r w:rsidR="002E603D">
        <w:rPr>
          <w:rFonts w:eastAsia="Book Antiqua" w:cs="Book Antiqua"/>
        </w:rPr>
        <w:t xml:space="preserve">the </w:t>
      </w:r>
      <w:r w:rsidR="00194478">
        <w:rPr>
          <w:rFonts w:eastAsia="Book Antiqua" w:cs="Book Antiqua"/>
        </w:rPr>
        <w:t xml:space="preserve">aforementioned </w:t>
      </w:r>
      <w:r w:rsidR="002E603D">
        <w:rPr>
          <w:rFonts w:eastAsia="Book Antiqua" w:cs="Book Antiqua"/>
        </w:rPr>
        <w:t>questions</w:t>
      </w:r>
      <w:r w:rsidR="00B210B7">
        <w:rPr>
          <w:rFonts w:eastAsia="Book Antiqua" w:cs="Book Antiqua"/>
        </w:rPr>
        <w:t xml:space="preserve"> </w:t>
      </w:r>
      <w:r w:rsidR="00C50F1D">
        <w:rPr>
          <w:rFonts w:eastAsia="Book Antiqua" w:cs="Book Antiqua"/>
        </w:rPr>
        <w:t xml:space="preserve">directed at parties </w:t>
      </w:r>
      <w:r w:rsidR="007E0F10">
        <w:rPr>
          <w:rFonts w:eastAsia="Book Antiqua" w:cs="Book Antiqua"/>
        </w:rPr>
        <w:t xml:space="preserve">as part of two distinct </w:t>
      </w:r>
      <w:r w:rsidR="000B053A">
        <w:rPr>
          <w:rFonts w:eastAsia="Book Antiqua" w:cs="Book Antiqua"/>
        </w:rPr>
        <w:t xml:space="preserve">recommendations. </w:t>
      </w:r>
      <w:r w:rsidR="00FA78D5">
        <w:rPr>
          <w:rFonts w:eastAsia="Book Antiqua" w:cs="Book Antiqua"/>
        </w:rPr>
        <w:t xml:space="preserve">Staff’s recommendations are </w:t>
      </w:r>
      <w:r w:rsidR="006F282E">
        <w:rPr>
          <w:rFonts w:eastAsia="Book Antiqua" w:cs="Book Antiqua"/>
        </w:rPr>
        <w:t>summarized</w:t>
      </w:r>
      <w:r w:rsidR="00FA78D5">
        <w:rPr>
          <w:rFonts w:eastAsia="Book Antiqua" w:cs="Book Antiqua"/>
        </w:rPr>
        <w:t xml:space="preserve"> below</w:t>
      </w:r>
      <w:r w:rsidR="00B122E3">
        <w:rPr>
          <w:rFonts w:eastAsia="Book Antiqua" w:cs="Book Antiqua"/>
        </w:rPr>
        <w:t>, followed by</w:t>
      </w:r>
      <w:r w:rsidR="00B210B7">
        <w:rPr>
          <w:rFonts w:eastAsia="Book Antiqua" w:cs="Book Antiqua"/>
        </w:rPr>
        <w:t xml:space="preserve"> </w:t>
      </w:r>
      <w:r w:rsidR="00C92B58">
        <w:rPr>
          <w:rFonts w:eastAsia="Book Antiqua" w:cs="Book Antiqua"/>
        </w:rPr>
        <w:t xml:space="preserve">party comments and </w:t>
      </w:r>
      <w:r w:rsidR="003E627E">
        <w:rPr>
          <w:rFonts w:eastAsia="Book Antiqua" w:cs="Book Antiqua"/>
        </w:rPr>
        <w:t xml:space="preserve">the </w:t>
      </w:r>
      <w:r w:rsidR="00C92B58">
        <w:rPr>
          <w:rFonts w:eastAsia="Book Antiqua" w:cs="Book Antiqua"/>
        </w:rPr>
        <w:t>Commission</w:t>
      </w:r>
      <w:r w:rsidR="003E627E">
        <w:rPr>
          <w:rFonts w:eastAsia="Book Antiqua" w:cs="Book Antiqua"/>
        </w:rPr>
        <w:t>’s adopted course of action.</w:t>
      </w:r>
    </w:p>
    <w:p w:rsidRPr="006257C9" w:rsidR="00434159" w:rsidP="00DA5798" w:rsidRDefault="00434159" w14:paraId="195F5475" w14:textId="54A9916E">
      <w:pPr>
        <w:pStyle w:val="Heading2"/>
      </w:pPr>
      <w:bookmarkStart w:name="_Toc184501796" w:id="106"/>
      <w:bookmarkStart w:name="_Toc184680226" w:id="107"/>
      <w:bookmarkStart w:name="_Toc184830907" w:id="108"/>
      <w:bookmarkStart w:name="_Toc184831158" w:id="109"/>
      <w:bookmarkStart w:name="_Toc184840666" w:id="110"/>
      <w:bookmarkStart w:name="_Toc184840775" w:id="111"/>
      <w:bookmarkStart w:name="_Toc184854686" w:id="112"/>
      <w:bookmarkStart w:name="_Toc185269648" w:id="113"/>
      <w:bookmarkStart w:name="_Toc185275754" w:id="114"/>
      <w:bookmarkStart w:name="_Toc185278443" w:id="115"/>
      <w:bookmarkStart w:name="_Toc185278547" w:id="116"/>
      <w:bookmarkStart w:name="_Toc185278651" w:id="117"/>
      <w:bookmarkStart w:name="_Toc185278835" w:id="118"/>
      <w:bookmarkStart w:name="_Toc185321796" w:id="119"/>
      <w:bookmarkStart w:name="_Toc185329746" w:id="120"/>
      <w:bookmarkStart w:name="_Toc185366169" w:id="121"/>
      <w:bookmarkStart w:name="_Toc185368825" w:id="122"/>
      <w:bookmarkStart w:name="_Toc185420423" w:id="123"/>
      <w:bookmarkStart w:name="_Toc185421239" w:id="124"/>
      <w:bookmarkStart w:name="_Toc185422536" w:id="125"/>
      <w:bookmarkStart w:name="_Toc185425553" w:id="126"/>
      <w:bookmarkStart w:name="_Toc185496626" w:id="127"/>
      <w:bookmarkStart w:name="_Toc185496836" w:id="128"/>
      <w:bookmarkStart w:name="_Toc185496946" w:id="129"/>
      <w:bookmarkStart w:name="_Toc184501797" w:id="130"/>
      <w:bookmarkStart w:name="_Toc184680227" w:id="131"/>
      <w:bookmarkStart w:name="_Toc184830908" w:id="132"/>
      <w:bookmarkStart w:name="_Toc184831159" w:id="133"/>
      <w:bookmarkStart w:name="_Toc184840667" w:id="134"/>
      <w:bookmarkStart w:name="_Toc184840776" w:id="135"/>
      <w:bookmarkStart w:name="_Toc184854687" w:id="136"/>
      <w:bookmarkStart w:name="_Toc185269649" w:id="137"/>
      <w:bookmarkStart w:name="_Toc185275755" w:id="138"/>
      <w:bookmarkStart w:name="_Toc185278444" w:id="139"/>
      <w:bookmarkStart w:name="_Toc185278548" w:id="140"/>
      <w:bookmarkStart w:name="_Toc185278652" w:id="141"/>
      <w:bookmarkStart w:name="_Toc185278836" w:id="142"/>
      <w:bookmarkStart w:name="_Toc185321797" w:id="143"/>
      <w:bookmarkStart w:name="_Toc185329747" w:id="144"/>
      <w:bookmarkStart w:name="_Toc185366170" w:id="145"/>
      <w:bookmarkStart w:name="_Toc185368826" w:id="146"/>
      <w:bookmarkStart w:name="_Toc185420424" w:id="147"/>
      <w:bookmarkStart w:name="_Toc185421240" w:id="148"/>
      <w:bookmarkStart w:name="_Toc185422537" w:id="149"/>
      <w:bookmarkStart w:name="_Toc185425554" w:id="150"/>
      <w:bookmarkStart w:name="_Toc185496627" w:id="151"/>
      <w:bookmarkStart w:name="_Toc185496837" w:id="152"/>
      <w:bookmarkStart w:name="_Toc185496947" w:id="153"/>
      <w:bookmarkStart w:name="_Toc184501798" w:id="154"/>
      <w:bookmarkStart w:name="_Toc184680228" w:id="155"/>
      <w:bookmarkStart w:name="_Toc184830909" w:id="156"/>
      <w:bookmarkStart w:name="_Toc184831160" w:id="157"/>
      <w:bookmarkStart w:name="_Toc184840668" w:id="158"/>
      <w:bookmarkStart w:name="_Toc184840777" w:id="159"/>
      <w:bookmarkStart w:name="_Toc184854688" w:id="160"/>
      <w:bookmarkStart w:name="_Toc185269650" w:id="161"/>
      <w:bookmarkStart w:name="_Toc185275756" w:id="162"/>
      <w:bookmarkStart w:name="_Toc185278445" w:id="163"/>
      <w:bookmarkStart w:name="_Toc185278549" w:id="164"/>
      <w:bookmarkStart w:name="_Toc185278653" w:id="165"/>
      <w:bookmarkStart w:name="_Toc185278837" w:id="166"/>
      <w:bookmarkStart w:name="_Toc185321798" w:id="167"/>
      <w:bookmarkStart w:name="_Toc185329748" w:id="168"/>
      <w:bookmarkStart w:name="_Toc185366171" w:id="169"/>
      <w:bookmarkStart w:name="_Toc185368827" w:id="170"/>
      <w:bookmarkStart w:name="_Toc185420425" w:id="171"/>
      <w:bookmarkStart w:name="_Toc185421241" w:id="172"/>
      <w:bookmarkStart w:name="_Toc185422538" w:id="173"/>
      <w:bookmarkStart w:name="_Toc185425555" w:id="174"/>
      <w:bookmarkStart w:name="_Toc185496628" w:id="175"/>
      <w:bookmarkStart w:name="_Toc185496838" w:id="176"/>
      <w:bookmarkStart w:name="_Toc185496948" w:id="177"/>
      <w:bookmarkStart w:name="_Toc185496949" w:id="178"/>
      <w:bookmarkStart w:name="_Toc185496684" w:id="179"/>
      <w:bookmarkStart w:name="_Toc185579358" w:id="180"/>
      <w:bookmarkStart w:name="_Toc192263684" w:id="181"/>
      <w:bookmarkStart w:name="_Toc200370970" w:id="18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257C9">
        <w:t xml:space="preserve">Summary of </w:t>
      </w:r>
      <w:r>
        <w:t>the</w:t>
      </w:r>
      <w:r w:rsidRPr="006257C9">
        <w:t xml:space="preserve"> </w:t>
      </w:r>
      <w:r>
        <w:t>Staff</w:t>
      </w:r>
      <w:bookmarkEnd w:id="179"/>
      <w:r>
        <w:t xml:space="preserve"> Proposal</w:t>
      </w:r>
      <w:bookmarkEnd w:id="180"/>
      <w:bookmarkEnd w:id="181"/>
      <w:bookmarkEnd w:id="182"/>
    </w:p>
    <w:p w:rsidR="00B014AE" w:rsidP="001C7329" w:rsidRDefault="000A6148" w14:paraId="4ECB9088" w14:textId="58DCA396">
      <w:pPr>
        <w:pStyle w:val="Standard"/>
      </w:pPr>
      <w:r>
        <w:t xml:space="preserve">The Staff Proposal </w:t>
      </w:r>
      <w:r w:rsidR="00AB3271">
        <w:t>explains that</w:t>
      </w:r>
      <w:r>
        <w:t xml:space="preserve"> </w:t>
      </w:r>
      <w:r w:rsidRPr="00B60AA6">
        <w:t>building decarbonization is an essential strategy to help California meet its goal of carbon neutrality by 2045</w:t>
      </w:r>
      <w:r w:rsidR="00407182">
        <w:t xml:space="preserve"> and will require </w:t>
      </w:r>
      <w:r w:rsidR="008E3AA7">
        <w:t xml:space="preserve"> strategic</w:t>
      </w:r>
      <w:r w:rsidR="003A109E">
        <w:t xml:space="preserve"> planning</w:t>
      </w:r>
      <w:r w:rsidRPr="001C7329" w:rsidR="001C7329">
        <w:t xml:space="preserve"> </w:t>
      </w:r>
      <w:r w:rsidR="00401D9D">
        <w:t>t</w:t>
      </w:r>
      <w:r w:rsidR="0076519D">
        <w:t>hat</w:t>
      </w:r>
      <w:r w:rsidR="00401D9D">
        <w:t xml:space="preserve"> </w:t>
      </w:r>
      <w:r w:rsidR="0076519D">
        <w:t xml:space="preserve">builds in </w:t>
      </w:r>
      <w:r w:rsidRPr="001C7329" w:rsidR="001C7329">
        <w:t xml:space="preserve">equitable safeguards to </w:t>
      </w:r>
      <w:r w:rsidR="003A109E">
        <w:t>minimize</w:t>
      </w:r>
      <w:r w:rsidRPr="001C7329" w:rsidR="001C7329">
        <w:t xml:space="preserve"> costs </w:t>
      </w:r>
      <w:r w:rsidR="003A109E">
        <w:t>to</w:t>
      </w:r>
      <w:r w:rsidRPr="001C7329" w:rsidR="001C7329">
        <w:t xml:space="preserve"> all ratepayers, especially </w:t>
      </w:r>
      <w:r w:rsidR="003A109E">
        <w:t>low-income customers</w:t>
      </w:r>
      <w:r w:rsidR="00DE56D9">
        <w:t>.</w:t>
      </w:r>
      <w:r w:rsidRPr="00B60AA6">
        <w:t xml:space="preserve"> </w:t>
      </w:r>
      <w:r w:rsidR="00125958">
        <w:t>S</w:t>
      </w:r>
      <w:r w:rsidRPr="00B60AA6">
        <w:t xml:space="preserve">ubstantial distribution </w:t>
      </w:r>
      <w:r w:rsidRPr="00B60AA6">
        <w:lastRenderedPageBreak/>
        <w:t xml:space="preserve">system upgrade costs </w:t>
      </w:r>
      <w:r w:rsidR="001569E0">
        <w:t>will be needed</w:t>
      </w:r>
      <w:r w:rsidRPr="00B60AA6">
        <w:t xml:space="preserve"> to meet the growing electricity demand from the rapid electrification of </w:t>
      </w:r>
      <w:r w:rsidR="00B83BB5">
        <w:t xml:space="preserve">both </w:t>
      </w:r>
      <w:r w:rsidRPr="00B60AA6">
        <w:t xml:space="preserve">buildings and vehicles. Helping customers avoid electrical panel and service upsizing has the dual benefit of reducing </w:t>
      </w:r>
      <w:r w:rsidR="001452E8">
        <w:t xml:space="preserve">the </w:t>
      </w:r>
      <w:r w:rsidRPr="00B60AA6">
        <w:t>cost of electrification to individual customers while reducing</w:t>
      </w:r>
      <w:r w:rsidR="001C7329">
        <w:t xml:space="preserve"> </w:t>
      </w:r>
      <w:r w:rsidR="00C058E9">
        <w:t>ratepayer</w:t>
      </w:r>
      <w:r w:rsidR="001C7329">
        <w:t xml:space="preserve"> </w:t>
      </w:r>
      <w:r w:rsidR="00497D46">
        <w:t>bill impacts</w:t>
      </w:r>
      <w:r w:rsidR="001452E8">
        <w:t>.</w:t>
      </w:r>
      <w:r w:rsidRPr="00B60AA6">
        <w:t xml:space="preserve"> </w:t>
      </w:r>
    </w:p>
    <w:p w:rsidR="000A6148" w:rsidP="001C7329" w:rsidRDefault="001452E8" w14:paraId="5D17AA1C" w14:textId="6821A6C9">
      <w:pPr>
        <w:pStyle w:val="Standard"/>
      </w:pPr>
      <w:r>
        <w:t>T</w:t>
      </w:r>
      <w:r w:rsidRPr="00B60AA6">
        <w:t>he</w:t>
      </w:r>
      <w:r w:rsidRPr="00B60AA6" w:rsidR="000A6148">
        <w:t xml:space="preserve"> Staff Proposal recommends strategies that allow customers to electrify their homes and vehicles within the existing capacities of their electrical panels and electrical services.</w:t>
      </w:r>
      <w:r w:rsidR="000A6148">
        <w:rPr>
          <w:rStyle w:val="FootnoteReference"/>
        </w:rPr>
        <w:footnoteReference w:id="27"/>
      </w:r>
      <w:r w:rsidRPr="00B60AA6" w:rsidR="000A6148">
        <w:t xml:space="preserve"> </w:t>
      </w:r>
      <w:r w:rsidR="00CF40B3">
        <w:t xml:space="preserve">The Staff Proposal recommends the Commission encourage alternatives to panel and service upsizing, where possible, </w:t>
      </w:r>
      <w:r w:rsidR="00A643FF">
        <w:t xml:space="preserve">using </w:t>
      </w:r>
      <w:r w:rsidR="001E59FF">
        <w:t xml:space="preserve">“panel </w:t>
      </w:r>
      <w:r w:rsidR="00D000B2">
        <w:t>and service</w:t>
      </w:r>
      <w:r w:rsidR="001E59FF">
        <w:t xml:space="preserve"> optimization” strategies such</w:t>
      </w:r>
      <w:r w:rsidR="008C7D77">
        <w:t xml:space="preserve"> as, but not limited to,</w:t>
      </w:r>
      <w:r w:rsidR="001E59FF">
        <w:t xml:space="preserve"> employing power-efficient appliances (</w:t>
      </w:r>
      <w:r w:rsidR="000664C3">
        <w:t xml:space="preserve">e.g., </w:t>
      </w:r>
      <w:r w:rsidR="00A737B6">
        <w:t>120-</w:t>
      </w:r>
      <w:r w:rsidR="001E59FF">
        <w:t xml:space="preserve">volt </w:t>
      </w:r>
      <w:r w:rsidR="002F1F41">
        <w:t>heat pump water heaters (HPWHs)</w:t>
      </w:r>
      <w:r w:rsidR="00EE2D47">
        <w:t xml:space="preserve"> or</w:t>
      </w:r>
      <w:r w:rsidR="000664C3">
        <w:t xml:space="preserve"> low-amperage Level 2 EV chargers), smart panels, and circuit splitters and pausers.</w:t>
      </w:r>
      <w:r w:rsidR="008C7D77">
        <w:rPr>
          <w:rStyle w:val="FootnoteReference"/>
        </w:rPr>
        <w:footnoteReference w:id="28"/>
      </w:r>
      <w:r w:rsidR="000664C3">
        <w:t xml:space="preserve"> </w:t>
      </w:r>
      <w:r w:rsidR="00EE2D47">
        <w:t xml:space="preserve"> </w:t>
      </w:r>
    </w:p>
    <w:p w:rsidR="000A6148" w:rsidP="000A6148" w:rsidRDefault="000A6148" w14:paraId="6FE5E72F" w14:textId="71566D73">
      <w:pPr>
        <w:pStyle w:val="Standard"/>
      </w:pPr>
      <w:r>
        <w:t xml:space="preserve">The Staff Proposal presents two </w:t>
      </w:r>
      <w:r w:rsidR="00FE77BD">
        <w:t>distinct</w:t>
      </w:r>
      <w:r>
        <w:t xml:space="preserve"> recommendations: (1)</w:t>
      </w:r>
      <w:r w:rsidRPr="00976CC3">
        <w:rPr>
          <w:b/>
          <w:bCs/>
        </w:rPr>
        <w:t> </w:t>
      </w:r>
      <w:r w:rsidR="00EF143F">
        <w:t>electric utilities</w:t>
      </w:r>
      <w:r w:rsidRPr="00E6241D" w:rsidR="00EF143F">
        <w:t xml:space="preserve"> </w:t>
      </w:r>
      <w:r w:rsidRPr="00E6241D">
        <w:t xml:space="preserve">provide customers with peak demand </w:t>
      </w:r>
      <w:r w:rsidR="000B41FE">
        <w:t>and service line capacity</w:t>
      </w:r>
      <w:r w:rsidRPr="00E6241D">
        <w:t xml:space="preserve"> information on their bills</w:t>
      </w:r>
      <w:r w:rsidR="009F28B1">
        <w:t>,</w:t>
      </w:r>
      <w:r>
        <w:t xml:space="preserve"> and (2) </w:t>
      </w:r>
      <w:r w:rsidRPr="00E6241D">
        <w:t xml:space="preserve">the </w:t>
      </w:r>
      <w:r>
        <w:t xml:space="preserve">Commission </w:t>
      </w:r>
      <w:r w:rsidRPr="00E6241D">
        <w:t>approve</w:t>
      </w:r>
      <w:r w:rsidR="00AB4768">
        <w:t>s</w:t>
      </w:r>
      <w:r w:rsidRPr="00E6241D">
        <w:t xml:space="preserve"> expanded cost recovery for </w:t>
      </w:r>
      <w:r w:rsidR="00EF143F">
        <w:t>utility</w:t>
      </w:r>
      <w:r w:rsidRPr="00E6241D" w:rsidR="00EF143F">
        <w:t xml:space="preserve"> </w:t>
      </w:r>
      <w:r w:rsidR="00041175">
        <w:t xml:space="preserve">safety </w:t>
      </w:r>
      <w:r w:rsidRPr="00E6241D">
        <w:t xml:space="preserve">evaluation processes of </w:t>
      </w:r>
      <w:r w:rsidR="00041175">
        <w:t xml:space="preserve">customer-owned, </w:t>
      </w:r>
      <w:r w:rsidRPr="00E6241D">
        <w:t>utility-interfacing devices to include applicable, non-electrically isolating devices</w:t>
      </w:r>
      <w:r>
        <w:t>.</w:t>
      </w:r>
      <w:r>
        <w:rPr>
          <w:rStyle w:val="FootnoteReference"/>
        </w:rPr>
        <w:footnoteReference w:id="29"/>
      </w:r>
      <w:r>
        <w:t xml:space="preserve"> </w:t>
      </w:r>
    </w:p>
    <w:p w:rsidR="000A6148" w:rsidP="000A6148" w:rsidRDefault="000736D3" w14:paraId="61E2EF4E" w14:textId="27228185">
      <w:pPr>
        <w:pStyle w:val="Standard"/>
      </w:pPr>
      <w:r>
        <w:t>T</w:t>
      </w:r>
      <w:r w:rsidR="000A6148">
        <w:t>he S</w:t>
      </w:r>
      <w:r w:rsidRPr="00E6241D" w:rsidR="000A6148">
        <w:t xml:space="preserve">taff </w:t>
      </w:r>
      <w:r w:rsidR="000A6148">
        <w:t xml:space="preserve">Proposal </w:t>
      </w:r>
      <w:r w:rsidR="005845A4">
        <w:t xml:space="preserve">notes that utilities currently have data from installed smart meters readily available and </w:t>
      </w:r>
      <w:r w:rsidRPr="00E6241D" w:rsidR="000A6148">
        <w:t>recommend</w:t>
      </w:r>
      <w:r w:rsidR="000A6148">
        <w:t>s</w:t>
      </w:r>
      <w:r w:rsidRPr="00E6241D" w:rsidR="000A6148">
        <w:t xml:space="preserve"> </w:t>
      </w:r>
      <w:r w:rsidR="00B621DC">
        <w:t>electric utilities</w:t>
      </w:r>
      <w:r w:rsidRPr="00E6241D" w:rsidR="00B621DC">
        <w:t xml:space="preserve"> </w:t>
      </w:r>
      <w:r w:rsidRPr="00E6241D" w:rsidR="000A6148">
        <w:t xml:space="preserve">report the peak energy consumption in kWh and peak demand in </w:t>
      </w:r>
      <w:r w:rsidR="00467070">
        <w:t>amp</w:t>
      </w:r>
      <w:r w:rsidRPr="00E6241D" w:rsidR="000A6148">
        <w:t>s</w:t>
      </w:r>
      <w:r w:rsidR="00BA1060">
        <w:t xml:space="preserve"> </w:t>
      </w:r>
      <w:r w:rsidRPr="00E6241D" w:rsidR="000A6148">
        <w:t>over a 15</w:t>
      </w:r>
      <w:r w:rsidR="009F28B1">
        <w:noBreakHyphen/>
      </w:r>
      <w:r w:rsidRPr="00E6241D" w:rsidR="000A6148">
        <w:t xml:space="preserve">minute </w:t>
      </w:r>
      <w:r w:rsidRPr="00E6241D" w:rsidR="000A6148">
        <w:lastRenderedPageBreak/>
        <w:t>interval for two</w:t>
      </w:r>
      <w:r w:rsidR="009F28B1">
        <w:t> </w:t>
      </w:r>
      <w:r w:rsidRPr="00E6241D" w:rsidR="000A6148">
        <w:t xml:space="preserve">time periods: </w:t>
      </w:r>
      <w:r w:rsidR="00A15E24">
        <w:t xml:space="preserve">(1) </w:t>
      </w:r>
      <w:r w:rsidRPr="00E6241D" w:rsidR="000A6148">
        <w:t>the last 30 days</w:t>
      </w:r>
      <w:r w:rsidR="009F28B1">
        <w:t>,</w:t>
      </w:r>
      <w:r w:rsidRPr="00E6241D" w:rsidR="000A6148">
        <w:t xml:space="preserve"> and</w:t>
      </w:r>
      <w:r w:rsidR="00B122E3">
        <w:t>, if applicable,</w:t>
      </w:r>
      <w:r w:rsidRPr="00E6241D" w:rsidR="000A6148">
        <w:t xml:space="preserve"> </w:t>
      </w:r>
      <w:r w:rsidR="00A15E24">
        <w:t xml:space="preserve">(2) </w:t>
      </w:r>
      <w:r w:rsidRPr="00E6241D" w:rsidR="000A6148">
        <w:t>the last year from the billing date.</w:t>
      </w:r>
      <w:r w:rsidR="000A6148">
        <w:rPr>
          <w:rStyle w:val="FootnoteReference"/>
        </w:rPr>
        <w:footnoteReference w:id="30"/>
      </w:r>
    </w:p>
    <w:p w:rsidRPr="00E6241D" w:rsidR="000A6148" w:rsidP="000A6148" w:rsidRDefault="00F00DAA" w14:paraId="5A037FA4" w14:textId="2482E362">
      <w:pPr>
        <w:pStyle w:val="Standard"/>
      </w:pPr>
      <w:r>
        <w:t>The Staff Proposal</w:t>
      </w:r>
      <w:r w:rsidRPr="00B60AA6" w:rsidR="000A6148">
        <w:t xml:space="preserve"> recommend</w:t>
      </w:r>
      <w:r w:rsidR="000A6148">
        <w:t>s</w:t>
      </w:r>
      <w:r w:rsidRPr="00B60AA6" w:rsidR="000A6148">
        <w:t xml:space="preserve"> </w:t>
      </w:r>
      <w:r w:rsidR="00B621DC">
        <w:t>electric utilities</w:t>
      </w:r>
      <w:r w:rsidRPr="00B60AA6" w:rsidR="00B621DC">
        <w:t xml:space="preserve"> </w:t>
      </w:r>
      <w:r w:rsidRPr="00B60AA6" w:rsidR="000A6148">
        <w:t>collect customers</w:t>
      </w:r>
      <w:r w:rsidR="005C68AC">
        <w:t>’</w:t>
      </w:r>
      <w:r w:rsidRPr="00B60AA6" w:rsidR="000A6148">
        <w:t xml:space="preserve"> service line capacity </w:t>
      </w:r>
      <w:r w:rsidRPr="00E6241D" w:rsidR="000A6148">
        <w:t xml:space="preserve">in </w:t>
      </w:r>
      <w:r w:rsidR="007B0D18">
        <w:t>amps</w:t>
      </w:r>
      <w:r w:rsidR="000A6148">
        <w:t xml:space="preserve"> </w:t>
      </w:r>
      <w:r w:rsidRPr="00B60AA6" w:rsidR="000A6148">
        <w:t>when conducting any visits to customer premises</w:t>
      </w:r>
      <w:r w:rsidR="005C2060">
        <w:t>. The</w:t>
      </w:r>
      <w:r w:rsidR="00815025">
        <w:t xml:space="preserve"> Staff Proposal recommends that the</w:t>
      </w:r>
      <w:r w:rsidR="005C2060">
        <w:t xml:space="preserve"> electric utilities </w:t>
      </w:r>
      <w:r w:rsidRPr="00B60AA6" w:rsidR="000A6148">
        <w:t xml:space="preserve">gather such data in a database and report on customer bills to further aid customers and contractors to work within existing capacity constraints when electrifying </w:t>
      </w:r>
      <w:r w:rsidR="00F8578E">
        <w:t>to</w:t>
      </w:r>
      <w:r w:rsidRPr="00B60AA6" w:rsidR="00F8578E">
        <w:t xml:space="preserve"> </w:t>
      </w:r>
      <w:r w:rsidRPr="00B60AA6" w:rsidR="000A6148">
        <w:t>avoid unnecessary upsizing.</w:t>
      </w:r>
      <w:r w:rsidR="000A6148">
        <w:rPr>
          <w:rStyle w:val="FootnoteReference"/>
        </w:rPr>
        <w:footnoteReference w:id="31"/>
      </w:r>
      <w:r w:rsidR="000A6148">
        <w:t xml:space="preserve"> </w:t>
      </w:r>
    </w:p>
    <w:p w:rsidR="00784043" w:rsidP="000A6148" w:rsidRDefault="000A6148" w14:paraId="46BD6EED" w14:textId="4C59E47E">
      <w:pPr>
        <w:pStyle w:val="Standard"/>
      </w:pPr>
      <w:r>
        <w:t>T</w:t>
      </w:r>
      <w:r w:rsidRPr="00E6241D">
        <w:t>he second</w:t>
      </w:r>
      <w:r>
        <w:t xml:space="preserve"> </w:t>
      </w:r>
      <w:r w:rsidRPr="00E6241D">
        <w:t>recommendation widen</w:t>
      </w:r>
      <w:r w:rsidR="004F2B4A">
        <w:t>s</w:t>
      </w:r>
      <w:r w:rsidRPr="00E6241D">
        <w:t xml:space="preserve"> the pool of technologies available to customers to help avoid electrical service and panel upsizing.</w:t>
      </w:r>
      <w:r>
        <w:rPr>
          <w:rStyle w:val="FootnoteReference"/>
        </w:rPr>
        <w:footnoteReference w:id="32"/>
      </w:r>
      <w:r>
        <w:t xml:space="preserve"> </w:t>
      </w:r>
      <w:r w:rsidR="00F0131D">
        <w:t>D.21</w:t>
      </w:r>
      <w:r w:rsidR="00094631">
        <w:noBreakHyphen/>
      </w:r>
      <w:r w:rsidR="00F0131D">
        <w:t>01</w:t>
      </w:r>
      <w:r w:rsidR="00094631">
        <w:noBreakHyphen/>
      </w:r>
      <w:r w:rsidR="00F0131D">
        <w:t>018 previously authorized the large electric utilities (i.e., PG&amp;E, SC</w:t>
      </w:r>
      <w:r w:rsidR="00371B3E">
        <w:t>E</w:t>
      </w:r>
      <w:r w:rsidR="00F0131D">
        <w:t xml:space="preserve">, and SDG&amp;E) to </w:t>
      </w:r>
      <w:r w:rsidR="00B10E1E">
        <w:t>recover up to $3</w:t>
      </w:r>
      <w:r w:rsidR="002E58D8">
        <w:t> million</w:t>
      </w:r>
      <w:r w:rsidR="00B10E1E">
        <w:t xml:space="preserve"> for safety evaluations of customer owned equipment that interfaces with utility infrastructure and </w:t>
      </w:r>
      <w:r w:rsidR="00357B8B">
        <w:t>can</w:t>
      </w:r>
      <w:r w:rsidR="00B10E1E">
        <w:t xml:space="preserve"> isolate </w:t>
      </w:r>
      <w:r w:rsidR="00564DCF">
        <w:t>a building from the grid</w:t>
      </w:r>
      <w:r w:rsidR="008D4303">
        <w:t>.</w:t>
      </w:r>
      <w:r w:rsidR="00357B8B">
        <w:rPr>
          <w:rStyle w:val="FootnoteReference"/>
        </w:rPr>
        <w:footnoteReference w:id="33"/>
      </w:r>
      <w:r w:rsidR="004B2651">
        <w:t xml:space="preserve"> The Staff Proposal and this </w:t>
      </w:r>
      <w:r w:rsidR="00384DA2">
        <w:t>d</w:t>
      </w:r>
      <w:r w:rsidR="004B2651">
        <w:t xml:space="preserve">ecision refer to these devices as “isolating devices.” </w:t>
      </w:r>
    </w:p>
    <w:p w:rsidR="000A6148" w:rsidP="000A6148" w:rsidRDefault="00E35CCC" w14:paraId="53449D87" w14:textId="03FAC753">
      <w:pPr>
        <w:pStyle w:val="Standard"/>
      </w:pPr>
      <w:r>
        <w:t xml:space="preserve">The Staff Proposal recommends the </w:t>
      </w:r>
      <w:r w:rsidR="00B40AFF">
        <w:t xml:space="preserve">Commission authorize the large electric utilities </w:t>
      </w:r>
      <w:r w:rsidR="009909F2">
        <w:t xml:space="preserve">to </w:t>
      </w:r>
      <w:r w:rsidR="00993EE7">
        <w:t>also</w:t>
      </w:r>
      <w:r w:rsidR="009909F2">
        <w:t xml:space="preserve"> </w:t>
      </w:r>
      <w:r w:rsidR="00384DA2">
        <w:t xml:space="preserve">apply these </w:t>
      </w:r>
      <w:r w:rsidR="00354832">
        <w:t xml:space="preserve">previously authorized </w:t>
      </w:r>
      <w:r w:rsidR="00384DA2">
        <w:t>funds to</w:t>
      </w:r>
      <w:r w:rsidR="00993EE7">
        <w:t xml:space="preserve"> </w:t>
      </w:r>
      <w:r w:rsidR="00060CF0">
        <w:t>evaluate</w:t>
      </w:r>
      <w:r w:rsidR="00D95465">
        <w:t xml:space="preserve"> the safety of </w:t>
      </w:r>
      <w:r w:rsidR="00617E67">
        <w:t xml:space="preserve">technologically similar devices </w:t>
      </w:r>
      <w:r w:rsidR="005757C1">
        <w:t xml:space="preserve">that do </w:t>
      </w:r>
      <w:r w:rsidR="00957370">
        <w:t xml:space="preserve">not have </w:t>
      </w:r>
      <w:r w:rsidR="00A33E52">
        <w:t>grid isolating capabilities</w:t>
      </w:r>
      <w:r w:rsidR="00C377BD">
        <w:t xml:space="preserve">, referred to in </w:t>
      </w:r>
      <w:r w:rsidR="00384DA2">
        <w:t>the Staff Proposal and</w:t>
      </w:r>
      <w:r w:rsidR="00C377BD">
        <w:t xml:space="preserve"> </w:t>
      </w:r>
      <w:r w:rsidR="002A414B">
        <w:t xml:space="preserve">in </w:t>
      </w:r>
      <w:r w:rsidR="00C377BD">
        <w:t>this decision as “non-isolating devices</w:t>
      </w:r>
      <w:r w:rsidR="00A33E52">
        <w:t>.</w:t>
      </w:r>
      <w:r w:rsidR="00C377BD">
        <w:t>”</w:t>
      </w:r>
      <w:r w:rsidR="00A33E52">
        <w:t xml:space="preserve"> </w:t>
      </w:r>
      <w:r w:rsidR="00060CF0">
        <w:t>The latter devices</w:t>
      </w:r>
      <w:r w:rsidR="00C93320">
        <w:t xml:space="preserve"> </w:t>
      </w:r>
      <w:r w:rsidR="00677D12">
        <w:t>would also be customer-owned devices interfac</w:t>
      </w:r>
      <w:r w:rsidR="007A2ED2">
        <w:t xml:space="preserve">ing </w:t>
      </w:r>
      <w:r w:rsidR="00677D12">
        <w:t>with utility equipment</w:t>
      </w:r>
      <w:r w:rsidR="000A6148">
        <w:t>.</w:t>
      </w:r>
      <w:r w:rsidR="000A6148">
        <w:rPr>
          <w:rStyle w:val="FootnoteReference"/>
        </w:rPr>
        <w:footnoteReference w:id="34"/>
      </w:r>
      <w:r w:rsidR="000A6148">
        <w:t xml:space="preserve"> </w:t>
      </w:r>
    </w:p>
    <w:p w:rsidR="000A6148" w:rsidP="000A6148" w:rsidRDefault="00E6345E" w14:paraId="0A5C33EA" w14:textId="2F9F90F6">
      <w:pPr>
        <w:pStyle w:val="Standard"/>
      </w:pPr>
      <w:r w:rsidRPr="00E6345E">
        <w:lastRenderedPageBreak/>
        <w:t xml:space="preserve">The Staff Proposal </w:t>
      </w:r>
      <w:r w:rsidRPr="00C42145" w:rsidR="000A6148">
        <w:t>recommend</w:t>
      </w:r>
      <w:r w:rsidR="000A6148">
        <w:t>s</w:t>
      </w:r>
      <w:r w:rsidRPr="00C42145" w:rsidR="000A6148">
        <w:t xml:space="preserve"> the </w:t>
      </w:r>
      <w:r w:rsidR="00A96153">
        <w:t>large</w:t>
      </w:r>
      <w:r w:rsidRPr="00C42145" w:rsidR="000A6148">
        <w:t xml:space="preserve"> </w:t>
      </w:r>
      <w:r w:rsidR="00B621DC">
        <w:t>electric utilities</w:t>
      </w:r>
      <w:r w:rsidRPr="00C42145" w:rsidR="000A6148">
        <w:t xml:space="preserve"> begin using the existing safety and reliability evaluation process for </w:t>
      </w:r>
      <w:r w:rsidR="009031F7">
        <w:t>isolating devices</w:t>
      </w:r>
      <w:r w:rsidRPr="00C42145" w:rsidR="000A6148">
        <w:t xml:space="preserve"> adopted in Resolution E-5194 to evaluate </w:t>
      </w:r>
      <w:r w:rsidR="000C0A58">
        <w:t>non-isolating devices</w:t>
      </w:r>
      <w:r w:rsidRPr="00C42145" w:rsidR="000A6148">
        <w:t xml:space="preserve">. </w:t>
      </w:r>
      <w:r w:rsidR="000B0D4D">
        <w:t>M</w:t>
      </w:r>
      <w:r w:rsidRPr="00C42145" w:rsidR="000A6148">
        <w:t xml:space="preserve">ost of the latter devices </w:t>
      </w:r>
      <w:r w:rsidR="000B0D4D">
        <w:t>are anticipated to</w:t>
      </w:r>
      <w:r w:rsidRPr="00C42145" w:rsidR="000A6148">
        <w:t xml:space="preserve"> be </w:t>
      </w:r>
      <w:r w:rsidRPr="00FD3EF0" w:rsidR="00667172">
        <w:rPr>
          <w:rFonts w:eastAsia="Book Antiqua" w:cs="Book Antiqua"/>
        </w:rPr>
        <w:t>meter socket adapter</w:t>
      </w:r>
      <w:r w:rsidR="00667172">
        <w:rPr>
          <w:rFonts w:eastAsia="Book Antiqua" w:cs="Book Antiqua"/>
        </w:rPr>
        <w:t>s</w:t>
      </w:r>
      <w:r w:rsidRPr="00FD3EF0" w:rsidR="00667172">
        <w:rPr>
          <w:rFonts w:eastAsia="Book Antiqua" w:cs="Book Antiqua"/>
        </w:rPr>
        <w:t xml:space="preserve"> </w:t>
      </w:r>
      <w:r w:rsidR="00667172">
        <w:rPr>
          <w:rFonts w:eastAsia="Book Antiqua" w:cs="Book Antiqua"/>
        </w:rPr>
        <w:t>(</w:t>
      </w:r>
      <w:r w:rsidRPr="00C42145" w:rsidR="000A6148">
        <w:t>MSAs</w:t>
      </w:r>
      <w:r w:rsidR="00667172">
        <w:t>)</w:t>
      </w:r>
      <w:r w:rsidRPr="00C42145" w:rsidR="000A6148">
        <w:t xml:space="preserve">, though the evaluation process for non-isolating </w:t>
      </w:r>
      <w:r w:rsidR="00A96153">
        <w:t>devices</w:t>
      </w:r>
      <w:r w:rsidRPr="00C42145" w:rsidR="00A96153">
        <w:t xml:space="preserve"> </w:t>
      </w:r>
      <w:r w:rsidRPr="00C42145" w:rsidR="000A6148">
        <w:t>should remain neutral to specific technology types.</w:t>
      </w:r>
      <w:r w:rsidR="00827D6E">
        <w:rPr>
          <w:rStyle w:val="FootnoteReference"/>
        </w:rPr>
        <w:footnoteReference w:id="35"/>
      </w:r>
      <w:r w:rsidR="000A6148">
        <w:t xml:space="preserve"> </w:t>
      </w:r>
    </w:p>
    <w:p w:rsidRPr="009D1072" w:rsidR="00894620" w:rsidP="0096672A" w:rsidRDefault="00795065" w14:paraId="568CFF55" w14:textId="1039AC5B">
      <w:pPr>
        <w:pStyle w:val="Heading2"/>
      </w:pPr>
      <w:bookmarkStart w:name="_Toc200360534" w:id="183"/>
      <w:bookmarkStart w:name="_Toc200360535" w:id="184"/>
      <w:bookmarkStart w:name="_Toc185579359" w:id="185"/>
      <w:bookmarkStart w:name="_Toc192263685" w:id="186"/>
      <w:bookmarkStart w:name="_Toc200370971" w:id="187"/>
      <w:bookmarkEnd w:id="183"/>
      <w:bookmarkEnd w:id="184"/>
      <w:r w:rsidRPr="009D1072">
        <w:t>Capturing Customer Peak Demand Data and Service Line Size on Bills</w:t>
      </w:r>
      <w:bookmarkEnd w:id="185"/>
      <w:bookmarkEnd w:id="186"/>
      <w:bookmarkEnd w:id="187"/>
    </w:p>
    <w:p w:rsidRPr="009D1072" w:rsidR="00BD60F3" w:rsidP="00BD60F3" w:rsidRDefault="00795065" w14:paraId="20C3A032" w14:textId="6886582E">
      <w:pPr>
        <w:pStyle w:val="Heading3"/>
      </w:pPr>
      <w:bookmarkStart w:name="_Toc185579360" w:id="188"/>
      <w:bookmarkStart w:name="_Toc192263686" w:id="189"/>
      <w:bookmarkStart w:name="_Toc200370972" w:id="190"/>
      <w:r w:rsidRPr="009D1072">
        <w:t xml:space="preserve">Summary of </w:t>
      </w:r>
      <w:r w:rsidR="00CE2E74">
        <w:t>Party Positions</w:t>
      </w:r>
      <w:bookmarkEnd w:id="188"/>
      <w:bookmarkEnd w:id="189"/>
      <w:bookmarkEnd w:id="190"/>
    </w:p>
    <w:p w:rsidR="00925AB5" w:rsidP="00540BA0" w:rsidRDefault="00500B21" w14:paraId="204A0D71" w14:textId="794A7602">
      <w:pPr>
        <w:pStyle w:val="Standard"/>
      </w:pPr>
      <w:r>
        <w:t>Parties</w:t>
      </w:r>
      <w:r w:rsidR="00540BA0">
        <w:t xml:space="preserve"> were split on whether </w:t>
      </w:r>
      <w:r w:rsidR="004E513E">
        <w:t xml:space="preserve">the Commission </w:t>
      </w:r>
      <w:r w:rsidR="009667FC">
        <w:t>should</w:t>
      </w:r>
      <w:r w:rsidR="00540BA0">
        <w:t xml:space="preserve"> mandate capturing customer peak demand data on customer bills. </w:t>
      </w:r>
    </w:p>
    <w:p w:rsidR="003E4A83" w:rsidP="00540BA0" w:rsidRDefault="003E4A83" w14:paraId="4B1B996E" w14:textId="27F5B1CB">
      <w:pPr>
        <w:pStyle w:val="Standard"/>
      </w:pPr>
      <w:r>
        <w:t>The Joint Parties</w:t>
      </w:r>
      <w:r w:rsidR="002209A6">
        <w:t>, SBUA</w:t>
      </w:r>
      <w:r w:rsidR="00027862">
        <w:t>,</w:t>
      </w:r>
      <w:r w:rsidR="002209A6">
        <w:t xml:space="preserve"> and </w:t>
      </w:r>
      <w:r w:rsidR="005B3CED">
        <w:t>SPUR</w:t>
      </w:r>
      <w:r>
        <w:t xml:space="preserve"> support</w:t>
      </w:r>
      <w:r w:rsidR="00D53B7B">
        <w:t xml:space="preserve"> Staff’s </w:t>
      </w:r>
      <w:r w:rsidR="00BA3F3C">
        <w:t>r</w:t>
      </w:r>
      <w:r w:rsidR="00D53B7B">
        <w:t xml:space="preserve">ecommendation </w:t>
      </w:r>
      <w:r w:rsidR="00BA3F3C">
        <w:t xml:space="preserve">to </w:t>
      </w:r>
      <w:r>
        <w:t xml:space="preserve">collect </w:t>
      </w:r>
      <w:r w:rsidR="008A2F8C">
        <w:t xml:space="preserve">and make available </w:t>
      </w:r>
      <w:r>
        <w:t>15-minute peak demand data</w:t>
      </w:r>
      <w:r w:rsidR="00A53629">
        <w:t xml:space="preserve"> to customers via bills and online portals</w:t>
      </w:r>
      <w:r w:rsidR="00CE12ED">
        <w:t xml:space="preserve">. </w:t>
      </w:r>
      <w:r w:rsidR="006F1F52">
        <w:t xml:space="preserve">The </w:t>
      </w:r>
      <w:r w:rsidR="00CE12ED">
        <w:t>Joint Parties</w:t>
      </w:r>
      <w:r w:rsidR="00D30620">
        <w:t xml:space="preserve"> and SBUA</w:t>
      </w:r>
      <w:r w:rsidR="00CE12ED">
        <w:t xml:space="preserve"> </w:t>
      </w:r>
      <w:r w:rsidR="00A53629">
        <w:t>not</w:t>
      </w:r>
      <w:r w:rsidR="00CE12ED">
        <w:t>e</w:t>
      </w:r>
      <w:r w:rsidR="00A53629">
        <w:t xml:space="preserve"> </w:t>
      </w:r>
      <w:r w:rsidR="00004EC9">
        <w:t xml:space="preserve">this information </w:t>
      </w:r>
      <w:r w:rsidR="005845A4">
        <w:t>could</w:t>
      </w:r>
      <w:r w:rsidR="00004EC9">
        <w:t xml:space="preserve"> help contractors in assessing the necessity of service upsizing.</w:t>
      </w:r>
      <w:r w:rsidR="00004EC9">
        <w:rPr>
          <w:rStyle w:val="FootnoteReference"/>
        </w:rPr>
        <w:footnoteReference w:id="36"/>
      </w:r>
      <w:r w:rsidR="00A6334B">
        <w:t xml:space="preserve"> </w:t>
      </w:r>
      <w:r w:rsidR="00CE12ED">
        <w:t xml:space="preserve">SPUR </w:t>
      </w:r>
      <w:r w:rsidR="00D53B7B">
        <w:t xml:space="preserve">also supports this recommendation, </w:t>
      </w:r>
      <w:r w:rsidR="00E37F09">
        <w:t>suggesting</w:t>
      </w:r>
      <w:r w:rsidR="003215D7">
        <w:t xml:space="preserve"> the </w:t>
      </w:r>
      <w:r w:rsidR="00F71515">
        <w:t>electric utilities</w:t>
      </w:r>
      <w:r w:rsidR="003215D7">
        <w:t xml:space="preserve"> provide peak demand as a single figure to simplify the process of utilizing the </w:t>
      </w:r>
      <w:r w:rsidR="00E60DD4">
        <w:t>National Electrical Code (</w:t>
      </w:r>
      <w:r w:rsidR="003215D7">
        <w:t>NEC</w:t>
      </w:r>
      <w:r w:rsidR="00E60DD4">
        <w:t>)</w:t>
      </w:r>
      <w:r w:rsidR="003215D7">
        <w:t xml:space="preserve"> 220.87 pathway and eliminating risk of calculation errors, noting many contractors have “never performed 220.87 calculations.”</w:t>
      </w:r>
      <w:r w:rsidR="003215D7">
        <w:rPr>
          <w:rStyle w:val="FootnoteReference"/>
        </w:rPr>
        <w:footnoteReference w:id="37"/>
      </w:r>
      <w:r w:rsidRPr="00A65B90" w:rsidR="00D10B0D">
        <w:rPr>
          <w:vertAlign w:val="superscript"/>
        </w:rPr>
        <w:t>,</w:t>
      </w:r>
      <w:r w:rsidR="00A65B90">
        <w:rPr>
          <w:vertAlign w:val="superscript"/>
        </w:rPr>
        <w:t xml:space="preserve"> </w:t>
      </w:r>
      <w:r w:rsidR="00FF3CD3">
        <w:rPr>
          <w:rStyle w:val="FootnoteReference"/>
        </w:rPr>
        <w:footnoteReference w:id="38"/>
      </w:r>
    </w:p>
    <w:p w:rsidR="00DC6815" w:rsidP="00540BA0" w:rsidRDefault="00DC6815" w14:paraId="22CC1E99" w14:textId="0C271651">
      <w:pPr>
        <w:pStyle w:val="Standard"/>
      </w:pPr>
      <w:r>
        <w:t>SBUA</w:t>
      </w:r>
      <w:r w:rsidR="0004024B">
        <w:t xml:space="preserve"> notes the Staff Proposal focuses on residential buildings, and requests </w:t>
      </w:r>
      <w:r w:rsidR="002271A4">
        <w:t xml:space="preserve">the Commission direct staff to prepare a similar study for small businesses to help better understand upsizing costs and “other considerations </w:t>
      </w:r>
      <w:r w:rsidR="002271A4">
        <w:lastRenderedPageBreak/>
        <w:t>specific [to] small commercial customers</w:t>
      </w:r>
      <w:r w:rsidR="0073540F">
        <w:t>,” noting there are significant gaps in this type of information.</w:t>
      </w:r>
      <w:r w:rsidR="0073540F">
        <w:rPr>
          <w:rStyle w:val="FootnoteReference"/>
        </w:rPr>
        <w:footnoteReference w:id="39"/>
      </w:r>
    </w:p>
    <w:p w:rsidR="006E773C" w:rsidP="006E773C" w:rsidRDefault="00BB31A8" w14:paraId="529D75ED" w14:textId="505A2E53">
      <w:pPr>
        <w:pStyle w:val="Standard"/>
      </w:pPr>
      <w:r>
        <w:t>VEIC</w:t>
      </w:r>
      <w:r w:rsidR="006071C6">
        <w:t xml:space="preserve"> and the Joint </w:t>
      </w:r>
      <w:r w:rsidR="00CF39F6">
        <w:t>REN</w:t>
      </w:r>
      <w:r w:rsidR="006071C6">
        <w:t>s</w:t>
      </w:r>
      <w:r>
        <w:t xml:space="preserve"> </w:t>
      </w:r>
      <w:r w:rsidR="001E0BDB">
        <w:t xml:space="preserve">also support </w:t>
      </w:r>
      <w:r w:rsidR="00C26AEE">
        <w:t xml:space="preserve">providing contractors </w:t>
      </w:r>
      <w:r w:rsidR="001E0BDB">
        <w:t>with peak demand data</w:t>
      </w:r>
      <w:r w:rsidR="005976F8">
        <w:t xml:space="preserve"> for panel upsizing avoidance, </w:t>
      </w:r>
      <w:r w:rsidR="00CF39F6">
        <w:t xml:space="preserve">but caution </w:t>
      </w:r>
      <w:r w:rsidR="00E11B60">
        <w:t xml:space="preserve">that the Commission </w:t>
      </w:r>
      <w:r w:rsidR="00237317">
        <w:t>first</w:t>
      </w:r>
      <w:r w:rsidR="00E11B60">
        <w:t xml:space="preserve"> weigh the options to balance </w:t>
      </w:r>
      <w:r w:rsidR="00C51013">
        <w:t>benefits and costs. VEIC</w:t>
      </w:r>
      <w:r w:rsidR="005976F8">
        <w:t xml:space="preserve"> suggests the Commission “explore the feasibility of reporting approaches” to </w:t>
      </w:r>
      <w:r w:rsidR="00EB4370">
        <w:t>provide</w:t>
      </w:r>
      <w:r w:rsidR="0055622A">
        <w:t xml:space="preserve"> any “proposed solutions can be implemented in a simple and cost-efficient manner.”</w:t>
      </w:r>
      <w:r w:rsidR="0055622A">
        <w:rPr>
          <w:rStyle w:val="FootnoteReference"/>
        </w:rPr>
        <w:footnoteReference w:id="40"/>
      </w:r>
      <w:r w:rsidR="0095334F">
        <w:t xml:space="preserve"> VEIC proposes </w:t>
      </w:r>
      <w:r w:rsidR="00C356C3">
        <w:t xml:space="preserve">disclosing consumption data across an </w:t>
      </w:r>
      <w:r w:rsidR="00F71515">
        <w:t>electric utility</w:t>
      </w:r>
      <w:r w:rsidR="00C356C3">
        <w:t xml:space="preserve">’s billing system, focusing on </w:t>
      </w:r>
      <w:r w:rsidR="005F5BA0">
        <w:t>a “subset of customers who might require upsizing</w:t>
      </w:r>
      <w:r w:rsidR="00223CD2">
        <w:t>.”</w:t>
      </w:r>
      <w:r w:rsidR="006E773C">
        <w:t xml:space="preserve"> </w:t>
      </w:r>
      <w:r w:rsidR="006071C6">
        <w:t xml:space="preserve">The Joint </w:t>
      </w:r>
      <w:r w:rsidR="006E773C">
        <w:t>REN</w:t>
      </w:r>
      <w:r w:rsidR="006071C6">
        <w:t>s</w:t>
      </w:r>
      <w:r w:rsidR="006E773C">
        <w:t xml:space="preserve"> </w:t>
      </w:r>
      <w:r w:rsidR="007F5D80">
        <w:t xml:space="preserve">“question whether costly billing upgrades are necessary to achieve the intended purpose” of </w:t>
      </w:r>
      <w:r w:rsidR="00EC4BBA">
        <w:t>helping customers avoid upsizing, not</w:t>
      </w:r>
      <w:r w:rsidR="00650404">
        <w:t>ing</w:t>
      </w:r>
      <w:r w:rsidR="00EC4BBA">
        <w:t xml:space="preserve"> “existing data sources should be evaluated first, before consideration of costly </w:t>
      </w:r>
      <w:r w:rsidR="001B666E">
        <w:t xml:space="preserve">electric </w:t>
      </w:r>
      <w:r w:rsidR="00662350">
        <w:t>utility</w:t>
      </w:r>
      <w:r w:rsidRPr="00C42145" w:rsidR="001B666E">
        <w:t xml:space="preserve"> </w:t>
      </w:r>
      <w:r w:rsidR="00EC4BBA">
        <w:t>system upgrades or billing changes.”</w:t>
      </w:r>
      <w:r w:rsidR="00EC4BBA">
        <w:rPr>
          <w:rStyle w:val="FootnoteReference"/>
        </w:rPr>
        <w:footnoteReference w:id="41"/>
      </w:r>
    </w:p>
    <w:p w:rsidR="00741FE1" w:rsidP="00F46B10" w:rsidRDefault="00741FE1" w14:paraId="7A1CE9CD" w14:textId="025716F3">
      <w:pPr>
        <w:pStyle w:val="Standard"/>
      </w:pPr>
      <w:r>
        <w:t>PG&amp;E</w:t>
      </w:r>
      <w:r w:rsidR="006A78E4">
        <w:t xml:space="preserve"> and SCE </w:t>
      </w:r>
      <w:r>
        <w:t xml:space="preserve">oppose the staff recommendations </w:t>
      </w:r>
      <w:r w:rsidR="00D45E52">
        <w:t>to</w:t>
      </w:r>
      <w:r>
        <w:t xml:space="preserve"> put peak demand on customer bills</w:t>
      </w:r>
      <w:r w:rsidR="00A03A97">
        <w:t xml:space="preserve"> due to the availability of </w:t>
      </w:r>
      <w:r w:rsidR="00F53390">
        <w:t xml:space="preserve">15-minute meter </w:t>
      </w:r>
      <w:r w:rsidR="00A03A97">
        <w:t xml:space="preserve">data and the cost of updating </w:t>
      </w:r>
      <w:r w:rsidR="00CD52D4">
        <w:t>information technology (</w:t>
      </w:r>
      <w:r w:rsidR="00A03A97">
        <w:t>IT</w:t>
      </w:r>
      <w:r w:rsidR="00CD52D4">
        <w:t>)</w:t>
      </w:r>
      <w:r w:rsidR="00A03A97">
        <w:t xml:space="preserve"> and billing systems to accommodate this change.</w:t>
      </w:r>
      <w:r w:rsidR="005C2E95">
        <w:t xml:space="preserve"> </w:t>
      </w:r>
      <w:r>
        <w:t xml:space="preserve">PG&amp;E </w:t>
      </w:r>
      <w:r w:rsidR="00A03A97">
        <w:t>not</w:t>
      </w:r>
      <w:r w:rsidR="000A013C">
        <w:t>es onl</w:t>
      </w:r>
      <w:r w:rsidR="003767E5">
        <w:t>y 20.29</w:t>
      </w:r>
      <w:r w:rsidR="000B72C9">
        <w:t> percent</w:t>
      </w:r>
      <w:r w:rsidR="003767E5">
        <w:t xml:space="preserve"> of PG&amp;E customers “currently log 15-minute interval data</w:t>
      </w:r>
      <w:r w:rsidR="001A3C4E">
        <w:t>,</w:t>
      </w:r>
      <w:r w:rsidR="003767E5">
        <w:t xml:space="preserve">” and the cost of </w:t>
      </w:r>
      <w:r w:rsidR="00BB44EE">
        <w:t xml:space="preserve">enabling this functionality to all customers </w:t>
      </w:r>
      <w:r w:rsidR="005C6254">
        <w:t>would be “tens of</w:t>
      </w:r>
      <w:r w:rsidR="002E58D8">
        <w:t> million</w:t>
      </w:r>
      <w:r w:rsidR="005C6254">
        <w:t>s of dollars</w:t>
      </w:r>
      <w:r w:rsidR="00B27181">
        <w:t>”</w:t>
      </w:r>
      <w:r w:rsidR="005C6254">
        <w:t xml:space="preserve"> in IT expenses. PG&amp;E notes it decided not to </w:t>
      </w:r>
      <w:r w:rsidR="00166982">
        <w:t>pursue this work because of the expense and other competing priorities.</w:t>
      </w:r>
      <w:r w:rsidR="00166982">
        <w:rPr>
          <w:rStyle w:val="FootnoteReference"/>
        </w:rPr>
        <w:footnoteReference w:id="42"/>
      </w:r>
      <w:r w:rsidR="00195763">
        <w:t xml:space="preserve"> </w:t>
      </w:r>
      <w:r w:rsidR="003726C6">
        <w:t xml:space="preserve">SCE notes it had previously estimated </w:t>
      </w:r>
      <w:r w:rsidR="0036254B">
        <w:t xml:space="preserve">that </w:t>
      </w:r>
      <w:r w:rsidR="003726C6">
        <w:t xml:space="preserve">replacing all residential meters with 15-minute metering capabilities, in addition to </w:t>
      </w:r>
      <w:r w:rsidR="00CF4411">
        <w:t xml:space="preserve">upgrades to infrastructure needed to </w:t>
      </w:r>
      <w:r w:rsidR="00CF4411">
        <w:lastRenderedPageBreak/>
        <w:t>handle an increase in data volume, would cost $58</w:t>
      </w:r>
      <w:r w:rsidR="002E58D8">
        <w:t> million</w:t>
      </w:r>
      <w:r w:rsidR="00CF4411">
        <w:t xml:space="preserve"> and take </w:t>
      </w:r>
      <w:r w:rsidR="00F23D95">
        <w:t xml:space="preserve">approximately </w:t>
      </w:r>
      <w:r w:rsidR="00295759">
        <w:t>three years to complete.</w:t>
      </w:r>
      <w:r w:rsidR="00295759">
        <w:rPr>
          <w:rStyle w:val="FootnoteReference"/>
        </w:rPr>
        <w:footnoteReference w:id="43"/>
      </w:r>
      <w:r w:rsidR="00295759">
        <w:t xml:space="preserve"> </w:t>
      </w:r>
      <w:r w:rsidR="005770D3">
        <w:t xml:space="preserve">SCE also argues </w:t>
      </w:r>
      <w:r w:rsidR="00B63265">
        <w:t>peak demand on customer bills is not useful additional information given the predictability of loads for a residential dwelling</w:t>
      </w:r>
      <w:r w:rsidR="00990603">
        <w:t>.</w:t>
      </w:r>
      <w:r w:rsidR="00B63265">
        <w:t xml:space="preserve"> </w:t>
      </w:r>
      <w:r w:rsidR="00990603">
        <w:t>SCE contends</w:t>
      </w:r>
      <w:r w:rsidR="000A5447">
        <w:t xml:space="preserve"> its</w:t>
      </w:r>
      <w:r w:rsidR="005770D3">
        <w:t xml:space="preserve"> contractors can </w:t>
      </w:r>
      <w:r w:rsidR="00B86E2E">
        <w:t xml:space="preserve">already </w:t>
      </w:r>
      <w:r w:rsidR="005770D3">
        <w:t xml:space="preserve">use existing </w:t>
      </w:r>
      <w:r w:rsidR="00C27ADA">
        <w:t xml:space="preserve">Green Button </w:t>
      </w:r>
      <w:r w:rsidR="005770D3">
        <w:t>dat</w:t>
      </w:r>
      <w:r w:rsidR="0007474F">
        <w:t>a</w:t>
      </w:r>
      <w:r w:rsidR="00C817AA">
        <w:rPr>
          <w:rStyle w:val="FootnoteReference"/>
        </w:rPr>
        <w:footnoteReference w:id="44"/>
      </w:r>
      <w:r w:rsidR="005770D3">
        <w:t xml:space="preserve"> to access a customer’s interval data</w:t>
      </w:r>
      <w:r w:rsidR="00BF1930">
        <w:t>.</w:t>
      </w:r>
      <w:r w:rsidR="00B63265">
        <w:rPr>
          <w:rStyle w:val="FootnoteReference"/>
        </w:rPr>
        <w:footnoteReference w:id="45"/>
      </w:r>
      <w:r w:rsidR="00B63265">
        <w:t xml:space="preserve"> </w:t>
      </w:r>
      <w:r w:rsidR="003803BD">
        <w:t xml:space="preserve">SDG&amp;E states it already presents peak energy consumption in kWh </w:t>
      </w:r>
      <w:r w:rsidR="009E1E98">
        <w:t xml:space="preserve">for the past 30 days </w:t>
      </w:r>
      <w:r w:rsidR="003803BD">
        <w:t>and peak demand in kW for the past 30 days</w:t>
      </w:r>
      <w:r w:rsidR="009E1E98">
        <w:t xml:space="preserve"> and past year on the customer’s printed bill</w:t>
      </w:r>
      <w:r w:rsidR="00F46B10">
        <w:t>, and it opposes requirements for reporting peak demand in amps instead of kW, as is current practice</w:t>
      </w:r>
      <w:r w:rsidR="009E1E98">
        <w:t xml:space="preserve">. SDG&amp;E </w:t>
      </w:r>
      <w:r w:rsidR="006170CE">
        <w:t>argues</w:t>
      </w:r>
      <w:r w:rsidR="009E1E98">
        <w:t xml:space="preserve"> th</w:t>
      </w:r>
      <w:r w:rsidR="006170CE">
        <w:t xml:space="preserve">at </w:t>
      </w:r>
      <w:r w:rsidR="009E1E98">
        <w:t xml:space="preserve">requirements to have this data presented in </w:t>
      </w:r>
      <w:r w:rsidR="007B0D18">
        <w:t>amps</w:t>
      </w:r>
      <w:r w:rsidR="009E1E98">
        <w:t xml:space="preserve"> </w:t>
      </w:r>
      <w:r w:rsidR="00C528B1">
        <w:t xml:space="preserve">is unnecessary, since contractors can convert from kW to </w:t>
      </w:r>
      <w:r w:rsidR="007B0D18">
        <w:t>amp</w:t>
      </w:r>
      <w:r w:rsidR="00C528B1">
        <w:t xml:space="preserve">s, and </w:t>
      </w:r>
      <w:r w:rsidR="00671A04">
        <w:t xml:space="preserve">such requirements </w:t>
      </w:r>
      <w:r w:rsidR="00C528B1">
        <w:t xml:space="preserve">would </w:t>
      </w:r>
      <w:r w:rsidR="00671A04">
        <w:t xml:space="preserve">only </w:t>
      </w:r>
      <w:r w:rsidR="00C528B1">
        <w:t xml:space="preserve">add </w:t>
      </w:r>
      <w:r w:rsidR="004F1472">
        <w:t xml:space="preserve">additional </w:t>
      </w:r>
      <w:r w:rsidR="00C528B1">
        <w:t>time and expense to SDG&amp;E systems and processes.</w:t>
      </w:r>
      <w:r w:rsidR="00CB3118">
        <w:rPr>
          <w:rStyle w:val="FootnoteReference"/>
        </w:rPr>
        <w:footnoteReference w:id="46"/>
      </w:r>
    </w:p>
    <w:p w:rsidR="00CB3118" w:rsidP="00220DCD" w:rsidRDefault="00CB3118" w14:paraId="542FBBB6" w14:textId="5E6C3E40">
      <w:pPr>
        <w:pStyle w:val="Standard"/>
      </w:pPr>
      <w:r>
        <w:t>Regarding</w:t>
      </w:r>
      <w:r w:rsidR="00736FDA">
        <w:t xml:space="preserve"> placi</w:t>
      </w:r>
      <w:r w:rsidR="00065F4D">
        <w:t xml:space="preserve">ng peak demand data on bills, PG&amp;E notes </w:t>
      </w:r>
      <w:r w:rsidR="00823D6D">
        <w:t>its billing system would require “massive IT development” to accommodate this change.</w:t>
      </w:r>
      <w:r w:rsidR="0064716C">
        <w:t xml:space="preserve"> </w:t>
      </w:r>
      <w:r w:rsidR="00252C1F">
        <w:t xml:space="preserve">PG&amp;E </w:t>
      </w:r>
      <w:r w:rsidR="00EA3812">
        <w:t xml:space="preserve">states </w:t>
      </w:r>
      <w:r w:rsidR="00252C1F">
        <w:t>that there have been</w:t>
      </w:r>
      <w:r w:rsidR="00906D1F">
        <w:t xml:space="preserve"> </w:t>
      </w:r>
      <w:r w:rsidR="00252C1F">
        <w:t>numer</w:t>
      </w:r>
      <w:r w:rsidR="00906D1F">
        <w:t>ous</w:t>
      </w:r>
      <w:r w:rsidR="00252C1F">
        <w:t xml:space="preserve"> requirements to add information to customer bills to support decarbonization policies, but that these requirements </w:t>
      </w:r>
      <w:r w:rsidR="00840B9E">
        <w:t>have not been adequately coordinated</w:t>
      </w:r>
      <w:r w:rsidR="00053894">
        <w:t>,</w:t>
      </w:r>
      <w:r w:rsidR="00840B9E">
        <w:t xml:space="preserve"> and resulted in inefficiencies and costly changes. </w:t>
      </w:r>
      <w:r w:rsidRPr="00D537B0" w:rsidR="00840B9E">
        <w:t xml:space="preserve">PG&amp;E points to </w:t>
      </w:r>
      <w:r w:rsidRPr="00D537B0" w:rsidR="000C74EE">
        <w:t xml:space="preserve">CEC </w:t>
      </w:r>
      <w:r w:rsidRPr="00D537B0" w:rsidR="00530555">
        <w:t>updates to the Load Management Standard</w:t>
      </w:r>
      <w:r w:rsidRPr="00D537B0" w:rsidR="003F4BA0">
        <w:t>s</w:t>
      </w:r>
      <w:r w:rsidRPr="00D537B0" w:rsidR="00530555">
        <w:t xml:space="preserve"> as an example </w:t>
      </w:r>
      <w:r w:rsidRPr="00D537B0" w:rsidR="00B443CB">
        <w:t xml:space="preserve">of </w:t>
      </w:r>
      <w:r w:rsidRPr="00D537B0" w:rsidR="00D12846">
        <w:t>such a requirement.</w:t>
      </w:r>
      <w:r w:rsidRPr="00D537B0" w:rsidR="00D33130">
        <w:rPr>
          <w:rStyle w:val="FootnoteReference"/>
        </w:rPr>
        <w:footnoteReference w:id="47"/>
      </w:r>
      <w:r w:rsidRPr="00D537B0" w:rsidR="00D12846">
        <w:t xml:space="preserve"> </w:t>
      </w:r>
      <w:r w:rsidRPr="00D537B0" w:rsidR="008B75EB">
        <w:t xml:space="preserve">As an alternative, PG&amp;E suggests the </w:t>
      </w:r>
      <w:r w:rsidRPr="00D537B0" w:rsidR="008B75EB">
        <w:lastRenderedPageBreak/>
        <w:t xml:space="preserve">Commission issue a ruling </w:t>
      </w:r>
      <w:r w:rsidRPr="00D537B0" w:rsidR="002E3937">
        <w:t>focus</w:t>
      </w:r>
      <w:r w:rsidRPr="00D537B0" w:rsidR="00650404">
        <w:t>ing</w:t>
      </w:r>
      <w:r w:rsidRPr="00D537B0" w:rsidR="002E3937">
        <w:t xml:space="preserve"> on developing a comprehensive strategy and approach for using customer bills to disseminate information support</w:t>
      </w:r>
      <w:r w:rsidRPr="00D537B0" w:rsidR="00650404">
        <w:t>ing</w:t>
      </w:r>
      <w:r w:rsidRPr="00D537B0" w:rsidR="002E3937">
        <w:t xml:space="preserve"> </w:t>
      </w:r>
      <w:r w:rsidRPr="00D537B0" w:rsidR="003D6555">
        <w:t>Commission policies such as decarbonization.</w:t>
      </w:r>
      <w:r w:rsidRPr="00D537B0" w:rsidR="00F15EE0">
        <w:t xml:space="preserve"> PG&amp;E argues this would </w:t>
      </w:r>
      <w:r w:rsidRPr="00D537B0" w:rsidR="004229CB">
        <w:t xml:space="preserve">allow </w:t>
      </w:r>
      <w:r w:rsidRPr="00D537B0" w:rsidR="00AB11A2">
        <w:t>entities</w:t>
      </w:r>
      <w:r w:rsidRPr="00D537B0" w:rsidR="004229CB">
        <w:t xml:space="preserve"> such as the CEC</w:t>
      </w:r>
      <w:r w:rsidRPr="00D537B0" w:rsidR="00AB11A2">
        <w:t>, contractors, electricians and others who might use this data to weigh in.</w:t>
      </w:r>
      <w:r w:rsidRPr="00D537B0" w:rsidR="004208B6">
        <w:t xml:space="preserve"> </w:t>
      </w:r>
      <w:r w:rsidRPr="00D537B0" w:rsidR="00232370">
        <w:t xml:space="preserve">PG&amp;E also points out that </w:t>
      </w:r>
      <w:r w:rsidRPr="00D537B0" w:rsidR="00F24E44">
        <w:t xml:space="preserve">placing any new data on bills should be considered in context of all billing content, since any new information might generate more confusion for customers. </w:t>
      </w:r>
      <w:r w:rsidRPr="00D537B0" w:rsidR="004208B6">
        <w:t>Lastly, PG&amp;E argues a real-time solution would be more ideal, since the info</w:t>
      </w:r>
      <w:r w:rsidRPr="00D537B0" w:rsidR="00E71172">
        <w:t>rmation</w:t>
      </w:r>
      <w:r w:rsidRPr="00D537B0" w:rsidR="004208B6">
        <w:t xml:space="preserve"> on the billing statement is</w:t>
      </w:r>
      <w:r w:rsidRPr="00D537B0" w:rsidR="002B78F7">
        <w:t xml:space="preserve"> already</w:t>
      </w:r>
      <w:r w:rsidRPr="00D537B0" w:rsidR="004208B6">
        <w:t xml:space="preserve"> out</w:t>
      </w:r>
      <w:r w:rsidRPr="00D537B0" w:rsidR="00E71172">
        <w:t>dated</w:t>
      </w:r>
      <w:r w:rsidRPr="00D537B0" w:rsidR="004208B6">
        <w:t xml:space="preserve"> </w:t>
      </w:r>
      <w:r w:rsidRPr="00D537B0" w:rsidR="00E71172">
        <w:t>upon</w:t>
      </w:r>
      <w:r w:rsidRPr="00D537B0" w:rsidR="004208B6">
        <w:t xml:space="preserve"> </w:t>
      </w:r>
      <w:r w:rsidRPr="00D537B0" w:rsidR="00E71172">
        <w:t>issuance</w:t>
      </w:r>
      <w:r w:rsidRPr="00D537B0" w:rsidR="004208B6">
        <w:t>.</w:t>
      </w:r>
      <w:r w:rsidRPr="00D537B0" w:rsidR="003D6555">
        <w:rPr>
          <w:rStyle w:val="FootnoteReference"/>
        </w:rPr>
        <w:footnoteReference w:id="48"/>
      </w:r>
      <w:r w:rsidR="004208B6">
        <w:t xml:space="preserve"> </w:t>
      </w:r>
      <w:r w:rsidR="00530555">
        <w:t xml:space="preserve"> </w:t>
      </w:r>
    </w:p>
    <w:p w:rsidR="00741D6C" w:rsidP="00220DCD" w:rsidRDefault="00741D6C" w14:paraId="002074E9" w14:textId="799D11E9">
      <w:pPr>
        <w:pStyle w:val="Standard"/>
      </w:pPr>
      <w:r>
        <w:t xml:space="preserve">On implementation timing, PG&amp;E requests flexibility since </w:t>
      </w:r>
      <w:r w:rsidR="0009076B">
        <w:t>it is focused on implementing its Billing Modernization Initi</w:t>
      </w:r>
      <w:r w:rsidR="002312E6">
        <w:t>ati</w:t>
      </w:r>
      <w:r w:rsidR="0009076B">
        <w:t>ve</w:t>
      </w:r>
      <w:r w:rsidR="00BB2FA8">
        <w:rPr>
          <w:rStyle w:val="FootnoteReference"/>
        </w:rPr>
        <w:footnoteReference w:id="49"/>
      </w:r>
      <w:r w:rsidR="0009076B">
        <w:t xml:space="preserve"> and has other billing improvement projects in its pipeline. PG&amp;E also requests flexibility to seek cost recovery for any billing updates, since this would be </w:t>
      </w:r>
      <w:r w:rsidR="00E71172">
        <w:t xml:space="preserve">in </w:t>
      </w:r>
      <w:r w:rsidR="004C173D">
        <w:t>addition to any activities requested through its General Rate Case.</w:t>
      </w:r>
      <w:r w:rsidR="004C173D">
        <w:rPr>
          <w:rStyle w:val="FootnoteReference"/>
        </w:rPr>
        <w:footnoteReference w:id="50"/>
      </w:r>
    </w:p>
    <w:p w:rsidR="007C15DF" w:rsidP="00220DCD" w:rsidRDefault="007C15DF" w14:paraId="2EA5F8A7" w14:textId="79296AD8">
      <w:pPr>
        <w:pStyle w:val="Standard"/>
      </w:pPr>
      <w:r>
        <w:t xml:space="preserve">SCE </w:t>
      </w:r>
      <w:r w:rsidR="0034053A">
        <w:t xml:space="preserve">puts forth similar arguments </w:t>
      </w:r>
      <w:r w:rsidR="00E22537">
        <w:t xml:space="preserve">and </w:t>
      </w:r>
      <w:r w:rsidR="0034053A">
        <w:t>oppos</w:t>
      </w:r>
      <w:r w:rsidR="00E22537">
        <w:t>es</w:t>
      </w:r>
      <w:r w:rsidR="0034053A">
        <w:t xml:space="preserve"> placing peak demand data on customer bills, noting this would create confusion</w:t>
      </w:r>
      <w:r w:rsidR="00E95E56">
        <w:t xml:space="preserve">. In addition to the costs </w:t>
      </w:r>
      <w:r w:rsidR="004B58A7">
        <w:t xml:space="preserve">of </w:t>
      </w:r>
      <w:r w:rsidR="00D71561">
        <w:t>updating meters and IT systems</w:t>
      </w:r>
      <w:r w:rsidR="00E95E56">
        <w:t xml:space="preserve">, SCE </w:t>
      </w:r>
      <w:r w:rsidR="002524C5">
        <w:t>argue</w:t>
      </w:r>
      <w:r w:rsidR="00E95E56">
        <w:t xml:space="preserve">s </w:t>
      </w:r>
      <w:r w:rsidR="002524C5">
        <w:t xml:space="preserve">that </w:t>
      </w:r>
      <w:r w:rsidR="00E95E56">
        <w:t>there would be</w:t>
      </w:r>
      <w:r w:rsidR="00E619EA">
        <w:t xml:space="preserve"> </w:t>
      </w:r>
      <w:r w:rsidR="00093232">
        <w:t xml:space="preserve">other </w:t>
      </w:r>
      <w:r w:rsidR="00E95E56">
        <w:t xml:space="preserve">costs </w:t>
      </w:r>
      <w:r w:rsidR="00093232">
        <w:t>of</w:t>
      </w:r>
      <w:r w:rsidR="00AE3B43">
        <w:t xml:space="preserve"> </w:t>
      </w:r>
      <w:r w:rsidR="00355812">
        <w:t>add</w:t>
      </w:r>
      <w:r w:rsidR="00093232">
        <w:t>ing</w:t>
      </w:r>
      <w:r w:rsidR="00355812">
        <w:t xml:space="preserve"> </w:t>
      </w:r>
      <w:r w:rsidR="00AE3B43">
        <w:t xml:space="preserve">new information on </w:t>
      </w:r>
      <w:r w:rsidR="00C748EC">
        <w:t xml:space="preserve">customer </w:t>
      </w:r>
      <w:r w:rsidR="00AE3B43">
        <w:t>bills,</w:t>
      </w:r>
      <w:r w:rsidR="00E95E56">
        <w:t xml:space="preserve"> educat</w:t>
      </w:r>
      <w:r w:rsidR="00093232">
        <w:t>ing</w:t>
      </w:r>
      <w:r w:rsidR="00E95E56">
        <w:t xml:space="preserve"> customers</w:t>
      </w:r>
      <w:r w:rsidR="00E619EA">
        <w:t>,</w:t>
      </w:r>
      <w:r w:rsidR="00AE3B43">
        <w:t xml:space="preserve"> and</w:t>
      </w:r>
      <w:r w:rsidR="00E619EA">
        <w:t xml:space="preserve"> handl</w:t>
      </w:r>
      <w:r w:rsidR="00093232">
        <w:t>ing</w:t>
      </w:r>
      <w:r w:rsidR="00E619EA">
        <w:t xml:space="preserve"> </w:t>
      </w:r>
      <w:r w:rsidR="004750ED">
        <w:t xml:space="preserve">related </w:t>
      </w:r>
      <w:r w:rsidR="00E619EA">
        <w:t>customer inquiries at their Customer Contact Cente</w:t>
      </w:r>
      <w:r w:rsidR="00AE3B43">
        <w:t>rs.</w:t>
      </w:r>
      <w:r w:rsidR="009448D8">
        <w:rPr>
          <w:rStyle w:val="FootnoteReference"/>
        </w:rPr>
        <w:footnoteReference w:id="51"/>
      </w:r>
      <w:r w:rsidR="009448D8">
        <w:t xml:space="preserve"> </w:t>
      </w:r>
    </w:p>
    <w:p w:rsidR="00831809" w:rsidP="00220DCD" w:rsidRDefault="00D9021B" w14:paraId="21FBA122" w14:textId="6299F290">
      <w:pPr>
        <w:pStyle w:val="Standard"/>
      </w:pPr>
      <w:r>
        <w:lastRenderedPageBreak/>
        <w:t xml:space="preserve">SBUA supports </w:t>
      </w:r>
      <w:r w:rsidR="008A0942">
        <w:t xml:space="preserve">Staff’s </w:t>
      </w:r>
      <w:r>
        <w:t xml:space="preserve">recommendation that </w:t>
      </w:r>
      <w:r w:rsidR="00F71515">
        <w:t>electric utilities</w:t>
      </w:r>
      <w:r>
        <w:t xml:space="preserve"> collect service line capacity data and report this data on customer bills</w:t>
      </w:r>
      <w:r w:rsidR="00AA7412">
        <w:t xml:space="preserve"> to help customers make informed decisions on service upsizing alternatives.</w:t>
      </w:r>
      <w:r w:rsidR="00AA7412">
        <w:rPr>
          <w:rStyle w:val="FootnoteReference"/>
        </w:rPr>
        <w:footnoteReference w:id="52"/>
      </w:r>
    </w:p>
    <w:p w:rsidR="004208B6" w:rsidP="00AA7412" w:rsidRDefault="00274FD7" w14:paraId="48F23C0E" w14:textId="196E12A4">
      <w:pPr>
        <w:pStyle w:val="Standard"/>
      </w:pPr>
      <w:r>
        <w:t xml:space="preserve">PG&amp;E, SCE, and SDG&amp;E oppose </w:t>
      </w:r>
      <w:r w:rsidR="008C0D14">
        <w:t xml:space="preserve">Staff’s </w:t>
      </w:r>
      <w:r>
        <w:t xml:space="preserve">recommendation to collect service line </w:t>
      </w:r>
      <w:r w:rsidR="00E77D9B">
        <w:t>capacit</w:t>
      </w:r>
      <w:r w:rsidR="00CC0A36">
        <w:t xml:space="preserve">y data </w:t>
      </w:r>
      <w:r w:rsidR="00E77D9B">
        <w:t xml:space="preserve">and </w:t>
      </w:r>
      <w:r w:rsidR="00CC0A36">
        <w:t xml:space="preserve">reporting </w:t>
      </w:r>
      <w:r w:rsidR="00D75DDD">
        <w:t xml:space="preserve">that data </w:t>
      </w:r>
      <w:r w:rsidR="00E77D9B">
        <w:t xml:space="preserve">on a customer’s billing statement. </w:t>
      </w:r>
    </w:p>
    <w:p w:rsidR="00917755" w:rsidP="00220DCD" w:rsidRDefault="003F2B95" w14:paraId="740BA504" w14:textId="28445E7C">
      <w:pPr>
        <w:pStyle w:val="Standard"/>
      </w:pPr>
      <w:r>
        <w:t xml:space="preserve">PG&amp;E </w:t>
      </w:r>
      <w:r w:rsidR="00712F69">
        <w:t xml:space="preserve">states it has the capability to calculate a customer’s service </w:t>
      </w:r>
      <w:r w:rsidR="003177AE">
        <w:t xml:space="preserve">line </w:t>
      </w:r>
      <w:r w:rsidR="00712F69">
        <w:t xml:space="preserve">capacity in </w:t>
      </w:r>
      <w:r w:rsidR="007B0D18">
        <w:t>amps</w:t>
      </w:r>
      <w:r w:rsidR="00712F69">
        <w:t xml:space="preserve"> </w:t>
      </w:r>
      <w:r w:rsidRPr="001265DD" w:rsidR="001265DD">
        <w:t>by testing the thermal limit for each conductor</w:t>
      </w:r>
      <w:r w:rsidR="00712F69">
        <w:t xml:space="preserve">, but recommends </w:t>
      </w:r>
      <w:r w:rsidR="00FA62F0">
        <w:t>this</w:t>
      </w:r>
      <w:r w:rsidR="00271564">
        <w:t xml:space="preserve"> not</w:t>
      </w:r>
      <w:r w:rsidR="00FA62F0">
        <w:t xml:space="preserve"> be “tracked, monitored, or recorded on a customer’s monthly bill” for fear of creating “unintended safety risks for those customers who presume their electrical system has capacity or excess capacity” and </w:t>
      </w:r>
      <w:r w:rsidR="006A6F0B">
        <w:t xml:space="preserve">then </w:t>
      </w:r>
      <w:r w:rsidR="00FA62F0">
        <w:t xml:space="preserve">add or connect load without </w:t>
      </w:r>
      <w:r w:rsidR="00391F2D">
        <w:t>consulting with PG&amp;E. PG&amp;E fears this will also create additional costs due to the need to dispatch emergency resources</w:t>
      </w:r>
      <w:r w:rsidR="008567BE">
        <w:t xml:space="preserve"> as a result of panel fires or other issues as a result of customers not working with PG&amp;E to assess conductor cable capacity.</w:t>
      </w:r>
      <w:r w:rsidR="008567BE">
        <w:rPr>
          <w:rStyle w:val="FootnoteReference"/>
        </w:rPr>
        <w:footnoteReference w:id="53"/>
      </w:r>
      <w:r w:rsidR="008F2AE8">
        <w:t xml:space="preserve"> If adopted, PG&amp;E requests this requirement </w:t>
      </w:r>
      <w:r w:rsidR="006D2F8C">
        <w:t>be limited</w:t>
      </w:r>
      <w:r w:rsidR="008F2AE8">
        <w:t xml:space="preserve"> to new customers, </w:t>
      </w:r>
      <w:r w:rsidRPr="006D2F8C" w:rsidR="006D2F8C">
        <w:t>noting that calculating service line data for existing customers would be impractical given the size of its service territory</w:t>
      </w:r>
      <w:r w:rsidR="008F2AE8">
        <w:t>.</w:t>
      </w:r>
      <w:r w:rsidR="008F2AE8">
        <w:rPr>
          <w:rStyle w:val="FootnoteReference"/>
        </w:rPr>
        <w:footnoteReference w:id="54"/>
      </w:r>
    </w:p>
    <w:p w:rsidRPr="00D537B0" w:rsidR="00195763" w:rsidP="00220DCD" w:rsidRDefault="00621CAF" w14:paraId="5DDBBC36" w14:textId="568EF654">
      <w:pPr>
        <w:pStyle w:val="Standard"/>
      </w:pPr>
      <w:r w:rsidRPr="00D537B0">
        <w:t xml:space="preserve">SCE </w:t>
      </w:r>
      <w:r w:rsidRPr="001D63C9" w:rsidR="00884838">
        <w:t xml:space="preserve">explains that </w:t>
      </w:r>
      <w:r w:rsidRPr="00D537B0" w:rsidR="00A97A1D">
        <w:t xml:space="preserve">a customer’s service line size is already collected when </w:t>
      </w:r>
      <w:r w:rsidRPr="00D537B0" w:rsidR="001A0C5B">
        <w:t xml:space="preserve">customers request </w:t>
      </w:r>
      <w:r w:rsidRPr="00D537B0" w:rsidR="00A97A1D">
        <w:t xml:space="preserve">a </w:t>
      </w:r>
      <w:r w:rsidRPr="00D537B0" w:rsidR="0018169F">
        <w:t>meter panel or service upgrade</w:t>
      </w:r>
      <w:r w:rsidRPr="001D63C9" w:rsidR="0026499F">
        <w:t xml:space="preserve"> and </w:t>
      </w:r>
      <w:r w:rsidRPr="00D537B0" w:rsidR="00EE612C">
        <w:t xml:space="preserve"> that utility staff must still conduct a site visit to evaluate the ampacity rating of an existing wire or cable in response to customers notifying the utility of new or added load or installing a new meter panel.</w:t>
      </w:r>
      <w:r w:rsidRPr="00D537B0" w:rsidR="006A1D46">
        <w:rPr>
          <w:rStyle w:val="FootnoteReference"/>
        </w:rPr>
        <w:footnoteReference w:id="55"/>
      </w:r>
      <w:r w:rsidRPr="00D537B0" w:rsidR="00EE612C">
        <w:t xml:space="preserve"> </w:t>
      </w:r>
      <w:r w:rsidRPr="00D537B0" w:rsidR="00F725B6">
        <w:t xml:space="preserve">Therefore, SCE </w:t>
      </w:r>
      <w:r w:rsidRPr="00D537B0" w:rsidR="005668CF">
        <w:t>contends</w:t>
      </w:r>
      <w:r w:rsidRPr="00D537B0" w:rsidR="00F725B6">
        <w:t xml:space="preserve">, requiring SCE to </w:t>
      </w:r>
      <w:r w:rsidRPr="00D537B0" w:rsidR="00F725B6">
        <w:lastRenderedPageBreak/>
        <w:t xml:space="preserve">develop new procedures and train field staff to collect service line capacity </w:t>
      </w:r>
      <w:r w:rsidRPr="001D63C9" w:rsidR="0085065A">
        <w:t xml:space="preserve">data </w:t>
      </w:r>
      <w:r w:rsidRPr="00D537B0" w:rsidR="00F725B6">
        <w:t>whenever utility staff visit customer premises is unnecessary and will add costs</w:t>
      </w:r>
      <w:r w:rsidRPr="00D537B0" w:rsidR="002B1149">
        <w:t xml:space="preserve"> to collect data “in situations where the data will not be used.”</w:t>
      </w:r>
      <w:r w:rsidRPr="00D537B0" w:rsidR="002B1149">
        <w:rPr>
          <w:rStyle w:val="FootnoteReference"/>
        </w:rPr>
        <w:footnoteReference w:id="56"/>
      </w:r>
    </w:p>
    <w:p w:rsidRPr="00925AB5" w:rsidR="009C2CD2" w:rsidP="00220DCD" w:rsidRDefault="008A209D" w14:paraId="2D950B4D" w14:textId="482B2FD5">
      <w:pPr>
        <w:pStyle w:val="Standard"/>
      </w:pPr>
      <w:r w:rsidRPr="00D537B0">
        <w:t xml:space="preserve">SDG&amp;E </w:t>
      </w:r>
      <w:r w:rsidRPr="00D537B0" w:rsidR="00973303">
        <w:t xml:space="preserve">notes it does not </w:t>
      </w:r>
      <w:r w:rsidRPr="00D537B0" w:rsidR="009A054B">
        <w:t xml:space="preserve">make </w:t>
      </w:r>
      <w:r w:rsidRPr="00D537B0" w:rsidR="00973303">
        <w:t xml:space="preserve">service line capacity </w:t>
      </w:r>
      <w:r w:rsidRPr="001D63C9" w:rsidR="00FB5D03">
        <w:t xml:space="preserve">data </w:t>
      </w:r>
      <w:r w:rsidRPr="00D537B0" w:rsidR="00973303">
        <w:t xml:space="preserve">“readily available” </w:t>
      </w:r>
      <w:r w:rsidRPr="00D537B0" w:rsidR="00450BFC">
        <w:t>to customer</w:t>
      </w:r>
      <w:r w:rsidRPr="00D537B0" w:rsidR="004B34DC">
        <w:t>s</w:t>
      </w:r>
      <w:r w:rsidRPr="001D63C9" w:rsidR="00822E30">
        <w:t>,</w:t>
      </w:r>
      <w:r w:rsidRPr="00D537B0" w:rsidR="00450BFC">
        <w:t xml:space="preserve"> </w:t>
      </w:r>
      <w:r w:rsidRPr="00D537B0" w:rsidR="00973303">
        <w:t xml:space="preserve">and </w:t>
      </w:r>
      <w:r w:rsidRPr="001D63C9" w:rsidR="00822E30">
        <w:t xml:space="preserve">such new requirement </w:t>
      </w:r>
      <w:r w:rsidRPr="00D537B0" w:rsidR="00973303">
        <w:t>w</w:t>
      </w:r>
      <w:r w:rsidRPr="00D537B0" w:rsidR="00450BFC">
        <w:t>ould</w:t>
      </w:r>
      <w:r w:rsidRPr="00D537B0" w:rsidR="00973303">
        <w:t xml:space="preserve"> require “significant system upgrades and funding”</w:t>
      </w:r>
      <w:r w:rsidRPr="00D537B0" w:rsidR="00235A7D">
        <w:t xml:space="preserve"> to do so.</w:t>
      </w:r>
      <w:r w:rsidRPr="00D537B0" w:rsidR="00D063B4">
        <w:rPr>
          <w:rStyle w:val="FootnoteReference"/>
        </w:rPr>
        <w:footnoteReference w:id="57"/>
      </w:r>
      <w:r w:rsidRPr="00D537B0" w:rsidR="00973303">
        <w:t xml:space="preserve"> </w:t>
      </w:r>
      <w:r w:rsidRPr="00D537B0" w:rsidR="002248FC">
        <w:t xml:space="preserve">SDG&amp;E </w:t>
      </w:r>
      <w:r w:rsidRPr="001D63C9" w:rsidR="00885A41">
        <w:t>explains</w:t>
      </w:r>
      <w:r w:rsidRPr="00D537B0" w:rsidR="002248FC">
        <w:t xml:space="preserve"> that any customer </w:t>
      </w:r>
      <w:r w:rsidRPr="00D537B0" w:rsidR="00512EA1">
        <w:t>requesting</w:t>
      </w:r>
      <w:r w:rsidRPr="00D537B0" w:rsidR="002248FC">
        <w:t xml:space="preserve"> an upgrade can receive their service line</w:t>
      </w:r>
      <w:r w:rsidRPr="00D537B0" w:rsidR="00051F60">
        <w:t xml:space="preserve"> capacity, and even if customers have this information, they must still consult with SDG&amp;E to receive upgrades. Therefore, SDG&amp;E </w:t>
      </w:r>
      <w:r w:rsidRPr="00D537B0" w:rsidR="005668CF">
        <w:t>argue</w:t>
      </w:r>
      <w:r w:rsidRPr="00D537B0" w:rsidR="00051F60">
        <w:t xml:space="preserve">s this requirement </w:t>
      </w:r>
      <w:r w:rsidRPr="00D537B0" w:rsidR="00FF3227">
        <w:t>i</w:t>
      </w:r>
      <w:r w:rsidRPr="00D537B0" w:rsidR="00051F60">
        <w:t>s unnecessary</w:t>
      </w:r>
      <w:r w:rsidRPr="00D537B0" w:rsidR="00444FF3">
        <w:t>,</w:t>
      </w:r>
      <w:r w:rsidRPr="00D537B0" w:rsidR="00051F60">
        <w:t xml:space="preserve"> not “conduc</w:t>
      </w:r>
      <w:r w:rsidRPr="00D537B0" w:rsidR="00512EA1">
        <w:t xml:space="preserve">ive to building decarbonization” and </w:t>
      </w:r>
      <w:r w:rsidRPr="00D537B0" w:rsidR="00FF3227">
        <w:t>would be</w:t>
      </w:r>
      <w:r w:rsidRPr="00D537B0" w:rsidR="00512EA1">
        <w:t xml:space="preserve"> a “misuse of administrative and technological resources.”</w:t>
      </w:r>
      <w:r w:rsidRPr="00D537B0" w:rsidR="00512EA1">
        <w:rPr>
          <w:rStyle w:val="FootnoteReference"/>
        </w:rPr>
        <w:footnoteReference w:id="58"/>
      </w:r>
    </w:p>
    <w:p w:rsidR="00E0329B" w:rsidP="00E0329B" w:rsidRDefault="00A3798C" w14:paraId="1E640890" w14:textId="37781C95">
      <w:pPr>
        <w:pStyle w:val="Standard"/>
      </w:pPr>
      <w:r>
        <w:t xml:space="preserve">The </w:t>
      </w:r>
      <w:r w:rsidR="00E0329B">
        <w:t xml:space="preserve">Joint Parties </w:t>
      </w:r>
      <w:r w:rsidR="00A63733">
        <w:t xml:space="preserve">agree </w:t>
      </w:r>
      <w:r w:rsidR="00E0329B">
        <w:t xml:space="preserve">with </w:t>
      </w:r>
      <w:r w:rsidR="00B76F4E">
        <w:t xml:space="preserve">the Joint RENs, </w:t>
      </w:r>
      <w:r w:rsidR="00E0329B">
        <w:t xml:space="preserve">PG&amp;E, SCE, and VEIC </w:t>
      </w:r>
      <w:r w:rsidR="00A63733">
        <w:t xml:space="preserve">and </w:t>
      </w:r>
      <w:r w:rsidR="00EA3812">
        <w:t xml:space="preserve">assert </w:t>
      </w:r>
      <w:r w:rsidR="00E0329B">
        <w:t xml:space="preserve">that costly billing upgrades </w:t>
      </w:r>
      <w:r w:rsidR="00C97B31">
        <w:t>associated with</w:t>
      </w:r>
      <w:r w:rsidR="00E0329B">
        <w:t xml:space="preserve"> </w:t>
      </w:r>
      <w:r w:rsidR="00A6721A">
        <w:t xml:space="preserve">sharing the </w:t>
      </w:r>
      <w:r w:rsidR="00E0329B">
        <w:t>customers peak demand data</w:t>
      </w:r>
      <w:r w:rsidR="00A6721A">
        <w:t xml:space="preserve"> in the customer bills </w:t>
      </w:r>
      <w:r w:rsidR="00076509">
        <w:t>would</w:t>
      </w:r>
      <w:r w:rsidRPr="00A6721A" w:rsidR="00A6721A">
        <w:t xml:space="preserve"> be unnecessary</w:t>
      </w:r>
      <w:r w:rsidR="00076509">
        <w:t>; instead, they</w:t>
      </w:r>
      <w:r w:rsidR="00E0329B">
        <w:t xml:space="preserve"> recommend directing the utilities to provide instructions on how to convert Green Button data into </w:t>
      </w:r>
      <w:r w:rsidR="00A65B90">
        <w:t>amp</w:t>
      </w:r>
      <w:r w:rsidR="00E0329B">
        <w:t xml:space="preserve"> figures on utility websites as a “reasonable middle ground” approach. </w:t>
      </w:r>
      <w:r w:rsidR="00F5312E">
        <w:t xml:space="preserve">The </w:t>
      </w:r>
      <w:r w:rsidR="00E0329B">
        <w:t>Joint Parties assert “some burden on the utilities is warranted to ensure that a workable, accessible system is in place” for customers, which mirrors comments SBUA also allows.</w:t>
      </w:r>
      <w:r w:rsidR="00E0329B">
        <w:rPr>
          <w:rStyle w:val="FootnoteReference"/>
        </w:rPr>
        <w:footnoteReference w:id="59"/>
      </w:r>
      <w:r w:rsidR="00E0329B">
        <w:t xml:space="preserve"> </w:t>
      </w:r>
      <w:r w:rsidRPr="00EB4370" w:rsidR="00E0329B">
        <w:t xml:space="preserve">PG&amp;E reiterates there is a “massive cost” associated with putting peak load </w:t>
      </w:r>
      <w:r w:rsidRPr="001D63C9" w:rsidR="00D158F2">
        <w:t xml:space="preserve">data </w:t>
      </w:r>
      <w:r w:rsidRPr="00EB4370" w:rsidR="00E0329B">
        <w:t xml:space="preserve">on customer bills and </w:t>
      </w:r>
      <w:r w:rsidRPr="001D63C9" w:rsidR="00C0711E">
        <w:lastRenderedPageBreak/>
        <w:t>agrees</w:t>
      </w:r>
      <w:r w:rsidRPr="00EB4370" w:rsidR="00E0329B">
        <w:t xml:space="preserve"> with </w:t>
      </w:r>
      <w:r w:rsidRPr="00EB4370" w:rsidR="00B76F4E">
        <w:t xml:space="preserve">the Joint </w:t>
      </w:r>
      <w:r w:rsidRPr="00EB4370" w:rsidR="00E0329B">
        <w:t>REN</w:t>
      </w:r>
      <w:r w:rsidRPr="00EB4370" w:rsidR="00B76F4E">
        <w:t>s</w:t>
      </w:r>
      <w:r w:rsidRPr="00EB4370" w:rsidR="00E0329B">
        <w:t xml:space="preserve"> that alternatives should be considered to deliver this information to customers in a more cost</w:t>
      </w:r>
      <w:r w:rsidRPr="00EB4370" w:rsidR="00D45AAC">
        <w:t>-</w:t>
      </w:r>
      <w:r w:rsidRPr="00EB4370" w:rsidR="00E0329B">
        <w:t>effective way.</w:t>
      </w:r>
      <w:r w:rsidRPr="00EB4370" w:rsidR="00E0329B">
        <w:rPr>
          <w:rStyle w:val="FootnoteReference"/>
        </w:rPr>
        <w:footnoteReference w:id="60"/>
      </w:r>
    </w:p>
    <w:p w:rsidR="00E0329B" w:rsidP="00E0329B" w:rsidRDefault="00E0329B" w14:paraId="7EA941D8" w14:textId="1DAD90CE">
      <w:pPr>
        <w:pStyle w:val="Standard"/>
      </w:pPr>
      <w:r>
        <w:t xml:space="preserve">SCE </w:t>
      </w:r>
      <w:r w:rsidR="00355935">
        <w:t>argues</w:t>
      </w:r>
      <w:r>
        <w:t xml:space="preserve"> </w:t>
      </w:r>
      <w:r w:rsidR="006168D2">
        <w:t xml:space="preserve">that </w:t>
      </w:r>
      <w:r>
        <w:t>th</w:t>
      </w:r>
      <w:r w:rsidR="00DE6D2D">
        <w:t>e</w:t>
      </w:r>
      <w:r>
        <w:t xml:space="preserve"> Joint Parties’ support for the Staff Proposal is based on the </w:t>
      </w:r>
      <w:r w:rsidR="00964BC8">
        <w:t xml:space="preserve">erroneous </w:t>
      </w:r>
      <w:r>
        <w:t>assumptions that peak demand data is readily available and that providing this data to customers will not be overly burdensome.</w:t>
      </w:r>
      <w:r>
        <w:rPr>
          <w:rStyle w:val="FootnoteReference"/>
        </w:rPr>
        <w:footnoteReference w:id="61"/>
      </w:r>
    </w:p>
    <w:p w:rsidR="00E0329B" w:rsidP="00E0329B" w:rsidRDefault="00E0329B" w14:paraId="3E4FEAE3" w14:textId="2D3DC798">
      <w:pPr>
        <w:pStyle w:val="Standard"/>
      </w:pPr>
      <w:r w:rsidRPr="00EB4370">
        <w:t xml:space="preserve">SCE agrees with PG&amp;E’s recommendation that the Commission obtain input from entities, such as contractors and </w:t>
      </w:r>
      <w:r w:rsidRPr="00EB4370" w:rsidR="00AC230A">
        <w:t xml:space="preserve">the </w:t>
      </w:r>
      <w:r w:rsidRPr="00EB4370">
        <w:t>CEC, who would use peak demand information before requiring billing updates.</w:t>
      </w:r>
      <w:r w:rsidRPr="00EB4370">
        <w:rPr>
          <w:rStyle w:val="FootnoteReference"/>
        </w:rPr>
        <w:footnoteReference w:id="62"/>
      </w:r>
      <w:r w:rsidRPr="00EB4370">
        <w:t xml:space="preserve"> </w:t>
      </w:r>
      <w:r w:rsidRPr="00EB4370" w:rsidR="00AC230A">
        <w:t xml:space="preserve">SCE </w:t>
      </w:r>
      <w:r w:rsidRPr="00EB4370" w:rsidR="00C908D9">
        <w:t xml:space="preserve">suggests </w:t>
      </w:r>
      <w:r w:rsidRPr="00EB4370">
        <w:t>a potential solution could be the creation of customer and contractor resources to avoid panel upsizing, as PG&amp;E suggested in its opening comments.</w:t>
      </w:r>
      <w:r w:rsidRPr="00EB4370">
        <w:rPr>
          <w:rStyle w:val="FootnoteReference"/>
        </w:rPr>
        <w:footnoteReference w:id="63"/>
      </w:r>
    </w:p>
    <w:p w:rsidR="00E0329B" w:rsidP="00FA1E76" w:rsidRDefault="00E0329B" w14:paraId="1CB623C3" w14:textId="5BA97D28">
      <w:pPr>
        <w:pStyle w:val="Standard"/>
      </w:pPr>
      <w:r>
        <w:t xml:space="preserve">CBIA disagrees with the </w:t>
      </w:r>
      <w:r w:rsidR="003F790D">
        <w:t>electric utilities</w:t>
      </w:r>
      <w:r>
        <w:t xml:space="preserve"> and supports both staff recommendations of collecting peak demand and service line capacity</w:t>
      </w:r>
      <w:r w:rsidR="00D671DC">
        <w:t xml:space="preserve"> data</w:t>
      </w:r>
      <w:r w:rsidR="00660491">
        <w:t>,</w:t>
      </w:r>
      <w:r>
        <w:t xml:space="preserve"> and placing this information on customer bills, noting it will give customers immediate access to important information to make decisions </w:t>
      </w:r>
      <w:r w:rsidR="00660491">
        <w:t xml:space="preserve">regarding </w:t>
      </w:r>
      <w:r>
        <w:t>decarbonization measures.</w:t>
      </w:r>
      <w:r>
        <w:rPr>
          <w:rStyle w:val="FootnoteReference"/>
        </w:rPr>
        <w:footnoteReference w:id="64"/>
      </w:r>
    </w:p>
    <w:p w:rsidRPr="0053179A" w:rsidR="00D85E04" w:rsidP="00D85E04" w:rsidRDefault="00D85E04" w14:paraId="41232496" w14:textId="6D660E81">
      <w:pPr>
        <w:pStyle w:val="Heading3"/>
      </w:pPr>
      <w:bookmarkStart w:name="_Toc185579362" w:id="191"/>
      <w:bookmarkStart w:name="_Toc192263688" w:id="192"/>
      <w:bookmarkStart w:name="_Toc200370973" w:id="193"/>
      <w:r w:rsidRPr="009D1072">
        <w:t>Discussion</w:t>
      </w:r>
      <w:bookmarkEnd w:id="191"/>
      <w:bookmarkEnd w:id="192"/>
      <w:bookmarkEnd w:id="193"/>
    </w:p>
    <w:p w:rsidR="00064A89" w:rsidP="00D85E04" w:rsidRDefault="00064A89" w14:paraId="2530B25C" w14:textId="357399A0">
      <w:pPr>
        <w:pStyle w:val="Standard"/>
      </w:pPr>
      <w:r w:rsidRPr="00064A89">
        <w:t xml:space="preserve">While accessible peak load data </w:t>
      </w:r>
      <w:r w:rsidR="00C63D05">
        <w:t xml:space="preserve">may </w:t>
      </w:r>
      <w:r w:rsidRPr="00064A89">
        <w:t xml:space="preserve">provide value to customers, </w:t>
      </w:r>
      <w:r w:rsidR="00B52EE2">
        <w:t xml:space="preserve">on balance, </w:t>
      </w:r>
      <w:r w:rsidRPr="0005780A">
        <w:t>the Commission declines to require billing system upgrades</w:t>
      </w:r>
      <w:r w:rsidR="002E70C4">
        <w:t>. As discussed below</w:t>
      </w:r>
      <w:r w:rsidRPr="0005780A">
        <w:t xml:space="preserve">, </w:t>
      </w:r>
      <w:r w:rsidR="00D85E04">
        <w:t xml:space="preserve">the potential cost </w:t>
      </w:r>
      <w:r>
        <w:t xml:space="preserve">burden </w:t>
      </w:r>
      <w:r w:rsidR="000B0028">
        <w:t xml:space="preserve">on ratepayers of </w:t>
      </w:r>
      <w:r>
        <w:t xml:space="preserve">such upgrades </w:t>
      </w:r>
      <w:r w:rsidR="0013612F">
        <w:t>cannot be justified.</w:t>
      </w:r>
    </w:p>
    <w:p w:rsidR="00D85E04" w:rsidP="00D85E04" w:rsidRDefault="00D85E04" w14:paraId="25FA28EB" w14:textId="736AB794">
      <w:pPr>
        <w:pStyle w:val="Standard"/>
      </w:pPr>
      <w:r>
        <w:lastRenderedPageBreak/>
        <w:t xml:space="preserve">SDG&amp;E is currently the only </w:t>
      </w:r>
      <w:r w:rsidR="00745243">
        <w:t xml:space="preserve">utility </w:t>
      </w:r>
      <w:r>
        <w:t>report</w:t>
      </w:r>
      <w:r w:rsidR="00DE6D2D">
        <w:t>ing</w:t>
      </w:r>
      <w:r>
        <w:t xml:space="preserve"> peak demand data in kW on customer bills. </w:t>
      </w:r>
      <w:r w:rsidR="008D16C5">
        <w:t xml:space="preserve">In </w:t>
      </w:r>
      <w:r w:rsidR="00041825">
        <w:t>weighing</w:t>
      </w:r>
      <w:r w:rsidR="0004797A">
        <w:t xml:space="preserve"> </w:t>
      </w:r>
      <w:r w:rsidR="00F94BCA">
        <w:t>the</w:t>
      </w:r>
      <w:r w:rsidR="0004797A">
        <w:t xml:space="preserve"> </w:t>
      </w:r>
      <w:r w:rsidR="008D16C5">
        <w:t>competing interests, w</w:t>
      </w:r>
      <w:r>
        <w:t xml:space="preserve">e </w:t>
      </w:r>
      <w:r w:rsidR="00E50CE2">
        <w:t>are persuaded by</w:t>
      </w:r>
      <w:r>
        <w:t xml:space="preserve"> SDG&amp;E</w:t>
      </w:r>
      <w:r w:rsidR="00E50CE2">
        <w:t>’s contention</w:t>
      </w:r>
      <w:r>
        <w:t xml:space="preserve"> that this information is sufficient</w:t>
      </w:r>
      <w:r w:rsidR="00DE6D2D">
        <w:t xml:space="preserve">, </w:t>
      </w:r>
      <w:r>
        <w:t xml:space="preserve">and </w:t>
      </w:r>
      <w:r w:rsidR="00DE6D2D">
        <w:t xml:space="preserve">that </w:t>
      </w:r>
      <w:r w:rsidR="00F71515">
        <w:t>electric utilities</w:t>
      </w:r>
      <w:r>
        <w:t xml:space="preserve"> need not report peak demand in </w:t>
      </w:r>
      <w:r w:rsidR="007B0D18">
        <w:t>amps</w:t>
      </w:r>
      <w:r>
        <w:t xml:space="preserve">, as </w:t>
      </w:r>
      <w:r w:rsidR="00DE6D2D">
        <w:t>contractors can perform this calculation</w:t>
      </w:r>
      <w:r>
        <w:t xml:space="preserve">. </w:t>
      </w:r>
    </w:p>
    <w:p w:rsidR="00D85E04" w:rsidP="00D85E04" w:rsidRDefault="00D85E04" w14:paraId="09007C24" w14:textId="73D521E8">
      <w:pPr>
        <w:pStyle w:val="Standard"/>
      </w:pPr>
      <w:r>
        <w:t>PG&amp;E and SCE</w:t>
      </w:r>
      <w:r w:rsidR="00F01A38">
        <w:t xml:space="preserve"> </w:t>
      </w:r>
      <w:r>
        <w:t xml:space="preserve">do not currently report </w:t>
      </w:r>
      <w:r w:rsidR="002D2F57">
        <w:t>peak demand data</w:t>
      </w:r>
      <w:r>
        <w:t xml:space="preserve"> on customer bills</w:t>
      </w:r>
      <w:r w:rsidR="003C1764">
        <w:t xml:space="preserve"> and</w:t>
      </w:r>
      <w:r>
        <w:t xml:space="preserve"> </w:t>
      </w:r>
      <w:r w:rsidR="00F01A38">
        <w:t>identify</w:t>
      </w:r>
      <w:r>
        <w:t xml:space="preserve"> two </w:t>
      </w:r>
      <w:r w:rsidR="008F382C">
        <w:t>significant</w:t>
      </w:r>
      <w:r w:rsidR="003C1764">
        <w:t xml:space="preserve"> </w:t>
      </w:r>
      <w:r w:rsidR="006A62BE">
        <w:t>categor</w:t>
      </w:r>
      <w:r w:rsidR="0083223E">
        <w:t xml:space="preserve">ies of </w:t>
      </w:r>
      <w:r w:rsidR="00F01A38">
        <w:t>cost</w:t>
      </w:r>
      <w:r>
        <w:t xml:space="preserve">s </w:t>
      </w:r>
      <w:r w:rsidR="0003065A">
        <w:t>associated with</w:t>
      </w:r>
      <w:r w:rsidR="00F01A38">
        <w:t xml:space="preserve"> </w:t>
      </w:r>
      <w:r>
        <w:t>implement</w:t>
      </w:r>
      <w:r w:rsidR="00E85529">
        <w:t>ing</w:t>
      </w:r>
      <w:r>
        <w:t xml:space="preserve"> this recommendation: (1) updating metering infrastructure and IT systems to </w:t>
      </w:r>
      <w:r w:rsidR="00FF113B">
        <w:t>provide</w:t>
      </w:r>
      <w:r>
        <w:t xml:space="preserve"> all meters log and store 15-minute interval demand data</w:t>
      </w:r>
      <w:r w:rsidR="00B75891">
        <w:t>;</w:t>
      </w:r>
      <w:r>
        <w:t xml:space="preserve"> and (2) updating billing systems and billing changes to add this information to customer bills. </w:t>
      </w:r>
    </w:p>
    <w:p w:rsidR="00D85E04" w:rsidP="00D85E04" w:rsidRDefault="00D85E04" w14:paraId="72A73077" w14:textId="73EC6FA5">
      <w:pPr>
        <w:pStyle w:val="Standard"/>
      </w:pPr>
      <w:r>
        <w:t>Regarding the first c</w:t>
      </w:r>
      <w:r w:rsidR="0083223E">
        <w:t>ategory of c</w:t>
      </w:r>
      <w:r>
        <w:t xml:space="preserve">osts, it is unclear what the cost breakdown, process, and estimated timeframe for implementation would be for PG&amp;E and SCE to </w:t>
      </w:r>
      <w:r w:rsidR="00FF113B">
        <w:t>provide that</w:t>
      </w:r>
      <w:r>
        <w:t xml:space="preserve"> all their meters can log </w:t>
      </w:r>
      <w:r w:rsidR="0079754B">
        <w:t xml:space="preserve">average demand measured over a </w:t>
      </w:r>
      <w:r>
        <w:t xml:space="preserve">15-minute interval </w:t>
      </w:r>
      <w:r w:rsidR="00FA3EF2">
        <w:t>(“</w:t>
      </w:r>
      <w:r>
        <w:t>demand data</w:t>
      </w:r>
      <w:r w:rsidR="00FA3EF2">
        <w:t>”)</w:t>
      </w:r>
      <w:r w:rsidR="00355FFD">
        <w:t>,</w:t>
      </w:r>
      <w:r>
        <w:t xml:space="preserve"> and </w:t>
      </w:r>
      <w:r w:rsidR="00CD52D4">
        <w:t xml:space="preserve">whether </w:t>
      </w:r>
      <w:r>
        <w:t xml:space="preserve">their IT systems can </w:t>
      </w:r>
      <w:r w:rsidR="00CD52D4">
        <w:t xml:space="preserve">accommodate </w:t>
      </w:r>
      <w:r>
        <w:t xml:space="preserve">the </w:t>
      </w:r>
      <w:r w:rsidR="00CD52D4">
        <w:t xml:space="preserve">resulting </w:t>
      </w:r>
      <w:r>
        <w:t xml:space="preserve">increase in data storage. SCE notes </w:t>
      </w:r>
      <w:r w:rsidR="00DE6D2D">
        <w:t xml:space="preserve">that </w:t>
      </w:r>
      <w:r>
        <w:t xml:space="preserve">if it were to replace all residential customer meters with 15-minute metering </w:t>
      </w:r>
      <w:r w:rsidR="007C515B">
        <w:t>alongside its planned efforts</w:t>
      </w:r>
      <w:r w:rsidR="007F7B52">
        <w:t>, starting in 2028,</w:t>
      </w:r>
      <w:r w:rsidR="007C515B">
        <w:t xml:space="preserve"> to replace </w:t>
      </w:r>
      <w:r w:rsidR="001E374E">
        <w:t>customer meters approaching their life expectancy</w:t>
      </w:r>
      <w:r w:rsidR="007F7B52">
        <w:t xml:space="preserve">, </w:t>
      </w:r>
      <w:r>
        <w:t>this would cost an additional $58</w:t>
      </w:r>
      <w:r w:rsidR="002E58D8">
        <w:t> million</w:t>
      </w:r>
      <w:r>
        <w:t xml:space="preserve"> and take three years to complete.</w:t>
      </w:r>
      <w:r>
        <w:rPr>
          <w:rStyle w:val="FootnoteReference"/>
        </w:rPr>
        <w:footnoteReference w:id="65"/>
      </w:r>
      <w:r>
        <w:t xml:space="preserve"> </w:t>
      </w:r>
    </w:p>
    <w:p w:rsidR="00C975B5" w:rsidP="00D85E04" w:rsidRDefault="00D85E04" w14:paraId="6465599D" w14:textId="06EBB7BB">
      <w:pPr>
        <w:pStyle w:val="Standard"/>
      </w:pPr>
      <w:r>
        <w:t xml:space="preserve">For the second </w:t>
      </w:r>
      <w:r w:rsidR="00D40633">
        <w:t xml:space="preserve">category of </w:t>
      </w:r>
      <w:r>
        <w:t xml:space="preserve">costs related to billing changes, </w:t>
      </w:r>
      <w:r w:rsidR="00FF7DF8">
        <w:t xml:space="preserve">several parties </w:t>
      </w:r>
      <w:r w:rsidR="0031745B">
        <w:t>echo the concern</w:t>
      </w:r>
      <w:r w:rsidRPr="00977C82" w:rsidR="00977C82">
        <w:t xml:space="preserve"> that </w:t>
      </w:r>
      <w:r w:rsidR="0031745B">
        <w:t xml:space="preserve">such </w:t>
      </w:r>
      <w:r w:rsidRPr="00977C82" w:rsidR="00977C82">
        <w:t>billing changes</w:t>
      </w:r>
      <w:r>
        <w:t xml:space="preserve"> will be expensive</w:t>
      </w:r>
      <w:r w:rsidR="006A0F7F">
        <w:t xml:space="preserve">. </w:t>
      </w:r>
    </w:p>
    <w:p w:rsidRPr="009D26B1" w:rsidR="009D26B1" w:rsidP="009D26B1" w:rsidRDefault="009D26B1" w14:paraId="24A00FAA" w14:textId="015ABF87">
      <w:pPr>
        <w:pStyle w:val="Standard"/>
      </w:pPr>
      <w:r w:rsidRPr="009D26B1">
        <w:t xml:space="preserve">PG&amp;E raises additional safety concerns, explaining that customers might incorrectly assume they can safely add load without consulting PG&amp;E if their </w:t>
      </w:r>
      <w:r w:rsidRPr="009D26B1">
        <w:lastRenderedPageBreak/>
        <w:t xml:space="preserve">bills report service line capacity or peak demand values. This could lead to fire hazards or necessitate emergency utility responses. PG&amp;E explains that customers could be misled into believing their </w:t>
      </w:r>
      <w:r w:rsidR="00B15B6A">
        <w:t>premise</w:t>
      </w:r>
      <w:r w:rsidR="00A24661">
        <w:t xml:space="preserve"> can</w:t>
      </w:r>
      <w:r w:rsidRPr="009D26B1">
        <w:t xml:space="preserve"> accommodate new load</w:t>
      </w:r>
      <w:r w:rsidRPr="000B60E1" w:rsidR="000B60E1">
        <w:t xml:space="preserve"> based solely on service line capacity, when such load could potentially have adverse impacts to secondary conductors and service transformers, thus causing a safety hazard</w:t>
      </w:r>
      <w:r w:rsidRPr="009D26B1">
        <w:t>.</w:t>
      </w:r>
      <w:r>
        <w:t xml:space="preserve"> </w:t>
      </w:r>
      <w:r w:rsidRPr="009D26B1">
        <w:t>PG&amp;E also notes that its existing customer-facing online portals already provide access to detailed energy use and billing data, and recommends leveraging these existing tools rather than mandating costly billing system upgrades.</w:t>
      </w:r>
    </w:p>
    <w:p w:rsidR="00D85E04" w:rsidP="000B799A" w:rsidRDefault="00D85E04" w14:paraId="4ABADB0E" w14:textId="64AD1E63">
      <w:pPr>
        <w:pStyle w:val="Standard"/>
      </w:pPr>
      <w:r>
        <w:t xml:space="preserve">We reiterate our support for ways to help customers safely avoid panel and service upsizing. However, we </w:t>
      </w:r>
      <w:r w:rsidR="006836F7">
        <w:t xml:space="preserve">currently lack </w:t>
      </w:r>
      <w:r w:rsidR="00CC4B31">
        <w:t>the necessary</w:t>
      </w:r>
      <w:r>
        <w:t xml:space="preserve"> information to </w:t>
      </w:r>
      <w:r w:rsidR="00B60F70">
        <w:t xml:space="preserve">evaluate </w:t>
      </w:r>
      <w:r>
        <w:t>the costs and benefits of directing utilities to update meters and IT infrastructure to collect</w:t>
      </w:r>
      <w:r w:rsidR="002A2E48">
        <w:t>,</w:t>
      </w:r>
      <w:r>
        <w:t xml:space="preserve"> store</w:t>
      </w:r>
      <w:r w:rsidR="002A2E48">
        <w:t xml:space="preserve"> and share</w:t>
      </w:r>
      <w:r>
        <w:t xml:space="preserve"> 15-minute interval demand data to share with all their respective customers. There are also </w:t>
      </w:r>
      <w:r w:rsidRPr="00D1300A">
        <w:t xml:space="preserve">other </w:t>
      </w:r>
      <w:r>
        <w:t xml:space="preserve">proceedings currently exploring the use and collection of metering data, </w:t>
      </w:r>
      <w:r w:rsidR="00404300">
        <w:t>such as</w:t>
      </w:r>
      <w:r>
        <w:t xml:space="preserve"> R.22</w:t>
      </w:r>
      <w:r w:rsidR="0091411A">
        <w:noBreakHyphen/>
      </w:r>
      <w:r>
        <w:t>11</w:t>
      </w:r>
      <w:r w:rsidR="0091411A">
        <w:noBreakHyphen/>
      </w:r>
      <w:r>
        <w:t>013.</w:t>
      </w:r>
    </w:p>
    <w:p w:rsidR="00A72936" w:rsidP="009D26B1" w:rsidRDefault="00251693" w14:paraId="2327BCF7" w14:textId="318FEBB5">
      <w:pPr>
        <w:pStyle w:val="Standard"/>
      </w:pPr>
      <w:r>
        <w:t>In addition</w:t>
      </w:r>
      <w:r w:rsidR="00D85E04">
        <w:t xml:space="preserve">, as SCE </w:t>
      </w:r>
      <w:r w:rsidR="00D869F7">
        <w:t>explain</w:t>
      </w:r>
      <w:r w:rsidR="00D85E04">
        <w:t xml:space="preserve">s, there are planned efforts for </w:t>
      </w:r>
      <w:r w:rsidR="00BD0D16">
        <w:t xml:space="preserve">the </w:t>
      </w:r>
      <w:r w:rsidR="00857055">
        <w:t>electric utilities</w:t>
      </w:r>
      <w:r w:rsidRPr="00C42145" w:rsidR="00857055">
        <w:t xml:space="preserve"> </w:t>
      </w:r>
      <w:r w:rsidR="00D85E04">
        <w:t xml:space="preserve">to replace meters approaching their life expectancy. </w:t>
      </w:r>
      <w:r w:rsidR="00937FF5">
        <w:t xml:space="preserve">We find the </w:t>
      </w:r>
      <w:r w:rsidR="009D26B1">
        <w:t>concerns</w:t>
      </w:r>
      <w:r w:rsidR="00937FF5">
        <w:t xml:space="preserve"> presented by PG&amp;E and SCE</w:t>
      </w:r>
      <w:r w:rsidR="00272C1F">
        <w:t xml:space="preserve"> </w:t>
      </w:r>
      <w:r w:rsidR="009D26B1">
        <w:t xml:space="preserve">persuasive, </w:t>
      </w:r>
      <w:r w:rsidRPr="009D26B1" w:rsidR="009D26B1">
        <w:t>particularly with respect to the combination of cost impacts and potential safety risks to customers.</w:t>
      </w:r>
      <w:r w:rsidR="009D26B1">
        <w:t xml:space="preserve"> Accordingly, we will </w:t>
      </w:r>
      <w:r w:rsidRPr="00AF6237" w:rsidR="00AF6237">
        <w:t>not direct any further action on meter replacements</w:t>
      </w:r>
      <w:r w:rsidR="003F04E3">
        <w:t>.</w:t>
      </w:r>
      <w:r w:rsidRPr="00AF6237" w:rsidR="00AF6237">
        <w:t xml:space="preserve"> </w:t>
      </w:r>
    </w:p>
    <w:p w:rsidR="00D85E04" w:rsidP="00220DCD" w:rsidRDefault="00B60F70" w14:paraId="2F6A7631" w14:textId="39022530">
      <w:pPr>
        <w:pStyle w:val="Standard"/>
      </w:pPr>
      <w:r>
        <w:t>Instead, t</w:t>
      </w:r>
      <w:r w:rsidR="00D85E04">
        <w:t xml:space="preserve">o help the Commission better understand the costs </w:t>
      </w:r>
      <w:r w:rsidR="009B4A6C">
        <w:t xml:space="preserve">and challenges </w:t>
      </w:r>
      <w:r w:rsidR="00D85E04">
        <w:t xml:space="preserve">of sharing 15-minute peak demand data with customers, we </w:t>
      </w:r>
      <w:r w:rsidRPr="00B86B4D" w:rsidR="00B86B4D">
        <w:t>will continue to explore these issues later in this proceeding</w:t>
      </w:r>
      <w:r w:rsidR="008146A6">
        <w:t>.</w:t>
      </w:r>
      <w:r w:rsidRPr="00B86B4D" w:rsidR="00B86B4D">
        <w:t xml:space="preserve"> </w:t>
      </w:r>
      <w:r w:rsidR="008146A6">
        <w:t>A</w:t>
      </w:r>
      <w:r w:rsidR="00CF24D2">
        <w:t xml:space="preserve">ll </w:t>
      </w:r>
      <w:r w:rsidR="003110C0">
        <w:t xml:space="preserve">electric </w:t>
      </w:r>
      <w:r w:rsidR="3F335A61">
        <w:t>utilities</w:t>
      </w:r>
      <w:r w:rsidRPr="00C42145" w:rsidR="003110C0">
        <w:t xml:space="preserve"> </w:t>
      </w:r>
      <w:r w:rsidR="008146A6">
        <w:t xml:space="preserve">are directed </w:t>
      </w:r>
      <w:r w:rsidR="00D85E04">
        <w:t>to</w:t>
      </w:r>
      <w:r w:rsidR="00E368EF">
        <w:t xml:space="preserve"> </w:t>
      </w:r>
      <w:r w:rsidR="001812A1">
        <w:t>file</w:t>
      </w:r>
      <w:r w:rsidRPr="00B7016D" w:rsidR="00B7016D">
        <w:t xml:space="preserve"> a Compliance Filing </w:t>
      </w:r>
      <w:r w:rsidR="001812A1">
        <w:t>on</w:t>
      </w:r>
      <w:r w:rsidRPr="00B7016D" w:rsidR="00B7016D">
        <w:t xml:space="preserve"> the docket of this proceeding</w:t>
      </w:r>
      <w:r w:rsidR="00E911D4">
        <w:t xml:space="preserve"> </w:t>
      </w:r>
      <w:r w:rsidRPr="00B7016D" w:rsidR="00B7016D">
        <w:t xml:space="preserve">and </w:t>
      </w:r>
      <w:r w:rsidR="00CB6E6E">
        <w:t xml:space="preserve">serve it on </w:t>
      </w:r>
      <w:r w:rsidR="00E911D4">
        <w:t>the service list</w:t>
      </w:r>
      <w:r w:rsidR="0079176E">
        <w:t>s</w:t>
      </w:r>
      <w:r w:rsidR="00E911D4">
        <w:t xml:space="preserve"> for this</w:t>
      </w:r>
      <w:r w:rsidRPr="00B7016D" w:rsidR="00B7016D">
        <w:t xml:space="preserve"> proceeding</w:t>
      </w:r>
      <w:r w:rsidR="00EC6ECB">
        <w:t xml:space="preserve"> and R.22-11-013</w:t>
      </w:r>
      <w:r w:rsidRPr="00B7016D" w:rsidR="00B7016D">
        <w:t xml:space="preserve"> </w:t>
      </w:r>
      <w:r w:rsidR="00A44E6E">
        <w:t xml:space="preserve">within 90 days of the </w:t>
      </w:r>
      <w:r w:rsidR="00ED417B">
        <w:t>issuance</w:t>
      </w:r>
      <w:r w:rsidR="00A44E6E">
        <w:t xml:space="preserve"> of this decision</w:t>
      </w:r>
      <w:r w:rsidR="00DE6D2D">
        <w:t>,</w:t>
      </w:r>
      <w:r w:rsidR="00A44E6E">
        <w:t xml:space="preserve"> </w:t>
      </w:r>
      <w:r w:rsidR="00D85E04">
        <w:t>answer</w:t>
      </w:r>
      <w:r w:rsidR="009F6B7F">
        <w:t>ing</w:t>
      </w:r>
      <w:r w:rsidR="00D85E04">
        <w:t xml:space="preserve"> the following questions:</w:t>
      </w:r>
    </w:p>
    <w:p w:rsidRPr="00B54CC7" w:rsidR="00D85E04" w:rsidP="00CD6569" w:rsidRDefault="00D85E04" w14:paraId="2244F2DF" w14:textId="006FF7A9">
      <w:pPr>
        <w:pStyle w:val="Subject"/>
      </w:pPr>
      <w:r>
        <w:lastRenderedPageBreak/>
        <w:t xml:space="preserve">Customer </w:t>
      </w:r>
      <w:r w:rsidRPr="00CD6569">
        <w:t>Meters</w:t>
      </w:r>
    </w:p>
    <w:p w:rsidR="00D85E04" w:rsidP="00CD6569" w:rsidRDefault="00D85E04" w14:paraId="4A2609E9" w14:textId="77777777">
      <w:pPr>
        <w:pStyle w:val="SubjectNumeric"/>
      </w:pPr>
      <w:r>
        <w:t>How many customer meters are in your territory?</w:t>
      </w:r>
    </w:p>
    <w:p w:rsidR="0089113D" w:rsidP="00CD6569" w:rsidRDefault="00D85E04" w14:paraId="150D9C13" w14:textId="255C1F0A">
      <w:pPr>
        <w:pStyle w:val="ListNum"/>
      </w:pPr>
      <w:r>
        <w:t xml:space="preserve">How many meters </w:t>
      </w:r>
      <w:r w:rsidR="00E368EF">
        <w:t>serve</w:t>
      </w:r>
      <w:r>
        <w:t xml:space="preserve"> each of your respective customer classes (residential, commercial etc.)?</w:t>
      </w:r>
    </w:p>
    <w:p w:rsidRPr="006941F4" w:rsidR="00D85E04" w:rsidP="00F60DC9" w:rsidRDefault="00D85E04" w14:paraId="17725BF2" w14:textId="77777777">
      <w:pPr>
        <w:pStyle w:val="Subject"/>
        <w:spacing w:before="180"/>
      </w:pPr>
      <w:r>
        <w:t>15-Minute Interval Data</w:t>
      </w:r>
    </w:p>
    <w:p w:rsidR="00D85E04" w:rsidP="00CD6569" w:rsidRDefault="00D85E04" w14:paraId="193E01E6" w14:textId="3C11438C">
      <w:pPr>
        <w:pStyle w:val="SubjectNumeric"/>
      </w:pPr>
      <w:r>
        <w:t xml:space="preserve">How many meters in total and per customer class currently log </w:t>
      </w:r>
      <w:r w:rsidR="00E60DD4">
        <w:t xml:space="preserve">at least </w:t>
      </w:r>
      <w:r>
        <w:t>15-minute interval usage and demand data today?</w:t>
      </w:r>
    </w:p>
    <w:p w:rsidR="00D85E04" w:rsidP="00CD6569" w:rsidRDefault="00D85E04" w14:paraId="7ADB83C2" w14:textId="24EED4B6">
      <w:pPr>
        <w:pStyle w:val="SubjectNumeric"/>
      </w:pPr>
      <w:r>
        <w:t xml:space="preserve">How many meters in total and per customer class are currently capable of logging </w:t>
      </w:r>
      <w:r w:rsidR="00E60DD4">
        <w:t xml:space="preserve">at least </w:t>
      </w:r>
      <w:r>
        <w:t xml:space="preserve">15-minute interval data today, but are not currently logging 15-minute interval data? </w:t>
      </w:r>
    </w:p>
    <w:p w:rsidR="00D85E04" w:rsidP="00F4063A" w:rsidRDefault="00D85E04" w14:paraId="525A93F3" w14:textId="225983C6">
      <w:pPr>
        <w:pStyle w:val="ListAlpha"/>
        <w:ind w:left="1440"/>
      </w:pPr>
      <w:r>
        <w:t xml:space="preserve">What actions and processes must the utility undertake to enable these meters to begin logging </w:t>
      </w:r>
      <w:r w:rsidR="00E60DD4">
        <w:t xml:space="preserve">at least </w:t>
      </w:r>
      <w:r>
        <w:t>15</w:t>
      </w:r>
      <w:r w:rsidR="009F28B1">
        <w:noBreakHyphen/>
      </w:r>
      <w:r>
        <w:t xml:space="preserve">minute data? </w:t>
      </w:r>
      <w:r w:rsidR="0034789E">
        <w:t>D</w:t>
      </w:r>
      <w:r>
        <w:t>escribe in detail all the steps that need to happen, and describe who must take those steps (utility staff, third party contractors, etc.)</w:t>
      </w:r>
      <w:r w:rsidR="00CD6569">
        <w:t xml:space="preserve">; </w:t>
      </w:r>
    </w:p>
    <w:p w:rsidR="00D85E04" w:rsidP="008B7373" w:rsidRDefault="00D85E04" w14:paraId="77EAAF76" w14:textId="5F20F488">
      <w:pPr>
        <w:pStyle w:val="ListAlpha"/>
        <w:ind w:left="1440"/>
      </w:pPr>
      <w:r>
        <w:t xml:space="preserve">Does this require multiple batches of changes? Does each make/model of meter require a separate over-the-air update? </w:t>
      </w:r>
      <w:r w:rsidR="0034789E">
        <w:t>D</w:t>
      </w:r>
      <w:r w:rsidR="00D77E2D">
        <w:t>escribe</w:t>
      </w:r>
      <w:r w:rsidR="0008432A">
        <w:t xml:space="preserve"> in detail</w:t>
      </w:r>
      <w:r w:rsidR="00CD6569">
        <w:t>; and</w:t>
      </w:r>
    </w:p>
    <w:p w:rsidR="00D85E04" w:rsidP="008B7373" w:rsidRDefault="00D85E04" w14:paraId="015A2813" w14:textId="185A048F">
      <w:pPr>
        <w:pStyle w:val="ListAlpha"/>
        <w:ind w:left="1440"/>
      </w:pPr>
      <w:r>
        <w:t>How much time would be required to enable all the existing meters in this category to begin collecting 15</w:t>
      </w:r>
      <w:r w:rsidR="009F28B1">
        <w:noBreakHyphen/>
      </w:r>
      <w:r>
        <w:t>minute data?</w:t>
      </w:r>
      <w:r w:rsidR="00CD6569">
        <w:t xml:space="preserve">; </w:t>
      </w:r>
    </w:p>
    <w:p w:rsidR="00D85E04" w:rsidP="00CD6569" w:rsidRDefault="00D85E04" w14:paraId="7AC00B15" w14:textId="1996CAEA">
      <w:pPr>
        <w:pStyle w:val="SubjectNumeric"/>
      </w:pPr>
      <w:r>
        <w:t xml:space="preserve">How many meters in total and per customer class require an over-the-air update to be capable of logging </w:t>
      </w:r>
      <w:r w:rsidR="00082DA2">
        <w:t xml:space="preserve">at least </w:t>
      </w:r>
      <w:r>
        <w:t>15</w:t>
      </w:r>
      <w:r w:rsidR="009F28B1">
        <w:noBreakHyphen/>
      </w:r>
      <w:r>
        <w:t xml:space="preserve">minute interval data? </w:t>
      </w:r>
    </w:p>
    <w:p w:rsidR="00C8007A" w:rsidP="008B7373" w:rsidRDefault="007C4F7D" w14:paraId="347EFD3F" w14:textId="77587543">
      <w:pPr>
        <w:pStyle w:val="ListAlpha"/>
        <w:ind w:left="1440"/>
      </w:pPr>
      <w:r w:rsidRPr="007C4F7D">
        <w:t>What actions and processes must the utility undertake to enable these meters to begin logging at least 15</w:t>
      </w:r>
      <w:r w:rsidR="009F28B1">
        <w:noBreakHyphen/>
      </w:r>
      <w:r w:rsidRPr="007C4F7D">
        <w:t xml:space="preserve">minute data? </w:t>
      </w:r>
      <w:r w:rsidR="00E3392B">
        <w:t>D</w:t>
      </w:r>
      <w:r w:rsidRPr="007C4F7D">
        <w:t>escribe in detail all the steps that need to happen, and describe who must take those steps (utility staff, third party contractors, etc.)</w:t>
      </w:r>
    </w:p>
    <w:p w:rsidR="007C4F7D" w:rsidP="008B7373" w:rsidRDefault="007C4F7D" w14:paraId="3B159ECA" w14:textId="17977691">
      <w:pPr>
        <w:pStyle w:val="ListAlpha"/>
        <w:ind w:left="1440"/>
      </w:pPr>
      <w:r w:rsidRPr="007C4F7D">
        <w:t xml:space="preserve">Does this require multiple batches of updates? Does each make/model of meter require a separate over-the-air update? </w:t>
      </w:r>
      <w:r w:rsidR="00E3392B">
        <w:t>D</w:t>
      </w:r>
      <w:r w:rsidRPr="007C4F7D">
        <w:t>escribe in detail.</w:t>
      </w:r>
    </w:p>
    <w:p w:rsidR="00AD60B6" w:rsidP="008B7373" w:rsidRDefault="007C4F7D" w14:paraId="66E33105" w14:textId="30BD9D15">
      <w:pPr>
        <w:pStyle w:val="ListAlpha"/>
        <w:ind w:left="1440"/>
      </w:pPr>
      <w:r w:rsidRPr="007C4F7D">
        <w:lastRenderedPageBreak/>
        <w:t>How much time would be required to complete over-the-air updates for all meters in this category to enable collection of at least 15-minute interval data?</w:t>
      </w:r>
    </w:p>
    <w:p w:rsidRPr="007C4F7D" w:rsidR="007C4F7D" w:rsidP="00AD60B6" w:rsidRDefault="007C4F7D" w14:paraId="1E7FD23F" w14:textId="45381755">
      <w:pPr>
        <w:pStyle w:val="ListNum"/>
      </w:pPr>
      <w:r w:rsidRPr="007C4F7D">
        <w:t>How many meters in total and per customer class require on-site work (but not replacement) to be capable of logging at least 15-minute interval data?</w:t>
      </w:r>
    </w:p>
    <w:p w:rsidR="000369C7" w:rsidP="00AD60B6" w:rsidRDefault="00D85E04" w14:paraId="0A5962E7" w14:textId="17FFE64F">
      <w:pPr>
        <w:pStyle w:val="SubjectNumeric"/>
      </w:pPr>
      <w:r>
        <w:t>How many meters in total and per customer class require replacement to be capable of logging</w:t>
      </w:r>
      <w:r w:rsidR="00082DA2">
        <w:t xml:space="preserve"> at least</w:t>
      </w:r>
      <w:r>
        <w:t xml:space="preserve"> </w:t>
      </w:r>
      <w:r w:rsidR="009F28B1">
        <w:t>15</w:t>
      </w:r>
      <w:r w:rsidR="00B97ABD">
        <w:noBreakHyphen/>
      </w:r>
      <w:r w:rsidR="009F28B1">
        <w:t xml:space="preserve">minute </w:t>
      </w:r>
      <w:r>
        <w:t>interval data?</w:t>
      </w:r>
    </w:p>
    <w:p w:rsidR="00D85E04" w:rsidP="00F60DC9" w:rsidRDefault="00D85E04" w14:paraId="7A3D5163" w14:textId="23F82CB7">
      <w:pPr>
        <w:pStyle w:val="Subject"/>
        <w:spacing w:before="180"/>
      </w:pPr>
      <w:r>
        <w:t>True Peak Demand Data</w:t>
      </w:r>
    </w:p>
    <w:p w:rsidR="00D85E04" w:rsidP="00CD6569" w:rsidRDefault="00D85E04" w14:paraId="1D684591" w14:textId="77777777">
      <w:pPr>
        <w:pStyle w:val="SubjectNumeric"/>
      </w:pPr>
      <w:r>
        <w:t xml:space="preserve">How many meters in total and per customer class currently capture true (instantaneous) peak demand? </w:t>
      </w:r>
    </w:p>
    <w:p w:rsidR="00D85E04" w:rsidP="00CD6569" w:rsidRDefault="00D85E04" w14:paraId="4441963B" w14:textId="77777777">
      <w:pPr>
        <w:pStyle w:val="SubjectNumeric"/>
      </w:pPr>
      <w:r>
        <w:t>How many meters in total and per customer class are currently capable of logging true peak demand, but are not currently logging true peak demand?</w:t>
      </w:r>
    </w:p>
    <w:p w:rsidR="00D85E04" w:rsidP="008B7373" w:rsidRDefault="00D85E04" w14:paraId="232D2502" w14:textId="28AC4975">
      <w:pPr>
        <w:pStyle w:val="ListAlpha"/>
        <w:ind w:left="1440"/>
      </w:pPr>
      <w:r>
        <w:t xml:space="preserve">What actions and processes must the utility undertake to enable these meters to begin logging </w:t>
      </w:r>
      <w:r w:rsidR="00082DA2">
        <w:t xml:space="preserve">at least </w:t>
      </w:r>
      <w:r w:rsidR="00B97ABD">
        <w:t>15</w:t>
      </w:r>
      <w:r w:rsidR="00B97ABD">
        <w:noBreakHyphen/>
        <w:t xml:space="preserve">minute </w:t>
      </w:r>
      <w:r>
        <w:t xml:space="preserve">data? </w:t>
      </w:r>
      <w:r w:rsidR="003A60A3">
        <w:t>D</w:t>
      </w:r>
      <w:r>
        <w:t>escribe in detail all the steps that need to happen, and describe who must take those steps (utility staff, third party contractors, etc.)</w:t>
      </w:r>
    </w:p>
    <w:p w:rsidR="00D85E04" w:rsidP="008B7373" w:rsidRDefault="00D85E04" w14:paraId="15F193D2" w14:textId="77777777">
      <w:pPr>
        <w:pStyle w:val="ListAlpha"/>
        <w:ind w:left="1440"/>
      </w:pPr>
      <w:r>
        <w:t xml:space="preserve">Does this require multiple batches of changes? Does each make/model of meter require a separate over-the-air update? </w:t>
      </w:r>
    </w:p>
    <w:p w:rsidR="00D85E04" w:rsidP="008B7373" w:rsidRDefault="00D85E04" w14:paraId="6FC0ADD0" w14:textId="77777777">
      <w:pPr>
        <w:pStyle w:val="ListAlpha"/>
        <w:ind w:left="1440"/>
      </w:pPr>
      <w:r>
        <w:t>How much time would be required to enable all the existing meters in this category to begin collecting true peak demand data?</w:t>
      </w:r>
    </w:p>
    <w:p w:rsidR="00D85E04" w:rsidP="00AD60B6" w:rsidRDefault="00D85E04" w14:paraId="4DD8EC30" w14:textId="77777777">
      <w:pPr>
        <w:pStyle w:val="SubjectNumeric"/>
        <w:ind w:hanging="450"/>
      </w:pPr>
      <w:r>
        <w:t xml:space="preserve">How many meters in total and per customer class require an over-the-air update to be capable of logging true peak demand data? </w:t>
      </w:r>
    </w:p>
    <w:p w:rsidR="00D85E04" w:rsidP="008B7373" w:rsidRDefault="00D85E04" w14:paraId="15E9CF5F" w14:textId="748ACA7E">
      <w:pPr>
        <w:pStyle w:val="ListAlpha"/>
        <w:ind w:left="1440"/>
      </w:pPr>
      <w:r>
        <w:t xml:space="preserve">What actions and processes must the utility undertake to enable these meters to begin logging </w:t>
      </w:r>
      <w:r w:rsidR="00082DA2">
        <w:t xml:space="preserve">at least </w:t>
      </w:r>
      <w:r>
        <w:t>15</w:t>
      </w:r>
      <w:r w:rsidR="00B97ABD">
        <w:noBreakHyphen/>
      </w:r>
      <w:r>
        <w:t xml:space="preserve">minute data? </w:t>
      </w:r>
      <w:r w:rsidR="003A60A3">
        <w:t>D</w:t>
      </w:r>
      <w:r>
        <w:t>escribe in detail all the steps that need to happen, and describe who must take those steps (utility staff, third party contractors, etc.)</w:t>
      </w:r>
    </w:p>
    <w:p w:rsidR="00D85E04" w:rsidP="008B7373" w:rsidRDefault="00D85E04" w14:paraId="45C5327F" w14:textId="77777777">
      <w:pPr>
        <w:pStyle w:val="ListAlpha"/>
        <w:ind w:left="1440"/>
      </w:pPr>
      <w:r>
        <w:lastRenderedPageBreak/>
        <w:t xml:space="preserve">Does this require multiple batches of changes? Does each make/model of meter require a separate over-the-air update? </w:t>
      </w:r>
    </w:p>
    <w:p w:rsidR="00D85E04" w:rsidP="008B7373" w:rsidRDefault="00D85E04" w14:paraId="392F1AD0" w14:textId="77777777">
      <w:pPr>
        <w:pStyle w:val="ListAlpha"/>
        <w:ind w:left="1440"/>
      </w:pPr>
      <w:r>
        <w:t>How much time would be required to enable all the existing meters in this category to begin collecting true peak demand data?</w:t>
      </w:r>
    </w:p>
    <w:p w:rsidR="00D85E04" w:rsidP="007C4F7D" w:rsidRDefault="00D85E04" w14:paraId="5F246DE2" w14:textId="77777777">
      <w:pPr>
        <w:pStyle w:val="SubjectNumeric"/>
        <w:ind w:hanging="450"/>
      </w:pPr>
      <w:r>
        <w:t>How many meters in total and per customer class require on-site work (but not replacement) to be capable of logging true peak demand data?</w:t>
      </w:r>
    </w:p>
    <w:p w:rsidR="00D85E04" w:rsidP="007C4F7D" w:rsidRDefault="00D85E04" w14:paraId="13986C84" w14:textId="77777777">
      <w:pPr>
        <w:pStyle w:val="SubjectNumeric"/>
        <w:ind w:hanging="450"/>
      </w:pPr>
      <w:r>
        <w:t>How many meters in total and per customer class require replacement meters to be capable of logging true peak demand data?</w:t>
      </w:r>
    </w:p>
    <w:p w:rsidR="00EA010A" w:rsidP="007C4F7D" w:rsidRDefault="00F5427A" w14:paraId="27C89E3E" w14:textId="7966C21F">
      <w:pPr>
        <w:pStyle w:val="SubjectNumeric"/>
        <w:ind w:hanging="450"/>
      </w:pPr>
      <w:r>
        <w:t xml:space="preserve">Describe any and all </w:t>
      </w:r>
      <w:r w:rsidR="00D85E04">
        <w:t>other actions that need to be performed that are not captured in questions 4-7 to enable capture of true peak demand data.</w:t>
      </w:r>
    </w:p>
    <w:p w:rsidR="00D85E04" w:rsidP="00F60DC9" w:rsidRDefault="00D85E04" w14:paraId="4A353EDC" w14:textId="77777777">
      <w:pPr>
        <w:pStyle w:val="Subject"/>
        <w:spacing w:before="180"/>
      </w:pPr>
      <w:r>
        <w:t>Data Storage and System Updates</w:t>
      </w:r>
    </w:p>
    <w:p w:rsidR="00D85E04" w:rsidP="007C4F7D" w:rsidRDefault="00311AB8" w14:paraId="77B962EC" w14:textId="76321A5E">
      <w:pPr>
        <w:pStyle w:val="SubjectNumeric"/>
        <w:ind w:hanging="450"/>
      </w:pPr>
      <w:r>
        <w:t>D</w:t>
      </w:r>
      <w:r w:rsidR="00D85E04">
        <w:t xml:space="preserve">escribe in detail the data storage, network, application, and other system updates required to handle the collection of </w:t>
      </w:r>
      <w:r w:rsidR="00082DA2">
        <w:t xml:space="preserve">at least </w:t>
      </w:r>
      <w:r w:rsidR="00D85E04">
        <w:t xml:space="preserve">15-minute interval data. </w:t>
      </w:r>
    </w:p>
    <w:p w:rsidR="00D85E04" w:rsidP="008B7373" w:rsidRDefault="00D85E04" w14:paraId="1E14F23F" w14:textId="473C43E1">
      <w:pPr>
        <w:pStyle w:val="ListAlpha"/>
        <w:ind w:left="1440"/>
      </w:pPr>
      <w:r>
        <w:t>What is the process for performing each of these updates?</w:t>
      </w:r>
    </w:p>
    <w:p w:rsidR="00D85E04" w:rsidP="008B7373" w:rsidRDefault="00D85E04" w14:paraId="249E0DC4" w14:textId="2577E89A">
      <w:pPr>
        <w:pStyle w:val="ListAlpha"/>
        <w:ind w:left="1440"/>
      </w:pPr>
      <w:r>
        <w:t xml:space="preserve">Who performs each of these updates? </w:t>
      </w:r>
    </w:p>
    <w:p w:rsidR="005E1EAC" w:rsidP="008B7373" w:rsidRDefault="00D85E04" w14:paraId="3C3B446E" w14:textId="26FA042E">
      <w:pPr>
        <w:pStyle w:val="ListAlpha"/>
        <w:ind w:left="1440"/>
      </w:pPr>
      <w:r>
        <w:t>What is the approximate timeframe for making these back-end changes?</w:t>
      </w:r>
    </w:p>
    <w:p w:rsidR="00D85E04" w:rsidP="00F60DC9" w:rsidRDefault="00D85E04" w14:paraId="5CB82DC4" w14:textId="77777777">
      <w:pPr>
        <w:pStyle w:val="Subject"/>
        <w:spacing w:before="180"/>
      </w:pPr>
      <w:r>
        <w:t>Green Button Data Updates</w:t>
      </w:r>
    </w:p>
    <w:p w:rsidR="00D85E04" w:rsidP="007C4F7D" w:rsidRDefault="00D85E04" w14:paraId="20C0A9CC" w14:textId="7B2A72C5">
      <w:pPr>
        <w:pStyle w:val="SubjectNumeric"/>
        <w:ind w:hanging="450"/>
      </w:pPr>
      <w:r>
        <w:t xml:space="preserve">What type of IT infrastructure changes need to be made to </w:t>
      </w:r>
      <w:r w:rsidR="000F64F8">
        <w:t>allow</w:t>
      </w:r>
      <w:r>
        <w:t xml:space="preserve"> 15-minute interval demand data can be shared with customers via Green Button data? </w:t>
      </w:r>
    </w:p>
    <w:p w:rsidR="00D85E04" w:rsidP="00901FAD" w:rsidRDefault="00D85E04" w14:paraId="1A3EB8AD" w14:textId="0423309E">
      <w:pPr>
        <w:pStyle w:val="ListAlpha"/>
        <w:ind w:left="1440"/>
      </w:pPr>
      <w:r>
        <w:t xml:space="preserve">Who needs to perform these changes? Can </w:t>
      </w:r>
      <w:r w:rsidR="00565D2F">
        <w:t xml:space="preserve">the electric utility </w:t>
      </w:r>
      <w:r>
        <w:t>perform this in-house, or does this require a third party?</w:t>
      </w:r>
    </w:p>
    <w:p w:rsidR="005E1EAC" w:rsidP="00901FAD" w:rsidRDefault="00D85E04" w14:paraId="70E71AB2" w14:textId="1AB97616">
      <w:pPr>
        <w:pStyle w:val="ListAlpha"/>
        <w:ind w:left="1440"/>
      </w:pPr>
      <w:r>
        <w:t>What is an approximate timeframe for being able to make these changes for customers?</w:t>
      </w:r>
    </w:p>
    <w:p w:rsidRPr="00EC0B3B" w:rsidR="00963E81" w:rsidP="008706CD" w:rsidRDefault="008D2F70" w14:paraId="60E787C5" w14:textId="52D90A91">
      <w:pPr>
        <w:pStyle w:val="Standard"/>
      </w:pPr>
      <w:r>
        <w:lastRenderedPageBreak/>
        <w:t xml:space="preserve">In advance of </w:t>
      </w:r>
      <w:r w:rsidR="00C7772D">
        <w:t xml:space="preserve">the </w:t>
      </w:r>
      <w:r w:rsidR="00FB6A59">
        <w:t>above discussed</w:t>
      </w:r>
      <w:r w:rsidR="00BF7A2F">
        <w:t xml:space="preserve"> </w:t>
      </w:r>
      <w:r>
        <w:t>filing</w:t>
      </w:r>
      <w:r w:rsidR="00AE16A9">
        <w:t>, each</w:t>
      </w:r>
      <w:r w:rsidR="00981EC0">
        <w:t xml:space="preserve"> </w:t>
      </w:r>
      <w:r w:rsidR="00565D2F">
        <w:t>electric utilit</w:t>
      </w:r>
      <w:r w:rsidR="00AE16A9">
        <w:t>y</w:t>
      </w:r>
      <w:r w:rsidR="0048566E">
        <w:t xml:space="preserve"> </w:t>
      </w:r>
      <w:r w:rsidR="001E4FFB">
        <w:t xml:space="preserve">shall </w:t>
      </w:r>
      <w:r w:rsidRPr="00EC0B3B" w:rsidR="00D85E04">
        <w:t xml:space="preserve">work with </w:t>
      </w:r>
      <w:r w:rsidR="00D85E04">
        <w:t xml:space="preserve">Energy Division to </w:t>
      </w:r>
      <w:r w:rsidR="004715B2">
        <w:t>confirm</w:t>
      </w:r>
      <w:r w:rsidR="00D85E04">
        <w:t xml:space="preserve"> the</w:t>
      </w:r>
      <w:r w:rsidR="00BD7DF8">
        <w:t>ir</w:t>
      </w:r>
      <w:r w:rsidR="00D85E04">
        <w:t xml:space="preserve"> </w:t>
      </w:r>
      <w:r w:rsidR="00C76E34">
        <w:t xml:space="preserve">respective </w:t>
      </w:r>
      <w:r w:rsidR="00335BBA">
        <w:t>Compliance Filing</w:t>
      </w:r>
      <w:r w:rsidR="00D85E04">
        <w:t xml:space="preserve"> </w:t>
      </w:r>
      <w:r w:rsidR="00482662">
        <w:t>includes</w:t>
      </w:r>
      <w:r w:rsidR="00D85E04">
        <w:t xml:space="preserve"> all appropriate </w:t>
      </w:r>
      <w:r w:rsidR="00420BB9">
        <w:t xml:space="preserve">and necessary </w:t>
      </w:r>
      <w:r w:rsidR="00D85E04">
        <w:t xml:space="preserve">information </w:t>
      </w:r>
      <w:r w:rsidR="00196117">
        <w:t xml:space="preserve">responsive to the </w:t>
      </w:r>
      <w:r w:rsidR="0099628A">
        <w:t xml:space="preserve">above-identified </w:t>
      </w:r>
      <w:r w:rsidR="000658F0">
        <w:t>questions</w:t>
      </w:r>
      <w:r w:rsidR="00D85E04">
        <w:t>.</w:t>
      </w:r>
    </w:p>
    <w:p w:rsidR="00196DF5" w:rsidP="00D85E04" w:rsidRDefault="00040CE1" w14:paraId="2B3D9A11" w14:textId="5631461C">
      <w:pPr>
        <w:pStyle w:val="Standard"/>
      </w:pPr>
      <w:r w:rsidRPr="00B159F5">
        <w:t xml:space="preserve">Regarding </w:t>
      </w:r>
      <w:r w:rsidRPr="00B159F5" w:rsidR="00B478B6">
        <w:t xml:space="preserve">collection </w:t>
      </w:r>
      <w:r w:rsidRPr="00B159F5">
        <w:t xml:space="preserve">of service line size, </w:t>
      </w:r>
      <w:r w:rsidRPr="00B159F5" w:rsidR="00733A0D">
        <w:t xml:space="preserve">all electric utilities, including SMJUs, </w:t>
      </w:r>
      <w:r w:rsidR="00336193">
        <w:t xml:space="preserve">are directed </w:t>
      </w:r>
      <w:r w:rsidRPr="00B159F5" w:rsidR="00733A0D">
        <w:t>to collect electric service line capacities for (1) any new electric service lines installed in new construction and (2) any electric service lines replacing existing electric service lines (</w:t>
      </w:r>
      <w:r w:rsidRPr="008402EC" w:rsidR="00B159F5">
        <w:t xml:space="preserve">e.g., </w:t>
      </w:r>
      <w:r w:rsidRPr="00B159F5" w:rsidR="00733A0D">
        <w:t>in the case of safety replacements, upsizing services, etc.)</w:t>
      </w:r>
      <w:r w:rsidR="00E55CFE">
        <w:t>.</w:t>
      </w:r>
      <w:r w:rsidRPr="00B159F5" w:rsidR="00733A0D">
        <w:t xml:space="preserve"> </w:t>
      </w:r>
      <w:r w:rsidR="00E55CFE">
        <w:t>The electric utilities shall</w:t>
      </w:r>
      <w:r w:rsidRPr="00B159F5" w:rsidR="00733A0D">
        <w:t xml:space="preserve"> report this information</w:t>
      </w:r>
      <w:r w:rsidR="006210F6">
        <w:t xml:space="preserve"> to the Commission</w:t>
      </w:r>
      <w:r w:rsidRPr="00B159F5" w:rsidR="00733A0D">
        <w:t xml:space="preserve"> </w:t>
      </w:r>
      <w:r w:rsidR="00E55CFE">
        <w:t>in accordance</w:t>
      </w:r>
      <w:r w:rsidRPr="00B159F5" w:rsidR="00733A0D">
        <w:t xml:space="preserve"> with the requirements established in Section 4.</w:t>
      </w:r>
      <w:r w:rsidR="00D50F71">
        <w:t>2</w:t>
      </w:r>
      <w:r w:rsidRPr="00B159F5" w:rsidR="00D50F71">
        <w:t xml:space="preserve"> </w:t>
      </w:r>
      <w:r w:rsidRPr="00B159F5" w:rsidR="00733A0D">
        <w:t>and Appendix A of this decision.</w:t>
      </w:r>
      <w:r w:rsidRPr="00733A0D" w:rsidR="00733A0D">
        <w:t xml:space="preserve"> </w:t>
      </w:r>
    </w:p>
    <w:p w:rsidR="00451406" w:rsidP="00203BBB" w:rsidRDefault="004B290A" w14:paraId="2CF0B857" w14:textId="03E6156D">
      <w:pPr>
        <w:pStyle w:val="Standard"/>
      </w:pPr>
      <w:r>
        <w:t>PG&amp;E, SCE, and SDG&amp;E</w:t>
      </w:r>
      <w:r w:rsidR="001D3489">
        <w:t xml:space="preserve"> </w:t>
      </w:r>
      <w:r w:rsidR="00D85E04">
        <w:t xml:space="preserve">express concerns about costly billing updates required to report </w:t>
      </w:r>
      <w:r w:rsidR="001B2DCB">
        <w:t>electric service line size</w:t>
      </w:r>
      <w:r w:rsidR="00FA7880">
        <w:t xml:space="preserve"> </w:t>
      </w:r>
      <w:r w:rsidR="00D85E04">
        <w:t>on customer bills</w:t>
      </w:r>
      <w:r w:rsidR="00DE639A">
        <w:t>.</w:t>
      </w:r>
      <w:r w:rsidR="00FA6852">
        <w:t xml:space="preserve"> </w:t>
      </w:r>
      <w:r w:rsidR="006A7C1B">
        <w:t xml:space="preserve">All three large IOUs </w:t>
      </w:r>
      <w:r w:rsidR="009C2A79">
        <w:t xml:space="preserve">recommend </w:t>
      </w:r>
      <w:r w:rsidR="00717EC4">
        <w:t xml:space="preserve">seeking input from other entities such as the CEC and contractors to develop </w:t>
      </w:r>
      <w:r w:rsidR="009C2A79">
        <w:t>alternatives to requiring billing updates</w:t>
      </w:r>
      <w:r w:rsidR="00717EC4">
        <w:t xml:space="preserve">. </w:t>
      </w:r>
      <w:r w:rsidR="00E53C06">
        <w:t>We agree that</w:t>
      </w:r>
      <w:r w:rsidR="00DE639A">
        <w:t xml:space="preserve"> </w:t>
      </w:r>
      <w:r w:rsidR="00683935">
        <w:t>th</w:t>
      </w:r>
      <w:r w:rsidR="00762384">
        <w:t xml:space="preserve">ere is insufficient information in the record to support </w:t>
      </w:r>
      <w:r w:rsidR="00AE65DF">
        <w:t>a</w:t>
      </w:r>
      <w:r w:rsidR="001209B3">
        <w:t xml:space="preserve"> </w:t>
      </w:r>
      <w:r w:rsidR="00965E51">
        <w:t>require</w:t>
      </w:r>
      <w:r w:rsidR="00AE65DF">
        <w:t>ment that</w:t>
      </w:r>
      <w:r w:rsidR="00965E51">
        <w:t xml:space="preserve"> electric utilities </w:t>
      </w:r>
      <w:r w:rsidR="00524783">
        <w:t>include</w:t>
      </w:r>
      <w:r w:rsidR="007B7FF0">
        <w:t xml:space="preserve"> </w:t>
      </w:r>
      <w:r w:rsidR="00965E51">
        <w:t xml:space="preserve">the </w:t>
      </w:r>
      <w:r w:rsidR="00F9051C">
        <w:t>electric</w:t>
      </w:r>
      <w:r w:rsidR="00740966">
        <w:t xml:space="preserve"> </w:t>
      </w:r>
      <w:r w:rsidR="00EE2022">
        <w:t>service line size</w:t>
      </w:r>
      <w:r w:rsidR="00764D72">
        <w:t xml:space="preserve"> </w:t>
      </w:r>
      <w:r w:rsidR="00940A36">
        <w:t>on</w:t>
      </w:r>
      <w:r w:rsidR="007B7FF0">
        <w:t xml:space="preserve"> customer</w:t>
      </w:r>
      <w:r w:rsidR="00940A36">
        <w:t xml:space="preserve"> </w:t>
      </w:r>
      <w:r w:rsidR="00524783">
        <w:t xml:space="preserve">monthly </w:t>
      </w:r>
      <w:r w:rsidR="00940A36">
        <w:t>bills</w:t>
      </w:r>
      <w:r w:rsidR="00DE639A">
        <w:t>.</w:t>
      </w:r>
      <w:r w:rsidRPr="0056654A" w:rsidR="0056654A">
        <w:t xml:space="preserve"> Therefore, we do not require the large IOUs to do so.</w:t>
      </w:r>
    </w:p>
    <w:p w:rsidRPr="00AE65DF" w:rsidR="00B42FA6" w:rsidP="00027862" w:rsidRDefault="00027862" w14:paraId="09BE3E85" w14:textId="63D99B44">
      <w:pPr>
        <w:pStyle w:val="Heading2"/>
      </w:pPr>
      <w:bookmarkStart w:name="_Toc185496634" w:id="194"/>
      <w:bookmarkStart w:name="_Toc185496844" w:id="195"/>
      <w:bookmarkStart w:name="_Toc185496955" w:id="196"/>
      <w:bookmarkStart w:name="_Toc184242557" w:id="197"/>
      <w:bookmarkStart w:name="_Toc184242639" w:id="198"/>
      <w:bookmarkStart w:name="_Toc184242719" w:id="199"/>
      <w:bookmarkStart w:name="_Toc184242798" w:id="200"/>
      <w:bookmarkStart w:name="_Toc184242879" w:id="201"/>
      <w:bookmarkStart w:name="_Toc184242958" w:id="202"/>
      <w:bookmarkStart w:name="_Toc184242794" w:id="203"/>
      <w:bookmarkStart w:name="_Toc185579363" w:id="204"/>
      <w:bookmarkStart w:name="_Toc192263689" w:id="205"/>
      <w:bookmarkStart w:name="_Toc200370974" w:id="206"/>
      <w:bookmarkStart w:name="_Hlk200034783" w:id="207"/>
      <w:bookmarkEnd w:id="194"/>
      <w:bookmarkEnd w:id="195"/>
      <w:bookmarkEnd w:id="196"/>
      <w:bookmarkEnd w:id="197"/>
      <w:bookmarkEnd w:id="198"/>
      <w:bookmarkEnd w:id="199"/>
      <w:bookmarkEnd w:id="200"/>
      <w:bookmarkEnd w:id="201"/>
      <w:bookmarkEnd w:id="202"/>
      <w:r w:rsidRPr="00AE65DF">
        <w:t>Expanding Utility Safety Evaluation Processes to Non-Isolating Devices</w:t>
      </w:r>
      <w:bookmarkEnd w:id="203"/>
      <w:r w:rsidRPr="00AE65DF" w:rsidR="005D7E86">
        <w:t xml:space="preserve"> </w:t>
      </w:r>
      <w:r w:rsidRPr="00AE65DF" w:rsidR="005104AC">
        <w:t>t</w:t>
      </w:r>
      <w:r w:rsidRPr="00AE65DF" w:rsidR="005D7E86">
        <w:t xml:space="preserve">hat Interface </w:t>
      </w:r>
      <w:r w:rsidRPr="00AE65DF" w:rsidR="00152D9F">
        <w:t>with</w:t>
      </w:r>
      <w:r w:rsidRPr="00AE65DF" w:rsidR="005D7E86">
        <w:t xml:space="preserve"> Utility Metering Equipment</w:t>
      </w:r>
      <w:bookmarkEnd w:id="204"/>
      <w:bookmarkEnd w:id="205"/>
      <w:bookmarkEnd w:id="206"/>
    </w:p>
    <w:p w:rsidRPr="009D1072" w:rsidR="00BD60F3" w:rsidP="00C208EF" w:rsidRDefault="0090666A" w14:paraId="09A69494" w14:textId="2CD0AD39">
      <w:pPr>
        <w:pStyle w:val="Heading3"/>
      </w:pPr>
      <w:bookmarkStart w:name="_Toc184243040" w:id="208"/>
      <w:bookmarkStart w:name="_Toc184243326" w:id="209"/>
      <w:bookmarkStart w:name="_Toc184501805" w:id="210"/>
      <w:bookmarkStart w:name="_Toc184647236" w:id="211"/>
      <w:bookmarkStart w:name="_Toc184647330" w:id="212"/>
      <w:bookmarkStart w:name="_Toc184680235" w:id="213"/>
      <w:bookmarkStart w:name="_Toc184680613" w:id="214"/>
      <w:bookmarkStart w:name="_Toc184808707" w:id="215"/>
      <w:bookmarkStart w:name="_Toc184808782" w:id="216"/>
      <w:bookmarkStart w:name="_Toc184808887" w:id="217"/>
      <w:bookmarkStart w:name="_Toc184830916" w:id="218"/>
      <w:bookmarkStart w:name="_Toc184831167" w:id="219"/>
      <w:bookmarkStart w:name="_Toc184840675" w:id="220"/>
      <w:bookmarkStart w:name="_Toc184840784" w:id="221"/>
      <w:bookmarkStart w:name="_Toc184854695" w:id="222"/>
      <w:bookmarkStart w:name="_Toc185269657" w:id="223"/>
      <w:bookmarkStart w:name="_Toc185275763" w:id="224"/>
      <w:bookmarkStart w:name="_Toc185278452" w:id="225"/>
      <w:bookmarkStart w:name="_Toc185278556" w:id="226"/>
      <w:bookmarkStart w:name="_Toc185278660" w:id="227"/>
      <w:bookmarkStart w:name="_Toc185278844" w:id="228"/>
      <w:bookmarkStart w:name="_Toc185321805" w:id="229"/>
      <w:bookmarkStart w:name="_Toc185329755" w:id="230"/>
      <w:bookmarkStart w:name="_Toc185366020" w:id="231"/>
      <w:bookmarkStart w:name="_Toc185366097" w:id="232"/>
      <w:bookmarkStart w:name="_Toc185366178" w:id="233"/>
      <w:bookmarkStart w:name="_Toc185368834" w:id="234"/>
      <w:bookmarkStart w:name="_Toc185410115" w:id="235"/>
      <w:bookmarkStart w:name="_Toc185420432" w:id="236"/>
      <w:bookmarkStart w:name="_Toc185421248" w:id="237"/>
      <w:bookmarkStart w:name="_Toc185422545" w:id="238"/>
      <w:bookmarkStart w:name="_Toc185425562" w:id="239"/>
      <w:bookmarkStart w:name="_Toc185426363" w:id="240"/>
      <w:bookmarkStart w:name="_Toc185496636" w:id="241"/>
      <w:bookmarkStart w:name="_Toc185496846" w:id="242"/>
      <w:bookmarkStart w:name="_Toc185496957" w:id="243"/>
      <w:bookmarkStart w:name="_Toc184243041" w:id="244"/>
      <w:bookmarkStart w:name="_Toc184243327" w:id="245"/>
      <w:bookmarkStart w:name="_Toc184501806" w:id="246"/>
      <w:bookmarkStart w:name="_Toc184680236" w:id="247"/>
      <w:bookmarkStart w:name="_Toc184830917" w:id="248"/>
      <w:bookmarkStart w:name="_Toc184831168" w:id="249"/>
      <w:bookmarkStart w:name="_Toc184840676" w:id="250"/>
      <w:bookmarkStart w:name="_Toc184840785" w:id="251"/>
      <w:bookmarkStart w:name="_Toc184854696" w:id="252"/>
      <w:bookmarkStart w:name="_Toc185269658" w:id="253"/>
      <w:bookmarkStart w:name="_Toc185275764" w:id="254"/>
      <w:bookmarkStart w:name="_Toc185278453" w:id="255"/>
      <w:bookmarkStart w:name="_Toc185278557" w:id="256"/>
      <w:bookmarkStart w:name="_Toc185278661" w:id="257"/>
      <w:bookmarkStart w:name="_Toc185278845" w:id="258"/>
      <w:bookmarkStart w:name="_Toc185321806" w:id="259"/>
      <w:bookmarkStart w:name="_Toc185329756" w:id="260"/>
      <w:bookmarkStart w:name="_Toc185366179" w:id="261"/>
      <w:bookmarkStart w:name="_Toc185368835" w:id="262"/>
      <w:bookmarkStart w:name="_Toc185420433" w:id="263"/>
      <w:bookmarkStart w:name="_Toc185421249" w:id="264"/>
      <w:bookmarkStart w:name="_Toc185422546" w:id="265"/>
      <w:bookmarkStart w:name="_Toc185425563" w:id="266"/>
      <w:bookmarkStart w:name="_Toc185496637" w:id="267"/>
      <w:bookmarkStart w:name="_Toc185496847" w:id="268"/>
      <w:bookmarkStart w:name="_Toc185496958" w:id="269"/>
      <w:bookmarkStart w:name="_Toc185579364" w:id="270"/>
      <w:bookmarkStart w:name="_Toc192263690" w:id="271"/>
      <w:bookmarkStart w:name="_Toc200370975" w:id="272"/>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9D1072">
        <w:t xml:space="preserve">Summary of </w:t>
      </w:r>
      <w:r w:rsidR="004D1BBC">
        <w:t>Party Positions</w:t>
      </w:r>
      <w:bookmarkEnd w:id="270"/>
      <w:bookmarkEnd w:id="271"/>
      <w:bookmarkEnd w:id="272"/>
    </w:p>
    <w:p w:rsidR="00471B7F" w:rsidP="007E5CE5" w:rsidRDefault="006170FD" w14:paraId="53BA5093" w14:textId="2C9A2163">
      <w:pPr>
        <w:pStyle w:val="Standard"/>
      </w:pPr>
      <w:r>
        <w:t xml:space="preserve">All parties generally support </w:t>
      </w:r>
      <w:r w:rsidR="00905005">
        <w:t xml:space="preserve">Staff’s </w:t>
      </w:r>
      <w:r>
        <w:t xml:space="preserve">recommendation to require </w:t>
      </w:r>
      <w:r w:rsidR="00B71249">
        <w:t xml:space="preserve">the </w:t>
      </w:r>
      <w:r w:rsidR="005D2092">
        <w:t>electric utilities</w:t>
      </w:r>
      <w:r>
        <w:t xml:space="preserve"> to test, certify, and evaluate different non-isolation technologies</w:t>
      </w:r>
      <w:r w:rsidR="00AE30E1">
        <w:t xml:space="preserve">, including MSAs, </w:t>
      </w:r>
      <w:r w:rsidR="00B4544B">
        <w:t>using the same process and funding as approved in Resolution E-5194</w:t>
      </w:r>
      <w:r w:rsidR="007E5CE5">
        <w:t xml:space="preserve">. </w:t>
      </w:r>
    </w:p>
    <w:p w:rsidR="00C53D60" w:rsidP="007E5CE5" w:rsidRDefault="00E638E1" w14:paraId="113C806B" w14:textId="774696F8">
      <w:pPr>
        <w:pStyle w:val="Standard"/>
      </w:pPr>
      <w:r>
        <w:lastRenderedPageBreak/>
        <w:t xml:space="preserve">The Joint Parties </w:t>
      </w:r>
      <w:r w:rsidR="00847D88">
        <w:t xml:space="preserve">agree with </w:t>
      </w:r>
      <w:r w:rsidR="00B71249">
        <w:t>Staff</w:t>
      </w:r>
      <w:r w:rsidR="00756469">
        <w:t>’s</w:t>
      </w:r>
      <w:r w:rsidR="00B71249">
        <w:t xml:space="preserve"> </w:t>
      </w:r>
      <w:r w:rsidR="00847D88">
        <w:t>recommendation</w:t>
      </w:r>
      <w:r w:rsidR="00B97730">
        <w:t xml:space="preserve"> and contend</w:t>
      </w:r>
      <w:r w:rsidR="003E3407">
        <w:t xml:space="preserve"> </w:t>
      </w:r>
      <w:r w:rsidR="00847D88">
        <w:t xml:space="preserve">that </w:t>
      </w:r>
      <w:r w:rsidR="001345F2">
        <w:t xml:space="preserve">providing </w:t>
      </w:r>
      <w:r w:rsidR="00847D88">
        <w:t>alternatives to panel upsizing is a “common sense strategy to help minimize building electrification costs.”</w:t>
      </w:r>
      <w:r w:rsidR="00847D88">
        <w:rPr>
          <w:rStyle w:val="FootnoteReference"/>
        </w:rPr>
        <w:footnoteReference w:id="66"/>
      </w:r>
      <w:r w:rsidR="00847D88">
        <w:t xml:space="preserve"> </w:t>
      </w:r>
      <w:r w:rsidR="00925F7C">
        <w:t xml:space="preserve">SBUA </w:t>
      </w:r>
      <w:r w:rsidR="003A2297">
        <w:t>similarly support</w:t>
      </w:r>
      <w:r w:rsidR="003F657F">
        <w:t>s</w:t>
      </w:r>
      <w:r w:rsidR="003A2297">
        <w:t xml:space="preserve"> </w:t>
      </w:r>
      <w:r w:rsidR="003F657F">
        <w:t xml:space="preserve">Staff’s </w:t>
      </w:r>
      <w:r w:rsidR="003A2297">
        <w:t>recommendation</w:t>
      </w:r>
      <w:r w:rsidR="003E3407">
        <w:t xml:space="preserve"> and argues</w:t>
      </w:r>
      <w:r w:rsidR="003A2297">
        <w:t xml:space="preserve"> that </w:t>
      </w:r>
      <w:r w:rsidR="00BD7AB3">
        <w:t>alternatives to electric panel upsizing can be more cost effective and can assist low-income customers in electrification efforts.</w:t>
      </w:r>
      <w:r w:rsidR="00BD7AB3">
        <w:rPr>
          <w:rStyle w:val="FootnoteReference"/>
        </w:rPr>
        <w:footnoteReference w:id="67"/>
      </w:r>
      <w:r w:rsidR="009E1579">
        <w:t xml:space="preserve"> </w:t>
      </w:r>
      <w:r w:rsidR="008B5139">
        <w:t xml:space="preserve">The Joint </w:t>
      </w:r>
      <w:r w:rsidR="009155F2">
        <w:t>REN</w:t>
      </w:r>
      <w:r w:rsidR="008B5139">
        <w:t>s</w:t>
      </w:r>
      <w:r w:rsidR="00C53D60">
        <w:t xml:space="preserve"> </w:t>
      </w:r>
      <w:r w:rsidR="00847D88">
        <w:t xml:space="preserve">also </w:t>
      </w:r>
      <w:r w:rsidR="001069F0">
        <w:t xml:space="preserve">support </w:t>
      </w:r>
      <w:r w:rsidR="003F657F">
        <w:t xml:space="preserve">Staff’s </w:t>
      </w:r>
      <w:r w:rsidR="001069F0">
        <w:t xml:space="preserve">recommendation, </w:t>
      </w:r>
      <w:r w:rsidR="00C0567E">
        <w:t xml:space="preserve">but </w:t>
      </w:r>
      <w:r w:rsidR="00EF0334">
        <w:t xml:space="preserve">argue </w:t>
      </w:r>
      <w:r w:rsidR="00D33436">
        <w:t xml:space="preserve">electric utilities </w:t>
      </w:r>
      <w:r w:rsidR="00EF0334">
        <w:t>should not receive a return on equity</w:t>
      </w:r>
      <w:r w:rsidR="00D819A4">
        <w:t xml:space="preserve"> on the purchase and/or installation</w:t>
      </w:r>
      <w:r w:rsidR="00032FE3">
        <w:t xml:space="preserve"> of any</w:t>
      </w:r>
      <w:r w:rsidR="00EF0334">
        <w:t xml:space="preserve"> </w:t>
      </w:r>
      <w:r w:rsidR="00077972">
        <w:t>non-</w:t>
      </w:r>
      <w:r w:rsidR="00D33436">
        <w:t>utility</w:t>
      </w:r>
      <w:r w:rsidR="00077972">
        <w:t>-owned, third-party behind-the-meter equipment such as MSAs, even if they may help prevent infrastructure upgrades.</w:t>
      </w:r>
      <w:r w:rsidR="00077972">
        <w:rPr>
          <w:rStyle w:val="FootnoteReference"/>
        </w:rPr>
        <w:footnoteReference w:id="68"/>
      </w:r>
    </w:p>
    <w:p w:rsidR="00614C78" w:rsidP="007E5CE5" w:rsidRDefault="00913E52" w14:paraId="782A7765" w14:textId="4D4A5BB4">
      <w:pPr>
        <w:pStyle w:val="Standard"/>
      </w:pPr>
      <w:r>
        <w:t xml:space="preserve">CALSSA also supports </w:t>
      </w:r>
      <w:r w:rsidR="000767B2">
        <w:t>S</w:t>
      </w:r>
      <w:r>
        <w:t>taff</w:t>
      </w:r>
      <w:r w:rsidR="000767B2">
        <w:t>’s</w:t>
      </w:r>
      <w:r>
        <w:t xml:space="preserve"> recommendation, but offer</w:t>
      </w:r>
      <w:r w:rsidR="002F5027">
        <w:t>s</w:t>
      </w:r>
      <w:r>
        <w:t xml:space="preserve"> additional modifications.</w:t>
      </w:r>
      <w:r w:rsidR="00A80EA4">
        <w:t xml:space="preserve"> CALSSA </w:t>
      </w:r>
      <w:r w:rsidR="00B262D1">
        <w:t xml:space="preserve">argues that </w:t>
      </w:r>
      <w:r w:rsidR="00A80EA4">
        <w:t xml:space="preserve">the Commission should explicitly name non-isolating MSAs </w:t>
      </w:r>
      <w:r w:rsidR="00DD7B26">
        <w:t>as the</w:t>
      </w:r>
      <w:r w:rsidR="00E77572">
        <w:t xml:space="preserve"> “leading example of what [Resolution E-5194] funding is intended for</w:t>
      </w:r>
      <w:r w:rsidR="00DE4EF2">
        <w:t xml:space="preserve">” </w:t>
      </w:r>
      <w:r w:rsidR="00205546">
        <w:t>so that</w:t>
      </w:r>
      <w:r w:rsidR="00D400FF">
        <w:t xml:space="preserve"> </w:t>
      </w:r>
      <w:r w:rsidR="00DF38A8">
        <w:t xml:space="preserve">the </w:t>
      </w:r>
      <w:r w:rsidR="00D33436">
        <w:t xml:space="preserve">electric utilities </w:t>
      </w:r>
      <w:r w:rsidR="00205546">
        <w:t xml:space="preserve">would </w:t>
      </w:r>
      <w:r w:rsidR="00D400FF">
        <w:t xml:space="preserve">prioritize these devices and </w:t>
      </w:r>
      <w:r w:rsidR="00DF38A8">
        <w:t xml:space="preserve">any </w:t>
      </w:r>
      <w:r w:rsidR="00D400FF">
        <w:t xml:space="preserve">other devices that can help avoid panel upsizing </w:t>
      </w:r>
      <w:r w:rsidR="009470DA">
        <w:t xml:space="preserve">and </w:t>
      </w:r>
      <w:r w:rsidR="00BD232A">
        <w:t xml:space="preserve">aid in meeting California’s </w:t>
      </w:r>
      <w:r w:rsidR="009470DA">
        <w:t>decarbonization goals.</w:t>
      </w:r>
      <w:r w:rsidR="009470DA">
        <w:rPr>
          <w:rStyle w:val="FootnoteReference"/>
        </w:rPr>
        <w:footnoteReference w:id="69"/>
      </w:r>
      <w:r w:rsidR="009470DA">
        <w:t xml:space="preserve"> </w:t>
      </w:r>
    </w:p>
    <w:p w:rsidR="001750AD" w:rsidP="007E5CE5" w:rsidRDefault="00D03CE6" w14:paraId="20E252D2" w14:textId="166578D2">
      <w:pPr>
        <w:pStyle w:val="Standard"/>
      </w:pPr>
      <w:r>
        <w:t xml:space="preserve">CALSSA urges the Commission to require </w:t>
      </w:r>
      <w:r w:rsidR="00E807FB">
        <w:t>electric utilities</w:t>
      </w:r>
      <w:r>
        <w:t xml:space="preserve"> establish </w:t>
      </w:r>
      <w:r w:rsidR="002F119A">
        <w:t xml:space="preserve">a </w:t>
      </w:r>
      <w:r>
        <w:t xml:space="preserve">“specific, criteria-based approach for MSA approvals” </w:t>
      </w:r>
      <w:r w:rsidR="00354C72">
        <w:t xml:space="preserve">to </w:t>
      </w:r>
      <w:r>
        <w:t xml:space="preserve">mirror an approach other states have taken for approval of these products. </w:t>
      </w:r>
      <w:r w:rsidR="00E866A9">
        <w:t xml:space="preserve">CALSSA argues </w:t>
      </w:r>
      <w:r w:rsidR="00012323">
        <w:t>such an</w:t>
      </w:r>
      <w:r w:rsidR="00DB3FE5">
        <w:t xml:space="preserve"> approach </w:t>
      </w:r>
      <w:r w:rsidR="0051331D">
        <w:t>could</w:t>
      </w:r>
      <w:r w:rsidR="003F397B">
        <w:t xml:space="preserve"> lead to quicker approval timelines </w:t>
      </w:r>
      <w:r w:rsidR="00414782">
        <w:t>than</w:t>
      </w:r>
      <w:r w:rsidR="00CC2B1B">
        <w:t xml:space="preserve"> the </w:t>
      </w:r>
      <w:r w:rsidR="00DB3FE5">
        <w:t>current evaluation process.</w:t>
      </w:r>
      <w:r w:rsidR="00DB3FE5">
        <w:rPr>
          <w:rStyle w:val="FootnoteReference"/>
        </w:rPr>
        <w:footnoteReference w:id="70"/>
      </w:r>
      <w:r w:rsidR="00FA6401">
        <w:t xml:space="preserve"> CALSSA </w:t>
      </w:r>
      <w:r w:rsidR="00B20F48">
        <w:t>contends</w:t>
      </w:r>
      <w:r w:rsidR="00FA6401">
        <w:t xml:space="preserve"> the </w:t>
      </w:r>
      <w:r w:rsidR="00A31A72">
        <w:t xml:space="preserve">current </w:t>
      </w:r>
      <w:r w:rsidR="00FA6401">
        <w:t xml:space="preserve">one-off evaluation processes are </w:t>
      </w:r>
      <w:r w:rsidR="00FA6401">
        <w:lastRenderedPageBreak/>
        <w:t>“duplicative</w:t>
      </w:r>
      <w:r w:rsidR="001E716C">
        <w:t xml:space="preserve">” and “time-consuming,” </w:t>
      </w:r>
      <w:r w:rsidR="00A31A72">
        <w:t xml:space="preserve">and </w:t>
      </w:r>
      <w:r w:rsidR="001E716C">
        <w:t>argu</w:t>
      </w:r>
      <w:r w:rsidR="00A31A72">
        <w:t>es</w:t>
      </w:r>
      <w:r w:rsidR="001E716C">
        <w:t xml:space="preserve"> pilots for testing products can </w:t>
      </w:r>
      <w:r w:rsidR="00AE272A">
        <w:t xml:space="preserve">last </w:t>
      </w:r>
      <w:r w:rsidR="001E716C">
        <w:t>longer than a full year.</w:t>
      </w:r>
      <w:r w:rsidR="001E716C">
        <w:rPr>
          <w:rStyle w:val="FootnoteReference"/>
        </w:rPr>
        <w:footnoteReference w:id="71"/>
      </w:r>
      <w:r w:rsidR="001E716C">
        <w:t xml:space="preserve"> </w:t>
      </w:r>
      <w:r w:rsidR="001750AD">
        <w:t>SPUR similar</w:t>
      </w:r>
      <w:r w:rsidR="00E2729D">
        <w:t>ly</w:t>
      </w:r>
      <w:r w:rsidR="001750AD">
        <w:t xml:space="preserve"> </w:t>
      </w:r>
      <w:r w:rsidR="00C85749">
        <w:t>proposes</w:t>
      </w:r>
      <w:r w:rsidR="008B0A3F">
        <w:t xml:space="preserve"> </w:t>
      </w:r>
      <w:r w:rsidR="00E2729D">
        <w:t xml:space="preserve">that </w:t>
      </w:r>
      <w:r w:rsidR="008B0A3F">
        <w:t xml:space="preserve">the Commission </w:t>
      </w:r>
      <w:r w:rsidR="00995CC7">
        <w:t xml:space="preserve">direct the </w:t>
      </w:r>
      <w:r w:rsidR="00E807FB">
        <w:t xml:space="preserve">electric utilities </w:t>
      </w:r>
      <w:r w:rsidR="00995CC7">
        <w:t xml:space="preserve">to authorize MSAs that meet a certain set of specifications </w:t>
      </w:r>
      <w:r w:rsidR="00901BE9">
        <w:t>rather than requiring evaluations for each product.</w:t>
      </w:r>
      <w:r w:rsidR="00901BE9">
        <w:rPr>
          <w:rStyle w:val="FootnoteReference"/>
        </w:rPr>
        <w:footnoteReference w:id="72"/>
      </w:r>
      <w:r w:rsidR="009F4578">
        <w:t xml:space="preserve"> </w:t>
      </w:r>
    </w:p>
    <w:p w:rsidR="004C3F18" w:rsidP="007E5CE5" w:rsidRDefault="00077997" w14:paraId="7BA0F121" w14:textId="11D2113F">
      <w:pPr>
        <w:pStyle w:val="Standard"/>
      </w:pPr>
      <w:r>
        <w:t>ConnectDER</w:t>
      </w:r>
      <w:r w:rsidR="001D3CB5">
        <w:t xml:space="preserve"> </w:t>
      </w:r>
      <w:r w:rsidR="00F861FE">
        <w:t>support</w:t>
      </w:r>
      <w:r w:rsidR="001D3CB5">
        <w:t xml:space="preserve">s </w:t>
      </w:r>
      <w:r w:rsidR="00F55AF8">
        <w:t>Staff’s</w:t>
      </w:r>
      <w:r w:rsidR="001D3CB5">
        <w:t xml:space="preserve"> recommendation</w:t>
      </w:r>
      <w:r w:rsidR="00391309">
        <w:t xml:space="preserve"> and</w:t>
      </w:r>
      <w:r w:rsidR="00925725">
        <w:t xml:space="preserve"> c</w:t>
      </w:r>
      <w:r w:rsidR="00391309">
        <w:t>ontends</w:t>
      </w:r>
      <w:r w:rsidR="004C2021">
        <w:t xml:space="preserve"> “without a clear source of funding for evaluation efforts” of non-isolating </w:t>
      </w:r>
      <w:r w:rsidR="00396485">
        <w:t>device</w:t>
      </w:r>
      <w:r w:rsidR="00ED3E97">
        <w:t>s</w:t>
      </w:r>
      <w:r w:rsidR="00396485">
        <w:t xml:space="preserve">, “progress has been slow” </w:t>
      </w:r>
      <w:r w:rsidR="009001EC">
        <w:t xml:space="preserve">in </w:t>
      </w:r>
      <w:r w:rsidR="0001340E">
        <w:t xml:space="preserve">utility </w:t>
      </w:r>
      <w:r w:rsidR="009001EC">
        <w:t>evaluation efforts of these technologies.</w:t>
      </w:r>
      <w:r w:rsidR="009001EC">
        <w:rPr>
          <w:rStyle w:val="FootnoteReference"/>
        </w:rPr>
        <w:footnoteReference w:id="73"/>
      </w:r>
      <w:r w:rsidR="00337AD3">
        <w:t xml:space="preserve"> </w:t>
      </w:r>
      <w:r w:rsidR="000C7D45">
        <w:t xml:space="preserve">ConnectDER </w:t>
      </w:r>
      <w:r w:rsidR="00432914">
        <w:t>contends</w:t>
      </w:r>
      <w:r w:rsidR="009345A4">
        <w:t xml:space="preserve"> that non-isolating MSAs can reduce electrification timelines</w:t>
      </w:r>
      <w:r w:rsidR="001322B9">
        <w:t xml:space="preserve"> and lower decarbonization costs.</w:t>
      </w:r>
      <w:r w:rsidR="001322B9">
        <w:rPr>
          <w:rStyle w:val="FootnoteReference"/>
        </w:rPr>
        <w:footnoteReference w:id="74"/>
      </w:r>
      <w:r w:rsidR="001322B9">
        <w:t xml:space="preserve"> </w:t>
      </w:r>
      <w:r w:rsidRPr="00E70B24" w:rsidR="00E70B24">
        <w:t>ConnectDER</w:t>
      </w:r>
      <w:r w:rsidR="004B0FB3">
        <w:t xml:space="preserve"> </w:t>
      </w:r>
      <w:r w:rsidR="00F545E1">
        <w:t>proposes</w:t>
      </w:r>
      <w:r w:rsidR="00C7688A">
        <w:t xml:space="preserve"> ratepayer funding should be used</w:t>
      </w:r>
      <w:r w:rsidR="00530339">
        <w:t xml:space="preserve"> only</w:t>
      </w:r>
      <w:r w:rsidR="00C7688A">
        <w:t xml:space="preserve"> to evaluate devices </w:t>
      </w:r>
      <w:r w:rsidR="00E3341D">
        <w:t>requiring</w:t>
      </w:r>
      <w:r w:rsidR="00C7688A">
        <w:t xml:space="preserve"> explicit </w:t>
      </w:r>
      <w:r w:rsidR="0001340E">
        <w:t xml:space="preserve">utility </w:t>
      </w:r>
      <w:r w:rsidR="00C7688A">
        <w:t>approval.</w:t>
      </w:r>
      <w:r w:rsidR="00C7688A">
        <w:rPr>
          <w:rStyle w:val="FootnoteReference"/>
        </w:rPr>
        <w:footnoteReference w:id="75"/>
      </w:r>
    </w:p>
    <w:p w:rsidR="004777CE" w:rsidP="004777CE" w:rsidRDefault="00337AD3" w14:paraId="425133CD" w14:textId="6D10CF0D">
      <w:pPr>
        <w:pStyle w:val="Standard"/>
      </w:pPr>
      <w:r>
        <w:t xml:space="preserve">ConnectDER </w:t>
      </w:r>
      <w:r w:rsidR="006A0F9E">
        <w:t>argues</w:t>
      </w:r>
      <w:r w:rsidR="00B630C2">
        <w:t xml:space="preserve"> that</w:t>
      </w:r>
      <w:r w:rsidR="00FA75AA">
        <w:t xml:space="preserve"> </w:t>
      </w:r>
      <w:r w:rsidR="00380B0F">
        <w:t>Finding 16 of Resolution E-5194</w:t>
      </w:r>
      <w:r w:rsidR="00934A71">
        <w:t xml:space="preserve"> should apply to non-isolating MSAs. This Finding </w:t>
      </w:r>
      <w:r w:rsidR="006A0F9E">
        <w:t>provides</w:t>
      </w:r>
      <w:r w:rsidR="00035447">
        <w:t xml:space="preserve"> that </w:t>
      </w:r>
      <w:r w:rsidR="00204F0C">
        <w:t>the proposed evaluation process should be clarified “to indicate that customers will retain ownership of customer supplied equipment unless a utility clearly demonstrates a safety-based need for ownership to be transferred to the utility.”</w:t>
      </w:r>
      <w:r w:rsidR="00204F0C">
        <w:rPr>
          <w:rStyle w:val="FootnoteReference"/>
        </w:rPr>
        <w:footnoteReference w:id="76"/>
      </w:r>
      <w:r w:rsidR="004777CE">
        <w:t xml:space="preserve"> </w:t>
      </w:r>
    </w:p>
    <w:p w:rsidR="004C2021" w:rsidP="007E5CE5" w:rsidRDefault="00D13481" w14:paraId="695C6E19" w14:textId="051A5131">
      <w:pPr>
        <w:pStyle w:val="Standard"/>
      </w:pPr>
      <w:r>
        <w:t xml:space="preserve">PG&amp;E supports </w:t>
      </w:r>
      <w:r w:rsidR="00EE1136">
        <w:t xml:space="preserve">Staff’s </w:t>
      </w:r>
      <w:r>
        <w:t xml:space="preserve">recommendation </w:t>
      </w:r>
      <w:r w:rsidR="00F545E1">
        <w:t>and</w:t>
      </w:r>
      <w:r>
        <w:t xml:space="preserve"> agrees products like MSAs can reduce the cost of decarbonization for customers</w:t>
      </w:r>
      <w:r w:rsidR="00326AAD">
        <w:t>. PG&amp;E</w:t>
      </w:r>
      <w:r w:rsidR="00011E4D">
        <w:t xml:space="preserve"> also</w:t>
      </w:r>
      <w:r w:rsidR="00FB4C3F">
        <w:t xml:space="preserve"> </w:t>
      </w:r>
      <w:r w:rsidR="00A576A0">
        <w:t xml:space="preserve">requests </w:t>
      </w:r>
      <w:r w:rsidR="00FB4C3F">
        <w:t>any additional devices eligible for testing “be specifically and deliberately limited to those which enable decarbonization.”</w:t>
      </w:r>
      <w:r w:rsidR="00FB4C3F">
        <w:rPr>
          <w:rStyle w:val="FootnoteReference"/>
        </w:rPr>
        <w:footnoteReference w:id="77"/>
      </w:r>
      <w:r w:rsidR="00FB4C3F">
        <w:t xml:space="preserve"> </w:t>
      </w:r>
      <w:r w:rsidR="00870985">
        <w:t xml:space="preserve">PG&amp;E argues there are many types of </w:t>
      </w:r>
      <w:r w:rsidR="00870985">
        <w:lastRenderedPageBreak/>
        <w:t xml:space="preserve">MSA products, and </w:t>
      </w:r>
      <w:r w:rsidR="001921A2">
        <w:t xml:space="preserve">that there </w:t>
      </w:r>
      <w:r w:rsidR="00870985">
        <w:t>will likely be more in the future</w:t>
      </w:r>
      <w:r w:rsidR="001921A2">
        <w:t xml:space="preserve">. As such, </w:t>
      </w:r>
      <w:r w:rsidR="00870985">
        <w:t xml:space="preserve">specifying decarbonization-specific products will </w:t>
      </w:r>
      <w:r w:rsidR="00842B46">
        <w:t>allow</w:t>
      </w:r>
      <w:r w:rsidR="00870985">
        <w:t xml:space="preserve"> </w:t>
      </w:r>
      <w:r w:rsidR="00F71515">
        <w:t>electric utilities</w:t>
      </w:r>
      <w:r w:rsidR="00870985">
        <w:t xml:space="preserve"> </w:t>
      </w:r>
      <w:r w:rsidR="00757EF6">
        <w:t>to</w:t>
      </w:r>
      <w:r w:rsidR="00870985">
        <w:t xml:space="preserve"> focus on decarbonization goals.</w:t>
      </w:r>
      <w:r w:rsidR="00870985">
        <w:rPr>
          <w:rStyle w:val="FootnoteReference"/>
        </w:rPr>
        <w:footnoteReference w:id="78"/>
      </w:r>
      <w:r w:rsidR="00E3341D">
        <w:t xml:space="preserve"> </w:t>
      </w:r>
    </w:p>
    <w:p w:rsidR="004C2021" w:rsidP="007E5CE5" w:rsidRDefault="001921A2" w14:paraId="74978B77" w14:textId="676631CE">
      <w:pPr>
        <w:pStyle w:val="Standard"/>
      </w:pPr>
      <w:r>
        <w:t xml:space="preserve">Regarding </w:t>
      </w:r>
      <w:r w:rsidR="009E0443">
        <w:t xml:space="preserve">evaluation timeframes, </w:t>
      </w:r>
      <w:r w:rsidRPr="0012186F" w:rsidR="0012186F">
        <w:t xml:space="preserve">PG&amp;E notes </w:t>
      </w:r>
      <w:r w:rsidR="0012186F">
        <w:t>that while it</w:t>
      </w:r>
      <w:r w:rsidRPr="0012186F" w:rsidR="0012186F">
        <w:t xml:space="preserve"> has not been a problem thus far</w:t>
      </w:r>
      <w:r w:rsidR="0012186F">
        <w:t>,</w:t>
      </w:r>
      <w:r w:rsidR="0012186F">
        <w:rPr>
          <w:rStyle w:val="FootnoteReference"/>
        </w:rPr>
        <w:footnoteReference w:id="79"/>
      </w:r>
      <w:r w:rsidR="0012186F">
        <w:t xml:space="preserve"> </w:t>
      </w:r>
      <w:r w:rsidR="006A3976">
        <w:t xml:space="preserve">if more products require simultaneous evaluation in the future, completing the evaluation under the timelines specified in Resolution E-5194 may not be possible. </w:t>
      </w:r>
      <w:r w:rsidR="007D3499">
        <w:t>SCE</w:t>
      </w:r>
      <w:r w:rsidR="00224EFC">
        <w:t xml:space="preserve"> </w:t>
      </w:r>
      <w:r w:rsidR="00A17382">
        <w:t xml:space="preserve">makes </w:t>
      </w:r>
      <w:r w:rsidR="00224EFC">
        <w:t xml:space="preserve">similar </w:t>
      </w:r>
      <w:r w:rsidR="00A17382">
        <w:t>comments</w:t>
      </w:r>
      <w:r w:rsidR="0079530D">
        <w:t xml:space="preserve"> and</w:t>
      </w:r>
      <w:r w:rsidR="00224EFC">
        <w:t xml:space="preserve"> </w:t>
      </w:r>
      <w:r w:rsidR="00C74996">
        <w:t>argues that</w:t>
      </w:r>
      <w:r w:rsidR="00224EFC">
        <w:t xml:space="preserve"> </w:t>
      </w:r>
      <w:r w:rsidR="00E4524C">
        <w:t xml:space="preserve">electric utilities </w:t>
      </w:r>
      <w:r w:rsidR="00224EFC">
        <w:t xml:space="preserve">should be given flexibility to adjust the timelines </w:t>
      </w:r>
      <w:r w:rsidR="005440A8">
        <w:t>passed in Resolution E-5194.</w:t>
      </w:r>
      <w:r w:rsidR="005440A8">
        <w:rPr>
          <w:rStyle w:val="FootnoteReference"/>
        </w:rPr>
        <w:footnoteReference w:id="80"/>
      </w:r>
      <w:r w:rsidR="00313532">
        <w:t xml:space="preserve"> </w:t>
      </w:r>
    </w:p>
    <w:p w:rsidR="001015C6" w:rsidP="007E5CE5" w:rsidRDefault="001015C6" w14:paraId="61220023" w14:textId="56918D9E">
      <w:pPr>
        <w:pStyle w:val="Standard"/>
      </w:pPr>
      <w:r>
        <w:t xml:space="preserve">On coordinating </w:t>
      </w:r>
      <w:r w:rsidR="00A73A38">
        <w:t>safety evaluations</w:t>
      </w:r>
      <w:r w:rsidR="00DB05D8">
        <w:t xml:space="preserve"> </w:t>
      </w:r>
      <w:r w:rsidR="00C666C9">
        <w:t xml:space="preserve">and standards development </w:t>
      </w:r>
      <w:r w:rsidR="00DB05D8">
        <w:t xml:space="preserve">across </w:t>
      </w:r>
      <w:r w:rsidR="00F71515">
        <w:t>electric utilities</w:t>
      </w:r>
      <w:r w:rsidR="00A73A38">
        <w:t xml:space="preserve">, SCE requests </w:t>
      </w:r>
      <w:r w:rsidR="00DB05D8">
        <w:t>Commission guidance</w:t>
      </w:r>
      <w:r w:rsidR="00C03EF3">
        <w:t xml:space="preserve"> and oversight</w:t>
      </w:r>
      <w:r w:rsidR="00DB05D8">
        <w:t xml:space="preserve"> on </w:t>
      </w:r>
      <w:r w:rsidR="00C666C9">
        <w:t xml:space="preserve">“scope and process” to </w:t>
      </w:r>
      <w:r w:rsidR="00C03EF3">
        <w:t xml:space="preserve">forestall any </w:t>
      </w:r>
      <w:r w:rsidR="0066251E">
        <w:t>antitrust concerns.</w:t>
      </w:r>
      <w:r w:rsidR="0066251E">
        <w:rPr>
          <w:rStyle w:val="FootnoteReference"/>
        </w:rPr>
        <w:footnoteReference w:id="81"/>
      </w:r>
      <w:r w:rsidR="007B320E">
        <w:t xml:space="preserve"> SDG&amp;E makes a similar request and asks for</w:t>
      </w:r>
      <w:r w:rsidR="00537EF2">
        <w:t xml:space="preserve"> specific language to direct </w:t>
      </w:r>
      <w:r w:rsidR="00E4524C">
        <w:t xml:space="preserve">electric utilities </w:t>
      </w:r>
      <w:r w:rsidR="00537EF2">
        <w:t xml:space="preserve">to coordinate on </w:t>
      </w:r>
      <w:r w:rsidR="0096313E">
        <w:t>evaluation plans to reduce “duplicative efforts.”</w:t>
      </w:r>
      <w:r w:rsidR="0096313E">
        <w:rPr>
          <w:rStyle w:val="FootnoteReference"/>
        </w:rPr>
        <w:footnoteReference w:id="82"/>
      </w:r>
      <w:r w:rsidR="0096313E">
        <w:t xml:space="preserve"> </w:t>
      </w:r>
    </w:p>
    <w:p w:rsidR="00442DA7" w:rsidP="007E5CE5" w:rsidRDefault="00155728" w14:paraId="218DDCEC" w14:textId="3F4D981A">
      <w:pPr>
        <w:pStyle w:val="Standard"/>
      </w:pPr>
      <w:r>
        <w:t xml:space="preserve">With respect to </w:t>
      </w:r>
      <w:r w:rsidR="0004733B">
        <w:t xml:space="preserve">the </w:t>
      </w:r>
      <w:r w:rsidR="009F5AC4">
        <w:t>types of technologies that should be evaluated</w:t>
      </w:r>
      <w:r>
        <w:t xml:space="preserve">, </w:t>
      </w:r>
      <w:r w:rsidR="00442DA7">
        <w:t xml:space="preserve">SCE </w:t>
      </w:r>
      <w:r w:rsidR="00B77A71">
        <w:t>requests</w:t>
      </w:r>
      <w:r w:rsidR="005122E3">
        <w:t xml:space="preserve"> </w:t>
      </w:r>
      <w:r w:rsidR="004B6B7F">
        <w:t xml:space="preserve">the </w:t>
      </w:r>
      <w:r w:rsidR="00162ED2">
        <w:t xml:space="preserve">technology </w:t>
      </w:r>
      <w:r w:rsidR="00DA583E">
        <w:t xml:space="preserve">evaluation </w:t>
      </w:r>
      <w:r w:rsidR="00333B22">
        <w:t xml:space="preserve">not </w:t>
      </w:r>
      <w:r w:rsidR="00DA583E">
        <w:t xml:space="preserve">focus </w:t>
      </w:r>
      <w:r w:rsidR="00542008">
        <w:t xml:space="preserve">on </w:t>
      </w:r>
      <w:r w:rsidR="004F6E64">
        <w:t>customer-owned and operated</w:t>
      </w:r>
      <w:r w:rsidR="00542008">
        <w:t xml:space="preserve"> </w:t>
      </w:r>
      <w:r w:rsidR="00605891">
        <w:t xml:space="preserve">equipment </w:t>
      </w:r>
      <w:r w:rsidR="0004733B">
        <w:t xml:space="preserve">lacking </w:t>
      </w:r>
      <w:r w:rsidR="00550CD7">
        <w:t xml:space="preserve">direct </w:t>
      </w:r>
      <w:r w:rsidR="004F6E64">
        <w:t>interfac</w:t>
      </w:r>
      <w:r w:rsidR="0004733B">
        <w:t>ing</w:t>
      </w:r>
      <w:r w:rsidR="004F6E64">
        <w:t xml:space="preserve"> with</w:t>
      </w:r>
      <w:r w:rsidR="00605891">
        <w:t xml:space="preserve"> </w:t>
      </w:r>
      <w:r w:rsidR="004F6E64">
        <w:t xml:space="preserve">a utility </w:t>
      </w:r>
      <w:r w:rsidR="00605891">
        <w:t>meter</w:t>
      </w:r>
      <w:r w:rsidR="00EC5B0B">
        <w:t xml:space="preserve">. SCE claims </w:t>
      </w:r>
      <w:r w:rsidR="005840CF">
        <w:t xml:space="preserve">such </w:t>
      </w:r>
      <w:r w:rsidR="00605891">
        <w:t xml:space="preserve">technologies will require </w:t>
      </w:r>
      <w:r w:rsidR="00DA583E">
        <w:t>approval from the authority having jurisdiction</w:t>
      </w:r>
      <w:r w:rsidR="00EC5B0B">
        <w:t>,</w:t>
      </w:r>
      <w:r w:rsidR="00FD2ADD">
        <w:t xml:space="preserve"> rather than from SCE, and therefore </w:t>
      </w:r>
      <w:r w:rsidR="0004733B">
        <w:t xml:space="preserve">the utilities should not evaluate </w:t>
      </w:r>
      <w:r w:rsidR="00FD2ADD">
        <w:t>the</w:t>
      </w:r>
      <w:r w:rsidR="002C1841">
        <w:t>se devices</w:t>
      </w:r>
      <w:r w:rsidR="00DA583E">
        <w:t>.</w:t>
      </w:r>
      <w:r w:rsidR="00DA583E">
        <w:rPr>
          <w:rStyle w:val="FootnoteReference"/>
        </w:rPr>
        <w:footnoteReference w:id="83"/>
      </w:r>
      <w:r w:rsidR="00DA583E">
        <w:t xml:space="preserve"> </w:t>
      </w:r>
    </w:p>
    <w:p w:rsidR="00155728" w:rsidP="007E5CE5" w:rsidRDefault="00A147E7" w14:paraId="497DCCA0" w14:textId="3EE4077C">
      <w:pPr>
        <w:pStyle w:val="Standard"/>
      </w:pPr>
      <w:r>
        <w:lastRenderedPageBreak/>
        <w:t xml:space="preserve">On funding, SCE is the only party to request that </w:t>
      </w:r>
      <w:r w:rsidR="00F71515">
        <w:t>electric utilities</w:t>
      </w:r>
      <w:r>
        <w:t xml:space="preserve"> be given permission to follow the process outlined in D.21-01-018 to submit a Tier 2 </w:t>
      </w:r>
      <w:r w:rsidR="005957C9">
        <w:t>Advice Letter</w:t>
      </w:r>
      <w:r>
        <w:t xml:space="preserve"> to request additional funding</w:t>
      </w:r>
      <w:r w:rsidR="000C681D">
        <w:t>,</w:t>
      </w:r>
      <w:r>
        <w:t xml:space="preserve"> if needed, due to a </w:t>
      </w:r>
      <w:r w:rsidR="00A93EB7">
        <w:t xml:space="preserve">potentially </w:t>
      </w:r>
      <w:r w:rsidR="00186862">
        <w:t>large increase in the number of devices that</w:t>
      </w:r>
      <w:r w:rsidR="00D35675">
        <w:t xml:space="preserve"> will</w:t>
      </w:r>
      <w:r w:rsidR="00186862">
        <w:t xml:space="preserve"> need to be evaluated.</w:t>
      </w:r>
      <w:r w:rsidR="00186862">
        <w:rPr>
          <w:rStyle w:val="FootnoteReference"/>
        </w:rPr>
        <w:footnoteReference w:id="84"/>
      </w:r>
    </w:p>
    <w:p w:rsidR="005C482F" w:rsidP="005C482F" w:rsidRDefault="005C482F" w14:paraId="0191AB7F" w14:textId="28F2C1D0">
      <w:pPr>
        <w:pStyle w:val="Standard"/>
      </w:pPr>
      <w:r w:rsidRPr="005C482F">
        <w:t>Several parties raised concerns regarding potential reporting and documentation requirements associated with expanding utility safety evaluation processes to non-isolating devices that interface with utility metering equipment. The Joint IOUs emphasized the need for clear standards and processes, cautioning against overly prescriptive reporting obligations that could become administratively burdensome or conflict with utility operational procedures</w:t>
      </w:r>
      <w:r>
        <w:t xml:space="preserve">. </w:t>
      </w:r>
      <w:r w:rsidRPr="005C482F">
        <w:t>Similarly, CALSSA expressed concern that requiring documentation or reporting of non-isolating devices—especially those installed behind the meter—could impose unreasonable burdens on contractors and potentially inhibit deployment of customer-sited technologies.</w:t>
      </w:r>
      <w:r>
        <w:t xml:space="preserve"> </w:t>
      </w:r>
      <w:r w:rsidRPr="005C482F">
        <w:t>PG&amp;E, while generally supportive of additional safety review processes, likewise cautioned that any expanded scope of utility safety evaluation must be accompanied by clear guidance on reporting expectations. PG&amp;E noted that undefined or inconsistent reporting requirements could create confusion for both utilities and customers, and recommended further stakeholder engagement before establishing such obligations.</w:t>
      </w:r>
    </w:p>
    <w:p w:rsidRPr="00D537B0" w:rsidR="00E67607" w:rsidP="007E5CE5" w:rsidRDefault="00E67607" w14:paraId="003EF921" w14:textId="5EA43579">
      <w:pPr>
        <w:pStyle w:val="Standard"/>
      </w:pPr>
      <w:r w:rsidRPr="00D537B0">
        <w:t xml:space="preserve">Lastly, SDG&amp;E </w:t>
      </w:r>
      <w:r w:rsidRPr="00D537B0" w:rsidR="00663BEC">
        <w:t>seeks</w:t>
      </w:r>
      <w:r w:rsidRPr="00D537B0">
        <w:t xml:space="preserve"> clarif</w:t>
      </w:r>
      <w:r w:rsidRPr="00D537B0" w:rsidR="00663BEC">
        <w:t>ication</w:t>
      </w:r>
      <w:r w:rsidRPr="00D537B0">
        <w:t xml:space="preserve"> that the </w:t>
      </w:r>
      <w:r w:rsidRPr="00D537B0" w:rsidR="00953CC5">
        <w:t xml:space="preserve">technology review processes outlined in </w:t>
      </w:r>
      <w:r w:rsidRPr="00D537B0" w:rsidR="009054C7">
        <w:t xml:space="preserve">Resolution </w:t>
      </w:r>
      <w:r w:rsidRPr="00D537B0" w:rsidR="00953CC5">
        <w:t xml:space="preserve">E-5194 </w:t>
      </w:r>
      <w:r w:rsidRPr="001D63C9" w:rsidR="005C482F">
        <w:t xml:space="preserve">will apply to the evaluation of non-isolating devices that interface with utility metering equipment, and that no new or separate review procedures would be established for these devices. SDG&amp;E emphasizes that applying the existing, Commission-approved processes from </w:t>
      </w:r>
      <w:r w:rsidRPr="001D63C9" w:rsidR="005C482F">
        <w:lastRenderedPageBreak/>
        <w:t xml:space="preserve">Resolution E-5194 </w:t>
      </w:r>
      <w:r w:rsidRPr="001D63C9" w:rsidR="00872D7E">
        <w:t>provides</w:t>
      </w:r>
      <w:r w:rsidRPr="001D63C9" w:rsidR="005C482F">
        <w:t xml:space="preserve"> consistency, leverages established protocols, and avoids unnecessary administrative burden.</w:t>
      </w:r>
      <w:r w:rsidRPr="00D537B0" w:rsidR="00953CC5">
        <w:rPr>
          <w:rStyle w:val="FootnoteReference"/>
        </w:rPr>
        <w:footnoteReference w:id="85"/>
      </w:r>
    </w:p>
    <w:p w:rsidRPr="00D537B0" w:rsidR="00EE7CAB" w:rsidP="00EE7CAB" w:rsidRDefault="00971117" w14:paraId="0D30088F" w14:textId="01AC539F">
      <w:pPr>
        <w:pStyle w:val="Standard"/>
      </w:pPr>
      <w:bookmarkStart w:name="_Toc184242478" w:id="273"/>
      <w:bookmarkStart w:name="_Toc184242561" w:id="274"/>
      <w:bookmarkEnd w:id="273"/>
      <w:bookmarkEnd w:id="274"/>
      <w:r w:rsidRPr="00D537B0">
        <w:t xml:space="preserve">As to the reply comments, the </w:t>
      </w:r>
      <w:r w:rsidRPr="00D537B0" w:rsidR="008B5139">
        <w:t xml:space="preserve">Joint </w:t>
      </w:r>
      <w:r w:rsidRPr="00D537B0" w:rsidR="00EE7CAB">
        <w:t>REN</w:t>
      </w:r>
      <w:r w:rsidRPr="00D537B0" w:rsidR="008B5139">
        <w:t>s</w:t>
      </w:r>
      <w:r w:rsidRPr="00D537B0" w:rsidR="00EE7CAB">
        <w:t xml:space="preserve"> and CBIA support CALSSA’s </w:t>
      </w:r>
      <w:r w:rsidRPr="00D537B0" w:rsidR="006B5F60">
        <w:t xml:space="preserve">recommendations </w:t>
      </w:r>
      <w:r w:rsidRPr="00D537B0" w:rsidR="002B22C8">
        <w:t>t</w:t>
      </w:r>
      <w:r w:rsidRPr="00D537B0" w:rsidR="00DA4B2D">
        <w:t>o specify</w:t>
      </w:r>
      <w:r w:rsidRPr="00D537B0" w:rsidR="007D12FF">
        <w:t xml:space="preserve"> MSAs as the intended target technology and </w:t>
      </w:r>
      <w:r w:rsidRPr="00D537B0" w:rsidR="00286433">
        <w:t xml:space="preserve">that the Commission </w:t>
      </w:r>
      <w:r w:rsidRPr="00D537B0" w:rsidR="007D12FF">
        <w:t>adopt a</w:t>
      </w:r>
      <w:r w:rsidRPr="00D537B0" w:rsidR="006B5F60">
        <w:t xml:space="preserve"> criteria-based approach to approvals</w:t>
      </w:r>
      <w:r w:rsidRPr="00D537B0" w:rsidR="00EE7CAB">
        <w:t>.</w:t>
      </w:r>
      <w:r w:rsidRPr="00D537B0" w:rsidR="00EE7CAB">
        <w:rPr>
          <w:rStyle w:val="FootnoteReference"/>
        </w:rPr>
        <w:footnoteReference w:id="86"/>
      </w:r>
    </w:p>
    <w:p w:rsidR="00C31A73" w:rsidP="00C31A73" w:rsidRDefault="00C31A73" w14:paraId="70D88EF6" w14:textId="4B2E370E">
      <w:pPr>
        <w:pStyle w:val="Standard"/>
      </w:pPr>
      <w:r w:rsidRPr="00D537B0">
        <w:t xml:space="preserve">SCE </w:t>
      </w:r>
      <w:r w:rsidRPr="00D537B0" w:rsidR="00286433">
        <w:t xml:space="preserve">opposes </w:t>
      </w:r>
      <w:r w:rsidRPr="00D537B0">
        <w:t>CALSSA’s recommendation</w:t>
      </w:r>
      <w:r>
        <w:t xml:space="preserve"> for a specific, criteria-based approach and disputes CALSSA’s characterization of the evaluation process as open ended</w:t>
      </w:r>
      <w:r w:rsidR="00AA7626">
        <w:t>,</w:t>
      </w:r>
      <w:r>
        <w:t xml:space="preserve"> duplicative</w:t>
      </w:r>
      <w:r w:rsidR="00AA7626">
        <w:t>,</w:t>
      </w:r>
      <w:r>
        <w:t xml:space="preserve"> and time-consuming. SCE asserts it formulates a testing plan based on “minimum safety and functional testing.” Any additional testing</w:t>
      </w:r>
      <w:r w:rsidR="006155E0">
        <w:t>, SCE says,</w:t>
      </w:r>
      <w:r>
        <w:t xml:space="preserve"> is performed</w:t>
      </w:r>
      <w:r w:rsidR="00530339">
        <w:t xml:space="preserve"> only</w:t>
      </w:r>
      <w:r>
        <w:t xml:space="preserve"> if the data on certain products is insufficient or questionable.</w:t>
      </w:r>
      <w:r>
        <w:rPr>
          <w:rStyle w:val="FootnoteReference"/>
        </w:rPr>
        <w:footnoteReference w:id="87"/>
      </w:r>
    </w:p>
    <w:p w:rsidR="00C31A73" w:rsidP="00C31A73" w:rsidRDefault="00C31A73" w14:paraId="4C0F69B0" w14:textId="457FCD9E">
      <w:pPr>
        <w:pStyle w:val="Standard"/>
      </w:pPr>
      <w:r>
        <w:t>SCE disagrees with CALSSA</w:t>
      </w:r>
      <w:r w:rsidR="00290ACC">
        <w:t>’ chara</w:t>
      </w:r>
      <w:r w:rsidR="00B35C2D">
        <w:t xml:space="preserve">cterization regarding </w:t>
      </w:r>
      <w:r>
        <w:t>Finding 16 of Resolution E-5194 (regarding customer-owned equipment)</w:t>
      </w:r>
      <w:r w:rsidR="00B35C2D">
        <w:t>. SCE</w:t>
      </w:r>
      <w:r w:rsidR="009A668C">
        <w:t xml:space="preserve"> </w:t>
      </w:r>
      <w:r w:rsidR="00543D6E">
        <w:t>proposes</w:t>
      </w:r>
      <w:r w:rsidR="00B35C2D">
        <w:t xml:space="preserve">, instead, that </w:t>
      </w:r>
      <w:r>
        <w:t>the Commission</w:t>
      </w:r>
      <w:r w:rsidR="003D1DCF">
        <w:t xml:space="preserve"> </w:t>
      </w:r>
      <w:r>
        <w:t xml:space="preserve">consider ownership of non-isolating devices in its effort to assess cost recovery policies for zonal electrification and gas decommissioning in the Long-Term Gas Planning </w:t>
      </w:r>
      <w:r w:rsidR="00735EF8">
        <w:t xml:space="preserve">proceeding, </w:t>
      </w:r>
      <w:r>
        <w:t>R.20-01-007.</w:t>
      </w:r>
      <w:r>
        <w:rPr>
          <w:rStyle w:val="FootnoteReference"/>
        </w:rPr>
        <w:footnoteReference w:id="88"/>
      </w:r>
    </w:p>
    <w:p w:rsidR="00C31A73" w:rsidP="00C31A73" w:rsidRDefault="00C31A73" w14:paraId="049C5546" w14:textId="44ADF7F5">
      <w:pPr>
        <w:pStyle w:val="Standard"/>
      </w:pPr>
      <w:r>
        <w:t xml:space="preserve">On evaluation timeframes, CALSSA disagrees that SCE should receive an “open-ended timeline extension” for evaluating non-isolating devices; instead, CALSSA </w:t>
      </w:r>
      <w:r w:rsidR="00871F69">
        <w:t xml:space="preserve">supports </w:t>
      </w:r>
      <w:r>
        <w:t xml:space="preserve">PG&amp;E’s </w:t>
      </w:r>
      <w:r w:rsidR="00513ACE">
        <w:t xml:space="preserve">request </w:t>
      </w:r>
      <w:r>
        <w:t>for leniency on timelines when it needs to test multiple products simultaneously</w:t>
      </w:r>
      <w:r w:rsidR="00871F69">
        <w:t>, a</w:t>
      </w:r>
      <w:r>
        <w:t>s a more reasonable request.</w:t>
      </w:r>
      <w:r>
        <w:rPr>
          <w:rStyle w:val="FootnoteReference"/>
        </w:rPr>
        <w:footnoteReference w:id="89"/>
      </w:r>
    </w:p>
    <w:p w:rsidR="00C31A73" w:rsidP="00EE7CAB" w:rsidRDefault="002F7B19" w14:paraId="22AE980C" w14:textId="0438CA4F">
      <w:pPr>
        <w:pStyle w:val="Standard"/>
      </w:pPr>
      <w:r>
        <w:lastRenderedPageBreak/>
        <w:t xml:space="preserve">CALSSA and the Joint Parties support collaboration across </w:t>
      </w:r>
      <w:r w:rsidR="001A3FAE">
        <w:t xml:space="preserve">electric utilities </w:t>
      </w:r>
      <w:r>
        <w:t>to reduce duplication of testing.</w:t>
      </w:r>
      <w:r>
        <w:rPr>
          <w:rStyle w:val="FootnoteReference"/>
        </w:rPr>
        <w:footnoteReference w:id="90"/>
      </w:r>
    </w:p>
    <w:p w:rsidRPr="009D1072" w:rsidR="00A80F23" w:rsidP="00A80F23" w:rsidRDefault="00D0624F" w14:paraId="3AA45034" w14:textId="5DECB6D4">
      <w:pPr>
        <w:pStyle w:val="Heading3"/>
      </w:pPr>
      <w:bookmarkStart w:name="_Toc184242481" w:id="275"/>
      <w:bookmarkStart w:name="_Toc184242563" w:id="276"/>
      <w:bookmarkStart w:name="_Toc184242643" w:id="277"/>
      <w:bookmarkStart w:name="_Toc184242723" w:id="278"/>
      <w:bookmarkStart w:name="_Toc184242802" w:id="279"/>
      <w:bookmarkStart w:name="_Toc184242883" w:id="280"/>
      <w:bookmarkStart w:name="_Toc184242962" w:id="281"/>
      <w:bookmarkStart w:name="_Toc184243044" w:id="282"/>
      <w:bookmarkStart w:name="_Toc184243330" w:id="283"/>
      <w:bookmarkStart w:name="_Toc184501809" w:id="284"/>
      <w:bookmarkStart w:name="_Toc184680239" w:id="285"/>
      <w:bookmarkStart w:name="_Toc184830920" w:id="286"/>
      <w:bookmarkStart w:name="_Toc184831171" w:id="287"/>
      <w:bookmarkStart w:name="_Toc184840679" w:id="288"/>
      <w:bookmarkStart w:name="_Toc184840788" w:id="289"/>
      <w:bookmarkStart w:name="_Toc184854699" w:id="290"/>
      <w:bookmarkStart w:name="_Toc185269661" w:id="291"/>
      <w:bookmarkStart w:name="_Toc185275767" w:id="292"/>
      <w:bookmarkStart w:name="_Toc185278456" w:id="293"/>
      <w:bookmarkStart w:name="_Toc185278560" w:id="294"/>
      <w:bookmarkStart w:name="_Toc185278664" w:id="295"/>
      <w:bookmarkStart w:name="_Toc185278848" w:id="296"/>
      <w:bookmarkStart w:name="_Toc185321809" w:id="297"/>
      <w:bookmarkStart w:name="_Toc185329759" w:id="298"/>
      <w:bookmarkStart w:name="_Toc185366182" w:id="299"/>
      <w:bookmarkStart w:name="_Toc185368838" w:id="300"/>
      <w:bookmarkStart w:name="_Toc185420436" w:id="301"/>
      <w:bookmarkStart w:name="_Toc185421252" w:id="302"/>
      <w:bookmarkStart w:name="_Toc185422549" w:id="303"/>
      <w:bookmarkStart w:name="_Toc185425566" w:id="304"/>
      <w:bookmarkStart w:name="_Toc185496640" w:id="305"/>
      <w:bookmarkStart w:name="_Toc185496850" w:id="306"/>
      <w:bookmarkStart w:name="_Toc185496961" w:id="307"/>
      <w:bookmarkStart w:name="_Toc184242482" w:id="308"/>
      <w:bookmarkStart w:name="_Toc184242564" w:id="309"/>
      <w:bookmarkStart w:name="_Toc184242644" w:id="310"/>
      <w:bookmarkStart w:name="_Toc184242724" w:id="311"/>
      <w:bookmarkStart w:name="_Toc184242803" w:id="312"/>
      <w:bookmarkStart w:name="_Toc184242884" w:id="313"/>
      <w:bookmarkStart w:name="_Toc184242963" w:id="314"/>
      <w:bookmarkStart w:name="_Toc184243045" w:id="315"/>
      <w:bookmarkStart w:name="_Toc184243331" w:id="316"/>
      <w:bookmarkStart w:name="_Toc184501810" w:id="317"/>
      <w:bookmarkStart w:name="_Toc184680240" w:id="318"/>
      <w:bookmarkStart w:name="_Toc184830921" w:id="319"/>
      <w:bookmarkStart w:name="_Toc184831172" w:id="320"/>
      <w:bookmarkStart w:name="_Toc184840680" w:id="321"/>
      <w:bookmarkStart w:name="_Toc184840789" w:id="322"/>
      <w:bookmarkStart w:name="_Toc184854700" w:id="323"/>
      <w:bookmarkStart w:name="_Toc185269662" w:id="324"/>
      <w:bookmarkStart w:name="_Toc185275768" w:id="325"/>
      <w:bookmarkStart w:name="_Toc185278457" w:id="326"/>
      <w:bookmarkStart w:name="_Toc185278561" w:id="327"/>
      <w:bookmarkStart w:name="_Toc185278665" w:id="328"/>
      <w:bookmarkStart w:name="_Toc185278849" w:id="329"/>
      <w:bookmarkStart w:name="_Toc185321810" w:id="330"/>
      <w:bookmarkStart w:name="_Toc185329760" w:id="331"/>
      <w:bookmarkStart w:name="_Toc185366183" w:id="332"/>
      <w:bookmarkStart w:name="_Toc185368839" w:id="333"/>
      <w:bookmarkStart w:name="_Toc185420437" w:id="334"/>
      <w:bookmarkStart w:name="_Toc185421253" w:id="335"/>
      <w:bookmarkStart w:name="_Toc185422550" w:id="336"/>
      <w:bookmarkStart w:name="_Toc185425567" w:id="337"/>
      <w:bookmarkStart w:name="_Toc185496641" w:id="338"/>
      <w:bookmarkStart w:name="_Toc185496851" w:id="339"/>
      <w:bookmarkStart w:name="_Toc185496962" w:id="340"/>
      <w:bookmarkStart w:name="_Toc185579366" w:id="341"/>
      <w:bookmarkStart w:name="_Toc192263692" w:id="342"/>
      <w:bookmarkStart w:name="_Toc200370976" w:id="343"/>
      <w:bookmarkStart w:name="_Hlk200034680" w:id="34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9D1072">
        <w:t>Discussion</w:t>
      </w:r>
      <w:bookmarkEnd w:id="341"/>
      <w:bookmarkEnd w:id="342"/>
      <w:bookmarkEnd w:id="343"/>
    </w:p>
    <w:p w:rsidR="00182E4E" w:rsidP="00D0624F" w:rsidRDefault="00A341FE" w14:paraId="6DE2654B" w14:textId="26D342D4">
      <w:pPr>
        <w:pStyle w:val="Standard"/>
      </w:pPr>
      <w:r>
        <w:t xml:space="preserve">Parties generally agree that </w:t>
      </w:r>
      <w:r w:rsidR="009D4C55">
        <w:t xml:space="preserve">non-isolating technologies, such as MSAs, can </w:t>
      </w:r>
      <w:r w:rsidR="00AC531A">
        <w:t xml:space="preserve">help customers </w:t>
      </w:r>
      <w:r w:rsidR="00C31545">
        <w:t xml:space="preserve">add </w:t>
      </w:r>
      <w:r w:rsidR="00421CEB">
        <w:t>electrification</w:t>
      </w:r>
      <w:r w:rsidR="00C31545">
        <w:t xml:space="preserve"> load</w:t>
      </w:r>
      <w:r w:rsidR="00421CEB">
        <w:t>s</w:t>
      </w:r>
      <w:r w:rsidR="00C31545">
        <w:t xml:space="preserve"> without </w:t>
      </w:r>
      <w:r w:rsidR="00216D5B">
        <w:t>panel and service upsizing</w:t>
      </w:r>
      <w:r w:rsidR="00421CEB">
        <w:t>.</w:t>
      </w:r>
      <w:r w:rsidR="006F6F03">
        <w:t xml:space="preserve"> </w:t>
      </w:r>
      <w:r w:rsidR="00CC3F98">
        <w:t xml:space="preserve">We reiterate that </w:t>
      </w:r>
      <w:r w:rsidR="006B4FF8">
        <w:t>service upsiz</w:t>
      </w:r>
      <w:r w:rsidR="00DD6F6D">
        <w:t>ing</w:t>
      </w:r>
      <w:r w:rsidR="006B4FF8">
        <w:t xml:space="preserve"> should be avoided unless necessary</w:t>
      </w:r>
      <w:r w:rsidR="00B52181">
        <w:t xml:space="preserve">. </w:t>
      </w:r>
    </w:p>
    <w:p w:rsidR="00A660A4" w:rsidP="00C8084F" w:rsidRDefault="00E26D79" w14:paraId="3E38B5BD" w14:textId="339979D3">
      <w:pPr>
        <w:pStyle w:val="Standard"/>
        <w:rPr>
          <w:b/>
          <w:bCs/>
        </w:rPr>
      </w:pPr>
      <w:r>
        <w:t xml:space="preserve">This </w:t>
      </w:r>
      <w:r w:rsidR="00A840B5">
        <w:t>d</w:t>
      </w:r>
      <w:r>
        <w:t xml:space="preserve">ecision </w:t>
      </w:r>
      <w:r w:rsidR="000C3313">
        <w:t xml:space="preserve">adopts and </w:t>
      </w:r>
      <w:r>
        <w:t>applies</w:t>
      </w:r>
      <w:r w:rsidR="00C8084F">
        <w:t xml:space="preserve"> </w:t>
      </w:r>
      <w:r w:rsidR="00D245A6">
        <w:t>all</w:t>
      </w:r>
      <w:r w:rsidRPr="00C8084F" w:rsidR="00C8084F">
        <w:t xml:space="preserve"> requirements and processes outlined in Resolution E-5194 to non-isolating devices (e.g., </w:t>
      </w:r>
      <w:r w:rsidR="003B04F3">
        <w:t>MSAs</w:t>
      </w:r>
      <w:r w:rsidRPr="00C8084F" w:rsidR="00C8084F">
        <w:t xml:space="preserve"> with expanded DER capabilities). </w:t>
      </w:r>
      <w:r w:rsidRPr="003666FB" w:rsidR="003666FB">
        <w:t>However, we clarify that we are not modifying Resolution E-5194; rather, we adopt its safety evaluation requirements—including confidentiality provisions—as the framework for evaluating non-isolating devices.</w:t>
      </w:r>
      <w:r w:rsidR="003666FB">
        <w:rPr>
          <w:b/>
          <w:bCs/>
        </w:rPr>
        <w:t xml:space="preserve"> </w:t>
      </w:r>
      <w:r w:rsidRPr="001D63C9" w:rsidR="00A660A4">
        <w:t xml:space="preserve">These confidentiality provisions </w:t>
      </w:r>
      <w:r w:rsidRPr="001D63C9" w:rsidR="002D2D55">
        <w:t xml:space="preserve">provide for safety </w:t>
      </w:r>
      <w:r w:rsidRPr="001D63C9" w:rsidR="00016C44">
        <w:t xml:space="preserve">assurances for customers </w:t>
      </w:r>
      <w:r w:rsidRPr="001D63C9" w:rsidR="00264A2E">
        <w:t>and the system</w:t>
      </w:r>
      <w:r w:rsidRPr="001D63C9" w:rsidR="00A660A4">
        <w:t xml:space="preserve"> while protecting device manufacturers’ proprietary designs and confidential data. The evaluation of non-isolating devices such as MSAs must remain subject to these same protections, including the ability to request confidential treatment for sensitive material provided during the evaluation process.</w:t>
      </w:r>
    </w:p>
    <w:p w:rsidR="00C77A88" w:rsidP="00C8084F" w:rsidRDefault="00C8084F" w14:paraId="7E05D21C" w14:textId="19D6A443">
      <w:pPr>
        <w:pStyle w:val="Standard"/>
      </w:pPr>
      <w:r w:rsidRPr="00C8084F">
        <w:t>Utilities must evaluate and approve these non-isolating devices for safety and compatibility in the same manner as the isolating devices covered by Resolution E-5194.</w:t>
      </w:r>
      <w:r>
        <w:t xml:space="preserve"> </w:t>
      </w:r>
      <w:r w:rsidR="00141BF3">
        <w:t xml:space="preserve">The funding approved in D.21-01-018 for evaluating isolating devices is extended to and authorized for evaluating non-isolating devices.  </w:t>
      </w:r>
      <w:r w:rsidR="00605891">
        <w:t>Consistent with Resolution</w:t>
      </w:r>
      <w:r w:rsidR="0023589B">
        <w:t xml:space="preserve"> E-5194</w:t>
      </w:r>
      <w:r w:rsidR="00605891">
        <w:t>,</w:t>
      </w:r>
      <w:r w:rsidR="00FE73E0">
        <w:t xml:space="preserve"> </w:t>
      </w:r>
      <w:r w:rsidR="00252CB6">
        <w:t xml:space="preserve">we clarify that </w:t>
      </w:r>
      <w:r w:rsidR="00E4342C">
        <w:t xml:space="preserve">ratepayer funding </w:t>
      </w:r>
      <w:r w:rsidR="00965BA8">
        <w:t xml:space="preserve">shall </w:t>
      </w:r>
      <w:r w:rsidR="00E4342C">
        <w:t xml:space="preserve">be strictly </w:t>
      </w:r>
      <w:r w:rsidR="00DF5B2A">
        <w:t xml:space="preserve">limited </w:t>
      </w:r>
      <w:r w:rsidR="00E4342C">
        <w:t>to evaluat</w:t>
      </w:r>
      <w:r w:rsidR="002C7480">
        <w:t>ing</w:t>
      </w:r>
      <w:r w:rsidR="00E4342C">
        <w:t xml:space="preserve"> devices</w:t>
      </w:r>
      <w:r w:rsidR="00252CB6">
        <w:t xml:space="preserve"> </w:t>
      </w:r>
      <w:r w:rsidR="0004733B">
        <w:t>located</w:t>
      </w:r>
      <w:r w:rsidR="00252CB6">
        <w:t xml:space="preserve"> upstream from a customer’s main </w:t>
      </w:r>
      <w:r w:rsidR="00252CB6">
        <w:lastRenderedPageBreak/>
        <w:t>electrical disconnection point and</w:t>
      </w:r>
      <w:r w:rsidR="00E4342C">
        <w:t xml:space="preserve"> requir</w:t>
      </w:r>
      <w:r w:rsidR="0004733B">
        <w:t>ing</w:t>
      </w:r>
      <w:r w:rsidR="00E4342C">
        <w:t xml:space="preserve"> explicit </w:t>
      </w:r>
      <w:r w:rsidR="005D3082">
        <w:t xml:space="preserve">utility </w:t>
      </w:r>
      <w:r w:rsidR="00E4342C">
        <w:t>approval for deployment.</w:t>
      </w:r>
      <w:r w:rsidR="0052782D">
        <w:t xml:space="preserve"> </w:t>
      </w:r>
    </w:p>
    <w:p w:rsidR="007A6BD6" w:rsidP="00C8084F" w:rsidRDefault="00C91D4C" w14:paraId="5D97ACF5" w14:textId="6CBC2DBC">
      <w:pPr>
        <w:pStyle w:val="Standard"/>
      </w:pPr>
      <w:r>
        <w:t>We a</w:t>
      </w:r>
      <w:r w:rsidR="003B04F3">
        <w:t>re persuade</w:t>
      </w:r>
      <w:r w:rsidR="00E52271">
        <w:t>d</w:t>
      </w:r>
      <w:r w:rsidR="003B04F3">
        <w:t xml:space="preserve"> by</w:t>
      </w:r>
      <w:r>
        <w:t xml:space="preserve"> SCE that customer</w:t>
      </w:r>
      <w:r w:rsidR="00870AB7">
        <w:t xml:space="preserve">-owned and operated </w:t>
      </w:r>
      <w:r w:rsidR="0004733B">
        <w:t xml:space="preserve">equipment </w:t>
      </w:r>
      <w:r w:rsidR="00870AB7">
        <w:t>not interfac</w:t>
      </w:r>
      <w:r w:rsidR="0004733B">
        <w:t>ing</w:t>
      </w:r>
      <w:r w:rsidR="00870AB7">
        <w:t xml:space="preserve"> </w:t>
      </w:r>
      <w:r w:rsidR="00A43487">
        <w:t xml:space="preserve">directly </w:t>
      </w:r>
      <w:r w:rsidR="00870AB7">
        <w:t xml:space="preserve">with </w:t>
      </w:r>
      <w:r w:rsidR="00550CD7">
        <w:t>a</w:t>
      </w:r>
      <w:r w:rsidR="00870AB7">
        <w:t xml:space="preserve"> utility </w:t>
      </w:r>
      <w:r>
        <w:t>meter should not be evaluated via the Resolution E-5194 process.</w:t>
      </w:r>
      <w:r w:rsidR="008663FE">
        <w:t xml:space="preserve"> However, customer-owned </w:t>
      </w:r>
      <w:r w:rsidR="00F0437A">
        <w:t>equipment that</w:t>
      </w:r>
      <w:r w:rsidR="008663FE">
        <w:t xml:space="preserve"> </w:t>
      </w:r>
      <w:r w:rsidR="00550CD7">
        <w:t xml:space="preserve">does </w:t>
      </w:r>
      <w:r w:rsidR="008663FE">
        <w:t>interface</w:t>
      </w:r>
      <w:r w:rsidR="001200DB">
        <w:t xml:space="preserve"> directly</w:t>
      </w:r>
      <w:r w:rsidR="008663FE">
        <w:t xml:space="preserve"> with utility equipment, </w:t>
      </w:r>
      <w:r w:rsidR="000D3D57">
        <w:t xml:space="preserve">such as MSAs, </w:t>
      </w:r>
      <w:r w:rsidR="00A87CC4">
        <w:t>remains</w:t>
      </w:r>
      <w:r w:rsidR="00F75C57">
        <w:t xml:space="preserve"> subject to evaluation</w:t>
      </w:r>
      <w:r w:rsidR="001200DB">
        <w:t xml:space="preserve"> via the Resolution E-5194 process.</w:t>
      </w:r>
      <w:r w:rsidR="007226E3">
        <w:t xml:space="preserve"> </w:t>
      </w:r>
    </w:p>
    <w:p w:rsidR="00A52732" w:rsidP="0095679C" w:rsidRDefault="006B1601" w14:paraId="7DA9AD14" w14:textId="526C6B4B">
      <w:pPr>
        <w:pStyle w:val="Standard"/>
      </w:pPr>
      <w:r>
        <w:t xml:space="preserve">We decline to narrow the </w:t>
      </w:r>
      <w:r w:rsidR="00A35F7F">
        <w:t>eligibility of devices qualify</w:t>
      </w:r>
      <w:r w:rsidR="00F0437A">
        <w:t>ing</w:t>
      </w:r>
      <w:r w:rsidR="00A35F7F">
        <w:t xml:space="preserve"> for evaluation testing in Resolution E-5194 to apply</w:t>
      </w:r>
      <w:r w:rsidR="007226E3">
        <w:t xml:space="preserve"> </w:t>
      </w:r>
      <w:r w:rsidR="00A35F7F">
        <w:t>to MSAs</w:t>
      </w:r>
      <w:r w:rsidR="00530339">
        <w:t xml:space="preserve"> only</w:t>
      </w:r>
      <w:r w:rsidR="00C425B0">
        <w:t>.</w:t>
      </w:r>
      <w:r w:rsidR="00985AB0">
        <w:t xml:space="preserve"> </w:t>
      </w:r>
      <w:r w:rsidR="00966EB6">
        <w:t xml:space="preserve">Resolution E-5194 </w:t>
      </w:r>
      <w:r w:rsidR="000E7993">
        <w:t>remain</w:t>
      </w:r>
      <w:r w:rsidR="00B5198C">
        <w:t>s</w:t>
      </w:r>
      <w:r w:rsidR="000E7993">
        <w:t xml:space="preserve"> neutral</w:t>
      </w:r>
      <w:r w:rsidR="007571DF">
        <w:t xml:space="preserve"> on form factor of technologies to be </w:t>
      </w:r>
      <w:r w:rsidR="00DC1309">
        <w:t>evaluated,</w:t>
      </w:r>
      <w:r w:rsidR="004C69E7">
        <w:t xml:space="preserve"> </w:t>
      </w:r>
      <w:r w:rsidR="006F5E7E">
        <w:t>and remains so</w:t>
      </w:r>
      <w:r w:rsidR="00956046">
        <w:t>,</w:t>
      </w:r>
      <w:r w:rsidR="004C69E7">
        <w:t xml:space="preserve"> with the inclusion of non-isolating devices. While most of the </w:t>
      </w:r>
      <w:r w:rsidR="00C33128">
        <w:t>non-isolating technologies currently available are MSAs, we do not preclude future</w:t>
      </w:r>
      <w:r w:rsidR="00982ADE">
        <w:t xml:space="preserve"> not-yet-known</w:t>
      </w:r>
      <w:r w:rsidR="00C33128">
        <w:t xml:space="preserve"> technologies from </w:t>
      </w:r>
      <w:r w:rsidR="00982ADE">
        <w:t>being able to participate in this evaluation process.</w:t>
      </w:r>
      <w:r w:rsidR="0095679C">
        <w:t xml:space="preserve"> But </w:t>
      </w:r>
      <w:r w:rsidR="00C00849">
        <w:t>for these</w:t>
      </w:r>
      <w:r w:rsidR="00FE31E2">
        <w:t xml:space="preserve"> non-isolating devices</w:t>
      </w:r>
      <w:r w:rsidR="0095679C">
        <w:t>,</w:t>
      </w:r>
      <w:r w:rsidR="00AF2660">
        <w:t xml:space="preserve"> only devices that enable decarbonization</w:t>
      </w:r>
      <w:r w:rsidR="0095679C">
        <w:t xml:space="preserve"> shall be eligible</w:t>
      </w:r>
      <w:r w:rsidR="00C00849">
        <w:t xml:space="preserve"> for the evaluation process</w:t>
      </w:r>
      <w:r w:rsidRPr="00402814" w:rsidR="00402814">
        <w:t xml:space="preserve">, </w:t>
      </w:r>
      <w:r w:rsidR="0095679C">
        <w:t>thus</w:t>
      </w:r>
      <w:r w:rsidRPr="00402814" w:rsidR="00402814">
        <w:t xml:space="preserve"> ensur</w:t>
      </w:r>
      <w:r w:rsidR="0095679C">
        <w:t>ing</w:t>
      </w:r>
      <w:r w:rsidRPr="00402814" w:rsidR="00402814">
        <w:t xml:space="preserve"> that utility resources are dedicated specifically toward facilitating C</w:t>
      </w:r>
      <w:r w:rsidR="006F5E7E">
        <w:t>alifornia</w:t>
      </w:r>
      <w:r w:rsidRPr="00402814" w:rsidR="00402814">
        <w:t>’s decarbonization goals</w:t>
      </w:r>
      <w:r w:rsidR="005362BB">
        <w:t xml:space="preserve">. </w:t>
      </w:r>
      <w:r w:rsidR="004D567D">
        <w:t>These include</w:t>
      </w:r>
      <w:r w:rsidRPr="005B364E" w:rsidR="005B364E">
        <w:t>, but are not limited to,</w:t>
      </w:r>
      <w:r w:rsidR="004D567D">
        <w:t xml:space="preserve"> devices that enable </w:t>
      </w:r>
      <w:r w:rsidR="004E5BE1">
        <w:t>the</w:t>
      </w:r>
      <w:r w:rsidR="004D567D">
        <w:t xml:space="preserve"> addition of energy storage, solar </w:t>
      </w:r>
      <w:r w:rsidR="001C7A41">
        <w:t>panels</w:t>
      </w:r>
      <w:r w:rsidR="004D567D">
        <w:t xml:space="preserve">, </w:t>
      </w:r>
      <w:r w:rsidR="00AC20E7">
        <w:t>electric appliance loads, and EV charging.</w:t>
      </w:r>
    </w:p>
    <w:p w:rsidR="00025E72" w:rsidP="001B1D2B" w:rsidRDefault="002D6349" w14:paraId="5D48F0FF" w14:textId="7603014A">
      <w:pPr>
        <w:pStyle w:val="Standard"/>
      </w:pPr>
      <w:r>
        <w:t>W</w:t>
      </w:r>
      <w:r w:rsidRPr="002D6349">
        <w:t xml:space="preserve">e </w:t>
      </w:r>
      <w:r w:rsidR="0075151D">
        <w:t>reject</w:t>
      </w:r>
      <w:r>
        <w:t xml:space="preserve"> </w:t>
      </w:r>
      <w:r w:rsidRPr="002D6349">
        <w:t>CALSSA</w:t>
      </w:r>
      <w:r>
        <w:t>’s</w:t>
      </w:r>
      <w:r w:rsidRPr="002D6349">
        <w:t xml:space="preserve"> p</w:t>
      </w:r>
      <w:r w:rsidR="005A1DF7">
        <w:t>roposal to</w:t>
      </w:r>
      <w:r w:rsidR="0088542F">
        <w:t xml:space="preserve"> </w:t>
      </w:r>
      <w:r w:rsidR="00A2746D">
        <w:t>develop</w:t>
      </w:r>
      <w:r w:rsidR="001D7077">
        <w:t xml:space="preserve"> a criteria-based evaluation</w:t>
      </w:r>
      <w:r w:rsidR="0088542F">
        <w:t xml:space="preserve">. </w:t>
      </w:r>
      <w:r w:rsidR="003D0A55">
        <w:t>CALSSA expresses concerns that testing is duplicative and unreasonably long</w:t>
      </w:r>
      <w:r w:rsidR="00106B34">
        <w:t>,</w:t>
      </w:r>
      <w:r w:rsidR="003D0A55">
        <w:t xml:space="preserve"> especially for products certified by a testing laboratory. </w:t>
      </w:r>
    </w:p>
    <w:p w:rsidR="005A64BD" w:rsidP="001B1D2B" w:rsidRDefault="002240AC" w14:paraId="21D494BC" w14:textId="2B54944B">
      <w:pPr>
        <w:pStyle w:val="Standard"/>
      </w:pPr>
      <w:r>
        <w:t>T</w:t>
      </w:r>
      <w:r w:rsidR="00C05A41">
        <w:t>he</w:t>
      </w:r>
      <w:r w:rsidR="00635402">
        <w:t xml:space="preserve"> Resolution E-5194 </w:t>
      </w:r>
      <w:r w:rsidR="00A23108">
        <w:t xml:space="preserve">process </w:t>
      </w:r>
      <w:r w:rsidR="001E2092">
        <w:t xml:space="preserve">we adopt today </w:t>
      </w:r>
      <w:r w:rsidR="00B34E59">
        <w:t xml:space="preserve">for </w:t>
      </w:r>
      <w:r w:rsidRPr="001F0D09" w:rsidR="001F0D09">
        <w:t xml:space="preserve">non-isolating devices </w:t>
      </w:r>
      <w:r w:rsidR="00551EFA">
        <w:t>addresses scenarios</w:t>
      </w:r>
      <w:r w:rsidR="00635402">
        <w:t xml:space="preserve"> where a formal evaluation standard does not yet exist, or where the use of a device in a utility’s system is not adequately addressed in the </w:t>
      </w:r>
      <w:r w:rsidR="00635402">
        <w:lastRenderedPageBreak/>
        <w:t xml:space="preserve">device </w:t>
      </w:r>
      <w:r w:rsidR="00B5198C">
        <w:t xml:space="preserve">testing </w:t>
      </w:r>
      <w:r w:rsidR="00635402">
        <w:t>standard.</w:t>
      </w:r>
      <w:r w:rsidR="00D86987">
        <w:rPr>
          <w:rStyle w:val="FootnoteReference"/>
        </w:rPr>
        <w:footnoteReference w:id="91"/>
      </w:r>
      <w:r w:rsidR="00FD01E5">
        <w:t xml:space="preserve"> Resolution</w:t>
      </w:r>
      <w:r w:rsidRPr="004A4800" w:rsidR="004A4800">
        <w:t xml:space="preserve"> </w:t>
      </w:r>
      <w:r w:rsidR="004A4800">
        <w:t>E-5194</w:t>
      </w:r>
      <w:r w:rsidR="007652F9">
        <w:t xml:space="preserve"> acknowledges </w:t>
      </w:r>
      <w:r w:rsidR="00A20B54">
        <w:t xml:space="preserve">that </w:t>
      </w:r>
      <w:r w:rsidR="00FD01E5">
        <w:t xml:space="preserve">Nationally Recognized Testing Laboratory </w:t>
      </w:r>
      <w:r w:rsidR="00056CFA">
        <w:t>“</w:t>
      </w:r>
      <w:r w:rsidR="00FD01E5">
        <w:t>certification to applicable national safety standards does not address compatibility with a utility’s equipment, standards, or operations.”</w:t>
      </w:r>
      <w:r w:rsidR="00FD01E5">
        <w:rPr>
          <w:rStyle w:val="FootnoteReference"/>
        </w:rPr>
        <w:footnoteReference w:id="92"/>
      </w:r>
      <w:r w:rsidR="00B563F2">
        <w:t xml:space="preserve"> Resolution</w:t>
      </w:r>
      <w:r w:rsidR="00224DBC">
        <w:t xml:space="preserve"> E-5194</w:t>
      </w:r>
      <w:r w:rsidR="00B563F2">
        <w:t xml:space="preserve"> requires </w:t>
      </w:r>
      <w:r w:rsidR="00E32AA9">
        <w:t xml:space="preserve">the large </w:t>
      </w:r>
      <w:r w:rsidR="007A22C3">
        <w:t xml:space="preserve">electric utilities </w:t>
      </w:r>
      <w:r w:rsidR="00B563F2">
        <w:t xml:space="preserve">to have a clear purpose for any additional testing </w:t>
      </w:r>
      <w:r w:rsidR="00E126FD">
        <w:t xml:space="preserve">beyond that required by a </w:t>
      </w:r>
      <w:r w:rsidR="00D0263D">
        <w:t>Nationally Recognized Testing Laboratory</w:t>
      </w:r>
      <w:r w:rsidR="001E3115">
        <w:t>,</w:t>
      </w:r>
      <w:r w:rsidR="00E126FD">
        <w:t xml:space="preserve"> and to define the criteria or thresholds for </w:t>
      </w:r>
      <w:r w:rsidR="00CE037C">
        <w:t>passing these tests.</w:t>
      </w:r>
      <w:r w:rsidR="00D87574">
        <w:rPr>
          <w:rStyle w:val="FootnoteReference"/>
        </w:rPr>
        <w:footnoteReference w:id="93"/>
      </w:r>
      <w:r w:rsidR="00936842">
        <w:t xml:space="preserve"> </w:t>
      </w:r>
      <w:r w:rsidR="00F664BF">
        <w:t>The</w:t>
      </w:r>
      <w:r w:rsidR="005A64BD">
        <w:t xml:space="preserve"> claims of duplicative testing</w:t>
      </w:r>
      <w:r w:rsidR="00BF6C70">
        <w:t xml:space="preserve"> are </w:t>
      </w:r>
      <w:r w:rsidR="006710CA">
        <w:t xml:space="preserve">unsupported by </w:t>
      </w:r>
      <w:r w:rsidR="005A64BD">
        <w:t xml:space="preserve">specific examples of either </w:t>
      </w:r>
      <w:r w:rsidR="00D0263D">
        <w:t>Nationally Recognized Testing Laboratory</w:t>
      </w:r>
      <w:r w:rsidDel="00D0263D" w:rsidR="00D0263D">
        <w:t xml:space="preserve"> </w:t>
      </w:r>
      <w:r w:rsidR="005A64BD">
        <w:t xml:space="preserve">or other </w:t>
      </w:r>
      <w:r w:rsidR="007A22C3">
        <w:t xml:space="preserve">utility </w:t>
      </w:r>
      <w:r w:rsidR="005A64BD">
        <w:t>testing.</w:t>
      </w:r>
    </w:p>
    <w:p w:rsidR="0006020A" w:rsidP="00C56848" w:rsidRDefault="00D663F1" w14:paraId="5864FEC8" w14:textId="685BF721">
      <w:pPr>
        <w:pStyle w:val="Standard"/>
      </w:pPr>
      <w:r>
        <w:t xml:space="preserve">Furthermore, pursuing criteria-based evaluation would </w:t>
      </w:r>
      <w:r w:rsidR="00DC1033">
        <w:t>necessitate</w:t>
      </w:r>
      <w:r>
        <w:t xml:space="preserve"> developing appropriate criteria, which may unnecessarily delay evaluation of devices under the currently approved process.</w:t>
      </w:r>
    </w:p>
    <w:p w:rsidR="00D663F1" w:rsidP="009E515D" w:rsidRDefault="00084FF9" w14:paraId="66DBC9D9" w14:textId="35E896D2">
      <w:pPr>
        <w:pStyle w:val="Standard"/>
      </w:pPr>
      <w:r>
        <w:t xml:space="preserve">We </w:t>
      </w:r>
      <w:r w:rsidR="000A3891">
        <w:t xml:space="preserve">reject </w:t>
      </w:r>
      <w:r>
        <w:t xml:space="preserve">SPUR’s request to direct </w:t>
      </w:r>
      <w:r w:rsidR="008B0C68">
        <w:t xml:space="preserve">the </w:t>
      </w:r>
      <w:r w:rsidR="002175BA">
        <w:t xml:space="preserve">large </w:t>
      </w:r>
      <w:r w:rsidR="007A22C3">
        <w:t xml:space="preserve">electric utilities </w:t>
      </w:r>
      <w:r>
        <w:t>to authorize any devices meet</w:t>
      </w:r>
      <w:r w:rsidR="00103C4E">
        <w:t>ing</w:t>
      </w:r>
      <w:r>
        <w:t xml:space="preserve"> a minimum set of specifications</w:t>
      </w:r>
      <w:r w:rsidR="00631E03">
        <w:t>,</w:t>
      </w:r>
      <w:r w:rsidR="0067030F">
        <w:t xml:space="preserve"> as</w:t>
      </w:r>
      <w:r>
        <w:t xml:space="preserve"> </w:t>
      </w:r>
      <w:r w:rsidR="00B46B07">
        <w:t xml:space="preserve">there is </w:t>
      </w:r>
      <w:r w:rsidR="00391D8A">
        <w:t xml:space="preserve">insufficient </w:t>
      </w:r>
      <w:r w:rsidR="00D41490">
        <w:t xml:space="preserve">support in the record </w:t>
      </w:r>
      <w:r w:rsidR="002E6B29">
        <w:t>for</w:t>
      </w:r>
      <w:r w:rsidR="0067030F">
        <w:t xml:space="preserve"> what</w:t>
      </w:r>
      <w:r>
        <w:t xml:space="preserve"> </w:t>
      </w:r>
      <w:r w:rsidR="00607FC5">
        <w:t xml:space="preserve">these </w:t>
      </w:r>
      <w:r w:rsidR="00951A79">
        <w:t xml:space="preserve">detail </w:t>
      </w:r>
      <w:r w:rsidR="00607FC5">
        <w:t>specifications should be</w:t>
      </w:r>
      <w:r w:rsidR="00ED4225">
        <w:t xml:space="preserve">. </w:t>
      </w:r>
      <w:r w:rsidRPr="001D63C9" w:rsidR="00391D8A">
        <w:t xml:space="preserve">We acknowledge the need to </w:t>
      </w:r>
      <w:r w:rsidR="00EB7284">
        <w:t>conduct sound</w:t>
      </w:r>
      <w:r w:rsidRPr="001D63C9" w:rsidR="00391D8A">
        <w:t xml:space="preserve"> assessments and reaffirm that the Resolution E-5194 process includes defined evaluation steps and criteria developed by each utility based on safety needs. </w:t>
      </w:r>
      <w:r w:rsidR="00C4573A">
        <w:t xml:space="preserve">Although </w:t>
      </w:r>
      <w:r w:rsidRPr="00C4573A" w:rsidR="00C4573A">
        <w:t xml:space="preserve">subject to the same concerns noted above </w:t>
      </w:r>
      <w:r w:rsidR="002448D8">
        <w:t>regarding</w:t>
      </w:r>
      <w:r w:rsidRPr="00C4573A" w:rsidR="00C4573A">
        <w:t xml:space="preserve"> criteria-based evaluations</w:t>
      </w:r>
      <w:r w:rsidR="002448D8">
        <w:t>, t</w:t>
      </w:r>
      <w:r w:rsidRPr="001D63C9" w:rsidR="00391D8A">
        <w:t xml:space="preserve">his approach </w:t>
      </w:r>
      <w:r w:rsidR="00D77903">
        <w:lastRenderedPageBreak/>
        <w:t>provide</w:t>
      </w:r>
      <w:r w:rsidR="00554CC4">
        <w:t>s</w:t>
      </w:r>
      <w:r w:rsidR="00E27BE5">
        <w:t xml:space="preserve"> for</w:t>
      </w:r>
      <w:r w:rsidRPr="001D63C9" w:rsidR="00391D8A">
        <w:t xml:space="preserve"> objective thresholds</w:t>
      </w:r>
      <w:r w:rsidR="007371E6">
        <w:t xml:space="preserve"> for each evaluation</w:t>
      </w:r>
      <w:r w:rsidRPr="001D63C9" w:rsidR="00391D8A">
        <w:t>, even in the absence of uniform minimum specifications across device types</w:t>
      </w:r>
      <w:r w:rsidR="00ED4225">
        <w:t>.</w:t>
      </w:r>
    </w:p>
    <w:p w:rsidR="00DA2057" w:rsidP="009E515D" w:rsidRDefault="007174E1" w14:paraId="00031D8D" w14:textId="40F2942F">
      <w:pPr>
        <w:pStyle w:val="Standard"/>
      </w:pPr>
      <w:r>
        <w:t>Regarding the timeline to complete evaluation</w:t>
      </w:r>
      <w:r w:rsidR="00D54D73">
        <w:t>s</w:t>
      </w:r>
      <w:r>
        <w:t xml:space="preserve">, we </w:t>
      </w:r>
      <w:r w:rsidR="009E5FB9">
        <w:t xml:space="preserve">are not persuaded </w:t>
      </w:r>
      <w:r w:rsidR="000664D7">
        <w:t>by</w:t>
      </w:r>
      <w:r>
        <w:t xml:space="preserve"> SCE that </w:t>
      </w:r>
      <w:r w:rsidR="006C59F6">
        <w:t xml:space="preserve">the </w:t>
      </w:r>
      <w:r w:rsidR="002175BA">
        <w:t xml:space="preserve">large </w:t>
      </w:r>
      <w:r w:rsidR="007A22C3">
        <w:t xml:space="preserve">electric utilities </w:t>
      </w:r>
      <w:r>
        <w:t xml:space="preserve">should </w:t>
      </w:r>
      <w:r w:rsidR="005964F6">
        <w:t xml:space="preserve">be given the ability to adjust the timeframes outlined in </w:t>
      </w:r>
      <w:r w:rsidR="00807277">
        <w:t>AL</w:t>
      </w:r>
      <w:r w:rsidR="00E00453">
        <w:t xml:space="preserve"> </w:t>
      </w:r>
      <w:r w:rsidR="00170DA3">
        <w:t>4462-E-B and approved in Resolution E-5194</w:t>
      </w:r>
      <w:r w:rsidR="005F6511">
        <w:t xml:space="preserve"> </w:t>
      </w:r>
      <w:r w:rsidR="000530F5">
        <w:t xml:space="preserve">in </w:t>
      </w:r>
      <w:r w:rsidR="00416969">
        <w:t xml:space="preserve">anticipation of a </w:t>
      </w:r>
      <w:r w:rsidR="001E16E8">
        <w:t>greater</w:t>
      </w:r>
      <w:r w:rsidR="005207E1">
        <w:t xml:space="preserve"> volume of devices requiring testing. </w:t>
      </w:r>
      <w:r w:rsidR="00416969">
        <w:t xml:space="preserve">SCE has not provided </w:t>
      </w:r>
      <w:r w:rsidR="00925ED3">
        <w:t>any evidence</w:t>
      </w:r>
      <w:r w:rsidR="00416969">
        <w:t xml:space="preserve"> </w:t>
      </w:r>
      <w:r w:rsidR="00B75D6C">
        <w:t>that</w:t>
      </w:r>
      <w:r w:rsidR="00416969">
        <w:t xml:space="preserve"> 90 calendar days</w:t>
      </w:r>
      <w:r w:rsidR="00DA0A7A">
        <w:t xml:space="preserve"> </w:t>
      </w:r>
      <w:r w:rsidR="00B75D6C">
        <w:t>is</w:t>
      </w:r>
      <w:r w:rsidR="00DA0A7A">
        <w:t xml:space="preserve"> insufficient. </w:t>
      </w:r>
      <w:r w:rsidR="00C425EC">
        <w:t>We find PG&amp;E’s request</w:t>
      </w:r>
      <w:r w:rsidR="00CA0CCC">
        <w:t xml:space="preserve"> that </w:t>
      </w:r>
      <w:r w:rsidR="00732722">
        <w:t xml:space="preserve">the </w:t>
      </w:r>
      <w:r w:rsidR="00B61DF0">
        <w:t xml:space="preserve">large </w:t>
      </w:r>
      <w:r w:rsidR="007A22C3">
        <w:t>electric utilities</w:t>
      </w:r>
      <w:r w:rsidR="00732722">
        <w:t xml:space="preserve"> be given</w:t>
      </w:r>
      <w:r w:rsidR="00CA0CCC">
        <w:t xml:space="preserve"> more time to complete evaluations under specific scenarios</w:t>
      </w:r>
      <w:r w:rsidR="00B42752">
        <w:t>,</w:t>
      </w:r>
      <w:r w:rsidR="00B353E5">
        <w:t xml:space="preserve"> </w:t>
      </w:r>
      <w:r w:rsidR="00F01EE4">
        <w:t xml:space="preserve">such as a large </w:t>
      </w:r>
      <w:r w:rsidR="00A5753F">
        <w:t>and sudden</w:t>
      </w:r>
      <w:r w:rsidR="00F01EE4">
        <w:t xml:space="preserve"> influx of </w:t>
      </w:r>
      <w:r w:rsidR="00FB679A">
        <w:t>device evaluation requests,</w:t>
      </w:r>
      <w:r w:rsidR="00B353E5">
        <w:t xml:space="preserve"> to be</w:t>
      </w:r>
      <w:r w:rsidR="00CA0CCC">
        <w:t xml:space="preserve"> more reasonable</w:t>
      </w:r>
      <w:r w:rsidR="00A419AD">
        <w:t>.</w:t>
      </w:r>
      <w:r w:rsidR="00836032">
        <w:t xml:space="preserve"> </w:t>
      </w:r>
      <w:r w:rsidR="00CE287E">
        <w:t>T</w:t>
      </w:r>
      <w:r w:rsidR="00836032">
        <w:t>herefore</w:t>
      </w:r>
      <w:r w:rsidR="00CE287E">
        <w:t xml:space="preserve">, </w:t>
      </w:r>
      <w:r w:rsidR="008A5D92">
        <w:t>on a specific scenario-by-scenario basis</w:t>
      </w:r>
      <w:r w:rsidR="00056CFA">
        <w:t xml:space="preserve">, </w:t>
      </w:r>
      <w:r w:rsidR="008A5D92">
        <w:t xml:space="preserve">the </w:t>
      </w:r>
      <w:r w:rsidR="00026FCD">
        <w:t xml:space="preserve">large electric </w:t>
      </w:r>
      <w:r w:rsidR="008A5D92">
        <w:t xml:space="preserve">utilities may </w:t>
      </w:r>
      <w:r w:rsidR="001969B9">
        <w:t>request more time to complete an evaluation</w:t>
      </w:r>
      <w:r w:rsidR="00E115A2">
        <w:t xml:space="preserve">, after consultation with Energy Division </w:t>
      </w:r>
      <w:r w:rsidR="005F63DC">
        <w:t>S</w:t>
      </w:r>
      <w:r w:rsidR="00E115A2">
        <w:t xml:space="preserve">taff. </w:t>
      </w:r>
      <w:r w:rsidR="003B0317">
        <w:t xml:space="preserve">Utilities shall </w:t>
      </w:r>
      <w:r w:rsidR="004950DD">
        <w:t>submit</w:t>
      </w:r>
      <w:r w:rsidR="003B0317">
        <w:t xml:space="preserve"> a </w:t>
      </w:r>
      <w:r w:rsidR="00B13BAA">
        <w:t xml:space="preserve">Tier 1 </w:t>
      </w:r>
      <w:r w:rsidR="00807277">
        <w:t>A</w:t>
      </w:r>
      <w:r w:rsidR="00771BAD">
        <w:t>dvice Letter</w:t>
      </w:r>
      <w:r w:rsidR="00B13BAA">
        <w:t xml:space="preserve"> </w:t>
      </w:r>
      <w:r w:rsidR="00084C00">
        <w:t>spe</w:t>
      </w:r>
      <w:r w:rsidR="00EB4465">
        <w:t>cifying the reason for this</w:t>
      </w:r>
      <w:r w:rsidR="001B05F2">
        <w:t xml:space="preserve"> extended evaluation time</w:t>
      </w:r>
      <w:r w:rsidR="00AA3619">
        <w:t xml:space="preserve">frame </w:t>
      </w:r>
      <w:r w:rsidR="006A7A4B">
        <w:t>request</w:t>
      </w:r>
      <w:r w:rsidR="00AA3619">
        <w:t xml:space="preserve"> </w:t>
      </w:r>
      <w:r w:rsidR="00D669F5">
        <w:t xml:space="preserve">for a specific device </w:t>
      </w:r>
      <w:r w:rsidR="00AA3619">
        <w:t xml:space="preserve">and </w:t>
      </w:r>
      <w:r w:rsidR="00226C44">
        <w:t xml:space="preserve">the </w:t>
      </w:r>
      <w:r w:rsidR="00D669F5">
        <w:t xml:space="preserve">new expected timeframe for </w:t>
      </w:r>
      <w:r w:rsidR="004F4855">
        <w:t>completing the</w:t>
      </w:r>
      <w:r w:rsidR="00D669F5">
        <w:t xml:space="preserve"> </w:t>
      </w:r>
      <w:r w:rsidR="004F4855">
        <w:t xml:space="preserve">safety </w:t>
      </w:r>
      <w:r w:rsidR="00D669F5">
        <w:t>evaluation</w:t>
      </w:r>
      <w:r w:rsidR="004F4855">
        <w:t xml:space="preserve"> process</w:t>
      </w:r>
      <w:r w:rsidR="004778FE">
        <w:t xml:space="preserve">. </w:t>
      </w:r>
    </w:p>
    <w:p w:rsidR="00607A79" w:rsidP="009E515D" w:rsidRDefault="000F11BD" w14:paraId="0B35369B" w14:textId="4881B2E8">
      <w:pPr>
        <w:pStyle w:val="Standard"/>
      </w:pPr>
      <w:r>
        <w:t>C</w:t>
      </w:r>
      <w:r w:rsidRPr="00A37451" w:rsidR="00DA66FD">
        <w:t>onsistent with Resolution E-5194</w:t>
      </w:r>
      <w:r w:rsidR="00C742BD">
        <w:t xml:space="preserve">, we decline to </w:t>
      </w:r>
      <w:r w:rsidR="00164ED0">
        <w:t>adopt a time limit for the large electric utilities to conduct the field o</w:t>
      </w:r>
      <w:r w:rsidR="00760A7C">
        <w:t>r</w:t>
      </w:r>
      <w:r w:rsidR="00164ED0">
        <w:t xml:space="preserve"> pilot testing portion of the safety evaluation process</w:t>
      </w:r>
      <w:r>
        <w:t>, but we do expect them to work expeditiously</w:t>
      </w:r>
      <w:r w:rsidR="00093005">
        <w:t xml:space="preserve"> to complete the evaluation process</w:t>
      </w:r>
      <w:r w:rsidR="00A237A4">
        <w:t xml:space="preserve">. </w:t>
      </w:r>
    </w:p>
    <w:p w:rsidR="00391D8A" w:rsidP="009E515D" w:rsidRDefault="00391D8A" w14:paraId="5299A8B0" w14:textId="3C4FEE8A">
      <w:pPr>
        <w:pStyle w:val="Standard"/>
      </w:pPr>
      <w:r w:rsidRPr="003666FB">
        <w:t xml:space="preserve">In response to comments by PG&amp;E, we </w:t>
      </w:r>
      <w:r w:rsidRPr="00EA3F61" w:rsidR="00EA3F61">
        <w:t>adopt PG&amp;E’s proposal to retain confidentiality protections</w:t>
      </w:r>
      <w:r w:rsidR="00EA3F61">
        <w:t>.</w:t>
      </w:r>
      <w:r w:rsidRPr="00EA3F61" w:rsidR="00EA3F61">
        <w:t xml:space="preserve"> </w:t>
      </w:r>
      <w:r w:rsidRPr="003666FB">
        <w:t xml:space="preserve">PG&amp;E raised reasonable concerns that requiring quarterly updates and final device-specific evaluation reports to be publicly posted could compromise confidentiality agreements with manufacturers and deter their participation. We agree that ensuring manufacturer transparency and protection of proprietary information is vital to safety and innovation. Therefore, </w:t>
      </w:r>
      <w:r w:rsidRPr="003666FB">
        <w:lastRenderedPageBreak/>
        <w:t>we adopt PG&amp;E’s proposal to maintain the confidentiality protections set forth in Resolution E-5194.</w:t>
      </w:r>
    </w:p>
    <w:p w:rsidRPr="003971FA" w:rsidR="003971FA" w:rsidP="003971FA" w:rsidRDefault="003971FA" w14:paraId="052E5B7A" w14:textId="32B939BC">
      <w:pPr>
        <w:pStyle w:val="Standard"/>
      </w:pPr>
      <w:r w:rsidRPr="003971FA">
        <w:t>We also adopt PG&amp;E’s proposal for a public-facing website t</w:t>
      </w:r>
      <w:r w:rsidR="0049163B">
        <w:t xml:space="preserve">hat will </w:t>
      </w:r>
      <w:r w:rsidR="00E46A10">
        <w:t>provide</w:t>
      </w:r>
      <w:r w:rsidRPr="003971FA">
        <w:t xml:space="preserve"> transparency without compromising confidential information. Each utility shall create and maintain a website specific to non-isolating and isolating devices. The website shall include a list of approved devices, user-friendly explanations of the testing and evaluation processes, and a portal for customers to request MSA installations. In addition, the site shall contain an FAQ section for device manufacturers highlighting the types of tests conducted, key considerations, and common areas of failure (to the extent such general trends are available). This targeted and secure transparency mechanism will help provide market certainty without jeopardizing manufacturers’ proprietary data or creating competitive disadvantages.</w:t>
      </w:r>
    </w:p>
    <w:p w:rsidR="00607A79" w:rsidP="009E515D" w:rsidRDefault="00E97075" w14:paraId="5A165D13" w14:textId="7B3A4FAA">
      <w:pPr>
        <w:pStyle w:val="Standard"/>
      </w:pPr>
      <w:r>
        <w:t>T</w:t>
      </w:r>
      <w:r w:rsidR="006748E6">
        <w:t>he large electric utilities</w:t>
      </w:r>
      <w:r w:rsidR="00254316">
        <w:t xml:space="preserve">, </w:t>
      </w:r>
      <w:r w:rsidRPr="00A37451" w:rsidR="00254316">
        <w:t>jointly with the device supplier,</w:t>
      </w:r>
      <w:r w:rsidR="006748E6">
        <w:t xml:space="preserve"> shall</w:t>
      </w:r>
      <w:r w:rsidR="00F57F03">
        <w:t xml:space="preserve"> </w:t>
      </w:r>
      <w:r w:rsidR="005E5BB4">
        <w:t>file</w:t>
      </w:r>
      <w:r w:rsidR="00607A79">
        <w:t xml:space="preserve"> and serve</w:t>
      </w:r>
      <w:r w:rsidRPr="00E64CC0" w:rsidR="00E64CC0">
        <w:t xml:space="preserve"> on the service lists of this proceeding and R.19-09-009</w:t>
      </w:r>
      <w:r w:rsidR="007F0216">
        <w:t xml:space="preserve"> </w:t>
      </w:r>
      <w:r w:rsidR="00852746">
        <w:t>a</w:t>
      </w:r>
      <w:r w:rsidR="00E07E19">
        <w:t xml:space="preserve"> Compliance F</w:t>
      </w:r>
      <w:r w:rsidR="00852746">
        <w:t>iling</w:t>
      </w:r>
      <w:r w:rsidRPr="00E64CC0" w:rsidR="00E64CC0">
        <w:t xml:space="preserve">, with copies emailed to the Commission’s Energy Division at energydivisioncentralfiles@cpuc.ca.gov and </w:t>
      </w:r>
      <w:r w:rsidRPr="001D63C9" w:rsidR="00170471">
        <w:t>buildingdecarb@cpuc.ca.gov</w:t>
      </w:r>
      <w:r w:rsidR="0087753E">
        <w:t>:</w:t>
      </w:r>
    </w:p>
    <w:p w:rsidR="00A42301" w:rsidP="001D63C9" w:rsidRDefault="00F57F03" w14:paraId="088A2625" w14:textId="77777777">
      <w:pPr>
        <w:pStyle w:val="Standard"/>
        <w:spacing w:line="240" w:lineRule="auto"/>
        <w:ind w:left="1080" w:right="1800" w:hanging="360"/>
      </w:pPr>
      <w:r w:rsidRPr="00F57F03">
        <w:t xml:space="preserve">(1) when a utility terminates the evaluation process for an electrical isolation device or technology without approving the device or technology for deployment, and </w:t>
      </w:r>
    </w:p>
    <w:p w:rsidR="00A42301" w:rsidP="00A42301" w:rsidRDefault="00F57F03" w14:paraId="785D273A" w14:textId="77777777">
      <w:pPr>
        <w:pStyle w:val="Standard"/>
        <w:spacing w:line="240" w:lineRule="auto"/>
        <w:ind w:left="1080" w:right="1800" w:hanging="360"/>
      </w:pPr>
      <w:r w:rsidRPr="00F57F03">
        <w:t>(2) when a product has been in the evaluation process for longer than six months and both the utility and the supplier agree that progress toward completion of the evaluation process has ceased</w:t>
      </w:r>
      <w:r w:rsidRPr="005D0D12">
        <w:t>.</w:t>
      </w:r>
      <w:r w:rsidRPr="005D0D12" w:rsidR="00584232">
        <w:t xml:space="preserve"> </w:t>
      </w:r>
    </w:p>
    <w:p w:rsidR="00607A79" w:rsidP="009E515D" w:rsidRDefault="00607A79" w14:paraId="23870FE5" w14:textId="14ABDAD5">
      <w:pPr>
        <w:pStyle w:val="Standard"/>
      </w:pPr>
    </w:p>
    <w:p w:rsidR="00EA3F61" w:rsidP="001D63C9" w:rsidRDefault="00EA3F61" w14:paraId="67E06E70" w14:textId="7C6EEF79">
      <w:pPr>
        <w:pStyle w:val="Standard"/>
        <w:ind w:firstLine="0"/>
      </w:pPr>
      <w:r w:rsidRPr="00EA3F61">
        <w:t xml:space="preserve">Nothing in this directive requires public disclosure of information deemed confidential by the utility or the supplier. </w:t>
      </w:r>
    </w:p>
    <w:p w:rsidRPr="009C77BE" w:rsidR="00FD3D0F" w:rsidP="009E515D" w:rsidRDefault="00584232" w14:paraId="26395FF7" w14:textId="1FF6D9C6">
      <w:pPr>
        <w:pStyle w:val="Standard"/>
      </w:pPr>
      <w:r>
        <w:lastRenderedPageBreak/>
        <w:t xml:space="preserve">Additionally, </w:t>
      </w:r>
      <w:r w:rsidR="00012CEE">
        <w:t>based on</w:t>
      </w:r>
      <w:r>
        <w:t xml:space="preserve"> current practice</w:t>
      </w:r>
      <w:r w:rsidR="00E72E79">
        <w:t xml:space="preserve"> for isolating devices</w:t>
      </w:r>
      <w:r>
        <w:t xml:space="preserve">, </w:t>
      </w:r>
      <w:r w:rsidRPr="00622DBF" w:rsidR="00622DBF">
        <w:t xml:space="preserve">the </w:t>
      </w:r>
      <w:r w:rsidR="00622DBF">
        <w:t>large electric utilities</w:t>
      </w:r>
      <w:r w:rsidRPr="00622DBF" w:rsidR="00622DBF">
        <w:t xml:space="preserve"> </w:t>
      </w:r>
      <w:r w:rsidR="00D537B0">
        <w:t>must</w:t>
      </w:r>
      <w:r w:rsidR="00B15524">
        <w:t xml:space="preserve"> </w:t>
      </w:r>
      <w:r w:rsidR="00C67801">
        <w:t xml:space="preserve">provide </w:t>
      </w:r>
      <w:r w:rsidRPr="00C67801" w:rsidR="00C67801">
        <w:t xml:space="preserve">updates to the Commission, upon </w:t>
      </w:r>
      <w:r w:rsidR="00391D8A">
        <w:t xml:space="preserve">Energy Division’s </w:t>
      </w:r>
      <w:r w:rsidRPr="00C67801" w:rsidR="00C67801">
        <w:t xml:space="preserve">request, of all testing and evaluation </w:t>
      </w:r>
      <w:r w:rsidRPr="00C15D0D" w:rsidR="00C67801">
        <w:t>activities</w:t>
      </w:r>
      <w:r w:rsidRPr="00C15D0D" w:rsidR="00622DBF">
        <w:t>.</w:t>
      </w:r>
      <w:r w:rsidRPr="00C15D0D" w:rsidR="00F57F03">
        <w:t xml:space="preserve"> </w:t>
      </w:r>
      <w:r w:rsidR="00925684">
        <w:t>If appropriate, t</w:t>
      </w:r>
      <w:r w:rsidR="00A0134E">
        <w:t xml:space="preserve">he large electric utilities </w:t>
      </w:r>
      <w:r w:rsidR="00925684">
        <w:t>may</w:t>
      </w:r>
      <w:r w:rsidRPr="00925684" w:rsidR="00925684">
        <w:t xml:space="preserve"> designate such updates as confidential, in accordance with Commission rules</w:t>
      </w:r>
      <w:r w:rsidR="00316F38">
        <w:t xml:space="preserve"> and the provisions set forth in </w:t>
      </w:r>
      <w:r w:rsidR="00F54A0E">
        <w:t xml:space="preserve">Resolution </w:t>
      </w:r>
      <w:r w:rsidR="00316F38">
        <w:t>E-5194</w:t>
      </w:r>
      <w:r w:rsidR="00925684">
        <w:t>.</w:t>
      </w:r>
      <w:r w:rsidRPr="00F57F03" w:rsidR="007962F7">
        <w:t xml:space="preserve"> </w:t>
      </w:r>
      <w:r w:rsidR="007962F7">
        <w:t xml:space="preserve">  </w:t>
      </w:r>
      <w:r w:rsidRPr="00F57F03" w:rsidR="00F57F03">
        <w:t xml:space="preserve"> </w:t>
      </w:r>
      <w:r w:rsidR="006748E6">
        <w:t xml:space="preserve"> </w:t>
      </w:r>
      <w:r w:rsidR="005E3B1E">
        <w:t xml:space="preserve"> </w:t>
      </w:r>
    </w:p>
    <w:p w:rsidRPr="000C28D1" w:rsidR="003C2468" w:rsidP="008402EC" w:rsidRDefault="005A21F4" w14:paraId="6125CEF0" w14:textId="110BB004">
      <w:pPr>
        <w:pStyle w:val="Standard"/>
      </w:pPr>
      <w:r w:rsidRPr="000C28D1">
        <w:t xml:space="preserve">SDG&amp;E and SCE </w:t>
      </w:r>
      <w:r w:rsidRPr="000C28D1" w:rsidR="003F4FE6">
        <w:t>are</w:t>
      </w:r>
      <w:r w:rsidRPr="000C28D1" w:rsidR="00E34E10">
        <w:t xml:space="preserve"> </w:t>
      </w:r>
      <w:r w:rsidRPr="000C28D1" w:rsidR="00352EFC">
        <w:t>correct</w:t>
      </w:r>
      <w:r w:rsidRPr="000C28D1" w:rsidR="00E34E10">
        <w:t xml:space="preserve"> in </w:t>
      </w:r>
      <w:r w:rsidRPr="000C28D1" w:rsidR="00352EFC">
        <w:t>not</w:t>
      </w:r>
      <w:r w:rsidRPr="000C28D1" w:rsidR="00E34E10">
        <w:t>ing</w:t>
      </w:r>
      <w:r w:rsidRPr="000C28D1" w:rsidR="00352EFC">
        <w:t xml:space="preserve"> </w:t>
      </w:r>
      <w:r w:rsidRPr="000C28D1" w:rsidR="00D04087">
        <w:t xml:space="preserve">the </w:t>
      </w:r>
      <w:r w:rsidRPr="000C28D1" w:rsidR="008B6870">
        <w:t>large</w:t>
      </w:r>
      <w:r w:rsidRPr="000C28D1" w:rsidR="00D04087">
        <w:t xml:space="preserve"> </w:t>
      </w:r>
      <w:r w:rsidRPr="000C28D1" w:rsidR="00B5538C">
        <w:t xml:space="preserve">electric utilities </w:t>
      </w:r>
      <w:r w:rsidRPr="000C28D1" w:rsidR="00893114">
        <w:t xml:space="preserve">must coordinate and collaborate on device evaluations. </w:t>
      </w:r>
      <w:r w:rsidRPr="000C28D1" w:rsidR="00175E9A">
        <w:t xml:space="preserve">For devices undergoing </w:t>
      </w:r>
      <w:r w:rsidRPr="000C28D1" w:rsidR="00103D20">
        <w:t>safety evaluations</w:t>
      </w:r>
      <w:r w:rsidRPr="000C28D1" w:rsidR="00103C4E">
        <w:t>:</w:t>
      </w:r>
      <w:r w:rsidRPr="000C28D1" w:rsidR="008E4AC1">
        <w:t xml:space="preserve"> </w:t>
      </w:r>
      <w:r w:rsidRPr="000C28D1" w:rsidR="007203DD">
        <w:t xml:space="preserve">the large electric </w:t>
      </w:r>
      <w:r w:rsidRPr="000C28D1" w:rsidR="008E4AC1">
        <w:t>utilities must avoid duplicative testing</w:t>
      </w:r>
      <w:r w:rsidRPr="000C28D1" w:rsidR="002B17C6">
        <w:t>, accept test results of other utilities</w:t>
      </w:r>
      <w:r w:rsidRPr="000C28D1" w:rsidR="004E2248">
        <w:t xml:space="preserve"> for tests that are “agnostic to the unique characteristics of each utility system</w:t>
      </w:r>
      <w:r w:rsidRPr="000C28D1" w:rsidR="00F36CCD">
        <w:t>”</w:t>
      </w:r>
      <w:r w:rsidRPr="000C28D1" w:rsidR="004E2248">
        <w:t xml:space="preserve"> </w:t>
      </w:r>
      <w:r w:rsidRPr="000C28D1" w:rsidR="002D5C15">
        <w:t xml:space="preserve">and </w:t>
      </w:r>
      <w:r w:rsidRPr="000C28D1" w:rsidR="007C0643">
        <w:t>Advance</w:t>
      </w:r>
      <w:r w:rsidRPr="000C28D1" w:rsidR="007F419D">
        <w:t>d</w:t>
      </w:r>
      <w:r w:rsidRPr="000C28D1" w:rsidR="00BB335B">
        <w:t xml:space="preserve"> Metering Infrastructure</w:t>
      </w:r>
      <w:r w:rsidRPr="000C28D1" w:rsidR="007779E9">
        <w:t xml:space="preserve">, </w:t>
      </w:r>
      <w:r w:rsidRPr="000C28D1" w:rsidR="0085654A">
        <w:t xml:space="preserve">and </w:t>
      </w:r>
      <w:r w:rsidRPr="000C28D1" w:rsidR="00061218">
        <w:t>coordinate where possible.</w:t>
      </w:r>
      <w:r w:rsidRPr="000C28D1" w:rsidR="00061218">
        <w:rPr>
          <w:rStyle w:val="FootnoteReference"/>
        </w:rPr>
        <w:footnoteReference w:id="94"/>
      </w:r>
      <w:r w:rsidRPr="000C28D1" w:rsidR="006808E9">
        <w:t xml:space="preserve"> </w:t>
      </w:r>
      <w:r w:rsidRPr="000C28D1" w:rsidR="008A01F7">
        <w:t xml:space="preserve">We </w:t>
      </w:r>
      <w:bookmarkStart w:name="_Hlk190975532" w:id="345"/>
      <w:r w:rsidRPr="000C28D1" w:rsidR="008A01F7">
        <w:t xml:space="preserve">also </w:t>
      </w:r>
      <w:r w:rsidR="00F907B1">
        <w:t>apply</w:t>
      </w:r>
      <w:r w:rsidRPr="000C28D1" w:rsidR="00E877AD">
        <w:t xml:space="preserve"> the direction provided in </w:t>
      </w:r>
      <w:r w:rsidRPr="000C28D1" w:rsidR="00182C03">
        <w:t>D.21-01-018</w:t>
      </w:r>
      <w:r w:rsidRPr="000C28D1" w:rsidR="00E877AD">
        <w:t xml:space="preserve"> </w:t>
      </w:r>
      <w:r w:rsidRPr="000C28D1" w:rsidR="008008FF">
        <w:t>and Resolution E-5194</w:t>
      </w:r>
      <w:bookmarkEnd w:id="345"/>
      <w:r w:rsidRPr="000C28D1" w:rsidR="00E877AD">
        <w:t xml:space="preserve"> to non-isolating device</w:t>
      </w:r>
      <w:r w:rsidRPr="000C28D1" w:rsidR="00FB0707">
        <w:t xml:space="preserve"> evaluations</w:t>
      </w:r>
      <w:r w:rsidRPr="000C28D1" w:rsidR="00103C4E">
        <w:t>:</w:t>
      </w:r>
      <w:r w:rsidRPr="000C28D1" w:rsidR="00E877AD">
        <w:t xml:space="preserve"> </w:t>
      </w:r>
      <w:r w:rsidRPr="000C28D1" w:rsidR="00FB0707">
        <w:t xml:space="preserve">the </w:t>
      </w:r>
      <w:r w:rsidRPr="000C28D1" w:rsidR="007203DD">
        <w:t xml:space="preserve">large </w:t>
      </w:r>
      <w:r w:rsidRPr="000C28D1" w:rsidR="00B5538C">
        <w:t xml:space="preserve">electric utilities </w:t>
      </w:r>
      <w:r w:rsidRPr="000C28D1" w:rsidR="00FB0707">
        <w:t xml:space="preserve">should </w:t>
      </w:r>
      <w:r w:rsidRPr="000C28D1" w:rsidR="00535CC6">
        <w:t>coordinate and collaborate</w:t>
      </w:r>
      <w:r w:rsidRPr="000C28D1" w:rsidR="008B4E35">
        <w:t xml:space="preserve"> </w:t>
      </w:r>
      <w:r w:rsidRPr="000C28D1" w:rsidR="00161BEE">
        <w:t>on their respective evaluation plans</w:t>
      </w:r>
      <w:r w:rsidRPr="000C28D1" w:rsidR="008B4E35">
        <w:t xml:space="preserve"> and </w:t>
      </w:r>
      <w:r w:rsidRPr="000C28D1" w:rsidR="00161BEE">
        <w:t xml:space="preserve">eliminate </w:t>
      </w:r>
      <w:r w:rsidRPr="000C28D1" w:rsidR="008B4E35">
        <w:t>duplicative effort</w:t>
      </w:r>
      <w:r w:rsidRPr="000C28D1" w:rsidR="00161BEE">
        <w:t>s where possible</w:t>
      </w:r>
      <w:r w:rsidRPr="000C28D1" w:rsidR="008B4E35">
        <w:t>.</w:t>
      </w:r>
      <w:r w:rsidRPr="000C28D1" w:rsidR="008B4E35">
        <w:rPr>
          <w:rStyle w:val="FootnoteReference"/>
        </w:rPr>
        <w:footnoteReference w:id="95"/>
      </w:r>
      <w:r w:rsidRPr="000C28D1" w:rsidR="008B4E35">
        <w:t xml:space="preserve"> </w:t>
      </w:r>
      <w:r w:rsidRPr="000C28D1" w:rsidR="00103D20">
        <w:t>SDG&amp;E AL 3734-E-A, PG&amp;E AL 6153-E-A, and SCE AL 4462-E-A confirmed the</w:t>
      </w:r>
      <w:r w:rsidRPr="000C28D1" w:rsidR="004D0B47">
        <w:t xml:space="preserve"> large electric</w:t>
      </w:r>
      <w:r w:rsidRPr="000C28D1" w:rsidR="00103D20">
        <w:t xml:space="preserve"> </w:t>
      </w:r>
      <w:r w:rsidRPr="000C28D1" w:rsidR="00B5538C">
        <w:t xml:space="preserve">utilities </w:t>
      </w:r>
      <w:r w:rsidRPr="000C28D1" w:rsidR="00103D20">
        <w:t xml:space="preserve">will accept the results of </w:t>
      </w:r>
      <w:r w:rsidRPr="000C28D1" w:rsidR="00FF31BE">
        <w:t xml:space="preserve">each </w:t>
      </w:r>
      <w:r w:rsidRPr="000C28D1" w:rsidR="00103D20">
        <w:t>other</w:t>
      </w:r>
      <w:r w:rsidRPr="000C28D1" w:rsidR="00FF31BE">
        <w:t>’</w:t>
      </w:r>
      <w:r w:rsidRPr="000C28D1" w:rsidR="00103D20">
        <w:t xml:space="preserve">s testing unless the tests are </w:t>
      </w:r>
      <w:r w:rsidRPr="000C28D1" w:rsidR="00E771C2">
        <w:t xml:space="preserve">unique to </w:t>
      </w:r>
      <w:r w:rsidRPr="000C28D1" w:rsidR="00C71BD2">
        <w:t>a utility</w:t>
      </w:r>
      <w:r w:rsidRPr="000C28D1" w:rsidR="00D53A86">
        <w:t>’</w:t>
      </w:r>
      <w:r w:rsidRPr="000C28D1" w:rsidR="00C71BD2">
        <w:t>s</w:t>
      </w:r>
      <w:r w:rsidRPr="000C28D1" w:rsidR="00D53A86">
        <w:t xml:space="preserve"> </w:t>
      </w:r>
      <w:r w:rsidRPr="000C28D1" w:rsidR="00E771C2">
        <w:t>specific system.</w:t>
      </w:r>
      <w:r w:rsidRPr="000C28D1" w:rsidR="00E14F57">
        <w:t xml:space="preserve"> </w:t>
      </w:r>
      <w:r w:rsidRPr="000C28D1" w:rsidR="00313699">
        <w:t>T</w:t>
      </w:r>
      <w:r w:rsidRPr="000C28D1" w:rsidR="00161BEE">
        <w:t xml:space="preserve">his direction </w:t>
      </w:r>
      <w:r w:rsidRPr="000C28D1" w:rsidR="00056CFA">
        <w:t>m</w:t>
      </w:r>
      <w:r w:rsidRPr="000C28D1" w:rsidR="0049644C">
        <w:t>itigate</w:t>
      </w:r>
      <w:r w:rsidRPr="000C28D1" w:rsidR="00056CFA">
        <w:t>s</w:t>
      </w:r>
      <w:r w:rsidRPr="000C28D1" w:rsidR="0049644C">
        <w:t xml:space="preserve"> any</w:t>
      </w:r>
      <w:r w:rsidRPr="000C28D1" w:rsidR="00234576">
        <w:t xml:space="preserve"> </w:t>
      </w:r>
      <w:r w:rsidRPr="000C28D1" w:rsidR="0049644C">
        <w:t xml:space="preserve">antitrust </w:t>
      </w:r>
      <w:r w:rsidRPr="000C28D1" w:rsidR="00234576">
        <w:t xml:space="preserve">concerns raised by </w:t>
      </w:r>
      <w:r w:rsidRPr="000C28D1" w:rsidR="00632806">
        <w:t>SCE.</w:t>
      </w:r>
      <w:r w:rsidRPr="000C28D1" w:rsidR="00361F71">
        <w:t xml:space="preserve"> </w:t>
      </w:r>
    </w:p>
    <w:p w:rsidRPr="000C28D1" w:rsidR="00413248" w:rsidP="009E515D" w:rsidRDefault="00A832D5" w14:paraId="66746380" w14:textId="58926A29">
      <w:pPr>
        <w:pStyle w:val="Standard"/>
      </w:pPr>
      <w:bookmarkStart w:name="_Hlk190975585" w:id="346"/>
      <w:r w:rsidRPr="000C28D1">
        <w:t>W</w:t>
      </w:r>
      <w:r w:rsidRPr="000C28D1" w:rsidR="00413248">
        <w:t>e</w:t>
      </w:r>
      <w:r w:rsidRPr="000C28D1" w:rsidR="00007949">
        <w:t xml:space="preserve"> direct </w:t>
      </w:r>
      <w:r w:rsidRPr="000C28D1" w:rsidR="00D245C5">
        <w:t>the large</w:t>
      </w:r>
      <w:r w:rsidRPr="000C28D1" w:rsidR="00954F07">
        <w:t xml:space="preserve"> </w:t>
      </w:r>
      <w:r w:rsidRPr="000C28D1" w:rsidR="005226DC">
        <w:t xml:space="preserve">electric utilities </w:t>
      </w:r>
      <w:r w:rsidRPr="000C28D1" w:rsidR="003E0B12">
        <w:t xml:space="preserve">to submit Tier 2 </w:t>
      </w:r>
      <w:r w:rsidRPr="000C28D1" w:rsidR="00056CFA">
        <w:t>Advice Letters</w:t>
      </w:r>
      <w:r w:rsidRPr="000C28D1" w:rsidR="006702E5">
        <w:t xml:space="preserve"> </w:t>
      </w:r>
      <w:r w:rsidR="003361FC">
        <w:t>when seeking</w:t>
      </w:r>
      <w:r w:rsidRPr="000C28D1" w:rsidR="006702E5">
        <w:t xml:space="preserve"> </w:t>
      </w:r>
      <w:r w:rsidRPr="000C28D1" w:rsidR="00954F07">
        <w:t xml:space="preserve">additional funding for </w:t>
      </w:r>
      <w:r w:rsidRPr="000C28D1" w:rsidR="00B12223">
        <w:t>safety evaluations</w:t>
      </w:r>
      <w:r w:rsidR="00C51EAC">
        <w:t xml:space="preserve"> of</w:t>
      </w:r>
      <w:r w:rsidRPr="000C28D1" w:rsidR="000565E1">
        <w:t xml:space="preserve"> </w:t>
      </w:r>
      <w:r w:rsidRPr="000C28D1" w:rsidR="00313335">
        <w:t>non-isolating devices</w:t>
      </w:r>
      <w:bookmarkEnd w:id="346"/>
      <w:r w:rsidR="00A15E6F">
        <w:t xml:space="preserve"> in the same man</w:t>
      </w:r>
      <w:r w:rsidR="00C51EAC">
        <w:t>ner</w:t>
      </w:r>
      <w:r w:rsidR="00A15E6F">
        <w:t xml:space="preserve"> set forth in D.21-01-018 for isolating devices</w:t>
      </w:r>
      <w:r w:rsidRPr="000C28D1" w:rsidR="00B12223">
        <w:t>.</w:t>
      </w:r>
      <w:r w:rsidRPr="000C28D1" w:rsidR="00C74177">
        <w:rPr>
          <w:rStyle w:val="FootnoteReference"/>
        </w:rPr>
        <w:footnoteReference w:id="96"/>
      </w:r>
      <w:r w:rsidRPr="000C28D1" w:rsidR="00B12223">
        <w:t xml:space="preserve"> </w:t>
      </w:r>
    </w:p>
    <w:p w:rsidR="00CF35D2" w:rsidP="00CF35D2" w:rsidRDefault="000C28D1" w14:paraId="049D361A" w14:textId="3ABC6AEC">
      <w:pPr>
        <w:pStyle w:val="Standard"/>
      </w:pPr>
      <w:r w:rsidRPr="008402EC">
        <w:t>W</w:t>
      </w:r>
      <w:r w:rsidRPr="00236501" w:rsidR="005B0BE5">
        <w:t xml:space="preserve">e direct each </w:t>
      </w:r>
      <w:r w:rsidRPr="00236501" w:rsidR="00EE3EFA">
        <w:t xml:space="preserve">large </w:t>
      </w:r>
      <w:r w:rsidRPr="00236501" w:rsidR="00075D03">
        <w:t>electric utility</w:t>
      </w:r>
      <w:r w:rsidRPr="00236501" w:rsidR="005B0BE5">
        <w:t xml:space="preserve"> to publicly</w:t>
      </w:r>
      <w:r w:rsidRPr="00236501" w:rsidR="00F35260">
        <w:t xml:space="preserve"> list</w:t>
      </w:r>
      <w:r w:rsidRPr="00236501" w:rsidR="005B0BE5">
        <w:t xml:space="preserve"> on their website which </w:t>
      </w:r>
      <w:r w:rsidRPr="00236501" w:rsidR="003B7D4E">
        <w:t xml:space="preserve">isolating and </w:t>
      </w:r>
      <w:r w:rsidRPr="00236501" w:rsidR="005B0BE5">
        <w:t xml:space="preserve">non-isolating devices have </w:t>
      </w:r>
      <w:r w:rsidR="001E1429">
        <w:t xml:space="preserve">been </w:t>
      </w:r>
      <w:r w:rsidRPr="00236501" w:rsidR="005B0BE5">
        <w:t>approv</w:t>
      </w:r>
      <w:r w:rsidR="001E1429">
        <w:t>ed</w:t>
      </w:r>
      <w:r w:rsidRPr="00236501" w:rsidR="006C6332">
        <w:t xml:space="preserve">, within 180 days of the </w:t>
      </w:r>
      <w:r w:rsidRPr="00236501" w:rsidR="006C6332">
        <w:lastRenderedPageBreak/>
        <w:t>issuance of this decision</w:t>
      </w:r>
      <w:r w:rsidRPr="00236501" w:rsidR="00537860">
        <w:t xml:space="preserve">. </w:t>
      </w:r>
      <w:r w:rsidR="003971FA">
        <w:t>W</w:t>
      </w:r>
      <w:r w:rsidRPr="003971FA" w:rsidR="003971FA">
        <w:t>ithout jeopardizing manufacturers’ proprietary data or creating competitive disadvantages</w:t>
      </w:r>
      <w:r w:rsidR="003971FA">
        <w:t>, t</w:t>
      </w:r>
      <w:r w:rsidRPr="00236501" w:rsidR="003971FA">
        <w:t xml:space="preserve">he </w:t>
      </w:r>
      <w:r w:rsidRPr="00236501" w:rsidR="00CF35D2">
        <w:t>website shall</w:t>
      </w:r>
      <w:r w:rsidR="00CF35D2">
        <w:t>:</w:t>
      </w:r>
      <w:r w:rsidRPr="00236501" w:rsidR="00CF35D2">
        <w:t xml:space="preserve"> </w:t>
      </w:r>
    </w:p>
    <w:p w:rsidR="00CF35D2" w:rsidRDefault="00CF35D2" w14:paraId="603E8B06" w14:textId="5C672717">
      <w:pPr>
        <w:pStyle w:val="Standard"/>
        <w:numPr>
          <w:ilvl w:val="0"/>
          <w:numId w:val="44"/>
        </w:numPr>
        <w:spacing w:line="240" w:lineRule="auto"/>
        <w:ind w:left="1080" w:right="1080"/>
      </w:pPr>
      <w:r>
        <w:t>I</w:t>
      </w:r>
      <w:r w:rsidRPr="00236501">
        <w:t xml:space="preserve">nclude sections on the descriptions of the processes for testing and evaluating new eligible devices, </w:t>
      </w:r>
      <w:r w:rsidRPr="003971FA" w:rsidR="00DE6351">
        <w:t>user-friendly explanations of the testing and evaluation processes,</w:t>
      </w:r>
      <w:r w:rsidR="00DE6351">
        <w:t xml:space="preserve"> </w:t>
      </w:r>
      <w:r w:rsidRPr="00236501">
        <w:t>resources for manufacturers to better understand the types of tests used to evaluate devices, considerations for manufacturers to keep in mind, and common areas of failure</w:t>
      </w:r>
      <w:r>
        <w:t>;</w:t>
      </w:r>
      <w:r w:rsidRPr="00236501">
        <w:t xml:space="preserve"> </w:t>
      </w:r>
    </w:p>
    <w:p w:rsidR="003971FA" w:rsidRDefault="003971FA" w14:paraId="7D512E10" w14:textId="16467DAF">
      <w:pPr>
        <w:pStyle w:val="Standard"/>
        <w:numPr>
          <w:ilvl w:val="0"/>
          <w:numId w:val="44"/>
        </w:numPr>
        <w:spacing w:line="240" w:lineRule="auto"/>
        <w:ind w:left="1080" w:right="1080"/>
      </w:pPr>
      <w:r>
        <w:t>I</w:t>
      </w:r>
      <w:r w:rsidRPr="003971FA">
        <w:t>nclude a list of approved devices</w:t>
      </w:r>
      <w:r w:rsidR="00DE6351">
        <w:t>;</w:t>
      </w:r>
      <w:r w:rsidRPr="003971FA">
        <w:t xml:space="preserve"> </w:t>
      </w:r>
    </w:p>
    <w:p w:rsidR="003971FA" w:rsidP="001D63C9" w:rsidRDefault="003971FA" w14:paraId="39AB0C1F" w14:textId="0B6783AD">
      <w:pPr>
        <w:pStyle w:val="Standard"/>
        <w:numPr>
          <w:ilvl w:val="0"/>
          <w:numId w:val="44"/>
        </w:numPr>
        <w:spacing w:line="240" w:lineRule="auto"/>
        <w:ind w:left="1080" w:right="1080"/>
      </w:pPr>
      <w:r>
        <w:t>Include</w:t>
      </w:r>
      <w:r w:rsidRPr="003971FA">
        <w:t xml:space="preserve"> an FAQ section for device manufacturers highlighting the types of tests conducted</w:t>
      </w:r>
      <w:r w:rsidR="00DE6351">
        <w:t xml:space="preserve"> and</w:t>
      </w:r>
      <w:r w:rsidRPr="003971FA">
        <w:t xml:space="preserve"> key considerations</w:t>
      </w:r>
      <w:r>
        <w:t>;</w:t>
      </w:r>
    </w:p>
    <w:p w:rsidR="00CF35D2" w:rsidP="001D63C9" w:rsidRDefault="00CF35D2" w14:paraId="59141CD5" w14:textId="0F79000A">
      <w:pPr>
        <w:pStyle w:val="Standard"/>
        <w:numPr>
          <w:ilvl w:val="0"/>
          <w:numId w:val="44"/>
        </w:numPr>
        <w:spacing w:line="240" w:lineRule="auto"/>
        <w:ind w:left="1080" w:right="1080"/>
      </w:pPr>
      <w:r>
        <w:t>L</w:t>
      </w:r>
      <w:r w:rsidRPr="00236501">
        <w:t>ink to a portal for customers to request device installations from the utility</w:t>
      </w:r>
      <w:r>
        <w:t>;</w:t>
      </w:r>
      <w:r w:rsidRPr="00236501">
        <w:t xml:space="preserve"> </w:t>
      </w:r>
    </w:p>
    <w:p w:rsidR="00CF35D2" w:rsidP="001D63C9" w:rsidRDefault="00CF35D2" w14:paraId="0685E938" w14:textId="14D0514A">
      <w:pPr>
        <w:pStyle w:val="Standard"/>
        <w:numPr>
          <w:ilvl w:val="0"/>
          <w:numId w:val="44"/>
        </w:numPr>
        <w:spacing w:line="240" w:lineRule="auto"/>
        <w:ind w:left="1080" w:right="1080"/>
      </w:pPr>
      <w:r>
        <w:t>Permit a</w:t>
      </w:r>
      <w:r w:rsidRPr="00236501">
        <w:t xml:space="preserve">ccess </w:t>
      </w:r>
      <w:r>
        <w:t>without</w:t>
      </w:r>
      <w:r w:rsidRPr="00236501">
        <w:t xml:space="preserve"> necessitat</w:t>
      </w:r>
      <w:r>
        <w:t>ing</w:t>
      </w:r>
      <w:r w:rsidRPr="00236501">
        <w:t xml:space="preserve"> a customer log-in</w:t>
      </w:r>
      <w:r>
        <w:t>;</w:t>
      </w:r>
      <w:r w:rsidRPr="00236501">
        <w:t xml:space="preserve"> </w:t>
      </w:r>
      <w:r>
        <w:t>and</w:t>
      </w:r>
    </w:p>
    <w:p w:rsidR="00CF35D2" w:rsidP="001E1429" w:rsidRDefault="00CF35D2" w14:paraId="7C325959" w14:textId="2961D7A2">
      <w:pPr>
        <w:pStyle w:val="Standard"/>
        <w:numPr>
          <w:ilvl w:val="0"/>
          <w:numId w:val="44"/>
        </w:numPr>
        <w:spacing w:line="240" w:lineRule="auto"/>
        <w:ind w:left="1080" w:right="1080"/>
      </w:pPr>
      <w:r>
        <w:t>Host this</w:t>
      </w:r>
      <w:r w:rsidRPr="00236501">
        <w:t xml:space="preserve"> list on a new landing page specific to these types of devices.</w:t>
      </w:r>
    </w:p>
    <w:p w:rsidR="001E1429" w:rsidP="001D63C9" w:rsidRDefault="001E1429" w14:paraId="217D8AF6" w14:textId="77777777">
      <w:pPr>
        <w:pStyle w:val="Standard"/>
        <w:spacing w:line="240" w:lineRule="auto"/>
        <w:ind w:left="1080" w:right="1080" w:firstLine="0"/>
      </w:pPr>
    </w:p>
    <w:p w:rsidRPr="00236501" w:rsidR="00A832D5" w:rsidP="003B7D4E" w:rsidRDefault="003268C1" w14:paraId="0C6B8618" w14:textId="4D0B7A97">
      <w:pPr>
        <w:pStyle w:val="Standard"/>
      </w:pPr>
      <w:r w:rsidRPr="005F1263">
        <w:t xml:space="preserve">Each utility shall </w:t>
      </w:r>
      <w:r w:rsidR="005142FA">
        <w:t>provide a</w:t>
      </w:r>
      <w:r w:rsidR="009E4E1E">
        <w:t>n updated</w:t>
      </w:r>
      <w:r w:rsidRPr="005F1263">
        <w:t xml:space="preserve"> list of approved devices  </w:t>
      </w:r>
      <w:r w:rsidRPr="001E1429" w:rsidR="001E1429">
        <w:t xml:space="preserve">within 10 business days of the approval </w:t>
      </w:r>
      <w:r w:rsidR="005142FA">
        <w:t>of a device</w:t>
      </w:r>
      <w:r w:rsidR="009E4E1E">
        <w:t xml:space="preserve"> or removal of a device</w:t>
      </w:r>
      <w:r w:rsidR="00151AF7">
        <w:t xml:space="preserve"> from the list</w:t>
      </w:r>
      <w:r w:rsidRPr="005F1263">
        <w:t>.</w:t>
      </w:r>
      <w:r w:rsidRPr="003268C1">
        <w:t xml:space="preserve"> </w:t>
      </w:r>
      <w:r w:rsidR="00CA1D78">
        <w:t xml:space="preserve">The large electric utilities </w:t>
      </w:r>
      <w:r w:rsidR="002F2C44">
        <w:t>must</w:t>
      </w:r>
      <w:r w:rsidR="00CA1D78">
        <w:t xml:space="preserve"> send notice </w:t>
      </w:r>
      <w:r w:rsidRPr="006748E6" w:rsidR="00CA1D78">
        <w:t xml:space="preserve">to Energy Division at </w:t>
      </w:r>
      <w:r w:rsidRPr="008402EC" w:rsidR="00692B97">
        <w:t>energydivisioncentralfiles@cpuc.ca.gov</w:t>
      </w:r>
      <w:r w:rsidRPr="006748E6" w:rsidR="00CA1D78">
        <w:t xml:space="preserve"> and </w:t>
      </w:r>
      <w:r w:rsidRPr="008402EC" w:rsidR="00692B97">
        <w:t>buildingdecarb@cpuc.ca.gov</w:t>
      </w:r>
      <w:r w:rsidRPr="006748E6" w:rsidR="00CA1D78">
        <w:t xml:space="preserve"> </w:t>
      </w:r>
      <w:r w:rsidR="00FE1735">
        <w:t xml:space="preserve">concurrent with </w:t>
      </w:r>
      <w:r w:rsidR="006C40B8">
        <w:t>any website update regarding</w:t>
      </w:r>
      <w:r w:rsidR="00A825CD">
        <w:t xml:space="preserve"> any newly approved device and change in approval status</w:t>
      </w:r>
      <w:r w:rsidR="00CA1D78">
        <w:t xml:space="preserve">. </w:t>
      </w:r>
      <w:r w:rsidRPr="00236501" w:rsidR="0022257F">
        <w:t xml:space="preserve">The </w:t>
      </w:r>
      <w:r w:rsidRPr="00236501" w:rsidR="00DE08CA">
        <w:t>large</w:t>
      </w:r>
      <w:r w:rsidRPr="00236501" w:rsidR="0022257F">
        <w:t xml:space="preserve"> electric utilities </w:t>
      </w:r>
      <w:r w:rsidRPr="00236501" w:rsidR="004809E6">
        <w:t>shall</w:t>
      </w:r>
      <w:r w:rsidRPr="00236501" w:rsidR="0022257F">
        <w:t xml:space="preserve"> </w:t>
      </w:r>
      <w:r w:rsidRPr="00236501" w:rsidR="00C85D5F">
        <w:t>each</w:t>
      </w:r>
      <w:r w:rsidRPr="00236501" w:rsidR="0022257F">
        <w:t xml:space="preserve"> submit a Tier 1 </w:t>
      </w:r>
      <w:r w:rsidRPr="00236501" w:rsidR="00771BAD">
        <w:t xml:space="preserve">Advice Letter </w:t>
      </w:r>
      <w:r w:rsidRPr="00236501" w:rsidR="0022257F">
        <w:t>informing Energy Division as to how they have complied with these website requirements within</w:t>
      </w:r>
      <w:r w:rsidRPr="00236501" w:rsidR="00E7783A">
        <w:t xml:space="preserve"> </w:t>
      </w:r>
      <w:r w:rsidRPr="00236501" w:rsidR="009C1CB9">
        <w:t xml:space="preserve">180 </w:t>
      </w:r>
      <w:r w:rsidRPr="00236501" w:rsidR="0022257F">
        <w:t xml:space="preserve">days of the </w:t>
      </w:r>
      <w:r w:rsidRPr="00236501" w:rsidR="003B2A79">
        <w:t>issuance</w:t>
      </w:r>
      <w:r w:rsidRPr="00236501" w:rsidR="0022257F">
        <w:t xml:space="preserve"> of this </w:t>
      </w:r>
      <w:r w:rsidRPr="00236501" w:rsidR="003B7D4E">
        <w:t>decision. T</w:t>
      </w:r>
      <w:r w:rsidRPr="00236501" w:rsidR="001C36A7">
        <w:t xml:space="preserve">hese actions will help provide transparency for suppliers and customers to understand which devices have </w:t>
      </w:r>
      <w:r w:rsidRPr="00C67D7B" w:rsidR="001C36A7">
        <w:t>been</w:t>
      </w:r>
      <w:r w:rsidRPr="00236501" w:rsidR="001C36A7">
        <w:t xml:space="preserve"> approved for use in each </w:t>
      </w:r>
      <w:r w:rsidRPr="00236501" w:rsidR="0092309D">
        <w:t xml:space="preserve">electric utility </w:t>
      </w:r>
      <w:r w:rsidRPr="00236501" w:rsidR="001C36A7">
        <w:t>territory.</w:t>
      </w:r>
      <w:r w:rsidR="00267609">
        <w:t xml:space="preserve"> </w:t>
      </w:r>
      <w:r w:rsidRPr="00267609" w:rsidR="00267609">
        <w:t>As part of this Advice Letter, each utility shall indicate whether any general information required by this decision was not included on the public website due to confidentiality concerns</w:t>
      </w:r>
      <w:r w:rsidR="00267609">
        <w:t>;</w:t>
      </w:r>
      <w:r w:rsidRPr="00267609" w:rsidR="00267609">
        <w:t xml:space="preserve"> </w:t>
      </w:r>
      <w:r w:rsidR="00267609">
        <w:t xml:space="preserve">and although </w:t>
      </w:r>
      <w:r w:rsidRPr="00267609" w:rsidR="00267609">
        <w:t xml:space="preserve">such information must still </w:t>
      </w:r>
      <w:r w:rsidRPr="00267609" w:rsidR="00267609">
        <w:lastRenderedPageBreak/>
        <w:t>be disclosed to the Commission, the utility may request confidential treatment in accordance with Commission rules.</w:t>
      </w:r>
    </w:p>
    <w:p w:rsidRPr="00236501" w:rsidR="00061CA4" w:rsidP="00FC5C17" w:rsidRDefault="001D1AED" w14:paraId="4B413854" w14:textId="63BEE6D2">
      <w:pPr>
        <w:pStyle w:val="Standard"/>
      </w:pPr>
      <w:r>
        <w:t>It is important to provide</w:t>
      </w:r>
      <w:r w:rsidRPr="00236501" w:rsidR="00D16948">
        <w:t xml:space="preserve"> </w:t>
      </w:r>
      <w:r w:rsidRPr="00236501" w:rsidR="00DA0B13">
        <w:t xml:space="preserve">customers </w:t>
      </w:r>
      <w:r>
        <w:t>with</w:t>
      </w:r>
      <w:r w:rsidR="002A4B6A">
        <w:t xml:space="preserve"> information on</w:t>
      </w:r>
      <w:r w:rsidRPr="00236501" w:rsidR="00DA0B13">
        <w:t xml:space="preserve"> how to facilitate the installation of</w:t>
      </w:r>
      <w:r w:rsidRPr="00236501" w:rsidR="00D16948">
        <w:t xml:space="preserve"> these devices</w:t>
      </w:r>
      <w:r w:rsidR="00FB262F">
        <w:t>. Therefore</w:t>
      </w:r>
      <w:r w:rsidRPr="00236501" w:rsidR="00277F4E">
        <w:t>, w</w:t>
      </w:r>
      <w:r w:rsidRPr="00236501" w:rsidR="004C0428">
        <w:t xml:space="preserve">e  direct </w:t>
      </w:r>
      <w:r w:rsidRPr="00236501" w:rsidR="00C47C8E">
        <w:t>each of the</w:t>
      </w:r>
      <w:r w:rsidRPr="00236501" w:rsidR="004C0428">
        <w:t xml:space="preserve"> </w:t>
      </w:r>
      <w:r w:rsidRPr="00236501" w:rsidR="00D37FA5">
        <w:t xml:space="preserve">large </w:t>
      </w:r>
      <w:r w:rsidRPr="00236501" w:rsidR="004C0428">
        <w:t>electric utilities to</w:t>
      </w:r>
      <w:r>
        <w:t xml:space="preserve"> develop a proposal that</w:t>
      </w:r>
      <w:r w:rsidRPr="00236501" w:rsidR="004C0428">
        <w:t xml:space="preserve"> </w:t>
      </w:r>
      <w:r w:rsidRPr="00236501" w:rsidR="00CA4EEA">
        <w:t>support</w:t>
      </w:r>
      <w:r>
        <w:t>s</w:t>
      </w:r>
      <w:r w:rsidRPr="00236501" w:rsidR="00CA4EEA">
        <w:t xml:space="preserve"> the installation of </w:t>
      </w:r>
      <w:r w:rsidRPr="00236501" w:rsidR="00403FE4">
        <w:t>customer-owned MSAs</w:t>
      </w:r>
      <w:r w:rsidRPr="00236501" w:rsidR="00CA5954">
        <w:t>, both isolating and non-isolating</w:t>
      </w:r>
      <w:r w:rsidRPr="00236501" w:rsidR="00F76545">
        <w:t xml:space="preserve">. The </w:t>
      </w:r>
      <w:r w:rsidRPr="00236501" w:rsidR="00401156">
        <w:t>new propos</w:t>
      </w:r>
      <w:r>
        <w:t>al</w:t>
      </w:r>
      <w:r w:rsidRPr="00236501" w:rsidR="00F76545">
        <w:t xml:space="preserve"> </w:t>
      </w:r>
      <w:r w:rsidRPr="00236501" w:rsidR="00401156">
        <w:t>must</w:t>
      </w:r>
      <w:r w:rsidRPr="00236501" w:rsidR="007903A9">
        <w:t xml:space="preserve"> describe the process </w:t>
      </w:r>
      <w:r w:rsidRPr="00236501" w:rsidR="00514308">
        <w:t xml:space="preserve">and requirements </w:t>
      </w:r>
      <w:r w:rsidRPr="00236501" w:rsidR="007903A9">
        <w:t>a customer must follow to install any MSAs approved through the safety</w:t>
      </w:r>
      <w:r w:rsidRPr="00236501" w:rsidR="00FA5264">
        <w:t xml:space="preserve"> evaluation</w:t>
      </w:r>
      <w:r w:rsidRPr="00236501" w:rsidR="007903A9">
        <w:t xml:space="preserve"> process</w:t>
      </w:r>
      <w:r w:rsidRPr="00236501" w:rsidR="00B719D9">
        <w:t xml:space="preserve">, </w:t>
      </w:r>
      <w:r w:rsidRPr="00236501" w:rsidR="003908AB">
        <w:t>including the types of premises where the MSAs can be installed, who may remove and insert meters, how customers can submit MSA installation requests, device ownership and responsibility, conditions in which the device must be removed, and how to handle unauthorized installations. If a</w:t>
      </w:r>
      <w:r w:rsidR="001C5AAB">
        <w:t>ny</w:t>
      </w:r>
      <w:r w:rsidRPr="00236501" w:rsidR="003908AB">
        <w:t xml:space="preserve"> utility has already made a filing </w:t>
      </w:r>
      <w:r w:rsidR="00DE6351">
        <w:t xml:space="preserve">that addresses </w:t>
      </w:r>
      <w:r w:rsidR="00130537">
        <w:t>the process and</w:t>
      </w:r>
      <w:r w:rsidRPr="00236501" w:rsidR="003908AB">
        <w:t xml:space="preserve"> requirement</w:t>
      </w:r>
      <w:r w:rsidR="00130537">
        <w:t xml:space="preserve">s </w:t>
      </w:r>
      <w:r w:rsidRPr="00DE6351" w:rsidR="00130537">
        <w:t>for installing customer-owned MSAs</w:t>
      </w:r>
      <w:r w:rsidRPr="00236501" w:rsidR="003908AB">
        <w:t xml:space="preserve">, it shall update </w:t>
      </w:r>
      <w:r w:rsidR="0004069C">
        <w:t>the</w:t>
      </w:r>
      <w:r w:rsidRPr="00236501" w:rsidR="003908AB">
        <w:t xml:space="preserve"> filing as needed to </w:t>
      </w:r>
      <w:r w:rsidR="00130537">
        <w:t>conform</w:t>
      </w:r>
      <w:r w:rsidRPr="00236501" w:rsidR="00130537">
        <w:t xml:space="preserve"> </w:t>
      </w:r>
      <w:r w:rsidR="00130537">
        <w:t xml:space="preserve">to the directives described in </w:t>
      </w:r>
      <w:r w:rsidRPr="00236501" w:rsidR="003908AB">
        <w:t xml:space="preserve">this decision. </w:t>
      </w:r>
      <w:r w:rsidRPr="00236501" w:rsidR="00B719D9">
        <w:t xml:space="preserve"> </w:t>
      </w:r>
    </w:p>
    <w:p w:rsidRPr="00236501" w:rsidR="009332CB" w:rsidP="009332CB" w:rsidRDefault="00762B4F" w14:paraId="0E731C97" w14:textId="50B0294D">
      <w:pPr>
        <w:pStyle w:val="Standard"/>
      </w:pPr>
      <w:r>
        <w:t>Any</w:t>
      </w:r>
      <w:r w:rsidRPr="00236501" w:rsidR="009332CB">
        <w:t xml:space="preserve"> new </w:t>
      </w:r>
      <w:r>
        <w:t xml:space="preserve">proposed </w:t>
      </w:r>
      <w:r w:rsidRPr="00236501" w:rsidR="009332CB">
        <w:t>tariffs</w:t>
      </w:r>
      <w:r w:rsidR="0004069C">
        <w:t xml:space="preserve"> shall</w:t>
      </w:r>
      <w:r w:rsidRPr="00236501" w:rsidR="009332CB">
        <w:t xml:space="preserve"> include a </w:t>
      </w:r>
      <w:r w:rsidRPr="00236501" w:rsidR="00C61295">
        <w:t>target</w:t>
      </w:r>
      <w:r w:rsidRPr="00236501" w:rsidR="009332CB">
        <w:t xml:space="preserve"> time limit between when customer</w:t>
      </w:r>
      <w:r w:rsidR="00C00849">
        <w:t>s</w:t>
      </w:r>
      <w:r w:rsidRPr="00236501" w:rsidR="009332CB">
        <w:t xml:space="preserve"> request </w:t>
      </w:r>
      <w:r w:rsidRPr="00236501" w:rsidR="00C00849">
        <w:t>installation</w:t>
      </w:r>
      <w:r w:rsidRPr="00236501" w:rsidR="009332CB">
        <w:t xml:space="preserve"> and when the large electric utilities will install the MSAs. </w:t>
      </w:r>
      <w:r w:rsidRPr="00130537" w:rsidR="00130537">
        <w:t>These time limits are intended to establish clearer expectations for customers and promote timely access to technologies that support decarbonization and grid efficiency.</w:t>
      </w:r>
      <w:r w:rsidR="00130537">
        <w:t xml:space="preserve"> </w:t>
      </w:r>
      <w:r w:rsidR="0052569F">
        <w:t>W</w:t>
      </w:r>
      <w:r w:rsidRPr="0052569F" w:rsidR="0052569F">
        <w:t>ithin 90 days of the issuance of this decision</w:t>
      </w:r>
      <w:r w:rsidR="0052569F">
        <w:t>,</w:t>
      </w:r>
      <w:r w:rsidRPr="0052569F" w:rsidDel="0052569F" w:rsidR="0052569F">
        <w:t xml:space="preserve"> </w:t>
      </w:r>
      <w:r w:rsidR="00F45416">
        <w:t>t</w:t>
      </w:r>
      <w:r w:rsidR="0004069C">
        <w:t xml:space="preserve">he </w:t>
      </w:r>
      <w:r w:rsidRPr="00236501" w:rsidR="009332CB">
        <w:t xml:space="preserve">large electric IOUs </w:t>
      </w:r>
      <w:r w:rsidR="0004069C">
        <w:t xml:space="preserve">shall hold a </w:t>
      </w:r>
      <w:r w:rsidR="00F45416">
        <w:t xml:space="preserve">public </w:t>
      </w:r>
      <w:r w:rsidR="0004069C">
        <w:t xml:space="preserve">workshop to </w:t>
      </w:r>
      <w:r w:rsidR="0052569F">
        <w:t xml:space="preserve">present and </w:t>
      </w:r>
      <w:r w:rsidRPr="00236501" w:rsidR="009332CB">
        <w:t xml:space="preserve">discuss the new proposed tariff and solicit feedback from stakeholders.  </w:t>
      </w:r>
    </w:p>
    <w:p w:rsidRPr="00AF43E3" w:rsidR="001F2391" w:rsidP="00FC5C17" w:rsidRDefault="00F45416" w14:paraId="579C359C" w14:textId="06679ABA">
      <w:pPr>
        <w:pStyle w:val="Standard"/>
      </w:pPr>
      <w:r>
        <w:t>T</w:t>
      </w:r>
      <w:r w:rsidRPr="00AF43E3" w:rsidR="009332CB">
        <w:t xml:space="preserve">he large electric utilities </w:t>
      </w:r>
      <w:r w:rsidR="00B2065B">
        <w:t>must</w:t>
      </w:r>
      <w:r w:rsidRPr="00AF43E3" w:rsidR="00DF1A7E">
        <w:t xml:space="preserve"> </w:t>
      </w:r>
      <w:r w:rsidRPr="00AF43E3" w:rsidR="00522A59">
        <w:t>begin reporting</w:t>
      </w:r>
      <w:r w:rsidRPr="00AF43E3" w:rsidR="009332CB">
        <w:t xml:space="preserve"> annually, beginning </w:t>
      </w:r>
      <w:r w:rsidRPr="00AF43E3" w:rsidR="00A83742">
        <w:t>on April 15,</w:t>
      </w:r>
      <w:r w:rsidRPr="00AF43E3" w:rsidR="009332CB">
        <w:t xml:space="preserve"> 2026, </w:t>
      </w:r>
      <w:r w:rsidRPr="00AF43E3" w:rsidR="00522A59">
        <w:t xml:space="preserve">on the previous year’s data detailing </w:t>
      </w:r>
      <w:r w:rsidRPr="00AF43E3" w:rsidR="009332CB">
        <w:t xml:space="preserve">each MSA installation and timeline for installation. </w:t>
      </w:r>
      <w:r w:rsidRPr="00130537" w:rsidR="00130537">
        <w:t xml:space="preserve">This reporting is intended to </w:t>
      </w:r>
      <w:r w:rsidR="001A0345">
        <w:t>provide</w:t>
      </w:r>
      <w:r w:rsidRPr="00130537" w:rsidR="00130537">
        <w:t xml:space="preserve"> transparency and accountability by tracking utility responsiveness and customer access to </w:t>
      </w:r>
      <w:r w:rsidRPr="00130537" w:rsidR="00130537">
        <w:lastRenderedPageBreak/>
        <w:t>approved devices.</w:t>
      </w:r>
      <w:r w:rsidR="00130537">
        <w:t xml:space="preserve"> </w:t>
      </w:r>
      <w:r w:rsidRPr="00AF43E3" w:rsidR="009332CB">
        <w:t xml:space="preserve">The large electric utilities </w:t>
      </w:r>
      <w:r w:rsidRPr="00AF43E3" w:rsidR="00401156">
        <w:t>must</w:t>
      </w:r>
      <w:r w:rsidRPr="00AF43E3" w:rsidR="009332CB">
        <w:t xml:space="preserve"> refer to Appendix A for the full list of requirements and include this reporting as part of the annual reporting mandated under Resolution E-5105 as a Tier 1 Advice Letter</w:t>
      </w:r>
      <w:r w:rsidRPr="00AF43E3" w:rsidR="00522A59">
        <w:t>,</w:t>
      </w:r>
      <w:r w:rsidRPr="00AF43E3" w:rsidR="009332CB">
        <w:t xml:space="preserve"> in accordance </w:t>
      </w:r>
      <w:r w:rsidRPr="00AF43E3" w:rsidR="00870C3D">
        <w:t>with</w:t>
      </w:r>
      <w:r w:rsidRPr="00AF43E3" w:rsidR="009332CB">
        <w:t xml:space="preserve"> the revised reporting timelines established in </w:t>
      </w:r>
      <w:r w:rsidRPr="00AF43E3" w:rsidR="00540953">
        <w:t>S</w:t>
      </w:r>
      <w:r w:rsidRPr="00AF43E3" w:rsidR="009332CB">
        <w:t>ection 7.</w:t>
      </w:r>
      <w:r w:rsidR="009D48AD">
        <w:t>2</w:t>
      </w:r>
      <w:r w:rsidRPr="00AF43E3" w:rsidR="009332CB">
        <w:t xml:space="preserve"> of this decision. </w:t>
      </w:r>
    </w:p>
    <w:p w:rsidRPr="006E23AA" w:rsidR="00013C8E" w:rsidP="00FC5C17" w:rsidRDefault="00C86ECC" w14:paraId="403D38CB" w14:textId="72E1C770">
      <w:pPr>
        <w:pStyle w:val="Standard"/>
      </w:pPr>
      <w:r>
        <w:t>T</w:t>
      </w:r>
      <w:r w:rsidRPr="006E23AA" w:rsidR="00041B63">
        <w:t xml:space="preserve">he large electric utilities </w:t>
      </w:r>
      <w:r w:rsidR="00EE7AFE">
        <w:t>shall</w:t>
      </w:r>
      <w:r w:rsidRPr="006E23AA" w:rsidR="00041B63">
        <w:t xml:space="preserve"> </w:t>
      </w:r>
      <w:r w:rsidRPr="006E23AA" w:rsidR="006C39FF">
        <w:t xml:space="preserve">update their respective electric service requirement manual to </w:t>
      </w:r>
      <w:r w:rsidRPr="006E23AA" w:rsidR="00F11E7A">
        <w:t xml:space="preserve">include descriptions of </w:t>
      </w:r>
      <w:r w:rsidRPr="006E23AA" w:rsidR="00D34549">
        <w:t xml:space="preserve">customer-owned </w:t>
      </w:r>
      <w:r w:rsidRPr="006E23AA" w:rsidR="00F11E7A">
        <w:t>MSA installation processes and procedures</w:t>
      </w:r>
      <w:r w:rsidR="00EE7AFE">
        <w:t xml:space="preserve">, and </w:t>
      </w:r>
      <w:r w:rsidRPr="00EE7AFE" w:rsidR="00EE7AFE">
        <w:t>within 180 days of the issuance of this decision,</w:t>
      </w:r>
      <w:r w:rsidR="00EE7AFE">
        <w:t xml:space="preserve"> </w:t>
      </w:r>
      <w:r w:rsidRPr="006E23AA" w:rsidR="0062450A">
        <w:t xml:space="preserve">each file a Tier 1 </w:t>
      </w:r>
      <w:r w:rsidRPr="006E23AA" w:rsidR="00771BAD">
        <w:t>Advice Letter</w:t>
      </w:r>
      <w:r w:rsidR="00B41B81">
        <w:t xml:space="preserve"> to conform</w:t>
      </w:r>
      <w:r w:rsidRPr="006E23AA" w:rsidR="0062450A">
        <w:t xml:space="preserve"> </w:t>
      </w:r>
      <w:r w:rsidRPr="006E23AA" w:rsidR="00A66896">
        <w:t>compliance</w:t>
      </w:r>
      <w:r w:rsidRPr="006E23AA" w:rsidR="0062450A">
        <w:t xml:space="preserve"> with the aforementioned updates to their electric service requirement manuals</w:t>
      </w:r>
      <w:r w:rsidRPr="006E23AA" w:rsidR="00952D9F">
        <w:t>.</w:t>
      </w:r>
    </w:p>
    <w:p w:rsidR="009A6F6F" w:rsidP="003666FB" w:rsidRDefault="20D89C57" w14:paraId="0F9EFA6E" w14:textId="5340E4BC">
      <w:pPr>
        <w:pStyle w:val="Standard"/>
      </w:pPr>
      <w:r w:rsidRPr="00BA60EC">
        <w:t>In summary, we</w:t>
      </w:r>
      <w:r w:rsidR="00AF2280">
        <w:t xml:space="preserve"> apply</w:t>
      </w:r>
      <w:r w:rsidRPr="00BA60EC">
        <w:t xml:space="preserve"> all aspects of the safety evaluation process and funding approved in Resolution E-5194  to non-isolating devices such as, but not limited to, MSAs. </w:t>
      </w:r>
      <w:r w:rsidRPr="00BA60EC" w:rsidR="005178EB">
        <w:t xml:space="preserve">For non-isolating devices, </w:t>
      </w:r>
      <w:r w:rsidRPr="00BA60EC" w:rsidR="006A1839">
        <w:t xml:space="preserve">we </w:t>
      </w:r>
      <w:r w:rsidRPr="00BA60EC">
        <w:t xml:space="preserve">limit the evaluation process to devices </w:t>
      </w:r>
      <w:r w:rsidRPr="00BA60EC" w:rsidR="00A45278">
        <w:t xml:space="preserve">that enable </w:t>
      </w:r>
      <w:r w:rsidRPr="00F44160" w:rsidR="00A45278">
        <w:t>decarbonization (e.g., energy storage, solar panels, electric appliance loads, and EV charging)</w:t>
      </w:r>
      <w:r w:rsidRPr="00F44160">
        <w:t xml:space="preserve">. </w:t>
      </w:r>
      <w:r w:rsidRPr="00BA60EC" w:rsidR="5E110830">
        <w:t>The large</w:t>
      </w:r>
      <w:r w:rsidRPr="00BA60EC">
        <w:t xml:space="preserve"> electric </w:t>
      </w:r>
      <w:r w:rsidRPr="00BA60EC" w:rsidR="5E110830">
        <w:t xml:space="preserve">utilities </w:t>
      </w:r>
      <w:r w:rsidRPr="00BA60EC" w:rsidR="00401156">
        <w:t>must</w:t>
      </w:r>
      <w:r w:rsidRPr="00BA60EC">
        <w:t xml:space="preserve"> </w:t>
      </w:r>
      <w:r w:rsidR="00E02D31">
        <w:t xml:space="preserve">(1) </w:t>
      </w:r>
      <w:r w:rsidRPr="00BA60EC">
        <w:t>list publicly on their website which isolating and non-isolating devices they have approved for customer use</w:t>
      </w:r>
      <w:r w:rsidR="00E02D31">
        <w:t xml:space="preserve">, (2) </w:t>
      </w:r>
      <w:r w:rsidR="007205CC">
        <w:t>provide</w:t>
      </w:r>
      <w:r w:rsidR="005E5998">
        <w:t xml:space="preserve"> for</w:t>
      </w:r>
      <w:r w:rsidR="00E02D31">
        <w:t xml:space="preserve"> </w:t>
      </w:r>
      <w:r w:rsidR="00E912BA">
        <w:t xml:space="preserve">newly approved devices or devices with changes to their approval status </w:t>
      </w:r>
      <w:r w:rsidR="00D77A94">
        <w:t xml:space="preserve">to </w:t>
      </w:r>
      <w:r w:rsidR="00E912BA">
        <w:t xml:space="preserve">be posted </w:t>
      </w:r>
      <w:r w:rsidR="00D77A94">
        <w:t>on</w:t>
      </w:r>
      <w:r w:rsidR="00E912BA">
        <w:t xml:space="preserve"> their website</w:t>
      </w:r>
      <w:r w:rsidR="00890A2F">
        <w:t xml:space="preserve"> within 10 business days, </w:t>
      </w:r>
      <w:r w:rsidR="00735797">
        <w:t xml:space="preserve">(3) </w:t>
      </w:r>
      <w:r w:rsidR="008342CD">
        <w:t>inform the Energy Division when the website is updated to reflect</w:t>
      </w:r>
      <w:r w:rsidR="00735797">
        <w:t xml:space="preserve"> a</w:t>
      </w:r>
      <w:r w:rsidR="008342CD">
        <w:t xml:space="preserve"> newly approved device or a change in a device’s approval status</w:t>
      </w:r>
      <w:r w:rsidRPr="00BA60EC" w:rsidR="00DD0039">
        <w:t xml:space="preserve">, </w:t>
      </w:r>
      <w:r w:rsidR="00735797">
        <w:t xml:space="preserve">(4) provide </w:t>
      </w:r>
      <w:r w:rsidRPr="00BA60EC" w:rsidR="00DD0039">
        <w:t xml:space="preserve">resources </w:t>
      </w:r>
      <w:r w:rsidR="00F303DA">
        <w:t xml:space="preserve">on their website </w:t>
      </w:r>
      <w:r w:rsidRPr="00BA60EC" w:rsidR="00DD0039">
        <w:t xml:space="preserve">for manufacturers to navigate the evaluation process, and </w:t>
      </w:r>
      <w:r w:rsidR="00735797">
        <w:t xml:space="preserve">(5) </w:t>
      </w:r>
      <w:r w:rsidR="00D77A94">
        <w:t>provide</w:t>
      </w:r>
      <w:r w:rsidR="00F303DA">
        <w:t xml:space="preserve"> that their </w:t>
      </w:r>
      <w:r w:rsidR="00ED3987">
        <w:t>website</w:t>
      </w:r>
      <w:r w:rsidR="00F303DA">
        <w:t xml:space="preserve"> </w:t>
      </w:r>
      <w:r w:rsidR="00C5161C">
        <w:t>link</w:t>
      </w:r>
      <w:r w:rsidR="00ED3987">
        <w:t>s</w:t>
      </w:r>
      <w:r w:rsidR="00C5161C">
        <w:t xml:space="preserve"> to</w:t>
      </w:r>
      <w:r w:rsidR="00302C72">
        <w:t xml:space="preserve"> </w:t>
      </w:r>
      <w:r w:rsidRPr="00BA60EC" w:rsidR="00DD0039">
        <w:t>a portal for customers to request MSA installations</w:t>
      </w:r>
      <w:r w:rsidRPr="00BA60EC" w:rsidR="3D3908C2">
        <w:t xml:space="preserve">. </w:t>
      </w:r>
      <w:r w:rsidRPr="00A36AE7" w:rsidR="00A36AE7">
        <w:t xml:space="preserve">The large electric utilities are directed to </w:t>
      </w:r>
      <w:r w:rsidR="005E5998">
        <w:t>develop</w:t>
      </w:r>
      <w:r w:rsidRPr="00A36AE7" w:rsidR="00A36AE7">
        <w:t xml:space="preserve"> a proposal for how customer-owned MSAs </w:t>
      </w:r>
      <w:r w:rsidR="00966D35">
        <w:t>will</w:t>
      </w:r>
      <w:r w:rsidRPr="00A36AE7" w:rsidR="00A36AE7">
        <w:t xml:space="preserve"> be installed, a maximum timeline by which the utility would install a requested MSA, and any corresponding changes to their electric service design manuals. This proposal </w:t>
      </w:r>
      <w:r w:rsidR="00B91AB1">
        <w:t>must</w:t>
      </w:r>
      <w:r w:rsidRPr="00B91AB1" w:rsidR="00B91AB1">
        <w:t xml:space="preserve"> be submitted as Tier 2 Advice Letter and</w:t>
      </w:r>
      <w:r w:rsidRPr="00A36AE7" w:rsidR="00A36AE7">
        <w:t xml:space="preserve"> served on the following proceedings, R.19-</w:t>
      </w:r>
      <w:r w:rsidRPr="00A36AE7" w:rsidR="00A36AE7">
        <w:lastRenderedPageBreak/>
        <w:t xml:space="preserve">01-011 (this proceeding), </w:t>
      </w:r>
      <w:r w:rsidRPr="005468AC" w:rsidR="005468AC">
        <w:t>R.19-09-009 (Microgrids)</w:t>
      </w:r>
      <w:r w:rsidR="005468AC">
        <w:t xml:space="preserve">, </w:t>
      </w:r>
      <w:r w:rsidRPr="00A36AE7" w:rsidR="00A36AE7">
        <w:t xml:space="preserve">R.21-06-017 (High DER), and R.24-01-018 (Energization). </w:t>
      </w:r>
    </w:p>
    <w:p w:rsidRPr="009D1072" w:rsidR="00926222" w:rsidP="00270E1F" w:rsidRDefault="00270E1F" w14:paraId="35CA4ECB" w14:textId="389FAD6A">
      <w:pPr>
        <w:pStyle w:val="Heading2"/>
      </w:pPr>
      <w:bookmarkStart w:name="_Toc185278851" w:id="347"/>
      <w:bookmarkStart w:name="_Toc185321812" w:id="348"/>
      <w:bookmarkStart w:name="_Toc185329762" w:id="349"/>
      <w:bookmarkStart w:name="_Toc185366185" w:id="350"/>
      <w:bookmarkStart w:name="_Toc185368841" w:id="351"/>
      <w:bookmarkStart w:name="_Toc185420439" w:id="352"/>
      <w:bookmarkStart w:name="_Toc185421255" w:id="353"/>
      <w:bookmarkStart w:name="_Toc185422552" w:id="354"/>
      <w:bookmarkStart w:name="_Toc185425569" w:id="355"/>
      <w:bookmarkStart w:name="_Toc185496643" w:id="356"/>
      <w:bookmarkStart w:name="_Toc185496853" w:id="357"/>
      <w:bookmarkStart w:name="_Toc185496964" w:id="358"/>
      <w:bookmarkStart w:name="_Toc185579367" w:id="359"/>
      <w:bookmarkStart w:name="_Toc192263693" w:id="360"/>
      <w:bookmarkStart w:name="_Toc200370977" w:id="361"/>
      <w:bookmarkEnd w:id="344"/>
      <w:bookmarkEnd w:id="347"/>
      <w:bookmarkEnd w:id="348"/>
      <w:bookmarkEnd w:id="349"/>
      <w:bookmarkEnd w:id="350"/>
      <w:bookmarkEnd w:id="351"/>
      <w:bookmarkEnd w:id="352"/>
      <w:bookmarkEnd w:id="353"/>
      <w:bookmarkEnd w:id="354"/>
      <w:bookmarkEnd w:id="355"/>
      <w:bookmarkEnd w:id="356"/>
      <w:bookmarkEnd w:id="357"/>
      <w:bookmarkEnd w:id="358"/>
      <w:r w:rsidRPr="009D1072">
        <w:t xml:space="preserve">Encouraging </w:t>
      </w:r>
      <w:r w:rsidRPr="009D1072" w:rsidR="006B080C">
        <w:t xml:space="preserve">Service Upsizing </w:t>
      </w:r>
      <w:r w:rsidRPr="009D1072">
        <w:t>Alternatives</w:t>
      </w:r>
      <w:bookmarkEnd w:id="359"/>
      <w:bookmarkEnd w:id="360"/>
      <w:bookmarkEnd w:id="361"/>
    </w:p>
    <w:p w:rsidRPr="004166D8" w:rsidR="00E870EC" w:rsidP="00E870EC" w:rsidRDefault="00E870EC" w14:paraId="1587EBE4" w14:textId="15412E1A">
      <w:pPr>
        <w:pStyle w:val="Heading3"/>
      </w:pPr>
      <w:bookmarkStart w:name="_Toc185579368" w:id="362"/>
      <w:bookmarkStart w:name="_Toc192263694" w:id="363"/>
      <w:bookmarkStart w:name="_Toc200370978" w:id="364"/>
      <w:r w:rsidRPr="004166D8">
        <w:t xml:space="preserve">Summary of </w:t>
      </w:r>
      <w:r w:rsidR="00081C88">
        <w:t>Party Positions</w:t>
      </w:r>
      <w:bookmarkEnd w:id="362"/>
      <w:bookmarkEnd w:id="363"/>
      <w:bookmarkEnd w:id="364"/>
    </w:p>
    <w:p w:rsidR="00E870EC" w:rsidP="00E870EC" w:rsidRDefault="75C8C35E" w14:paraId="7A750145" w14:textId="2950B4A0">
      <w:pPr>
        <w:pStyle w:val="Standard"/>
      </w:pPr>
      <w:r>
        <w:t>Parties</w:t>
      </w:r>
      <w:r w:rsidR="2319FF30">
        <w:t xml:space="preserve"> were split on how to </w:t>
      </w:r>
      <w:r w:rsidR="007D72F8">
        <w:t>address verification that</w:t>
      </w:r>
      <w:r w:rsidR="30171C4C">
        <w:t xml:space="preserve"> customers </w:t>
      </w:r>
      <w:r w:rsidR="00800780">
        <w:t xml:space="preserve">only </w:t>
      </w:r>
      <w:r w:rsidR="644D381F">
        <w:t>pursu</w:t>
      </w:r>
      <w:r w:rsidR="00A66896">
        <w:t>e</w:t>
      </w:r>
      <w:r w:rsidR="644D381F">
        <w:t xml:space="preserve"> </w:t>
      </w:r>
      <w:r w:rsidR="30171C4C">
        <w:t>service upsizing after considering all other reasonable alternatives</w:t>
      </w:r>
      <w:r w:rsidR="1B5561E9">
        <w:t xml:space="preserve">, </w:t>
      </w:r>
      <w:r w:rsidR="48F77F51">
        <w:t xml:space="preserve">such as the panel </w:t>
      </w:r>
      <w:r w:rsidR="0B110EB5">
        <w:t xml:space="preserve">and service </w:t>
      </w:r>
      <w:r w:rsidR="48F77F51">
        <w:t xml:space="preserve">optimization strategies mentioned in </w:t>
      </w:r>
      <w:r w:rsidRPr="00812E8A" w:rsidR="48F77F51">
        <w:t>Section 5.2</w:t>
      </w:r>
      <w:r w:rsidR="48F77F51">
        <w:t>.</w:t>
      </w:r>
    </w:p>
    <w:p w:rsidR="001C22DD" w:rsidP="00E870EC" w:rsidRDefault="00D878DC" w14:paraId="7B7DE7E7" w14:textId="04B5E1E6">
      <w:pPr>
        <w:pStyle w:val="Standard"/>
      </w:pPr>
      <w:r>
        <w:t>PG&amp;E</w:t>
      </w:r>
      <w:r w:rsidR="002B1267">
        <w:t xml:space="preserve"> and SCE </w:t>
      </w:r>
      <w:r w:rsidR="00A44535">
        <w:t xml:space="preserve">oppose </w:t>
      </w:r>
      <w:r w:rsidR="009A4130">
        <w:t>a requirement to collect pro</w:t>
      </w:r>
      <w:r w:rsidR="005B4883">
        <w:t xml:space="preserve">of </w:t>
      </w:r>
      <w:r w:rsidR="008827C2">
        <w:t xml:space="preserve">that </w:t>
      </w:r>
      <w:r w:rsidR="005B4883">
        <w:t>customer</w:t>
      </w:r>
      <w:r w:rsidR="00A66896">
        <w:t>s</w:t>
      </w:r>
      <w:r w:rsidR="005B4883">
        <w:t xml:space="preserve"> </w:t>
      </w:r>
      <w:r w:rsidR="00B46539">
        <w:t>considered alternative strategies</w:t>
      </w:r>
      <w:r w:rsidR="0023069D">
        <w:t xml:space="preserve"> to avoid service upsizing</w:t>
      </w:r>
      <w:r w:rsidR="006D1B6C">
        <w:t>. PG&amp;E</w:t>
      </w:r>
      <w:r w:rsidR="0023069D">
        <w:t xml:space="preserve"> argu</w:t>
      </w:r>
      <w:r w:rsidR="006D1B6C">
        <w:t>es</w:t>
      </w:r>
      <w:r w:rsidR="0023069D">
        <w:t xml:space="preserve"> this extra step would </w:t>
      </w:r>
      <w:r w:rsidR="00800780">
        <w:t>add</w:t>
      </w:r>
      <w:r w:rsidR="0023069D">
        <w:t xml:space="preserve"> unnecessary complex</w:t>
      </w:r>
      <w:r w:rsidR="00800780">
        <w:t>ity</w:t>
      </w:r>
      <w:r w:rsidR="0023069D">
        <w:t xml:space="preserve"> for customers and utilities</w:t>
      </w:r>
      <w:r w:rsidR="00AF6C31">
        <w:t>,</w:t>
      </w:r>
      <w:r w:rsidR="00D65585">
        <w:t xml:space="preserve"> </w:t>
      </w:r>
      <w:r w:rsidR="0023069D">
        <w:t>extend timelines for service upsizing</w:t>
      </w:r>
      <w:r w:rsidR="006D1B6C">
        <w:t xml:space="preserve"> and may even discourage customers from el</w:t>
      </w:r>
      <w:r w:rsidR="00547F9E">
        <w:t>ectrifying their homes.</w:t>
      </w:r>
      <w:r w:rsidR="00547F9E">
        <w:rPr>
          <w:rStyle w:val="FootnoteReference"/>
        </w:rPr>
        <w:footnoteReference w:id="97"/>
      </w:r>
      <w:r w:rsidR="00E30498">
        <w:t xml:space="preserve"> PG&amp;E also points out that</w:t>
      </w:r>
      <w:r w:rsidR="00FB3B9D">
        <w:t xml:space="preserve"> collecting proof would be inconsistent with the current common </w:t>
      </w:r>
      <w:r w:rsidR="009E5AC6">
        <w:t xml:space="preserve">facility </w:t>
      </w:r>
      <w:r w:rsidR="00FB3B9D">
        <w:t xml:space="preserve">cost treatment policy established </w:t>
      </w:r>
      <w:r w:rsidR="009E5AC6">
        <w:t>for EVs</w:t>
      </w:r>
      <w:r w:rsidR="000A58C0">
        <w:t xml:space="preserve"> as part of</w:t>
      </w:r>
      <w:r w:rsidR="00FB3B9D">
        <w:t xml:space="preserve"> D.11-07-029</w:t>
      </w:r>
      <w:r w:rsidR="00E44005">
        <w:t xml:space="preserve"> and renewed several times since</w:t>
      </w:r>
      <w:r w:rsidR="00FF44B6">
        <w:t>.</w:t>
      </w:r>
      <w:r w:rsidR="00AE57FC">
        <w:rPr>
          <w:rStyle w:val="FootnoteReference"/>
        </w:rPr>
        <w:footnoteReference w:id="98"/>
      </w:r>
      <w:r w:rsidR="003E787A">
        <w:t xml:space="preserve"> Instead, PG&amp;E </w:t>
      </w:r>
      <w:r w:rsidR="00D65585">
        <w:t>propose</w:t>
      </w:r>
      <w:r w:rsidR="003E787A">
        <w:t xml:space="preserve">s </w:t>
      </w:r>
      <w:r w:rsidR="0037443D">
        <w:t xml:space="preserve">providing educational materials to customers and contractors </w:t>
      </w:r>
      <w:r w:rsidR="008B6EBA">
        <w:t xml:space="preserve">before an application </w:t>
      </w:r>
      <w:r w:rsidR="00ED0945">
        <w:t xml:space="preserve">for an electric service line upsizing </w:t>
      </w:r>
      <w:r w:rsidR="008B6EBA">
        <w:t xml:space="preserve">is completed, </w:t>
      </w:r>
      <w:r w:rsidR="00E44005">
        <w:t xml:space="preserve">which </w:t>
      </w:r>
      <w:r w:rsidR="00D65585">
        <w:t>PG&amp;E</w:t>
      </w:r>
      <w:r w:rsidR="008B6EBA">
        <w:t xml:space="preserve"> </w:t>
      </w:r>
      <w:r w:rsidR="000860E0">
        <w:t>contends</w:t>
      </w:r>
      <w:r w:rsidR="00E44005">
        <w:t xml:space="preserve"> </w:t>
      </w:r>
      <w:r w:rsidR="00800780">
        <w:t>i</w:t>
      </w:r>
      <w:r w:rsidR="00E44005">
        <w:t xml:space="preserve">s </w:t>
      </w:r>
      <w:r w:rsidR="008B6EBA">
        <w:t>the optim</w:t>
      </w:r>
      <w:r w:rsidR="00E44005">
        <w:t>al</w:t>
      </w:r>
      <w:r w:rsidR="008B6EBA">
        <w:t xml:space="preserve"> time for intervention.</w:t>
      </w:r>
      <w:r w:rsidR="008B6EBA">
        <w:rPr>
          <w:rStyle w:val="FootnoteReference"/>
        </w:rPr>
        <w:footnoteReference w:id="99"/>
      </w:r>
    </w:p>
    <w:p w:rsidR="00B33168" w:rsidP="00E870EC" w:rsidRDefault="00B33168" w14:paraId="477CABDA" w14:textId="03BF59FE">
      <w:pPr>
        <w:pStyle w:val="Standard"/>
      </w:pPr>
      <w:r>
        <w:t xml:space="preserve">SCE </w:t>
      </w:r>
      <w:r w:rsidR="0093792F">
        <w:t xml:space="preserve">similarly opposes the requirement to collect proof of </w:t>
      </w:r>
      <w:r w:rsidR="0003362B">
        <w:t>customer consideration of alternatives</w:t>
      </w:r>
      <w:r w:rsidR="00DB4F6A">
        <w:t xml:space="preserve"> to service upsizing</w:t>
      </w:r>
      <w:r w:rsidR="0003362B">
        <w:t xml:space="preserve">, </w:t>
      </w:r>
      <w:r w:rsidR="00357467">
        <w:t>and contends</w:t>
      </w:r>
      <w:r w:rsidR="0003362B">
        <w:t xml:space="preserve"> local governments</w:t>
      </w:r>
      <w:r w:rsidR="00B93D3A">
        <w:t>, as opposed to utilities,</w:t>
      </w:r>
      <w:r w:rsidR="0003362B">
        <w:t xml:space="preserve"> have jurisdiction over electrical panel alterations</w:t>
      </w:r>
      <w:r w:rsidR="00DB4F6A">
        <w:t>, which subsequently affect service upsizing</w:t>
      </w:r>
      <w:r w:rsidR="00B93D3A">
        <w:t>.</w:t>
      </w:r>
      <w:r w:rsidR="00CA4ACD">
        <w:t xml:space="preserve"> </w:t>
      </w:r>
      <w:r w:rsidR="00C61998">
        <w:t>Accordingly</w:t>
      </w:r>
      <w:r w:rsidR="00F23BA5">
        <w:t xml:space="preserve">, SCE argues </w:t>
      </w:r>
      <w:r w:rsidR="00F23BA5">
        <w:lastRenderedPageBreak/>
        <w:t xml:space="preserve">it would be difficult </w:t>
      </w:r>
      <w:r w:rsidR="00C61998">
        <w:t xml:space="preserve">for SCE as the utility </w:t>
      </w:r>
      <w:r w:rsidR="00F23BA5">
        <w:t xml:space="preserve">to administer any requirement to collect proof of a customer’s </w:t>
      </w:r>
      <w:r w:rsidR="00F17052">
        <w:t>actions.</w:t>
      </w:r>
      <w:r w:rsidR="00F17052">
        <w:rPr>
          <w:rStyle w:val="FootnoteReference"/>
        </w:rPr>
        <w:footnoteReference w:id="100"/>
      </w:r>
      <w:r w:rsidR="00F17052">
        <w:t xml:space="preserve"> </w:t>
      </w:r>
    </w:p>
    <w:p w:rsidR="00F17052" w:rsidP="00E870EC" w:rsidRDefault="00C54E9B" w14:paraId="49802CC9" w14:textId="5EEC06C4">
      <w:pPr>
        <w:pStyle w:val="Standard"/>
      </w:pPr>
      <w:r>
        <w:t xml:space="preserve">The </w:t>
      </w:r>
      <w:r w:rsidR="00933AFA">
        <w:t xml:space="preserve">Joint </w:t>
      </w:r>
      <w:r w:rsidR="0060437F">
        <w:t xml:space="preserve">RENs also </w:t>
      </w:r>
      <w:r w:rsidR="0099072A">
        <w:t xml:space="preserve">oppose </w:t>
      </w:r>
      <w:r w:rsidR="00A66896">
        <w:t>requiring</w:t>
      </w:r>
      <w:r w:rsidR="0099072A">
        <w:t xml:space="preserve"> proof, </w:t>
      </w:r>
      <w:r w:rsidR="00521491">
        <w:t xml:space="preserve">and </w:t>
      </w:r>
      <w:r w:rsidR="00BB1623">
        <w:t>argu</w:t>
      </w:r>
      <w:r w:rsidR="00521491">
        <w:t>e</w:t>
      </w:r>
      <w:r w:rsidR="00BB1623">
        <w:t xml:space="preserve"> </w:t>
      </w:r>
      <w:r w:rsidR="001A439F">
        <w:t xml:space="preserve">the Commission should “empower customers and contractors” to evaluate if service upsizing is “appropriate” or “reasonable” </w:t>
      </w:r>
      <w:r w:rsidR="00D22E04">
        <w:t>as opposed to “as a last resort.”</w:t>
      </w:r>
      <w:r>
        <w:rPr>
          <w:rStyle w:val="FootnoteReference"/>
        </w:rPr>
        <w:footnoteReference w:id="101"/>
      </w:r>
      <w:r w:rsidR="00D22E04">
        <w:t xml:space="preserve"> The</w:t>
      </w:r>
      <w:r w:rsidR="00093E01">
        <w:t>y</w:t>
      </w:r>
      <w:r w:rsidR="00D22E04">
        <w:t xml:space="preserve"> argue </w:t>
      </w:r>
      <w:r w:rsidR="00E91707">
        <w:t xml:space="preserve">there may be situations where </w:t>
      </w:r>
      <w:r w:rsidR="00746C29">
        <w:t xml:space="preserve">alternatives to service upsizing may exist, but </w:t>
      </w:r>
      <w:r w:rsidR="00803BB8">
        <w:t xml:space="preserve">that </w:t>
      </w:r>
      <w:r w:rsidR="00746C29">
        <w:t>these alternatives may be more com</w:t>
      </w:r>
      <w:r w:rsidR="00525BD3">
        <w:t xml:space="preserve">plex, </w:t>
      </w:r>
      <w:r w:rsidR="00803BB8">
        <w:t xml:space="preserve">more </w:t>
      </w:r>
      <w:r w:rsidR="00525BD3">
        <w:t xml:space="preserve">expensive, or </w:t>
      </w:r>
      <w:r w:rsidR="00803BB8">
        <w:t xml:space="preserve">that </w:t>
      </w:r>
      <w:r w:rsidR="00525BD3">
        <w:t xml:space="preserve">the customer may want to add </w:t>
      </w:r>
      <w:r w:rsidR="00EB4685">
        <w:t>additional load on site</w:t>
      </w:r>
      <w:r w:rsidR="00EC2DC3">
        <w:t xml:space="preserve">. </w:t>
      </w:r>
      <w:r w:rsidR="00803BB8">
        <w:t xml:space="preserve">The </w:t>
      </w:r>
      <w:r w:rsidR="009231AB">
        <w:t xml:space="preserve">Joint RENs </w:t>
      </w:r>
      <w:r w:rsidR="00A76996">
        <w:t>notes</w:t>
      </w:r>
      <w:r w:rsidR="009231AB">
        <w:t xml:space="preserve"> the </w:t>
      </w:r>
      <w:r w:rsidR="00FC310A">
        <w:t xml:space="preserve">“proof” </w:t>
      </w:r>
      <w:r w:rsidR="00D430DF">
        <w:t xml:space="preserve">in this situation is dependent on data held by </w:t>
      </w:r>
      <w:r w:rsidR="00761A29">
        <w:t>utilities</w:t>
      </w:r>
      <w:r w:rsidR="00D430DF">
        <w:t xml:space="preserve"> and distribution system operators, which are hard </w:t>
      </w:r>
      <w:r w:rsidR="00E31014">
        <w:t xml:space="preserve">for customers </w:t>
      </w:r>
      <w:r w:rsidR="00D430DF">
        <w:t>to access.</w:t>
      </w:r>
      <w:r w:rsidR="00D430DF">
        <w:rPr>
          <w:rStyle w:val="FootnoteReference"/>
        </w:rPr>
        <w:footnoteReference w:id="102"/>
      </w:r>
    </w:p>
    <w:p w:rsidR="00C53297" w:rsidP="00E870EC" w:rsidRDefault="00846F04" w14:paraId="7F5CC096" w14:textId="1FCC6E76">
      <w:pPr>
        <w:pStyle w:val="Standard"/>
      </w:pPr>
      <w:r>
        <w:t>SPUR support</w:t>
      </w:r>
      <w:r w:rsidR="005D02AB">
        <w:t>s</w:t>
      </w:r>
      <w:r>
        <w:t xml:space="preserve"> </w:t>
      </w:r>
      <w:r w:rsidR="003A1432">
        <w:t>verification that alternatives have been considered, but only for single</w:t>
      </w:r>
      <w:r w:rsidR="0039173B">
        <w:t>-</w:t>
      </w:r>
      <w:r w:rsidR="003A1432">
        <w:t xml:space="preserve">family homes </w:t>
      </w:r>
      <w:r w:rsidR="00A66896">
        <w:t>with</w:t>
      </w:r>
      <w:r w:rsidR="003A1432">
        <w:t xml:space="preserve"> existing service </w:t>
      </w:r>
      <w:r w:rsidR="00693648">
        <w:t xml:space="preserve">capacity </w:t>
      </w:r>
      <w:r w:rsidR="003A1432">
        <w:t xml:space="preserve">between 100-199 </w:t>
      </w:r>
      <w:r w:rsidR="00A65B90">
        <w:t>amps</w:t>
      </w:r>
      <w:r w:rsidR="007B67A0">
        <w:t>. Such verification, SPUR argues, should also prove that switching from gas to electric end uses is the trigger for the upsizing.</w:t>
      </w:r>
      <w:r w:rsidR="00983ED2">
        <w:t xml:space="preserve"> </w:t>
      </w:r>
      <w:r w:rsidR="00373145">
        <w:t>SPUR</w:t>
      </w:r>
      <w:r w:rsidR="00983ED2">
        <w:t xml:space="preserve"> suggest</w:t>
      </w:r>
      <w:r w:rsidR="0010434F">
        <w:t>s</w:t>
      </w:r>
      <w:r w:rsidR="00983ED2">
        <w:t xml:space="preserve"> requiring a contractor to fill out an attestation form to confirm</w:t>
      </w:r>
      <w:r w:rsidR="00A66896">
        <w:t xml:space="preserve"> having met</w:t>
      </w:r>
      <w:r w:rsidR="00BC0C74">
        <w:t xml:space="preserve"> </w:t>
      </w:r>
      <w:r w:rsidR="00BA7358">
        <w:t>the latter requirements.</w:t>
      </w:r>
      <w:r w:rsidR="00140DE1">
        <w:rPr>
          <w:rStyle w:val="FootnoteReference"/>
        </w:rPr>
        <w:footnoteReference w:id="103"/>
      </w:r>
      <w:r w:rsidR="007B67A0">
        <w:t xml:space="preserve"> S</w:t>
      </w:r>
      <w:r w:rsidR="00A17316">
        <w:t>PUR argues s</w:t>
      </w:r>
      <w:r w:rsidR="007B67A0">
        <w:t>ingle</w:t>
      </w:r>
      <w:r w:rsidR="00EF6468">
        <w:t>-</w:t>
      </w:r>
      <w:r w:rsidR="007B67A0">
        <w:t xml:space="preserve">family homes </w:t>
      </w:r>
      <w:r w:rsidR="00CE7148">
        <w:t xml:space="preserve">with </w:t>
      </w:r>
      <w:r w:rsidR="0058742D">
        <w:t xml:space="preserve">an electric service line capacity </w:t>
      </w:r>
      <w:r w:rsidR="007B67A0">
        <w:t>under 100</w:t>
      </w:r>
      <w:r w:rsidR="00CE7148">
        <w:t xml:space="preserve"> </w:t>
      </w:r>
      <w:r w:rsidR="007B0D18">
        <w:t>amp</w:t>
      </w:r>
      <w:r w:rsidR="00CE7148">
        <w:t>s</w:t>
      </w:r>
      <w:r w:rsidR="0058742D">
        <w:t>,</w:t>
      </w:r>
      <w:r w:rsidR="00693648">
        <w:t xml:space="preserve"> or multi</w:t>
      </w:r>
      <w:r w:rsidR="00A17316">
        <w:t>-</w:t>
      </w:r>
      <w:r w:rsidR="00693648">
        <w:t xml:space="preserve">family units under 80 </w:t>
      </w:r>
      <w:r w:rsidR="007B0D18">
        <w:t>amps</w:t>
      </w:r>
      <w:r w:rsidR="0058742D">
        <w:t>,</w:t>
      </w:r>
      <w:r w:rsidR="00693648">
        <w:t xml:space="preserve"> should not be subject to this verification requirement and should automatically qualify for a panel/service upsizing.</w:t>
      </w:r>
      <w:r w:rsidR="00693648">
        <w:rPr>
          <w:rStyle w:val="FootnoteReference"/>
        </w:rPr>
        <w:footnoteReference w:id="104"/>
      </w:r>
    </w:p>
    <w:p w:rsidR="002B2569" w:rsidP="00491590" w:rsidRDefault="00491590" w14:paraId="708BF215" w14:textId="7BAB1E85">
      <w:pPr>
        <w:pStyle w:val="Standard"/>
      </w:pPr>
      <w:r>
        <w:t xml:space="preserve">SPUR states any requirements for verification should be simple, </w:t>
      </w:r>
      <w:r w:rsidR="006610FA">
        <w:t xml:space="preserve">to </w:t>
      </w:r>
      <w:r w:rsidR="00DA065C">
        <w:t>minimize</w:t>
      </w:r>
      <w:r w:rsidR="006610FA">
        <w:t xml:space="preserve"> any </w:t>
      </w:r>
      <w:r>
        <w:t>add</w:t>
      </w:r>
      <w:r w:rsidR="006610FA">
        <w:t>ed</w:t>
      </w:r>
      <w:r>
        <w:t xml:space="preserve"> administrative burden. </w:t>
      </w:r>
      <w:r w:rsidR="00A420D8">
        <w:t xml:space="preserve">SPUR provides </w:t>
      </w:r>
      <w:r>
        <w:t xml:space="preserve">examples such as a </w:t>
      </w:r>
      <w:r>
        <w:lastRenderedPageBreak/>
        <w:t xml:space="preserve">contractor verifying a simple check list of other panel optimization strategies considered, and use of “customer panel optimization tools” </w:t>
      </w:r>
      <w:r w:rsidR="004512A2">
        <w:t xml:space="preserve">already developed by </w:t>
      </w:r>
      <w:r w:rsidR="00E711A5">
        <w:t>several</w:t>
      </w:r>
      <w:r w:rsidR="004512A2">
        <w:t xml:space="preserve"> third parties</w:t>
      </w:r>
      <w:r w:rsidR="002D1A48">
        <w:t xml:space="preserve"> to assist customers going through the electrification process.</w:t>
      </w:r>
      <w:r w:rsidR="00FE7153">
        <w:t xml:space="preserve"> </w:t>
      </w:r>
      <w:r w:rsidR="002D1A48">
        <w:t>Lastly, SPUR</w:t>
      </w:r>
      <w:r w:rsidR="002F2962">
        <w:t xml:space="preserve"> proposes, </w:t>
      </w:r>
      <w:r w:rsidR="00764943">
        <w:t xml:space="preserve"> similar to PG&amp;E, that utilities should</w:t>
      </w:r>
      <w:r w:rsidR="008A3B0E">
        <w:t xml:space="preserve"> “provide panel optimization tools and educational materials”</w:t>
      </w:r>
      <w:r w:rsidR="00E711A5">
        <w:rPr>
          <w:rStyle w:val="FootnoteReference"/>
        </w:rPr>
        <w:footnoteReference w:id="105"/>
      </w:r>
      <w:r w:rsidR="00373923">
        <w:t xml:space="preserve"> </w:t>
      </w:r>
      <w:r w:rsidR="003D79C9">
        <w:t>at “key junctures” throughout the electrification journey.</w:t>
      </w:r>
      <w:r w:rsidR="003D79C9">
        <w:rPr>
          <w:rStyle w:val="FootnoteReference"/>
        </w:rPr>
        <w:footnoteReference w:id="106"/>
      </w:r>
      <w:r w:rsidR="003D79C9">
        <w:t xml:space="preserve"> </w:t>
      </w:r>
    </w:p>
    <w:p w:rsidR="00743EDE" w:rsidP="00E870EC" w:rsidRDefault="00743EDE" w14:paraId="1B4D175C" w14:textId="0C7C4BB1">
      <w:pPr>
        <w:pStyle w:val="Standard"/>
      </w:pPr>
      <w:r>
        <w:t xml:space="preserve">VEIC </w:t>
      </w:r>
      <w:r w:rsidR="007400A4">
        <w:t>proposes,</w:t>
      </w:r>
      <w:r w:rsidR="00A13AED">
        <w:t xml:space="preserve"> similar </w:t>
      </w:r>
      <w:r w:rsidR="007400A4">
        <w:t>to</w:t>
      </w:r>
      <w:r w:rsidR="00A13AED">
        <w:t xml:space="preserve"> SPUR,</w:t>
      </w:r>
      <w:r w:rsidR="00F360CA">
        <w:t xml:space="preserve"> </w:t>
      </w:r>
      <w:r w:rsidR="00A138D3">
        <w:t>that</w:t>
      </w:r>
      <w:r w:rsidR="00F360CA">
        <w:t xml:space="preserve"> </w:t>
      </w:r>
      <w:r w:rsidR="00CC422A">
        <w:t xml:space="preserve">customers with </w:t>
      </w:r>
      <w:r w:rsidR="00AA1399">
        <w:t xml:space="preserve">electric </w:t>
      </w:r>
      <w:r w:rsidR="00DD3692">
        <w:t>service</w:t>
      </w:r>
      <w:r w:rsidR="00AA1399">
        <w:t xml:space="preserve"> line capacitie</w:t>
      </w:r>
      <w:r w:rsidR="00DD3692">
        <w:t xml:space="preserve">s of 100-200 </w:t>
      </w:r>
      <w:r w:rsidR="007B0D18">
        <w:t>amps</w:t>
      </w:r>
      <w:r w:rsidR="00DD3692">
        <w:t xml:space="preserve"> </w:t>
      </w:r>
      <w:r w:rsidR="008D4CE6">
        <w:t xml:space="preserve">would </w:t>
      </w:r>
      <w:r w:rsidR="00A433A6">
        <w:t>submit application</w:t>
      </w:r>
      <w:r w:rsidR="001F312A">
        <w:t>s</w:t>
      </w:r>
      <w:r w:rsidR="00F91815">
        <w:t xml:space="preserve"> with documentation showing that alternatives </w:t>
      </w:r>
      <w:r w:rsidR="00F523C4">
        <w:t xml:space="preserve">to service upsizing </w:t>
      </w:r>
      <w:r w:rsidR="00F91815">
        <w:t xml:space="preserve">were considered, </w:t>
      </w:r>
      <w:r w:rsidR="00E3296B">
        <w:t xml:space="preserve">which </w:t>
      </w:r>
      <w:r w:rsidR="00A138D3">
        <w:t>w</w:t>
      </w:r>
      <w:r w:rsidR="00E3296B">
        <w:t xml:space="preserve">ould </w:t>
      </w:r>
      <w:r w:rsidR="00F91815">
        <w:t>be completed by certified contractor</w:t>
      </w:r>
      <w:r w:rsidR="009B091D">
        <w:t>s</w:t>
      </w:r>
      <w:r w:rsidR="00F91815">
        <w:t xml:space="preserve"> on </w:t>
      </w:r>
      <w:r w:rsidR="009B091D">
        <w:t>the</w:t>
      </w:r>
      <w:r w:rsidR="001B667A">
        <w:t xml:space="preserve"> </w:t>
      </w:r>
      <w:r w:rsidR="00F91815">
        <w:t xml:space="preserve">site. </w:t>
      </w:r>
      <w:r w:rsidR="009E2C4E">
        <w:t>Additionally, VEIC proposes f</w:t>
      </w:r>
      <w:r w:rsidR="00F91815">
        <w:t xml:space="preserve">or homes with less than </w:t>
      </w:r>
      <w:r w:rsidR="00E1490E">
        <w:t>100-</w:t>
      </w:r>
      <w:r w:rsidR="00A65B90">
        <w:t>amp</w:t>
      </w:r>
      <w:r w:rsidR="00F91815">
        <w:t xml:space="preserve"> service</w:t>
      </w:r>
      <w:r w:rsidR="0046679D">
        <w:t xml:space="preserve"> should </w:t>
      </w:r>
      <w:r w:rsidR="00BC0F61">
        <w:t>automatically qualify for service upsizing.</w:t>
      </w:r>
      <w:r w:rsidR="00523CD3">
        <w:t xml:space="preserve"> VEIC echoes </w:t>
      </w:r>
      <w:r w:rsidR="00711BAA">
        <w:t>the concerns raised by</w:t>
      </w:r>
      <w:r w:rsidR="00523CD3">
        <w:t xml:space="preserve"> other parties that </w:t>
      </w:r>
      <w:r w:rsidR="0039273A">
        <w:t xml:space="preserve">making the process overly complex runs the risk of </w:t>
      </w:r>
      <w:r w:rsidR="00497E84">
        <w:t>alienating contractors from pushing electrification for their customers.</w:t>
      </w:r>
      <w:r w:rsidR="00497E84">
        <w:rPr>
          <w:rStyle w:val="FootnoteReference"/>
        </w:rPr>
        <w:footnoteReference w:id="107"/>
      </w:r>
    </w:p>
    <w:p w:rsidR="00500AA8" w:rsidP="00E870EC" w:rsidRDefault="00500AA8" w14:paraId="4DE8DAFE" w14:textId="63D4E035">
      <w:pPr>
        <w:pStyle w:val="Standard"/>
      </w:pPr>
      <w:r>
        <w:t xml:space="preserve">The Joint Parties </w:t>
      </w:r>
      <w:r w:rsidR="00743EDE">
        <w:t>also</w:t>
      </w:r>
      <w:r>
        <w:t xml:space="preserve"> </w:t>
      </w:r>
      <w:r w:rsidR="00490A6C">
        <w:t>support</w:t>
      </w:r>
      <w:r>
        <w:t xml:space="preserve"> simple documentation that a</w:t>
      </w:r>
      <w:r w:rsidR="005502EF">
        <w:t>n electric</w:t>
      </w:r>
      <w:r>
        <w:t xml:space="preserve"> </w:t>
      </w:r>
      <w:r w:rsidR="005502EF">
        <w:t xml:space="preserve">service </w:t>
      </w:r>
      <w:r>
        <w:t xml:space="preserve">line upsizing is triggered by a “qualifying electrification retrofit” </w:t>
      </w:r>
      <w:r w:rsidR="00012B51">
        <w:t>may be useful. The</w:t>
      </w:r>
      <w:r w:rsidR="00E609E1">
        <w:t>y</w:t>
      </w:r>
      <w:r w:rsidR="00012B51">
        <w:t xml:space="preserve"> point to similar documentation required for </w:t>
      </w:r>
      <w:r w:rsidR="0043498F">
        <w:t>service line requests triggered by EV charging</w:t>
      </w:r>
      <w:r w:rsidR="006F26F4">
        <w:t xml:space="preserve">. </w:t>
      </w:r>
      <w:r w:rsidR="007B6848">
        <w:t xml:space="preserve">The Joint Parties </w:t>
      </w:r>
      <w:r w:rsidR="004D3D0C">
        <w:t xml:space="preserve">support distributing educational materials on panel optimization strategies, and collecting attestations </w:t>
      </w:r>
      <w:r w:rsidR="0046242F">
        <w:t>as part of the service line upsizing application process</w:t>
      </w:r>
      <w:r w:rsidR="00771F4D">
        <w:t xml:space="preserve"> </w:t>
      </w:r>
      <w:r w:rsidR="00F55330">
        <w:t xml:space="preserve">to </w:t>
      </w:r>
      <w:r w:rsidR="00771F4D">
        <w:t xml:space="preserve">confirm the applicant explored </w:t>
      </w:r>
      <w:r w:rsidR="00771F4D">
        <w:lastRenderedPageBreak/>
        <w:t>the</w:t>
      </w:r>
      <w:r w:rsidR="00F40798">
        <w:t>se</w:t>
      </w:r>
      <w:r w:rsidR="00771F4D">
        <w:t xml:space="preserve"> </w:t>
      </w:r>
      <w:r w:rsidR="00F40798">
        <w:t>strategies</w:t>
      </w:r>
      <w:r w:rsidR="00771F4D">
        <w:t xml:space="preserve">. </w:t>
      </w:r>
      <w:r w:rsidR="00273049">
        <w:t xml:space="preserve">Nonetheless, </w:t>
      </w:r>
      <w:r w:rsidR="000241B1">
        <w:t>the</w:t>
      </w:r>
      <w:r w:rsidR="00273049">
        <w:t xml:space="preserve"> Joint Parties </w:t>
      </w:r>
      <w:r w:rsidR="002850E5">
        <w:t>urge</w:t>
      </w:r>
      <w:r w:rsidR="00273049">
        <w:t xml:space="preserve"> minimizing administrative requirements on customers.</w:t>
      </w:r>
      <w:r w:rsidR="00273049">
        <w:rPr>
          <w:rStyle w:val="FootnoteReference"/>
        </w:rPr>
        <w:footnoteReference w:id="108"/>
      </w:r>
    </w:p>
    <w:p w:rsidRPr="00E870EC" w:rsidR="00E711A5" w:rsidP="00E870EC" w:rsidRDefault="00140DE1" w14:paraId="208C0E05" w14:textId="285FAFC1">
      <w:pPr>
        <w:pStyle w:val="Standard"/>
      </w:pPr>
      <w:r>
        <w:t xml:space="preserve">SBUA </w:t>
      </w:r>
      <w:r w:rsidR="00517742">
        <w:t xml:space="preserve">notes </w:t>
      </w:r>
      <w:r w:rsidR="00374BCA">
        <w:t>business owners will likely not opt for service line upsizing if an alternative is available</w:t>
      </w:r>
      <w:r w:rsidR="00966CFC">
        <w:t>.</w:t>
      </w:r>
      <w:r w:rsidR="00947265">
        <w:rPr>
          <w:rStyle w:val="FootnoteReference"/>
        </w:rPr>
        <w:footnoteReference w:id="109"/>
      </w:r>
      <w:r w:rsidR="00966CFC">
        <w:t xml:space="preserve"> </w:t>
      </w:r>
      <w:r w:rsidR="00FF4C3A">
        <w:t>SBUA</w:t>
      </w:r>
      <w:r w:rsidR="009E540D">
        <w:t xml:space="preserve"> suggest</w:t>
      </w:r>
      <w:r w:rsidR="00FF4C3A">
        <w:t>s</w:t>
      </w:r>
      <w:r w:rsidR="009E540D">
        <w:t xml:space="preserve"> </w:t>
      </w:r>
      <w:r w:rsidR="00761A29">
        <w:t>utilities</w:t>
      </w:r>
      <w:r w:rsidR="006961A3">
        <w:t xml:space="preserve"> should provide an energy audit that </w:t>
      </w:r>
      <w:r w:rsidR="00C144DC">
        <w:t xml:space="preserve">helps customers understand what energy efficiency upgrades can avoid upsizing. </w:t>
      </w:r>
      <w:r w:rsidR="00093B57">
        <w:t>SBUA</w:t>
      </w:r>
      <w:r w:rsidR="00C144DC">
        <w:t xml:space="preserve"> </w:t>
      </w:r>
      <w:r w:rsidR="009C1EF3">
        <w:t xml:space="preserve">proposes </w:t>
      </w:r>
      <w:r w:rsidR="00C144DC">
        <w:t xml:space="preserve">the </w:t>
      </w:r>
      <w:r w:rsidR="00761A29">
        <w:t>utilities</w:t>
      </w:r>
      <w:r w:rsidR="00C144DC">
        <w:t xml:space="preserve"> should provide </w:t>
      </w:r>
      <w:r w:rsidR="00CB52D9">
        <w:t>a one-stop</w:t>
      </w:r>
      <w:r w:rsidR="00CA0139">
        <w:t xml:space="preserve"> </w:t>
      </w:r>
      <w:r w:rsidR="00CB52D9">
        <w:t xml:space="preserve">shop for </w:t>
      </w:r>
      <w:r w:rsidR="00C144DC">
        <w:t xml:space="preserve">information </w:t>
      </w:r>
      <w:r w:rsidR="000B437A">
        <w:t>on programs that a customer qualifies for, such as energy efficiency,</w:t>
      </w:r>
      <w:r w:rsidR="005C283D">
        <w:t xml:space="preserve"> demand</w:t>
      </w:r>
      <w:r w:rsidR="000B437A">
        <w:t xml:space="preserve"> response, and DER programs</w:t>
      </w:r>
      <w:r w:rsidR="00134810">
        <w:t>.</w:t>
      </w:r>
      <w:r w:rsidR="00ED3573">
        <w:rPr>
          <w:rStyle w:val="FootnoteReference"/>
        </w:rPr>
        <w:footnoteReference w:id="110"/>
      </w:r>
      <w:r w:rsidR="00E870D1">
        <w:t xml:space="preserve"> </w:t>
      </w:r>
    </w:p>
    <w:p w:rsidR="005E2658" w:rsidP="00006799" w:rsidRDefault="00006799" w14:paraId="2E48FD19" w14:textId="2ADF6B4B">
      <w:pPr>
        <w:pStyle w:val="Standard"/>
      </w:pPr>
      <w:r>
        <w:t>PG&amp;E disagrees with SBUA’s proposal of an energy audit or assessment</w:t>
      </w:r>
      <w:r w:rsidR="00697AAB">
        <w:t xml:space="preserve"> during the service upsizing application process</w:t>
      </w:r>
      <w:r w:rsidR="0083325A">
        <w:t xml:space="preserve">. </w:t>
      </w:r>
      <w:r w:rsidR="005541AB">
        <w:t>PG&amp;E</w:t>
      </w:r>
      <w:r w:rsidR="0083325A">
        <w:t xml:space="preserve"> </w:t>
      </w:r>
      <w:r w:rsidR="009B0839">
        <w:t>considers this</w:t>
      </w:r>
      <w:r w:rsidR="00940B25">
        <w:t xml:space="preserve"> im</w:t>
      </w:r>
      <w:r w:rsidR="00697AAB">
        <w:t xml:space="preserve">practical </w:t>
      </w:r>
      <w:r w:rsidR="00940B25">
        <w:t xml:space="preserve">and </w:t>
      </w:r>
      <w:r w:rsidR="00697AAB">
        <w:t>no</w:t>
      </w:r>
      <w:r w:rsidR="00940B25">
        <w:t>t</w:t>
      </w:r>
      <w:r w:rsidR="00697AAB">
        <w:t xml:space="preserve"> cost-effective. PG&amp;E </w:t>
      </w:r>
      <w:r w:rsidR="00524FE0">
        <w:t xml:space="preserve">reiterates </w:t>
      </w:r>
      <w:r w:rsidR="00BB6D1E">
        <w:t xml:space="preserve">its support for </w:t>
      </w:r>
      <w:r w:rsidR="009B0839">
        <w:t xml:space="preserve">providing </w:t>
      </w:r>
      <w:r w:rsidR="00524FE0">
        <w:t>panel right-sizing</w:t>
      </w:r>
      <w:r w:rsidR="00C022ED">
        <w:t xml:space="preserve"> education for customers and contractors </w:t>
      </w:r>
      <w:r w:rsidR="001532F5">
        <w:t>while they are “still scoping out the project</w:t>
      </w:r>
      <w:r w:rsidR="005E2658">
        <w:t>.</w:t>
      </w:r>
      <w:r w:rsidR="00D234E8">
        <w:t>”</w:t>
      </w:r>
      <w:r w:rsidR="00D234E8">
        <w:rPr>
          <w:rStyle w:val="FootnoteReference"/>
        </w:rPr>
        <w:footnoteReference w:id="111"/>
      </w:r>
    </w:p>
    <w:p w:rsidR="00006799" w:rsidP="00006799" w:rsidRDefault="00F41677" w14:paraId="1F07B19B" w14:textId="7FE8C510">
      <w:pPr>
        <w:pStyle w:val="Standard"/>
      </w:pPr>
      <w:r>
        <w:t xml:space="preserve">SBUA </w:t>
      </w:r>
      <w:r w:rsidR="000266E8">
        <w:t xml:space="preserve">agrees with SPUR </w:t>
      </w:r>
      <w:r w:rsidR="008064AA">
        <w:t xml:space="preserve">that </w:t>
      </w:r>
      <w:r w:rsidR="00761A29">
        <w:t xml:space="preserve">verification practices should be “streamlined” </w:t>
      </w:r>
      <w:r w:rsidR="00320D59">
        <w:t>to avoid</w:t>
      </w:r>
      <w:r w:rsidR="00761A29">
        <w:t xml:space="preserve"> deter</w:t>
      </w:r>
      <w:r w:rsidR="00320D59">
        <w:t>ring</w:t>
      </w:r>
      <w:r w:rsidR="00761A29">
        <w:t xml:space="preserve"> customers from electrification, especially since many customers may b</w:t>
      </w:r>
      <w:r w:rsidR="008460AA">
        <w:t xml:space="preserve">e upsizing their services to accommodate new appliances replacing </w:t>
      </w:r>
      <w:r w:rsidR="009B0839">
        <w:t xml:space="preserve">recently broken </w:t>
      </w:r>
      <w:r w:rsidR="008460AA">
        <w:t>ones</w:t>
      </w:r>
      <w:r w:rsidR="00C34065">
        <w:t>.</w:t>
      </w:r>
      <w:r w:rsidR="00C34065">
        <w:rPr>
          <w:rStyle w:val="FootnoteReference"/>
        </w:rPr>
        <w:footnoteReference w:id="112"/>
      </w:r>
    </w:p>
    <w:p w:rsidR="000D11CE" w:rsidP="00006799" w:rsidRDefault="008645EC" w14:paraId="1F9794DB" w14:textId="54841514">
      <w:pPr>
        <w:pStyle w:val="Standard"/>
      </w:pPr>
      <w:r>
        <w:t xml:space="preserve">The </w:t>
      </w:r>
      <w:r w:rsidR="000D11CE">
        <w:t xml:space="preserve">Joint RENs </w:t>
      </w:r>
      <w:r w:rsidR="008B4735">
        <w:t xml:space="preserve">emphasize </w:t>
      </w:r>
      <w:r w:rsidR="006457E2">
        <w:t xml:space="preserve">the </w:t>
      </w:r>
      <w:r w:rsidR="00405716">
        <w:t xml:space="preserve">utilities should </w:t>
      </w:r>
      <w:r w:rsidR="000A16DA">
        <w:t xml:space="preserve">intervene at different “touchpoints” in the service upsizing process to </w:t>
      </w:r>
      <w:r w:rsidR="00405716">
        <w:t xml:space="preserve">make contractors aware of workforce training offerings from </w:t>
      </w:r>
      <w:r w:rsidR="00464310">
        <w:t>utilities, RENs, community choice aggregators</w:t>
      </w:r>
      <w:r w:rsidR="00833F70">
        <w:t xml:space="preserve">, </w:t>
      </w:r>
      <w:r w:rsidR="00833F70">
        <w:lastRenderedPageBreak/>
        <w:t>and others</w:t>
      </w:r>
      <w:r w:rsidR="000A16DA">
        <w:t>. T</w:t>
      </w:r>
      <w:r w:rsidR="00647662">
        <w:t>hey note t</w:t>
      </w:r>
      <w:r w:rsidR="000A16DA">
        <w:t xml:space="preserve">his would be an opportunity to </w:t>
      </w:r>
      <w:r w:rsidR="005B2679">
        <w:t>m</w:t>
      </w:r>
      <w:r w:rsidR="00620743">
        <w:t xml:space="preserve">ake customers and contractors aware of customer programs </w:t>
      </w:r>
      <w:r w:rsidR="009326EF">
        <w:t xml:space="preserve">and funding </w:t>
      </w:r>
      <w:r w:rsidR="00620743">
        <w:t>offered by these entities.</w:t>
      </w:r>
      <w:r w:rsidR="003808B0">
        <w:rPr>
          <w:rStyle w:val="FootnoteReference"/>
        </w:rPr>
        <w:footnoteReference w:id="113"/>
      </w:r>
      <w:r w:rsidR="00620743">
        <w:t xml:space="preserve"> </w:t>
      </w:r>
    </w:p>
    <w:p w:rsidRPr="004166D8" w:rsidR="003E53B7" w:rsidP="00142199" w:rsidRDefault="003E53B7" w14:paraId="2F230E1C" w14:textId="6A72CCA7">
      <w:pPr>
        <w:pStyle w:val="Heading3"/>
      </w:pPr>
      <w:bookmarkStart w:name="_Toc192263696" w:id="365"/>
      <w:bookmarkStart w:name="_Toc200370979" w:id="366"/>
      <w:bookmarkStart w:name="_Toc185579371" w:id="367"/>
      <w:bookmarkStart w:name="_Toc8123721" w:id="368"/>
      <w:r w:rsidRPr="004166D8">
        <w:t>Discussion</w:t>
      </w:r>
      <w:bookmarkEnd w:id="365"/>
      <w:bookmarkEnd w:id="366"/>
    </w:p>
    <w:p w:rsidR="003E53B7" w:rsidP="003E53B7" w:rsidRDefault="003E53B7" w14:paraId="6EE11605" w14:textId="3FC32409">
      <w:pPr>
        <w:pStyle w:val="Standard"/>
      </w:pPr>
      <w:r>
        <w:t>As outlined in the Phase 4A Staff Proposal, service upsizing can be a costly and time-consuming process for customer</w:t>
      </w:r>
      <w:r w:rsidR="00B85117">
        <w:t>s</w:t>
      </w:r>
      <w:r>
        <w:t xml:space="preserve"> and utilit</w:t>
      </w:r>
      <w:r w:rsidR="00B85117">
        <w:t>ies</w:t>
      </w:r>
      <w:r>
        <w:t xml:space="preserve">. It is important </w:t>
      </w:r>
      <w:r w:rsidR="00B85117">
        <w:t>t</w:t>
      </w:r>
      <w:r w:rsidR="00512B14">
        <w:t>hat other reasonable alternatives to service upsizing are considered before</w:t>
      </w:r>
      <w:r>
        <w:t xml:space="preserve"> pursu</w:t>
      </w:r>
      <w:r w:rsidR="00512B14">
        <w:t>ing service upsizing</w:t>
      </w:r>
      <w:r w:rsidR="00B85117">
        <w:t>;</w:t>
      </w:r>
      <w:r>
        <w:t xml:space="preserve"> this reduces the overall volume of service upsizing requests. </w:t>
      </w:r>
    </w:p>
    <w:p w:rsidR="003E53B7" w:rsidP="003E53B7" w:rsidRDefault="003E53B7" w14:paraId="4C16B374" w14:textId="336B935E">
      <w:pPr>
        <w:pStyle w:val="Standard"/>
      </w:pPr>
      <w:r>
        <w:t>As noted by several party comments, there needs to be more education provided to customers and contractors around alternatives to service upsizing. Panel and service optimization strategies and technologies are relatively new</w:t>
      </w:r>
      <w:r w:rsidR="00D15837">
        <w:t>.</w:t>
      </w:r>
      <w:r w:rsidR="00271B04">
        <w:t xml:space="preserve"> The</w:t>
      </w:r>
      <w:r>
        <w:t xml:space="preserve"> contractors, utility staff, and customers </w:t>
      </w:r>
      <w:r w:rsidR="00CF234F">
        <w:t>will need to be informed of</w:t>
      </w:r>
      <w:r>
        <w:t xml:space="preserve"> these options and be able to provide information as to when they should be pursued, and </w:t>
      </w:r>
      <w:r w:rsidR="00B85117">
        <w:t xml:space="preserve">to understand </w:t>
      </w:r>
      <w:r>
        <w:t>the benefits and limitations of these strategies. Given the n</w:t>
      </w:r>
      <w:r w:rsidR="00B85117">
        <w:t>ovelty</w:t>
      </w:r>
      <w:r>
        <w:t xml:space="preserve"> of these strategies, the Commission acknowledges the benefit of ensuring customers and contractors are fully aware of alternatives to panel upsizing. </w:t>
      </w:r>
    </w:p>
    <w:p w:rsidR="003E53B7" w:rsidP="003E53B7" w:rsidRDefault="003E53B7" w14:paraId="1DEF49E0" w14:textId="41015F01">
      <w:pPr>
        <w:pStyle w:val="Standard"/>
      </w:pPr>
      <w:r>
        <w:t xml:space="preserve">Accordingly, </w:t>
      </w:r>
      <w:r w:rsidRPr="00111B84" w:rsidR="00111B84">
        <w:t>within 180 days of the issuance of this decision or as soon as practicable thereafter</w:t>
      </w:r>
      <w:r w:rsidR="00111B84">
        <w:t>,</w:t>
      </w:r>
      <w:r w:rsidRPr="00111B84" w:rsidR="00111B84">
        <w:t xml:space="preserve"> </w:t>
      </w:r>
      <w:r>
        <w:t xml:space="preserve">Energy Division staff will work with the TECH Initiative implementer to develop and maintain a website containing resources about alternatives to electric service and panel upsizing (“weblink”), and share the weblink with the service list of this proceeding. The TECH Initiative implementer may leverage existing or upcoming studies and resources to minimize redundancies. For example, the CEC recently awarded a grant to support decision-making tools that help avoid electrical panel upgrades for single family homes; materials and outputs of this grant could be made available </w:t>
      </w:r>
      <w:r>
        <w:lastRenderedPageBreak/>
        <w:t>on the website.</w:t>
      </w:r>
      <w:r>
        <w:rPr>
          <w:rStyle w:val="FootnoteReference"/>
        </w:rPr>
        <w:footnoteReference w:id="114"/>
      </w:r>
      <w:r w:rsidRPr="00674819" w:rsidR="00674819">
        <w:t xml:space="preserve"> These resources </w:t>
      </w:r>
      <w:r w:rsidR="00401156">
        <w:t>must</w:t>
      </w:r>
      <w:r w:rsidRPr="00674819" w:rsidR="00674819">
        <w:t xml:space="preserve"> </w:t>
      </w:r>
      <w:r w:rsidR="00004C12">
        <w:t>instruct</w:t>
      </w:r>
      <w:r w:rsidRPr="00674819" w:rsidR="00674819">
        <w:t xml:space="preserve"> customers and contractors on how to comply with Electric </w:t>
      </w:r>
      <w:r w:rsidR="00D34477">
        <w:t xml:space="preserve">Tariff </w:t>
      </w:r>
      <w:r w:rsidRPr="00674819" w:rsidR="00674819">
        <w:t>Rule 3.C, which require a customer to immediately inform their electric utility of any changes in electrical load.</w:t>
      </w:r>
    </w:p>
    <w:p w:rsidR="003E53B7" w:rsidP="003E53B7" w:rsidRDefault="003E53B7" w14:paraId="7FF1DCF4" w14:textId="21CA5961">
      <w:pPr>
        <w:pStyle w:val="Standard"/>
      </w:pPr>
      <w:r>
        <w:t xml:space="preserve">We also recognize creating and maintaining resources that keep up with industry innovations for alternatives to service upsizing comes with a cost. Creating and maintaining these resources centrally would be more ideal than requiring each utility to do </w:t>
      </w:r>
      <w:r w:rsidR="00EF2B06">
        <w:t>so separately</w:t>
      </w:r>
      <w:r>
        <w:t>. The TECH Initiative is well-positioned to take on this task</w:t>
      </w:r>
      <w:r w:rsidR="00EF2B06">
        <w:t>,</w:t>
      </w:r>
      <w:r>
        <w:t xml:space="preserve"> as it already engages with multiple industry actors and customers to ease building electrification.</w:t>
      </w:r>
    </w:p>
    <w:p w:rsidRPr="009655E2" w:rsidR="003E53B7" w:rsidP="003E53B7" w:rsidRDefault="00EF76D8" w14:paraId="7CB680E3" w14:textId="7C39CA94">
      <w:pPr>
        <w:pStyle w:val="Standard"/>
      </w:pPr>
      <w:r>
        <w:t>W</w:t>
      </w:r>
      <w:r w:rsidRPr="00EF76D8">
        <w:t>ithin 270 days of the issuance of this decision, or within 90 days after the TECH Initiative implementers share the weblink with the service list, whichever comes first</w:t>
      </w:r>
      <w:r w:rsidR="003C1496">
        <w:t>,</w:t>
      </w:r>
      <w:r w:rsidR="003E53B7">
        <w:t xml:space="preserve"> all electric utilities, </w:t>
      </w:r>
      <w:r w:rsidR="00145DEB">
        <w:t>both large IOUs and</w:t>
      </w:r>
      <w:r w:rsidR="003E53B7">
        <w:t xml:space="preserve"> SMJUs, </w:t>
      </w:r>
      <w:r w:rsidR="003C1496">
        <w:t>shall</w:t>
      </w:r>
      <w:r w:rsidR="003E53B7">
        <w:t xml:space="preserve"> link and reference the weblink shared by the TECH Initiative implementer on utility websites. </w:t>
      </w:r>
      <w:r w:rsidR="00382017">
        <w:t xml:space="preserve">The </w:t>
      </w:r>
      <w:r w:rsidR="00B02B83">
        <w:t>web</w:t>
      </w:r>
      <w:r w:rsidR="00382017">
        <w:t>link</w:t>
      </w:r>
      <w:r w:rsidR="003E53B7">
        <w:t xml:space="preserve"> shall be </w:t>
      </w:r>
      <w:r w:rsidR="00382017">
        <w:t>included on</w:t>
      </w:r>
      <w:r w:rsidR="003E53B7">
        <w:t xml:space="preserve"> </w:t>
      </w:r>
      <w:r w:rsidR="00382017">
        <w:t>electric utility</w:t>
      </w:r>
      <w:r w:rsidR="003E53B7">
        <w:t xml:space="preserve"> web locations customers are likely to visit in the process of requesting service line upsizing, such as on utility application web portals for service upsizing requests. These educational materials shall, at minimum, provide information to customers about the strategies and technologies discussed in the Phase 4A Staff Proposal (</w:t>
      </w:r>
      <w:r w:rsidRPr="00172C3D" w:rsidR="003E53B7">
        <w:t>Section 5.</w:t>
      </w:r>
      <w:r w:rsidR="003E53B7">
        <w:t xml:space="preserve">1 of this decision) and authorized as new measures for </w:t>
      </w:r>
      <w:r w:rsidR="00240655">
        <w:t>AB </w:t>
      </w:r>
      <w:r w:rsidR="003E53B7">
        <w:t>157 implementation (</w:t>
      </w:r>
      <w:r w:rsidRPr="00172C3D" w:rsidR="003E53B7">
        <w:t>Section 8.3.</w:t>
      </w:r>
      <w:r w:rsidR="009D48AD">
        <w:t>2</w:t>
      </w:r>
      <w:r w:rsidR="003E53B7">
        <w:t xml:space="preserve"> of this decision).</w:t>
      </w:r>
    </w:p>
    <w:p w:rsidR="003E53B7" w:rsidP="003E53B7" w:rsidRDefault="003E53B7" w14:paraId="007B753C" w14:textId="43C05D7C">
      <w:pPr>
        <w:pStyle w:val="Standard"/>
      </w:pPr>
      <w:r w:rsidRPr="009655E2">
        <w:t xml:space="preserve">We direct </w:t>
      </w:r>
      <w:r>
        <w:t>all</w:t>
      </w:r>
      <w:r w:rsidRPr="009655E2">
        <w:t xml:space="preserve"> electric utilit</w:t>
      </w:r>
      <w:r>
        <w:t>ies</w:t>
      </w:r>
      <w:r w:rsidRPr="009655E2">
        <w:t xml:space="preserve"> to engage with service upsizing applicants about alternatives to service upsizing prior to any application submission.</w:t>
      </w:r>
      <w:r>
        <w:t xml:space="preserve"> There should be confirmation that applicants reviewed these materials, but we acknowledge parties’ concerns about the resources needed for collecting proof as </w:t>
      </w:r>
      <w:r>
        <w:lastRenderedPageBreak/>
        <w:t xml:space="preserve">to whether these options have been considered. We </w:t>
      </w:r>
      <w:r w:rsidR="009B0839">
        <w:t xml:space="preserve">also </w:t>
      </w:r>
      <w:r>
        <w:t>acknowledge any steps added to the process should not add un</w:t>
      </w:r>
      <w:r w:rsidR="008750B4">
        <w:t>due</w:t>
      </w:r>
      <w:r>
        <w:t xml:space="preserve"> administrative burden to applicants or costs to ratepayers.</w:t>
      </w:r>
    </w:p>
    <w:p w:rsidR="003E53B7" w:rsidP="00267609" w:rsidRDefault="00267609" w14:paraId="1B4D4083" w14:textId="780D3E3F">
      <w:pPr>
        <w:pStyle w:val="Standard"/>
      </w:pPr>
      <w:r>
        <w:t>I</w:t>
      </w:r>
      <w:r w:rsidR="0001083E">
        <w:t>n addition, t</w:t>
      </w:r>
      <w:r w:rsidR="00DC47D0">
        <w:t>he</w:t>
      </w:r>
      <w:r w:rsidR="003E53B7">
        <w:t xml:space="preserve"> electric utilities shall also collect a simple attestation form from applicant</w:t>
      </w:r>
      <w:r w:rsidR="00DC47D0">
        <w:t>s</w:t>
      </w:r>
      <w:r w:rsidR="003E53B7">
        <w:t xml:space="preserve"> confirming </w:t>
      </w:r>
      <w:r w:rsidR="000A417F">
        <w:t>receipt of</w:t>
      </w:r>
      <w:r w:rsidR="003E53B7">
        <w:t xml:space="preserve"> the materials</w:t>
      </w:r>
      <w:r w:rsidR="000A417F">
        <w:t xml:space="preserve"> referenced above</w:t>
      </w:r>
      <w:r w:rsidR="003E53B7">
        <w:t>. We are not persuaded by some part</w:t>
      </w:r>
      <w:r w:rsidR="009B0839">
        <w:t>y</w:t>
      </w:r>
      <w:r w:rsidR="003E53B7">
        <w:t xml:space="preserve"> comments that only certain customers, based on their existing service size, should be required to </w:t>
      </w:r>
      <w:r w:rsidR="00DC47D0">
        <w:t>complete</w:t>
      </w:r>
      <w:r w:rsidR="003E53B7">
        <w:t xml:space="preserve"> attestation form</w:t>
      </w:r>
      <w:r w:rsidR="00DC47D0">
        <w:t>s</w:t>
      </w:r>
      <w:r w:rsidR="003E53B7">
        <w:t xml:space="preserve">. However, we recognize administrative simplicity is important, and that all applicants should be </w:t>
      </w:r>
      <w:r w:rsidR="00DC47D0">
        <w:t>informed</w:t>
      </w:r>
      <w:r w:rsidR="003E53B7">
        <w:t xml:space="preserve"> of these alternatives regardless of their service size. Therefore, we direct all electric utilities to make this attestation form a requirement for all applicants seeking a service line upsizing, without requiring electric utilities to make distinctions between applicants based on existing service size or reason</w:t>
      </w:r>
      <w:r w:rsidR="00DC47D0">
        <w:t>s</w:t>
      </w:r>
      <w:r w:rsidR="003E53B7">
        <w:t xml:space="preserve"> for pursuing upsizing.</w:t>
      </w:r>
    </w:p>
    <w:p w:rsidR="003E53B7" w:rsidP="003E53B7" w:rsidRDefault="003E53B7" w14:paraId="7DB0A087" w14:textId="6B298762">
      <w:pPr>
        <w:pStyle w:val="Standard"/>
      </w:pPr>
      <w:r>
        <w:t xml:space="preserve">As </w:t>
      </w:r>
      <w:r w:rsidR="008939C6">
        <w:t>noted</w:t>
      </w:r>
      <w:r>
        <w:t xml:space="preserve"> by several parties, educating customers and contractors before a service line upsizing application is submitted </w:t>
      </w:r>
      <w:r w:rsidR="00676039">
        <w:t>is</w:t>
      </w:r>
      <w:r>
        <w:t xml:space="preserve"> very important, and there should be broader education efforts for customers, contractors, and utility staff around alternatives to panel upsizing. Moreover, there is a need to explore how  these strategies are incorporated into other programs and training, including workforce training programs. </w:t>
      </w:r>
    </w:p>
    <w:p w:rsidR="003E53B7" w:rsidP="003E53B7" w:rsidRDefault="00042B4A" w14:paraId="7C0B568F" w14:textId="44E6F4B2">
      <w:pPr>
        <w:pStyle w:val="Standard"/>
      </w:pPr>
      <w:r>
        <w:t>Although we</w:t>
      </w:r>
      <w:r w:rsidR="003E53B7">
        <w:t xml:space="preserve"> find SBUA’s idea of a “one-stop shop” for electrification and customer programs compelling, </w:t>
      </w:r>
      <w:r>
        <w:t xml:space="preserve">we </w:t>
      </w:r>
      <w:r w:rsidR="00BB6D1E">
        <w:t xml:space="preserve">decline to </w:t>
      </w:r>
      <w:r w:rsidR="00EF0DFF">
        <w:t>adopt this</w:t>
      </w:r>
      <w:r w:rsidR="00BB6D1E">
        <w:t xml:space="preserve"> proposal</w:t>
      </w:r>
      <w:r>
        <w:t xml:space="preserve"> </w:t>
      </w:r>
      <w:r w:rsidR="00EF0DFF">
        <w:t>at this time</w:t>
      </w:r>
      <w:r w:rsidR="00DC47D0">
        <w:t>.</w:t>
      </w:r>
      <w:r w:rsidR="003E53B7">
        <w:t xml:space="preserve"> </w:t>
      </w:r>
    </w:p>
    <w:p w:rsidRPr="009D1072" w:rsidR="008157FC" w:rsidP="00021315" w:rsidRDefault="00766D43" w14:paraId="0A5602A8" w14:textId="2B113BD4">
      <w:pPr>
        <w:pStyle w:val="Heading1"/>
      </w:pPr>
      <w:bookmarkStart w:name="_Toc192263697" w:id="369"/>
      <w:bookmarkStart w:name="_Toc200370980" w:id="370"/>
      <w:r w:rsidRPr="009D1072">
        <w:t xml:space="preserve">Revisiting </w:t>
      </w:r>
      <w:r w:rsidRPr="009D1072" w:rsidR="008157FC">
        <w:t>Aspects of D.23-12-037</w:t>
      </w:r>
      <w:bookmarkEnd w:id="367"/>
      <w:bookmarkEnd w:id="369"/>
      <w:bookmarkEnd w:id="370"/>
    </w:p>
    <w:p w:rsidR="00153A65" w:rsidP="00153A65" w:rsidRDefault="00153A65" w14:paraId="7D3E35A0" w14:textId="39F12E19">
      <w:pPr>
        <w:pStyle w:val="Standard"/>
        <w:rPr>
          <w:rFonts w:eastAsia="Book Antiqua" w:cs="Book Antiqua"/>
        </w:rPr>
      </w:pPr>
      <w:r>
        <w:t>The Phase 4 Scoping Memo directed parties to file comments on w</w:t>
      </w:r>
      <w:r w:rsidRPr="65ED421C">
        <w:rPr>
          <w:rFonts w:eastAsia="Book Antiqua" w:cs="Book Antiqua"/>
        </w:rPr>
        <w:t xml:space="preserve">hether the Commission should </w:t>
      </w:r>
      <w:r w:rsidR="00E41442">
        <w:rPr>
          <w:rFonts w:eastAsia="Book Antiqua" w:cs="Book Antiqua"/>
        </w:rPr>
        <w:t>modify</w:t>
      </w:r>
      <w:r w:rsidRPr="65ED421C">
        <w:rPr>
          <w:rFonts w:eastAsia="Book Antiqua" w:cs="Book Antiqua"/>
        </w:rPr>
        <w:t xml:space="preserve"> the </w:t>
      </w:r>
      <w:r w:rsidR="00E41442">
        <w:rPr>
          <w:rFonts w:eastAsia="Book Antiqua" w:cs="Book Antiqua"/>
        </w:rPr>
        <w:t xml:space="preserve">existing </w:t>
      </w:r>
      <w:r w:rsidR="006C4487">
        <w:rPr>
          <w:rFonts w:eastAsia="Book Antiqua" w:cs="Book Antiqua"/>
        </w:rPr>
        <w:t xml:space="preserve">energization </w:t>
      </w:r>
      <w:r w:rsidRPr="78265804">
        <w:rPr>
          <w:rFonts w:eastAsia="Book Antiqua" w:cs="Book Antiqua"/>
        </w:rPr>
        <w:t>deadline for</w:t>
      </w:r>
      <w:r w:rsidRPr="2DF9BB4E">
        <w:rPr>
          <w:rFonts w:eastAsia="Book Antiqua" w:cs="Book Antiqua"/>
        </w:rPr>
        <w:t xml:space="preserve"> mixed-fuel </w:t>
      </w:r>
      <w:r w:rsidRPr="1E621EE8">
        <w:rPr>
          <w:rFonts w:eastAsia="Book Antiqua" w:cs="Book Antiqua"/>
        </w:rPr>
        <w:t xml:space="preserve">new </w:t>
      </w:r>
      <w:r w:rsidRPr="59F41A43">
        <w:rPr>
          <w:rFonts w:eastAsia="Book Antiqua" w:cs="Book Antiqua"/>
        </w:rPr>
        <w:t xml:space="preserve">construction </w:t>
      </w:r>
      <w:r w:rsidRPr="23064AFF">
        <w:rPr>
          <w:rFonts w:eastAsia="Book Antiqua" w:cs="Book Antiqua"/>
        </w:rPr>
        <w:t>projects</w:t>
      </w:r>
      <w:r w:rsidR="006C4487">
        <w:rPr>
          <w:rFonts w:eastAsia="Book Antiqua" w:cs="Book Antiqua"/>
        </w:rPr>
        <w:t xml:space="preserve"> seeking </w:t>
      </w:r>
      <w:r w:rsidR="007C7DC4">
        <w:rPr>
          <w:rFonts w:eastAsia="Book Antiqua" w:cs="Book Antiqua"/>
        </w:rPr>
        <w:t>electric line extension subsidies</w:t>
      </w:r>
      <w:r w:rsidRPr="23064AFF">
        <w:rPr>
          <w:rFonts w:eastAsia="Book Antiqua" w:cs="Book Antiqua"/>
        </w:rPr>
        <w:t>, which</w:t>
      </w:r>
      <w:r w:rsidRPr="17EA48B6">
        <w:rPr>
          <w:rFonts w:eastAsia="Book Antiqua" w:cs="Book Antiqua"/>
        </w:rPr>
        <w:t xml:space="preserve"> </w:t>
      </w:r>
      <w:r w:rsidRPr="0D2BEDD1">
        <w:rPr>
          <w:rFonts w:eastAsia="Book Antiqua" w:cs="Book Antiqua"/>
        </w:rPr>
        <w:t xml:space="preserve">is </w:t>
      </w:r>
      <w:r w:rsidRPr="16C9C7CD">
        <w:rPr>
          <w:rFonts w:eastAsia="Book Antiqua" w:cs="Book Antiqua"/>
        </w:rPr>
        <w:lastRenderedPageBreak/>
        <w:t xml:space="preserve">currently </w:t>
      </w:r>
      <w:r w:rsidRPr="20DD59DC">
        <w:rPr>
          <w:rFonts w:eastAsia="Book Antiqua" w:cs="Book Antiqua"/>
        </w:rPr>
        <w:t>established</w:t>
      </w:r>
      <w:r w:rsidRPr="63A99DFF">
        <w:rPr>
          <w:rFonts w:eastAsia="Book Antiqua" w:cs="Book Antiqua"/>
        </w:rPr>
        <w:t xml:space="preserve"> </w:t>
      </w:r>
      <w:r w:rsidRPr="45530298">
        <w:rPr>
          <w:rFonts w:eastAsia="Book Antiqua" w:cs="Book Antiqua"/>
        </w:rPr>
        <w:t>no</w:t>
      </w:r>
      <w:r w:rsidRPr="1D7041A9">
        <w:rPr>
          <w:rFonts w:eastAsia="Book Antiqua" w:cs="Book Antiqua"/>
        </w:rPr>
        <w:t xml:space="preserve"> </w:t>
      </w:r>
      <w:r w:rsidRPr="7DF5802A">
        <w:rPr>
          <w:rFonts w:eastAsia="Book Antiqua" w:cs="Book Antiqua"/>
        </w:rPr>
        <w:t>later</w:t>
      </w:r>
      <w:r w:rsidRPr="74565A3C">
        <w:rPr>
          <w:rFonts w:eastAsia="Book Antiqua" w:cs="Book Antiqua"/>
        </w:rPr>
        <w:t xml:space="preserve"> than</w:t>
      </w:r>
      <w:r w:rsidRPr="329D3698">
        <w:rPr>
          <w:rFonts w:eastAsia="Book Antiqua" w:cs="Book Antiqua"/>
        </w:rPr>
        <w:t xml:space="preserve"> </w:t>
      </w:r>
      <w:r w:rsidRPr="73E3C092">
        <w:rPr>
          <w:rFonts w:eastAsia="Book Antiqua" w:cs="Book Antiqua"/>
        </w:rPr>
        <w:t xml:space="preserve">12 months </w:t>
      </w:r>
      <w:r w:rsidRPr="6FD8718A">
        <w:rPr>
          <w:rFonts w:eastAsia="Book Antiqua" w:cs="Book Antiqua"/>
        </w:rPr>
        <w:t>after</w:t>
      </w:r>
      <w:r w:rsidRPr="38821288">
        <w:rPr>
          <w:rFonts w:eastAsia="Book Antiqua" w:cs="Book Antiqua"/>
        </w:rPr>
        <w:t xml:space="preserve"> July 1</w:t>
      </w:r>
      <w:r w:rsidRPr="47192617">
        <w:rPr>
          <w:rFonts w:eastAsia="Book Antiqua" w:cs="Book Antiqua"/>
        </w:rPr>
        <w:t xml:space="preserve">, </w:t>
      </w:r>
      <w:r w:rsidRPr="47192617" w:rsidR="008C7B4A">
        <w:rPr>
          <w:rFonts w:eastAsia="Book Antiqua" w:cs="Book Antiqua"/>
        </w:rPr>
        <w:t>2024,</w:t>
      </w:r>
      <w:r w:rsidRPr="65ED421C">
        <w:rPr>
          <w:rFonts w:eastAsia="Book Antiqua" w:cs="Book Antiqua"/>
        </w:rPr>
        <w:t xml:space="preserve"> </w:t>
      </w:r>
      <w:r w:rsidR="000B2307">
        <w:rPr>
          <w:rFonts w:eastAsia="Book Antiqua" w:cs="Book Antiqua"/>
        </w:rPr>
        <w:t xml:space="preserve">pursuant to Ordering </w:t>
      </w:r>
      <w:r w:rsidR="00237C5A">
        <w:rPr>
          <w:rFonts w:eastAsia="Book Antiqua" w:cs="Book Antiqua"/>
        </w:rPr>
        <w:t>Paragraph</w:t>
      </w:r>
      <w:r w:rsidR="0091669E">
        <w:rPr>
          <w:rFonts w:eastAsia="Book Antiqua" w:cs="Book Antiqua"/>
        </w:rPr>
        <w:t xml:space="preserve"> (OP)</w:t>
      </w:r>
      <w:r w:rsidR="000B2307">
        <w:rPr>
          <w:rFonts w:eastAsia="Book Antiqua" w:cs="Book Antiqua"/>
        </w:rPr>
        <w:t xml:space="preserve"> 5 of</w:t>
      </w:r>
      <w:r w:rsidRPr="65ED421C">
        <w:rPr>
          <w:rFonts w:eastAsia="Book Antiqua" w:cs="Book Antiqua"/>
        </w:rPr>
        <w:t xml:space="preserve"> D.23-12-037</w:t>
      </w:r>
      <w:r w:rsidR="00237C5A">
        <w:rPr>
          <w:rFonts w:eastAsia="Book Antiqua" w:cs="Book Antiqua"/>
        </w:rPr>
        <w:t>,</w:t>
      </w:r>
      <w:r w:rsidRPr="65ED421C">
        <w:rPr>
          <w:rFonts w:eastAsia="Book Antiqua" w:cs="Book Antiqua"/>
        </w:rPr>
        <w:t xml:space="preserve"> and, if so, under what circumstances.</w:t>
      </w:r>
    </w:p>
    <w:p w:rsidR="000D66CD" w:rsidP="001A6407" w:rsidRDefault="009860AA" w14:paraId="7987E46B" w14:textId="7905E23F">
      <w:pPr>
        <w:pStyle w:val="Standard"/>
        <w:rPr>
          <w:rFonts w:eastAsia="Book Antiqua" w:cs="Book Antiqua"/>
        </w:rPr>
      </w:pPr>
      <w:r>
        <w:rPr>
          <w:rFonts w:eastAsia="Book Antiqua" w:cs="Book Antiqua"/>
        </w:rPr>
        <w:t>Parties were a</w:t>
      </w:r>
      <w:r w:rsidR="00150613">
        <w:rPr>
          <w:rFonts w:eastAsia="Book Antiqua" w:cs="Book Antiqua"/>
        </w:rPr>
        <w:t>lso</w:t>
      </w:r>
      <w:r>
        <w:rPr>
          <w:rFonts w:eastAsia="Book Antiqua" w:cs="Book Antiqua"/>
        </w:rPr>
        <w:t xml:space="preserve"> directed to </w:t>
      </w:r>
      <w:r w:rsidR="004F77DE">
        <w:rPr>
          <w:rFonts w:eastAsia="Book Antiqua" w:cs="Book Antiqua"/>
        </w:rPr>
        <w:t xml:space="preserve">comment on whether SDG&amp;E should </w:t>
      </w:r>
      <w:r w:rsidRPr="002E6DAF" w:rsidR="002E6DAF">
        <w:rPr>
          <w:rFonts w:eastAsia="Book Antiqua" w:cs="Book Antiqua"/>
        </w:rPr>
        <w:t xml:space="preserve">be </w:t>
      </w:r>
      <w:r w:rsidR="00B76860">
        <w:rPr>
          <w:rFonts w:eastAsia="Book Antiqua" w:cs="Book Antiqua"/>
        </w:rPr>
        <w:t>directed</w:t>
      </w:r>
      <w:r w:rsidRPr="002E6DAF" w:rsidR="002E6DAF">
        <w:rPr>
          <w:rFonts w:eastAsia="Book Antiqua" w:cs="Book Antiqua"/>
        </w:rPr>
        <w:t xml:space="preserve"> to </w:t>
      </w:r>
      <w:r w:rsidR="00B76860">
        <w:rPr>
          <w:rFonts w:eastAsia="Book Antiqua" w:cs="Book Antiqua"/>
        </w:rPr>
        <w:t>update</w:t>
      </w:r>
      <w:r w:rsidRPr="002E6DAF" w:rsidR="002E6DAF">
        <w:rPr>
          <w:rFonts w:eastAsia="Book Antiqua" w:cs="Book Antiqua"/>
        </w:rPr>
        <w:t xml:space="preserve"> their </w:t>
      </w:r>
      <w:r w:rsidR="004E63B6">
        <w:rPr>
          <w:rFonts w:eastAsia="Book Antiqua" w:cs="Book Antiqua"/>
        </w:rPr>
        <w:t xml:space="preserve">Tariff </w:t>
      </w:r>
      <w:r w:rsidRPr="002E6DAF" w:rsidR="002E6DAF">
        <w:rPr>
          <w:rFonts w:eastAsia="Book Antiqua" w:cs="Book Antiqua"/>
        </w:rPr>
        <w:t>Rule 13</w:t>
      </w:r>
      <w:r w:rsidRPr="00423C89" w:rsidR="00423C89">
        <w:t xml:space="preserve"> </w:t>
      </w:r>
      <w:r w:rsidRPr="00423C89" w:rsidR="00423C89">
        <w:rPr>
          <w:rFonts w:eastAsia="Book Antiqua" w:cs="Book Antiqua"/>
        </w:rPr>
        <w:t xml:space="preserve">gas and electric rules in conformance with the other gas and electric </w:t>
      </w:r>
      <w:r w:rsidR="00F71515">
        <w:rPr>
          <w:rFonts w:eastAsia="Book Antiqua" w:cs="Book Antiqua"/>
        </w:rPr>
        <w:t>utilities</w:t>
      </w:r>
      <w:r w:rsidR="00FF4919">
        <w:rPr>
          <w:rFonts w:eastAsia="Book Antiqua" w:cs="Book Antiqua"/>
        </w:rPr>
        <w:t xml:space="preserve">, noting that, unlike the other </w:t>
      </w:r>
      <w:r w:rsidR="00F71515">
        <w:t>electric utilities</w:t>
      </w:r>
      <w:r w:rsidR="00FF4919">
        <w:rPr>
          <w:rFonts w:eastAsia="Book Antiqua" w:cs="Book Antiqua"/>
        </w:rPr>
        <w:t xml:space="preserve">, </w:t>
      </w:r>
      <w:r w:rsidRPr="00FF4919" w:rsidR="00FF4919">
        <w:rPr>
          <w:rFonts w:eastAsia="Book Antiqua" w:cs="Book Antiqua"/>
        </w:rPr>
        <w:t xml:space="preserve">SDG&amp;E did not make conforming changes to line extension subsidies for temporary facilities governed by </w:t>
      </w:r>
      <w:r w:rsidR="00B76860">
        <w:rPr>
          <w:rFonts w:eastAsia="Book Antiqua" w:cs="Book Antiqua"/>
        </w:rPr>
        <w:t xml:space="preserve">Electric </w:t>
      </w:r>
      <w:r w:rsidR="00EF311F">
        <w:rPr>
          <w:rFonts w:eastAsia="Book Antiqua" w:cs="Book Antiqua"/>
        </w:rPr>
        <w:t xml:space="preserve">Tariff </w:t>
      </w:r>
      <w:r w:rsidRPr="00FF4919" w:rsidR="00FF4919">
        <w:rPr>
          <w:rFonts w:eastAsia="Book Antiqua" w:cs="Book Antiqua"/>
        </w:rPr>
        <w:t>Rule 13 as a response to either D.22-09-026</w:t>
      </w:r>
      <w:r w:rsidR="00E33762">
        <w:rPr>
          <w:rFonts w:eastAsia="Book Antiqua" w:cs="Book Antiqua"/>
        </w:rPr>
        <w:t xml:space="preserve">, </w:t>
      </w:r>
      <w:r w:rsidRPr="00FF4919" w:rsidR="00FF4919">
        <w:rPr>
          <w:rFonts w:eastAsia="Book Antiqua" w:cs="Book Antiqua"/>
        </w:rPr>
        <w:t>Resolution G-3598 or D.23-12-037</w:t>
      </w:r>
      <w:r w:rsidR="001A6407">
        <w:rPr>
          <w:rFonts w:eastAsia="Book Antiqua" w:cs="Book Antiqua"/>
        </w:rPr>
        <w:t>.</w:t>
      </w:r>
    </w:p>
    <w:p w:rsidRPr="009D1072" w:rsidR="00146080" w:rsidP="00863EAE" w:rsidRDefault="006C5C66" w14:paraId="0C965FC9" w14:textId="145C105D">
      <w:pPr>
        <w:pStyle w:val="Heading2"/>
      </w:pPr>
      <w:bookmarkStart w:name="_Toc185579372" w:id="371"/>
      <w:bookmarkStart w:name="_Toc192263698" w:id="372"/>
      <w:bookmarkStart w:name="_Toc200370981" w:id="373"/>
      <w:r w:rsidRPr="009D1072">
        <w:t>Modifying</w:t>
      </w:r>
      <w:r w:rsidRPr="009D1072" w:rsidR="008157FC">
        <w:t xml:space="preserve"> </w:t>
      </w:r>
      <w:r w:rsidRPr="009D1072" w:rsidR="00766D43">
        <w:t xml:space="preserve">the </w:t>
      </w:r>
      <w:r w:rsidRPr="009D1072" w:rsidR="00890E71">
        <w:t xml:space="preserve">Energization </w:t>
      </w:r>
      <w:r w:rsidRPr="009D1072" w:rsidR="00990E84">
        <w:t>Deadline</w:t>
      </w:r>
      <w:r w:rsidRPr="009D1072" w:rsidR="008B6DA8">
        <w:t xml:space="preserve"> </w:t>
      </w:r>
      <w:r w:rsidRPr="009D1072" w:rsidR="00890E71">
        <w:t>for</w:t>
      </w:r>
      <w:r w:rsidRPr="009D1072" w:rsidR="00E06A06">
        <w:t xml:space="preserve"> Mixed-Fuel New Construction </w:t>
      </w:r>
      <w:r w:rsidRPr="009D1072" w:rsidR="00890E71">
        <w:t>Projects</w:t>
      </w:r>
      <w:r w:rsidRPr="009D1072" w:rsidR="00C544AF">
        <w:t xml:space="preserve"> </w:t>
      </w:r>
      <w:r w:rsidRPr="009D1072" w:rsidR="004D1C84">
        <w:t>Seeking</w:t>
      </w:r>
      <w:r w:rsidRPr="009D1072" w:rsidR="000D6B3E">
        <w:t xml:space="preserve"> </w:t>
      </w:r>
      <w:r w:rsidRPr="009D1072" w:rsidR="004D1C84">
        <w:t>Electric Line Extension Subsidies</w:t>
      </w:r>
      <w:bookmarkEnd w:id="371"/>
      <w:bookmarkEnd w:id="372"/>
      <w:bookmarkEnd w:id="373"/>
    </w:p>
    <w:p w:rsidRPr="009D1072" w:rsidR="00766D43" w:rsidP="00863EAE" w:rsidRDefault="00766D43" w14:paraId="37F08A20" w14:textId="71C589E3">
      <w:pPr>
        <w:pStyle w:val="Heading3"/>
      </w:pPr>
      <w:bookmarkStart w:name="_Toc184680244" w:id="374"/>
      <w:bookmarkStart w:name="_Toc184830925" w:id="375"/>
      <w:bookmarkStart w:name="_Toc184831176" w:id="376"/>
      <w:bookmarkStart w:name="_Toc184840684" w:id="377"/>
      <w:bookmarkStart w:name="_Toc184840793" w:id="378"/>
      <w:bookmarkStart w:name="_Toc184854704" w:id="379"/>
      <w:bookmarkStart w:name="_Toc185269671" w:id="380"/>
      <w:bookmarkStart w:name="_Toc185275777" w:id="381"/>
      <w:bookmarkStart w:name="_Toc185278466" w:id="382"/>
      <w:bookmarkStart w:name="_Toc185278570" w:id="383"/>
      <w:bookmarkStart w:name="_Toc185278674" w:id="384"/>
      <w:bookmarkStart w:name="_Toc185278858" w:id="385"/>
      <w:bookmarkStart w:name="_Toc185321819" w:id="386"/>
      <w:bookmarkStart w:name="_Toc185329769" w:id="387"/>
      <w:bookmarkStart w:name="_Toc185366192" w:id="388"/>
      <w:bookmarkStart w:name="_Toc185368848" w:id="389"/>
      <w:bookmarkStart w:name="_Toc185420446" w:id="390"/>
      <w:bookmarkStart w:name="_Toc185421262" w:id="391"/>
      <w:bookmarkStart w:name="_Toc185422559" w:id="392"/>
      <w:bookmarkStart w:name="_Toc185425576" w:id="393"/>
      <w:bookmarkStart w:name="_Toc185496650" w:id="394"/>
      <w:bookmarkStart w:name="_Toc185496860" w:id="395"/>
      <w:bookmarkStart w:name="_Toc185496971" w:id="396"/>
      <w:bookmarkStart w:name="_Toc184680245" w:id="397"/>
      <w:bookmarkStart w:name="_Toc184830926" w:id="398"/>
      <w:bookmarkStart w:name="_Toc184831177" w:id="399"/>
      <w:bookmarkStart w:name="_Toc184840685" w:id="400"/>
      <w:bookmarkStart w:name="_Toc184840794" w:id="401"/>
      <w:bookmarkStart w:name="_Toc184854705" w:id="402"/>
      <w:bookmarkStart w:name="_Toc185269672" w:id="403"/>
      <w:bookmarkStart w:name="_Toc185275778" w:id="404"/>
      <w:bookmarkStart w:name="_Toc185278467" w:id="405"/>
      <w:bookmarkStart w:name="_Toc185278571" w:id="406"/>
      <w:bookmarkStart w:name="_Toc185278675" w:id="407"/>
      <w:bookmarkStart w:name="_Toc185278859" w:id="408"/>
      <w:bookmarkStart w:name="_Toc185321820" w:id="409"/>
      <w:bookmarkStart w:name="_Toc185329770" w:id="410"/>
      <w:bookmarkStart w:name="_Toc185366193" w:id="411"/>
      <w:bookmarkStart w:name="_Toc185368849" w:id="412"/>
      <w:bookmarkStart w:name="_Toc185420447" w:id="413"/>
      <w:bookmarkStart w:name="_Toc185421263" w:id="414"/>
      <w:bookmarkStart w:name="_Toc185422560" w:id="415"/>
      <w:bookmarkStart w:name="_Toc185425577" w:id="416"/>
      <w:bookmarkStart w:name="_Toc185496651" w:id="417"/>
      <w:bookmarkStart w:name="_Toc185496861" w:id="418"/>
      <w:bookmarkStart w:name="_Toc185496972" w:id="419"/>
      <w:bookmarkStart w:name="_Toc184680246" w:id="420"/>
      <w:bookmarkStart w:name="_Toc184830927" w:id="421"/>
      <w:bookmarkStart w:name="_Toc184831178" w:id="422"/>
      <w:bookmarkStart w:name="_Toc184840686" w:id="423"/>
      <w:bookmarkStart w:name="_Toc184840795" w:id="424"/>
      <w:bookmarkStart w:name="_Toc184854706" w:id="425"/>
      <w:bookmarkStart w:name="_Toc185269673" w:id="426"/>
      <w:bookmarkStart w:name="_Toc185275779" w:id="427"/>
      <w:bookmarkStart w:name="_Toc185278468" w:id="428"/>
      <w:bookmarkStart w:name="_Toc185278572" w:id="429"/>
      <w:bookmarkStart w:name="_Toc185278676" w:id="430"/>
      <w:bookmarkStart w:name="_Toc185278860" w:id="431"/>
      <w:bookmarkStart w:name="_Toc185321821" w:id="432"/>
      <w:bookmarkStart w:name="_Toc185329771" w:id="433"/>
      <w:bookmarkStart w:name="_Toc185366194" w:id="434"/>
      <w:bookmarkStart w:name="_Toc185368850" w:id="435"/>
      <w:bookmarkStart w:name="_Toc185420448" w:id="436"/>
      <w:bookmarkStart w:name="_Toc185421264" w:id="437"/>
      <w:bookmarkStart w:name="_Toc185422561" w:id="438"/>
      <w:bookmarkStart w:name="_Toc185425578" w:id="439"/>
      <w:bookmarkStart w:name="_Toc185496652" w:id="440"/>
      <w:bookmarkStart w:name="_Toc185496862" w:id="441"/>
      <w:bookmarkStart w:name="_Toc185496973" w:id="442"/>
      <w:bookmarkStart w:name="_Toc185579373" w:id="443"/>
      <w:bookmarkStart w:name="_Toc192263699" w:id="444"/>
      <w:bookmarkStart w:name="_Toc200370982" w:id="445"/>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9D1072">
        <w:t>Summary of</w:t>
      </w:r>
      <w:r w:rsidR="00081C88">
        <w:t xml:space="preserve"> Party Positions</w:t>
      </w:r>
      <w:bookmarkEnd w:id="443"/>
      <w:bookmarkEnd w:id="444"/>
      <w:bookmarkEnd w:id="445"/>
    </w:p>
    <w:p w:rsidR="76CA2814" w:rsidP="1FC9B084" w:rsidRDefault="00D97A59" w14:paraId="434E516E" w14:textId="1B7661AB">
      <w:pPr>
        <w:pStyle w:val="Standard"/>
        <w:rPr>
          <w:rStyle w:val="FootnoteReference"/>
          <w:rFonts w:asciiTheme="minorHAnsi" w:hAnsiTheme="minorHAnsi" w:eastAsiaTheme="minorEastAsia"/>
        </w:rPr>
      </w:pPr>
      <w:r>
        <w:rPr>
          <w:rFonts w:eastAsia="Book Antiqua" w:cs="Book Antiqua"/>
        </w:rPr>
        <w:t xml:space="preserve">The </w:t>
      </w:r>
      <w:r w:rsidRPr="1FC9B084" w:rsidR="4F430B4C">
        <w:rPr>
          <w:rFonts w:eastAsia="Book Antiqua" w:cs="Book Antiqua"/>
        </w:rPr>
        <w:t xml:space="preserve">Joint Parties </w:t>
      </w:r>
      <w:r>
        <w:rPr>
          <w:rFonts w:eastAsia="Book Antiqua" w:cs="Book Antiqua"/>
        </w:rPr>
        <w:t>oppose</w:t>
      </w:r>
      <w:r w:rsidRPr="1FC9B084" w:rsidR="4F430B4C">
        <w:rPr>
          <w:rFonts w:eastAsia="Book Antiqua" w:cs="Book Antiqua"/>
        </w:rPr>
        <w:t xml:space="preserve"> </w:t>
      </w:r>
      <w:r w:rsidR="006C5C66">
        <w:rPr>
          <w:rFonts w:eastAsia="Book Antiqua" w:cs="Book Antiqua"/>
        </w:rPr>
        <w:t>modifying</w:t>
      </w:r>
      <w:r w:rsidRPr="1FC9B084" w:rsidR="005872DB">
        <w:rPr>
          <w:rFonts w:eastAsia="Book Antiqua" w:cs="Book Antiqua"/>
        </w:rPr>
        <w:t xml:space="preserve"> </w:t>
      </w:r>
      <w:r w:rsidRPr="1FC9B084" w:rsidR="4F430B4C">
        <w:rPr>
          <w:rFonts w:eastAsia="Book Antiqua" w:cs="Book Antiqua"/>
        </w:rPr>
        <w:t xml:space="preserve">the </w:t>
      </w:r>
      <w:r w:rsidR="006C5C66">
        <w:rPr>
          <w:rFonts w:eastAsia="Book Antiqua" w:cs="Book Antiqua"/>
        </w:rPr>
        <w:t xml:space="preserve">existing </w:t>
      </w:r>
      <w:r w:rsidRPr="1FC9B084" w:rsidR="4F430B4C">
        <w:rPr>
          <w:rFonts w:eastAsia="Book Antiqua" w:cs="Book Antiqua"/>
        </w:rPr>
        <w:t>energization deadline</w:t>
      </w:r>
      <w:r w:rsidRPr="002A5433" w:rsidR="002A5433">
        <w:rPr>
          <w:rFonts w:eastAsia="Book Antiqua" w:cs="Book Antiqua"/>
        </w:rPr>
        <w:t xml:space="preserve"> </w:t>
      </w:r>
      <w:r w:rsidRPr="78265804" w:rsidR="002A5433">
        <w:rPr>
          <w:rFonts w:eastAsia="Book Antiqua" w:cs="Book Antiqua"/>
        </w:rPr>
        <w:t>for</w:t>
      </w:r>
      <w:r w:rsidRPr="2DF9BB4E" w:rsidR="002A5433">
        <w:rPr>
          <w:rFonts w:eastAsia="Book Antiqua" w:cs="Book Antiqua"/>
        </w:rPr>
        <w:t xml:space="preserve"> mixed-fuel </w:t>
      </w:r>
      <w:r w:rsidRPr="1E621EE8" w:rsidR="002A5433">
        <w:rPr>
          <w:rFonts w:eastAsia="Book Antiqua" w:cs="Book Antiqua"/>
        </w:rPr>
        <w:t xml:space="preserve">new </w:t>
      </w:r>
      <w:r w:rsidRPr="59F41A43" w:rsidR="002A5433">
        <w:rPr>
          <w:rFonts w:eastAsia="Book Antiqua" w:cs="Book Antiqua"/>
        </w:rPr>
        <w:t xml:space="preserve">construction </w:t>
      </w:r>
      <w:r w:rsidRPr="23064AFF" w:rsidR="002A5433">
        <w:rPr>
          <w:rFonts w:eastAsia="Book Antiqua" w:cs="Book Antiqua"/>
        </w:rPr>
        <w:t>projects</w:t>
      </w:r>
      <w:r w:rsidR="002A5433">
        <w:rPr>
          <w:rFonts w:eastAsia="Book Antiqua" w:cs="Book Antiqua"/>
        </w:rPr>
        <w:t xml:space="preserve"> seeking electric line extension subsidies</w:t>
      </w:r>
      <w:r w:rsidR="00203CF2">
        <w:rPr>
          <w:rFonts w:eastAsia="Book Antiqua" w:cs="Book Antiqua"/>
        </w:rPr>
        <w:t xml:space="preserve"> and explain</w:t>
      </w:r>
      <w:r w:rsidR="00817904">
        <w:rPr>
          <w:rFonts w:eastAsia="Book Antiqua" w:cs="Book Antiqua"/>
        </w:rPr>
        <w:t xml:space="preserve"> </w:t>
      </w:r>
      <w:r w:rsidR="00A40EE7">
        <w:rPr>
          <w:rFonts w:eastAsia="Book Antiqua" w:cs="Book Antiqua"/>
        </w:rPr>
        <w:t xml:space="preserve">the existing deadline </w:t>
      </w:r>
      <w:r w:rsidRPr="1FC9B084" w:rsidR="59209D76">
        <w:rPr>
          <w:rFonts w:eastAsia="Book Antiqua" w:cs="Book Antiqua"/>
        </w:rPr>
        <w:t>“</w:t>
      </w:r>
      <w:r w:rsidRPr="1FC9B084" w:rsidR="50EA05CD">
        <w:rPr>
          <w:rFonts w:eastAsia="Book Antiqua" w:cs="Book Antiqua"/>
        </w:rPr>
        <w:t>protect</w:t>
      </w:r>
      <w:r w:rsidRPr="1FC9B084" w:rsidR="7023F225">
        <w:rPr>
          <w:rFonts w:eastAsia="Book Antiqua" w:cs="Book Antiqua"/>
        </w:rPr>
        <w:t>s</w:t>
      </w:r>
      <w:r w:rsidRPr="1FC9B084" w:rsidR="50EA05CD">
        <w:rPr>
          <w:rFonts w:eastAsia="Book Antiqua" w:cs="Book Antiqua"/>
        </w:rPr>
        <w:t xml:space="preserve"> ratepayers from</w:t>
      </w:r>
      <w:r w:rsidRPr="1FC9B084" w:rsidR="2C07CF8B">
        <w:rPr>
          <w:rFonts w:eastAsia="Book Antiqua" w:cs="Book Antiqua"/>
        </w:rPr>
        <w:t xml:space="preserve"> </w:t>
      </w:r>
      <w:r w:rsidR="00F51DB8">
        <w:rPr>
          <w:rFonts w:eastAsia="Book Antiqua" w:cs="Book Antiqua"/>
        </w:rPr>
        <w:t xml:space="preserve">speculative </w:t>
      </w:r>
      <w:r w:rsidR="009209FF">
        <w:rPr>
          <w:rFonts w:eastAsia="Book Antiqua" w:cs="Book Antiqua"/>
        </w:rPr>
        <w:t>or</w:t>
      </w:r>
      <w:r w:rsidR="00F51DB8">
        <w:rPr>
          <w:rFonts w:eastAsia="Book Antiqua" w:cs="Book Antiqua"/>
        </w:rPr>
        <w:t xml:space="preserve"> </w:t>
      </w:r>
      <w:r w:rsidRPr="1FC9B084" w:rsidR="19736685">
        <w:rPr>
          <w:rFonts w:eastAsia="Book Antiqua" w:cs="Book Antiqua"/>
        </w:rPr>
        <w:t>premature electric line extension application</w:t>
      </w:r>
      <w:r w:rsidR="00F40F64">
        <w:rPr>
          <w:rFonts w:eastAsia="Book Antiqua" w:cs="Book Antiqua"/>
        </w:rPr>
        <w:t>s</w:t>
      </w:r>
      <w:r w:rsidRPr="1FC9B084" w:rsidR="19736685">
        <w:rPr>
          <w:rFonts w:eastAsia="Book Antiqua" w:cs="Book Antiqua"/>
        </w:rPr>
        <w:t xml:space="preserve"> that were submitted just before </w:t>
      </w:r>
      <w:r w:rsidR="00F40F64">
        <w:rPr>
          <w:rFonts w:eastAsia="Book Antiqua" w:cs="Book Antiqua"/>
        </w:rPr>
        <w:t xml:space="preserve">the </w:t>
      </w:r>
      <w:r w:rsidRPr="1FC9B084" w:rsidR="19736685">
        <w:rPr>
          <w:rFonts w:eastAsia="Book Antiqua" w:cs="Book Antiqua"/>
        </w:rPr>
        <w:t>July 1,</w:t>
      </w:r>
      <w:r w:rsidRPr="1FC9B084" w:rsidR="43E873E7">
        <w:rPr>
          <w:rFonts w:eastAsia="Book Antiqua" w:cs="Book Antiqua"/>
        </w:rPr>
        <w:t xml:space="preserve"> </w:t>
      </w:r>
      <w:r w:rsidRPr="1FC9B084" w:rsidR="0CA9C220">
        <w:rPr>
          <w:rFonts w:eastAsia="Book Antiqua" w:cs="Book Antiqua"/>
        </w:rPr>
        <w:t>2024</w:t>
      </w:r>
      <w:r w:rsidRPr="1FC9B084" w:rsidR="43E873E7">
        <w:rPr>
          <w:rFonts w:eastAsia="Book Antiqua" w:cs="Book Antiqua"/>
        </w:rPr>
        <w:t xml:space="preserve"> deadline.”</w:t>
      </w:r>
      <w:r>
        <w:rPr>
          <w:rStyle w:val="FootnoteReference"/>
          <w:rFonts w:eastAsia="Book Antiqua" w:cs="Book Antiqua"/>
        </w:rPr>
        <w:footnoteReference w:id="115"/>
      </w:r>
      <w:r w:rsidRPr="00863EAE" w:rsidR="0D424259">
        <w:rPr>
          <w:rFonts w:eastAsia="Book Antiqua" w:cs="Book Antiqua"/>
          <w:vertAlign w:val="superscript"/>
        </w:rPr>
        <w:t xml:space="preserve"> </w:t>
      </w:r>
      <w:r w:rsidRPr="1FC9B084" w:rsidR="0D424259">
        <w:rPr>
          <w:rFonts w:eastAsia="Book Antiqua" w:cs="Book Antiqua"/>
        </w:rPr>
        <w:t xml:space="preserve">Additionally, </w:t>
      </w:r>
      <w:r w:rsidR="00CA0BB1">
        <w:rPr>
          <w:rFonts w:eastAsia="Book Antiqua" w:cs="Book Antiqua"/>
        </w:rPr>
        <w:t xml:space="preserve">the </w:t>
      </w:r>
      <w:r w:rsidRPr="1FC9B084" w:rsidR="7A673F6C">
        <w:rPr>
          <w:rFonts w:eastAsia="Book Antiqua" w:cs="Book Antiqua"/>
        </w:rPr>
        <w:t xml:space="preserve">Joint Parties </w:t>
      </w:r>
      <w:r w:rsidR="00F92A9D">
        <w:rPr>
          <w:rFonts w:eastAsia="Book Antiqua" w:cs="Book Antiqua"/>
        </w:rPr>
        <w:t>note</w:t>
      </w:r>
      <w:r w:rsidRPr="1FC9B084" w:rsidR="00EC4AC8">
        <w:rPr>
          <w:rFonts w:eastAsia="Book Antiqua" w:cs="Book Antiqua"/>
        </w:rPr>
        <w:t xml:space="preserve"> </w:t>
      </w:r>
      <w:r w:rsidR="00F92A9D">
        <w:rPr>
          <w:rFonts w:eastAsia="Book Antiqua" w:cs="Book Antiqua"/>
        </w:rPr>
        <w:t>the challenge in</w:t>
      </w:r>
      <w:r w:rsidRPr="1FC9B084" w:rsidR="00F92A9D">
        <w:rPr>
          <w:rFonts w:eastAsia="Book Antiqua" w:cs="Book Antiqua"/>
        </w:rPr>
        <w:t xml:space="preserve"> </w:t>
      </w:r>
      <w:r w:rsidRPr="1FC9B084" w:rsidR="7A673F6C">
        <w:rPr>
          <w:rFonts w:eastAsia="Book Antiqua" w:cs="Book Antiqua"/>
        </w:rPr>
        <w:t>determining</w:t>
      </w:r>
      <w:r w:rsidR="0023518E">
        <w:rPr>
          <w:rFonts w:eastAsia="Book Antiqua" w:cs="Book Antiqua"/>
        </w:rPr>
        <w:t xml:space="preserve"> what</w:t>
      </w:r>
      <w:r w:rsidRPr="1FC9B084" w:rsidR="7A673F6C">
        <w:rPr>
          <w:rFonts w:eastAsia="Book Antiqua" w:cs="Book Antiqua"/>
        </w:rPr>
        <w:t xml:space="preserve"> delays</w:t>
      </w:r>
      <w:r w:rsidRPr="1FC9B084" w:rsidR="089B0389">
        <w:rPr>
          <w:rFonts w:eastAsia="Book Antiqua" w:cs="Book Antiqua"/>
        </w:rPr>
        <w:t xml:space="preserve"> </w:t>
      </w:r>
      <w:r w:rsidR="0023518E">
        <w:rPr>
          <w:rFonts w:eastAsia="Book Antiqua" w:cs="Book Antiqua"/>
        </w:rPr>
        <w:t xml:space="preserve">are genuinely </w:t>
      </w:r>
      <w:r w:rsidRPr="1FC9B084" w:rsidR="089B0389">
        <w:rPr>
          <w:rFonts w:eastAsia="Book Antiqua" w:cs="Book Antiqua"/>
        </w:rPr>
        <w:t xml:space="preserve">outside of the </w:t>
      </w:r>
      <w:r w:rsidR="00E51782">
        <w:rPr>
          <w:rFonts w:eastAsia="Book Antiqua" w:cs="Book Antiqua"/>
        </w:rPr>
        <w:t xml:space="preserve">developer’s </w:t>
      </w:r>
      <w:r w:rsidRPr="1FC9B084" w:rsidR="089B0389">
        <w:rPr>
          <w:rFonts w:eastAsia="Book Antiqua" w:cs="Book Antiqua"/>
        </w:rPr>
        <w:t>control</w:t>
      </w:r>
      <w:r w:rsidR="00126646">
        <w:rPr>
          <w:rFonts w:eastAsia="Book Antiqua" w:cs="Book Antiqua"/>
        </w:rPr>
        <w:t xml:space="preserve"> and explain</w:t>
      </w:r>
      <w:r w:rsidR="00EA6CB1">
        <w:rPr>
          <w:rFonts w:eastAsia="Book Antiqua" w:cs="Book Antiqua"/>
        </w:rPr>
        <w:t xml:space="preserve"> th</w:t>
      </w:r>
      <w:r w:rsidR="00984A53">
        <w:rPr>
          <w:rFonts w:eastAsia="Book Antiqua" w:cs="Book Antiqua"/>
        </w:rPr>
        <w:t>at</w:t>
      </w:r>
      <w:r w:rsidR="00EA6CB1">
        <w:rPr>
          <w:rFonts w:eastAsia="Book Antiqua" w:cs="Book Antiqua"/>
        </w:rPr>
        <w:t xml:space="preserve"> making such a determination</w:t>
      </w:r>
      <w:r w:rsidRPr="1FC9B084" w:rsidR="23278E96">
        <w:rPr>
          <w:rFonts w:eastAsia="Book Antiqua" w:cs="Book Antiqua"/>
        </w:rPr>
        <w:t xml:space="preserve"> </w:t>
      </w:r>
      <w:r w:rsidR="00CC3B98">
        <w:rPr>
          <w:rFonts w:eastAsia="Book Antiqua" w:cs="Book Antiqua"/>
        </w:rPr>
        <w:t>“</w:t>
      </w:r>
      <w:r w:rsidRPr="1FC9B084" w:rsidR="00CC3B98">
        <w:rPr>
          <w:rFonts w:eastAsia="Book Antiqua" w:cs="Book Antiqua"/>
        </w:rPr>
        <w:t>p</w:t>
      </w:r>
      <w:r w:rsidR="00CC3B98">
        <w:rPr>
          <w:rFonts w:eastAsia="Book Antiqua" w:cs="Book Antiqua"/>
        </w:rPr>
        <w:t>resent</w:t>
      </w:r>
      <w:r w:rsidRPr="1FC9B084" w:rsidR="00CC3B98">
        <w:rPr>
          <w:rFonts w:eastAsia="Book Antiqua" w:cs="Book Antiqua"/>
        </w:rPr>
        <w:t>s</w:t>
      </w:r>
      <w:r w:rsidR="00CC3B98">
        <w:rPr>
          <w:rFonts w:eastAsia="Book Antiqua" w:cs="Book Antiqua"/>
        </w:rPr>
        <w:t xml:space="preserve"> significant</w:t>
      </w:r>
      <w:r w:rsidRPr="1FC9B084" w:rsidR="00CC3B98">
        <w:rPr>
          <w:rFonts w:eastAsia="Book Antiqua" w:cs="Book Antiqua"/>
        </w:rPr>
        <w:t xml:space="preserve"> </w:t>
      </w:r>
      <w:r w:rsidRPr="00261412" w:rsidR="00261412">
        <w:rPr>
          <w:rFonts w:eastAsia="Book Antiqua" w:cs="Book Antiqua"/>
        </w:rPr>
        <w:t>administrability</w:t>
      </w:r>
      <w:r w:rsidRPr="00261412" w:rsidDel="00261412" w:rsidR="00261412">
        <w:rPr>
          <w:rFonts w:eastAsia="Book Antiqua" w:cs="Book Antiqua"/>
        </w:rPr>
        <w:t xml:space="preserve"> </w:t>
      </w:r>
      <w:r w:rsidRPr="1FC9B084" w:rsidR="5EAD66F0">
        <w:rPr>
          <w:rFonts w:eastAsia="Book Antiqua" w:cs="Book Antiqua"/>
        </w:rPr>
        <w:t>cha</w:t>
      </w:r>
      <w:r w:rsidR="00261412">
        <w:rPr>
          <w:rFonts w:eastAsia="Book Antiqua" w:cs="Book Antiqua"/>
        </w:rPr>
        <w:t>llenges</w:t>
      </w:r>
      <w:r w:rsidRPr="1FC9B084" w:rsidR="31E9F199">
        <w:rPr>
          <w:rFonts w:eastAsia="Book Antiqua" w:cs="Book Antiqua"/>
        </w:rPr>
        <w:t xml:space="preserve"> </w:t>
      </w:r>
      <w:r w:rsidRPr="1FC9B084" w:rsidR="53D9BA54">
        <w:rPr>
          <w:rFonts w:eastAsia="Book Antiqua" w:cs="Book Antiqua"/>
        </w:rPr>
        <w:t>and</w:t>
      </w:r>
      <w:r w:rsidRPr="1FC9B084" w:rsidR="5142B7B2">
        <w:rPr>
          <w:rFonts w:eastAsia="Book Antiqua" w:cs="Book Antiqua"/>
        </w:rPr>
        <w:t xml:space="preserve"> </w:t>
      </w:r>
      <w:r w:rsidRPr="1FC9B084" w:rsidR="53D9BA54">
        <w:rPr>
          <w:rFonts w:eastAsia="Book Antiqua" w:cs="Book Antiqua"/>
        </w:rPr>
        <w:t>should not be for the Commission to adjudicate</w:t>
      </w:r>
      <w:r w:rsidR="005407B6">
        <w:rPr>
          <w:rFonts w:eastAsia="Book Antiqua" w:cs="Book Antiqua"/>
        </w:rPr>
        <w:t>.</w:t>
      </w:r>
      <w:r w:rsidRPr="00863EAE" w:rsidR="53D9BA54">
        <w:rPr>
          <w:rFonts w:eastAsia="Book Antiqua" w:cs="Book Antiqua"/>
        </w:rPr>
        <w:t>”</w:t>
      </w:r>
      <w:r>
        <w:rPr>
          <w:rStyle w:val="FootnoteReference"/>
          <w:rFonts w:eastAsia="Book Antiqua" w:cs="Book Antiqua"/>
        </w:rPr>
        <w:footnoteReference w:id="116"/>
      </w:r>
    </w:p>
    <w:p w:rsidR="1FEDA7A0" w:rsidP="5142F2F6" w:rsidRDefault="4AC40A2F" w14:paraId="51536168" w14:textId="35EB0219">
      <w:pPr>
        <w:pStyle w:val="Standard"/>
        <w:rPr>
          <w:rFonts w:eastAsia="Book Antiqua" w:cs="Book Antiqua"/>
        </w:rPr>
      </w:pPr>
      <w:r w:rsidRPr="5142F2F6">
        <w:rPr>
          <w:rFonts w:eastAsia="Book Antiqua" w:cs="Book Antiqua"/>
        </w:rPr>
        <w:t>SBUA support</w:t>
      </w:r>
      <w:r w:rsidR="0085187C">
        <w:rPr>
          <w:rFonts w:eastAsia="Book Antiqua" w:cs="Book Antiqua"/>
        </w:rPr>
        <w:t>s</w:t>
      </w:r>
      <w:r w:rsidRPr="5142F2F6">
        <w:rPr>
          <w:rFonts w:eastAsia="Book Antiqua" w:cs="Book Antiqua"/>
        </w:rPr>
        <w:t xml:space="preserve"> </w:t>
      </w:r>
      <w:r w:rsidR="00286123">
        <w:rPr>
          <w:rFonts w:eastAsia="Book Antiqua" w:cs="Book Antiqua"/>
        </w:rPr>
        <w:t xml:space="preserve">extending the </w:t>
      </w:r>
      <w:r w:rsidR="005E7361">
        <w:rPr>
          <w:rFonts w:eastAsia="Book Antiqua" w:cs="Book Antiqua"/>
        </w:rPr>
        <w:t xml:space="preserve">existing energization </w:t>
      </w:r>
      <w:r w:rsidR="00286123">
        <w:rPr>
          <w:rFonts w:eastAsia="Book Antiqua" w:cs="Book Antiqua"/>
        </w:rPr>
        <w:t xml:space="preserve">deadline </w:t>
      </w:r>
      <w:r w:rsidRPr="5142F2F6" w:rsidR="4C170DD2">
        <w:rPr>
          <w:rFonts w:eastAsia="Book Antiqua" w:cs="Book Antiqua"/>
        </w:rPr>
        <w:t xml:space="preserve">and </w:t>
      </w:r>
      <w:r w:rsidR="004D6293">
        <w:rPr>
          <w:rFonts w:eastAsia="Book Antiqua" w:cs="Book Antiqua"/>
        </w:rPr>
        <w:t>states</w:t>
      </w:r>
      <w:r w:rsidRPr="5142F2F6" w:rsidR="004D6293">
        <w:rPr>
          <w:rFonts w:eastAsia="Book Antiqua" w:cs="Book Antiqua"/>
        </w:rPr>
        <w:t xml:space="preserve"> </w:t>
      </w:r>
      <w:r w:rsidRPr="5142F2F6" w:rsidR="4C170DD2">
        <w:rPr>
          <w:rFonts w:eastAsia="Book Antiqua" w:cs="Book Antiqua"/>
        </w:rPr>
        <w:t xml:space="preserve">the current </w:t>
      </w:r>
      <w:r w:rsidR="004D6293">
        <w:rPr>
          <w:rFonts w:eastAsia="Book Antiqua" w:cs="Book Antiqua"/>
        </w:rPr>
        <w:t>electric line extension</w:t>
      </w:r>
      <w:r w:rsidRPr="5142F2F6" w:rsidR="004D6293">
        <w:rPr>
          <w:rFonts w:eastAsia="Book Antiqua" w:cs="Book Antiqua"/>
        </w:rPr>
        <w:t xml:space="preserve"> </w:t>
      </w:r>
      <w:r w:rsidRPr="5142F2F6" w:rsidR="4C170DD2">
        <w:rPr>
          <w:rFonts w:eastAsia="Book Antiqua" w:cs="Book Antiqua"/>
        </w:rPr>
        <w:t xml:space="preserve">process often </w:t>
      </w:r>
      <w:r w:rsidR="004D6293">
        <w:rPr>
          <w:rFonts w:eastAsia="Book Antiqua" w:cs="Book Antiqua"/>
        </w:rPr>
        <w:t>results</w:t>
      </w:r>
      <w:r w:rsidRPr="5142F2F6" w:rsidR="004D6293">
        <w:rPr>
          <w:rFonts w:eastAsia="Book Antiqua" w:cs="Book Antiqua"/>
        </w:rPr>
        <w:t xml:space="preserve"> </w:t>
      </w:r>
      <w:r w:rsidR="00221FE8">
        <w:rPr>
          <w:rFonts w:eastAsia="Book Antiqua" w:cs="Book Antiqua"/>
        </w:rPr>
        <w:t xml:space="preserve">in </w:t>
      </w:r>
      <w:r w:rsidRPr="5142F2F6" w:rsidR="4C170DD2">
        <w:rPr>
          <w:rFonts w:eastAsia="Book Antiqua" w:cs="Book Antiqua"/>
        </w:rPr>
        <w:t>delays beyond developers</w:t>
      </w:r>
      <w:r w:rsidR="00145865">
        <w:rPr>
          <w:rFonts w:eastAsia="Book Antiqua" w:cs="Book Antiqua"/>
        </w:rPr>
        <w:t>’</w:t>
      </w:r>
      <w:r w:rsidRPr="5142F2F6" w:rsidR="4C170DD2">
        <w:rPr>
          <w:rFonts w:eastAsia="Book Antiqua" w:cs="Book Antiqua"/>
        </w:rPr>
        <w:t xml:space="preserve"> control</w:t>
      </w:r>
      <w:r w:rsidRPr="5142F2F6" w:rsidR="586035D4">
        <w:rPr>
          <w:rFonts w:eastAsia="Book Antiqua" w:cs="Book Antiqua"/>
        </w:rPr>
        <w:t xml:space="preserve">. SBUA </w:t>
      </w:r>
      <w:r w:rsidR="0010115C">
        <w:rPr>
          <w:rFonts w:eastAsia="Book Antiqua" w:cs="Book Antiqua"/>
        </w:rPr>
        <w:t>argues</w:t>
      </w:r>
      <w:r w:rsidR="000D2A6A">
        <w:rPr>
          <w:rFonts w:eastAsia="Book Antiqua" w:cs="Book Antiqua"/>
        </w:rPr>
        <w:t xml:space="preserve"> </w:t>
      </w:r>
      <w:r w:rsidRPr="5142F2F6" w:rsidR="586035D4">
        <w:rPr>
          <w:rFonts w:eastAsia="Book Antiqua" w:cs="Book Antiqua"/>
        </w:rPr>
        <w:t xml:space="preserve">that </w:t>
      </w:r>
      <w:r w:rsidR="00545C92">
        <w:rPr>
          <w:rFonts w:eastAsia="Book Antiqua" w:cs="Book Antiqua"/>
        </w:rPr>
        <w:t>a</w:t>
      </w:r>
      <w:r w:rsidRPr="5142F2F6" w:rsidR="586035D4">
        <w:rPr>
          <w:rFonts w:eastAsia="Book Antiqua" w:cs="Book Antiqua"/>
        </w:rPr>
        <w:t xml:space="preserve"> legacy ex</w:t>
      </w:r>
      <w:r w:rsidRPr="5142F2F6" w:rsidR="7E7A3F6B">
        <w:rPr>
          <w:rFonts w:eastAsia="Book Antiqua" w:cs="Book Antiqua"/>
        </w:rPr>
        <w:t xml:space="preserve">emption should apply to </w:t>
      </w:r>
      <w:r w:rsidR="00545C92">
        <w:rPr>
          <w:rFonts w:eastAsia="Book Antiqua" w:cs="Book Antiqua"/>
        </w:rPr>
        <w:t>“</w:t>
      </w:r>
      <w:r w:rsidRPr="5142F2F6" w:rsidR="7E7A3F6B">
        <w:rPr>
          <w:rFonts w:eastAsia="Book Antiqua" w:cs="Book Antiqua"/>
        </w:rPr>
        <w:t>projects that obtained final local approval</w:t>
      </w:r>
      <w:r w:rsidR="00A2668B">
        <w:rPr>
          <w:rFonts w:eastAsia="Book Antiqua" w:cs="Book Antiqua"/>
        </w:rPr>
        <w:t>,</w:t>
      </w:r>
      <w:r w:rsidRPr="5142F2F6" w:rsidR="7E7A3F6B">
        <w:rPr>
          <w:rFonts w:eastAsia="Book Antiqua" w:cs="Book Antiqua"/>
        </w:rPr>
        <w:t xml:space="preserve"> such as zoning </w:t>
      </w:r>
      <w:r w:rsidR="00982881">
        <w:rPr>
          <w:rFonts w:eastAsia="Book Antiqua" w:cs="Book Antiqua"/>
        </w:rPr>
        <w:t>permits</w:t>
      </w:r>
      <w:r w:rsidRPr="00F31A56" w:rsidR="00F31A56">
        <w:rPr>
          <w:rFonts w:eastAsia="Book Antiqua" w:cs="Book Antiqua"/>
        </w:rPr>
        <w:t xml:space="preserve">, or </w:t>
      </w:r>
      <w:r w:rsidR="00DF7D43">
        <w:rPr>
          <w:rFonts w:eastAsia="Book Antiqua" w:cs="Book Antiqua"/>
        </w:rPr>
        <w:t xml:space="preserve">[in] </w:t>
      </w:r>
      <w:r w:rsidRPr="00F31A56" w:rsidR="00F31A56">
        <w:rPr>
          <w:rFonts w:eastAsia="Book Antiqua" w:cs="Book Antiqua"/>
        </w:rPr>
        <w:t xml:space="preserve">instances where no </w:t>
      </w:r>
      <w:r w:rsidRPr="00F31A56" w:rsidR="00F31A56">
        <w:rPr>
          <w:rFonts w:eastAsia="Book Antiqua" w:cs="Book Antiqua"/>
        </w:rPr>
        <w:lastRenderedPageBreak/>
        <w:t xml:space="preserve">zoning permit is required, </w:t>
      </w:r>
      <w:r w:rsidRPr="5142F2F6" w:rsidR="7E7A3F6B">
        <w:rPr>
          <w:rFonts w:eastAsia="Book Antiqua" w:cs="Book Antiqua"/>
        </w:rPr>
        <w:t>building permits</w:t>
      </w:r>
      <w:r w:rsidR="00DF7D43">
        <w:rPr>
          <w:rFonts w:eastAsia="Book Antiqua" w:cs="Book Antiqua"/>
        </w:rPr>
        <w:t>,</w:t>
      </w:r>
      <w:r w:rsidRPr="5142F2F6" w:rsidR="7E7A3F6B">
        <w:rPr>
          <w:rFonts w:eastAsia="Book Antiqua" w:cs="Book Antiqua"/>
        </w:rPr>
        <w:t xml:space="preserve"> before July 1, 2024</w:t>
      </w:r>
      <w:r w:rsidRPr="5142F2F6" w:rsidR="380FE017">
        <w:rPr>
          <w:rFonts w:eastAsia="Book Antiqua" w:cs="Book Antiqua"/>
        </w:rPr>
        <w:t>”</w:t>
      </w:r>
      <w:r w:rsidRPr="5142F2F6" w:rsidR="1D210808">
        <w:rPr>
          <w:rFonts w:eastAsia="Book Antiqua" w:cs="Book Antiqua"/>
        </w:rPr>
        <w:t xml:space="preserve"> </w:t>
      </w:r>
      <w:r w:rsidR="00297A42">
        <w:rPr>
          <w:rFonts w:eastAsia="Book Antiqua" w:cs="Book Antiqua"/>
        </w:rPr>
        <w:t>because</w:t>
      </w:r>
      <w:r w:rsidRPr="5142F2F6" w:rsidR="00CB0B2C">
        <w:rPr>
          <w:rFonts w:eastAsia="Book Antiqua" w:cs="Book Antiqua"/>
        </w:rPr>
        <w:t xml:space="preserve"> </w:t>
      </w:r>
      <w:r w:rsidRPr="5142F2F6" w:rsidR="1D210808">
        <w:rPr>
          <w:rFonts w:eastAsia="Book Antiqua" w:cs="Book Antiqua"/>
        </w:rPr>
        <w:t xml:space="preserve">such projects </w:t>
      </w:r>
      <w:r w:rsidR="00A56BD6">
        <w:rPr>
          <w:rFonts w:eastAsia="Book Antiqua" w:cs="Book Antiqua"/>
        </w:rPr>
        <w:t>“</w:t>
      </w:r>
      <w:r w:rsidRPr="00A56BD6" w:rsidR="00A56BD6">
        <w:rPr>
          <w:rFonts w:eastAsia="Book Antiqua" w:cs="Book Antiqua"/>
        </w:rPr>
        <w:t>may have been financed and scoped in expectation of obtaining the subsidies that existed under the policy in place at the time that project was finalized.</w:t>
      </w:r>
      <w:r w:rsidR="00A56BD6">
        <w:rPr>
          <w:rFonts w:eastAsia="Book Antiqua" w:cs="Book Antiqua"/>
        </w:rPr>
        <w:t>”</w:t>
      </w:r>
      <w:r w:rsidR="00E63744">
        <w:rPr>
          <w:rStyle w:val="FootnoteReference"/>
          <w:rFonts w:eastAsia="Book Antiqua" w:cs="Book Antiqua"/>
        </w:rPr>
        <w:footnoteReference w:id="117"/>
      </w:r>
      <w:r w:rsidRPr="7973FF01" w:rsidR="7E7A3F6B">
        <w:rPr>
          <w:rFonts w:eastAsia="Book Antiqua" w:cs="Book Antiqua"/>
        </w:rPr>
        <w:t xml:space="preserve"> </w:t>
      </w:r>
      <w:r w:rsidRPr="7973FF01" w:rsidR="7C41E83A">
        <w:rPr>
          <w:rFonts w:eastAsia="Book Antiqua" w:cs="Book Antiqua"/>
        </w:rPr>
        <w:t>SBUA recommend</w:t>
      </w:r>
      <w:r w:rsidR="00A03170">
        <w:rPr>
          <w:rFonts w:eastAsia="Book Antiqua" w:cs="Book Antiqua"/>
        </w:rPr>
        <w:t>s</w:t>
      </w:r>
      <w:r w:rsidRPr="7973FF01" w:rsidR="7C41E83A">
        <w:rPr>
          <w:rFonts w:eastAsia="Book Antiqua" w:cs="Book Antiqua"/>
        </w:rPr>
        <w:t xml:space="preserve"> narrow</w:t>
      </w:r>
      <w:r w:rsidR="00A03170">
        <w:rPr>
          <w:rFonts w:eastAsia="Book Antiqua" w:cs="Book Antiqua"/>
        </w:rPr>
        <w:t>ing</w:t>
      </w:r>
      <w:r w:rsidRPr="7973FF01" w:rsidR="7C41E83A">
        <w:rPr>
          <w:rFonts w:eastAsia="Book Antiqua" w:cs="Book Antiqua"/>
        </w:rPr>
        <w:t xml:space="preserve"> this legacy treatment window to include on</w:t>
      </w:r>
      <w:r w:rsidRPr="7973FF01" w:rsidR="32F67683">
        <w:rPr>
          <w:rFonts w:eastAsia="Book Antiqua" w:cs="Book Antiqua"/>
        </w:rPr>
        <w:t xml:space="preserve">ly </w:t>
      </w:r>
      <w:r w:rsidRPr="7973FF01" w:rsidR="28CC6E7F">
        <w:rPr>
          <w:rFonts w:eastAsia="Book Antiqua" w:cs="Book Antiqua"/>
        </w:rPr>
        <w:t>“</w:t>
      </w:r>
      <w:r w:rsidRPr="7973FF01" w:rsidR="32F67683">
        <w:rPr>
          <w:rFonts w:eastAsia="Book Antiqua" w:cs="Book Antiqua"/>
        </w:rPr>
        <w:t xml:space="preserve">projects that </w:t>
      </w:r>
      <w:r w:rsidR="00EC69ED">
        <w:rPr>
          <w:rFonts w:eastAsia="Book Antiqua" w:cs="Book Antiqua"/>
        </w:rPr>
        <w:t>obtained</w:t>
      </w:r>
      <w:r w:rsidRPr="7973FF01" w:rsidR="32F67683">
        <w:rPr>
          <w:rFonts w:eastAsia="Book Antiqua" w:cs="Book Antiqua"/>
        </w:rPr>
        <w:t xml:space="preserve"> final local approval by the date of </w:t>
      </w:r>
      <w:r w:rsidR="00767C05">
        <w:rPr>
          <w:rFonts w:eastAsia="Book Antiqua" w:cs="Book Antiqua"/>
        </w:rPr>
        <w:t>issuance</w:t>
      </w:r>
      <w:r w:rsidRPr="7973FF01" w:rsidR="32F67683">
        <w:rPr>
          <w:rFonts w:eastAsia="Book Antiqua" w:cs="Book Antiqua"/>
        </w:rPr>
        <w:t xml:space="preserve"> </w:t>
      </w:r>
      <w:r w:rsidR="0080593E">
        <w:rPr>
          <w:rFonts w:eastAsia="Book Antiqua" w:cs="Book Antiqua"/>
        </w:rPr>
        <w:t>of D.23</w:t>
      </w:r>
      <w:r w:rsidR="00F26C39">
        <w:rPr>
          <w:rFonts w:eastAsia="Book Antiqua" w:cs="Book Antiqua"/>
        </w:rPr>
        <w:noBreakHyphen/>
      </w:r>
      <w:r w:rsidR="0080593E">
        <w:rPr>
          <w:rFonts w:eastAsia="Book Antiqua" w:cs="Book Antiqua"/>
        </w:rPr>
        <w:t>12</w:t>
      </w:r>
      <w:r w:rsidR="00F26C39">
        <w:rPr>
          <w:rFonts w:eastAsia="Book Antiqua" w:cs="Book Antiqua"/>
        </w:rPr>
        <w:noBreakHyphen/>
      </w:r>
      <w:r w:rsidR="0080593E">
        <w:rPr>
          <w:rFonts w:eastAsia="Book Antiqua" w:cs="Book Antiqua"/>
        </w:rPr>
        <w:t>037</w:t>
      </w:r>
      <w:r w:rsidRPr="7973FF01" w:rsidR="32F67683">
        <w:rPr>
          <w:rFonts w:eastAsia="Book Antiqua" w:cs="Book Antiqua"/>
        </w:rPr>
        <w:t xml:space="preserve"> on December 14, 2023.</w:t>
      </w:r>
      <w:r w:rsidRPr="7973FF01" w:rsidR="446078BB">
        <w:rPr>
          <w:rFonts w:eastAsia="Book Antiqua" w:cs="Book Antiqua"/>
        </w:rPr>
        <w:t>”</w:t>
      </w:r>
      <w:r w:rsidR="00D97A59">
        <w:rPr>
          <w:rStyle w:val="FootnoteReference"/>
          <w:rFonts w:eastAsia="Book Antiqua" w:cs="Book Antiqua"/>
        </w:rPr>
        <w:footnoteReference w:id="118"/>
      </w:r>
    </w:p>
    <w:p w:rsidR="4E3CC288" w:rsidP="009E515D" w:rsidRDefault="4E3CC288" w14:paraId="35EFD027" w14:textId="09C029A6">
      <w:pPr>
        <w:pStyle w:val="Standard"/>
        <w:rPr>
          <w:rFonts w:eastAsia="Book Antiqua" w:cs="Book Antiqua"/>
        </w:rPr>
      </w:pPr>
      <w:r w:rsidRPr="65ED421C">
        <w:rPr>
          <w:rFonts w:eastAsia="Book Antiqua" w:cs="Book Antiqua"/>
        </w:rPr>
        <w:t>SCE</w:t>
      </w:r>
      <w:r w:rsidRPr="65ED421C" w:rsidR="4DDF256D">
        <w:rPr>
          <w:rFonts w:eastAsia="Book Antiqua" w:cs="Book Antiqua"/>
        </w:rPr>
        <w:t xml:space="preserve"> support</w:t>
      </w:r>
      <w:r w:rsidR="00C04B85">
        <w:rPr>
          <w:rFonts w:eastAsia="Book Antiqua" w:cs="Book Antiqua"/>
        </w:rPr>
        <w:t>s</w:t>
      </w:r>
      <w:r w:rsidRPr="65ED421C" w:rsidR="4DDF256D">
        <w:rPr>
          <w:rFonts w:eastAsia="Book Antiqua" w:cs="Book Antiqua"/>
        </w:rPr>
        <w:t xml:space="preserve"> extending the </w:t>
      </w:r>
      <w:r w:rsidR="001C3189">
        <w:rPr>
          <w:rFonts w:eastAsia="Book Antiqua" w:cs="Book Antiqua"/>
        </w:rPr>
        <w:t xml:space="preserve">existing </w:t>
      </w:r>
      <w:r w:rsidR="00186AEE">
        <w:rPr>
          <w:rFonts w:eastAsia="Book Antiqua" w:cs="Book Antiqua"/>
        </w:rPr>
        <w:t xml:space="preserve">energization </w:t>
      </w:r>
      <w:r w:rsidRPr="65ED421C" w:rsidR="4DDF256D">
        <w:rPr>
          <w:rFonts w:eastAsia="Book Antiqua" w:cs="Book Antiqua"/>
        </w:rPr>
        <w:t>deadline</w:t>
      </w:r>
      <w:r w:rsidR="00C04B85">
        <w:rPr>
          <w:rFonts w:eastAsia="Book Antiqua" w:cs="Book Antiqua"/>
        </w:rPr>
        <w:t>,</w:t>
      </w:r>
      <w:r w:rsidRPr="65ED421C" w:rsidR="296F75F5">
        <w:rPr>
          <w:rFonts w:eastAsia="Book Antiqua" w:cs="Book Antiqua"/>
        </w:rPr>
        <w:t xml:space="preserve"> </w:t>
      </w:r>
      <w:r w:rsidR="00622046">
        <w:rPr>
          <w:rFonts w:eastAsia="Book Antiqua" w:cs="Book Antiqua"/>
        </w:rPr>
        <w:t xml:space="preserve">and </w:t>
      </w:r>
      <w:r w:rsidR="001D6C5E">
        <w:rPr>
          <w:rFonts w:eastAsia="Book Antiqua" w:cs="Book Antiqua"/>
        </w:rPr>
        <w:t xml:space="preserve">raises  </w:t>
      </w:r>
      <w:r w:rsidRPr="65ED421C" w:rsidR="296F75F5">
        <w:rPr>
          <w:rFonts w:eastAsia="Book Antiqua" w:cs="Book Antiqua"/>
        </w:rPr>
        <w:t>concern</w:t>
      </w:r>
      <w:r w:rsidR="00C834D1">
        <w:rPr>
          <w:rFonts w:eastAsia="Book Antiqua" w:cs="Book Antiqua"/>
        </w:rPr>
        <w:t>s</w:t>
      </w:r>
      <w:r w:rsidR="001D6C5E">
        <w:rPr>
          <w:rFonts w:eastAsia="Book Antiqua" w:cs="Book Antiqua"/>
        </w:rPr>
        <w:t xml:space="preserve"> that</w:t>
      </w:r>
      <w:r w:rsidRPr="65ED421C" w:rsidR="296F75F5">
        <w:rPr>
          <w:rFonts w:eastAsia="Book Antiqua" w:cs="Book Antiqua"/>
        </w:rPr>
        <w:t xml:space="preserve"> </w:t>
      </w:r>
      <w:r w:rsidR="00C834D1">
        <w:rPr>
          <w:rFonts w:eastAsia="Book Antiqua" w:cs="Book Antiqua"/>
        </w:rPr>
        <w:t xml:space="preserve">(1) </w:t>
      </w:r>
      <w:r w:rsidRPr="65ED421C" w:rsidR="296F75F5">
        <w:rPr>
          <w:rFonts w:eastAsia="Book Antiqua" w:cs="Book Antiqua"/>
        </w:rPr>
        <w:t xml:space="preserve">the deadline will result in </w:t>
      </w:r>
      <w:r w:rsidRPr="65ED421C" w:rsidR="2FF477F5">
        <w:rPr>
          <w:rFonts w:eastAsia="Book Antiqua" w:cs="Book Antiqua"/>
        </w:rPr>
        <w:t xml:space="preserve">“unfair outcomes </w:t>
      </w:r>
      <w:r w:rsidRPr="65ED421C" w:rsidDel="000261BF" w:rsidR="2FF477F5">
        <w:rPr>
          <w:rFonts w:eastAsia="Book Antiqua" w:cs="Book Antiqua"/>
        </w:rPr>
        <w:t>and</w:t>
      </w:r>
      <w:r w:rsidRPr="65ED421C" w:rsidR="2FF477F5">
        <w:rPr>
          <w:rFonts w:eastAsia="Book Antiqua" w:cs="Book Antiqua"/>
        </w:rPr>
        <w:t xml:space="preserve"> may cause disputes when developers believe a missed deadline was caused by the </w:t>
      </w:r>
      <w:r w:rsidRPr="65ED421C" w:rsidR="0B3321CA">
        <w:rPr>
          <w:rFonts w:eastAsia="Book Antiqua" w:cs="Book Antiqua"/>
        </w:rPr>
        <w:t>utility or otherwise outside the developer’s control</w:t>
      </w:r>
      <w:r w:rsidR="00C834D1">
        <w:rPr>
          <w:rFonts w:eastAsia="Book Antiqua" w:cs="Book Antiqua"/>
        </w:rPr>
        <w:t>;</w:t>
      </w:r>
      <w:r w:rsidRPr="65ED421C" w:rsidR="77B1F486">
        <w:rPr>
          <w:rFonts w:eastAsia="Book Antiqua" w:cs="Book Antiqua"/>
        </w:rPr>
        <w:t>”</w:t>
      </w:r>
      <w:r w:rsidR="00D97A59">
        <w:rPr>
          <w:rStyle w:val="FootnoteReference"/>
          <w:rFonts w:eastAsia="Book Antiqua" w:cs="Book Antiqua"/>
        </w:rPr>
        <w:footnoteReference w:id="119"/>
      </w:r>
      <w:r w:rsidRPr="65ED421C" w:rsidR="4B818213">
        <w:rPr>
          <w:rFonts w:eastAsia="Book Antiqua" w:cs="Book Antiqua"/>
        </w:rPr>
        <w:t xml:space="preserve"> </w:t>
      </w:r>
      <w:r w:rsidR="00C834D1">
        <w:rPr>
          <w:rFonts w:eastAsia="Book Antiqua" w:cs="Book Antiqua"/>
        </w:rPr>
        <w:t>And (2)</w:t>
      </w:r>
      <w:r w:rsidRPr="65ED421C" w:rsidR="4B818213">
        <w:rPr>
          <w:rFonts w:eastAsia="Book Antiqua" w:cs="Book Antiqua"/>
        </w:rPr>
        <w:t xml:space="preserve"> the deadline </w:t>
      </w:r>
      <w:r w:rsidR="00693FA7">
        <w:rPr>
          <w:rFonts w:eastAsia="Book Antiqua" w:cs="Book Antiqua"/>
        </w:rPr>
        <w:t xml:space="preserve">places </w:t>
      </w:r>
      <w:r w:rsidR="001D3817">
        <w:rPr>
          <w:rFonts w:eastAsia="Book Antiqua" w:cs="Book Antiqua"/>
        </w:rPr>
        <w:t xml:space="preserve">undue </w:t>
      </w:r>
      <w:r w:rsidRPr="65ED421C" w:rsidR="4B818213">
        <w:rPr>
          <w:rFonts w:eastAsia="Book Antiqua" w:cs="Book Antiqua"/>
        </w:rPr>
        <w:t>pressur</w:t>
      </w:r>
      <w:r w:rsidR="00693FA7">
        <w:rPr>
          <w:rFonts w:eastAsia="Book Antiqua" w:cs="Book Antiqua"/>
        </w:rPr>
        <w:t>e on</w:t>
      </w:r>
      <w:r w:rsidRPr="65ED421C" w:rsidR="4B818213">
        <w:rPr>
          <w:rFonts w:eastAsia="Book Antiqua" w:cs="Book Antiqua"/>
        </w:rPr>
        <w:t xml:space="preserve"> utilities to </w:t>
      </w:r>
      <w:r w:rsidRPr="65ED421C" w:rsidR="48294B76">
        <w:rPr>
          <w:rFonts w:eastAsia="Book Antiqua" w:cs="Book Antiqua"/>
        </w:rPr>
        <w:t xml:space="preserve">process </w:t>
      </w:r>
      <w:r w:rsidR="004C2865">
        <w:rPr>
          <w:rFonts w:eastAsia="Book Antiqua" w:cs="Book Antiqua"/>
        </w:rPr>
        <w:t xml:space="preserve">numerous </w:t>
      </w:r>
      <w:r w:rsidRPr="65ED421C" w:rsidR="48294B76">
        <w:rPr>
          <w:rFonts w:eastAsia="Book Antiqua" w:cs="Book Antiqua"/>
        </w:rPr>
        <w:t xml:space="preserve">projects in </w:t>
      </w:r>
      <w:r w:rsidRPr="65ED421C" w:rsidR="7E763BB8">
        <w:rPr>
          <w:rFonts w:eastAsia="Book Antiqua" w:cs="Book Antiqua"/>
        </w:rPr>
        <w:t xml:space="preserve">lesser time as developers push to meet their deadlines. </w:t>
      </w:r>
      <w:r w:rsidRPr="65ED421C" w:rsidR="3E411BD7">
        <w:rPr>
          <w:rFonts w:eastAsia="Book Antiqua" w:cs="Book Antiqua"/>
        </w:rPr>
        <w:t xml:space="preserve">SCE </w:t>
      </w:r>
      <w:r w:rsidR="001D3817">
        <w:rPr>
          <w:rFonts w:eastAsia="Book Antiqua" w:cs="Book Antiqua"/>
        </w:rPr>
        <w:t xml:space="preserve">therefore </w:t>
      </w:r>
      <w:r w:rsidRPr="65ED421C" w:rsidR="3E411BD7">
        <w:rPr>
          <w:rFonts w:eastAsia="Book Antiqua" w:cs="Book Antiqua"/>
        </w:rPr>
        <w:t xml:space="preserve">recommends “a six-month </w:t>
      </w:r>
      <w:r w:rsidRPr="65ED421C" w:rsidR="288218A6">
        <w:rPr>
          <w:rFonts w:eastAsia="Book Antiqua" w:cs="Book Antiqua"/>
        </w:rPr>
        <w:t xml:space="preserve">grace period for projects that </w:t>
      </w:r>
      <w:r w:rsidR="007D38C7">
        <w:rPr>
          <w:rFonts w:eastAsia="Book Antiqua" w:cs="Book Antiqua"/>
        </w:rPr>
        <w:t xml:space="preserve">have </w:t>
      </w:r>
      <w:r w:rsidRPr="65ED421C" w:rsidR="288218A6">
        <w:rPr>
          <w:rFonts w:eastAsia="Book Antiqua" w:cs="Book Antiqua"/>
        </w:rPr>
        <w:t xml:space="preserve">met </w:t>
      </w:r>
      <w:r w:rsidR="00C77B51">
        <w:rPr>
          <w:rFonts w:eastAsia="Book Antiqua" w:cs="Book Antiqua"/>
        </w:rPr>
        <w:t xml:space="preserve">the </w:t>
      </w:r>
      <w:r w:rsidRPr="65ED421C" w:rsidR="288218A6">
        <w:rPr>
          <w:rFonts w:eastAsia="Book Antiqua" w:cs="Book Antiqua"/>
        </w:rPr>
        <w:t xml:space="preserve">requirements </w:t>
      </w:r>
      <w:r w:rsidR="00C77B51">
        <w:rPr>
          <w:rFonts w:eastAsia="Book Antiqua" w:cs="Book Antiqua"/>
        </w:rPr>
        <w:t>outlined</w:t>
      </w:r>
      <w:r w:rsidRPr="65ED421C" w:rsidR="288218A6">
        <w:rPr>
          <w:rFonts w:eastAsia="Book Antiqua" w:cs="Book Antiqua"/>
        </w:rPr>
        <w:t xml:space="preserve"> in </w:t>
      </w:r>
      <w:r w:rsidR="00C77B51">
        <w:rPr>
          <w:rFonts w:eastAsia="Book Antiqua" w:cs="Book Antiqua"/>
        </w:rPr>
        <w:t>the</w:t>
      </w:r>
      <w:r w:rsidRPr="65ED421C" w:rsidR="288218A6">
        <w:rPr>
          <w:rFonts w:eastAsia="Book Antiqua" w:cs="Book Antiqua"/>
        </w:rPr>
        <w:t xml:space="preserve"> Phase 3B Decision</w:t>
      </w:r>
      <w:r w:rsidR="00182FCC">
        <w:rPr>
          <w:rFonts w:eastAsia="Book Antiqua" w:cs="Book Antiqua"/>
        </w:rPr>
        <w:t xml:space="preserve">, </w:t>
      </w:r>
      <w:r w:rsidRPr="65ED421C" w:rsidR="5E3EF442">
        <w:rPr>
          <w:rFonts w:eastAsia="Book Antiqua" w:cs="Book Antiqua"/>
        </w:rPr>
        <w:t>OP 5</w:t>
      </w:r>
      <w:r w:rsidR="00CC7809">
        <w:rPr>
          <w:rFonts w:eastAsia="Book Antiqua" w:cs="Book Antiqua"/>
        </w:rPr>
        <w:t xml:space="preserve"> (subsections </w:t>
      </w:r>
      <w:r w:rsidRPr="65ED421C" w:rsidR="5E3EF442">
        <w:rPr>
          <w:rFonts w:eastAsia="Book Antiqua" w:cs="Book Antiqua"/>
        </w:rPr>
        <w:t>a and b</w:t>
      </w:r>
      <w:r w:rsidR="00CC7809">
        <w:rPr>
          <w:rFonts w:eastAsia="Book Antiqua" w:cs="Book Antiqua"/>
        </w:rPr>
        <w:t>)</w:t>
      </w:r>
      <w:r w:rsidR="002D16B1">
        <w:rPr>
          <w:rFonts w:eastAsia="Book Antiqua" w:cs="Book Antiqua"/>
        </w:rPr>
        <w:t>,</w:t>
      </w:r>
      <w:r w:rsidRPr="65ED421C" w:rsidR="288218A6">
        <w:rPr>
          <w:rFonts w:eastAsia="Book Antiqua" w:cs="Book Antiqua"/>
        </w:rPr>
        <w:t xml:space="preserve"> </w:t>
      </w:r>
      <w:r w:rsidR="00B22F1E">
        <w:rPr>
          <w:rFonts w:eastAsia="Book Antiqua" w:cs="Book Antiqua"/>
        </w:rPr>
        <w:t>on or before</w:t>
      </w:r>
      <w:r w:rsidRPr="65ED421C" w:rsidR="288218A6">
        <w:rPr>
          <w:rFonts w:eastAsia="Book Antiqua" w:cs="Book Antiqua"/>
        </w:rPr>
        <w:t xml:space="preserve"> July 1, 2025.</w:t>
      </w:r>
      <w:r w:rsidRPr="65ED421C" w:rsidR="130038D0">
        <w:rPr>
          <w:rFonts w:eastAsia="Book Antiqua" w:cs="Book Antiqua"/>
        </w:rPr>
        <w:t>”</w:t>
      </w:r>
      <w:r w:rsidR="00300017">
        <w:rPr>
          <w:rStyle w:val="FootnoteReference"/>
          <w:rFonts w:eastAsia="Book Antiqua" w:cs="Book Antiqua"/>
        </w:rPr>
        <w:footnoteReference w:id="120"/>
      </w:r>
      <w:r w:rsidRPr="65ED421C" w:rsidR="39020FF6">
        <w:rPr>
          <w:rFonts w:eastAsia="Book Antiqua" w:cs="Book Antiqua"/>
        </w:rPr>
        <w:t xml:space="preserve"> </w:t>
      </w:r>
      <w:r w:rsidR="003A2298">
        <w:rPr>
          <w:rFonts w:eastAsia="Book Antiqua" w:cs="Book Antiqua"/>
        </w:rPr>
        <w:t>T</w:t>
      </w:r>
      <w:r w:rsidRPr="65ED421C" w:rsidR="7859062D">
        <w:rPr>
          <w:rFonts w:eastAsia="Book Antiqua" w:cs="Book Antiqua"/>
        </w:rPr>
        <w:t>his extension</w:t>
      </w:r>
      <w:r w:rsidR="003A2298">
        <w:rPr>
          <w:rFonts w:eastAsia="Book Antiqua" w:cs="Book Antiqua"/>
        </w:rPr>
        <w:t>, SCE states,</w:t>
      </w:r>
      <w:r w:rsidRPr="65ED421C" w:rsidR="7859062D">
        <w:rPr>
          <w:rFonts w:eastAsia="Book Antiqua" w:cs="Book Antiqua"/>
        </w:rPr>
        <w:t xml:space="preserve"> </w:t>
      </w:r>
      <w:r w:rsidRPr="65ED421C" w:rsidR="484A3E63">
        <w:rPr>
          <w:rFonts w:eastAsia="Book Antiqua" w:cs="Book Antiqua"/>
        </w:rPr>
        <w:t xml:space="preserve">would prevent penalizing developers for unforeseen delays, such as </w:t>
      </w:r>
      <w:r w:rsidRPr="65ED421C" w:rsidR="6A8C1554">
        <w:rPr>
          <w:rFonts w:eastAsia="Book Antiqua" w:cs="Book Antiqua"/>
        </w:rPr>
        <w:t xml:space="preserve">material shortage in </w:t>
      </w:r>
      <w:r w:rsidRPr="65ED421C" w:rsidR="484A3E63">
        <w:rPr>
          <w:rFonts w:eastAsia="Book Antiqua" w:cs="Book Antiqua"/>
        </w:rPr>
        <w:t xml:space="preserve">supply chain or permitting delays. </w:t>
      </w:r>
      <w:r w:rsidRPr="65ED421C" w:rsidR="033C589D">
        <w:rPr>
          <w:rFonts w:eastAsia="Book Antiqua" w:cs="Book Antiqua"/>
        </w:rPr>
        <w:t xml:space="preserve">They also </w:t>
      </w:r>
      <w:r w:rsidRPr="65ED421C" w:rsidR="003A2298">
        <w:rPr>
          <w:rFonts w:eastAsia="Book Antiqua" w:cs="Book Antiqua"/>
        </w:rPr>
        <w:t>recommend that</w:t>
      </w:r>
      <w:r w:rsidRPr="65ED421C" w:rsidR="033C589D">
        <w:rPr>
          <w:rFonts w:eastAsia="Book Antiqua" w:cs="Book Antiqua"/>
        </w:rPr>
        <w:t xml:space="preserve"> </w:t>
      </w:r>
      <w:r w:rsidR="003A2298">
        <w:rPr>
          <w:rFonts w:eastAsia="Book Antiqua" w:cs="Book Antiqua"/>
        </w:rPr>
        <w:t>any</w:t>
      </w:r>
      <w:r w:rsidRPr="65ED421C" w:rsidR="68C8F308">
        <w:rPr>
          <w:rFonts w:eastAsia="Book Antiqua" w:cs="Book Antiqua"/>
        </w:rPr>
        <w:t xml:space="preserve"> projects not completed within this grace period should be repriced without subsidies at actual cost, and utilities should not be held liable for the loss of these subsidies.</w:t>
      </w:r>
      <w:r w:rsidR="00300017">
        <w:rPr>
          <w:rStyle w:val="FootnoteReference"/>
          <w:rFonts w:eastAsia="Book Antiqua" w:cs="Book Antiqua"/>
        </w:rPr>
        <w:footnoteReference w:id="121"/>
      </w:r>
    </w:p>
    <w:p w:rsidR="530EDFE2" w:rsidP="009E515D" w:rsidRDefault="03D0D24D" w14:paraId="239F3261" w14:textId="2C0A72DD">
      <w:pPr>
        <w:pStyle w:val="Standard"/>
        <w:rPr>
          <w:rFonts w:eastAsia="Book Antiqua" w:cs="Book Antiqua"/>
        </w:rPr>
      </w:pPr>
      <w:r w:rsidRPr="1FC9B084">
        <w:rPr>
          <w:rFonts w:eastAsia="Book Antiqua" w:cs="Book Antiqua"/>
        </w:rPr>
        <w:lastRenderedPageBreak/>
        <w:t>S</w:t>
      </w:r>
      <w:r w:rsidR="00E01B0B">
        <w:rPr>
          <w:rFonts w:eastAsia="Book Antiqua" w:cs="Book Antiqua"/>
        </w:rPr>
        <w:t>empra Utilities</w:t>
      </w:r>
      <w:r w:rsidRPr="1FC9B084">
        <w:rPr>
          <w:rFonts w:eastAsia="Book Antiqua" w:cs="Book Antiqua"/>
        </w:rPr>
        <w:t xml:space="preserve"> </w:t>
      </w:r>
      <w:r w:rsidR="007665DC">
        <w:rPr>
          <w:rFonts w:eastAsia="Book Antiqua" w:cs="Book Antiqua"/>
        </w:rPr>
        <w:t>support</w:t>
      </w:r>
      <w:r w:rsidRPr="1FC9B084">
        <w:rPr>
          <w:rFonts w:eastAsia="Book Antiqua" w:cs="Book Antiqua"/>
        </w:rPr>
        <w:t xml:space="preserve"> extending </w:t>
      </w:r>
      <w:r w:rsidR="007665DC">
        <w:rPr>
          <w:rFonts w:eastAsia="Book Antiqua" w:cs="Book Antiqua"/>
        </w:rPr>
        <w:t xml:space="preserve">the </w:t>
      </w:r>
      <w:r w:rsidRPr="1FC9B084" w:rsidR="007665DC">
        <w:rPr>
          <w:rFonts w:eastAsia="Book Antiqua" w:cs="Book Antiqua"/>
        </w:rPr>
        <w:t xml:space="preserve">July 1, 2025 energization deadline </w:t>
      </w:r>
      <w:r w:rsidRPr="1FC9B084">
        <w:rPr>
          <w:rFonts w:eastAsia="Book Antiqua" w:cs="Book Antiqua"/>
        </w:rPr>
        <w:t xml:space="preserve">to </w:t>
      </w:r>
      <w:r w:rsidRPr="1FC9B084" w:rsidR="5C0F9143">
        <w:rPr>
          <w:rFonts w:eastAsia="Book Antiqua" w:cs="Book Antiqua"/>
        </w:rPr>
        <w:t>“</w:t>
      </w:r>
      <w:r w:rsidRPr="1FC9B084">
        <w:rPr>
          <w:rFonts w:eastAsia="Book Antiqua" w:cs="Book Antiqua"/>
        </w:rPr>
        <w:t>36 months after the invoice</w:t>
      </w:r>
      <w:r w:rsidRPr="1FC9B084" w:rsidR="33D87E1D">
        <w:rPr>
          <w:rFonts w:eastAsia="Book Antiqua" w:cs="Book Antiqua"/>
        </w:rPr>
        <w:t xml:space="preserve"> and</w:t>
      </w:r>
      <w:r w:rsidRPr="1FC9B084">
        <w:rPr>
          <w:rFonts w:eastAsia="Book Antiqua" w:cs="Book Antiqua"/>
        </w:rPr>
        <w:t xml:space="preserve"> contract deadline.</w:t>
      </w:r>
      <w:r w:rsidRPr="1FC9B084" w:rsidR="3A933C96">
        <w:rPr>
          <w:rFonts w:eastAsia="Book Antiqua" w:cs="Book Antiqua"/>
        </w:rPr>
        <w:t>”</w:t>
      </w:r>
      <w:r w:rsidR="00CB2F38">
        <w:rPr>
          <w:rStyle w:val="FootnoteReference"/>
          <w:rFonts w:eastAsia="Book Antiqua" w:cs="Book Antiqua"/>
        </w:rPr>
        <w:footnoteReference w:id="122"/>
      </w:r>
      <w:r w:rsidRPr="1FC9B084" w:rsidR="3A933C96">
        <w:rPr>
          <w:rFonts w:eastAsia="Book Antiqua" w:cs="Book Antiqua"/>
        </w:rPr>
        <w:t xml:space="preserve"> </w:t>
      </w:r>
      <w:r w:rsidRPr="1FC9B084">
        <w:rPr>
          <w:rFonts w:eastAsia="Book Antiqua" w:cs="Book Antiqua"/>
        </w:rPr>
        <w:t xml:space="preserve">They state this extension would accommodate delays from factors such as material shortages, permitting issues, and project complexity. </w:t>
      </w:r>
      <w:r w:rsidRPr="1FC9B084" w:rsidR="393534A8">
        <w:rPr>
          <w:rFonts w:eastAsia="Book Antiqua" w:cs="Book Antiqua"/>
        </w:rPr>
        <w:t>S</w:t>
      </w:r>
      <w:r w:rsidR="00E01B0B">
        <w:rPr>
          <w:rFonts w:eastAsia="Book Antiqua" w:cs="Book Antiqua"/>
        </w:rPr>
        <w:t>empra Utilities</w:t>
      </w:r>
      <w:r w:rsidRPr="1FC9B084">
        <w:rPr>
          <w:rFonts w:eastAsia="Book Antiqua" w:cs="Book Antiqua"/>
        </w:rPr>
        <w:t xml:space="preserve"> argue the current one-year deadline is unrealistic for many projects, especially larger or more complex ones, and extending the deadline would provide a fairer timeline for all customers.</w:t>
      </w:r>
      <w:r w:rsidRPr="1FC9B084" w:rsidR="530EDFE2">
        <w:rPr>
          <w:rStyle w:val="FootnoteReference"/>
          <w:rFonts w:eastAsia="Book Antiqua" w:cs="Book Antiqua"/>
        </w:rPr>
        <w:footnoteReference w:id="123"/>
      </w:r>
      <w:r w:rsidRPr="1FC9B084" w:rsidR="3AAD4A1C">
        <w:rPr>
          <w:rFonts w:eastAsia="Book Antiqua" w:cs="Book Antiqua"/>
        </w:rPr>
        <w:t xml:space="preserve">  </w:t>
      </w:r>
    </w:p>
    <w:p w:rsidR="003018B9" w:rsidP="009E515D" w:rsidRDefault="4C0A8718" w14:paraId="3D2A4CB9" w14:textId="7A1FEC9E">
      <w:pPr>
        <w:pStyle w:val="Standard"/>
      </w:pPr>
      <w:bookmarkStart w:name="_Toc184680248" w:id="446"/>
      <w:bookmarkStart w:name="_Toc184830929" w:id="447"/>
      <w:bookmarkStart w:name="_Toc184831180" w:id="448"/>
      <w:bookmarkStart w:name="_Toc184840797" w:id="449"/>
      <w:bookmarkStart w:name="_Toc184854708" w:id="450"/>
      <w:bookmarkStart w:name="_Toc185269675" w:id="451"/>
      <w:bookmarkStart w:name="_Toc185275781" w:id="452"/>
      <w:bookmarkStart w:name="_Toc185278470" w:id="453"/>
      <w:bookmarkStart w:name="_Toc185278574" w:id="454"/>
      <w:bookmarkStart w:name="_Toc185278678" w:id="455"/>
      <w:bookmarkStart w:name="_Toc185278862" w:id="456"/>
      <w:bookmarkStart w:name="_Toc185321823" w:id="457"/>
      <w:bookmarkStart w:name="_Toc185329773" w:id="458"/>
      <w:bookmarkStart w:name="_Toc185366196" w:id="459"/>
      <w:bookmarkStart w:name="_Toc185368852" w:id="460"/>
      <w:bookmarkStart w:name="_Toc185420450" w:id="461"/>
      <w:bookmarkStart w:name="_Toc185421266" w:id="462"/>
      <w:bookmarkStart w:name="_Toc185422563" w:id="463"/>
      <w:bookmarkStart w:name="_Toc185425580" w:id="464"/>
      <w:bookmarkStart w:name="_Toc185496654" w:id="465"/>
      <w:bookmarkStart w:name="_Toc185496864" w:id="466"/>
      <w:bookmarkStart w:name="_Toc185496975" w:id="467"/>
      <w:bookmarkStart w:name="_Hlk200038830" w:id="468"/>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t xml:space="preserve">Sempra Utilities </w:t>
      </w:r>
      <w:r w:rsidRPr="00687063">
        <w:t xml:space="preserve">challenge the Joint </w:t>
      </w:r>
      <w:r w:rsidRPr="00687063" w:rsidR="3A54580E">
        <w:t>Parties</w:t>
      </w:r>
      <w:r w:rsidDel="7BF8611C">
        <w:t>'</w:t>
      </w:r>
      <w:r w:rsidRPr="00687063">
        <w:t xml:space="preserve"> </w:t>
      </w:r>
      <w:r>
        <w:t>assertion</w:t>
      </w:r>
      <w:r w:rsidRPr="00687063">
        <w:t xml:space="preserve"> that developers </w:t>
      </w:r>
      <w:r>
        <w:t>that</w:t>
      </w:r>
      <w:r w:rsidRPr="00687063">
        <w:t xml:space="preserve"> p</w:t>
      </w:r>
      <w:r>
        <w:t>roceeded with</w:t>
      </w:r>
      <w:r w:rsidRPr="00687063">
        <w:t xml:space="preserve"> mixed-fuel </w:t>
      </w:r>
      <w:r>
        <w:t xml:space="preserve">new </w:t>
      </w:r>
      <w:r w:rsidRPr="00687063">
        <w:t>construction assumed the risk</w:t>
      </w:r>
      <w:r>
        <w:t xml:space="preserve"> </w:t>
      </w:r>
      <w:r w:rsidR="003A2298">
        <w:t xml:space="preserve">of </w:t>
      </w:r>
      <w:r>
        <w:t>not recover</w:t>
      </w:r>
      <w:r w:rsidR="003A2298">
        <w:t>ing</w:t>
      </w:r>
      <w:r>
        <w:t xml:space="preserve"> line extension costs if their projects were not energized by the July 1, 2025 deadline</w:t>
      </w:r>
      <w:r w:rsidRPr="00687063">
        <w:t>.</w:t>
      </w:r>
      <w:r w:rsidR="003018B9">
        <w:rPr>
          <w:rStyle w:val="FootnoteReference"/>
        </w:rPr>
        <w:footnoteReference w:id="124"/>
      </w:r>
      <w:r w:rsidRPr="00687063">
        <w:t xml:space="preserve"> </w:t>
      </w:r>
      <w:r>
        <w:t>Sempra Utilities</w:t>
      </w:r>
      <w:r w:rsidRPr="00687063">
        <w:t xml:space="preserve"> argue </w:t>
      </w:r>
      <w:r w:rsidR="0019603A">
        <w:t xml:space="preserve">that </w:t>
      </w:r>
      <w:r w:rsidRPr="00687063">
        <w:t xml:space="preserve">this </w:t>
      </w:r>
      <w:r w:rsidR="005A4A58">
        <w:t>concern by the Joint Parties</w:t>
      </w:r>
      <w:r w:rsidRPr="00687063">
        <w:t xml:space="preserve"> applies to a </w:t>
      </w:r>
      <w:r w:rsidR="005A4A58">
        <w:t xml:space="preserve">narrow </w:t>
      </w:r>
      <w:r w:rsidRPr="00687063">
        <w:t xml:space="preserve">subset of developers and fails to consider the broader impact of </w:t>
      </w:r>
      <w:r>
        <w:t>D.23-12-037</w:t>
      </w:r>
      <w:r w:rsidR="31FA6727">
        <w:t xml:space="preserve">. </w:t>
      </w:r>
      <w:r w:rsidR="005017DD">
        <w:t>Sempra Utilities also</w:t>
      </w:r>
      <w:r w:rsidR="31FA6727">
        <w:t xml:space="preserve"> argue</w:t>
      </w:r>
      <w:r w:rsidR="6E29CD71">
        <w:t xml:space="preserve"> </w:t>
      </w:r>
      <w:r w:rsidRPr="00C16E8B" w:rsidR="00C16E8B">
        <w:t>that adopting the Joint Parties’ position—i.e., denying cost recovery for projects not energized by July 1, 2025—</w:t>
      </w:r>
      <w:r w:rsidR="47C72D9F">
        <w:t>would</w:t>
      </w:r>
      <w:r w:rsidR="17AE51EC">
        <w:t xml:space="preserve"> </w:t>
      </w:r>
      <w:r>
        <w:t>provide</w:t>
      </w:r>
      <w:r w:rsidR="47C72D9F">
        <w:t xml:space="preserve"> only</w:t>
      </w:r>
      <w:r w:rsidRPr="00687063">
        <w:t xml:space="preserve"> six</w:t>
      </w:r>
      <w:r w:rsidR="47C72D9F">
        <w:t xml:space="preserve"> </w:t>
      </w:r>
      <w:r w:rsidRPr="00687063">
        <w:t>month</w:t>
      </w:r>
      <w:r w:rsidR="47C72D9F">
        <w:t xml:space="preserve">s </w:t>
      </w:r>
      <w:r w:rsidR="1C09338F">
        <w:t>for the developers</w:t>
      </w:r>
      <w:r w:rsidR="01D43C0F">
        <w:t xml:space="preserve"> to </w:t>
      </w:r>
      <w:r w:rsidR="17AE51EC">
        <w:t xml:space="preserve">complete the project and </w:t>
      </w:r>
      <w:r w:rsidR="01D43C0F">
        <w:t>energ</w:t>
      </w:r>
      <w:r w:rsidR="45C909D6">
        <w:t>ize</w:t>
      </w:r>
      <w:r w:rsidR="15A4EF65">
        <w:t xml:space="preserve">, including </w:t>
      </w:r>
      <w:r w:rsidR="3F76BB43">
        <w:t xml:space="preserve">any </w:t>
      </w:r>
      <w:r w:rsidR="610B7CCB">
        <w:t xml:space="preserve">necessary </w:t>
      </w:r>
      <w:r>
        <w:t xml:space="preserve">time </w:t>
      </w:r>
      <w:r w:rsidR="2BCDCE4A">
        <w:t xml:space="preserve">needed </w:t>
      </w:r>
      <w:r>
        <w:t xml:space="preserve">to reconsider </w:t>
      </w:r>
      <w:r w:rsidR="2F5C195A">
        <w:t xml:space="preserve">or adjust </w:t>
      </w:r>
      <w:r>
        <w:t>construction plan</w:t>
      </w:r>
      <w:r w:rsidRPr="00687063">
        <w:t>s.</w:t>
      </w:r>
      <w:r w:rsidR="003018B9">
        <w:rPr>
          <w:rStyle w:val="FootnoteReference"/>
        </w:rPr>
        <w:footnoteReference w:id="125"/>
      </w:r>
      <w:r>
        <w:t xml:space="preserve"> They </w:t>
      </w:r>
      <w:r w:rsidR="009D34AD">
        <w:t>agree</w:t>
      </w:r>
      <w:r>
        <w:t xml:space="preserve"> with </w:t>
      </w:r>
      <w:r w:rsidRPr="00687063">
        <w:t xml:space="preserve">SBUA that many projects were planned with the expectation of subsidies </w:t>
      </w:r>
      <w:r w:rsidR="24A1E01A">
        <w:t xml:space="preserve">remaining </w:t>
      </w:r>
      <w:r w:rsidRPr="00687063">
        <w:t>available under the policy at the time.</w:t>
      </w:r>
      <w:r w:rsidR="003018B9">
        <w:rPr>
          <w:rStyle w:val="FootnoteReference"/>
        </w:rPr>
        <w:footnoteReference w:id="126"/>
      </w:r>
    </w:p>
    <w:bookmarkEnd w:id="468"/>
    <w:p w:rsidR="003018B9" w:rsidP="009E515D" w:rsidRDefault="003018B9" w14:paraId="04E63699" w14:textId="430CA478">
      <w:pPr>
        <w:pStyle w:val="Standard"/>
      </w:pPr>
      <w:r>
        <w:t>Sempra Utilities</w:t>
      </w:r>
      <w:r w:rsidRPr="000A2253">
        <w:t xml:space="preserve"> </w:t>
      </w:r>
      <w:r>
        <w:t xml:space="preserve">disagree with SCE that </w:t>
      </w:r>
      <w:r w:rsidRPr="000A2253">
        <w:t xml:space="preserve">a six-month extension </w:t>
      </w:r>
      <w:r>
        <w:t>to the energization timeline is sufficient. The</w:t>
      </w:r>
      <w:r w:rsidR="00C22FBE">
        <w:t>y</w:t>
      </w:r>
      <w:r>
        <w:t xml:space="preserve"> </w:t>
      </w:r>
      <w:r w:rsidR="006A4EE4">
        <w:t xml:space="preserve">point to data reported in </w:t>
      </w:r>
      <w:r w:rsidRPr="006A4EE4" w:rsidR="006A4EE4">
        <w:t>R.24-01-018</w:t>
      </w:r>
      <w:r w:rsidR="00F80BFF">
        <w:t xml:space="preserve"> and explain that</w:t>
      </w:r>
      <w:r>
        <w:t xml:space="preserve"> “</w:t>
      </w:r>
      <w:r w:rsidRPr="005E603C">
        <w:t>SCE’s current average estimated energization</w:t>
      </w:r>
      <w:r>
        <w:t xml:space="preserve"> </w:t>
      </w:r>
      <w:r w:rsidRPr="002206CB">
        <w:t xml:space="preserve">timing for an Electric </w:t>
      </w:r>
      <w:r w:rsidRPr="002206CB">
        <w:lastRenderedPageBreak/>
        <w:t xml:space="preserve">Rule 15 and 16 </w:t>
      </w:r>
      <w:r>
        <w:t xml:space="preserve">[project completion] </w:t>
      </w:r>
      <w:r w:rsidRPr="002206CB">
        <w:t>is 268 business days</w:t>
      </w:r>
      <w:r>
        <w:t>,”</w:t>
      </w:r>
      <w:r>
        <w:rPr>
          <w:rStyle w:val="FootnoteReference"/>
        </w:rPr>
        <w:footnoteReference w:id="127"/>
      </w:r>
      <w:r>
        <w:t xml:space="preserve"> which is inconsistent with SCE’s recommendation to extend the July 1, 2025 energization timeline by six months</w:t>
      </w:r>
      <w:r w:rsidR="00530339">
        <w:t xml:space="preserve"> only</w:t>
      </w:r>
      <w:r>
        <w:t>.</w:t>
      </w:r>
      <w:r w:rsidRPr="009A41BD">
        <w:t xml:space="preserve"> </w:t>
      </w:r>
      <w:r>
        <w:t xml:space="preserve">Sempra Utilities </w:t>
      </w:r>
      <w:r w:rsidR="00AA2324">
        <w:t>re</w:t>
      </w:r>
      <w:r w:rsidR="00BD1A6A">
        <w:t>iterate</w:t>
      </w:r>
      <w:r>
        <w:t xml:space="preserve"> their recommendation of</w:t>
      </w:r>
      <w:r w:rsidRPr="000A2253">
        <w:t xml:space="preserve"> </w:t>
      </w:r>
      <w:r>
        <w:t xml:space="preserve">a </w:t>
      </w:r>
      <w:r w:rsidRPr="000A2253">
        <w:t>36</w:t>
      </w:r>
      <w:r>
        <w:t>-month</w:t>
      </w:r>
      <w:r w:rsidRPr="000A2253">
        <w:t xml:space="preserve"> </w:t>
      </w:r>
      <w:r>
        <w:t xml:space="preserve">extension </w:t>
      </w:r>
      <w:r w:rsidRPr="000A2253">
        <w:t xml:space="preserve">would better accommodate delays and help customers </w:t>
      </w:r>
      <w:r>
        <w:t xml:space="preserve">either </w:t>
      </w:r>
      <w:r w:rsidRPr="000A2253">
        <w:t>adjust to the loss of subsidies or redesign their projects.</w:t>
      </w:r>
      <w:r>
        <w:rPr>
          <w:rStyle w:val="FootnoteReference"/>
        </w:rPr>
        <w:footnoteReference w:id="128"/>
      </w:r>
    </w:p>
    <w:p w:rsidRPr="009D1072" w:rsidR="00766D43" w:rsidP="000E7D14" w:rsidRDefault="00766D43" w14:paraId="6DE0933A" w14:textId="77777777">
      <w:pPr>
        <w:pStyle w:val="Heading3"/>
      </w:pPr>
      <w:bookmarkStart w:name="_Toc184840690" w:id="469"/>
      <w:bookmarkStart w:name="_Toc184840799" w:id="470"/>
      <w:bookmarkStart w:name="_Toc184854710" w:id="471"/>
      <w:bookmarkStart w:name="_Toc185269677" w:id="472"/>
      <w:bookmarkStart w:name="_Toc185275783" w:id="473"/>
      <w:bookmarkStart w:name="_Toc185278472" w:id="474"/>
      <w:bookmarkStart w:name="_Toc185278576" w:id="475"/>
      <w:bookmarkStart w:name="_Toc185278680" w:id="476"/>
      <w:bookmarkStart w:name="_Toc185278864" w:id="477"/>
      <w:bookmarkStart w:name="_Toc185321825" w:id="478"/>
      <w:bookmarkStart w:name="_Toc185329775" w:id="479"/>
      <w:bookmarkStart w:name="_Toc185366198" w:id="480"/>
      <w:bookmarkStart w:name="_Toc185368854" w:id="481"/>
      <w:bookmarkStart w:name="_Toc185420452" w:id="482"/>
      <w:bookmarkStart w:name="_Toc185421268" w:id="483"/>
      <w:bookmarkStart w:name="_Toc185422565" w:id="484"/>
      <w:bookmarkStart w:name="_Toc185425582" w:id="485"/>
      <w:bookmarkStart w:name="_Toc185496656" w:id="486"/>
      <w:bookmarkStart w:name="_Toc185496866" w:id="487"/>
      <w:bookmarkStart w:name="_Toc185496977" w:id="488"/>
      <w:bookmarkStart w:name="_Toc184840691" w:id="489"/>
      <w:bookmarkStart w:name="_Toc184840800" w:id="490"/>
      <w:bookmarkStart w:name="_Toc184854711" w:id="491"/>
      <w:bookmarkStart w:name="_Toc185269678" w:id="492"/>
      <w:bookmarkStart w:name="_Toc185275784" w:id="493"/>
      <w:bookmarkStart w:name="_Toc185278473" w:id="494"/>
      <w:bookmarkStart w:name="_Toc185278577" w:id="495"/>
      <w:bookmarkStart w:name="_Toc185278681" w:id="496"/>
      <w:bookmarkStart w:name="_Toc185278865" w:id="497"/>
      <w:bookmarkStart w:name="_Toc185321826" w:id="498"/>
      <w:bookmarkStart w:name="_Toc185329776" w:id="499"/>
      <w:bookmarkStart w:name="_Toc185366199" w:id="500"/>
      <w:bookmarkStart w:name="_Toc185368855" w:id="501"/>
      <w:bookmarkStart w:name="_Toc185420453" w:id="502"/>
      <w:bookmarkStart w:name="_Toc185421269" w:id="503"/>
      <w:bookmarkStart w:name="_Toc185422566" w:id="504"/>
      <w:bookmarkStart w:name="_Toc185425583" w:id="505"/>
      <w:bookmarkStart w:name="_Toc185496657" w:id="506"/>
      <w:bookmarkStart w:name="_Toc185496867" w:id="507"/>
      <w:bookmarkStart w:name="_Toc185496978" w:id="508"/>
      <w:bookmarkStart w:name="_Toc184840692" w:id="509"/>
      <w:bookmarkStart w:name="_Toc184840801" w:id="510"/>
      <w:bookmarkStart w:name="_Toc184854712" w:id="511"/>
      <w:bookmarkStart w:name="_Toc185269679" w:id="512"/>
      <w:bookmarkStart w:name="_Toc185275785" w:id="513"/>
      <w:bookmarkStart w:name="_Toc185278474" w:id="514"/>
      <w:bookmarkStart w:name="_Toc185278578" w:id="515"/>
      <w:bookmarkStart w:name="_Toc185278682" w:id="516"/>
      <w:bookmarkStart w:name="_Toc185278866" w:id="517"/>
      <w:bookmarkStart w:name="_Toc185321827" w:id="518"/>
      <w:bookmarkStart w:name="_Toc185329777" w:id="519"/>
      <w:bookmarkStart w:name="_Toc185366200" w:id="520"/>
      <w:bookmarkStart w:name="_Toc185368856" w:id="521"/>
      <w:bookmarkStart w:name="_Toc185420454" w:id="522"/>
      <w:bookmarkStart w:name="_Toc185421270" w:id="523"/>
      <w:bookmarkStart w:name="_Toc185422567" w:id="524"/>
      <w:bookmarkStart w:name="_Toc185425584" w:id="525"/>
      <w:bookmarkStart w:name="_Toc185496658" w:id="526"/>
      <w:bookmarkStart w:name="_Toc185496868" w:id="527"/>
      <w:bookmarkStart w:name="_Toc185496979" w:id="528"/>
      <w:bookmarkStart w:name="_Toc184840693" w:id="529"/>
      <w:bookmarkStart w:name="_Toc184840802" w:id="530"/>
      <w:bookmarkStart w:name="_Toc184854713" w:id="531"/>
      <w:bookmarkStart w:name="_Toc185269680" w:id="532"/>
      <w:bookmarkStart w:name="_Toc185275786" w:id="533"/>
      <w:bookmarkStart w:name="_Toc185278475" w:id="534"/>
      <w:bookmarkStart w:name="_Toc185278579" w:id="535"/>
      <w:bookmarkStart w:name="_Toc185278683" w:id="536"/>
      <w:bookmarkStart w:name="_Toc185278867" w:id="537"/>
      <w:bookmarkStart w:name="_Toc185321828" w:id="538"/>
      <w:bookmarkStart w:name="_Toc185329778" w:id="539"/>
      <w:bookmarkStart w:name="_Toc185366201" w:id="540"/>
      <w:bookmarkStart w:name="_Toc185368857" w:id="541"/>
      <w:bookmarkStart w:name="_Toc185420455" w:id="542"/>
      <w:bookmarkStart w:name="_Toc185421271" w:id="543"/>
      <w:bookmarkStart w:name="_Toc185422568" w:id="544"/>
      <w:bookmarkStart w:name="_Toc185425585" w:id="545"/>
      <w:bookmarkStart w:name="_Toc185496659" w:id="546"/>
      <w:bookmarkStart w:name="_Toc185496869" w:id="547"/>
      <w:bookmarkStart w:name="_Toc185496980" w:id="548"/>
      <w:bookmarkStart w:name="_Toc184840694" w:id="549"/>
      <w:bookmarkStart w:name="_Toc184840803" w:id="550"/>
      <w:bookmarkStart w:name="_Toc184854714" w:id="551"/>
      <w:bookmarkStart w:name="_Toc185269681" w:id="552"/>
      <w:bookmarkStart w:name="_Toc185275787" w:id="553"/>
      <w:bookmarkStart w:name="_Toc185278476" w:id="554"/>
      <w:bookmarkStart w:name="_Toc185278580" w:id="555"/>
      <w:bookmarkStart w:name="_Toc185278684" w:id="556"/>
      <w:bookmarkStart w:name="_Toc185278868" w:id="557"/>
      <w:bookmarkStart w:name="_Toc185321829" w:id="558"/>
      <w:bookmarkStart w:name="_Toc185329779" w:id="559"/>
      <w:bookmarkStart w:name="_Toc185366202" w:id="560"/>
      <w:bookmarkStart w:name="_Toc185368858" w:id="561"/>
      <w:bookmarkStart w:name="_Toc185420456" w:id="562"/>
      <w:bookmarkStart w:name="_Toc185421272" w:id="563"/>
      <w:bookmarkStart w:name="_Toc185422569" w:id="564"/>
      <w:bookmarkStart w:name="_Toc185425586" w:id="565"/>
      <w:bookmarkStart w:name="_Toc185496660" w:id="566"/>
      <w:bookmarkStart w:name="_Toc185496870" w:id="567"/>
      <w:bookmarkStart w:name="_Toc185496981" w:id="568"/>
      <w:bookmarkStart w:name="_Toc184840695" w:id="569"/>
      <w:bookmarkStart w:name="_Toc184840804" w:id="570"/>
      <w:bookmarkStart w:name="_Toc184854715" w:id="571"/>
      <w:bookmarkStart w:name="_Toc185269682" w:id="572"/>
      <w:bookmarkStart w:name="_Toc185275788" w:id="573"/>
      <w:bookmarkStart w:name="_Toc185278477" w:id="574"/>
      <w:bookmarkStart w:name="_Toc185278581" w:id="575"/>
      <w:bookmarkStart w:name="_Toc185278685" w:id="576"/>
      <w:bookmarkStart w:name="_Toc185278869" w:id="577"/>
      <w:bookmarkStart w:name="_Toc185321830" w:id="578"/>
      <w:bookmarkStart w:name="_Toc185329780" w:id="579"/>
      <w:bookmarkStart w:name="_Toc185366203" w:id="580"/>
      <w:bookmarkStart w:name="_Toc185368859" w:id="581"/>
      <w:bookmarkStart w:name="_Toc185420457" w:id="582"/>
      <w:bookmarkStart w:name="_Toc185421273" w:id="583"/>
      <w:bookmarkStart w:name="_Toc185422570" w:id="584"/>
      <w:bookmarkStart w:name="_Toc185425587" w:id="585"/>
      <w:bookmarkStart w:name="_Toc185496661" w:id="586"/>
      <w:bookmarkStart w:name="_Toc185496871" w:id="587"/>
      <w:bookmarkStart w:name="_Toc185496982" w:id="588"/>
      <w:bookmarkStart w:name="_Toc184840696" w:id="589"/>
      <w:bookmarkStart w:name="_Toc184840805" w:id="590"/>
      <w:bookmarkStart w:name="_Toc184854716" w:id="591"/>
      <w:bookmarkStart w:name="_Toc185269683" w:id="592"/>
      <w:bookmarkStart w:name="_Toc185275789" w:id="593"/>
      <w:bookmarkStart w:name="_Toc185278478" w:id="594"/>
      <w:bookmarkStart w:name="_Toc185278582" w:id="595"/>
      <w:bookmarkStart w:name="_Toc185278686" w:id="596"/>
      <w:bookmarkStart w:name="_Toc185278870" w:id="597"/>
      <w:bookmarkStart w:name="_Toc185321831" w:id="598"/>
      <w:bookmarkStart w:name="_Toc185329781" w:id="599"/>
      <w:bookmarkStart w:name="_Toc185366204" w:id="600"/>
      <w:bookmarkStart w:name="_Toc185368860" w:id="601"/>
      <w:bookmarkStart w:name="_Toc185420458" w:id="602"/>
      <w:bookmarkStart w:name="_Toc185421274" w:id="603"/>
      <w:bookmarkStart w:name="_Toc185422571" w:id="604"/>
      <w:bookmarkStart w:name="_Toc185425588" w:id="605"/>
      <w:bookmarkStart w:name="_Toc185496662" w:id="606"/>
      <w:bookmarkStart w:name="_Toc185496872" w:id="607"/>
      <w:bookmarkStart w:name="_Toc185496983" w:id="608"/>
      <w:bookmarkStart w:name="_Toc184840697" w:id="609"/>
      <w:bookmarkStart w:name="_Toc184840806" w:id="610"/>
      <w:bookmarkStart w:name="_Toc184854717" w:id="611"/>
      <w:bookmarkStart w:name="_Toc185269684" w:id="612"/>
      <w:bookmarkStart w:name="_Toc185275790" w:id="613"/>
      <w:bookmarkStart w:name="_Toc185278479" w:id="614"/>
      <w:bookmarkStart w:name="_Toc185278583" w:id="615"/>
      <w:bookmarkStart w:name="_Toc185278687" w:id="616"/>
      <w:bookmarkStart w:name="_Toc185278871" w:id="617"/>
      <w:bookmarkStart w:name="_Toc185321832" w:id="618"/>
      <w:bookmarkStart w:name="_Toc185329782" w:id="619"/>
      <w:bookmarkStart w:name="_Toc185366205" w:id="620"/>
      <w:bookmarkStart w:name="_Toc185368861" w:id="621"/>
      <w:bookmarkStart w:name="_Toc185420459" w:id="622"/>
      <w:bookmarkStart w:name="_Toc185421275" w:id="623"/>
      <w:bookmarkStart w:name="_Toc185422572" w:id="624"/>
      <w:bookmarkStart w:name="_Toc185425589" w:id="625"/>
      <w:bookmarkStart w:name="_Toc185496663" w:id="626"/>
      <w:bookmarkStart w:name="_Toc185496873" w:id="627"/>
      <w:bookmarkStart w:name="_Toc185496984" w:id="628"/>
      <w:bookmarkStart w:name="_Toc184840698" w:id="629"/>
      <w:bookmarkStart w:name="_Toc184840807" w:id="630"/>
      <w:bookmarkStart w:name="_Toc184854718" w:id="631"/>
      <w:bookmarkStart w:name="_Toc185269685" w:id="632"/>
      <w:bookmarkStart w:name="_Toc185275791" w:id="633"/>
      <w:bookmarkStart w:name="_Toc185278480" w:id="634"/>
      <w:bookmarkStart w:name="_Toc185278584" w:id="635"/>
      <w:bookmarkStart w:name="_Toc185278688" w:id="636"/>
      <w:bookmarkStart w:name="_Toc185278872" w:id="637"/>
      <w:bookmarkStart w:name="_Toc185321833" w:id="638"/>
      <w:bookmarkStart w:name="_Toc185329783" w:id="639"/>
      <w:bookmarkStart w:name="_Toc185366206" w:id="640"/>
      <w:bookmarkStart w:name="_Toc185368862" w:id="641"/>
      <w:bookmarkStart w:name="_Toc185420460" w:id="642"/>
      <w:bookmarkStart w:name="_Toc185421276" w:id="643"/>
      <w:bookmarkStart w:name="_Toc185422573" w:id="644"/>
      <w:bookmarkStart w:name="_Toc185425590" w:id="645"/>
      <w:bookmarkStart w:name="_Toc185496664" w:id="646"/>
      <w:bookmarkStart w:name="_Toc185496874" w:id="647"/>
      <w:bookmarkStart w:name="_Toc185496985" w:id="648"/>
      <w:bookmarkStart w:name="_Toc185579375" w:id="649"/>
      <w:bookmarkStart w:name="_Toc192263701" w:id="650"/>
      <w:bookmarkStart w:name="_Toc200370983" w:id="651"/>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9D1072">
        <w:t>Discussion</w:t>
      </w:r>
      <w:bookmarkEnd w:id="649"/>
      <w:bookmarkEnd w:id="650"/>
      <w:bookmarkEnd w:id="651"/>
    </w:p>
    <w:p w:rsidR="005D0034" w:rsidP="00756875" w:rsidRDefault="020B1398" w14:paraId="249200F9" w14:textId="496F8549">
      <w:pPr>
        <w:pStyle w:val="Standard"/>
        <w:rPr>
          <w:rFonts w:eastAsia="Book Antiqua" w:cs="Book Antiqua"/>
        </w:rPr>
      </w:pPr>
      <w:r w:rsidRPr="5107A9CF">
        <w:rPr>
          <w:rFonts w:eastAsia="Book Antiqua" w:cs="Book Antiqua"/>
        </w:rPr>
        <w:t>SBUA, SCE</w:t>
      </w:r>
      <w:r w:rsidRPr="5107A9CF" w:rsidR="4BF40AB2">
        <w:rPr>
          <w:rFonts w:eastAsia="Book Antiqua" w:cs="Book Antiqua"/>
        </w:rPr>
        <w:t>,</w:t>
      </w:r>
      <w:r w:rsidRPr="5107A9CF">
        <w:rPr>
          <w:rFonts w:eastAsia="Book Antiqua" w:cs="Book Antiqua"/>
        </w:rPr>
        <w:t xml:space="preserve"> and </w:t>
      </w:r>
      <w:r w:rsidRPr="5107A9CF" w:rsidR="654756F4">
        <w:rPr>
          <w:rFonts w:eastAsia="Book Antiqua" w:cs="Book Antiqua"/>
        </w:rPr>
        <w:t>Sempra Utilities</w:t>
      </w:r>
      <w:r w:rsidRPr="5107A9CF">
        <w:rPr>
          <w:rFonts w:eastAsia="Book Antiqua" w:cs="Book Antiqua"/>
        </w:rPr>
        <w:t xml:space="preserve"> </w:t>
      </w:r>
      <w:r w:rsidRPr="5107A9CF" w:rsidR="0D923B6A">
        <w:rPr>
          <w:rFonts w:eastAsia="Book Antiqua" w:cs="Book Antiqua"/>
        </w:rPr>
        <w:t>all</w:t>
      </w:r>
      <w:r w:rsidRPr="5107A9CF">
        <w:rPr>
          <w:rFonts w:eastAsia="Book Antiqua" w:cs="Book Antiqua"/>
        </w:rPr>
        <w:t xml:space="preserve"> support extending the energization deadline</w:t>
      </w:r>
      <w:r w:rsidRPr="5107A9CF" w:rsidR="0A8FB893">
        <w:rPr>
          <w:rFonts w:eastAsia="Book Antiqua" w:cs="Book Antiqua"/>
        </w:rPr>
        <w:t xml:space="preserve"> for mixed-fuel new construction projects</w:t>
      </w:r>
      <w:r w:rsidRPr="5107A9CF">
        <w:rPr>
          <w:rFonts w:eastAsia="Book Antiqua" w:cs="Book Antiqua"/>
        </w:rPr>
        <w:t xml:space="preserve"> </w:t>
      </w:r>
      <w:r w:rsidRPr="5107A9CF" w:rsidR="1EF1DF75">
        <w:rPr>
          <w:rFonts w:eastAsia="Book Antiqua" w:cs="Book Antiqua"/>
        </w:rPr>
        <w:t>beyond July 1, 2025</w:t>
      </w:r>
      <w:r w:rsidRPr="5107A9CF" w:rsidR="2BFF2325">
        <w:rPr>
          <w:rFonts w:eastAsia="Book Antiqua" w:cs="Book Antiqua"/>
        </w:rPr>
        <w:t>,</w:t>
      </w:r>
      <w:r w:rsidRPr="5107A9CF" w:rsidR="1EF1DF75">
        <w:rPr>
          <w:rFonts w:eastAsia="Book Antiqua" w:cs="Book Antiqua"/>
        </w:rPr>
        <w:t xml:space="preserve"> due to </w:t>
      </w:r>
      <w:r w:rsidRPr="5107A9CF" w:rsidR="0A8FB893">
        <w:rPr>
          <w:rFonts w:eastAsia="Book Antiqua" w:cs="Book Antiqua"/>
        </w:rPr>
        <w:t xml:space="preserve">the potential for </w:t>
      </w:r>
      <w:r w:rsidRPr="5107A9CF" w:rsidR="2E4E43B7">
        <w:rPr>
          <w:rFonts w:eastAsia="Book Antiqua" w:cs="Book Antiqua"/>
        </w:rPr>
        <w:t>delays beyond developers</w:t>
      </w:r>
      <w:r w:rsidRPr="5107A9CF" w:rsidR="1EDA845A">
        <w:rPr>
          <w:rFonts w:eastAsia="Book Antiqua" w:cs="Book Antiqua"/>
        </w:rPr>
        <w:t>’</w:t>
      </w:r>
      <w:r w:rsidRPr="5107A9CF" w:rsidR="2E4E43B7">
        <w:rPr>
          <w:rFonts w:eastAsia="Book Antiqua" w:cs="Book Antiqua"/>
        </w:rPr>
        <w:t xml:space="preserve"> control. We a</w:t>
      </w:r>
      <w:r w:rsidRPr="5107A9CF" w:rsidR="65DC62EA">
        <w:rPr>
          <w:rFonts w:eastAsia="Book Antiqua" w:cs="Book Antiqua"/>
        </w:rPr>
        <w:t>re persuaded by</w:t>
      </w:r>
      <w:r w:rsidRPr="5107A9CF" w:rsidR="6DE76E13">
        <w:rPr>
          <w:rFonts w:eastAsia="Book Antiqua" w:cs="Book Antiqua"/>
        </w:rPr>
        <w:t xml:space="preserve"> these comments and </w:t>
      </w:r>
      <w:r w:rsidRPr="5107A9CF" w:rsidR="398BEFDF">
        <w:rPr>
          <w:rFonts w:eastAsia="Book Antiqua" w:cs="Book Antiqua"/>
        </w:rPr>
        <w:t xml:space="preserve">find an extension of </w:t>
      </w:r>
      <w:r w:rsidRPr="5107A9CF" w:rsidR="2B466D91">
        <w:rPr>
          <w:rFonts w:eastAsia="Book Antiqua" w:cs="Book Antiqua"/>
        </w:rPr>
        <w:t xml:space="preserve">the </w:t>
      </w:r>
      <w:r w:rsidRPr="5107A9CF" w:rsidR="398BEFDF">
        <w:rPr>
          <w:rFonts w:eastAsia="Book Antiqua" w:cs="Book Antiqua"/>
        </w:rPr>
        <w:t xml:space="preserve">energization deadline </w:t>
      </w:r>
      <w:r w:rsidRPr="5107A9CF" w:rsidR="4CF0F659">
        <w:rPr>
          <w:rFonts w:eastAsia="Book Antiqua" w:cs="Book Antiqua"/>
        </w:rPr>
        <w:t xml:space="preserve">is </w:t>
      </w:r>
      <w:r w:rsidRPr="5107A9CF" w:rsidR="226B2EF3">
        <w:rPr>
          <w:rFonts w:eastAsia="Book Antiqua" w:cs="Book Antiqua"/>
        </w:rPr>
        <w:t>reasonable</w:t>
      </w:r>
      <w:r w:rsidRPr="5107A9CF" w:rsidR="398BEFDF">
        <w:rPr>
          <w:rFonts w:eastAsia="Book Antiqua" w:cs="Book Antiqua"/>
        </w:rPr>
        <w:t xml:space="preserve">. </w:t>
      </w:r>
    </w:p>
    <w:p w:rsidR="00736191" w:rsidP="00756875" w:rsidRDefault="353C7DAA" w14:paraId="22B146C4" w14:textId="4BAE94B7">
      <w:pPr>
        <w:pStyle w:val="Standard"/>
        <w:rPr>
          <w:rFonts w:eastAsia="Book Antiqua" w:cs="Book Antiqua"/>
        </w:rPr>
      </w:pPr>
      <w:r w:rsidRPr="5107A9CF">
        <w:rPr>
          <w:rFonts w:eastAsia="Book Antiqua" w:cs="Book Antiqua"/>
        </w:rPr>
        <w:t>W</w:t>
      </w:r>
      <w:r w:rsidRPr="5107A9CF" w:rsidR="03915DCC">
        <w:rPr>
          <w:rFonts w:eastAsia="Book Antiqua" w:cs="Book Antiqua"/>
        </w:rPr>
        <w:t>e acknowledge</w:t>
      </w:r>
      <w:r w:rsidRPr="5107A9CF" w:rsidR="7F11B034">
        <w:rPr>
          <w:rFonts w:eastAsia="Book Antiqua" w:cs="Book Antiqua"/>
        </w:rPr>
        <w:t xml:space="preserve"> </w:t>
      </w:r>
      <w:r w:rsidRPr="5107A9CF">
        <w:rPr>
          <w:rFonts w:eastAsia="Book Antiqua" w:cs="Book Antiqua"/>
        </w:rPr>
        <w:t>SBUA</w:t>
      </w:r>
      <w:r w:rsidRPr="5107A9CF" w:rsidR="0EC6E917">
        <w:rPr>
          <w:rFonts w:eastAsia="Book Antiqua" w:cs="Book Antiqua"/>
        </w:rPr>
        <w:t xml:space="preserve">’s </w:t>
      </w:r>
      <w:r w:rsidRPr="5107A9CF" w:rsidR="067B3443">
        <w:rPr>
          <w:rFonts w:eastAsia="Book Antiqua" w:cs="Book Antiqua"/>
        </w:rPr>
        <w:t>recommendation</w:t>
      </w:r>
      <w:r w:rsidRPr="5107A9CF" w:rsidR="65DC62EA">
        <w:rPr>
          <w:rFonts w:eastAsia="Book Antiqua" w:cs="Book Antiqua"/>
        </w:rPr>
        <w:t xml:space="preserve"> </w:t>
      </w:r>
      <w:r w:rsidRPr="5107A9CF" w:rsidR="1A0D5F4B">
        <w:rPr>
          <w:rFonts w:eastAsia="Book Antiqua" w:cs="Book Antiqua"/>
        </w:rPr>
        <w:t xml:space="preserve">that </w:t>
      </w:r>
      <w:r w:rsidRPr="5107A9CF" w:rsidR="498889B5">
        <w:rPr>
          <w:rFonts w:eastAsia="Book Antiqua" w:cs="Book Antiqua"/>
        </w:rPr>
        <w:t xml:space="preserve">mixed-fuel new construction </w:t>
      </w:r>
      <w:r w:rsidRPr="5107A9CF" w:rsidR="1A0D5F4B">
        <w:rPr>
          <w:rFonts w:eastAsia="Book Antiqua" w:cs="Book Antiqua"/>
        </w:rPr>
        <w:t>projects</w:t>
      </w:r>
      <w:r w:rsidRPr="5107A9CF" w:rsidR="52BDD2F6">
        <w:rPr>
          <w:rFonts w:eastAsia="Book Antiqua" w:cs="Book Antiqua"/>
        </w:rPr>
        <w:t xml:space="preserve"> </w:t>
      </w:r>
      <w:r w:rsidRPr="5107A9CF" w:rsidR="17903EA9">
        <w:rPr>
          <w:rFonts w:eastAsia="Book Antiqua" w:cs="Book Antiqua"/>
        </w:rPr>
        <w:t xml:space="preserve">with contracts </w:t>
      </w:r>
      <w:r w:rsidRPr="5107A9CF" w:rsidR="23EF8102">
        <w:rPr>
          <w:rFonts w:eastAsia="Book Antiqua" w:cs="Book Antiqua"/>
        </w:rPr>
        <w:t xml:space="preserve">fully </w:t>
      </w:r>
      <w:r w:rsidRPr="5107A9CF" w:rsidR="517FD0CB">
        <w:rPr>
          <w:rFonts w:eastAsia="Book Antiqua" w:cs="Book Antiqua"/>
        </w:rPr>
        <w:t>paid for</w:t>
      </w:r>
      <w:r w:rsidRPr="5107A9CF" w:rsidR="23EF8102">
        <w:rPr>
          <w:rFonts w:eastAsia="Book Antiqua" w:cs="Book Antiqua"/>
        </w:rPr>
        <w:t xml:space="preserve"> </w:t>
      </w:r>
      <w:r w:rsidRPr="5107A9CF" w:rsidR="1BFFFFE5">
        <w:rPr>
          <w:rFonts w:eastAsia="Book Antiqua" w:cs="Book Antiqua"/>
        </w:rPr>
        <w:t xml:space="preserve">prior to </w:t>
      </w:r>
      <w:r w:rsidRPr="5107A9CF" w:rsidR="3E7F2864">
        <w:rPr>
          <w:rFonts w:eastAsia="Book Antiqua" w:cs="Book Antiqua"/>
        </w:rPr>
        <w:t xml:space="preserve">the date that the Phase 3B Decision was adopted (i.e., </w:t>
      </w:r>
      <w:r w:rsidRPr="5107A9CF" w:rsidR="1BFFFFE5">
        <w:rPr>
          <w:rFonts w:eastAsia="Book Antiqua" w:cs="Book Antiqua"/>
        </w:rPr>
        <w:t>December 14, 2023</w:t>
      </w:r>
      <w:r w:rsidRPr="5107A9CF" w:rsidR="3E7F2864">
        <w:rPr>
          <w:rFonts w:eastAsia="Book Antiqua" w:cs="Book Antiqua"/>
        </w:rPr>
        <w:t>)</w:t>
      </w:r>
      <w:r w:rsidRPr="5107A9CF" w:rsidR="1BFFFFE5">
        <w:rPr>
          <w:rFonts w:eastAsia="Book Antiqua" w:cs="Book Antiqua"/>
        </w:rPr>
        <w:t xml:space="preserve"> should </w:t>
      </w:r>
      <w:r w:rsidRPr="5107A9CF" w:rsidR="6008DF75">
        <w:rPr>
          <w:rFonts w:eastAsia="Book Antiqua" w:cs="Book Antiqua"/>
        </w:rPr>
        <w:t>not be subject to any energization deadline</w:t>
      </w:r>
      <w:r w:rsidRPr="5107A9CF" w:rsidR="067B3443">
        <w:rPr>
          <w:rFonts w:eastAsia="Book Antiqua" w:cs="Book Antiqua"/>
        </w:rPr>
        <w:t>. However</w:t>
      </w:r>
      <w:r w:rsidRPr="5107A9CF" w:rsidR="6008DF75">
        <w:rPr>
          <w:rFonts w:eastAsia="Book Antiqua" w:cs="Book Antiqua"/>
        </w:rPr>
        <w:t xml:space="preserve">, we </w:t>
      </w:r>
      <w:r w:rsidRPr="5107A9CF" w:rsidR="02F2DF90">
        <w:rPr>
          <w:rFonts w:eastAsia="Book Antiqua" w:cs="Book Antiqua"/>
        </w:rPr>
        <w:t xml:space="preserve">find it appropriate to </w:t>
      </w:r>
      <w:r w:rsidRPr="5107A9CF" w:rsidR="07A484C6">
        <w:rPr>
          <w:rFonts w:eastAsia="Book Antiqua" w:cs="Book Antiqua"/>
        </w:rPr>
        <w:t xml:space="preserve">adopt </w:t>
      </w:r>
      <w:r w:rsidRPr="5107A9CF" w:rsidR="3E4405D5">
        <w:rPr>
          <w:rFonts w:eastAsia="Book Antiqua" w:cs="Book Antiqua"/>
        </w:rPr>
        <w:t>an approach combin</w:t>
      </w:r>
      <w:r w:rsidR="003A2298">
        <w:rPr>
          <w:rFonts w:eastAsia="Book Antiqua" w:cs="Book Antiqua"/>
        </w:rPr>
        <w:t>ing</w:t>
      </w:r>
      <w:r w:rsidRPr="5107A9CF" w:rsidR="23B294B9">
        <w:rPr>
          <w:rFonts w:eastAsia="Book Antiqua" w:cs="Book Antiqua"/>
        </w:rPr>
        <w:t xml:space="preserve"> elements of SBUA’s recommendation with Sempra Utilities’ recommended </w:t>
      </w:r>
      <w:r w:rsidRPr="5107A9CF" w:rsidR="3076EC4E">
        <w:rPr>
          <w:rFonts w:eastAsia="Book Antiqua" w:cs="Book Antiqua"/>
        </w:rPr>
        <w:t xml:space="preserve">36-month extension. </w:t>
      </w:r>
      <w:bookmarkStart w:name="_Hlk191953410" w:id="652"/>
    </w:p>
    <w:p w:rsidR="00A27A31" w:rsidP="00756875" w:rsidRDefault="00BD7900" w14:paraId="740F1DC3" w14:textId="4A3A7313">
      <w:pPr>
        <w:pStyle w:val="Standard"/>
        <w:rPr>
          <w:rFonts w:eastAsia="Book Antiqua" w:cs="Book Antiqua"/>
        </w:rPr>
      </w:pPr>
      <w:r>
        <w:rPr>
          <w:rFonts w:eastAsia="Book Antiqua" w:cs="Book Antiqua"/>
        </w:rPr>
        <w:t>T</w:t>
      </w:r>
      <w:r w:rsidRPr="00756875" w:rsidR="00447793">
        <w:rPr>
          <w:rFonts w:eastAsia="Book Antiqua" w:cs="Book Antiqua"/>
        </w:rPr>
        <w:t>herefore</w:t>
      </w:r>
      <w:r>
        <w:rPr>
          <w:rFonts w:eastAsia="Book Antiqua" w:cs="Book Antiqua"/>
        </w:rPr>
        <w:t>,</w:t>
      </w:r>
      <w:r w:rsidRPr="00756875" w:rsidR="00447793">
        <w:rPr>
          <w:rFonts w:eastAsia="Book Antiqua" w:cs="Book Antiqua"/>
        </w:rPr>
        <w:t xml:space="preserve"> </w:t>
      </w:r>
      <w:r>
        <w:rPr>
          <w:rFonts w:eastAsia="Book Antiqua" w:cs="Book Antiqua"/>
        </w:rPr>
        <w:t>for</w:t>
      </w:r>
      <w:r w:rsidRPr="00756875">
        <w:rPr>
          <w:rFonts w:eastAsia="Book Antiqua" w:cs="Book Antiqua"/>
        </w:rPr>
        <w:t xml:space="preserve"> </w:t>
      </w:r>
      <w:r w:rsidRPr="00756875" w:rsidR="00447793">
        <w:rPr>
          <w:rFonts w:eastAsia="Book Antiqua" w:cs="Book Antiqua"/>
        </w:rPr>
        <w:t xml:space="preserve">mixed-fuel new construction projects </w:t>
      </w:r>
      <w:r w:rsidR="00B02D4D">
        <w:rPr>
          <w:rFonts w:eastAsia="Book Antiqua" w:cs="Book Antiqua"/>
        </w:rPr>
        <w:t xml:space="preserve">with contracts </w:t>
      </w:r>
      <w:r w:rsidRPr="009E515D" w:rsidR="00B02D4D">
        <w:t>approved</w:t>
      </w:r>
      <w:r w:rsidR="00B02D4D">
        <w:rPr>
          <w:rFonts w:eastAsia="Book Antiqua" w:cs="Book Antiqua"/>
        </w:rPr>
        <w:t xml:space="preserve"> and fully paid for prior to</w:t>
      </w:r>
      <w:r w:rsidR="00854475">
        <w:rPr>
          <w:rFonts w:eastAsia="Book Antiqua" w:cs="Book Antiqua"/>
        </w:rPr>
        <w:t xml:space="preserve"> the</w:t>
      </w:r>
      <w:r w:rsidR="00B02D4D">
        <w:rPr>
          <w:rFonts w:eastAsia="Book Antiqua" w:cs="Book Antiqua"/>
        </w:rPr>
        <w:t xml:space="preserve"> </w:t>
      </w:r>
      <w:r w:rsidR="00854475">
        <w:rPr>
          <w:rFonts w:eastAsia="Book Antiqua" w:cs="Book Antiqua"/>
        </w:rPr>
        <w:t>implementa</w:t>
      </w:r>
      <w:r w:rsidR="003F7453">
        <w:rPr>
          <w:rFonts w:eastAsia="Book Antiqua" w:cs="Book Antiqua"/>
        </w:rPr>
        <w:t xml:space="preserve">tion of </w:t>
      </w:r>
      <w:r w:rsidR="001F4F48">
        <w:rPr>
          <w:rFonts w:eastAsia="Book Antiqua" w:cs="Book Antiqua"/>
        </w:rPr>
        <w:t>th</w:t>
      </w:r>
      <w:r w:rsidR="00854475">
        <w:rPr>
          <w:rFonts w:eastAsia="Book Antiqua" w:cs="Book Antiqua"/>
        </w:rPr>
        <w:t>e</w:t>
      </w:r>
      <w:r w:rsidR="001F4F48">
        <w:rPr>
          <w:rFonts w:eastAsia="Book Antiqua" w:cs="Book Antiqua"/>
        </w:rPr>
        <w:t xml:space="preserve"> </w:t>
      </w:r>
      <w:r w:rsidR="00854475">
        <w:rPr>
          <w:rFonts w:eastAsia="Book Antiqua" w:cs="Book Antiqua"/>
        </w:rPr>
        <w:t>Phase 3B D</w:t>
      </w:r>
      <w:r w:rsidR="001F4F48">
        <w:rPr>
          <w:rFonts w:eastAsia="Book Antiqua" w:cs="Book Antiqua"/>
        </w:rPr>
        <w:t>ecision</w:t>
      </w:r>
      <w:r>
        <w:rPr>
          <w:rFonts w:eastAsia="Book Antiqua" w:cs="Book Antiqua"/>
        </w:rPr>
        <w:t>, we allow them</w:t>
      </w:r>
      <w:r w:rsidR="00B02D4D">
        <w:rPr>
          <w:rFonts w:eastAsia="Book Antiqua" w:cs="Book Antiqua"/>
        </w:rPr>
        <w:t xml:space="preserve"> </w:t>
      </w:r>
      <w:r w:rsidRPr="00756875" w:rsidR="00447793">
        <w:rPr>
          <w:rFonts w:eastAsia="Book Antiqua" w:cs="Book Antiqua"/>
        </w:rPr>
        <w:t xml:space="preserve">to have additional time to energize, by granting </w:t>
      </w:r>
      <w:r w:rsidR="002F4ACC">
        <w:rPr>
          <w:rFonts w:eastAsia="Book Antiqua" w:cs="Book Antiqua"/>
        </w:rPr>
        <w:t xml:space="preserve">an extension </w:t>
      </w:r>
      <w:r w:rsidRPr="00756875" w:rsidR="00447793">
        <w:rPr>
          <w:rFonts w:eastAsia="Book Antiqua" w:cs="Book Antiqua"/>
        </w:rPr>
        <w:t>up to 36 months from July 1, 2024 (i.e., the date of implementation of the Phase 3B Decision’s core elements)</w:t>
      </w:r>
      <w:r>
        <w:rPr>
          <w:rFonts w:eastAsia="Book Antiqua" w:cs="Book Antiqua"/>
        </w:rPr>
        <w:t>. T</w:t>
      </w:r>
      <w:r w:rsidRPr="00756875">
        <w:rPr>
          <w:rFonts w:eastAsia="Book Antiqua" w:cs="Book Antiqua"/>
        </w:rPr>
        <w:t xml:space="preserve">he </w:t>
      </w:r>
      <w:r w:rsidRPr="00756875" w:rsidR="00447793">
        <w:rPr>
          <w:rFonts w:eastAsia="Book Antiqua" w:cs="Book Antiqua"/>
        </w:rPr>
        <w:t xml:space="preserve">new energization deadline for these projects </w:t>
      </w:r>
      <w:r w:rsidR="00F001AE">
        <w:rPr>
          <w:rFonts w:eastAsia="Book Antiqua" w:cs="Book Antiqua"/>
        </w:rPr>
        <w:t>is</w:t>
      </w:r>
      <w:r w:rsidRPr="00756875" w:rsidR="00447793">
        <w:rPr>
          <w:rFonts w:eastAsia="Book Antiqua" w:cs="Book Antiqua"/>
        </w:rPr>
        <w:t xml:space="preserve"> June 30, 2027.</w:t>
      </w:r>
      <w:r w:rsidRPr="00756875" w:rsidR="0CFB886C">
        <w:rPr>
          <w:rFonts w:eastAsia="Book Antiqua" w:cs="Book Antiqua"/>
        </w:rPr>
        <w:t xml:space="preserve"> </w:t>
      </w:r>
    </w:p>
    <w:bookmarkEnd w:id="652"/>
    <w:p w:rsidR="00047F6B" w:rsidP="008302B4" w:rsidRDefault="0EFF0B09" w14:paraId="71A5E084" w14:textId="065C233E">
      <w:pPr>
        <w:pStyle w:val="Standard"/>
        <w:rPr>
          <w:rFonts w:eastAsia="Book Antiqua" w:cs="Book Antiqua"/>
        </w:rPr>
      </w:pPr>
      <w:r w:rsidRPr="5107A9CF">
        <w:rPr>
          <w:rFonts w:eastAsia="Book Antiqua" w:cs="Book Antiqua"/>
        </w:rPr>
        <w:lastRenderedPageBreak/>
        <w:t xml:space="preserve">We </w:t>
      </w:r>
      <w:r w:rsidRPr="5107A9CF" w:rsidR="7FD609A1">
        <w:rPr>
          <w:rFonts w:eastAsia="Book Antiqua" w:cs="Book Antiqua"/>
        </w:rPr>
        <w:t>acknowledge</w:t>
      </w:r>
      <w:r w:rsidRPr="5107A9CF">
        <w:rPr>
          <w:rFonts w:eastAsia="Book Antiqua" w:cs="Book Antiqua"/>
        </w:rPr>
        <w:t xml:space="preserve"> </w:t>
      </w:r>
      <w:r w:rsidRPr="5107A9CF" w:rsidR="5A8F7A2D">
        <w:rPr>
          <w:rFonts w:eastAsia="Book Antiqua" w:cs="Book Antiqua"/>
        </w:rPr>
        <w:t>extending energization deadline</w:t>
      </w:r>
      <w:r w:rsidRPr="5107A9CF" w:rsidR="719FF2F4">
        <w:rPr>
          <w:rFonts w:eastAsia="Book Antiqua" w:cs="Book Antiqua"/>
        </w:rPr>
        <w:t>s</w:t>
      </w:r>
      <w:r w:rsidRPr="5107A9CF" w:rsidR="5A8F7A2D">
        <w:rPr>
          <w:rFonts w:eastAsia="Book Antiqua" w:cs="Book Antiqua"/>
        </w:rPr>
        <w:t xml:space="preserve"> for mixed-fuel new construction project</w:t>
      </w:r>
      <w:r w:rsidRPr="5107A9CF" w:rsidR="719FF2F4">
        <w:rPr>
          <w:rFonts w:eastAsia="Book Antiqua" w:cs="Book Antiqua"/>
        </w:rPr>
        <w:t>s</w:t>
      </w:r>
      <w:r w:rsidRPr="5107A9CF" w:rsidR="2FEBC6EA">
        <w:rPr>
          <w:rFonts w:eastAsia="Book Antiqua" w:cs="Book Antiqua"/>
        </w:rPr>
        <w:t xml:space="preserve"> </w:t>
      </w:r>
      <w:r w:rsidRPr="5107A9CF" w:rsidR="5BA50CE9">
        <w:rPr>
          <w:rFonts w:eastAsia="Book Antiqua" w:cs="Book Antiqua"/>
        </w:rPr>
        <w:t>will likely</w:t>
      </w:r>
      <w:r w:rsidRPr="5107A9CF" w:rsidR="7FD609A1">
        <w:rPr>
          <w:rFonts w:eastAsia="Book Antiqua" w:cs="Book Antiqua"/>
        </w:rPr>
        <w:t xml:space="preserve"> result in </w:t>
      </w:r>
      <w:r w:rsidRPr="5107A9CF" w:rsidR="5BA50CE9">
        <w:rPr>
          <w:rFonts w:eastAsia="Book Antiqua" w:cs="Book Antiqua"/>
        </w:rPr>
        <w:t xml:space="preserve">electric line extension </w:t>
      </w:r>
      <w:r w:rsidRPr="5107A9CF" w:rsidR="7FD609A1">
        <w:rPr>
          <w:rFonts w:eastAsia="Book Antiqua" w:cs="Book Antiqua"/>
        </w:rPr>
        <w:t xml:space="preserve">subsidy payments </w:t>
      </w:r>
      <w:r w:rsidRPr="5107A9CF" w:rsidR="5BA50CE9">
        <w:rPr>
          <w:rFonts w:eastAsia="Book Antiqua" w:cs="Book Antiqua"/>
        </w:rPr>
        <w:t xml:space="preserve">that would </w:t>
      </w:r>
      <w:r w:rsidRPr="5107A9CF" w:rsidR="1D679AC3">
        <w:rPr>
          <w:rFonts w:eastAsia="Book Antiqua" w:cs="Book Antiqua"/>
        </w:rPr>
        <w:t xml:space="preserve">otherwise </w:t>
      </w:r>
      <w:r w:rsidRPr="5107A9CF" w:rsidR="36E51EAA">
        <w:rPr>
          <w:rFonts w:eastAsia="Book Antiqua" w:cs="Book Antiqua"/>
        </w:rPr>
        <w:t>have ultimately been forfeited by developers</w:t>
      </w:r>
      <w:r w:rsidRPr="5107A9CF" w:rsidR="04F669D5">
        <w:rPr>
          <w:rFonts w:eastAsia="Book Antiqua" w:cs="Book Antiqua"/>
        </w:rPr>
        <w:t xml:space="preserve">. </w:t>
      </w:r>
      <w:r w:rsidRPr="5107A9CF" w:rsidR="7F194128">
        <w:rPr>
          <w:rFonts w:eastAsia="Book Antiqua" w:cs="Book Antiqua"/>
        </w:rPr>
        <w:t xml:space="preserve">To better monitor </w:t>
      </w:r>
      <w:r w:rsidRPr="5107A9CF" w:rsidR="0DA1CAAE">
        <w:rPr>
          <w:rFonts w:eastAsia="Book Antiqua" w:cs="Book Antiqua"/>
        </w:rPr>
        <w:t xml:space="preserve">electric line extension </w:t>
      </w:r>
      <w:r w:rsidRPr="5107A9CF" w:rsidR="07514FF5">
        <w:rPr>
          <w:rFonts w:eastAsia="Book Antiqua" w:cs="Book Antiqua"/>
        </w:rPr>
        <w:t xml:space="preserve">subsidy expenditures </w:t>
      </w:r>
      <w:r w:rsidRPr="5107A9CF" w:rsidR="57A5BCC9">
        <w:rPr>
          <w:rFonts w:eastAsia="Book Antiqua" w:cs="Book Antiqua"/>
        </w:rPr>
        <w:t xml:space="preserve">for mixed-fuel new </w:t>
      </w:r>
      <w:r w:rsidRPr="5107A9CF" w:rsidR="122083C2">
        <w:rPr>
          <w:rFonts w:eastAsia="Book Antiqua" w:cs="Book Antiqua"/>
        </w:rPr>
        <w:t>construction</w:t>
      </w:r>
      <w:r w:rsidRPr="5107A9CF" w:rsidR="57A5BCC9">
        <w:rPr>
          <w:rFonts w:eastAsia="Book Antiqua" w:cs="Book Antiqua"/>
        </w:rPr>
        <w:t xml:space="preserve"> – especially after </w:t>
      </w:r>
      <w:r w:rsidRPr="5107A9CF" w:rsidR="122083C2">
        <w:rPr>
          <w:rFonts w:eastAsia="Book Antiqua" w:cs="Book Antiqua"/>
        </w:rPr>
        <w:t xml:space="preserve">July 1, 2025 – </w:t>
      </w:r>
      <w:r w:rsidRPr="5107A9CF" w:rsidR="5602380D">
        <w:rPr>
          <w:rFonts w:eastAsia="Book Antiqua" w:cs="Book Antiqua"/>
        </w:rPr>
        <w:t xml:space="preserve">it </w:t>
      </w:r>
      <w:r w:rsidR="00C16E8B">
        <w:rPr>
          <w:rFonts w:eastAsia="Book Antiqua" w:cs="Book Antiqua"/>
        </w:rPr>
        <w:t xml:space="preserve">is </w:t>
      </w:r>
      <w:r w:rsidR="00AA2DC3">
        <w:rPr>
          <w:rFonts w:eastAsia="Book Antiqua" w:cs="Book Antiqua"/>
        </w:rPr>
        <w:t>necessary</w:t>
      </w:r>
      <w:r w:rsidRPr="5107A9CF" w:rsidR="5602380D">
        <w:rPr>
          <w:rFonts w:eastAsia="Book Antiqua" w:cs="Book Antiqua"/>
        </w:rPr>
        <w:t xml:space="preserve"> to </w:t>
      </w:r>
      <w:r w:rsidRPr="5107A9CF" w:rsidR="6AEBF97A">
        <w:rPr>
          <w:rFonts w:eastAsia="Book Antiqua" w:cs="Book Antiqua"/>
        </w:rPr>
        <w:t>change</w:t>
      </w:r>
      <w:r w:rsidRPr="5107A9CF" w:rsidR="46674C4D">
        <w:rPr>
          <w:rFonts w:eastAsia="Book Antiqua" w:cs="Book Antiqua"/>
        </w:rPr>
        <w:t xml:space="preserve"> the report</w:t>
      </w:r>
      <w:r w:rsidRPr="5107A9CF" w:rsidR="198775EC">
        <w:rPr>
          <w:rFonts w:eastAsia="Book Antiqua" w:cs="Book Antiqua"/>
        </w:rPr>
        <w:t>ing requirement</w:t>
      </w:r>
      <w:r w:rsidRPr="5107A9CF" w:rsidR="46674C4D">
        <w:rPr>
          <w:rFonts w:eastAsia="Book Antiqua" w:cs="Book Antiqua"/>
        </w:rPr>
        <w:t xml:space="preserve"> </w:t>
      </w:r>
      <w:r w:rsidRPr="5107A9CF" w:rsidR="2EB03E99">
        <w:rPr>
          <w:rFonts w:eastAsia="Book Antiqua" w:cs="Book Antiqua"/>
        </w:rPr>
        <w:t xml:space="preserve">established </w:t>
      </w:r>
      <w:r w:rsidRPr="5107A9CF" w:rsidR="75BBA841">
        <w:rPr>
          <w:rFonts w:eastAsia="Book Antiqua" w:cs="Book Antiqua"/>
        </w:rPr>
        <w:t>under</w:t>
      </w:r>
      <w:r w:rsidRPr="5107A9CF" w:rsidR="4F34E805">
        <w:rPr>
          <w:rFonts w:eastAsia="Book Antiqua" w:cs="Book Antiqua"/>
        </w:rPr>
        <w:t xml:space="preserve"> </w:t>
      </w:r>
      <w:r w:rsidRPr="5107A9CF" w:rsidR="198775EC">
        <w:rPr>
          <w:rFonts w:eastAsia="Book Antiqua" w:cs="Book Antiqua"/>
        </w:rPr>
        <w:t xml:space="preserve">OP 8 of D.23-12-037 to be both more frequent and more granular. </w:t>
      </w:r>
    </w:p>
    <w:p w:rsidR="003A4A7B" w:rsidP="008302B4" w:rsidRDefault="00DF6D40" w14:paraId="318C94D4" w14:textId="68B0D7E7">
      <w:pPr>
        <w:pStyle w:val="Standard"/>
        <w:rPr>
          <w:rFonts w:eastAsia="Book Antiqua" w:cs="Book Antiqua"/>
        </w:rPr>
      </w:pPr>
      <w:r>
        <w:rPr>
          <w:rFonts w:eastAsia="Book Antiqua" w:cs="Book Antiqua"/>
        </w:rPr>
        <w:t xml:space="preserve">Beginning in 2025, </w:t>
      </w:r>
      <w:r w:rsidRPr="3E14BE5A" w:rsidR="40411E4E">
        <w:rPr>
          <w:rFonts w:eastAsia="Book Antiqua" w:cs="Book Antiqua"/>
        </w:rPr>
        <w:t xml:space="preserve">PG&amp;E, SCE, and SDG&amp;E </w:t>
      </w:r>
      <w:r>
        <w:rPr>
          <w:rFonts w:eastAsia="Book Antiqua" w:cs="Book Antiqua"/>
        </w:rPr>
        <w:t xml:space="preserve">shall submit </w:t>
      </w:r>
      <w:r w:rsidRPr="3E14BE5A" w:rsidR="50D5E0F0">
        <w:rPr>
          <w:rFonts w:eastAsia="Book Antiqua" w:cs="Book Antiqua"/>
        </w:rPr>
        <w:t>report</w:t>
      </w:r>
      <w:r>
        <w:rPr>
          <w:rFonts w:eastAsia="Book Antiqua" w:cs="Book Antiqua"/>
        </w:rPr>
        <w:t>s</w:t>
      </w:r>
      <w:r w:rsidRPr="3E14BE5A" w:rsidR="50D5E0F0">
        <w:rPr>
          <w:rFonts w:eastAsia="Book Antiqua" w:cs="Book Antiqua"/>
        </w:rPr>
        <w:t xml:space="preserve"> </w:t>
      </w:r>
      <w:r w:rsidRPr="3E14BE5A" w:rsidR="64AAC6B2">
        <w:rPr>
          <w:rFonts w:eastAsia="Book Antiqua" w:cs="Book Antiqua"/>
        </w:rPr>
        <w:t>to the Commission quarterly instead of annually.</w:t>
      </w:r>
      <w:r w:rsidRPr="3E14BE5A" w:rsidR="72384C83">
        <w:rPr>
          <w:rFonts w:eastAsia="Book Antiqua" w:cs="Book Antiqua"/>
        </w:rPr>
        <w:t xml:space="preserve"> </w:t>
      </w:r>
      <w:r w:rsidRPr="3E14BE5A" w:rsidR="330F3D7E">
        <w:rPr>
          <w:rFonts w:eastAsia="Book Antiqua" w:cs="Book Antiqua"/>
        </w:rPr>
        <w:t xml:space="preserve">Calendar </w:t>
      </w:r>
      <w:r w:rsidRPr="3E14BE5A" w:rsidR="24FAF18B">
        <w:rPr>
          <w:rFonts w:eastAsia="Book Antiqua" w:cs="Book Antiqua"/>
        </w:rPr>
        <w:t>Y</w:t>
      </w:r>
      <w:r w:rsidRPr="3E14BE5A" w:rsidR="330F3D7E">
        <w:rPr>
          <w:rFonts w:eastAsia="Book Antiqua" w:cs="Book Antiqua"/>
        </w:rPr>
        <w:t xml:space="preserve">ear 2024 </w:t>
      </w:r>
      <w:r w:rsidRPr="3E14BE5A" w:rsidR="24FAF18B">
        <w:rPr>
          <w:rFonts w:eastAsia="Book Antiqua" w:cs="Book Antiqua"/>
        </w:rPr>
        <w:t xml:space="preserve">data </w:t>
      </w:r>
      <w:r w:rsidRPr="3E14BE5A" w:rsidR="330F3D7E">
        <w:rPr>
          <w:rFonts w:eastAsia="Book Antiqua" w:cs="Book Antiqua"/>
        </w:rPr>
        <w:t xml:space="preserve">shall be reported on May 1, 2025, as </w:t>
      </w:r>
      <w:r w:rsidRPr="3E14BE5A" w:rsidR="546B1011">
        <w:rPr>
          <w:rFonts w:eastAsia="Book Antiqua" w:cs="Book Antiqua"/>
        </w:rPr>
        <w:t xml:space="preserve">is the </w:t>
      </w:r>
      <w:r w:rsidRPr="3E14BE5A" w:rsidR="2273CDFD">
        <w:rPr>
          <w:rFonts w:eastAsia="Book Antiqua" w:cs="Book Antiqua"/>
        </w:rPr>
        <w:t>requirement currently</w:t>
      </w:r>
      <w:r w:rsidRPr="3E14BE5A" w:rsidR="24FAF18B">
        <w:rPr>
          <w:rFonts w:eastAsia="Book Antiqua" w:cs="Book Antiqua"/>
        </w:rPr>
        <w:t>, but</w:t>
      </w:r>
      <w:r w:rsidRPr="3E14BE5A" w:rsidR="6077D941">
        <w:rPr>
          <w:rFonts w:eastAsia="Book Antiqua" w:cs="Book Antiqua"/>
        </w:rPr>
        <w:t xml:space="preserve"> data for 2025 onwards </w:t>
      </w:r>
      <w:r w:rsidRPr="3E14BE5A" w:rsidR="0FB0604B">
        <w:rPr>
          <w:rFonts w:eastAsia="Book Antiqua" w:cs="Book Antiqua"/>
        </w:rPr>
        <w:t xml:space="preserve">shall be reported </w:t>
      </w:r>
      <w:r w:rsidRPr="3E14BE5A" w:rsidR="7C37225E">
        <w:rPr>
          <w:rFonts w:eastAsia="Book Antiqua" w:cs="Book Antiqua"/>
        </w:rPr>
        <w:t>quarterly</w:t>
      </w:r>
      <w:r w:rsidRPr="3E14BE5A" w:rsidR="4E26DD61">
        <w:rPr>
          <w:rFonts w:eastAsia="Book Antiqua" w:cs="Book Antiqua"/>
        </w:rPr>
        <w:t xml:space="preserve">. </w:t>
      </w:r>
      <w:r w:rsidRPr="3E14BE5A" w:rsidR="5296A6FA">
        <w:rPr>
          <w:rFonts w:eastAsia="Book Antiqua" w:cs="Book Antiqua"/>
        </w:rPr>
        <w:t xml:space="preserve">First quarter data shall be reported </w:t>
      </w:r>
      <w:r w:rsidRPr="3E14BE5A" w:rsidR="55460A11">
        <w:rPr>
          <w:rFonts w:eastAsia="Book Antiqua" w:cs="Book Antiqua"/>
        </w:rPr>
        <w:t>no later than July 15</w:t>
      </w:r>
      <w:r w:rsidRPr="3E14BE5A" w:rsidR="713637C5">
        <w:rPr>
          <w:rFonts w:eastAsia="Book Antiqua" w:cs="Book Antiqua"/>
        </w:rPr>
        <w:t xml:space="preserve"> </w:t>
      </w:r>
      <w:r w:rsidRPr="3E14BE5A" w:rsidR="3953A18A">
        <w:rPr>
          <w:rFonts w:eastAsia="Book Antiqua" w:cs="Book Antiqua"/>
        </w:rPr>
        <w:t>of the same year</w:t>
      </w:r>
      <w:r w:rsidRPr="3E14BE5A" w:rsidR="069B556E">
        <w:rPr>
          <w:rFonts w:eastAsia="Book Antiqua" w:cs="Book Antiqua"/>
        </w:rPr>
        <w:t>,</w:t>
      </w:r>
      <w:r w:rsidR="00D65FD3">
        <w:rPr>
          <w:rStyle w:val="FootnoteReference"/>
          <w:rFonts w:eastAsia="Book Antiqua" w:cs="Book Antiqua"/>
        </w:rPr>
        <w:footnoteReference w:id="129"/>
      </w:r>
      <w:r w:rsidRPr="3E14BE5A" w:rsidR="069B556E">
        <w:rPr>
          <w:rFonts w:eastAsia="Book Antiqua" w:cs="Book Antiqua"/>
        </w:rPr>
        <w:t xml:space="preserve"> second quarter data shall be reported no later than </w:t>
      </w:r>
      <w:r w:rsidRPr="3E14BE5A" w:rsidR="4DAF20D2">
        <w:rPr>
          <w:rFonts w:eastAsia="Book Antiqua" w:cs="Book Antiqua"/>
        </w:rPr>
        <w:t>Octo</w:t>
      </w:r>
      <w:r w:rsidRPr="3E14BE5A" w:rsidR="5D72E9AC">
        <w:rPr>
          <w:rFonts w:eastAsia="Book Antiqua" w:cs="Book Antiqua"/>
        </w:rPr>
        <w:t>ber 15</w:t>
      </w:r>
      <w:r w:rsidRPr="3E14BE5A" w:rsidR="3953A18A">
        <w:rPr>
          <w:rFonts w:eastAsia="Book Antiqua" w:cs="Book Antiqua"/>
        </w:rPr>
        <w:t xml:space="preserve"> of the same year</w:t>
      </w:r>
      <w:r w:rsidRPr="3E14BE5A" w:rsidR="5D72E9AC">
        <w:rPr>
          <w:rFonts w:eastAsia="Book Antiqua" w:cs="Book Antiqua"/>
        </w:rPr>
        <w:t>, third quarter data</w:t>
      </w:r>
      <w:r w:rsidRPr="3E14BE5A" w:rsidR="3953A18A">
        <w:rPr>
          <w:rFonts w:eastAsia="Book Antiqua" w:cs="Book Antiqua"/>
        </w:rPr>
        <w:t xml:space="preserve"> shall be </w:t>
      </w:r>
      <w:r w:rsidRPr="3E14BE5A" w:rsidR="7B193C61">
        <w:rPr>
          <w:rFonts w:eastAsia="Book Antiqua" w:cs="Book Antiqua"/>
        </w:rPr>
        <w:t xml:space="preserve">reported no later than </w:t>
      </w:r>
      <w:r w:rsidRPr="3E14BE5A" w:rsidR="5C9F2A97">
        <w:rPr>
          <w:rFonts w:eastAsia="Book Antiqua" w:cs="Book Antiqua"/>
        </w:rPr>
        <w:t>January</w:t>
      </w:r>
      <w:r w:rsidRPr="3E14BE5A" w:rsidR="6ED8BAE6">
        <w:rPr>
          <w:rFonts w:eastAsia="Book Antiqua" w:cs="Book Antiqua"/>
        </w:rPr>
        <w:t xml:space="preserve"> 15 of the </w:t>
      </w:r>
      <w:r w:rsidRPr="3E14BE5A" w:rsidR="5C9F2A97">
        <w:rPr>
          <w:rFonts w:eastAsia="Book Antiqua" w:cs="Book Antiqua"/>
        </w:rPr>
        <w:t>following</w:t>
      </w:r>
      <w:r w:rsidRPr="3E14BE5A" w:rsidR="6ED8BAE6">
        <w:rPr>
          <w:rFonts w:eastAsia="Book Antiqua" w:cs="Book Antiqua"/>
        </w:rPr>
        <w:t xml:space="preserve"> year, and fourth quarter data shall be reported no later than </w:t>
      </w:r>
      <w:r w:rsidRPr="3E14BE5A" w:rsidR="5C9F2A97">
        <w:rPr>
          <w:rFonts w:eastAsia="Book Antiqua" w:cs="Book Antiqua"/>
        </w:rPr>
        <w:t>April</w:t>
      </w:r>
      <w:r w:rsidRPr="3E14BE5A" w:rsidR="7C117F06">
        <w:rPr>
          <w:rFonts w:eastAsia="Book Antiqua" w:cs="Book Antiqua"/>
        </w:rPr>
        <w:t xml:space="preserve"> 15</w:t>
      </w:r>
      <w:r w:rsidRPr="3E14BE5A" w:rsidR="4FCECF24">
        <w:rPr>
          <w:rFonts w:eastAsia="Book Antiqua" w:cs="Book Antiqua"/>
        </w:rPr>
        <w:t xml:space="preserve"> of the following year</w:t>
      </w:r>
      <w:r w:rsidRPr="3E14BE5A" w:rsidR="4C6D90BC">
        <w:rPr>
          <w:rFonts w:eastAsia="Book Antiqua" w:cs="Book Antiqua"/>
        </w:rPr>
        <w:t xml:space="preserve">, which aligns with the new reporting requirement deadline established in </w:t>
      </w:r>
      <w:r w:rsidR="4C6D90BC">
        <w:t>Section 7</w:t>
      </w:r>
      <w:r w:rsidRPr="3E14BE5A" w:rsidR="4C6D90BC">
        <w:rPr>
          <w:rFonts w:eastAsia="Book Antiqua" w:cs="Book Antiqua"/>
        </w:rPr>
        <w:t xml:space="preserve"> below for all annual reports ordered as part of this proceeding</w:t>
      </w:r>
      <w:r w:rsidRPr="3E14BE5A" w:rsidR="4FCECF24">
        <w:rPr>
          <w:rFonts w:eastAsia="Book Antiqua" w:cs="Book Antiqua"/>
        </w:rPr>
        <w:t>.</w:t>
      </w:r>
      <w:r w:rsidR="00E70975">
        <w:rPr>
          <w:rFonts w:eastAsia="Book Antiqua" w:cs="Book Antiqua"/>
        </w:rPr>
        <w:t xml:space="preserve"> </w:t>
      </w:r>
    </w:p>
    <w:p w:rsidR="00173102" w:rsidP="008302B4" w:rsidRDefault="526B1209" w14:paraId="791C90B8" w14:textId="27F65E4E">
      <w:pPr>
        <w:pStyle w:val="Standard"/>
        <w:rPr>
          <w:rFonts w:eastAsia="Book Antiqua" w:cs="Book Antiqua"/>
        </w:rPr>
      </w:pPr>
      <w:r w:rsidRPr="5107A9CF">
        <w:rPr>
          <w:rFonts w:eastAsia="Book Antiqua" w:cs="Book Antiqua"/>
        </w:rPr>
        <w:t xml:space="preserve">Instead of reporting </w:t>
      </w:r>
      <w:r w:rsidRPr="5107A9CF" w:rsidR="4AF8ACAB">
        <w:rPr>
          <w:rFonts w:eastAsia="Book Antiqua" w:cs="Book Antiqua"/>
        </w:rPr>
        <w:t xml:space="preserve">aggregated data for the quarter, data shall be disaggregated by month. </w:t>
      </w:r>
      <w:r w:rsidRPr="5107A9CF" w:rsidR="52E08544">
        <w:rPr>
          <w:rFonts w:eastAsia="Book Antiqua" w:cs="Book Antiqua"/>
        </w:rPr>
        <w:t xml:space="preserve">In addition to the monthly data for their </w:t>
      </w:r>
      <w:r w:rsidRPr="5107A9CF" w:rsidR="1FB7DE00">
        <w:rPr>
          <w:rFonts w:eastAsia="Book Antiqua" w:cs="Book Antiqua"/>
        </w:rPr>
        <w:t>whole service territory</w:t>
      </w:r>
      <w:r w:rsidRPr="5107A9CF" w:rsidR="4AF8ACAB">
        <w:rPr>
          <w:rFonts w:eastAsia="Book Antiqua" w:cs="Book Antiqua"/>
        </w:rPr>
        <w:t xml:space="preserve">, PG&amp;E, SCE, and SDG&amp;E shall </w:t>
      </w:r>
      <w:r w:rsidRPr="5107A9CF" w:rsidR="1FB7DE00">
        <w:rPr>
          <w:rFonts w:eastAsia="Book Antiqua" w:cs="Book Antiqua"/>
        </w:rPr>
        <w:t xml:space="preserve">also provide </w:t>
      </w:r>
      <w:r w:rsidRPr="5107A9CF" w:rsidR="02C31F8F">
        <w:rPr>
          <w:rFonts w:eastAsia="Book Antiqua" w:cs="Book Antiqua"/>
        </w:rPr>
        <w:t xml:space="preserve">the same monthly </w:t>
      </w:r>
      <w:r w:rsidRPr="5107A9CF" w:rsidR="3E57AEC1">
        <w:rPr>
          <w:rFonts w:eastAsia="Book Antiqua" w:cs="Book Antiqua"/>
        </w:rPr>
        <w:t>data broken down by baseline territory</w:t>
      </w:r>
      <w:r w:rsidRPr="5107A9CF" w:rsidR="501BC63D">
        <w:rPr>
          <w:rFonts w:eastAsia="Book Antiqua" w:cs="Book Antiqua"/>
        </w:rPr>
        <w:t xml:space="preserve"> and</w:t>
      </w:r>
      <w:r w:rsidRPr="5107A9CF" w:rsidR="65EBC157">
        <w:rPr>
          <w:rFonts w:eastAsia="Book Antiqua" w:cs="Book Antiqua"/>
        </w:rPr>
        <w:t xml:space="preserve"> </w:t>
      </w:r>
      <w:r w:rsidRPr="5107A9CF" w:rsidR="0D7D276D">
        <w:rPr>
          <w:rFonts w:eastAsia="Book Antiqua" w:cs="Book Antiqua"/>
        </w:rPr>
        <w:t>distinguish</w:t>
      </w:r>
      <w:r w:rsidRPr="5107A9CF" w:rsidR="65EBC157">
        <w:rPr>
          <w:rFonts w:eastAsia="Book Antiqua" w:cs="Book Antiqua"/>
        </w:rPr>
        <w:t xml:space="preserve"> single-family data from multi-family data</w:t>
      </w:r>
      <w:r w:rsidRPr="5107A9CF" w:rsidR="02C31F8F">
        <w:rPr>
          <w:rFonts w:eastAsia="Book Antiqua" w:cs="Book Antiqua"/>
        </w:rPr>
        <w:t>.</w:t>
      </w:r>
      <w:r w:rsidRPr="5107A9CF" w:rsidR="29300143">
        <w:rPr>
          <w:rFonts w:eastAsia="Book Antiqua" w:cs="Book Antiqua"/>
        </w:rPr>
        <w:t xml:space="preserve"> </w:t>
      </w:r>
      <w:r w:rsidRPr="5107A9CF" w:rsidR="59F788FE">
        <w:rPr>
          <w:rFonts w:eastAsia="Book Antiqua" w:cs="Book Antiqua"/>
        </w:rPr>
        <w:t xml:space="preserve">Quarterly reports shall be submitted in </w:t>
      </w:r>
      <w:r w:rsidRPr="5107A9CF" w:rsidR="75F84D7D">
        <w:rPr>
          <w:rFonts w:eastAsia="Book Antiqua" w:cs="Book Antiqua"/>
        </w:rPr>
        <w:t>spreadsheet</w:t>
      </w:r>
      <w:r w:rsidRPr="5107A9CF" w:rsidR="59F788FE">
        <w:rPr>
          <w:rFonts w:eastAsia="Book Antiqua" w:cs="Book Antiqua"/>
        </w:rPr>
        <w:t xml:space="preserve"> forma</w:t>
      </w:r>
      <w:r w:rsidRPr="5107A9CF" w:rsidR="31D83CDD">
        <w:rPr>
          <w:rFonts w:eastAsia="Book Antiqua" w:cs="Book Antiqua"/>
        </w:rPr>
        <w:t>t</w:t>
      </w:r>
      <w:r w:rsidRPr="5107A9CF" w:rsidR="71EEBDC2">
        <w:rPr>
          <w:rFonts w:eastAsia="Book Antiqua" w:cs="Book Antiqua"/>
        </w:rPr>
        <w:t xml:space="preserve"> via </w:t>
      </w:r>
      <w:r w:rsidRPr="5107A9CF" w:rsidR="6988B1C5">
        <w:rPr>
          <w:rFonts w:eastAsia="Book Antiqua" w:cs="Book Antiqua"/>
        </w:rPr>
        <w:t xml:space="preserve">the Tier 1 </w:t>
      </w:r>
      <w:r w:rsidRPr="5107A9CF" w:rsidR="6F9A89EA">
        <w:rPr>
          <w:rFonts w:eastAsia="Book Antiqua" w:cs="Book Antiqua"/>
        </w:rPr>
        <w:t>A</w:t>
      </w:r>
      <w:r w:rsidRPr="5107A9CF" w:rsidR="6988B1C5">
        <w:rPr>
          <w:rFonts w:eastAsia="Book Antiqua" w:cs="Book Antiqua"/>
        </w:rPr>
        <w:t xml:space="preserve">dvice </w:t>
      </w:r>
      <w:r w:rsidRPr="5107A9CF" w:rsidR="6F9A89EA">
        <w:rPr>
          <w:rFonts w:eastAsia="Book Antiqua" w:cs="Book Antiqua"/>
        </w:rPr>
        <w:t>L</w:t>
      </w:r>
      <w:r w:rsidRPr="5107A9CF" w:rsidR="6988B1C5">
        <w:rPr>
          <w:rFonts w:eastAsia="Book Antiqua" w:cs="Book Antiqua"/>
        </w:rPr>
        <w:t>etter filing method established in D.23-12-037</w:t>
      </w:r>
      <w:r w:rsidRPr="5107A9CF" w:rsidR="0F99E7CB">
        <w:rPr>
          <w:rFonts w:eastAsia="Book Antiqua" w:cs="Book Antiqua"/>
        </w:rPr>
        <w:t xml:space="preserve">. </w:t>
      </w:r>
      <w:r w:rsidRPr="5107A9CF" w:rsidR="063688C3">
        <w:rPr>
          <w:rFonts w:eastAsia="Book Antiqua" w:cs="Book Antiqua"/>
        </w:rPr>
        <w:t xml:space="preserve">PG&amp;E, SCE, and </w:t>
      </w:r>
      <w:r w:rsidRPr="5107A9CF" w:rsidR="063688C3">
        <w:rPr>
          <w:rFonts w:eastAsia="Book Antiqua" w:cs="Book Antiqua"/>
        </w:rPr>
        <w:lastRenderedPageBreak/>
        <w:t xml:space="preserve">SDG&amp;E shall coordinate with Energy Division on a </w:t>
      </w:r>
      <w:r w:rsidR="00AA479C">
        <w:rPr>
          <w:rFonts w:eastAsia="Book Antiqua" w:cs="Book Antiqua"/>
        </w:rPr>
        <w:t xml:space="preserve">revised </w:t>
      </w:r>
      <w:r w:rsidRPr="5107A9CF" w:rsidR="063688C3">
        <w:rPr>
          <w:rFonts w:eastAsia="Book Antiqua" w:cs="Book Antiqua"/>
        </w:rPr>
        <w:t>standardized reporting template.</w:t>
      </w:r>
    </w:p>
    <w:p w:rsidR="00242229" w:rsidP="00015C76" w:rsidRDefault="006C380B" w14:paraId="411B0731" w14:textId="59D2314E">
      <w:pPr>
        <w:pStyle w:val="Standard"/>
        <w:rPr>
          <w:rFonts w:eastAsia="Book Antiqua" w:cs="Book Antiqua"/>
        </w:rPr>
      </w:pPr>
      <w:r>
        <w:rPr>
          <w:rFonts w:eastAsia="Book Antiqua" w:cs="Book Antiqua"/>
        </w:rPr>
        <w:t>The</w:t>
      </w:r>
      <w:r w:rsidR="003A4A7B">
        <w:rPr>
          <w:rFonts w:eastAsia="Book Antiqua" w:cs="Book Antiqua"/>
        </w:rPr>
        <w:t xml:space="preserve"> foregoing</w:t>
      </w:r>
      <w:r>
        <w:rPr>
          <w:rFonts w:eastAsia="Book Antiqua" w:cs="Book Antiqua"/>
        </w:rPr>
        <w:t xml:space="preserve"> modifications to the data reporting requirements shall apply to all data required </w:t>
      </w:r>
      <w:r w:rsidR="009655E2">
        <w:rPr>
          <w:rFonts w:eastAsia="Book Antiqua" w:cs="Book Antiqua"/>
        </w:rPr>
        <w:t>under</w:t>
      </w:r>
      <w:r>
        <w:rPr>
          <w:rFonts w:eastAsia="Book Antiqua" w:cs="Book Antiqua"/>
        </w:rPr>
        <w:t xml:space="preserve"> OP 8 of D.23-12-037 and not be limited solely to </w:t>
      </w:r>
      <w:r w:rsidR="00B46CD3">
        <w:rPr>
          <w:rFonts w:eastAsia="Book Antiqua" w:cs="Book Antiqua"/>
        </w:rPr>
        <w:t xml:space="preserve">electric line extension subsidy expenditures. </w:t>
      </w:r>
      <w:r w:rsidR="00FD5DC4">
        <w:rPr>
          <w:rFonts w:eastAsia="Book Antiqua" w:cs="Book Antiqua"/>
        </w:rPr>
        <w:t>In addition to electric line extension subsidy expenditure</w:t>
      </w:r>
      <w:r w:rsidR="00B24709">
        <w:rPr>
          <w:rFonts w:eastAsia="Book Antiqua" w:cs="Book Antiqua"/>
        </w:rPr>
        <w:t xml:space="preserve"> data, we </w:t>
      </w:r>
      <w:r w:rsidR="00573B22">
        <w:rPr>
          <w:rFonts w:eastAsia="Book Antiqua" w:cs="Book Antiqua"/>
        </w:rPr>
        <w:t xml:space="preserve">take </w:t>
      </w:r>
      <w:r w:rsidR="00AD181C">
        <w:rPr>
          <w:rFonts w:eastAsia="Book Antiqua" w:cs="Book Antiqua"/>
        </w:rPr>
        <w:t>note</w:t>
      </w:r>
      <w:r w:rsidR="00A27A31">
        <w:rPr>
          <w:rFonts w:eastAsia="Book Antiqua" w:cs="Book Antiqua"/>
        </w:rPr>
        <w:t xml:space="preserve"> </w:t>
      </w:r>
      <w:r w:rsidR="0073381B">
        <w:rPr>
          <w:rFonts w:eastAsia="Book Antiqua" w:cs="Book Antiqua"/>
        </w:rPr>
        <w:t>of</w:t>
      </w:r>
      <w:r w:rsidR="00926175">
        <w:rPr>
          <w:rFonts w:eastAsia="Book Antiqua" w:cs="Book Antiqua"/>
        </w:rPr>
        <w:t xml:space="preserve"> Sempra Utilities’ argument that </w:t>
      </w:r>
      <w:r w:rsidR="009453EC">
        <w:rPr>
          <w:rFonts w:eastAsia="Book Antiqua" w:cs="Book Antiqua"/>
        </w:rPr>
        <w:t xml:space="preserve">it is important to reference </w:t>
      </w:r>
      <w:r w:rsidR="00271FBE">
        <w:rPr>
          <w:rFonts w:eastAsia="Book Antiqua" w:cs="Book Antiqua"/>
        </w:rPr>
        <w:t xml:space="preserve">available </w:t>
      </w:r>
      <w:r w:rsidR="009453EC">
        <w:rPr>
          <w:rFonts w:eastAsia="Book Antiqua" w:cs="Book Antiqua"/>
        </w:rPr>
        <w:t>data on energization timelines</w:t>
      </w:r>
      <w:r w:rsidR="00271FBE">
        <w:rPr>
          <w:rFonts w:eastAsia="Book Antiqua" w:cs="Book Antiqua"/>
        </w:rPr>
        <w:t xml:space="preserve"> when making policy decisions</w:t>
      </w:r>
      <w:r w:rsidR="009453EC">
        <w:rPr>
          <w:rFonts w:eastAsia="Book Antiqua" w:cs="Book Antiqua"/>
        </w:rPr>
        <w:t xml:space="preserve">. However, the energization timelines for SCE that Sempra Utilities include </w:t>
      </w:r>
      <w:r w:rsidR="006F7D79">
        <w:rPr>
          <w:rFonts w:eastAsia="Book Antiqua" w:cs="Book Antiqua"/>
        </w:rPr>
        <w:t xml:space="preserve">numerous </w:t>
      </w:r>
      <w:r w:rsidR="00626751">
        <w:rPr>
          <w:rFonts w:eastAsia="Book Antiqua" w:cs="Book Antiqua"/>
        </w:rPr>
        <w:t>different steps</w:t>
      </w:r>
      <w:r w:rsidR="0046431D">
        <w:rPr>
          <w:rFonts w:eastAsia="Book Antiqua" w:cs="Book Antiqua"/>
        </w:rPr>
        <w:t>, not all of which</w:t>
      </w:r>
      <w:r w:rsidR="008A21C0">
        <w:rPr>
          <w:rFonts w:eastAsia="Book Antiqua" w:cs="Book Antiqua"/>
        </w:rPr>
        <w:t xml:space="preserve"> </w:t>
      </w:r>
      <w:r w:rsidR="006A5B12">
        <w:rPr>
          <w:rFonts w:eastAsia="Book Antiqua" w:cs="Book Antiqua"/>
        </w:rPr>
        <w:t xml:space="preserve">are relevant </w:t>
      </w:r>
      <w:r w:rsidR="000D355E">
        <w:rPr>
          <w:rFonts w:eastAsia="Book Antiqua" w:cs="Book Antiqua"/>
        </w:rPr>
        <w:t xml:space="preserve">to </w:t>
      </w:r>
      <w:r w:rsidR="000C3AA9">
        <w:rPr>
          <w:rFonts w:eastAsia="Book Antiqua" w:cs="Book Antiqua"/>
        </w:rPr>
        <w:t>the energization de</w:t>
      </w:r>
      <w:r w:rsidR="00D97EEE">
        <w:rPr>
          <w:rFonts w:eastAsia="Book Antiqua" w:cs="Book Antiqua"/>
        </w:rPr>
        <w:t xml:space="preserve">adlines established </w:t>
      </w:r>
      <w:r w:rsidR="00820E0B">
        <w:rPr>
          <w:rFonts w:eastAsia="Book Antiqua" w:cs="Book Antiqua"/>
        </w:rPr>
        <w:t xml:space="preserve">in this proceeding. </w:t>
      </w:r>
    </w:p>
    <w:p w:rsidRPr="00CF336D" w:rsidR="65ED421C" w:rsidP="00015C76" w:rsidRDefault="00820E0B" w14:paraId="42779EF0" w14:textId="6FBA61AA">
      <w:pPr>
        <w:pStyle w:val="Standard"/>
      </w:pPr>
      <w:r>
        <w:rPr>
          <w:rFonts w:eastAsia="Book Antiqua" w:cs="Book Antiqua"/>
        </w:rPr>
        <w:t xml:space="preserve">For example, SCE’s </w:t>
      </w:r>
      <w:r w:rsidR="00BF6731">
        <w:rPr>
          <w:rFonts w:eastAsia="Book Antiqua" w:cs="Book Antiqua"/>
        </w:rPr>
        <w:t xml:space="preserve">energization timeline includes </w:t>
      </w:r>
      <w:r w:rsidR="0024567B">
        <w:rPr>
          <w:rFonts w:eastAsia="Book Antiqua" w:cs="Book Antiqua"/>
        </w:rPr>
        <w:t xml:space="preserve">an average of 45 days for “Customer Initiation,” an average </w:t>
      </w:r>
      <w:r w:rsidR="002E3C69">
        <w:rPr>
          <w:rFonts w:eastAsia="Book Antiqua" w:cs="Book Antiqua"/>
        </w:rPr>
        <w:t xml:space="preserve">of 36 days for </w:t>
      </w:r>
      <w:r w:rsidR="00475E63">
        <w:rPr>
          <w:rFonts w:eastAsia="Book Antiqua" w:cs="Book Antiqua"/>
        </w:rPr>
        <w:t xml:space="preserve">“Engineering &amp; Design,” an average of </w:t>
      </w:r>
      <w:r w:rsidR="00E64709">
        <w:rPr>
          <w:rFonts w:eastAsia="Book Antiqua" w:cs="Book Antiqua"/>
        </w:rPr>
        <w:t>138 days for “Dependencies,”</w:t>
      </w:r>
      <w:r w:rsidR="00CD64B0">
        <w:rPr>
          <w:rFonts w:eastAsia="Book Antiqua" w:cs="Book Antiqua"/>
        </w:rPr>
        <w:t xml:space="preserve"> including “Site Readiness,” and an average </w:t>
      </w:r>
      <w:r w:rsidR="006C49D8">
        <w:rPr>
          <w:rFonts w:eastAsia="Book Antiqua" w:cs="Book Antiqua"/>
        </w:rPr>
        <w:t xml:space="preserve">of </w:t>
      </w:r>
      <w:r w:rsidR="00DC2E4F">
        <w:rPr>
          <w:rFonts w:eastAsia="Book Antiqua" w:cs="Book Antiqua"/>
        </w:rPr>
        <w:t xml:space="preserve">49 days </w:t>
      </w:r>
      <w:r w:rsidR="00794690">
        <w:rPr>
          <w:rFonts w:eastAsia="Book Antiqua" w:cs="Book Antiqua"/>
        </w:rPr>
        <w:t>for “Construction” to get to the grand total of 268 days on av</w:t>
      </w:r>
      <w:r w:rsidR="005C0D84">
        <w:rPr>
          <w:rFonts w:eastAsia="Book Antiqua" w:cs="Book Antiqua"/>
        </w:rPr>
        <w:t>erage for overall completion.</w:t>
      </w:r>
      <w:r w:rsidR="007969CF">
        <w:rPr>
          <w:rStyle w:val="FootnoteReference"/>
          <w:rFonts w:eastAsia="Book Antiqua" w:cs="Book Antiqua"/>
        </w:rPr>
        <w:footnoteReference w:id="130"/>
      </w:r>
      <w:r w:rsidR="00A04BF0">
        <w:rPr>
          <w:rFonts w:eastAsia="Book Antiqua" w:cs="Book Antiqua"/>
        </w:rPr>
        <w:t xml:space="preserve"> </w:t>
      </w:r>
      <w:r w:rsidRPr="00530339" w:rsidR="00530339">
        <w:rPr>
          <w:rFonts w:eastAsia="Book Antiqua" w:cs="Book Antiqua"/>
        </w:rPr>
        <w:t xml:space="preserve">The energization deadlines </w:t>
      </w:r>
      <w:r w:rsidR="00F751AF">
        <w:rPr>
          <w:rFonts w:eastAsia="Book Antiqua" w:cs="Book Antiqua"/>
        </w:rPr>
        <w:t xml:space="preserve">set </w:t>
      </w:r>
      <w:r w:rsidRPr="00530339" w:rsidR="00530339">
        <w:rPr>
          <w:rFonts w:eastAsia="Book Antiqua" w:cs="Book Antiqua"/>
        </w:rPr>
        <w:t>in this proceeding apply only to projects fully paid for before July 1, 202</w:t>
      </w:r>
      <w:r w:rsidR="00986449">
        <w:rPr>
          <w:rFonts w:eastAsia="Book Antiqua" w:cs="Book Antiqua"/>
        </w:rPr>
        <w:t>7</w:t>
      </w:r>
      <w:r w:rsidR="00015C76">
        <w:rPr>
          <w:rFonts w:eastAsia="Book Antiqua" w:cs="Book Antiqua"/>
        </w:rPr>
        <w:t xml:space="preserve">, </w:t>
      </w:r>
      <w:r w:rsidR="00717027">
        <w:rPr>
          <w:rFonts w:eastAsia="Book Antiqua" w:cs="Book Antiqua"/>
        </w:rPr>
        <w:t>which</w:t>
      </w:r>
      <w:r w:rsidR="00D3629E">
        <w:rPr>
          <w:rFonts w:eastAsia="Book Antiqua" w:cs="Book Antiqua"/>
        </w:rPr>
        <w:t xml:space="preserve"> ge</w:t>
      </w:r>
      <w:r w:rsidR="004C73CC">
        <w:rPr>
          <w:rFonts w:eastAsia="Book Antiqua" w:cs="Book Antiqua"/>
        </w:rPr>
        <w:t xml:space="preserve">nerally occurs </w:t>
      </w:r>
      <w:r w:rsidR="002405B4">
        <w:rPr>
          <w:rFonts w:eastAsia="Book Antiqua" w:cs="Book Antiqua"/>
        </w:rPr>
        <w:t>following completion of</w:t>
      </w:r>
      <w:r w:rsidR="004C73CC">
        <w:rPr>
          <w:rFonts w:eastAsia="Book Antiqua" w:cs="Book Antiqua"/>
        </w:rPr>
        <w:t xml:space="preserve"> </w:t>
      </w:r>
      <w:r w:rsidR="00552FDF">
        <w:rPr>
          <w:rFonts w:eastAsia="Book Antiqua" w:cs="Book Antiqua"/>
        </w:rPr>
        <w:t>engineering and design work</w:t>
      </w:r>
      <w:r w:rsidR="00495501">
        <w:rPr>
          <w:rFonts w:eastAsia="Book Antiqua" w:cs="Book Antiqua"/>
        </w:rPr>
        <w:t xml:space="preserve">. </w:t>
      </w:r>
      <w:r w:rsidR="00015C76">
        <w:rPr>
          <w:rFonts w:eastAsia="Book Antiqua" w:cs="Book Antiqua"/>
        </w:rPr>
        <w:t>To</w:t>
      </w:r>
      <w:r w:rsidR="00495501">
        <w:rPr>
          <w:rFonts w:eastAsia="Book Antiqua" w:cs="Book Antiqua"/>
        </w:rPr>
        <w:t xml:space="preserve"> better understand </w:t>
      </w:r>
      <w:r w:rsidR="00AA13B9">
        <w:rPr>
          <w:rFonts w:eastAsia="Book Antiqua" w:cs="Book Antiqua"/>
        </w:rPr>
        <w:t>energization timelines in the context of this proceeding, PG&amp;E, SCE, and SDG&amp;E</w:t>
      </w:r>
      <w:r w:rsidR="00D65FD3">
        <w:rPr>
          <w:rFonts w:eastAsia="Book Antiqua" w:cs="Book Antiqua"/>
        </w:rPr>
        <w:t>’s</w:t>
      </w:r>
      <w:r w:rsidR="00AA13B9">
        <w:rPr>
          <w:rFonts w:eastAsia="Book Antiqua" w:cs="Book Antiqua"/>
        </w:rPr>
        <w:t xml:space="preserve"> quarterly reports </w:t>
      </w:r>
      <w:r w:rsidR="00D65FD3">
        <w:rPr>
          <w:rFonts w:eastAsia="Book Antiqua" w:cs="Book Antiqua"/>
        </w:rPr>
        <w:t xml:space="preserve">must include </w:t>
      </w:r>
      <w:r w:rsidR="00E05E16">
        <w:rPr>
          <w:rFonts w:eastAsia="Book Antiqua" w:cs="Book Antiqua"/>
        </w:rPr>
        <w:t xml:space="preserve">additional data </w:t>
      </w:r>
      <w:r w:rsidR="00E75090">
        <w:rPr>
          <w:rFonts w:eastAsia="Book Antiqua" w:cs="Book Antiqua"/>
        </w:rPr>
        <w:t>on</w:t>
      </w:r>
      <w:r w:rsidR="00F354D1">
        <w:rPr>
          <w:rFonts w:eastAsia="Book Antiqua" w:cs="Book Antiqua"/>
        </w:rPr>
        <w:t xml:space="preserve"> the average number of days </w:t>
      </w:r>
      <w:r w:rsidR="00354D6E">
        <w:rPr>
          <w:rFonts w:eastAsia="Book Antiqua" w:cs="Book Antiqua"/>
        </w:rPr>
        <w:t xml:space="preserve">between when a contract for a building project is fully paid and </w:t>
      </w:r>
      <w:r w:rsidR="00BF0368">
        <w:rPr>
          <w:rFonts w:eastAsia="Book Antiqua" w:cs="Book Antiqua"/>
        </w:rPr>
        <w:t>when that project</w:t>
      </w:r>
      <w:r w:rsidR="00CC4500">
        <w:rPr>
          <w:rFonts w:eastAsia="Book Antiqua" w:cs="Book Antiqua"/>
        </w:rPr>
        <w:t xml:space="preserve"> is energized</w:t>
      </w:r>
      <w:r w:rsidR="00AB7495">
        <w:rPr>
          <w:rFonts w:eastAsia="Book Antiqua" w:cs="Book Antiqua"/>
        </w:rPr>
        <w:t xml:space="preserve">. This data shall be </w:t>
      </w:r>
      <w:r w:rsidR="0079359D">
        <w:rPr>
          <w:rFonts w:eastAsia="Book Antiqua" w:cs="Book Antiqua"/>
        </w:rPr>
        <w:t xml:space="preserve">computed </w:t>
      </w:r>
      <w:r w:rsidR="00BF1870">
        <w:rPr>
          <w:rFonts w:eastAsia="Book Antiqua" w:cs="Book Antiqua"/>
        </w:rPr>
        <w:t>for</w:t>
      </w:r>
      <w:r w:rsidR="00E05E16">
        <w:rPr>
          <w:rFonts w:eastAsia="Book Antiqua" w:cs="Book Antiqua"/>
        </w:rPr>
        <w:t xml:space="preserve"> </w:t>
      </w:r>
      <w:r w:rsidR="00361425">
        <w:rPr>
          <w:rFonts w:eastAsia="Book Antiqua" w:cs="Book Antiqua"/>
        </w:rPr>
        <w:t xml:space="preserve">all projects </w:t>
      </w:r>
      <w:r w:rsidR="00A8083F">
        <w:rPr>
          <w:rFonts w:eastAsia="Book Antiqua" w:cs="Book Antiqua"/>
        </w:rPr>
        <w:t xml:space="preserve">reported as </w:t>
      </w:r>
      <w:r w:rsidR="00AB047F">
        <w:rPr>
          <w:rFonts w:eastAsia="Book Antiqua" w:cs="Book Antiqua"/>
        </w:rPr>
        <w:t>energized</w:t>
      </w:r>
      <w:r w:rsidR="00361425">
        <w:rPr>
          <w:rFonts w:eastAsia="Book Antiqua" w:cs="Book Antiqua"/>
        </w:rPr>
        <w:t xml:space="preserve"> </w:t>
      </w:r>
      <w:r w:rsidR="00337CDD">
        <w:rPr>
          <w:rFonts w:eastAsia="Book Antiqua" w:cs="Book Antiqua"/>
        </w:rPr>
        <w:t>in each</w:t>
      </w:r>
      <w:r w:rsidR="00361425">
        <w:rPr>
          <w:rFonts w:eastAsia="Book Antiqua" w:cs="Book Antiqua"/>
        </w:rPr>
        <w:t xml:space="preserve"> quarter</w:t>
      </w:r>
      <w:r w:rsidR="00A8083F">
        <w:rPr>
          <w:rFonts w:eastAsia="Book Antiqua" w:cs="Book Antiqua"/>
        </w:rPr>
        <w:t>.</w:t>
      </w:r>
    </w:p>
    <w:p w:rsidRPr="004166D8" w:rsidR="6557F6A5" w:rsidP="00A63554" w:rsidRDefault="009825D0" w14:paraId="25DA24AE" w14:textId="5BE09624">
      <w:pPr>
        <w:pStyle w:val="Heading2"/>
      </w:pPr>
      <w:bookmarkStart w:name="_Toc185579376" w:id="653"/>
      <w:bookmarkStart w:name="_Toc192263702" w:id="654"/>
      <w:bookmarkStart w:name="_Toc200370984" w:id="655"/>
      <w:r w:rsidRPr="009D1072">
        <w:lastRenderedPageBreak/>
        <w:t xml:space="preserve">Tariff </w:t>
      </w:r>
      <w:r w:rsidRPr="004166D8" w:rsidR="002D5606">
        <w:t>Rule 13 Conformance Considerations</w:t>
      </w:r>
      <w:bookmarkEnd w:id="653"/>
      <w:bookmarkEnd w:id="654"/>
      <w:bookmarkEnd w:id="655"/>
    </w:p>
    <w:p w:rsidR="052B829B" w:rsidP="65ED421C" w:rsidRDefault="006500B1" w14:paraId="3B1D22CD" w14:textId="70FEECF8">
      <w:pPr>
        <w:pStyle w:val="Standard"/>
      </w:pPr>
      <w:bookmarkStart w:name="_Toc184501818" w:id="656"/>
      <w:bookmarkStart w:name="_Toc184680252" w:id="657"/>
      <w:bookmarkStart w:name="_Toc184830933" w:id="658"/>
      <w:bookmarkStart w:name="_Toc184831184" w:id="659"/>
      <w:bookmarkStart w:name="_Toc184840701" w:id="660"/>
      <w:bookmarkStart w:name="_Toc184840810" w:id="661"/>
      <w:bookmarkStart w:name="_Toc184854721" w:id="662"/>
      <w:bookmarkStart w:name="_Toc185269688" w:id="663"/>
      <w:bookmarkStart w:name="_Toc185275794" w:id="664"/>
      <w:bookmarkStart w:name="_Toc185278483" w:id="665"/>
      <w:bookmarkStart w:name="_Toc185278587" w:id="666"/>
      <w:bookmarkStart w:name="_Toc185278691" w:id="667"/>
      <w:bookmarkStart w:name="_Toc185278875" w:id="668"/>
      <w:bookmarkStart w:name="_Toc185321836" w:id="669"/>
      <w:bookmarkStart w:name="_Toc185329786" w:id="670"/>
      <w:bookmarkStart w:name="_Toc185366209" w:id="671"/>
      <w:bookmarkStart w:name="_Toc185368865" w:id="672"/>
      <w:bookmarkStart w:name="_Toc185420463" w:id="673"/>
      <w:bookmarkStart w:name="_Toc185421279" w:id="674"/>
      <w:bookmarkStart w:name="_Toc185422576" w:id="675"/>
      <w:bookmarkStart w:name="_Toc185425593" w:id="676"/>
      <w:bookmarkStart w:name="_Toc185496667" w:id="677"/>
      <w:bookmarkStart w:name="_Toc185496877" w:id="678"/>
      <w:bookmarkStart w:name="_Toc185496988" w:id="679"/>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t xml:space="preserve">The </w:t>
      </w:r>
      <w:r w:rsidR="052B829B">
        <w:t>Joint Parties</w:t>
      </w:r>
      <w:r w:rsidR="005B1B4D">
        <w:rPr>
          <w:rStyle w:val="FootnoteReference"/>
        </w:rPr>
        <w:footnoteReference w:id="131"/>
      </w:r>
      <w:r w:rsidR="052B829B">
        <w:t xml:space="preserve"> </w:t>
      </w:r>
      <w:r w:rsidR="4453C2F3">
        <w:t>and SBUA</w:t>
      </w:r>
      <w:r w:rsidR="005B1B4D">
        <w:rPr>
          <w:rStyle w:val="FootnoteReference"/>
        </w:rPr>
        <w:footnoteReference w:id="132"/>
      </w:r>
      <w:r w:rsidR="4453C2F3">
        <w:t xml:space="preserve"> </w:t>
      </w:r>
      <w:r w:rsidR="6417B80B">
        <w:t xml:space="preserve">support </w:t>
      </w:r>
      <w:r>
        <w:t xml:space="preserve">requiring </w:t>
      </w:r>
      <w:r w:rsidR="6417B80B">
        <w:t>SDG&amp;E</w:t>
      </w:r>
      <w:r w:rsidR="64604E90">
        <w:t xml:space="preserve"> </w:t>
      </w:r>
      <w:r>
        <w:t xml:space="preserve">to </w:t>
      </w:r>
      <w:r w:rsidR="64604E90">
        <w:t xml:space="preserve">change their </w:t>
      </w:r>
      <w:r w:rsidR="004A4C3D">
        <w:t xml:space="preserve">Gas and </w:t>
      </w:r>
      <w:r w:rsidR="0059000A">
        <w:t xml:space="preserve">Electric Tariff </w:t>
      </w:r>
      <w:r w:rsidR="64604E90">
        <w:t xml:space="preserve">Rule 13 in conformance with other gas and electric </w:t>
      </w:r>
      <w:r w:rsidR="00F71515">
        <w:t>utilities</w:t>
      </w:r>
      <w:r w:rsidR="002048F1">
        <w:t>’ tariffs</w:t>
      </w:r>
      <w:r w:rsidR="64604E90">
        <w:t xml:space="preserve">. </w:t>
      </w:r>
      <w:r w:rsidR="76F951B2">
        <w:t xml:space="preserve">They </w:t>
      </w:r>
      <w:r w:rsidR="00B86041">
        <w:t xml:space="preserve">both </w:t>
      </w:r>
      <w:r w:rsidR="19E2455B">
        <w:t>a</w:t>
      </w:r>
      <w:r w:rsidR="0031654D">
        <w:t>rgue</w:t>
      </w:r>
      <w:r w:rsidR="76F951B2">
        <w:t xml:space="preserve"> line extension allowance rules should be consistent </w:t>
      </w:r>
      <w:r w:rsidR="00B86041">
        <w:t xml:space="preserve">across </w:t>
      </w:r>
      <w:r w:rsidR="76F951B2">
        <w:t xml:space="preserve">all </w:t>
      </w:r>
      <w:r w:rsidR="00F71515">
        <w:t>electric utilities</w:t>
      </w:r>
      <w:r w:rsidR="76F951B2">
        <w:t>.</w:t>
      </w:r>
    </w:p>
    <w:p w:rsidR="00B35A97" w:rsidP="00162C07" w:rsidRDefault="4CF26965" w14:paraId="34ECD709" w14:textId="2794C199">
      <w:pPr>
        <w:pStyle w:val="Standard"/>
      </w:pPr>
      <w:r w:rsidRPr="1FC9B084">
        <w:rPr>
          <w:rFonts w:eastAsia="Book Antiqua" w:cs="Book Antiqua"/>
        </w:rPr>
        <w:t>S</w:t>
      </w:r>
      <w:r w:rsidR="001D4951">
        <w:rPr>
          <w:rFonts w:eastAsia="Book Antiqua" w:cs="Book Antiqua"/>
        </w:rPr>
        <w:t>empra Utilities</w:t>
      </w:r>
      <w:r w:rsidRPr="1FC9B084">
        <w:rPr>
          <w:rFonts w:eastAsia="Book Antiqua" w:cs="Book Antiqua"/>
        </w:rPr>
        <w:t xml:space="preserve"> </w:t>
      </w:r>
      <w:r w:rsidR="00C105AE">
        <w:rPr>
          <w:rFonts w:eastAsia="Book Antiqua" w:cs="Book Antiqua"/>
        </w:rPr>
        <w:t>note</w:t>
      </w:r>
      <w:r w:rsidRPr="1FC9B084">
        <w:rPr>
          <w:rFonts w:eastAsia="Book Antiqua" w:cs="Book Antiqua"/>
        </w:rPr>
        <w:t xml:space="preserve"> that </w:t>
      </w:r>
      <w:r w:rsidR="00C105AE">
        <w:rPr>
          <w:rFonts w:eastAsia="Book Antiqua" w:cs="Book Antiqua"/>
        </w:rPr>
        <w:t>SDG&amp;E</w:t>
      </w:r>
      <w:r w:rsidRPr="1FC9B084" w:rsidR="00C105AE">
        <w:rPr>
          <w:rFonts w:eastAsia="Book Antiqua" w:cs="Book Antiqua"/>
        </w:rPr>
        <w:t xml:space="preserve"> </w:t>
      </w:r>
      <w:r w:rsidRPr="1FC9B084">
        <w:rPr>
          <w:rFonts w:eastAsia="Book Antiqua" w:cs="Book Antiqua"/>
        </w:rPr>
        <w:t>submitted</w:t>
      </w:r>
      <w:r w:rsidRPr="1FC9B084" w:rsidR="69C8E5B8">
        <w:rPr>
          <w:rFonts w:eastAsia="Book Antiqua" w:cs="Book Antiqua"/>
        </w:rPr>
        <w:t xml:space="preserve"> </w:t>
      </w:r>
      <w:r w:rsidRPr="1FC9B084">
        <w:rPr>
          <w:rFonts w:eastAsia="Book Antiqua" w:cs="Book Antiqua"/>
        </w:rPr>
        <w:t>updates to Tariff Rule 13 on July 23, 2024</w:t>
      </w:r>
      <w:r w:rsidR="0031654D">
        <w:rPr>
          <w:rFonts w:eastAsia="Book Antiqua" w:cs="Book Antiqua"/>
        </w:rPr>
        <w:t>,</w:t>
      </w:r>
      <w:r w:rsidRPr="1FC9B084">
        <w:rPr>
          <w:rFonts w:eastAsia="Book Antiqua" w:cs="Book Antiqua"/>
        </w:rPr>
        <w:t xml:space="preserve"> via Advice Letter 4478-E/3320-G</w:t>
      </w:r>
      <w:r w:rsidR="00226A0F">
        <w:rPr>
          <w:rFonts w:eastAsia="Book Antiqua" w:cs="Book Antiqua"/>
        </w:rPr>
        <w:t xml:space="preserve"> </w:t>
      </w:r>
      <w:r w:rsidR="008D7C6F">
        <w:rPr>
          <w:rFonts w:eastAsia="Book Antiqua" w:cs="Book Antiqua"/>
        </w:rPr>
        <w:t xml:space="preserve">to </w:t>
      </w:r>
      <w:r w:rsidRPr="00226A0F" w:rsidR="00226A0F">
        <w:rPr>
          <w:rFonts w:eastAsia="Book Antiqua" w:cs="Book Antiqua"/>
        </w:rPr>
        <w:t>conform with other gas and electric utilities’ tariffs</w:t>
      </w:r>
      <w:r w:rsidRPr="1FC9B084">
        <w:rPr>
          <w:rFonts w:eastAsia="Book Antiqua" w:cs="Book Antiqua"/>
        </w:rPr>
        <w:t>.</w:t>
      </w:r>
      <w:r w:rsidRPr="1FC9B084" w:rsidR="02EB1D1C">
        <w:rPr>
          <w:rStyle w:val="FootnoteReference"/>
          <w:rFonts w:eastAsia="Book Antiqua" w:cs="Book Antiqua"/>
        </w:rPr>
        <w:footnoteReference w:id="133"/>
      </w:r>
      <w:r w:rsidR="00911C3B">
        <w:rPr>
          <w:rFonts w:eastAsia="Book Antiqua" w:cs="Book Antiqua"/>
        </w:rPr>
        <w:t xml:space="preserve"> </w:t>
      </w:r>
      <w:r w:rsidR="00882204">
        <w:t xml:space="preserve">SDG&amp;E’s </w:t>
      </w:r>
      <w:r w:rsidR="0001543C">
        <w:t>Advice Letter</w:t>
      </w:r>
      <w:r w:rsidR="59ED1555">
        <w:t xml:space="preserve"> </w:t>
      </w:r>
      <w:r w:rsidRPr="00B5591F" w:rsidR="00B5591F">
        <w:t xml:space="preserve">4478-E/3320-G </w:t>
      </w:r>
      <w:r w:rsidR="59ED1555">
        <w:t xml:space="preserve">has </w:t>
      </w:r>
      <w:r w:rsidR="00372FFE">
        <w:t xml:space="preserve">since </w:t>
      </w:r>
      <w:r w:rsidR="59ED1555">
        <w:t>been approved</w:t>
      </w:r>
      <w:r w:rsidR="4ABDF435">
        <w:t xml:space="preserve"> by </w:t>
      </w:r>
      <w:r w:rsidR="00882204">
        <w:t xml:space="preserve">Energy Division </w:t>
      </w:r>
      <w:r w:rsidR="59ED1555">
        <w:t xml:space="preserve">and </w:t>
      </w:r>
      <w:r w:rsidR="00355526">
        <w:t xml:space="preserve">is </w:t>
      </w:r>
      <w:r w:rsidR="59ED1555">
        <w:t xml:space="preserve">effective </w:t>
      </w:r>
      <w:r w:rsidR="00C04B85">
        <w:t>as of</w:t>
      </w:r>
      <w:r w:rsidR="00355526">
        <w:t xml:space="preserve"> </w:t>
      </w:r>
      <w:r w:rsidR="00882204">
        <w:t>its filing date</w:t>
      </w:r>
      <w:r w:rsidR="59ED1555">
        <w:t>.</w:t>
      </w:r>
      <w:r w:rsidR="7B8D3F2E">
        <w:t xml:space="preserve"> </w:t>
      </w:r>
      <w:r w:rsidR="00B5591F">
        <w:t>Th</w:t>
      </w:r>
      <w:r w:rsidR="00791C27">
        <w:t>us, the</w:t>
      </w:r>
      <w:r w:rsidR="00B5591F">
        <w:t xml:space="preserve"> </w:t>
      </w:r>
      <w:r w:rsidR="00CE4879">
        <w:t>above</w:t>
      </w:r>
      <w:r w:rsidR="00B5591F">
        <w:t xml:space="preserve"> issue</w:t>
      </w:r>
      <w:r w:rsidR="00791C27">
        <w:t xml:space="preserve"> regarding S</w:t>
      </w:r>
      <w:r w:rsidR="00CE4879">
        <w:t>DG&amp;E’s Tariff Rule 13</w:t>
      </w:r>
      <w:r w:rsidR="00B5591F">
        <w:t xml:space="preserve"> is </w:t>
      </w:r>
      <w:r w:rsidR="00CE4879">
        <w:t>now</w:t>
      </w:r>
      <w:r w:rsidR="00B5591F">
        <w:t xml:space="preserve"> moot</w:t>
      </w:r>
      <w:r w:rsidR="27024A45">
        <w:t>.</w:t>
      </w:r>
    </w:p>
    <w:p w:rsidRPr="004166D8" w:rsidR="00E07951" w:rsidP="00B35A97" w:rsidRDefault="00AD54B7" w14:paraId="1AC5BA72" w14:textId="1821B79E">
      <w:pPr>
        <w:pStyle w:val="Heading2"/>
      </w:pPr>
      <w:bookmarkStart w:name="_Toc185579380" w:id="680"/>
      <w:bookmarkStart w:name="_Toc192263706" w:id="681"/>
      <w:bookmarkStart w:name="_Toc200370985" w:id="682"/>
      <w:r w:rsidRPr="004166D8">
        <w:t xml:space="preserve">Additional </w:t>
      </w:r>
      <w:r w:rsidRPr="004166D8" w:rsidR="00B35A97">
        <w:t>Clarifications</w:t>
      </w:r>
      <w:bookmarkEnd w:id="680"/>
      <w:bookmarkEnd w:id="681"/>
      <w:bookmarkEnd w:id="682"/>
    </w:p>
    <w:p w:rsidRPr="004166D8" w:rsidR="00B35A97" w:rsidP="00B35A97" w:rsidRDefault="00B35A97" w14:paraId="14488D3C" w14:textId="10D3CCAC">
      <w:pPr>
        <w:pStyle w:val="Heading3"/>
      </w:pPr>
      <w:bookmarkStart w:name="_Toc185579381" w:id="683"/>
      <w:bookmarkStart w:name="_Toc192263707" w:id="684"/>
      <w:bookmarkStart w:name="_Toc200370986" w:id="685"/>
      <w:r w:rsidRPr="004166D8">
        <w:t xml:space="preserve">Summary of </w:t>
      </w:r>
      <w:r w:rsidR="00081C88">
        <w:t>Party Positions</w:t>
      </w:r>
      <w:bookmarkEnd w:id="683"/>
      <w:bookmarkEnd w:id="684"/>
      <w:bookmarkEnd w:id="685"/>
    </w:p>
    <w:p w:rsidR="00310D7E" w:rsidP="009E515D" w:rsidRDefault="00D2480D" w14:paraId="1F59EB5A" w14:textId="4C8E8EF9">
      <w:pPr>
        <w:pStyle w:val="Standard"/>
        <w:rPr>
          <w:rFonts w:eastAsia="Book Antiqua" w:cs="Book Antiqua"/>
        </w:rPr>
      </w:pPr>
      <w:r>
        <w:rPr>
          <w:rFonts w:eastAsia="Book Antiqua" w:cs="Book Antiqua"/>
        </w:rPr>
        <w:t>Some</w:t>
      </w:r>
      <w:r w:rsidR="003C0703">
        <w:rPr>
          <w:rFonts w:eastAsia="Book Antiqua" w:cs="Book Antiqua"/>
        </w:rPr>
        <w:t xml:space="preserve"> </w:t>
      </w:r>
      <w:r w:rsidR="005677EC">
        <w:rPr>
          <w:rFonts w:eastAsia="Book Antiqua" w:cs="Book Antiqua"/>
        </w:rPr>
        <w:t>part</w:t>
      </w:r>
      <w:r w:rsidR="0021194A">
        <w:rPr>
          <w:rFonts w:eastAsia="Book Antiqua" w:cs="Book Antiqua"/>
        </w:rPr>
        <w:t>ies</w:t>
      </w:r>
      <w:r>
        <w:rPr>
          <w:rFonts w:eastAsia="Book Antiqua" w:cs="Book Antiqua"/>
        </w:rPr>
        <w:t xml:space="preserve"> </w:t>
      </w:r>
      <w:r w:rsidR="005677EC">
        <w:rPr>
          <w:rFonts w:eastAsia="Book Antiqua" w:cs="Book Antiqua"/>
        </w:rPr>
        <w:t xml:space="preserve">request changes </w:t>
      </w:r>
      <w:r w:rsidR="00E0691C">
        <w:rPr>
          <w:rFonts w:eastAsia="Book Antiqua" w:cs="Book Antiqua"/>
        </w:rPr>
        <w:t>to D.23-12-037</w:t>
      </w:r>
      <w:r w:rsidR="004645B4">
        <w:rPr>
          <w:rFonts w:eastAsia="Book Antiqua" w:cs="Book Antiqua"/>
        </w:rPr>
        <w:t xml:space="preserve"> other than</w:t>
      </w:r>
      <w:r w:rsidR="00983420">
        <w:rPr>
          <w:rFonts w:eastAsia="Book Antiqua" w:cs="Book Antiqua"/>
        </w:rPr>
        <w:t xml:space="preserve"> those concerning</w:t>
      </w:r>
      <w:r w:rsidR="0026481C">
        <w:rPr>
          <w:rFonts w:eastAsia="Book Antiqua" w:cs="Book Antiqua"/>
        </w:rPr>
        <w:t xml:space="preserve"> the energization deadline </w:t>
      </w:r>
      <w:r w:rsidR="00697B4F">
        <w:rPr>
          <w:rFonts w:eastAsia="Book Antiqua" w:cs="Book Antiqua"/>
        </w:rPr>
        <w:t>an</w:t>
      </w:r>
      <w:r w:rsidR="004645B4">
        <w:rPr>
          <w:rFonts w:eastAsia="Book Antiqua" w:cs="Book Antiqua"/>
        </w:rPr>
        <w:t>d</w:t>
      </w:r>
      <w:r w:rsidR="0026481C">
        <w:rPr>
          <w:rFonts w:eastAsia="Book Antiqua" w:cs="Book Antiqua"/>
        </w:rPr>
        <w:t xml:space="preserve"> </w:t>
      </w:r>
      <w:r w:rsidR="004E642C">
        <w:rPr>
          <w:rFonts w:eastAsia="Book Antiqua" w:cs="Book Antiqua"/>
        </w:rPr>
        <w:t>the Tariff Rule 13 conformance.</w:t>
      </w:r>
    </w:p>
    <w:p w:rsidRPr="009D1072" w:rsidR="00CE0390" w:rsidP="009E515D" w:rsidRDefault="00CE0390" w14:paraId="0F72C39D" w14:textId="140FC399">
      <w:pPr>
        <w:pStyle w:val="Standard"/>
        <w:rPr>
          <w:rFonts w:eastAsia="Book Antiqua" w:cs="Book Antiqua"/>
        </w:rPr>
      </w:pPr>
      <w:r w:rsidRPr="009D1072">
        <w:rPr>
          <w:rFonts w:eastAsia="Book Antiqua" w:cs="Book Antiqua"/>
        </w:rPr>
        <w:t>SCE requests the Commission establish a process where Energy</w:t>
      </w:r>
      <w:r w:rsidR="001019C9">
        <w:rPr>
          <w:rFonts w:eastAsia="Book Antiqua" w:cs="Book Antiqua"/>
        </w:rPr>
        <w:t xml:space="preserve"> </w:t>
      </w:r>
      <w:r w:rsidRPr="009D1072">
        <w:rPr>
          <w:rFonts w:eastAsia="Book Antiqua" w:cs="Book Antiqua"/>
        </w:rPr>
        <w:t>Division share an annual update to SCE on all customers receiv</w:t>
      </w:r>
      <w:r w:rsidR="00E21112">
        <w:rPr>
          <w:rFonts w:eastAsia="Book Antiqua" w:cs="Book Antiqua"/>
        </w:rPr>
        <w:t>ing</w:t>
      </w:r>
      <w:r w:rsidRPr="009D1072">
        <w:rPr>
          <w:rFonts w:eastAsia="Book Antiqua" w:cs="Book Antiqua"/>
        </w:rPr>
        <w:t xml:space="preserve"> an exemption from gas line subsidy elimination pursuant to OP 2 of D.22-09-026. SCE claims this information will help them prepare their systems and accommodate those customers.</w:t>
      </w:r>
      <w:r w:rsidRPr="009D1072">
        <w:rPr>
          <w:rStyle w:val="FootnoteReference"/>
          <w:rFonts w:eastAsia="Book Antiqua" w:cs="Book Antiqua"/>
        </w:rPr>
        <w:footnoteReference w:id="134"/>
      </w:r>
    </w:p>
    <w:p w:rsidRPr="009D1072" w:rsidR="007665DC" w:rsidP="009E515D" w:rsidRDefault="007665DC" w14:paraId="4B348F9A" w14:textId="72644B3F">
      <w:pPr>
        <w:pStyle w:val="Standard"/>
        <w:rPr>
          <w:rFonts w:eastAsia="Book Antiqua" w:cs="Book Antiqua"/>
        </w:rPr>
      </w:pPr>
      <w:r w:rsidRPr="009D1072">
        <w:rPr>
          <w:rFonts w:eastAsia="Book Antiqua" w:cs="Book Antiqua"/>
        </w:rPr>
        <w:t xml:space="preserve">Sempra Utilities </w:t>
      </w:r>
      <w:r w:rsidRPr="009D1072" w:rsidR="00DE7544">
        <w:rPr>
          <w:rFonts w:eastAsia="Book Antiqua" w:cs="Book Antiqua"/>
        </w:rPr>
        <w:t xml:space="preserve">request </w:t>
      </w:r>
      <w:r w:rsidRPr="009D1072">
        <w:rPr>
          <w:rFonts w:eastAsia="Book Antiqua" w:cs="Book Antiqua"/>
        </w:rPr>
        <w:t xml:space="preserve">the </w:t>
      </w:r>
      <w:r w:rsidRPr="009D1072" w:rsidR="00DE7544">
        <w:rPr>
          <w:rFonts w:eastAsia="Book Antiqua" w:cs="Book Antiqua"/>
        </w:rPr>
        <w:t>Commission</w:t>
      </w:r>
      <w:r w:rsidRPr="009D1072">
        <w:rPr>
          <w:rFonts w:eastAsia="Book Antiqua" w:cs="Book Antiqua"/>
        </w:rPr>
        <w:t xml:space="preserve"> extend the </w:t>
      </w:r>
      <w:r w:rsidR="00732B88">
        <w:rPr>
          <w:rFonts w:eastAsia="Book Antiqua" w:cs="Book Antiqua"/>
        </w:rPr>
        <w:t>Jul</w:t>
      </w:r>
      <w:r w:rsidR="00BF293E">
        <w:rPr>
          <w:rFonts w:eastAsia="Book Antiqua" w:cs="Book Antiqua"/>
        </w:rPr>
        <w:t>y</w:t>
      </w:r>
      <w:r w:rsidR="00732B88">
        <w:rPr>
          <w:rFonts w:eastAsia="Book Antiqua" w:cs="Book Antiqua"/>
        </w:rPr>
        <w:t xml:space="preserve"> 1, 2024 </w:t>
      </w:r>
      <w:r w:rsidRPr="009D1072">
        <w:rPr>
          <w:rFonts w:eastAsia="Book Antiqua" w:cs="Book Antiqua"/>
        </w:rPr>
        <w:t xml:space="preserve">deadline for </w:t>
      </w:r>
      <w:r w:rsidRPr="009D1072" w:rsidR="00DE7544">
        <w:rPr>
          <w:rFonts w:eastAsia="Book Antiqua" w:cs="Book Antiqua"/>
        </w:rPr>
        <w:t>applicants</w:t>
      </w:r>
      <w:r w:rsidRPr="009D1072">
        <w:rPr>
          <w:rFonts w:eastAsia="Book Antiqua" w:cs="Book Antiqua"/>
        </w:rPr>
        <w:t xml:space="preserve"> </w:t>
      </w:r>
      <w:r w:rsidRPr="009D1072" w:rsidR="00DE7544">
        <w:rPr>
          <w:rFonts w:eastAsia="Book Antiqua" w:cs="Book Antiqua"/>
        </w:rPr>
        <w:t>seeking electric line extension subsidies for mixed-fuel new construction</w:t>
      </w:r>
      <w:r w:rsidRPr="009D1072">
        <w:rPr>
          <w:rFonts w:eastAsia="Book Antiqua" w:cs="Book Antiqua"/>
        </w:rPr>
        <w:t xml:space="preserve"> to sign their contracts and pay estimated electric line extension </w:t>
      </w:r>
      <w:r w:rsidRPr="009D1072">
        <w:rPr>
          <w:rFonts w:eastAsia="Book Antiqua" w:cs="Book Antiqua"/>
        </w:rPr>
        <w:lastRenderedPageBreak/>
        <w:t xml:space="preserve">costs. They </w:t>
      </w:r>
      <w:r w:rsidR="00D97F54">
        <w:rPr>
          <w:rFonts w:eastAsia="Book Antiqua" w:cs="Book Antiqua"/>
        </w:rPr>
        <w:t>support</w:t>
      </w:r>
      <w:r w:rsidR="000E713E">
        <w:rPr>
          <w:rFonts w:eastAsia="Book Antiqua" w:cs="Book Antiqua"/>
        </w:rPr>
        <w:t xml:space="preserve"> </w:t>
      </w:r>
      <w:r w:rsidRPr="009D1072">
        <w:rPr>
          <w:rFonts w:eastAsia="Book Antiqua" w:cs="Book Antiqua"/>
        </w:rPr>
        <w:t>allowing exceptions for customers who were in the design review approval process and missed the deadline</w:t>
      </w:r>
      <w:r w:rsidR="00F94AA7">
        <w:rPr>
          <w:rFonts w:eastAsia="Book Antiqua" w:cs="Book Antiqua"/>
        </w:rPr>
        <w:t xml:space="preserve"> and</w:t>
      </w:r>
      <w:r w:rsidRPr="009D1072">
        <w:rPr>
          <w:rFonts w:eastAsia="Book Antiqua" w:cs="Book Antiqua"/>
        </w:rPr>
        <w:t xml:space="preserve"> </w:t>
      </w:r>
      <w:r w:rsidR="00D97F54">
        <w:rPr>
          <w:rFonts w:eastAsia="Book Antiqua" w:cs="Book Antiqua"/>
        </w:rPr>
        <w:t>argue</w:t>
      </w:r>
      <w:r w:rsidRPr="009D1072">
        <w:rPr>
          <w:rFonts w:eastAsia="Book Antiqua" w:cs="Book Antiqua"/>
        </w:rPr>
        <w:t xml:space="preserve"> </w:t>
      </w:r>
      <w:r w:rsidR="00F94AA7">
        <w:rPr>
          <w:rFonts w:eastAsia="Book Antiqua" w:cs="Book Antiqua"/>
        </w:rPr>
        <w:t xml:space="preserve">that </w:t>
      </w:r>
      <w:r w:rsidRPr="009D1072">
        <w:rPr>
          <w:rFonts w:eastAsia="Book Antiqua" w:cs="Book Antiqua"/>
        </w:rPr>
        <w:t>extending th</w:t>
      </w:r>
      <w:r w:rsidR="00617D1D">
        <w:rPr>
          <w:rFonts w:eastAsia="Book Antiqua" w:cs="Book Antiqua"/>
        </w:rPr>
        <w:t>is</w:t>
      </w:r>
      <w:r w:rsidRPr="009D1072">
        <w:rPr>
          <w:rFonts w:eastAsia="Book Antiqua" w:cs="Book Antiqua"/>
        </w:rPr>
        <w:t xml:space="preserve"> deadline would offer more equitable treatment, as </w:t>
      </w:r>
      <w:r w:rsidRPr="009D1072" w:rsidR="0037299F">
        <w:rPr>
          <w:rFonts w:eastAsia="Book Antiqua" w:cs="Book Antiqua"/>
        </w:rPr>
        <w:t>some developers</w:t>
      </w:r>
      <w:r w:rsidRPr="009D1072">
        <w:rPr>
          <w:rFonts w:eastAsia="Book Antiqua" w:cs="Book Antiqua"/>
        </w:rPr>
        <w:t xml:space="preserve"> </w:t>
      </w:r>
      <w:r w:rsidRPr="009D1072" w:rsidR="0037299F">
        <w:rPr>
          <w:rFonts w:eastAsia="Book Antiqua" w:cs="Book Antiqua"/>
        </w:rPr>
        <w:t>suffered</w:t>
      </w:r>
      <w:r w:rsidRPr="009D1072">
        <w:rPr>
          <w:rFonts w:eastAsia="Book Antiqua" w:cs="Book Antiqua"/>
        </w:rPr>
        <w:t xml:space="preserve"> financial losses due to the short implementation timeline and challenges beyond their control.</w:t>
      </w:r>
      <w:r w:rsidRPr="009D1072">
        <w:rPr>
          <w:rStyle w:val="FootnoteReference"/>
          <w:rFonts w:eastAsia="Book Antiqua" w:cs="Book Antiqua"/>
        </w:rPr>
        <w:footnoteReference w:id="135"/>
      </w:r>
    </w:p>
    <w:p w:rsidRPr="009D1072" w:rsidR="00AD54B7" w:rsidP="009E515D" w:rsidRDefault="004D6F94" w14:paraId="404A454A" w14:textId="0CA79678">
      <w:pPr>
        <w:pStyle w:val="Standard"/>
        <w:rPr>
          <w:rFonts w:eastAsia="Book Antiqua" w:cs="Book Antiqua"/>
        </w:rPr>
      </w:pPr>
      <w:r w:rsidRPr="009D1072">
        <w:rPr>
          <w:rFonts w:eastAsia="Book Antiqua" w:cs="Book Antiqua"/>
        </w:rPr>
        <w:t>Sempra Utilities</w:t>
      </w:r>
      <w:r w:rsidRPr="009D1072" w:rsidR="00AD54B7">
        <w:rPr>
          <w:rFonts w:eastAsia="Book Antiqua" w:cs="Book Antiqua"/>
        </w:rPr>
        <w:t xml:space="preserve"> recommend modifying the implementation approach of actual cost billing by aligning the date of actual cost billing with </w:t>
      </w:r>
      <w:r w:rsidRPr="009D1072" w:rsidR="0087784E">
        <w:rPr>
          <w:rFonts w:eastAsia="Book Antiqua" w:cs="Book Antiqua"/>
        </w:rPr>
        <w:t xml:space="preserve">the date of </w:t>
      </w:r>
      <w:r w:rsidRPr="009D1072" w:rsidR="00AD54B7">
        <w:rPr>
          <w:rFonts w:eastAsia="Book Antiqua" w:cs="Book Antiqua"/>
        </w:rPr>
        <w:t xml:space="preserve">elimination of subsidies. They highlight </w:t>
      </w:r>
      <w:r w:rsidR="00377A23">
        <w:rPr>
          <w:rFonts w:eastAsia="Book Antiqua" w:cs="Book Antiqua"/>
        </w:rPr>
        <w:t xml:space="preserve">the current </w:t>
      </w:r>
      <w:r w:rsidRPr="009D1072" w:rsidR="00AD54B7">
        <w:rPr>
          <w:rFonts w:eastAsia="Book Antiqua" w:cs="Book Antiqua"/>
        </w:rPr>
        <w:t>misalignment would require substantial administrative work to update costs and contracts if customers miss the energization deadline.</w:t>
      </w:r>
      <w:r w:rsidRPr="009D1072" w:rsidR="00AD54B7">
        <w:rPr>
          <w:rStyle w:val="FootnoteReference"/>
          <w:rFonts w:eastAsia="Book Antiqua" w:cs="Book Antiqua"/>
        </w:rPr>
        <w:footnoteReference w:id="136"/>
      </w:r>
      <w:r w:rsidR="0038295A">
        <w:rPr>
          <w:rFonts w:eastAsia="Book Antiqua" w:cs="Book Antiqua"/>
        </w:rPr>
        <w:t xml:space="preserve"> </w:t>
      </w:r>
    </w:p>
    <w:p w:rsidR="00B35A97" w:rsidP="00AD54B7" w:rsidRDefault="00AD54B7" w14:paraId="3B02CA26" w14:textId="14442056">
      <w:pPr>
        <w:pStyle w:val="Standard"/>
        <w:rPr>
          <w:rFonts w:eastAsia="Book Antiqua" w:cs="Book Antiqua"/>
        </w:rPr>
      </w:pPr>
      <w:r w:rsidRPr="009D1072">
        <w:rPr>
          <w:rFonts w:eastAsia="Book Antiqua" w:cs="Book Antiqua"/>
        </w:rPr>
        <w:t>B</w:t>
      </w:r>
      <w:r w:rsidRPr="009D1072" w:rsidR="003E0972">
        <w:rPr>
          <w:rFonts w:eastAsia="Book Antiqua" w:cs="Book Antiqua"/>
        </w:rPr>
        <w:t xml:space="preserve">oth </w:t>
      </w:r>
      <w:r w:rsidRPr="009D1072">
        <w:rPr>
          <w:rFonts w:eastAsia="Book Antiqua" w:cs="Book Antiqua"/>
        </w:rPr>
        <w:t>SCE and S</w:t>
      </w:r>
      <w:r w:rsidRPr="009D1072" w:rsidR="00691766">
        <w:rPr>
          <w:rFonts w:eastAsia="Book Antiqua" w:cs="Book Antiqua"/>
        </w:rPr>
        <w:t>empra Utilities</w:t>
      </w:r>
      <w:r w:rsidRPr="009D1072">
        <w:rPr>
          <w:rFonts w:eastAsia="Book Antiqua" w:cs="Book Antiqua"/>
        </w:rPr>
        <w:t xml:space="preserve"> urge the Commission to clarify </w:t>
      </w:r>
      <w:r w:rsidR="00E3546F">
        <w:rPr>
          <w:rFonts w:eastAsia="Book Antiqua" w:cs="Book Antiqua"/>
        </w:rPr>
        <w:t>various</w:t>
      </w:r>
      <w:r w:rsidRPr="009D1072">
        <w:rPr>
          <w:rFonts w:eastAsia="Book Antiqua" w:cs="Book Antiqua"/>
        </w:rPr>
        <w:t xml:space="preserve"> additional issues </w:t>
      </w:r>
      <w:r w:rsidR="00F71515">
        <w:t>electric utilities</w:t>
      </w:r>
      <w:r w:rsidRPr="009D1072">
        <w:rPr>
          <w:rFonts w:eastAsia="Book Antiqua" w:cs="Book Antiqua"/>
        </w:rPr>
        <w:t xml:space="preserve"> are facing in the implementation of </w:t>
      </w:r>
      <w:r w:rsidR="00D30579">
        <w:rPr>
          <w:rFonts w:eastAsia="Book Antiqua" w:cs="Book Antiqua"/>
        </w:rPr>
        <w:t xml:space="preserve">the </w:t>
      </w:r>
      <w:r w:rsidRPr="009D1072">
        <w:rPr>
          <w:rFonts w:eastAsia="Book Antiqua" w:cs="Book Antiqua"/>
        </w:rPr>
        <w:t xml:space="preserve">Phase 3B Decision. On July 9, 2024, </w:t>
      </w:r>
      <w:r w:rsidRPr="009D1072" w:rsidR="00B17B6D">
        <w:rPr>
          <w:rFonts w:eastAsia="Book Antiqua" w:cs="Book Antiqua"/>
        </w:rPr>
        <w:t>the large electric utilities</w:t>
      </w:r>
      <w:r w:rsidRPr="009D1072">
        <w:rPr>
          <w:rFonts w:eastAsia="Book Antiqua" w:cs="Book Antiqua"/>
        </w:rPr>
        <w:t xml:space="preserve"> </w:t>
      </w:r>
      <w:r w:rsidRPr="009D1072" w:rsidR="00460AAB">
        <w:rPr>
          <w:rFonts w:eastAsia="Book Antiqua" w:cs="Book Antiqua"/>
        </w:rPr>
        <w:t>jointly</w:t>
      </w:r>
      <w:r w:rsidRPr="009D1072">
        <w:rPr>
          <w:rFonts w:eastAsia="Book Antiqua" w:cs="Book Antiqua"/>
        </w:rPr>
        <w:t xml:space="preserve"> submitted </w:t>
      </w:r>
      <w:r w:rsidR="0001543C">
        <w:rPr>
          <w:rFonts w:eastAsia="Book Antiqua" w:cs="Book Antiqua"/>
        </w:rPr>
        <w:t>Advice Letter</w:t>
      </w:r>
      <w:r w:rsidRPr="009D1072" w:rsidR="00460AAB">
        <w:rPr>
          <w:rFonts w:eastAsia="Book Antiqua" w:cs="Book Antiqua"/>
        </w:rPr>
        <w:t>s</w:t>
      </w:r>
      <w:r w:rsidRPr="009D1072">
        <w:rPr>
          <w:rFonts w:eastAsia="Book Antiqua" w:cs="Book Antiqua"/>
        </w:rPr>
        <w:t xml:space="preserve"> (</w:t>
      </w:r>
      <w:r w:rsidRPr="009D1072" w:rsidR="00F93F9B">
        <w:rPr>
          <w:rFonts w:eastAsia="Book Antiqua" w:cs="Book Antiqua"/>
        </w:rPr>
        <w:t xml:space="preserve">SCE AL </w:t>
      </w:r>
      <w:r w:rsidRPr="009D1072">
        <w:rPr>
          <w:rFonts w:eastAsia="Book Antiqua" w:cs="Book Antiqua"/>
        </w:rPr>
        <w:t xml:space="preserve">5331-E, </w:t>
      </w:r>
      <w:r w:rsidRPr="009D1072" w:rsidR="00F93F9B">
        <w:rPr>
          <w:rFonts w:eastAsia="Book Antiqua" w:cs="Book Antiqua"/>
        </w:rPr>
        <w:t>PG&amp;E AL</w:t>
      </w:r>
      <w:r w:rsidRPr="009D1072">
        <w:rPr>
          <w:rFonts w:eastAsia="Book Antiqua" w:cs="Book Antiqua"/>
        </w:rPr>
        <w:t xml:space="preserve"> 7320-E, </w:t>
      </w:r>
      <w:r w:rsidRPr="009D1072" w:rsidR="0091669E">
        <w:rPr>
          <w:rFonts w:eastAsia="Book Antiqua" w:cs="Book Antiqua"/>
        </w:rPr>
        <w:t xml:space="preserve">and </w:t>
      </w:r>
      <w:r w:rsidRPr="009D1072" w:rsidR="00B11EE9">
        <w:rPr>
          <w:rFonts w:eastAsia="Book Antiqua" w:cs="Book Antiqua"/>
        </w:rPr>
        <w:t xml:space="preserve">SDG&amp;E AL </w:t>
      </w:r>
      <w:r w:rsidRPr="009D1072">
        <w:rPr>
          <w:rFonts w:eastAsia="Book Antiqua" w:cs="Book Antiqua"/>
        </w:rPr>
        <w:t>4468-E</w:t>
      </w:r>
      <w:r w:rsidRPr="009D1072" w:rsidR="0091669E">
        <w:rPr>
          <w:rFonts w:eastAsia="Book Antiqua" w:cs="Book Antiqua"/>
        </w:rPr>
        <w:t>, respectively</w:t>
      </w:r>
      <w:r w:rsidRPr="009D1072">
        <w:rPr>
          <w:rFonts w:eastAsia="Book Antiqua" w:cs="Book Antiqua"/>
        </w:rPr>
        <w:t xml:space="preserve">) to the Commission </w:t>
      </w:r>
      <w:r w:rsidRPr="009D1072" w:rsidR="004E7F3C">
        <w:rPr>
          <w:rFonts w:eastAsia="Book Antiqua" w:cs="Book Antiqua"/>
        </w:rPr>
        <w:t>requesting</w:t>
      </w:r>
      <w:r w:rsidRPr="009D1072">
        <w:rPr>
          <w:rFonts w:eastAsia="Book Antiqua" w:cs="Book Antiqua"/>
        </w:rPr>
        <w:t xml:space="preserve"> clarification on the implementation of the elimination of </w:t>
      </w:r>
      <w:r w:rsidRPr="009D1072" w:rsidR="00276EDE">
        <w:rPr>
          <w:rFonts w:eastAsia="Book Antiqua" w:cs="Book Antiqua"/>
        </w:rPr>
        <w:t xml:space="preserve">electric </w:t>
      </w:r>
      <w:r w:rsidRPr="009D1072">
        <w:rPr>
          <w:rFonts w:eastAsia="Book Antiqua" w:cs="Book Antiqua"/>
        </w:rPr>
        <w:t>line extension subsidies for mixed-fuel new construction projects</w:t>
      </w:r>
      <w:r w:rsidRPr="009D1072" w:rsidR="00276EDE">
        <w:rPr>
          <w:rFonts w:eastAsia="Book Antiqua" w:cs="Book Antiqua"/>
        </w:rPr>
        <w:t xml:space="preserve"> pursuant to D.23-12-037</w:t>
      </w:r>
      <w:r w:rsidRPr="009D1072">
        <w:rPr>
          <w:rFonts w:eastAsia="Book Antiqua" w:cs="Book Antiqua"/>
        </w:rPr>
        <w:t>.</w:t>
      </w:r>
      <w:r w:rsidRPr="009D1072">
        <w:rPr>
          <w:rStyle w:val="FootnoteReference"/>
          <w:rFonts w:eastAsia="Book Antiqua" w:cs="Book Antiqua"/>
        </w:rPr>
        <w:footnoteReference w:id="137"/>
      </w:r>
      <w:r w:rsidRPr="009D1072">
        <w:rPr>
          <w:rFonts w:eastAsia="Book Antiqua" w:cs="Book Antiqua"/>
        </w:rPr>
        <w:t xml:space="preserve"> S</w:t>
      </w:r>
      <w:r w:rsidRPr="009D1072" w:rsidR="0091669E">
        <w:rPr>
          <w:rFonts w:eastAsia="Book Antiqua" w:cs="Book Antiqua"/>
        </w:rPr>
        <w:t>empra Utilities</w:t>
      </w:r>
      <w:r w:rsidRPr="009D1072">
        <w:rPr>
          <w:rFonts w:eastAsia="Book Antiqua" w:cs="Book Antiqua"/>
        </w:rPr>
        <w:t xml:space="preserve"> propose several recommendations to address administrative challenges and clarify criteria for </w:t>
      </w:r>
      <w:r w:rsidR="00391DCD">
        <w:rPr>
          <w:rFonts w:eastAsia="Book Antiqua" w:cs="Book Antiqua"/>
        </w:rPr>
        <w:t xml:space="preserve">receiving </w:t>
      </w:r>
      <w:r w:rsidRPr="009D1072">
        <w:rPr>
          <w:rFonts w:eastAsia="Book Antiqua" w:cs="Book Antiqua"/>
        </w:rPr>
        <w:t xml:space="preserve">electric </w:t>
      </w:r>
      <w:r w:rsidR="00391DCD">
        <w:rPr>
          <w:rFonts w:eastAsia="Book Antiqua" w:cs="Book Antiqua"/>
        </w:rPr>
        <w:t xml:space="preserve">line extension </w:t>
      </w:r>
      <w:r w:rsidRPr="009D1072">
        <w:rPr>
          <w:rFonts w:eastAsia="Book Antiqua" w:cs="Book Antiqua"/>
        </w:rPr>
        <w:t xml:space="preserve">subsidies. These include defining </w:t>
      </w:r>
      <w:r w:rsidR="00947554">
        <w:rPr>
          <w:rFonts w:eastAsia="Book Antiqua" w:cs="Book Antiqua"/>
        </w:rPr>
        <w:t>“</w:t>
      </w:r>
      <w:r w:rsidRPr="009D1072">
        <w:rPr>
          <w:rFonts w:eastAsia="Book Antiqua" w:cs="Book Antiqua"/>
        </w:rPr>
        <w:t>mixed-fuel</w:t>
      </w:r>
      <w:r w:rsidR="00947554">
        <w:rPr>
          <w:rFonts w:eastAsia="Book Antiqua" w:cs="Book Antiqua"/>
        </w:rPr>
        <w:t>”</w:t>
      </w:r>
      <w:r w:rsidRPr="009D1072" w:rsidR="00947554">
        <w:rPr>
          <w:rFonts w:eastAsia="Book Antiqua" w:cs="Book Antiqua"/>
        </w:rPr>
        <w:t xml:space="preserve"> </w:t>
      </w:r>
      <w:r w:rsidRPr="009D1072">
        <w:rPr>
          <w:rFonts w:eastAsia="Book Antiqua" w:cs="Book Antiqua"/>
        </w:rPr>
        <w:t>based on contract obligations, excluding trench sharing as a mixed-fuel identifier, and seeking clarification on propane usage standards impact</w:t>
      </w:r>
      <w:r w:rsidR="00E21112">
        <w:rPr>
          <w:rFonts w:eastAsia="Book Antiqua" w:cs="Book Antiqua"/>
        </w:rPr>
        <w:t>ing</w:t>
      </w:r>
      <w:r w:rsidRPr="009D1072">
        <w:rPr>
          <w:rFonts w:eastAsia="Book Antiqua" w:cs="Book Antiqua"/>
        </w:rPr>
        <w:t xml:space="preserve"> electric subsidies. S</w:t>
      </w:r>
      <w:r w:rsidRPr="009D1072" w:rsidR="0091669E">
        <w:rPr>
          <w:rFonts w:eastAsia="Book Antiqua" w:cs="Book Antiqua"/>
        </w:rPr>
        <w:t>empra Utilities</w:t>
      </w:r>
      <w:r w:rsidRPr="009D1072">
        <w:rPr>
          <w:rFonts w:eastAsia="Book Antiqua" w:cs="Book Antiqua"/>
        </w:rPr>
        <w:t xml:space="preserve"> </w:t>
      </w:r>
      <w:r w:rsidR="00AB5275">
        <w:rPr>
          <w:rFonts w:eastAsia="Book Antiqua" w:cs="Book Antiqua"/>
        </w:rPr>
        <w:t>contend</w:t>
      </w:r>
      <w:r w:rsidRPr="009D1072">
        <w:rPr>
          <w:rFonts w:eastAsia="Book Antiqua" w:cs="Book Antiqua"/>
        </w:rPr>
        <w:t xml:space="preserve"> </w:t>
      </w:r>
      <w:r w:rsidR="00AB5275">
        <w:rPr>
          <w:rFonts w:eastAsia="Book Antiqua" w:cs="Book Antiqua"/>
        </w:rPr>
        <w:t>that</w:t>
      </w:r>
      <w:r w:rsidRPr="009D1072">
        <w:rPr>
          <w:rFonts w:eastAsia="Book Antiqua" w:cs="Book Antiqua"/>
        </w:rPr>
        <w:t xml:space="preserve"> these changes are necessary to </w:t>
      </w:r>
      <w:r w:rsidRPr="009D1072">
        <w:rPr>
          <w:rFonts w:eastAsia="Book Antiqua" w:cs="Book Antiqua"/>
        </w:rPr>
        <w:lastRenderedPageBreak/>
        <w:t>streamline internal processes and provide customers with clear guidance, ultimately supporting the Commission’s building decarbonization goals.</w:t>
      </w:r>
      <w:r w:rsidRPr="009D1072">
        <w:rPr>
          <w:rStyle w:val="FootnoteReference"/>
          <w:rFonts w:eastAsia="Book Antiqua" w:cs="Book Antiqua"/>
        </w:rPr>
        <w:footnoteReference w:id="138"/>
      </w:r>
    </w:p>
    <w:p w:rsidR="006D5595" w:rsidP="00AD54B7" w:rsidRDefault="006D5595" w14:paraId="5148997C" w14:textId="148915FB">
      <w:pPr>
        <w:pStyle w:val="Standard"/>
      </w:pPr>
      <w:r>
        <w:rPr>
          <w:rFonts w:eastAsia="Book Antiqua" w:cs="Book Antiqua"/>
        </w:rPr>
        <w:t>F</w:t>
      </w:r>
      <w:r w:rsidR="0038295A">
        <w:rPr>
          <w:rFonts w:eastAsia="Book Antiqua" w:cs="Book Antiqua"/>
        </w:rPr>
        <w:t>urthermore</w:t>
      </w:r>
      <w:r>
        <w:rPr>
          <w:rFonts w:eastAsia="Book Antiqua" w:cs="Book Antiqua"/>
        </w:rPr>
        <w:t xml:space="preserve">, Sempra Utilities </w:t>
      </w:r>
      <w:r w:rsidR="00992905">
        <w:rPr>
          <w:rFonts w:eastAsia="Book Antiqua" w:cs="Book Antiqua"/>
        </w:rPr>
        <w:t xml:space="preserve">reraise </w:t>
      </w:r>
      <w:r w:rsidR="00920906">
        <w:rPr>
          <w:rFonts w:eastAsia="Book Antiqua" w:cs="Book Antiqua"/>
        </w:rPr>
        <w:t xml:space="preserve"> SDG&amp;E</w:t>
      </w:r>
      <w:r w:rsidR="001808F0">
        <w:rPr>
          <w:rFonts w:eastAsia="Book Antiqua" w:cs="Book Antiqua"/>
        </w:rPr>
        <w:t>’s</w:t>
      </w:r>
      <w:r w:rsidR="00920906">
        <w:rPr>
          <w:rFonts w:eastAsia="Book Antiqua" w:cs="Book Antiqua"/>
        </w:rPr>
        <w:t xml:space="preserve"> </w:t>
      </w:r>
      <w:r w:rsidR="00203800">
        <w:rPr>
          <w:rFonts w:eastAsia="Book Antiqua" w:cs="Book Antiqua"/>
        </w:rPr>
        <w:t xml:space="preserve">prior </w:t>
      </w:r>
      <w:r w:rsidR="00283825">
        <w:rPr>
          <w:rFonts w:eastAsia="Book Antiqua" w:cs="Book Antiqua"/>
        </w:rPr>
        <w:t>request</w:t>
      </w:r>
      <w:r w:rsidR="00920906">
        <w:rPr>
          <w:rFonts w:eastAsia="Book Antiqua" w:cs="Book Antiqua"/>
        </w:rPr>
        <w:t xml:space="preserve"> </w:t>
      </w:r>
      <w:r w:rsidR="00992905">
        <w:rPr>
          <w:rFonts w:eastAsia="Book Antiqua" w:cs="Book Antiqua"/>
        </w:rPr>
        <w:t xml:space="preserve">that </w:t>
      </w:r>
      <w:r w:rsidR="007870EA">
        <w:rPr>
          <w:rFonts w:eastAsia="Book Antiqua" w:cs="Book Antiqua"/>
        </w:rPr>
        <w:t>we</w:t>
      </w:r>
      <w:r w:rsidR="00A815E8">
        <w:rPr>
          <w:rFonts w:eastAsia="Book Antiqua" w:cs="Book Antiqua"/>
        </w:rPr>
        <w:t xml:space="preserve">  “</w:t>
      </w:r>
      <w:r w:rsidRPr="00A815E8" w:rsidR="00A815E8">
        <w:rPr>
          <w:rFonts w:eastAsia="Book Antiqua" w:cs="Book Antiqua"/>
        </w:rPr>
        <w:t>take a more holistic approach in promoting decarbonization by examining a broader range of considerations and impacts of the policies that were to be addressed in this rulemaking</w:t>
      </w:r>
      <w:r w:rsidR="00A815E8">
        <w:rPr>
          <w:rFonts w:eastAsia="Book Antiqua" w:cs="Book Antiqua"/>
        </w:rPr>
        <w:t>”</w:t>
      </w:r>
      <w:r w:rsidR="00205A3B">
        <w:rPr>
          <w:rStyle w:val="FootnoteReference"/>
          <w:rFonts w:eastAsia="Book Antiqua" w:cs="Book Antiqua"/>
        </w:rPr>
        <w:footnoteReference w:id="139"/>
      </w:r>
      <w:r w:rsidR="00FC5E1C">
        <w:rPr>
          <w:rFonts w:eastAsia="Book Antiqua" w:cs="Book Antiqua"/>
        </w:rPr>
        <w:t xml:space="preserve"> </w:t>
      </w:r>
      <w:r w:rsidR="00F82A86">
        <w:rPr>
          <w:rFonts w:eastAsia="Book Antiqua" w:cs="Book Antiqua"/>
        </w:rPr>
        <w:t xml:space="preserve">and </w:t>
      </w:r>
      <w:r w:rsidR="008B327A">
        <w:rPr>
          <w:rFonts w:eastAsia="Book Antiqua" w:cs="Book Antiqua"/>
        </w:rPr>
        <w:t xml:space="preserve"> that </w:t>
      </w:r>
      <w:r w:rsidR="000F2488">
        <w:rPr>
          <w:rFonts w:eastAsia="Book Antiqua" w:cs="Book Antiqua"/>
        </w:rPr>
        <w:t>i</w:t>
      </w:r>
      <w:r w:rsidRPr="008B327A" w:rsidR="008B327A">
        <w:rPr>
          <w:rFonts w:eastAsia="Book Antiqua" w:cs="Book Antiqua"/>
        </w:rPr>
        <w:t xml:space="preserve">f the Commission </w:t>
      </w:r>
      <w:r w:rsidR="008E2BD7">
        <w:rPr>
          <w:rFonts w:eastAsia="Book Antiqua" w:cs="Book Antiqua"/>
        </w:rPr>
        <w:t>“</w:t>
      </w:r>
      <w:r w:rsidRPr="008B327A" w:rsidR="008B327A">
        <w:rPr>
          <w:rFonts w:eastAsia="Book Antiqua" w:cs="Book Antiqua"/>
        </w:rPr>
        <w:t>intends to eliminate electric line extension subsidies on grounds of affordability or otherwise, it should not do so selectively and instead should consider eliminating all electric line extension subsidies for all new customers, subject to an exception or other reasonable accommodation for low-income housing.</w:t>
      </w:r>
      <w:r w:rsidR="00FC1BBC">
        <w:rPr>
          <w:rFonts w:eastAsia="Book Antiqua" w:cs="Book Antiqua"/>
        </w:rPr>
        <w:t>”</w:t>
      </w:r>
      <w:r w:rsidR="00FC1BBC">
        <w:rPr>
          <w:rStyle w:val="FootnoteReference"/>
          <w:rFonts w:eastAsia="Book Antiqua" w:cs="Book Antiqua"/>
        </w:rPr>
        <w:footnoteReference w:id="140"/>
      </w:r>
    </w:p>
    <w:p w:rsidR="00B35A97" w:rsidP="00B35A97" w:rsidRDefault="008D38D3" w14:paraId="4E903A3F" w14:textId="41451D2C">
      <w:pPr>
        <w:pStyle w:val="Standard"/>
      </w:pPr>
      <w:r>
        <w:t xml:space="preserve">No reply comments were </w:t>
      </w:r>
      <w:r w:rsidR="004E77BC">
        <w:t>filed</w:t>
      </w:r>
      <w:r>
        <w:t xml:space="preserve"> on th</w:t>
      </w:r>
      <w:r w:rsidR="0012035D">
        <w:t>e</w:t>
      </w:r>
      <w:r>
        <w:t xml:space="preserve"> </w:t>
      </w:r>
      <w:r w:rsidR="0012035D">
        <w:t xml:space="preserve">above Section 6.3.1 </w:t>
      </w:r>
      <w:r w:rsidR="004E77BC">
        <w:t>issues</w:t>
      </w:r>
      <w:r>
        <w:t>.</w:t>
      </w:r>
    </w:p>
    <w:p w:rsidRPr="009D1072" w:rsidR="00D9523A" w:rsidP="003F6BF7" w:rsidRDefault="00D9523A" w14:paraId="5D088086" w14:textId="77777777">
      <w:pPr>
        <w:pStyle w:val="Heading3"/>
      </w:pPr>
      <w:bookmarkStart w:name="_Toc185579383" w:id="686"/>
      <w:bookmarkStart w:name="_Toc192263709" w:id="687"/>
      <w:bookmarkStart w:name="_Toc200370987" w:id="688"/>
      <w:r w:rsidRPr="009D1072">
        <w:t>Discussion</w:t>
      </w:r>
      <w:bookmarkEnd w:id="686"/>
      <w:bookmarkEnd w:id="687"/>
      <w:bookmarkEnd w:id="688"/>
    </w:p>
    <w:p w:rsidR="00C3171B" w:rsidP="001E4FB8" w:rsidRDefault="00C3171B" w14:paraId="533D8615" w14:textId="3F95032B">
      <w:pPr>
        <w:pStyle w:val="Standard"/>
        <w:rPr>
          <w:rFonts w:eastAsia="Book Antiqua" w:cs="Book Antiqua"/>
        </w:rPr>
      </w:pPr>
      <w:r w:rsidRPr="00C3171B">
        <w:rPr>
          <w:rFonts w:eastAsia="Book Antiqua" w:cs="Book Antiqua"/>
        </w:rPr>
        <w:t xml:space="preserve">We </w:t>
      </w:r>
      <w:r w:rsidR="00DA4826">
        <w:rPr>
          <w:rFonts w:eastAsia="Book Antiqua" w:cs="Book Antiqua"/>
        </w:rPr>
        <w:t>reject</w:t>
      </w:r>
      <w:r w:rsidRPr="00C3171B">
        <w:rPr>
          <w:rFonts w:eastAsia="Book Antiqua" w:cs="Book Antiqua"/>
        </w:rPr>
        <w:t xml:space="preserve"> SCE’s request for Energy Division to </w:t>
      </w:r>
      <w:r w:rsidRPr="004F01EA" w:rsidR="001E4FB8">
        <w:rPr>
          <w:rFonts w:eastAsia="Book Antiqua" w:cs="Book Antiqua"/>
        </w:rPr>
        <w:t>provide</w:t>
      </w:r>
      <w:r w:rsidRPr="00C3171B">
        <w:rPr>
          <w:rFonts w:eastAsia="Book Antiqua" w:cs="Book Antiqua"/>
        </w:rPr>
        <w:t xml:space="preserve"> an annual update on </w:t>
      </w:r>
      <w:r w:rsidRPr="004F01EA" w:rsidR="001E4FB8">
        <w:rPr>
          <w:rFonts w:eastAsia="Book Antiqua" w:cs="Book Antiqua"/>
        </w:rPr>
        <w:t>the list of</w:t>
      </w:r>
      <w:r w:rsidRPr="00C3171B">
        <w:rPr>
          <w:rFonts w:eastAsia="Book Antiqua" w:cs="Book Antiqua"/>
        </w:rPr>
        <w:t xml:space="preserve"> customers </w:t>
      </w:r>
      <w:r w:rsidRPr="004F01EA" w:rsidR="001E4FB8">
        <w:rPr>
          <w:rFonts w:eastAsia="Book Antiqua" w:cs="Book Antiqua"/>
        </w:rPr>
        <w:t>that applied</w:t>
      </w:r>
      <w:r w:rsidRPr="00C3171B">
        <w:rPr>
          <w:rFonts w:eastAsia="Book Antiqua" w:cs="Book Antiqua"/>
        </w:rPr>
        <w:t xml:space="preserve"> and </w:t>
      </w:r>
      <w:r w:rsidRPr="004F01EA" w:rsidR="001E4FB8">
        <w:rPr>
          <w:rFonts w:eastAsia="Book Antiqua" w:cs="Book Antiqua"/>
        </w:rPr>
        <w:t>succeed</w:t>
      </w:r>
      <w:r w:rsidR="00E94CB8">
        <w:rPr>
          <w:rFonts w:eastAsia="Book Antiqua" w:cs="Book Antiqua"/>
        </w:rPr>
        <w:t>ed</w:t>
      </w:r>
      <w:r w:rsidRPr="004F01EA" w:rsidR="001E4FB8">
        <w:rPr>
          <w:rFonts w:eastAsia="Book Antiqua" w:cs="Book Antiqua"/>
        </w:rPr>
        <w:t xml:space="preserve"> in receiving the exemption from gas line subsidy elimination. </w:t>
      </w:r>
      <w:r w:rsidRPr="004F01EA" w:rsidR="00934AC3">
        <w:rPr>
          <w:rFonts w:eastAsia="Book Antiqua" w:cs="Book Antiqua"/>
        </w:rPr>
        <w:t xml:space="preserve">Any application for exemptions from the </w:t>
      </w:r>
      <w:r w:rsidR="00237ECE">
        <w:rPr>
          <w:rFonts w:eastAsia="Book Antiqua" w:cs="Book Antiqua"/>
        </w:rPr>
        <w:t>gas</w:t>
      </w:r>
      <w:r w:rsidRPr="004F01EA" w:rsidR="00934AC3">
        <w:rPr>
          <w:rFonts w:eastAsia="Book Antiqua" w:cs="Book Antiqua"/>
        </w:rPr>
        <w:t xml:space="preserve"> line ex</w:t>
      </w:r>
      <w:r w:rsidRPr="004F01EA" w:rsidR="00786A4B">
        <w:rPr>
          <w:rFonts w:eastAsia="Book Antiqua" w:cs="Book Antiqua"/>
        </w:rPr>
        <w:t xml:space="preserve">tension subsidy elimination </w:t>
      </w:r>
      <w:r w:rsidRPr="004F01EA" w:rsidR="0041147B">
        <w:rPr>
          <w:rFonts w:eastAsia="Book Antiqua" w:cs="Book Antiqua"/>
        </w:rPr>
        <w:t>requirement must be f</w:t>
      </w:r>
      <w:r w:rsidRPr="004F01EA" w:rsidR="00911168">
        <w:rPr>
          <w:rFonts w:eastAsia="Book Antiqua" w:cs="Book Antiqua"/>
        </w:rPr>
        <w:t>ormally requested and approved by the Commission, such as in the pending PG&amp;E application (</w:t>
      </w:r>
      <w:r w:rsidRPr="0099715E" w:rsidR="0099715E">
        <w:rPr>
          <w:rFonts w:eastAsia="Book Antiqua" w:cs="Book Antiqua"/>
        </w:rPr>
        <w:t>A.24-07-002</w:t>
      </w:r>
      <w:r w:rsidRPr="004F01EA" w:rsidR="00911168">
        <w:rPr>
          <w:rFonts w:eastAsia="Book Antiqua" w:cs="Book Antiqua"/>
        </w:rPr>
        <w:t>).</w:t>
      </w:r>
      <w:r w:rsidR="00792267">
        <w:rPr>
          <w:rFonts w:eastAsia="Book Antiqua" w:cs="Book Antiqua"/>
        </w:rPr>
        <w:t xml:space="preserve"> </w:t>
      </w:r>
      <w:r w:rsidRPr="24BE54A0" w:rsidR="008C6D7A">
        <w:rPr>
          <w:rFonts w:eastAsia="Book Antiqua" w:cs="Book Antiqua"/>
        </w:rPr>
        <w:t xml:space="preserve">If </w:t>
      </w:r>
      <w:r w:rsidR="002831D5">
        <w:rPr>
          <w:rFonts w:eastAsia="Book Antiqua" w:cs="Book Antiqua"/>
        </w:rPr>
        <w:t xml:space="preserve">the Commission approves </w:t>
      </w:r>
      <w:r w:rsidRPr="24BE54A0" w:rsidR="00881D2E">
        <w:rPr>
          <w:rFonts w:eastAsia="Book Antiqua" w:cs="Book Antiqua"/>
        </w:rPr>
        <w:t xml:space="preserve">such </w:t>
      </w:r>
      <w:r w:rsidRPr="24BE54A0" w:rsidR="007F1961">
        <w:rPr>
          <w:rFonts w:eastAsia="Book Antiqua" w:cs="Book Antiqua"/>
        </w:rPr>
        <w:t>an application</w:t>
      </w:r>
      <w:r w:rsidRPr="24BE54A0" w:rsidR="00892620">
        <w:rPr>
          <w:rFonts w:eastAsia="Book Antiqua" w:cs="Book Antiqua"/>
        </w:rPr>
        <w:t xml:space="preserve"> for exemption</w:t>
      </w:r>
      <w:r w:rsidRPr="24BE54A0" w:rsidR="00CE4482">
        <w:rPr>
          <w:rFonts w:eastAsia="Book Antiqua" w:cs="Book Antiqua"/>
        </w:rPr>
        <w:t>,</w:t>
      </w:r>
      <w:r w:rsidRPr="24BE54A0" w:rsidR="00C0343C">
        <w:rPr>
          <w:rFonts w:eastAsia="Book Antiqua" w:cs="Book Antiqua"/>
        </w:rPr>
        <w:t xml:space="preserve"> the </w:t>
      </w:r>
      <w:r w:rsidRPr="24BE54A0" w:rsidR="7B1A94FF">
        <w:rPr>
          <w:rFonts w:eastAsia="Book Antiqua" w:cs="Book Antiqua"/>
        </w:rPr>
        <w:t xml:space="preserve">gas </w:t>
      </w:r>
      <w:r w:rsidR="00F71515">
        <w:rPr>
          <w:rFonts w:eastAsia="Book Antiqua" w:cs="Book Antiqua"/>
        </w:rPr>
        <w:t>utility</w:t>
      </w:r>
      <w:r w:rsidRPr="24BE54A0" w:rsidR="00C0343C">
        <w:rPr>
          <w:rFonts w:eastAsia="Book Antiqua" w:cs="Book Antiqua"/>
        </w:rPr>
        <w:t xml:space="preserve"> </w:t>
      </w:r>
      <w:r w:rsidRPr="24BE54A0" w:rsidR="60D3FB97">
        <w:rPr>
          <w:rFonts w:eastAsia="Book Antiqua" w:cs="Book Antiqua"/>
        </w:rPr>
        <w:t xml:space="preserve">that </w:t>
      </w:r>
      <w:r w:rsidR="00176016">
        <w:rPr>
          <w:rFonts w:eastAsia="Book Antiqua" w:cs="Book Antiqua"/>
        </w:rPr>
        <w:t>fil</w:t>
      </w:r>
      <w:r w:rsidRPr="24BE54A0" w:rsidR="1D84F1B4">
        <w:rPr>
          <w:rFonts w:eastAsia="Book Antiqua" w:cs="Book Antiqua"/>
        </w:rPr>
        <w:t>ed</w:t>
      </w:r>
      <w:r w:rsidRPr="24BE54A0" w:rsidR="00C0379E">
        <w:rPr>
          <w:rFonts w:eastAsia="Book Antiqua" w:cs="Book Antiqua"/>
        </w:rPr>
        <w:t xml:space="preserve"> th</w:t>
      </w:r>
      <w:r w:rsidRPr="24BE54A0" w:rsidR="001460B3">
        <w:rPr>
          <w:rFonts w:eastAsia="Book Antiqua" w:cs="Book Antiqua"/>
        </w:rPr>
        <w:t>e</w:t>
      </w:r>
      <w:r w:rsidRPr="24BE54A0" w:rsidR="00C0379E">
        <w:rPr>
          <w:rFonts w:eastAsia="Book Antiqua" w:cs="Book Antiqua"/>
        </w:rPr>
        <w:t xml:space="preserve"> application must </w:t>
      </w:r>
      <w:r w:rsidRPr="24BE54A0" w:rsidR="006B144B">
        <w:rPr>
          <w:rFonts w:eastAsia="Book Antiqua" w:cs="Book Antiqua"/>
        </w:rPr>
        <w:t xml:space="preserve">inform </w:t>
      </w:r>
      <w:r w:rsidRPr="24BE54A0" w:rsidR="009C0B0F">
        <w:rPr>
          <w:rFonts w:eastAsia="Book Antiqua" w:cs="Book Antiqua"/>
        </w:rPr>
        <w:t xml:space="preserve">other electric </w:t>
      </w:r>
      <w:r w:rsidRPr="24BE54A0" w:rsidR="00CA4EA4">
        <w:rPr>
          <w:rFonts w:eastAsia="Book Antiqua" w:cs="Book Antiqua"/>
        </w:rPr>
        <w:t>utilities</w:t>
      </w:r>
      <w:r w:rsidRPr="24BE54A0" w:rsidR="085B0DE0">
        <w:rPr>
          <w:rFonts w:eastAsia="Book Antiqua" w:cs="Book Antiqua"/>
        </w:rPr>
        <w:t xml:space="preserve"> – </w:t>
      </w:r>
      <w:r w:rsidRPr="00C3171B">
        <w:rPr>
          <w:rFonts w:eastAsia="Book Antiqua" w:cs="Book Antiqua"/>
        </w:rPr>
        <w:t xml:space="preserve">both </w:t>
      </w:r>
      <w:r w:rsidR="00F71515">
        <w:rPr>
          <w:rFonts w:eastAsia="Book Antiqua" w:cs="Book Antiqua"/>
        </w:rPr>
        <w:t>investor</w:t>
      </w:r>
      <w:r w:rsidR="00644EE7">
        <w:rPr>
          <w:rFonts w:eastAsia="Book Antiqua" w:cs="Book Antiqua"/>
        </w:rPr>
        <w:t xml:space="preserve"> </w:t>
      </w:r>
      <w:r w:rsidR="00F71515">
        <w:rPr>
          <w:rFonts w:eastAsia="Book Antiqua" w:cs="Book Antiqua"/>
        </w:rPr>
        <w:t>owned</w:t>
      </w:r>
      <w:r w:rsidRPr="00C3171B">
        <w:rPr>
          <w:rFonts w:eastAsia="Book Antiqua" w:cs="Book Antiqua"/>
        </w:rPr>
        <w:t xml:space="preserve"> and publicly</w:t>
      </w:r>
      <w:r w:rsidR="00644EE7">
        <w:rPr>
          <w:rFonts w:eastAsia="Book Antiqua" w:cs="Book Antiqua"/>
        </w:rPr>
        <w:t xml:space="preserve"> </w:t>
      </w:r>
      <w:r w:rsidRPr="00C3171B">
        <w:rPr>
          <w:rFonts w:eastAsia="Book Antiqua" w:cs="Book Antiqua"/>
        </w:rPr>
        <w:t>owned</w:t>
      </w:r>
      <w:r w:rsidR="00E41DE0">
        <w:rPr>
          <w:rFonts w:eastAsia="Book Antiqua" w:cs="Book Antiqua"/>
        </w:rPr>
        <w:t xml:space="preserve"> utilitie</w:t>
      </w:r>
      <w:r w:rsidRPr="24BE54A0" w:rsidR="085B0DE0">
        <w:rPr>
          <w:rFonts w:eastAsia="Book Antiqua" w:cs="Book Antiqua"/>
        </w:rPr>
        <w:t xml:space="preserve">s – active in their service territory as to </w:t>
      </w:r>
      <w:r w:rsidRPr="00C3171B">
        <w:rPr>
          <w:rFonts w:eastAsia="Book Antiqua" w:cs="Book Antiqua"/>
        </w:rPr>
        <w:t xml:space="preserve">the final disposition of </w:t>
      </w:r>
      <w:r w:rsidRPr="24BE54A0" w:rsidR="085B0DE0">
        <w:rPr>
          <w:rFonts w:eastAsia="Book Antiqua" w:cs="Book Antiqua"/>
        </w:rPr>
        <w:t>the application</w:t>
      </w:r>
      <w:r w:rsidRPr="00C3171B">
        <w:rPr>
          <w:rFonts w:eastAsia="Book Antiqua" w:cs="Book Antiqua"/>
        </w:rPr>
        <w:t xml:space="preserve"> and </w:t>
      </w:r>
      <w:r w:rsidRPr="24BE54A0" w:rsidR="085B0DE0">
        <w:rPr>
          <w:rFonts w:eastAsia="Book Antiqua" w:cs="Book Antiqua"/>
        </w:rPr>
        <w:t>which</w:t>
      </w:r>
      <w:r w:rsidRPr="00C3171B">
        <w:rPr>
          <w:rFonts w:eastAsia="Book Antiqua" w:cs="Book Antiqua"/>
        </w:rPr>
        <w:t xml:space="preserve"> customers </w:t>
      </w:r>
      <w:r w:rsidRPr="24BE54A0" w:rsidR="085B0DE0">
        <w:rPr>
          <w:rFonts w:eastAsia="Book Antiqua" w:cs="Book Antiqua"/>
        </w:rPr>
        <w:t xml:space="preserve">are </w:t>
      </w:r>
      <w:r w:rsidRPr="00C3171B">
        <w:rPr>
          <w:rFonts w:eastAsia="Book Antiqua" w:cs="Book Antiqua"/>
        </w:rPr>
        <w:t>affected</w:t>
      </w:r>
      <w:r w:rsidR="00AF6067">
        <w:rPr>
          <w:rFonts w:eastAsia="Book Antiqua" w:cs="Book Antiqua"/>
        </w:rPr>
        <w:t>.</w:t>
      </w:r>
    </w:p>
    <w:p w:rsidR="001019C9" w:rsidP="001019C9" w:rsidRDefault="009C6899" w14:paraId="4976ADA5" w14:textId="325389EF">
      <w:pPr>
        <w:pStyle w:val="Standard"/>
        <w:rPr>
          <w:rFonts w:eastAsia="Book Antiqua" w:cs="Book Antiqua"/>
        </w:rPr>
      </w:pPr>
      <w:r>
        <w:rPr>
          <w:rFonts w:eastAsia="Book Antiqua" w:cs="Book Antiqua"/>
        </w:rPr>
        <w:t xml:space="preserve">We </w:t>
      </w:r>
      <w:r w:rsidR="001019C9">
        <w:rPr>
          <w:rFonts w:eastAsia="Book Antiqua" w:cs="Book Antiqua"/>
        </w:rPr>
        <w:t>grant</w:t>
      </w:r>
      <w:r>
        <w:rPr>
          <w:rFonts w:eastAsia="Book Antiqua" w:cs="Book Antiqua"/>
        </w:rPr>
        <w:t xml:space="preserve"> </w:t>
      </w:r>
      <w:r w:rsidR="001019C9">
        <w:rPr>
          <w:rFonts w:eastAsia="Book Antiqua" w:cs="Book Antiqua"/>
        </w:rPr>
        <w:t xml:space="preserve">Sempra Utilities’ request to extend the deadline for applicants to finalize contracts for mixed-fuel new construction projects that can still receive </w:t>
      </w:r>
      <w:r w:rsidR="001019C9">
        <w:rPr>
          <w:rFonts w:eastAsia="Book Antiqua" w:cs="Book Antiqua"/>
        </w:rPr>
        <w:lastRenderedPageBreak/>
        <w:t xml:space="preserve">electric line extension subsidies. Although developers were given more than six months from the date of issuance of D.23-12-037 to finalize their plans, we acknowledge the final plans for some development may have been completed where contracts had not been finalized and there may not have been sufficient information on the end of the subsidies provided after commitments had been made and prior to finalization of contracts. </w:t>
      </w:r>
    </w:p>
    <w:p w:rsidRPr="003E74F2" w:rsidR="009C6899" w:rsidP="001019C9" w:rsidRDefault="00E61681" w14:paraId="3FAEC634" w14:textId="49DF62DA">
      <w:pPr>
        <w:pStyle w:val="Standard"/>
        <w:rPr>
          <w:rFonts w:eastAsia="Book Antiqua" w:cs="Book Antiqua"/>
        </w:rPr>
      </w:pPr>
      <w:r w:rsidRPr="009E515D">
        <w:t xml:space="preserve">Regarding Sempra Utilities’ concern </w:t>
      </w:r>
      <w:r w:rsidRPr="009E515D" w:rsidR="00D8576D">
        <w:t>about</w:t>
      </w:r>
      <w:r w:rsidRPr="009E515D">
        <w:t xml:space="preserve"> actual cost billing, the</w:t>
      </w:r>
      <w:r>
        <w:rPr>
          <w:rFonts w:eastAsia="Book Antiqua" w:cs="Book Antiqua"/>
        </w:rPr>
        <w:t xml:space="preserve"> energization </w:t>
      </w:r>
      <w:r w:rsidR="00C52F71">
        <w:rPr>
          <w:rFonts w:eastAsia="Book Antiqua" w:cs="Book Antiqua"/>
        </w:rPr>
        <w:t>date extension</w:t>
      </w:r>
      <w:r w:rsidR="003E74F2">
        <w:rPr>
          <w:rFonts w:eastAsia="Book Antiqua" w:cs="Book Antiqua"/>
        </w:rPr>
        <w:t xml:space="preserve"> granted </w:t>
      </w:r>
      <w:r w:rsidR="009655E2">
        <w:rPr>
          <w:rFonts w:eastAsia="Book Antiqua" w:cs="Book Antiqua"/>
        </w:rPr>
        <w:t>under</w:t>
      </w:r>
      <w:r w:rsidRPr="009655E2" w:rsidR="003E74F2">
        <w:rPr>
          <w:rFonts w:eastAsia="Book Antiqua" w:cs="Book Antiqua"/>
        </w:rPr>
        <w:t xml:space="preserve"> </w:t>
      </w:r>
      <w:r w:rsidRPr="009655E2" w:rsidR="003E74F2">
        <w:t>Section 6.1.</w:t>
      </w:r>
      <w:r w:rsidR="00C16E8B">
        <w:t>2</w:t>
      </w:r>
      <w:r w:rsidRPr="009655E2" w:rsidR="003E74F2">
        <w:rPr>
          <w:rFonts w:eastAsia="Book Antiqua" w:cs="Book Antiqua"/>
        </w:rPr>
        <w:t xml:space="preserve"> </w:t>
      </w:r>
      <w:r w:rsidR="003E74F2">
        <w:rPr>
          <w:rFonts w:eastAsia="Book Antiqua" w:cs="Book Antiqua"/>
        </w:rPr>
        <w:t xml:space="preserve">resolves </w:t>
      </w:r>
      <w:r w:rsidR="00F27CCD">
        <w:rPr>
          <w:rFonts w:eastAsia="Book Antiqua" w:cs="Book Antiqua"/>
        </w:rPr>
        <w:t xml:space="preserve">and moots </w:t>
      </w:r>
      <w:r w:rsidR="003E74F2">
        <w:rPr>
          <w:rFonts w:eastAsia="Book Antiqua" w:cs="Book Antiqua"/>
        </w:rPr>
        <w:t>these concerns</w:t>
      </w:r>
      <w:r w:rsidR="001019C9">
        <w:rPr>
          <w:rFonts w:eastAsia="Book Antiqua" w:cs="Book Antiqua"/>
        </w:rPr>
        <w:t xml:space="preserve">, as </w:t>
      </w:r>
      <w:r w:rsidR="007D6065">
        <w:rPr>
          <w:rFonts w:eastAsia="Book Antiqua" w:cs="Book Antiqua"/>
        </w:rPr>
        <w:t xml:space="preserve">this decision </w:t>
      </w:r>
      <w:r w:rsidR="001019C9">
        <w:rPr>
          <w:rFonts w:eastAsia="Book Antiqua" w:cs="Book Antiqua"/>
        </w:rPr>
        <w:t>extend</w:t>
      </w:r>
      <w:r w:rsidR="007D6065">
        <w:rPr>
          <w:rFonts w:eastAsia="Book Antiqua" w:cs="Book Antiqua"/>
        </w:rPr>
        <w:t>s</w:t>
      </w:r>
      <w:r w:rsidR="001019C9">
        <w:rPr>
          <w:rFonts w:eastAsia="Book Antiqua" w:cs="Book Antiqua"/>
        </w:rPr>
        <w:t xml:space="preserve"> the deadline for both energization and finalization of contracts to June 30, 2027</w:t>
      </w:r>
      <w:r w:rsidR="003E74F2">
        <w:rPr>
          <w:rFonts w:eastAsia="Book Antiqua" w:cs="Book Antiqua"/>
        </w:rPr>
        <w:t>.</w:t>
      </w:r>
    </w:p>
    <w:p w:rsidR="00B24DDA" w:rsidP="00BC3708" w:rsidRDefault="006F5EEE" w14:paraId="59D58664" w14:textId="63EA0183">
      <w:pPr>
        <w:pStyle w:val="Standard"/>
        <w:rPr>
          <w:rFonts w:eastAsia="Book Antiqua" w:cs="Book Antiqua"/>
        </w:rPr>
      </w:pPr>
      <w:r w:rsidRPr="003E74F2">
        <w:rPr>
          <w:rFonts w:eastAsia="Book Antiqua" w:cs="Book Antiqua"/>
        </w:rPr>
        <w:t>Regarding SCE and Sempra Utilities</w:t>
      </w:r>
      <w:r w:rsidR="002831D5">
        <w:rPr>
          <w:rFonts w:eastAsia="Book Antiqua" w:cs="Book Antiqua"/>
        </w:rPr>
        <w:t>’ request</w:t>
      </w:r>
      <w:r w:rsidRPr="003E74F2">
        <w:rPr>
          <w:rFonts w:eastAsia="Book Antiqua" w:cs="Book Antiqua"/>
        </w:rPr>
        <w:t xml:space="preserve"> to clarify various implementation questions relating to D.23-12-037, </w:t>
      </w:r>
      <w:r w:rsidRPr="003E74F2" w:rsidR="00E60F20">
        <w:rPr>
          <w:rFonts w:eastAsia="Book Antiqua" w:cs="Book Antiqua"/>
        </w:rPr>
        <w:t xml:space="preserve">the </w:t>
      </w:r>
      <w:r w:rsidR="0049794A">
        <w:rPr>
          <w:rFonts w:eastAsia="Book Antiqua" w:cs="Book Antiqua"/>
        </w:rPr>
        <w:t xml:space="preserve">request </w:t>
      </w:r>
      <w:r w:rsidR="00C16E8B">
        <w:rPr>
          <w:rFonts w:eastAsia="Book Antiqua" w:cs="Book Antiqua"/>
        </w:rPr>
        <w:t>is</w:t>
      </w:r>
      <w:r w:rsidR="0049794A">
        <w:rPr>
          <w:rFonts w:eastAsia="Book Antiqua" w:cs="Book Antiqua"/>
        </w:rPr>
        <w:t xml:space="preserve"> now moot, as </w:t>
      </w:r>
      <w:r w:rsidRPr="00684A80" w:rsidR="00684A80">
        <w:rPr>
          <w:rFonts w:eastAsia="Book Antiqua" w:cs="Book Antiqua"/>
        </w:rPr>
        <w:t xml:space="preserve">Resolution E-5352 </w:t>
      </w:r>
      <w:r w:rsidR="006C7C1B">
        <w:rPr>
          <w:rFonts w:eastAsia="Book Antiqua" w:cs="Book Antiqua"/>
        </w:rPr>
        <w:t>dated</w:t>
      </w:r>
      <w:r w:rsidRPr="00684A80" w:rsidR="00684A80">
        <w:rPr>
          <w:rFonts w:eastAsia="Book Antiqua" w:cs="Book Antiqua"/>
        </w:rPr>
        <w:t xml:space="preserve"> December 19, 2024</w:t>
      </w:r>
      <w:r w:rsidR="006C7C1B">
        <w:rPr>
          <w:rFonts w:eastAsia="Book Antiqua" w:cs="Book Antiqua"/>
        </w:rPr>
        <w:t xml:space="preserve">, addressed and disposed of </w:t>
      </w:r>
      <w:r w:rsidRPr="003E74F2" w:rsidR="00E60F20">
        <w:rPr>
          <w:rFonts w:eastAsia="Book Antiqua" w:cs="Book Antiqua"/>
        </w:rPr>
        <w:t xml:space="preserve">the aforementioned </w:t>
      </w:r>
      <w:r w:rsidR="0001543C">
        <w:rPr>
          <w:rFonts w:eastAsia="Book Antiqua" w:cs="Book Antiqua"/>
        </w:rPr>
        <w:t>Advice Letter</w:t>
      </w:r>
      <w:r w:rsidRPr="003E74F2" w:rsidR="00E60F20">
        <w:rPr>
          <w:rFonts w:eastAsia="Book Antiqua" w:cs="Book Antiqua"/>
        </w:rPr>
        <w:t>s address</w:t>
      </w:r>
      <w:r w:rsidR="002831D5">
        <w:rPr>
          <w:rFonts w:eastAsia="Book Antiqua" w:cs="Book Antiqua"/>
        </w:rPr>
        <w:t>ing</w:t>
      </w:r>
      <w:r w:rsidRPr="003E74F2" w:rsidR="00E60F20">
        <w:rPr>
          <w:rFonts w:eastAsia="Book Antiqua" w:cs="Book Antiqua"/>
        </w:rPr>
        <w:t xml:space="preserve"> the</w:t>
      </w:r>
      <w:r w:rsidR="007A2679">
        <w:rPr>
          <w:rFonts w:eastAsia="Book Antiqua" w:cs="Book Antiqua"/>
        </w:rPr>
        <w:t>se</w:t>
      </w:r>
      <w:r w:rsidRPr="003E74F2" w:rsidR="00E60F20">
        <w:rPr>
          <w:rFonts w:eastAsia="Book Antiqua" w:cs="Book Antiqua"/>
        </w:rPr>
        <w:t xml:space="preserve"> concerns</w:t>
      </w:r>
      <w:r w:rsidRPr="003E74F2" w:rsidR="00BC3708">
        <w:rPr>
          <w:rFonts w:eastAsia="Book Antiqua" w:cs="Book Antiqua"/>
        </w:rPr>
        <w:t>.</w:t>
      </w:r>
      <w:r w:rsidRPr="003E74F2" w:rsidR="00E60F20">
        <w:rPr>
          <w:rFonts w:eastAsia="Book Antiqua" w:cs="Book Antiqua"/>
        </w:rPr>
        <w:t xml:space="preserve"> </w:t>
      </w:r>
      <w:r w:rsidR="0049794A">
        <w:rPr>
          <w:rFonts w:eastAsia="Book Antiqua" w:cs="Book Antiqua"/>
        </w:rPr>
        <w:t>T</w:t>
      </w:r>
      <w:r w:rsidRPr="003E74F2" w:rsidR="00B13697">
        <w:rPr>
          <w:rFonts w:eastAsia="Book Antiqua" w:cs="Book Antiqua"/>
        </w:rPr>
        <w:t>he large electric utilities shall refer to that resolution</w:t>
      </w:r>
      <w:r w:rsidRPr="003E74F2" w:rsidR="007C4198">
        <w:rPr>
          <w:rFonts w:eastAsia="Book Antiqua" w:cs="Book Antiqua"/>
        </w:rPr>
        <w:t>.</w:t>
      </w:r>
    </w:p>
    <w:p w:rsidR="008D4346" w:rsidP="004104A6" w:rsidRDefault="6695B551" w14:paraId="21082C4D" w14:textId="77777777">
      <w:pPr>
        <w:pStyle w:val="Standard"/>
        <w:rPr>
          <w:rFonts w:eastAsia="Book Antiqua" w:cs="Book Antiqua"/>
        </w:rPr>
      </w:pPr>
      <w:r w:rsidRPr="5107A9CF">
        <w:rPr>
          <w:rFonts w:eastAsia="Book Antiqua" w:cs="Book Antiqua"/>
        </w:rPr>
        <w:t>We decline to modify the definition of “mixed-fue</w:t>
      </w:r>
      <w:r w:rsidRPr="5107A9CF" w:rsidR="457FF0C8">
        <w:rPr>
          <w:rFonts w:eastAsia="Book Antiqua" w:cs="Book Antiqua"/>
        </w:rPr>
        <w:t>l”</w:t>
      </w:r>
      <w:r w:rsidRPr="5107A9CF">
        <w:rPr>
          <w:rFonts w:eastAsia="Book Antiqua" w:cs="Book Antiqua"/>
        </w:rPr>
        <w:t xml:space="preserve"> new construction </w:t>
      </w:r>
      <w:r w:rsidRPr="5107A9CF" w:rsidR="0F5293D9">
        <w:rPr>
          <w:rFonts w:eastAsia="Book Antiqua" w:cs="Book Antiqua"/>
        </w:rPr>
        <w:t>adopted</w:t>
      </w:r>
      <w:r w:rsidRPr="5107A9CF">
        <w:rPr>
          <w:rFonts w:eastAsia="Book Antiqua" w:cs="Book Antiqua"/>
        </w:rPr>
        <w:t xml:space="preserve"> </w:t>
      </w:r>
      <w:r w:rsidR="007A393D">
        <w:rPr>
          <w:rFonts w:eastAsia="Book Antiqua" w:cs="Book Antiqua"/>
        </w:rPr>
        <w:t>in</w:t>
      </w:r>
      <w:r w:rsidRPr="5107A9CF" w:rsidR="007A393D">
        <w:rPr>
          <w:rFonts w:eastAsia="Book Antiqua" w:cs="Book Antiqua"/>
        </w:rPr>
        <w:t xml:space="preserve"> </w:t>
      </w:r>
      <w:r w:rsidRPr="5107A9CF">
        <w:rPr>
          <w:rFonts w:eastAsia="Book Antiqua" w:cs="Book Antiqua"/>
        </w:rPr>
        <w:t>D.23-12-037</w:t>
      </w:r>
      <w:r w:rsidR="004104A6">
        <w:rPr>
          <w:rFonts w:eastAsia="Book Antiqua" w:cs="Book Antiqua"/>
        </w:rPr>
        <w:t xml:space="preserve">, where we defined </w:t>
      </w:r>
      <w:r w:rsidRPr="5107A9CF" w:rsidR="004104A6">
        <w:rPr>
          <w:rFonts w:eastAsia="Book Antiqua" w:cs="Book Antiqua"/>
        </w:rPr>
        <w:t>“mixed-fuel” new construction</w:t>
      </w:r>
      <w:r w:rsidRPr="5107A9CF" w:rsidR="488CDAD4">
        <w:rPr>
          <w:rFonts w:eastAsia="Book Antiqua" w:cs="Book Antiqua"/>
        </w:rPr>
        <w:t xml:space="preserve"> </w:t>
      </w:r>
      <w:r w:rsidRPr="5107A9CF" w:rsidR="6D72C632">
        <w:rPr>
          <w:rFonts w:eastAsia="Book Antiqua" w:cs="Book Antiqua"/>
        </w:rPr>
        <w:t>to mean</w:t>
      </w:r>
      <w:r w:rsidRPr="5107A9CF" w:rsidR="7DF24093">
        <w:rPr>
          <w:rFonts w:eastAsia="Book Antiqua" w:cs="Book Antiqua"/>
        </w:rPr>
        <w:t xml:space="preserve"> “building projects that use</w:t>
      </w:r>
      <w:r w:rsidRPr="5107A9CF">
        <w:rPr>
          <w:rFonts w:eastAsia="Book Antiqua" w:cs="Book Antiqua"/>
        </w:rPr>
        <w:t xml:space="preserve"> gas and/or propane </w:t>
      </w:r>
      <w:r w:rsidRPr="5107A9CF" w:rsidR="7DF24093">
        <w:rPr>
          <w:rFonts w:eastAsia="Book Antiqua" w:cs="Book Antiqua"/>
        </w:rPr>
        <w:t>in addition to</w:t>
      </w:r>
      <w:r w:rsidRPr="5107A9CF">
        <w:rPr>
          <w:rFonts w:eastAsia="Book Antiqua" w:cs="Book Antiqua"/>
        </w:rPr>
        <w:t xml:space="preserve"> electricity</w:t>
      </w:r>
      <w:r w:rsidRPr="5107A9CF" w:rsidR="54787715">
        <w:rPr>
          <w:rFonts w:eastAsia="Book Antiqua" w:cs="Book Antiqua"/>
        </w:rPr>
        <w:t>.</w:t>
      </w:r>
      <w:r w:rsidRPr="5107A9CF" w:rsidR="7DF24093">
        <w:rPr>
          <w:rFonts w:eastAsia="Book Antiqua" w:cs="Book Antiqua"/>
        </w:rPr>
        <w:t>”</w:t>
      </w:r>
      <w:r w:rsidRPr="5107A9CF" w:rsidR="54787715">
        <w:rPr>
          <w:rFonts w:eastAsia="Book Antiqua" w:cs="Book Antiqua"/>
        </w:rPr>
        <w:t xml:space="preserve"> </w:t>
      </w:r>
      <w:r w:rsidRPr="5107A9CF" w:rsidR="739A571F">
        <w:rPr>
          <w:rFonts w:eastAsia="Book Antiqua" w:cs="Book Antiqua"/>
        </w:rPr>
        <w:t xml:space="preserve">We reiterate the clarification </w:t>
      </w:r>
      <w:r w:rsidRPr="5107A9CF" w:rsidR="21023B02">
        <w:rPr>
          <w:rFonts w:eastAsia="Book Antiqua" w:cs="Book Antiqua"/>
        </w:rPr>
        <w:t xml:space="preserve">provided </w:t>
      </w:r>
      <w:r w:rsidRPr="5107A9CF" w:rsidR="739A571F">
        <w:rPr>
          <w:rFonts w:eastAsia="Book Antiqua" w:cs="Book Antiqua"/>
        </w:rPr>
        <w:t>in</w:t>
      </w:r>
      <w:r w:rsidRPr="5107A9CF">
        <w:rPr>
          <w:rFonts w:eastAsia="Book Antiqua" w:cs="Book Antiqua"/>
        </w:rPr>
        <w:t xml:space="preserve"> Resolution E-5352</w:t>
      </w:r>
      <w:r w:rsidR="00937DF0">
        <w:rPr>
          <w:rFonts w:eastAsia="Book Antiqua" w:cs="Book Antiqua"/>
        </w:rPr>
        <w:t>:</w:t>
      </w:r>
      <w:r w:rsidRPr="5107A9CF" w:rsidR="21023B02">
        <w:rPr>
          <w:rFonts w:eastAsia="Book Antiqua" w:cs="Book Antiqua"/>
        </w:rPr>
        <w:t xml:space="preserve"> </w:t>
      </w:r>
      <w:r w:rsidRPr="5107A9CF" w:rsidR="48B15DA7">
        <w:rPr>
          <w:rFonts w:eastAsia="Book Antiqua" w:cs="Book Antiqua"/>
        </w:rPr>
        <w:t>“</w:t>
      </w:r>
      <w:r w:rsidRPr="5107A9CF" w:rsidR="54F7B1ED">
        <w:rPr>
          <w:rFonts w:eastAsia="Book Antiqua" w:cs="Book Antiqua"/>
        </w:rPr>
        <w:t>a</w:t>
      </w:r>
      <w:r w:rsidRPr="5107A9CF">
        <w:rPr>
          <w:rFonts w:eastAsia="Book Antiqua" w:cs="Book Antiqua"/>
        </w:rPr>
        <w:t xml:space="preserve"> new construction </w:t>
      </w:r>
      <w:r w:rsidRPr="5107A9CF" w:rsidR="54F7B1ED">
        <w:rPr>
          <w:rFonts w:eastAsia="Book Antiqua" w:cs="Book Antiqua"/>
        </w:rPr>
        <w:t xml:space="preserve">project </w:t>
      </w:r>
      <w:r w:rsidRPr="5107A9CF">
        <w:rPr>
          <w:rFonts w:eastAsia="Book Antiqua" w:cs="Book Antiqua"/>
        </w:rPr>
        <w:t xml:space="preserve">that uses propane </w:t>
      </w:r>
      <w:r w:rsidRPr="5107A9CF" w:rsidR="54F7B1ED">
        <w:rPr>
          <w:rFonts w:eastAsia="Book Antiqua" w:cs="Book Antiqua"/>
        </w:rPr>
        <w:t>to power any</w:t>
      </w:r>
      <w:r w:rsidRPr="5107A9CF">
        <w:rPr>
          <w:rFonts w:eastAsia="Book Antiqua" w:cs="Book Antiqua"/>
        </w:rPr>
        <w:t xml:space="preserve"> appliance other than an outside grill is </w:t>
      </w:r>
      <w:r w:rsidRPr="5107A9CF" w:rsidR="532109A7">
        <w:rPr>
          <w:rFonts w:eastAsia="Book Antiqua" w:cs="Book Antiqua"/>
        </w:rPr>
        <w:t>considered to be</w:t>
      </w:r>
      <w:r w:rsidRPr="5107A9CF">
        <w:rPr>
          <w:rFonts w:eastAsia="Book Antiqua" w:cs="Book Antiqua"/>
        </w:rPr>
        <w:t xml:space="preserve"> mixed-fuel</w:t>
      </w:r>
      <w:r w:rsidRPr="5107A9CF" w:rsidDel="00A746B0">
        <w:rPr>
          <w:rFonts w:eastAsia="Book Antiqua" w:cs="Book Antiqua"/>
        </w:rPr>
        <w:t xml:space="preserve"> and </w:t>
      </w:r>
      <w:r w:rsidRPr="5107A9CF" w:rsidDel="00A746B0" w:rsidR="532109A7">
        <w:rPr>
          <w:rFonts w:eastAsia="Book Antiqua" w:cs="Book Antiqua"/>
        </w:rPr>
        <w:t>is not eligible</w:t>
      </w:r>
      <w:r w:rsidRPr="5107A9CF" w:rsidDel="00A746B0">
        <w:rPr>
          <w:rFonts w:eastAsia="Book Antiqua" w:cs="Book Antiqua"/>
        </w:rPr>
        <w:t xml:space="preserve"> for electric line extension subsidies after July 1, 2024</w:t>
      </w:r>
      <w:r w:rsidRPr="5107A9CF" w:rsidR="532109A7">
        <w:rPr>
          <w:rFonts w:eastAsia="Book Antiqua" w:cs="Book Antiqua"/>
        </w:rPr>
        <w:t>.</w:t>
      </w:r>
      <w:r w:rsidRPr="5107A9CF" w:rsidR="48B15DA7">
        <w:rPr>
          <w:rFonts w:eastAsia="Book Antiqua" w:cs="Book Antiqua"/>
        </w:rPr>
        <w:t>”</w:t>
      </w:r>
      <w:r w:rsidRPr="5107A9CF" w:rsidR="532109A7">
        <w:rPr>
          <w:rFonts w:eastAsia="Book Antiqua" w:cs="Book Antiqua"/>
        </w:rPr>
        <w:t xml:space="preserve"> </w:t>
      </w:r>
      <w:r w:rsidRPr="5107A9CF" w:rsidR="17B35944">
        <w:rPr>
          <w:rFonts w:eastAsia="Book Antiqua" w:cs="Book Antiqua"/>
        </w:rPr>
        <w:t>“Mixed</w:t>
      </w:r>
      <w:r w:rsidRPr="5107A9CF">
        <w:rPr>
          <w:rFonts w:eastAsia="Book Antiqua" w:cs="Book Antiqua"/>
        </w:rPr>
        <w:t xml:space="preserve">-fuel” new construction does not include </w:t>
      </w:r>
      <w:r w:rsidR="00E2089E">
        <w:rPr>
          <w:rFonts w:eastAsia="Book Antiqua" w:cs="Book Antiqua"/>
        </w:rPr>
        <w:t xml:space="preserve">otherwise </w:t>
      </w:r>
      <w:r w:rsidRPr="5107A9CF">
        <w:rPr>
          <w:rFonts w:eastAsia="Book Antiqua" w:cs="Book Antiqua"/>
        </w:rPr>
        <w:t xml:space="preserve">all-electric </w:t>
      </w:r>
      <w:r w:rsidRPr="5107A9CF" w:rsidR="2B685BA8">
        <w:rPr>
          <w:rFonts w:eastAsia="Book Antiqua" w:cs="Book Antiqua"/>
        </w:rPr>
        <w:t xml:space="preserve">building projects that </w:t>
      </w:r>
      <w:r w:rsidRPr="5107A9CF" w:rsidR="07C84F80">
        <w:rPr>
          <w:rFonts w:eastAsia="Book Antiqua" w:cs="Book Antiqua"/>
        </w:rPr>
        <w:t>use</w:t>
      </w:r>
      <w:r w:rsidRPr="5107A9CF">
        <w:rPr>
          <w:rFonts w:eastAsia="Book Antiqua" w:cs="Book Antiqua"/>
        </w:rPr>
        <w:t xml:space="preserve"> </w:t>
      </w:r>
      <w:r w:rsidR="00566594">
        <w:rPr>
          <w:rFonts w:eastAsia="Book Antiqua" w:cs="Book Antiqua"/>
        </w:rPr>
        <w:t xml:space="preserve">a fuel other than </w:t>
      </w:r>
      <w:r w:rsidRPr="5107A9CF" w:rsidR="4E3E21B6">
        <w:rPr>
          <w:rFonts w:eastAsia="Book Antiqua" w:cs="Book Antiqua"/>
        </w:rPr>
        <w:t xml:space="preserve">gas or propane </w:t>
      </w:r>
      <w:r w:rsidRPr="5107A9CF">
        <w:rPr>
          <w:rFonts w:eastAsia="Book Antiqua" w:cs="Book Antiqua"/>
        </w:rPr>
        <w:t>solely for backup electricity generation.</w:t>
      </w:r>
      <w:r w:rsidR="006F24E2">
        <w:rPr>
          <w:rFonts w:eastAsia="Book Antiqua" w:cs="Book Antiqua"/>
        </w:rPr>
        <w:t xml:space="preserve"> </w:t>
      </w:r>
    </w:p>
    <w:p w:rsidR="00BC3708" w:rsidP="004104A6" w:rsidRDefault="00241ED5" w14:paraId="43A59720" w14:textId="131B7FF2">
      <w:pPr>
        <w:pStyle w:val="Standard"/>
        <w:rPr>
          <w:rFonts w:eastAsia="Book Antiqua" w:cs="Book Antiqua"/>
        </w:rPr>
      </w:pPr>
      <w:r>
        <w:rPr>
          <w:rFonts w:eastAsia="Book Antiqua" w:cs="Book Antiqua"/>
        </w:rPr>
        <w:t>When determining whether new construction projects are “mixed-fuel</w:t>
      </w:r>
      <w:r w:rsidR="0056748F">
        <w:rPr>
          <w:rFonts w:eastAsia="Book Antiqua" w:cs="Book Antiqua"/>
        </w:rPr>
        <w:t>,</w:t>
      </w:r>
      <w:r>
        <w:rPr>
          <w:rFonts w:eastAsia="Book Antiqua" w:cs="Book Antiqua"/>
        </w:rPr>
        <w:t>” the electric utility is to consider each building within a project</w:t>
      </w:r>
      <w:r w:rsidR="00997B64">
        <w:rPr>
          <w:rFonts w:eastAsia="Book Antiqua" w:cs="Book Antiqua"/>
        </w:rPr>
        <w:t>. F</w:t>
      </w:r>
      <w:r>
        <w:rPr>
          <w:rFonts w:eastAsia="Book Antiqua" w:cs="Book Antiqua"/>
        </w:rPr>
        <w:t>or example</w:t>
      </w:r>
      <w:r w:rsidR="00997B64">
        <w:rPr>
          <w:rFonts w:eastAsia="Book Antiqua" w:cs="Book Antiqua"/>
        </w:rPr>
        <w:t>,</w:t>
      </w:r>
      <w:r>
        <w:rPr>
          <w:rFonts w:eastAsia="Book Antiqua" w:cs="Book Antiqua"/>
        </w:rPr>
        <w:t xml:space="preserve"> if a </w:t>
      </w:r>
      <w:r>
        <w:rPr>
          <w:rFonts w:eastAsia="Book Antiqua" w:cs="Book Antiqua"/>
        </w:rPr>
        <w:lastRenderedPageBreak/>
        <w:t>housing development includes all electric homes with a single structure such as a community center that is “mixed fuel</w:t>
      </w:r>
      <w:r w:rsidR="00997B64">
        <w:rPr>
          <w:rFonts w:eastAsia="Book Antiqua" w:cs="Book Antiqua"/>
        </w:rPr>
        <w:t>,</w:t>
      </w:r>
      <w:r>
        <w:rPr>
          <w:rFonts w:eastAsia="Book Antiqua" w:cs="Book Antiqua"/>
        </w:rPr>
        <w:t xml:space="preserve">” the </w:t>
      </w:r>
      <w:r w:rsidR="00C77455">
        <w:rPr>
          <w:rFonts w:eastAsia="Book Antiqua" w:cs="Book Antiqua"/>
        </w:rPr>
        <w:t xml:space="preserve">electric line extension </w:t>
      </w:r>
      <w:r>
        <w:rPr>
          <w:rFonts w:eastAsia="Book Antiqua" w:cs="Book Antiqua"/>
        </w:rPr>
        <w:t>subsid</w:t>
      </w:r>
      <w:r w:rsidR="00C77455">
        <w:rPr>
          <w:rFonts w:eastAsia="Book Antiqua" w:cs="Book Antiqua"/>
        </w:rPr>
        <w:t>ies</w:t>
      </w:r>
      <w:r>
        <w:rPr>
          <w:rFonts w:eastAsia="Book Antiqua" w:cs="Book Antiqua"/>
        </w:rPr>
        <w:t xml:space="preserve"> will not apply to the community center, but th</w:t>
      </w:r>
      <w:r w:rsidR="00C77455">
        <w:rPr>
          <w:rFonts w:eastAsia="Book Antiqua" w:cs="Book Antiqua"/>
        </w:rPr>
        <w:t>os</w:t>
      </w:r>
      <w:r>
        <w:rPr>
          <w:rFonts w:eastAsia="Book Antiqua" w:cs="Book Antiqua"/>
        </w:rPr>
        <w:t>e subsid</w:t>
      </w:r>
      <w:r w:rsidR="00C77455">
        <w:rPr>
          <w:rFonts w:eastAsia="Book Antiqua" w:cs="Book Antiqua"/>
        </w:rPr>
        <w:t>ies</w:t>
      </w:r>
      <w:r>
        <w:rPr>
          <w:rFonts w:eastAsia="Book Antiqua" w:cs="Book Antiqua"/>
        </w:rPr>
        <w:t xml:space="preserve"> will apply to the homes.</w:t>
      </w:r>
    </w:p>
    <w:p w:rsidR="001D222D" w:rsidP="009D1BAB" w:rsidRDefault="003862D6" w14:paraId="616EC121" w14:textId="50010164">
      <w:pPr>
        <w:pStyle w:val="Standard"/>
        <w:rPr>
          <w:rFonts w:eastAsia="Book Antiqua" w:cs="Book Antiqua"/>
        </w:rPr>
      </w:pPr>
      <w:r>
        <w:rPr>
          <w:rFonts w:eastAsia="Book Antiqua" w:cs="Book Antiqua"/>
        </w:rPr>
        <w:t xml:space="preserve">We </w:t>
      </w:r>
      <w:r w:rsidR="00D8576D">
        <w:rPr>
          <w:rFonts w:eastAsia="Book Antiqua" w:cs="Book Antiqua"/>
        </w:rPr>
        <w:t>are unpersuaded by</w:t>
      </w:r>
      <w:r w:rsidR="003B6E09">
        <w:rPr>
          <w:rFonts w:eastAsia="Book Antiqua" w:cs="Book Antiqua"/>
        </w:rPr>
        <w:t xml:space="preserve"> Sempra Utilities</w:t>
      </w:r>
      <w:r w:rsidR="00D8576D">
        <w:rPr>
          <w:rFonts w:eastAsia="Book Antiqua" w:cs="Book Antiqua"/>
        </w:rPr>
        <w:t>’ argument</w:t>
      </w:r>
      <w:r w:rsidR="003B6E09">
        <w:rPr>
          <w:rFonts w:eastAsia="Book Antiqua" w:cs="Book Antiqua"/>
        </w:rPr>
        <w:t xml:space="preserve"> that </w:t>
      </w:r>
      <w:r w:rsidR="0003736C">
        <w:rPr>
          <w:rFonts w:eastAsia="Book Antiqua" w:cs="Book Antiqua"/>
        </w:rPr>
        <w:t>eliminat</w:t>
      </w:r>
      <w:r w:rsidR="00E51782">
        <w:rPr>
          <w:rFonts w:eastAsia="Book Antiqua" w:cs="Book Antiqua"/>
        </w:rPr>
        <w:t>ing</w:t>
      </w:r>
      <w:r w:rsidR="0003736C">
        <w:rPr>
          <w:rFonts w:eastAsia="Book Antiqua" w:cs="Book Antiqua"/>
        </w:rPr>
        <w:t xml:space="preserve"> electric line extension subsidies should not be </w:t>
      </w:r>
      <w:r w:rsidR="00C0225B">
        <w:rPr>
          <w:rFonts w:eastAsia="Book Antiqua" w:cs="Book Antiqua"/>
        </w:rPr>
        <w:t xml:space="preserve">done selectively. </w:t>
      </w:r>
      <w:r w:rsidR="00D8576D">
        <w:rPr>
          <w:rFonts w:eastAsia="Book Antiqua" w:cs="Book Antiqua"/>
        </w:rPr>
        <w:t>We</w:t>
      </w:r>
      <w:r w:rsidR="00C0225B">
        <w:rPr>
          <w:rFonts w:eastAsia="Book Antiqua" w:cs="Book Antiqua"/>
        </w:rPr>
        <w:t xml:space="preserve"> </w:t>
      </w:r>
      <w:r w:rsidR="00D8576D">
        <w:rPr>
          <w:rFonts w:eastAsia="Book Antiqua" w:cs="Book Antiqua"/>
        </w:rPr>
        <w:t>are persuaded, however, by</w:t>
      </w:r>
      <w:r w:rsidR="00C0225B">
        <w:rPr>
          <w:rFonts w:eastAsia="Book Antiqua" w:cs="Book Antiqua"/>
        </w:rPr>
        <w:t xml:space="preserve"> the</w:t>
      </w:r>
      <w:r w:rsidR="00E51782">
        <w:rPr>
          <w:rFonts w:eastAsia="Book Antiqua" w:cs="Book Antiqua"/>
        </w:rPr>
        <w:t>ir</w:t>
      </w:r>
      <w:r w:rsidR="00D8576D">
        <w:rPr>
          <w:rFonts w:eastAsia="Book Antiqua" w:cs="Book Antiqua"/>
        </w:rPr>
        <w:t xml:space="preserve"> position</w:t>
      </w:r>
      <w:r w:rsidR="0001600D">
        <w:rPr>
          <w:rFonts w:eastAsia="Book Antiqua" w:cs="Book Antiqua"/>
        </w:rPr>
        <w:t xml:space="preserve"> on the importance of examining</w:t>
      </w:r>
      <w:r w:rsidRPr="00A815E8" w:rsidR="00AE0091">
        <w:rPr>
          <w:rFonts w:eastAsia="Book Antiqua" w:cs="Book Antiqua"/>
        </w:rPr>
        <w:t xml:space="preserve"> a broader range of considerations</w:t>
      </w:r>
      <w:r w:rsidR="00D8576D">
        <w:rPr>
          <w:rFonts w:eastAsia="Book Antiqua" w:cs="Book Antiqua"/>
        </w:rPr>
        <w:t xml:space="preserve">, as well as examining the </w:t>
      </w:r>
      <w:r w:rsidRPr="00A815E8" w:rsidR="00AE0091">
        <w:rPr>
          <w:rFonts w:eastAsia="Book Antiqua" w:cs="Book Antiqua"/>
        </w:rPr>
        <w:t>impacts of policies</w:t>
      </w:r>
      <w:r w:rsidR="00B32CB8">
        <w:rPr>
          <w:rFonts w:eastAsia="Book Antiqua" w:cs="Book Antiqua"/>
        </w:rPr>
        <w:t xml:space="preserve"> adopt</w:t>
      </w:r>
      <w:r w:rsidR="008D4C13">
        <w:rPr>
          <w:rFonts w:eastAsia="Book Antiqua" w:cs="Book Antiqua"/>
        </w:rPr>
        <w:t>ed</w:t>
      </w:r>
      <w:r w:rsidR="00B32CB8">
        <w:rPr>
          <w:rFonts w:eastAsia="Book Antiqua" w:cs="Book Antiqua"/>
        </w:rPr>
        <w:t xml:space="preserve"> in this proceeding. </w:t>
      </w:r>
      <w:r w:rsidR="009D1BAB">
        <w:rPr>
          <w:rFonts w:eastAsia="Book Antiqua" w:cs="Book Antiqua"/>
        </w:rPr>
        <w:t xml:space="preserve">While </w:t>
      </w:r>
      <w:r w:rsidR="00F524E3">
        <w:rPr>
          <w:rFonts w:eastAsia="Book Antiqua" w:cs="Book Antiqua"/>
        </w:rPr>
        <w:t xml:space="preserve">it is appropriate to </w:t>
      </w:r>
      <w:r w:rsidR="000A2458">
        <w:rPr>
          <w:rFonts w:eastAsia="Book Antiqua" w:cs="Book Antiqua"/>
        </w:rPr>
        <w:t xml:space="preserve">reconsider </w:t>
      </w:r>
      <w:r w:rsidR="000255CA">
        <w:t xml:space="preserve">this proceeding’s </w:t>
      </w:r>
      <w:r w:rsidRPr="00CC7708" w:rsidR="000255CA">
        <w:t xml:space="preserve">Phase 3B </w:t>
      </w:r>
      <w:r w:rsidR="0093739B">
        <w:t>D</w:t>
      </w:r>
      <w:r w:rsidRPr="00CC7708" w:rsidR="000255CA">
        <w:t>ecision (D.23-12-037)</w:t>
      </w:r>
      <w:r w:rsidR="005B1D41">
        <w:t xml:space="preserve"> </w:t>
      </w:r>
      <w:r w:rsidR="00065F51">
        <w:t>insofar as it declined to</w:t>
      </w:r>
      <w:r w:rsidR="00575ED0">
        <w:t xml:space="preserve"> eliminate electric line extension subsidies </w:t>
      </w:r>
      <w:r w:rsidR="00AF10BC">
        <w:t xml:space="preserve">for </w:t>
      </w:r>
      <w:r w:rsidR="00B84891">
        <w:t xml:space="preserve">a broader range of </w:t>
      </w:r>
      <w:r w:rsidR="00536955">
        <w:t>building</w:t>
      </w:r>
      <w:r w:rsidR="008969C7">
        <w:t>s</w:t>
      </w:r>
      <w:r w:rsidR="0062292E">
        <w:t xml:space="preserve"> – notably</w:t>
      </w:r>
      <w:r w:rsidR="008969C7">
        <w:t xml:space="preserve"> </w:t>
      </w:r>
      <w:r w:rsidR="00AF10BC">
        <w:t>existing buildings</w:t>
      </w:r>
      <w:r w:rsidR="0062292E">
        <w:t xml:space="preserve"> – </w:t>
      </w:r>
      <w:r w:rsidR="008627B3">
        <w:t>t</w:t>
      </w:r>
      <w:r w:rsidR="004104A6">
        <w:t>oday’s</w:t>
      </w:r>
      <w:r w:rsidR="008627B3">
        <w:t xml:space="preserve"> </w:t>
      </w:r>
      <w:r w:rsidR="009D1BAB">
        <w:t>decision does not change that position.</w:t>
      </w:r>
    </w:p>
    <w:p w:rsidRPr="004166D8" w:rsidR="00E07951" w:rsidP="00E07951" w:rsidRDefault="00D15C80" w14:paraId="2E064563" w14:textId="77777777">
      <w:pPr>
        <w:pStyle w:val="Heading1"/>
      </w:pPr>
      <w:bookmarkStart w:name="_Toc185422584" w:id="689"/>
      <w:bookmarkStart w:name="_Toc185425601" w:id="690"/>
      <w:bookmarkStart w:name="_Toc185496675" w:id="691"/>
      <w:bookmarkStart w:name="_Toc185496885" w:id="692"/>
      <w:bookmarkStart w:name="_Toc185496996" w:id="693"/>
      <w:bookmarkStart w:name="_Toc185579384" w:id="694"/>
      <w:bookmarkStart w:name="_Toc192263710" w:id="695"/>
      <w:bookmarkStart w:name="_Toc200370988" w:id="696"/>
      <w:bookmarkEnd w:id="689"/>
      <w:bookmarkEnd w:id="690"/>
      <w:bookmarkEnd w:id="691"/>
      <w:bookmarkEnd w:id="692"/>
      <w:bookmarkEnd w:id="693"/>
      <w:r w:rsidRPr="004166D8">
        <w:t xml:space="preserve">Modifications to </w:t>
      </w:r>
      <w:r w:rsidRPr="004166D8" w:rsidR="00E07951">
        <w:t>Building Decarbonization Reporting Requirements</w:t>
      </w:r>
      <w:bookmarkEnd w:id="694"/>
      <w:bookmarkEnd w:id="695"/>
      <w:bookmarkEnd w:id="696"/>
      <w:r w:rsidRPr="004166D8" w:rsidDel="00D15C80" w:rsidR="00E07951">
        <w:t xml:space="preserve"> </w:t>
      </w:r>
    </w:p>
    <w:p w:rsidR="00681DAC" w:rsidP="001621CC" w:rsidRDefault="00344C8A" w14:paraId="58DE7AE8" w14:textId="2E1DB393">
      <w:pPr>
        <w:pStyle w:val="Standard"/>
      </w:pPr>
      <w:r>
        <w:t xml:space="preserve">The Phase 4 Scoping Memo directs parties to </w:t>
      </w:r>
      <w:r w:rsidRPr="009C3A04">
        <w:t>identify ways to simplify reporting requirement procedures previously adopted in this proceeding</w:t>
      </w:r>
      <w:r>
        <w:t>.</w:t>
      </w:r>
      <w:r w:rsidR="001621CC">
        <w:rPr>
          <w:rStyle w:val="FootnoteReference"/>
        </w:rPr>
        <w:footnoteReference w:id="141"/>
      </w:r>
      <w:r>
        <w:t xml:space="preserve"> </w:t>
      </w:r>
    </w:p>
    <w:p w:rsidRPr="006257C9" w:rsidR="00D60D51" w:rsidP="00DA5798" w:rsidRDefault="00D60D51" w14:paraId="38E12A0B" w14:textId="3E52F23C">
      <w:pPr>
        <w:pStyle w:val="Heading2"/>
      </w:pPr>
      <w:bookmarkStart w:name="_Toc185420472" w:id="697"/>
      <w:bookmarkStart w:name="_Toc185421288" w:id="698"/>
      <w:bookmarkStart w:name="_Toc185422586" w:id="699"/>
      <w:bookmarkStart w:name="_Toc185425603" w:id="700"/>
      <w:bookmarkStart w:name="_Toc185496677" w:id="701"/>
      <w:bookmarkStart w:name="_Toc185496887" w:id="702"/>
      <w:bookmarkStart w:name="_Toc185496998" w:id="703"/>
      <w:bookmarkStart w:name="_Toc185420473" w:id="704"/>
      <w:bookmarkStart w:name="_Toc185421289" w:id="705"/>
      <w:bookmarkStart w:name="_Toc185422587" w:id="706"/>
      <w:bookmarkStart w:name="_Toc185425604" w:id="707"/>
      <w:bookmarkStart w:name="_Toc185496678" w:id="708"/>
      <w:bookmarkStart w:name="_Toc185496888" w:id="709"/>
      <w:bookmarkStart w:name="_Toc185496999" w:id="710"/>
      <w:bookmarkStart w:name="_Toc185420475" w:id="711"/>
      <w:bookmarkStart w:name="_Toc185421291" w:id="712"/>
      <w:bookmarkStart w:name="_Toc185422589" w:id="713"/>
      <w:bookmarkStart w:name="_Toc185425606" w:id="714"/>
      <w:bookmarkStart w:name="_Toc185496680" w:id="715"/>
      <w:bookmarkStart w:name="_Toc185496890" w:id="716"/>
      <w:bookmarkStart w:name="_Toc185497001" w:id="717"/>
      <w:bookmarkStart w:name="_Toc185420476" w:id="718"/>
      <w:bookmarkStart w:name="_Toc185421292" w:id="719"/>
      <w:bookmarkStart w:name="_Toc185422590" w:id="720"/>
      <w:bookmarkStart w:name="_Toc185425607" w:id="721"/>
      <w:bookmarkStart w:name="_Toc185496681" w:id="722"/>
      <w:bookmarkStart w:name="_Toc185496891" w:id="723"/>
      <w:bookmarkStart w:name="_Toc185497002" w:id="724"/>
      <w:bookmarkStart w:name="_Toc185420477" w:id="725"/>
      <w:bookmarkStart w:name="_Toc185421293" w:id="726"/>
      <w:bookmarkStart w:name="_Toc185422591" w:id="727"/>
      <w:bookmarkStart w:name="_Toc185425608" w:id="728"/>
      <w:bookmarkStart w:name="_Toc185496682" w:id="729"/>
      <w:bookmarkStart w:name="_Toc185496892" w:id="730"/>
      <w:bookmarkStart w:name="_Toc185497003" w:id="731"/>
      <w:bookmarkStart w:name="_Toc185579385" w:id="732"/>
      <w:bookmarkStart w:name="_Toc192263711" w:id="733"/>
      <w:bookmarkStart w:name="_Toc200370989" w:id="734"/>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Pr="006257C9">
        <w:t xml:space="preserve">Summary of </w:t>
      </w:r>
      <w:r w:rsidR="00081C88">
        <w:t>Party Positions</w:t>
      </w:r>
      <w:bookmarkEnd w:id="732"/>
      <w:bookmarkEnd w:id="733"/>
      <w:bookmarkEnd w:id="734"/>
    </w:p>
    <w:p w:rsidRPr="00A93044" w:rsidR="00344C8A" w:rsidP="00344C8A" w:rsidRDefault="00344C8A" w14:paraId="6D125160" w14:textId="6EE744F9">
      <w:pPr>
        <w:pStyle w:val="Standard"/>
      </w:pPr>
      <w:r>
        <w:t xml:space="preserve">PG&amp;E opposes changing the current reporting timelines, stating </w:t>
      </w:r>
      <w:r w:rsidR="002C4377">
        <w:t>it</w:t>
      </w:r>
      <w:r>
        <w:t xml:space="preserve"> would create reporting complexity for 2025 report</w:t>
      </w:r>
      <w:r w:rsidR="004F7DCC">
        <w:t>ing requirements</w:t>
      </w:r>
      <w:r>
        <w:t xml:space="preserve"> creating either greater than, or less than, 12 months of data.</w:t>
      </w:r>
      <w:r>
        <w:rPr>
          <w:rStyle w:val="FootnoteReference"/>
        </w:rPr>
        <w:footnoteReference w:id="142"/>
      </w:r>
    </w:p>
    <w:p w:rsidRPr="00A93044" w:rsidR="00344C8A" w:rsidP="00344C8A" w:rsidRDefault="00344C8A" w14:paraId="72C8D1A6" w14:textId="377B8B97">
      <w:pPr>
        <w:pStyle w:val="Standard"/>
      </w:pPr>
      <w:r>
        <w:lastRenderedPageBreak/>
        <w:t xml:space="preserve">SBUA supports aligning the reporting requirement deadlines on a single date but defers to the </w:t>
      </w:r>
      <w:r w:rsidR="005B3D65">
        <w:t>affected</w:t>
      </w:r>
      <w:r w:rsidR="004B6494">
        <w:t xml:space="preserve"> </w:t>
      </w:r>
      <w:r>
        <w:t xml:space="preserve">utilities to </w:t>
      </w:r>
      <w:r w:rsidR="002C4377">
        <w:t xml:space="preserve">propose </w:t>
      </w:r>
      <w:r>
        <w:t xml:space="preserve">a single feasible date. </w:t>
      </w:r>
      <w:r w:rsidR="00FE5146">
        <w:t>SBUA</w:t>
      </w:r>
      <w:r>
        <w:t xml:space="preserve"> support</w:t>
      </w:r>
      <w:r w:rsidR="00FE5146">
        <w:t>s</w:t>
      </w:r>
      <w:r>
        <w:t xml:space="preserve"> data required under </w:t>
      </w:r>
      <w:r w:rsidRPr="00575BFE">
        <w:t>D.21-11-002</w:t>
      </w:r>
      <w:r>
        <w:t xml:space="preserve"> be</w:t>
      </w:r>
      <w:r w:rsidR="00E73B17">
        <w:t>ing</w:t>
      </w:r>
      <w:r>
        <w:t xml:space="preserve"> made available on each utility’s public website</w:t>
      </w:r>
      <w:r w:rsidR="00EA0F43">
        <w:t xml:space="preserve"> and opines that</w:t>
      </w:r>
      <w:r>
        <w:t xml:space="preserve"> this data </w:t>
      </w:r>
      <w:r w:rsidR="00EA0F43">
        <w:t>would be</w:t>
      </w:r>
      <w:r>
        <w:t xml:space="preserve"> helpful for customers to better understand the impacts of appliance usage on both their electricity demand and their electricity bills.</w:t>
      </w:r>
      <w:r>
        <w:rPr>
          <w:rStyle w:val="FootnoteReference"/>
        </w:rPr>
        <w:footnoteReference w:id="143"/>
      </w:r>
    </w:p>
    <w:p w:rsidRPr="00A93044" w:rsidR="00344C8A" w:rsidP="00344C8A" w:rsidRDefault="00344C8A" w14:paraId="1D1FBE39" w14:textId="0BBCDEF5">
      <w:pPr>
        <w:pStyle w:val="Standard"/>
      </w:pPr>
      <w:r>
        <w:t xml:space="preserve">SCE </w:t>
      </w:r>
      <w:r w:rsidR="00332C4B">
        <w:t xml:space="preserve">supports </w:t>
      </w:r>
      <w:r>
        <w:t xml:space="preserve"> </w:t>
      </w:r>
      <w:r w:rsidR="002755BB">
        <w:t>no change to</w:t>
      </w:r>
      <w:r>
        <w:t xml:space="preserve"> the reporting deadlines </w:t>
      </w:r>
      <w:r w:rsidR="002755BB">
        <w:t>that are</w:t>
      </w:r>
      <w:r>
        <w:t xml:space="preserve"> currently authorized</w:t>
      </w:r>
      <w:r w:rsidR="002755BB">
        <w:t xml:space="preserve"> and explains that</w:t>
      </w:r>
      <w:r>
        <w:t xml:space="preserve"> multiple reports due at the same time cause resource constraints. </w:t>
      </w:r>
      <w:r w:rsidR="0075547E">
        <w:t>I</w:t>
      </w:r>
      <w:r>
        <w:t xml:space="preserve">f the Commission decides to align all reporting deadlines, SCE requests it to be no earlier than September 1 of each year, to allow sufficient time to collect and analyze prior calendar year data. </w:t>
      </w:r>
      <w:r w:rsidR="0075547E">
        <w:t>SCE</w:t>
      </w:r>
      <w:r>
        <w:t xml:space="preserve"> also request</w:t>
      </w:r>
      <w:r w:rsidR="00843AFB">
        <w:t>s</w:t>
      </w:r>
      <w:r>
        <w:t xml:space="preserve"> </w:t>
      </w:r>
      <w:r w:rsidR="00937DF0">
        <w:t>changing</w:t>
      </w:r>
      <w:r>
        <w:t xml:space="preserve"> </w:t>
      </w:r>
      <w:r w:rsidR="00FB302C">
        <w:t>the deadline for</w:t>
      </w:r>
      <w:r w:rsidDel="00933FA1">
        <w:t xml:space="preserve"> </w:t>
      </w:r>
      <w:r w:rsidR="00933FA1">
        <w:t>any</w:t>
      </w:r>
      <w:r>
        <w:t xml:space="preserve"> </w:t>
      </w:r>
      <w:r w:rsidR="00072D54">
        <w:t xml:space="preserve">changes to </w:t>
      </w:r>
      <w:r w:rsidR="001B2944">
        <w:t xml:space="preserve">annual </w:t>
      </w:r>
      <w:r>
        <w:t xml:space="preserve">reporting requirements from </w:t>
      </w:r>
      <w:r w:rsidR="00FE66C3">
        <w:t xml:space="preserve">Energy Division </w:t>
      </w:r>
      <w:r>
        <w:t xml:space="preserve">Staff, as </w:t>
      </w:r>
      <w:r w:rsidR="00654F9D">
        <w:t xml:space="preserve">allowed </w:t>
      </w:r>
      <w:r w:rsidR="002E783C">
        <w:t xml:space="preserve">by </w:t>
      </w:r>
      <w:r>
        <w:t xml:space="preserve">Resolution E-5105, from July 1 of each year to June 1 of each year. For public disclosure of data required under </w:t>
      </w:r>
      <w:r w:rsidRPr="00575BFE">
        <w:t>D.21-11-002</w:t>
      </w:r>
      <w:r>
        <w:t xml:space="preserve">, SCE states no one has ever reached out to SCE to locate these reports, and requests the Commission </w:t>
      </w:r>
      <w:r w:rsidR="00FC1FAD">
        <w:t>does not</w:t>
      </w:r>
      <w:r>
        <w:t xml:space="preserve"> require these reports to be posted on a public website if they are not </w:t>
      </w:r>
      <w:r w:rsidR="007C10E5">
        <w:t xml:space="preserve">proving to be </w:t>
      </w:r>
      <w:r>
        <w:t>useful tool for stakeholders. SCE also requests the Commission establish either an end date for these reports or a mechanism to terminate these reports when no longer useful.</w:t>
      </w:r>
      <w:r>
        <w:rPr>
          <w:rStyle w:val="FootnoteReference"/>
        </w:rPr>
        <w:footnoteReference w:id="144"/>
      </w:r>
    </w:p>
    <w:p w:rsidRPr="00A93044" w:rsidR="00344C8A" w:rsidP="00344C8A" w:rsidRDefault="00344C8A" w14:paraId="65D1605B" w14:textId="2635834B">
      <w:pPr>
        <w:pStyle w:val="Standard"/>
      </w:pPr>
      <w:r>
        <w:t>Sempra Utilities</w:t>
      </w:r>
      <w:r w:rsidR="00723FD7">
        <w:t xml:space="preserve"> </w:t>
      </w:r>
      <w:r>
        <w:t xml:space="preserve">state </w:t>
      </w:r>
      <w:r w:rsidR="00E81603">
        <w:t xml:space="preserve">SDG&amp;E </w:t>
      </w:r>
      <w:r w:rsidR="00AB5963">
        <w:t>is</w:t>
      </w:r>
      <w:r>
        <w:t xml:space="preserve"> neutral </w:t>
      </w:r>
      <w:r w:rsidR="00937DF0">
        <w:t>on</w:t>
      </w:r>
      <w:r>
        <w:t xml:space="preserve"> reporting schedules, but note timelines may need re-evaluat</w:t>
      </w:r>
      <w:r w:rsidR="00937DF0">
        <w:t>ion</w:t>
      </w:r>
      <w:r>
        <w:t xml:space="preserve"> for future additional reporting requirements.</w:t>
      </w:r>
      <w:r>
        <w:rPr>
          <w:rStyle w:val="FootnoteReference"/>
        </w:rPr>
        <w:footnoteReference w:id="145"/>
      </w:r>
    </w:p>
    <w:p w:rsidRPr="00A93044" w:rsidR="00A93044" w:rsidP="00145BCD" w:rsidRDefault="002C3CAF" w14:paraId="07F64FAB" w14:textId="57FBFFAA">
      <w:pPr>
        <w:pStyle w:val="Standard"/>
      </w:pPr>
      <w:r>
        <w:t xml:space="preserve">No </w:t>
      </w:r>
      <w:r w:rsidR="00C95DDD">
        <w:t>r</w:t>
      </w:r>
      <w:r>
        <w:t xml:space="preserve">eply </w:t>
      </w:r>
      <w:r w:rsidR="00C95DDD">
        <w:t>c</w:t>
      </w:r>
      <w:r>
        <w:t xml:space="preserve">omments </w:t>
      </w:r>
      <w:r w:rsidR="00C95DDD">
        <w:t xml:space="preserve">were </w:t>
      </w:r>
      <w:r w:rsidR="00D35E02">
        <w:t>fil</w:t>
      </w:r>
      <w:r w:rsidR="00C95DDD">
        <w:t xml:space="preserve">ed </w:t>
      </w:r>
      <w:r w:rsidR="00912660">
        <w:t>on</w:t>
      </w:r>
      <w:r>
        <w:t xml:space="preserve"> th</w:t>
      </w:r>
      <w:r w:rsidR="00C97206">
        <w:t>e above</w:t>
      </w:r>
      <w:r>
        <w:t xml:space="preserve"> </w:t>
      </w:r>
      <w:r w:rsidR="009460E3">
        <w:t>Section 7.</w:t>
      </w:r>
      <w:r w:rsidR="001621CC">
        <w:t>1</w:t>
      </w:r>
      <w:r w:rsidR="009460E3">
        <w:t xml:space="preserve"> </w:t>
      </w:r>
      <w:r w:rsidR="00207305">
        <w:t>issue</w:t>
      </w:r>
      <w:r w:rsidR="00C97206">
        <w:t>s</w:t>
      </w:r>
      <w:r w:rsidR="00912660">
        <w:t>.</w:t>
      </w:r>
    </w:p>
    <w:p w:rsidRPr="004166D8" w:rsidR="00E07951" w:rsidDel="001E7EEC" w:rsidP="00E07951" w:rsidRDefault="00E07951" w14:paraId="0F5B14C3" w14:textId="77777777">
      <w:pPr>
        <w:pStyle w:val="Heading2"/>
      </w:pPr>
      <w:bookmarkStart w:name="_Toc185579387" w:id="735"/>
      <w:bookmarkStart w:name="_Toc192263713" w:id="736"/>
      <w:bookmarkStart w:name="_Toc200370990" w:id="737"/>
      <w:r w:rsidRPr="004166D8" w:rsidDel="001E7EEC">
        <w:lastRenderedPageBreak/>
        <w:t>Discussion</w:t>
      </w:r>
      <w:bookmarkEnd w:id="735"/>
      <w:bookmarkEnd w:id="736"/>
      <w:bookmarkEnd w:id="737"/>
    </w:p>
    <w:p w:rsidR="00CE1A4A" w:rsidP="00344C8A" w:rsidRDefault="00266B36" w14:paraId="170751B8" w14:textId="77777777">
      <w:pPr>
        <w:pStyle w:val="Standard"/>
      </w:pPr>
      <w:r>
        <w:t xml:space="preserve">The Commission has </w:t>
      </w:r>
      <w:r w:rsidR="0D6BB52A">
        <w:t xml:space="preserve">adopted numerous different reporting requirements since January 2019. </w:t>
      </w:r>
    </w:p>
    <w:p w:rsidR="00344C8A" w:rsidP="00344C8A" w:rsidRDefault="004B5F0C" w14:paraId="343834D0" w14:textId="3CF82745">
      <w:pPr>
        <w:pStyle w:val="Standard"/>
      </w:pPr>
      <w:r>
        <w:t>T</w:t>
      </w:r>
      <w:r w:rsidR="0D6BB52A">
        <w:t>he Phase 1 Decision (D.20-03-027</w:t>
      </w:r>
      <w:r w:rsidR="00BC6C31">
        <w:t xml:space="preserve"> at OP 25</w:t>
      </w:r>
      <w:r w:rsidR="0D6BB52A">
        <w:t>)</w:t>
      </w:r>
      <w:r>
        <w:t xml:space="preserve"> in this proceeding</w:t>
      </w:r>
      <w:r w:rsidR="0D6BB52A">
        <w:t xml:space="preserve"> required </w:t>
      </w:r>
      <w:r w:rsidR="00C44D56">
        <w:t xml:space="preserve">large </w:t>
      </w:r>
      <w:r w:rsidR="00644EE7">
        <w:t>electric utilities</w:t>
      </w:r>
      <w:r w:rsidR="0D6BB52A">
        <w:t xml:space="preserve"> to submit data and maps needed for program planning and assessment by </w:t>
      </w:r>
      <w:r w:rsidRPr="001621CC" w:rsidR="0D6BB52A">
        <w:t>September 1 of each year</w:t>
      </w:r>
      <w:r w:rsidR="0D6BB52A">
        <w:rPr>
          <w:b/>
          <w:bCs/>
        </w:rPr>
        <w:t xml:space="preserve"> </w:t>
      </w:r>
      <w:r w:rsidR="0D6BB52A">
        <w:t xml:space="preserve">for the prior calendar year. The details and format of this requirement were </w:t>
      </w:r>
      <w:r w:rsidR="1BAC357D">
        <w:t>set</w:t>
      </w:r>
      <w:r w:rsidR="0D6BB52A">
        <w:t xml:space="preserve"> in Resolution E-5105,</w:t>
      </w:r>
      <w:r w:rsidR="00344C8A">
        <w:rPr>
          <w:rStyle w:val="FootnoteReference"/>
        </w:rPr>
        <w:footnoteReference w:id="146"/>
      </w:r>
      <w:r w:rsidR="0D6BB52A">
        <w:t xml:space="preserve"> which adopted a spreadsheet format for </w:t>
      </w:r>
      <w:r w:rsidR="00644EE7">
        <w:t>electric utilities</w:t>
      </w:r>
      <w:r w:rsidR="0D6BB52A">
        <w:t xml:space="preserve"> to report various confidential and non-confidential information regarding number of customers by rate type, age of premise, as well as information about certain gas pipeline infrastructure. </w:t>
      </w:r>
    </w:p>
    <w:p w:rsidRPr="00310FE6" w:rsidR="00344C8A" w:rsidP="009D1072" w:rsidRDefault="00BC6C31" w14:paraId="25AB416D" w14:textId="4730048D">
      <w:pPr>
        <w:pStyle w:val="Standard"/>
      </w:pPr>
      <w:r>
        <w:t>T</w:t>
      </w:r>
      <w:r w:rsidR="00344C8A">
        <w:t>he Phase 2 Decision (</w:t>
      </w:r>
      <w:r w:rsidRPr="00575BFE" w:rsidR="00344C8A">
        <w:t>D.21-11-002</w:t>
      </w:r>
      <w:r>
        <w:t xml:space="preserve"> at OP</w:t>
      </w:r>
      <w:r w:rsidR="009F50F7">
        <w:t>s</w:t>
      </w:r>
      <w:r>
        <w:t xml:space="preserve"> 3 and 5</w:t>
      </w:r>
      <w:r w:rsidR="00344C8A">
        <w:t>), as well as Appendix</w:t>
      </w:r>
      <w:r w:rsidR="00F26C39">
        <w:t> </w:t>
      </w:r>
      <w:r w:rsidR="00344C8A">
        <w:t xml:space="preserve">C and Appendix D of the same decision, added further reporting requirements for the </w:t>
      </w:r>
      <w:r w:rsidR="00DD7294">
        <w:t xml:space="preserve">large electric </w:t>
      </w:r>
      <w:r w:rsidR="00344C8A">
        <w:t xml:space="preserve">utilities. Appendix C outlined information regarding other programs the </w:t>
      </w:r>
      <w:r w:rsidR="00DD7294">
        <w:t xml:space="preserve">large electric </w:t>
      </w:r>
      <w:r w:rsidR="00344C8A">
        <w:t xml:space="preserve">utilities must provide to the implementers and evaluators of the TECH Initiative, the BUILD program, and the </w:t>
      </w:r>
      <w:r w:rsidRPr="00310FE6" w:rsidR="00310FE6">
        <w:t>Wildfire and Natural Disaster Resiliency Rebuild Program</w:t>
      </w:r>
      <w:r w:rsidR="00310FE6">
        <w:t xml:space="preserve"> (</w:t>
      </w:r>
      <w:r w:rsidR="00344C8A">
        <w:t>WNDRR</w:t>
      </w:r>
      <w:r w:rsidR="00310FE6">
        <w:t>)</w:t>
      </w:r>
      <w:r w:rsidR="00344C8A">
        <w:t xml:space="preserve"> </w:t>
      </w:r>
      <w:r w:rsidRPr="00310FE6" w:rsidR="00344C8A">
        <w:t xml:space="preserve">program </w:t>
      </w:r>
      <w:r w:rsidRPr="00F26527" w:rsidR="00344C8A">
        <w:t>every six months.</w:t>
      </w:r>
      <w:r w:rsidRPr="00310FE6" w:rsidR="00344C8A">
        <w:t xml:space="preserve"> Appendix D laid out data collection and reporting requirements for </w:t>
      </w:r>
      <w:r w:rsidRPr="00310FE6" w:rsidR="003F301B">
        <w:t xml:space="preserve">the </w:t>
      </w:r>
      <w:r w:rsidRPr="00310FE6" w:rsidR="00DD7294">
        <w:t xml:space="preserve">large electric </w:t>
      </w:r>
      <w:r w:rsidRPr="00310FE6" w:rsidR="003F301B">
        <w:t xml:space="preserve">utilities </w:t>
      </w:r>
      <w:r w:rsidRPr="00310FE6" w:rsidR="00337CDD">
        <w:t>regarding</w:t>
      </w:r>
      <w:r w:rsidRPr="00310FE6" w:rsidR="00344C8A">
        <w:t xml:space="preserve"> pro</w:t>
      </w:r>
      <w:r w:rsidRPr="00310FE6" w:rsidR="00853A0E">
        <w:t>s</w:t>
      </w:r>
      <w:r w:rsidRPr="00310FE6" w:rsidR="00344C8A">
        <w:t>pe</w:t>
      </w:r>
      <w:r w:rsidRPr="00310FE6" w:rsidR="00853A0E">
        <w:t>ctive</w:t>
      </w:r>
      <w:r w:rsidRPr="00310FE6" w:rsidR="00344C8A">
        <w:t xml:space="preserve"> </w:t>
      </w:r>
      <w:r w:rsidRPr="00310FE6" w:rsidR="00853A0E">
        <w:t xml:space="preserve">customer data on </w:t>
      </w:r>
      <w:r w:rsidRPr="00310FE6" w:rsidR="00344C8A">
        <w:t xml:space="preserve">the type of water </w:t>
      </w:r>
      <w:r w:rsidRPr="00310FE6" w:rsidR="00E81CA9">
        <w:t xml:space="preserve">and space </w:t>
      </w:r>
      <w:r w:rsidRPr="00310FE6" w:rsidR="00344C8A">
        <w:t>heat</w:t>
      </w:r>
      <w:r w:rsidRPr="00310FE6" w:rsidR="00E81CA9">
        <w:t>ing systems used, as well as</w:t>
      </w:r>
      <w:r w:rsidRPr="00310FE6" w:rsidR="00344C8A">
        <w:t xml:space="preserve"> propane usage on customer premises, with a reporting deadline of </w:t>
      </w:r>
      <w:r w:rsidRPr="00104735" w:rsidR="00344C8A">
        <w:t>February 1 of each year.</w:t>
      </w:r>
    </w:p>
    <w:p w:rsidR="00344C8A" w:rsidP="00344C8A" w:rsidRDefault="0D6BB52A" w14:paraId="47284445" w14:textId="4A168F57">
      <w:pPr>
        <w:pStyle w:val="Standard"/>
      </w:pPr>
      <w:r>
        <w:t xml:space="preserve">The Phase 3A Decision (D.22-09-026) did not set any reporting requirements for </w:t>
      </w:r>
      <w:r w:rsidR="00127FA2">
        <w:t xml:space="preserve">the gas </w:t>
      </w:r>
      <w:r w:rsidR="00644EE7">
        <w:t>utilities</w:t>
      </w:r>
      <w:r>
        <w:t xml:space="preserve">. </w:t>
      </w:r>
      <w:r w:rsidR="45BF6737">
        <w:t xml:space="preserve">However, </w:t>
      </w:r>
      <w:r>
        <w:t>OP 8 of the Phase 3B Decision (D.23</w:t>
      </w:r>
      <w:r w:rsidR="00F26C39">
        <w:noBreakHyphen/>
      </w:r>
      <w:r>
        <w:t>12</w:t>
      </w:r>
      <w:r w:rsidR="00F26C39">
        <w:noBreakHyphen/>
      </w:r>
      <w:r>
        <w:t xml:space="preserve">037) required the three large electric </w:t>
      </w:r>
      <w:r w:rsidR="00644EE7">
        <w:t>utilities</w:t>
      </w:r>
      <w:r>
        <w:t xml:space="preserve"> to report electric line </w:t>
      </w:r>
      <w:r>
        <w:lastRenderedPageBreak/>
        <w:t xml:space="preserve">extension expenditures and additional information relating to new construction starts by </w:t>
      </w:r>
      <w:r w:rsidRPr="00F26527">
        <w:t>May 1 of each year</w:t>
      </w:r>
      <w:r w:rsidRPr="5107A9CF">
        <w:rPr>
          <w:b/>
          <w:bCs/>
        </w:rPr>
        <w:t xml:space="preserve"> </w:t>
      </w:r>
      <w:r>
        <w:t>for the prior calendar year</w:t>
      </w:r>
      <w:r w:rsidRPr="5107A9CF">
        <w:rPr>
          <w:b/>
          <w:bCs/>
        </w:rPr>
        <w:t>.</w:t>
      </w:r>
      <w:r>
        <w:t xml:space="preserve"> </w:t>
      </w:r>
    </w:p>
    <w:p w:rsidR="00344C8A" w:rsidP="00344C8A" w:rsidRDefault="0D6BB52A" w14:paraId="6ECFE9A0" w14:textId="44AD5176">
      <w:pPr>
        <w:pStyle w:val="Standard"/>
      </w:pPr>
      <w:r>
        <w:t xml:space="preserve">To streamline reporting and  make </w:t>
      </w:r>
      <w:r w:rsidR="00254186">
        <w:t xml:space="preserve">collected </w:t>
      </w:r>
      <w:r>
        <w:t xml:space="preserve">data more accessible, we </w:t>
      </w:r>
      <w:r w:rsidR="000105C4">
        <w:t xml:space="preserve">align and </w:t>
      </w:r>
      <w:r w:rsidR="0AACC699">
        <w:t xml:space="preserve">adopt </w:t>
      </w:r>
      <w:r>
        <w:t xml:space="preserve">April 15 as the annual deadline for all reporting requirements </w:t>
      </w:r>
      <w:r w:rsidR="006F1512">
        <w:t>discussed above</w:t>
      </w:r>
      <w:r>
        <w:t>. For any reporting required more than once annually, such as quarterly intervals, th</w:t>
      </w:r>
      <w:r w:rsidR="3BC14FE8">
        <w:t>is</w:t>
      </w:r>
      <w:r>
        <w:t xml:space="preserve"> April 15 deadline align</w:t>
      </w:r>
      <w:r w:rsidR="00937DF0">
        <w:t>s</w:t>
      </w:r>
      <w:r>
        <w:t xml:space="preserve"> with the close of the </w:t>
      </w:r>
      <w:r w:rsidR="053F58E8">
        <w:t>fourth</w:t>
      </w:r>
      <w:r>
        <w:t xml:space="preserve"> quarter report</w:t>
      </w:r>
      <w:r w:rsidR="053F58E8">
        <w:t>ing for the prior calendar year</w:t>
      </w:r>
      <w:r>
        <w:t xml:space="preserve"> and shall include annual summaries.</w:t>
      </w:r>
    </w:p>
    <w:p w:rsidR="00344C8A" w:rsidP="00344C8A" w:rsidRDefault="0D6BB52A" w14:paraId="394281CE" w14:textId="481AFB53">
      <w:pPr>
        <w:pStyle w:val="Standard"/>
      </w:pPr>
      <w:r>
        <w:t xml:space="preserve">To address PG&amp;E’s concern regarding the 2025 reporting, we </w:t>
      </w:r>
      <w:r w:rsidR="0CD34933">
        <w:t xml:space="preserve">keep all previous reporting </w:t>
      </w:r>
      <w:r w:rsidRPr="00F978A0" w:rsidR="0CD34933">
        <w:t>deadlines as is for 2025</w:t>
      </w:r>
      <w:r w:rsidRPr="00F978A0">
        <w:t xml:space="preserve">. </w:t>
      </w:r>
      <w:r w:rsidR="009146AC">
        <w:t>Therefore, s</w:t>
      </w:r>
      <w:r w:rsidRPr="00F978A0">
        <w:t>tarting April</w:t>
      </w:r>
      <w:r w:rsidR="00F26C39">
        <w:t> </w:t>
      </w:r>
      <w:r w:rsidRPr="00F978A0">
        <w:t xml:space="preserve">15, 2026, the annual reporting deadline for Resolution E-5105, D.21-11-002, </w:t>
      </w:r>
      <w:r w:rsidRPr="00F978A0" w:rsidDel="0D6BB52A" w:rsidR="00344C8A">
        <w:t>D.23</w:t>
      </w:r>
      <w:r w:rsidR="00F26C39">
        <w:noBreakHyphen/>
      </w:r>
      <w:r w:rsidRPr="00F978A0" w:rsidDel="0D6BB52A" w:rsidR="00344C8A">
        <w:t>12</w:t>
      </w:r>
      <w:r w:rsidR="00F26C39">
        <w:noBreakHyphen/>
      </w:r>
      <w:r w:rsidRPr="00F978A0" w:rsidDel="0D6BB52A" w:rsidR="00344C8A">
        <w:t>037</w:t>
      </w:r>
      <w:r w:rsidR="009146AC">
        <w:t>,</w:t>
      </w:r>
      <w:r w:rsidR="00F26527">
        <w:t xml:space="preserve"> </w:t>
      </w:r>
      <w:r w:rsidRPr="00F978A0">
        <w:t>and the additional requirements established by t</w:t>
      </w:r>
      <w:r w:rsidR="00046876">
        <w:t>oday’s</w:t>
      </w:r>
      <w:r w:rsidRPr="00F978A0">
        <w:t xml:space="preserve"> decision shall be April 15 of each year</w:t>
      </w:r>
      <w:r w:rsidRPr="00F978A0" w:rsidR="006570FA">
        <w:t xml:space="preserve">, submitted via a Tier 1 Advice Letter. </w:t>
      </w:r>
      <w:r w:rsidRPr="00F978A0" w:rsidR="00166987">
        <w:t>D.23-12-037 reporting</w:t>
      </w:r>
      <w:r w:rsidR="00166987">
        <w:t xml:space="preserve"> </w:t>
      </w:r>
      <w:r w:rsidR="00A2261E">
        <w:t xml:space="preserve">shall </w:t>
      </w:r>
      <w:r w:rsidR="00166987">
        <w:t>be quarterly</w:t>
      </w:r>
      <w:r w:rsidR="00A2261E">
        <w:t xml:space="preserve"> going forward</w:t>
      </w:r>
      <w:r w:rsidR="00166987">
        <w:t>, with the annual reporting aligning with April 15.</w:t>
      </w:r>
    </w:p>
    <w:p w:rsidR="00344C8A" w:rsidP="00344C8A" w:rsidRDefault="0D6BB52A" w14:paraId="477A9E37" w14:textId="04121ECA">
      <w:pPr>
        <w:pStyle w:val="Standard"/>
      </w:pPr>
      <w:r>
        <w:t>Based on SCE’s comments, we establish the third year following the close of th</w:t>
      </w:r>
      <w:r w:rsidR="2686BDE8">
        <w:t>is</w:t>
      </w:r>
      <w:r>
        <w:t xml:space="preserve"> proceeding as the sunset year for all building decarbonization proceeding reporting requirements</w:t>
      </w:r>
      <w:r w:rsidR="1E6EA303">
        <w:t xml:space="preserve"> set in this proceeding</w:t>
      </w:r>
      <w:r>
        <w:t xml:space="preserve">. The </w:t>
      </w:r>
      <w:r w:rsidR="241160F2">
        <w:t xml:space="preserve">affected </w:t>
      </w:r>
      <w:r>
        <w:t>utilities</w:t>
      </w:r>
      <w:r w:rsidR="04550C86">
        <w:t xml:space="preserve"> (individually or collectively)</w:t>
      </w:r>
      <w:r>
        <w:t xml:space="preserve"> may also request an earlier sunset by submitting a Tier 2 </w:t>
      </w:r>
      <w:r w:rsidR="6B131FA9">
        <w:t>Advice Letter</w:t>
      </w:r>
      <w:r>
        <w:t xml:space="preserve"> to the Energy Division. Resolution E-5105 does not obligate Energy Division to update reporting requirements every year, and requires </w:t>
      </w:r>
      <w:r w:rsidR="00644EE7">
        <w:t>electric utilities</w:t>
      </w:r>
      <w:r>
        <w:t xml:space="preserve"> to continue reporting on previously established requirements unless directed otherwise. As such, the July 1 deadline for Staff </w:t>
      </w:r>
      <w:r w:rsidR="45562B20">
        <w:t xml:space="preserve">to revise the </w:t>
      </w:r>
      <w:r w:rsidR="00972621">
        <w:t xml:space="preserve">Resolution </w:t>
      </w:r>
      <w:r w:rsidR="45562B20">
        <w:t>E-</w:t>
      </w:r>
      <w:r w:rsidR="0056355F">
        <w:t xml:space="preserve">5105 </w:t>
      </w:r>
      <w:r w:rsidR="45562B20">
        <w:t>data requirements</w:t>
      </w:r>
      <w:r>
        <w:t xml:space="preserve"> </w:t>
      </w:r>
      <w:r w:rsidR="00F945A0">
        <w:t>is</w:t>
      </w:r>
      <w:r>
        <w:t xml:space="preserve"> moot. If requirements are changed, either through the resolution process or </w:t>
      </w:r>
      <w:r w:rsidR="24128422">
        <w:t xml:space="preserve">the </w:t>
      </w:r>
      <w:r w:rsidR="6FFD5826">
        <w:t xml:space="preserve">formal </w:t>
      </w:r>
      <w:r w:rsidR="5559EA36">
        <w:t>proceeding</w:t>
      </w:r>
      <w:r>
        <w:t xml:space="preserve"> process, we </w:t>
      </w:r>
      <w:r w:rsidR="30546153">
        <w:t xml:space="preserve">will </w:t>
      </w:r>
      <w:r>
        <w:t>continue to a</w:t>
      </w:r>
      <w:r w:rsidR="771479EA">
        <w:t xml:space="preserve">fford </w:t>
      </w:r>
      <w:r w:rsidR="193367CD">
        <w:t xml:space="preserve">the </w:t>
      </w:r>
      <w:r w:rsidR="00644EE7">
        <w:t>electric utilities</w:t>
      </w:r>
      <w:r>
        <w:t xml:space="preserve"> </w:t>
      </w:r>
      <w:r w:rsidR="00F307E9">
        <w:t xml:space="preserve">a </w:t>
      </w:r>
      <w:r>
        <w:t xml:space="preserve">reasonable amount of time to comply with the new requirements.  </w:t>
      </w:r>
    </w:p>
    <w:p w:rsidR="00344C8A" w:rsidP="00344C8A" w:rsidRDefault="00344C8A" w14:paraId="461490C7" w14:textId="72B1B716">
      <w:pPr>
        <w:pStyle w:val="Standard"/>
      </w:pPr>
      <w:r>
        <w:lastRenderedPageBreak/>
        <w:t xml:space="preserve">We </w:t>
      </w:r>
      <w:r w:rsidR="00F62245">
        <w:t>are not persuade</w:t>
      </w:r>
      <w:r w:rsidR="008E55A0">
        <w:t>d</w:t>
      </w:r>
      <w:r w:rsidR="00F62245">
        <w:t xml:space="preserve"> by </w:t>
      </w:r>
      <w:r>
        <w:t xml:space="preserve">SCE’s comments </w:t>
      </w:r>
      <w:r w:rsidR="00F62245">
        <w:t>that</w:t>
      </w:r>
      <w:r>
        <w:t xml:space="preserve"> </w:t>
      </w:r>
      <w:r w:rsidR="00DD50CC">
        <w:t>a lack of anyone</w:t>
      </w:r>
      <w:r>
        <w:t xml:space="preserve"> reach</w:t>
      </w:r>
      <w:r w:rsidR="00DD50CC">
        <w:t>ing</w:t>
      </w:r>
      <w:r>
        <w:t xml:space="preserve"> out to </w:t>
      </w:r>
      <w:r w:rsidR="00F62245">
        <w:t>SCE</w:t>
      </w:r>
      <w:r>
        <w:t xml:space="preserve"> for appliance proliferation </w:t>
      </w:r>
      <w:r w:rsidR="009D48AD">
        <w:t>data</w:t>
      </w:r>
      <w:r>
        <w:t xml:space="preserve"> </w:t>
      </w:r>
      <w:r w:rsidR="005B3BF4">
        <w:t xml:space="preserve">equates to </w:t>
      </w:r>
      <w:r w:rsidR="00DD50CC">
        <w:t xml:space="preserve">such data not </w:t>
      </w:r>
      <w:r w:rsidR="005B3BF4">
        <w:t xml:space="preserve">being </w:t>
      </w:r>
      <w:r w:rsidR="00DD50CC">
        <w:t>useful</w:t>
      </w:r>
      <w:r w:rsidR="003D1F92">
        <w:t xml:space="preserve">. </w:t>
      </w:r>
      <w:r w:rsidR="002F775D">
        <w:t>D</w:t>
      </w:r>
      <w:r>
        <w:t>ata reporting</w:t>
      </w:r>
      <w:r w:rsidR="002F775D">
        <w:t xml:space="preserve"> and</w:t>
      </w:r>
      <w:r>
        <w:t xml:space="preserve"> data inquiries can be onerous and place a burden on the requestor to track down the correct contacts, define the purpose, and refine their request. A public disclosure of non-confidential data adds </w:t>
      </w:r>
      <w:r w:rsidR="00471911">
        <w:t xml:space="preserve">relatively </w:t>
      </w:r>
      <w:r>
        <w:t xml:space="preserve">little additional burden on the utility in addition to a Tier 1 </w:t>
      </w:r>
      <w:r w:rsidR="0001543C">
        <w:t>Advice Letter</w:t>
      </w:r>
      <w:r>
        <w:t xml:space="preserve">, but can be hugely transformative for the market, and informative for both industry stakeholders and the public.   </w:t>
      </w:r>
    </w:p>
    <w:p w:rsidR="00344C8A" w:rsidP="00344C8A" w:rsidRDefault="00344C8A" w14:paraId="1E02F23E" w14:textId="7BB2269E">
      <w:pPr>
        <w:pStyle w:val="Standard"/>
      </w:pPr>
      <w:r>
        <w:t xml:space="preserve">Therefore, we require that, unless deemed confidential, the </w:t>
      </w:r>
      <w:r w:rsidR="00D31D19">
        <w:t xml:space="preserve">affected </w:t>
      </w:r>
      <w:r>
        <w:t>utilities shall make all building decarbonization proceeding-related reporting publicly accessible on their website</w:t>
      </w:r>
      <w:r w:rsidR="000A0429">
        <w:t xml:space="preserve">, and </w:t>
      </w:r>
      <w:r w:rsidR="00BC7F60">
        <w:t>notify</w:t>
      </w:r>
      <w:r w:rsidR="00A850EA">
        <w:t xml:space="preserve"> the service list of this proceeding </w:t>
      </w:r>
      <w:r w:rsidR="00BC7F60">
        <w:t xml:space="preserve">when </w:t>
      </w:r>
      <w:r w:rsidR="00F35F3B">
        <w:t>information is updated</w:t>
      </w:r>
      <w:r>
        <w:t>.</w:t>
      </w:r>
      <w:r w:rsidR="005B6437">
        <w:t xml:space="preserve"> </w:t>
      </w:r>
      <w:r w:rsidRPr="009F450E" w:rsidR="009F450E">
        <w:t xml:space="preserve">To allow for year-over-year comparisons, each </w:t>
      </w:r>
      <w:r w:rsidR="00644EE7">
        <w:t>electric utility</w:t>
      </w:r>
      <w:r w:rsidRPr="009F450E" w:rsidR="009F450E">
        <w:t xml:space="preserve"> shall retain all previously reported data until the reporting requirements </w:t>
      </w:r>
      <w:r w:rsidR="0065275C">
        <w:t>sunset.</w:t>
      </w:r>
      <w:r>
        <w:t xml:space="preserve"> Annual reports shall be submitted by each utility as a single Tier 1 </w:t>
      </w:r>
      <w:r w:rsidR="0001543C">
        <w:t>A</w:t>
      </w:r>
      <w:r>
        <w:t xml:space="preserve">dvice </w:t>
      </w:r>
      <w:r w:rsidR="0001543C">
        <w:t>L</w:t>
      </w:r>
      <w:r>
        <w:t xml:space="preserve">etter, and once approved, posted on each </w:t>
      </w:r>
      <w:r w:rsidR="00062EA5">
        <w:t>electric utilit</w:t>
      </w:r>
      <w:r w:rsidR="00365CA9">
        <w:t>y</w:t>
      </w:r>
      <w:r>
        <w:t>’s respective website, similar to the practice established under Resolution E-5105.</w:t>
      </w:r>
      <w:r>
        <w:rPr>
          <w:rStyle w:val="FootnoteReference"/>
        </w:rPr>
        <w:footnoteReference w:id="147"/>
      </w:r>
      <w:r>
        <w:t xml:space="preserve"> </w:t>
      </w:r>
    </w:p>
    <w:p w:rsidRPr="004166D8" w:rsidR="00766D43" w:rsidP="00766D43" w:rsidRDefault="00240655" w14:paraId="34FFF1A7" w14:textId="6A8227BD">
      <w:pPr>
        <w:pStyle w:val="Heading1"/>
      </w:pPr>
      <w:bookmarkStart w:name="_Toc185579388" w:id="738"/>
      <w:bookmarkStart w:name="_Toc192263714" w:id="739"/>
      <w:bookmarkStart w:name="_Toc200370991" w:id="740"/>
      <w:r>
        <w:rPr>
          <w:rFonts w:eastAsia="Book Antiqua" w:cs="Book Antiqua"/>
        </w:rPr>
        <w:t>AB </w:t>
      </w:r>
      <w:r w:rsidRPr="004166D8" w:rsidR="001E7EEC">
        <w:rPr>
          <w:rFonts w:eastAsia="Book Antiqua" w:cs="Book Antiqua"/>
        </w:rPr>
        <w:t>157 Implementation</w:t>
      </w:r>
      <w:bookmarkEnd w:id="738"/>
      <w:bookmarkEnd w:id="739"/>
      <w:bookmarkEnd w:id="740"/>
    </w:p>
    <w:p w:rsidR="005D2B8B" w:rsidP="005D2B8B" w:rsidRDefault="00240655" w14:paraId="60664D24" w14:textId="6941B102">
      <w:pPr>
        <w:pStyle w:val="Standard"/>
        <w:rPr>
          <w:rFonts w:eastAsia="Book Antiqua" w:cs="Book Antiqua"/>
        </w:rPr>
      </w:pPr>
      <w:r>
        <w:rPr>
          <w:rFonts w:eastAsia="Book Antiqua" w:cs="Book Antiqua"/>
        </w:rPr>
        <w:t>AB </w:t>
      </w:r>
      <w:r w:rsidR="000E73E3">
        <w:rPr>
          <w:rFonts w:eastAsia="Book Antiqua" w:cs="Book Antiqua"/>
        </w:rPr>
        <w:t xml:space="preserve">157 </w:t>
      </w:r>
      <w:r w:rsidR="00D211CF">
        <w:rPr>
          <w:rFonts w:eastAsia="Book Antiqua" w:cs="Book Antiqua"/>
        </w:rPr>
        <w:t>allocated $40</w:t>
      </w:r>
      <w:r w:rsidR="002E58D8">
        <w:rPr>
          <w:rFonts w:eastAsia="Book Antiqua" w:cs="Book Antiqua"/>
        </w:rPr>
        <w:t> million</w:t>
      </w:r>
      <w:r w:rsidR="00D211CF">
        <w:rPr>
          <w:rFonts w:eastAsia="Book Antiqua" w:cs="Book Antiqua"/>
        </w:rPr>
        <w:t xml:space="preserve"> </w:t>
      </w:r>
      <w:r w:rsidR="00C0549A">
        <w:rPr>
          <w:rFonts w:eastAsia="Book Antiqua" w:cs="Book Antiqua"/>
        </w:rPr>
        <w:t>of the $71</w:t>
      </w:r>
      <w:r w:rsidR="002E58D8">
        <w:rPr>
          <w:rFonts w:eastAsia="Book Antiqua" w:cs="Book Antiqua"/>
        </w:rPr>
        <w:t> million</w:t>
      </w:r>
      <w:r w:rsidR="00C0549A">
        <w:rPr>
          <w:rFonts w:eastAsia="Book Antiqua" w:cs="Book Antiqua"/>
        </w:rPr>
        <w:t xml:space="preserve"> </w:t>
      </w:r>
      <w:r w:rsidR="006A2C53">
        <w:rPr>
          <w:rFonts w:eastAsia="Book Antiqua" w:cs="Book Antiqua"/>
        </w:rPr>
        <w:t xml:space="preserve">penalty paid by SoCalGas to the </w:t>
      </w:r>
      <w:r w:rsidRPr="00F37F57" w:rsidR="00F37F57">
        <w:rPr>
          <w:rFonts w:eastAsia="Book Antiqua" w:cs="Book Antiqua"/>
        </w:rPr>
        <w:t>Aliso Canyon Recovery Account</w:t>
      </w:r>
      <w:r w:rsidR="00D211CF">
        <w:rPr>
          <w:rFonts w:eastAsia="Book Antiqua" w:cs="Book Antiqua"/>
        </w:rPr>
        <w:t xml:space="preserve"> </w:t>
      </w:r>
      <w:r w:rsidR="0042670A">
        <w:rPr>
          <w:rFonts w:eastAsia="Book Antiqua" w:cs="Book Antiqua"/>
        </w:rPr>
        <w:t xml:space="preserve">to </w:t>
      </w:r>
      <w:r w:rsidR="00372F2C">
        <w:rPr>
          <w:rFonts w:eastAsia="Book Antiqua" w:cs="Book Antiqua"/>
        </w:rPr>
        <w:t xml:space="preserve">the TECH Initiative for use </w:t>
      </w:r>
      <w:r w:rsidR="00CC5C69">
        <w:rPr>
          <w:rFonts w:eastAsia="Book Antiqua" w:cs="Book Antiqua"/>
        </w:rPr>
        <w:t>solely in SoCalGas service territory. The bill</w:t>
      </w:r>
      <w:r w:rsidR="00545556">
        <w:rPr>
          <w:rFonts w:eastAsia="Book Antiqua" w:cs="Book Antiqua"/>
        </w:rPr>
        <w:t xml:space="preserve"> directs funding to be spent as follows</w:t>
      </w:r>
      <w:r w:rsidR="00B47763">
        <w:rPr>
          <w:rFonts w:eastAsia="Book Antiqua" w:cs="Book Antiqua"/>
        </w:rPr>
        <w:t>:</w:t>
      </w:r>
      <w:r w:rsidR="00CC5C69">
        <w:rPr>
          <w:rFonts w:eastAsia="Book Antiqua" w:cs="Book Antiqua"/>
        </w:rPr>
        <w:t xml:space="preserve"> </w:t>
      </w:r>
    </w:p>
    <w:p w:rsidR="00B47763" w:rsidP="0091411A" w:rsidRDefault="00E50F5B" w14:paraId="102D5010" w14:textId="77777777">
      <w:pPr>
        <w:pStyle w:val="ListBullet"/>
      </w:pPr>
      <w:r>
        <w:t xml:space="preserve">Communities in the Aliso Canyon Disaster Area shall be granted priority for receiving funds; </w:t>
      </w:r>
    </w:p>
    <w:p w:rsidRPr="0091411A" w:rsidR="009764E2" w:rsidP="0091411A" w:rsidRDefault="009764E2" w14:paraId="35653FB1" w14:textId="77777777">
      <w:pPr>
        <w:pStyle w:val="ListBullet"/>
      </w:pPr>
      <w:r w:rsidRPr="0091411A">
        <w:t xml:space="preserve">Funding shall be for both single-family and multi-family home electrification, and, in addition to being used for measures historically supported by the TECH Initiative </w:t>
      </w:r>
      <w:r w:rsidRPr="0091411A">
        <w:lastRenderedPageBreak/>
        <w:t xml:space="preserve">pursuant to Section 922 of the </w:t>
      </w:r>
      <w:r w:rsidR="00D8014C">
        <w:t>Pub. Util.</w:t>
      </w:r>
      <w:r w:rsidRPr="0091411A" w:rsidR="00D8014C">
        <w:t xml:space="preserve"> </w:t>
      </w:r>
      <w:r w:rsidRPr="0091411A">
        <w:t>Code, may also be expended for additional new measures for enabling comprehensive building electrification, including energy audits, panel upgrades, and electrical wiring repairs;</w:t>
      </w:r>
    </w:p>
    <w:p w:rsidRPr="0091411A" w:rsidR="009764E2" w:rsidP="0091411A" w:rsidRDefault="00384756" w14:paraId="084946E4" w14:textId="75E19B28">
      <w:pPr>
        <w:pStyle w:val="ListBullet"/>
      </w:pPr>
      <w:r w:rsidRPr="0091411A">
        <w:t>These funds may be used in combination with other funding sources, if available, to cover up to 100</w:t>
      </w:r>
      <w:r w:rsidR="000B72C9">
        <w:t> percent</w:t>
      </w:r>
      <w:r w:rsidRPr="0091411A">
        <w:t xml:space="preserve"> of net participant and program costs; </w:t>
      </w:r>
    </w:p>
    <w:p w:rsidRPr="0091411A" w:rsidR="00384756" w:rsidP="0091411A" w:rsidRDefault="007A0CE4" w14:paraId="7E314748" w14:textId="77777777">
      <w:pPr>
        <w:pStyle w:val="ListBullet"/>
      </w:pPr>
      <w:r w:rsidRPr="0091411A">
        <w:t>Funds shall be prioritized for efforts that reduce winter natural gas demand from the Aliso Canyon natural gas storage facility</w:t>
      </w:r>
      <w:r w:rsidRPr="0091411A" w:rsidR="00022392">
        <w:t xml:space="preserve">, accelerate heat pump deployment, and provide equitable benefits to multifamily building residents; and </w:t>
      </w:r>
    </w:p>
    <w:p w:rsidR="00022392" w:rsidP="0091411A" w:rsidRDefault="00022392" w14:paraId="438886AC" w14:textId="77777777">
      <w:pPr>
        <w:pStyle w:val="ListBullet"/>
        <w:rPr>
          <w:rFonts w:eastAsia="Book Antiqua" w:cs="Book Antiqua"/>
        </w:rPr>
      </w:pPr>
      <w:r w:rsidRPr="0091411A">
        <w:t>The</w:t>
      </w:r>
      <w:r>
        <w:rPr>
          <w:rFonts w:eastAsia="Book Antiqua" w:cs="Book Antiqua"/>
        </w:rPr>
        <w:t xml:space="preserve"> expenditure of funds shall not cause the displacement of tenants in upgraded rental housing units and shall be used to limit cost impacts on tenants. </w:t>
      </w:r>
    </w:p>
    <w:p w:rsidR="00746538" w:rsidP="0091411A" w:rsidRDefault="00E97280" w14:paraId="67A35584" w14:textId="4CC7CFD7">
      <w:pPr>
        <w:pStyle w:val="Standard"/>
        <w:keepNext/>
        <w:rPr>
          <w:rFonts w:eastAsia="Book Antiqua" w:cs="Book Antiqua"/>
        </w:rPr>
      </w:pPr>
      <w:r>
        <w:rPr>
          <w:rFonts w:eastAsia="Book Antiqua" w:cs="Book Antiqua"/>
        </w:rPr>
        <w:t xml:space="preserve">The bill </w:t>
      </w:r>
      <w:r w:rsidR="002530C9">
        <w:rPr>
          <w:rFonts w:eastAsia="Book Antiqua" w:cs="Book Antiqua"/>
        </w:rPr>
        <w:t>provides</w:t>
      </w:r>
      <w:r w:rsidR="00746538">
        <w:rPr>
          <w:rFonts w:eastAsia="Book Antiqua" w:cs="Book Antiqua"/>
        </w:rPr>
        <w:t xml:space="preserve"> two </w:t>
      </w:r>
      <w:r>
        <w:rPr>
          <w:rFonts w:eastAsia="Book Antiqua" w:cs="Book Antiqua"/>
        </w:rPr>
        <w:t xml:space="preserve">additional </w:t>
      </w:r>
      <w:r w:rsidR="00746538">
        <w:rPr>
          <w:rFonts w:eastAsia="Book Antiqua" w:cs="Book Antiqua"/>
        </w:rPr>
        <w:t xml:space="preserve">clarifications: </w:t>
      </w:r>
    </w:p>
    <w:p w:rsidRPr="0091411A" w:rsidR="00746538" w:rsidP="0091411A" w:rsidRDefault="00746538" w14:paraId="00148B6A" w14:textId="59520910">
      <w:pPr>
        <w:pStyle w:val="ListBullet"/>
      </w:pPr>
      <w:r w:rsidRPr="0091411A">
        <w:t xml:space="preserve">For the purposes of this item, “Aliso Canyon Disaster Area” means the City of Los Angeles communities of Porter Ranch, Granada </w:t>
      </w:r>
      <w:r w:rsidR="00E3646E">
        <w:t>Hills</w:t>
      </w:r>
      <w:r w:rsidRPr="0091411A">
        <w:t>, Northridge</w:t>
      </w:r>
      <w:r w:rsidRPr="0091411A" w:rsidR="004A78DB">
        <w:t>, Chats</w:t>
      </w:r>
      <w:r w:rsidRPr="0091411A" w:rsidR="00E10C74">
        <w:t xml:space="preserve">worth, North Hills, Canoga Park, Reseda, Winnetka, West Hills, Van Nuys, and Lake Balboa; and </w:t>
      </w:r>
    </w:p>
    <w:p w:rsidRPr="0091411A" w:rsidR="00815158" w:rsidP="0091411A" w:rsidRDefault="00E10C74" w14:paraId="405E5651" w14:textId="1A1DE8A6">
      <w:pPr>
        <w:pStyle w:val="ListBullet"/>
      </w:pPr>
      <w:r w:rsidRPr="0091411A">
        <w:t>The funds</w:t>
      </w:r>
      <w:r w:rsidRPr="0091411A" w:rsidR="00AF2F01">
        <w:t xml:space="preserve"> in this Item</w:t>
      </w:r>
      <w:r w:rsidRPr="0091411A" w:rsidR="003311F3">
        <w:t xml:space="preserve"> shall be available for encumbrance or expenditure by the Commission until June 30, 2027, and shall be made available for liquidation until June 30, 2030. </w:t>
      </w:r>
    </w:p>
    <w:p w:rsidR="003D3209" w:rsidP="00F26527" w:rsidRDefault="00E97280" w14:paraId="54FA5902" w14:textId="3F6FC471">
      <w:pPr>
        <w:pStyle w:val="Standard"/>
        <w:rPr>
          <w:rFonts w:eastAsia="Book Antiqua" w:cs="Book Antiqua"/>
        </w:rPr>
      </w:pPr>
      <w:r>
        <w:rPr>
          <w:rFonts w:eastAsia="Book Antiqua" w:cs="Book Antiqua"/>
        </w:rPr>
        <w:t xml:space="preserve">The </w:t>
      </w:r>
      <w:r>
        <w:t xml:space="preserve">Assigned </w:t>
      </w:r>
      <w:r w:rsidR="00F4725B">
        <w:t>ALJ’s</w:t>
      </w:r>
      <w:r>
        <w:t xml:space="preserve"> Ruling </w:t>
      </w:r>
      <w:r w:rsidR="00F4725B">
        <w:t>issued on October 8, 2024</w:t>
      </w:r>
      <w:r w:rsidR="00E92147">
        <w:t xml:space="preserve">, sought </w:t>
      </w:r>
      <w:r w:rsidR="00B96271">
        <w:rPr>
          <w:rFonts w:eastAsia="Book Antiqua" w:cs="Book Antiqua"/>
        </w:rPr>
        <w:t>comment</w:t>
      </w:r>
      <w:r w:rsidR="00E92147">
        <w:rPr>
          <w:rFonts w:eastAsia="Book Antiqua" w:cs="Book Antiqua"/>
        </w:rPr>
        <w:t>s</w:t>
      </w:r>
      <w:r w:rsidR="00B96271">
        <w:rPr>
          <w:rFonts w:eastAsia="Book Antiqua" w:cs="Book Antiqua"/>
        </w:rPr>
        <w:t xml:space="preserve"> on the following</w:t>
      </w:r>
      <w:r w:rsidR="003D3209">
        <w:rPr>
          <w:rFonts w:eastAsia="Book Antiqua" w:cs="Book Antiqua"/>
        </w:rPr>
        <w:t xml:space="preserve"> six questions</w:t>
      </w:r>
      <w:r w:rsidR="00F26527">
        <w:rPr>
          <w:rFonts w:eastAsia="Book Antiqua" w:cs="Book Antiqua"/>
        </w:rPr>
        <w:t>:</w:t>
      </w:r>
      <w:r w:rsidR="003D3209">
        <w:rPr>
          <w:rFonts w:eastAsia="Book Antiqua" w:cs="Book Antiqua"/>
        </w:rPr>
        <w:t xml:space="preserve"> </w:t>
      </w:r>
    </w:p>
    <w:p w:rsidR="00F26527" w:rsidP="0091411A" w:rsidRDefault="00151F3D" w14:paraId="03DABCF4" w14:textId="1B601334">
      <w:pPr>
        <w:pStyle w:val="ListNum"/>
      </w:pPr>
      <w:r w:rsidRPr="0025697E">
        <w:t xml:space="preserve">Should </w:t>
      </w:r>
      <w:r w:rsidR="00240655">
        <w:t>AB </w:t>
      </w:r>
      <w:r w:rsidRPr="0025697E">
        <w:t>157’s new TECH Initiative funding be allocated to program costs, administrative costs of the implementer, administrator costs for the contractor agent, and evaluation costs paid to the program evaluator in a manner consistent with D.20-03-027 and D.23-02-005? Why or why not? If not, how else, specifically, and why should those allocations be made?</w:t>
      </w:r>
    </w:p>
    <w:p w:rsidRPr="0091411A" w:rsidR="00F26527" w:rsidP="0091411A" w:rsidRDefault="009006B0" w14:paraId="64952D12" w14:textId="77777777">
      <w:pPr>
        <w:pStyle w:val="ListNum"/>
      </w:pPr>
      <w:r w:rsidRPr="0091411A">
        <w:lastRenderedPageBreak/>
        <w:t>Regarding the new TECH Initiative funding, should the Commission retain or modify the requirement introduced by D.23-02-005 that 40 percent of all new program costs for activities must serve equity customers?</w:t>
      </w:r>
    </w:p>
    <w:p w:rsidRPr="0091411A" w:rsidR="00F26527" w:rsidP="0091411A" w:rsidRDefault="00E36C2F" w14:paraId="1FAE7127" w14:textId="77777777">
      <w:pPr>
        <w:pStyle w:val="ListNum"/>
      </w:pPr>
      <w:r w:rsidRPr="0091411A">
        <w:t xml:space="preserve">Is further clarification needed on what “additional new measures for enabling comprehensive building electrification” should be authorized by the Commission beyond “energy audits, panel upgrades, and electrical wiring repairs” for the TECH Initiative implementer? Why or why not? If so, what should those additional new measures be? </w:t>
      </w:r>
    </w:p>
    <w:p w:rsidRPr="0091411A" w:rsidR="00F26527" w:rsidP="0091411A" w:rsidRDefault="000D1516" w14:paraId="05ECD78E" w14:textId="19C72A02">
      <w:pPr>
        <w:pStyle w:val="ListNum"/>
      </w:pPr>
      <w:r w:rsidRPr="0091411A">
        <w:t xml:space="preserve">What other programmatic changes should the Commission consider in order to effectively implement the new TECH initiative funding consistent with the requirements of </w:t>
      </w:r>
      <w:r w:rsidR="00240655">
        <w:t>AB </w:t>
      </w:r>
      <w:r w:rsidRPr="0091411A">
        <w:t>157 (e.g. how should “priority” be determined for receiving funds in the Aliso Canyon Disaster Area, how can the Commission ensure that the expenditure of funds shall not cause the displacement of tenants in upgraded rental housing units and shall be used to limit cost impacts on tenants, etc.)?</w:t>
      </w:r>
    </w:p>
    <w:p w:rsidRPr="0091411A" w:rsidR="00F26527" w:rsidP="0091411A" w:rsidRDefault="002D4BF5" w14:paraId="3332246B" w14:textId="77777777">
      <w:pPr>
        <w:pStyle w:val="ListNum"/>
      </w:pPr>
      <w:r w:rsidRPr="0091411A">
        <w:t>What, if any, new direction should be given to the TECH Initiative contracting agent to facilitate the transfer and accounting of the new TECH Initiative funding?</w:t>
      </w:r>
    </w:p>
    <w:p w:rsidRPr="0091411A" w:rsidR="0014781A" w:rsidP="0091411A" w:rsidRDefault="0014781A" w14:paraId="0BF2D38D" w14:textId="3A358B6A">
      <w:pPr>
        <w:pStyle w:val="ListNum"/>
      </w:pPr>
      <w:r w:rsidRPr="0091411A">
        <w:t>What, if any, new reporting requirements should be imposed on the TECH Initiative implementer regarding expenditure of the new TECH Initiative funding?</w:t>
      </w:r>
    </w:p>
    <w:p w:rsidRPr="004166D8" w:rsidR="005D14CF" w:rsidP="005D14CF" w:rsidRDefault="002317AD" w14:paraId="0A081108" w14:textId="39A21711">
      <w:pPr>
        <w:pStyle w:val="Heading2"/>
      </w:pPr>
      <w:bookmarkStart w:name="_Toc185425613" w:id="741"/>
      <w:bookmarkStart w:name="_Toc185496687" w:id="742"/>
      <w:bookmarkStart w:name="_Toc185496897" w:id="743"/>
      <w:bookmarkStart w:name="_Toc185497008" w:id="744"/>
      <w:bookmarkStart w:name="_Toc185579389" w:id="745"/>
      <w:bookmarkStart w:name="_Toc192263715" w:id="746"/>
      <w:bookmarkStart w:name="_Toc200370992" w:id="747"/>
      <w:bookmarkEnd w:id="741"/>
      <w:bookmarkEnd w:id="742"/>
      <w:bookmarkEnd w:id="743"/>
      <w:bookmarkEnd w:id="744"/>
      <w:r w:rsidRPr="004166D8">
        <w:t>Budgetary Considerations</w:t>
      </w:r>
      <w:bookmarkEnd w:id="745"/>
      <w:bookmarkEnd w:id="746"/>
      <w:bookmarkEnd w:id="747"/>
    </w:p>
    <w:p w:rsidRPr="004166D8" w:rsidR="002317AD" w:rsidP="002317AD" w:rsidRDefault="002317AD" w14:paraId="0A7EC5A0" w14:textId="26C9B18B">
      <w:pPr>
        <w:pStyle w:val="Heading3"/>
      </w:pPr>
      <w:bookmarkStart w:name="_Toc184501832" w:id="748"/>
      <w:bookmarkStart w:name="_Toc184680266" w:id="749"/>
      <w:bookmarkStart w:name="_Toc184830947" w:id="750"/>
      <w:bookmarkStart w:name="_Toc184831198" w:id="751"/>
      <w:bookmarkStart w:name="_Toc184840715" w:id="752"/>
      <w:bookmarkStart w:name="_Toc184840824" w:id="753"/>
      <w:bookmarkStart w:name="_Toc184854735" w:id="754"/>
      <w:bookmarkStart w:name="_Toc185269702" w:id="755"/>
      <w:bookmarkStart w:name="_Toc185275808" w:id="756"/>
      <w:bookmarkStart w:name="_Toc185278497" w:id="757"/>
      <w:bookmarkStart w:name="_Toc185278601" w:id="758"/>
      <w:bookmarkStart w:name="_Toc185278705" w:id="759"/>
      <w:bookmarkStart w:name="_Toc185278889" w:id="760"/>
      <w:bookmarkStart w:name="_Toc185321850" w:id="761"/>
      <w:bookmarkStart w:name="_Toc185329800" w:id="762"/>
      <w:bookmarkStart w:name="_Toc185366219" w:id="763"/>
      <w:bookmarkStart w:name="_Toc185368875" w:id="764"/>
      <w:bookmarkStart w:name="_Toc185420483" w:id="765"/>
      <w:bookmarkStart w:name="_Toc185421299" w:id="766"/>
      <w:bookmarkStart w:name="_Toc185422597" w:id="767"/>
      <w:bookmarkStart w:name="_Toc185425615" w:id="768"/>
      <w:bookmarkStart w:name="_Toc185496689" w:id="769"/>
      <w:bookmarkStart w:name="_Toc185496899" w:id="770"/>
      <w:bookmarkStart w:name="_Toc185497010" w:id="771"/>
      <w:bookmarkStart w:name="_Toc185579390" w:id="772"/>
      <w:bookmarkStart w:name="_Toc192263716" w:id="773"/>
      <w:bookmarkStart w:name="_Toc200370993" w:id="774"/>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4166D8">
        <w:t xml:space="preserve">Summary of </w:t>
      </w:r>
      <w:r w:rsidR="00081C88">
        <w:t>Party Positions</w:t>
      </w:r>
      <w:bookmarkEnd w:id="772"/>
      <w:bookmarkEnd w:id="773"/>
      <w:bookmarkEnd w:id="774"/>
    </w:p>
    <w:p w:rsidR="00711BD9" w:rsidP="001110A1" w:rsidRDefault="00F0302D" w14:paraId="04EF4347" w14:textId="2D178AEB">
      <w:pPr>
        <w:pStyle w:val="Standard"/>
      </w:pPr>
      <w:r>
        <w:t xml:space="preserve">Parties </w:t>
      </w:r>
      <w:r w:rsidR="00A950B5">
        <w:t>fil</w:t>
      </w:r>
      <w:r>
        <w:t xml:space="preserve">ed comments on whether the new TECH Initiative funding from </w:t>
      </w:r>
      <w:r w:rsidR="00240655">
        <w:t>AB </w:t>
      </w:r>
      <w:r>
        <w:t>157 should maintain the same cost caps consistent with D.20-03-027 and D.23</w:t>
      </w:r>
      <w:r w:rsidR="0091411A">
        <w:noBreakHyphen/>
      </w:r>
      <w:r>
        <w:t>02</w:t>
      </w:r>
      <w:r w:rsidR="0091411A">
        <w:noBreakHyphen/>
      </w:r>
      <w:r>
        <w:t xml:space="preserve">005 for </w:t>
      </w:r>
      <w:r w:rsidR="181ADA18">
        <w:t xml:space="preserve">administrative costs of the implementer </w:t>
      </w:r>
      <w:r>
        <w:t>(10</w:t>
      </w:r>
      <w:r w:rsidR="000B72C9">
        <w:t> percent</w:t>
      </w:r>
      <w:r>
        <w:t>), program evaluation (2.5</w:t>
      </w:r>
      <w:r w:rsidR="000B72C9">
        <w:t> percent</w:t>
      </w:r>
      <w:r>
        <w:t>)</w:t>
      </w:r>
      <w:r w:rsidR="00A67C42">
        <w:t xml:space="preserve">, and contracting agent </w:t>
      </w:r>
      <w:r w:rsidR="00620C6F">
        <w:t>responsibilities</w:t>
      </w:r>
      <w:r w:rsidR="00A67C42">
        <w:t xml:space="preserve"> (1</w:t>
      </w:r>
      <w:r w:rsidR="000B72C9">
        <w:t> percent</w:t>
      </w:r>
      <w:r w:rsidR="00A67C42">
        <w:t>)</w:t>
      </w:r>
      <w:r>
        <w:t>.</w:t>
      </w:r>
    </w:p>
    <w:p w:rsidR="005C77D6" w:rsidP="001110A1" w:rsidRDefault="005D5228" w14:paraId="038C7C23" w14:textId="77777777">
      <w:pPr>
        <w:pStyle w:val="Standard"/>
      </w:pPr>
      <w:r>
        <w:t>Cal Advocates</w:t>
      </w:r>
      <w:r w:rsidR="00D52F4A">
        <w:t xml:space="preserve"> states </w:t>
      </w:r>
      <w:r w:rsidR="008B2DA8">
        <w:t xml:space="preserve">the </w:t>
      </w:r>
      <w:r w:rsidR="001B24AB">
        <w:t>cost caps should remain consistent with D.</w:t>
      </w:r>
      <w:r w:rsidR="00862784">
        <w:t>20</w:t>
      </w:r>
      <w:r w:rsidR="0091411A">
        <w:noBreakHyphen/>
      </w:r>
      <w:r w:rsidR="00862784">
        <w:t>03</w:t>
      </w:r>
      <w:r w:rsidR="0091411A">
        <w:noBreakHyphen/>
      </w:r>
      <w:r w:rsidR="00862784">
        <w:t>027 and D.23-02-005</w:t>
      </w:r>
      <w:r w:rsidR="008A3110">
        <w:t xml:space="preserve">, </w:t>
      </w:r>
      <w:r w:rsidR="002F775D">
        <w:t>noting</w:t>
      </w:r>
      <w:r w:rsidR="008A3110">
        <w:t xml:space="preserve"> </w:t>
      </w:r>
      <w:r w:rsidR="00456267">
        <w:t xml:space="preserve">what remains </w:t>
      </w:r>
      <w:r w:rsidR="00AA2A4C">
        <w:t xml:space="preserve">is </w:t>
      </w:r>
      <w:r w:rsidR="008A3110">
        <w:t>86</w:t>
      </w:r>
      <w:r w:rsidR="005C3521">
        <w:t>.5</w:t>
      </w:r>
      <w:r w:rsidR="000B72C9">
        <w:t> percent</w:t>
      </w:r>
      <w:r w:rsidR="008A3110">
        <w:t xml:space="preserve"> of funds for </w:t>
      </w:r>
      <w:r w:rsidR="008A3110">
        <w:lastRenderedPageBreak/>
        <w:t>program costs, which include</w:t>
      </w:r>
      <w:r w:rsidR="00E13ACC">
        <w:t xml:space="preserve"> both </w:t>
      </w:r>
      <w:r w:rsidR="00444210">
        <w:t>customer</w:t>
      </w:r>
      <w:r w:rsidR="00E13ACC">
        <w:t xml:space="preserve"> incentives</w:t>
      </w:r>
      <w:r w:rsidR="00444210">
        <w:t xml:space="preserve"> and additional programmatic </w:t>
      </w:r>
      <w:r w:rsidR="00C278FA">
        <w:t>expenditures</w:t>
      </w:r>
      <w:r w:rsidR="00444210">
        <w:t xml:space="preserve"> (e.g., </w:t>
      </w:r>
      <w:r w:rsidR="00C278FA">
        <w:t xml:space="preserve">contractor training, </w:t>
      </w:r>
      <w:r w:rsidR="00444210">
        <w:t xml:space="preserve">quick start grants, </w:t>
      </w:r>
      <w:r w:rsidR="00C278FA">
        <w:t xml:space="preserve">loan loss reserve, </w:t>
      </w:r>
      <w:r w:rsidR="004D2E3E">
        <w:t xml:space="preserve">pilots, </w:t>
      </w:r>
      <w:r w:rsidR="00C278FA">
        <w:t>etc.)</w:t>
      </w:r>
      <w:r w:rsidR="00E13ACC">
        <w:t>.</w:t>
      </w:r>
      <w:r w:rsidR="00E13ACC">
        <w:rPr>
          <w:rStyle w:val="FootnoteReference"/>
        </w:rPr>
        <w:footnoteReference w:id="148"/>
      </w:r>
      <w:r w:rsidR="00862784">
        <w:t xml:space="preserve"> </w:t>
      </w:r>
      <w:r w:rsidR="009B1C7D">
        <w:t xml:space="preserve">Of those costs, </w:t>
      </w:r>
      <w:r>
        <w:t>Cal Advocates</w:t>
      </w:r>
      <w:r w:rsidR="00114BFF">
        <w:t xml:space="preserve"> recommends </w:t>
      </w:r>
      <w:r w:rsidR="002F775D">
        <w:t xml:space="preserve">placing </w:t>
      </w:r>
      <w:r w:rsidR="00114BFF">
        <w:t>a cost cap of 6.5</w:t>
      </w:r>
      <w:r w:rsidR="000B72C9">
        <w:t> percent</w:t>
      </w:r>
      <w:r w:rsidR="00114BFF">
        <w:t xml:space="preserve"> on </w:t>
      </w:r>
      <w:r w:rsidR="009B1C7D">
        <w:t>additional programmatic</w:t>
      </w:r>
      <w:r w:rsidR="00114BFF">
        <w:t xml:space="preserve"> </w:t>
      </w:r>
      <w:r w:rsidR="009B1C7D">
        <w:t>expenditures</w:t>
      </w:r>
      <w:r w:rsidR="00013755">
        <w:t xml:space="preserve"> while reserving the remaining 80</w:t>
      </w:r>
      <w:r w:rsidR="000B72C9">
        <w:t> percent</w:t>
      </w:r>
      <w:r w:rsidR="00013755">
        <w:t xml:space="preserve"> of funding for customer incentives.</w:t>
      </w:r>
      <w:r w:rsidR="00DC3369">
        <w:rPr>
          <w:rStyle w:val="FootnoteReference"/>
        </w:rPr>
        <w:footnoteReference w:id="149"/>
      </w:r>
      <w:r w:rsidR="00742A83">
        <w:t xml:space="preserve"> </w:t>
      </w:r>
    </w:p>
    <w:p w:rsidR="002317AD" w:rsidP="001110A1" w:rsidRDefault="00742A83" w14:paraId="60D72FF1" w14:textId="22ACE05D">
      <w:pPr>
        <w:pStyle w:val="Standard"/>
      </w:pPr>
      <w:r>
        <w:t xml:space="preserve">SCE recommends </w:t>
      </w:r>
      <w:r w:rsidR="002F775D">
        <w:t xml:space="preserve">allocating </w:t>
      </w:r>
      <w:r w:rsidR="006159DA">
        <w:t xml:space="preserve">the full </w:t>
      </w:r>
      <w:r w:rsidR="00017602">
        <w:t>86.5</w:t>
      </w:r>
      <w:r w:rsidR="000B72C9">
        <w:t> percent</w:t>
      </w:r>
      <w:r w:rsidR="00576A37">
        <w:t xml:space="preserve"> of program costs for customer incentives</w:t>
      </w:r>
      <w:r>
        <w:t>, emphasizing the need to scale up electric heat pump adoption in the state</w:t>
      </w:r>
      <w:r w:rsidR="00386A69">
        <w:t xml:space="preserve"> and </w:t>
      </w:r>
      <w:r w:rsidR="00B12057">
        <w:t xml:space="preserve">asserting </w:t>
      </w:r>
      <w:r w:rsidR="00386A69">
        <w:t>that funding should not be utilized for efforts like quick start grants, pilots, or loan loss reserve</w:t>
      </w:r>
      <w:r w:rsidR="008B7AC6">
        <w:t>.</w:t>
      </w:r>
      <w:r w:rsidR="008B7AC6">
        <w:rPr>
          <w:rStyle w:val="FootnoteReference"/>
        </w:rPr>
        <w:footnoteReference w:id="150"/>
      </w:r>
      <w:r w:rsidR="00F835FF">
        <w:t xml:space="preserve"> SCE recommends eliminating any further program evaluation, and instead directing </w:t>
      </w:r>
      <w:r w:rsidR="002F775D">
        <w:t xml:space="preserve">that </w:t>
      </w:r>
      <w:r w:rsidR="00F835FF">
        <w:t>2.5</w:t>
      </w:r>
      <w:r w:rsidR="000B72C9">
        <w:t> percent</w:t>
      </w:r>
      <w:r w:rsidR="00F835FF">
        <w:t xml:space="preserve"> of funding to program incentives.</w:t>
      </w:r>
      <w:r w:rsidR="00F835FF">
        <w:rPr>
          <w:rStyle w:val="FootnoteReference"/>
        </w:rPr>
        <w:footnoteReference w:id="151"/>
      </w:r>
      <w:r w:rsidR="00C21227">
        <w:t xml:space="preserve"> </w:t>
      </w:r>
    </w:p>
    <w:p w:rsidR="00C21227" w:rsidP="001110A1" w:rsidRDefault="00E113F5" w14:paraId="5A63F28F" w14:textId="5BBC384E">
      <w:pPr>
        <w:pStyle w:val="Standard"/>
      </w:pPr>
      <w:r>
        <w:t xml:space="preserve">CAC </w:t>
      </w:r>
      <w:r w:rsidR="0053139A">
        <w:t>recommend</w:t>
      </w:r>
      <w:r w:rsidR="009148B8">
        <w:t xml:space="preserve">s 120-volt HPWHs be the only appliance </w:t>
      </w:r>
      <w:r w:rsidR="002F775D">
        <w:t>su</w:t>
      </w:r>
      <w:r w:rsidR="009148B8">
        <w:t xml:space="preserve">pported with </w:t>
      </w:r>
      <w:r w:rsidR="00240655">
        <w:t>AB </w:t>
      </w:r>
      <w:r w:rsidR="009148B8">
        <w:t xml:space="preserve">157 funds. </w:t>
      </w:r>
      <w:r w:rsidR="000E6151">
        <w:t xml:space="preserve">CAC </w:t>
      </w:r>
      <w:r w:rsidR="007F3584">
        <w:t>argue</w:t>
      </w:r>
      <w:r w:rsidR="000E6151">
        <w:t>s</w:t>
      </w:r>
      <w:r w:rsidR="007F3584">
        <w:t xml:space="preserve"> </w:t>
      </w:r>
      <w:r w:rsidR="000712B7">
        <w:t xml:space="preserve">HPWHs </w:t>
      </w:r>
      <w:r w:rsidR="009541C3">
        <w:t xml:space="preserve">are the most cost-effective </w:t>
      </w:r>
      <w:r w:rsidR="00BF6B7C">
        <w:t xml:space="preserve">way </w:t>
      </w:r>
      <w:r w:rsidR="009541C3">
        <w:t xml:space="preserve">to decarbonize the Aliso Canyon Disaster Area because they </w:t>
      </w:r>
      <w:r w:rsidR="008C77BD">
        <w:t>are less likely to necessitate</w:t>
      </w:r>
      <w:r w:rsidR="009541C3">
        <w:t xml:space="preserve"> panel upgrades</w:t>
      </w:r>
      <w:r w:rsidR="001D055E">
        <w:t>, would maximize winter gas use reductions,</w:t>
      </w:r>
      <w:r w:rsidR="009325E7">
        <w:rPr>
          <w:rStyle w:val="FootnoteReference"/>
        </w:rPr>
        <w:footnoteReference w:id="152"/>
      </w:r>
      <w:r w:rsidR="001D055E">
        <w:t xml:space="preserve"> and have </w:t>
      </w:r>
      <w:r w:rsidR="00A56E1C">
        <w:t xml:space="preserve">a </w:t>
      </w:r>
      <w:r w:rsidR="001D055E">
        <w:t xml:space="preserve">lower average cost than </w:t>
      </w:r>
      <w:r w:rsidR="00267A74">
        <w:t>heat pump</w:t>
      </w:r>
      <w:r w:rsidR="004356CA">
        <w:t xml:space="preserve"> heating</w:t>
      </w:r>
      <w:r w:rsidR="009940F6">
        <w:t xml:space="preserve">, </w:t>
      </w:r>
      <w:r w:rsidRPr="009940F6" w:rsidR="009940F6">
        <w:t>ventilation, and air conditioning</w:t>
      </w:r>
      <w:r w:rsidR="009940F6">
        <w:t xml:space="preserve"> (</w:t>
      </w:r>
      <w:r w:rsidR="0078358C">
        <w:t>HVAC</w:t>
      </w:r>
      <w:r w:rsidR="009940F6">
        <w:t>)</w:t>
      </w:r>
      <w:r w:rsidR="0078358C">
        <w:t xml:space="preserve"> units.</w:t>
      </w:r>
      <w:r w:rsidR="00D322CC">
        <w:rPr>
          <w:rStyle w:val="FootnoteReference"/>
        </w:rPr>
        <w:footnoteReference w:id="153"/>
      </w:r>
      <w:r w:rsidR="0053139A">
        <w:t xml:space="preserve"> </w:t>
      </w:r>
    </w:p>
    <w:p w:rsidR="007D6BC2" w:rsidP="009E515D" w:rsidRDefault="007D6BC2" w14:paraId="6BBC2E7E" w14:textId="27DEEF3F">
      <w:pPr>
        <w:pStyle w:val="Standard"/>
        <w:rPr>
          <w:rFonts w:cstheme="minorHAnsi"/>
          <w:szCs w:val="26"/>
        </w:rPr>
      </w:pPr>
      <w:r w:rsidRPr="53A54C7D">
        <w:t xml:space="preserve">CAC adds that </w:t>
      </w:r>
      <w:r w:rsidRPr="53A54C7D" w:rsidR="000E6151">
        <w:t>its</w:t>
      </w:r>
      <w:r w:rsidRPr="53A54C7D">
        <w:t xml:space="preserve"> proposal to focus on 120-volt </w:t>
      </w:r>
      <w:r w:rsidRPr="53A54C7D" w:rsidR="00852D44">
        <w:t>HPWHs</w:t>
      </w:r>
      <w:r w:rsidRPr="53A54C7D">
        <w:t xml:space="preserve"> would work by coordinating with LADWP to combine </w:t>
      </w:r>
      <w:r w:rsidRPr="53A54C7D" w:rsidR="00473488">
        <w:t xml:space="preserve">new </w:t>
      </w:r>
      <w:r w:rsidR="00240655">
        <w:t>AB </w:t>
      </w:r>
      <w:r w:rsidRPr="53A54C7D">
        <w:t xml:space="preserve">157 funds with </w:t>
      </w:r>
      <w:r w:rsidRPr="53A54C7D" w:rsidR="00730873">
        <w:t>its</w:t>
      </w:r>
      <w:r w:rsidRPr="53A54C7D">
        <w:t xml:space="preserve"> own rebates</w:t>
      </w:r>
      <w:r w:rsidRPr="53A54C7D" w:rsidR="001244D1">
        <w:t>,</w:t>
      </w:r>
      <w:r w:rsidRPr="53A54C7D">
        <w:t xml:space="preserve"> </w:t>
      </w:r>
      <w:r w:rsidRPr="53A54C7D">
        <w:lastRenderedPageBreak/>
        <w:t xml:space="preserve">and </w:t>
      </w:r>
      <w:r w:rsidRPr="53A54C7D" w:rsidR="001244D1">
        <w:t xml:space="preserve">could </w:t>
      </w:r>
      <w:r w:rsidRPr="53A54C7D">
        <w:t>utilize HEEHRA</w:t>
      </w:r>
      <w:r w:rsidRPr="53A54C7D" w:rsidR="0080427E">
        <w:t xml:space="preserve"> Program</w:t>
      </w:r>
      <w:r w:rsidRPr="53A54C7D">
        <w:t xml:space="preserve"> funds</w:t>
      </w:r>
      <w:r w:rsidRPr="53A54C7D" w:rsidR="006D7208">
        <w:t>,</w:t>
      </w:r>
      <w:r w:rsidRPr="53A54C7D">
        <w:t xml:space="preserve"> as well.</w:t>
      </w:r>
      <w:r w:rsidRPr="53A54C7D">
        <w:rPr>
          <w:rStyle w:val="FootnoteReference"/>
        </w:rPr>
        <w:footnoteReference w:id="154"/>
      </w:r>
      <w:r w:rsidRPr="53A54C7D">
        <w:t xml:space="preserve"> CAC also recommends the Commission require SoCalGas to distribute an e-mail and bill insert announcement re</w:t>
      </w:r>
      <w:r w:rsidRPr="53A54C7D" w:rsidR="006D7208">
        <w:t>g</w:t>
      </w:r>
      <w:r w:rsidRPr="53A54C7D">
        <w:t>a</w:t>
      </w:r>
      <w:r w:rsidRPr="53A54C7D" w:rsidR="006D7208">
        <w:t>r</w:t>
      </w:r>
      <w:r w:rsidRPr="53A54C7D">
        <w:t xml:space="preserve">ding the new </w:t>
      </w:r>
      <w:r w:rsidR="00240655">
        <w:t>AB </w:t>
      </w:r>
      <w:r w:rsidRPr="53A54C7D" w:rsidR="006D7208">
        <w:t>157</w:t>
      </w:r>
      <w:r w:rsidRPr="53A54C7D">
        <w:t xml:space="preserve"> fund</w:t>
      </w:r>
      <w:r w:rsidRPr="53A54C7D" w:rsidR="006D7208">
        <w:t>s</w:t>
      </w:r>
      <w:r w:rsidRPr="53A54C7D">
        <w:t>, which should be created by the TECH Initiative implementer</w:t>
      </w:r>
      <w:r w:rsidRPr="53A54C7D" w:rsidR="001671A8">
        <w:t>,</w:t>
      </w:r>
      <w:r w:rsidRPr="53A54C7D">
        <w:t xml:space="preserve"> and not SoCalGas.</w:t>
      </w:r>
      <w:r w:rsidRPr="53A54C7D">
        <w:rPr>
          <w:rStyle w:val="FootnoteReference"/>
        </w:rPr>
        <w:footnoteReference w:id="155"/>
      </w:r>
      <w:r w:rsidRPr="53A54C7D">
        <w:t xml:space="preserve"> </w:t>
      </w:r>
    </w:p>
    <w:p w:rsidR="00372F0E" w:rsidP="009E515D" w:rsidRDefault="00372F0E" w14:paraId="6144D2F9" w14:textId="333AA94B">
      <w:pPr>
        <w:pStyle w:val="Standard"/>
        <w:rPr>
          <w:rFonts w:cstheme="minorHAnsi"/>
          <w:szCs w:val="26"/>
        </w:rPr>
      </w:pPr>
      <w:r w:rsidRPr="53A54C7D">
        <w:t>VEIC</w:t>
      </w:r>
      <w:r w:rsidRPr="53A54C7D" w:rsidR="00122111">
        <w:t xml:space="preserve"> recommends </w:t>
      </w:r>
      <w:r w:rsidR="002F775D">
        <w:t xml:space="preserve">keeping </w:t>
      </w:r>
      <w:r w:rsidRPr="53A54C7D" w:rsidR="00065E22">
        <w:t>the existing budget allocation caps established in D.</w:t>
      </w:r>
      <w:r w:rsidRPr="53A54C7D" w:rsidR="00FE392E">
        <w:t>20-03-027 and D.</w:t>
      </w:r>
      <w:r w:rsidRPr="53A54C7D" w:rsidR="00CA4E1A">
        <w:t>23-02-005.</w:t>
      </w:r>
      <w:r w:rsidRPr="53A54C7D" w:rsidR="003B1465">
        <w:rPr>
          <w:rStyle w:val="FootnoteReference"/>
        </w:rPr>
        <w:footnoteReference w:id="156"/>
      </w:r>
      <w:r w:rsidRPr="53A54C7D" w:rsidR="00CA4E1A">
        <w:t xml:space="preserve"> </w:t>
      </w:r>
    </w:p>
    <w:p w:rsidRPr="008757B2" w:rsidR="00501348" w:rsidP="009E515D" w:rsidRDefault="008757B2" w14:paraId="351AA006" w14:textId="39283E4B">
      <w:pPr>
        <w:pStyle w:val="Standard"/>
        <w:rPr>
          <w:rFonts w:cstheme="minorHAnsi"/>
          <w:szCs w:val="26"/>
        </w:rPr>
      </w:pPr>
      <w:r w:rsidRPr="53A54C7D">
        <w:t>In response to CAC, A.O. Smith agrees 100</w:t>
      </w:r>
      <w:r w:rsidR="000B72C9">
        <w:t> percent</w:t>
      </w:r>
      <w:r w:rsidRPr="53A54C7D">
        <w:t xml:space="preserve"> of the </w:t>
      </w:r>
      <w:r w:rsidR="00240655">
        <w:t>AB </w:t>
      </w:r>
      <w:r w:rsidRPr="53A54C7D">
        <w:t>157 funds should be directed at HPWHs</w:t>
      </w:r>
      <w:r w:rsidRPr="53A54C7D" w:rsidR="007A2AFF">
        <w:t xml:space="preserve">, but notes it should include all HPWHs regardless of their </w:t>
      </w:r>
      <w:r w:rsidRPr="53A54C7D" w:rsidR="00CA3C6D">
        <w:t xml:space="preserve">required </w:t>
      </w:r>
      <w:r w:rsidRPr="53A54C7D" w:rsidR="007A2AFF">
        <w:t>voltage</w:t>
      </w:r>
      <w:r w:rsidRPr="53A54C7D">
        <w:t>.</w:t>
      </w:r>
      <w:r w:rsidRPr="53A54C7D" w:rsidR="007A2AFF">
        <w:rPr>
          <w:rStyle w:val="FootnoteReference"/>
        </w:rPr>
        <w:footnoteReference w:id="157"/>
      </w:r>
      <w:r w:rsidRPr="53A54C7D">
        <w:t xml:space="preserve"> SoCalGas </w:t>
      </w:r>
      <w:r w:rsidR="00052BF4">
        <w:t>opposes</w:t>
      </w:r>
      <w:r w:rsidRPr="53A54C7D">
        <w:t xml:space="preserve"> CAC’s recommendation t</w:t>
      </w:r>
      <w:r w:rsidR="00770E35">
        <w:t>o</w:t>
      </w:r>
      <w:r w:rsidRPr="53A54C7D" w:rsidR="001A6874">
        <w:t xml:space="preserve"> </w:t>
      </w:r>
      <w:r w:rsidRPr="53A54C7D">
        <w:t xml:space="preserve">require SoCalGas to distribute an e-mail and bill insert announcement </w:t>
      </w:r>
      <w:r w:rsidRPr="53A54C7D" w:rsidR="009323A8">
        <w:t xml:space="preserve">regarding </w:t>
      </w:r>
      <w:r w:rsidRPr="53A54C7D">
        <w:t xml:space="preserve">the </w:t>
      </w:r>
      <w:r w:rsidRPr="53A54C7D" w:rsidR="009323A8">
        <w:t xml:space="preserve">new </w:t>
      </w:r>
      <w:r w:rsidR="00240655">
        <w:t>AB </w:t>
      </w:r>
      <w:r w:rsidRPr="53A54C7D" w:rsidR="009323A8">
        <w:t>157 funds</w:t>
      </w:r>
      <w:r w:rsidRPr="53A54C7D">
        <w:t>.</w:t>
      </w:r>
      <w:r w:rsidRPr="53A54C7D">
        <w:rPr>
          <w:rStyle w:val="FootnoteReference"/>
        </w:rPr>
        <w:footnoteReference w:id="158"/>
      </w:r>
      <w:r w:rsidRPr="53A54C7D">
        <w:t xml:space="preserve"> </w:t>
      </w:r>
      <w:r w:rsidR="00052BF4">
        <w:t>SoCalGas</w:t>
      </w:r>
      <w:r w:rsidRPr="53A54C7D">
        <w:t xml:space="preserve"> argue</w:t>
      </w:r>
      <w:r w:rsidR="00850D82">
        <w:t>s</w:t>
      </w:r>
      <w:r w:rsidRPr="53A54C7D">
        <w:t xml:space="preserve"> utility bill inserts are an extension of the company’s main business and operational funds</w:t>
      </w:r>
      <w:r w:rsidRPr="53A54C7D" w:rsidR="00696597">
        <w:t>,</w:t>
      </w:r>
      <w:r w:rsidRPr="53A54C7D">
        <w:t xml:space="preserve"> as they are generally intended to communicate information in a consistent manner to all customers and not within a specified geographical area.</w:t>
      </w:r>
      <w:r w:rsidRPr="53A54C7D">
        <w:rPr>
          <w:rStyle w:val="FootnoteReference"/>
        </w:rPr>
        <w:footnoteReference w:id="159"/>
      </w:r>
      <w:r w:rsidRPr="53A54C7D">
        <w:t xml:space="preserve"> SoCalGas further </w:t>
      </w:r>
      <w:r w:rsidR="0017275C">
        <w:t>explain</w:t>
      </w:r>
      <w:r w:rsidRPr="53A54C7D">
        <w:t xml:space="preserve">s </w:t>
      </w:r>
      <w:r w:rsidR="0017275C">
        <w:t>that</w:t>
      </w:r>
      <w:r w:rsidRPr="53A54C7D">
        <w:t xml:space="preserve"> </w:t>
      </w:r>
      <w:r w:rsidR="00240655">
        <w:t>AB </w:t>
      </w:r>
      <w:r w:rsidRPr="53A54C7D">
        <w:t xml:space="preserve">157 funding is limited to a subset of SoCalGas customers, </w:t>
      </w:r>
      <w:r w:rsidR="0017275C">
        <w:t xml:space="preserve">and </w:t>
      </w:r>
      <w:r w:rsidRPr="53A54C7D">
        <w:t xml:space="preserve">sending bill inserts to all customers would create </w:t>
      </w:r>
      <w:r w:rsidRPr="53A54C7D" w:rsidR="00C25D92">
        <w:t xml:space="preserve">unnecessary </w:t>
      </w:r>
      <w:r w:rsidRPr="53A54C7D">
        <w:t>confusion for those ineligible for funding.</w:t>
      </w:r>
      <w:r w:rsidRPr="53A54C7D">
        <w:rPr>
          <w:rStyle w:val="FootnoteReference"/>
        </w:rPr>
        <w:footnoteReference w:id="160"/>
      </w:r>
    </w:p>
    <w:p w:rsidR="006C0BFB" w:rsidP="002B16E9" w:rsidRDefault="006C0BFB" w14:paraId="7ED666FC" w14:textId="709CC64E">
      <w:pPr>
        <w:pStyle w:val="Standard"/>
      </w:pPr>
      <w:r>
        <w:t xml:space="preserve">LADWP </w:t>
      </w:r>
      <w:r w:rsidR="00B72BC0">
        <w:t xml:space="preserve">recommends </w:t>
      </w:r>
      <w:r w:rsidR="00240655">
        <w:t>AB </w:t>
      </w:r>
      <w:r w:rsidR="00B72BC0">
        <w:t xml:space="preserve">157 funds be entirely allocated to </w:t>
      </w:r>
      <w:r w:rsidR="00A0200F">
        <w:t xml:space="preserve">downstream incentives in the form of </w:t>
      </w:r>
      <w:r w:rsidR="00B72BC0">
        <w:t>direct customer rebates, excluding administrative costs</w:t>
      </w:r>
      <w:r w:rsidR="00F434D4">
        <w:t xml:space="preserve">. </w:t>
      </w:r>
      <w:r w:rsidR="000E15B6">
        <w:lastRenderedPageBreak/>
        <w:t>LADWP</w:t>
      </w:r>
      <w:r w:rsidR="00F434D4">
        <w:t xml:space="preserve"> argue</w:t>
      </w:r>
      <w:r w:rsidR="000E15B6">
        <w:t>s</w:t>
      </w:r>
      <w:r w:rsidR="00F434D4">
        <w:t xml:space="preserve"> this approach maximizes the funds’ impact by focusing on </w:t>
      </w:r>
      <w:r w:rsidR="00041331">
        <w:t>GHG</w:t>
      </w:r>
      <w:r w:rsidR="00F434D4">
        <w:t xml:space="preserve"> reduction and efficient community electrification efforts within the Aliso Canyon Disaster Area.</w:t>
      </w:r>
      <w:r w:rsidR="00F434D4">
        <w:rPr>
          <w:rStyle w:val="FootnoteReference"/>
        </w:rPr>
        <w:footnoteReference w:id="161"/>
      </w:r>
    </w:p>
    <w:p w:rsidR="008F2B11" w:rsidP="002B16E9" w:rsidRDefault="008F2B11" w14:paraId="17A84900" w14:textId="609D07A9">
      <w:pPr>
        <w:pStyle w:val="Standard"/>
      </w:pPr>
      <w:r>
        <w:t xml:space="preserve">VEIC disagrees with CAC </w:t>
      </w:r>
      <w:r w:rsidR="000E4D02">
        <w:t xml:space="preserve">that the </w:t>
      </w:r>
      <w:r w:rsidR="00240655">
        <w:t>AB </w:t>
      </w:r>
      <w:r w:rsidR="000E4D02">
        <w:t>157 funds be used</w:t>
      </w:r>
      <w:r w:rsidR="002F172C">
        <w:t xml:space="preserve"> </w:t>
      </w:r>
      <w:r w:rsidR="00847872">
        <w:t xml:space="preserve">exclusively </w:t>
      </w:r>
      <w:r w:rsidR="002F172C">
        <w:t>for the installation of 120-volt HPWHs</w:t>
      </w:r>
      <w:r w:rsidR="00A85EE1">
        <w:t xml:space="preserve">, </w:t>
      </w:r>
      <w:r w:rsidR="000E15B6">
        <w:t>and argues</w:t>
      </w:r>
      <w:r w:rsidR="00BC4CE8">
        <w:t xml:space="preserve"> </w:t>
      </w:r>
      <w:r w:rsidR="00A85EE1">
        <w:t>that by constraining the program to a single technology solution</w:t>
      </w:r>
      <w:r w:rsidR="009204ED">
        <w:t xml:space="preserve">, this may limit the TECH Initiative implementer from delivering on the other stated priorities of </w:t>
      </w:r>
      <w:r w:rsidR="00240655">
        <w:t>AB </w:t>
      </w:r>
      <w:r w:rsidR="009204ED">
        <w:t>157.</w:t>
      </w:r>
      <w:r w:rsidR="007C6F6D">
        <w:rPr>
          <w:rStyle w:val="FootnoteReference"/>
        </w:rPr>
        <w:footnoteReference w:id="162"/>
      </w:r>
    </w:p>
    <w:p w:rsidRPr="004166D8" w:rsidR="00D60FC7" w:rsidP="000E7D14" w:rsidRDefault="00D60FC7" w14:paraId="4884D11B" w14:textId="686C259B">
      <w:pPr>
        <w:pStyle w:val="Heading3"/>
      </w:pPr>
      <w:bookmarkStart w:name="_Toc185579392" w:id="775"/>
      <w:bookmarkStart w:name="_Toc192263718" w:id="776"/>
      <w:bookmarkStart w:name="_Toc200370994" w:id="777"/>
      <w:r w:rsidRPr="004166D8">
        <w:t>Discussion</w:t>
      </w:r>
      <w:bookmarkEnd w:id="775"/>
      <w:bookmarkEnd w:id="776"/>
      <w:bookmarkEnd w:id="777"/>
    </w:p>
    <w:p w:rsidR="0011212B" w:rsidP="009E515D" w:rsidRDefault="002976A1" w14:paraId="4B90A39A" w14:textId="367329C5">
      <w:pPr>
        <w:pStyle w:val="Standard"/>
      </w:pPr>
      <w:r w:rsidRPr="002976A1">
        <w:rPr>
          <w:rFonts w:cstheme="minorHAnsi"/>
          <w:szCs w:val="26"/>
        </w:rPr>
        <w:t xml:space="preserve">We are persuaded by </w:t>
      </w:r>
      <w:r>
        <w:rPr>
          <w:rFonts w:cstheme="minorHAnsi"/>
          <w:szCs w:val="26"/>
        </w:rPr>
        <w:t>m</w:t>
      </w:r>
      <w:r w:rsidR="00817395">
        <w:rPr>
          <w:rFonts w:cstheme="minorHAnsi"/>
          <w:szCs w:val="26"/>
        </w:rPr>
        <w:t>any</w:t>
      </w:r>
      <w:r w:rsidR="00C84313">
        <w:rPr>
          <w:rFonts w:cstheme="minorHAnsi"/>
          <w:szCs w:val="26"/>
        </w:rPr>
        <w:t xml:space="preserve"> part</w:t>
      </w:r>
      <w:r w:rsidR="00817395">
        <w:rPr>
          <w:rFonts w:cstheme="minorHAnsi"/>
          <w:szCs w:val="26"/>
        </w:rPr>
        <w:t>ies</w:t>
      </w:r>
      <w:r w:rsidR="00C84313">
        <w:rPr>
          <w:rFonts w:cstheme="minorHAnsi"/>
          <w:szCs w:val="26"/>
        </w:rPr>
        <w:t xml:space="preserve"> </w:t>
      </w:r>
      <w:r>
        <w:rPr>
          <w:rFonts w:cstheme="minorHAnsi"/>
          <w:szCs w:val="26"/>
        </w:rPr>
        <w:t>that</w:t>
      </w:r>
      <w:r w:rsidR="00C84313">
        <w:rPr>
          <w:rFonts w:cstheme="minorHAnsi"/>
          <w:szCs w:val="26"/>
        </w:rPr>
        <w:t xml:space="preserve"> </w:t>
      </w:r>
      <w:r w:rsidR="00817395">
        <w:rPr>
          <w:rFonts w:cstheme="minorHAnsi"/>
          <w:szCs w:val="26"/>
        </w:rPr>
        <w:t>s</w:t>
      </w:r>
      <w:r w:rsidR="00D00015">
        <w:rPr>
          <w:rFonts w:cstheme="minorHAnsi"/>
          <w:szCs w:val="26"/>
        </w:rPr>
        <w:t>upport maintaining</w:t>
      </w:r>
      <w:r w:rsidR="00C84313">
        <w:rPr>
          <w:rFonts w:cstheme="minorHAnsi"/>
          <w:szCs w:val="26"/>
        </w:rPr>
        <w:t xml:space="preserve"> the </w:t>
      </w:r>
      <w:r w:rsidR="006D1961">
        <w:rPr>
          <w:rFonts w:cstheme="minorHAnsi"/>
          <w:szCs w:val="26"/>
        </w:rPr>
        <w:t xml:space="preserve">existing budgetary allocations of </w:t>
      </w:r>
      <w:r w:rsidR="006D1961">
        <w:t>10</w:t>
      </w:r>
      <w:r w:rsidR="000B72C9">
        <w:t> percent</w:t>
      </w:r>
      <w:r w:rsidR="006D1961">
        <w:t xml:space="preserve"> for program implementation</w:t>
      </w:r>
      <w:r w:rsidR="00CD318F">
        <w:t xml:space="preserve"> and 1</w:t>
      </w:r>
      <w:r w:rsidR="000B72C9">
        <w:t> percent</w:t>
      </w:r>
      <w:r w:rsidR="00CD318F">
        <w:t xml:space="preserve"> for </w:t>
      </w:r>
      <w:r w:rsidR="006D1961">
        <w:t>contracting agent responsibilities</w:t>
      </w:r>
      <w:r w:rsidR="000A3579">
        <w:t xml:space="preserve">. </w:t>
      </w:r>
      <w:r w:rsidR="00F63427">
        <w:t xml:space="preserve"> </w:t>
      </w:r>
    </w:p>
    <w:p w:rsidR="0011212B" w:rsidP="009E515D" w:rsidRDefault="00141441" w14:paraId="152EC111" w14:textId="16A1BB02">
      <w:pPr>
        <w:pStyle w:val="Standard"/>
        <w:rPr>
          <w:rFonts w:cstheme="minorHAnsi"/>
          <w:szCs w:val="26"/>
        </w:rPr>
      </w:pPr>
      <w:r>
        <w:t xml:space="preserve">Regarding </w:t>
      </w:r>
      <w:r w:rsidR="00452ABD">
        <w:t xml:space="preserve">program evaluation, </w:t>
      </w:r>
      <w:r w:rsidR="004C38B4">
        <w:t xml:space="preserve">we </w:t>
      </w:r>
      <w:r w:rsidR="006D1205">
        <w:t>are not persuaded by</w:t>
      </w:r>
      <w:r w:rsidR="004C38B4">
        <w:t xml:space="preserve"> SCE</w:t>
      </w:r>
      <w:r w:rsidR="006D1205">
        <w:t xml:space="preserve">’s </w:t>
      </w:r>
      <w:r w:rsidR="00B60422">
        <w:t>argument</w:t>
      </w:r>
      <w:r w:rsidR="004C38B4">
        <w:t xml:space="preserve"> that </w:t>
      </w:r>
      <w:r w:rsidR="0011212B">
        <w:t xml:space="preserve">funding should be eliminated and reallocated </w:t>
      </w:r>
      <w:r w:rsidR="00B5149C">
        <w:t>for</w:t>
      </w:r>
      <w:r w:rsidR="0011212B">
        <w:t xml:space="preserve"> program costs.</w:t>
      </w:r>
      <w:r w:rsidR="0011212B">
        <w:rPr>
          <w:rFonts w:cstheme="minorHAnsi"/>
          <w:szCs w:val="26"/>
        </w:rPr>
        <w:t xml:space="preserve"> </w:t>
      </w:r>
      <w:r w:rsidR="00B444BD">
        <w:rPr>
          <w:rFonts w:cstheme="minorHAnsi"/>
          <w:szCs w:val="26"/>
        </w:rPr>
        <w:t xml:space="preserve">While </w:t>
      </w:r>
      <w:r w:rsidR="00370EA5">
        <w:rPr>
          <w:rFonts w:cstheme="minorHAnsi"/>
          <w:szCs w:val="26"/>
        </w:rPr>
        <w:t xml:space="preserve">it is necessary to direct funding first and foremost for scaling up </w:t>
      </w:r>
      <w:r w:rsidR="001742EE">
        <w:rPr>
          <w:rFonts w:cstheme="minorHAnsi"/>
          <w:szCs w:val="26"/>
        </w:rPr>
        <w:t>the</w:t>
      </w:r>
      <w:r w:rsidR="00370EA5">
        <w:rPr>
          <w:rFonts w:cstheme="minorHAnsi"/>
          <w:szCs w:val="26"/>
        </w:rPr>
        <w:t xml:space="preserve"> adoption </w:t>
      </w:r>
      <w:r w:rsidR="001742EE">
        <w:rPr>
          <w:rFonts w:cstheme="minorHAnsi"/>
          <w:szCs w:val="26"/>
        </w:rPr>
        <w:t xml:space="preserve">of heat pump appliances </w:t>
      </w:r>
      <w:r w:rsidR="00370EA5">
        <w:rPr>
          <w:rFonts w:cstheme="minorHAnsi"/>
          <w:szCs w:val="26"/>
        </w:rPr>
        <w:t xml:space="preserve">through the provision of program incentives, we recognize </w:t>
      </w:r>
      <w:r w:rsidR="00240655">
        <w:rPr>
          <w:rFonts w:cstheme="minorHAnsi"/>
          <w:szCs w:val="26"/>
        </w:rPr>
        <w:t>AB </w:t>
      </w:r>
      <w:r w:rsidR="00370EA5">
        <w:rPr>
          <w:rFonts w:cstheme="minorHAnsi"/>
          <w:szCs w:val="26"/>
        </w:rPr>
        <w:t xml:space="preserve">157 includes additional requirements not previously addressed in either D.20-03-027 or D.23-02-005, including </w:t>
      </w:r>
      <w:r w:rsidR="00794291">
        <w:rPr>
          <w:rFonts w:cstheme="minorHAnsi"/>
          <w:szCs w:val="26"/>
        </w:rPr>
        <w:t xml:space="preserve">(1) </w:t>
      </w:r>
      <w:r w:rsidR="00370EA5">
        <w:rPr>
          <w:rFonts w:cstheme="minorHAnsi"/>
          <w:szCs w:val="26"/>
        </w:rPr>
        <w:t>the prioritization to direct funding to communities in the vicinity of the Aliso Canyon natural gas storage facility</w:t>
      </w:r>
      <w:r w:rsidR="00794291">
        <w:rPr>
          <w:rFonts w:cstheme="minorHAnsi"/>
          <w:szCs w:val="26"/>
        </w:rPr>
        <w:t>,</w:t>
      </w:r>
      <w:r w:rsidR="00370EA5">
        <w:rPr>
          <w:rFonts w:cstheme="minorHAnsi"/>
          <w:szCs w:val="26"/>
        </w:rPr>
        <w:t xml:space="preserve"> and </w:t>
      </w:r>
      <w:r w:rsidR="00794291">
        <w:rPr>
          <w:rFonts w:cstheme="minorHAnsi"/>
          <w:szCs w:val="26"/>
        </w:rPr>
        <w:t xml:space="preserve">(2) </w:t>
      </w:r>
      <w:r w:rsidR="007D6065">
        <w:rPr>
          <w:rFonts w:cstheme="minorHAnsi"/>
          <w:szCs w:val="26"/>
        </w:rPr>
        <w:t xml:space="preserve">the </w:t>
      </w:r>
      <w:r w:rsidR="00370EA5">
        <w:rPr>
          <w:rFonts w:cstheme="minorHAnsi"/>
          <w:szCs w:val="26"/>
        </w:rPr>
        <w:t>requir</w:t>
      </w:r>
      <w:r w:rsidR="00794291">
        <w:rPr>
          <w:rFonts w:cstheme="minorHAnsi"/>
          <w:szCs w:val="26"/>
        </w:rPr>
        <w:t>ement</w:t>
      </w:r>
      <w:r w:rsidR="00370EA5">
        <w:rPr>
          <w:rFonts w:cstheme="minorHAnsi"/>
          <w:szCs w:val="26"/>
        </w:rPr>
        <w:t xml:space="preserve"> that the use of funds not result in tenant displacement. Given these additional requirements, </w:t>
      </w:r>
      <w:r w:rsidR="00E0425E">
        <w:rPr>
          <w:rFonts w:cstheme="minorHAnsi"/>
          <w:szCs w:val="26"/>
        </w:rPr>
        <w:t xml:space="preserve">maintaining </w:t>
      </w:r>
      <w:r w:rsidR="00370EA5">
        <w:rPr>
          <w:rFonts w:cstheme="minorHAnsi"/>
          <w:szCs w:val="26"/>
        </w:rPr>
        <w:t>2.5</w:t>
      </w:r>
      <w:r w:rsidR="000B72C9">
        <w:rPr>
          <w:rFonts w:cstheme="minorHAnsi"/>
          <w:szCs w:val="26"/>
        </w:rPr>
        <w:t> percent</w:t>
      </w:r>
      <w:r w:rsidR="00370EA5">
        <w:rPr>
          <w:rFonts w:cstheme="minorHAnsi"/>
          <w:szCs w:val="26"/>
        </w:rPr>
        <w:t xml:space="preserve"> of the </w:t>
      </w:r>
      <w:r w:rsidR="00045CC3">
        <w:rPr>
          <w:rFonts w:cstheme="minorHAnsi"/>
          <w:szCs w:val="26"/>
        </w:rPr>
        <w:t xml:space="preserve">augmented budget </w:t>
      </w:r>
      <w:r w:rsidR="009D6D6E">
        <w:rPr>
          <w:rFonts w:cstheme="minorHAnsi"/>
          <w:szCs w:val="26"/>
        </w:rPr>
        <w:t xml:space="preserve">for program </w:t>
      </w:r>
      <w:r w:rsidR="00370EA5">
        <w:rPr>
          <w:rFonts w:cstheme="minorHAnsi"/>
          <w:szCs w:val="26"/>
        </w:rPr>
        <w:t>evaluation is a</w:t>
      </w:r>
      <w:r w:rsidR="00D27322">
        <w:rPr>
          <w:rFonts w:cstheme="minorHAnsi"/>
          <w:szCs w:val="26"/>
        </w:rPr>
        <w:t>ppropriate</w:t>
      </w:r>
      <w:r w:rsidR="005862C2">
        <w:rPr>
          <w:rFonts w:cstheme="minorHAnsi"/>
          <w:szCs w:val="26"/>
        </w:rPr>
        <w:t>. This will allow for an after the fact assessment of</w:t>
      </w:r>
      <w:r w:rsidR="00370EA5">
        <w:rPr>
          <w:rFonts w:cstheme="minorHAnsi"/>
          <w:szCs w:val="26"/>
        </w:rPr>
        <w:t xml:space="preserve"> the expenditure of </w:t>
      </w:r>
      <w:r w:rsidR="00240655">
        <w:rPr>
          <w:rFonts w:cstheme="minorHAnsi"/>
          <w:szCs w:val="26"/>
        </w:rPr>
        <w:t>AB </w:t>
      </w:r>
      <w:r w:rsidR="00370EA5">
        <w:rPr>
          <w:rFonts w:cstheme="minorHAnsi"/>
          <w:szCs w:val="26"/>
        </w:rPr>
        <w:t xml:space="preserve">157 funds for </w:t>
      </w:r>
      <w:r w:rsidR="009E58F5">
        <w:rPr>
          <w:rFonts w:cstheme="minorHAnsi"/>
          <w:szCs w:val="26"/>
        </w:rPr>
        <w:t xml:space="preserve">these </w:t>
      </w:r>
      <w:r w:rsidR="00370EA5">
        <w:rPr>
          <w:rFonts w:cstheme="minorHAnsi"/>
          <w:szCs w:val="26"/>
        </w:rPr>
        <w:t xml:space="preserve">new purposes not previously authorized as part of the </w:t>
      </w:r>
      <w:r w:rsidR="009E58F5">
        <w:rPr>
          <w:rFonts w:cstheme="minorHAnsi"/>
          <w:szCs w:val="26"/>
        </w:rPr>
        <w:t xml:space="preserve">initial </w:t>
      </w:r>
      <w:r w:rsidR="00370EA5">
        <w:rPr>
          <w:rFonts w:cstheme="minorHAnsi"/>
          <w:szCs w:val="26"/>
        </w:rPr>
        <w:t>TECH Initiative.</w:t>
      </w:r>
    </w:p>
    <w:p w:rsidR="00B444BD" w:rsidP="009E515D" w:rsidRDefault="006E7704" w14:paraId="64379C49" w14:textId="0D2ED732">
      <w:pPr>
        <w:pStyle w:val="Standard"/>
      </w:pPr>
      <w:r w:rsidRPr="731FED01">
        <w:lastRenderedPageBreak/>
        <w:t>We are persuaded by</w:t>
      </w:r>
      <w:r w:rsidRPr="731FED01" w:rsidR="00370EA5">
        <w:t xml:space="preserve"> SCE’s recommendation for </w:t>
      </w:r>
      <w:r w:rsidRPr="731FED01" w:rsidR="003F19DB">
        <w:t xml:space="preserve">new </w:t>
      </w:r>
      <w:r w:rsidRPr="731FED01" w:rsidR="00370EA5">
        <w:t xml:space="preserve">funds to </w:t>
      </w:r>
      <w:r w:rsidRPr="731FED01" w:rsidR="003F19DB">
        <w:t xml:space="preserve">be dedicated exclusively to </w:t>
      </w:r>
      <w:r w:rsidR="003F19DB">
        <w:t xml:space="preserve">customer incentives and </w:t>
      </w:r>
      <w:r w:rsidRPr="731FED01" w:rsidR="00370EA5">
        <w:t xml:space="preserve">not be utilized for </w:t>
      </w:r>
      <w:r w:rsidR="003F19DB">
        <w:t>additional programmatic expenditures</w:t>
      </w:r>
      <w:r w:rsidR="00C22EE1">
        <w:t xml:space="preserve"> </w:t>
      </w:r>
      <w:r w:rsidRPr="731FED01" w:rsidR="00370EA5">
        <w:t>like quick start grants, pilots, or loan loss reserve</w:t>
      </w:r>
      <w:r w:rsidRPr="731FED01" w:rsidR="003F19DB">
        <w:t>.</w:t>
      </w:r>
      <w:r w:rsidRPr="731FED01" w:rsidR="00370EA5">
        <w:t xml:space="preserve"> </w:t>
      </w:r>
      <w:r w:rsidRPr="731FED01" w:rsidR="0082689F">
        <w:t>However, w</w:t>
      </w:r>
      <w:r w:rsidRPr="731FED01" w:rsidR="00504679">
        <w:t>e</w:t>
      </w:r>
      <w:r w:rsidRPr="731FED01" w:rsidR="00C5069B">
        <w:t xml:space="preserve"> </w:t>
      </w:r>
      <w:r w:rsidRPr="731FED01" w:rsidR="007C3DD9">
        <w:t>do not restrict the TECH Initiative implementer from</w:t>
      </w:r>
      <w:r w:rsidRPr="731FED01" w:rsidR="00B017D7">
        <w:t xml:space="preserve"> continuing to provide </w:t>
      </w:r>
      <w:r w:rsidRPr="731FED01" w:rsidR="006175BA">
        <w:t>workforce education and training</w:t>
      </w:r>
      <w:r w:rsidRPr="731FED01" w:rsidR="7ECC2E9D">
        <w:t>, verifying income eligibility, and reporting natur</w:t>
      </w:r>
      <w:r w:rsidRPr="731FED01" w:rsidR="73FD2B5E">
        <w:t xml:space="preserve">al gas </w:t>
      </w:r>
      <w:r w:rsidRPr="731FED01" w:rsidR="4DF8DE33">
        <w:t>demand reduction</w:t>
      </w:r>
      <w:r w:rsidR="000853D4">
        <w:t>,</w:t>
      </w:r>
      <w:r w:rsidRPr="731FED01" w:rsidR="73FD2B5E">
        <w:t xml:space="preserve"> as required by AB 157</w:t>
      </w:r>
      <w:r w:rsidRPr="731FED01" w:rsidR="006175BA">
        <w:t>.</w:t>
      </w:r>
      <w:r w:rsidRPr="731FED01" w:rsidR="235476CF">
        <w:t xml:space="preserve"> </w:t>
      </w:r>
      <w:r w:rsidR="0056355F">
        <w:t>For this</w:t>
      </w:r>
      <w:r w:rsidRPr="731FED01" w:rsidR="235476CF">
        <w:t xml:space="preserve"> latter effort, </w:t>
      </w:r>
      <w:r w:rsidRPr="731FED01" w:rsidR="0056355F">
        <w:t xml:space="preserve">the TECH Initiative implementer </w:t>
      </w:r>
      <w:r w:rsidRPr="731FED01" w:rsidR="235476CF">
        <w:t>will collaborat</w:t>
      </w:r>
      <w:r w:rsidR="0056355F">
        <w:t>e</w:t>
      </w:r>
      <w:r w:rsidRPr="731FED01" w:rsidR="235476CF">
        <w:t xml:space="preserve"> with the TECH </w:t>
      </w:r>
      <w:r w:rsidR="00640DFA">
        <w:t xml:space="preserve">Initiative </w:t>
      </w:r>
      <w:r w:rsidRPr="731FED01" w:rsidR="235476CF">
        <w:t>evaluator.</w:t>
      </w:r>
      <w:r w:rsidRPr="731FED01" w:rsidR="006175BA">
        <w:t xml:space="preserve"> As such, w</w:t>
      </w:r>
      <w:r w:rsidRPr="731FED01" w:rsidR="003F19DB">
        <w:t xml:space="preserve">e </w:t>
      </w:r>
      <w:r w:rsidRPr="731FED01" w:rsidR="00370EA5">
        <w:t xml:space="preserve">direct the TECH Initiative implementer to only utilize new </w:t>
      </w:r>
      <w:r w:rsidRPr="731FED01" w:rsidR="009F4096">
        <w:t xml:space="preserve">program cost </w:t>
      </w:r>
      <w:r w:rsidRPr="731FED01" w:rsidR="00370EA5">
        <w:t xml:space="preserve">funding for </w:t>
      </w:r>
      <w:r w:rsidRPr="731FED01" w:rsidR="003F19DB">
        <w:t xml:space="preserve">customer </w:t>
      </w:r>
      <w:r w:rsidRPr="731FED01" w:rsidR="00370EA5">
        <w:t xml:space="preserve">incentives, </w:t>
      </w:r>
      <w:r w:rsidRPr="731FED01" w:rsidDel="009F4096" w:rsidR="00370EA5">
        <w:t xml:space="preserve">the </w:t>
      </w:r>
      <w:r w:rsidRPr="731FED01" w:rsidR="00C56126">
        <w:t>administration of tenant protections</w:t>
      </w:r>
      <w:r w:rsidRPr="731FED01" w:rsidR="00A51CC0">
        <w:t>,</w:t>
      </w:r>
      <w:r w:rsidRPr="731FED01" w:rsidR="00370EA5">
        <w:t xml:space="preserve"> workforce education and training efforts</w:t>
      </w:r>
      <w:r w:rsidRPr="731FED01" w:rsidR="4F545D4A">
        <w:t>, verifying income eligibility, and reporting natural gas demand reduction</w:t>
      </w:r>
      <w:r w:rsidR="000853D4">
        <w:t>,</w:t>
      </w:r>
      <w:r w:rsidRPr="731FED01" w:rsidR="4F545D4A">
        <w:t xml:space="preserve"> as required by AB 157</w:t>
      </w:r>
      <w:r w:rsidR="001E3ED1">
        <w:t>.</w:t>
      </w:r>
    </w:p>
    <w:p w:rsidR="00F73A28" w:rsidP="009E515D" w:rsidRDefault="009F4096" w14:paraId="78524302" w14:textId="4A230BA7">
      <w:pPr>
        <w:pStyle w:val="Standard"/>
        <w:rPr>
          <w:rFonts w:cstheme="minorHAnsi"/>
          <w:szCs w:val="26"/>
        </w:rPr>
      </w:pPr>
      <w:r>
        <w:rPr>
          <w:rFonts w:cstheme="minorHAnsi"/>
          <w:szCs w:val="26"/>
        </w:rPr>
        <w:t xml:space="preserve">We </w:t>
      </w:r>
      <w:r w:rsidR="00360CF3">
        <w:rPr>
          <w:rFonts w:cstheme="minorHAnsi"/>
          <w:szCs w:val="26"/>
        </w:rPr>
        <w:t>reject</w:t>
      </w:r>
      <w:r>
        <w:rPr>
          <w:rFonts w:cstheme="minorHAnsi"/>
          <w:szCs w:val="26"/>
        </w:rPr>
        <w:t xml:space="preserve"> </w:t>
      </w:r>
      <w:r w:rsidR="004366AE">
        <w:rPr>
          <w:rFonts w:cstheme="minorHAnsi"/>
          <w:szCs w:val="26"/>
        </w:rPr>
        <w:t xml:space="preserve">CAC’s recommendation to </w:t>
      </w:r>
      <w:r w:rsidR="00642C8D">
        <w:rPr>
          <w:rFonts w:cstheme="minorHAnsi"/>
          <w:szCs w:val="26"/>
        </w:rPr>
        <w:t xml:space="preserve">dedicate </w:t>
      </w:r>
      <w:r w:rsidR="00F66055">
        <w:rPr>
          <w:rFonts w:cstheme="minorHAnsi"/>
          <w:szCs w:val="26"/>
        </w:rPr>
        <w:t>customer incentive funding exclusively for 120-volt HPWHs.</w:t>
      </w:r>
      <w:r w:rsidR="00F73A28">
        <w:rPr>
          <w:rFonts w:cstheme="minorHAnsi"/>
          <w:szCs w:val="26"/>
        </w:rPr>
        <w:t xml:space="preserve"> </w:t>
      </w:r>
      <w:r w:rsidR="00E9104F">
        <w:rPr>
          <w:rFonts w:cstheme="minorHAnsi"/>
          <w:szCs w:val="26"/>
        </w:rPr>
        <w:t>W</w:t>
      </w:r>
      <w:r w:rsidR="00F73A28">
        <w:rPr>
          <w:rFonts w:cstheme="minorHAnsi"/>
          <w:szCs w:val="26"/>
        </w:rPr>
        <w:t xml:space="preserve">e </w:t>
      </w:r>
      <w:r w:rsidR="001201BF">
        <w:rPr>
          <w:rFonts w:cstheme="minorHAnsi"/>
          <w:szCs w:val="26"/>
        </w:rPr>
        <w:t>share</w:t>
      </w:r>
      <w:r w:rsidR="00FB6944">
        <w:rPr>
          <w:rFonts w:cstheme="minorHAnsi"/>
          <w:szCs w:val="26"/>
        </w:rPr>
        <w:t xml:space="preserve"> </w:t>
      </w:r>
      <w:r w:rsidR="00F73A28">
        <w:rPr>
          <w:rFonts w:cstheme="minorHAnsi"/>
          <w:szCs w:val="26"/>
        </w:rPr>
        <w:t>VEIC</w:t>
      </w:r>
      <w:r w:rsidR="005C2990">
        <w:rPr>
          <w:rFonts w:cstheme="minorHAnsi"/>
          <w:szCs w:val="26"/>
        </w:rPr>
        <w:t xml:space="preserve">’s </w:t>
      </w:r>
      <w:r w:rsidR="001201BF">
        <w:rPr>
          <w:rFonts w:cstheme="minorHAnsi"/>
          <w:szCs w:val="26"/>
        </w:rPr>
        <w:t>concern</w:t>
      </w:r>
      <w:r w:rsidR="00F73A28">
        <w:rPr>
          <w:rFonts w:cstheme="minorHAnsi"/>
          <w:szCs w:val="26"/>
        </w:rPr>
        <w:t xml:space="preserve"> that </w:t>
      </w:r>
      <w:r w:rsidR="00A02352">
        <w:t xml:space="preserve">constraining program </w:t>
      </w:r>
      <w:r w:rsidR="00730044">
        <w:t xml:space="preserve">funding </w:t>
      </w:r>
      <w:r w:rsidR="00A02352">
        <w:t>to a single technology solution may limit the TECH Initiative implementer</w:t>
      </w:r>
      <w:r w:rsidR="0090631A">
        <w:t xml:space="preserve">’s ability to deliver </w:t>
      </w:r>
      <w:r w:rsidR="003D55DE">
        <w:t xml:space="preserve">on </w:t>
      </w:r>
      <w:r w:rsidR="00240655">
        <w:t>AB </w:t>
      </w:r>
      <w:r w:rsidR="00E51782">
        <w:t>157’s</w:t>
      </w:r>
      <w:r w:rsidR="003D55DE">
        <w:t xml:space="preserve"> stated priorities.</w:t>
      </w:r>
      <w:r w:rsidR="00CF6D40">
        <w:t xml:space="preserve"> We </w:t>
      </w:r>
      <w:r w:rsidR="00E51782">
        <w:t>also</w:t>
      </w:r>
      <w:r w:rsidR="00CF6D40">
        <w:t xml:space="preserve"> decline to</w:t>
      </w:r>
      <w:r w:rsidR="00A1569D">
        <w:t xml:space="preserve"> adopt LADWP’s recommendation to </w:t>
      </w:r>
      <w:r w:rsidR="009839F2">
        <w:t>direct funding for</w:t>
      </w:r>
      <w:r w:rsidR="00416C40">
        <w:t xml:space="preserve"> downstream </w:t>
      </w:r>
      <w:r w:rsidR="00BF44DA">
        <w:t>customer rebates</w:t>
      </w:r>
      <w:r w:rsidR="002F3508">
        <w:t xml:space="preserve">, as </w:t>
      </w:r>
      <w:r w:rsidR="00240655">
        <w:t>AB </w:t>
      </w:r>
      <w:r w:rsidR="009C49AB">
        <w:t xml:space="preserve">157 did not authorize such a change and </w:t>
      </w:r>
      <w:r w:rsidRPr="00D73341" w:rsidR="00D73341">
        <w:t>Pub. Util.</w:t>
      </w:r>
      <w:r w:rsidRPr="00D73341" w:rsidR="00874557">
        <w:t xml:space="preserve"> Code</w:t>
      </w:r>
      <w:r w:rsidR="00874557">
        <w:t xml:space="preserve"> Section 922 </w:t>
      </w:r>
      <w:r w:rsidR="002E2714">
        <w:t xml:space="preserve">states TECH Initiative </w:t>
      </w:r>
      <w:r w:rsidR="0048142C">
        <w:t xml:space="preserve">funding </w:t>
      </w:r>
      <w:r w:rsidR="00496682">
        <w:t xml:space="preserve">must be </w:t>
      </w:r>
      <w:r w:rsidR="0048142C">
        <w:t xml:space="preserve">directed </w:t>
      </w:r>
      <w:r w:rsidR="00E907A2">
        <w:t xml:space="preserve">exclusively </w:t>
      </w:r>
      <w:r w:rsidR="00496682">
        <w:t xml:space="preserve">for </w:t>
      </w:r>
      <w:r w:rsidR="002E2714">
        <w:t>“</w:t>
      </w:r>
      <w:r w:rsidRPr="002E2714" w:rsidR="002E2714">
        <w:t>the provision of upstream and midstream incentives</w:t>
      </w:r>
      <w:r w:rsidR="0089201C">
        <w:t>.</w:t>
      </w:r>
      <w:r w:rsidR="002E2714">
        <w:t>”</w:t>
      </w:r>
    </w:p>
    <w:p w:rsidR="00C544DA" w:rsidP="009E515D" w:rsidRDefault="00F73A28" w14:paraId="01AA5E05" w14:textId="3D82E161">
      <w:pPr>
        <w:pStyle w:val="Standard"/>
        <w:rPr>
          <w:rFonts w:cstheme="minorHAnsi"/>
          <w:szCs w:val="26"/>
        </w:rPr>
      </w:pPr>
      <w:r w:rsidRPr="53A54C7D">
        <w:t xml:space="preserve">We </w:t>
      </w:r>
      <w:r w:rsidR="006D15C7">
        <w:t>reject</w:t>
      </w:r>
      <w:r w:rsidRPr="53A54C7D">
        <w:t xml:space="preserve"> CAC’s recommendation that SoCalGas distribute bill inserts and e-mail notices informing customers of available incentives.</w:t>
      </w:r>
      <w:r w:rsidRPr="53A54C7D" w:rsidR="00DE1D00">
        <w:t xml:space="preserve"> In addition to </w:t>
      </w:r>
      <w:r w:rsidRPr="53A54C7D" w:rsidR="00B2447C">
        <w:t>the $40</w:t>
      </w:r>
      <w:r w:rsidR="002E58D8">
        <w:t> million</w:t>
      </w:r>
      <w:r w:rsidRPr="53A54C7D" w:rsidR="002D631B">
        <w:t xml:space="preserve"> provided by </w:t>
      </w:r>
      <w:r w:rsidR="00240655">
        <w:t>AB </w:t>
      </w:r>
      <w:r w:rsidRPr="53A54C7D" w:rsidR="002D631B">
        <w:t>157 to augment the TECH Initiative</w:t>
      </w:r>
      <w:r w:rsidRPr="53A54C7D" w:rsidR="00567103">
        <w:t xml:space="preserve"> budget</w:t>
      </w:r>
      <w:r w:rsidRPr="53A54C7D" w:rsidR="002D631B">
        <w:t>, the legislation provided an additional $2</w:t>
      </w:r>
      <w:r w:rsidR="002E58D8">
        <w:t> million</w:t>
      </w:r>
      <w:r w:rsidRPr="53A54C7D" w:rsidR="002F495E">
        <w:t xml:space="preserve"> to the Commission</w:t>
      </w:r>
      <w:r w:rsidRPr="53A54C7D" w:rsidR="00AF033D">
        <w:t>’s Equity and Access Grant Program</w:t>
      </w:r>
      <w:r w:rsidRPr="53A54C7D" w:rsidR="002F495E">
        <w:t xml:space="preserve"> </w:t>
      </w:r>
      <w:r w:rsidRPr="53A54C7D" w:rsidR="00660630">
        <w:t xml:space="preserve">“for community-based organizations to provide </w:t>
      </w:r>
      <w:r w:rsidRPr="53A54C7D" w:rsidR="00660630">
        <w:lastRenderedPageBreak/>
        <w:t>education and outreach about building decarbonization, healthy homes, and related health impacts.”</w:t>
      </w:r>
      <w:r w:rsidRPr="53A54C7D" w:rsidR="001539CA">
        <w:rPr>
          <w:rStyle w:val="FootnoteReference"/>
        </w:rPr>
        <w:footnoteReference w:id="163"/>
      </w:r>
      <w:r w:rsidRPr="53A54C7D" w:rsidR="00660630">
        <w:t xml:space="preserve"> </w:t>
      </w:r>
    </w:p>
    <w:p w:rsidRPr="00575E62" w:rsidR="009F4096" w:rsidP="009E515D" w:rsidRDefault="00D512D8" w14:paraId="0C809347" w14:textId="6A00E104">
      <w:pPr>
        <w:pStyle w:val="Standard"/>
        <w:rPr>
          <w:rFonts w:cstheme="minorHAnsi"/>
          <w:szCs w:val="26"/>
        </w:rPr>
      </w:pPr>
      <w:r>
        <w:rPr>
          <w:rFonts w:cstheme="minorHAnsi"/>
          <w:szCs w:val="26"/>
        </w:rPr>
        <w:t>C</w:t>
      </w:r>
      <w:r w:rsidRPr="001248C7" w:rsidR="005A1530">
        <w:rPr>
          <w:rFonts w:cstheme="minorHAnsi"/>
          <w:szCs w:val="26"/>
        </w:rPr>
        <w:t>onsistent</w:t>
      </w:r>
      <w:r w:rsidRPr="001248C7" w:rsidR="00AA5CEC">
        <w:rPr>
          <w:rFonts w:cstheme="minorHAnsi"/>
          <w:szCs w:val="26"/>
        </w:rPr>
        <w:t xml:space="preserve"> with legislative intent and </w:t>
      </w:r>
      <w:r>
        <w:rPr>
          <w:rFonts w:cstheme="minorHAnsi"/>
          <w:szCs w:val="26"/>
        </w:rPr>
        <w:t>to minimize</w:t>
      </w:r>
      <w:r w:rsidRPr="001248C7" w:rsidR="00E33D80">
        <w:rPr>
          <w:rFonts w:cstheme="minorHAnsi"/>
          <w:szCs w:val="26"/>
        </w:rPr>
        <w:t xml:space="preserve"> duplicat</w:t>
      </w:r>
      <w:r>
        <w:rPr>
          <w:rFonts w:cstheme="minorHAnsi"/>
          <w:szCs w:val="26"/>
        </w:rPr>
        <w:t>ion of</w:t>
      </w:r>
      <w:r w:rsidRPr="001248C7" w:rsidR="00E33D80">
        <w:rPr>
          <w:rFonts w:cstheme="minorHAnsi"/>
          <w:szCs w:val="26"/>
        </w:rPr>
        <w:t xml:space="preserve"> efforts</w:t>
      </w:r>
      <w:r w:rsidRPr="001248C7" w:rsidR="00660630">
        <w:rPr>
          <w:rFonts w:cstheme="minorHAnsi"/>
          <w:szCs w:val="26"/>
        </w:rPr>
        <w:t>,</w:t>
      </w:r>
      <w:r w:rsidRPr="001248C7" w:rsidR="00E33D80">
        <w:rPr>
          <w:rFonts w:cstheme="minorHAnsi"/>
          <w:szCs w:val="26"/>
        </w:rPr>
        <w:t xml:space="preserve"> </w:t>
      </w:r>
      <w:r w:rsidRPr="001248C7" w:rsidR="000A2D98">
        <w:rPr>
          <w:rFonts w:cstheme="minorHAnsi"/>
          <w:szCs w:val="26"/>
        </w:rPr>
        <w:t xml:space="preserve">the TECH Initiative implementer </w:t>
      </w:r>
      <w:r w:rsidR="00F37450">
        <w:rPr>
          <w:rFonts w:cstheme="minorHAnsi"/>
          <w:szCs w:val="26"/>
        </w:rPr>
        <w:t>shall</w:t>
      </w:r>
      <w:r w:rsidRPr="001248C7" w:rsidR="000A2D98">
        <w:rPr>
          <w:rFonts w:cstheme="minorHAnsi"/>
          <w:szCs w:val="26"/>
        </w:rPr>
        <w:t xml:space="preserve"> coordinate with the Equity and Access Grant Program</w:t>
      </w:r>
      <w:r w:rsidRPr="001248C7" w:rsidR="007D3300">
        <w:rPr>
          <w:rFonts w:cstheme="minorHAnsi"/>
          <w:szCs w:val="26"/>
        </w:rPr>
        <w:t xml:space="preserve"> for </w:t>
      </w:r>
      <w:r w:rsidRPr="001248C7" w:rsidR="00C81CF1">
        <w:rPr>
          <w:rFonts w:cstheme="minorHAnsi"/>
          <w:szCs w:val="26"/>
        </w:rPr>
        <w:t>outreach</w:t>
      </w:r>
      <w:r w:rsidRPr="001248C7" w:rsidR="00A43AC1">
        <w:rPr>
          <w:rFonts w:cstheme="minorHAnsi"/>
          <w:szCs w:val="26"/>
        </w:rPr>
        <w:t>-related</w:t>
      </w:r>
      <w:r w:rsidRPr="001248C7" w:rsidR="00C81CF1">
        <w:rPr>
          <w:rFonts w:cstheme="minorHAnsi"/>
          <w:szCs w:val="26"/>
        </w:rPr>
        <w:t xml:space="preserve"> activities.</w:t>
      </w:r>
    </w:p>
    <w:p w:rsidRPr="004166D8" w:rsidR="002317AD" w:rsidP="002317AD" w:rsidRDefault="002317AD" w14:paraId="409F7B0A" w14:textId="0BB4CEB5">
      <w:pPr>
        <w:pStyle w:val="Heading2"/>
      </w:pPr>
      <w:bookmarkStart w:name="_Toc185579393" w:id="778"/>
      <w:bookmarkStart w:name="_Toc192263719" w:id="779"/>
      <w:bookmarkStart w:name="_Toc200370995" w:id="780"/>
      <w:r w:rsidRPr="004166D8">
        <w:t>Equity Allocation</w:t>
      </w:r>
      <w:bookmarkEnd w:id="778"/>
      <w:bookmarkEnd w:id="779"/>
      <w:bookmarkEnd w:id="780"/>
    </w:p>
    <w:p w:rsidRPr="004166D8" w:rsidR="002317AD" w:rsidP="002317AD" w:rsidRDefault="002317AD" w14:paraId="4EB790F8" w14:textId="3EC53FCD">
      <w:pPr>
        <w:pStyle w:val="Heading3"/>
      </w:pPr>
      <w:bookmarkStart w:name="_Toc184501837" w:id="781"/>
      <w:bookmarkStart w:name="_Toc184680271" w:id="782"/>
      <w:bookmarkStart w:name="_Toc184830952" w:id="783"/>
      <w:bookmarkStart w:name="_Toc184831203" w:id="784"/>
      <w:bookmarkStart w:name="_Toc184840720" w:id="785"/>
      <w:bookmarkStart w:name="_Toc184840829" w:id="786"/>
      <w:bookmarkStart w:name="_Toc184854740" w:id="787"/>
      <w:bookmarkStart w:name="_Toc185269707" w:id="788"/>
      <w:bookmarkStart w:name="_Toc185275813" w:id="789"/>
      <w:bookmarkStart w:name="_Toc185278502" w:id="790"/>
      <w:bookmarkStart w:name="_Toc185278606" w:id="791"/>
      <w:bookmarkStart w:name="_Toc185278710" w:id="792"/>
      <w:bookmarkStart w:name="_Toc185278894" w:id="793"/>
      <w:bookmarkStart w:name="_Toc185321855" w:id="794"/>
      <w:bookmarkStart w:name="_Toc185329805" w:id="795"/>
      <w:bookmarkStart w:name="_Toc185366224" w:id="796"/>
      <w:bookmarkStart w:name="_Toc185368880" w:id="797"/>
      <w:bookmarkStart w:name="_Toc185420488" w:id="798"/>
      <w:bookmarkStart w:name="_Toc185421304" w:id="799"/>
      <w:bookmarkStart w:name="_Toc185422602" w:id="800"/>
      <w:bookmarkStart w:name="_Toc185425620" w:id="801"/>
      <w:bookmarkStart w:name="_Toc185496694" w:id="802"/>
      <w:bookmarkStart w:name="_Toc185496904" w:id="803"/>
      <w:bookmarkStart w:name="_Toc185497015" w:id="804"/>
      <w:bookmarkStart w:name="_Toc185579394" w:id="805"/>
      <w:bookmarkStart w:name="_Toc192263720" w:id="806"/>
      <w:bookmarkStart w:name="_Toc200370996" w:id="807"/>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4166D8">
        <w:t xml:space="preserve">Summary of </w:t>
      </w:r>
      <w:r w:rsidR="002C5255">
        <w:t>Party Positions</w:t>
      </w:r>
      <w:bookmarkEnd w:id="805"/>
      <w:bookmarkEnd w:id="806"/>
      <w:bookmarkEnd w:id="807"/>
    </w:p>
    <w:p w:rsidR="00F35D0F" w:rsidP="00204FDD" w:rsidRDefault="001B53C2" w14:paraId="6EB96CEA" w14:textId="6EDA2FDD">
      <w:pPr>
        <w:pStyle w:val="Standard"/>
      </w:pPr>
      <w:r>
        <w:t>O</w:t>
      </w:r>
      <w:r w:rsidR="00F35D0F">
        <w:t xml:space="preserve">n </w:t>
      </w:r>
      <w:r w:rsidR="005722EB">
        <w:t>the issue of</w:t>
      </w:r>
      <w:r w:rsidR="00F35D0F">
        <w:t xml:space="preserve"> whether </w:t>
      </w:r>
      <w:r w:rsidR="00240655">
        <w:t>AB </w:t>
      </w:r>
      <w:r w:rsidR="00E51782">
        <w:t>157’s</w:t>
      </w:r>
      <w:r w:rsidR="00F35D0F">
        <w:t xml:space="preserve"> </w:t>
      </w:r>
      <w:r w:rsidR="00D0278F">
        <w:t xml:space="preserve">new TECH Initiative funding </w:t>
      </w:r>
      <w:r w:rsidR="001C1112">
        <w:t xml:space="preserve"> </w:t>
      </w:r>
      <w:r w:rsidR="00F35D0F">
        <w:t xml:space="preserve">should </w:t>
      </w:r>
      <w:r w:rsidR="00B66407">
        <w:t>be subject to</w:t>
      </w:r>
      <w:r w:rsidR="00F35D0F">
        <w:t xml:space="preserve"> the </w:t>
      </w:r>
      <w:r w:rsidR="001248C7">
        <w:t xml:space="preserve">same </w:t>
      </w:r>
      <w:r w:rsidR="00F35D0F">
        <w:t>requirement introduced by D.23-02-005 that 40</w:t>
      </w:r>
      <w:r w:rsidR="000B72C9">
        <w:t> percent</w:t>
      </w:r>
      <w:r w:rsidR="00F35D0F">
        <w:t xml:space="preserve"> of all new program costs must serve equity customers</w:t>
      </w:r>
      <w:r w:rsidR="005722EB">
        <w:t xml:space="preserve">, parties </w:t>
      </w:r>
      <w:r w:rsidR="00DB59F3">
        <w:t>took the following positions</w:t>
      </w:r>
      <w:r w:rsidR="00F35D0F">
        <w:t>.</w:t>
      </w:r>
    </w:p>
    <w:p w:rsidR="00801126" w:rsidRDefault="00204FDD" w14:paraId="4B057FBC" w14:textId="73118F08">
      <w:pPr>
        <w:pStyle w:val="Standard"/>
      </w:pPr>
      <w:r>
        <w:t xml:space="preserve"> CAC and the Joint Parties both recommend </w:t>
      </w:r>
      <w:r w:rsidR="002F775D">
        <w:t>initially setting</w:t>
      </w:r>
      <w:r>
        <w:t xml:space="preserve"> the equity allocation to 100</w:t>
      </w:r>
      <w:r w:rsidR="000B72C9">
        <w:t> percent</w:t>
      </w:r>
      <w:r w:rsidR="00D37AEB">
        <w:t xml:space="preserve"> with 3 areas of prioritization</w:t>
      </w:r>
      <w:r>
        <w:t xml:space="preserve">. </w:t>
      </w:r>
      <w:r w:rsidR="000B3808">
        <w:t>More specifically</w:t>
      </w:r>
      <w:r>
        <w:t xml:space="preserve">, CAC recommends </w:t>
      </w:r>
      <w:r w:rsidR="00515800">
        <w:t xml:space="preserve">customers </w:t>
      </w:r>
      <w:r w:rsidR="00905414">
        <w:t>with incomes less than 80</w:t>
      </w:r>
      <w:r w:rsidR="000B72C9">
        <w:t> percent</w:t>
      </w:r>
      <w:r w:rsidR="00905414">
        <w:t xml:space="preserve"> of </w:t>
      </w:r>
      <w:r w:rsidR="00BB2CAE">
        <w:t>area median income</w:t>
      </w:r>
      <w:r w:rsidR="00D6557C">
        <w:t xml:space="preserve"> </w:t>
      </w:r>
      <w:r w:rsidR="00835194">
        <w:t xml:space="preserve">in </w:t>
      </w:r>
      <w:r>
        <w:t>the Aliso Canyon Disaster Area be prioritized</w:t>
      </w:r>
      <w:r w:rsidR="00F7699A">
        <w:t xml:space="preserve"> first</w:t>
      </w:r>
      <w:r w:rsidR="00267D1D">
        <w:t>. The second priority group would be</w:t>
      </w:r>
      <w:r w:rsidR="005234F7">
        <w:t xml:space="preserve"> </w:t>
      </w:r>
      <w:r w:rsidR="00CD4875">
        <w:t>any customer in the Aliso Canyon Disaster Area be</w:t>
      </w:r>
      <w:r w:rsidR="00C1614D">
        <w:t>coming eligible for funding starting in January of 2026</w:t>
      </w:r>
      <w:r w:rsidR="00F7699A">
        <w:t>.</w:t>
      </w:r>
      <w:r w:rsidR="00C1614D">
        <w:t xml:space="preserve"> </w:t>
      </w:r>
      <w:r w:rsidR="00F7699A">
        <w:t>The final</w:t>
      </w:r>
      <w:r w:rsidR="00267D1D">
        <w:t xml:space="preserve"> </w:t>
      </w:r>
      <w:r w:rsidR="00F7699A">
        <w:t>priority group would be</w:t>
      </w:r>
      <w:r w:rsidR="00C1614D">
        <w:t xml:space="preserve"> </w:t>
      </w:r>
      <w:r w:rsidRPr="00E66138" w:rsidR="00E66138">
        <w:t xml:space="preserve">any SoCalGas customer in LADWP service territory with </w:t>
      </w:r>
      <w:r w:rsidR="00E66138">
        <w:t xml:space="preserve">an </w:t>
      </w:r>
      <w:r w:rsidRPr="00E66138" w:rsidR="00E66138">
        <w:t xml:space="preserve">income </w:t>
      </w:r>
      <w:r w:rsidR="00E66138">
        <w:t>less than</w:t>
      </w:r>
      <w:r w:rsidRPr="00E66138" w:rsidR="00E66138">
        <w:t xml:space="preserve"> 150</w:t>
      </w:r>
      <w:r w:rsidR="000B72C9">
        <w:t> percent</w:t>
      </w:r>
      <w:r w:rsidR="00E66138">
        <w:t xml:space="preserve"> of</w:t>
      </w:r>
      <w:r w:rsidRPr="00E66138" w:rsidR="00E66138">
        <w:t xml:space="preserve"> </w:t>
      </w:r>
      <w:r w:rsidR="006A0098">
        <w:t>area medi</w:t>
      </w:r>
      <w:r w:rsidR="00BB2CAE">
        <w:t>an</w:t>
      </w:r>
      <w:r w:rsidR="006A0098">
        <w:t xml:space="preserve"> income</w:t>
      </w:r>
      <w:r w:rsidR="00E66138">
        <w:t xml:space="preserve"> </w:t>
      </w:r>
      <w:r w:rsidR="002A2999">
        <w:t xml:space="preserve">becoming eligible </w:t>
      </w:r>
      <w:r w:rsidR="007E388C">
        <w:t xml:space="preserve">for funding </w:t>
      </w:r>
      <w:r w:rsidR="00E66138">
        <w:t>starting in July of 2026</w:t>
      </w:r>
      <w:r>
        <w:t>.</w:t>
      </w:r>
      <w:r>
        <w:rPr>
          <w:rStyle w:val="FootnoteReference"/>
        </w:rPr>
        <w:footnoteReference w:id="164"/>
      </w:r>
      <w:r>
        <w:t xml:space="preserve"> </w:t>
      </w:r>
    </w:p>
    <w:p w:rsidR="009C0175" w:rsidRDefault="007B291D" w14:paraId="56887044" w14:textId="6C2E65D5">
      <w:pPr>
        <w:pStyle w:val="Standard"/>
      </w:pPr>
      <w:r>
        <w:t>T</w:t>
      </w:r>
      <w:r w:rsidRPr="1ED69350" w:rsidR="00204FDD">
        <w:t xml:space="preserve">he Joint Parties recommend </w:t>
      </w:r>
      <w:r w:rsidR="003D4F75">
        <w:t xml:space="preserve">exclusively funding customers </w:t>
      </w:r>
      <w:r w:rsidRPr="1ED69350" w:rsidR="00204FDD">
        <w:t>with incomes at or below 80</w:t>
      </w:r>
      <w:r w:rsidR="000B72C9">
        <w:t> percent</w:t>
      </w:r>
      <w:r w:rsidRPr="1ED69350" w:rsidR="00204FDD">
        <w:t xml:space="preserve"> of </w:t>
      </w:r>
      <w:r w:rsidR="006A0098">
        <w:t>area medi</w:t>
      </w:r>
      <w:r w:rsidR="00BB2CAE">
        <w:t>an</w:t>
      </w:r>
      <w:r w:rsidR="006A0098">
        <w:t xml:space="preserve"> income</w:t>
      </w:r>
      <w:r w:rsidR="007E388C">
        <w:t>,</w:t>
      </w:r>
      <w:r w:rsidRPr="1ED69350" w:rsidR="0020721E">
        <w:t xml:space="preserve"> </w:t>
      </w:r>
      <w:r w:rsidRPr="1ED69350" w:rsidR="00204FDD">
        <w:t>as defined by the California Department of Housing and Community Development</w:t>
      </w:r>
      <w:r>
        <w:t xml:space="preserve"> (HCD)</w:t>
      </w:r>
      <w:r w:rsidRPr="1ED69350" w:rsidR="00204FDD">
        <w:t xml:space="preserve">. </w:t>
      </w:r>
      <w:r w:rsidR="00E5694D">
        <w:t>T</w:t>
      </w:r>
      <w:r w:rsidR="00C53D13">
        <w:t>he</w:t>
      </w:r>
      <w:r w:rsidR="00E5694D">
        <w:t>y</w:t>
      </w:r>
      <w:r w:rsidRPr="1ED69350" w:rsidR="00204FDD">
        <w:t xml:space="preserve"> </w:t>
      </w:r>
      <w:r w:rsidRPr="1ED69350" w:rsidR="00312EA9">
        <w:t>state</w:t>
      </w:r>
      <w:r w:rsidRPr="1ED69350" w:rsidR="00204FDD">
        <w:t xml:space="preserve"> </w:t>
      </w:r>
      <w:r w:rsidR="00AE33F8">
        <w:t>their</w:t>
      </w:r>
      <w:r w:rsidR="009C4710">
        <w:t xml:space="preserve"> recommendation </w:t>
      </w:r>
      <w:r w:rsidR="00ED29F1">
        <w:t xml:space="preserve">will </w:t>
      </w:r>
      <w:r w:rsidR="00C116E2">
        <w:t>ease compliance with</w:t>
      </w:r>
      <w:r w:rsidRPr="1ED69350" w:rsidR="00204FDD">
        <w:t xml:space="preserve"> </w:t>
      </w:r>
      <w:r w:rsidR="00240655">
        <w:t>AB </w:t>
      </w:r>
      <w:r w:rsidRPr="1ED69350" w:rsidR="00204FDD">
        <w:t>157</w:t>
      </w:r>
      <w:r w:rsidR="00812A1C">
        <w:t>’s</w:t>
      </w:r>
      <w:r w:rsidRPr="1ED69350" w:rsidR="00204FDD">
        <w:t xml:space="preserve"> requi</w:t>
      </w:r>
      <w:r w:rsidR="00812A1C">
        <w:t>rement</w:t>
      </w:r>
      <w:r w:rsidRPr="1ED69350" w:rsidR="00204FDD">
        <w:t xml:space="preserve"> </w:t>
      </w:r>
      <w:r w:rsidR="00AE33F8">
        <w:t xml:space="preserve">to </w:t>
      </w:r>
      <w:r w:rsidRPr="1ED69350" w:rsidR="00AE33F8">
        <w:t>prioritize</w:t>
      </w:r>
      <w:r w:rsidRPr="1ED69350" w:rsidR="00204FDD">
        <w:t xml:space="preserve"> </w:t>
      </w:r>
      <w:r w:rsidRPr="1ED69350" w:rsidR="00204FDD">
        <w:lastRenderedPageBreak/>
        <w:t>fund</w:t>
      </w:r>
      <w:r w:rsidR="007B6D09">
        <w:t>ing</w:t>
      </w:r>
      <w:r w:rsidRPr="1ED69350" w:rsidR="00204FDD">
        <w:t xml:space="preserve"> </w:t>
      </w:r>
      <w:r w:rsidRPr="007B6D09" w:rsidR="007B6D09">
        <w:t>for efforts that provide equitable benefits to multi</w:t>
      </w:r>
      <w:r w:rsidR="007B6D09">
        <w:t>-</w:t>
      </w:r>
      <w:r w:rsidRPr="007B6D09" w:rsidR="007B6D09">
        <w:t>family building residents</w:t>
      </w:r>
      <w:r w:rsidRPr="1ED69350" w:rsidR="00204FDD">
        <w:t>.</w:t>
      </w:r>
      <w:r w:rsidRPr="1ED69350" w:rsidR="00204FDD">
        <w:rPr>
          <w:rStyle w:val="FootnoteReference"/>
        </w:rPr>
        <w:footnoteReference w:id="165"/>
      </w:r>
      <w:r w:rsidRPr="1ED69350" w:rsidR="00204FDD">
        <w:t xml:space="preserve"> </w:t>
      </w:r>
    </w:p>
    <w:p w:rsidR="006C6998" w:rsidP="009E515D" w:rsidRDefault="006C6998" w14:paraId="20178023" w14:textId="11B11EBC">
      <w:pPr>
        <w:pStyle w:val="Standard"/>
        <w:rPr>
          <w:rFonts w:cstheme="minorHAnsi"/>
          <w:szCs w:val="26"/>
        </w:rPr>
      </w:pPr>
      <w:r w:rsidRPr="53A54C7D">
        <w:t xml:space="preserve">The Joint Parties </w:t>
      </w:r>
      <w:r w:rsidRPr="53A54C7D" w:rsidR="008E208F">
        <w:t>cont</w:t>
      </w:r>
      <w:r w:rsidRPr="53A54C7D" w:rsidR="003B5AA4">
        <w:t>end</w:t>
      </w:r>
      <w:r w:rsidRPr="53A54C7D">
        <w:t xml:space="preserve"> that if the Commission continues to allow the TECH </w:t>
      </w:r>
      <w:r w:rsidRPr="53A54C7D" w:rsidR="00B277E2">
        <w:t>Initiative</w:t>
      </w:r>
      <w:r w:rsidRPr="53A54C7D">
        <w:t xml:space="preserve"> to use </w:t>
      </w:r>
      <w:r w:rsidRPr="53A54C7D" w:rsidR="00B50057">
        <w:t>its current</w:t>
      </w:r>
      <w:r w:rsidRPr="53A54C7D">
        <w:t xml:space="preserve"> broad equity customer definition, then there needs to be more transparency </w:t>
      </w:r>
      <w:r w:rsidRPr="53A54C7D" w:rsidR="00C116E2">
        <w:t xml:space="preserve">as to </w:t>
      </w:r>
      <w:r w:rsidRPr="53A54C7D">
        <w:t xml:space="preserve">how many households </w:t>
      </w:r>
      <w:r w:rsidRPr="53A54C7D" w:rsidR="00B277E2">
        <w:t>qualif</w:t>
      </w:r>
      <w:r w:rsidRPr="53A54C7D">
        <w:t>y as equity customers under this definition.</w:t>
      </w:r>
      <w:r w:rsidRPr="53A54C7D" w:rsidR="00924301">
        <w:rPr>
          <w:rStyle w:val="FootnoteReference"/>
        </w:rPr>
        <w:footnoteReference w:id="166"/>
      </w:r>
      <w:r w:rsidRPr="53A54C7D">
        <w:t xml:space="preserve"> They further add that </w:t>
      </w:r>
      <w:r w:rsidRPr="53A54C7D" w:rsidR="00D363C1">
        <w:t xml:space="preserve">the </w:t>
      </w:r>
      <w:r w:rsidRPr="53A54C7D">
        <w:t xml:space="preserve">TECH </w:t>
      </w:r>
      <w:r w:rsidRPr="53A54C7D" w:rsidR="007A59CF">
        <w:t>Initiative</w:t>
      </w:r>
      <w:r w:rsidRPr="53A54C7D">
        <w:t xml:space="preserve"> should be required to publish datasets and maps showing which and how many households currently quali</w:t>
      </w:r>
      <w:r w:rsidRPr="53A54C7D" w:rsidR="007A59CF">
        <w:t>f</w:t>
      </w:r>
      <w:r w:rsidRPr="53A54C7D">
        <w:t xml:space="preserve">y as equity customers, and that if many middle- and high-income households are included in the equity customer definition, then the Commission should require </w:t>
      </w:r>
      <w:r w:rsidRPr="53A54C7D" w:rsidR="007A59CF">
        <w:t xml:space="preserve">the </w:t>
      </w:r>
      <w:r w:rsidRPr="53A54C7D">
        <w:t xml:space="preserve">TECH </w:t>
      </w:r>
      <w:r w:rsidRPr="53A54C7D" w:rsidR="007A59CF">
        <w:t xml:space="preserve">Initiative </w:t>
      </w:r>
      <w:r w:rsidRPr="53A54C7D" w:rsidR="0080125E">
        <w:t>t</w:t>
      </w:r>
      <w:r w:rsidRPr="53A54C7D">
        <w:t>o limit the equity customer definition to just DACs or low-income households.</w:t>
      </w:r>
      <w:r w:rsidRPr="53A54C7D">
        <w:rPr>
          <w:rStyle w:val="FootnoteReference"/>
        </w:rPr>
        <w:footnoteReference w:id="167"/>
      </w:r>
    </w:p>
    <w:p w:rsidR="005A099E" w:rsidP="009E515D" w:rsidRDefault="005A099E" w14:paraId="6087B0A7" w14:textId="71B26152">
      <w:pPr>
        <w:pStyle w:val="Standard"/>
      </w:pPr>
      <w:r w:rsidRPr="53A54C7D">
        <w:t>The Joint Parties also note that D.23-02-005 set out “at a minimum, 40</w:t>
      </w:r>
      <w:r w:rsidR="000B72C9">
        <w:t> percent</w:t>
      </w:r>
      <w:r w:rsidRPr="53A54C7D">
        <w:t xml:space="preserve"> of the TECH </w:t>
      </w:r>
      <w:r w:rsidRPr="53A54C7D" w:rsidR="0021504E">
        <w:t xml:space="preserve">Initiative </w:t>
      </w:r>
      <w:r w:rsidRPr="53A54C7D">
        <w:t xml:space="preserve">program costs to fund activities that serve equity customers.” </w:t>
      </w:r>
      <w:r w:rsidRPr="53A54C7D" w:rsidR="001F324D">
        <w:t>They add that</w:t>
      </w:r>
      <w:r w:rsidRPr="53A54C7D">
        <w:t xml:space="preserve"> </w:t>
      </w:r>
      <w:r w:rsidRPr="53A54C7D" w:rsidR="009A1C38">
        <w:t>t</w:t>
      </w:r>
      <w:r w:rsidRPr="53A54C7D">
        <w:t xml:space="preserve">his definition, </w:t>
      </w:r>
      <w:r w:rsidRPr="53A54C7D" w:rsidR="009A1C38">
        <w:t>which was established by the TECH Initiative implementer</w:t>
      </w:r>
      <w:r w:rsidRPr="53A54C7D">
        <w:t xml:space="preserve">, captures a larger segment of households </w:t>
      </w:r>
      <w:r w:rsidRPr="53A54C7D" w:rsidR="00160CB6">
        <w:t>where some</w:t>
      </w:r>
      <w:r w:rsidRPr="53A54C7D">
        <w:t xml:space="preserve"> may be more affluent </w:t>
      </w:r>
      <w:r w:rsidRPr="53A54C7D" w:rsidR="0005585C">
        <w:t>than their</w:t>
      </w:r>
      <w:r w:rsidRPr="53A54C7D">
        <w:t xml:space="preserve"> low-income</w:t>
      </w:r>
      <w:r w:rsidRPr="53A54C7D" w:rsidR="00FB0F8E">
        <w:t xml:space="preserve"> </w:t>
      </w:r>
      <w:r w:rsidRPr="53A54C7D" w:rsidR="0005585C">
        <w:t>neighbors</w:t>
      </w:r>
      <w:r w:rsidRPr="53A54C7D">
        <w:t xml:space="preserve">. For example, the Joint Parties state </w:t>
      </w:r>
      <w:r w:rsidRPr="53A54C7D" w:rsidR="00531573">
        <w:t>just</w:t>
      </w:r>
      <w:r w:rsidRPr="53A54C7D">
        <w:t xml:space="preserve"> 14.5</w:t>
      </w:r>
      <w:r w:rsidR="000B72C9">
        <w:t> percent</w:t>
      </w:r>
      <w:r w:rsidRPr="53A54C7D">
        <w:t xml:space="preserve"> of appliance incentives </w:t>
      </w:r>
      <w:r w:rsidRPr="53A54C7D" w:rsidR="00531573">
        <w:t>through the TECH Initiative</w:t>
      </w:r>
      <w:r w:rsidRPr="53A54C7D">
        <w:t xml:space="preserve"> have gone to DAC households, which is a metric used by numerous programs and agencies to allocate funding and target Californians most in need. </w:t>
      </w:r>
      <w:r w:rsidRPr="53A54C7D">
        <w:lastRenderedPageBreak/>
        <w:t>The</w:t>
      </w:r>
      <w:r w:rsidRPr="53A54C7D" w:rsidR="005A4534">
        <w:t xml:space="preserve"> Joint Parties state</w:t>
      </w:r>
      <w:r w:rsidRPr="53A54C7D" w:rsidR="00366FD2">
        <w:t xml:space="preserve"> the</w:t>
      </w:r>
      <w:r w:rsidRPr="53A54C7D">
        <w:t xml:space="preserve"> 14.5 number was obtained by analyzing publicly available data available on the TECH website.</w:t>
      </w:r>
      <w:r w:rsidRPr="53A54C7D">
        <w:rPr>
          <w:rStyle w:val="FootnoteReference"/>
        </w:rPr>
        <w:footnoteReference w:id="168"/>
      </w:r>
      <w:r w:rsidRPr="53A54C7D">
        <w:t xml:space="preserve"> </w:t>
      </w:r>
    </w:p>
    <w:p w:rsidR="006C6998" w:rsidP="00110CEF" w:rsidRDefault="005A099E" w14:paraId="1B08E161" w14:textId="0B8D164F">
      <w:pPr>
        <w:pStyle w:val="Standard"/>
      </w:pPr>
      <w:r w:rsidRPr="02107D76">
        <w:t xml:space="preserve">The Joint Parties recommend </w:t>
      </w:r>
      <w:r w:rsidR="00AE33F8">
        <w:t>allocating</w:t>
      </w:r>
      <w:r w:rsidRPr="02107D76">
        <w:t xml:space="preserve"> </w:t>
      </w:r>
      <w:r w:rsidRPr="02107D76" w:rsidR="009B7AE9">
        <w:t xml:space="preserve">new </w:t>
      </w:r>
      <w:r w:rsidR="00240655">
        <w:t>AB </w:t>
      </w:r>
      <w:r w:rsidRPr="02107D76" w:rsidR="009B7AE9">
        <w:t>157 funding</w:t>
      </w:r>
      <w:r w:rsidRPr="02107D76">
        <w:t xml:space="preserve"> toward </w:t>
      </w:r>
      <w:r w:rsidRPr="02107D76" w:rsidR="00110CEF">
        <w:t xml:space="preserve">a </w:t>
      </w:r>
      <w:r w:rsidRPr="02107D76">
        <w:t>low-income direct install program and pilots akin to the low-income San Francisco direct install programs and pilots</w:t>
      </w:r>
      <w:r w:rsidR="005A565D">
        <w:t>. Th</w:t>
      </w:r>
      <w:r w:rsidRPr="002A4F85" w:rsidR="002A4F85">
        <w:t xml:space="preserve">e Joint Parties </w:t>
      </w:r>
      <w:r w:rsidR="00717379">
        <w:t>contend</w:t>
      </w:r>
      <w:r w:rsidR="005A565D">
        <w:t xml:space="preserve"> that would </w:t>
      </w:r>
      <w:r w:rsidR="00DB48B2">
        <w:t>provide m</w:t>
      </w:r>
      <w:r w:rsidRPr="002A4F85" w:rsidR="002A4F85">
        <w:t>ore funding to low income customers than the current 14.5</w:t>
      </w:r>
      <w:r w:rsidR="005A565D">
        <w:t xml:space="preserve"> percent</w:t>
      </w:r>
      <w:r w:rsidRPr="02107D76">
        <w:t xml:space="preserve">. </w:t>
      </w:r>
      <w:r w:rsidRPr="02107D76" w:rsidR="008E208F">
        <w:t xml:space="preserve">They argue this will </w:t>
      </w:r>
      <w:r w:rsidR="00D957D5">
        <w:t xml:space="preserve">provide </w:t>
      </w:r>
      <w:r w:rsidR="009F7BCF">
        <w:t>opportunities for</w:t>
      </w:r>
      <w:r w:rsidRPr="02107D76" w:rsidR="008E208F">
        <w:t xml:space="preserve"> equitable electrification and that a direct install program </w:t>
      </w:r>
      <w:r w:rsidRPr="02107D76" w:rsidR="00C62AEF">
        <w:t xml:space="preserve">would </w:t>
      </w:r>
      <w:r w:rsidRPr="02107D76" w:rsidR="00EC321E">
        <w:t>make it easier to</w:t>
      </w:r>
      <w:r w:rsidRPr="02107D76" w:rsidR="008E208F">
        <w:t xml:space="preserve"> </w:t>
      </w:r>
      <w:r w:rsidRPr="02107D76" w:rsidR="00F807FA">
        <w:t>target</w:t>
      </w:r>
      <w:r w:rsidRPr="02107D76" w:rsidR="008E208F">
        <w:t xml:space="preserve"> the communities in the Aliso Canyon Disaster Area.</w:t>
      </w:r>
      <w:r w:rsidRPr="02107D76" w:rsidR="008E208F">
        <w:rPr>
          <w:rStyle w:val="FootnoteReference"/>
        </w:rPr>
        <w:footnoteReference w:id="169"/>
      </w:r>
      <w:r w:rsidRPr="02107D76" w:rsidR="008E208F">
        <w:t xml:space="preserve"> </w:t>
      </w:r>
    </w:p>
    <w:p w:rsidRPr="00AE33F8" w:rsidR="004025C9" w:rsidP="009E515D" w:rsidRDefault="004025C9" w14:paraId="37EF8572" w14:textId="084AB387">
      <w:pPr>
        <w:pStyle w:val="Standard"/>
      </w:pPr>
      <w:r w:rsidRPr="53A54C7D">
        <w:t xml:space="preserve">On the other hand, LADWP, ConnectDER, PG&amp;E, </w:t>
      </w:r>
      <w:r w:rsidR="005D5228">
        <w:t>Cal Advocates</w:t>
      </w:r>
      <w:r w:rsidRPr="53A54C7D">
        <w:t>, SCE, and VEIC recommend maintaining the same 40</w:t>
      </w:r>
      <w:r w:rsidR="000B72C9">
        <w:t> percent</w:t>
      </w:r>
      <w:r w:rsidRPr="53A54C7D">
        <w:t xml:space="preserve"> equity community percentage found in D.23-02-005. </w:t>
      </w:r>
      <w:r w:rsidRPr="53A54C7D" w:rsidR="00E0758F">
        <w:t xml:space="preserve">LADWP </w:t>
      </w:r>
      <w:r w:rsidRPr="53A54C7D" w:rsidR="00B20E9C">
        <w:t xml:space="preserve">asks </w:t>
      </w:r>
      <w:r w:rsidR="00AE33F8">
        <w:t xml:space="preserve">to </w:t>
      </w:r>
      <w:r w:rsidRPr="53A54C7D" w:rsidR="00AE33F8">
        <w:t>prioritize</w:t>
      </w:r>
      <w:r w:rsidRPr="53A54C7D" w:rsidR="00B20E9C">
        <w:t xml:space="preserve"> </w:t>
      </w:r>
      <w:r w:rsidRPr="53A54C7D" w:rsidR="00B728DE">
        <w:t xml:space="preserve">disadvantaged and income-qualified customers </w:t>
      </w:r>
      <w:r w:rsidRPr="53A54C7D" w:rsidR="00E251EA">
        <w:t>affected by the Aliso Canyon incident</w:t>
      </w:r>
      <w:r w:rsidRPr="53A54C7D" w:rsidR="003828EA">
        <w:t>.</w:t>
      </w:r>
      <w:r w:rsidRPr="53A54C7D" w:rsidR="00BF2D82">
        <w:rPr>
          <w:rStyle w:val="FootnoteReference"/>
        </w:rPr>
        <w:footnoteReference w:id="170"/>
      </w:r>
      <w:r w:rsidR="00AE33F8">
        <w:t xml:space="preserve"> </w:t>
      </w:r>
      <w:r w:rsidR="005D5228">
        <w:t>Cal Advocates</w:t>
      </w:r>
      <w:r w:rsidRPr="53A54C7D">
        <w:t xml:space="preserve"> goes further by asking the Commission to limit the equity community definition to </w:t>
      </w:r>
      <w:r w:rsidRPr="53A54C7D" w:rsidR="001508AF">
        <w:t>DAC</w:t>
      </w:r>
      <w:r w:rsidRPr="53A54C7D">
        <w:t>s, CARE and FERA, hard-to-reach customers, and residents of affordable housing</w:t>
      </w:r>
      <w:r w:rsidRPr="53A54C7D" w:rsidR="00F61D46">
        <w:t xml:space="preserve">, with distinct allocations for </w:t>
      </w:r>
      <w:r w:rsidRPr="53A54C7D" w:rsidR="00FC648C">
        <w:t xml:space="preserve">customers who </w:t>
      </w:r>
      <w:r w:rsidRPr="53A54C7D" w:rsidR="00675DB0">
        <w:t>qualify under criteria other than being low-income</w:t>
      </w:r>
      <w:r w:rsidRPr="53A54C7D">
        <w:t>.</w:t>
      </w:r>
      <w:r w:rsidRPr="53A54C7D">
        <w:rPr>
          <w:rStyle w:val="FootnoteReference"/>
        </w:rPr>
        <w:footnoteReference w:id="171"/>
      </w:r>
      <w:r w:rsidRPr="53A54C7D">
        <w:t xml:space="preserve"> </w:t>
      </w:r>
    </w:p>
    <w:p w:rsidR="00121005" w:rsidP="009E515D" w:rsidRDefault="00121005" w14:paraId="31828F12" w14:textId="3C2D7BA4">
      <w:pPr>
        <w:pStyle w:val="Standard"/>
        <w:rPr>
          <w:rFonts w:cstheme="minorHAnsi"/>
          <w:szCs w:val="26"/>
        </w:rPr>
      </w:pPr>
      <w:r w:rsidRPr="53A54C7D">
        <w:t xml:space="preserve">CAC supports the Joint Parties’ recommendation that the Commission allocate </w:t>
      </w:r>
      <w:r w:rsidRPr="53A54C7D" w:rsidR="00E919C6">
        <w:t xml:space="preserve">the </w:t>
      </w:r>
      <w:r w:rsidR="00240655">
        <w:t>AB </w:t>
      </w:r>
      <w:r w:rsidRPr="53A54C7D" w:rsidR="00E919C6">
        <w:t>157</w:t>
      </w:r>
      <w:r w:rsidRPr="53A54C7D">
        <w:t xml:space="preserve"> funds to a direct</w:t>
      </w:r>
      <w:r w:rsidRPr="53A54C7D" w:rsidR="00D95C56">
        <w:t xml:space="preserve"> </w:t>
      </w:r>
      <w:r w:rsidRPr="53A54C7D">
        <w:t xml:space="preserve">install program to </w:t>
      </w:r>
      <w:r w:rsidR="00FC04F4">
        <w:t>provide</w:t>
      </w:r>
      <w:r w:rsidRPr="53A54C7D">
        <w:t xml:space="preserve"> access for low-income customers.</w:t>
      </w:r>
      <w:r w:rsidRPr="53A54C7D">
        <w:rPr>
          <w:rStyle w:val="FootnoteReference"/>
        </w:rPr>
        <w:footnoteReference w:id="172"/>
      </w:r>
    </w:p>
    <w:p w:rsidR="00121005" w:rsidP="00874721" w:rsidRDefault="00874721" w14:paraId="4786DBA6" w14:textId="126DA8C7">
      <w:pPr>
        <w:pStyle w:val="Standard"/>
        <w:rPr>
          <w:rFonts w:cstheme="minorHAnsi"/>
          <w:szCs w:val="26"/>
        </w:rPr>
      </w:pPr>
      <w:r w:rsidRPr="5DD56042">
        <w:lastRenderedPageBreak/>
        <w:t xml:space="preserve">VEIC notes a direct install program is a clear pathway to serving customers if comprehensive building electrification is deemed to be the primary priority of </w:t>
      </w:r>
      <w:r w:rsidR="00240655">
        <w:t>AB </w:t>
      </w:r>
      <w:r w:rsidRPr="5DD56042">
        <w:t>157.</w:t>
      </w:r>
      <w:r w:rsidRPr="5DD56042" w:rsidR="005A3102">
        <w:rPr>
          <w:rStyle w:val="FootnoteReference"/>
        </w:rPr>
        <w:footnoteReference w:id="173"/>
      </w:r>
      <w:r w:rsidR="00CC6C10">
        <w:t xml:space="preserve"> </w:t>
      </w:r>
      <w:r w:rsidRPr="53A54C7D">
        <w:t xml:space="preserve">VEIC adds that comprehensive </w:t>
      </w:r>
      <w:r w:rsidRPr="53A54C7D" w:rsidR="00C759C0">
        <w:t>building</w:t>
      </w:r>
      <w:r w:rsidRPr="53A54C7D">
        <w:t xml:space="preserve"> electrification devotes more resources to fewer customers than single-measure approaches, which would help accelerate heat pump deployment, reduce winter natural gas demand from Aliso Canyon, and prioritize communities in the Aliso Canyon Disaster Area. </w:t>
      </w:r>
      <w:r w:rsidR="006F44FC">
        <w:t>VEIC</w:t>
      </w:r>
      <w:r w:rsidRPr="53A54C7D">
        <w:t xml:space="preserve"> then </w:t>
      </w:r>
      <w:r w:rsidR="008D655A">
        <w:t>recommends</w:t>
      </w:r>
      <w:r w:rsidRPr="53A54C7D">
        <w:t xml:space="preserve"> a mixed portfolio of incentives encompass</w:t>
      </w:r>
      <w:r w:rsidR="00AE33F8">
        <w:t>ing</w:t>
      </w:r>
      <w:r w:rsidRPr="53A54C7D">
        <w:t xml:space="preserve"> direct install</w:t>
      </w:r>
      <w:r w:rsidRPr="53A54C7D" w:rsidR="00863361">
        <w:t xml:space="preserve"> incentives</w:t>
      </w:r>
      <w:r w:rsidRPr="53A54C7D">
        <w:t xml:space="preserve">, single-measure equity incentives, and single-measure market rate incentives may be best in optimizing all priorities </w:t>
      </w:r>
      <w:r w:rsidRPr="53A54C7D" w:rsidR="00EA4FA0">
        <w:t xml:space="preserve">articulated </w:t>
      </w:r>
      <w:r w:rsidRPr="53A54C7D">
        <w:t xml:space="preserve">in </w:t>
      </w:r>
      <w:r w:rsidR="00240655">
        <w:t>AB </w:t>
      </w:r>
      <w:r w:rsidRPr="53A54C7D">
        <w:t>157.</w:t>
      </w:r>
      <w:r w:rsidRPr="53A54C7D" w:rsidR="00602A07">
        <w:rPr>
          <w:rStyle w:val="FootnoteReference"/>
        </w:rPr>
        <w:footnoteReference w:id="174"/>
      </w:r>
    </w:p>
    <w:p w:rsidRPr="007A3A1B" w:rsidR="0033027B" w:rsidP="009E515D" w:rsidRDefault="00CC769B" w14:paraId="323992CF" w14:textId="13F09C3C">
      <w:pPr>
        <w:pStyle w:val="Standard"/>
        <w:rPr>
          <w:rFonts w:cstheme="minorHAnsi"/>
          <w:szCs w:val="26"/>
        </w:rPr>
      </w:pPr>
      <w:r w:rsidRPr="53A54C7D">
        <w:t xml:space="preserve">VEIC </w:t>
      </w:r>
      <w:r w:rsidRPr="53A54C7D" w:rsidR="00396023">
        <w:t xml:space="preserve">agrees with </w:t>
      </w:r>
      <w:r w:rsidRPr="53A54C7D" w:rsidR="0033027B">
        <w:t xml:space="preserve">the Joint Parties’ argument that the TECH </w:t>
      </w:r>
      <w:r w:rsidRPr="53A54C7D" w:rsidR="00863361">
        <w:t>Initiative’s</w:t>
      </w:r>
      <w:r w:rsidRPr="53A54C7D" w:rsidR="0033027B">
        <w:t xml:space="preserve"> “equity community” definition for </w:t>
      </w:r>
      <w:r w:rsidR="00240655">
        <w:t>AB </w:t>
      </w:r>
      <w:r w:rsidRPr="53A54C7D" w:rsidR="0033027B">
        <w:t xml:space="preserve">157 be directed toward a low-income direct install program, </w:t>
      </w:r>
      <w:r w:rsidRPr="53A54C7D" w:rsidR="00396023">
        <w:t xml:space="preserve">and notes </w:t>
      </w:r>
      <w:r w:rsidRPr="53A54C7D" w:rsidR="0033027B">
        <w:t xml:space="preserve">low-income customers should be prioritized. VEIC adds that if the Commission should determine that the </w:t>
      </w:r>
      <w:r w:rsidR="00240655">
        <w:t>AB </w:t>
      </w:r>
      <w:r w:rsidRPr="53A54C7D" w:rsidR="0033027B">
        <w:t xml:space="preserve">157 funding be subject to additional equity requirements, </w:t>
      </w:r>
      <w:r w:rsidRPr="53A54C7D" w:rsidR="00617715">
        <w:t>VEIC recommends</w:t>
      </w:r>
      <w:r w:rsidRPr="53A54C7D" w:rsidR="0033027B">
        <w:t xml:space="preserve"> the </w:t>
      </w:r>
      <w:r w:rsidRPr="53A54C7D" w:rsidR="00F353A4">
        <w:t>Commission</w:t>
      </w:r>
      <w:r w:rsidRPr="53A54C7D" w:rsidR="00D73B1A">
        <w:t xml:space="preserve"> </w:t>
      </w:r>
      <w:r w:rsidRPr="53A54C7D" w:rsidR="0033027B">
        <w:t xml:space="preserve">consider implementation feasibility. For example, VEIC states utilizing existing equity definitions </w:t>
      </w:r>
      <w:r w:rsidR="00FC04F4">
        <w:t>provides</w:t>
      </w:r>
      <w:r w:rsidRPr="53A54C7D" w:rsidR="0033027B">
        <w:t xml:space="preserve"> consistency and allows the public and participating contractors to understand qualification requirements.</w:t>
      </w:r>
      <w:r w:rsidRPr="53A54C7D" w:rsidR="0033027B">
        <w:rPr>
          <w:rStyle w:val="FootnoteReference"/>
        </w:rPr>
        <w:footnoteReference w:id="175"/>
      </w:r>
      <w:r w:rsidRPr="53A54C7D" w:rsidR="0033027B">
        <w:t xml:space="preserve">  </w:t>
      </w:r>
    </w:p>
    <w:p w:rsidRPr="004166D8" w:rsidR="00D60FC7" w:rsidP="000E7D14" w:rsidRDefault="00D60FC7" w14:paraId="0AB0D0F9" w14:textId="77777777">
      <w:pPr>
        <w:pStyle w:val="Heading3"/>
      </w:pPr>
      <w:bookmarkStart w:name="_Toc185579396" w:id="808"/>
      <w:bookmarkStart w:name="_Toc192263722" w:id="809"/>
      <w:bookmarkStart w:name="_Toc200370997" w:id="810"/>
      <w:r w:rsidRPr="004166D8">
        <w:t>Discussion</w:t>
      </w:r>
      <w:bookmarkEnd w:id="808"/>
      <w:bookmarkEnd w:id="809"/>
      <w:bookmarkEnd w:id="810"/>
    </w:p>
    <w:p w:rsidR="00044A39" w:rsidP="009E515D" w:rsidRDefault="00B765BA" w14:paraId="21C9B7FF" w14:textId="20A6356F">
      <w:pPr>
        <w:pStyle w:val="Standard"/>
      </w:pPr>
      <w:r w:rsidRPr="340636CC">
        <w:t xml:space="preserve">The </w:t>
      </w:r>
      <w:r w:rsidRPr="340636CC" w:rsidR="0072092D">
        <w:t xml:space="preserve">new </w:t>
      </w:r>
      <w:r w:rsidR="00240655">
        <w:t>AB </w:t>
      </w:r>
      <w:r w:rsidRPr="340636CC">
        <w:t>157 fund</w:t>
      </w:r>
      <w:r w:rsidRPr="340636CC" w:rsidR="0072092D">
        <w:t>ing</w:t>
      </w:r>
      <w:r w:rsidRPr="340636CC">
        <w:t xml:space="preserve"> </w:t>
      </w:r>
      <w:r w:rsidR="00F60920">
        <w:t xml:space="preserve">is intended to </w:t>
      </w:r>
      <w:r w:rsidRPr="340636CC">
        <w:t>benefit the greatest number of customers</w:t>
      </w:r>
      <w:r w:rsidR="00752975">
        <w:t>, and the greatest number of customers in need of support for decarbonization efforts</w:t>
      </w:r>
      <w:r w:rsidR="00AA53B2">
        <w:t xml:space="preserve">. </w:t>
      </w:r>
      <w:r w:rsidR="00752975">
        <w:t xml:space="preserve">This decision increases the TECH Initiative equity requirement from 40 to 50 percent for AB 157 funds. This will provide more </w:t>
      </w:r>
      <w:r w:rsidR="00752975">
        <w:lastRenderedPageBreak/>
        <w:t xml:space="preserve">funding to support the most vulnerable customers in the area to be served by these funds.  We </w:t>
      </w:r>
      <w:r w:rsidR="005804BE">
        <w:t xml:space="preserve">do not </w:t>
      </w:r>
      <w:r w:rsidRPr="340636CC">
        <w:t xml:space="preserve">direct the </w:t>
      </w:r>
      <w:r w:rsidRPr="340636CC" w:rsidR="000F7173">
        <w:t>TECH Initiative implement</w:t>
      </w:r>
      <w:r w:rsidRPr="340636CC" w:rsidR="00161832">
        <w:t xml:space="preserve">er </w:t>
      </w:r>
      <w:r w:rsidRPr="340636CC" w:rsidR="00D741BF">
        <w:t>to create</w:t>
      </w:r>
      <w:r w:rsidRPr="340636CC">
        <w:t xml:space="preserve"> a direct install program</w:t>
      </w:r>
      <w:r w:rsidRPr="340636CC" w:rsidR="00D741BF">
        <w:t xml:space="preserve"> in the Aliso Canyon Disaster Area</w:t>
      </w:r>
      <w:r w:rsidR="00B223BE">
        <w:t>,</w:t>
      </w:r>
      <w:r w:rsidRPr="340636CC" w:rsidR="068A3B16">
        <w:t xml:space="preserve"> </w:t>
      </w:r>
      <w:r w:rsidR="00E3646E">
        <w:t>which</w:t>
      </w:r>
      <w:r w:rsidRPr="340636CC" w:rsidR="068A3B16">
        <w:t xml:space="preserve"> would </w:t>
      </w:r>
      <w:r w:rsidR="00E3646E">
        <w:t>require</w:t>
      </w:r>
      <w:r w:rsidRPr="340636CC" w:rsidR="068A3B16">
        <w:t xml:space="preserve"> a fundamental change to the program</w:t>
      </w:r>
      <w:r w:rsidRPr="340636CC" w:rsidR="4397531E">
        <w:t>.</w:t>
      </w:r>
      <w:r w:rsidRPr="340636CC" w:rsidR="444669C7">
        <w:t xml:space="preserve"> </w:t>
      </w:r>
    </w:p>
    <w:p w:rsidR="00B765BA" w:rsidP="009E515D" w:rsidRDefault="00DA47F7" w14:paraId="0EE7AD4E" w14:textId="79ACF5A0">
      <w:pPr>
        <w:pStyle w:val="Standard"/>
      </w:pPr>
      <w:r>
        <w:t>T</w:t>
      </w:r>
      <w:r w:rsidRPr="53A54C7D" w:rsidR="00B765BA">
        <w:t>he C</w:t>
      </w:r>
      <w:r w:rsidRPr="53A54C7D" w:rsidR="00F906B9">
        <w:t>EC</w:t>
      </w:r>
      <w:r w:rsidRPr="53A54C7D" w:rsidR="00B765BA">
        <w:t xml:space="preserve">’s HEEHRA </w:t>
      </w:r>
      <w:r w:rsidRPr="53A54C7D" w:rsidR="00044A39">
        <w:t xml:space="preserve">and EBD </w:t>
      </w:r>
      <w:r w:rsidRPr="53A54C7D" w:rsidR="00B765BA">
        <w:t>program</w:t>
      </w:r>
      <w:r w:rsidRPr="53A54C7D" w:rsidR="00044A39">
        <w:t>s</w:t>
      </w:r>
      <w:r w:rsidRPr="53A54C7D" w:rsidR="00B765BA">
        <w:t xml:space="preserve"> also target </w:t>
      </w:r>
      <w:r w:rsidRPr="53A54C7D" w:rsidR="2B6D0F6B">
        <w:t xml:space="preserve">single-family </w:t>
      </w:r>
      <w:r w:rsidRPr="53A54C7D" w:rsidR="00B765BA">
        <w:t>low-income households with income at or below 80</w:t>
      </w:r>
      <w:r w:rsidR="000B72C9">
        <w:t> percent</w:t>
      </w:r>
      <w:r w:rsidRPr="53A54C7D" w:rsidR="00B765BA">
        <w:t xml:space="preserve"> </w:t>
      </w:r>
      <w:r w:rsidR="006A0098">
        <w:t>area med</w:t>
      </w:r>
      <w:r w:rsidR="00BB2CAE">
        <w:t>ian</w:t>
      </w:r>
      <w:r w:rsidR="006A0098">
        <w:t xml:space="preserve"> income</w:t>
      </w:r>
      <w:r w:rsidRPr="53A54C7D" w:rsidR="00B765BA">
        <w:t xml:space="preserve">, </w:t>
      </w:r>
      <w:r w:rsidR="0644EDCD">
        <w:t>as well as multi-family low-income households with at least 66 percent of occupied living units at or below 80 percent of area median income</w:t>
      </w:r>
      <w:r w:rsidRPr="53A54C7D" w:rsidR="00B765BA">
        <w:t xml:space="preserve">, </w:t>
      </w:r>
      <w:r w:rsidRPr="53A54C7D" w:rsidR="4DF0A792">
        <w:t>and allow categorical eligibility</w:t>
      </w:r>
      <w:r w:rsidR="007C2D42">
        <w:t>. Accordingly</w:t>
      </w:r>
      <w:r w:rsidRPr="53A54C7D" w:rsidR="4DF0A792">
        <w:t xml:space="preserve">, </w:t>
      </w:r>
      <w:r w:rsidRPr="53A54C7D" w:rsidR="00D17D09">
        <w:t>using the same eligibility criter</w:t>
      </w:r>
      <w:r w:rsidRPr="53A54C7D" w:rsidR="00F61D93">
        <w:t>ion</w:t>
      </w:r>
      <w:r w:rsidRPr="53A54C7D" w:rsidR="00B765BA">
        <w:t xml:space="preserve"> will improve alignment </w:t>
      </w:r>
      <w:r w:rsidRPr="53A54C7D" w:rsidR="00406A66">
        <w:t xml:space="preserve">across </w:t>
      </w:r>
      <w:r w:rsidRPr="53A54C7D" w:rsidR="00874394">
        <w:t xml:space="preserve">the three </w:t>
      </w:r>
      <w:r w:rsidRPr="53A54C7D" w:rsidR="00B765BA">
        <w:t xml:space="preserve">programs. </w:t>
      </w:r>
      <w:r w:rsidR="00E3646E">
        <w:t>T</w:t>
      </w:r>
      <w:r w:rsidRPr="53A54C7D" w:rsidR="462413FD">
        <w:t xml:space="preserve">he TECH Initiative implementer </w:t>
      </w:r>
      <w:r w:rsidR="00E3646E">
        <w:t xml:space="preserve">will use this guidance </w:t>
      </w:r>
      <w:r w:rsidRPr="53A54C7D" w:rsidR="462413FD">
        <w:t xml:space="preserve">to meet the 50 percent carve-out for equity customers. </w:t>
      </w:r>
      <w:r w:rsidRPr="53A54C7D" w:rsidR="2EA881BA">
        <w:t>We</w:t>
      </w:r>
      <w:r w:rsidRPr="53A54C7D" w:rsidR="00B765BA">
        <w:t xml:space="preserve"> </w:t>
      </w:r>
      <w:r w:rsidR="00DD7250">
        <w:t>also</w:t>
      </w:r>
      <w:r w:rsidRPr="53A54C7D" w:rsidR="00B765BA">
        <w:t xml:space="preserve"> </w:t>
      </w:r>
      <w:r w:rsidRPr="53A54C7D" w:rsidR="00DA3A37">
        <w:t xml:space="preserve">direct </w:t>
      </w:r>
      <w:r w:rsidRPr="53A54C7D" w:rsidR="00B765BA">
        <w:t xml:space="preserve">the TECH Initiative implementer </w:t>
      </w:r>
      <w:r w:rsidR="00FA5336">
        <w:t xml:space="preserve">to </w:t>
      </w:r>
      <w:r w:rsidRPr="53A54C7D" w:rsidR="00B765BA">
        <w:t>verify the incomes of all participants.</w:t>
      </w:r>
      <w:r w:rsidRPr="53A54C7D" w:rsidR="00D03357">
        <w:rPr>
          <w:rStyle w:val="FootnoteReference"/>
        </w:rPr>
        <w:footnoteReference w:id="176"/>
      </w:r>
      <w:r w:rsidRPr="53A54C7D" w:rsidR="00B765BA">
        <w:t xml:space="preserve"> </w:t>
      </w:r>
    </w:p>
    <w:p w:rsidRPr="002B16E9" w:rsidR="00B765BA" w:rsidP="009E515D" w:rsidRDefault="00E52857" w14:paraId="6C3F2629" w14:textId="535AFAF1">
      <w:pPr>
        <w:pStyle w:val="Standard"/>
      </w:pPr>
      <w:r w:rsidRPr="53A54C7D">
        <w:t xml:space="preserve">We </w:t>
      </w:r>
      <w:r w:rsidR="000D2381">
        <w:t>reject</w:t>
      </w:r>
      <w:r w:rsidRPr="53A54C7D">
        <w:t xml:space="preserve"> </w:t>
      </w:r>
      <w:r w:rsidRPr="53A54C7D" w:rsidR="004759F5">
        <w:t xml:space="preserve">the Joint Parties’ recommendation </w:t>
      </w:r>
      <w:r w:rsidR="00E51782">
        <w:t xml:space="preserve">to require </w:t>
      </w:r>
      <w:r w:rsidRPr="53A54C7D" w:rsidR="005B05E8">
        <w:t xml:space="preserve">the TECH Initiative to publish datasets and maps </w:t>
      </w:r>
      <w:r w:rsidRPr="53A54C7D" w:rsidR="0003545E">
        <w:t xml:space="preserve">demonstrating which and how many </w:t>
      </w:r>
      <w:r w:rsidRPr="53A54C7D" w:rsidR="00F8746C">
        <w:t>households quali</w:t>
      </w:r>
      <w:r w:rsidRPr="53A54C7D" w:rsidR="005872AA">
        <w:t>f</w:t>
      </w:r>
      <w:r w:rsidRPr="53A54C7D" w:rsidR="00F8746C">
        <w:t>y as equity customers</w:t>
      </w:r>
      <w:r w:rsidRPr="53A54C7D">
        <w:t xml:space="preserve">. </w:t>
      </w:r>
      <w:r w:rsidRPr="53A54C7D" w:rsidR="00D572BD">
        <w:t>As for</w:t>
      </w:r>
      <w:r w:rsidRPr="53A54C7D" w:rsidR="00382DA0">
        <w:t xml:space="preserve"> </w:t>
      </w:r>
      <w:r w:rsidRPr="53A54C7D" w:rsidR="00FF3E44">
        <w:t>reporting on which</w:t>
      </w:r>
      <w:r w:rsidRPr="53A54C7D" w:rsidR="00B53D5F">
        <w:t xml:space="preserve"> specific</w:t>
      </w:r>
      <w:r w:rsidRPr="53A54C7D" w:rsidR="00FF3E44">
        <w:t xml:space="preserve"> households </w:t>
      </w:r>
      <w:r w:rsidRPr="53A54C7D" w:rsidR="005872AA">
        <w:t>qualify as equity customer</w:t>
      </w:r>
      <w:r w:rsidRPr="53A54C7D" w:rsidR="00D2688D">
        <w:t>s</w:t>
      </w:r>
      <w:r w:rsidRPr="53A54C7D" w:rsidR="00D572BD">
        <w:t xml:space="preserve">, </w:t>
      </w:r>
      <w:r w:rsidRPr="53A54C7D" w:rsidR="00F607D4">
        <w:t xml:space="preserve">the TECH Initiative implementer already </w:t>
      </w:r>
      <w:r w:rsidRPr="53A54C7D" w:rsidR="00832756">
        <w:t xml:space="preserve">publicly </w:t>
      </w:r>
      <w:r w:rsidRPr="53A54C7D" w:rsidR="00F607D4">
        <w:t xml:space="preserve">reports </w:t>
      </w:r>
      <w:r w:rsidRPr="53A54C7D" w:rsidR="00253CBF">
        <w:t xml:space="preserve">installation data </w:t>
      </w:r>
      <w:r w:rsidRPr="53A54C7D" w:rsidR="00832756">
        <w:t>at the</w:t>
      </w:r>
      <w:r w:rsidRPr="53A54C7D" w:rsidR="00721234">
        <w:t xml:space="preserve"> city level</w:t>
      </w:r>
      <w:r w:rsidRPr="53A54C7D" w:rsidR="00832756">
        <w:t>.</w:t>
      </w:r>
      <w:r w:rsidRPr="53A54C7D" w:rsidR="00832756">
        <w:rPr>
          <w:rStyle w:val="FootnoteReference"/>
        </w:rPr>
        <w:footnoteReference w:id="177"/>
      </w:r>
      <w:r w:rsidRPr="53A54C7D" w:rsidR="009E748D">
        <w:t xml:space="preserve"> </w:t>
      </w:r>
      <w:r w:rsidRPr="53A54C7D" w:rsidR="00AE46DE">
        <w:t xml:space="preserve">Moreover, </w:t>
      </w:r>
      <w:r w:rsidRPr="53A54C7D" w:rsidR="00F4687D">
        <w:t xml:space="preserve">the implementer also already </w:t>
      </w:r>
      <w:r w:rsidRPr="53A54C7D" w:rsidR="00A57CFE">
        <w:t xml:space="preserve">visually reports </w:t>
      </w:r>
      <w:r w:rsidRPr="53A54C7D" w:rsidR="00B8025A">
        <w:t>installation data on</w:t>
      </w:r>
      <w:r w:rsidRPr="53A54C7D" w:rsidR="005C0E5F">
        <w:t xml:space="preserve"> the TECH </w:t>
      </w:r>
      <w:r w:rsidRPr="53A54C7D" w:rsidR="007D1583">
        <w:t xml:space="preserve">Initiative’s data </w:t>
      </w:r>
      <w:r w:rsidRPr="53A54C7D" w:rsidR="000071C1">
        <w:t>reporting website.</w:t>
      </w:r>
      <w:r w:rsidRPr="53A54C7D" w:rsidR="00B13094">
        <w:rPr>
          <w:rStyle w:val="FootnoteReference"/>
        </w:rPr>
        <w:footnoteReference w:id="178"/>
      </w:r>
      <w:r w:rsidRPr="53A54C7D" w:rsidR="005872AA">
        <w:t xml:space="preserve"> </w:t>
      </w:r>
      <w:r w:rsidRPr="53A54C7D" w:rsidR="000E4915">
        <w:t xml:space="preserve"> </w:t>
      </w:r>
    </w:p>
    <w:p w:rsidRPr="004166D8" w:rsidR="002317AD" w:rsidP="000E7D14" w:rsidRDefault="002317AD" w14:paraId="60628515" w14:textId="77388108">
      <w:pPr>
        <w:pStyle w:val="Heading2"/>
      </w:pPr>
      <w:bookmarkStart w:name="_Toc185579397" w:id="811"/>
      <w:bookmarkStart w:name="_Toc192263723" w:id="812"/>
      <w:bookmarkStart w:name="_Toc200370998" w:id="813"/>
      <w:r w:rsidRPr="004166D8">
        <w:lastRenderedPageBreak/>
        <w:t>Authorization of New Measures</w:t>
      </w:r>
      <w:bookmarkEnd w:id="811"/>
      <w:bookmarkEnd w:id="812"/>
      <w:bookmarkEnd w:id="813"/>
    </w:p>
    <w:p w:rsidRPr="004166D8" w:rsidR="002317AD" w:rsidP="000E7D14" w:rsidRDefault="002317AD" w14:paraId="77B23677" w14:textId="6459BEC0">
      <w:pPr>
        <w:pStyle w:val="Heading3"/>
      </w:pPr>
      <w:bookmarkStart w:name="_Toc185579398" w:id="814"/>
      <w:bookmarkStart w:name="_Toc192263724" w:id="815"/>
      <w:bookmarkStart w:name="_Toc200370999" w:id="816"/>
      <w:r w:rsidRPr="004166D8">
        <w:t xml:space="preserve">Summary of </w:t>
      </w:r>
      <w:r w:rsidR="002C5255">
        <w:t>Party Positions</w:t>
      </w:r>
      <w:bookmarkEnd w:id="814"/>
      <w:bookmarkEnd w:id="815"/>
      <w:bookmarkEnd w:id="816"/>
    </w:p>
    <w:p w:rsidRPr="00C104DC" w:rsidR="00C104DC" w:rsidP="00C104DC" w:rsidRDefault="00BD5DCF" w14:paraId="29DFCF96" w14:textId="61F7A55D">
      <w:pPr>
        <w:pStyle w:val="Standard"/>
      </w:pPr>
      <w:r>
        <w:t xml:space="preserve">Parties provided </w:t>
      </w:r>
      <w:r w:rsidR="00C44681">
        <w:t>recommendations</w:t>
      </w:r>
      <w:r>
        <w:t xml:space="preserve"> on whether further clarification is needed on what additional new measures for enabling comprehensive building electrification should be authorized by the Commission beyond energy audits, panel upgrades, and </w:t>
      </w:r>
      <w:r w:rsidR="00F0154D">
        <w:t>electrical</w:t>
      </w:r>
      <w:r>
        <w:t xml:space="preserve"> wiring repairs.</w:t>
      </w:r>
    </w:p>
    <w:p w:rsidR="00847D98" w:rsidP="009E515D" w:rsidRDefault="00847D98" w14:paraId="580BC8F7" w14:textId="4325FC6D">
      <w:pPr>
        <w:pStyle w:val="Standard"/>
        <w:rPr>
          <w:rFonts w:cstheme="minorHAnsi"/>
          <w:szCs w:val="26"/>
        </w:rPr>
      </w:pPr>
      <w:r w:rsidRPr="53A54C7D">
        <w:t>ConnectDER recommends the Commission authorize MSAs as an additional measure.</w:t>
      </w:r>
      <w:r w:rsidRPr="53A54C7D">
        <w:rPr>
          <w:rStyle w:val="FootnoteReference"/>
        </w:rPr>
        <w:footnoteReference w:id="179"/>
      </w:r>
      <w:r w:rsidRPr="53A54C7D">
        <w:t xml:space="preserve"> </w:t>
      </w:r>
      <w:r w:rsidRPr="53A54C7D" w:rsidR="005015E1">
        <w:t>ConnectDER</w:t>
      </w:r>
      <w:r w:rsidRPr="53A54C7D">
        <w:t xml:space="preserve"> </w:t>
      </w:r>
      <w:r w:rsidRPr="53A54C7D" w:rsidR="005015E1">
        <w:t>contends</w:t>
      </w:r>
      <w:r w:rsidRPr="53A54C7D">
        <w:t xml:space="preserve"> these can help avoid panel and/or </w:t>
      </w:r>
      <w:r w:rsidRPr="53A54C7D" w:rsidR="00166A47">
        <w:t xml:space="preserve">electric </w:t>
      </w:r>
      <w:r w:rsidRPr="53A54C7D">
        <w:t xml:space="preserve">service </w:t>
      </w:r>
      <w:r w:rsidRPr="53A54C7D" w:rsidR="00166A47">
        <w:t>line</w:t>
      </w:r>
      <w:r w:rsidRPr="53A54C7D">
        <w:t xml:space="preserve"> upgrades, and reduce the time “required to add clean generation or new electric load to an existing service by reducing the complexity and time to complete installation and limiting the work done inside customer premises.”</w:t>
      </w:r>
      <w:r w:rsidRPr="53A54C7D">
        <w:rPr>
          <w:rStyle w:val="FootnoteReference"/>
        </w:rPr>
        <w:footnoteReference w:id="180"/>
      </w:r>
      <w:r w:rsidRPr="53A54C7D">
        <w:t xml:space="preserve"> </w:t>
      </w:r>
    </w:p>
    <w:p w:rsidR="00D30750" w:rsidP="009E515D" w:rsidRDefault="00D30750" w14:paraId="5C1F9C79" w14:textId="23ACEF4D">
      <w:pPr>
        <w:pStyle w:val="Standard"/>
        <w:rPr>
          <w:rFonts w:cstheme="minorHAnsi"/>
          <w:szCs w:val="26"/>
        </w:rPr>
      </w:pPr>
      <w:r w:rsidRPr="53A54C7D">
        <w:t xml:space="preserve">SPUR also recommends the Commission </w:t>
      </w:r>
      <w:r w:rsidRPr="53A54C7D" w:rsidR="0099556C">
        <w:t xml:space="preserve">authorize MSAs and </w:t>
      </w:r>
      <w:r w:rsidR="004B37EF">
        <w:t>direct</w:t>
      </w:r>
      <w:r w:rsidRPr="53A54C7D" w:rsidR="009E55EB">
        <w:t xml:space="preserve"> </w:t>
      </w:r>
      <w:r w:rsidRPr="53A54C7D">
        <w:t xml:space="preserve">the TECH Initiative </w:t>
      </w:r>
      <w:r w:rsidRPr="53A54C7D" w:rsidR="0029356C">
        <w:t>implementer</w:t>
      </w:r>
      <w:r w:rsidRPr="53A54C7D">
        <w:t xml:space="preserve"> to encourage or require contractors to use panel optimization planning processes and tools, explore options for incentivizing the use of load management technologies and power efficient equipment when possible and necessary to avoid panel upsizing costs, and limit subsidies for panel and service upgrades to households with under 200-</w:t>
      </w:r>
      <w:r w:rsidR="00A65B90">
        <w:t>amp</w:t>
      </w:r>
      <w:r w:rsidRPr="53A54C7D">
        <w:t xml:space="preserve"> service.</w:t>
      </w:r>
      <w:r w:rsidRPr="53A54C7D">
        <w:rPr>
          <w:rStyle w:val="FootnoteReference"/>
        </w:rPr>
        <w:footnoteReference w:id="181"/>
      </w:r>
      <w:r w:rsidRPr="53A54C7D">
        <w:t xml:space="preserve"> </w:t>
      </w:r>
    </w:p>
    <w:p w:rsidR="001E7AB8" w:rsidP="009E515D" w:rsidRDefault="001E7AB8" w14:paraId="2E79DBDD" w14:textId="33E37131">
      <w:pPr>
        <w:pStyle w:val="Standard"/>
        <w:rPr>
          <w:rFonts w:cstheme="minorHAnsi"/>
          <w:szCs w:val="26"/>
        </w:rPr>
      </w:pPr>
      <w:r w:rsidRPr="53A54C7D">
        <w:t xml:space="preserve">PG&amp;E recommends the Commission </w:t>
      </w:r>
      <w:r w:rsidRPr="53A54C7D" w:rsidR="0035452E">
        <w:t xml:space="preserve">authorize </w:t>
      </w:r>
      <w:r w:rsidRPr="53A54C7D" w:rsidR="0029356C">
        <w:t xml:space="preserve">new </w:t>
      </w:r>
      <w:r w:rsidR="00240655">
        <w:t>AB </w:t>
      </w:r>
      <w:r w:rsidRPr="53A54C7D" w:rsidR="0035452E">
        <w:t>157 fund</w:t>
      </w:r>
      <w:r w:rsidRPr="53A54C7D" w:rsidR="0029356C">
        <w:t>ing</w:t>
      </w:r>
      <w:r w:rsidRPr="53A54C7D" w:rsidR="0035452E">
        <w:t xml:space="preserve"> </w:t>
      </w:r>
      <w:r w:rsidRPr="53A54C7D">
        <w:t xml:space="preserve">to </w:t>
      </w:r>
      <w:r w:rsidRPr="53A54C7D" w:rsidR="0035452E">
        <w:t xml:space="preserve">cover </w:t>
      </w:r>
      <w:r w:rsidRPr="53A54C7D" w:rsidR="003F5174">
        <w:t xml:space="preserve">electric </w:t>
      </w:r>
      <w:r w:rsidRPr="53A54C7D">
        <w:t xml:space="preserve">service </w:t>
      </w:r>
      <w:r w:rsidRPr="53A54C7D" w:rsidR="003F5174">
        <w:t>line</w:t>
      </w:r>
      <w:r w:rsidRPr="53A54C7D">
        <w:t xml:space="preserve"> upgrades </w:t>
      </w:r>
      <w:r w:rsidR="0017400A">
        <w:t>due to</w:t>
      </w:r>
      <w:r w:rsidRPr="53A54C7D" w:rsidR="00CE6E3B">
        <w:t xml:space="preserve"> increased</w:t>
      </w:r>
      <w:r w:rsidRPr="53A54C7D">
        <w:t xml:space="preserve"> electric load from building electrification equipment</w:t>
      </w:r>
      <w:r w:rsidRPr="53A54C7D" w:rsidR="003F5174">
        <w:t xml:space="preserve">, </w:t>
      </w:r>
      <w:r w:rsidRPr="53A54C7D" w:rsidR="0048253D">
        <w:t xml:space="preserve">and </w:t>
      </w:r>
      <w:r w:rsidRPr="53A54C7D" w:rsidR="003F5174">
        <w:t>explain</w:t>
      </w:r>
      <w:r w:rsidRPr="53A54C7D" w:rsidR="0048253D">
        <w:t>s</w:t>
      </w:r>
      <w:r w:rsidRPr="53A54C7D" w:rsidR="003F5174">
        <w:t xml:space="preserve"> such upgrades are</w:t>
      </w:r>
      <w:r w:rsidRPr="53A54C7D">
        <w:t xml:space="preserve"> a cost barrier to electrification retrofits for customers.</w:t>
      </w:r>
      <w:r w:rsidRPr="53A54C7D">
        <w:rPr>
          <w:rStyle w:val="FootnoteReference"/>
        </w:rPr>
        <w:footnoteReference w:id="182"/>
      </w:r>
      <w:r w:rsidRPr="53A54C7D">
        <w:t xml:space="preserve"> </w:t>
      </w:r>
    </w:p>
    <w:p w:rsidR="001E7AB8" w:rsidP="009E515D" w:rsidRDefault="005D5228" w14:paraId="13F48A80" w14:textId="6F6279C2">
      <w:pPr>
        <w:pStyle w:val="Standard"/>
      </w:pPr>
      <w:r>
        <w:lastRenderedPageBreak/>
        <w:t>Cal Advocates</w:t>
      </w:r>
      <w:r w:rsidRPr="65DB29C9" w:rsidR="001E7AB8">
        <w:t xml:space="preserve"> and SCE both recommend the Commission withhold expansion to new measures</w:t>
      </w:r>
      <w:r w:rsidRPr="65DB29C9" w:rsidR="00D42DB7">
        <w:t>. I</w:t>
      </w:r>
      <w:r w:rsidRPr="65DB29C9" w:rsidR="001E7AB8">
        <w:t xml:space="preserve">f </w:t>
      </w:r>
      <w:r w:rsidRPr="65DB29C9" w:rsidR="00D42DB7">
        <w:t>new measures are authorized, however</w:t>
      </w:r>
      <w:r w:rsidRPr="65DB29C9" w:rsidR="001E7AB8">
        <w:t xml:space="preserve">, </w:t>
      </w:r>
      <w:r>
        <w:t>Cal Advocates</w:t>
      </w:r>
      <w:r w:rsidRPr="65DB29C9" w:rsidR="001E7AB8">
        <w:t xml:space="preserve"> </w:t>
      </w:r>
      <w:r w:rsidRPr="65DB29C9" w:rsidR="009E43C9">
        <w:t>states those new measures</w:t>
      </w:r>
      <w:r w:rsidRPr="65DB29C9" w:rsidR="001E7AB8">
        <w:t xml:space="preserve"> </w:t>
      </w:r>
      <w:r w:rsidRPr="65DB29C9" w:rsidR="009E43C9">
        <w:t>should</w:t>
      </w:r>
      <w:r w:rsidRPr="65DB29C9" w:rsidR="001E7AB8">
        <w:t xml:space="preserve"> contribute to market transformation efforts for clean heating technologies</w:t>
      </w:r>
      <w:r w:rsidRPr="65DB29C9" w:rsidR="00124799">
        <w:t>,</w:t>
      </w:r>
      <w:r w:rsidRPr="65DB29C9" w:rsidR="001E7AB8">
        <w:rPr>
          <w:rStyle w:val="FootnoteReference"/>
        </w:rPr>
        <w:footnoteReference w:id="183"/>
      </w:r>
      <w:r w:rsidRPr="65DB29C9" w:rsidR="001E7AB8">
        <w:t xml:space="preserve"> </w:t>
      </w:r>
      <w:r w:rsidRPr="65DB29C9" w:rsidR="00A12FE0">
        <w:t>with</w:t>
      </w:r>
      <w:r w:rsidRPr="65DB29C9" w:rsidR="001E7AB8">
        <w:t xml:space="preserve"> SCE specif</w:t>
      </w:r>
      <w:r w:rsidRPr="65DB29C9" w:rsidR="00C46474">
        <w:t xml:space="preserve">ying </w:t>
      </w:r>
      <w:r w:rsidRPr="65DB29C9" w:rsidR="001E7AB8">
        <w:t>electric clothes dryers and induction cooking appliances</w:t>
      </w:r>
      <w:r w:rsidRPr="65DB29C9" w:rsidR="61CF5BCF">
        <w:t>,</w:t>
      </w:r>
      <w:r w:rsidRPr="65DB29C9" w:rsidR="001E7AB8">
        <w:t xml:space="preserve"> </w:t>
      </w:r>
      <w:r w:rsidRPr="058742F6" w:rsidR="61CF5BCF">
        <w:t>for example,</w:t>
      </w:r>
      <w:r w:rsidRPr="058742F6" w:rsidR="001E7AB8">
        <w:t xml:space="preserve"> </w:t>
      </w:r>
      <w:r w:rsidRPr="65DB29C9" w:rsidR="001E7AB8">
        <w:t>be made eligible as long as funding is prioritized for the highest GHG reduction potential technologies like heat pump space and water heaters.</w:t>
      </w:r>
      <w:r w:rsidRPr="65DB29C9" w:rsidR="001E7AB8">
        <w:rPr>
          <w:rStyle w:val="FootnoteReference"/>
        </w:rPr>
        <w:footnoteReference w:id="184"/>
      </w:r>
      <w:r w:rsidRPr="65DB29C9" w:rsidR="001E7AB8">
        <w:t xml:space="preserve"> </w:t>
      </w:r>
    </w:p>
    <w:p w:rsidRPr="009804E7" w:rsidR="00847D98" w:rsidP="009E515D" w:rsidRDefault="001E7AB8" w14:paraId="53AC1BB7" w14:textId="66E77514">
      <w:pPr>
        <w:pStyle w:val="Standard"/>
        <w:rPr>
          <w:rFonts w:cstheme="minorHAnsi"/>
          <w:szCs w:val="26"/>
        </w:rPr>
      </w:pPr>
      <w:r w:rsidRPr="53A54C7D">
        <w:t xml:space="preserve">VEIC recommends the Commission adopt the </w:t>
      </w:r>
      <w:r w:rsidRPr="53A54C7D" w:rsidR="00C341EC">
        <w:t xml:space="preserve">same </w:t>
      </w:r>
      <w:r w:rsidRPr="53A54C7D">
        <w:t>measure list</w:t>
      </w:r>
      <w:r w:rsidRPr="53A54C7D" w:rsidR="00B5448B">
        <w:rPr>
          <w:rStyle w:val="FootnoteReference"/>
        </w:rPr>
        <w:footnoteReference w:id="185"/>
      </w:r>
      <w:r w:rsidRPr="53A54C7D">
        <w:t xml:space="preserve"> for “comprehensive building electrification” </w:t>
      </w:r>
      <w:r w:rsidRPr="53A54C7D" w:rsidR="00C341EC">
        <w:t xml:space="preserve">as was adopted </w:t>
      </w:r>
      <w:r w:rsidRPr="53A54C7D" w:rsidR="00A61E01">
        <w:t xml:space="preserve">by the CEC </w:t>
      </w:r>
      <w:r w:rsidRPr="53A54C7D" w:rsidR="00C341EC">
        <w:t xml:space="preserve">for </w:t>
      </w:r>
      <w:r w:rsidRPr="53A54C7D">
        <w:t xml:space="preserve">the EBD program, noting the Commission </w:t>
      </w:r>
      <w:r w:rsidRPr="53A54C7D" w:rsidR="00A61E01">
        <w:t xml:space="preserve">should </w:t>
      </w:r>
      <w:r w:rsidRPr="53A54C7D">
        <w:t xml:space="preserve">establish that comprehensive building electrification is not required for all </w:t>
      </w:r>
      <w:r w:rsidR="00240655">
        <w:t>AB </w:t>
      </w:r>
      <w:r w:rsidRPr="53A54C7D">
        <w:t>157-funded projects.</w:t>
      </w:r>
      <w:r w:rsidRPr="53A54C7D" w:rsidR="00AF395E">
        <w:rPr>
          <w:rStyle w:val="FootnoteReference"/>
        </w:rPr>
        <w:footnoteReference w:id="186"/>
      </w:r>
    </w:p>
    <w:p w:rsidR="00F5575E" w:rsidP="002317AD" w:rsidRDefault="00F5575E" w14:paraId="091B450B" w14:textId="1912805E">
      <w:pPr>
        <w:pStyle w:val="Standard"/>
      </w:pPr>
      <w:r>
        <w:t xml:space="preserve">CAC </w:t>
      </w:r>
      <w:r w:rsidR="006879B7">
        <w:t xml:space="preserve">agrees </w:t>
      </w:r>
      <w:r w:rsidR="00A66D43">
        <w:t>with SPUR’s approach to electrifi</w:t>
      </w:r>
      <w:r w:rsidR="002072A0">
        <w:t xml:space="preserve">cation </w:t>
      </w:r>
      <w:r w:rsidR="004F5A23">
        <w:t xml:space="preserve">in avoiding panel upgrades </w:t>
      </w:r>
      <w:r w:rsidR="001B257D">
        <w:t>and right-sizing electric appliances</w:t>
      </w:r>
      <w:r w:rsidR="00ED39FB">
        <w:t>,</w:t>
      </w:r>
      <w:r w:rsidR="00920A05">
        <w:t xml:space="preserve"> </w:t>
      </w:r>
      <w:r w:rsidR="006E593F">
        <w:t xml:space="preserve">and </w:t>
      </w:r>
      <w:r w:rsidR="00FE113B">
        <w:t>argu</w:t>
      </w:r>
      <w:r w:rsidR="006E593F">
        <w:t>es</w:t>
      </w:r>
      <w:r w:rsidR="00FE113B">
        <w:t xml:space="preserve"> that </w:t>
      </w:r>
      <w:r w:rsidR="00327686">
        <w:t xml:space="preserve">focusing solely on </w:t>
      </w:r>
      <w:r w:rsidR="00A17CBD">
        <w:t xml:space="preserve">installing </w:t>
      </w:r>
      <w:r w:rsidR="00327686">
        <w:t xml:space="preserve">120-volt </w:t>
      </w:r>
      <w:r w:rsidR="00355035">
        <w:t>HPWHs</w:t>
      </w:r>
      <w:r w:rsidR="00A65C42">
        <w:t xml:space="preserve"> </w:t>
      </w:r>
      <w:r w:rsidR="00916EF4">
        <w:t>would help</w:t>
      </w:r>
      <w:r w:rsidR="009E7AF8">
        <w:t xml:space="preserve"> avoid costly panel upgrades.</w:t>
      </w:r>
      <w:r w:rsidR="009E7AF8">
        <w:rPr>
          <w:rStyle w:val="FootnoteReference"/>
        </w:rPr>
        <w:footnoteReference w:id="187"/>
      </w:r>
      <w:r w:rsidR="00E33E38">
        <w:t xml:space="preserve"> </w:t>
      </w:r>
    </w:p>
    <w:p w:rsidR="009A4D0E" w:rsidP="002317AD" w:rsidRDefault="009A4D0E" w14:paraId="28D6FDD2" w14:textId="6287835D">
      <w:pPr>
        <w:pStyle w:val="Standard"/>
      </w:pPr>
      <w:r w:rsidRPr="53A54C7D">
        <w:t>PG&amp;E support</w:t>
      </w:r>
      <w:r w:rsidRPr="53A54C7D" w:rsidR="006E593F">
        <w:t>s</w:t>
      </w:r>
      <w:r w:rsidRPr="53A54C7D">
        <w:t xml:space="preserve"> ConnectDER’s proposal</w:t>
      </w:r>
      <w:r w:rsidRPr="53A54C7D" w:rsidR="00035CFC">
        <w:t xml:space="preserve"> to authorize MSAs</w:t>
      </w:r>
      <w:r w:rsidRPr="53A54C7D">
        <w:t xml:space="preserve">, but highlights that </w:t>
      </w:r>
      <w:r w:rsidRPr="53A54C7D" w:rsidR="008C0798">
        <w:t>all</w:t>
      </w:r>
      <w:r w:rsidRPr="53A54C7D" w:rsidR="00035CFC">
        <w:t xml:space="preserve"> </w:t>
      </w:r>
      <w:r w:rsidRPr="53A54C7D" w:rsidR="00BA1A87">
        <w:t>MSAs</w:t>
      </w:r>
      <w:r w:rsidRPr="53A54C7D">
        <w:t xml:space="preserve"> must be subject</w:t>
      </w:r>
      <w:r w:rsidRPr="53A54C7D" w:rsidR="00F239C0">
        <w:t xml:space="preserve"> to </w:t>
      </w:r>
      <w:r w:rsidRPr="53A54C7D">
        <w:t>testing, evaluation,</w:t>
      </w:r>
      <w:r w:rsidRPr="53A54C7D" w:rsidR="00F239C0">
        <w:t xml:space="preserve"> and </w:t>
      </w:r>
      <w:r w:rsidRPr="53A54C7D">
        <w:t>piloting, as described in AL 6687-E.</w:t>
      </w:r>
      <w:r w:rsidRPr="53A54C7D">
        <w:rPr>
          <w:rStyle w:val="FootnoteReference"/>
        </w:rPr>
        <w:footnoteReference w:id="188"/>
      </w:r>
    </w:p>
    <w:p w:rsidRPr="00C03EBB" w:rsidR="00F239C0" w:rsidP="009E515D" w:rsidRDefault="006E593F" w14:paraId="667605E2" w14:textId="7792E410">
      <w:pPr>
        <w:pStyle w:val="Standard"/>
        <w:rPr>
          <w:rFonts w:cstheme="minorHAnsi"/>
          <w:szCs w:val="26"/>
        </w:rPr>
      </w:pPr>
      <w:r w:rsidRPr="53A54C7D">
        <w:t>As</w:t>
      </w:r>
      <w:r w:rsidRPr="53A54C7D" w:rsidR="004C6DD1">
        <w:t xml:space="preserve"> for</w:t>
      </w:r>
      <w:r w:rsidRPr="53A54C7D" w:rsidR="00F239C0">
        <w:t xml:space="preserve"> expan</w:t>
      </w:r>
      <w:r w:rsidRPr="53A54C7D" w:rsidR="005076FF">
        <w:t>ding</w:t>
      </w:r>
      <w:r w:rsidRPr="53A54C7D" w:rsidR="00DA4A53">
        <w:t xml:space="preserve"> </w:t>
      </w:r>
      <w:r w:rsidRPr="53A54C7D" w:rsidR="00F239C0">
        <w:t xml:space="preserve">the list of eligible measures </w:t>
      </w:r>
      <w:r w:rsidRPr="53A54C7D" w:rsidR="00DA4A53">
        <w:t xml:space="preserve">necessary </w:t>
      </w:r>
      <w:r w:rsidRPr="53A54C7D" w:rsidR="00F239C0">
        <w:t>to enable comprehensive building electrification, CEJA support</w:t>
      </w:r>
      <w:r w:rsidRPr="53A54C7D" w:rsidR="004C6DD1">
        <w:t>s</w:t>
      </w:r>
      <w:r w:rsidRPr="53A54C7D" w:rsidR="00F239C0">
        <w:t xml:space="preserve"> alignment with the EBD program. </w:t>
      </w:r>
      <w:r w:rsidRPr="53A54C7D" w:rsidR="004C6DD1">
        <w:t>CEJA</w:t>
      </w:r>
      <w:r w:rsidRPr="53A54C7D" w:rsidR="00F239C0">
        <w:t xml:space="preserve"> note</w:t>
      </w:r>
      <w:r w:rsidRPr="53A54C7D" w:rsidR="004C6DD1">
        <w:t>s</w:t>
      </w:r>
      <w:r w:rsidRPr="53A54C7D" w:rsidR="00F239C0">
        <w:t xml:space="preserve"> that </w:t>
      </w:r>
      <w:r w:rsidRPr="53A54C7D" w:rsidR="003223C1">
        <w:t xml:space="preserve">expanding eligible measures in such a manner </w:t>
      </w:r>
      <w:r w:rsidRPr="53A54C7D" w:rsidR="00F239C0">
        <w:t xml:space="preserve">would </w:t>
      </w:r>
      <w:r w:rsidRPr="53A54C7D" w:rsidR="005D53EE">
        <w:lastRenderedPageBreak/>
        <w:t>especially</w:t>
      </w:r>
      <w:r w:rsidRPr="53A54C7D" w:rsidR="00F239C0">
        <w:t xml:space="preserve"> benefit low-income households who struggle to access whole home electrification upgrades.</w:t>
      </w:r>
      <w:r w:rsidRPr="53A54C7D" w:rsidR="00F239C0">
        <w:rPr>
          <w:rStyle w:val="FootnoteReference"/>
        </w:rPr>
        <w:footnoteReference w:id="189"/>
      </w:r>
      <w:r w:rsidRPr="53A54C7D" w:rsidR="00F239C0">
        <w:t xml:space="preserve">  </w:t>
      </w:r>
    </w:p>
    <w:p w:rsidRPr="004166D8" w:rsidR="00D60FC7" w:rsidP="000E7D14" w:rsidRDefault="00D60FC7" w14:paraId="1AF52919" w14:textId="77777777">
      <w:pPr>
        <w:pStyle w:val="Heading3"/>
      </w:pPr>
      <w:bookmarkStart w:name="_Toc185579400" w:id="817"/>
      <w:bookmarkStart w:name="_Toc192263726" w:id="818"/>
      <w:bookmarkStart w:name="_Toc200371000" w:id="819"/>
      <w:r w:rsidRPr="004166D8">
        <w:t>Discussion</w:t>
      </w:r>
      <w:bookmarkEnd w:id="817"/>
      <w:bookmarkEnd w:id="818"/>
      <w:bookmarkEnd w:id="819"/>
    </w:p>
    <w:p w:rsidR="000439D5" w:rsidP="009E515D" w:rsidRDefault="009804E7" w14:paraId="2D585FCB" w14:textId="40EC2004">
      <w:pPr>
        <w:pStyle w:val="Standard"/>
      </w:pPr>
      <w:r>
        <w:t xml:space="preserve">We </w:t>
      </w:r>
      <w:r w:rsidR="001A4AA9">
        <w:t>a</w:t>
      </w:r>
      <w:r w:rsidR="006E36B7">
        <w:t xml:space="preserve">re persuaded by </w:t>
      </w:r>
      <w:r w:rsidR="001A4AA9">
        <w:t xml:space="preserve">ConnectDER’s recommendation to add MSAs as an additional measure, as doing so has the potential to help avoid additional costs in panel and/or electric service line upsizing. </w:t>
      </w:r>
      <w:r w:rsidR="004B7A18">
        <w:t>W</w:t>
      </w:r>
      <w:r w:rsidR="001A4AA9">
        <w:t xml:space="preserve">e </w:t>
      </w:r>
      <w:r w:rsidR="004B7A18">
        <w:t>are also persuaded by</w:t>
      </w:r>
      <w:r w:rsidR="001A4AA9">
        <w:t xml:space="preserve"> SPUR’s general recommendations that there </w:t>
      </w:r>
      <w:r w:rsidR="001D1204">
        <w:t xml:space="preserve">should </w:t>
      </w:r>
      <w:r w:rsidR="001A4AA9">
        <w:t xml:space="preserve">be incentives for the use of load management technologies and power efficient equipment when possible and necessary to avoid panel </w:t>
      </w:r>
      <w:r w:rsidR="00636517">
        <w:t xml:space="preserve">and electric service line </w:t>
      </w:r>
      <w:r w:rsidR="001A4AA9">
        <w:t xml:space="preserve">upsizing costs. Therefore, </w:t>
      </w:r>
      <w:r>
        <w:t xml:space="preserve">we </w:t>
      </w:r>
      <w:r w:rsidR="001A4AA9">
        <w:t>authoriz</w:t>
      </w:r>
      <w:r w:rsidR="001D1204">
        <w:t>e</w:t>
      </w:r>
      <w:r w:rsidR="001A4AA9">
        <w:t xml:space="preserve"> </w:t>
      </w:r>
      <w:r w:rsidR="00A440CC">
        <w:t xml:space="preserve">the use of </w:t>
      </w:r>
      <w:r w:rsidR="001A4AA9">
        <w:t>funds for MSAs, smart splitters, and any other load management device</w:t>
      </w:r>
      <w:r w:rsidR="004C5C0C">
        <w:t xml:space="preserve"> (being sure not to duplicate any available incentives)</w:t>
      </w:r>
      <w:r w:rsidR="001A4AA9">
        <w:t xml:space="preserve"> that can be deployed to avoid the need for </w:t>
      </w:r>
      <w:r w:rsidR="00B74E63">
        <w:t>panel and/or</w:t>
      </w:r>
      <w:r w:rsidR="001A4AA9">
        <w:t xml:space="preserve"> electric service line upsizing. </w:t>
      </w:r>
    </w:p>
    <w:p w:rsidR="001A4AA9" w:rsidP="001A4AA9" w:rsidRDefault="00F35EAC" w14:paraId="4194A816" w14:textId="4A5BCDC3">
      <w:r>
        <w:t xml:space="preserve">The Commission agrees with </w:t>
      </w:r>
      <w:r w:rsidR="001A4AA9">
        <w:t>PG&amp;E</w:t>
      </w:r>
      <w:r w:rsidR="004E1076">
        <w:t xml:space="preserve"> </w:t>
      </w:r>
      <w:r w:rsidR="001A4AA9">
        <w:t>that MSAs must be subject to testing, evaluation, and piloting as described in AL 6687-E</w:t>
      </w:r>
      <w:r>
        <w:t xml:space="preserve">. At present, </w:t>
      </w:r>
      <w:r w:rsidR="001A4AA9">
        <w:t xml:space="preserve">this </w:t>
      </w:r>
      <w:r>
        <w:t xml:space="preserve">requirement </w:t>
      </w:r>
      <w:r w:rsidR="001A4AA9">
        <w:t>applies</w:t>
      </w:r>
      <w:r w:rsidR="00015C76">
        <w:t xml:space="preserve"> only</w:t>
      </w:r>
      <w:r w:rsidR="001A4AA9">
        <w:t xml:space="preserve"> to isolating load management devices.</w:t>
      </w:r>
      <w:r w:rsidR="00D21909">
        <w:t xml:space="preserve"> As set forth above this decision applies these same requirements to </w:t>
      </w:r>
      <w:r w:rsidR="00560A32">
        <w:t>non-isolating load management devices.</w:t>
      </w:r>
      <w:r w:rsidR="001A4AA9">
        <w:t xml:space="preserve"> </w:t>
      </w:r>
      <w:bookmarkStart w:name="_Hlk190975628" w:id="820"/>
      <w:r w:rsidR="00A440CC">
        <w:t>T</w:t>
      </w:r>
      <w:r w:rsidR="001A4AA9">
        <w:t>his decision</w:t>
      </w:r>
      <w:r w:rsidR="00BC31AB">
        <w:t xml:space="preserve"> </w:t>
      </w:r>
      <w:r w:rsidR="001A4AA9">
        <w:t>expands this process and authorizes the remainder of the $3</w:t>
      </w:r>
      <w:r w:rsidR="002E58D8">
        <w:t> million</w:t>
      </w:r>
      <w:r w:rsidR="001A4AA9">
        <w:t xml:space="preserve"> previously dedicated to funding these safety evaluations via D.21-01-018 (Adopting Rates, Tariffs, and Rules Facilitating the Commercialization of Microgrids per </w:t>
      </w:r>
      <w:r w:rsidR="00240655">
        <w:t>SB </w:t>
      </w:r>
      <w:r w:rsidR="001A4AA9">
        <w:t xml:space="preserve">1339) </w:t>
      </w:r>
      <w:r w:rsidR="007C173F">
        <w:t xml:space="preserve">to </w:t>
      </w:r>
      <w:r w:rsidR="001A4AA9">
        <w:t>apply to evaluating non-isolating devices such as MSAs that can help avoid electric service line upsizing.</w:t>
      </w:r>
      <w:bookmarkEnd w:id="820"/>
      <w:r w:rsidR="00793964">
        <w:t xml:space="preserve"> </w:t>
      </w:r>
      <w:r w:rsidRPr="00793964" w:rsidR="00793964">
        <w:t>This expansion of funding authority is consistent with the Staff Proposal,</w:t>
      </w:r>
      <w:r w:rsidR="00793964">
        <w:rPr>
          <w:rStyle w:val="FootnoteReference"/>
        </w:rPr>
        <w:footnoteReference w:id="190"/>
      </w:r>
      <w:r w:rsidRPr="00793964" w:rsidR="00793964">
        <w:t xml:space="preserve"> which recommended allowing the large electric utilities to apply the previously authorized $3 million </w:t>
      </w:r>
      <w:r w:rsidRPr="00793964" w:rsidR="00793964">
        <w:lastRenderedPageBreak/>
        <w:t>from D.21-01-018 to technologically similar non-isolating devices that interface with utility infrastructure.</w:t>
      </w:r>
    </w:p>
    <w:p w:rsidR="00EC2096" w:rsidP="009E515D" w:rsidRDefault="00EC2096" w14:paraId="1586B456" w14:textId="4304C565">
      <w:pPr>
        <w:pStyle w:val="Standard"/>
      </w:pPr>
      <w:r w:rsidRPr="54DA2D2E">
        <w:t xml:space="preserve">PG&amp;E’s comments </w:t>
      </w:r>
      <w:r w:rsidRPr="54DA2D2E" w:rsidR="00B76493">
        <w:t>regarding</w:t>
      </w:r>
      <w:r w:rsidRPr="54DA2D2E">
        <w:t xml:space="preserve"> cost barriers to electrification retrofits</w:t>
      </w:r>
      <w:r w:rsidRPr="54DA2D2E" w:rsidR="00E63D12">
        <w:t xml:space="preserve"> in the form of electric service line upgrade expenses</w:t>
      </w:r>
      <w:r w:rsidRPr="54DA2D2E" w:rsidR="00B76493">
        <w:t xml:space="preserve"> are informative</w:t>
      </w:r>
      <w:r w:rsidRPr="54DA2D2E" w:rsidR="00660D72">
        <w:t>.</w:t>
      </w:r>
      <w:r w:rsidRPr="54DA2D2E" w:rsidR="00C96847">
        <w:t xml:space="preserve"> We</w:t>
      </w:r>
      <w:r w:rsidR="00A440CC">
        <w:t xml:space="preserve"> </w:t>
      </w:r>
      <w:r w:rsidRPr="54DA2D2E" w:rsidR="00C96847">
        <w:t>are mindful</w:t>
      </w:r>
      <w:r w:rsidR="00A440CC">
        <w:t>, however,</w:t>
      </w:r>
      <w:r w:rsidRPr="54DA2D2E">
        <w:t xml:space="preserve"> that doing so could expend </w:t>
      </w:r>
      <w:r w:rsidR="00240655">
        <w:t>AB </w:t>
      </w:r>
      <w:r w:rsidRPr="54DA2D2E">
        <w:t xml:space="preserve">157 funds rapidly </w:t>
      </w:r>
      <w:r w:rsidRPr="54DA2D2E" w:rsidR="00015C76">
        <w:t>while</w:t>
      </w:r>
      <w:r w:rsidRPr="54DA2D2E">
        <w:t xml:space="preserve"> </w:t>
      </w:r>
      <w:r w:rsidRPr="54DA2D2E" w:rsidR="00C31978">
        <w:t>aid</w:t>
      </w:r>
      <w:r w:rsidRPr="54DA2D2E" w:rsidR="00015C76">
        <w:t>ing</w:t>
      </w:r>
      <w:r w:rsidRPr="54DA2D2E" w:rsidR="006D03D8">
        <w:t xml:space="preserve"> only</w:t>
      </w:r>
      <w:r w:rsidRPr="54DA2D2E">
        <w:t xml:space="preserve"> a limited number of customers. </w:t>
      </w:r>
      <w:r w:rsidRPr="54DA2D2E" w:rsidR="00DA0424">
        <w:t xml:space="preserve">We </w:t>
      </w:r>
      <w:r w:rsidRPr="54DA2D2E">
        <w:t xml:space="preserve">therefore </w:t>
      </w:r>
      <w:r w:rsidRPr="54DA2D2E" w:rsidR="008B2417">
        <w:t xml:space="preserve">decline to </w:t>
      </w:r>
      <w:r w:rsidRPr="54DA2D2E">
        <w:t>includ</w:t>
      </w:r>
      <w:r w:rsidRPr="54DA2D2E" w:rsidR="008B2417">
        <w:t>e</w:t>
      </w:r>
      <w:r w:rsidRPr="54DA2D2E">
        <w:t xml:space="preserve"> measures offset</w:t>
      </w:r>
      <w:r w:rsidR="00E86911">
        <w:t>ting</w:t>
      </w:r>
      <w:r w:rsidRPr="54DA2D2E">
        <w:t xml:space="preserve"> the cost of </w:t>
      </w:r>
      <w:r w:rsidRPr="54DA2D2E" w:rsidR="00CC0D18">
        <w:t xml:space="preserve">electric </w:t>
      </w:r>
      <w:r w:rsidRPr="54DA2D2E">
        <w:t xml:space="preserve">service </w:t>
      </w:r>
      <w:r w:rsidRPr="54DA2D2E" w:rsidR="00CC0D18">
        <w:t xml:space="preserve">line </w:t>
      </w:r>
      <w:r w:rsidRPr="54DA2D2E">
        <w:t xml:space="preserve">upgrades </w:t>
      </w:r>
      <w:r w:rsidRPr="54DA2D2E" w:rsidR="00D263D8">
        <w:t xml:space="preserve">that could be triggered </w:t>
      </w:r>
      <w:r w:rsidRPr="54DA2D2E" w:rsidR="008125A0">
        <w:t xml:space="preserve">due to </w:t>
      </w:r>
      <w:r w:rsidRPr="54DA2D2E" w:rsidR="003975A4">
        <w:t>adopti</w:t>
      </w:r>
      <w:r w:rsidRPr="54DA2D2E" w:rsidR="008125A0">
        <w:t>on</w:t>
      </w:r>
      <w:r w:rsidRPr="54DA2D2E" w:rsidR="003975A4">
        <w:t xml:space="preserve"> </w:t>
      </w:r>
      <w:r w:rsidRPr="54DA2D2E" w:rsidR="008125A0">
        <w:t xml:space="preserve">of </w:t>
      </w:r>
      <w:r w:rsidRPr="54DA2D2E" w:rsidR="003975A4">
        <w:t>building electrification measures</w:t>
      </w:r>
      <w:r w:rsidRPr="54DA2D2E">
        <w:t xml:space="preserve">. </w:t>
      </w:r>
      <w:r w:rsidRPr="54DA2D2E" w:rsidR="0035212F">
        <w:t xml:space="preserve">MSAs and </w:t>
      </w:r>
      <w:r w:rsidRPr="54DA2D2E" w:rsidR="00BC6E48">
        <w:t xml:space="preserve">related </w:t>
      </w:r>
      <w:r w:rsidRPr="54DA2D2E" w:rsidR="0035212F">
        <w:t>devices should be the first</w:t>
      </w:r>
      <w:r w:rsidRPr="54DA2D2E" w:rsidR="00D71724">
        <w:t xml:space="preserve"> recourse </w:t>
      </w:r>
      <w:r w:rsidRPr="54DA2D2E" w:rsidR="00EF05D8">
        <w:t xml:space="preserve">of </w:t>
      </w:r>
      <w:r w:rsidRPr="54DA2D2E" w:rsidR="006476A1">
        <w:t xml:space="preserve">customers electrifying their homes, and </w:t>
      </w:r>
      <w:r w:rsidRPr="54DA2D2E" w:rsidR="00BE3267">
        <w:t>the cost of</w:t>
      </w:r>
      <w:r w:rsidRPr="54DA2D2E">
        <w:t xml:space="preserve"> a ne</w:t>
      </w:r>
      <w:r w:rsidRPr="54DA2D2E" w:rsidR="00BE3267">
        <w:t>cessary</w:t>
      </w:r>
      <w:r w:rsidRPr="54DA2D2E">
        <w:t xml:space="preserve"> service line upsizing </w:t>
      </w:r>
      <w:r w:rsidRPr="54DA2D2E" w:rsidR="00D154FF">
        <w:t xml:space="preserve">can </w:t>
      </w:r>
      <w:r w:rsidRPr="54DA2D2E" w:rsidR="00F83830">
        <w:t>be covered using</w:t>
      </w:r>
      <w:r w:rsidRPr="54DA2D2E">
        <w:t xml:space="preserve"> the new funding authorized for </w:t>
      </w:r>
      <w:r w:rsidRPr="54DA2D2E" w:rsidR="00AB3013">
        <w:t xml:space="preserve">eligible </w:t>
      </w:r>
      <w:r w:rsidRPr="54DA2D2E" w:rsidDel="00B97618">
        <w:t>under-resourced</w:t>
      </w:r>
      <w:r w:rsidRPr="54DA2D2E">
        <w:t xml:space="preserve"> customers </w:t>
      </w:r>
      <w:r w:rsidRPr="54DA2D2E" w:rsidR="00FD6601">
        <w:t>as discussed in</w:t>
      </w:r>
      <w:r w:rsidRPr="54DA2D2E" w:rsidR="009655E2">
        <w:t xml:space="preserve"> </w:t>
      </w:r>
      <w:r w:rsidRPr="00A440CC" w:rsidR="00F83830">
        <w:t xml:space="preserve">Section </w:t>
      </w:r>
      <w:r w:rsidRPr="00A440CC" w:rsidR="00EF4999">
        <w:t>4</w:t>
      </w:r>
      <w:r w:rsidRPr="54DA2D2E" w:rsidR="00F83830">
        <w:t xml:space="preserve"> of </w:t>
      </w:r>
      <w:r w:rsidRPr="54DA2D2E">
        <w:t>this decision.</w:t>
      </w:r>
    </w:p>
    <w:p w:rsidRPr="009D1072" w:rsidR="001E210D" w:rsidP="009E515D" w:rsidRDefault="005D5228" w14:paraId="674DDAEB" w14:textId="5453492C">
      <w:pPr>
        <w:pStyle w:val="Standard"/>
        <w:rPr>
          <w:highlight w:val="green"/>
        </w:rPr>
      </w:pPr>
      <w:r>
        <w:t>Cal Advocates</w:t>
      </w:r>
      <w:r w:rsidRPr="75F68AD7" w:rsidR="001E210D">
        <w:t xml:space="preserve"> and SCE</w:t>
      </w:r>
      <w:r w:rsidRPr="75F68AD7" w:rsidR="004459A0">
        <w:t xml:space="preserve"> </w:t>
      </w:r>
      <w:r w:rsidR="00605FFC">
        <w:t>make an important point</w:t>
      </w:r>
      <w:r w:rsidR="00B02E0B">
        <w:t xml:space="preserve"> that </w:t>
      </w:r>
      <w:r w:rsidRPr="75F68AD7" w:rsidR="00E802A9">
        <w:t xml:space="preserve">even </w:t>
      </w:r>
      <w:r w:rsidRPr="75F68AD7" w:rsidR="00085DC2">
        <w:t xml:space="preserve">if the list of </w:t>
      </w:r>
      <w:r w:rsidRPr="75F68AD7" w:rsidR="00FC44FF">
        <w:t xml:space="preserve">eligible </w:t>
      </w:r>
      <w:r w:rsidRPr="75F68AD7" w:rsidR="00085DC2">
        <w:t>measures is expanded</w:t>
      </w:r>
      <w:r w:rsidRPr="75F68AD7" w:rsidR="00DC4EE9">
        <w:t xml:space="preserve">, </w:t>
      </w:r>
      <w:r w:rsidRPr="75F68AD7" w:rsidR="00E802A9">
        <w:t>the TECH Initiative should still</w:t>
      </w:r>
      <w:r w:rsidRPr="75F68AD7" w:rsidR="00DF0B55">
        <w:t xml:space="preserve"> prioritize </w:t>
      </w:r>
      <w:r w:rsidRPr="75F68AD7" w:rsidR="00131BC6">
        <w:t>the market transformation of clean heating technologies</w:t>
      </w:r>
      <w:r w:rsidRPr="75F68AD7" w:rsidR="001E210D">
        <w:t xml:space="preserve"> </w:t>
      </w:r>
      <w:r w:rsidRPr="75F68AD7" w:rsidR="00C32383">
        <w:t xml:space="preserve">with </w:t>
      </w:r>
      <w:r w:rsidRPr="75F68AD7" w:rsidR="006E4E50">
        <w:t xml:space="preserve">the highest GHG reduction potential. </w:t>
      </w:r>
      <w:r w:rsidRPr="75F68AD7" w:rsidR="00FE1CB0">
        <w:t>A</w:t>
      </w:r>
      <w:r w:rsidRPr="75F68AD7" w:rsidR="001E210D">
        <w:t xml:space="preserve">s </w:t>
      </w:r>
      <w:r w:rsidRPr="75F68AD7" w:rsidR="00C71AC3">
        <w:t>such</w:t>
      </w:r>
      <w:r w:rsidRPr="75F68AD7" w:rsidR="001E210D">
        <w:t xml:space="preserve">, </w:t>
      </w:r>
      <w:r w:rsidRPr="75F68AD7" w:rsidR="006F6F65">
        <w:t xml:space="preserve">the TECH Initiative implementer </w:t>
      </w:r>
      <w:r w:rsidR="00B02E0B">
        <w:t>shall</w:t>
      </w:r>
      <w:r w:rsidRPr="75F68AD7" w:rsidR="006F6F65">
        <w:t xml:space="preserve"> use the new </w:t>
      </w:r>
      <w:r w:rsidR="00240655">
        <w:t>AB </w:t>
      </w:r>
      <w:r w:rsidRPr="75F68AD7" w:rsidR="001E210D">
        <w:t xml:space="preserve">157 funds </w:t>
      </w:r>
      <w:r w:rsidRPr="75F68AD7" w:rsidR="00FE1CB0">
        <w:t>to</w:t>
      </w:r>
      <w:r w:rsidRPr="75F68AD7" w:rsidR="001E210D">
        <w:t xml:space="preserve"> prioritize incentivizing heat pump space and water heaters </w:t>
      </w:r>
      <w:r w:rsidRPr="75F68AD7" w:rsidR="00A91C08">
        <w:t xml:space="preserve">for market </w:t>
      </w:r>
      <w:r w:rsidRPr="75F68AD7" w:rsidR="00E70CFD">
        <w:t>rate</w:t>
      </w:r>
      <w:r w:rsidRPr="75F68AD7" w:rsidR="00A91C08">
        <w:t xml:space="preserve"> customers </w:t>
      </w:r>
      <w:r w:rsidRPr="75F68AD7" w:rsidR="001424F8">
        <w:t xml:space="preserve">while </w:t>
      </w:r>
      <w:r w:rsidRPr="75F68AD7" w:rsidR="00E35D16">
        <w:t xml:space="preserve">authorizing the expansion </w:t>
      </w:r>
      <w:r w:rsidRPr="75F68AD7" w:rsidR="00AF4F3F">
        <w:t>of eligible measures</w:t>
      </w:r>
      <w:r w:rsidRPr="75F68AD7" w:rsidR="005F0529">
        <w:t xml:space="preserve"> </w:t>
      </w:r>
      <w:r w:rsidRPr="75F68AD7" w:rsidR="001E210D">
        <w:t xml:space="preserve">for </w:t>
      </w:r>
      <w:r w:rsidR="00677C7E">
        <w:t>low-income</w:t>
      </w:r>
      <w:r w:rsidRPr="75F68AD7" w:rsidR="001E210D">
        <w:t xml:space="preserve"> customers.</w:t>
      </w:r>
      <w:r w:rsidRPr="75F68AD7" w:rsidR="00DE3283">
        <w:t xml:space="preserve"> While </w:t>
      </w:r>
      <w:r w:rsidRPr="009D1072" w:rsidR="00867389">
        <w:t xml:space="preserve">all customers </w:t>
      </w:r>
      <w:r w:rsidRPr="009D1072" w:rsidR="00771510">
        <w:t xml:space="preserve">regardless of income status </w:t>
      </w:r>
      <w:r w:rsidR="00474808">
        <w:t>are</w:t>
      </w:r>
      <w:r w:rsidRPr="009D1072" w:rsidR="00771510">
        <w:t xml:space="preserve"> </w:t>
      </w:r>
      <w:r w:rsidR="00677C7E">
        <w:t>eligible</w:t>
      </w:r>
      <w:r w:rsidRPr="009D1072" w:rsidR="00677C7E">
        <w:t xml:space="preserve"> </w:t>
      </w:r>
      <w:r w:rsidRPr="009D1072" w:rsidR="00771510">
        <w:t>to</w:t>
      </w:r>
      <w:r w:rsidR="00677C7E">
        <w:t xml:space="preserve"> receive</w:t>
      </w:r>
      <w:r w:rsidRPr="009D1072" w:rsidR="00771510">
        <w:t xml:space="preserve"> incentives for MSAs, smart splitters, and other load management devices</w:t>
      </w:r>
      <w:r w:rsidRPr="75F68AD7" w:rsidR="00A13FFC">
        <w:t xml:space="preserve"> using the new </w:t>
      </w:r>
      <w:r w:rsidR="00240655">
        <w:t>AB </w:t>
      </w:r>
      <w:r w:rsidRPr="75F68AD7" w:rsidR="00A13FFC">
        <w:t>157 funding</w:t>
      </w:r>
      <w:r w:rsidRPr="009D1072" w:rsidR="00771510">
        <w:t xml:space="preserve">, </w:t>
      </w:r>
      <w:r w:rsidRPr="75F68AD7" w:rsidR="0086222E">
        <w:t xml:space="preserve">the TECH Initiative implementer </w:t>
      </w:r>
      <w:r w:rsidR="00474808">
        <w:t>shall</w:t>
      </w:r>
      <w:r w:rsidRPr="75F68AD7" w:rsidR="0086222E">
        <w:t xml:space="preserve"> use </w:t>
      </w:r>
      <w:r w:rsidRPr="75F68AD7" w:rsidR="00DE3283">
        <w:t>the measure list</w:t>
      </w:r>
      <w:r w:rsidRPr="53A54C7D" w:rsidR="009C0A99">
        <w:rPr>
          <w:rStyle w:val="FootnoteReference"/>
        </w:rPr>
        <w:footnoteReference w:id="191"/>
      </w:r>
      <w:r w:rsidRPr="75F68AD7" w:rsidR="00DE3283">
        <w:t xml:space="preserve"> </w:t>
      </w:r>
      <w:r w:rsidRPr="75F68AD7" w:rsidR="00662503">
        <w:t>developed</w:t>
      </w:r>
      <w:r w:rsidRPr="75F68AD7" w:rsidR="00DE3283">
        <w:t xml:space="preserve"> for “comprehensive building electrification” for the CEC’s EBD program for customers in the Aliso Canyon Disaster Area communities</w:t>
      </w:r>
      <w:r w:rsidRPr="75F68AD7" w:rsidR="00724BF4">
        <w:t xml:space="preserve"> who have incomes at or below 80</w:t>
      </w:r>
      <w:r w:rsidR="000B72C9">
        <w:t> percent</w:t>
      </w:r>
      <w:r w:rsidRPr="75F68AD7" w:rsidR="00724BF4">
        <w:t xml:space="preserve"> </w:t>
      </w:r>
      <w:r w:rsidR="006A0098">
        <w:t>of area medi</w:t>
      </w:r>
      <w:r w:rsidR="00BB2CAE">
        <w:t>an</w:t>
      </w:r>
      <w:r w:rsidR="006A0098">
        <w:t xml:space="preserve"> income</w:t>
      </w:r>
      <w:r w:rsidRPr="75F68AD7" w:rsidR="00DE3283">
        <w:t>.</w:t>
      </w:r>
    </w:p>
    <w:p w:rsidRPr="002B16E9" w:rsidR="001A4AA9" w:rsidP="00D60FC7" w:rsidRDefault="00567C48" w14:paraId="7FCEAFC2" w14:textId="6A9ECF97">
      <w:pPr>
        <w:pStyle w:val="Standard"/>
      </w:pPr>
      <w:r>
        <w:lastRenderedPageBreak/>
        <w:t>T</w:t>
      </w:r>
      <w:r w:rsidR="00053D49">
        <w:t>his approach</w:t>
      </w:r>
      <w:r w:rsidRPr="009D1072" w:rsidR="00875047">
        <w:t xml:space="preserve"> will</w:t>
      </w:r>
      <w:r w:rsidR="00053D49">
        <w:t xml:space="preserve"> </w:t>
      </w:r>
      <w:r w:rsidR="000B4CF6">
        <w:t>further support</w:t>
      </w:r>
      <w:r w:rsidR="00053D49">
        <w:t xml:space="preserve"> </w:t>
      </w:r>
      <w:r w:rsidR="00E03A7A">
        <w:t>the market transformation of heat pump space and water heaters</w:t>
      </w:r>
      <w:r w:rsidR="00A6045B">
        <w:t>,</w:t>
      </w:r>
      <w:r w:rsidR="00825B01">
        <w:t xml:space="preserve"> </w:t>
      </w:r>
      <w:r w:rsidR="0004691E">
        <w:t xml:space="preserve">and </w:t>
      </w:r>
      <w:r w:rsidR="00A518D0">
        <w:t xml:space="preserve">help avoid costly </w:t>
      </w:r>
      <w:r w:rsidR="00C01A1B">
        <w:t xml:space="preserve">utility service upgrades </w:t>
      </w:r>
      <w:r w:rsidR="00B175F2">
        <w:t>while</w:t>
      </w:r>
      <w:r w:rsidR="00C01A1B">
        <w:t xml:space="preserve"> </w:t>
      </w:r>
      <w:r w:rsidR="0053540E">
        <w:t>provid</w:t>
      </w:r>
      <w:r w:rsidR="00B175F2">
        <w:t>ing</w:t>
      </w:r>
      <w:r w:rsidR="0053540E">
        <w:t xml:space="preserve"> comprehensive building electrification to </w:t>
      </w:r>
      <w:r w:rsidR="4DFFC8E2">
        <w:t>low-</w:t>
      </w:r>
      <w:r w:rsidRPr="0072518E" w:rsidR="4DFFC8E2">
        <w:t>income</w:t>
      </w:r>
      <w:r w:rsidRPr="0072518E" w:rsidR="0053540E">
        <w:t xml:space="preserve"> households.</w:t>
      </w:r>
      <w:r w:rsidR="0053540E">
        <w:t xml:space="preserve"> </w:t>
      </w:r>
    </w:p>
    <w:p w:rsidRPr="004166D8" w:rsidR="002317AD" w:rsidP="002317AD" w:rsidRDefault="002317AD" w14:paraId="025F8B6B" w14:textId="11F89DC0">
      <w:pPr>
        <w:pStyle w:val="Heading2"/>
      </w:pPr>
      <w:bookmarkStart w:name="_Toc185579401" w:id="821"/>
      <w:bookmarkStart w:name="_Toc192263727" w:id="822"/>
      <w:bookmarkStart w:name="_Toc200371001" w:id="823"/>
      <w:r w:rsidRPr="004166D8">
        <w:t>Programmatic Changes</w:t>
      </w:r>
      <w:bookmarkEnd w:id="821"/>
      <w:bookmarkEnd w:id="822"/>
      <w:bookmarkEnd w:id="823"/>
    </w:p>
    <w:p w:rsidRPr="004166D8" w:rsidR="002317AD" w:rsidP="002317AD" w:rsidRDefault="002317AD" w14:paraId="53E79913" w14:textId="698EB782">
      <w:pPr>
        <w:pStyle w:val="Heading3"/>
      </w:pPr>
      <w:bookmarkStart w:name="_Toc185579402" w:id="824"/>
      <w:bookmarkStart w:name="_Toc192263728" w:id="825"/>
      <w:bookmarkStart w:name="_Toc200371002" w:id="826"/>
      <w:r w:rsidRPr="004166D8">
        <w:t xml:space="preserve">Summary of </w:t>
      </w:r>
      <w:r w:rsidR="002C5255">
        <w:t>Party Positions</w:t>
      </w:r>
      <w:bookmarkEnd w:id="824"/>
      <w:bookmarkEnd w:id="825"/>
      <w:bookmarkEnd w:id="826"/>
    </w:p>
    <w:p w:rsidR="0053540E" w:rsidP="0053540E" w:rsidRDefault="0053540E" w14:paraId="77C1D86E" w14:textId="278D56BE">
      <w:pPr>
        <w:pStyle w:val="Standard"/>
      </w:pPr>
      <w:r>
        <w:t xml:space="preserve">Parties </w:t>
      </w:r>
      <w:r w:rsidR="00BD7B4A">
        <w:t xml:space="preserve">had different positions </w:t>
      </w:r>
      <w:r>
        <w:t xml:space="preserve"> on how “priority” should be determined for </w:t>
      </w:r>
      <w:r w:rsidR="00732D18">
        <w:t xml:space="preserve">allocating </w:t>
      </w:r>
      <w:r>
        <w:t xml:space="preserve">funds in the Aliso Canyon Disaster Area, and how the Commission </w:t>
      </w:r>
      <w:r w:rsidR="00A84127">
        <w:t xml:space="preserve"> </w:t>
      </w:r>
      <w:r w:rsidR="00A93B7E">
        <w:t>could preve</w:t>
      </w:r>
      <w:r w:rsidR="00A84127">
        <w:t>nt</w:t>
      </w:r>
      <w:r w:rsidR="00A93B7E">
        <w:t xml:space="preserve"> </w:t>
      </w:r>
      <w:r w:rsidR="00E86911">
        <w:t xml:space="preserve"> </w:t>
      </w:r>
      <w:r>
        <w:t>tenant</w:t>
      </w:r>
      <w:r w:rsidR="00E86911">
        <w:t xml:space="preserve"> displacement</w:t>
      </w:r>
      <w:r>
        <w:t xml:space="preserve"> in upgraded rental housing units, as well as limiting cost impact on </w:t>
      </w:r>
      <w:r w:rsidR="00C03BEF">
        <w:t>th</w:t>
      </w:r>
      <w:r w:rsidR="00AF641A">
        <w:t>ose tenants</w:t>
      </w:r>
      <w:r>
        <w:t>.</w:t>
      </w:r>
    </w:p>
    <w:p w:rsidR="000F643F" w:rsidP="009E515D" w:rsidRDefault="005D5228" w14:paraId="2C8C01EC" w14:textId="66B22D37">
      <w:pPr>
        <w:pStyle w:val="Standard"/>
        <w:rPr>
          <w:rFonts w:cstheme="minorHAnsi"/>
          <w:szCs w:val="26"/>
        </w:rPr>
      </w:pPr>
      <w:r>
        <w:t>Cal Advocates</w:t>
      </w:r>
      <w:r w:rsidRPr="53A54C7D" w:rsidR="000F643F">
        <w:t xml:space="preserve"> recommends the Commission prioritize communities in the Aliso Canyon Disaster Area by allocating 100</w:t>
      </w:r>
      <w:r w:rsidR="000B72C9">
        <w:t> percent</w:t>
      </w:r>
      <w:r w:rsidRPr="53A54C7D" w:rsidR="000F643F">
        <w:t xml:space="preserve"> of funds to the specified communities identified in </w:t>
      </w:r>
      <w:r w:rsidR="00240655">
        <w:t>AB </w:t>
      </w:r>
      <w:r w:rsidRPr="53A54C7D" w:rsidR="000F643F">
        <w:t>157 until June 30, 2027, and that after this date, if there are any remaining funds, then those should be made available to customers in other parts of SoCalGas service territory.</w:t>
      </w:r>
      <w:r w:rsidRPr="53A54C7D" w:rsidR="000F643F">
        <w:rPr>
          <w:rStyle w:val="FootnoteReference"/>
        </w:rPr>
        <w:footnoteReference w:id="192"/>
      </w:r>
      <w:r w:rsidRPr="53A54C7D" w:rsidR="000F643F">
        <w:t xml:space="preserve"> SCE recommends the Commission use a needs-based approach prioritiz</w:t>
      </w:r>
      <w:r w:rsidR="00E86911">
        <w:t>ing</w:t>
      </w:r>
      <w:r w:rsidRPr="53A54C7D" w:rsidR="000F643F">
        <w:t xml:space="preserve"> low-income and equity customers in addition to prioritizing communities within the Aliso Canyon Disaster Area.</w:t>
      </w:r>
      <w:r w:rsidRPr="53A54C7D" w:rsidR="000F643F">
        <w:rPr>
          <w:rStyle w:val="FootnoteReference"/>
        </w:rPr>
        <w:footnoteReference w:id="193"/>
      </w:r>
      <w:r w:rsidRPr="53A54C7D" w:rsidR="000F643F">
        <w:t xml:space="preserve"> </w:t>
      </w:r>
      <w:r w:rsidRPr="53A54C7D" w:rsidR="001808D1">
        <w:t xml:space="preserve">CAC </w:t>
      </w:r>
      <w:r w:rsidRPr="53A54C7D" w:rsidR="00CB3CF7">
        <w:t xml:space="preserve">also </w:t>
      </w:r>
      <w:r w:rsidRPr="53A54C7D" w:rsidR="001808D1">
        <w:t xml:space="preserve">recommends </w:t>
      </w:r>
      <w:r w:rsidRPr="53A54C7D" w:rsidR="004061B5">
        <w:t>the Commission prioritize low-income house</w:t>
      </w:r>
      <w:r w:rsidRPr="53A54C7D" w:rsidR="00224199">
        <w:t>holds in the Aliso Canyon Disaster Area.</w:t>
      </w:r>
      <w:r w:rsidRPr="53A54C7D" w:rsidR="00224199">
        <w:rPr>
          <w:rStyle w:val="FootnoteReference"/>
        </w:rPr>
        <w:footnoteReference w:id="194"/>
      </w:r>
      <w:r w:rsidRPr="53A54C7D" w:rsidR="00224199">
        <w:t xml:space="preserve"> </w:t>
      </w:r>
    </w:p>
    <w:p w:rsidR="000F643F" w:rsidP="009E515D" w:rsidRDefault="00D10650" w14:paraId="358D4D46" w14:textId="030A7CA6">
      <w:pPr>
        <w:pStyle w:val="Standard"/>
        <w:rPr>
          <w:rFonts w:cstheme="minorHAnsi"/>
          <w:szCs w:val="26"/>
        </w:rPr>
      </w:pPr>
      <w:r>
        <w:t>T</w:t>
      </w:r>
      <w:r w:rsidRPr="53A54C7D" w:rsidR="000F643F">
        <w:t xml:space="preserve">he Joint Parties </w:t>
      </w:r>
      <w:r w:rsidRPr="53A54C7D" w:rsidR="00C31561">
        <w:t>recommend</w:t>
      </w:r>
      <w:r w:rsidRPr="53A54C7D" w:rsidR="00D751A5">
        <w:t xml:space="preserve"> </w:t>
      </w:r>
      <w:r w:rsidRPr="53A54C7D" w:rsidR="000F643F">
        <w:t>the TECH Initiative implementer should look at low-income households and communities in Porter Ranch and surrounding areas for electrification direct installs.</w:t>
      </w:r>
      <w:r w:rsidRPr="53A54C7D" w:rsidR="000F643F">
        <w:rPr>
          <w:rStyle w:val="FootnoteReference"/>
        </w:rPr>
        <w:footnoteReference w:id="195"/>
      </w:r>
      <w:r w:rsidRPr="53A54C7D" w:rsidR="000F643F">
        <w:t xml:space="preserve"> Lastly, VEIC, as part of the TECH </w:t>
      </w:r>
      <w:r w:rsidRPr="53A54C7D" w:rsidR="000F643F">
        <w:lastRenderedPageBreak/>
        <w:t xml:space="preserve">Initiative implementation team, asks the Commission for high-level guidance that </w:t>
      </w:r>
      <w:r w:rsidRPr="53A54C7D" w:rsidR="00915FD0">
        <w:t xml:space="preserve">provides </w:t>
      </w:r>
      <w:r w:rsidRPr="53A54C7D" w:rsidR="000F643F">
        <w:t xml:space="preserve">the TECH Initiative </w:t>
      </w:r>
      <w:r w:rsidRPr="53A54C7D" w:rsidR="003E40EF">
        <w:t xml:space="preserve">implementation </w:t>
      </w:r>
      <w:r w:rsidRPr="53A54C7D" w:rsidR="000F643F">
        <w:t xml:space="preserve">team with flexibility to optimize the program </w:t>
      </w:r>
      <w:r w:rsidRPr="53A54C7D" w:rsidR="008C609F">
        <w:t xml:space="preserve">to meet all </w:t>
      </w:r>
      <w:r w:rsidRPr="53A54C7D" w:rsidR="000F643F">
        <w:t xml:space="preserve">the stated priorities in </w:t>
      </w:r>
      <w:r w:rsidR="00240655">
        <w:t>AB </w:t>
      </w:r>
      <w:r w:rsidRPr="53A54C7D" w:rsidR="000F643F">
        <w:t>157.</w:t>
      </w:r>
      <w:r w:rsidRPr="53A54C7D" w:rsidR="000F643F">
        <w:rPr>
          <w:rStyle w:val="FootnoteReference"/>
        </w:rPr>
        <w:footnoteReference w:id="196"/>
      </w:r>
    </w:p>
    <w:p w:rsidR="007C48CF" w:rsidP="007C48CF" w:rsidRDefault="00C31561" w14:paraId="68B675A0" w14:textId="59B4049A">
      <w:pPr>
        <w:pStyle w:val="Standard"/>
        <w:rPr>
          <w:rFonts w:cstheme="minorHAnsi"/>
          <w:szCs w:val="26"/>
        </w:rPr>
      </w:pPr>
      <w:r w:rsidRPr="53A54C7D">
        <w:t>T</w:t>
      </w:r>
      <w:r w:rsidRPr="53A54C7D" w:rsidR="00526632">
        <w:t>o</w:t>
      </w:r>
      <w:r w:rsidRPr="53A54C7D" w:rsidR="007C48CF">
        <w:t xml:space="preserve"> </w:t>
      </w:r>
      <w:r w:rsidR="00A93B7E">
        <w:t>prevent the</w:t>
      </w:r>
      <w:r w:rsidRPr="53A54C7D" w:rsidR="007C48CF">
        <w:t xml:space="preserve"> displacement of tenants in upgraded rental housing units and that cost impacts on tenants</w:t>
      </w:r>
      <w:r w:rsidRPr="53A54C7D" w:rsidR="00526632">
        <w:t xml:space="preserve"> remains limited</w:t>
      </w:r>
      <w:r w:rsidRPr="53A54C7D" w:rsidR="007C48CF">
        <w:t>, SCE</w:t>
      </w:r>
      <w:r w:rsidRPr="53A54C7D" w:rsidR="007C48CF">
        <w:rPr>
          <w:rStyle w:val="FootnoteReference"/>
        </w:rPr>
        <w:footnoteReference w:id="197"/>
      </w:r>
      <w:r w:rsidRPr="53A54C7D" w:rsidR="007C48CF">
        <w:t xml:space="preserve"> and TURN</w:t>
      </w:r>
      <w:r w:rsidRPr="53A54C7D" w:rsidR="007C48CF">
        <w:rPr>
          <w:rStyle w:val="FootnoteReference"/>
        </w:rPr>
        <w:footnoteReference w:id="198"/>
      </w:r>
      <w:r w:rsidRPr="53A54C7D" w:rsidR="007C48CF">
        <w:t xml:space="preserve"> recommend the Commission </w:t>
      </w:r>
      <w:r w:rsidRPr="53A54C7D" w:rsidR="00DF54C0">
        <w:t xml:space="preserve">direct use of </w:t>
      </w:r>
      <w:r w:rsidRPr="53A54C7D" w:rsidR="007C48CF">
        <w:t>the “Split Incentives Agreement</w:t>
      </w:r>
      <w:r w:rsidRPr="53A54C7D" w:rsidR="00C35DDB">
        <w:t>,</w:t>
      </w:r>
      <w:r w:rsidRPr="53A54C7D" w:rsidR="007C48CF">
        <w:t xml:space="preserve">” as originally adopted in Resolution E-5043 for use in the San Joaquin Valley Disadvantaged Communities Pilot </w:t>
      </w:r>
      <w:r w:rsidRPr="53A54C7D" w:rsidR="00F8321B">
        <w:t>program adopted</w:t>
      </w:r>
      <w:r w:rsidRPr="53A54C7D" w:rsidR="00DF54C0">
        <w:t xml:space="preserve"> </w:t>
      </w:r>
      <w:r w:rsidRPr="53A54C7D" w:rsidR="009655E2">
        <w:t>under</w:t>
      </w:r>
      <w:r w:rsidRPr="53A54C7D" w:rsidR="007C48CF">
        <w:t xml:space="preserve"> D.18-12-015.</w:t>
      </w:r>
    </w:p>
    <w:p w:rsidR="007C48CF" w:rsidP="009E515D" w:rsidRDefault="007C48CF" w14:paraId="3ACB78EE" w14:textId="3A1868E9">
      <w:pPr>
        <w:pStyle w:val="Standard"/>
      </w:pPr>
      <w:r w:rsidRPr="7096B752">
        <w:t xml:space="preserve">SCE </w:t>
      </w:r>
      <w:r w:rsidR="00DA4100">
        <w:t>and TURN</w:t>
      </w:r>
      <w:r w:rsidRPr="7096B752">
        <w:t xml:space="preserve"> </w:t>
      </w:r>
      <w:r w:rsidR="00A70D6D">
        <w:t>explain</w:t>
      </w:r>
      <w:r w:rsidRPr="7096B752">
        <w:t xml:space="preserve"> the Split Incentives Agreement has also been used and required in SCE’s ESA Building Electrification Pilot,</w:t>
      </w:r>
      <w:r w:rsidRPr="7096B752">
        <w:rPr>
          <w:rStyle w:val="FootnoteReference"/>
        </w:rPr>
        <w:footnoteReference w:id="199"/>
      </w:r>
      <w:r w:rsidRPr="7096B752">
        <w:t xml:space="preserve"> as well as the ESA Pilot Plus and Pilot Deep </w:t>
      </w:r>
      <w:r w:rsidR="009D416A">
        <w:t>p</w:t>
      </w:r>
      <w:r w:rsidRPr="7096B752">
        <w:t>rograms.</w:t>
      </w:r>
      <w:r w:rsidRPr="7096B752">
        <w:rPr>
          <w:rStyle w:val="FootnoteReference"/>
        </w:rPr>
        <w:footnoteReference w:id="200"/>
      </w:r>
      <w:r w:rsidRPr="7096B752">
        <w:t xml:space="preserve"> TURN </w:t>
      </w:r>
      <w:r w:rsidR="00BB44BC">
        <w:t>recommends</w:t>
      </w:r>
      <w:r w:rsidRPr="7096B752">
        <w:t xml:space="preserve"> the Split Incentives Agreement should apply to all rental properties receiving </w:t>
      </w:r>
      <w:r w:rsidR="00240655">
        <w:t>AB </w:t>
      </w:r>
      <w:r w:rsidRPr="26EB2C82" w:rsidR="2A993561">
        <w:t xml:space="preserve">157-funded </w:t>
      </w:r>
      <w:r w:rsidRPr="26EB2C82">
        <w:t xml:space="preserve">TECH Initiative </w:t>
      </w:r>
      <w:r w:rsidRPr="0786B656">
        <w:t>measures</w:t>
      </w:r>
      <w:r w:rsidR="002F01B9">
        <w:t>,</w:t>
      </w:r>
      <w:r w:rsidRPr="53A54C7D">
        <w:rPr>
          <w:rStyle w:val="FootnoteReference"/>
        </w:rPr>
        <w:footnoteReference w:id="201"/>
      </w:r>
      <w:r w:rsidRPr="0786B656" w:rsidR="6CD4953C">
        <w:t xml:space="preserve"> </w:t>
      </w:r>
      <w:r w:rsidR="002F01B9">
        <w:t xml:space="preserve">arguing </w:t>
      </w:r>
      <w:r w:rsidR="00240655">
        <w:t>AB </w:t>
      </w:r>
      <w:r w:rsidRPr="4638B657" w:rsidR="6CD4953C">
        <w:t xml:space="preserve">157 did </w:t>
      </w:r>
      <w:r w:rsidRPr="5ED4A5C6" w:rsidR="6CD4953C">
        <w:t xml:space="preserve">not distinguish between </w:t>
      </w:r>
      <w:r w:rsidRPr="732EF838" w:rsidR="6CD4953C">
        <w:t>income groups</w:t>
      </w:r>
      <w:r w:rsidR="002F01B9">
        <w:t xml:space="preserve"> but</w:t>
      </w:r>
      <w:r w:rsidRPr="732EF838">
        <w:t xml:space="preserve"> </w:t>
      </w:r>
      <w:r w:rsidRPr="06B7D5B9" w:rsidR="6CD4953C">
        <w:t xml:space="preserve">instead </w:t>
      </w:r>
      <w:r w:rsidRPr="3C603BEF" w:rsidR="6CD4953C">
        <w:t>requir</w:t>
      </w:r>
      <w:r w:rsidR="002F01B9">
        <w:t>ed</w:t>
      </w:r>
      <w:r w:rsidRPr="3C603BEF" w:rsidR="6CD4953C">
        <w:t xml:space="preserve"> protections for all </w:t>
      </w:r>
      <w:r w:rsidRPr="09C559F6" w:rsidR="6CD4953C">
        <w:t>tenants.</w:t>
      </w:r>
      <w:r w:rsidR="00D36439">
        <w:rPr>
          <w:rStyle w:val="FootnoteReference"/>
        </w:rPr>
        <w:footnoteReference w:id="202"/>
      </w:r>
      <w:r w:rsidRPr="09C559F6">
        <w:t xml:space="preserve"> </w:t>
      </w:r>
    </w:p>
    <w:p w:rsidRPr="00F0433E" w:rsidR="00F0433E" w:rsidP="009E515D" w:rsidRDefault="007C48CF" w14:paraId="0F05FAF2" w14:textId="2CEE2A87">
      <w:pPr>
        <w:pStyle w:val="Standard"/>
        <w:rPr>
          <w:rFonts w:cstheme="minorHAnsi"/>
          <w:szCs w:val="26"/>
        </w:rPr>
      </w:pPr>
      <w:r w:rsidRPr="53A54C7D">
        <w:t>Alternatively, the Joint Parties recommend the Commission use</w:t>
      </w:r>
      <w:r w:rsidRPr="53A54C7D" w:rsidR="00647A5E">
        <w:t>, as a baseline,</w:t>
      </w:r>
      <w:r w:rsidRPr="53A54C7D">
        <w:t xml:space="preserve"> protections </w:t>
      </w:r>
      <w:r w:rsidRPr="53A54C7D" w:rsidR="005B45F4">
        <w:t xml:space="preserve">established </w:t>
      </w:r>
      <w:r w:rsidRPr="53A54C7D">
        <w:t>for the CEC’s EBD program and adopted in the Solar on Multifamily Affordable Housing (SOMAH) program.</w:t>
      </w:r>
      <w:r w:rsidRPr="53A54C7D">
        <w:rPr>
          <w:rStyle w:val="FootnoteReference"/>
        </w:rPr>
        <w:footnoteReference w:id="203"/>
      </w:r>
      <w:r w:rsidRPr="53A54C7D">
        <w:t xml:space="preserve"> </w:t>
      </w:r>
      <w:r w:rsidRPr="53A54C7D" w:rsidR="00084C1F">
        <w:t xml:space="preserve">They </w:t>
      </w:r>
      <w:r w:rsidRPr="53A54C7D" w:rsidR="007D6F95">
        <w:t>note</w:t>
      </w:r>
      <w:r w:rsidRPr="53A54C7D" w:rsidR="00084C1F">
        <w:t xml:space="preserve"> it is easier to </w:t>
      </w:r>
      <w:r w:rsidRPr="53A54C7D" w:rsidR="003F6D83">
        <w:t>require tenant protections in direct</w:t>
      </w:r>
      <w:r w:rsidRPr="53A54C7D" w:rsidR="00BB06F2">
        <w:t xml:space="preserve"> </w:t>
      </w:r>
      <w:r w:rsidRPr="53A54C7D" w:rsidR="003F6D83">
        <w:t xml:space="preserve">install programs as compared to </w:t>
      </w:r>
      <w:r w:rsidRPr="53A54C7D" w:rsidR="003F6D83">
        <w:lastRenderedPageBreak/>
        <w:t>appliance incentives</w:t>
      </w:r>
      <w:r w:rsidRPr="53A54C7D" w:rsidR="007D6F95">
        <w:t xml:space="preserve">, where they again reiterate their </w:t>
      </w:r>
      <w:r w:rsidRPr="53A54C7D" w:rsidR="00ED099A">
        <w:t>support for a low-income direct install program.</w:t>
      </w:r>
      <w:r w:rsidRPr="53A54C7D" w:rsidR="00ED099A">
        <w:rPr>
          <w:rStyle w:val="FootnoteReference"/>
        </w:rPr>
        <w:footnoteReference w:id="204"/>
      </w:r>
      <w:r w:rsidRPr="53A54C7D" w:rsidR="00ED099A">
        <w:t xml:space="preserve"> </w:t>
      </w:r>
      <w:r w:rsidRPr="53A54C7D">
        <w:t xml:space="preserve">Specifically, the Joint Parties recommend the following minimum protections from the </w:t>
      </w:r>
      <w:r w:rsidRPr="53A54C7D" w:rsidR="0041464D">
        <w:t>EBD and SOMAH</w:t>
      </w:r>
      <w:r w:rsidRPr="53A54C7D" w:rsidR="00581FCC">
        <w:t xml:space="preserve"> programs</w:t>
      </w:r>
      <w:r w:rsidRPr="53A54C7D">
        <w:t>:</w:t>
      </w:r>
      <w:r w:rsidRPr="53A54C7D">
        <w:rPr>
          <w:rStyle w:val="FootnoteReference"/>
        </w:rPr>
        <w:footnoteReference w:id="205"/>
      </w:r>
      <w:r w:rsidRPr="53A54C7D">
        <w:t xml:space="preserve"> </w:t>
      </w:r>
    </w:p>
    <w:p w:rsidR="007C48CF" w:rsidP="002F4ED7" w:rsidRDefault="007C48CF" w14:paraId="0C57D750" w14:textId="77777777">
      <w:pPr>
        <w:pStyle w:val="ListNum"/>
        <w:keepNext/>
      </w:pPr>
      <w:r>
        <w:t>Protect Tenants from Evictions</w:t>
      </w:r>
    </w:p>
    <w:p w:rsidRPr="0091411A" w:rsidR="007C48CF" w:rsidP="001B0405" w:rsidRDefault="007C48CF" w14:paraId="20EBC266" w14:textId="77777777">
      <w:pPr>
        <w:pStyle w:val="ListAlpha2"/>
        <w:ind w:left="1440"/>
      </w:pPr>
      <w:r w:rsidRPr="0091411A">
        <w:t xml:space="preserve">Landlords participating in the TECH Initiative cannot evict tenants for five years for any reason other than nonpayment, an illegal activity, or severe nuisance; </w:t>
      </w:r>
    </w:p>
    <w:p w:rsidRPr="0091411A" w:rsidR="007C48CF" w:rsidP="001B0405" w:rsidRDefault="007C48CF" w14:paraId="0F8D8E96" w14:textId="77777777">
      <w:pPr>
        <w:pStyle w:val="ListAlpha2"/>
        <w:ind w:left="1440"/>
      </w:pPr>
      <w:r w:rsidRPr="0091411A">
        <w:t>Tenants should have clear information of the program and be able to contact the TECH Initiative implementer should any problem arise; and</w:t>
      </w:r>
    </w:p>
    <w:p w:rsidRPr="00656A29" w:rsidR="00016A35" w:rsidP="001B0405" w:rsidRDefault="007C48CF" w14:paraId="34FD2EBD" w14:textId="47B03363">
      <w:pPr>
        <w:pStyle w:val="ListAlpha2"/>
        <w:ind w:left="1440"/>
      </w:pPr>
      <w:r w:rsidRPr="0091411A">
        <w:t>Landlords should be required to sign affidavits that they will not evict tenants other than for nonpayment and that tenants will be given contact information that they may reach out to when they receive eviction notices.</w:t>
      </w:r>
    </w:p>
    <w:p w:rsidR="007C48CF" w:rsidP="002F4ED7" w:rsidRDefault="007C48CF" w14:paraId="5A2BCC8F" w14:textId="77777777">
      <w:pPr>
        <w:pStyle w:val="ListNum"/>
        <w:keepNext/>
        <w:rPr>
          <w:rFonts w:cstheme="minorHAnsi"/>
          <w:szCs w:val="26"/>
        </w:rPr>
      </w:pPr>
      <w:r>
        <w:rPr>
          <w:rFonts w:cstheme="minorHAnsi"/>
          <w:szCs w:val="26"/>
        </w:rPr>
        <w:t xml:space="preserve">Rent </w:t>
      </w:r>
      <w:r w:rsidRPr="00656A29">
        <w:t>Protection</w:t>
      </w:r>
    </w:p>
    <w:p w:rsidR="007C48CF" w:rsidP="001B0405" w:rsidRDefault="007C48CF" w14:paraId="5D535D58" w14:textId="77777777">
      <w:pPr>
        <w:pStyle w:val="ListAlpha2"/>
        <w:ind w:left="1440"/>
      </w:pPr>
      <w:r>
        <w:t>Tenants should not be subject to rent increases due to a TECH Initiative-funded project, and restrictions should mirror rent increase restrictions in the SOMAH program and be at least as stringent as restrictions to access the Low-Income Housing Credit.</w:t>
      </w:r>
    </w:p>
    <w:p w:rsidR="007C48CF" w:rsidP="001B0405" w:rsidRDefault="007C48CF" w14:paraId="6230D92D" w14:textId="26983E69">
      <w:pPr>
        <w:pStyle w:val="ListRoman3"/>
      </w:pPr>
      <w:r>
        <w:t xml:space="preserve">As an </w:t>
      </w:r>
      <w:r w:rsidRPr="001B0405">
        <w:rPr>
          <w:rFonts w:cstheme="minorHAnsi"/>
          <w:szCs w:val="26"/>
        </w:rPr>
        <w:t>additional</w:t>
      </w:r>
      <w:r>
        <w:t xml:space="preserve"> example, the Joint Parties note the property owner and tenant agreements that required the administrators in the San Joaquin Valley Pilot to </w:t>
      </w:r>
      <w:r w:rsidR="00C26DEA">
        <w:t>prevent</w:t>
      </w:r>
      <w:r>
        <w:t xml:space="preserve"> tenants  experienc</w:t>
      </w:r>
      <w:r w:rsidR="00C26DEA">
        <w:t>ing</w:t>
      </w:r>
      <w:r>
        <w:t xml:space="preserve"> increased rents or evictions for five</w:t>
      </w:r>
      <w:r w:rsidR="001B0405">
        <w:t> </w:t>
      </w:r>
      <w:r>
        <w:t>years following appliance installations.</w:t>
      </w:r>
    </w:p>
    <w:p w:rsidR="007C48CF" w:rsidP="002F4ED7" w:rsidRDefault="007C48CF" w14:paraId="070875E2" w14:textId="77777777">
      <w:pPr>
        <w:pStyle w:val="ListNum"/>
        <w:keepNext/>
        <w:rPr>
          <w:rFonts w:cstheme="minorHAnsi"/>
          <w:szCs w:val="26"/>
        </w:rPr>
      </w:pPr>
      <w:r>
        <w:rPr>
          <w:rFonts w:cstheme="minorHAnsi"/>
          <w:szCs w:val="26"/>
        </w:rPr>
        <w:lastRenderedPageBreak/>
        <w:t xml:space="preserve">Avoid or Mitigate </w:t>
      </w:r>
      <w:r w:rsidRPr="00656A29">
        <w:t>Temporary</w:t>
      </w:r>
      <w:r>
        <w:rPr>
          <w:rFonts w:cstheme="minorHAnsi"/>
          <w:szCs w:val="26"/>
        </w:rPr>
        <w:t xml:space="preserve"> Displacement and Disruption</w:t>
      </w:r>
    </w:p>
    <w:p w:rsidR="007C48CF" w:rsidP="001B0405" w:rsidRDefault="007C48CF" w14:paraId="6A9F0D1B" w14:textId="77777777">
      <w:pPr>
        <w:pStyle w:val="ListAlpha2"/>
        <w:ind w:left="1440"/>
      </w:pPr>
      <w:r>
        <w:t xml:space="preserve">If temporary displacement is needed to enable retrofits, the Joint Parties recommend the following requirements: </w:t>
      </w:r>
    </w:p>
    <w:p w:rsidRPr="001B0405" w:rsidR="001B0405" w:rsidP="008256FA" w:rsidRDefault="001B0405" w14:paraId="71F4014F" w14:textId="77777777">
      <w:pPr>
        <w:pStyle w:val="ListRoman3"/>
        <w:numPr>
          <w:ilvl w:val="0"/>
          <w:numId w:val="16"/>
        </w:numPr>
      </w:pPr>
      <w:r w:rsidRPr="001B0405">
        <w:t xml:space="preserve">The TECH Initiative and partner community-based organizations (if applicable) must be notified of the displacement so it is tracked and monitored; and </w:t>
      </w:r>
    </w:p>
    <w:p w:rsidRPr="001B0405" w:rsidR="001B0405" w:rsidP="001B0405" w:rsidRDefault="001B0405" w14:paraId="1DB6E1A6" w14:textId="77777777">
      <w:pPr>
        <w:pStyle w:val="ListRoman3"/>
      </w:pPr>
      <w:r w:rsidRPr="001B0405">
        <w:t xml:space="preserve">The tenant should be granted the right to return to the same unit with the same rent rate. </w:t>
      </w:r>
    </w:p>
    <w:p w:rsidR="00DD3E57" w:rsidP="002317AD" w:rsidRDefault="007036F6" w14:paraId="6F297940" w14:textId="781CEBEA">
      <w:pPr>
        <w:pStyle w:val="Standard"/>
        <w:rPr>
          <w:rFonts w:cstheme="minorHAnsi"/>
          <w:szCs w:val="26"/>
        </w:rPr>
      </w:pPr>
      <w:r w:rsidRPr="53A54C7D">
        <w:t>Regarding the</w:t>
      </w:r>
      <w:r w:rsidRPr="53A54C7D" w:rsidR="005076FF">
        <w:t xml:space="preserve"> </w:t>
      </w:r>
      <w:r w:rsidRPr="53A54C7D">
        <w:t xml:space="preserve">prioritization of funds, </w:t>
      </w:r>
      <w:r w:rsidRPr="53A54C7D" w:rsidR="00546E10">
        <w:t xml:space="preserve">LADWP recommends </w:t>
      </w:r>
      <w:r w:rsidR="00E60285">
        <w:t xml:space="preserve">making </w:t>
      </w:r>
      <w:r w:rsidRPr="53A54C7D" w:rsidR="00546E10">
        <w:t>funds available on a first-come, first-served basis to incentivize early participation.</w:t>
      </w:r>
      <w:r w:rsidRPr="53A54C7D" w:rsidR="00546E10">
        <w:rPr>
          <w:rStyle w:val="FootnoteReference"/>
        </w:rPr>
        <w:footnoteReference w:id="206"/>
      </w:r>
      <w:r w:rsidRPr="53A54C7D" w:rsidR="004F1F36">
        <w:t xml:space="preserve"> On tenant protections, LADWP </w:t>
      </w:r>
      <w:r w:rsidRPr="53A54C7D" w:rsidR="00CD3C0F">
        <w:t>explains</w:t>
      </w:r>
      <w:r w:rsidRPr="53A54C7D" w:rsidR="004F1F36">
        <w:t xml:space="preserve"> it cannot regulate property owner and tenant protections</w:t>
      </w:r>
      <w:r w:rsidRPr="53A54C7D" w:rsidR="00293481">
        <w:t>,</w:t>
      </w:r>
      <w:r w:rsidRPr="53A54C7D" w:rsidR="004F1F36">
        <w:t xml:space="preserve"> </w:t>
      </w:r>
      <w:r w:rsidRPr="53A54C7D" w:rsidR="00293481">
        <w:t>and instead</w:t>
      </w:r>
      <w:r w:rsidRPr="53A54C7D" w:rsidR="00712B6D">
        <w:t xml:space="preserve"> defers to the City of Los Angeles</w:t>
      </w:r>
      <w:r w:rsidRPr="53A54C7D" w:rsidR="006D5C7F">
        <w:t>’s</w:t>
      </w:r>
      <w:r w:rsidRPr="53A54C7D" w:rsidR="00712B6D">
        <w:t xml:space="preserve"> Housing Department for managing these agreements.</w:t>
      </w:r>
      <w:r w:rsidRPr="53A54C7D" w:rsidR="009A6F7C">
        <w:t xml:space="preserve"> </w:t>
      </w:r>
      <w:r w:rsidRPr="53A54C7D" w:rsidR="002D6BA1">
        <w:t>LADWP</w:t>
      </w:r>
      <w:r w:rsidRPr="53A54C7D" w:rsidR="009A6F7C">
        <w:t xml:space="preserve"> highlight</w:t>
      </w:r>
      <w:r w:rsidRPr="53A54C7D" w:rsidR="002D6BA1">
        <w:t>s</w:t>
      </w:r>
      <w:r w:rsidRPr="53A54C7D" w:rsidR="009A6F7C">
        <w:t xml:space="preserve"> their Comprehensive Affordable Multifamily Retrofits (CAMR) program, which requires participating property owners to maintain property affordability for at least 10 years after receiving CAMR funds.</w:t>
      </w:r>
      <w:r w:rsidRPr="53A54C7D" w:rsidR="009A6F7C">
        <w:rPr>
          <w:rStyle w:val="FootnoteReference"/>
        </w:rPr>
        <w:footnoteReference w:id="207"/>
      </w:r>
    </w:p>
    <w:p w:rsidR="00546E10" w:rsidP="002317AD" w:rsidRDefault="00CC2BF6" w14:paraId="17C57F92" w14:textId="198BB9E8">
      <w:pPr>
        <w:pStyle w:val="Standard"/>
      </w:pPr>
      <w:r w:rsidRPr="53A54C7D">
        <w:t xml:space="preserve">CAC supports </w:t>
      </w:r>
      <w:r w:rsidRPr="53A54C7D" w:rsidR="007036F6">
        <w:t>use of the “Split Incentives Agreement” or a similar tenant protection agreement</w:t>
      </w:r>
      <w:r w:rsidRPr="53A54C7D" w:rsidR="00684730">
        <w:t>, as recommended by TURN, SCE, and the Joint Parties</w:t>
      </w:r>
      <w:r w:rsidRPr="53A54C7D" w:rsidR="007036F6">
        <w:t>.</w:t>
      </w:r>
      <w:r w:rsidRPr="53A54C7D" w:rsidR="007036F6">
        <w:rPr>
          <w:rStyle w:val="FootnoteReference"/>
        </w:rPr>
        <w:footnoteReference w:id="208"/>
      </w:r>
    </w:p>
    <w:p w:rsidRPr="004166D8" w:rsidR="00D60FC7" w:rsidP="000E7D14" w:rsidRDefault="00D60FC7" w14:paraId="0B5467BA" w14:textId="77777777">
      <w:pPr>
        <w:pStyle w:val="Heading3"/>
      </w:pPr>
      <w:bookmarkStart w:name="_Toc185579404" w:id="827"/>
      <w:bookmarkStart w:name="_Toc192263730" w:id="828"/>
      <w:bookmarkStart w:name="_Toc200371003" w:id="829"/>
      <w:r w:rsidRPr="004166D8">
        <w:t>Discussion</w:t>
      </w:r>
      <w:bookmarkEnd w:id="827"/>
      <w:bookmarkEnd w:id="828"/>
      <w:bookmarkEnd w:id="829"/>
    </w:p>
    <w:p w:rsidR="00EF6F21" w:rsidP="009E515D" w:rsidRDefault="00140A57" w14:paraId="30ED0E70" w14:textId="3126CBC1">
      <w:pPr>
        <w:pStyle w:val="Standard"/>
      </w:pPr>
      <w:r w:rsidRPr="731FED01">
        <w:t xml:space="preserve">As </w:t>
      </w:r>
      <w:r w:rsidRPr="009E515D">
        <w:t>noted</w:t>
      </w:r>
      <w:r w:rsidRPr="731FED01">
        <w:t xml:space="preserve"> earlier, </w:t>
      </w:r>
      <w:r w:rsidRPr="731FED01" w:rsidR="00240655">
        <w:t>AB </w:t>
      </w:r>
      <w:r w:rsidRPr="731FED01" w:rsidR="00EF6F21">
        <w:t>157</w:t>
      </w:r>
      <w:r w:rsidRPr="731FED01" w:rsidR="002F7EB4">
        <w:t xml:space="preserve"> funds </w:t>
      </w:r>
      <w:r w:rsidRPr="731FED01" w:rsidR="00792F63">
        <w:t>shall</w:t>
      </w:r>
      <w:r w:rsidRPr="731FED01" w:rsidR="00EF6F21">
        <w:t xml:space="preserve"> be implemented as </w:t>
      </w:r>
      <w:r w:rsidRPr="731FED01" w:rsidR="00792F63">
        <w:t xml:space="preserve">upstream and midstream incentives </w:t>
      </w:r>
      <w:r w:rsidRPr="731FED01" w:rsidR="009E24EB">
        <w:t>that will be</w:t>
      </w:r>
      <w:r w:rsidRPr="731FED01" w:rsidR="00EF6F21">
        <w:t xml:space="preserve"> available on a first-come, first-served basis to the communities prioritized in </w:t>
      </w:r>
      <w:r w:rsidRPr="731FED01" w:rsidR="00240655">
        <w:t>AB </w:t>
      </w:r>
      <w:r w:rsidRPr="731FED01" w:rsidR="00EF6F21">
        <w:t xml:space="preserve">157. This is consistent with how the TECH </w:t>
      </w:r>
      <w:r w:rsidRPr="731FED01" w:rsidR="00EF6F21">
        <w:lastRenderedPageBreak/>
        <w:t xml:space="preserve">Initiative has been </w:t>
      </w:r>
      <w:r w:rsidRPr="731FED01" w:rsidR="00684730">
        <w:t>administered</w:t>
      </w:r>
      <w:r w:rsidRPr="731FED01" w:rsidR="00EF6F21">
        <w:t xml:space="preserve"> for the last several years. </w:t>
      </w:r>
      <w:r w:rsidRPr="731FED01" w:rsidR="0046347C">
        <w:t>Additionally</w:t>
      </w:r>
      <w:r w:rsidRPr="731FED01" w:rsidR="00EF6F21">
        <w:t xml:space="preserve">, </w:t>
      </w:r>
      <w:r w:rsidRPr="731FED01" w:rsidR="00366B52">
        <w:t xml:space="preserve">we are persuaded by </w:t>
      </w:r>
      <w:r w:rsidRPr="731FED01" w:rsidR="005D5228">
        <w:t>Cal Advocates</w:t>
      </w:r>
      <w:r w:rsidRPr="731FED01" w:rsidR="002564E9">
        <w:t>’</w:t>
      </w:r>
      <w:r w:rsidRPr="731FED01" w:rsidR="00366B52">
        <w:t xml:space="preserve"> position that </w:t>
      </w:r>
      <w:r w:rsidRPr="731FED01" w:rsidR="00EF6F21">
        <w:t>100</w:t>
      </w:r>
      <w:r w:rsidRPr="731FED01" w:rsidR="000B72C9">
        <w:t> percent</w:t>
      </w:r>
      <w:r w:rsidRPr="731FED01" w:rsidR="00EF6F21">
        <w:t xml:space="preserve"> of </w:t>
      </w:r>
      <w:r w:rsidRPr="731FED01" w:rsidR="00287557">
        <w:t xml:space="preserve">these </w:t>
      </w:r>
      <w:r w:rsidRPr="731FED01" w:rsidR="00EF6F21">
        <w:t xml:space="preserve">funds should be allocated to the specified communities identified in </w:t>
      </w:r>
      <w:r w:rsidRPr="731FED01" w:rsidR="00240655">
        <w:t>AB </w:t>
      </w:r>
      <w:r w:rsidRPr="731FED01" w:rsidR="00EF6F21">
        <w:t>157 until June 30, 2027, and after this date, if there are any remaining funds, those remaining funds should be made available to other customers in SoCalGas service territory.</w:t>
      </w:r>
      <w:r w:rsidRPr="731FED01" w:rsidR="3DDA8867">
        <w:t xml:space="preserve"> We</w:t>
      </w:r>
      <w:r w:rsidR="005A5EA3">
        <w:t xml:space="preserve"> adopt Cal Advocates’ recommendation with </w:t>
      </w:r>
      <w:r w:rsidR="009840CC">
        <w:t>one</w:t>
      </w:r>
      <w:r w:rsidR="00E3646E">
        <w:t xml:space="preserve"> </w:t>
      </w:r>
      <w:r w:rsidR="005A5EA3">
        <w:t>modification</w:t>
      </w:r>
      <w:r w:rsidR="009840CC">
        <w:t xml:space="preserve"> that </w:t>
      </w:r>
      <w:r w:rsidR="004C33BF">
        <w:t xml:space="preserve"> the</w:t>
      </w:r>
      <w:r w:rsidR="009718C3">
        <w:t xml:space="preserve">se </w:t>
      </w:r>
      <w:r w:rsidR="004C33BF">
        <w:t>f</w:t>
      </w:r>
      <w:r w:rsidR="00663620">
        <w:t>unds</w:t>
      </w:r>
      <w:r w:rsidR="00164CDB">
        <w:t xml:space="preserve"> </w:t>
      </w:r>
      <w:r w:rsidR="009718C3">
        <w:t>shall</w:t>
      </w:r>
      <w:r w:rsidR="004C33BF">
        <w:t xml:space="preserve"> </w:t>
      </w:r>
      <w:r w:rsidR="00164CDB">
        <w:t>be allocated exclusively to the San Fernando Valley area</w:t>
      </w:r>
      <w:r w:rsidR="00642DE8">
        <w:t xml:space="preserve">, inclusive of </w:t>
      </w:r>
      <w:r w:rsidRPr="731FED01" w:rsidR="3DDA8867">
        <w:t>the Aliso Canyon Disaster Area communit</w:t>
      </w:r>
      <w:r w:rsidRPr="731FED01" w:rsidR="49B04795">
        <w:t>ies</w:t>
      </w:r>
      <w:r w:rsidR="00164CDB">
        <w:t xml:space="preserve">, </w:t>
      </w:r>
      <w:r w:rsidRPr="731FED01" w:rsidR="1C403598">
        <w:t>until June 30, 2027</w:t>
      </w:r>
      <w:r w:rsidR="0070554E">
        <w:t xml:space="preserve">, with the </w:t>
      </w:r>
      <w:r w:rsidRPr="731FED01" w:rsidR="0070554E">
        <w:t>Aliso Canyon Disaster Area communities</w:t>
      </w:r>
      <w:r w:rsidR="0070554E">
        <w:t xml:space="preserve"> prioritized for incentives</w:t>
      </w:r>
      <w:r w:rsidRPr="731FED01" w:rsidR="1C403598">
        <w:t xml:space="preserve">. </w:t>
      </w:r>
    </w:p>
    <w:p w:rsidRPr="00966864" w:rsidR="00966864" w:rsidP="009E515D" w:rsidRDefault="00966864" w14:paraId="17D00DAE" w14:textId="56BA00C4">
      <w:pPr>
        <w:pStyle w:val="Standard"/>
      </w:pPr>
      <w:r w:rsidRPr="79A14C7B">
        <w:t xml:space="preserve">Based on the similarities among the various proposals for tenant protections, </w:t>
      </w:r>
      <w:r w:rsidR="0D7E44C1">
        <w:t>the</w:t>
      </w:r>
      <w:r>
        <w:t xml:space="preserve"> </w:t>
      </w:r>
      <w:r w:rsidR="007B0494">
        <w:t xml:space="preserve">TECH Initiative </w:t>
      </w:r>
      <w:r w:rsidR="708E7FBC">
        <w:t xml:space="preserve">implementer </w:t>
      </w:r>
      <w:r w:rsidR="00635768">
        <w:t>shall</w:t>
      </w:r>
      <w:r w:rsidR="007B0494">
        <w:t xml:space="preserve"> </w:t>
      </w:r>
      <w:r w:rsidRPr="79A14C7B">
        <w:t xml:space="preserve">adopt </w:t>
      </w:r>
      <w:r w:rsidR="000909BA">
        <w:t xml:space="preserve">and use </w:t>
      </w:r>
      <w:r w:rsidR="00755787">
        <w:t>the</w:t>
      </w:r>
      <w:r w:rsidR="004F7720">
        <w:t xml:space="preserve"> </w:t>
      </w:r>
      <w:r w:rsidRPr="79A14C7B">
        <w:t>“Tenant Protection Agreement”</w:t>
      </w:r>
      <w:r w:rsidR="00366B52">
        <w:t xml:space="preserve"> attached as Appendix B</w:t>
      </w:r>
      <w:r w:rsidR="379A80AE">
        <w:t>, which partially references the tenant protections sect</w:t>
      </w:r>
      <w:r w:rsidR="41EAC7D0">
        <w:t>ion</w:t>
      </w:r>
      <w:r w:rsidR="379A80AE">
        <w:t xml:space="preserve"> included in the </w:t>
      </w:r>
      <w:r w:rsidR="579F9E53">
        <w:t>EBD</w:t>
      </w:r>
      <w:r w:rsidR="379A80AE">
        <w:t xml:space="preserve"> Program Guidelines</w:t>
      </w:r>
      <w:r w:rsidR="002E7780">
        <w:t xml:space="preserve">. </w:t>
      </w:r>
      <w:r w:rsidR="00240655">
        <w:t>AB </w:t>
      </w:r>
      <w:r w:rsidRPr="79A14C7B">
        <w:t xml:space="preserve">157 states funds “shall not cause the displacement of tenants in upgraded rental housing units and shall be used to limit cost impacts on tenants.” </w:t>
      </w:r>
      <w:r w:rsidRPr="6A2C44A7" w:rsidR="0F18B774">
        <w:t>T</w:t>
      </w:r>
      <w:r w:rsidRPr="6A2C44A7" w:rsidR="62130C3D">
        <w:t>his</w:t>
      </w:r>
      <w:r w:rsidRPr="79A14C7B">
        <w:t xml:space="preserve"> agreement fulfills </w:t>
      </w:r>
      <w:r w:rsidR="00240655">
        <w:t>AB </w:t>
      </w:r>
      <w:r w:rsidRPr="79A14C7B">
        <w:t>157’s mandate to prevent tenant displacement and rent increases tied to building upgrades. We will implement this by requiring any property owner</w:t>
      </w:r>
      <w:r w:rsidR="00131B1E">
        <w:t>,</w:t>
      </w:r>
      <w:r w:rsidR="00366B52">
        <w:t xml:space="preserve"> or property manager acting on behalf of the owner</w:t>
      </w:r>
      <w:r w:rsidR="00352CD5">
        <w:t>,</w:t>
      </w:r>
      <w:r w:rsidR="00366B52">
        <w:t xml:space="preserve"> </w:t>
      </w:r>
      <w:r w:rsidRPr="79A14C7B">
        <w:t xml:space="preserve">seeking incentives to sign </w:t>
      </w:r>
      <w:r w:rsidR="009251EA">
        <w:t>the Tenant Protection A</w:t>
      </w:r>
      <w:r w:rsidRPr="00366B52">
        <w:t>greement</w:t>
      </w:r>
      <w:r w:rsidRPr="73E55884" w:rsidR="2B2F0450">
        <w:rPr>
          <w:rFonts w:eastAsia="Book Antiqua" w:cs="Book Antiqua"/>
        </w:rPr>
        <w:t>, as a condition of receiving the incentives</w:t>
      </w:r>
      <w:r w:rsidRPr="73E55884" w:rsidR="00375C4D">
        <w:rPr>
          <w:rFonts w:eastAsia="Book Antiqua" w:cs="Book Antiqua"/>
        </w:rPr>
        <w:t>.</w:t>
      </w:r>
      <w:r w:rsidR="00131B1E">
        <w:rPr>
          <w:rFonts w:eastAsia="Book Antiqua" w:cs="Book Antiqua"/>
        </w:rPr>
        <w:t xml:space="preserve"> </w:t>
      </w:r>
    </w:p>
    <w:p w:rsidR="006E26BA" w:rsidP="009E515D" w:rsidRDefault="00966864" w14:paraId="7489A09D" w14:textId="77777777">
      <w:pPr>
        <w:pStyle w:val="Standard"/>
      </w:pPr>
      <w:r w:rsidRPr="6F14A714">
        <w:t xml:space="preserve">If a </w:t>
      </w:r>
      <w:r w:rsidR="00366B52">
        <w:t>property owner</w:t>
      </w:r>
      <w:r w:rsidR="00ED69E4">
        <w:t xml:space="preserve">, </w:t>
      </w:r>
      <w:r w:rsidR="00366B52">
        <w:t>as defined in the agreement</w:t>
      </w:r>
      <w:r w:rsidR="00ED69E4">
        <w:t>,</w:t>
      </w:r>
      <w:r w:rsidRPr="6F14A714">
        <w:t xml:space="preserve"> violates these terms, the Commission, through the </w:t>
      </w:r>
      <w:r w:rsidR="00366B52">
        <w:t xml:space="preserve">TECH Initiative </w:t>
      </w:r>
      <w:r w:rsidRPr="6F14A714">
        <w:t xml:space="preserve">implementer, may revoke or deny future participation </w:t>
      </w:r>
      <w:r w:rsidRPr="6F14A714" w:rsidR="10B3C092">
        <w:t>in the TECH Initiative</w:t>
      </w:r>
      <w:r w:rsidR="005F1BEF">
        <w:t xml:space="preserve"> by such property owner</w:t>
      </w:r>
      <w:r w:rsidR="000365BF">
        <w:t>, and t</w:t>
      </w:r>
      <w:r w:rsidR="00366B52">
        <w:t xml:space="preserve">he TECH Initiative </w:t>
      </w:r>
      <w:r w:rsidRPr="6F14A714" w:rsidR="00366B52">
        <w:t>implementer</w:t>
      </w:r>
      <w:r w:rsidR="00366B52">
        <w:t xml:space="preserve"> would </w:t>
      </w:r>
      <w:r w:rsidR="00296DBC">
        <w:t>be authorized</w:t>
      </w:r>
      <w:r w:rsidR="00366B52">
        <w:t xml:space="preserve"> to seek the recovery of incentives</w:t>
      </w:r>
      <w:r w:rsidR="00B66D91">
        <w:t xml:space="preserve"> from </w:t>
      </w:r>
      <w:r w:rsidR="005F1BEF">
        <w:t>said</w:t>
      </w:r>
      <w:r w:rsidR="00B66D91">
        <w:t xml:space="preserve"> property owner</w:t>
      </w:r>
      <w:r w:rsidR="00366B52">
        <w:t xml:space="preserve">. </w:t>
      </w:r>
    </w:p>
    <w:p w:rsidRPr="00966864" w:rsidR="00966864" w:rsidP="009E515D" w:rsidRDefault="00966864" w14:paraId="23A98ED3" w14:textId="618389BD">
      <w:pPr>
        <w:pStyle w:val="Standard"/>
      </w:pPr>
      <w:r w:rsidRPr="6F14A714">
        <w:t xml:space="preserve">Because these conditions govern the use of public funds, the Commission </w:t>
      </w:r>
      <w:r w:rsidR="006E26BA">
        <w:t>has the authority to</w:t>
      </w:r>
      <w:r w:rsidRPr="6F14A714">
        <w:t xml:space="preserve"> require </w:t>
      </w:r>
      <w:r w:rsidR="00366B52">
        <w:t xml:space="preserve">property </w:t>
      </w:r>
      <w:r w:rsidRPr="6F14A714">
        <w:t xml:space="preserve">owners to agree to these terms as a </w:t>
      </w:r>
      <w:r w:rsidRPr="6F14A714">
        <w:lastRenderedPageBreak/>
        <w:t xml:space="preserve">prerequisite for receiving </w:t>
      </w:r>
      <w:r w:rsidRPr="6F14A714" w:rsidR="00366B52">
        <w:t>incentives</w:t>
      </w:r>
      <w:r w:rsidR="006E26BA">
        <w:t xml:space="preserve"> and to</w:t>
      </w:r>
      <w:r w:rsidRPr="6F14A714">
        <w:t xml:space="preserve"> withdraw funding if the</w:t>
      </w:r>
      <w:r w:rsidR="00366B52">
        <w:t xml:space="preserve"> </w:t>
      </w:r>
      <w:r w:rsidR="00232D72">
        <w:t xml:space="preserve">property </w:t>
      </w:r>
      <w:r w:rsidR="00366B52">
        <w:t>owners</w:t>
      </w:r>
      <w:r w:rsidRPr="6F14A714">
        <w:t xml:space="preserve"> fail to comply. Th</w:t>
      </w:r>
      <w:r w:rsidR="00752C8A">
        <w:t xml:space="preserve">e foregoing </w:t>
      </w:r>
      <w:r w:rsidR="001E7EA5">
        <w:t>framework</w:t>
      </w:r>
      <w:r w:rsidRPr="6F14A714">
        <w:t xml:space="preserve"> meets </w:t>
      </w:r>
      <w:r w:rsidR="00240655">
        <w:t>AB </w:t>
      </w:r>
      <w:r w:rsidRPr="6F14A714">
        <w:t>157’s displacement-avoidance goals without exceeding the Commission’s jurisdiction.</w:t>
      </w:r>
    </w:p>
    <w:p w:rsidRPr="00966864" w:rsidR="00966864" w:rsidP="009E515D" w:rsidRDefault="00E60285" w14:paraId="3AD8FA7C" w14:textId="77A52663">
      <w:pPr>
        <w:pStyle w:val="Standard"/>
      </w:pPr>
      <w:r>
        <w:t>T</w:t>
      </w:r>
      <w:r w:rsidR="7D9D21DF">
        <w:t>his</w:t>
      </w:r>
      <w:r w:rsidRPr="79A14C7B" w:rsidR="00966864">
        <w:t xml:space="preserve"> Tenant Protection Agreement </w:t>
      </w:r>
      <w:r w:rsidR="00215F19">
        <w:t>provides protection against tenant displacement</w:t>
      </w:r>
      <w:r w:rsidR="00BA7A39">
        <w:t>,</w:t>
      </w:r>
      <w:r w:rsidR="1D707B86">
        <w:t xml:space="preserve"> due to building retrofits conducted </w:t>
      </w:r>
      <w:r w:rsidR="00BA7A39">
        <w:t>because of</w:t>
      </w:r>
      <w:r w:rsidR="1D707B86">
        <w:t xml:space="preserve"> participating in the TECH Initiative, </w:t>
      </w:r>
      <w:r w:rsidR="00261692">
        <w:t>including any</w:t>
      </w:r>
      <w:r w:rsidRPr="79A14C7B" w:rsidR="00966864">
        <w:t xml:space="preserve"> displacement attributable to the electrification project </w:t>
      </w:r>
      <w:r w:rsidR="00261692">
        <w:t>or</w:t>
      </w:r>
      <w:r w:rsidRPr="79A14C7B" w:rsidR="00966864">
        <w:t xml:space="preserve"> rent-based </w:t>
      </w:r>
      <w:r w:rsidRPr="79A14C7B" w:rsidR="424DF591">
        <w:t xml:space="preserve">or other </w:t>
      </w:r>
      <w:r w:rsidRPr="79A14C7B" w:rsidR="00966864">
        <w:t xml:space="preserve">cost shifting for </w:t>
      </w:r>
      <w:r w:rsidR="00261692">
        <w:t>such</w:t>
      </w:r>
      <w:r w:rsidRPr="79A14C7B" w:rsidR="00966864">
        <w:t xml:space="preserve"> upgrades</w:t>
      </w:r>
      <w:r w:rsidR="00966864">
        <w:t>.</w:t>
      </w:r>
      <w:r w:rsidRPr="79A14C7B" w:rsidR="00966864">
        <w:t xml:space="preserve"> The agreement must clearly state that the Commission is neither interpreting nor applying local or state landlord-tenant law; </w:t>
      </w:r>
      <w:r w:rsidR="00953C8F">
        <w:t xml:space="preserve">and </w:t>
      </w:r>
      <w:r w:rsidR="00C94150">
        <w:t xml:space="preserve">its </w:t>
      </w:r>
      <w:r w:rsidRPr="79A14C7B" w:rsidR="00966864">
        <w:t xml:space="preserve">enforcement is limited to eligibility for program incentives. </w:t>
      </w:r>
      <w:r w:rsidR="00BA7A39">
        <w:t>Property owners and tenants</w:t>
      </w:r>
      <w:r w:rsidRPr="79A14C7B" w:rsidR="00966864">
        <w:t xml:space="preserve"> remain subject to all existing rent-stabilization and eviction rules outside the Commission’s purview.</w:t>
      </w:r>
    </w:p>
    <w:p w:rsidRPr="00966864" w:rsidR="00966864" w:rsidP="009E515D" w:rsidRDefault="00966864" w14:paraId="310E4BFA" w14:textId="4830311F">
      <w:pPr>
        <w:pStyle w:val="Standard"/>
        <w:rPr>
          <w:rFonts w:cstheme="minorHAnsi"/>
          <w:szCs w:val="26"/>
        </w:rPr>
      </w:pPr>
      <w:r w:rsidRPr="00966864">
        <w:rPr>
          <w:rFonts w:cstheme="minorHAnsi"/>
          <w:szCs w:val="26"/>
        </w:rPr>
        <w:t xml:space="preserve">Recognizing the strong public policy against displacing tenants or shifting costs, we require property owners applying for incentives to provide the rental property’s address so the </w:t>
      </w:r>
      <w:r w:rsidRPr="00966864" w:rsidR="00BA7A39">
        <w:rPr>
          <w:rFonts w:cstheme="minorHAnsi"/>
          <w:szCs w:val="26"/>
        </w:rPr>
        <w:t xml:space="preserve">TECH Initiative </w:t>
      </w:r>
      <w:r w:rsidRPr="00966864">
        <w:rPr>
          <w:rFonts w:cstheme="minorHAnsi"/>
          <w:szCs w:val="26"/>
        </w:rPr>
        <w:t xml:space="preserve">implementer can send notice to tenants. That notice </w:t>
      </w:r>
      <w:r w:rsidR="00F22B80">
        <w:rPr>
          <w:rFonts w:cstheme="minorHAnsi"/>
          <w:szCs w:val="26"/>
        </w:rPr>
        <w:t>must</w:t>
      </w:r>
      <w:r w:rsidRPr="00966864">
        <w:rPr>
          <w:rFonts w:cstheme="minorHAnsi"/>
          <w:szCs w:val="26"/>
        </w:rPr>
        <w:t xml:space="preserve"> briefly describe the TECH Initiative, the subsidy program, and building electrification, and explain that the </w:t>
      </w:r>
      <w:r w:rsidR="00BA7A39">
        <w:rPr>
          <w:rFonts w:cstheme="minorHAnsi"/>
          <w:szCs w:val="26"/>
        </w:rPr>
        <w:t xml:space="preserve">property </w:t>
      </w:r>
      <w:r w:rsidRPr="00966864">
        <w:rPr>
          <w:rFonts w:cstheme="minorHAnsi"/>
          <w:szCs w:val="26"/>
        </w:rPr>
        <w:t>owner or manager cannot evict or raise rent</w:t>
      </w:r>
      <w:r w:rsidR="00BA7A39">
        <w:rPr>
          <w:rFonts w:cstheme="minorHAnsi"/>
          <w:szCs w:val="26"/>
        </w:rPr>
        <w:t>s</w:t>
      </w:r>
      <w:r w:rsidRPr="00966864">
        <w:rPr>
          <w:rFonts w:cstheme="minorHAnsi"/>
          <w:szCs w:val="26"/>
        </w:rPr>
        <w:t xml:space="preserve"> </w:t>
      </w:r>
      <w:r w:rsidR="00BA7A39">
        <w:rPr>
          <w:rFonts w:cstheme="minorHAnsi"/>
          <w:szCs w:val="26"/>
        </w:rPr>
        <w:t xml:space="preserve">based on </w:t>
      </w:r>
      <w:r w:rsidRPr="00966864">
        <w:rPr>
          <w:rFonts w:cstheme="minorHAnsi"/>
          <w:szCs w:val="26"/>
        </w:rPr>
        <w:t>the property</w:t>
      </w:r>
      <w:r w:rsidR="00BA7A39">
        <w:rPr>
          <w:rFonts w:cstheme="minorHAnsi"/>
          <w:szCs w:val="26"/>
        </w:rPr>
        <w:t>’s</w:t>
      </w:r>
      <w:r w:rsidRPr="00966864">
        <w:rPr>
          <w:rFonts w:cstheme="minorHAnsi"/>
          <w:szCs w:val="26"/>
        </w:rPr>
        <w:t xml:space="preserve"> </w:t>
      </w:r>
      <w:r w:rsidR="00BA7A39">
        <w:rPr>
          <w:rFonts w:cstheme="minorHAnsi"/>
          <w:szCs w:val="26"/>
        </w:rPr>
        <w:t xml:space="preserve">participation </w:t>
      </w:r>
      <w:r w:rsidRPr="00966864">
        <w:rPr>
          <w:rFonts w:cstheme="minorHAnsi"/>
          <w:szCs w:val="26"/>
        </w:rPr>
        <w:t xml:space="preserve">in the program. The notice </w:t>
      </w:r>
      <w:r w:rsidR="00F22B80">
        <w:rPr>
          <w:rFonts w:cstheme="minorHAnsi"/>
          <w:szCs w:val="26"/>
        </w:rPr>
        <w:t>must</w:t>
      </w:r>
      <w:r w:rsidRPr="00966864">
        <w:rPr>
          <w:rFonts w:cstheme="minorHAnsi"/>
          <w:szCs w:val="26"/>
        </w:rPr>
        <w:t xml:space="preserve"> direct tenants to contact the implementer if a </w:t>
      </w:r>
      <w:r w:rsidR="00BA7A39">
        <w:rPr>
          <w:rFonts w:cstheme="minorHAnsi"/>
          <w:szCs w:val="26"/>
        </w:rPr>
        <w:t>property owner or manager</w:t>
      </w:r>
      <w:r w:rsidRPr="00966864">
        <w:rPr>
          <w:rFonts w:cstheme="minorHAnsi"/>
          <w:szCs w:val="26"/>
        </w:rPr>
        <w:t xml:space="preserve"> allegedly violates these tenant protections. Although the Commission</w:t>
      </w:r>
      <w:r w:rsidR="0081721E">
        <w:rPr>
          <w:rFonts w:cstheme="minorHAnsi"/>
          <w:szCs w:val="26"/>
        </w:rPr>
        <w:t xml:space="preserve"> and </w:t>
      </w:r>
      <w:r w:rsidRPr="00966864" w:rsidR="0081721E">
        <w:rPr>
          <w:rFonts w:cstheme="minorHAnsi"/>
          <w:szCs w:val="26"/>
        </w:rPr>
        <w:t>the TECH Initiative</w:t>
      </w:r>
      <w:r w:rsidR="0081721E">
        <w:rPr>
          <w:rFonts w:cstheme="minorHAnsi"/>
          <w:szCs w:val="26"/>
        </w:rPr>
        <w:t xml:space="preserve"> program</w:t>
      </w:r>
      <w:r w:rsidRPr="00966864">
        <w:rPr>
          <w:rFonts w:cstheme="minorHAnsi"/>
          <w:szCs w:val="26"/>
        </w:rPr>
        <w:t xml:space="preserve"> cannot give legal advice, the notice </w:t>
      </w:r>
      <w:r w:rsidR="007F13A0">
        <w:rPr>
          <w:rFonts w:cstheme="minorHAnsi"/>
          <w:szCs w:val="26"/>
        </w:rPr>
        <w:t xml:space="preserve">must </w:t>
      </w:r>
      <w:r w:rsidR="0081721E">
        <w:rPr>
          <w:rFonts w:cstheme="minorHAnsi"/>
          <w:szCs w:val="26"/>
        </w:rPr>
        <w:t>provide general information to</w:t>
      </w:r>
      <w:r w:rsidRPr="00966864">
        <w:rPr>
          <w:rFonts w:cstheme="minorHAnsi"/>
          <w:szCs w:val="26"/>
        </w:rPr>
        <w:t xml:space="preserve"> tenants</w:t>
      </w:r>
      <w:r w:rsidR="0081721E">
        <w:rPr>
          <w:rFonts w:cstheme="minorHAnsi"/>
          <w:szCs w:val="26"/>
        </w:rPr>
        <w:t>, informing them</w:t>
      </w:r>
      <w:r w:rsidRPr="00966864">
        <w:rPr>
          <w:rFonts w:cstheme="minorHAnsi"/>
          <w:szCs w:val="26"/>
        </w:rPr>
        <w:t xml:space="preserve"> that, as third-party beneficiaries to the agreement between the implementer and the property owner, the</w:t>
      </w:r>
      <w:r w:rsidR="00BA7A39">
        <w:rPr>
          <w:rFonts w:cstheme="minorHAnsi"/>
          <w:szCs w:val="26"/>
        </w:rPr>
        <w:t xml:space="preserve"> tenant</w:t>
      </w:r>
      <w:r w:rsidRPr="00966864">
        <w:rPr>
          <w:rFonts w:cstheme="minorHAnsi"/>
          <w:szCs w:val="26"/>
        </w:rPr>
        <w:t xml:space="preserve"> may </w:t>
      </w:r>
      <w:r w:rsidR="004624DF">
        <w:rPr>
          <w:rFonts w:cstheme="minorHAnsi"/>
          <w:szCs w:val="26"/>
        </w:rPr>
        <w:t>raise the agreement in legal proceedings between the tenant and property owner</w:t>
      </w:r>
      <w:r w:rsidRPr="00966864">
        <w:rPr>
          <w:rFonts w:cstheme="minorHAnsi"/>
          <w:szCs w:val="26"/>
        </w:rPr>
        <w:t xml:space="preserve">. </w:t>
      </w:r>
    </w:p>
    <w:p w:rsidRPr="00865EB1" w:rsidR="0081721E" w:rsidP="009E515D" w:rsidRDefault="00AC6C97" w14:paraId="5E40A6B8" w14:textId="7BD95803">
      <w:pPr>
        <w:pStyle w:val="Standard"/>
      </w:pPr>
      <w:r>
        <w:t>T</w:t>
      </w:r>
      <w:r w:rsidR="00A65A02">
        <w:t xml:space="preserve">enant protections should be </w:t>
      </w:r>
      <w:r w:rsidR="00115287">
        <w:t>expanded to all customer groups regardless of income status</w:t>
      </w:r>
      <w:r w:rsidR="0088584C">
        <w:t xml:space="preserve"> and</w:t>
      </w:r>
      <w:r w:rsidR="00106242">
        <w:t xml:space="preserve"> shall be expanded not only to all customers receiving </w:t>
      </w:r>
      <w:r w:rsidR="00106242">
        <w:lastRenderedPageBreak/>
        <w:t xml:space="preserve">incentives from </w:t>
      </w:r>
      <w:r w:rsidR="00240655">
        <w:t>AB </w:t>
      </w:r>
      <w:r w:rsidR="00106242">
        <w:t xml:space="preserve">157, but to all TECH Initiative </w:t>
      </w:r>
      <w:r w:rsidR="009816A4">
        <w:t>customers</w:t>
      </w:r>
      <w:r w:rsidR="00112486">
        <w:t>.</w:t>
      </w:r>
      <w:r w:rsidR="0BA74FEC">
        <w:t xml:space="preserve"> </w:t>
      </w:r>
      <w:r w:rsidR="5C040971">
        <w:t>If the Tenant Protection Agreement</w:t>
      </w:r>
      <w:r w:rsidR="009718C3">
        <w:t xml:space="preserve"> requires amendments</w:t>
      </w:r>
      <w:r w:rsidR="5C040971">
        <w:t xml:space="preserve">, the TECH Initiative implementer may, </w:t>
      </w:r>
      <w:r w:rsidR="00B60028">
        <w:t>after consultation</w:t>
      </w:r>
      <w:r w:rsidR="5C040971">
        <w:t xml:space="preserve"> with Energy Division staff, </w:t>
      </w:r>
      <w:r w:rsidR="006D7120">
        <w:t>submit</w:t>
      </w:r>
      <w:r w:rsidR="5C040971">
        <w:t xml:space="preserve"> a Tier 2 </w:t>
      </w:r>
      <w:r w:rsidR="00775552">
        <w:t>Advice Letter</w:t>
      </w:r>
      <w:r w:rsidR="5C040971">
        <w:t xml:space="preserve"> seeking such </w:t>
      </w:r>
      <w:r w:rsidR="009718C3">
        <w:t>amendments</w:t>
      </w:r>
      <w:r w:rsidR="5C040971">
        <w:t xml:space="preserve">. </w:t>
      </w:r>
    </w:p>
    <w:p w:rsidRPr="004166D8" w:rsidR="002317AD" w:rsidP="002317AD" w:rsidRDefault="002317AD" w14:paraId="2D2FD79A" w14:textId="286EBE9B">
      <w:pPr>
        <w:pStyle w:val="Heading2"/>
      </w:pPr>
      <w:bookmarkStart w:name="_Toc185579405" w:id="830"/>
      <w:bookmarkStart w:name="_Toc192263731" w:id="831"/>
      <w:bookmarkStart w:name="_Toc200371004" w:id="832"/>
      <w:r w:rsidRPr="004166D8">
        <w:t>Contracting Agent</w:t>
      </w:r>
      <w:r w:rsidRPr="004166D8" w:rsidR="00B85266">
        <w:t xml:space="preserve"> Arrangements</w:t>
      </w:r>
      <w:bookmarkEnd w:id="830"/>
      <w:bookmarkEnd w:id="831"/>
      <w:bookmarkEnd w:id="832"/>
    </w:p>
    <w:p w:rsidRPr="004166D8" w:rsidR="002317AD" w:rsidP="002317AD" w:rsidRDefault="002317AD" w14:paraId="005DA7F5" w14:textId="5C125E8E">
      <w:pPr>
        <w:pStyle w:val="Heading3"/>
      </w:pPr>
      <w:bookmarkStart w:name="_Toc185579406" w:id="833"/>
      <w:bookmarkStart w:name="_Toc192263732" w:id="834"/>
      <w:bookmarkStart w:name="_Toc200371005" w:id="835"/>
      <w:r w:rsidRPr="004166D8">
        <w:t xml:space="preserve">Summary of </w:t>
      </w:r>
      <w:r w:rsidR="002C5255">
        <w:t>Party Positions</w:t>
      </w:r>
      <w:bookmarkEnd w:id="833"/>
      <w:bookmarkEnd w:id="834"/>
      <w:bookmarkEnd w:id="835"/>
    </w:p>
    <w:p w:rsidRPr="00DF4AB1" w:rsidR="008E0FF2" w:rsidP="00DF4AB1" w:rsidRDefault="00CE45B0" w14:paraId="0B8E0F21" w14:textId="32D49384">
      <w:pPr>
        <w:pStyle w:val="Standard"/>
      </w:pPr>
      <w:r>
        <w:t>SCE and Cal</w:t>
      </w:r>
      <w:r w:rsidR="003F5096">
        <w:t>Advocates</w:t>
      </w:r>
      <w:r w:rsidR="00B5164D">
        <w:t xml:space="preserve"> </w:t>
      </w:r>
      <w:r w:rsidR="008A4186">
        <w:t>provided recommendations</w:t>
      </w:r>
      <w:r w:rsidR="00B5164D">
        <w:t xml:space="preserve"> on what new direction should be given to the TECH Initiative contracting agent to facilitate the transfer and accounting of the new TECH Initiative </w:t>
      </w:r>
      <w:r w:rsidR="00240655">
        <w:t>AB </w:t>
      </w:r>
      <w:r w:rsidR="00B5164D">
        <w:t xml:space="preserve">157 funding. </w:t>
      </w:r>
      <w:r w:rsidR="00EA7969">
        <w:rPr>
          <w:rFonts w:cstheme="minorHAnsi"/>
          <w:szCs w:val="26"/>
        </w:rPr>
        <w:t xml:space="preserve">SCE, as the contracting agent, recommends the following: </w:t>
      </w:r>
    </w:p>
    <w:p w:rsidR="004F31CE" w:rsidP="00991BC2" w:rsidRDefault="00EA7969" w14:paraId="6A27B991" w14:textId="330F6347">
      <w:pPr>
        <w:pStyle w:val="1ListNumber1"/>
      </w:pPr>
      <w:r w:rsidRPr="008E0FF2">
        <w:t>Modify the existing contract with the TECH Initiative implementer to disburse the $40</w:t>
      </w:r>
      <w:r w:rsidR="002E58D8">
        <w:t> million</w:t>
      </w:r>
      <w:r w:rsidRPr="008E0FF2">
        <w:t xml:space="preserve"> in new </w:t>
      </w:r>
      <w:r w:rsidR="00240655">
        <w:t>AB </w:t>
      </w:r>
      <w:r w:rsidRPr="008E0FF2">
        <w:t>157 funding in proportions consistent with D.23-0</w:t>
      </w:r>
      <w:r w:rsidR="00616E13">
        <w:t>2</w:t>
      </w:r>
      <w:r w:rsidRPr="008E0FF2">
        <w:t>-0</w:t>
      </w:r>
      <w:r w:rsidR="00616E13">
        <w:t>05</w:t>
      </w:r>
      <w:r w:rsidRPr="008E0FF2">
        <w:t xml:space="preserve"> </w:t>
      </w:r>
      <w:r w:rsidRPr="008E0FF2">
        <w:rPr>
          <w:i/>
          <w:iCs/>
        </w:rPr>
        <w:t xml:space="preserve">and </w:t>
      </w:r>
      <w:r w:rsidRPr="008E0FF2">
        <w:t xml:space="preserve">as recommended by SCE in their responses to the </w:t>
      </w:r>
      <w:r w:rsidR="00240655">
        <w:t>AB </w:t>
      </w:r>
      <w:r w:rsidRPr="008E0FF2">
        <w:t>157 ruling questions;</w:t>
      </w:r>
    </w:p>
    <w:p w:rsidR="004F31CE" w:rsidP="00991BC2" w:rsidRDefault="00EA7969" w14:paraId="4093CA0E" w14:textId="3D8CF1DD">
      <w:pPr>
        <w:pStyle w:val="1ListNumber1"/>
      </w:pPr>
      <w:r w:rsidRPr="004F31CE">
        <w:t xml:space="preserve">Within 15 days of modifying the contract with the TECH Initiative implementer, file a Tier 1 advice letter seeking Energy Division approval of the modified contract and to update SCE’s tariffs for </w:t>
      </w:r>
      <w:r w:rsidR="00240655">
        <w:t>AB </w:t>
      </w:r>
      <w:r w:rsidRPr="004F31CE">
        <w:t xml:space="preserve">157’s new TECH Initiative funding; </w:t>
      </w:r>
    </w:p>
    <w:p w:rsidR="004F31CE" w:rsidP="00991BC2" w:rsidRDefault="00EA7969" w14:paraId="228933A3" w14:textId="7C87412D">
      <w:pPr>
        <w:pStyle w:val="1ListNumber1"/>
      </w:pPr>
      <w:r w:rsidRPr="004F31CE">
        <w:t xml:space="preserve">Create a sub-account under the Building Decarbonization Pilot Program Balancing Account (BDPPBA) to differentiate the source and use of funds for </w:t>
      </w:r>
      <w:r w:rsidR="00240655">
        <w:t>AB </w:t>
      </w:r>
      <w:r w:rsidRPr="004F31CE">
        <w:t>157’s new TECH Initiative funding; and</w:t>
      </w:r>
    </w:p>
    <w:p w:rsidR="00EA7969" w:rsidP="00991BC2" w:rsidRDefault="00EA7969" w14:paraId="51FABEFB" w14:textId="535FF00E">
      <w:pPr>
        <w:pStyle w:val="1ListNumber1"/>
      </w:pPr>
      <w:r w:rsidRPr="00991BC2">
        <w:t>Work</w:t>
      </w:r>
      <w:r w:rsidRPr="53A54C7D">
        <w:t xml:space="preserve"> with the TECH Initiative implementer to identify and track within the BDPPBA, the source and use of funds.</w:t>
      </w:r>
      <w:r w:rsidRPr="53A54C7D">
        <w:rPr>
          <w:rStyle w:val="FootnoteReference"/>
        </w:rPr>
        <w:footnoteReference w:id="209"/>
      </w:r>
      <w:r w:rsidRPr="53A54C7D">
        <w:t xml:space="preserve"> </w:t>
      </w:r>
    </w:p>
    <w:p w:rsidRPr="002317AD" w:rsidR="00EA7969" w:rsidP="009E515D" w:rsidRDefault="005D5228" w14:paraId="2A7585C2" w14:textId="3A3461FA">
      <w:pPr>
        <w:pStyle w:val="Standard"/>
      </w:pPr>
      <w:r>
        <w:t>Cal Advocates</w:t>
      </w:r>
      <w:r w:rsidRPr="53A54C7D" w:rsidR="00114CAA">
        <w:t xml:space="preserve"> </w:t>
      </w:r>
      <w:r w:rsidRPr="53A54C7D" w:rsidR="00362A7F">
        <w:t>recommends</w:t>
      </w:r>
      <w:r w:rsidRPr="53A54C7D" w:rsidR="00114CAA">
        <w:t xml:space="preserve"> the TECH Initiative contracting agent should file a Tier 2 </w:t>
      </w:r>
      <w:r w:rsidRPr="53A54C7D" w:rsidR="005957C9">
        <w:t>Advice Letter</w:t>
      </w:r>
      <w:r w:rsidRPr="53A54C7D" w:rsidR="00114CAA">
        <w:t xml:space="preserve"> rather than a Tier 1 </w:t>
      </w:r>
      <w:r w:rsidRPr="53A54C7D" w:rsidR="005957C9">
        <w:t>Advice Letter</w:t>
      </w:r>
      <w:r w:rsidRPr="53A54C7D" w:rsidR="00114CAA">
        <w:t xml:space="preserve"> when seeking </w:t>
      </w:r>
      <w:r w:rsidRPr="53A54C7D" w:rsidR="00114CAA">
        <w:lastRenderedPageBreak/>
        <w:t xml:space="preserve">approval of contract execution or modification. </w:t>
      </w:r>
      <w:r>
        <w:t>Cal Advocates</w:t>
      </w:r>
      <w:r w:rsidRPr="53A54C7D" w:rsidR="00114CAA">
        <w:t xml:space="preserve"> argue</w:t>
      </w:r>
      <w:r w:rsidRPr="53A54C7D" w:rsidR="00362A7F">
        <w:t>s</w:t>
      </w:r>
      <w:r w:rsidRPr="53A54C7D" w:rsidR="00114CAA">
        <w:t xml:space="preserve"> this will increase transparency on compliance with established program cost caps.</w:t>
      </w:r>
      <w:r w:rsidRPr="53A54C7D" w:rsidR="00114CAA">
        <w:rPr>
          <w:rStyle w:val="FootnoteReference"/>
        </w:rPr>
        <w:footnoteReference w:id="210"/>
      </w:r>
      <w:r w:rsidRPr="53A54C7D" w:rsidR="00114CAA">
        <w:t xml:space="preserve"> </w:t>
      </w:r>
    </w:p>
    <w:p w:rsidR="00582BF3" w:rsidP="003237E9" w:rsidRDefault="005A6D8B" w14:paraId="3E11E10A" w14:textId="541DC822">
      <w:pPr>
        <w:pStyle w:val="Standard"/>
        <w:ind w:right="-90"/>
        <w:rPr>
          <w:rFonts w:cstheme="minorHAnsi"/>
          <w:szCs w:val="26"/>
        </w:rPr>
      </w:pPr>
      <w:r w:rsidRPr="53A54C7D">
        <w:t xml:space="preserve">SCE opposes </w:t>
      </w:r>
      <w:r w:rsidR="005D5228">
        <w:t>Cal Advocates</w:t>
      </w:r>
      <w:r w:rsidRPr="53A54C7D">
        <w:t>’ recommendation</w:t>
      </w:r>
      <w:r w:rsidRPr="53A54C7D" w:rsidR="00D85EF2">
        <w:t>. SCE</w:t>
      </w:r>
      <w:r w:rsidRPr="53A54C7D" w:rsidR="00570288">
        <w:t xml:space="preserve"> </w:t>
      </w:r>
      <w:r w:rsidRPr="53A54C7D">
        <w:t>not</w:t>
      </w:r>
      <w:r w:rsidRPr="53A54C7D" w:rsidR="00570288">
        <w:t>es</w:t>
      </w:r>
      <w:r w:rsidRPr="53A54C7D" w:rsidR="00312E83">
        <w:t xml:space="preserve"> </w:t>
      </w:r>
      <w:r w:rsidRPr="53A54C7D">
        <w:t xml:space="preserve">that </w:t>
      </w:r>
      <w:r w:rsidRPr="53A54C7D" w:rsidR="00D85EF2">
        <w:t>under</w:t>
      </w:r>
      <w:r w:rsidRPr="53A54C7D">
        <w:t xml:space="preserve"> General Order (GO) 96-B, matters appropriate to Tier 2 </w:t>
      </w:r>
      <w:r w:rsidRPr="53A54C7D" w:rsidR="005957C9">
        <w:t>Advice Letter</w:t>
      </w:r>
      <w:r w:rsidRPr="53A54C7D">
        <w:t xml:space="preserve">s include changes in rates, tariffs, and other matters listed in GO 96-B. SCE </w:t>
      </w:r>
      <w:r w:rsidRPr="53A54C7D" w:rsidR="00C71571">
        <w:t xml:space="preserve">explains </w:t>
      </w:r>
      <w:r w:rsidRPr="53A54C7D">
        <w:t xml:space="preserve">that </w:t>
      </w:r>
      <w:r w:rsidR="00DF4AB1">
        <w:t>under</w:t>
      </w:r>
      <w:r w:rsidRPr="53A54C7D">
        <w:t xml:space="preserve"> </w:t>
      </w:r>
      <w:r w:rsidR="00DF4AB1">
        <w:t>prior</w:t>
      </w:r>
      <w:r w:rsidRPr="53A54C7D">
        <w:t xml:space="preserve"> TECH Initiative funding decision</w:t>
      </w:r>
      <w:r w:rsidRPr="53A54C7D" w:rsidR="00C04C57">
        <w:t>s (i.e.</w:t>
      </w:r>
      <w:r w:rsidRPr="53A54C7D" w:rsidR="00DE2DB7">
        <w:t>,</w:t>
      </w:r>
      <w:r w:rsidRPr="53A54C7D" w:rsidR="00C04C57">
        <w:t xml:space="preserve"> D.20-03-027 and D.</w:t>
      </w:r>
      <w:r w:rsidRPr="53A54C7D" w:rsidR="003E5D9E">
        <w:t>23</w:t>
      </w:r>
      <w:r w:rsidR="003237E9">
        <w:noBreakHyphen/>
      </w:r>
      <w:r w:rsidRPr="53A54C7D" w:rsidR="00C2280A">
        <w:t>02</w:t>
      </w:r>
      <w:r w:rsidR="003237E9">
        <w:noBreakHyphen/>
      </w:r>
      <w:r w:rsidRPr="53A54C7D" w:rsidR="00C2280A">
        <w:t>005</w:t>
      </w:r>
      <w:r w:rsidRPr="53A54C7D" w:rsidR="0022256B">
        <w:t>)</w:t>
      </w:r>
      <w:r w:rsidRPr="53A54C7D">
        <w:t xml:space="preserve">, the filing of Tier 1 </w:t>
      </w:r>
      <w:r w:rsidRPr="53A54C7D" w:rsidR="005957C9">
        <w:t>Advice Letter</w:t>
      </w:r>
      <w:r w:rsidRPr="53A54C7D">
        <w:t xml:space="preserve">s has allowed parties to comment and for Energy Division to </w:t>
      </w:r>
      <w:r w:rsidR="00261692">
        <w:t>verify</w:t>
      </w:r>
      <w:r w:rsidRPr="53A54C7D">
        <w:t xml:space="preserve"> SCE’s compliance with program requirements.</w:t>
      </w:r>
      <w:r w:rsidRPr="53A54C7D">
        <w:rPr>
          <w:rStyle w:val="FootnoteReference"/>
        </w:rPr>
        <w:footnoteReference w:id="211"/>
      </w:r>
    </w:p>
    <w:p w:rsidR="005A6D8B" w:rsidP="005A6D8B" w:rsidRDefault="00F4690A" w14:paraId="01B4C913" w14:textId="177F7EAF">
      <w:pPr>
        <w:pStyle w:val="Standard"/>
      </w:pPr>
      <w:r w:rsidRPr="2431A6CB">
        <w:t xml:space="preserve">LADWP </w:t>
      </w:r>
      <w:r w:rsidRPr="2431A6CB" w:rsidR="00DE1C6D">
        <w:t xml:space="preserve">defer to the </w:t>
      </w:r>
      <w:r w:rsidR="009D1072">
        <w:t>TECH Initiat</w:t>
      </w:r>
      <w:r w:rsidR="005957C9">
        <w:t xml:space="preserve">ive </w:t>
      </w:r>
      <w:r w:rsidRPr="2431A6CB" w:rsidR="00DE1C6D">
        <w:t xml:space="preserve">implementer on this question, </w:t>
      </w:r>
      <w:r w:rsidR="00841652">
        <w:t xml:space="preserve">and </w:t>
      </w:r>
      <w:r w:rsidRPr="2431A6CB" w:rsidR="00DE1C6D">
        <w:t>argu</w:t>
      </w:r>
      <w:r w:rsidR="00841652">
        <w:t>e that</w:t>
      </w:r>
      <w:r w:rsidRPr="2431A6CB" w:rsidR="00DE1C6D">
        <w:t xml:space="preserve"> they are best positioned to identify any specific needs or adjustments for the TECH Initiative contracting agent.</w:t>
      </w:r>
      <w:r w:rsidRPr="53A54C7D" w:rsidR="00DE1C6D">
        <w:rPr>
          <w:rStyle w:val="FootnoteReference"/>
        </w:rPr>
        <w:footnoteReference w:id="212"/>
      </w:r>
    </w:p>
    <w:p w:rsidRPr="004166D8" w:rsidR="00D60FC7" w:rsidP="000E7D14" w:rsidRDefault="00D60FC7" w14:paraId="1AFBDACE" w14:textId="73A99B52">
      <w:pPr>
        <w:pStyle w:val="Heading3"/>
      </w:pPr>
      <w:bookmarkStart w:name="_Toc185579408" w:id="836"/>
      <w:bookmarkStart w:name="_Toc192263734" w:id="837"/>
      <w:bookmarkStart w:name="_Toc200371006" w:id="838"/>
      <w:r w:rsidRPr="004166D8">
        <w:t>Discussion</w:t>
      </w:r>
      <w:bookmarkEnd w:id="836"/>
      <w:bookmarkEnd w:id="837"/>
      <w:bookmarkEnd w:id="838"/>
    </w:p>
    <w:p w:rsidRPr="00E3262C" w:rsidR="004123D4" w:rsidP="009E515D" w:rsidRDefault="00C66710" w14:paraId="2236E38C" w14:textId="0AEE6DE7">
      <w:pPr>
        <w:pStyle w:val="Standard"/>
        <w:rPr>
          <w:rFonts w:cstheme="minorHAnsi"/>
          <w:szCs w:val="26"/>
        </w:rPr>
      </w:pPr>
      <w:r>
        <w:rPr>
          <w:rFonts w:cstheme="minorHAnsi"/>
          <w:szCs w:val="26"/>
        </w:rPr>
        <w:t xml:space="preserve">We </w:t>
      </w:r>
      <w:r w:rsidR="00944C09">
        <w:rPr>
          <w:rFonts w:cstheme="minorHAnsi"/>
          <w:szCs w:val="26"/>
        </w:rPr>
        <w:t xml:space="preserve">find merit in SCE’s position </w:t>
      </w:r>
      <w:r w:rsidR="004123D4">
        <w:rPr>
          <w:rFonts w:cstheme="minorHAnsi"/>
          <w:szCs w:val="26"/>
        </w:rPr>
        <w:t xml:space="preserve">that a Tier 2 </w:t>
      </w:r>
      <w:r w:rsidR="00944C09">
        <w:rPr>
          <w:rFonts w:cstheme="minorHAnsi"/>
          <w:szCs w:val="26"/>
        </w:rPr>
        <w:t>A</w:t>
      </w:r>
      <w:r w:rsidR="004123D4">
        <w:rPr>
          <w:rFonts w:cstheme="minorHAnsi"/>
          <w:szCs w:val="26"/>
        </w:rPr>
        <w:t xml:space="preserve">dvice </w:t>
      </w:r>
      <w:r w:rsidR="00944C09">
        <w:rPr>
          <w:rFonts w:cstheme="minorHAnsi"/>
          <w:szCs w:val="26"/>
        </w:rPr>
        <w:t>L</w:t>
      </w:r>
      <w:r w:rsidR="004123D4">
        <w:rPr>
          <w:rFonts w:cstheme="minorHAnsi"/>
          <w:szCs w:val="26"/>
        </w:rPr>
        <w:t xml:space="preserve">etter is not </w:t>
      </w:r>
      <w:r w:rsidR="00944C09">
        <w:rPr>
          <w:rFonts w:cstheme="minorHAnsi"/>
          <w:szCs w:val="26"/>
        </w:rPr>
        <w:t xml:space="preserve">necessary, </w:t>
      </w:r>
      <w:r w:rsidR="004123D4">
        <w:rPr>
          <w:rFonts w:cstheme="minorHAnsi"/>
          <w:szCs w:val="26"/>
        </w:rPr>
        <w:t>and the contracting agent</w:t>
      </w:r>
      <w:r w:rsidR="00D0231B">
        <w:rPr>
          <w:rFonts w:cstheme="minorHAnsi"/>
          <w:szCs w:val="26"/>
        </w:rPr>
        <w:t xml:space="preserve"> </w:t>
      </w:r>
      <w:r w:rsidR="00C957D2">
        <w:rPr>
          <w:rFonts w:cstheme="minorHAnsi"/>
          <w:szCs w:val="26"/>
        </w:rPr>
        <w:t>shall</w:t>
      </w:r>
      <w:r w:rsidR="004123D4">
        <w:rPr>
          <w:rFonts w:cstheme="minorHAnsi"/>
          <w:szCs w:val="26"/>
        </w:rPr>
        <w:t xml:space="preserve"> follow the same provisions listed in D.23</w:t>
      </w:r>
      <w:r w:rsidR="005D5228">
        <w:rPr>
          <w:rFonts w:cstheme="minorHAnsi"/>
          <w:szCs w:val="26"/>
        </w:rPr>
        <w:noBreakHyphen/>
      </w:r>
      <w:r w:rsidR="004123D4">
        <w:rPr>
          <w:rFonts w:cstheme="minorHAnsi"/>
          <w:szCs w:val="26"/>
        </w:rPr>
        <w:t>02</w:t>
      </w:r>
      <w:r w:rsidR="005D5228">
        <w:rPr>
          <w:rFonts w:cstheme="minorHAnsi"/>
          <w:szCs w:val="26"/>
        </w:rPr>
        <w:noBreakHyphen/>
      </w:r>
      <w:r w:rsidR="004123D4">
        <w:rPr>
          <w:rFonts w:cstheme="minorHAnsi"/>
          <w:szCs w:val="26"/>
        </w:rPr>
        <w:t xml:space="preserve">005 </w:t>
      </w:r>
      <w:r w:rsidR="00AB5A9E">
        <w:rPr>
          <w:rFonts w:cstheme="minorHAnsi"/>
          <w:szCs w:val="26"/>
        </w:rPr>
        <w:t>for all</w:t>
      </w:r>
      <w:r w:rsidR="004123D4">
        <w:rPr>
          <w:rFonts w:cstheme="minorHAnsi"/>
          <w:szCs w:val="26"/>
        </w:rPr>
        <w:t xml:space="preserve"> new requirements applicable to the use of </w:t>
      </w:r>
      <w:r w:rsidR="00240655">
        <w:rPr>
          <w:rFonts w:cstheme="minorHAnsi"/>
          <w:szCs w:val="26"/>
        </w:rPr>
        <w:t>AB </w:t>
      </w:r>
      <w:r w:rsidR="004123D4">
        <w:rPr>
          <w:rFonts w:cstheme="minorHAnsi"/>
          <w:szCs w:val="26"/>
        </w:rPr>
        <w:t xml:space="preserve">157 funds by filing a Tier 1 </w:t>
      </w:r>
      <w:r w:rsidR="005957C9">
        <w:rPr>
          <w:rFonts w:cstheme="minorHAnsi"/>
          <w:szCs w:val="26"/>
        </w:rPr>
        <w:t>Advice Letter</w:t>
      </w:r>
      <w:r w:rsidR="004123D4">
        <w:rPr>
          <w:rFonts w:cstheme="minorHAnsi"/>
          <w:szCs w:val="26"/>
        </w:rPr>
        <w:t xml:space="preserve">. </w:t>
      </w:r>
      <w:r w:rsidR="00CE0765">
        <w:rPr>
          <w:rFonts w:cstheme="minorHAnsi"/>
          <w:szCs w:val="26"/>
        </w:rPr>
        <w:t>Consistent</w:t>
      </w:r>
      <w:r w:rsidR="00A00210">
        <w:rPr>
          <w:rFonts w:cstheme="minorHAnsi"/>
          <w:szCs w:val="26"/>
        </w:rPr>
        <w:t xml:space="preserve"> with D.</w:t>
      </w:r>
      <w:r w:rsidR="00E27248">
        <w:rPr>
          <w:rFonts w:cstheme="minorHAnsi"/>
          <w:szCs w:val="26"/>
        </w:rPr>
        <w:t>20-03-027 and D.</w:t>
      </w:r>
      <w:r w:rsidR="00C2554A">
        <w:rPr>
          <w:rFonts w:cstheme="minorHAnsi"/>
          <w:szCs w:val="26"/>
        </w:rPr>
        <w:t xml:space="preserve">23-02-005, </w:t>
      </w:r>
      <w:r w:rsidR="005B62ED">
        <w:rPr>
          <w:rFonts w:cstheme="minorHAnsi"/>
          <w:szCs w:val="26"/>
        </w:rPr>
        <w:t xml:space="preserve">SCE </w:t>
      </w:r>
      <w:r w:rsidR="00C957D2">
        <w:rPr>
          <w:rFonts w:cstheme="minorHAnsi"/>
          <w:szCs w:val="26"/>
        </w:rPr>
        <w:t xml:space="preserve">shall </w:t>
      </w:r>
      <w:r w:rsidR="005B62ED">
        <w:rPr>
          <w:rFonts w:cstheme="minorHAnsi"/>
          <w:szCs w:val="26"/>
        </w:rPr>
        <w:t xml:space="preserve">place the </w:t>
      </w:r>
      <w:r w:rsidR="00240655">
        <w:rPr>
          <w:rFonts w:cstheme="minorHAnsi"/>
          <w:szCs w:val="26"/>
        </w:rPr>
        <w:t>AB </w:t>
      </w:r>
      <w:r w:rsidR="005B62ED">
        <w:rPr>
          <w:rFonts w:cstheme="minorHAnsi"/>
          <w:szCs w:val="26"/>
        </w:rPr>
        <w:t>157 funds in an interest-bearing account</w:t>
      </w:r>
      <w:r w:rsidR="00F1508A">
        <w:rPr>
          <w:rFonts w:cstheme="minorHAnsi"/>
          <w:szCs w:val="26"/>
        </w:rPr>
        <w:t xml:space="preserve"> </w:t>
      </w:r>
      <w:r w:rsidR="007D7DDD">
        <w:rPr>
          <w:rFonts w:cstheme="minorHAnsi"/>
          <w:szCs w:val="26"/>
        </w:rPr>
        <w:t xml:space="preserve">for the benefit of the TECH Initiative implementer to </w:t>
      </w:r>
      <w:r w:rsidR="00E376A7">
        <w:rPr>
          <w:rFonts w:cstheme="minorHAnsi"/>
          <w:szCs w:val="26"/>
        </w:rPr>
        <w:t>be used</w:t>
      </w:r>
      <w:r w:rsidR="007D7DDD">
        <w:rPr>
          <w:rFonts w:cstheme="minorHAnsi"/>
          <w:szCs w:val="26"/>
        </w:rPr>
        <w:t xml:space="preserve"> for </w:t>
      </w:r>
      <w:r w:rsidR="00E376A7">
        <w:rPr>
          <w:rFonts w:cstheme="minorHAnsi"/>
          <w:szCs w:val="26"/>
        </w:rPr>
        <w:t>incentives.</w:t>
      </w:r>
    </w:p>
    <w:p w:rsidRPr="004166D8" w:rsidR="00B85266" w:rsidP="00B85266" w:rsidRDefault="00B85266" w14:paraId="2EB6CD0C" w14:textId="122D2958">
      <w:pPr>
        <w:pStyle w:val="Heading2"/>
      </w:pPr>
      <w:bookmarkStart w:name="_Toc185579409" w:id="839"/>
      <w:bookmarkStart w:name="_Toc192263735" w:id="840"/>
      <w:bookmarkStart w:name="_Toc200371007" w:id="841"/>
      <w:r w:rsidRPr="004166D8">
        <w:t>Reporting Requirements</w:t>
      </w:r>
      <w:bookmarkEnd w:id="839"/>
      <w:bookmarkEnd w:id="840"/>
      <w:bookmarkEnd w:id="841"/>
    </w:p>
    <w:p w:rsidRPr="009D1072" w:rsidR="00F3526C" w:rsidP="00F3526C" w:rsidRDefault="00F3526C" w14:paraId="34D7444A" w14:textId="77FAEB97">
      <w:pPr>
        <w:pStyle w:val="Heading3"/>
      </w:pPr>
      <w:bookmarkStart w:name="_Toc184830969" w:id="842"/>
      <w:bookmarkStart w:name="_Toc184831220" w:id="843"/>
      <w:bookmarkStart w:name="_Toc184840737" w:id="844"/>
      <w:bookmarkStart w:name="_Toc184840846" w:id="845"/>
      <w:bookmarkStart w:name="_Toc184854757" w:id="846"/>
      <w:bookmarkStart w:name="_Toc185269724" w:id="847"/>
      <w:bookmarkStart w:name="_Toc185275830" w:id="848"/>
      <w:bookmarkStart w:name="_Toc185278519" w:id="849"/>
      <w:bookmarkStart w:name="_Toc185278623" w:id="850"/>
      <w:bookmarkStart w:name="_Toc185278727" w:id="851"/>
      <w:bookmarkStart w:name="_Toc185278911" w:id="852"/>
      <w:bookmarkStart w:name="_Toc185321872" w:id="853"/>
      <w:bookmarkStart w:name="_Toc185329822" w:id="854"/>
      <w:bookmarkStart w:name="_Toc185366241" w:id="855"/>
      <w:bookmarkStart w:name="_Toc185368897" w:id="856"/>
      <w:bookmarkStart w:name="_Toc185420505" w:id="857"/>
      <w:bookmarkStart w:name="_Toc185421321" w:id="858"/>
      <w:bookmarkStart w:name="_Toc185422619" w:id="859"/>
      <w:bookmarkStart w:name="_Toc185425637" w:id="860"/>
      <w:bookmarkStart w:name="_Toc185496711" w:id="861"/>
      <w:bookmarkStart w:name="_Toc185496921" w:id="862"/>
      <w:bookmarkStart w:name="_Toc185497032" w:id="863"/>
      <w:bookmarkStart w:name="_Toc185579410" w:id="864"/>
      <w:bookmarkStart w:name="_Toc192263736" w:id="865"/>
      <w:bookmarkStart w:name="_Toc200371008" w:id="866"/>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9D1072">
        <w:t xml:space="preserve">Summary of </w:t>
      </w:r>
      <w:r w:rsidR="002C5255">
        <w:t>Party Positions</w:t>
      </w:r>
      <w:bookmarkEnd w:id="864"/>
      <w:bookmarkEnd w:id="865"/>
      <w:bookmarkEnd w:id="866"/>
    </w:p>
    <w:p w:rsidR="00B5690F" w:rsidP="009E515D" w:rsidRDefault="00B5690F" w14:paraId="4E623862" w14:textId="573C7AA2">
      <w:pPr>
        <w:pStyle w:val="Standard"/>
        <w:rPr>
          <w:rFonts w:cstheme="minorHAnsi"/>
          <w:szCs w:val="26"/>
        </w:rPr>
      </w:pPr>
      <w:bookmarkStart w:name="_Toc185278521" w:id="867"/>
      <w:bookmarkStart w:name="_Toc185278625" w:id="868"/>
      <w:bookmarkEnd w:id="867"/>
      <w:bookmarkEnd w:id="868"/>
      <w:r w:rsidRPr="53A54C7D">
        <w:t xml:space="preserve">Several parties recommend new reporting requirements </w:t>
      </w:r>
      <w:r w:rsidR="00113E88">
        <w:t>to</w:t>
      </w:r>
      <w:r w:rsidRPr="53A54C7D">
        <w:t xml:space="preserve"> be imposed on the TECH Initiative implementer</w:t>
      </w:r>
      <w:r w:rsidRPr="53A54C7D" w:rsidR="0056212E">
        <w:t>, including</w:t>
      </w:r>
      <w:r w:rsidRPr="53A54C7D">
        <w:t xml:space="preserve"> </w:t>
      </w:r>
      <w:r w:rsidRPr="53A54C7D" w:rsidR="00993682">
        <w:t>information on</w:t>
      </w:r>
      <w:r w:rsidRPr="53A54C7D">
        <w:t xml:space="preserve"> reducing winter natural gas demand from the Aliso Canyon natural gas storage facility, </w:t>
      </w:r>
      <w:r w:rsidRPr="53A54C7D">
        <w:lastRenderedPageBreak/>
        <w:t xml:space="preserve">accelerating heat pump deployment, and providing equitable benefits to multi-family building residents, as required in </w:t>
      </w:r>
      <w:r w:rsidR="00240655">
        <w:t>AB </w:t>
      </w:r>
      <w:r w:rsidRPr="53A54C7D">
        <w:t>157.</w:t>
      </w:r>
      <w:r w:rsidRPr="53A54C7D">
        <w:rPr>
          <w:rStyle w:val="FootnoteReference"/>
        </w:rPr>
        <w:footnoteReference w:id="213"/>
      </w:r>
      <w:r w:rsidRPr="53A54C7D">
        <w:t xml:space="preserve"> </w:t>
      </w:r>
    </w:p>
    <w:p w:rsidR="00B5690F" w:rsidP="009E515D" w:rsidRDefault="00B5690F" w14:paraId="2919F97F" w14:textId="7C37A5C4">
      <w:pPr>
        <w:pStyle w:val="Standard"/>
        <w:rPr>
          <w:rFonts w:cstheme="minorHAnsi"/>
          <w:szCs w:val="26"/>
        </w:rPr>
      </w:pPr>
      <w:r w:rsidRPr="53A54C7D">
        <w:t xml:space="preserve">CAC recommends </w:t>
      </w:r>
      <w:r w:rsidRPr="53A54C7D" w:rsidR="00944C09">
        <w:t>reporting</w:t>
      </w:r>
      <w:r w:rsidR="00944C09">
        <w:t xml:space="preserve"> on the</w:t>
      </w:r>
      <w:r w:rsidRPr="53A54C7D">
        <w:t xml:space="preserve"> following metrics:</w:t>
      </w:r>
      <w:r w:rsidRPr="53A54C7D">
        <w:rPr>
          <w:rStyle w:val="FootnoteReference"/>
        </w:rPr>
        <w:footnoteReference w:id="214"/>
      </w:r>
      <w:r w:rsidRPr="53A54C7D">
        <w:t xml:space="preserve"> </w:t>
      </w:r>
    </w:p>
    <w:p w:rsidR="00B5690F" w:rsidP="00991BC2" w:rsidRDefault="2BA3AA1F" w14:paraId="64853435" w14:textId="673D6816">
      <w:pPr>
        <w:pStyle w:val="ListBullet"/>
      </w:pPr>
      <w:r w:rsidRPr="5107A9CF">
        <w:t xml:space="preserve">MMcf </w:t>
      </w:r>
      <w:r w:rsidRPr="5107A9CF" w:rsidR="7100DA13">
        <w:t xml:space="preserve">(Million Cubic Feet) </w:t>
      </w:r>
      <w:r w:rsidRPr="5107A9CF">
        <w:t xml:space="preserve">of gas reduced per gas storage withdrawal season; </w:t>
      </w:r>
    </w:p>
    <w:p w:rsidRPr="00991BC2" w:rsidR="00B5690F" w:rsidP="00991BC2" w:rsidRDefault="00B5690F" w14:paraId="6530C27F" w14:textId="77777777">
      <w:pPr>
        <w:pStyle w:val="ListBullet"/>
      </w:pPr>
      <w:r w:rsidRPr="00991BC2">
        <w:t xml:space="preserve">Number of heat pumps installed; </w:t>
      </w:r>
    </w:p>
    <w:p w:rsidRPr="00991BC2" w:rsidR="00B5690F" w:rsidP="00991BC2" w:rsidRDefault="00B5690F" w14:paraId="1AA27BE6" w14:textId="77777777">
      <w:pPr>
        <w:pStyle w:val="ListBullet"/>
      </w:pPr>
      <w:r w:rsidRPr="00991BC2">
        <w:t xml:space="preserve">Percentage of dollars spent on programs benefiting multi-family building residents; and </w:t>
      </w:r>
    </w:p>
    <w:p w:rsidRPr="00991BC2" w:rsidR="00B5690F" w:rsidP="00991BC2" w:rsidRDefault="00B5690F" w14:paraId="194C088E" w14:textId="5821F41D">
      <w:pPr>
        <w:pStyle w:val="ListBullet"/>
      </w:pPr>
      <w:r w:rsidRPr="00991BC2">
        <w:t xml:space="preserve">Percentage of dollars spent in the Aliso Canyon Disaster Area. </w:t>
      </w:r>
    </w:p>
    <w:p w:rsidR="00F9437F" w:rsidP="009E515D" w:rsidRDefault="00F9437F" w14:paraId="4EB69C32" w14:textId="68D6A199">
      <w:pPr>
        <w:pStyle w:val="Standard"/>
        <w:rPr>
          <w:rFonts w:eastAsia="Times New Roman" w:cs="Segoe UI"/>
          <w:szCs w:val="26"/>
        </w:rPr>
      </w:pPr>
      <w:r w:rsidRPr="00F9437F">
        <w:rPr>
          <w:rFonts w:eastAsia="Times New Roman" w:cs="Segoe UI"/>
          <w:szCs w:val="26"/>
        </w:rPr>
        <w:t xml:space="preserve">CAC does not specify where, when, </w:t>
      </w:r>
      <w:r w:rsidR="00944C09">
        <w:rPr>
          <w:rFonts w:eastAsia="Times New Roman" w:cs="Segoe UI"/>
          <w:szCs w:val="26"/>
        </w:rPr>
        <w:t>or</w:t>
      </w:r>
      <w:r w:rsidRPr="00F9437F">
        <w:rPr>
          <w:rFonts w:eastAsia="Times New Roman" w:cs="Segoe UI"/>
          <w:szCs w:val="26"/>
        </w:rPr>
        <w:t xml:space="preserve"> how frequently these should be reported.</w:t>
      </w:r>
      <w:r w:rsidR="00277E63">
        <w:rPr>
          <w:rFonts w:eastAsia="Times New Roman" w:cs="Segoe UI"/>
          <w:szCs w:val="26"/>
        </w:rPr>
        <w:t xml:space="preserve"> However, </w:t>
      </w:r>
      <w:r w:rsidR="00EB6A2D">
        <w:rPr>
          <w:rFonts w:eastAsia="Times New Roman" w:cs="Segoe UI"/>
          <w:szCs w:val="26"/>
        </w:rPr>
        <w:t>CAC</w:t>
      </w:r>
      <w:r w:rsidR="00F75BBC">
        <w:rPr>
          <w:rFonts w:eastAsia="Times New Roman" w:cs="Segoe UI"/>
          <w:szCs w:val="26"/>
        </w:rPr>
        <w:t xml:space="preserve"> </w:t>
      </w:r>
      <w:r w:rsidR="00305A1A">
        <w:rPr>
          <w:rFonts w:eastAsia="Times New Roman" w:cs="Segoe UI"/>
          <w:szCs w:val="26"/>
        </w:rPr>
        <w:t>identifies</w:t>
      </w:r>
      <w:r w:rsidR="009D52D1">
        <w:rPr>
          <w:rFonts w:eastAsia="Times New Roman" w:cs="Segoe UI"/>
          <w:szCs w:val="26"/>
        </w:rPr>
        <w:t xml:space="preserve"> </w:t>
      </w:r>
      <w:r w:rsidRPr="00F9437F" w:rsidR="00277E63">
        <w:rPr>
          <w:rFonts w:eastAsia="Times New Roman" w:cs="Segoe UI"/>
          <w:szCs w:val="26"/>
        </w:rPr>
        <w:t xml:space="preserve">the gas storage withdrawal season </w:t>
      </w:r>
      <w:r w:rsidR="00397A80">
        <w:rPr>
          <w:rFonts w:eastAsia="Times New Roman" w:cs="Segoe UI"/>
          <w:szCs w:val="26"/>
        </w:rPr>
        <w:t>a</w:t>
      </w:r>
      <w:r w:rsidRPr="00F9437F" w:rsidR="00277E63">
        <w:rPr>
          <w:rFonts w:eastAsia="Times New Roman" w:cs="Segoe UI"/>
          <w:szCs w:val="26"/>
        </w:rPr>
        <w:t>s the winter months of November through March.</w:t>
      </w:r>
    </w:p>
    <w:p w:rsidR="002F7503" w:rsidP="009E515D" w:rsidRDefault="005D5228" w14:paraId="57CD45ED" w14:textId="330F16E6">
      <w:pPr>
        <w:pStyle w:val="Standard"/>
        <w:rPr>
          <w:rFonts w:eastAsia="Times New Roman" w:cs="Segoe UI"/>
          <w:szCs w:val="26"/>
        </w:rPr>
      </w:pPr>
      <w:r>
        <w:rPr>
          <w:rFonts w:eastAsia="Times New Roman" w:cs="Segoe UI"/>
        </w:rPr>
        <w:t>Cal Advocates</w:t>
      </w:r>
      <w:r w:rsidRPr="53A54C7D" w:rsidR="002F7503">
        <w:rPr>
          <w:rFonts w:eastAsia="Times New Roman" w:cs="Segoe UI"/>
        </w:rPr>
        <w:t xml:space="preserve"> recommends tracking the dollars spent in the Aliso Canyon Disaster Area and adding data on geographic participation. </w:t>
      </w:r>
      <w:r>
        <w:rPr>
          <w:rFonts w:eastAsia="Times New Roman" w:cs="Segoe UI"/>
        </w:rPr>
        <w:t>Cal Advocates</w:t>
      </w:r>
      <w:r w:rsidRPr="53A54C7D" w:rsidR="002F7503">
        <w:rPr>
          <w:rFonts w:eastAsia="Times New Roman" w:cs="Segoe UI"/>
        </w:rPr>
        <w:t xml:space="preserve"> </w:t>
      </w:r>
      <w:r w:rsidRPr="53A54C7D" w:rsidR="000043C8">
        <w:rPr>
          <w:rFonts w:eastAsia="Times New Roman" w:cs="Segoe UI"/>
        </w:rPr>
        <w:t>recommends</w:t>
      </w:r>
      <w:r w:rsidRPr="53A54C7D" w:rsidR="002F7503">
        <w:rPr>
          <w:rFonts w:eastAsia="Times New Roman" w:cs="Segoe UI"/>
        </w:rPr>
        <w:t xml:space="preserve"> </w:t>
      </w:r>
      <w:r w:rsidR="00E60285">
        <w:rPr>
          <w:rFonts w:eastAsia="Times New Roman" w:cs="Segoe UI"/>
        </w:rPr>
        <w:t xml:space="preserve">requiring </w:t>
      </w:r>
      <w:r w:rsidRPr="53A54C7D" w:rsidR="002F7503">
        <w:rPr>
          <w:rFonts w:eastAsia="Times New Roman" w:cs="Segoe UI"/>
        </w:rPr>
        <w:t xml:space="preserve">the TECH Initiative implementer to include the total amount of funding authorized and the source of funds in their annual report, </w:t>
      </w:r>
      <w:r w:rsidR="00E60285">
        <w:rPr>
          <w:rFonts w:eastAsia="Times New Roman" w:cs="Segoe UI"/>
        </w:rPr>
        <w:t>and</w:t>
      </w:r>
      <w:r w:rsidRPr="53A54C7D" w:rsidR="002F7503">
        <w:rPr>
          <w:rFonts w:eastAsia="Times New Roman" w:cs="Segoe UI"/>
        </w:rPr>
        <w:t xml:space="preserve"> include line-item expenditures for program administrator, program implementation, and incentives to demonstrate compliance with cost caps.</w:t>
      </w:r>
      <w:r w:rsidRPr="53A54C7D" w:rsidR="002F7503">
        <w:rPr>
          <w:rStyle w:val="FootnoteReference"/>
          <w:rFonts w:eastAsia="Times New Roman" w:cs="Segoe UI"/>
        </w:rPr>
        <w:footnoteReference w:id="215"/>
      </w:r>
    </w:p>
    <w:p w:rsidR="00656C6F" w:rsidP="009E515D" w:rsidRDefault="00656C6F" w14:paraId="48A7CC53" w14:textId="7245D3A8">
      <w:pPr>
        <w:pStyle w:val="Standard"/>
        <w:rPr>
          <w:rFonts w:eastAsia="Times New Roman" w:cs="Segoe UI"/>
          <w:szCs w:val="26"/>
        </w:rPr>
      </w:pPr>
      <w:r w:rsidRPr="53A54C7D">
        <w:rPr>
          <w:rFonts w:eastAsia="Times New Roman" w:cs="Segoe UI"/>
        </w:rPr>
        <w:t>SCE</w:t>
      </w:r>
      <w:r w:rsidRPr="53A54C7D" w:rsidR="006A3F93">
        <w:rPr>
          <w:rFonts w:eastAsia="Times New Roman" w:cs="Segoe UI"/>
        </w:rPr>
        <w:t xml:space="preserve"> </w:t>
      </w:r>
      <w:r w:rsidRPr="53A54C7D">
        <w:rPr>
          <w:rFonts w:eastAsia="Times New Roman" w:cs="Segoe UI"/>
        </w:rPr>
        <w:t>recommends the TECH Initiative implementer report on the following:</w:t>
      </w:r>
      <w:r w:rsidRPr="53A54C7D">
        <w:rPr>
          <w:rStyle w:val="FootnoteReference"/>
          <w:rFonts w:eastAsia="Times New Roman" w:cs="Segoe UI"/>
        </w:rPr>
        <w:footnoteReference w:id="216"/>
      </w:r>
      <w:r w:rsidRPr="53A54C7D">
        <w:rPr>
          <w:rFonts w:eastAsia="Times New Roman" w:cs="Segoe UI"/>
        </w:rPr>
        <w:t xml:space="preserve"> </w:t>
      </w:r>
    </w:p>
    <w:p w:rsidR="00656C6F" w:rsidP="00991BC2" w:rsidRDefault="00656C6F" w14:paraId="6856665D" w14:textId="3DB894DB">
      <w:pPr>
        <w:pStyle w:val="ListBullet"/>
      </w:pPr>
      <w:r>
        <w:t xml:space="preserve">Strategies employed to target communities in SoCalGas territory and the TECH </w:t>
      </w:r>
      <w:r w:rsidR="00536029">
        <w:t>I</w:t>
      </w:r>
      <w:r>
        <w:t xml:space="preserve">nitiative dollars given to customers there; </w:t>
      </w:r>
    </w:p>
    <w:p w:rsidR="00656C6F" w:rsidP="00991BC2" w:rsidRDefault="00656C6F" w14:paraId="55A1F24C" w14:textId="6D336821">
      <w:pPr>
        <w:pStyle w:val="ListBullet"/>
      </w:pPr>
      <w:r>
        <w:lastRenderedPageBreak/>
        <w:t xml:space="preserve">Strategies employed to prioritize communities in Aliso Canyon Disaster Area and the TECH </w:t>
      </w:r>
      <w:r w:rsidR="00536029">
        <w:t>I</w:t>
      </w:r>
      <w:r>
        <w:t xml:space="preserve">nitiative dollars given to those communities; </w:t>
      </w:r>
    </w:p>
    <w:p w:rsidR="00656C6F" w:rsidP="00991BC2" w:rsidRDefault="00656C6F" w14:paraId="40D938C2" w14:textId="40C34CAA">
      <w:pPr>
        <w:pStyle w:val="ListBullet"/>
      </w:pPr>
      <w:r>
        <w:t>Strategies employed to prioritize efforts that reduce winter natural gas demand from the Aliso Canyon natural gas storage facility, accelerate heat pump deployment, and provide equitable benefits to multi</w:t>
      </w:r>
      <w:r w:rsidR="00536029">
        <w:t>-</w:t>
      </w:r>
      <w:r>
        <w:t>family building residents;</w:t>
      </w:r>
    </w:p>
    <w:p w:rsidR="00656C6F" w:rsidP="00991BC2" w:rsidRDefault="00656C6F" w14:paraId="68633A93" w14:textId="1B06CC66">
      <w:pPr>
        <w:pStyle w:val="ListBullet"/>
      </w:pPr>
      <w:r>
        <w:t xml:space="preserve">Strategies and funding for workforce training targeted towards serving Aliso Canyon Disaster </w:t>
      </w:r>
      <w:r w:rsidR="00536029">
        <w:t xml:space="preserve">Area </w:t>
      </w:r>
      <w:r>
        <w:t>customers; and</w:t>
      </w:r>
    </w:p>
    <w:p w:rsidR="00656C6F" w:rsidP="00991BC2" w:rsidRDefault="00656C6F" w14:paraId="41CAF9E9" w14:textId="77777777">
      <w:pPr>
        <w:pStyle w:val="ListBullet"/>
      </w:pPr>
      <w:r>
        <w:t xml:space="preserve">Strategies employed to prevent expenditure of funds from causing the displacement of tenants in upgraded rental housing units and limit cost impacts to tenants. </w:t>
      </w:r>
    </w:p>
    <w:p w:rsidR="002F7503" w:rsidP="009E515D" w:rsidRDefault="002F7503" w14:paraId="79006DF6" w14:textId="3BE54B1A">
      <w:pPr>
        <w:pStyle w:val="Standard"/>
        <w:rPr>
          <w:rFonts w:eastAsia="Times New Roman" w:cs="Segoe UI"/>
          <w:szCs w:val="26"/>
        </w:rPr>
      </w:pPr>
      <w:r w:rsidRPr="53A54C7D">
        <w:rPr>
          <w:rFonts w:eastAsia="Times New Roman" w:cs="Segoe UI"/>
        </w:rPr>
        <w:t>The Joint Parties highlight the requirement to reduce gas demand</w:t>
      </w:r>
      <w:r w:rsidRPr="53A54C7D" w:rsidR="00A1663F">
        <w:rPr>
          <w:rFonts w:eastAsia="Times New Roman" w:cs="Segoe UI"/>
        </w:rPr>
        <w:t xml:space="preserve"> and</w:t>
      </w:r>
      <w:r w:rsidRPr="53A54C7D" w:rsidR="009D52D1">
        <w:rPr>
          <w:rFonts w:eastAsia="Times New Roman" w:cs="Segoe UI"/>
        </w:rPr>
        <w:t xml:space="preserve"> </w:t>
      </w:r>
      <w:r w:rsidRPr="53A54C7D" w:rsidR="005D2B8B">
        <w:rPr>
          <w:rFonts w:eastAsia="Times New Roman" w:cs="Segoe UI"/>
        </w:rPr>
        <w:t>recommend</w:t>
      </w:r>
      <w:r w:rsidRPr="53A54C7D" w:rsidR="009D52D1">
        <w:rPr>
          <w:rFonts w:eastAsia="Times New Roman" w:cs="Segoe UI"/>
        </w:rPr>
        <w:t xml:space="preserve"> </w:t>
      </w:r>
      <w:r w:rsidRPr="53A54C7D">
        <w:rPr>
          <w:rFonts w:eastAsia="Times New Roman" w:cs="Segoe UI"/>
        </w:rPr>
        <w:t xml:space="preserve">the TECH Initiative implementer </w:t>
      </w:r>
      <w:r w:rsidRPr="53A54C7D" w:rsidR="00D046C4">
        <w:rPr>
          <w:rFonts w:eastAsia="Times New Roman" w:cs="Segoe UI"/>
        </w:rPr>
        <w:t xml:space="preserve">be directed </w:t>
      </w:r>
      <w:r w:rsidRPr="53A54C7D">
        <w:rPr>
          <w:rFonts w:eastAsia="Times New Roman" w:cs="Segoe UI"/>
        </w:rPr>
        <w:t>to report reductions in gas demand from participant gas bills in the months after installation.</w:t>
      </w:r>
      <w:r w:rsidRPr="53A54C7D">
        <w:rPr>
          <w:rStyle w:val="FootnoteReference"/>
          <w:rFonts w:eastAsia="Times New Roman" w:cs="Segoe UI"/>
        </w:rPr>
        <w:footnoteReference w:id="217"/>
      </w:r>
    </w:p>
    <w:p w:rsidRPr="005F6E4B" w:rsidR="002F7503" w:rsidP="009E515D" w:rsidRDefault="002F7503" w14:paraId="06F3F863" w14:textId="73236619">
      <w:pPr>
        <w:pStyle w:val="Standard"/>
        <w:rPr>
          <w:rFonts w:eastAsia="Times New Roman" w:cs="Segoe UI"/>
          <w:szCs w:val="26"/>
        </w:rPr>
      </w:pPr>
      <w:r w:rsidRPr="53A54C7D">
        <w:rPr>
          <w:rFonts w:eastAsia="Times New Roman" w:cs="Segoe UI"/>
        </w:rPr>
        <w:t xml:space="preserve">VEIC recommends the TECH Initiative implementer </w:t>
      </w:r>
      <w:r w:rsidRPr="53A54C7D" w:rsidR="002277AC">
        <w:rPr>
          <w:rFonts w:eastAsia="Times New Roman" w:cs="Segoe UI"/>
        </w:rPr>
        <w:t>be direc</w:t>
      </w:r>
      <w:r w:rsidRPr="53A54C7D" w:rsidR="007E7D22">
        <w:rPr>
          <w:rFonts w:eastAsia="Times New Roman" w:cs="Segoe UI"/>
        </w:rPr>
        <w:t xml:space="preserve">ted </w:t>
      </w:r>
      <w:r w:rsidRPr="53A54C7D">
        <w:rPr>
          <w:rFonts w:eastAsia="Times New Roman" w:cs="Segoe UI"/>
        </w:rPr>
        <w:t xml:space="preserve">to report on several metrics, including the number of projects completed and households served with </w:t>
      </w:r>
      <w:r w:rsidR="00240655">
        <w:rPr>
          <w:rFonts w:eastAsia="Times New Roman" w:cs="Segoe UI"/>
        </w:rPr>
        <w:t>AB </w:t>
      </w:r>
      <w:r w:rsidRPr="53A54C7D">
        <w:rPr>
          <w:rFonts w:eastAsia="Times New Roman" w:cs="Segoe UI"/>
        </w:rPr>
        <w:t xml:space="preserve">157 funding in the Aliso Canyon Disaster Area, </w:t>
      </w:r>
      <w:r w:rsidRPr="53A54C7D" w:rsidR="00CD6AFE">
        <w:rPr>
          <w:rFonts w:eastAsia="Times New Roman" w:cs="Segoe UI"/>
        </w:rPr>
        <w:t xml:space="preserve">success </w:t>
      </w:r>
      <w:r w:rsidRPr="53A54C7D">
        <w:rPr>
          <w:rFonts w:eastAsia="Times New Roman" w:cs="Segoe UI"/>
        </w:rPr>
        <w:t xml:space="preserve">reducing winter natural gas demand, </w:t>
      </w:r>
      <w:r w:rsidRPr="53A54C7D" w:rsidR="00CD6AFE">
        <w:rPr>
          <w:rFonts w:eastAsia="Times New Roman" w:cs="Segoe UI"/>
        </w:rPr>
        <w:t xml:space="preserve">success </w:t>
      </w:r>
      <w:r w:rsidRPr="53A54C7D">
        <w:rPr>
          <w:rFonts w:eastAsia="Times New Roman" w:cs="Segoe UI"/>
        </w:rPr>
        <w:t xml:space="preserve">enabling comprehensive building electrification, </w:t>
      </w:r>
      <w:r w:rsidRPr="53A54C7D" w:rsidR="00CD6AFE">
        <w:rPr>
          <w:rFonts w:eastAsia="Times New Roman" w:cs="Segoe UI"/>
        </w:rPr>
        <w:t xml:space="preserve">success </w:t>
      </w:r>
      <w:r w:rsidRPr="53A54C7D">
        <w:rPr>
          <w:rFonts w:eastAsia="Times New Roman" w:cs="Segoe UI"/>
        </w:rPr>
        <w:t>accelerating heat pump deployment, and the</w:t>
      </w:r>
      <w:r w:rsidR="000B72C9">
        <w:rPr>
          <w:rFonts w:eastAsia="Times New Roman" w:cs="Segoe UI"/>
        </w:rPr>
        <w:t xml:space="preserve"> percent</w:t>
      </w:r>
      <w:r w:rsidRPr="53A54C7D">
        <w:rPr>
          <w:rFonts w:eastAsia="Times New Roman" w:cs="Segoe UI"/>
        </w:rPr>
        <w:t xml:space="preserve"> of funds benefiting equity communities.</w:t>
      </w:r>
      <w:r w:rsidRPr="53A54C7D" w:rsidR="00E820BB">
        <w:rPr>
          <w:rStyle w:val="FootnoteReference"/>
          <w:rFonts w:eastAsia="Times New Roman" w:cs="Segoe UI"/>
        </w:rPr>
        <w:footnoteReference w:id="218"/>
      </w:r>
    </w:p>
    <w:p w:rsidR="00D85DD4" w:rsidP="009E515D" w:rsidRDefault="00D85DD4" w14:paraId="2D2758C3" w14:textId="006094CD">
      <w:pPr>
        <w:pStyle w:val="Standard"/>
        <w:rPr>
          <w:rFonts w:eastAsia="Times New Roman" w:cs="Segoe UI"/>
          <w:szCs w:val="26"/>
        </w:rPr>
      </w:pPr>
      <w:r w:rsidRPr="53A54C7D">
        <w:rPr>
          <w:rFonts w:eastAsia="Times New Roman" w:cs="Segoe UI"/>
        </w:rPr>
        <w:t xml:space="preserve">In response to CAC, SCE, VEIC, and the Joint Parties, SoCalGas </w:t>
      </w:r>
      <w:r w:rsidRPr="53A54C7D" w:rsidR="008812B4">
        <w:rPr>
          <w:rFonts w:eastAsia="Times New Roman" w:cs="Segoe UI"/>
        </w:rPr>
        <w:t xml:space="preserve">notes </w:t>
      </w:r>
      <w:r w:rsidRPr="53A54C7D">
        <w:rPr>
          <w:rFonts w:eastAsia="Times New Roman" w:cs="Segoe UI"/>
        </w:rPr>
        <w:t xml:space="preserve">that while the proposed </w:t>
      </w:r>
      <w:r w:rsidRPr="53A54C7D" w:rsidR="008812B4">
        <w:rPr>
          <w:rFonts w:eastAsia="Times New Roman" w:cs="Segoe UI"/>
        </w:rPr>
        <w:t xml:space="preserve">reporting on </w:t>
      </w:r>
      <w:r w:rsidRPr="53A54C7D">
        <w:rPr>
          <w:rFonts w:eastAsia="Times New Roman" w:cs="Segoe UI"/>
        </w:rPr>
        <w:t xml:space="preserve">gas reduction is focused on the winter </w:t>
      </w:r>
      <w:r w:rsidRPr="53A54C7D">
        <w:rPr>
          <w:rFonts w:eastAsia="Times New Roman" w:cs="Segoe UI"/>
        </w:rPr>
        <w:lastRenderedPageBreak/>
        <w:t xml:space="preserve">withdrawal season, the Aliso Canyon storage facility is also critical in supporting </w:t>
      </w:r>
      <w:r w:rsidRPr="53A54C7D" w:rsidR="005721F7">
        <w:rPr>
          <w:rFonts w:eastAsia="Times New Roman" w:cs="Segoe UI"/>
        </w:rPr>
        <w:t>summer</w:t>
      </w:r>
      <w:r w:rsidRPr="53A54C7D">
        <w:rPr>
          <w:rFonts w:eastAsia="Times New Roman" w:cs="Segoe UI"/>
        </w:rPr>
        <w:t xml:space="preserve"> electric generation demand.</w:t>
      </w:r>
      <w:r w:rsidRPr="53A54C7D">
        <w:rPr>
          <w:rStyle w:val="FootnoteReference"/>
          <w:rFonts w:eastAsia="Times New Roman" w:cs="Segoe UI"/>
        </w:rPr>
        <w:footnoteReference w:id="219"/>
      </w:r>
      <w:r w:rsidRPr="53A54C7D">
        <w:rPr>
          <w:rFonts w:eastAsia="Times New Roman" w:cs="Segoe UI"/>
        </w:rPr>
        <w:t xml:space="preserve"> </w:t>
      </w:r>
    </w:p>
    <w:p w:rsidR="009B7BE2" w:rsidP="009E515D" w:rsidRDefault="00511112" w14:paraId="36507AB4" w14:textId="2DA576C6">
      <w:pPr>
        <w:pStyle w:val="Standard"/>
        <w:rPr>
          <w:rFonts w:eastAsia="Times New Roman" w:cs="Segoe UI"/>
          <w:szCs w:val="26"/>
        </w:rPr>
      </w:pPr>
      <w:r w:rsidRPr="53A54C7D">
        <w:rPr>
          <w:rFonts w:eastAsia="Times New Roman" w:cs="Segoe UI"/>
        </w:rPr>
        <w:t xml:space="preserve">CAC </w:t>
      </w:r>
      <w:r w:rsidRPr="53A54C7D" w:rsidR="007716DF">
        <w:rPr>
          <w:rFonts w:eastAsia="Times New Roman" w:cs="Segoe UI"/>
        </w:rPr>
        <w:t xml:space="preserve">disagrees </w:t>
      </w:r>
      <w:r w:rsidRPr="53A54C7D" w:rsidR="00E27EAC">
        <w:rPr>
          <w:rFonts w:eastAsia="Times New Roman" w:cs="Segoe UI"/>
        </w:rPr>
        <w:t>with VEIC</w:t>
      </w:r>
      <w:r w:rsidRPr="53A54C7D" w:rsidR="007716DF">
        <w:rPr>
          <w:rFonts w:eastAsia="Times New Roman" w:cs="Segoe UI"/>
        </w:rPr>
        <w:t xml:space="preserve"> that reporting on the number of projects and households</w:t>
      </w:r>
      <w:r w:rsidRPr="53A54C7D" w:rsidR="009B73CD">
        <w:rPr>
          <w:rFonts w:eastAsia="Times New Roman" w:cs="Segoe UI"/>
        </w:rPr>
        <w:t xml:space="preserve"> is necessary</w:t>
      </w:r>
      <w:r w:rsidRPr="53A54C7D" w:rsidR="0005001C">
        <w:rPr>
          <w:rFonts w:eastAsia="Times New Roman" w:cs="Segoe UI"/>
        </w:rPr>
        <w:t xml:space="preserve"> as static numbers</w:t>
      </w:r>
      <w:r w:rsidRPr="53A54C7D" w:rsidR="00B60A23">
        <w:rPr>
          <w:rFonts w:eastAsia="Times New Roman" w:cs="Segoe UI"/>
        </w:rPr>
        <w:t xml:space="preserve">, </w:t>
      </w:r>
      <w:r w:rsidRPr="53A54C7D" w:rsidR="00D6051B">
        <w:rPr>
          <w:rFonts w:eastAsia="Times New Roman" w:cs="Segoe UI"/>
        </w:rPr>
        <w:t xml:space="preserve">arguing instead </w:t>
      </w:r>
      <w:r w:rsidRPr="53A54C7D" w:rsidR="00A2438E">
        <w:rPr>
          <w:rFonts w:eastAsia="Times New Roman" w:cs="Segoe UI"/>
        </w:rPr>
        <w:t>for</w:t>
      </w:r>
      <w:r w:rsidRPr="53A54C7D" w:rsidR="005875E7">
        <w:rPr>
          <w:rFonts w:eastAsia="Times New Roman" w:cs="Segoe UI"/>
        </w:rPr>
        <w:t xml:space="preserve"> the use</w:t>
      </w:r>
      <w:r w:rsidRPr="53A54C7D" w:rsidR="00A2438E">
        <w:rPr>
          <w:rFonts w:eastAsia="Times New Roman" w:cs="Segoe UI"/>
        </w:rPr>
        <w:t xml:space="preserve"> percentages.</w:t>
      </w:r>
      <w:r w:rsidRPr="53A54C7D" w:rsidR="001F7416">
        <w:rPr>
          <w:rStyle w:val="FootnoteReference"/>
          <w:rFonts w:eastAsia="Times New Roman" w:cs="Segoe UI"/>
        </w:rPr>
        <w:footnoteReference w:id="220"/>
      </w:r>
      <w:r w:rsidRPr="53A54C7D" w:rsidR="001F7416">
        <w:rPr>
          <w:rFonts w:eastAsia="Times New Roman" w:cs="Segoe UI"/>
        </w:rPr>
        <w:t xml:space="preserve"> </w:t>
      </w:r>
      <w:r w:rsidRPr="53A54C7D" w:rsidR="004F7D7A">
        <w:rPr>
          <w:rFonts w:eastAsia="Times New Roman" w:cs="Segoe UI"/>
        </w:rPr>
        <w:t>CAC explains</w:t>
      </w:r>
      <w:r w:rsidRPr="53A54C7D" w:rsidR="00BB04E0">
        <w:rPr>
          <w:rFonts w:eastAsia="Times New Roman" w:cs="Segoe UI"/>
        </w:rPr>
        <w:t xml:space="preserve"> that </w:t>
      </w:r>
      <w:r w:rsidRPr="53A54C7D" w:rsidR="004E09CD">
        <w:rPr>
          <w:rFonts w:eastAsia="Times New Roman" w:cs="Segoe UI"/>
        </w:rPr>
        <w:t>by assuming 100</w:t>
      </w:r>
      <w:r w:rsidR="000B72C9">
        <w:rPr>
          <w:rFonts w:eastAsia="Times New Roman" w:cs="Segoe UI"/>
        </w:rPr>
        <w:t> percent</w:t>
      </w:r>
      <w:r w:rsidRPr="53A54C7D" w:rsidR="004E09CD">
        <w:rPr>
          <w:rFonts w:eastAsia="Times New Roman" w:cs="Segoe UI"/>
        </w:rPr>
        <w:t xml:space="preserve"> of funds would be directed at </w:t>
      </w:r>
      <w:r w:rsidRPr="53A54C7D" w:rsidR="00393EC1">
        <w:rPr>
          <w:rFonts w:eastAsia="Times New Roman" w:cs="Segoe UI"/>
        </w:rPr>
        <w:t xml:space="preserve">electrification projects in the Aliso Canyon Disaster Area, </w:t>
      </w:r>
      <w:r w:rsidRPr="53A54C7D" w:rsidR="00181B6A">
        <w:rPr>
          <w:rFonts w:eastAsia="Times New Roman" w:cs="Segoe UI"/>
        </w:rPr>
        <w:t xml:space="preserve">tracking at the percentage level </w:t>
      </w:r>
      <w:r w:rsidRPr="53A54C7D" w:rsidR="00CD550A">
        <w:rPr>
          <w:rFonts w:eastAsia="Times New Roman" w:cs="Segoe UI"/>
        </w:rPr>
        <w:t xml:space="preserve">would be </w:t>
      </w:r>
      <w:r w:rsidRPr="53A54C7D" w:rsidR="007C218A">
        <w:rPr>
          <w:rFonts w:eastAsia="Times New Roman" w:cs="Segoe UI"/>
        </w:rPr>
        <w:t>more accurate.</w:t>
      </w:r>
      <w:r w:rsidRPr="53A54C7D" w:rsidR="001F7416">
        <w:rPr>
          <w:rStyle w:val="FootnoteReference"/>
          <w:rFonts w:eastAsia="Times New Roman" w:cs="Segoe UI"/>
        </w:rPr>
        <w:footnoteReference w:id="221"/>
      </w:r>
      <w:r w:rsidRPr="53A54C7D" w:rsidR="001F7416">
        <w:rPr>
          <w:rFonts w:eastAsia="Times New Roman" w:cs="Segoe UI"/>
        </w:rPr>
        <w:t xml:space="preserve"> </w:t>
      </w:r>
      <w:r w:rsidRPr="53A54C7D" w:rsidR="006E3F08">
        <w:rPr>
          <w:rFonts w:eastAsia="Times New Roman" w:cs="Segoe UI"/>
        </w:rPr>
        <w:t xml:space="preserve">CAC disagrees with VEIC </w:t>
      </w:r>
      <w:r w:rsidRPr="53A54C7D" w:rsidR="001047A2">
        <w:rPr>
          <w:rFonts w:eastAsia="Times New Roman" w:cs="Segoe UI"/>
        </w:rPr>
        <w:t xml:space="preserve">that reporting on </w:t>
      </w:r>
      <w:r w:rsidRPr="53A54C7D" w:rsidR="00EB1FDB">
        <w:rPr>
          <w:rFonts w:eastAsia="Times New Roman" w:cs="Segoe UI"/>
        </w:rPr>
        <w:t>comprehensive building electrification is necessary</w:t>
      </w:r>
      <w:r w:rsidRPr="53A54C7D" w:rsidR="003A4691">
        <w:rPr>
          <w:rFonts w:eastAsia="Times New Roman" w:cs="Segoe UI"/>
        </w:rPr>
        <w:t xml:space="preserve"> and </w:t>
      </w:r>
      <w:r w:rsidRPr="53A54C7D" w:rsidR="002C4D8A">
        <w:rPr>
          <w:rFonts w:eastAsia="Times New Roman" w:cs="Segoe UI"/>
        </w:rPr>
        <w:t>not</w:t>
      </w:r>
      <w:r w:rsidRPr="53A54C7D" w:rsidR="003A4691">
        <w:rPr>
          <w:rFonts w:eastAsia="Times New Roman" w:cs="Segoe UI"/>
        </w:rPr>
        <w:t>es</w:t>
      </w:r>
      <w:r w:rsidRPr="53A54C7D" w:rsidR="002C4D8A">
        <w:rPr>
          <w:rFonts w:eastAsia="Times New Roman" w:cs="Segoe UI"/>
        </w:rPr>
        <w:t xml:space="preserve"> the Commission should not spend funds on </w:t>
      </w:r>
      <w:r w:rsidRPr="53A54C7D" w:rsidR="009C63B6">
        <w:rPr>
          <w:rFonts w:eastAsia="Times New Roman" w:cs="Segoe UI"/>
        </w:rPr>
        <w:t>its implementation or evaluation until all water heating is electrified.</w:t>
      </w:r>
      <w:r w:rsidRPr="53A54C7D" w:rsidR="00952FC6">
        <w:rPr>
          <w:rStyle w:val="FootnoteReference"/>
          <w:rFonts w:eastAsia="Times New Roman" w:cs="Segoe UI"/>
        </w:rPr>
        <w:footnoteReference w:id="222"/>
      </w:r>
      <w:r w:rsidRPr="53A54C7D" w:rsidR="00686C0C">
        <w:rPr>
          <w:rFonts w:eastAsia="Times New Roman" w:cs="Segoe UI"/>
        </w:rPr>
        <w:t xml:space="preserve"> </w:t>
      </w:r>
      <w:r w:rsidRPr="53A54C7D" w:rsidR="00B0326E">
        <w:rPr>
          <w:rFonts w:eastAsia="Times New Roman" w:cs="Segoe UI"/>
        </w:rPr>
        <w:t>Consistent with</w:t>
      </w:r>
      <w:r w:rsidRPr="53A54C7D" w:rsidR="001B4288">
        <w:rPr>
          <w:rFonts w:eastAsia="Times New Roman" w:cs="Segoe UI"/>
        </w:rPr>
        <w:t xml:space="preserve"> </w:t>
      </w:r>
      <w:r w:rsidRPr="53A54C7D" w:rsidR="00CA0DB4">
        <w:rPr>
          <w:rFonts w:eastAsia="Times New Roman" w:cs="Segoe UI"/>
        </w:rPr>
        <w:t xml:space="preserve">CAC’s </w:t>
      </w:r>
      <w:r w:rsidRPr="53A54C7D" w:rsidR="008C47C3">
        <w:rPr>
          <w:rFonts w:eastAsia="Times New Roman" w:cs="Segoe UI"/>
        </w:rPr>
        <w:t xml:space="preserve">other related </w:t>
      </w:r>
      <w:r w:rsidRPr="53A54C7D" w:rsidR="001B4288">
        <w:rPr>
          <w:rFonts w:eastAsia="Times New Roman" w:cs="Segoe UI"/>
        </w:rPr>
        <w:t>recommendation</w:t>
      </w:r>
      <w:r w:rsidRPr="53A54C7D" w:rsidR="005A61FF">
        <w:rPr>
          <w:rFonts w:eastAsia="Times New Roman" w:cs="Segoe UI"/>
        </w:rPr>
        <w:t xml:space="preserve">, CAC </w:t>
      </w:r>
      <w:r w:rsidRPr="53A54C7D" w:rsidR="00B31CA8">
        <w:rPr>
          <w:rFonts w:eastAsia="Times New Roman" w:cs="Segoe UI"/>
        </w:rPr>
        <w:t>opposes</w:t>
      </w:r>
      <w:r w:rsidRPr="53A54C7D" w:rsidR="005A61FF">
        <w:rPr>
          <w:rFonts w:eastAsia="Times New Roman" w:cs="Segoe UI"/>
        </w:rPr>
        <w:t xml:space="preserve"> VEIC</w:t>
      </w:r>
      <w:r w:rsidRPr="53A54C7D" w:rsidR="00262492">
        <w:rPr>
          <w:rFonts w:eastAsia="Times New Roman" w:cs="Segoe UI"/>
        </w:rPr>
        <w:t xml:space="preserve">’s </w:t>
      </w:r>
      <w:r w:rsidRPr="53A54C7D" w:rsidR="00D64E37">
        <w:rPr>
          <w:rFonts w:eastAsia="Times New Roman" w:cs="Segoe UI"/>
        </w:rPr>
        <w:t xml:space="preserve">recommendation </w:t>
      </w:r>
      <w:r w:rsidRPr="53A54C7D" w:rsidR="00883298">
        <w:rPr>
          <w:rFonts w:eastAsia="Times New Roman" w:cs="Segoe UI"/>
        </w:rPr>
        <w:t>of reporting on the percentage estimated reduction in winter natural gas demand</w:t>
      </w:r>
      <w:r w:rsidRPr="53A54C7D" w:rsidR="00910F0F">
        <w:rPr>
          <w:rFonts w:eastAsia="Times New Roman" w:cs="Segoe UI"/>
        </w:rPr>
        <w:t>.</w:t>
      </w:r>
      <w:r w:rsidRPr="53A54C7D" w:rsidR="00CE2BB6">
        <w:rPr>
          <w:rStyle w:val="FootnoteReference"/>
          <w:rFonts w:eastAsia="Times New Roman" w:cs="Segoe UI"/>
        </w:rPr>
        <w:footnoteReference w:id="223"/>
      </w:r>
      <w:r w:rsidRPr="53A54C7D" w:rsidR="005A61FF">
        <w:rPr>
          <w:rFonts w:eastAsia="Times New Roman" w:cs="Segoe UI"/>
        </w:rPr>
        <w:t xml:space="preserve"> </w:t>
      </w:r>
    </w:p>
    <w:p w:rsidRPr="00DE0A44" w:rsidR="008C46CB" w:rsidP="009E515D" w:rsidRDefault="00316C84" w14:paraId="233F1DDA" w14:textId="12B852E9">
      <w:pPr>
        <w:pStyle w:val="Standard"/>
        <w:rPr>
          <w:rFonts w:eastAsia="Times New Roman" w:cs="Segoe UI"/>
          <w:szCs w:val="26"/>
        </w:rPr>
      </w:pPr>
      <w:r w:rsidRPr="53A54C7D">
        <w:rPr>
          <w:rFonts w:eastAsia="Times New Roman" w:cs="Segoe UI"/>
        </w:rPr>
        <w:t xml:space="preserve">CAC </w:t>
      </w:r>
      <w:r w:rsidRPr="53A54C7D" w:rsidR="00E01948">
        <w:rPr>
          <w:rFonts w:eastAsia="Times New Roman" w:cs="Segoe UI"/>
        </w:rPr>
        <w:t>recommends</w:t>
      </w:r>
      <w:r w:rsidRPr="53A54C7D">
        <w:rPr>
          <w:rFonts w:eastAsia="Times New Roman" w:cs="Segoe UI"/>
        </w:rPr>
        <w:t xml:space="preserve"> </w:t>
      </w:r>
      <w:r w:rsidRPr="53A54C7D" w:rsidR="0077530E">
        <w:rPr>
          <w:rFonts w:eastAsia="Times New Roman" w:cs="Segoe UI"/>
        </w:rPr>
        <w:t>the Commission define the geographic area</w:t>
      </w:r>
      <w:r w:rsidRPr="53A54C7D" w:rsidR="00B0326E">
        <w:rPr>
          <w:rFonts w:eastAsia="Times New Roman" w:cs="Segoe UI"/>
        </w:rPr>
        <w:t xml:space="preserve"> where funds are made available</w:t>
      </w:r>
      <w:r w:rsidRPr="53A54C7D" w:rsidR="00DE38B7">
        <w:rPr>
          <w:rFonts w:eastAsia="Times New Roman" w:cs="Segoe UI"/>
        </w:rPr>
        <w:t xml:space="preserve">. </w:t>
      </w:r>
      <w:r w:rsidR="00DF4AB1">
        <w:rPr>
          <w:rFonts w:eastAsia="Times New Roman" w:cs="Segoe UI"/>
        </w:rPr>
        <w:t>C</w:t>
      </w:r>
      <w:r w:rsidRPr="53A54C7D" w:rsidR="00BA4ED3">
        <w:rPr>
          <w:rFonts w:eastAsia="Times New Roman" w:cs="Segoe UI"/>
        </w:rPr>
        <w:t>ontend</w:t>
      </w:r>
      <w:r w:rsidR="00DF4AB1">
        <w:rPr>
          <w:rFonts w:eastAsia="Times New Roman" w:cs="Segoe UI"/>
        </w:rPr>
        <w:t>ing</w:t>
      </w:r>
      <w:r w:rsidRPr="53A54C7D" w:rsidR="00BA4ED3">
        <w:rPr>
          <w:rFonts w:eastAsia="Times New Roman" w:cs="Segoe UI"/>
        </w:rPr>
        <w:t xml:space="preserve"> </w:t>
      </w:r>
      <w:r w:rsidRPr="53A54C7D" w:rsidR="002A0210">
        <w:rPr>
          <w:rFonts w:eastAsia="Times New Roman" w:cs="Segoe UI"/>
        </w:rPr>
        <w:t xml:space="preserve">that reporting on the number of projects is </w:t>
      </w:r>
      <w:r w:rsidRPr="53A54C7D" w:rsidR="008436BD">
        <w:rPr>
          <w:rFonts w:eastAsia="Times New Roman" w:cs="Segoe UI"/>
        </w:rPr>
        <w:t>un</w:t>
      </w:r>
      <w:r w:rsidRPr="53A54C7D" w:rsidR="002A0210">
        <w:rPr>
          <w:rFonts w:eastAsia="Times New Roman" w:cs="Segoe UI"/>
        </w:rPr>
        <w:t>necessary</w:t>
      </w:r>
      <w:r w:rsidRPr="53A54C7D" w:rsidR="008971EC">
        <w:rPr>
          <w:rFonts w:eastAsia="Times New Roman" w:cs="Segoe UI"/>
        </w:rPr>
        <w:t>,</w:t>
      </w:r>
      <w:r w:rsidRPr="53A54C7D" w:rsidR="002A0210">
        <w:rPr>
          <w:rFonts w:eastAsia="Times New Roman" w:cs="Segoe UI"/>
        </w:rPr>
        <w:t xml:space="preserve"> </w:t>
      </w:r>
      <w:r w:rsidRPr="53A54C7D" w:rsidR="008971EC">
        <w:rPr>
          <w:rFonts w:eastAsia="Times New Roman" w:cs="Segoe UI"/>
        </w:rPr>
        <w:t xml:space="preserve">CAC </w:t>
      </w:r>
      <w:r w:rsidRPr="53A54C7D" w:rsidR="00856D19">
        <w:rPr>
          <w:rFonts w:eastAsia="Times New Roman" w:cs="Segoe UI"/>
        </w:rPr>
        <w:t>recommend</w:t>
      </w:r>
      <w:r w:rsidRPr="53A54C7D" w:rsidR="00BE2200">
        <w:rPr>
          <w:rFonts w:eastAsia="Times New Roman" w:cs="Segoe UI"/>
        </w:rPr>
        <w:t>s</w:t>
      </w:r>
      <w:r w:rsidRPr="53A54C7D" w:rsidR="002A0210">
        <w:rPr>
          <w:rFonts w:eastAsia="Times New Roman" w:cs="Segoe UI"/>
        </w:rPr>
        <w:t xml:space="preserve"> 100</w:t>
      </w:r>
      <w:r w:rsidR="000B72C9">
        <w:rPr>
          <w:rFonts w:eastAsia="Times New Roman" w:cs="Segoe UI"/>
        </w:rPr>
        <w:t> percent</w:t>
      </w:r>
      <w:r w:rsidRPr="53A54C7D" w:rsidR="002A0210">
        <w:rPr>
          <w:rFonts w:eastAsia="Times New Roman" w:cs="Segoe UI"/>
        </w:rPr>
        <w:t xml:space="preserve"> of funds to be spent reducing </w:t>
      </w:r>
      <w:r w:rsidRPr="53A54C7D" w:rsidR="00F62822">
        <w:rPr>
          <w:rFonts w:eastAsia="Times New Roman" w:cs="Segoe UI"/>
        </w:rPr>
        <w:t>gas demand served by the Aliso Canyon natural gas storage facility.</w:t>
      </w:r>
      <w:r w:rsidRPr="53A54C7D" w:rsidR="00EF3C24">
        <w:rPr>
          <w:rStyle w:val="FootnoteReference"/>
          <w:rFonts w:eastAsia="Times New Roman" w:cs="Segoe UI"/>
        </w:rPr>
        <w:footnoteReference w:id="224"/>
      </w:r>
      <w:r w:rsidRPr="53A54C7D" w:rsidR="00F62822">
        <w:rPr>
          <w:rFonts w:eastAsia="Times New Roman" w:cs="Segoe UI"/>
        </w:rPr>
        <w:t xml:space="preserve"> Lastly, CAC </w:t>
      </w:r>
      <w:r w:rsidRPr="53A54C7D" w:rsidR="00373702">
        <w:rPr>
          <w:rFonts w:eastAsia="Times New Roman" w:cs="Segoe UI"/>
        </w:rPr>
        <w:t xml:space="preserve">supports </w:t>
      </w:r>
      <w:r w:rsidRPr="53A54C7D" w:rsidR="005C0B43">
        <w:rPr>
          <w:rFonts w:eastAsia="Times New Roman" w:cs="Segoe UI"/>
        </w:rPr>
        <w:t xml:space="preserve">VEIC’s heat pump reporting </w:t>
      </w:r>
      <w:r w:rsidRPr="53A54C7D" w:rsidR="00A25AEC">
        <w:rPr>
          <w:rFonts w:eastAsia="Times New Roman" w:cs="Segoe UI"/>
        </w:rPr>
        <w:t>recommenda</w:t>
      </w:r>
      <w:r w:rsidRPr="53A54C7D" w:rsidR="005C0B43">
        <w:rPr>
          <w:rFonts w:eastAsia="Times New Roman" w:cs="Segoe UI"/>
        </w:rPr>
        <w:t xml:space="preserve">tions, </w:t>
      </w:r>
      <w:r w:rsidRPr="53A54C7D" w:rsidR="001E42FA">
        <w:rPr>
          <w:rFonts w:eastAsia="Times New Roman" w:cs="Segoe UI"/>
        </w:rPr>
        <w:t xml:space="preserve">and </w:t>
      </w:r>
      <w:r w:rsidRPr="53A54C7D" w:rsidR="00447206">
        <w:rPr>
          <w:rFonts w:eastAsia="Times New Roman" w:cs="Segoe UI"/>
        </w:rPr>
        <w:t>not</w:t>
      </w:r>
      <w:r w:rsidRPr="53A54C7D" w:rsidR="001E42FA">
        <w:rPr>
          <w:rFonts w:eastAsia="Times New Roman" w:cs="Segoe UI"/>
        </w:rPr>
        <w:t>es</w:t>
      </w:r>
      <w:r w:rsidRPr="53A54C7D" w:rsidR="00447206">
        <w:rPr>
          <w:rFonts w:eastAsia="Times New Roman" w:cs="Segoe UI"/>
        </w:rPr>
        <w:t xml:space="preserve"> instead that it should </w:t>
      </w:r>
      <w:r w:rsidRPr="53A54C7D" w:rsidR="00227B8F">
        <w:rPr>
          <w:rFonts w:eastAsia="Times New Roman" w:cs="Segoe UI"/>
        </w:rPr>
        <w:t>be separated out</w:t>
      </w:r>
      <w:r w:rsidRPr="53A54C7D" w:rsidR="00D21DA1">
        <w:rPr>
          <w:rFonts w:eastAsia="Times New Roman" w:cs="Segoe UI"/>
        </w:rPr>
        <w:t xml:space="preserve"> by heat pumps used for space and water heating</w:t>
      </w:r>
      <w:r w:rsidRPr="53A54C7D" w:rsidR="001E42FA">
        <w:rPr>
          <w:rFonts w:eastAsia="Times New Roman" w:cs="Segoe UI"/>
        </w:rPr>
        <w:t>,</w:t>
      </w:r>
      <w:r w:rsidRPr="53A54C7D" w:rsidR="00D21DA1">
        <w:rPr>
          <w:rFonts w:eastAsia="Times New Roman" w:cs="Segoe UI"/>
        </w:rPr>
        <w:t xml:space="preserve"> if the Commission does not require 100</w:t>
      </w:r>
      <w:r w:rsidR="000B72C9">
        <w:rPr>
          <w:rFonts w:eastAsia="Times New Roman" w:cs="Segoe UI"/>
        </w:rPr>
        <w:t> percent</w:t>
      </w:r>
      <w:r w:rsidRPr="53A54C7D" w:rsidR="00D21DA1">
        <w:rPr>
          <w:rFonts w:eastAsia="Times New Roman" w:cs="Segoe UI"/>
        </w:rPr>
        <w:t xml:space="preserve"> of funds to be used for HPWHs.</w:t>
      </w:r>
      <w:r w:rsidRPr="53A54C7D" w:rsidR="00D21DA1">
        <w:rPr>
          <w:rStyle w:val="FootnoteReference"/>
          <w:rFonts w:eastAsia="Times New Roman" w:cs="Segoe UI"/>
        </w:rPr>
        <w:footnoteReference w:id="225"/>
      </w:r>
    </w:p>
    <w:p w:rsidRPr="004166D8" w:rsidR="00D60FC7" w:rsidP="000E7D14" w:rsidRDefault="00D60FC7" w14:paraId="21A40086" w14:textId="77777777">
      <w:pPr>
        <w:pStyle w:val="Heading3"/>
      </w:pPr>
      <w:bookmarkStart w:name="_Toc185579412" w:id="869"/>
      <w:bookmarkStart w:name="_Toc192263738" w:id="870"/>
      <w:bookmarkStart w:name="_Toc200371009" w:id="871"/>
      <w:r w:rsidRPr="004166D8">
        <w:lastRenderedPageBreak/>
        <w:t>Discussion</w:t>
      </w:r>
      <w:bookmarkEnd w:id="869"/>
      <w:bookmarkEnd w:id="870"/>
      <w:bookmarkEnd w:id="871"/>
    </w:p>
    <w:p w:rsidR="00CA734F" w:rsidP="009E515D" w:rsidRDefault="009718C3" w14:paraId="6C7760E8" w14:textId="3FCA6232">
      <w:pPr>
        <w:pStyle w:val="Standard"/>
        <w:rPr>
          <w:rFonts w:eastAsia="Times New Roman" w:cs="Segoe UI"/>
        </w:rPr>
      </w:pPr>
      <w:r>
        <w:rPr>
          <w:rFonts w:eastAsia="Times New Roman" w:cs="Segoe UI"/>
        </w:rPr>
        <w:t>The Commission</w:t>
      </w:r>
      <w:r w:rsidRPr="6C71EB82" w:rsidR="00A13D4F">
        <w:rPr>
          <w:rFonts w:eastAsia="Times New Roman" w:cs="Segoe UI"/>
        </w:rPr>
        <w:t xml:space="preserve"> direct</w:t>
      </w:r>
      <w:r>
        <w:rPr>
          <w:rFonts w:eastAsia="Times New Roman" w:cs="Segoe UI"/>
        </w:rPr>
        <w:t>s</w:t>
      </w:r>
      <w:r w:rsidRPr="6C71EB82" w:rsidR="00A13D4F">
        <w:rPr>
          <w:rFonts w:eastAsia="Times New Roman" w:cs="Segoe UI"/>
        </w:rPr>
        <w:t xml:space="preserve"> </w:t>
      </w:r>
      <w:r w:rsidRPr="6C71EB82" w:rsidR="004B084B">
        <w:rPr>
          <w:rFonts w:eastAsia="Times New Roman" w:cs="Segoe UI"/>
        </w:rPr>
        <w:t>the TECH Initiative implementer</w:t>
      </w:r>
      <w:r w:rsidR="00C01CDF">
        <w:rPr>
          <w:rFonts w:eastAsia="Times New Roman" w:cs="Segoe UI"/>
        </w:rPr>
        <w:t xml:space="preserve"> and evaluator</w:t>
      </w:r>
      <w:r w:rsidRPr="6C71EB82" w:rsidR="00A13D4F">
        <w:rPr>
          <w:rFonts w:eastAsia="Times New Roman" w:cs="Segoe UI"/>
        </w:rPr>
        <w:t xml:space="preserve"> to</w:t>
      </w:r>
      <w:r w:rsidRPr="6C71EB82" w:rsidR="004B084B">
        <w:rPr>
          <w:rFonts w:eastAsia="Times New Roman" w:cs="Segoe UI"/>
        </w:rPr>
        <w:t xml:space="preserve"> report on the number of heat pump and non-heat pump installations</w:t>
      </w:r>
      <w:r w:rsidR="002B4068">
        <w:rPr>
          <w:rFonts w:eastAsia="Times New Roman" w:cs="Segoe UI"/>
        </w:rPr>
        <w:t>,</w:t>
      </w:r>
      <w:r w:rsidRPr="6C71EB82" w:rsidR="004B084B">
        <w:rPr>
          <w:rFonts w:eastAsia="Times New Roman" w:cs="Segoe UI"/>
        </w:rPr>
        <w:t xml:space="preserve"> and </w:t>
      </w:r>
      <w:r w:rsidRPr="6C71EB82" w:rsidR="007238D6">
        <w:rPr>
          <w:rFonts w:eastAsia="Times New Roman" w:cs="Segoe UI"/>
        </w:rPr>
        <w:t>the</w:t>
      </w:r>
      <w:r w:rsidRPr="6C71EB82" w:rsidR="004B084B">
        <w:rPr>
          <w:rFonts w:eastAsia="Times New Roman" w:cs="Segoe UI"/>
        </w:rPr>
        <w:t xml:space="preserve"> number of incentives provided to both single- and multi-family building residents. </w:t>
      </w:r>
      <w:r w:rsidRPr="10F122FB" w:rsidR="762B7264">
        <w:rPr>
          <w:rFonts w:eastAsia="Times New Roman" w:cs="Segoe UI"/>
        </w:rPr>
        <w:t xml:space="preserve">While providing equitable benefits to multi-family </w:t>
      </w:r>
      <w:r w:rsidRPr="33D6B213" w:rsidR="762B7264">
        <w:rPr>
          <w:rFonts w:eastAsia="Times New Roman" w:cs="Segoe UI"/>
        </w:rPr>
        <w:t xml:space="preserve">building residents is a requirement </w:t>
      </w:r>
      <w:r w:rsidRPr="3D046FEF" w:rsidR="762B7264">
        <w:rPr>
          <w:rFonts w:eastAsia="Times New Roman" w:cs="Segoe UI"/>
        </w:rPr>
        <w:t xml:space="preserve">of </w:t>
      </w:r>
      <w:r w:rsidR="00240655">
        <w:rPr>
          <w:rFonts w:eastAsia="Times New Roman" w:cs="Segoe UI"/>
        </w:rPr>
        <w:t>AB </w:t>
      </w:r>
      <w:r w:rsidRPr="52F24351" w:rsidR="4CE6100E">
        <w:rPr>
          <w:rFonts w:eastAsia="Times New Roman" w:cs="Segoe UI"/>
        </w:rPr>
        <w:t>157,</w:t>
      </w:r>
      <w:r w:rsidRPr="6C71EB82" w:rsidR="004B084B">
        <w:rPr>
          <w:rFonts w:eastAsia="Times New Roman" w:cs="Segoe UI"/>
        </w:rPr>
        <w:t xml:space="preserve"> </w:t>
      </w:r>
      <w:r w:rsidRPr="486CB5D8" w:rsidR="4CE6100E">
        <w:rPr>
          <w:rFonts w:eastAsia="Times New Roman" w:cs="Segoe UI"/>
        </w:rPr>
        <w:t xml:space="preserve">no party provided specific recommendations </w:t>
      </w:r>
      <w:r w:rsidRPr="3080A617" w:rsidR="4CE6100E">
        <w:rPr>
          <w:rFonts w:eastAsia="Times New Roman" w:cs="Segoe UI"/>
        </w:rPr>
        <w:t>in this regard</w:t>
      </w:r>
      <w:r w:rsidRPr="014BDFE0" w:rsidR="4CE6100E">
        <w:rPr>
          <w:rFonts w:eastAsia="Times New Roman" w:cs="Segoe UI"/>
        </w:rPr>
        <w:t xml:space="preserve">. </w:t>
      </w:r>
      <w:r w:rsidRPr="74031FA7" w:rsidR="278F113B">
        <w:rPr>
          <w:rFonts w:eastAsia="Times New Roman" w:cs="Segoe UI"/>
        </w:rPr>
        <w:t>As such, we believe reporting on the number of</w:t>
      </w:r>
      <w:r w:rsidRPr="2C6CCD3F" w:rsidR="278F113B">
        <w:rPr>
          <w:rFonts w:eastAsia="Times New Roman" w:cs="Segoe UI"/>
        </w:rPr>
        <w:t xml:space="preserve"> </w:t>
      </w:r>
      <w:r w:rsidRPr="71A5050C" w:rsidR="278F113B">
        <w:rPr>
          <w:rFonts w:eastAsia="Times New Roman" w:cs="Segoe UI"/>
        </w:rPr>
        <w:t xml:space="preserve">installations and </w:t>
      </w:r>
      <w:r w:rsidRPr="2BB983D9" w:rsidR="278F113B">
        <w:rPr>
          <w:rFonts w:eastAsia="Times New Roman" w:cs="Segoe UI"/>
        </w:rPr>
        <w:t xml:space="preserve">incentives </w:t>
      </w:r>
      <w:r w:rsidRPr="5A7EA363" w:rsidR="278F113B">
        <w:rPr>
          <w:rFonts w:eastAsia="Times New Roman" w:cs="Segoe UI"/>
        </w:rPr>
        <w:t>going</w:t>
      </w:r>
      <w:r w:rsidRPr="2BB983D9" w:rsidR="278F113B">
        <w:rPr>
          <w:rFonts w:eastAsia="Times New Roman" w:cs="Segoe UI"/>
        </w:rPr>
        <w:t xml:space="preserve"> to both single- and multi-family </w:t>
      </w:r>
      <w:r w:rsidR="00656ED6">
        <w:rPr>
          <w:rFonts w:eastAsia="Times New Roman" w:cs="Segoe UI"/>
        </w:rPr>
        <w:t xml:space="preserve">building residents </w:t>
      </w:r>
      <w:r w:rsidRPr="2A394F85" w:rsidR="278F113B">
        <w:rPr>
          <w:rFonts w:eastAsia="Times New Roman" w:cs="Segoe UI"/>
        </w:rPr>
        <w:t xml:space="preserve">gives the Commission </w:t>
      </w:r>
      <w:r w:rsidRPr="600B2852" w:rsidR="278F113B">
        <w:rPr>
          <w:rFonts w:eastAsia="Times New Roman" w:cs="Segoe UI"/>
        </w:rPr>
        <w:t>better insight into how funds ar</w:t>
      </w:r>
      <w:r w:rsidRPr="600B2852" w:rsidR="08597F5D">
        <w:rPr>
          <w:rFonts w:eastAsia="Times New Roman" w:cs="Segoe UI"/>
        </w:rPr>
        <w:t>e being distributed</w:t>
      </w:r>
      <w:r w:rsidRPr="486CB5D8" w:rsidR="004B084B">
        <w:rPr>
          <w:rFonts w:eastAsia="Times New Roman" w:cs="Segoe UI"/>
        </w:rPr>
        <w:t xml:space="preserve"> </w:t>
      </w:r>
      <w:r w:rsidR="005339FC">
        <w:rPr>
          <w:rFonts w:eastAsia="Times New Roman" w:cs="Segoe UI"/>
        </w:rPr>
        <w:t xml:space="preserve">so that </w:t>
      </w:r>
      <w:r w:rsidRPr="7064713C" w:rsidR="3A220EAC">
        <w:rPr>
          <w:rFonts w:eastAsia="Times New Roman" w:cs="Segoe UI"/>
        </w:rPr>
        <w:t xml:space="preserve">programmatic </w:t>
      </w:r>
      <w:r w:rsidRPr="7064713C" w:rsidR="08597F5D">
        <w:rPr>
          <w:rFonts w:eastAsia="Times New Roman" w:cs="Segoe UI"/>
        </w:rPr>
        <w:t>adjustments</w:t>
      </w:r>
      <w:r w:rsidR="00EA1C45">
        <w:rPr>
          <w:rFonts w:eastAsia="Times New Roman" w:cs="Segoe UI"/>
        </w:rPr>
        <w:t xml:space="preserve"> may later be made</w:t>
      </w:r>
      <w:r w:rsidR="00066351">
        <w:rPr>
          <w:rFonts w:eastAsia="Times New Roman" w:cs="Segoe UI"/>
        </w:rPr>
        <w:t>,</w:t>
      </w:r>
      <w:r w:rsidRPr="7064713C" w:rsidR="08597F5D">
        <w:rPr>
          <w:rFonts w:eastAsia="Times New Roman" w:cs="Segoe UI"/>
        </w:rPr>
        <w:t xml:space="preserve"> </w:t>
      </w:r>
      <w:r w:rsidR="00066351">
        <w:rPr>
          <w:rFonts w:eastAsia="Times New Roman" w:cs="Segoe UI"/>
        </w:rPr>
        <w:t>as</w:t>
      </w:r>
      <w:r w:rsidRPr="7064713C" w:rsidR="4D82168E">
        <w:rPr>
          <w:rFonts w:eastAsia="Times New Roman" w:cs="Segoe UI"/>
        </w:rPr>
        <w:t xml:space="preserve"> necessary.</w:t>
      </w:r>
      <w:r w:rsidRPr="1B00D2B4" w:rsidR="004B084B">
        <w:rPr>
          <w:rFonts w:eastAsia="Times New Roman" w:cs="Segoe UI"/>
        </w:rPr>
        <w:t xml:space="preserve"> </w:t>
      </w:r>
    </w:p>
    <w:p w:rsidR="00CA183C" w:rsidP="009E515D" w:rsidRDefault="009519E6" w14:paraId="3D662AED" w14:textId="17309032">
      <w:pPr>
        <w:pStyle w:val="Standard"/>
        <w:rPr>
          <w:rFonts w:eastAsia="Times New Roman" w:cs="Segoe UI"/>
        </w:rPr>
      </w:pPr>
      <w:r>
        <w:rPr>
          <w:rFonts w:eastAsia="Times New Roman" w:cs="Segoe UI"/>
        </w:rPr>
        <w:t>W</w:t>
      </w:r>
      <w:r w:rsidRPr="6C71EB82" w:rsidR="0022093A">
        <w:rPr>
          <w:rFonts w:eastAsia="Times New Roman" w:cs="Segoe UI"/>
        </w:rPr>
        <w:t xml:space="preserve">e decline </w:t>
      </w:r>
      <w:r w:rsidR="00CA734F">
        <w:rPr>
          <w:rFonts w:eastAsia="Times New Roman" w:cs="Segoe UI"/>
        </w:rPr>
        <w:t xml:space="preserve">to adopt </w:t>
      </w:r>
      <w:r w:rsidRPr="6C71EB82" w:rsidR="00134E35">
        <w:rPr>
          <w:rFonts w:eastAsia="Times New Roman" w:cs="Segoe UI"/>
        </w:rPr>
        <w:t xml:space="preserve">CAC’s recommendation that reporting be </w:t>
      </w:r>
      <w:r w:rsidRPr="6C71EB82" w:rsidR="00DE63A3">
        <w:rPr>
          <w:rFonts w:eastAsia="Times New Roman" w:cs="Segoe UI"/>
        </w:rPr>
        <w:t>done in percentages</w:t>
      </w:r>
      <w:r w:rsidR="00A14142">
        <w:rPr>
          <w:rFonts w:eastAsia="Times New Roman" w:cs="Segoe UI"/>
        </w:rPr>
        <w:t xml:space="preserve">, </w:t>
      </w:r>
      <w:r w:rsidR="00225408">
        <w:rPr>
          <w:rFonts w:eastAsia="Times New Roman" w:cs="Segoe UI"/>
        </w:rPr>
        <w:t xml:space="preserve">because </w:t>
      </w:r>
      <w:r w:rsidRPr="6C71EB82" w:rsidR="00E054A6">
        <w:rPr>
          <w:rFonts w:eastAsia="Times New Roman" w:cs="Segoe UI"/>
        </w:rPr>
        <w:t xml:space="preserve">this </w:t>
      </w:r>
      <w:r w:rsidR="006A7CF5">
        <w:rPr>
          <w:rFonts w:eastAsia="Times New Roman" w:cs="Segoe UI"/>
        </w:rPr>
        <w:t>i</w:t>
      </w:r>
      <w:r w:rsidRPr="6C71EB82" w:rsidR="00E054A6">
        <w:rPr>
          <w:rFonts w:eastAsia="Times New Roman" w:cs="Segoe UI"/>
        </w:rPr>
        <w:t xml:space="preserve">s </w:t>
      </w:r>
      <w:r w:rsidR="00255CFB">
        <w:rPr>
          <w:rFonts w:eastAsia="Times New Roman" w:cs="Segoe UI"/>
        </w:rPr>
        <w:t xml:space="preserve">not a </w:t>
      </w:r>
      <w:r w:rsidR="00C111EB">
        <w:rPr>
          <w:rFonts w:eastAsia="Times New Roman" w:cs="Segoe UI"/>
        </w:rPr>
        <w:t xml:space="preserve">required </w:t>
      </w:r>
      <w:r w:rsidRPr="6C71EB82" w:rsidR="00E054A6">
        <w:rPr>
          <w:rFonts w:eastAsia="Times New Roman" w:cs="Segoe UI"/>
        </w:rPr>
        <w:t>component</w:t>
      </w:r>
      <w:r w:rsidRPr="6C71EB82" w:rsidR="00F70C3A">
        <w:rPr>
          <w:rFonts w:eastAsia="Times New Roman" w:cs="Segoe UI"/>
        </w:rPr>
        <w:t xml:space="preserve"> of </w:t>
      </w:r>
      <w:r w:rsidR="00240655">
        <w:rPr>
          <w:rFonts w:eastAsia="Times New Roman" w:cs="Segoe UI"/>
        </w:rPr>
        <w:t>AB </w:t>
      </w:r>
      <w:r w:rsidRPr="6C71EB82" w:rsidR="00F70C3A">
        <w:rPr>
          <w:rFonts w:eastAsia="Times New Roman" w:cs="Segoe UI"/>
        </w:rPr>
        <w:t>157</w:t>
      </w:r>
      <w:r w:rsidR="00855BA0">
        <w:rPr>
          <w:rFonts w:eastAsia="Times New Roman" w:cs="Segoe UI"/>
        </w:rPr>
        <w:t>,</w:t>
      </w:r>
      <w:r w:rsidRPr="6C71EB82" w:rsidR="00F70C3A">
        <w:rPr>
          <w:rFonts w:eastAsia="Times New Roman" w:cs="Segoe UI"/>
        </w:rPr>
        <w:t xml:space="preserve"> and reporting on the number of installations </w:t>
      </w:r>
      <w:r w:rsidRPr="6C71EB82" w:rsidR="00860476">
        <w:rPr>
          <w:rFonts w:eastAsia="Times New Roman" w:cs="Segoe UI"/>
        </w:rPr>
        <w:t>is a more straightforward statistic</w:t>
      </w:r>
      <w:r w:rsidRPr="6C71EB82" w:rsidR="00EE497E">
        <w:rPr>
          <w:rFonts w:eastAsia="Times New Roman" w:cs="Segoe UI"/>
        </w:rPr>
        <w:t xml:space="preserve"> that can always be converted to percentages.</w:t>
      </w:r>
    </w:p>
    <w:p w:rsidR="005852B9" w:rsidP="009E515D" w:rsidRDefault="005852B9" w14:paraId="56FC4CE9" w14:textId="0241BBC7">
      <w:pPr>
        <w:pStyle w:val="Standard"/>
        <w:rPr>
          <w:rFonts w:eastAsia="Times New Roman" w:cs="Segoe UI"/>
        </w:rPr>
      </w:pPr>
      <w:r>
        <w:rPr>
          <w:rFonts w:eastAsia="Times New Roman" w:cs="Segoe UI"/>
        </w:rPr>
        <w:t xml:space="preserve">We direct the TECH Initiative implementer and evaluator to work with Energy Division </w:t>
      </w:r>
      <w:r w:rsidR="0070554E">
        <w:rPr>
          <w:rFonts w:eastAsia="Times New Roman" w:cs="Segoe UI"/>
        </w:rPr>
        <w:t>S</w:t>
      </w:r>
      <w:r>
        <w:rPr>
          <w:rFonts w:eastAsia="Times New Roman" w:cs="Segoe UI"/>
        </w:rPr>
        <w:t xml:space="preserve">taff to develop </w:t>
      </w:r>
      <w:r w:rsidR="009718C3">
        <w:rPr>
          <w:rFonts w:eastAsia="Times New Roman" w:cs="Segoe UI"/>
        </w:rPr>
        <w:t>a suitable</w:t>
      </w:r>
      <w:r>
        <w:rPr>
          <w:rFonts w:eastAsia="Times New Roman" w:cs="Segoe UI"/>
        </w:rPr>
        <w:t xml:space="preserve"> and robust methodology </w:t>
      </w:r>
      <w:r w:rsidR="009718C3">
        <w:rPr>
          <w:rFonts w:eastAsia="Times New Roman" w:cs="Segoe UI"/>
        </w:rPr>
        <w:t>for</w:t>
      </w:r>
      <w:r>
        <w:rPr>
          <w:rFonts w:eastAsia="Times New Roman" w:cs="Segoe UI"/>
        </w:rPr>
        <w:t xml:space="preserve"> report</w:t>
      </w:r>
      <w:r w:rsidR="009718C3">
        <w:rPr>
          <w:rFonts w:eastAsia="Times New Roman" w:cs="Segoe UI"/>
        </w:rPr>
        <w:t>ing</w:t>
      </w:r>
      <w:r>
        <w:rPr>
          <w:rFonts w:eastAsia="Times New Roman" w:cs="Segoe UI"/>
        </w:rPr>
        <w:t xml:space="preserve"> natural gas demand reduction from the Aliso Canyon natural gas storage facility. </w:t>
      </w:r>
      <w:r w:rsidR="009718C3">
        <w:rPr>
          <w:rFonts w:eastAsia="Times New Roman" w:cs="Segoe UI"/>
        </w:rPr>
        <w:t>Following development of such</w:t>
      </w:r>
      <w:r>
        <w:rPr>
          <w:rFonts w:eastAsia="Times New Roman" w:cs="Segoe UI"/>
        </w:rPr>
        <w:t xml:space="preserve"> methodology, it shall be made public</w:t>
      </w:r>
      <w:r w:rsidRPr="62A46209" w:rsidR="0D723A03">
        <w:rPr>
          <w:rFonts w:eastAsia="Times New Roman" w:cs="Segoe UI"/>
        </w:rPr>
        <w:t xml:space="preserve"> on the TECH Initiative</w:t>
      </w:r>
      <w:r w:rsidR="001C2064">
        <w:rPr>
          <w:rFonts w:eastAsia="Times New Roman" w:cs="Segoe UI"/>
        </w:rPr>
        <w:t>’s</w:t>
      </w:r>
      <w:r w:rsidRPr="62A46209" w:rsidR="0D723A03">
        <w:rPr>
          <w:rFonts w:eastAsia="Times New Roman" w:cs="Segoe UI"/>
        </w:rPr>
        <w:t xml:space="preserve"> </w:t>
      </w:r>
      <w:r w:rsidRPr="62A46209" w:rsidR="04B2F5E6">
        <w:rPr>
          <w:rFonts w:eastAsia="Times New Roman" w:cs="Segoe UI"/>
        </w:rPr>
        <w:t>data reporting website</w:t>
      </w:r>
      <w:r>
        <w:rPr>
          <w:rFonts w:eastAsia="Times New Roman" w:cs="Segoe UI"/>
        </w:rPr>
        <w:t>.</w:t>
      </w:r>
    </w:p>
    <w:p w:rsidR="004B084B" w:rsidP="009E515D" w:rsidRDefault="004B084B" w14:paraId="244986D8" w14:textId="71818158">
      <w:pPr>
        <w:pStyle w:val="Standard"/>
        <w:rPr>
          <w:rFonts w:eastAsia="Times New Roman" w:cs="Segoe UI"/>
        </w:rPr>
      </w:pPr>
      <w:r w:rsidRPr="6C71EB82">
        <w:rPr>
          <w:rFonts w:eastAsia="Times New Roman" w:cs="Segoe UI"/>
        </w:rPr>
        <w:t xml:space="preserve">Additionally, </w:t>
      </w:r>
      <w:r w:rsidRPr="6C71EB82" w:rsidR="00FD4A8F">
        <w:rPr>
          <w:rFonts w:eastAsia="Times New Roman" w:cs="Segoe UI"/>
        </w:rPr>
        <w:t xml:space="preserve">we direct </w:t>
      </w:r>
      <w:r w:rsidRPr="6C71EB82">
        <w:rPr>
          <w:rFonts w:eastAsia="Times New Roman" w:cs="Segoe UI"/>
        </w:rPr>
        <w:t xml:space="preserve">the TECH Initiative implementer </w:t>
      </w:r>
      <w:r w:rsidRPr="6C71EB82" w:rsidR="00FD4A8F">
        <w:rPr>
          <w:rFonts w:eastAsia="Times New Roman" w:cs="Segoe UI"/>
        </w:rPr>
        <w:t xml:space="preserve">to </w:t>
      </w:r>
      <w:r w:rsidRPr="6C71EB82">
        <w:rPr>
          <w:rFonts w:eastAsia="Times New Roman" w:cs="Segoe UI"/>
        </w:rPr>
        <w:t>report on the strategies undertaken to</w:t>
      </w:r>
      <w:r w:rsidR="00CA1596">
        <w:rPr>
          <w:rFonts w:eastAsia="Times New Roman" w:cs="Segoe UI"/>
        </w:rPr>
        <w:t xml:space="preserve"> both</w:t>
      </w:r>
      <w:r w:rsidRPr="6C71EB82">
        <w:rPr>
          <w:rFonts w:eastAsia="Times New Roman" w:cs="Segoe UI"/>
        </w:rPr>
        <w:t xml:space="preserve"> </w:t>
      </w:r>
      <w:r w:rsidR="00EF1B58">
        <w:rPr>
          <w:rFonts w:eastAsia="Times New Roman" w:cs="Segoe UI"/>
        </w:rPr>
        <w:t>prevent</w:t>
      </w:r>
      <w:r w:rsidRPr="6C71EB82">
        <w:rPr>
          <w:rFonts w:eastAsia="Times New Roman" w:cs="Segoe UI"/>
        </w:rPr>
        <w:t xml:space="preserve"> displac</w:t>
      </w:r>
      <w:r w:rsidR="00CA1596">
        <w:rPr>
          <w:rFonts w:eastAsia="Times New Roman" w:cs="Segoe UI"/>
        </w:rPr>
        <w:t>ing</w:t>
      </w:r>
      <w:r w:rsidRPr="6C71EB82">
        <w:rPr>
          <w:rFonts w:eastAsia="Times New Roman" w:cs="Segoe UI"/>
        </w:rPr>
        <w:t xml:space="preserve"> tenants in upgraded rental housing units </w:t>
      </w:r>
      <w:r w:rsidR="00CA1596">
        <w:rPr>
          <w:rFonts w:eastAsia="Times New Roman" w:cs="Segoe UI"/>
        </w:rPr>
        <w:t>and</w:t>
      </w:r>
      <w:r w:rsidRPr="6C71EB82">
        <w:rPr>
          <w:rFonts w:eastAsia="Times New Roman" w:cs="Segoe UI"/>
        </w:rPr>
        <w:t xml:space="preserve"> limit the cost impact on tenants. As for additional reporting metrics, the TECH Initiative implementer</w:t>
      </w:r>
      <w:r w:rsidR="00104891">
        <w:rPr>
          <w:rFonts w:eastAsia="Times New Roman" w:cs="Segoe UI"/>
        </w:rPr>
        <w:t xml:space="preserve"> and evaluator</w:t>
      </w:r>
      <w:r w:rsidRPr="6C71EB82">
        <w:rPr>
          <w:rFonts w:eastAsia="Times New Roman" w:cs="Segoe UI"/>
        </w:rPr>
        <w:t xml:space="preserve"> shall report, beginning </w:t>
      </w:r>
      <w:r w:rsidRPr="4A450147" w:rsidR="37D7CB7D">
        <w:rPr>
          <w:rFonts w:eastAsia="Times New Roman" w:cs="Segoe UI"/>
        </w:rPr>
        <w:t>six months</w:t>
      </w:r>
      <w:r w:rsidRPr="6C71EB82">
        <w:rPr>
          <w:rFonts w:eastAsia="Times New Roman" w:cs="Segoe UI"/>
        </w:rPr>
        <w:t xml:space="preserve"> </w:t>
      </w:r>
      <w:r w:rsidRPr="731FED01" w:rsidR="50BAA810">
        <w:rPr>
          <w:rFonts w:eastAsia="Times New Roman" w:cs="Segoe UI"/>
        </w:rPr>
        <w:t>following the launch of incentives</w:t>
      </w:r>
      <w:r w:rsidRPr="6C71EB82">
        <w:rPr>
          <w:rFonts w:eastAsia="Times New Roman" w:cs="Segoe UI"/>
        </w:rPr>
        <w:t xml:space="preserve">, </w:t>
      </w:r>
      <w:r w:rsidRPr="6C71EB82" w:rsidR="001A264A">
        <w:rPr>
          <w:rFonts w:eastAsia="Times New Roman" w:cs="Segoe UI"/>
        </w:rPr>
        <w:t>as available</w:t>
      </w:r>
      <w:r w:rsidRPr="6C71EB82">
        <w:rPr>
          <w:rFonts w:eastAsia="Times New Roman" w:cs="Segoe UI"/>
        </w:rPr>
        <w:t xml:space="preserve">, the following information: </w:t>
      </w:r>
    </w:p>
    <w:p w:rsidR="00DF18A8" w:rsidP="00991BC2" w:rsidRDefault="26A89EB6" w14:paraId="38E7366C" w14:textId="6A6D3B01">
      <w:pPr>
        <w:pStyle w:val="ListBullet"/>
      </w:pPr>
      <w:r>
        <w:lastRenderedPageBreak/>
        <w:t>Natural gas demand reduction from the Aliso Canyon natural gas storage facility;</w:t>
      </w:r>
    </w:p>
    <w:p w:rsidR="00DF18A8" w:rsidP="00991BC2" w:rsidRDefault="00DF18A8" w14:paraId="191F94CB" w14:textId="26CDAFA8">
      <w:pPr>
        <w:pStyle w:val="ListBullet"/>
      </w:pPr>
      <w:r>
        <w:t>The number of heat pump installations, installations of individual eligible measures adopted by this decision, and number of incentives provided to both single- and multi-family building residents</w:t>
      </w:r>
      <w:r w:rsidR="00780E5B">
        <w:t>;</w:t>
      </w:r>
    </w:p>
    <w:p w:rsidR="00DF18A8" w:rsidP="00991BC2" w:rsidRDefault="00DF18A8" w14:paraId="6B9BF521" w14:textId="028E65E6">
      <w:pPr>
        <w:pStyle w:val="ListBullet"/>
      </w:pPr>
      <w:r>
        <w:t>Strategies employed to prevent expenditure of funds from causing the displacement of tenants in upgraded rental housing units and limit cost impacts to tenants</w:t>
      </w:r>
      <w:r w:rsidR="00780E5B">
        <w:t>;</w:t>
      </w:r>
    </w:p>
    <w:p w:rsidR="00DF18A8" w:rsidP="00991BC2" w:rsidRDefault="00DF18A8" w14:paraId="5917D478" w14:textId="2796CF56">
      <w:pPr>
        <w:pStyle w:val="ListBullet"/>
      </w:pPr>
      <w:r w:rsidRPr="0052072B">
        <w:t>Strategies employed to target communities in the</w:t>
      </w:r>
      <w:r w:rsidR="00C673E4">
        <w:t xml:space="preserve"> San Fernando Valley area, inclusive of the</w:t>
      </w:r>
      <w:r w:rsidRPr="0052072B">
        <w:t xml:space="preserve"> Aliso Canyon Disaster Area, and if applicable after 2027, to SoCalGas customers outside of the </w:t>
      </w:r>
      <w:r w:rsidR="00C673E4">
        <w:t>San Fernando Valley area</w:t>
      </w:r>
      <w:r w:rsidRPr="0052072B">
        <w:t xml:space="preserve">. Reporting should demonstrate how these strategies support long-term market development for </w:t>
      </w:r>
      <w:r w:rsidR="00134B84">
        <w:t xml:space="preserve">both </w:t>
      </w:r>
      <w:r w:rsidRPr="0052072B">
        <w:t xml:space="preserve">market-rate </w:t>
      </w:r>
      <w:r w:rsidR="00134B84">
        <w:t>customers and</w:t>
      </w:r>
      <w:r w:rsidRPr="0052072B">
        <w:t xml:space="preserve"> </w:t>
      </w:r>
      <w:r w:rsidR="777AD83C">
        <w:t>low-income</w:t>
      </w:r>
      <w:r w:rsidRPr="4610B277">
        <w:t xml:space="preserve"> </w:t>
      </w:r>
      <w:r w:rsidRPr="0052072B">
        <w:t>customers</w:t>
      </w:r>
      <w:r w:rsidRPr="0052072B" w:rsidR="00397C2D">
        <w:t>;</w:t>
      </w:r>
      <w:r w:rsidRPr="0052072B">
        <w:t xml:space="preserve"> </w:t>
      </w:r>
    </w:p>
    <w:p w:rsidR="00DF18A8" w:rsidP="00991BC2" w:rsidRDefault="00240655" w14:paraId="023EE593" w14:textId="7ECA84CA">
      <w:pPr>
        <w:pStyle w:val="ListBullet"/>
      </w:pPr>
      <w:r>
        <w:t>AB </w:t>
      </w:r>
      <w:r w:rsidRPr="090FA0D8" w:rsidR="00DF18A8">
        <w:t xml:space="preserve">157-funded TECH Initiative incentives given to </w:t>
      </w:r>
      <w:r w:rsidR="00466A4E">
        <w:t>low-income</w:t>
      </w:r>
      <w:r w:rsidRPr="090FA0D8" w:rsidR="00DF18A8">
        <w:t xml:space="preserve"> customers as a percentage of the total program funds</w:t>
      </w:r>
      <w:r w:rsidRPr="090FA0D8" w:rsidR="00397C2D">
        <w:t>;</w:t>
      </w:r>
      <w:r w:rsidRPr="090FA0D8" w:rsidR="00DF18A8">
        <w:t xml:space="preserve"> </w:t>
      </w:r>
    </w:p>
    <w:p w:rsidR="00DC36BE" w:rsidP="00991BC2" w:rsidRDefault="00DC36BE" w14:paraId="3AE89A17" w14:textId="4178C3E7">
      <w:pPr>
        <w:pStyle w:val="ListBullet"/>
      </w:pPr>
      <w:bookmarkStart w:name="_Toc184241687" w:id="872"/>
      <w:bookmarkStart w:name="_Toc184242525" w:id="873"/>
      <w:bookmarkStart w:name="_Toc184242607" w:id="874"/>
      <w:bookmarkStart w:name="_Toc184242687" w:id="875"/>
      <w:bookmarkStart w:name="_Toc184242767" w:id="876"/>
      <w:bookmarkStart w:name="_Toc184242846" w:id="877"/>
      <w:bookmarkStart w:name="_Toc184242927" w:id="878"/>
      <w:bookmarkStart w:name="_Toc184243006" w:id="879"/>
      <w:bookmarkStart w:name="_Toc184243088" w:id="880"/>
      <w:bookmarkStart w:name="_Toc184243374" w:id="881"/>
      <w:bookmarkEnd w:id="872"/>
      <w:bookmarkEnd w:id="873"/>
      <w:bookmarkEnd w:id="874"/>
      <w:bookmarkEnd w:id="875"/>
      <w:bookmarkEnd w:id="876"/>
      <w:bookmarkEnd w:id="877"/>
      <w:bookmarkEnd w:id="878"/>
      <w:bookmarkEnd w:id="879"/>
      <w:bookmarkEnd w:id="880"/>
      <w:bookmarkEnd w:id="881"/>
      <w:r>
        <w:t>The geographic areas and project type (e.g.</w:t>
      </w:r>
      <w:r w:rsidR="008012C8">
        <w:t>,</w:t>
      </w:r>
      <w:r>
        <w:t xml:space="preserve"> comprehensive home electrification, or installing heat pumps at a multi-family housing complex), where TECH Initiative funding was targeted and why; and</w:t>
      </w:r>
    </w:p>
    <w:p w:rsidR="00DC36BE" w:rsidP="00991BC2" w:rsidRDefault="00DF18A8" w14:paraId="759E0537" w14:textId="066C511A">
      <w:pPr>
        <w:pStyle w:val="ListBullet"/>
      </w:pPr>
      <w:r w:rsidRPr="0052072B">
        <w:t xml:space="preserve">Strategies and funding for workforce training targeted toward serving </w:t>
      </w:r>
      <w:r w:rsidRPr="4610B277" w:rsidR="4BA5298A">
        <w:t xml:space="preserve">low-income </w:t>
      </w:r>
      <w:r w:rsidRPr="0052072B">
        <w:t xml:space="preserve">customers. </w:t>
      </w:r>
    </w:p>
    <w:p w:rsidR="00B50446" w:rsidP="00B50446" w:rsidRDefault="00B50446" w14:paraId="2789911B" w14:textId="517D3695">
      <w:pPr>
        <w:pStyle w:val="Heading1"/>
      </w:pPr>
      <w:bookmarkStart w:name="_Toc184241688" w:id="882"/>
      <w:bookmarkStart w:name="_Toc184242526" w:id="883"/>
      <w:bookmarkStart w:name="_Toc184242608" w:id="884"/>
      <w:bookmarkStart w:name="_Toc184242688" w:id="885"/>
      <w:bookmarkStart w:name="_Toc184242768" w:id="886"/>
      <w:bookmarkStart w:name="_Toc184242847" w:id="887"/>
      <w:bookmarkStart w:name="_Toc184242928" w:id="888"/>
      <w:bookmarkStart w:name="_Toc184243007" w:id="889"/>
      <w:bookmarkStart w:name="_Toc184243089" w:id="890"/>
      <w:bookmarkStart w:name="_Toc184243375" w:id="891"/>
      <w:bookmarkStart w:name="_Toc192263739" w:id="892"/>
      <w:bookmarkStart w:name="_Toc200371010" w:id="893"/>
      <w:bookmarkStart w:name="_Toc8123723" w:id="894"/>
      <w:bookmarkEnd w:id="368"/>
      <w:bookmarkEnd w:id="882"/>
      <w:bookmarkEnd w:id="883"/>
      <w:bookmarkEnd w:id="884"/>
      <w:bookmarkEnd w:id="885"/>
      <w:bookmarkEnd w:id="886"/>
      <w:bookmarkEnd w:id="887"/>
      <w:bookmarkEnd w:id="888"/>
      <w:bookmarkEnd w:id="889"/>
      <w:bookmarkEnd w:id="890"/>
      <w:bookmarkEnd w:id="891"/>
      <w:r>
        <w:t xml:space="preserve">ESJ </w:t>
      </w:r>
      <w:r w:rsidR="003133C6">
        <w:t xml:space="preserve">Action </w:t>
      </w:r>
      <w:r>
        <w:t>Plan Goals</w:t>
      </w:r>
      <w:bookmarkEnd w:id="892"/>
      <w:bookmarkEnd w:id="893"/>
    </w:p>
    <w:p w:rsidR="00FB2FEC" w:rsidP="009E515D" w:rsidRDefault="00FB2FEC" w14:paraId="562BC479" w14:textId="64CEE5DF">
      <w:pPr>
        <w:pStyle w:val="Standard"/>
        <w:rPr>
          <w:szCs w:val="26"/>
        </w:rPr>
      </w:pPr>
      <w:r>
        <w:rPr>
          <w:szCs w:val="26"/>
        </w:rPr>
        <w:t xml:space="preserve">The issue of whether </w:t>
      </w:r>
      <w:r w:rsidRPr="003133C6">
        <w:rPr>
          <w:szCs w:val="26"/>
        </w:rPr>
        <w:t xml:space="preserve">there </w:t>
      </w:r>
      <w:r>
        <w:rPr>
          <w:szCs w:val="26"/>
        </w:rPr>
        <w:t>are “</w:t>
      </w:r>
      <w:r w:rsidRPr="003133C6">
        <w:rPr>
          <w:szCs w:val="26"/>
        </w:rPr>
        <w:t>potential impacts to ESJ communities and if so how best to incorporate the goals of the ESJ Action Plan 2.0 in developing the building decarbonization action plan</w:t>
      </w:r>
      <w:r>
        <w:rPr>
          <w:szCs w:val="26"/>
        </w:rPr>
        <w:t>” was examined as it relates to our actions in this decision</w:t>
      </w:r>
      <w:r w:rsidRPr="00CC7D8E">
        <w:rPr>
          <w:szCs w:val="26"/>
        </w:rPr>
        <w:t xml:space="preserve">. </w:t>
      </w:r>
      <w:r>
        <w:rPr>
          <w:szCs w:val="26"/>
        </w:rPr>
        <w:t xml:space="preserve">Rather than restating the discussions for each section set forth </w:t>
      </w:r>
      <w:r w:rsidRPr="00CC7D8E">
        <w:rPr>
          <w:szCs w:val="26"/>
        </w:rPr>
        <w:t xml:space="preserve">above, we </w:t>
      </w:r>
      <w:r>
        <w:rPr>
          <w:szCs w:val="26"/>
        </w:rPr>
        <w:t xml:space="preserve">incorporate the above discussions by this reference and find </w:t>
      </w:r>
      <w:r w:rsidRPr="00CC7D8E">
        <w:rPr>
          <w:szCs w:val="26"/>
        </w:rPr>
        <w:t>this decision aligns with</w:t>
      </w:r>
      <w:r>
        <w:rPr>
          <w:szCs w:val="26"/>
        </w:rPr>
        <w:t xml:space="preserve">, furthers and promotes </w:t>
      </w:r>
      <w:r w:rsidRPr="00CC7D8E">
        <w:rPr>
          <w:szCs w:val="26"/>
        </w:rPr>
        <w:t xml:space="preserve">the Commission’s ESJ </w:t>
      </w:r>
      <w:r>
        <w:rPr>
          <w:szCs w:val="26"/>
        </w:rPr>
        <w:t xml:space="preserve">Action </w:t>
      </w:r>
      <w:r w:rsidRPr="00CC7D8E">
        <w:rPr>
          <w:szCs w:val="26"/>
        </w:rPr>
        <w:t>Plan (Version 2.0)</w:t>
      </w:r>
      <w:r>
        <w:rPr>
          <w:szCs w:val="26"/>
        </w:rPr>
        <w:t xml:space="preserve">, as </w:t>
      </w:r>
      <w:r w:rsidR="00D7638D">
        <w:rPr>
          <w:szCs w:val="26"/>
        </w:rPr>
        <w:t>discussed</w:t>
      </w:r>
      <w:r>
        <w:rPr>
          <w:szCs w:val="26"/>
        </w:rPr>
        <w:t xml:space="preserve"> below.</w:t>
      </w:r>
      <w:r w:rsidR="00EB53ED">
        <w:rPr>
          <w:szCs w:val="26"/>
        </w:rPr>
        <w:t xml:space="preserve"> </w:t>
      </w:r>
    </w:p>
    <w:p w:rsidR="00B50446" w:rsidP="003237E9" w:rsidRDefault="00B50446" w14:paraId="36A60DD5" w14:textId="7BE2FDDF">
      <w:pPr>
        <w:pStyle w:val="Standard"/>
      </w:pPr>
      <w:r w:rsidRPr="009E515D">
        <w:rPr>
          <w:rFonts w:eastAsia="Times New Roman" w:cs="Segoe UI"/>
        </w:rPr>
        <w:lastRenderedPageBreak/>
        <w:t>Th</w:t>
      </w:r>
      <w:r w:rsidRPr="009E515D" w:rsidR="00EB53ED">
        <w:rPr>
          <w:rFonts w:eastAsia="Times New Roman" w:cs="Segoe UI"/>
        </w:rPr>
        <w:t>is</w:t>
      </w:r>
      <w:r>
        <w:t xml:space="preserve"> decision </w:t>
      </w:r>
      <w:r w:rsidRPr="003237E9">
        <w:t>integrates</w:t>
      </w:r>
      <w:r>
        <w:t xml:space="preserve"> equity and access considerations (Goal #1). It prioritizes </w:t>
      </w:r>
      <w:r w:rsidDel="000B59AC">
        <w:t>under-resourced</w:t>
      </w:r>
      <w:r>
        <w:t xml:space="preserve"> customers by authorizing $</w:t>
      </w:r>
      <w:r w:rsidR="00FB2FEC">
        <w:t>5</w:t>
      </w:r>
      <w:r w:rsidR="002E58D8">
        <w:t> million</w:t>
      </w:r>
      <w:r>
        <w:t xml:space="preserve"> annually </w:t>
      </w:r>
      <w:r w:rsidR="00FB2FEC">
        <w:t xml:space="preserve">for four years </w:t>
      </w:r>
      <w:r>
        <w:t xml:space="preserve">to provide electric service line upgrades to qualifying customers </w:t>
      </w:r>
      <w:r w:rsidR="000A51D0">
        <w:t>pursuing electrification of their home or business</w:t>
      </w:r>
      <w:r>
        <w:t>. The equity allocation for the TECH Initiative</w:t>
      </w:r>
      <w:r w:rsidR="00BB2CAE">
        <w:t xml:space="preserve"> via </w:t>
      </w:r>
      <w:r w:rsidR="00240655">
        <w:t>AB </w:t>
      </w:r>
      <w:r w:rsidR="00BB2CAE">
        <w:t>157</w:t>
      </w:r>
      <w:r>
        <w:t xml:space="preserve"> (</w:t>
      </w:r>
      <w:r w:rsidR="31320844">
        <w:t>5</w:t>
      </w:r>
      <w:r>
        <w:t>0</w:t>
      </w:r>
      <w:r w:rsidR="000B72C9">
        <w:t> percent</w:t>
      </w:r>
      <w:r>
        <w:t xml:space="preserve"> minimum) </w:t>
      </w:r>
      <w:r w:rsidR="00EB1B72">
        <w:t>provides for</w:t>
      </w:r>
      <w:r>
        <w:t xml:space="preserve"> </w:t>
      </w:r>
      <w:r w:rsidR="5003D837">
        <w:t>low-income</w:t>
      </w:r>
      <w:r>
        <w:t xml:space="preserve"> households (≤ 80</w:t>
      </w:r>
      <w:r w:rsidR="000B72C9">
        <w:t> percent</w:t>
      </w:r>
      <w:r>
        <w:t xml:space="preserve"> of </w:t>
      </w:r>
      <w:r w:rsidR="00BB2CAE">
        <w:t>area median income</w:t>
      </w:r>
      <w:r w:rsidR="5FAD6562">
        <w:t xml:space="preserve"> for single-family or for multi-family as at least 66 percent of occupied living units at or below 80 percent area median income</w:t>
      </w:r>
      <w:r>
        <w:t xml:space="preserve">) </w:t>
      </w:r>
      <w:r w:rsidR="00EB1B72">
        <w:t xml:space="preserve">to </w:t>
      </w:r>
      <w:r>
        <w:t xml:space="preserve">receive targeted electrification incentives. This </w:t>
      </w:r>
      <w:r w:rsidR="006D7A08">
        <w:t>will provided a higher proportion of funding for</w:t>
      </w:r>
      <w:r>
        <w:t xml:space="preserve"> </w:t>
      </w:r>
      <w:r w:rsidR="006D7A08">
        <w:t xml:space="preserve">to further </w:t>
      </w:r>
      <w:r w:rsidR="002B2EE9">
        <w:t xml:space="preserve">clean energy benefits for </w:t>
      </w:r>
      <w:r>
        <w:t>historically marginalized communities.</w:t>
      </w:r>
    </w:p>
    <w:p w:rsidR="00B50446" w:rsidP="009E515D" w:rsidRDefault="00B50446" w14:paraId="3CE7979C" w14:textId="77777777">
      <w:pPr>
        <w:pStyle w:val="Standard"/>
        <w:rPr>
          <w:szCs w:val="26"/>
        </w:rPr>
      </w:pPr>
      <w:r w:rsidRPr="00B50446">
        <w:rPr>
          <w:szCs w:val="26"/>
        </w:rPr>
        <w:t xml:space="preserve">The </w:t>
      </w:r>
      <w:r w:rsidRPr="009E515D">
        <w:rPr>
          <w:rFonts w:eastAsia="Times New Roman" w:cs="Segoe UI"/>
        </w:rPr>
        <w:t>decision</w:t>
      </w:r>
      <w:r w:rsidRPr="00B50446">
        <w:rPr>
          <w:szCs w:val="26"/>
        </w:rPr>
        <w:t xml:space="preserve"> invests in clean energy and climate resiliency (Goals #2 and #4). It promotes clean energy investments by, for example, supporting panel upgrades, electrical wiring repairs, and load management devices to facilitate electrification; and allowing MSAs and smart splitters as cost-effective alternatives to electric service line upsizing, reducing infrastructure costs while supporting grid stability.</w:t>
      </w:r>
    </w:p>
    <w:p w:rsidR="00B50446" w:rsidP="009E515D" w:rsidRDefault="00B50446" w14:paraId="2D5C3926" w14:textId="7E9BAAD8">
      <w:pPr>
        <w:pStyle w:val="Standard"/>
        <w:rPr>
          <w:szCs w:val="26"/>
        </w:rPr>
      </w:pPr>
      <w:r w:rsidRPr="00B50446">
        <w:rPr>
          <w:szCs w:val="26"/>
        </w:rPr>
        <w:t xml:space="preserve">The </w:t>
      </w:r>
      <w:r w:rsidRPr="009E515D">
        <w:rPr>
          <w:rFonts w:eastAsia="Times New Roman" w:cs="Segoe UI"/>
        </w:rPr>
        <w:t>decision</w:t>
      </w:r>
      <w:r w:rsidRPr="00B50446">
        <w:rPr>
          <w:szCs w:val="26"/>
        </w:rPr>
        <w:t xml:space="preserve"> enhances access to essential services (Goal #3). </w:t>
      </w:r>
      <w:r w:rsidR="00DF4AB1">
        <w:rPr>
          <w:szCs w:val="26"/>
        </w:rPr>
        <w:t>S</w:t>
      </w:r>
      <w:r w:rsidRPr="00B50446">
        <w:rPr>
          <w:szCs w:val="26"/>
        </w:rPr>
        <w:t xml:space="preserve">ubsidizing service line upgrades for </w:t>
      </w:r>
      <w:r w:rsidR="00683EFE">
        <w:rPr>
          <w:szCs w:val="26"/>
        </w:rPr>
        <w:t xml:space="preserve">under-resourced </w:t>
      </w:r>
      <w:r w:rsidRPr="00B50446">
        <w:rPr>
          <w:szCs w:val="26"/>
        </w:rPr>
        <w:t xml:space="preserve">residential and small business customers </w:t>
      </w:r>
      <w:r w:rsidR="002B2EE9">
        <w:rPr>
          <w:szCs w:val="26"/>
        </w:rPr>
        <w:t>allows for</w:t>
      </w:r>
      <w:r w:rsidRPr="00B50446">
        <w:rPr>
          <w:szCs w:val="26"/>
        </w:rPr>
        <w:t xml:space="preserve"> equitable access to safe, reliable electricity—especially critical for those in DACs. The decision </w:t>
      </w:r>
      <w:r w:rsidR="00DF4AB1">
        <w:rPr>
          <w:szCs w:val="26"/>
        </w:rPr>
        <w:t xml:space="preserve">also </w:t>
      </w:r>
      <w:r w:rsidRPr="00B50446">
        <w:rPr>
          <w:szCs w:val="26"/>
        </w:rPr>
        <w:t xml:space="preserve">aligns with </w:t>
      </w:r>
      <w:r w:rsidR="009A080F">
        <w:rPr>
          <w:szCs w:val="26"/>
        </w:rPr>
        <w:t>programs</w:t>
      </w:r>
      <w:r w:rsidRPr="00B50446">
        <w:rPr>
          <w:szCs w:val="26"/>
        </w:rPr>
        <w:t xml:space="preserve"> supporting community-based outreach on building decarbonization.</w:t>
      </w:r>
    </w:p>
    <w:p w:rsidR="00B50446" w:rsidP="009E515D" w:rsidRDefault="00B50446" w14:paraId="1605DA11" w14:textId="1DD5BE8D">
      <w:pPr>
        <w:pStyle w:val="Standard"/>
        <w:rPr>
          <w:szCs w:val="26"/>
        </w:rPr>
      </w:pPr>
      <w:r w:rsidRPr="00B50446">
        <w:rPr>
          <w:szCs w:val="26"/>
        </w:rPr>
        <w:t xml:space="preserve">The </w:t>
      </w:r>
      <w:r w:rsidRPr="009E515D">
        <w:rPr>
          <w:rFonts w:eastAsia="Times New Roman" w:cs="Segoe UI"/>
        </w:rPr>
        <w:t>decision</w:t>
      </w:r>
      <w:r w:rsidRPr="00B50446">
        <w:rPr>
          <w:szCs w:val="26"/>
        </w:rPr>
        <w:t xml:space="preserve"> promotes economic opportunities (Goal #7). It supports workforce development by ensuring electrification incentives align with job training and employment programs. The funding structure for TECH Initiative includes workforce training, ensuring economic benefits for ESJ communities.</w:t>
      </w:r>
    </w:p>
    <w:p w:rsidR="00B50446" w:rsidP="009E515D" w:rsidRDefault="00B50446" w14:paraId="337CEC5A" w14:textId="34F62F0F">
      <w:pPr>
        <w:pStyle w:val="Standard"/>
      </w:pPr>
      <w:r>
        <w:lastRenderedPageBreak/>
        <w:t xml:space="preserve">The </w:t>
      </w:r>
      <w:r w:rsidRPr="009E515D">
        <w:rPr>
          <w:rFonts w:eastAsia="Times New Roman" w:cs="Segoe UI"/>
        </w:rPr>
        <w:t>decision</w:t>
      </w:r>
      <w:r>
        <w:t xml:space="preserve"> </w:t>
      </w:r>
      <w:r w:rsidR="00EF77D3">
        <w:t>provides for</w:t>
      </w:r>
      <w:r>
        <w:t xml:space="preserve"> safety and consumer protection </w:t>
      </w:r>
      <w:r w:rsidR="72EF746B">
        <w:t xml:space="preserve">for all </w:t>
      </w:r>
      <w:r>
        <w:t xml:space="preserve">(Goal #6). The new service line upsizing rules prevent unnecessary costs to ratepayers </w:t>
      </w:r>
      <w:r w:rsidR="75F72EFE">
        <w:t>in pursuit of greater affordability</w:t>
      </w:r>
      <w:r>
        <w:t xml:space="preserve"> while ensuring customer protection.</w:t>
      </w:r>
    </w:p>
    <w:p w:rsidRPr="00CC7D8E" w:rsidR="00B50446" w:rsidP="009E515D" w:rsidRDefault="00B50446" w14:paraId="073B9189" w14:textId="12597ACD">
      <w:pPr>
        <w:pStyle w:val="Standard"/>
        <w:rPr>
          <w:szCs w:val="26"/>
        </w:rPr>
      </w:pPr>
      <w:r w:rsidRPr="00CC7D8E">
        <w:rPr>
          <w:szCs w:val="26"/>
        </w:rPr>
        <w:t xml:space="preserve">Overall, this decision </w:t>
      </w:r>
      <w:r w:rsidR="00577A41">
        <w:rPr>
          <w:szCs w:val="26"/>
        </w:rPr>
        <w:t xml:space="preserve">promotes the goals we adopted in </w:t>
      </w:r>
      <w:r w:rsidR="004615B0">
        <w:rPr>
          <w:szCs w:val="26"/>
        </w:rPr>
        <w:t xml:space="preserve">our </w:t>
      </w:r>
      <w:r w:rsidRPr="00CC7D8E">
        <w:rPr>
          <w:szCs w:val="26"/>
        </w:rPr>
        <w:t xml:space="preserve">ESJ </w:t>
      </w:r>
      <w:r w:rsidR="004615B0">
        <w:rPr>
          <w:szCs w:val="26"/>
        </w:rPr>
        <w:t xml:space="preserve">Action </w:t>
      </w:r>
      <w:r w:rsidRPr="00CC7D8E">
        <w:rPr>
          <w:szCs w:val="26"/>
        </w:rPr>
        <w:t xml:space="preserve">Plan by ensuring equity-centered building decarbonization, reducing financial and infrastructural barriers, and enhancing economic opportunities for </w:t>
      </w:r>
      <w:r w:rsidR="00EA2FB6">
        <w:rPr>
          <w:szCs w:val="26"/>
        </w:rPr>
        <w:t>DACs</w:t>
      </w:r>
      <w:r w:rsidRPr="00CC7D8E">
        <w:rPr>
          <w:szCs w:val="26"/>
        </w:rPr>
        <w:t xml:space="preserve">. </w:t>
      </w:r>
    </w:p>
    <w:p w:rsidRPr="004166D8" w:rsidR="005939A5" w:rsidP="0096672A" w:rsidRDefault="6A5C2B9D" w14:paraId="5E891FBD" w14:textId="01A33AF1">
      <w:pPr>
        <w:pStyle w:val="Heading1"/>
      </w:pPr>
      <w:bookmarkStart w:name="_Toc185579413" w:id="895"/>
      <w:bookmarkStart w:name="_Toc192263740" w:id="896"/>
      <w:bookmarkStart w:name="_Toc200371011" w:id="897"/>
      <w:r w:rsidRPr="004166D8">
        <w:t>Comments on Proposed Decision</w:t>
      </w:r>
      <w:bookmarkEnd w:id="894"/>
      <w:bookmarkEnd w:id="895"/>
      <w:bookmarkEnd w:id="896"/>
      <w:bookmarkEnd w:id="897"/>
    </w:p>
    <w:p w:rsidR="00985E91" w:rsidP="00B32717" w:rsidRDefault="005C58FA" w14:paraId="1AD56F91" w14:textId="77777777">
      <w:pPr>
        <w:pStyle w:val="Standard"/>
      </w:pPr>
      <w:r w:rsidRPr="009E515D">
        <w:rPr>
          <w:rFonts w:eastAsia="Times New Roman" w:cs="Segoe UI"/>
        </w:rPr>
        <w:t>The</w:t>
      </w:r>
      <w:r w:rsidRPr="009F3C51">
        <w:t xml:space="preserve"> proposed decision of Commissioner </w:t>
      </w:r>
      <w:r w:rsidR="009F3C51">
        <w:t>Darcie</w:t>
      </w:r>
      <w:r w:rsidR="006733A1">
        <w:t> </w:t>
      </w:r>
      <w:r w:rsidR="009F3C51">
        <w:t>L. Houck</w:t>
      </w:r>
      <w:r>
        <w:t xml:space="preserve"> in this matter was mailed to the parties in accordance with </w:t>
      </w:r>
      <w:r w:rsidR="00796E46">
        <w:t>Pub. Util. Code Section </w:t>
      </w:r>
      <w:r>
        <w:t xml:space="preserve">311 and comments were allowed under </w:t>
      </w:r>
      <w:r w:rsidR="001059FB">
        <w:t>Rule </w:t>
      </w:r>
      <w:r>
        <w:t>14.3 of the Commission</w:t>
      </w:r>
      <w:r w:rsidR="002B1766">
        <w:t>’</w:t>
      </w:r>
      <w:r>
        <w:t xml:space="preserve">s </w:t>
      </w:r>
      <w:r w:rsidRPr="00321CD1">
        <w:t>Rules of Practice and Procedure</w:t>
      </w:r>
      <w:r>
        <w:t>.</w:t>
      </w:r>
      <w:r w:rsidR="00725422">
        <w:t xml:space="preserve"> </w:t>
      </w:r>
    </w:p>
    <w:p w:rsidR="00985E91" w:rsidP="00B32717" w:rsidRDefault="00725422" w14:paraId="087388E5" w14:textId="77777777">
      <w:pPr>
        <w:pStyle w:val="Standard"/>
      </w:pPr>
      <w:r w:rsidRPr="00725422">
        <w:t xml:space="preserve">Comments were filed on </w:t>
      </w:r>
      <w:r w:rsidR="00A86071">
        <w:t>April 15, 2025</w:t>
      </w:r>
      <w:r w:rsidR="004C33BF">
        <w:t>,</w:t>
      </w:r>
      <w:r w:rsidR="005F0A88">
        <w:t xml:space="preserve"> by </w:t>
      </w:r>
      <w:r w:rsidR="00BD13BE">
        <w:t xml:space="preserve">A.O. Smith, </w:t>
      </w:r>
      <w:r w:rsidR="004C3AA7">
        <w:t xml:space="preserve">CAC, </w:t>
      </w:r>
      <w:r w:rsidR="00542C60">
        <w:t xml:space="preserve">Cal Advocates, </w:t>
      </w:r>
      <w:r w:rsidR="007D2BE7">
        <w:t>CALSSA</w:t>
      </w:r>
      <w:r w:rsidR="0001580D">
        <w:t>,</w:t>
      </w:r>
      <w:r w:rsidR="007D2BE7">
        <w:t xml:space="preserve"> </w:t>
      </w:r>
      <w:r w:rsidR="00C157C1">
        <w:t xml:space="preserve">CBIA, </w:t>
      </w:r>
      <w:r w:rsidR="007111ED">
        <w:t>Cohen Ventures Inc. (Energy Solutions),</w:t>
      </w:r>
      <w:r w:rsidR="00283BE0">
        <w:t xml:space="preserve"> the Joint Parties,</w:t>
      </w:r>
      <w:r w:rsidR="007111ED">
        <w:t xml:space="preserve"> </w:t>
      </w:r>
      <w:r w:rsidRPr="004C33BF" w:rsidR="0045400F">
        <w:t>Peninsula Clean Energy Authority</w:t>
      </w:r>
      <w:r w:rsidR="0045400F">
        <w:t xml:space="preserve">, </w:t>
      </w:r>
      <w:r w:rsidR="00F21F0A">
        <w:t xml:space="preserve">PG&amp;E, </w:t>
      </w:r>
      <w:r w:rsidR="00542C60">
        <w:t xml:space="preserve">SBUA, </w:t>
      </w:r>
      <w:r w:rsidR="000F5D74">
        <w:t xml:space="preserve">SCE, </w:t>
      </w:r>
      <w:r w:rsidR="00162E13">
        <w:t>SDG&amp;E</w:t>
      </w:r>
      <w:r w:rsidRPr="00725422" w:rsidR="00A86071">
        <w:t>,</w:t>
      </w:r>
      <w:r w:rsidR="005F0A88">
        <w:t xml:space="preserve"> </w:t>
      </w:r>
      <w:r w:rsidR="007D2BE7">
        <w:t xml:space="preserve">SoCalGas, </w:t>
      </w:r>
      <w:r w:rsidR="00C65D2A">
        <w:t xml:space="preserve">SPUR, </w:t>
      </w:r>
      <w:r w:rsidR="005F0A88">
        <w:t xml:space="preserve">and </w:t>
      </w:r>
      <w:r w:rsidR="007D2BE7">
        <w:t>TURN</w:t>
      </w:r>
      <w:r w:rsidR="005F0A88">
        <w:t>.</w:t>
      </w:r>
      <w:r w:rsidRPr="00725422" w:rsidR="00A86071">
        <w:t xml:space="preserve"> </w:t>
      </w:r>
    </w:p>
    <w:p w:rsidR="00B32717" w:rsidP="00B32717" w:rsidRDefault="005F0A88" w14:paraId="3E7FDFC5" w14:textId="2D1136E4">
      <w:pPr>
        <w:pStyle w:val="Standard"/>
      </w:pPr>
      <w:r>
        <w:t>R</w:t>
      </w:r>
      <w:r w:rsidRPr="00725422" w:rsidR="00725422">
        <w:t xml:space="preserve">eply comments were filed on </w:t>
      </w:r>
      <w:r w:rsidR="00C85DF2">
        <w:t>April 21, 2025</w:t>
      </w:r>
      <w:r w:rsidR="004C33BF">
        <w:t>,</w:t>
      </w:r>
      <w:r w:rsidRPr="00725422" w:rsidR="00C85DF2">
        <w:t xml:space="preserve"> </w:t>
      </w:r>
      <w:r w:rsidRPr="00725422" w:rsidR="00725422">
        <w:t xml:space="preserve">by </w:t>
      </w:r>
      <w:r w:rsidR="006B3FCF">
        <w:t xml:space="preserve">Cal Advocates, </w:t>
      </w:r>
      <w:r w:rsidR="00D64564">
        <w:t>CALSSA</w:t>
      </w:r>
      <w:r>
        <w:t xml:space="preserve">, </w:t>
      </w:r>
      <w:r w:rsidR="006B3FCF">
        <w:t>Energy Solutions, the Joint Parties</w:t>
      </w:r>
      <w:r>
        <w:t xml:space="preserve">, </w:t>
      </w:r>
      <w:r w:rsidRPr="00760A2E" w:rsidR="00141998">
        <w:t>Liberty Utilities</w:t>
      </w:r>
      <w:r w:rsidR="00141998">
        <w:t xml:space="preserve"> LLC</w:t>
      </w:r>
      <w:r w:rsidRPr="00760A2E" w:rsidR="00141998">
        <w:t xml:space="preserve">, PacifiCorp, and </w:t>
      </w:r>
      <w:r w:rsidRPr="004624DF" w:rsidR="00141998">
        <w:t>Bear Valley Electric Service</w:t>
      </w:r>
      <w:r w:rsidRPr="004624DF" w:rsidDel="00760A2E" w:rsidR="00141998">
        <w:t xml:space="preserve"> </w:t>
      </w:r>
      <w:r w:rsidRPr="004624DF" w:rsidR="00141998">
        <w:t xml:space="preserve">Inc., </w:t>
      </w:r>
      <w:r w:rsidRPr="004624DF" w:rsidR="00D64564">
        <w:t xml:space="preserve">PG&amp;E, </w:t>
      </w:r>
      <w:r w:rsidRPr="004624DF" w:rsidR="00440C3F">
        <w:t>Redwood Coast Energy Authority</w:t>
      </w:r>
      <w:r w:rsidRPr="008402EC" w:rsidR="004624DF">
        <w:rPr>
          <w:rStyle w:val="FootnoteReference"/>
        </w:rPr>
        <w:footnoteReference w:id="226"/>
      </w:r>
      <w:r w:rsidRPr="004624DF" w:rsidR="00E46666">
        <w:t xml:space="preserve"> and</w:t>
      </w:r>
      <w:r w:rsidR="00E46666">
        <w:t xml:space="preserve"> San Diego Community Power</w:t>
      </w:r>
      <w:r w:rsidR="00440C3F">
        <w:t xml:space="preserve">, SBUA, </w:t>
      </w:r>
      <w:r w:rsidR="00434301">
        <w:t xml:space="preserve">SCE, </w:t>
      </w:r>
      <w:r w:rsidR="00EE620F">
        <w:t>SDG&amp;E,</w:t>
      </w:r>
      <w:r w:rsidR="00440C3F">
        <w:t xml:space="preserve"> </w:t>
      </w:r>
      <w:r w:rsidR="00486CCC">
        <w:t xml:space="preserve">SoCalGas, </w:t>
      </w:r>
      <w:r w:rsidR="00440C3F">
        <w:t>and TURN</w:t>
      </w:r>
      <w:r w:rsidRPr="00725422">
        <w:t>.</w:t>
      </w:r>
      <w:r>
        <w:t xml:space="preserve"> </w:t>
      </w:r>
    </w:p>
    <w:p w:rsidRPr="00EB410A" w:rsidR="005F3B1C" w:rsidP="005F3B1C" w:rsidRDefault="00FE3F9F" w14:paraId="319FFCF2" w14:textId="77777777">
      <w:pPr>
        <w:pStyle w:val="Standard"/>
      </w:pPr>
      <w:r w:rsidRPr="00FE3F9F">
        <w:t xml:space="preserve">After reviewing the opening and reply comments, several </w:t>
      </w:r>
      <w:r w:rsidRPr="001D63C9">
        <w:t>substantive revisions</w:t>
      </w:r>
      <w:r w:rsidRPr="00FE3F9F">
        <w:t xml:space="preserve"> were made to the </w:t>
      </w:r>
      <w:r>
        <w:t>p</w:t>
      </w:r>
      <w:r w:rsidRPr="00FE3F9F">
        <w:t xml:space="preserve">roposed </w:t>
      </w:r>
      <w:r>
        <w:t>d</w:t>
      </w:r>
      <w:r w:rsidRPr="00FE3F9F">
        <w:t>ecisio</w:t>
      </w:r>
      <w:r>
        <w:t>n</w:t>
      </w:r>
      <w:r w:rsidRPr="00FE3F9F">
        <w:t>.</w:t>
      </w:r>
      <w:r w:rsidR="005F3B1C">
        <w:t xml:space="preserve"> Notable </w:t>
      </w:r>
      <w:r w:rsidRPr="00EB410A" w:rsidR="005F3B1C">
        <w:t xml:space="preserve">substantive revisions are </w:t>
      </w:r>
      <w:r w:rsidR="005F3B1C">
        <w:t>summarized and discussed below.</w:t>
      </w:r>
    </w:p>
    <w:p w:rsidRPr="00EB410A" w:rsidR="005F3B1C" w:rsidP="005F3B1C" w:rsidRDefault="005F3B1C" w14:paraId="61B79E5D" w14:textId="300723DA">
      <w:pPr>
        <w:pStyle w:val="Standard"/>
      </w:pPr>
      <w:bookmarkStart w:name="_Hlk200296915" w:id="898"/>
      <w:r w:rsidRPr="001D63C9">
        <w:rPr>
          <w:b/>
          <w:bCs/>
        </w:rPr>
        <w:t>Refinement of MSA Evaluation and Confidentiality Requirements</w:t>
      </w:r>
      <w:r w:rsidR="009C056C">
        <w:rPr>
          <w:b/>
          <w:bCs/>
        </w:rPr>
        <w:t>:</w:t>
      </w:r>
      <w:r w:rsidRPr="00EB410A">
        <w:t xml:space="preserve"> PG</w:t>
      </w:r>
      <w:bookmarkEnd w:id="898"/>
      <w:r w:rsidRPr="00EB410A">
        <w:t xml:space="preserve">&amp;E raised </w:t>
      </w:r>
      <w:r>
        <w:t xml:space="preserve">confidentiality </w:t>
      </w:r>
      <w:r w:rsidRPr="00EB410A">
        <w:t xml:space="preserve">concerns </w:t>
      </w:r>
      <w:r>
        <w:t xml:space="preserve">and urged </w:t>
      </w:r>
      <w:r w:rsidRPr="00EB410A">
        <w:t xml:space="preserve">to protect proprietary </w:t>
      </w:r>
      <w:r w:rsidRPr="00EB410A">
        <w:lastRenderedPageBreak/>
        <w:t>information submitted by manufacturers during the safety evaluation process for MSAs, especially non-isolating devices that interface with utility metering equipment. PG&amp;E recommend</w:t>
      </w:r>
      <w:r>
        <w:t>s</w:t>
      </w:r>
      <w:r w:rsidRPr="00EB410A">
        <w:t xml:space="preserve"> retain</w:t>
      </w:r>
      <w:r>
        <w:t>ing</w:t>
      </w:r>
      <w:r w:rsidRPr="00EB410A">
        <w:t xml:space="preserve"> the confidentiality framework established in Resolution E-5194. </w:t>
      </w:r>
      <w:r>
        <w:t xml:space="preserve">We are persuaded by PG&amp;E and have revised the proposed decision to (1) </w:t>
      </w:r>
      <w:r w:rsidRPr="00EB410A">
        <w:t>remove the requirement that final evaluation reports be publicly posted</w:t>
      </w:r>
      <w:r>
        <w:t>,</w:t>
      </w:r>
      <w:r w:rsidRPr="00EB410A">
        <w:t xml:space="preserve"> and </w:t>
      </w:r>
      <w:r>
        <w:t>(2)</w:t>
      </w:r>
      <w:r w:rsidRPr="00EB410A">
        <w:t xml:space="preserve"> allow these to be submitted to the Commission with a request for confidential treatment. Additionally, while utilities are still required to provide a public-facing website listing approved devices and summarizing testing processes, they must now also indicate in their Tier 1 Advice Letters what general categories of information were withheld due to confidentiality. </w:t>
      </w:r>
      <w:r>
        <w:t>Consistent with PG&amp;E’s recommendation, t</w:t>
      </w:r>
      <w:r w:rsidRPr="00EB410A">
        <w:t>h</w:t>
      </w:r>
      <w:r>
        <w:t>ese</w:t>
      </w:r>
      <w:r w:rsidRPr="00EB410A">
        <w:t xml:space="preserve"> </w:t>
      </w:r>
      <w:r>
        <w:t>revisions</w:t>
      </w:r>
      <w:r w:rsidRPr="00EB410A">
        <w:t xml:space="preserve"> balance market transparency with confidentiality protections.</w:t>
      </w:r>
    </w:p>
    <w:p w:rsidR="005F3B1C" w:rsidP="005F3B1C" w:rsidRDefault="005F3B1C" w14:paraId="5C433671" w14:textId="2BB3F989">
      <w:pPr>
        <w:pStyle w:val="Standard"/>
      </w:pPr>
      <w:r w:rsidRPr="001D63C9">
        <w:rPr>
          <w:b/>
          <w:bCs/>
        </w:rPr>
        <w:t>Clarification of Safety Evaluation Scope and Utility Oversight</w:t>
      </w:r>
      <w:r w:rsidR="00D21208">
        <w:rPr>
          <w:b/>
          <w:bCs/>
        </w:rPr>
        <w:t>:</w:t>
      </w:r>
      <w:r w:rsidRPr="00EB410A">
        <w:t xml:space="preserve"> PG&amp;E and SCE expressed safety concerns </w:t>
      </w:r>
      <w:r>
        <w:t xml:space="preserve">associated with </w:t>
      </w:r>
      <w:r w:rsidRPr="003172EF">
        <w:t xml:space="preserve">customers relying </w:t>
      </w:r>
      <w:r>
        <w:t>solel</w:t>
      </w:r>
      <w:r w:rsidRPr="003172EF">
        <w:t>y on service line capacity data to determine whether or not they can safely add new load</w:t>
      </w:r>
      <w:r w:rsidRPr="00EB410A">
        <w:t>, particularly if it resulted in bypassing utility review</w:t>
      </w:r>
      <w:r>
        <w:t xml:space="preserve">. Balancing this concern and related </w:t>
      </w:r>
      <w:r w:rsidRPr="006F6C5F">
        <w:t>utility liability and oversight concerns</w:t>
      </w:r>
      <w:r>
        <w:t xml:space="preserve">, while also </w:t>
      </w:r>
      <w:r w:rsidRPr="009116AA">
        <w:t>reinforc</w:t>
      </w:r>
      <w:r>
        <w:t>ing</w:t>
      </w:r>
      <w:r w:rsidRPr="009116AA">
        <w:t xml:space="preserve"> the primacy of utility safety evaluations</w:t>
      </w:r>
      <w:r>
        <w:t xml:space="preserve">, </w:t>
      </w:r>
      <w:r w:rsidRPr="00EB410A">
        <w:t>the proposed decision</w:t>
      </w:r>
      <w:r>
        <w:t xml:space="preserve"> is revised to</w:t>
      </w:r>
      <w:r w:rsidRPr="00EB410A">
        <w:t xml:space="preserve"> eliminate </w:t>
      </w:r>
      <w:r w:rsidRPr="0044228B">
        <w:t>the requirement for utilities to provide service line capacity information to their customers at this time, and stresses that customers must also inform their utility when adding load</w:t>
      </w:r>
      <w:r w:rsidRPr="00EB410A">
        <w:t xml:space="preserve">. </w:t>
      </w:r>
      <w:r>
        <w:t xml:space="preserve">This decision also </w:t>
      </w:r>
      <w:r w:rsidRPr="006E72F3">
        <w:t>require</w:t>
      </w:r>
      <w:r>
        <w:t>s</w:t>
      </w:r>
      <w:r w:rsidRPr="006E72F3">
        <w:t xml:space="preserve"> the TECH Initiative implementer, </w:t>
      </w:r>
      <w:r w:rsidRPr="00124ADE">
        <w:t>as part of the educational materials to be developed pursuant to Section 5.4.2, to instruct customers and contractors of the nee</w:t>
      </w:r>
      <w:r>
        <w:t xml:space="preserve">d </w:t>
      </w:r>
      <w:r w:rsidRPr="00124ADE">
        <w:t xml:space="preserve">to comply with Electric </w:t>
      </w:r>
      <w:r>
        <w:t xml:space="preserve">Tariff </w:t>
      </w:r>
      <w:r w:rsidRPr="00124ADE">
        <w:t xml:space="preserve">Rule 3.C by informing </w:t>
      </w:r>
      <w:r w:rsidRPr="00124ADE" w:rsidR="00934DD6">
        <w:t>the</w:t>
      </w:r>
      <w:r w:rsidR="00934DD6">
        <w:t>m of their</w:t>
      </w:r>
      <w:r w:rsidRPr="00124ADE">
        <w:t xml:space="preserve"> utility any time new electrical loads are added at the premise.</w:t>
      </w:r>
    </w:p>
    <w:p w:rsidRPr="00EB410A" w:rsidR="005F3B1C" w:rsidP="005F3B1C" w:rsidRDefault="005F3B1C" w14:paraId="198C7308" w14:textId="29855049">
      <w:pPr>
        <w:pStyle w:val="Standard"/>
      </w:pPr>
      <w:r w:rsidRPr="001D63C9">
        <w:rPr>
          <w:b/>
          <w:bCs/>
        </w:rPr>
        <w:lastRenderedPageBreak/>
        <w:t>Changes to the Cost Allocation for Common Facility Cost Treatment</w:t>
      </w:r>
      <w:r w:rsidR="00D21208">
        <w:rPr>
          <w:b/>
          <w:bCs/>
        </w:rPr>
        <w:t>:</w:t>
      </w:r>
      <w:r w:rsidRPr="001D63C9">
        <w:rPr>
          <w:b/>
          <w:bCs/>
        </w:rPr>
        <w:br/>
      </w:r>
      <w:r>
        <w:t xml:space="preserve">SBUA’s comments correctly identifies administrative constraints of SMJUs. Recognizing this concern and to reduce adding additional administrative burden on the SMJUs, the proposed decision is revised such that </w:t>
      </w:r>
      <w:r w:rsidRPr="00FE54CA">
        <w:t>the $5 million annual allocation to fund common facility cost treatment</w:t>
      </w:r>
      <w:r>
        <w:t xml:space="preserve"> is now</w:t>
      </w:r>
      <w:r w:rsidRPr="00EB410A">
        <w:t xml:space="preserve"> allocated </w:t>
      </w:r>
      <w:r>
        <w:t xml:space="preserve">from </w:t>
      </w:r>
      <w:r w:rsidRPr="00D21D4A">
        <w:t xml:space="preserve">all electric utilities, including SMJUs, </w:t>
      </w:r>
      <w:r>
        <w:t xml:space="preserve">to </w:t>
      </w:r>
      <w:r w:rsidRPr="00EB410A">
        <w:t>solely</w:t>
      </w:r>
      <w:r>
        <w:t xml:space="preserve"> </w:t>
      </w:r>
      <w:r w:rsidRPr="00EB410A">
        <w:t xml:space="preserve">the three major electric utilities—PG&amp;E, SCE, and SDG&amp;E—who are directed to establish balancing accounts for this purpose. This change in program funding structure </w:t>
      </w:r>
      <w:r>
        <w:t xml:space="preserve">also </w:t>
      </w:r>
      <w:r w:rsidRPr="00EB410A">
        <w:t xml:space="preserve">better aligns administrative burden with utility size and available resources. The </w:t>
      </w:r>
      <w:r>
        <w:t xml:space="preserve">related </w:t>
      </w:r>
      <w:r w:rsidRPr="00EB410A">
        <w:t xml:space="preserve">tables reflecting proportional allocations were also </w:t>
      </w:r>
      <w:r>
        <w:t xml:space="preserve">correspondingly </w:t>
      </w:r>
      <w:r w:rsidRPr="00EB410A">
        <w:t>revised accordingly.</w:t>
      </w:r>
    </w:p>
    <w:p w:rsidRPr="00EB410A" w:rsidR="005F3B1C" w:rsidP="005F3B1C" w:rsidRDefault="005F3B1C" w14:paraId="3C25B58D" w14:textId="77777777">
      <w:pPr>
        <w:pStyle w:val="Standard"/>
      </w:pPr>
      <w:r w:rsidRPr="001D63C9">
        <w:rPr>
          <w:b/>
          <w:bCs/>
        </w:rPr>
        <w:t xml:space="preserve">Funding Cap for Small Business Customers - Common Facility Cost Treatment: </w:t>
      </w:r>
      <w:r w:rsidRPr="00D21208">
        <w:rPr>
          <w:szCs w:val="26"/>
        </w:rPr>
        <w:t>Upon re</w:t>
      </w:r>
      <w:r w:rsidRPr="001D63C9">
        <w:rPr>
          <w:rStyle w:val="cf11"/>
          <w:rFonts w:ascii="Book Antiqua" w:hAnsi="Book Antiqua"/>
          <w:sz w:val="26"/>
          <w:szCs w:val="26"/>
        </w:rPr>
        <w:t>consideration, we recognize that the vast majority of current building electrification programs - that the CFCT policy aims to support - are for residential customers. Consistent therewith, we limit the amount of funding for small business under-resourced customers to no more than 25%.</w:t>
      </w:r>
    </w:p>
    <w:p w:rsidR="00755BD9" w:rsidP="00755BD9" w:rsidRDefault="005F3B1C" w14:paraId="7D3FE2AA" w14:textId="117BA594">
      <w:pPr>
        <w:pStyle w:val="Standard"/>
      </w:pPr>
      <w:r w:rsidRPr="001D63C9">
        <w:rPr>
          <w:b/>
          <w:bCs/>
        </w:rPr>
        <w:t>Clarification of Requirements for C</w:t>
      </w:r>
      <w:r w:rsidR="00755BD9">
        <w:rPr>
          <w:b/>
          <w:bCs/>
        </w:rPr>
        <w:t>FCT</w:t>
      </w:r>
      <w:r w:rsidRPr="001D63C9">
        <w:rPr>
          <w:b/>
          <w:bCs/>
        </w:rPr>
        <w:t xml:space="preserve"> Eligibility</w:t>
      </w:r>
      <w:r w:rsidR="00D21208">
        <w:rPr>
          <w:b/>
          <w:bCs/>
        </w:rPr>
        <w:t>:</w:t>
      </w:r>
      <w:r w:rsidRPr="00EB410A">
        <w:t xml:space="preserve"> </w:t>
      </w:r>
    </w:p>
    <w:p w:rsidRPr="00EB410A" w:rsidR="005F3B1C" w:rsidP="00755BD9" w:rsidRDefault="00755BD9" w14:paraId="0DB2AC2E" w14:textId="7782B616">
      <w:pPr>
        <w:pStyle w:val="Standard"/>
      </w:pPr>
      <w:r>
        <w:t>In response to</w:t>
      </w:r>
      <w:r w:rsidR="00EA5DBE">
        <w:t xml:space="preserve"> </w:t>
      </w:r>
      <w:r>
        <w:t xml:space="preserve">comments </w:t>
      </w:r>
      <w:r w:rsidR="00EA5DBE">
        <w:t xml:space="preserve">by </w:t>
      </w:r>
      <w:r>
        <w:t xml:space="preserve">SPUR, Joint Parties, SCE, and SBUA, </w:t>
      </w:r>
      <w:r w:rsidR="00FC115C">
        <w:t xml:space="preserve">the proposed decision </w:t>
      </w:r>
      <w:r w:rsidR="00EA5DBE">
        <w:t xml:space="preserve">is revised to remove </w:t>
      </w:r>
      <w:r w:rsidR="00B92893">
        <w:t>full-electri</w:t>
      </w:r>
      <w:r w:rsidR="00C46B38">
        <w:t xml:space="preserve">fication </w:t>
      </w:r>
      <w:r>
        <w:t xml:space="preserve">requirement for </w:t>
      </w:r>
      <w:r w:rsidR="00380DDE">
        <w:t xml:space="preserve">premises that receive CFCT funding. Instead, </w:t>
      </w:r>
      <w:r w:rsidR="003A0FAE">
        <w:t>we make the requirements consistent with the CEC’s EBD program</w:t>
      </w:r>
      <w:r w:rsidR="00EC07F4">
        <w:t xml:space="preserve"> eligibility requirem</w:t>
      </w:r>
      <w:r w:rsidR="002D7C76">
        <w:t>ents</w:t>
      </w:r>
      <w:r w:rsidR="00231F52">
        <w:t xml:space="preserve"> wherein</w:t>
      </w:r>
      <w:r w:rsidR="00FE6634">
        <w:t xml:space="preserve"> a customer must replace at least one gas-fi</w:t>
      </w:r>
      <w:r w:rsidR="00212FDB">
        <w:t>red</w:t>
      </w:r>
      <w:r w:rsidR="009D76E9">
        <w:t xml:space="preserve"> equipment</w:t>
      </w:r>
      <w:r w:rsidR="00AA5B89">
        <w:t xml:space="preserve"> (</w:t>
      </w:r>
      <w:r w:rsidR="009D76E9">
        <w:t>either space or water heating- with a heat pump</w:t>
      </w:r>
      <w:r w:rsidR="00B85916">
        <w:t>)</w:t>
      </w:r>
      <w:r w:rsidR="009D76E9">
        <w:t xml:space="preserve">, and at the conclusion of the retrofit, at least two of the </w:t>
      </w:r>
      <w:r w:rsidR="00CD7498">
        <w:t xml:space="preserve">following </w:t>
      </w:r>
      <w:r w:rsidR="00E35E70">
        <w:t>four end uses must be electric</w:t>
      </w:r>
      <w:r w:rsidR="00B85916">
        <w:t>:</w:t>
      </w:r>
      <w:r w:rsidR="00E35E70">
        <w:t xml:space="preserve"> </w:t>
      </w:r>
      <w:r w:rsidR="00B85916">
        <w:t xml:space="preserve">(1) </w:t>
      </w:r>
      <w:r w:rsidR="00E35E70">
        <w:t xml:space="preserve">space heating, </w:t>
      </w:r>
      <w:r w:rsidR="00B85916">
        <w:t xml:space="preserve">(2) </w:t>
      </w:r>
      <w:r w:rsidR="00E35E70">
        <w:t xml:space="preserve">water heating, </w:t>
      </w:r>
      <w:r w:rsidR="00B85916">
        <w:t xml:space="preserve">(3) </w:t>
      </w:r>
      <w:r w:rsidR="00E35E70">
        <w:t xml:space="preserve">cooking, and </w:t>
      </w:r>
      <w:r w:rsidR="00C85115">
        <w:t xml:space="preserve">(4) </w:t>
      </w:r>
      <w:r w:rsidR="00E35E70">
        <w:t>clothes drying.</w:t>
      </w:r>
      <w:r w:rsidR="00231F52">
        <w:t xml:space="preserve"> </w:t>
      </w:r>
      <w:r w:rsidR="006677E0">
        <w:t>Full building electrification is encouraged but not required.</w:t>
      </w:r>
    </w:p>
    <w:p w:rsidRPr="00EB410A" w:rsidR="005F3B1C" w:rsidP="005F3B1C" w:rsidRDefault="005F3B1C" w14:paraId="1A841EE7" w14:textId="2A85286F">
      <w:pPr>
        <w:pStyle w:val="Standard"/>
      </w:pPr>
      <w:r w:rsidRPr="001D63C9">
        <w:rPr>
          <w:b/>
          <w:bCs/>
        </w:rPr>
        <w:lastRenderedPageBreak/>
        <w:t>Streamlining of Reporting and Tariff Implementation</w:t>
      </w:r>
      <w:r w:rsidR="00B11C80">
        <w:rPr>
          <w:b/>
          <w:bCs/>
        </w:rPr>
        <w:t>:</w:t>
      </w:r>
      <w:r w:rsidRPr="00EB410A">
        <w:t xml:space="preserve"> </w:t>
      </w:r>
      <w:r>
        <w:t>In response to several partes’ recommendations to</w:t>
      </w:r>
      <w:r w:rsidRPr="00FA0E7E">
        <w:t xml:space="preserve"> streamlin</w:t>
      </w:r>
      <w:r>
        <w:t xml:space="preserve">e reporting requirements and to promote </w:t>
      </w:r>
      <w:r w:rsidRPr="00FA0E7E">
        <w:t>regulatory efficiency</w:t>
      </w:r>
      <w:r>
        <w:t>, the proposed decision was revised to eliminate or consolidate, where appropriate, r</w:t>
      </w:r>
      <w:r w:rsidRPr="00EB410A">
        <w:t xml:space="preserve">edundant or burdensome reporting requirements. Instead, utilities must now maintain transparency through updated websites and periodic reports to the Commission. </w:t>
      </w:r>
    </w:p>
    <w:p w:rsidRPr="00EB410A" w:rsidR="005F3B1C" w:rsidP="005F3B1C" w:rsidRDefault="005F3B1C" w14:paraId="59A2549D" w14:textId="0AC36BCA">
      <w:pPr>
        <w:pStyle w:val="Standard"/>
      </w:pPr>
      <w:r w:rsidRPr="001D63C9">
        <w:rPr>
          <w:b/>
          <w:bCs/>
        </w:rPr>
        <w:t>Revised Website and Advice Letter Requirements</w:t>
      </w:r>
      <w:r w:rsidR="0078459A">
        <w:rPr>
          <w:b/>
          <w:bCs/>
        </w:rPr>
        <w:t>:</w:t>
      </w:r>
      <w:r w:rsidRPr="00EB410A">
        <w:t xml:space="preserve"> </w:t>
      </w:r>
      <w:r w:rsidRPr="00CD6C10">
        <w:t>T</w:t>
      </w:r>
      <w:r>
        <w:t xml:space="preserve">o provide </w:t>
      </w:r>
      <w:r w:rsidRPr="00CD6C10">
        <w:t>an accountability mechanism</w:t>
      </w:r>
      <w:r>
        <w:t xml:space="preserve">, as recommended by </w:t>
      </w:r>
      <w:r w:rsidRPr="00CD6C10">
        <w:t xml:space="preserve">PG&amp;E’s comments </w:t>
      </w:r>
      <w:r>
        <w:t xml:space="preserve">and to </w:t>
      </w:r>
      <w:r w:rsidRPr="00CD6C10">
        <w:t>protect</w:t>
      </w:r>
      <w:r>
        <w:t xml:space="preserve"> </w:t>
      </w:r>
      <w:r w:rsidRPr="00CD6C10">
        <w:t>proprietary data</w:t>
      </w:r>
      <w:r>
        <w:t>, t</w:t>
      </w:r>
      <w:r w:rsidRPr="00EB410A">
        <w:t>he proposed decision</w:t>
      </w:r>
      <w:r>
        <w:t xml:space="preserve"> language was also revised such </w:t>
      </w:r>
      <w:r w:rsidRPr="00EB410A">
        <w:t xml:space="preserve">that utilities must disclose in their Tier 1 Advice Letters any general categories of information withheld from the public website due to confidentiality concerns. </w:t>
      </w:r>
    </w:p>
    <w:p w:rsidRPr="00EB410A" w:rsidR="005F3B1C" w:rsidP="005F3B1C" w:rsidRDefault="005F3B1C" w14:paraId="4394FCED" w14:textId="089C8A58">
      <w:pPr>
        <w:pStyle w:val="Standard"/>
      </w:pPr>
      <w:r w:rsidRPr="001D63C9">
        <w:rPr>
          <w:rFonts w:eastAsia="Book Antiqua" w:cs="Book Antiqua"/>
          <w:b/>
          <w:bCs/>
        </w:rPr>
        <w:t>Modification to Ordering Paragraph 5 of Decision 23-12-037 Deadlines</w:t>
      </w:r>
      <w:r w:rsidRPr="001D63C9" w:rsidR="0078459A">
        <w:rPr>
          <w:rFonts w:eastAsia="Book Antiqua" w:cs="Book Antiqua"/>
          <w:b/>
          <w:bCs/>
        </w:rPr>
        <w:t>:</w:t>
      </w:r>
      <w:r w:rsidRPr="00EB410A">
        <w:rPr>
          <w:rFonts w:eastAsia="Book Antiqua" w:cs="Book Antiqua"/>
        </w:rPr>
        <w:t xml:space="preserve"> Based on Sempra Utilities’ comments,</w:t>
      </w:r>
      <w:r>
        <w:rPr>
          <w:rFonts w:eastAsia="Book Antiqua" w:cs="Book Antiqua"/>
        </w:rPr>
        <w:t xml:space="preserve"> the proposed decision language was revised to eliminate </w:t>
      </w:r>
      <w:r w:rsidRPr="00EB410A">
        <w:rPr>
          <w:rFonts w:eastAsia="Book Antiqua" w:cs="Book Antiqua"/>
        </w:rPr>
        <w:t>the requirement that m</w:t>
      </w:r>
      <w:r w:rsidRPr="00EB410A">
        <w:t xml:space="preserve">ixed-fuel new construction projects require executed contracts and full payments by July 1, 2024. We </w:t>
      </w:r>
      <w:r>
        <w:t xml:space="preserve">are </w:t>
      </w:r>
      <w:r w:rsidRPr="00EB410A">
        <w:t xml:space="preserve">persuaded to extend this contract-execution deadline to allow projects </w:t>
      </w:r>
      <w:r>
        <w:t xml:space="preserve">without fully </w:t>
      </w:r>
      <w:r w:rsidRPr="00EB410A">
        <w:t xml:space="preserve">executed contracts </w:t>
      </w:r>
      <w:r>
        <w:t xml:space="preserve">as of July 1, 2024, </w:t>
      </w:r>
      <w:r w:rsidRPr="00EB410A">
        <w:t xml:space="preserve">to remain eligible for </w:t>
      </w:r>
      <w:r w:rsidRPr="00EB410A">
        <w:rPr>
          <w:rFonts w:eastAsia="Book Antiqua" w:cs="Book Antiqua"/>
        </w:rPr>
        <w:t>electric line extension subsidies for mixed-fuel new construction</w:t>
      </w:r>
      <w:r w:rsidRPr="00EB410A">
        <w:t xml:space="preserve">. We do not, however, set a new deadline by which contracts must be </w:t>
      </w:r>
      <w:r>
        <w:t xml:space="preserve">executed </w:t>
      </w:r>
      <w:r w:rsidRPr="00EB410A">
        <w:t xml:space="preserve">because these </w:t>
      </w:r>
      <w:r w:rsidRPr="00EB410A">
        <w:rPr>
          <w:rFonts w:eastAsia="Book Antiqua" w:cs="Book Antiqua"/>
        </w:rPr>
        <w:t>m</w:t>
      </w:r>
      <w:r w:rsidRPr="00EB410A">
        <w:t>ixed-fuel new construction projects already have until June 30, 2027, as the extended deadline to energize th</w:t>
      </w:r>
      <w:r>
        <w:t>os</w:t>
      </w:r>
      <w:r w:rsidRPr="00EB410A">
        <w:t>e project</w:t>
      </w:r>
      <w:r>
        <w:t>s</w:t>
      </w:r>
      <w:r w:rsidRPr="00EB410A">
        <w:t>.</w:t>
      </w:r>
    </w:p>
    <w:p w:rsidRPr="00FE3F9F" w:rsidR="00FE3F9F" w:rsidP="00F6024F" w:rsidRDefault="005F3B1C" w14:paraId="0BAD6A6C" w14:textId="2E911E20">
      <w:pPr>
        <w:pStyle w:val="Standard"/>
      </w:pPr>
      <w:r>
        <w:rPr>
          <w:szCs w:val="26"/>
        </w:rPr>
        <w:t>In addition to the foregoing notable substantive revisions, other n</w:t>
      </w:r>
      <w:r w:rsidRPr="00EB410A">
        <w:rPr>
          <w:szCs w:val="26"/>
        </w:rPr>
        <w:t xml:space="preserve">on-substantive </w:t>
      </w:r>
      <w:r>
        <w:rPr>
          <w:szCs w:val="26"/>
        </w:rPr>
        <w:t xml:space="preserve">streamlining, refinement and clarification edits, as well as </w:t>
      </w:r>
      <w:r w:rsidRPr="00EB410A">
        <w:rPr>
          <w:szCs w:val="26"/>
        </w:rPr>
        <w:t>correction</w:t>
      </w:r>
      <w:r>
        <w:rPr>
          <w:szCs w:val="26"/>
        </w:rPr>
        <w:t>s</w:t>
      </w:r>
      <w:r w:rsidRPr="00EB410A">
        <w:rPr>
          <w:szCs w:val="26"/>
        </w:rPr>
        <w:t xml:space="preserve"> of inadvertent clerical errors were made throughout this decision for clarity, brevity, and consistency.</w:t>
      </w:r>
      <w:r>
        <w:rPr>
          <w:szCs w:val="26"/>
        </w:rPr>
        <w:t xml:space="preserve"> </w:t>
      </w:r>
      <w:r w:rsidR="00746220">
        <w:rPr>
          <w:szCs w:val="26"/>
        </w:rPr>
        <w:t>C</w:t>
      </w:r>
      <w:r w:rsidRPr="00B310B7">
        <w:rPr>
          <w:szCs w:val="26"/>
        </w:rPr>
        <w:t>onclusions of law section</w:t>
      </w:r>
      <w:r>
        <w:rPr>
          <w:szCs w:val="26"/>
        </w:rPr>
        <w:t xml:space="preserve"> w</w:t>
      </w:r>
      <w:r w:rsidR="00746220">
        <w:rPr>
          <w:szCs w:val="26"/>
        </w:rPr>
        <w:t>as</w:t>
      </w:r>
      <w:r>
        <w:rPr>
          <w:szCs w:val="26"/>
        </w:rPr>
        <w:t xml:space="preserve"> also refined, restructured and reorganized</w:t>
      </w:r>
      <w:r w:rsidR="00746220">
        <w:rPr>
          <w:szCs w:val="26"/>
        </w:rPr>
        <w:t>.</w:t>
      </w:r>
    </w:p>
    <w:p w:rsidRPr="004166D8" w:rsidR="005939A5" w:rsidP="00021315" w:rsidRDefault="6A5C2B9D" w14:paraId="55D7F1ED" w14:textId="77777777">
      <w:pPr>
        <w:pStyle w:val="Heading1"/>
      </w:pPr>
      <w:bookmarkStart w:name="_Toc200360577" w:id="899"/>
      <w:bookmarkStart w:name="_Toc200360578" w:id="900"/>
      <w:bookmarkStart w:name="_Toc200360579" w:id="901"/>
      <w:bookmarkStart w:name="_Toc200360580" w:id="902"/>
      <w:bookmarkStart w:name="_Toc200360581" w:id="903"/>
      <w:bookmarkStart w:name="_Toc200360582" w:id="904"/>
      <w:bookmarkStart w:name="_Toc200360583" w:id="905"/>
      <w:bookmarkStart w:name="_Toc200360584" w:id="906"/>
      <w:bookmarkStart w:name="_Toc200360585" w:id="907"/>
      <w:bookmarkStart w:name="_Toc200360586" w:id="908"/>
      <w:bookmarkStart w:name="_Toc200360587" w:id="909"/>
      <w:bookmarkStart w:name="_Toc200360588" w:id="910"/>
      <w:bookmarkStart w:name="_Toc200360589" w:id="911"/>
      <w:bookmarkStart w:name="_Toc200360590" w:id="912"/>
      <w:bookmarkStart w:name="_Toc200360591" w:id="913"/>
      <w:bookmarkStart w:name="_Toc200360592" w:id="914"/>
      <w:bookmarkStart w:name="_Toc200360593" w:id="915"/>
      <w:bookmarkStart w:name="_Toc200360594" w:id="916"/>
      <w:bookmarkStart w:name="_Toc200360595" w:id="917"/>
      <w:bookmarkStart w:name="_Toc200360596" w:id="918"/>
      <w:bookmarkStart w:name="_Toc200360597" w:id="919"/>
      <w:bookmarkStart w:name="_Toc200360598" w:id="920"/>
      <w:bookmarkStart w:name="_Toc200360599" w:id="921"/>
      <w:bookmarkStart w:name="_Toc200360600" w:id="922"/>
      <w:bookmarkStart w:name="_Toc200360601" w:id="923"/>
      <w:bookmarkStart w:name="_Toc200360602" w:id="924"/>
      <w:bookmarkStart w:name="_Toc200360603" w:id="925"/>
      <w:bookmarkStart w:name="_Toc200360604" w:id="926"/>
      <w:bookmarkStart w:name="_Toc200360605" w:id="927"/>
      <w:bookmarkStart w:name="_Toc200360606" w:id="928"/>
      <w:bookmarkStart w:name="_Toc200360607" w:id="929"/>
      <w:bookmarkStart w:name="_Toc200360608" w:id="930"/>
      <w:bookmarkStart w:name="_Toc200360609" w:id="931"/>
      <w:bookmarkStart w:name="_Toc200360610" w:id="932"/>
      <w:bookmarkStart w:name="_Toc8123724" w:id="933"/>
      <w:bookmarkStart w:name="_Toc185579414" w:id="934"/>
      <w:bookmarkStart w:name="_Toc192263741" w:id="935"/>
      <w:bookmarkStart w:name="_Toc200371012" w:id="936"/>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sidRPr="004166D8">
        <w:lastRenderedPageBreak/>
        <w:t>Assignment of Proceeding</w:t>
      </w:r>
      <w:bookmarkEnd w:id="933"/>
      <w:bookmarkEnd w:id="934"/>
      <w:bookmarkEnd w:id="935"/>
      <w:bookmarkEnd w:id="936"/>
    </w:p>
    <w:p w:rsidR="005939A5" w:rsidP="006E6574" w:rsidRDefault="4E6CC175" w14:paraId="5868FF04" w14:textId="7B9359FC">
      <w:pPr>
        <w:pStyle w:val="Standard"/>
      </w:pPr>
      <w:r>
        <w:t>Darcie</w:t>
      </w:r>
      <w:r w:rsidR="001D5F20">
        <w:t> </w:t>
      </w:r>
      <w:r w:rsidR="7E21F803">
        <w:t>L. Houck</w:t>
      </w:r>
      <w:r w:rsidR="6A5C2B9D">
        <w:t xml:space="preserve"> is the assigned Commissioner and </w:t>
      </w:r>
      <w:r w:rsidR="00F6024F">
        <w:t>Assis</w:t>
      </w:r>
      <w:r w:rsidR="00F263A7">
        <w:t>tant Chief Administrative Law Judge Kimberly Kim</w:t>
      </w:r>
      <w:r w:rsidR="7E21F803">
        <w:t xml:space="preserve"> </w:t>
      </w:r>
      <w:r w:rsidR="00921EF3">
        <w:t>is</w:t>
      </w:r>
      <w:r w:rsidR="7E21F803">
        <w:t xml:space="preserve"> the </w:t>
      </w:r>
      <w:r w:rsidR="6A5C2B9D">
        <w:t xml:space="preserve">assigned </w:t>
      </w:r>
      <w:r w:rsidR="001A0F96">
        <w:t xml:space="preserve">ALJ </w:t>
      </w:r>
      <w:r w:rsidR="6A5C2B9D">
        <w:t>in this proceeding.</w:t>
      </w:r>
    </w:p>
    <w:p w:rsidR="005939A5" w:rsidP="00BE1283" w:rsidRDefault="005939A5" w14:paraId="4F0C2833" w14:textId="77777777">
      <w:pPr>
        <w:pStyle w:val="Dummy"/>
      </w:pPr>
      <w:bookmarkStart w:name="_Toc8123725" w:id="937"/>
      <w:bookmarkStart w:name="_Toc185579415" w:id="938"/>
      <w:bookmarkStart w:name="_Toc192263742" w:id="939"/>
      <w:bookmarkStart w:name="_Toc200371013" w:id="940"/>
      <w:r w:rsidRPr="002C0F25">
        <w:t>Findings of Fact</w:t>
      </w:r>
      <w:bookmarkEnd w:id="937"/>
      <w:bookmarkEnd w:id="938"/>
      <w:bookmarkEnd w:id="939"/>
      <w:bookmarkEnd w:id="940"/>
    </w:p>
    <w:p w:rsidRPr="00261EAD" w:rsidR="000C74EE" w:rsidP="008256FA" w:rsidRDefault="00B360B4" w14:paraId="36561C0C" w14:textId="3A8768D8">
      <w:pPr>
        <w:pStyle w:val="FoF"/>
        <w:numPr>
          <w:ilvl w:val="0"/>
          <w:numId w:val="25"/>
        </w:numPr>
        <w:ind w:left="0" w:firstLine="360"/>
      </w:pPr>
      <w:r w:rsidRPr="00B360B4">
        <w:rPr>
          <w:rFonts w:eastAsia="Times New Roman" w:cs="Times New Roman"/>
          <w:szCs w:val="26"/>
        </w:rPr>
        <w:t>Electric service upsizing</w:t>
      </w:r>
      <w:r w:rsidR="00832F8F">
        <w:rPr>
          <w:rFonts w:eastAsia="Times New Roman" w:cs="Times New Roman"/>
          <w:szCs w:val="26"/>
        </w:rPr>
        <w:t>,</w:t>
      </w:r>
      <w:r w:rsidRPr="00832F8F" w:rsidR="00832F8F">
        <w:t xml:space="preserve"> </w:t>
      </w:r>
      <w:r w:rsidRPr="00832F8F" w:rsidR="00832F8F">
        <w:rPr>
          <w:rFonts w:eastAsia="Times New Roman" w:cs="Times New Roman"/>
          <w:szCs w:val="26"/>
        </w:rPr>
        <w:t>frequently necessary to support installation of electric heating, cooking, and other appliances required for building electrification,</w:t>
      </w:r>
      <w:r w:rsidRPr="00B360B4">
        <w:rPr>
          <w:rFonts w:eastAsia="Times New Roman" w:cs="Times New Roman"/>
          <w:szCs w:val="26"/>
        </w:rPr>
        <w:t xml:space="preserve"> can be costly and time-consuming for both customers and utilities, and </w:t>
      </w:r>
      <w:r>
        <w:rPr>
          <w:rFonts w:eastAsia="Times New Roman" w:cs="Times New Roman"/>
          <w:szCs w:val="26"/>
        </w:rPr>
        <w:t>t</w:t>
      </w:r>
      <w:r w:rsidRPr="00261EAD" w:rsidR="000C74EE">
        <w:t xml:space="preserve">he </w:t>
      </w:r>
      <w:r w:rsidR="00D355EC">
        <w:t xml:space="preserve">high upfront </w:t>
      </w:r>
      <w:r w:rsidRPr="00261EAD" w:rsidR="000C74EE">
        <w:t>cost</w:t>
      </w:r>
      <w:r w:rsidR="00D355EC">
        <w:t>s</w:t>
      </w:r>
      <w:r w:rsidRPr="00261EAD" w:rsidR="000C74EE">
        <w:t xml:space="preserve"> of upsizing electric service line</w:t>
      </w:r>
      <w:r w:rsidR="00D355EC">
        <w:t>s</w:t>
      </w:r>
      <w:r w:rsidRPr="00261EAD" w:rsidR="000C74EE">
        <w:t xml:space="preserve"> </w:t>
      </w:r>
      <w:r w:rsidR="00D355EC">
        <w:t>pose</w:t>
      </w:r>
      <w:r w:rsidRPr="00261EAD" w:rsidR="000C74EE">
        <w:t xml:space="preserve"> significant financial barrier</w:t>
      </w:r>
      <w:r w:rsidR="00D355EC">
        <w:t>s</w:t>
      </w:r>
      <w:r w:rsidRPr="00261EAD" w:rsidR="000C74EE">
        <w:t xml:space="preserve"> to building electrification, particularly for </w:t>
      </w:r>
      <w:r w:rsidR="002A5393">
        <w:t xml:space="preserve">under-resourced </w:t>
      </w:r>
      <w:r w:rsidRPr="00261EAD" w:rsidR="000C74EE">
        <w:t>residential and small business customers.</w:t>
      </w:r>
    </w:p>
    <w:p w:rsidRPr="00B360B4" w:rsidR="000C74EE" w:rsidP="008256FA" w:rsidRDefault="002C58C9" w14:paraId="3ABD726F" w14:textId="1AB6119B">
      <w:pPr>
        <w:pStyle w:val="ListParagraph"/>
        <w:numPr>
          <w:ilvl w:val="0"/>
          <w:numId w:val="3"/>
        </w:numPr>
      </w:pPr>
      <w:r>
        <w:rPr>
          <w:szCs w:val="26"/>
        </w:rPr>
        <w:t>T</w:t>
      </w:r>
      <w:r w:rsidRPr="002C58C9">
        <w:rPr>
          <w:szCs w:val="26"/>
        </w:rPr>
        <w:t xml:space="preserve">he Commission prioritizes avoiding unnecessary </w:t>
      </w:r>
      <w:r>
        <w:rPr>
          <w:szCs w:val="26"/>
        </w:rPr>
        <w:t xml:space="preserve">service line </w:t>
      </w:r>
      <w:r w:rsidRPr="002C58C9">
        <w:rPr>
          <w:szCs w:val="26"/>
        </w:rPr>
        <w:t>upsizing</w:t>
      </w:r>
      <w:r w:rsidR="00731B55">
        <w:rPr>
          <w:szCs w:val="26"/>
        </w:rPr>
        <w:t xml:space="preserve"> to</w:t>
      </w:r>
      <w:r w:rsidR="00734337">
        <w:rPr>
          <w:szCs w:val="26"/>
        </w:rPr>
        <w:t xml:space="preserve"> </w:t>
      </w:r>
      <w:r w:rsidRPr="002C58C9">
        <w:rPr>
          <w:szCs w:val="26"/>
        </w:rPr>
        <w:t>reduce costs, minimize</w:t>
      </w:r>
      <w:r>
        <w:rPr>
          <w:szCs w:val="26"/>
        </w:rPr>
        <w:t>s</w:t>
      </w:r>
      <w:r w:rsidRPr="002C58C9">
        <w:rPr>
          <w:szCs w:val="26"/>
        </w:rPr>
        <w:t xml:space="preserve"> delays, and optimize</w:t>
      </w:r>
      <w:r>
        <w:rPr>
          <w:szCs w:val="26"/>
        </w:rPr>
        <w:t>s</w:t>
      </w:r>
      <w:r w:rsidRPr="002C58C9">
        <w:rPr>
          <w:szCs w:val="26"/>
        </w:rPr>
        <w:t xml:space="preserve"> grid utilization</w:t>
      </w:r>
      <w:r>
        <w:rPr>
          <w:szCs w:val="26"/>
        </w:rPr>
        <w:t>.</w:t>
      </w:r>
      <w:r w:rsidRPr="71BF2AA7" w:rsidR="00B360B4">
        <w:rPr>
          <w:rFonts w:eastAsia="Times New Roman" w:cs="Times New Roman"/>
        </w:rPr>
        <w:t xml:space="preserve"> </w:t>
      </w:r>
    </w:p>
    <w:p w:rsidRPr="00261EAD" w:rsidR="000C74EE" w:rsidP="008256FA" w:rsidRDefault="00731B55" w14:paraId="10DBEB56" w14:textId="2CC25C9F">
      <w:pPr>
        <w:pStyle w:val="FoF"/>
        <w:numPr>
          <w:ilvl w:val="0"/>
          <w:numId w:val="3"/>
        </w:numPr>
        <w:ind w:firstLine="547"/>
        <w:rPr>
          <w:szCs w:val="26"/>
        </w:rPr>
      </w:pPr>
      <w:r>
        <w:rPr>
          <w:szCs w:val="26"/>
        </w:rPr>
        <w:t>P</w:t>
      </w:r>
      <w:r w:rsidRPr="00261EAD" w:rsidR="000C74EE">
        <w:rPr>
          <w:szCs w:val="26"/>
        </w:rPr>
        <w:t>rovid</w:t>
      </w:r>
      <w:r w:rsidR="00B958F1">
        <w:rPr>
          <w:szCs w:val="26"/>
        </w:rPr>
        <w:t>ing</w:t>
      </w:r>
      <w:r w:rsidRPr="00261EAD" w:rsidR="000C74EE">
        <w:rPr>
          <w:szCs w:val="26"/>
        </w:rPr>
        <w:t xml:space="preserve"> </w:t>
      </w:r>
      <w:r w:rsidR="002A5393">
        <w:rPr>
          <w:szCs w:val="26"/>
        </w:rPr>
        <w:t xml:space="preserve">some </w:t>
      </w:r>
      <w:r w:rsidRPr="00261EAD" w:rsidR="000C74EE">
        <w:rPr>
          <w:szCs w:val="26"/>
        </w:rPr>
        <w:t>cost relief for service line upsizing</w:t>
      </w:r>
      <w:r w:rsidR="002A5393">
        <w:rPr>
          <w:szCs w:val="26"/>
        </w:rPr>
        <w:t xml:space="preserve"> </w:t>
      </w:r>
      <w:r w:rsidRPr="0010768D" w:rsidR="0010768D">
        <w:rPr>
          <w:szCs w:val="26"/>
        </w:rPr>
        <w:t>to the under-resourced communities and small businesses in disadvantaged areas would lessen the financial barriers and promote equitable access to decarbonization benefits</w:t>
      </w:r>
      <w:r w:rsidRPr="00261EAD" w:rsidR="000C74EE">
        <w:rPr>
          <w:szCs w:val="26"/>
        </w:rPr>
        <w:t>.</w:t>
      </w:r>
    </w:p>
    <w:p w:rsidRPr="00261EAD" w:rsidR="000C74EE" w:rsidP="008256FA" w:rsidRDefault="000C74EE" w14:paraId="5FE00201" w14:textId="2E63495D">
      <w:pPr>
        <w:pStyle w:val="FoF"/>
        <w:numPr>
          <w:ilvl w:val="0"/>
          <w:numId w:val="3"/>
        </w:numPr>
        <w:ind w:firstLine="547"/>
      </w:pPr>
      <w:r>
        <w:t xml:space="preserve">Allowing electric utilities to recover the cost of </w:t>
      </w:r>
      <w:r w:rsidR="002A5393">
        <w:t xml:space="preserve">targeted </w:t>
      </w:r>
      <w:r>
        <w:t xml:space="preserve">service line upsizing through the rate base </w:t>
      </w:r>
      <w:r w:rsidR="0010768D">
        <w:t>would help</w:t>
      </w:r>
      <w:r w:rsidR="00A72935">
        <w:t xml:space="preserve"> the</w:t>
      </w:r>
      <w:r>
        <w:t xml:space="preserve"> </w:t>
      </w:r>
      <w:r w:rsidR="00D5037F">
        <w:rPr>
          <w:szCs w:val="26"/>
        </w:rPr>
        <w:t>under-resourced</w:t>
      </w:r>
      <w:r>
        <w:t xml:space="preserve"> customers </w:t>
      </w:r>
      <w:r w:rsidR="00D5037F">
        <w:t xml:space="preserve">to participate in </w:t>
      </w:r>
      <w:r>
        <w:t xml:space="preserve">electrification programs </w:t>
      </w:r>
      <w:r w:rsidR="00D5037F">
        <w:t>despite</w:t>
      </w:r>
      <w:r>
        <w:t xml:space="preserve"> infrastructure cost barriers.</w:t>
      </w:r>
    </w:p>
    <w:p w:rsidRPr="00261EAD" w:rsidR="000C74EE" w:rsidP="008256FA" w:rsidRDefault="00672DE1" w14:paraId="34B86D15" w14:textId="1928547F">
      <w:pPr>
        <w:pStyle w:val="FoF"/>
        <w:numPr>
          <w:ilvl w:val="0"/>
          <w:numId w:val="3"/>
        </w:numPr>
        <w:ind w:firstLine="547"/>
        <w:rPr>
          <w:szCs w:val="26"/>
        </w:rPr>
      </w:pPr>
      <w:r>
        <w:rPr>
          <w:szCs w:val="26"/>
        </w:rPr>
        <w:t>C</w:t>
      </w:r>
      <w:r w:rsidRPr="00261EAD" w:rsidR="000C74EE">
        <w:rPr>
          <w:szCs w:val="26"/>
        </w:rPr>
        <w:t>ertain service line upgrades may trigger unforeseen distribution infrastructure costs beyond the project site</w:t>
      </w:r>
      <w:r w:rsidR="006821AF">
        <w:rPr>
          <w:szCs w:val="26"/>
        </w:rPr>
        <w:t xml:space="preserve"> and require</w:t>
      </w:r>
      <w:r w:rsidRPr="00261EAD" w:rsidR="000C74EE">
        <w:rPr>
          <w:szCs w:val="26"/>
        </w:rPr>
        <w:t xml:space="preserve"> budget controls to prevent disproportionate ratepayer impacts.</w:t>
      </w:r>
    </w:p>
    <w:p w:rsidRPr="00261EAD" w:rsidR="000C74EE" w:rsidP="008256FA" w:rsidRDefault="000C74EE" w14:paraId="223D806B" w14:textId="5EAAF53D">
      <w:pPr>
        <w:pStyle w:val="FoF"/>
        <w:numPr>
          <w:ilvl w:val="0"/>
          <w:numId w:val="3"/>
        </w:numPr>
        <w:ind w:firstLine="547"/>
        <w:rPr>
          <w:szCs w:val="26"/>
        </w:rPr>
      </w:pPr>
      <w:r w:rsidRPr="00261EAD">
        <w:rPr>
          <w:szCs w:val="26"/>
        </w:rPr>
        <w:t>Capping the total funding available for electric service line upsizing  prevents excessive ratepayer burden and promotes equitable distribution of benefits.</w:t>
      </w:r>
    </w:p>
    <w:p w:rsidRPr="007E6664" w:rsidR="000C74EE" w:rsidP="008256FA" w:rsidRDefault="000C74EE" w14:paraId="1DB05722" w14:textId="00445F78">
      <w:pPr>
        <w:pStyle w:val="FoF"/>
        <w:numPr>
          <w:ilvl w:val="0"/>
          <w:numId w:val="3"/>
        </w:numPr>
        <w:ind w:firstLine="547"/>
        <w:rPr>
          <w:szCs w:val="26"/>
        </w:rPr>
      </w:pPr>
      <w:r w:rsidRPr="00261EAD">
        <w:rPr>
          <w:szCs w:val="26"/>
        </w:rPr>
        <w:t xml:space="preserve">Placing a per-project cap on single-family </w:t>
      </w:r>
      <w:r w:rsidR="00BE52BC">
        <w:rPr>
          <w:szCs w:val="26"/>
        </w:rPr>
        <w:t xml:space="preserve">and small business </w:t>
      </w:r>
      <w:r w:rsidRPr="00261EAD">
        <w:rPr>
          <w:szCs w:val="26"/>
        </w:rPr>
        <w:t xml:space="preserve">service upgrades allows the available funds to assist a greater number of eligible </w:t>
      </w:r>
      <w:r w:rsidRPr="00261EAD">
        <w:rPr>
          <w:szCs w:val="26"/>
        </w:rPr>
        <w:lastRenderedPageBreak/>
        <w:t>customers, including multi-family and small business projects.</w:t>
      </w:r>
      <w:r w:rsidR="00CC6659">
        <w:rPr>
          <w:szCs w:val="26"/>
        </w:rPr>
        <w:t xml:space="preserve"> </w:t>
      </w:r>
      <w:r w:rsidRPr="00261EAD">
        <w:rPr>
          <w:szCs w:val="26"/>
        </w:rPr>
        <w:t xml:space="preserve">Multiple ratepayer and non-ratepayer-funded programs exist to assist </w:t>
      </w:r>
      <w:r w:rsidR="00D5037F">
        <w:rPr>
          <w:szCs w:val="26"/>
        </w:rPr>
        <w:t>under-resourced</w:t>
      </w:r>
      <w:r w:rsidRPr="00261EAD">
        <w:rPr>
          <w:szCs w:val="26"/>
        </w:rPr>
        <w:t xml:space="preserve"> customers in electrification efforts, and each program utilizes its own criteria and verification process to determine income eligibility and qualification as a</w:t>
      </w:r>
      <w:r w:rsidR="00D5037F">
        <w:rPr>
          <w:szCs w:val="26"/>
        </w:rPr>
        <w:t>n</w:t>
      </w:r>
      <w:r w:rsidRPr="00261EAD">
        <w:rPr>
          <w:szCs w:val="26"/>
        </w:rPr>
        <w:t xml:space="preserve"> </w:t>
      </w:r>
      <w:r w:rsidR="00D5037F">
        <w:rPr>
          <w:szCs w:val="26"/>
        </w:rPr>
        <w:t>under-resourced</w:t>
      </w:r>
      <w:r w:rsidRPr="00261EAD">
        <w:rPr>
          <w:szCs w:val="26"/>
        </w:rPr>
        <w:t xml:space="preserve"> customer.</w:t>
      </w:r>
    </w:p>
    <w:p w:rsidRPr="00E1404E" w:rsidR="000C74EE" w:rsidP="008256FA" w:rsidRDefault="000C74EE" w14:paraId="110B7A63" w14:textId="5A0F39F0">
      <w:pPr>
        <w:pStyle w:val="FoF"/>
        <w:numPr>
          <w:ilvl w:val="0"/>
          <w:numId w:val="3"/>
        </w:numPr>
        <w:ind w:firstLine="547"/>
        <w:rPr>
          <w:szCs w:val="26"/>
        </w:rPr>
      </w:pPr>
      <w:r w:rsidRPr="00261EAD">
        <w:rPr>
          <w:rFonts w:eastAsia="Times New Roman" w:cs="Times New Roman"/>
          <w:szCs w:val="26"/>
        </w:rPr>
        <w:t xml:space="preserve">Electric service upsizing requests can be triggered by factors other than electrification, including solar installation, energy storage systems, and other DERs, all of which </w:t>
      </w:r>
      <w:r w:rsidR="00A93971">
        <w:rPr>
          <w:rFonts w:eastAsia="Times New Roman" w:cs="Times New Roman"/>
          <w:szCs w:val="26"/>
        </w:rPr>
        <w:t xml:space="preserve">can </w:t>
      </w:r>
      <w:r w:rsidRPr="00261EAD">
        <w:rPr>
          <w:rFonts w:eastAsia="Times New Roman" w:cs="Times New Roman"/>
          <w:szCs w:val="26"/>
        </w:rPr>
        <w:t>contribute to electrification of a premise.</w:t>
      </w:r>
    </w:p>
    <w:p w:rsidRPr="00261EAD" w:rsidR="000C74EE" w:rsidP="008256FA" w:rsidRDefault="000C74EE" w14:paraId="0062E2F0" w14:textId="651A6717">
      <w:pPr>
        <w:pStyle w:val="FoF"/>
        <w:numPr>
          <w:ilvl w:val="0"/>
          <w:numId w:val="3"/>
        </w:numPr>
        <w:ind w:firstLine="547"/>
        <w:rPr>
          <w:szCs w:val="26"/>
        </w:rPr>
      </w:pPr>
      <w:r w:rsidRPr="00261EAD">
        <w:rPr>
          <w:rFonts w:eastAsia="Times New Roman" w:cs="Times New Roman"/>
          <w:szCs w:val="26"/>
        </w:rPr>
        <w:t>After the receipt of service upsizing applications, on-site utility personnel conducting service upsizing evaluations can collect data on existing service size and panel capacity</w:t>
      </w:r>
      <w:r w:rsidR="00CF1CC3">
        <w:rPr>
          <w:rFonts w:eastAsia="Times New Roman" w:cs="Times New Roman"/>
          <w:szCs w:val="26"/>
        </w:rPr>
        <w:t>, though this may require</w:t>
      </w:r>
      <w:r w:rsidRPr="00261EAD">
        <w:rPr>
          <w:rFonts w:eastAsia="Times New Roman" w:cs="Times New Roman"/>
          <w:szCs w:val="26"/>
        </w:rPr>
        <w:t xml:space="preserve"> additional administrative </w:t>
      </w:r>
      <w:r w:rsidR="006E656A">
        <w:rPr>
          <w:rFonts w:eastAsia="Times New Roman" w:cs="Times New Roman"/>
          <w:szCs w:val="26"/>
        </w:rPr>
        <w:t>and</w:t>
      </w:r>
      <w:r w:rsidRPr="00261EAD" w:rsidR="006E656A">
        <w:rPr>
          <w:rFonts w:eastAsia="Times New Roman" w:cs="Times New Roman"/>
          <w:szCs w:val="26"/>
        </w:rPr>
        <w:t xml:space="preserve"> </w:t>
      </w:r>
      <w:r w:rsidRPr="00261EAD">
        <w:rPr>
          <w:rFonts w:eastAsia="Times New Roman" w:cs="Times New Roman"/>
          <w:szCs w:val="26"/>
        </w:rPr>
        <w:t xml:space="preserve">operational </w:t>
      </w:r>
      <w:r w:rsidR="006E656A">
        <w:rPr>
          <w:rFonts w:eastAsia="Times New Roman" w:cs="Times New Roman"/>
          <w:szCs w:val="26"/>
        </w:rPr>
        <w:t>effort from</w:t>
      </w:r>
      <w:r w:rsidRPr="00261EAD">
        <w:rPr>
          <w:rFonts w:eastAsia="Times New Roman" w:cs="Times New Roman"/>
          <w:szCs w:val="26"/>
        </w:rPr>
        <w:t xml:space="preserve"> utilities.</w:t>
      </w:r>
    </w:p>
    <w:p w:rsidRPr="00261EAD" w:rsidR="000C74EE" w:rsidP="008256FA" w:rsidRDefault="000C74EE" w14:paraId="2145A2AB" w14:textId="1A7119D2">
      <w:pPr>
        <w:pStyle w:val="FoF"/>
        <w:numPr>
          <w:ilvl w:val="0"/>
          <w:numId w:val="3"/>
        </w:numPr>
        <w:ind w:firstLine="547"/>
        <w:rPr>
          <w:szCs w:val="26"/>
        </w:rPr>
      </w:pPr>
      <w:r w:rsidRPr="00261EAD">
        <w:rPr>
          <w:rFonts w:eastAsia="Times New Roman" w:cs="Times New Roman"/>
          <w:szCs w:val="26"/>
        </w:rPr>
        <w:t xml:space="preserve">Under </w:t>
      </w:r>
      <w:r w:rsidR="002F5C03">
        <w:rPr>
          <w:rFonts w:eastAsia="Times New Roman" w:cs="Times New Roman"/>
          <w:szCs w:val="26"/>
        </w:rPr>
        <w:t>NEC</w:t>
      </w:r>
      <w:r w:rsidRPr="00261EAD">
        <w:rPr>
          <w:rFonts w:eastAsia="Times New Roman" w:cs="Times New Roman"/>
          <w:szCs w:val="26"/>
        </w:rPr>
        <w:t xml:space="preserve"> 220.87, there is an alternative method for calculating existing residential load based on either hourly peak load measurements over one year or 15-minute peak load measurements over 30 days.</w:t>
      </w:r>
    </w:p>
    <w:p w:rsidRPr="00261EAD" w:rsidR="000C74EE" w:rsidP="008256FA" w:rsidRDefault="000C74EE" w14:paraId="077E2F8C" w14:textId="3F7ACC22">
      <w:pPr>
        <w:pStyle w:val="FoF"/>
        <w:numPr>
          <w:ilvl w:val="0"/>
          <w:numId w:val="3"/>
        </w:numPr>
        <w:ind w:firstLine="547"/>
        <w:rPr>
          <w:szCs w:val="26"/>
        </w:rPr>
      </w:pPr>
      <w:r w:rsidRPr="00261EAD">
        <w:rPr>
          <w:rFonts w:eastAsia="Times New Roman" w:cs="Times New Roman"/>
          <w:szCs w:val="26"/>
        </w:rPr>
        <w:t xml:space="preserve">SDG&amp;E </w:t>
      </w:r>
      <w:r w:rsidR="00AD3450">
        <w:rPr>
          <w:rFonts w:eastAsia="Times New Roman" w:cs="Times New Roman"/>
          <w:szCs w:val="26"/>
        </w:rPr>
        <w:t xml:space="preserve">currently </w:t>
      </w:r>
      <w:r w:rsidRPr="00261EAD">
        <w:rPr>
          <w:rFonts w:eastAsia="Times New Roman" w:cs="Times New Roman"/>
          <w:szCs w:val="26"/>
        </w:rPr>
        <w:t>provides 15-minute peak load data on customer bills.</w:t>
      </w:r>
    </w:p>
    <w:p w:rsidRPr="001D63C9" w:rsidR="0019259B" w:rsidP="008256FA" w:rsidRDefault="000C74EE" w14:paraId="44A76A4A" w14:textId="77777777">
      <w:pPr>
        <w:pStyle w:val="FoF"/>
        <w:numPr>
          <w:ilvl w:val="0"/>
          <w:numId w:val="3"/>
        </w:numPr>
        <w:ind w:firstLine="547"/>
        <w:rPr>
          <w:szCs w:val="26"/>
        </w:rPr>
      </w:pPr>
      <w:r w:rsidRPr="00261EAD">
        <w:rPr>
          <w:rFonts w:eastAsia="Times New Roman" w:cs="Times New Roman"/>
          <w:szCs w:val="26"/>
        </w:rPr>
        <w:t xml:space="preserve">Currently, electric utilities do not systematically collect and record the capacity of customer electrical service lines, </w:t>
      </w:r>
      <w:r w:rsidR="00D355EC">
        <w:rPr>
          <w:rFonts w:eastAsia="Times New Roman" w:cs="Times New Roman"/>
          <w:szCs w:val="26"/>
        </w:rPr>
        <w:t xml:space="preserve">which </w:t>
      </w:r>
      <w:r w:rsidRPr="00261EAD">
        <w:rPr>
          <w:rFonts w:eastAsia="Times New Roman" w:cs="Times New Roman"/>
          <w:szCs w:val="26"/>
        </w:rPr>
        <w:t>limit</w:t>
      </w:r>
      <w:r w:rsidR="00D355EC">
        <w:rPr>
          <w:rFonts w:eastAsia="Times New Roman" w:cs="Times New Roman"/>
          <w:szCs w:val="26"/>
        </w:rPr>
        <w:t>s</w:t>
      </w:r>
      <w:r w:rsidRPr="00261EAD">
        <w:rPr>
          <w:rFonts w:eastAsia="Times New Roman" w:cs="Times New Roman"/>
          <w:szCs w:val="26"/>
        </w:rPr>
        <w:t xml:space="preserve"> the </w:t>
      </w:r>
      <w:r w:rsidR="00D355EC">
        <w:rPr>
          <w:rFonts w:eastAsia="Times New Roman" w:cs="Times New Roman"/>
          <w:szCs w:val="26"/>
        </w:rPr>
        <w:t xml:space="preserve">utilities’ </w:t>
      </w:r>
      <w:r w:rsidRPr="00261EAD">
        <w:rPr>
          <w:rFonts w:eastAsia="Times New Roman" w:cs="Times New Roman"/>
          <w:szCs w:val="26"/>
        </w:rPr>
        <w:t xml:space="preserve">ability to analyze service upgrade trends and grid impacts. </w:t>
      </w:r>
    </w:p>
    <w:p w:rsidRPr="00131B1E" w:rsidR="00863D28" w:rsidP="008256FA" w:rsidRDefault="00863D28" w14:paraId="146EC62B" w14:textId="5F8F16AD">
      <w:pPr>
        <w:pStyle w:val="FoF"/>
        <w:numPr>
          <w:ilvl w:val="0"/>
          <w:numId w:val="3"/>
        </w:numPr>
        <w:ind w:firstLine="547"/>
        <w:rPr>
          <w:szCs w:val="26"/>
        </w:rPr>
      </w:pPr>
      <w:r w:rsidRPr="00863D28">
        <w:rPr>
          <w:szCs w:val="26"/>
        </w:rPr>
        <w:t>M</w:t>
      </w:r>
      <w:r w:rsidR="00025B2F">
        <w:rPr>
          <w:szCs w:val="26"/>
        </w:rPr>
        <w:t xml:space="preserve">isunderstanding </w:t>
      </w:r>
      <w:r w:rsidR="00F95C32">
        <w:rPr>
          <w:szCs w:val="26"/>
        </w:rPr>
        <w:t>and m</w:t>
      </w:r>
      <w:r w:rsidRPr="00863D28">
        <w:rPr>
          <w:szCs w:val="26"/>
        </w:rPr>
        <w:t>isinterpretation of service line capacity or peak demand data by customers may create public safety risks, including fire hazards or equipment failure, if customers add load without consulting the utility</w:t>
      </w:r>
      <w:r w:rsidR="003A0AF0">
        <w:rPr>
          <w:szCs w:val="26"/>
        </w:rPr>
        <w:t>,</w:t>
      </w:r>
      <w:r w:rsidRPr="00863D28">
        <w:rPr>
          <w:szCs w:val="26"/>
        </w:rPr>
        <w:t xml:space="preserve"> </w:t>
      </w:r>
      <w:r>
        <w:rPr>
          <w:szCs w:val="26"/>
        </w:rPr>
        <w:t xml:space="preserve">and </w:t>
      </w:r>
      <w:r w:rsidRPr="00863D28">
        <w:rPr>
          <w:szCs w:val="26"/>
        </w:rPr>
        <w:t>providing such data on bills may inadvertently encourage unsafe assumptions about system capacity.</w:t>
      </w:r>
    </w:p>
    <w:p w:rsidRPr="00CE6457" w:rsidR="000C74EE" w:rsidP="008256FA" w:rsidRDefault="00D355EC" w14:paraId="28095338" w14:textId="5CDBE1DA">
      <w:pPr>
        <w:pStyle w:val="FoF"/>
        <w:numPr>
          <w:ilvl w:val="0"/>
          <w:numId w:val="3"/>
        </w:numPr>
        <w:ind w:firstLine="547"/>
        <w:rPr>
          <w:szCs w:val="26"/>
        </w:rPr>
      </w:pPr>
      <w:r>
        <w:rPr>
          <w:rFonts w:eastAsia="Times New Roman" w:cs="Times New Roman"/>
          <w:szCs w:val="26"/>
        </w:rPr>
        <w:t>S</w:t>
      </w:r>
      <w:r w:rsidRPr="00261EAD" w:rsidR="000C74EE">
        <w:rPr>
          <w:rFonts w:eastAsia="Times New Roman" w:cs="Times New Roman"/>
          <w:szCs w:val="26"/>
        </w:rPr>
        <w:t xml:space="preserve">ystematic data collection </w:t>
      </w:r>
      <w:r w:rsidRPr="009A080F" w:rsidR="000C74EE">
        <w:t xml:space="preserve">will </w:t>
      </w:r>
      <w:r w:rsidRPr="00261EAD" w:rsidR="000C74EE">
        <w:rPr>
          <w:rFonts w:eastAsia="Times New Roman" w:cs="Times New Roman"/>
          <w:szCs w:val="26"/>
        </w:rPr>
        <w:t xml:space="preserve">improve data accuracy for </w:t>
      </w:r>
      <w:r w:rsidR="00DB2BE3">
        <w:rPr>
          <w:rFonts w:eastAsia="Times New Roman" w:cs="Times New Roman"/>
          <w:szCs w:val="26"/>
        </w:rPr>
        <w:t>processes</w:t>
      </w:r>
      <w:r w:rsidRPr="00261EAD" w:rsidR="00DB2BE3">
        <w:rPr>
          <w:rFonts w:eastAsia="Times New Roman" w:cs="Times New Roman"/>
          <w:szCs w:val="26"/>
        </w:rPr>
        <w:t xml:space="preserve"> </w:t>
      </w:r>
      <w:r w:rsidRPr="00475E8E" w:rsidR="00475E8E">
        <w:rPr>
          <w:rFonts w:eastAsia="Times New Roman" w:cs="Times New Roman"/>
          <w:szCs w:val="26"/>
        </w:rPr>
        <w:t xml:space="preserve">and better inform the Commission in its future decision making </w:t>
      </w:r>
      <w:r w:rsidRPr="00261EAD" w:rsidR="000C74EE">
        <w:rPr>
          <w:rFonts w:eastAsia="Times New Roman" w:cs="Times New Roman"/>
          <w:szCs w:val="26"/>
        </w:rPr>
        <w:t xml:space="preserve">such as future grid </w:t>
      </w:r>
      <w:r w:rsidRPr="00261EAD" w:rsidR="000C74EE">
        <w:rPr>
          <w:rFonts w:eastAsia="Times New Roman" w:cs="Times New Roman"/>
          <w:szCs w:val="26"/>
        </w:rPr>
        <w:lastRenderedPageBreak/>
        <w:t>planning, infrastructure investment planning, policy decisions, and equitable access to grid capacity.</w:t>
      </w:r>
    </w:p>
    <w:p w:rsidRPr="00261EAD" w:rsidR="00124CC3" w:rsidP="008256FA" w:rsidRDefault="00124CC3" w14:paraId="44220449" w14:textId="278DBB09">
      <w:pPr>
        <w:pStyle w:val="FoF"/>
        <w:numPr>
          <w:ilvl w:val="0"/>
          <w:numId w:val="3"/>
        </w:numPr>
        <w:ind w:firstLine="547"/>
        <w:rPr>
          <w:szCs w:val="26"/>
        </w:rPr>
      </w:pPr>
      <w:r>
        <w:rPr>
          <w:rFonts w:eastAsia="Times New Roman" w:cs="Times New Roman"/>
          <w:szCs w:val="26"/>
        </w:rPr>
        <w:t xml:space="preserve">Currently, per Electric </w:t>
      </w:r>
      <w:r w:rsidR="00475E8E">
        <w:rPr>
          <w:rFonts w:eastAsia="Times New Roman" w:cs="Times New Roman"/>
          <w:szCs w:val="26"/>
        </w:rPr>
        <w:t xml:space="preserve">Tariff </w:t>
      </w:r>
      <w:r>
        <w:rPr>
          <w:rFonts w:eastAsia="Times New Roman" w:cs="Times New Roman"/>
          <w:szCs w:val="26"/>
        </w:rPr>
        <w:t>Rule 3</w:t>
      </w:r>
      <w:r w:rsidR="00A5585E">
        <w:rPr>
          <w:rFonts w:eastAsia="Times New Roman" w:cs="Times New Roman"/>
          <w:szCs w:val="26"/>
        </w:rPr>
        <w:t>.C</w:t>
      </w:r>
      <w:r>
        <w:rPr>
          <w:rFonts w:eastAsia="Times New Roman" w:cs="Times New Roman"/>
          <w:szCs w:val="26"/>
        </w:rPr>
        <w:t>, customers must inform their electric utility when they add new load to their premises.</w:t>
      </w:r>
    </w:p>
    <w:p w:rsidRPr="00261EAD" w:rsidR="000C74EE" w:rsidP="008256FA" w:rsidRDefault="000C74EE" w14:paraId="5473B1F5" w14:textId="33741B4C">
      <w:pPr>
        <w:pStyle w:val="ListParagraph"/>
        <w:numPr>
          <w:ilvl w:val="0"/>
          <w:numId w:val="3"/>
        </w:numPr>
        <w:rPr>
          <w:szCs w:val="26"/>
        </w:rPr>
      </w:pPr>
      <w:r w:rsidRPr="00261EAD">
        <w:rPr>
          <w:rFonts w:eastAsia="Times New Roman" w:cs="Times New Roman"/>
          <w:szCs w:val="26"/>
        </w:rPr>
        <w:t>In D.21</w:t>
      </w:r>
      <w:r w:rsidR="003237E9">
        <w:rPr>
          <w:rFonts w:eastAsia="Times New Roman" w:cs="Times New Roman"/>
          <w:szCs w:val="26"/>
        </w:rPr>
        <w:noBreakHyphen/>
      </w:r>
      <w:r w:rsidRPr="00261EAD">
        <w:rPr>
          <w:rFonts w:eastAsia="Times New Roman" w:cs="Times New Roman"/>
          <w:szCs w:val="26"/>
        </w:rPr>
        <w:t>01</w:t>
      </w:r>
      <w:r w:rsidR="003237E9">
        <w:rPr>
          <w:rFonts w:eastAsia="Times New Roman" w:cs="Times New Roman"/>
          <w:szCs w:val="26"/>
        </w:rPr>
        <w:noBreakHyphen/>
      </w:r>
      <w:r w:rsidRPr="00261EAD">
        <w:rPr>
          <w:rFonts w:eastAsia="Times New Roman" w:cs="Times New Roman"/>
          <w:szCs w:val="26"/>
        </w:rPr>
        <w:t>018, the Commission approved $3</w:t>
      </w:r>
      <w:r w:rsidR="002E58D8">
        <w:rPr>
          <w:rFonts w:eastAsia="Times New Roman" w:cs="Times New Roman"/>
          <w:szCs w:val="26"/>
        </w:rPr>
        <w:t> million</w:t>
      </w:r>
      <w:r w:rsidRPr="00261EAD">
        <w:rPr>
          <w:rFonts w:eastAsia="Times New Roman" w:cs="Times New Roman"/>
          <w:szCs w:val="26"/>
        </w:rPr>
        <w:t xml:space="preserve"> in funding for PG&amp;E, SCE, and SDG&amp;E to evaluate technologies that enable electrical isolation of a premise during grid outages</w:t>
      </w:r>
      <w:r w:rsidR="004B32D6">
        <w:rPr>
          <w:rFonts w:eastAsia="Times New Roman" w:cs="Times New Roman"/>
          <w:szCs w:val="26"/>
        </w:rPr>
        <w:t xml:space="preserve">, which </w:t>
      </w:r>
      <w:r w:rsidRPr="00261EAD">
        <w:rPr>
          <w:rFonts w:eastAsia="Times New Roman" w:cs="Times New Roman"/>
          <w:szCs w:val="26"/>
        </w:rPr>
        <w:t xml:space="preserve">currently </w:t>
      </w:r>
      <w:r w:rsidR="00412A97">
        <w:rPr>
          <w:rFonts w:eastAsia="Times New Roman" w:cs="Times New Roman"/>
          <w:szCs w:val="26"/>
        </w:rPr>
        <w:t xml:space="preserve">does not </w:t>
      </w:r>
      <w:r w:rsidRPr="00261EAD">
        <w:rPr>
          <w:rFonts w:eastAsia="Times New Roman" w:cs="Times New Roman"/>
          <w:szCs w:val="26"/>
        </w:rPr>
        <w:t>cover the evaluation of non-isolating technologies that interface with utility equipment.</w:t>
      </w:r>
    </w:p>
    <w:p w:rsidRPr="00261EAD" w:rsidR="000C74EE" w:rsidP="008256FA" w:rsidRDefault="000C74EE" w14:paraId="757EE063" w14:textId="77777777">
      <w:pPr>
        <w:pStyle w:val="ListParagraph"/>
        <w:numPr>
          <w:ilvl w:val="0"/>
          <w:numId w:val="3"/>
        </w:numPr>
        <w:rPr>
          <w:szCs w:val="26"/>
        </w:rPr>
      </w:pPr>
      <w:r w:rsidRPr="00261EAD">
        <w:rPr>
          <w:rFonts w:eastAsia="Times New Roman" w:cs="Times New Roman"/>
          <w:szCs w:val="26"/>
        </w:rPr>
        <w:t>Resolution E-5194 outlines the process and criteria for evaluating the safety and reliability of electric isolation technologies before they can be deployed or implemented, but this process does not extend to non-isolating technologies.</w:t>
      </w:r>
    </w:p>
    <w:p w:rsidRPr="00261EAD" w:rsidR="000C74EE" w:rsidP="008256FA" w:rsidRDefault="000C74EE" w14:paraId="1F7334BF" w14:textId="5A90102B">
      <w:pPr>
        <w:pStyle w:val="ListParagraph"/>
        <w:numPr>
          <w:ilvl w:val="0"/>
          <w:numId w:val="3"/>
        </w:numPr>
        <w:rPr>
          <w:szCs w:val="26"/>
        </w:rPr>
      </w:pPr>
      <w:r w:rsidRPr="00261EAD">
        <w:rPr>
          <w:rFonts w:eastAsia="Times New Roman" w:cs="Times New Roman"/>
          <w:szCs w:val="26"/>
        </w:rPr>
        <w:t>Non-isolating devices, such as meter socket adapters with distributed energy resource capabilities, can support the state’s decarbonization goals by facilitating electrification, optimizing energy</w:t>
      </w:r>
      <w:r w:rsidRPr="009A080F">
        <w:t xml:space="preserve"> use</w:t>
      </w:r>
      <w:r w:rsidRPr="00261EAD">
        <w:rPr>
          <w:rFonts w:eastAsia="Times New Roman" w:cs="Times New Roman"/>
          <w:szCs w:val="26"/>
        </w:rPr>
        <w:t>, and reducing the need for unnecessary panel and service upsizing.</w:t>
      </w:r>
    </w:p>
    <w:p w:rsidRPr="00ED2176" w:rsidR="000C74EE" w:rsidP="008256FA" w:rsidRDefault="000C74EE" w14:paraId="6085EE96" w14:textId="258BBCE6">
      <w:pPr>
        <w:pStyle w:val="ListParagraph"/>
        <w:numPr>
          <w:ilvl w:val="0"/>
          <w:numId w:val="3"/>
        </w:numPr>
        <w:rPr>
          <w:szCs w:val="26"/>
        </w:rPr>
      </w:pPr>
      <w:r w:rsidRPr="00ED2176">
        <w:rPr>
          <w:szCs w:val="26"/>
        </w:rPr>
        <w:t xml:space="preserve">D.21-01-018 </w:t>
      </w:r>
      <w:r>
        <w:rPr>
          <w:szCs w:val="26"/>
        </w:rPr>
        <w:t>directed</w:t>
      </w:r>
      <w:r w:rsidRPr="00ED2176">
        <w:rPr>
          <w:szCs w:val="26"/>
        </w:rPr>
        <w:t xml:space="preserve"> PG&amp;E, SCE, and SDG&amp;E to submit Tier 2 Advice Letters to request additional funding for safety evaluations of isolating devices, ensuring adequate resources for rigorous testing and grid safety</w:t>
      </w:r>
      <w:r w:rsidR="00A84D94">
        <w:rPr>
          <w:szCs w:val="26"/>
        </w:rPr>
        <w:t>;</w:t>
      </w:r>
      <w:r w:rsidR="00B148C8">
        <w:rPr>
          <w:szCs w:val="26"/>
        </w:rPr>
        <w:t xml:space="preserve"> but t</w:t>
      </w:r>
      <w:r w:rsidRPr="00ED2176">
        <w:rPr>
          <w:szCs w:val="26"/>
        </w:rPr>
        <w:t>he need for expanded safety evaluations now includes non-isolating devices that interface with utility equipment.</w:t>
      </w:r>
    </w:p>
    <w:p w:rsidRPr="0047439F" w:rsidR="000C74EE" w:rsidP="008256FA" w:rsidRDefault="000C74EE" w14:paraId="736FB797" w14:textId="77777777">
      <w:pPr>
        <w:pStyle w:val="ListParagraph"/>
        <w:numPr>
          <w:ilvl w:val="0"/>
          <w:numId w:val="3"/>
        </w:numPr>
        <w:rPr>
          <w:szCs w:val="26"/>
        </w:rPr>
      </w:pPr>
      <w:r w:rsidRPr="0047439F">
        <w:rPr>
          <w:rFonts w:eastAsia="Times New Roman" w:cs="Times New Roman"/>
          <w:szCs w:val="26"/>
        </w:rPr>
        <w:t>Resolution E-5194 requires PG&amp;E, SCE, and SDG&amp;E, along with suppliers, to submit an informational filing in R.19-09-009 when a utility terminates an evaluation process for an electrical isolation device without approving it for deployment, or when progress has ceased after an evaluation process lasted more than six months.</w:t>
      </w:r>
    </w:p>
    <w:p w:rsidRPr="001B7438" w:rsidR="000C74EE" w:rsidP="008256FA" w:rsidRDefault="000C74EE" w14:paraId="62710E8B" w14:textId="5A1E53AC">
      <w:pPr>
        <w:pStyle w:val="ListParagraph"/>
        <w:numPr>
          <w:ilvl w:val="0"/>
          <w:numId w:val="3"/>
        </w:numPr>
        <w:rPr>
          <w:szCs w:val="26"/>
        </w:rPr>
      </w:pPr>
      <w:r w:rsidRPr="001B7438">
        <w:rPr>
          <w:szCs w:val="26"/>
        </w:rPr>
        <w:lastRenderedPageBreak/>
        <w:t xml:space="preserve">Providing a publicly accessible list of approved non-isolating devices will enhance transparency, streamline the customer decision-making process, and prevent installation of non-compliant or unsafe </w:t>
      </w:r>
      <w:r>
        <w:rPr>
          <w:szCs w:val="26"/>
        </w:rPr>
        <w:t>devices</w:t>
      </w:r>
      <w:r w:rsidRPr="001B7438">
        <w:rPr>
          <w:szCs w:val="26"/>
        </w:rPr>
        <w:t>.</w:t>
      </w:r>
    </w:p>
    <w:p w:rsidRPr="00070E66" w:rsidR="000C74EE" w:rsidP="008256FA" w:rsidRDefault="000C74EE" w14:paraId="2BDEF66C" w14:textId="77777777">
      <w:pPr>
        <w:pStyle w:val="ListParagraph"/>
        <w:numPr>
          <w:ilvl w:val="0"/>
          <w:numId w:val="3"/>
        </w:numPr>
        <w:rPr>
          <w:szCs w:val="26"/>
        </w:rPr>
      </w:pPr>
      <w:r w:rsidRPr="00070E66">
        <w:rPr>
          <w:rFonts w:eastAsia="Times New Roman" w:cs="Times New Roman"/>
          <w:szCs w:val="26"/>
        </w:rPr>
        <w:t>MSAs can facilitate customer electrification by providing a cost-effective alternative to electric panel upgrades and service line upsizing.</w:t>
      </w:r>
    </w:p>
    <w:p w:rsidRPr="00070E66" w:rsidR="000C74EE" w:rsidP="008256FA" w:rsidRDefault="000C74EE" w14:paraId="23A058C4" w14:textId="2A6336AD">
      <w:pPr>
        <w:pStyle w:val="ListParagraph"/>
        <w:numPr>
          <w:ilvl w:val="0"/>
          <w:numId w:val="3"/>
        </w:numPr>
        <w:rPr>
          <w:szCs w:val="26"/>
        </w:rPr>
      </w:pPr>
      <w:r w:rsidRPr="00070E66">
        <w:rPr>
          <w:rFonts w:eastAsia="Times New Roman" w:cs="Times New Roman"/>
          <w:szCs w:val="26"/>
        </w:rPr>
        <w:t xml:space="preserve">Resolution E-5194 establishes a safety evaluation process for </w:t>
      </w:r>
      <w:r w:rsidR="00170BCF">
        <w:rPr>
          <w:rFonts w:eastAsia="Times New Roman" w:cs="Times New Roman"/>
          <w:szCs w:val="26"/>
        </w:rPr>
        <w:t>customer-owned</w:t>
      </w:r>
      <w:r w:rsidRPr="00070E66">
        <w:rPr>
          <w:rFonts w:eastAsia="Times New Roman" w:cs="Times New Roman"/>
          <w:szCs w:val="26"/>
        </w:rPr>
        <w:t xml:space="preserve"> devices</w:t>
      </w:r>
      <w:r w:rsidR="00E54843">
        <w:rPr>
          <w:rFonts w:eastAsia="Times New Roman" w:cs="Times New Roman"/>
          <w:szCs w:val="26"/>
        </w:rPr>
        <w:t xml:space="preserve"> </w:t>
      </w:r>
      <w:r w:rsidR="00C9519A">
        <w:rPr>
          <w:rFonts w:eastAsia="Times New Roman" w:cs="Times New Roman"/>
          <w:szCs w:val="26"/>
        </w:rPr>
        <w:t>that interface with utility infrastructure</w:t>
      </w:r>
      <w:r w:rsidR="00E54843">
        <w:rPr>
          <w:rFonts w:eastAsia="Times New Roman" w:cs="Times New Roman"/>
          <w:szCs w:val="26"/>
        </w:rPr>
        <w:t xml:space="preserve"> and</w:t>
      </w:r>
      <w:r w:rsidRPr="00070E66">
        <w:rPr>
          <w:rFonts w:eastAsia="Times New Roman" w:cs="Times New Roman"/>
          <w:szCs w:val="26"/>
        </w:rPr>
        <w:t xml:space="preserve"> </w:t>
      </w:r>
      <w:r w:rsidR="00757950">
        <w:rPr>
          <w:rFonts w:eastAsia="Times New Roman" w:cs="Times New Roman"/>
          <w:szCs w:val="26"/>
        </w:rPr>
        <w:t>provides</w:t>
      </w:r>
      <w:r w:rsidRPr="00070E66">
        <w:rPr>
          <w:rFonts w:eastAsia="Times New Roman" w:cs="Times New Roman"/>
          <w:szCs w:val="26"/>
        </w:rPr>
        <w:t xml:space="preserve"> </w:t>
      </w:r>
      <w:r w:rsidR="00A61BEB">
        <w:rPr>
          <w:rFonts w:eastAsia="Times New Roman" w:cs="Times New Roman"/>
          <w:szCs w:val="26"/>
        </w:rPr>
        <w:t xml:space="preserve">that </w:t>
      </w:r>
      <w:r w:rsidRPr="00070E66">
        <w:rPr>
          <w:rFonts w:eastAsia="Times New Roman" w:cs="Times New Roman"/>
          <w:szCs w:val="26"/>
        </w:rPr>
        <w:t xml:space="preserve">only </w:t>
      </w:r>
      <w:r w:rsidR="00A61BEB">
        <w:rPr>
          <w:rFonts w:eastAsia="Times New Roman" w:cs="Times New Roman"/>
          <w:szCs w:val="26"/>
        </w:rPr>
        <w:t>devices</w:t>
      </w:r>
      <w:r w:rsidRPr="00070E66">
        <w:rPr>
          <w:rFonts w:eastAsia="Times New Roman" w:cs="Times New Roman"/>
          <w:szCs w:val="26"/>
        </w:rPr>
        <w:t xml:space="preserve"> meeting the required safety and operational standards are </w:t>
      </w:r>
      <w:r>
        <w:rPr>
          <w:rFonts w:eastAsia="Times New Roman" w:cs="Times New Roman"/>
          <w:szCs w:val="26"/>
        </w:rPr>
        <w:t>allowed</w:t>
      </w:r>
      <w:r w:rsidRPr="00070E66">
        <w:rPr>
          <w:rFonts w:eastAsia="Times New Roman" w:cs="Times New Roman"/>
          <w:szCs w:val="26"/>
        </w:rPr>
        <w:t xml:space="preserve"> for installation.</w:t>
      </w:r>
    </w:p>
    <w:p w:rsidRPr="00EC50EB" w:rsidR="000C74EE" w:rsidP="008256FA" w:rsidRDefault="000C74EE" w14:paraId="3A8280AD" w14:textId="083C9E72">
      <w:pPr>
        <w:pStyle w:val="ListParagraph"/>
        <w:numPr>
          <w:ilvl w:val="0"/>
          <w:numId w:val="3"/>
        </w:numPr>
        <w:rPr>
          <w:szCs w:val="26"/>
        </w:rPr>
      </w:pPr>
      <w:r w:rsidRPr="00EC50EB">
        <w:rPr>
          <w:rFonts w:eastAsia="Times New Roman" w:cs="Times New Roman"/>
          <w:szCs w:val="26"/>
        </w:rPr>
        <w:t xml:space="preserve">MSAs approved through the Resolution E-5194 safety evaluation process require standardized installation procedures to </w:t>
      </w:r>
      <w:r w:rsidR="00757950">
        <w:rPr>
          <w:rFonts w:eastAsia="Times New Roman" w:cs="Times New Roman"/>
          <w:szCs w:val="26"/>
        </w:rPr>
        <w:t>provide for</w:t>
      </w:r>
      <w:r w:rsidRPr="00EC50EB">
        <w:rPr>
          <w:rFonts w:eastAsia="Times New Roman" w:cs="Times New Roman"/>
          <w:szCs w:val="26"/>
        </w:rPr>
        <w:t xml:space="preserve"> safe and effective deployment across all utility service territories.</w:t>
      </w:r>
    </w:p>
    <w:p w:rsidRPr="00EC50EB" w:rsidR="000C74EE" w:rsidP="008256FA" w:rsidRDefault="000C74EE" w14:paraId="3B8F403E" w14:textId="77777777">
      <w:pPr>
        <w:pStyle w:val="ListParagraph"/>
        <w:numPr>
          <w:ilvl w:val="0"/>
          <w:numId w:val="3"/>
        </w:numPr>
        <w:rPr>
          <w:szCs w:val="26"/>
        </w:rPr>
      </w:pPr>
      <w:r w:rsidRPr="00EC50EB">
        <w:rPr>
          <w:rFonts w:eastAsia="Times New Roman" w:cs="Times New Roman"/>
          <w:szCs w:val="26"/>
        </w:rPr>
        <w:t>PG&amp;E, SCE, and SDG&amp;E maintain electric service requirement manuals that provide technical and procedural guidance for customers, contractors, and utility personnel on installing utility-approved devices.</w:t>
      </w:r>
    </w:p>
    <w:p w:rsidR="005D746D" w:rsidP="005D746D" w:rsidRDefault="0E50D837" w14:paraId="5E1360D4" w14:textId="77777777">
      <w:pPr>
        <w:pStyle w:val="ListParagraph"/>
        <w:numPr>
          <w:ilvl w:val="0"/>
          <w:numId w:val="3"/>
        </w:numPr>
        <w:rPr>
          <w:rFonts w:eastAsia="Times New Roman" w:cs="Times New Roman"/>
        </w:rPr>
      </w:pPr>
      <w:r w:rsidRPr="5107A9CF">
        <w:rPr>
          <w:rFonts w:eastAsia="Times New Roman" w:cs="Times New Roman"/>
        </w:rPr>
        <w:t>Currently, customers and contractors have limited access to information about strategies for avoiding service upsizing, such as load management technologies, panel optimization, and the use of smart devices.</w:t>
      </w:r>
      <w:r w:rsidR="005D746D">
        <w:rPr>
          <w:rFonts w:eastAsia="Times New Roman" w:cs="Times New Roman"/>
        </w:rPr>
        <w:t xml:space="preserve"> </w:t>
      </w:r>
      <w:r w:rsidRPr="005D746D" w:rsidR="005D746D">
        <w:rPr>
          <w:rFonts w:eastAsia="Times New Roman" w:cs="Times New Roman"/>
        </w:rPr>
        <w:t>Centralized, publicly accessible educational resources can reduce unnecessary service upsizing requests and promote more cost-effective electrification.</w:t>
      </w:r>
    </w:p>
    <w:p w:rsidRPr="001D63C9" w:rsidR="005D746D" w:rsidP="001D63C9" w:rsidRDefault="005D746D" w14:paraId="462B0AF9" w14:textId="554F4B94">
      <w:pPr>
        <w:pStyle w:val="ListParagraph"/>
        <w:numPr>
          <w:ilvl w:val="0"/>
          <w:numId w:val="3"/>
        </w:numPr>
        <w:rPr>
          <w:rFonts w:eastAsia="Times New Roman" w:cs="Times New Roman"/>
        </w:rPr>
      </w:pPr>
      <w:r w:rsidRPr="001D63C9">
        <w:rPr>
          <w:rFonts w:eastAsia="Times New Roman" w:cs="Times New Roman"/>
        </w:rPr>
        <w:t>Collecting applicant attestations confirming review of educational materials about alternatives to service line upsizing can improve customer understanding without imposing undue administrative burden.</w:t>
      </w:r>
    </w:p>
    <w:p w:rsidR="000C74EE" w:rsidP="008256FA" w:rsidRDefault="0E50D837" w14:paraId="4158A37E" w14:textId="77777777">
      <w:pPr>
        <w:pStyle w:val="ListParagraph"/>
        <w:numPr>
          <w:ilvl w:val="0"/>
          <w:numId w:val="3"/>
        </w:numPr>
      </w:pPr>
      <w:r>
        <w:t xml:space="preserve">More frequent and granular reporting on electric line extension subsidy expenditures for mixed-fuel new construction projects is necessary to enhance </w:t>
      </w:r>
      <w:r>
        <w:lastRenderedPageBreak/>
        <w:t>transparency and enable the Commission to assess trends, expenditures, and project completion timelines more effectively.</w:t>
      </w:r>
    </w:p>
    <w:p w:rsidRPr="00837884" w:rsidR="00837884" w:rsidP="00837884" w:rsidRDefault="00837884" w14:paraId="243B61D2" w14:textId="77777777">
      <w:pPr>
        <w:pStyle w:val="ListParagraph"/>
        <w:numPr>
          <w:ilvl w:val="0"/>
          <w:numId w:val="3"/>
        </w:numPr>
      </w:pPr>
      <w:r w:rsidRPr="00837884">
        <w:t>The building process frequently experiences unforeseen delays in energization due to factors beyond developers’ control, such as supply chain disruptions, material shortages, labor constraints, permitting delays, and project complexities.</w:t>
      </w:r>
    </w:p>
    <w:p w:rsidR="003702EB" w:rsidP="008811BE" w:rsidRDefault="00BF293E" w14:paraId="3E5A2737" w14:textId="11520F04">
      <w:pPr>
        <w:pStyle w:val="ListParagraph"/>
        <w:numPr>
          <w:ilvl w:val="0"/>
          <w:numId w:val="3"/>
        </w:numPr>
      </w:pPr>
      <w:r>
        <w:t>S</w:t>
      </w:r>
      <w:r w:rsidRPr="00BF293E">
        <w:t xml:space="preserve">ome mixed-fuel new construction projects had completed development planning prior to July 1, 2024, but had not yet executed contracts. These projects lacked sufficient notice regarding the sunset of electric line extension subsidies to finalize contracts by the original deadline. </w:t>
      </w:r>
    </w:p>
    <w:p w:rsidR="00BF293E" w:rsidP="008256FA" w:rsidRDefault="00BF293E" w14:paraId="758E63B3" w14:textId="15BB9FA7">
      <w:pPr>
        <w:pStyle w:val="ListParagraph"/>
        <w:numPr>
          <w:ilvl w:val="0"/>
          <w:numId w:val="3"/>
        </w:numPr>
      </w:pPr>
      <w:r w:rsidRPr="00BF293E">
        <w:t>Extending the deadline for contract finalization would allow projects</w:t>
      </w:r>
      <w:r w:rsidR="00114A48">
        <w:t xml:space="preserve"> that lacked </w:t>
      </w:r>
      <w:r w:rsidRPr="007F6C4C" w:rsidR="007F6C4C">
        <w:t>fully executed contact by July 1, 2024</w:t>
      </w:r>
      <w:r w:rsidRPr="00BF293E">
        <w:t>, to remain eligible for subsidies in a manner consistent with the intent of prior commitments.</w:t>
      </w:r>
    </w:p>
    <w:p w:rsidR="005D746D" w:rsidP="005D746D" w:rsidRDefault="005D746D" w14:paraId="455532A8" w14:textId="40E687CD">
      <w:pPr>
        <w:pStyle w:val="ListParagraph"/>
        <w:numPr>
          <w:ilvl w:val="0"/>
          <w:numId w:val="3"/>
        </w:numPr>
      </w:pPr>
      <w:r w:rsidRPr="005D746D">
        <w:t>Standardizing the</w:t>
      </w:r>
      <w:r w:rsidR="00AD29EC">
        <w:t xml:space="preserve"> vari</w:t>
      </w:r>
      <w:r w:rsidR="00A91B02">
        <w:t>ed</w:t>
      </w:r>
      <w:r w:rsidRPr="005D746D">
        <w:t xml:space="preserve"> deadlines</w:t>
      </w:r>
      <w:r w:rsidRPr="008455D5" w:rsidR="008455D5">
        <w:t xml:space="preserve"> previously set in Resolution E-5105 (reporting deadline of September 1 of every year for various decarbonization-related data), D.21-11-002 (reporting deadline of February 1 of every year for new customer data relating to appliance usage), and D.23-12-037 (reporting deadline of May 1 of every year for data relating to line extension requests and subsidies) </w:t>
      </w:r>
      <w:r w:rsidRPr="005D746D">
        <w:t>to April 15 improves efficiency and enables consistent year-over-year comparisons.</w:t>
      </w:r>
    </w:p>
    <w:p w:rsidR="005D746D" w:rsidP="001D63C9" w:rsidRDefault="005D746D" w14:paraId="451EBE1F" w14:textId="18D1D7EC">
      <w:pPr>
        <w:pStyle w:val="ListParagraph"/>
        <w:numPr>
          <w:ilvl w:val="0"/>
          <w:numId w:val="3"/>
        </w:numPr>
      </w:pPr>
      <w:r w:rsidRPr="005D746D">
        <w:t>Making non-confidential building decarbonization data publicly accessible on electric utility websites improves transparency and enables broader market and public engagement.</w:t>
      </w:r>
    </w:p>
    <w:p w:rsidRPr="00F3754E" w:rsidR="00F3754E" w:rsidP="008256FA" w:rsidRDefault="00F3754E" w14:paraId="57FA41D4" w14:textId="10C2DBE3">
      <w:pPr>
        <w:pStyle w:val="CoL"/>
        <w:numPr>
          <w:ilvl w:val="0"/>
          <w:numId w:val="3"/>
        </w:numPr>
        <w:rPr>
          <w:szCs w:val="26"/>
        </w:rPr>
      </w:pPr>
      <w:r w:rsidRPr="00871292">
        <w:rPr>
          <w:rFonts w:eastAsia="Times New Roman" w:cs="Times New Roman"/>
          <w:szCs w:val="26"/>
        </w:rPr>
        <w:t>The TECH Initiative has historically been limited to providing incentives for heat pump space and water heaters, as specified in Public Utilities Code Section 922</w:t>
      </w:r>
      <w:r w:rsidR="00047E8D">
        <w:rPr>
          <w:rFonts w:eastAsia="Times New Roman" w:cs="Times New Roman"/>
          <w:szCs w:val="26"/>
        </w:rPr>
        <w:t xml:space="preserve">, </w:t>
      </w:r>
      <w:r w:rsidR="00211B7D">
        <w:rPr>
          <w:rFonts w:eastAsia="Times New Roman" w:cs="Times New Roman"/>
          <w:szCs w:val="26"/>
        </w:rPr>
        <w:t>and</w:t>
      </w:r>
      <w:r w:rsidR="00047E8D">
        <w:rPr>
          <w:rFonts w:eastAsia="Times New Roman" w:cs="Times New Roman"/>
          <w:szCs w:val="26"/>
        </w:rPr>
        <w:t xml:space="preserve"> </w:t>
      </w:r>
      <w:r w:rsidR="00240655">
        <w:rPr>
          <w:rFonts w:eastAsia="Times New Roman" w:cs="Times New Roman"/>
          <w:szCs w:val="26"/>
        </w:rPr>
        <w:t>AB </w:t>
      </w:r>
      <w:r w:rsidRPr="00871292">
        <w:rPr>
          <w:rFonts w:eastAsia="Times New Roman" w:cs="Times New Roman"/>
          <w:szCs w:val="26"/>
        </w:rPr>
        <w:t xml:space="preserve">157 expanded </w:t>
      </w:r>
      <w:r w:rsidR="00B67C35">
        <w:rPr>
          <w:rFonts w:eastAsia="Times New Roman" w:cs="Times New Roman"/>
          <w:szCs w:val="26"/>
        </w:rPr>
        <w:t>its</w:t>
      </w:r>
      <w:r w:rsidRPr="00871292">
        <w:rPr>
          <w:rFonts w:eastAsia="Times New Roman" w:cs="Times New Roman"/>
          <w:szCs w:val="26"/>
        </w:rPr>
        <w:t xml:space="preserve"> scope of eligible electrification measures by </w:t>
      </w:r>
      <w:r w:rsidRPr="00871292">
        <w:rPr>
          <w:rFonts w:eastAsia="Times New Roman" w:cs="Times New Roman"/>
          <w:szCs w:val="26"/>
        </w:rPr>
        <w:lastRenderedPageBreak/>
        <w:t>allocating funds for additional technologies that support comprehensive building electrification.</w:t>
      </w:r>
    </w:p>
    <w:p w:rsidRPr="009C7231" w:rsidR="000C74EE" w:rsidP="008256FA" w:rsidRDefault="000C74EE" w14:paraId="06484F20" w14:textId="30ADF0A4">
      <w:pPr>
        <w:pStyle w:val="ListParagraph"/>
        <w:numPr>
          <w:ilvl w:val="0"/>
          <w:numId w:val="3"/>
        </w:numPr>
        <w:rPr>
          <w:szCs w:val="26"/>
        </w:rPr>
      </w:pPr>
      <w:r w:rsidRPr="009C7231">
        <w:rPr>
          <w:rFonts w:eastAsia="Times New Roman" w:cs="Times New Roman"/>
          <w:szCs w:val="26"/>
        </w:rPr>
        <w:t xml:space="preserve">Load management devices, such as MSAs and smart splitters, can help customers avoid costly electric service line upsizing by optimizing </w:t>
      </w:r>
      <w:r w:rsidR="007114ED">
        <w:rPr>
          <w:rFonts w:eastAsia="Times New Roman" w:cs="Times New Roman"/>
          <w:szCs w:val="26"/>
        </w:rPr>
        <w:t>a customer’s</w:t>
      </w:r>
      <w:r w:rsidRPr="009C7231">
        <w:rPr>
          <w:rFonts w:eastAsia="Times New Roman" w:cs="Times New Roman"/>
          <w:szCs w:val="26"/>
        </w:rPr>
        <w:t xml:space="preserve"> existing electrical infrastructure.</w:t>
      </w:r>
    </w:p>
    <w:p w:rsidRPr="0072518E" w:rsidR="000C74EE" w:rsidP="008256FA" w:rsidRDefault="000C74EE" w14:paraId="1F103DA5" w14:textId="7B741EEB">
      <w:pPr>
        <w:pStyle w:val="ListParagraph"/>
        <w:numPr>
          <w:ilvl w:val="0"/>
          <w:numId w:val="3"/>
        </w:numPr>
      </w:pPr>
      <w:r w:rsidRPr="11EBE291">
        <w:rPr>
          <w:rFonts w:eastAsia="Times New Roman" w:cs="Times New Roman"/>
        </w:rPr>
        <w:t xml:space="preserve">The CEC’s EBD </w:t>
      </w:r>
      <w:r w:rsidRPr="0072518E">
        <w:rPr>
          <w:rFonts w:eastAsia="Times New Roman" w:cs="Times New Roman"/>
        </w:rPr>
        <w:t xml:space="preserve">program includes a list of eligible measures that support comprehensive electrification for </w:t>
      </w:r>
      <w:r w:rsidRPr="0072518E" w:rsidR="2341A4B7">
        <w:t>low-income</w:t>
      </w:r>
      <w:r w:rsidRPr="0072518E">
        <w:rPr>
          <w:rFonts w:eastAsia="Times New Roman" w:cs="Times New Roman"/>
        </w:rPr>
        <w:t xml:space="preserve"> customers.</w:t>
      </w:r>
    </w:p>
    <w:p w:rsidRPr="009C7231" w:rsidR="000C74EE" w:rsidP="008256FA" w:rsidRDefault="000C74EE" w14:paraId="4D1998B3" w14:textId="07ABC04C">
      <w:pPr>
        <w:pStyle w:val="ListParagraph"/>
        <w:numPr>
          <w:ilvl w:val="0"/>
          <w:numId w:val="3"/>
        </w:numPr>
      </w:pPr>
      <w:r w:rsidRPr="0072518E">
        <w:rPr>
          <w:rFonts w:eastAsia="Times New Roman" w:cs="Times New Roman"/>
        </w:rPr>
        <w:t>Aligning eligible measures under the</w:t>
      </w:r>
      <w:r w:rsidRPr="11EBE291">
        <w:rPr>
          <w:rFonts w:eastAsia="Times New Roman" w:cs="Times New Roman"/>
        </w:rPr>
        <w:t xml:space="preserve"> TECH Initiative with the CEC’s EBD program </w:t>
      </w:r>
      <w:r w:rsidR="00AC4DEE">
        <w:rPr>
          <w:rFonts w:eastAsia="Times New Roman" w:cs="Times New Roman"/>
        </w:rPr>
        <w:t>provides</w:t>
      </w:r>
      <w:r w:rsidRPr="11EBE291">
        <w:rPr>
          <w:rFonts w:eastAsia="Times New Roman" w:cs="Times New Roman"/>
        </w:rPr>
        <w:t xml:space="preserve"> consistency in incentive offerings and expands access to critical electrification technologies for </w:t>
      </w:r>
      <w:r w:rsidR="60090415">
        <w:t>low-income</w:t>
      </w:r>
      <w:r w:rsidRPr="11EBE291">
        <w:rPr>
          <w:rFonts w:eastAsia="Times New Roman" w:cs="Times New Roman"/>
        </w:rPr>
        <w:t xml:space="preserve"> households.</w:t>
      </w:r>
    </w:p>
    <w:p w:rsidRPr="00032E57" w:rsidR="00032E57" w:rsidP="008256FA" w:rsidRDefault="00240655" w14:paraId="62A4762C" w14:textId="5373838F">
      <w:pPr>
        <w:pStyle w:val="ListParagraph"/>
        <w:numPr>
          <w:ilvl w:val="0"/>
          <w:numId w:val="3"/>
        </w:numPr>
      </w:pPr>
      <w:r>
        <w:t>AB </w:t>
      </w:r>
      <w:r w:rsidR="000C74EE">
        <w:t xml:space="preserve">157 mandates </w:t>
      </w:r>
      <w:r w:rsidR="004C0944">
        <w:t xml:space="preserve">prioritizing </w:t>
      </w:r>
      <w:r w:rsidR="000C74EE">
        <w:t>funds for specific communities in the City of Los Angeles: Porter Ranch, Granada Hills, Northridge, Chatsworth, North Hills, Canoga Park, Reseda, Winnetka, West Hills, Van Nuys, and Lake Balboa.</w:t>
      </w:r>
    </w:p>
    <w:p w:rsidR="0D2FA4E3" w:rsidP="731FED01" w:rsidRDefault="00DA33C9" w14:paraId="71AD0AB9" w14:textId="25D15FA6">
      <w:pPr>
        <w:pStyle w:val="ListParagraph"/>
        <w:numPr>
          <w:ilvl w:val="0"/>
          <w:numId w:val="3"/>
        </w:numPr>
      </w:pPr>
      <w:r>
        <w:t xml:space="preserve">The </w:t>
      </w:r>
      <w:r w:rsidR="0D2FA4E3">
        <w:t>Aliso Canyon Disaster Area communities are located within the greater San Fernando Valley</w:t>
      </w:r>
      <w:r w:rsidR="0051375C">
        <w:t xml:space="preserve"> area</w:t>
      </w:r>
      <w:r w:rsidR="0D2FA4E3">
        <w:t>.</w:t>
      </w:r>
    </w:p>
    <w:p w:rsidRPr="00952553" w:rsidR="00506E31" w:rsidP="008256FA" w:rsidRDefault="000C74EE" w14:paraId="61B923C1" w14:textId="33CEF5C2">
      <w:pPr>
        <w:pStyle w:val="ListParagraph"/>
        <w:numPr>
          <w:ilvl w:val="0"/>
          <w:numId w:val="3"/>
        </w:numPr>
        <w:rPr>
          <w:szCs w:val="26"/>
        </w:rPr>
      </w:pPr>
      <w:r w:rsidRPr="0010128F">
        <w:rPr>
          <w:rFonts w:eastAsia="Times New Roman" w:cs="Times New Roman"/>
          <w:szCs w:val="26"/>
        </w:rPr>
        <w:t>The TECH Initiative contracting agent previously implemented similar directives under D.23-02-005 and support</w:t>
      </w:r>
      <w:r w:rsidR="00FF4516">
        <w:rPr>
          <w:rFonts w:eastAsia="Times New Roman" w:cs="Times New Roman"/>
          <w:szCs w:val="26"/>
        </w:rPr>
        <w:t>s</w:t>
      </w:r>
      <w:r w:rsidRPr="0010128F">
        <w:rPr>
          <w:rFonts w:eastAsia="Times New Roman" w:cs="Times New Roman"/>
          <w:szCs w:val="26"/>
        </w:rPr>
        <w:t xml:space="preserve"> continuing these procedures with the additional </w:t>
      </w:r>
      <w:r w:rsidR="00240655">
        <w:rPr>
          <w:rFonts w:eastAsia="Times New Roman" w:cs="Times New Roman"/>
          <w:szCs w:val="26"/>
        </w:rPr>
        <w:t>AB </w:t>
      </w:r>
      <w:r w:rsidRPr="0010128F">
        <w:rPr>
          <w:rFonts w:eastAsia="Times New Roman" w:cs="Times New Roman"/>
          <w:szCs w:val="26"/>
        </w:rPr>
        <w:t xml:space="preserve">157 funds. </w:t>
      </w:r>
    </w:p>
    <w:p w:rsidRPr="009A080F" w:rsidR="000C74EE" w:rsidP="008256FA" w:rsidRDefault="000C74EE" w14:paraId="00E1AA42" w14:textId="6DE3CFB3">
      <w:pPr>
        <w:pStyle w:val="ListParagraph"/>
        <w:numPr>
          <w:ilvl w:val="0"/>
          <w:numId w:val="3"/>
        </w:numPr>
        <w:rPr>
          <w:szCs w:val="26"/>
        </w:rPr>
      </w:pPr>
      <w:r w:rsidRPr="0010128F">
        <w:rPr>
          <w:rFonts w:eastAsia="Times New Roman" w:cs="Times New Roman"/>
          <w:szCs w:val="26"/>
        </w:rPr>
        <w:t xml:space="preserve">Ensuring that the new </w:t>
      </w:r>
      <w:r w:rsidR="00240655">
        <w:rPr>
          <w:rFonts w:eastAsia="Times New Roman" w:cs="Times New Roman"/>
          <w:szCs w:val="26"/>
        </w:rPr>
        <w:t>AB </w:t>
      </w:r>
      <w:r w:rsidRPr="0010128F">
        <w:rPr>
          <w:rFonts w:eastAsia="Times New Roman" w:cs="Times New Roman"/>
          <w:szCs w:val="26"/>
        </w:rPr>
        <w:t>157 funds are allocated, tracked, and managed in a manner consistent with previous funding mechanisms will support program continuity, fiscal accountability, and efficient fund distribution.</w:t>
      </w:r>
    </w:p>
    <w:p w:rsidRPr="00E23533" w:rsidR="00E23533" w:rsidP="008256FA" w:rsidRDefault="00240655" w14:paraId="66DA20B5" w14:textId="495C44F1">
      <w:pPr>
        <w:pStyle w:val="ListParagraph"/>
        <w:numPr>
          <w:ilvl w:val="0"/>
          <w:numId w:val="3"/>
        </w:numPr>
        <w:rPr>
          <w:szCs w:val="26"/>
        </w:rPr>
      </w:pPr>
      <w:r>
        <w:t>AB </w:t>
      </w:r>
      <w:r w:rsidRPr="79A14C7B" w:rsidR="00E23533">
        <w:t xml:space="preserve">157 </w:t>
      </w:r>
      <w:r w:rsidR="00E23533">
        <w:t xml:space="preserve">requires </w:t>
      </w:r>
      <w:r w:rsidRPr="79A14C7B" w:rsidR="00E23533">
        <w:t>that funds “shall not cause the displacement of tenants in upgraded rental housing units and shall be used to limit cost impacts on tenants.”</w:t>
      </w:r>
    </w:p>
    <w:p w:rsidRPr="0010128F" w:rsidR="000C74EE" w:rsidP="008256FA" w:rsidRDefault="000C74EE" w14:paraId="6C4D5E3F" w14:textId="36FAED0F">
      <w:pPr>
        <w:pStyle w:val="ListParagraph"/>
        <w:numPr>
          <w:ilvl w:val="0"/>
          <w:numId w:val="3"/>
        </w:numPr>
        <w:rPr>
          <w:szCs w:val="26"/>
        </w:rPr>
      </w:pPr>
      <w:r w:rsidRPr="0010128F">
        <w:rPr>
          <w:rFonts w:eastAsia="Times New Roman" w:cs="Times New Roman"/>
          <w:szCs w:val="26"/>
        </w:rPr>
        <w:t xml:space="preserve">Creating a sub-account within the BDPPBA will allow for transparent tracking of </w:t>
      </w:r>
      <w:r w:rsidR="00240655">
        <w:rPr>
          <w:rFonts w:eastAsia="Times New Roman" w:cs="Times New Roman"/>
          <w:szCs w:val="26"/>
        </w:rPr>
        <w:t>AB </w:t>
      </w:r>
      <w:r w:rsidRPr="0010128F">
        <w:rPr>
          <w:rFonts w:eastAsia="Times New Roman" w:cs="Times New Roman"/>
          <w:szCs w:val="26"/>
        </w:rPr>
        <w:t>157 funds separately from other funding sources.</w:t>
      </w:r>
    </w:p>
    <w:p w:rsidRPr="00131B1E" w:rsidR="009C1CE3" w:rsidP="008256FA" w:rsidRDefault="000C74EE" w14:paraId="18478E19" w14:textId="1BD69602">
      <w:pPr>
        <w:pStyle w:val="ListParagraph"/>
        <w:numPr>
          <w:ilvl w:val="0"/>
          <w:numId w:val="3"/>
        </w:numPr>
        <w:rPr>
          <w:szCs w:val="26"/>
          <w:u w:val="single"/>
        </w:rPr>
      </w:pPr>
      <w:r w:rsidRPr="0010128F">
        <w:rPr>
          <w:rFonts w:eastAsia="Times New Roman" w:cs="Times New Roman"/>
          <w:szCs w:val="26"/>
        </w:rPr>
        <w:lastRenderedPageBreak/>
        <w:t xml:space="preserve">Placing the </w:t>
      </w:r>
      <w:r w:rsidR="00240655">
        <w:rPr>
          <w:rFonts w:eastAsia="Times New Roman" w:cs="Times New Roman"/>
          <w:szCs w:val="26"/>
        </w:rPr>
        <w:t>AB </w:t>
      </w:r>
      <w:r w:rsidRPr="0010128F">
        <w:rPr>
          <w:rFonts w:eastAsia="Times New Roman" w:cs="Times New Roman"/>
          <w:szCs w:val="26"/>
        </w:rPr>
        <w:t xml:space="preserve">157 funds in an interest-bearing account </w:t>
      </w:r>
      <w:r w:rsidR="00AC4DEE">
        <w:rPr>
          <w:rFonts w:eastAsia="Times New Roman" w:cs="Times New Roman"/>
          <w:szCs w:val="26"/>
        </w:rPr>
        <w:t>allows for</w:t>
      </w:r>
      <w:r w:rsidRPr="0010128F">
        <w:rPr>
          <w:rFonts w:eastAsia="Times New Roman" w:cs="Times New Roman"/>
          <w:szCs w:val="26"/>
        </w:rPr>
        <w:t xml:space="preserve"> accrued interest </w:t>
      </w:r>
      <w:r w:rsidR="00AC4DEE">
        <w:rPr>
          <w:rFonts w:eastAsia="Times New Roman" w:cs="Times New Roman"/>
          <w:szCs w:val="26"/>
        </w:rPr>
        <w:t>to</w:t>
      </w:r>
      <w:r w:rsidRPr="0010128F">
        <w:rPr>
          <w:rFonts w:eastAsia="Times New Roman" w:cs="Times New Roman"/>
          <w:szCs w:val="26"/>
        </w:rPr>
        <w:t xml:space="preserve"> further support program incentives, maximizing the impact of available funds.</w:t>
      </w:r>
      <w:r w:rsidR="00776578">
        <w:rPr>
          <w:rFonts w:eastAsia="Times New Roman" w:cs="Times New Roman"/>
          <w:szCs w:val="26"/>
        </w:rPr>
        <w:t xml:space="preserve"> </w:t>
      </w:r>
    </w:p>
    <w:p w:rsidRPr="00FF4516" w:rsidR="00FF4516" w:rsidP="008256FA" w:rsidRDefault="000C74EE" w14:paraId="263494BF" w14:textId="124585D9">
      <w:pPr>
        <w:pStyle w:val="ListParagraph"/>
        <w:numPr>
          <w:ilvl w:val="0"/>
          <w:numId w:val="3"/>
        </w:numPr>
        <w:rPr>
          <w:szCs w:val="26"/>
          <w:u w:val="single"/>
        </w:rPr>
      </w:pPr>
      <w:r w:rsidRPr="00092D87">
        <w:rPr>
          <w:szCs w:val="26"/>
        </w:rPr>
        <w:t>This decision aligns with the Commission’s ESJ Action Plan (Version 2.0) by ensuring equity-centered building decarbonization, reducing financial and infrastructural barriers</w:t>
      </w:r>
      <w:r w:rsidR="00FF4516">
        <w:rPr>
          <w:szCs w:val="26"/>
        </w:rPr>
        <w:t xml:space="preserve"> to the ESJ communities</w:t>
      </w:r>
      <w:r w:rsidRPr="00092D87">
        <w:rPr>
          <w:szCs w:val="26"/>
        </w:rPr>
        <w:t xml:space="preserve">, and enhancing economic opportunities for </w:t>
      </w:r>
      <w:r w:rsidR="00EA2FB6">
        <w:rPr>
          <w:szCs w:val="26"/>
        </w:rPr>
        <w:t>DACs</w:t>
      </w:r>
      <w:r w:rsidRPr="00092D87">
        <w:rPr>
          <w:szCs w:val="26"/>
        </w:rPr>
        <w:t xml:space="preserve">. </w:t>
      </w:r>
    </w:p>
    <w:p w:rsidRPr="00092D87" w:rsidR="000C74EE" w:rsidP="008256FA" w:rsidRDefault="000C74EE" w14:paraId="60FD5400" w14:textId="196B388D">
      <w:pPr>
        <w:pStyle w:val="ListParagraph"/>
        <w:numPr>
          <w:ilvl w:val="0"/>
          <w:numId w:val="3"/>
        </w:numPr>
        <w:rPr>
          <w:szCs w:val="26"/>
          <w:u w:val="single"/>
        </w:rPr>
      </w:pPr>
      <w:r w:rsidRPr="00092D87">
        <w:rPr>
          <w:szCs w:val="26"/>
        </w:rPr>
        <w:t xml:space="preserve">The electrification incentives and service line upsizing subsidies collectively </w:t>
      </w:r>
      <w:r w:rsidR="002809FA">
        <w:rPr>
          <w:szCs w:val="26"/>
        </w:rPr>
        <w:t>provide benefits to</w:t>
      </w:r>
      <w:r w:rsidRPr="00092D87">
        <w:rPr>
          <w:szCs w:val="26"/>
        </w:rPr>
        <w:t xml:space="preserve"> ESJ communities.</w:t>
      </w:r>
    </w:p>
    <w:p w:rsidRPr="00921EF3" w:rsidR="000C74EE" w:rsidP="00921EF3" w:rsidRDefault="000C74EE" w14:paraId="33405886" w14:textId="5145A5ED">
      <w:pPr>
        <w:pStyle w:val="Dummy"/>
        <w:rPr>
          <w:b w:val="0"/>
        </w:rPr>
      </w:pPr>
      <w:bookmarkStart w:name="_Toc8123726" w:id="941"/>
      <w:bookmarkStart w:name="_Toc192263743" w:id="942"/>
      <w:bookmarkStart w:name="_Toc200371014" w:id="943"/>
      <w:r w:rsidRPr="00921EF3">
        <w:t>Conclusions of Law</w:t>
      </w:r>
      <w:bookmarkEnd w:id="941"/>
      <w:bookmarkEnd w:id="942"/>
      <w:bookmarkEnd w:id="943"/>
    </w:p>
    <w:p w:rsidRPr="00EC3FCC" w:rsidR="00EC3FCC" w:rsidP="00EC3FCC" w:rsidRDefault="00EC3FCC" w14:paraId="1B39B002" w14:textId="77777777">
      <w:pPr>
        <w:numPr>
          <w:ilvl w:val="0"/>
          <w:numId w:val="48"/>
        </w:numPr>
        <w:ind w:left="0" w:firstLine="360"/>
        <w:rPr>
          <w:rFonts w:eastAsia="Aptos" w:cs="Times New Roman"/>
        </w:rPr>
      </w:pPr>
      <w:bookmarkStart w:name="_Hlk190764548" w:id="944"/>
      <w:r w:rsidRPr="00EC3FCC">
        <w:rPr>
          <w:rFonts w:eastAsia="Aptos" w:cs="Times New Roman"/>
        </w:rPr>
        <w:t>It is reasonable to provide cost relief for under-resourced residential and small business customers to upsize their electric service lines to facilitate building electrification.</w:t>
      </w:r>
    </w:p>
    <w:p w:rsidRPr="00EC3FCC" w:rsidR="00EC3FCC" w:rsidP="00EC3FCC" w:rsidRDefault="00EC3FCC" w14:paraId="0F21F7C6" w14:textId="77777777">
      <w:pPr>
        <w:numPr>
          <w:ilvl w:val="0"/>
          <w:numId w:val="48"/>
        </w:numPr>
        <w:ind w:left="0" w:firstLine="360"/>
        <w:rPr>
          <w:rFonts w:eastAsia="Aptos" w:cs="Times New Roman"/>
        </w:rPr>
      </w:pPr>
      <w:r w:rsidRPr="00EC3FCC">
        <w:rPr>
          <w:rFonts w:eastAsia="Aptos" w:cs="Times New Roman"/>
        </w:rPr>
        <w:t>It is reasonable to require ratepayer-funded electrification programs be designed to maximize benefits across a broad number of customers, ensuring equitable access to electrification assistance while not increasing rates unreasonably.</w:t>
      </w:r>
    </w:p>
    <w:p w:rsidRPr="00EC3FCC" w:rsidR="00EC3FCC" w:rsidP="00EC3FCC" w:rsidRDefault="00EC3FCC" w14:paraId="252B1F81" w14:textId="77777777">
      <w:pPr>
        <w:numPr>
          <w:ilvl w:val="0"/>
          <w:numId w:val="48"/>
        </w:numPr>
        <w:ind w:left="0" w:firstLine="360"/>
        <w:rPr>
          <w:rFonts w:eastAsia="Aptos" w:cs="Times New Roman"/>
          <w:szCs w:val="26"/>
        </w:rPr>
      </w:pPr>
      <w:r w:rsidRPr="00EC3FCC">
        <w:rPr>
          <w:rFonts w:eastAsia="Aptos" w:cs="Times New Roman"/>
        </w:rPr>
        <w:t>It is reasonable to extend common facility cost treatment to under-resourced residential and small business customers that face financial barriers to electrification and do so</w:t>
      </w:r>
      <w:r w:rsidRPr="00EC3FCC">
        <w:rPr>
          <w:rFonts w:eastAsia="Times New Roman" w:cs="Times New Roman"/>
          <w:szCs w:val="26"/>
        </w:rPr>
        <w:t xml:space="preserve"> as an </w:t>
      </w:r>
      <w:r w:rsidRPr="00EC3FCC">
        <w:rPr>
          <w:rFonts w:eastAsia="Aptos" w:cs="Times New Roman"/>
        </w:rPr>
        <w:t>initial program for a four-year test period, wherein the fourth year is the evaluation year.</w:t>
      </w:r>
    </w:p>
    <w:p w:rsidRPr="00EC3FCC" w:rsidR="00EC3FCC" w:rsidP="00EC3FCC" w:rsidRDefault="00EC3FCC" w14:paraId="026450AA" w14:textId="77777777">
      <w:pPr>
        <w:numPr>
          <w:ilvl w:val="0"/>
          <w:numId w:val="48"/>
        </w:numPr>
        <w:ind w:left="0" w:firstLine="360"/>
        <w:rPr>
          <w:rFonts w:eastAsia="Aptos" w:cs="Times New Roman"/>
          <w:szCs w:val="26"/>
        </w:rPr>
      </w:pPr>
      <w:r w:rsidRPr="00EC3FCC">
        <w:rPr>
          <w:rFonts w:eastAsia="Aptos" w:cs="Times New Roman"/>
          <w:szCs w:val="26"/>
        </w:rPr>
        <w:t>It is reasonable to (a) adopt existing definitions of under-resourced customers from other existing electrification incentive programs, rather than establishing a separate definition, and (b) require that verification criteria from these programs be used to demonstrate consistent eligibility determination and administrative efficiency.</w:t>
      </w:r>
    </w:p>
    <w:p w:rsidRPr="00EC3FCC" w:rsidR="00EC3FCC" w:rsidP="00EC3FCC" w:rsidRDefault="00EC3FCC" w14:paraId="5D773118" w14:textId="77777777">
      <w:pPr>
        <w:numPr>
          <w:ilvl w:val="0"/>
          <w:numId w:val="48"/>
        </w:numPr>
        <w:ind w:left="0" w:firstLine="360"/>
        <w:rPr>
          <w:rFonts w:eastAsia="Aptos" w:cs="Times New Roman"/>
        </w:rPr>
      </w:pPr>
      <w:r w:rsidRPr="00EC3FCC">
        <w:rPr>
          <w:rFonts w:eastAsia="Aptos" w:cs="Times New Roman"/>
        </w:rPr>
        <w:lastRenderedPageBreak/>
        <w:t xml:space="preserve">The Commission should authorize up to a total of $5 million annually, as a statewide annual maximum, for four years to be allocated amongst PG&amp;E, SCE and SDG&amp;E to provide cost relief for electric service line upsizing to qualified under-resourced customers pursuing electrification of their home or business through a building decarbonization program. </w:t>
      </w:r>
    </w:p>
    <w:p w:rsidRPr="00EC3FCC" w:rsidR="00EC3FCC" w:rsidP="00EC3FCC" w:rsidRDefault="00EC3FCC" w14:paraId="40A34D6C" w14:textId="77777777">
      <w:pPr>
        <w:numPr>
          <w:ilvl w:val="0"/>
          <w:numId w:val="48"/>
        </w:numPr>
        <w:ind w:left="0" w:firstLine="360"/>
        <w:rPr>
          <w:rFonts w:eastAsia="Aptos" w:cs="Times New Roman"/>
        </w:rPr>
      </w:pPr>
      <w:r w:rsidRPr="00EC3FCC">
        <w:rPr>
          <w:rFonts w:eastAsia="Aptos" w:cs="Times New Roman"/>
        </w:rPr>
        <w:t xml:space="preserve">It is reasonable to authorize and direct the large electric utilities to: (a) offer common facility cost treatment for </w:t>
      </w:r>
      <w:r w:rsidRPr="00EC3FCC" w:rsidDel="00172299">
        <w:rPr>
          <w:rFonts w:eastAsia="Aptos" w:cs="Times New Roman"/>
        </w:rPr>
        <w:t>under-resourced</w:t>
      </w:r>
      <w:r w:rsidRPr="00EC3FCC">
        <w:rPr>
          <w:rFonts w:eastAsia="Aptos" w:cs="Times New Roman"/>
        </w:rPr>
        <w:t xml:space="preserve"> customers whose participation in an electrification program triggers the need for service line upsizing; and (b) establish a Common Facility Cost Treatment Balancing Account to track expenditures resulting from this </w:t>
      </w:r>
      <w:bookmarkStart w:name="_Hlk200303165" w:id="945"/>
      <w:r w:rsidRPr="00EC3FCC">
        <w:rPr>
          <w:rFonts w:eastAsia="Aptos" w:cs="Times New Roman"/>
        </w:rPr>
        <w:t xml:space="preserve">policy. </w:t>
      </w:r>
    </w:p>
    <w:p w:rsidRPr="00EC3FCC" w:rsidR="00EC3FCC" w:rsidP="00EC3FCC" w:rsidRDefault="00EC3FCC" w14:paraId="53DE01B3" w14:textId="77777777">
      <w:pPr>
        <w:numPr>
          <w:ilvl w:val="0"/>
          <w:numId w:val="48"/>
        </w:numPr>
        <w:ind w:left="0" w:firstLine="360"/>
        <w:rPr>
          <w:rFonts w:eastAsia="Aptos" w:cs="Times New Roman"/>
        </w:rPr>
      </w:pPr>
      <w:bookmarkStart w:name="_Hlk200303138" w:id="946"/>
      <w:r w:rsidRPr="00EC3FCC">
        <w:rPr>
          <w:rFonts w:eastAsia="Times New Roman" w:cs="Times New Roman"/>
          <w:szCs w:val="26"/>
        </w:rPr>
        <w:t xml:space="preserve">It is reasonable </w:t>
      </w:r>
      <w:bookmarkEnd w:id="945"/>
      <w:bookmarkEnd w:id="946"/>
      <w:r w:rsidRPr="00EC3FCC">
        <w:rPr>
          <w:rFonts w:eastAsia="Times New Roman" w:cs="Times New Roman"/>
          <w:szCs w:val="26"/>
        </w:rPr>
        <w:t xml:space="preserve">and prudent to impose the following financial limitations on costs associated with upsizing the electric service line for under-resourced residential and small business premises, as defined in this decision: </w:t>
      </w:r>
    </w:p>
    <w:p w:rsidRPr="001D63C9" w:rsidR="00EC3FCC" w:rsidP="001D63C9" w:rsidRDefault="00EC3FCC" w14:paraId="2964840A" w14:textId="77777777">
      <w:pPr>
        <w:pStyle w:val="ListParagraph"/>
        <w:numPr>
          <w:ilvl w:val="1"/>
          <w:numId w:val="9"/>
        </w:numPr>
        <w:spacing w:after="120" w:line="240" w:lineRule="auto"/>
        <w:ind w:right="1170"/>
        <w:rPr>
          <w:rFonts w:eastAsia="Times New Roman" w:cs="Times New Roman"/>
          <w:szCs w:val="26"/>
        </w:rPr>
      </w:pPr>
      <w:r w:rsidRPr="001D63C9">
        <w:rPr>
          <w:rFonts w:eastAsia="Times New Roman" w:cs="Times New Roman"/>
          <w:szCs w:val="26"/>
        </w:rPr>
        <w:t>The total amount of ratepayer-funded service line upsizing assistance should be capped at $5 million annually, allocated proportionally among the three large investor-owned electric utilities;</w:t>
      </w:r>
    </w:p>
    <w:p w:rsidRPr="001D63C9" w:rsidR="00EC3FCC" w:rsidP="001D63C9" w:rsidRDefault="00EC3FCC" w14:paraId="5A792356" w14:textId="57B044BB">
      <w:pPr>
        <w:pStyle w:val="ListParagraph"/>
        <w:numPr>
          <w:ilvl w:val="1"/>
          <w:numId w:val="9"/>
        </w:numPr>
        <w:spacing w:after="120" w:line="240" w:lineRule="auto"/>
        <w:ind w:right="810"/>
        <w:rPr>
          <w:rFonts w:eastAsia="Times New Roman" w:cs="Times New Roman"/>
          <w:szCs w:val="26"/>
        </w:rPr>
      </w:pPr>
      <w:r w:rsidRPr="001D63C9">
        <w:rPr>
          <w:rFonts w:eastAsia="Times New Roman" w:cs="Times New Roman"/>
          <w:szCs w:val="26"/>
        </w:rPr>
        <w:t xml:space="preserve">Any unallocated funds should be carried over into the following years until fully allocated or until June 30, 2029, whichever comes first, and any funds not allocated by June 30, 2029, should be returned to ratepayers after December 31, 2029; </w:t>
      </w:r>
    </w:p>
    <w:p w:rsidRPr="001D63C9" w:rsidR="00EC3FCC" w:rsidP="001D63C9" w:rsidRDefault="00EC3FCC" w14:paraId="744D8CF4" w14:textId="531FB957">
      <w:pPr>
        <w:pStyle w:val="ListParagraph"/>
        <w:numPr>
          <w:ilvl w:val="1"/>
          <w:numId w:val="9"/>
        </w:numPr>
        <w:spacing w:after="120" w:line="240" w:lineRule="auto"/>
        <w:ind w:right="1170"/>
        <w:rPr>
          <w:rFonts w:eastAsia="Times New Roman" w:cs="Times New Roman"/>
          <w:szCs w:val="26"/>
        </w:rPr>
      </w:pPr>
      <w:r w:rsidRPr="001D63C9">
        <w:rPr>
          <w:rFonts w:eastAsia="Times New Roman" w:cs="Times New Roman"/>
          <w:szCs w:val="26"/>
        </w:rPr>
        <w:t xml:space="preserve">Single-family and small business projects should be subject to a per-project cap of $10,000 in ratepayer-funded assistance toward electric service line upsizing; </w:t>
      </w:r>
    </w:p>
    <w:p w:rsidRPr="001D63C9" w:rsidR="00EC3FCC" w:rsidP="001D63C9" w:rsidRDefault="00EC3FCC" w14:paraId="5E25705D" w14:textId="6FED5C19">
      <w:pPr>
        <w:pStyle w:val="ListParagraph"/>
        <w:numPr>
          <w:ilvl w:val="1"/>
          <w:numId w:val="9"/>
        </w:numPr>
        <w:spacing w:after="120" w:line="240" w:lineRule="auto"/>
        <w:ind w:right="1170"/>
        <w:rPr>
          <w:rFonts w:eastAsia="Times New Roman" w:cs="Times New Roman"/>
          <w:szCs w:val="26"/>
        </w:rPr>
      </w:pPr>
      <w:r w:rsidRPr="001D63C9">
        <w:rPr>
          <w:rFonts w:eastAsia="Times New Roman" w:cs="Times New Roman"/>
          <w:szCs w:val="26"/>
        </w:rPr>
        <w:t>Funding for small business under-resourced customers should not exceed 25 percent of total program funding; and</w:t>
      </w:r>
    </w:p>
    <w:p w:rsidRPr="001D63C9" w:rsidR="00EC3FCC" w:rsidP="001D63C9" w:rsidRDefault="00EC3FCC" w14:paraId="5D548636" w14:textId="73521363">
      <w:pPr>
        <w:pStyle w:val="ListParagraph"/>
        <w:numPr>
          <w:ilvl w:val="1"/>
          <w:numId w:val="9"/>
        </w:numPr>
        <w:spacing w:after="120" w:line="240" w:lineRule="auto"/>
        <w:ind w:right="1170"/>
        <w:rPr>
          <w:rFonts w:eastAsia="Times New Roman" w:cs="Times New Roman"/>
          <w:szCs w:val="26"/>
        </w:rPr>
      </w:pPr>
      <w:r w:rsidRPr="001D63C9">
        <w:rPr>
          <w:rFonts w:eastAsia="Times New Roman" w:cs="Times New Roman"/>
          <w:szCs w:val="26"/>
        </w:rPr>
        <w:t>Each of the aforementioned utilities’ administrative costs should be capped at one percent (1 percent) of all of its respective expenditures and shall be tracked in a sub-account within the balancing account established pursuant to this decision.</w:t>
      </w:r>
    </w:p>
    <w:p w:rsidRPr="00EC3FCC" w:rsidR="00EC3FCC" w:rsidP="00EC3FCC" w:rsidRDefault="00EC3FCC" w14:paraId="0EADAB13" w14:textId="77777777">
      <w:pPr>
        <w:numPr>
          <w:ilvl w:val="0"/>
          <w:numId w:val="48"/>
        </w:numPr>
        <w:ind w:left="0" w:firstLine="360"/>
        <w:rPr>
          <w:rFonts w:eastAsia="Aptos" w:cs="Times New Roman"/>
        </w:rPr>
      </w:pPr>
      <w:r w:rsidRPr="00EC3FCC">
        <w:rPr>
          <w:rFonts w:eastAsia="Aptos" w:cs="Times New Roman"/>
        </w:rPr>
        <w:lastRenderedPageBreak/>
        <w:t xml:space="preserve"> PG&amp;E, SCE, and SDG&amp;E should be directed to submit a Tier 1 Advice Letter to the California Public Utilities Commission’s Energy Division to establish Common Facility Cost Treatment Balancing Accounts for the amounts as set forth in </w:t>
      </w:r>
      <w:r w:rsidRPr="00EC3FCC">
        <w:rPr>
          <w:rFonts w:eastAsia="Aptos" w:cs="Times New Roman"/>
          <w:szCs w:val="26"/>
        </w:rPr>
        <w:t>Table 2 in Section 4.2 of this decision.</w:t>
      </w:r>
    </w:p>
    <w:p w:rsidRPr="00EC3FCC" w:rsidR="00EC3FCC" w:rsidP="00EC3FCC" w:rsidRDefault="00EC3FCC" w14:paraId="3788A922" w14:textId="77777777">
      <w:pPr>
        <w:numPr>
          <w:ilvl w:val="0"/>
          <w:numId w:val="48"/>
        </w:numPr>
        <w:ind w:left="0" w:firstLine="360"/>
        <w:rPr>
          <w:rFonts w:eastAsia="Aptos" w:cs="Times New Roman"/>
        </w:rPr>
      </w:pPr>
      <w:r w:rsidRPr="00EC3FCC">
        <w:rPr>
          <w:rFonts w:eastAsia="Aptos" w:cs="Times New Roman"/>
        </w:rPr>
        <w:t>PG&amp;E, SCE, and SDG&amp;E should be directed to annually deposit their authorized proportional shares into the Common Facility Cost Treatment Balancing Accounts and be authorized to use those funds towards utility-side costs not already covered by existing allowances for those premises consistent with the conditions we set in this decision.</w:t>
      </w:r>
    </w:p>
    <w:p w:rsidRPr="00EC3FCC" w:rsidR="00EC3FCC" w:rsidP="00EC3FCC" w:rsidRDefault="00EC3FCC" w14:paraId="10CD3DCB" w14:textId="77777777">
      <w:pPr>
        <w:numPr>
          <w:ilvl w:val="0"/>
          <w:numId w:val="48"/>
        </w:numPr>
        <w:ind w:left="0" w:firstLine="360"/>
        <w:rPr>
          <w:rFonts w:eastAsia="Aptos" w:cs="Times New Roman"/>
        </w:rPr>
      </w:pPr>
      <w:r w:rsidRPr="00EC3FCC">
        <w:rPr>
          <w:rFonts w:eastAsia="Aptos" w:cs="Times New Roman"/>
        </w:rPr>
        <w:t xml:space="preserve"> PG&amp;E, SCE, and SDG&amp;E should be directed to:</w:t>
      </w:r>
    </w:p>
    <w:p w:rsidRPr="00EC3FCC" w:rsidR="00EC3FCC" w:rsidP="00EC3FCC" w:rsidRDefault="00EC3FCC" w14:paraId="2CC85051" w14:textId="77777777">
      <w:pPr>
        <w:numPr>
          <w:ilvl w:val="0"/>
          <w:numId w:val="47"/>
        </w:numPr>
        <w:spacing w:before="120" w:after="120" w:line="240" w:lineRule="auto"/>
        <w:ind w:left="1080" w:right="1080"/>
        <w:rPr>
          <w:rFonts w:eastAsia="Aptos" w:cs="Times New Roman"/>
        </w:rPr>
      </w:pPr>
      <w:r w:rsidRPr="00EC3FCC">
        <w:rPr>
          <w:rFonts w:eastAsia="Aptos" w:cs="Times New Roman"/>
        </w:rPr>
        <w:t>Track and report customer participation in a Program, or Programs, as defined in Section 4.2 of this decision, by asking the customer specific questions during the request for service line upsizing process, to determine customer eligibility for common facility cost treatment; and</w:t>
      </w:r>
    </w:p>
    <w:p w:rsidRPr="00EC3FCC" w:rsidR="00EC3FCC" w:rsidP="00EC3FCC" w:rsidRDefault="00EC3FCC" w14:paraId="1BBDF66A" w14:textId="77777777">
      <w:pPr>
        <w:numPr>
          <w:ilvl w:val="0"/>
          <w:numId w:val="47"/>
        </w:numPr>
        <w:spacing w:before="120" w:after="120" w:line="240" w:lineRule="auto"/>
        <w:ind w:left="1080" w:right="1080"/>
        <w:rPr>
          <w:rFonts w:eastAsia="Aptos" w:cs="Times New Roman"/>
        </w:rPr>
      </w:pPr>
      <w:r w:rsidRPr="00EC3FCC">
        <w:rPr>
          <w:rFonts w:eastAsia="Aptos" w:cs="Times New Roman"/>
        </w:rPr>
        <w:t>Require, as part of the service line upsizing application under this program, a signed customer verification stating that: (1) all potential alternatives to upsizing were reviewed and considered, and (2) no viable alternatives were available to meet the customer’s electrification needs.</w:t>
      </w:r>
    </w:p>
    <w:p w:rsidRPr="00EC3FCC" w:rsidR="00EC3FCC" w:rsidP="00EC3FCC" w:rsidRDefault="00EC3FCC" w14:paraId="61A302D1" w14:textId="77777777">
      <w:pPr>
        <w:numPr>
          <w:ilvl w:val="0"/>
          <w:numId w:val="48"/>
        </w:numPr>
        <w:ind w:left="0" w:firstLine="360"/>
        <w:rPr>
          <w:rFonts w:eastAsia="Aptos" w:cs="Times New Roman"/>
        </w:rPr>
      </w:pPr>
      <w:r w:rsidRPr="00EC3FCC">
        <w:rPr>
          <w:rFonts w:eastAsia="Aptos" w:cs="Times New Roman"/>
        </w:rPr>
        <w:t>It is reasonable to adopt a new annual reporting deadline of April 15 for all reporting requirements established in this proceeding, which includes reports for Resolution E-5105, Appendix C and D reporting requirements for D. 21-11-002, reporting required by OP 8 of D.23-12-037, and the additional requirements adopted in this decision.</w:t>
      </w:r>
    </w:p>
    <w:p w:rsidRPr="00EC3FCC" w:rsidR="00EC3FCC" w:rsidP="00EC3FCC" w:rsidRDefault="00EC3FCC" w14:paraId="45B0029D" w14:textId="546B14F9">
      <w:pPr>
        <w:numPr>
          <w:ilvl w:val="0"/>
          <w:numId w:val="48"/>
        </w:numPr>
        <w:ind w:left="0" w:firstLine="360"/>
        <w:rPr>
          <w:rFonts w:eastAsia="Aptos" w:cs="Times New Roman"/>
        </w:rPr>
      </w:pPr>
      <w:r w:rsidRPr="00EC3FCC">
        <w:rPr>
          <w:rFonts w:eastAsia="Aptos" w:cs="Times New Roman"/>
        </w:rPr>
        <w:t>Appendix A to this decision should (1) be adopted as the Electric Utilities New Reporting Requirements, (2) apply to all electric utilities, including the large electric IOUs and SMJUs, and (3) reporting fields related to common facility cost treatment on Appendix A are only applicable to large electric util</w:t>
      </w:r>
      <w:r w:rsidR="00734337">
        <w:rPr>
          <w:rFonts w:eastAsia="Aptos" w:cs="Times New Roman"/>
        </w:rPr>
        <w:t>i</w:t>
      </w:r>
      <w:r w:rsidRPr="00EC3FCC">
        <w:rPr>
          <w:rFonts w:eastAsia="Aptos" w:cs="Times New Roman"/>
        </w:rPr>
        <w:t xml:space="preserve">ties, and </w:t>
      </w:r>
      <w:r w:rsidRPr="00EC3FCC">
        <w:rPr>
          <w:rFonts w:eastAsia="Aptos" w:cs="Times New Roman"/>
        </w:rPr>
        <w:lastRenderedPageBreak/>
        <w:t>should automatically sunset after the final report is submitted following either (a) the authorized funds having been fully expended, or (b) after four years, whichever comes first.</w:t>
      </w:r>
    </w:p>
    <w:p w:rsidRPr="00EC3FCC" w:rsidR="00EC3FCC" w:rsidP="00EC3FCC" w:rsidRDefault="00EC3FCC" w14:paraId="0C611017" w14:textId="77777777">
      <w:pPr>
        <w:numPr>
          <w:ilvl w:val="0"/>
          <w:numId w:val="48"/>
        </w:numPr>
        <w:ind w:left="0" w:firstLine="360"/>
        <w:rPr>
          <w:rFonts w:eastAsia="Aptos" w:cs="Times New Roman"/>
        </w:rPr>
      </w:pPr>
      <w:r w:rsidRPr="00EC3FCC">
        <w:rPr>
          <w:rFonts w:eastAsia="Aptos" w:cs="Times New Roman"/>
        </w:rPr>
        <w:t>PG&amp;E, SCE, SDG&amp;E, and Southern California Gas Company should be directed to submit a Tier 1 information-only Advice Letter containing all reports and data required by this decision, including those new data collection requirements detailed in this decision’s Appendix A, with the annual reporting required under Resolution E</w:t>
      </w:r>
      <w:r w:rsidRPr="00EC3FCC">
        <w:rPr>
          <w:rFonts w:eastAsia="Aptos" w:cs="Times New Roman"/>
        </w:rPr>
        <w:noBreakHyphen/>
        <w:t>5105.</w:t>
      </w:r>
    </w:p>
    <w:p w:rsidRPr="00EC3FCC" w:rsidR="00EC3FCC" w:rsidP="00EC3FCC" w:rsidRDefault="00EC3FCC" w14:paraId="02B2E7AD" w14:textId="77777777">
      <w:pPr>
        <w:numPr>
          <w:ilvl w:val="0"/>
          <w:numId w:val="48"/>
        </w:numPr>
        <w:ind w:left="0" w:firstLine="360"/>
        <w:rPr>
          <w:rFonts w:eastAsia="Aptos" w:cs="Times New Roman"/>
        </w:rPr>
      </w:pPr>
      <w:r w:rsidRPr="00EC3FCC">
        <w:rPr>
          <w:rFonts w:eastAsia="Aptos" w:cs="Times New Roman"/>
        </w:rPr>
        <w:t xml:space="preserve">Energy Division staff should be authorized to update the reporting requirements established by Resolution E-5105 and this decision, by notifying the service list of this proceeding, and providing the new template on the Commission’s Building Decarbonization website. </w:t>
      </w:r>
    </w:p>
    <w:p w:rsidRPr="00EC3FCC" w:rsidR="00EC3FCC" w:rsidP="00EC3FCC" w:rsidRDefault="00EC3FCC" w14:paraId="246E767F" w14:textId="77777777">
      <w:pPr>
        <w:numPr>
          <w:ilvl w:val="0"/>
          <w:numId w:val="48"/>
        </w:numPr>
        <w:ind w:left="0" w:firstLine="360"/>
        <w:rPr>
          <w:rFonts w:eastAsia="Aptos" w:cs="Times New Roman"/>
        </w:rPr>
      </w:pPr>
      <w:r w:rsidRPr="00EC3FCC">
        <w:rPr>
          <w:rFonts w:eastAsia="Aptos" w:cs="Times New Roman"/>
        </w:rPr>
        <w:t>The large electric IOUs and SMJUs should be directed to further inform this proceeding by filing responses to the questions outlined in Section 5.2.2, regarding: customer meters, 15-minute interval data, true peak demand data, data storage and systems updates, and green button data updates.</w:t>
      </w:r>
    </w:p>
    <w:p w:rsidRPr="00EC3FCC" w:rsidR="00EC3FCC" w:rsidP="00EC3FCC" w:rsidRDefault="00EC3FCC" w14:paraId="3CC4A4C8" w14:textId="77777777">
      <w:pPr>
        <w:numPr>
          <w:ilvl w:val="0"/>
          <w:numId w:val="48"/>
        </w:numPr>
        <w:ind w:left="0" w:firstLine="360"/>
        <w:rPr>
          <w:rFonts w:eastAsia="Aptos" w:cs="Times New Roman"/>
        </w:rPr>
      </w:pPr>
      <w:r w:rsidRPr="00EC3FCC">
        <w:rPr>
          <w:rFonts w:eastAsia="Aptos" w:cs="Times New Roman"/>
        </w:rPr>
        <w:t xml:space="preserve">When installing new electric service lines or replacing existing electric service lines, the large electric IOUs and SMJUs should be directed to collect service line capacities for (a) any new electric service lines installed in new construction and (b) any electric service lines replacing existing service lines and submit report on this information in accordance with the requirements established in Section 4.2 and Appendix A of this decision. </w:t>
      </w:r>
    </w:p>
    <w:p w:rsidRPr="00EC3FCC" w:rsidR="00EC3FCC" w:rsidP="00EC3FCC" w:rsidRDefault="00EC3FCC" w14:paraId="5EF25170" w14:textId="77777777">
      <w:pPr>
        <w:numPr>
          <w:ilvl w:val="0"/>
          <w:numId w:val="48"/>
        </w:numPr>
        <w:ind w:left="0" w:firstLine="360"/>
        <w:rPr>
          <w:rFonts w:eastAsia="Aptos" w:cs="Times New Roman"/>
        </w:rPr>
      </w:pPr>
      <w:r w:rsidRPr="00EC3FCC">
        <w:rPr>
          <w:rFonts w:eastAsia="Aptos" w:cs="Times New Roman"/>
        </w:rPr>
        <w:t>The same requirements, confidentiality protections and evaluation process as in Resolution E</w:t>
      </w:r>
      <w:r w:rsidRPr="00EC3FCC">
        <w:rPr>
          <w:rFonts w:eastAsia="Aptos" w:cs="Times New Roman"/>
        </w:rPr>
        <w:noBreakHyphen/>
        <w:t xml:space="preserve">5194, which deals with isolating devices, should be adopted in this decision for “non-isolating devices” which are customer-owned devices that interface with utility equipment, do not have grid isolation capabilities, and </w:t>
      </w:r>
      <w:r w:rsidRPr="00EC3FCC">
        <w:rPr>
          <w:rFonts w:eastAsia="Aptos" w:cs="Times New Roman"/>
        </w:rPr>
        <w:lastRenderedPageBreak/>
        <w:t xml:space="preserve">require explicit utility approval. Such non-isolating devices include, but are not limited to, meter socket adapters with distributed energy resource capabilities. </w:t>
      </w:r>
    </w:p>
    <w:p w:rsidRPr="00EC3FCC" w:rsidR="00EC3FCC" w:rsidP="00EC3FCC" w:rsidRDefault="00EC3FCC" w14:paraId="112B2C27" w14:textId="77777777">
      <w:pPr>
        <w:numPr>
          <w:ilvl w:val="0"/>
          <w:numId w:val="48"/>
        </w:numPr>
        <w:ind w:left="0" w:firstLine="360"/>
        <w:rPr>
          <w:rFonts w:eastAsia="Aptos" w:cs="Times New Roman"/>
        </w:rPr>
      </w:pPr>
      <w:r w:rsidRPr="00EC3FCC">
        <w:rPr>
          <w:rFonts w:eastAsia="Aptos" w:cs="Times New Roman"/>
        </w:rPr>
        <w:t>OP 9 of D.21</w:t>
      </w:r>
      <w:r w:rsidRPr="00EC3FCC">
        <w:rPr>
          <w:rFonts w:eastAsia="Aptos" w:cs="Times New Roman"/>
        </w:rPr>
        <w:noBreakHyphen/>
        <w:t>01</w:t>
      </w:r>
      <w:r w:rsidRPr="00EC3FCC">
        <w:rPr>
          <w:rFonts w:eastAsia="Aptos" w:cs="Times New Roman"/>
        </w:rPr>
        <w:noBreakHyphen/>
        <w:t xml:space="preserve">018 should be modified to extend the previously authorized funds for isolating devices to also apply to non-isolating devices. </w:t>
      </w:r>
    </w:p>
    <w:p w:rsidRPr="00EC3FCC" w:rsidR="00EC3FCC" w:rsidP="00EC3FCC" w:rsidRDefault="00EC3FCC" w14:paraId="40498E50" w14:textId="77777777">
      <w:pPr>
        <w:numPr>
          <w:ilvl w:val="0"/>
          <w:numId w:val="48"/>
        </w:numPr>
        <w:ind w:left="0" w:firstLine="360"/>
        <w:rPr>
          <w:rFonts w:eastAsia="Aptos" w:cs="Times New Roman"/>
        </w:rPr>
      </w:pPr>
      <w:r w:rsidRPr="00EC3FCC">
        <w:rPr>
          <w:rFonts w:eastAsia="Aptos" w:cs="Times New Roman"/>
        </w:rPr>
        <w:t>It is reasonable to authorize PG&amp;E, SCE, and SDG&amp;E to (a) use the existing $3 million in funding approved in D.21</w:t>
      </w:r>
      <w:r w:rsidRPr="00EC3FCC">
        <w:rPr>
          <w:rFonts w:eastAsia="Aptos" w:cs="Times New Roman"/>
        </w:rPr>
        <w:noBreakHyphen/>
        <w:t>01</w:t>
      </w:r>
      <w:r w:rsidRPr="00EC3FCC">
        <w:rPr>
          <w:rFonts w:eastAsia="Aptos" w:cs="Times New Roman"/>
        </w:rPr>
        <w:noBreakHyphen/>
        <w:t xml:space="preserve">018 to conduct safety and reliability evaluations of the non-isolating devices, and (b) prioritize safety evaluations for non-isolating devices that directly enable decarbonization and facilitate electrification efforts. </w:t>
      </w:r>
    </w:p>
    <w:p w:rsidRPr="00EC3FCC" w:rsidR="00EC3FCC" w:rsidP="00EC3FCC" w:rsidRDefault="00EC3FCC" w14:paraId="60E56B1A" w14:textId="77777777">
      <w:pPr>
        <w:numPr>
          <w:ilvl w:val="0"/>
          <w:numId w:val="48"/>
        </w:numPr>
        <w:ind w:left="0" w:firstLine="360"/>
        <w:rPr>
          <w:rFonts w:eastAsia="Aptos" w:cs="Times New Roman"/>
        </w:rPr>
      </w:pPr>
      <w:r w:rsidRPr="00EC3FCC">
        <w:rPr>
          <w:rFonts w:eastAsia="Aptos" w:cs="Times New Roman"/>
        </w:rPr>
        <w:t>PG&amp;E, SCE and SDG&amp;E should be directed to evaluate and approve non-isolating devices for safety and compatibility in the same manner as isolating devices.</w:t>
      </w:r>
    </w:p>
    <w:p w:rsidRPr="00EC3FCC" w:rsidR="00EC3FCC" w:rsidP="00EC3FCC" w:rsidRDefault="00EC3FCC" w14:paraId="5C4AAEB1" w14:textId="77777777">
      <w:pPr>
        <w:numPr>
          <w:ilvl w:val="0"/>
          <w:numId w:val="48"/>
        </w:numPr>
        <w:ind w:left="0" w:firstLine="360"/>
        <w:rPr>
          <w:rFonts w:eastAsia="Aptos" w:cs="Times New Roman"/>
        </w:rPr>
      </w:pPr>
      <w:r w:rsidRPr="00EC3FCC">
        <w:rPr>
          <w:rFonts w:eastAsia="Aptos" w:cs="Times New Roman"/>
        </w:rPr>
        <w:t>All directions in D.21-01-018 allowing PG&amp;E, SCE, and SDG&amp;E to submit Tier 2 Advice Letters requesting additional funding for safety evaluations should remain unaltered and should continue to apply.</w:t>
      </w:r>
    </w:p>
    <w:p w:rsidRPr="00EC3FCC" w:rsidR="00EC3FCC" w:rsidP="00EC3FCC" w:rsidRDefault="00EC3FCC" w14:paraId="381CABDF" w14:textId="77777777">
      <w:pPr>
        <w:numPr>
          <w:ilvl w:val="0"/>
          <w:numId w:val="48"/>
        </w:numPr>
        <w:ind w:left="0" w:firstLine="360"/>
        <w:rPr>
          <w:rFonts w:eastAsia="Aptos" w:cs="Times New Roman"/>
        </w:rPr>
      </w:pPr>
      <w:r w:rsidRPr="00EC3FCC">
        <w:rPr>
          <w:rFonts w:eastAsia="Aptos" w:cs="Times New Roman"/>
        </w:rPr>
        <w:t>PG&amp;E, SCE, and SDG&amp;E should each be directed to submit a Tier 2 Advice Letter to establish a new tariff supporting the installation of customer-owned MSAs, both isolating and non-isolating, as prescribed in this decision; and if a utility has already made a similar tariff submission, it should update its submission as needed to fully comply with this order.</w:t>
      </w:r>
    </w:p>
    <w:p w:rsidRPr="00EC3FCC" w:rsidR="00EC3FCC" w:rsidP="00EC3FCC" w:rsidRDefault="00EC3FCC" w14:paraId="3EFA4F3F" w14:textId="77777777">
      <w:pPr>
        <w:numPr>
          <w:ilvl w:val="0"/>
          <w:numId w:val="48"/>
        </w:numPr>
        <w:ind w:left="0" w:firstLine="360"/>
        <w:rPr>
          <w:rFonts w:eastAsia="Aptos" w:cs="Times New Roman"/>
        </w:rPr>
      </w:pPr>
      <w:r w:rsidRPr="00EC3FCC">
        <w:rPr>
          <w:rFonts w:eastAsia="Aptos" w:cs="Times New Roman"/>
        </w:rPr>
        <w:t>It is reasonable and prudent to direct PG&amp;E, SCE, and SDG&amp;E to hold a joint public workshop, soliciting feedback on the proposed tariff and gathering public input on an appropriate target timeline for utility installation of MSAs.</w:t>
      </w:r>
    </w:p>
    <w:p w:rsidRPr="00EC3FCC" w:rsidR="00EC3FCC" w:rsidP="00EC3FCC" w:rsidRDefault="00EC3FCC" w14:paraId="23BEF76F" w14:textId="77777777">
      <w:pPr>
        <w:numPr>
          <w:ilvl w:val="0"/>
          <w:numId w:val="48"/>
        </w:numPr>
        <w:ind w:left="0" w:firstLine="360"/>
        <w:rPr>
          <w:rFonts w:eastAsia="Aptos" w:cs="Times New Roman"/>
        </w:rPr>
      </w:pPr>
      <w:r w:rsidRPr="00EC3FCC">
        <w:rPr>
          <w:rFonts w:eastAsia="Aptos" w:cs="Times New Roman"/>
        </w:rPr>
        <w:t xml:space="preserve">It is reasonable to direct PG&amp;E, SCE, and SDG&amp;E to begin reporting annually on the previous year’s data detailing each MSA installation and timeline for installation. </w:t>
      </w:r>
    </w:p>
    <w:p w:rsidRPr="00EC3FCC" w:rsidR="00EC3FCC" w:rsidP="00EC3FCC" w:rsidRDefault="00EC3FCC" w14:paraId="7027251A" w14:textId="77777777">
      <w:pPr>
        <w:numPr>
          <w:ilvl w:val="0"/>
          <w:numId w:val="48"/>
        </w:numPr>
        <w:ind w:left="0" w:firstLine="360"/>
        <w:rPr>
          <w:rFonts w:eastAsia="Aptos" w:cs="Times New Roman"/>
        </w:rPr>
      </w:pPr>
      <w:r w:rsidRPr="00EC3FCC">
        <w:rPr>
          <w:rFonts w:eastAsia="Aptos" w:cs="Times New Roman"/>
        </w:rPr>
        <w:lastRenderedPageBreak/>
        <w:t xml:space="preserve">PG&amp;E, SCE, and SDG&amp;E should be authorized to seek an extension of time to complete an evaluation for a specific device, when appropriate. </w:t>
      </w:r>
    </w:p>
    <w:p w:rsidRPr="00EC3FCC" w:rsidR="00EC3FCC" w:rsidP="00EC3FCC" w:rsidRDefault="00EC3FCC" w14:paraId="28C75719" w14:textId="77777777">
      <w:pPr>
        <w:numPr>
          <w:ilvl w:val="0"/>
          <w:numId w:val="48"/>
        </w:numPr>
        <w:ind w:left="0" w:firstLine="360"/>
        <w:rPr>
          <w:rFonts w:eastAsia="Aptos" w:cs="Times New Roman"/>
        </w:rPr>
      </w:pPr>
      <w:r w:rsidRPr="00EC3FCC">
        <w:rPr>
          <w:rFonts w:eastAsia="Aptos" w:cs="Times New Roman"/>
        </w:rPr>
        <w:t xml:space="preserve">It is reasonable to direct PG&amp;E, SCE, and SDG&amp;E to coordinate and collaborate on their device safety evaluations to avoid duplicative testing, and prior to filing the Advice Letter, consult with the Commission’s Energy Division. </w:t>
      </w:r>
    </w:p>
    <w:p w:rsidRPr="00EC3FCC" w:rsidR="00EC3FCC" w:rsidP="00EC3FCC" w:rsidRDefault="00EC3FCC" w14:paraId="02652F48" w14:textId="77777777">
      <w:pPr>
        <w:numPr>
          <w:ilvl w:val="0"/>
          <w:numId w:val="48"/>
        </w:numPr>
        <w:ind w:left="0" w:firstLine="360"/>
        <w:rPr>
          <w:rFonts w:eastAsia="Aptos" w:cs="Times New Roman"/>
        </w:rPr>
      </w:pPr>
      <w:r w:rsidRPr="00EC3FCC">
        <w:rPr>
          <w:rFonts w:eastAsia="Aptos" w:cs="Times New Roman"/>
        </w:rPr>
        <w:t>It is reasonable to authorize PG&amp;E, SCE, and SDG&amp;E to seek additional funding for safety evaluations, as originally authorized in D.21</w:t>
      </w:r>
      <w:r w:rsidRPr="00EC3FCC">
        <w:rPr>
          <w:rFonts w:eastAsia="Aptos" w:cs="Times New Roman"/>
        </w:rPr>
        <w:noBreakHyphen/>
        <w:t>01</w:t>
      </w:r>
      <w:r w:rsidRPr="00EC3FCC">
        <w:rPr>
          <w:rFonts w:eastAsia="Aptos" w:cs="Times New Roman"/>
        </w:rPr>
        <w:noBreakHyphen/>
        <w:t xml:space="preserve">018, OP 9, to be applied to both isolating and non-isolating devices. </w:t>
      </w:r>
    </w:p>
    <w:p w:rsidRPr="00EC3FCC" w:rsidR="00EC3FCC" w:rsidP="00EC3FCC" w:rsidRDefault="00EC3FCC" w14:paraId="7ED37E6C" w14:textId="77777777">
      <w:pPr>
        <w:numPr>
          <w:ilvl w:val="0"/>
          <w:numId w:val="48"/>
        </w:numPr>
        <w:ind w:left="0" w:firstLine="360"/>
        <w:rPr>
          <w:rFonts w:eastAsia="Aptos" w:cs="Times New Roman"/>
        </w:rPr>
      </w:pPr>
      <w:r w:rsidRPr="00EC3FCC">
        <w:rPr>
          <w:rFonts w:eastAsia="Aptos" w:cs="Times New Roman"/>
        </w:rPr>
        <w:t xml:space="preserve">It is reasonable to direct PG&amp;E, SCE, and SDG&amp;E to submit an informational report, jointly with suppliers, when a utility terminates the evaluation process for an isolating or non-isolating device or technology without approving the device or technology for deployment, or when a product has been in the evaluation process for more than six months and both the utility and the supplier have agreed that progress toward completing the evaluation has ceased. </w:t>
      </w:r>
    </w:p>
    <w:p w:rsidRPr="00EC3FCC" w:rsidR="00EC3FCC" w:rsidP="00EC3FCC" w:rsidRDefault="00EC3FCC" w14:paraId="12A5E7F4" w14:textId="77777777">
      <w:pPr>
        <w:numPr>
          <w:ilvl w:val="0"/>
          <w:numId w:val="48"/>
        </w:numPr>
        <w:ind w:left="0" w:firstLine="360"/>
        <w:rPr>
          <w:rFonts w:eastAsia="Aptos" w:cs="Times New Roman"/>
        </w:rPr>
      </w:pPr>
      <w:r w:rsidRPr="00EC3FCC">
        <w:rPr>
          <w:rFonts w:eastAsia="Aptos" w:cs="Times New Roman"/>
        </w:rPr>
        <w:t xml:space="preserve">It is reasonable to direct PG&amp;E, SCE, and SDG&amp;E to provide updates to the Commission, upon request, of all testing and evaluation activities for isolating and non-isolating devices. </w:t>
      </w:r>
    </w:p>
    <w:p w:rsidRPr="00EC3FCC" w:rsidR="00EC3FCC" w:rsidP="00EC3FCC" w:rsidRDefault="00EC3FCC" w14:paraId="01C049A5" w14:textId="77777777">
      <w:pPr>
        <w:numPr>
          <w:ilvl w:val="0"/>
          <w:numId w:val="48"/>
        </w:numPr>
        <w:ind w:left="0" w:firstLine="360"/>
        <w:rPr>
          <w:rFonts w:eastAsia="Aptos" w:cs="Times New Roman"/>
        </w:rPr>
      </w:pPr>
      <w:r w:rsidRPr="00EC3FCC">
        <w:rPr>
          <w:rFonts w:eastAsia="Aptos" w:cs="Times New Roman"/>
        </w:rPr>
        <w:t xml:space="preserve">It is reasonable and prudent to direct PG&amp;E, SCE, and SDG&amp;E to publicly list on their respective websites all non-isolating devices that have received Investor-Owned Utility approval, information for manufacturers seeking to undergo the safety evaluation process, and a portal for customers to request installations of MSAs. </w:t>
      </w:r>
    </w:p>
    <w:p w:rsidRPr="00EC3FCC" w:rsidR="00EC3FCC" w:rsidP="00EC3FCC" w:rsidRDefault="00EC3FCC" w14:paraId="48D5F5CA" w14:textId="77777777">
      <w:pPr>
        <w:numPr>
          <w:ilvl w:val="0"/>
          <w:numId w:val="48"/>
        </w:numPr>
        <w:ind w:left="0" w:firstLine="360"/>
        <w:rPr>
          <w:rFonts w:eastAsia="Aptos" w:cs="Times New Roman"/>
        </w:rPr>
      </w:pPr>
      <w:r w:rsidRPr="00EC3FCC">
        <w:rPr>
          <w:rFonts w:eastAsia="Aptos" w:cs="Times New Roman"/>
        </w:rPr>
        <w:t>It is reasonable and prudent to direct PG&amp;E, SCE, and SDG&amp;E to each make available and continue to maintain a dedicated public webpage listing all devices approved for utility use through the evaluation process consistent with the Resolution E</w:t>
      </w:r>
      <w:r w:rsidRPr="00EC3FCC">
        <w:rPr>
          <w:rFonts w:eastAsia="Aptos" w:cs="Times New Roman"/>
        </w:rPr>
        <w:noBreakHyphen/>
        <w:t xml:space="preserve">5194 evaluation process. </w:t>
      </w:r>
    </w:p>
    <w:p w:rsidRPr="00EC3FCC" w:rsidR="00EC3FCC" w:rsidP="00EC3FCC" w:rsidRDefault="00EC3FCC" w14:paraId="53431EBA" w14:textId="77777777">
      <w:pPr>
        <w:numPr>
          <w:ilvl w:val="0"/>
          <w:numId w:val="48"/>
        </w:numPr>
        <w:ind w:left="0" w:firstLine="360"/>
        <w:rPr>
          <w:rFonts w:eastAsia="Aptos" w:cs="Times New Roman"/>
        </w:rPr>
      </w:pPr>
      <w:r w:rsidRPr="00EC3FCC">
        <w:rPr>
          <w:rFonts w:eastAsia="Aptos" w:cs="Times New Roman"/>
        </w:rPr>
        <w:lastRenderedPageBreak/>
        <w:t>PG&amp;E, SCE, and SDG&amp;E should each update their respective electric service requirement manual by providing detailed guidance on meter socket adapter installation requirements and descriptions of installation processes and procedures for all customer-owned devices approved for use through safety evaluation process consistent with the Resolution E-5194 process.</w:t>
      </w:r>
    </w:p>
    <w:p w:rsidRPr="00EC3FCC" w:rsidR="00EC3FCC" w:rsidP="00EC3FCC" w:rsidRDefault="00EC3FCC" w14:paraId="50FE95F8" w14:textId="77777777">
      <w:pPr>
        <w:numPr>
          <w:ilvl w:val="0"/>
          <w:numId w:val="48"/>
        </w:numPr>
        <w:ind w:left="0" w:firstLine="360"/>
        <w:rPr>
          <w:rFonts w:eastAsia="Aptos" w:cs="Times New Roman"/>
        </w:rPr>
      </w:pPr>
      <w:r w:rsidRPr="00EC3FCC">
        <w:rPr>
          <w:rFonts w:eastAsia="Aptos" w:cs="Times New Roman"/>
        </w:rPr>
        <w:t>Commission’s Energy Division staff should be authorized to work with the TECH Initiative implementer to create and maintain a website that provides resources about alternatives to electric service and panel upsizing.</w:t>
      </w:r>
    </w:p>
    <w:p w:rsidRPr="00EC3FCC" w:rsidR="00EC3FCC" w:rsidP="00EC3FCC" w:rsidRDefault="00EC3FCC" w14:paraId="51CC211C" w14:textId="77777777">
      <w:pPr>
        <w:numPr>
          <w:ilvl w:val="0"/>
          <w:numId w:val="48"/>
        </w:numPr>
        <w:ind w:left="0" w:firstLine="360"/>
        <w:rPr>
          <w:rFonts w:eastAsia="Aptos" w:cs="Times New Roman"/>
        </w:rPr>
      </w:pPr>
      <w:r w:rsidRPr="00EC3FCC">
        <w:rPr>
          <w:rFonts w:eastAsia="Aptos" w:cs="Times New Roman"/>
        </w:rPr>
        <w:t>It is reasonable to direct PG&amp;E, SCE, SDG&amp;E, Liberty Utilities LLC, PacifiCorp, and Bear Valley Electric Service</w:t>
      </w:r>
      <w:r w:rsidRPr="00EC3FCC" w:rsidDel="00760A2E">
        <w:rPr>
          <w:rFonts w:eastAsia="Aptos" w:cs="Times New Roman"/>
        </w:rPr>
        <w:t xml:space="preserve"> </w:t>
      </w:r>
      <w:r w:rsidRPr="00EC3FCC">
        <w:rPr>
          <w:rFonts w:eastAsia="Aptos" w:cs="Times New Roman"/>
        </w:rPr>
        <w:t xml:space="preserve">Inc. to reference and link any new TECH Initiative implementer’s website link, with resources about alternatives to electric service and panel upsizing, to each utility’s website page ordered in this decision. </w:t>
      </w:r>
    </w:p>
    <w:p w:rsidRPr="00EC3FCC" w:rsidR="00EC3FCC" w:rsidP="00EC3FCC" w:rsidRDefault="00EC3FCC" w14:paraId="1F1F1D18" w14:textId="77777777">
      <w:pPr>
        <w:numPr>
          <w:ilvl w:val="0"/>
          <w:numId w:val="48"/>
        </w:numPr>
        <w:ind w:left="0" w:firstLine="360"/>
        <w:rPr>
          <w:rFonts w:eastAsia="Aptos" w:cs="Times New Roman"/>
        </w:rPr>
      </w:pPr>
      <w:r w:rsidRPr="00EC3FCC">
        <w:rPr>
          <w:rFonts w:eastAsia="Aptos" w:cs="Times New Roman"/>
        </w:rPr>
        <w:t xml:space="preserve">It is reasonable to direct PG&amp;E, SCE, SDG&amp;E, Liberty Utilities LLC, PacifiCorp, and Bear Valley Electric Service Inc. to each revise its respective application for service upsizing to include (a) the TECH Initiative implementer’s materials summarizing strategies to avoid service upsizing and informing applicants requesting a service upsizing about available alternatives, and (b) an applicant attestation form confirming the applicant reviewed the materials and considered available alternatives before proceeding with the service upsizing request. </w:t>
      </w:r>
    </w:p>
    <w:p w:rsidRPr="00EC3FCC" w:rsidR="00EC3FCC" w:rsidP="00EC3FCC" w:rsidRDefault="00EC3FCC" w14:paraId="07ABE71B" w14:textId="77777777">
      <w:pPr>
        <w:numPr>
          <w:ilvl w:val="0"/>
          <w:numId w:val="48"/>
        </w:numPr>
        <w:ind w:left="0" w:firstLine="360"/>
        <w:rPr>
          <w:rFonts w:eastAsia="Aptos" w:cs="Times New Roman"/>
        </w:rPr>
      </w:pPr>
      <w:r w:rsidRPr="00EC3FCC">
        <w:rPr>
          <w:rFonts w:eastAsia="Aptos" w:cs="Times New Roman"/>
        </w:rPr>
        <w:t>OP 5 of D.23-12-037 should be modified to extend the deadlines it set.</w:t>
      </w:r>
    </w:p>
    <w:p w:rsidRPr="00EC3FCC" w:rsidR="00EC3FCC" w:rsidP="00EC3FCC" w:rsidRDefault="00EC3FCC" w14:paraId="68CDB1ED" w14:textId="77777777">
      <w:pPr>
        <w:numPr>
          <w:ilvl w:val="0"/>
          <w:numId w:val="48"/>
        </w:numPr>
        <w:ind w:left="0" w:firstLine="360"/>
        <w:rPr>
          <w:rFonts w:eastAsia="Aptos" w:cs="Times New Roman"/>
        </w:rPr>
      </w:pPr>
      <w:r w:rsidRPr="00EC3FCC">
        <w:rPr>
          <w:rFonts w:eastAsia="Aptos" w:cs="Times New Roman"/>
        </w:rPr>
        <w:t xml:space="preserve">OP 8 of D.23-12-037 should be modified to change the annual May 1 deadline to a quarterly deadline, with the fourth quarter report including an annual summary and aligning with the April 15 annual reporting established in this decision. </w:t>
      </w:r>
    </w:p>
    <w:p w:rsidRPr="00EC3FCC" w:rsidR="00EC3FCC" w:rsidP="00EC3FCC" w:rsidRDefault="00EC3FCC" w14:paraId="362FB700" w14:textId="77777777">
      <w:pPr>
        <w:numPr>
          <w:ilvl w:val="0"/>
          <w:numId w:val="48"/>
        </w:numPr>
        <w:ind w:left="0" w:firstLine="360"/>
        <w:rPr>
          <w:rFonts w:eastAsia="Aptos" w:cs="Times New Roman"/>
        </w:rPr>
      </w:pPr>
      <w:r w:rsidRPr="00EC3FCC">
        <w:rPr>
          <w:rFonts w:eastAsia="Aptos" w:cs="Times New Roman"/>
        </w:rPr>
        <w:lastRenderedPageBreak/>
        <w:t xml:space="preserve">PG&amp;E, SCE and SDG&amp;E should notify all electric utilities operating in their service territory, including both investor-owned utilities and publicly owned utilities, of the final disposition of any application filed before the Commission pursuant to OP 2 of D.22-09-026 seeking an exemption from gas line subsidy elimination for one or more building projects and serve that notice serve a notice of that final decision on the service list of this proceeding. </w:t>
      </w:r>
    </w:p>
    <w:p w:rsidRPr="00EC3FCC" w:rsidR="00EC3FCC" w:rsidP="00EC3FCC" w:rsidRDefault="00EC3FCC" w14:paraId="5F8C5609" w14:textId="77777777">
      <w:pPr>
        <w:numPr>
          <w:ilvl w:val="0"/>
          <w:numId w:val="48"/>
        </w:numPr>
        <w:ind w:left="0" w:firstLine="360"/>
        <w:rPr>
          <w:rFonts w:eastAsia="Aptos" w:cs="Times New Roman"/>
        </w:rPr>
      </w:pPr>
      <w:r w:rsidRPr="00EC3FCC">
        <w:rPr>
          <w:rFonts w:eastAsia="Aptos" w:cs="Times New Roman"/>
        </w:rPr>
        <w:t>The cost caps established in D.20-03-027 and continued in D.23</w:t>
      </w:r>
      <w:r w:rsidRPr="00EC3FCC">
        <w:rPr>
          <w:rFonts w:eastAsia="Aptos" w:cs="Times New Roman"/>
        </w:rPr>
        <w:noBreakHyphen/>
        <w:t>02</w:t>
      </w:r>
      <w:r w:rsidRPr="00EC3FCC">
        <w:rPr>
          <w:rFonts w:eastAsia="Aptos" w:cs="Times New Roman"/>
        </w:rPr>
        <w:noBreakHyphen/>
        <w:t xml:space="preserve">005 should apply to the use of AB 157 funds for the TECH Initiative.  </w:t>
      </w:r>
    </w:p>
    <w:p w:rsidRPr="00EC3FCC" w:rsidR="00EC3FCC" w:rsidP="00EC3FCC" w:rsidRDefault="00EC3FCC" w14:paraId="25CD8BB6" w14:textId="77777777">
      <w:pPr>
        <w:numPr>
          <w:ilvl w:val="0"/>
          <w:numId w:val="48"/>
        </w:numPr>
        <w:ind w:left="0" w:firstLine="360"/>
        <w:rPr>
          <w:rFonts w:eastAsia="Aptos" w:cs="Times New Roman"/>
        </w:rPr>
      </w:pPr>
      <w:r w:rsidRPr="00EC3FCC">
        <w:rPr>
          <w:rFonts w:eastAsia="Aptos" w:cs="Times New Roman"/>
        </w:rPr>
        <w:t xml:space="preserve">It is reasonable to direct the TECH Initiative implementer to allocate the remaining AB 157 funds exclusively for the following purposes: (a) program incentives; (b) the administration of tenant protections; (c) workforce education and training efforts; (d) verifying income eligibility; and (e)  reporting. </w:t>
      </w:r>
    </w:p>
    <w:p w:rsidRPr="00EC3FCC" w:rsidR="00EC3FCC" w:rsidP="00EC3FCC" w:rsidRDefault="00EC3FCC" w14:paraId="597582EF" w14:textId="77777777">
      <w:pPr>
        <w:numPr>
          <w:ilvl w:val="0"/>
          <w:numId w:val="48"/>
        </w:numPr>
        <w:ind w:left="0" w:firstLine="360"/>
        <w:rPr>
          <w:rFonts w:eastAsia="Aptos" w:cs="Times New Roman"/>
        </w:rPr>
      </w:pPr>
      <w:r w:rsidRPr="00EC3FCC">
        <w:rPr>
          <w:rFonts w:eastAsia="Aptos" w:cs="Times New Roman"/>
        </w:rPr>
        <w:t xml:space="preserve">As to the new TECH Initiative funding provided by AB 157, it is reasonable to set a minimum of 50 percent of all program costs to be allocated to either single-family low-income household with income at or below 80 percent of area median income, or multi-family low-income as at least 66 percent of occupied living units at or below 80 percent of area median income, as defined by the California Department of Housing and Community Development.  </w:t>
      </w:r>
    </w:p>
    <w:p w:rsidRPr="00EC3FCC" w:rsidR="00EC3FCC" w:rsidP="00EC3FCC" w:rsidRDefault="00EC3FCC" w14:paraId="0C2CDF0C" w14:textId="77777777">
      <w:pPr>
        <w:numPr>
          <w:ilvl w:val="0"/>
          <w:numId w:val="48"/>
        </w:numPr>
        <w:ind w:left="0" w:firstLine="360"/>
        <w:rPr>
          <w:rFonts w:eastAsia="Aptos" w:cs="Times New Roman"/>
        </w:rPr>
      </w:pPr>
      <w:r w:rsidRPr="00EC3FCC">
        <w:rPr>
          <w:rFonts w:eastAsia="Aptos" w:cs="Times New Roman"/>
        </w:rPr>
        <w:t>The TECH Initiative implementer should be directed to:</w:t>
      </w:r>
    </w:p>
    <w:p w:rsidRPr="00EC3FCC" w:rsidR="00EC3FCC" w:rsidP="00EC3FCC" w:rsidRDefault="00EC3FCC" w14:paraId="30758921" w14:textId="77777777">
      <w:pPr>
        <w:numPr>
          <w:ilvl w:val="0"/>
          <w:numId w:val="48"/>
        </w:numPr>
        <w:ind w:left="0" w:firstLine="360"/>
        <w:rPr>
          <w:rFonts w:eastAsia="Aptos" w:cs="Times New Roman"/>
        </w:rPr>
      </w:pPr>
      <w:r w:rsidRPr="00EC3FCC">
        <w:rPr>
          <w:rFonts w:eastAsia="Aptos" w:cs="Times New Roman"/>
        </w:rPr>
        <w:t>Verify the incomes of all participants, or utilize categorical eligibility, to determine eligibility for low-income program benefits; and</w:t>
      </w:r>
    </w:p>
    <w:p w:rsidRPr="00EC3FCC" w:rsidR="00EC3FCC" w:rsidP="00EC3FCC" w:rsidRDefault="00EC3FCC" w14:paraId="281A928D" w14:textId="77777777">
      <w:pPr>
        <w:numPr>
          <w:ilvl w:val="0"/>
          <w:numId w:val="48"/>
        </w:numPr>
        <w:ind w:left="0" w:firstLine="360"/>
        <w:rPr>
          <w:rFonts w:eastAsia="Aptos" w:cs="Times New Roman"/>
        </w:rPr>
      </w:pPr>
      <w:r w:rsidRPr="00EC3FCC">
        <w:rPr>
          <w:rFonts w:eastAsia="Aptos" w:cs="Times New Roman"/>
        </w:rPr>
        <w:t>Exempt from income verification requirements and therefore do not require income verification for households whose income has already been verified under the California Energy Commission’s Home Electrification and Appliance Rebates or Equitable Building Decarbonization programs.</w:t>
      </w:r>
    </w:p>
    <w:p w:rsidRPr="00EC3FCC" w:rsidR="00EC3FCC" w:rsidP="00EC3FCC" w:rsidRDefault="00EC3FCC" w14:paraId="1E7503B7" w14:textId="322ACEAC">
      <w:pPr>
        <w:numPr>
          <w:ilvl w:val="0"/>
          <w:numId w:val="48"/>
        </w:numPr>
        <w:ind w:left="0" w:firstLine="360"/>
        <w:rPr>
          <w:rFonts w:eastAsia="Aptos" w:cs="Times New Roman"/>
        </w:rPr>
      </w:pPr>
      <w:r w:rsidRPr="00EC3FCC">
        <w:rPr>
          <w:rFonts w:eastAsia="Aptos" w:cs="Times New Roman"/>
        </w:rPr>
        <w:lastRenderedPageBreak/>
        <w:t>The eligible measures list for comprehensive building decarbonization adopted under the California Energy Commission's Equitable Building Decarbonization program guidelines, Section I.2, should</w:t>
      </w:r>
      <w:r w:rsidR="00035752">
        <w:rPr>
          <w:rFonts w:eastAsia="Aptos" w:cs="Times New Roman"/>
        </w:rPr>
        <w:t xml:space="preserve"> be</w:t>
      </w:r>
      <w:r w:rsidRPr="00EC3FCC">
        <w:rPr>
          <w:rFonts w:eastAsia="Aptos" w:cs="Times New Roman"/>
        </w:rPr>
        <w:t xml:space="preserve"> adopted for qualifying low-income customers. </w:t>
      </w:r>
    </w:p>
    <w:p w:rsidRPr="00EC3FCC" w:rsidR="00EC3FCC" w:rsidP="00EC3FCC" w:rsidRDefault="00EC3FCC" w14:paraId="0A1C4AD1" w14:textId="1A2CCF98">
      <w:pPr>
        <w:numPr>
          <w:ilvl w:val="0"/>
          <w:numId w:val="48"/>
        </w:numPr>
        <w:ind w:left="0" w:firstLine="360"/>
        <w:rPr>
          <w:rFonts w:eastAsia="Aptos" w:cs="Times New Roman"/>
        </w:rPr>
      </w:pPr>
      <w:r w:rsidRPr="00EC3FCC">
        <w:rPr>
          <w:rFonts w:eastAsia="Aptos" w:cs="Times New Roman"/>
        </w:rPr>
        <w:t xml:space="preserve">The TECH Initiative implementer should be authorized to provide the following as additional measures to all TECH Initiative customers: meter socket adapters, smart splitters, and any other load management device that can be deployed to avoid the need for </w:t>
      </w:r>
      <w:r w:rsidRPr="00EC3FCC" w:rsidR="00934DD6">
        <w:rPr>
          <w:rFonts w:eastAsia="Aptos" w:cs="Times New Roman"/>
        </w:rPr>
        <w:t>line-sizing electric service</w:t>
      </w:r>
      <w:r w:rsidRPr="00EC3FCC">
        <w:rPr>
          <w:rFonts w:eastAsia="Aptos" w:cs="Times New Roman"/>
        </w:rPr>
        <w:t xml:space="preserve"> upsizing, provided that the use of funds for these devices does not duplicate any other available incentives. </w:t>
      </w:r>
    </w:p>
    <w:p w:rsidRPr="00EC3FCC" w:rsidR="00EC3FCC" w:rsidP="00EC3FCC" w:rsidRDefault="00EC3FCC" w14:paraId="7A6EE467" w14:textId="77777777">
      <w:pPr>
        <w:numPr>
          <w:ilvl w:val="0"/>
          <w:numId w:val="48"/>
        </w:numPr>
        <w:ind w:left="0" w:firstLine="360"/>
        <w:contextualSpacing/>
        <w:rPr>
          <w:rFonts w:eastAsia="Aptos" w:cs="Times New Roman"/>
        </w:rPr>
      </w:pPr>
      <w:r w:rsidRPr="00EC3FCC">
        <w:rPr>
          <w:rFonts w:eastAsia="Aptos" w:cs="Times New Roman"/>
        </w:rPr>
        <w:t>In authorizing the expenditure of AB 157 funds, priority should be given to the specific communities in the City of Los Angeles: Porter Ranch, Granada Hills, Northridge, Chatsworth, North Hills, Canoga Park, Reseda, Winnetka, West Hills, Van Nuys, and Lake Balboa is consistent with AB 157.</w:t>
      </w:r>
    </w:p>
    <w:p w:rsidRPr="00EC3FCC" w:rsidR="00EC3FCC" w:rsidP="00EC3FCC" w:rsidRDefault="00EC3FCC" w14:paraId="0B3D3144" w14:textId="77777777">
      <w:pPr>
        <w:numPr>
          <w:ilvl w:val="0"/>
          <w:numId w:val="48"/>
        </w:numPr>
        <w:ind w:left="0" w:firstLine="360"/>
        <w:rPr>
          <w:rFonts w:eastAsia="Aptos" w:cs="Times New Roman"/>
        </w:rPr>
      </w:pPr>
      <w:r w:rsidRPr="00EC3FCC">
        <w:rPr>
          <w:rFonts w:eastAsia="Aptos" w:cs="Times New Roman"/>
        </w:rPr>
        <w:t>The TECH Initiative, funded by AB 157, should continue to be implemented as an upstream and midstream incentive program, per Public Utilities Code Section 922, and be available on a first-come, first-served basis, consistent with the priority schedule we adopt.</w:t>
      </w:r>
    </w:p>
    <w:p w:rsidRPr="00EC3FCC" w:rsidR="00EC3FCC" w:rsidP="00EC3FCC" w:rsidRDefault="00EC3FCC" w14:paraId="4597BC45" w14:textId="77777777">
      <w:pPr>
        <w:numPr>
          <w:ilvl w:val="0"/>
          <w:numId w:val="48"/>
        </w:numPr>
        <w:ind w:left="0" w:firstLine="360"/>
        <w:rPr>
          <w:rFonts w:eastAsia="Aptos" w:cs="Times New Roman"/>
        </w:rPr>
      </w:pPr>
      <w:r w:rsidRPr="00EC3FCC">
        <w:rPr>
          <w:rFonts w:eastAsia="Aptos" w:cs="Times New Roman"/>
        </w:rPr>
        <w:t>The TECH Initiative implementer should require every property owner or property manager, if applicable, seeking or receiving building electrification incentives—whether funded under Assembly Bill 157 or otherwise—to enter into a Tenant Protection Agreement, attached to this decision as Appendix B.</w:t>
      </w:r>
    </w:p>
    <w:p w:rsidRPr="00EC3FCC" w:rsidR="00EC3FCC" w:rsidP="00EC3FCC" w:rsidRDefault="00EC3FCC" w14:paraId="691E703E" w14:textId="77777777">
      <w:pPr>
        <w:numPr>
          <w:ilvl w:val="0"/>
          <w:numId w:val="48"/>
        </w:numPr>
        <w:ind w:left="0" w:firstLine="360"/>
        <w:rPr>
          <w:rFonts w:eastAsia="Aptos" w:cs="Times New Roman"/>
        </w:rPr>
      </w:pPr>
      <w:r w:rsidRPr="00EC3FCC">
        <w:rPr>
          <w:rFonts w:eastAsia="Aptos" w:cs="Times New Roman"/>
        </w:rPr>
        <w:t xml:space="preserve">The TECH Initiative contracting agent should be provided directions regarding AB 157 funding and related obligations. </w:t>
      </w:r>
    </w:p>
    <w:p w:rsidR="00017D39" w:rsidP="00017D39" w:rsidRDefault="00EC3FCC" w14:paraId="13A0C533" w14:textId="77777777">
      <w:pPr>
        <w:numPr>
          <w:ilvl w:val="0"/>
          <w:numId w:val="48"/>
        </w:numPr>
        <w:ind w:left="0" w:firstLine="360"/>
        <w:rPr>
          <w:rFonts w:eastAsia="Aptos" w:cs="Times New Roman"/>
        </w:rPr>
      </w:pPr>
      <w:r w:rsidRPr="00EC3FCC">
        <w:rPr>
          <w:rFonts w:eastAsia="Aptos" w:cs="Times New Roman"/>
        </w:rPr>
        <w:t>The TECH Initiative implementer and evaluator should be directed to submit every six months report relating to data on projects funded AB 157.</w:t>
      </w:r>
    </w:p>
    <w:p w:rsidRPr="001D63C9" w:rsidR="00585084" w:rsidP="001D63C9" w:rsidRDefault="000C74EE" w14:paraId="0DD8398A" w14:textId="32DFF036">
      <w:pPr>
        <w:numPr>
          <w:ilvl w:val="0"/>
          <w:numId w:val="48"/>
        </w:numPr>
        <w:ind w:left="0" w:firstLine="360"/>
        <w:rPr>
          <w:rFonts w:eastAsia="Aptos" w:cs="Times New Roman"/>
        </w:rPr>
      </w:pPr>
      <w:r>
        <w:lastRenderedPageBreak/>
        <w:t xml:space="preserve">This decision </w:t>
      </w:r>
      <w:r w:rsidR="007F1576">
        <w:t xml:space="preserve">aligns with </w:t>
      </w:r>
      <w:r>
        <w:t xml:space="preserve">the Commission’s ESJ Action Plan (Version 2.0) </w:t>
      </w:r>
      <w:r w:rsidR="00722D86">
        <w:t>and furthers the following ESJ Action Plan goals:</w:t>
      </w:r>
      <w:r>
        <w:t xml:space="preserve"> </w:t>
      </w:r>
      <w:bookmarkEnd w:id="944"/>
    </w:p>
    <w:p w:rsidR="00585084" w:rsidP="003237E9" w:rsidRDefault="00585084" w14:paraId="3C09D455" w14:textId="77777777">
      <w:pPr>
        <w:pStyle w:val="ListBullet"/>
      </w:pPr>
      <w:r w:rsidRPr="00871292">
        <w:t>Goal #1</w:t>
      </w:r>
      <w:r>
        <w:t xml:space="preserve">: </w:t>
      </w:r>
      <w:r w:rsidRPr="00871292">
        <w:t>integrating equity and access considerations</w:t>
      </w:r>
      <w:r>
        <w:t>;</w:t>
      </w:r>
      <w:r w:rsidRPr="00871292">
        <w:t xml:space="preserve"> </w:t>
      </w:r>
    </w:p>
    <w:p w:rsidR="00585084" w:rsidP="003237E9" w:rsidRDefault="00585084" w14:paraId="60239399" w14:textId="77777777">
      <w:pPr>
        <w:pStyle w:val="ListBullet"/>
        <w:rPr>
          <w:szCs w:val="26"/>
        </w:rPr>
      </w:pPr>
      <w:r w:rsidRPr="00871292">
        <w:rPr>
          <w:szCs w:val="26"/>
        </w:rPr>
        <w:t>Goals #2 and #4</w:t>
      </w:r>
      <w:r>
        <w:rPr>
          <w:szCs w:val="26"/>
        </w:rPr>
        <w:t xml:space="preserve">: </w:t>
      </w:r>
      <w:r w:rsidRPr="00871292">
        <w:rPr>
          <w:szCs w:val="26"/>
        </w:rPr>
        <w:t>investing in clean energy and climate resiliency</w:t>
      </w:r>
      <w:r>
        <w:rPr>
          <w:szCs w:val="26"/>
        </w:rPr>
        <w:t>;</w:t>
      </w:r>
      <w:r w:rsidRPr="00871292">
        <w:rPr>
          <w:szCs w:val="26"/>
        </w:rPr>
        <w:t xml:space="preserve"> </w:t>
      </w:r>
    </w:p>
    <w:p w:rsidR="00585084" w:rsidP="003237E9" w:rsidRDefault="00585084" w14:paraId="4FE242CD" w14:textId="77777777">
      <w:pPr>
        <w:pStyle w:val="ListBullet"/>
        <w:rPr>
          <w:szCs w:val="26"/>
        </w:rPr>
      </w:pPr>
      <w:r w:rsidRPr="00871292">
        <w:rPr>
          <w:szCs w:val="26"/>
        </w:rPr>
        <w:t>Goal #3</w:t>
      </w:r>
      <w:r>
        <w:rPr>
          <w:szCs w:val="26"/>
        </w:rPr>
        <w:t xml:space="preserve">: </w:t>
      </w:r>
      <w:r w:rsidRPr="003237E9">
        <w:t>enhancing</w:t>
      </w:r>
      <w:r w:rsidRPr="00871292">
        <w:rPr>
          <w:szCs w:val="26"/>
        </w:rPr>
        <w:t xml:space="preserve"> access to essential services</w:t>
      </w:r>
      <w:r>
        <w:rPr>
          <w:szCs w:val="26"/>
        </w:rPr>
        <w:t>;</w:t>
      </w:r>
      <w:r w:rsidRPr="00871292">
        <w:rPr>
          <w:szCs w:val="26"/>
        </w:rPr>
        <w:t xml:space="preserve"> </w:t>
      </w:r>
    </w:p>
    <w:p w:rsidRPr="003237E9" w:rsidR="00585084" w:rsidP="003237E9" w:rsidRDefault="00585084" w14:paraId="362993BB" w14:textId="7C67555B">
      <w:pPr>
        <w:pStyle w:val="ListBullet"/>
      </w:pPr>
      <w:r>
        <w:t xml:space="preserve">Goal #6: </w:t>
      </w:r>
      <w:r w:rsidRPr="003237E9">
        <w:t>ensuring safety and consumer protection</w:t>
      </w:r>
      <w:r w:rsidR="692E5521">
        <w:t xml:space="preserve"> for all</w:t>
      </w:r>
      <w:r w:rsidRPr="003237E9">
        <w:t>; and</w:t>
      </w:r>
    </w:p>
    <w:p w:rsidR="00585084" w:rsidP="003237E9" w:rsidRDefault="00585084" w14:paraId="1170E53A" w14:textId="247FCF51">
      <w:pPr>
        <w:pStyle w:val="ListBullet"/>
        <w:rPr>
          <w:szCs w:val="26"/>
        </w:rPr>
      </w:pPr>
      <w:r w:rsidRPr="003237E9">
        <w:t>Goal #7: promoting economic opportunities</w:t>
      </w:r>
      <w:r>
        <w:rPr>
          <w:szCs w:val="26"/>
        </w:rPr>
        <w:t>.</w:t>
      </w:r>
    </w:p>
    <w:p w:rsidR="00035752" w:rsidP="003A31CB" w:rsidRDefault="00035752" w14:paraId="65EFE777" w14:textId="77777777">
      <w:pPr>
        <w:numPr>
          <w:ilvl w:val="0"/>
          <w:numId w:val="48"/>
        </w:numPr>
        <w:ind w:left="0" w:firstLine="360"/>
        <w:rPr>
          <w:rFonts w:eastAsia="Aptos" w:cs="Times New Roman"/>
        </w:rPr>
      </w:pPr>
      <w:r w:rsidRPr="00035752">
        <w:rPr>
          <w:rFonts w:eastAsia="Aptos" w:cs="Times New Roman"/>
        </w:rPr>
        <w:t>All assigned Commissioner and Administrative Law Judge rulings issued to date should be affirmed</w:t>
      </w:r>
      <w:r>
        <w:rPr>
          <w:rFonts w:eastAsia="Aptos" w:cs="Times New Roman"/>
        </w:rPr>
        <w:t>.</w:t>
      </w:r>
    </w:p>
    <w:p w:rsidR="003A31CB" w:rsidP="003A31CB" w:rsidRDefault="00035752" w14:paraId="29C02EFC" w14:textId="0896B6A7">
      <w:pPr>
        <w:numPr>
          <w:ilvl w:val="0"/>
          <w:numId w:val="48"/>
        </w:numPr>
        <w:ind w:left="0" w:firstLine="360"/>
        <w:rPr>
          <w:rFonts w:eastAsia="Aptos" w:cs="Times New Roman"/>
        </w:rPr>
      </w:pPr>
      <w:r w:rsidRPr="00035752">
        <w:rPr>
          <w:rFonts w:eastAsia="Aptos" w:cs="Times New Roman"/>
        </w:rPr>
        <w:t>The proceeding should remain open</w:t>
      </w:r>
      <w:r w:rsidRPr="00EC3FCC" w:rsidR="003A31CB">
        <w:rPr>
          <w:rFonts w:eastAsia="Aptos" w:cs="Times New Roman"/>
        </w:rPr>
        <w:t>.</w:t>
      </w:r>
    </w:p>
    <w:p w:rsidRPr="000C74EE" w:rsidR="000C74EE" w:rsidP="000C74EE" w:rsidRDefault="000C74EE" w14:paraId="6CB1C033" w14:textId="34FB9C43">
      <w:pPr>
        <w:pStyle w:val="Mainex"/>
        <w:rPr>
          <w:rFonts w:cs="Arial"/>
        </w:rPr>
      </w:pPr>
      <w:bookmarkStart w:name="_Toc185579417" w:id="947"/>
      <w:bookmarkStart w:name="_Toc192263744" w:id="948"/>
      <w:bookmarkStart w:name="_Toc200371015" w:id="949"/>
      <w:r w:rsidRPr="001C65A3">
        <w:t>ORDER</w:t>
      </w:r>
      <w:bookmarkEnd w:id="947"/>
      <w:bookmarkEnd w:id="948"/>
      <w:bookmarkEnd w:id="949"/>
    </w:p>
    <w:p w:rsidRPr="00261EAD" w:rsidR="000C74EE" w:rsidP="000C74EE" w:rsidRDefault="000C74EE" w14:paraId="7A2743D5" w14:textId="77777777">
      <w:pPr>
        <w:pStyle w:val="Standard"/>
        <w:keepNext/>
        <w:rPr>
          <w:szCs w:val="26"/>
        </w:rPr>
      </w:pPr>
      <w:r w:rsidRPr="00261EAD">
        <w:rPr>
          <w:b/>
          <w:bCs/>
          <w:szCs w:val="26"/>
        </w:rPr>
        <w:t>IT IS ORDERED</w:t>
      </w:r>
      <w:r w:rsidRPr="00261EAD">
        <w:rPr>
          <w:szCs w:val="26"/>
        </w:rPr>
        <w:t xml:space="preserve"> that:</w:t>
      </w:r>
    </w:p>
    <w:p w:rsidR="00D07438" w:rsidP="006C423F" w:rsidRDefault="00AA76C9" w14:paraId="0F8A8AD2" w14:textId="7158922D">
      <w:pPr>
        <w:pStyle w:val="OP"/>
      </w:pPr>
      <w:r>
        <w:t>This decision</w:t>
      </w:r>
      <w:r w:rsidR="000A01FD">
        <w:t xml:space="preserve"> authorizes up to</w:t>
      </w:r>
      <w:r w:rsidR="00C0015C">
        <w:t xml:space="preserve"> a total of</w:t>
      </w:r>
      <w:r w:rsidR="000A01FD">
        <w:t xml:space="preserve"> $</w:t>
      </w:r>
      <w:r w:rsidR="000126DF">
        <w:t>5</w:t>
      </w:r>
      <w:r w:rsidR="002E58D8">
        <w:t> million</w:t>
      </w:r>
      <w:r w:rsidR="000A01FD">
        <w:t xml:space="preserve"> annually</w:t>
      </w:r>
      <w:r w:rsidR="00B360B4">
        <w:t>, as a</w:t>
      </w:r>
      <w:r w:rsidR="00045E1F">
        <w:t xml:space="preserve"> statewide</w:t>
      </w:r>
      <w:r w:rsidR="00B360B4">
        <w:t xml:space="preserve"> annual maximum,</w:t>
      </w:r>
      <w:r w:rsidR="000126DF">
        <w:t xml:space="preserve"> for four years</w:t>
      </w:r>
      <w:r w:rsidR="000A01FD">
        <w:t xml:space="preserve"> </w:t>
      </w:r>
      <w:r w:rsidR="00DB71F2">
        <w:t xml:space="preserve">to be </w:t>
      </w:r>
      <w:r w:rsidR="00474B00">
        <w:t>allocated</w:t>
      </w:r>
      <w:r w:rsidR="00DB71F2">
        <w:t xml:space="preserve"> amongst</w:t>
      </w:r>
      <w:r w:rsidR="000A01FD">
        <w:t xml:space="preserve"> </w:t>
      </w:r>
      <w:r w:rsidRPr="00760A2E" w:rsidR="00760A2E">
        <w:t xml:space="preserve">Pacific Gas and Electric Company, Southern California Edison Company, </w:t>
      </w:r>
      <w:r w:rsidR="00670552">
        <w:t xml:space="preserve">and </w:t>
      </w:r>
      <w:r w:rsidRPr="00760A2E" w:rsidR="00760A2E">
        <w:t xml:space="preserve">San Diego Gas </w:t>
      </w:r>
      <w:r w:rsidR="002913AB">
        <w:t>&amp;</w:t>
      </w:r>
      <w:r w:rsidRPr="00760A2E" w:rsidR="00760A2E">
        <w:t xml:space="preserve"> Electric Company</w:t>
      </w:r>
      <w:r w:rsidR="108E15E3">
        <w:t xml:space="preserve"> </w:t>
      </w:r>
      <w:r w:rsidR="000A01FD">
        <w:t xml:space="preserve">to provide </w:t>
      </w:r>
      <w:r w:rsidR="008C5F4A">
        <w:t xml:space="preserve">cost relief for </w:t>
      </w:r>
      <w:r w:rsidR="000A01FD">
        <w:t xml:space="preserve">electric service line upsizing to qualified </w:t>
      </w:r>
      <w:r w:rsidR="004C1911">
        <w:t>under-resourced</w:t>
      </w:r>
      <w:r w:rsidR="000A01FD">
        <w:t xml:space="preserve"> customers pursuing electrification of their home or business</w:t>
      </w:r>
      <w:r w:rsidR="0081794E">
        <w:t xml:space="preserve"> through a </w:t>
      </w:r>
      <w:r w:rsidR="006756F9">
        <w:t xml:space="preserve">building decarbonization </w:t>
      </w:r>
      <w:r w:rsidR="00DB71F2">
        <w:t>p</w:t>
      </w:r>
      <w:r w:rsidR="0081794E">
        <w:t>ro</w:t>
      </w:r>
      <w:r w:rsidR="00FE504B">
        <w:t>gram</w:t>
      </w:r>
      <w:r w:rsidR="00B360B4">
        <w:t>, as defined in Section 4.</w:t>
      </w:r>
      <w:r w:rsidR="00D50F71">
        <w:t>2</w:t>
      </w:r>
      <w:r w:rsidR="000A01FD">
        <w:t xml:space="preserve">. </w:t>
      </w:r>
    </w:p>
    <w:p w:rsidRPr="00965FB0" w:rsidR="00965FB0" w:rsidP="006C423F" w:rsidRDefault="00BB7CF8" w14:paraId="4BE24B1B" w14:textId="3940817B">
      <w:pPr>
        <w:pStyle w:val="OP"/>
      </w:pPr>
      <w:r>
        <w:t>Starting no later than October 1, 2025</w:t>
      </w:r>
      <w:r w:rsidR="00C31A65">
        <w:t>,</w:t>
      </w:r>
      <w:r w:rsidR="000A01FD">
        <w:t xml:space="preserve"> and continuing through </w:t>
      </w:r>
      <w:r w:rsidR="00395214">
        <w:t>June 30</w:t>
      </w:r>
      <w:r w:rsidR="00D17610">
        <w:t>,</w:t>
      </w:r>
      <w:r w:rsidRPr="007167F0" w:rsidR="000A01FD">
        <w:t xml:space="preserve"> </w:t>
      </w:r>
      <w:r w:rsidR="000A01FD">
        <w:t xml:space="preserve">2029, </w:t>
      </w:r>
      <w:r w:rsidRPr="004D05CE" w:rsidR="004D05CE">
        <w:t xml:space="preserve">Pacific Gas and Electric Company, Southern California Edison Company, </w:t>
      </w:r>
      <w:r w:rsidR="00DE1737">
        <w:t xml:space="preserve">and </w:t>
      </w:r>
      <w:r w:rsidRPr="004D05CE" w:rsidR="004D05CE">
        <w:t xml:space="preserve">San Diego Gas </w:t>
      </w:r>
      <w:r w:rsidR="002913AB">
        <w:t>&amp;</w:t>
      </w:r>
      <w:r w:rsidRPr="004D05CE" w:rsidR="004D05CE">
        <w:t xml:space="preserve"> Electric Company</w:t>
      </w:r>
      <w:r w:rsidR="490D786A">
        <w:t xml:space="preserve"> </w:t>
      </w:r>
      <w:r w:rsidR="000A01FD">
        <w:t>shall</w:t>
      </w:r>
      <w:r w:rsidR="61891218">
        <w:t xml:space="preserve"> each</w:t>
      </w:r>
      <w:r w:rsidR="0081562F">
        <w:t>: (</w:t>
      </w:r>
      <w:r w:rsidR="00666541">
        <w:t>a</w:t>
      </w:r>
      <w:r w:rsidR="0081562F">
        <w:t xml:space="preserve">) </w:t>
      </w:r>
      <w:r w:rsidR="000A01FD">
        <w:t xml:space="preserve">offer common facility cost treatment </w:t>
      </w:r>
      <w:r w:rsidR="005206BF">
        <w:t xml:space="preserve">for </w:t>
      </w:r>
      <w:r w:rsidDel="00172299" w:rsidR="005206BF">
        <w:t>under-resourced</w:t>
      </w:r>
      <w:r w:rsidR="005206BF">
        <w:t xml:space="preserve"> customers who</w:t>
      </w:r>
      <w:r w:rsidR="008B071C">
        <w:t>se</w:t>
      </w:r>
      <w:r w:rsidR="005206BF">
        <w:t xml:space="preserve"> participa</w:t>
      </w:r>
      <w:r w:rsidR="008B071C">
        <w:t>tion in</w:t>
      </w:r>
      <w:r w:rsidR="005206BF">
        <w:t xml:space="preserve"> an electrification program triggers the need for service line upsizing</w:t>
      </w:r>
      <w:r w:rsidR="0081562F">
        <w:t xml:space="preserve">; </w:t>
      </w:r>
      <w:r w:rsidR="00934D2F">
        <w:t xml:space="preserve">and </w:t>
      </w:r>
      <w:r w:rsidR="0081562F">
        <w:t>(</w:t>
      </w:r>
      <w:r w:rsidR="00666541">
        <w:t>b</w:t>
      </w:r>
      <w:r w:rsidR="0081562F">
        <w:t>)</w:t>
      </w:r>
      <w:r w:rsidR="00934D2F">
        <w:t xml:space="preserve"> </w:t>
      </w:r>
      <w:r w:rsidR="000A01FD">
        <w:t xml:space="preserve">establish a </w:t>
      </w:r>
      <w:r w:rsidRPr="009B06AF" w:rsidR="009B06AF">
        <w:t xml:space="preserve">Common Facility Cost Treatment </w:t>
      </w:r>
      <w:r w:rsidR="000A01FD">
        <w:t>Balancing Account to track expenditures resulting from this policy</w:t>
      </w:r>
      <w:r w:rsidR="005206BF">
        <w:t xml:space="preserve">. </w:t>
      </w:r>
      <w:r w:rsidRPr="00965FB0" w:rsidR="00965FB0">
        <w:rPr>
          <w:rFonts w:eastAsia="Times New Roman" w:cs="Times New Roman"/>
          <w:szCs w:val="26"/>
        </w:rPr>
        <w:t xml:space="preserve">The costs associated with upsizing the </w:t>
      </w:r>
      <w:r w:rsidRPr="00965FB0" w:rsidR="00965FB0">
        <w:rPr>
          <w:rFonts w:eastAsia="Times New Roman" w:cs="Times New Roman"/>
          <w:szCs w:val="26"/>
        </w:rPr>
        <w:lastRenderedPageBreak/>
        <w:t xml:space="preserve">electric service line for under-resourced residential and small business premises, as defined in this decision, shall be subject to the following financial limitations: </w:t>
      </w:r>
    </w:p>
    <w:p w:rsidRPr="00FD08FF" w:rsidR="00965FB0" w:rsidP="008256FA" w:rsidRDefault="00965FB0" w14:paraId="4368247F" w14:textId="505185B9">
      <w:pPr>
        <w:pStyle w:val="OPListAlpha"/>
        <w:spacing w:after="120" w:line="240" w:lineRule="auto"/>
        <w:ind w:left="1260" w:right="1170" w:hanging="540"/>
      </w:pPr>
      <w:r w:rsidRPr="00261EAD">
        <w:t>The total amount of ratepayer-funded service line upsizing assistance shall be capped</w:t>
      </w:r>
      <w:r w:rsidRPr="00683B01">
        <w:t xml:space="preserve"> at </w:t>
      </w:r>
      <w:r w:rsidRPr="00261EAD">
        <w:t>$</w:t>
      </w:r>
      <w:r>
        <w:t>5</w:t>
      </w:r>
      <w:r w:rsidR="002E58D8">
        <w:t> million</w:t>
      </w:r>
      <w:r w:rsidRPr="00261EAD">
        <w:t xml:space="preserve"> annually, allocated </w:t>
      </w:r>
      <w:r w:rsidRPr="00991BC2">
        <w:t>proportionally</w:t>
      </w:r>
      <w:r w:rsidRPr="00261EAD">
        <w:t xml:space="preserve"> among the </w:t>
      </w:r>
      <w:r w:rsidR="00977EE4">
        <w:t xml:space="preserve">three large </w:t>
      </w:r>
      <w:r w:rsidRPr="00261EAD">
        <w:t>investor-owned electric utilities</w:t>
      </w:r>
      <w:r>
        <w:t>;</w:t>
      </w:r>
    </w:p>
    <w:p w:rsidRPr="00965FB0" w:rsidR="00965FB0" w:rsidP="00121614" w:rsidRDefault="00965FB0" w14:paraId="43158F2F" w14:textId="7A6A96C9">
      <w:pPr>
        <w:pStyle w:val="OPListAlpha"/>
        <w:spacing w:after="120" w:line="240" w:lineRule="auto"/>
        <w:ind w:left="1260" w:right="810" w:hanging="540"/>
      </w:pPr>
      <w:r>
        <w:t>A</w:t>
      </w:r>
      <w:r w:rsidRPr="001C7329">
        <w:t xml:space="preserve">ny </w:t>
      </w:r>
      <w:r w:rsidRPr="001C7329" w:rsidR="007A6520">
        <w:t>un</w:t>
      </w:r>
      <w:r w:rsidR="007A6520">
        <w:t>allocated</w:t>
      </w:r>
      <w:r w:rsidRPr="001C7329">
        <w:t xml:space="preserve"> funds </w:t>
      </w:r>
      <w:r w:rsidR="008B2681">
        <w:t xml:space="preserve">shall </w:t>
      </w:r>
      <w:r>
        <w:t xml:space="preserve">be </w:t>
      </w:r>
      <w:r w:rsidRPr="001C7329">
        <w:t>carr</w:t>
      </w:r>
      <w:r>
        <w:t>ied</w:t>
      </w:r>
      <w:r w:rsidRPr="001C7329">
        <w:t xml:space="preserve"> over into the following years until fully </w:t>
      </w:r>
      <w:r w:rsidR="002B0234">
        <w:t xml:space="preserve">allocated </w:t>
      </w:r>
      <w:r>
        <w:t xml:space="preserve">or </w:t>
      </w:r>
      <w:r w:rsidR="00AC3E6D">
        <w:t>until</w:t>
      </w:r>
      <w:r>
        <w:t xml:space="preserve"> </w:t>
      </w:r>
      <w:r w:rsidR="00675D3C">
        <w:t>June 30</w:t>
      </w:r>
      <w:r>
        <w:t xml:space="preserve">, 2029, whichever comes first, and any funds not </w:t>
      </w:r>
      <w:r w:rsidR="004231A3">
        <w:t>allocated</w:t>
      </w:r>
      <w:r>
        <w:t xml:space="preserve"> by </w:t>
      </w:r>
      <w:r w:rsidR="004105A2">
        <w:t>June 30</w:t>
      </w:r>
      <w:r>
        <w:t>, 2029, shall be returned to ratepayers</w:t>
      </w:r>
      <w:r w:rsidR="00BC7E92">
        <w:t xml:space="preserve"> after </w:t>
      </w:r>
      <w:r w:rsidR="004105A2">
        <w:t>December 31</w:t>
      </w:r>
      <w:r w:rsidR="00A36484">
        <w:t>, 20</w:t>
      </w:r>
      <w:r w:rsidR="004105A2">
        <w:t>29</w:t>
      </w:r>
      <w:r>
        <w:t xml:space="preserve">; </w:t>
      </w:r>
    </w:p>
    <w:p w:rsidRPr="00965FB0" w:rsidR="00965FB0" w:rsidP="008256FA" w:rsidRDefault="00965FB0" w14:paraId="7A11026F" w14:textId="662789E3">
      <w:pPr>
        <w:pStyle w:val="OPListAlpha"/>
        <w:spacing w:after="120" w:line="240" w:lineRule="auto"/>
        <w:ind w:left="1260" w:right="1170" w:hanging="540"/>
      </w:pPr>
      <w:r w:rsidRPr="00261EAD">
        <w:t xml:space="preserve">Single-family </w:t>
      </w:r>
      <w:r w:rsidR="00592BE4">
        <w:t xml:space="preserve">and small business </w:t>
      </w:r>
      <w:r w:rsidRPr="00261EAD">
        <w:t>projects shall be subject to a per-project cap of $10,000 in ratepayer-funded assistance toward electric service line upsizing</w:t>
      </w:r>
      <w:r>
        <w:t xml:space="preserve">; </w:t>
      </w:r>
    </w:p>
    <w:p w:rsidR="000916C7" w:rsidP="008256FA" w:rsidRDefault="00917840" w14:paraId="2CC6D8F1" w14:textId="6CCDC847">
      <w:pPr>
        <w:pStyle w:val="OPListAlpha"/>
        <w:spacing w:after="120" w:line="240" w:lineRule="auto"/>
        <w:ind w:left="1260" w:right="1170" w:hanging="540"/>
      </w:pPr>
      <w:r>
        <w:t>Funding for s</w:t>
      </w:r>
      <w:r w:rsidR="000916C7">
        <w:t>mall business under-resourced customers shall not exceed 25</w:t>
      </w:r>
      <w:r w:rsidR="00F632BB">
        <w:t xml:space="preserve"> percent</w:t>
      </w:r>
      <w:r w:rsidR="000916C7">
        <w:t xml:space="preserve"> of total program </w:t>
      </w:r>
      <w:r w:rsidR="002654C9">
        <w:t>funding</w:t>
      </w:r>
      <w:r w:rsidR="00C31A65">
        <w:t>;</w:t>
      </w:r>
      <w:r w:rsidR="00977EE4">
        <w:t xml:space="preserve"> and</w:t>
      </w:r>
    </w:p>
    <w:p w:rsidR="00965FB0" w:rsidP="008256FA" w:rsidRDefault="00965FB0" w14:paraId="027629EF" w14:textId="6DECAC86">
      <w:pPr>
        <w:pStyle w:val="OPListAlpha"/>
        <w:spacing w:after="120" w:line="240" w:lineRule="auto"/>
        <w:ind w:left="1260" w:right="1170" w:hanging="540"/>
      </w:pPr>
      <w:r>
        <w:t xml:space="preserve">Each of the aforementioned utilities’ administrative costs are capped at </w:t>
      </w:r>
      <w:r w:rsidR="00A719CF">
        <w:t>one</w:t>
      </w:r>
      <w:r w:rsidR="000B72C9">
        <w:t xml:space="preserve"> percent</w:t>
      </w:r>
      <w:r>
        <w:t xml:space="preserve"> (</w:t>
      </w:r>
      <w:r w:rsidR="00A719CF">
        <w:t>1</w:t>
      </w:r>
      <w:r w:rsidR="00BB3806">
        <w:t> percent</w:t>
      </w:r>
      <w:r>
        <w:t>) of all of its respective expenditures</w:t>
      </w:r>
      <w:r w:rsidR="00A719CF">
        <w:t xml:space="preserve"> and shall be tracked in a sub</w:t>
      </w:r>
      <w:r w:rsidR="008C0FCE">
        <w:t xml:space="preserve">-account within the </w:t>
      </w:r>
      <w:r w:rsidR="006B4D79">
        <w:t>b</w:t>
      </w:r>
      <w:r w:rsidR="008C0FCE">
        <w:t xml:space="preserve">alancing </w:t>
      </w:r>
      <w:r w:rsidR="006B4D79">
        <w:t>a</w:t>
      </w:r>
      <w:r w:rsidR="008C0FCE">
        <w:t>ccount established pursuant to Ordering Paragraph 3</w:t>
      </w:r>
      <w:r>
        <w:t>.</w:t>
      </w:r>
    </w:p>
    <w:p w:rsidRPr="006B4D79" w:rsidR="008760C1" w:rsidP="008402EC" w:rsidRDefault="00A266E9" w14:paraId="060DA381" w14:textId="3C25496B">
      <w:pPr>
        <w:pStyle w:val="OP"/>
        <w:rPr>
          <w:szCs w:val="26"/>
        </w:rPr>
      </w:pPr>
      <w:r>
        <w:t xml:space="preserve">Within </w:t>
      </w:r>
      <w:r w:rsidR="00A46349">
        <w:t xml:space="preserve">60 days of the issuance of this decision, </w:t>
      </w:r>
      <w:r>
        <w:t>Pacific Gas and Electric Company</w:t>
      </w:r>
      <w:r w:rsidR="00F56A24">
        <w:t xml:space="preserve"> (PG&amp;E)</w:t>
      </w:r>
      <w:r>
        <w:t>, Southern California Edison Company</w:t>
      </w:r>
      <w:r w:rsidR="00F56A24">
        <w:t xml:space="preserve"> (SCE)</w:t>
      </w:r>
      <w:r>
        <w:t xml:space="preserve">, </w:t>
      </w:r>
      <w:r w:rsidR="001B0C8A">
        <w:t xml:space="preserve">and </w:t>
      </w:r>
      <w:r>
        <w:t xml:space="preserve">San Diego Gas </w:t>
      </w:r>
      <w:r w:rsidR="002913AB">
        <w:t>&amp;</w:t>
      </w:r>
      <w:r>
        <w:t xml:space="preserve"> Electric Company</w:t>
      </w:r>
      <w:r w:rsidR="00F56A24">
        <w:t xml:space="preserve"> (SDG&amp;E)</w:t>
      </w:r>
      <w:r>
        <w:t>,</w:t>
      </w:r>
      <w:r w:rsidR="3215FCF4">
        <w:t xml:space="preserve"> </w:t>
      </w:r>
      <w:r w:rsidR="000C74EE">
        <w:t xml:space="preserve">shall </w:t>
      </w:r>
      <w:r w:rsidR="00A46349">
        <w:t xml:space="preserve">submit a Tier 1 Advice Letter to the </w:t>
      </w:r>
      <w:r w:rsidR="00CA727C">
        <w:t xml:space="preserve">California Public Utilities Commission’s </w:t>
      </w:r>
      <w:r w:rsidR="00FC38BD">
        <w:t xml:space="preserve">Energy Division </w:t>
      </w:r>
      <w:r w:rsidR="0006672D">
        <w:t xml:space="preserve">to </w:t>
      </w:r>
      <w:r w:rsidR="00FC38BD">
        <w:t>est</w:t>
      </w:r>
      <w:r w:rsidR="00AD2DE8">
        <w:t xml:space="preserve">ablish </w:t>
      </w:r>
      <w:r w:rsidRPr="009B06AF" w:rsidR="009B06AF">
        <w:t xml:space="preserve">Common Facility Cost Treatment </w:t>
      </w:r>
      <w:r w:rsidR="006B69D5">
        <w:t xml:space="preserve">Balancing Accounts </w:t>
      </w:r>
      <w:r w:rsidR="001C02C8">
        <w:t xml:space="preserve">for the </w:t>
      </w:r>
      <w:r w:rsidR="00F56A24">
        <w:t xml:space="preserve">following </w:t>
      </w:r>
      <w:r w:rsidR="001C02C8">
        <w:t>amounts</w:t>
      </w:r>
      <w:r w:rsidR="00F56A24">
        <w:t xml:space="preserve"> (as </w:t>
      </w:r>
      <w:r w:rsidR="00750C11">
        <w:t xml:space="preserve">described in </w:t>
      </w:r>
      <w:r w:rsidRPr="006B4D79" w:rsidR="00B05E5E">
        <w:rPr>
          <w:szCs w:val="26"/>
        </w:rPr>
        <w:t>Table</w:t>
      </w:r>
      <w:r w:rsidRPr="006B4D79" w:rsidR="00121614">
        <w:rPr>
          <w:szCs w:val="26"/>
        </w:rPr>
        <w:t> </w:t>
      </w:r>
      <w:r w:rsidRPr="006B4D79" w:rsidR="00677D16">
        <w:rPr>
          <w:szCs w:val="26"/>
        </w:rPr>
        <w:t>2</w:t>
      </w:r>
      <w:r w:rsidRPr="006B4D79" w:rsidR="00B05E5E">
        <w:rPr>
          <w:szCs w:val="26"/>
        </w:rPr>
        <w:t xml:space="preserve"> of </w:t>
      </w:r>
      <w:r w:rsidRPr="006B4D79" w:rsidR="00750C11">
        <w:rPr>
          <w:szCs w:val="26"/>
        </w:rPr>
        <w:t>Section 4.</w:t>
      </w:r>
      <w:r w:rsidR="00D50F71">
        <w:rPr>
          <w:szCs w:val="26"/>
        </w:rPr>
        <w:t>2</w:t>
      </w:r>
      <w:r w:rsidRPr="006B4D79" w:rsidR="00750C11">
        <w:rPr>
          <w:szCs w:val="26"/>
        </w:rPr>
        <w:t xml:space="preserve"> of this decision</w:t>
      </w:r>
      <w:r w:rsidRPr="006B4D79" w:rsidR="00F56A24">
        <w:rPr>
          <w:szCs w:val="26"/>
        </w:rPr>
        <w:t>):</w:t>
      </w:r>
    </w:p>
    <w:p w:rsidRPr="008402EC" w:rsidR="00F56A24" w:rsidP="008402EC" w:rsidRDefault="00F56A24" w14:paraId="7C2FF678" w14:textId="0DFA7AC8">
      <w:pPr>
        <w:pStyle w:val="OP"/>
        <w:numPr>
          <w:ilvl w:val="1"/>
          <w:numId w:val="11"/>
        </w:numPr>
        <w:rPr>
          <w:szCs w:val="26"/>
        </w:rPr>
      </w:pPr>
      <w:r w:rsidRPr="006B4D79">
        <w:rPr>
          <w:szCs w:val="26"/>
        </w:rPr>
        <w:t xml:space="preserve">PG&amp;E: </w:t>
      </w:r>
      <w:r w:rsidRPr="008402EC">
        <w:rPr>
          <w:rFonts w:eastAsia="Times New Roman" w:cs="Times New Roman"/>
          <w:color w:val="000000"/>
          <w:szCs w:val="26"/>
        </w:rPr>
        <w:t>$2,296,059;</w:t>
      </w:r>
    </w:p>
    <w:p w:rsidRPr="008402EC" w:rsidR="00F56A24" w:rsidP="008402EC" w:rsidRDefault="00F56A24" w14:paraId="25AA5914" w14:textId="64312140">
      <w:pPr>
        <w:pStyle w:val="OP"/>
        <w:numPr>
          <w:ilvl w:val="1"/>
          <w:numId w:val="11"/>
        </w:numPr>
        <w:rPr>
          <w:szCs w:val="26"/>
        </w:rPr>
      </w:pPr>
      <w:r w:rsidRPr="008402EC">
        <w:rPr>
          <w:rFonts w:eastAsia="Times New Roman" w:cs="Times New Roman"/>
          <w:color w:val="000000"/>
          <w:szCs w:val="26"/>
        </w:rPr>
        <w:t>SCE: $2,096,226; and</w:t>
      </w:r>
    </w:p>
    <w:p w:rsidRPr="006B4D79" w:rsidR="00F56A24" w:rsidP="008402EC" w:rsidRDefault="00F56A24" w14:paraId="64FFF1D2" w14:textId="34D4FA4B">
      <w:pPr>
        <w:pStyle w:val="OP"/>
        <w:numPr>
          <w:ilvl w:val="1"/>
          <w:numId w:val="11"/>
        </w:numPr>
        <w:rPr>
          <w:szCs w:val="26"/>
        </w:rPr>
      </w:pPr>
      <w:r w:rsidRPr="008402EC">
        <w:rPr>
          <w:rFonts w:eastAsia="Times New Roman" w:cs="Times New Roman"/>
          <w:color w:val="000000"/>
          <w:szCs w:val="26"/>
        </w:rPr>
        <w:t>SDG&amp;E: $607,715.</w:t>
      </w:r>
    </w:p>
    <w:p w:rsidRPr="0072518E" w:rsidR="004243DE" w:rsidP="006C423F" w:rsidRDefault="00E26738" w14:paraId="6B3CB64A" w14:textId="17412EA0">
      <w:pPr>
        <w:pStyle w:val="OP"/>
        <w:rPr>
          <w:szCs w:val="26"/>
        </w:rPr>
      </w:pPr>
      <w:r>
        <w:t>Starting n</w:t>
      </w:r>
      <w:r w:rsidR="00034289">
        <w:t>o later than October 1, 2025</w:t>
      </w:r>
      <w:r w:rsidR="00F01585">
        <w:t>,</w:t>
      </w:r>
      <w:r w:rsidR="00326559">
        <w:t xml:space="preserve"> and ending </w:t>
      </w:r>
      <w:r w:rsidR="00B55DE0">
        <w:t xml:space="preserve">on </w:t>
      </w:r>
      <w:r w:rsidR="00CE639E">
        <w:t>June 30</w:t>
      </w:r>
      <w:r w:rsidR="00326559">
        <w:t xml:space="preserve">, 2029, </w:t>
      </w:r>
      <w:r w:rsidR="008760C1">
        <w:t xml:space="preserve">Pacific Gas and Electric Company, Southern California Edison Company, </w:t>
      </w:r>
      <w:r w:rsidR="00A51B18">
        <w:t xml:space="preserve">and </w:t>
      </w:r>
      <w:r w:rsidR="008760C1">
        <w:t xml:space="preserve">San Diego </w:t>
      </w:r>
      <w:r w:rsidR="008760C1">
        <w:lastRenderedPageBreak/>
        <w:t xml:space="preserve">Gas </w:t>
      </w:r>
      <w:r w:rsidR="002913AB">
        <w:t>&amp;</w:t>
      </w:r>
      <w:r w:rsidR="008760C1">
        <w:t xml:space="preserve"> Electric Company</w:t>
      </w:r>
      <w:r w:rsidR="5A416C69">
        <w:t xml:space="preserve"> </w:t>
      </w:r>
      <w:r w:rsidR="00B22EA3">
        <w:t xml:space="preserve">shall </w:t>
      </w:r>
      <w:r w:rsidR="005A471A">
        <w:t xml:space="preserve">annually </w:t>
      </w:r>
      <w:r w:rsidR="00B22EA3">
        <w:t xml:space="preserve">deposit their </w:t>
      </w:r>
      <w:r w:rsidR="002B50B1">
        <w:t xml:space="preserve">authorized </w:t>
      </w:r>
      <w:r w:rsidR="00C7529D">
        <w:t>proportional</w:t>
      </w:r>
      <w:r w:rsidR="005A471A">
        <w:t xml:space="preserve"> shares into the </w:t>
      </w:r>
      <w:r w:rsidRPr="009B06AF" w:rsidR="009B06AF">
        <w:t xml:space="preserve">Common Facility Cost Treatment </w:t>
      </w:r>
      <w:r w:rsidR="005A471A">
        <w:t>Balancing Accounts</w:t>
      </w:r>
      <w:r w:rsidR="00D614BB">
        <w:t xml:space="preserve"> and shall </w:t>
      </w:r>
      <w:r w:rsidR="004751CB">
        <w:t>use t</w:t>
      </w:r>
      <w:r w:rsidRPr="00AC5141" w:rsidR="00554B7B">
        <w:rPr>
          <w:szCs w:val="26"/>
        </w:rPr>
        <w:t>h</w:t>
      </w:r>
      <w:r w:rsidR="00903E4F">
        <w:rPr>
          <w:szCs w:val="26"/>
        </w:rPr>
        <w:t>os</w:t>
      </w:r>
      <w:r w:rsidRPr="00AC5141" w:rsidR="00554B7B">
        <w:rPr>
          <w:szCs w:val="26"/>
        </w:rPr>
        <w:t xml:space="preserve">e </w:t>
      </w:r>
      <w:r w:rsidR="00903E4F">
        <w:rPr>
          <w:szCs w:val="26"/>
        </w:rPr>
        <w:t>funds toward</w:t>
      </w:r>
      <w:r w:rsidR="001162FE">
        <w:rPr>
          <w:szCs w:val="26"/>
        </w:rPr>
        <w:t>s</w:t>
      </w:r>
      <w:r w:rsidRPr="00AC5141" w:rsidR="00497937">
        <w:rPr>
          <w:szCs w:val="26"/>
        </w:rPr>
        <w:t xml:space="preserve"> </w:t>
      </w:r>
      <w:r w:rsidRPr="00AC5141" w:rsidR="001F591D">
        <w:rPr>
          <w:szCs w:val="26"/>
        </w:rPr>
        <w:t>utility</w:t>
      </w:r>
      <w:r w:rsidRPr="00AC5141" w:rsidR="00F8256D">
        <w:rPr>
          <w:szCs w:val="26"/>
        </w:rPr>
        <w:t xml:space="preserve">-side costs not already covered </w:t>
      </w:r>
      <w:r w:rsidRPr="0072518E" w:rsidR="00F8256D">
        <w:rPr>
          <w:szCs w:val="26"/>
        </w:rPr>
        <w:t>by existing allowances</w:t>
      </w:r>
      <w:r w:rsidRPr="0072518E" w:rsidR="00D66881">
        <w:rPr>
          <w:szCs w:val="26"/>
        </w:rPr>
        <w:t xml:space="preserve"> for </w:t>
      </w:r>
      <w:r w:rsidRPr="0072518E" w:rsidR="00403AF8">
        <w:rPr>
          <w:szCs w:val="26"/>
        </w:rPr>
        <w:t>those</w:t>
      </w:r>
      <w:r w:rsidRPr="0072518E" w:rsidR="00D66881">
        <w:rPr>
          <w:szCs w:val="26"/>
        </w:rPr>
        <w:t xml:space="preserve"> premises</w:t>
      </w:r>
      <w:r w:rsidRPr="0072518E" w:rsidR="00403AF8">
        <w:rPr>
          <w:szCs w:val="26"/>
        </w:rPr>
        <w:t xml:space="preserve"> where </w:t>
      </w:r>
      <w:r w:rsidRPr="0072518E" w:rsidR="000C74EE">
        <w:rPr>
          <w:szCs w:val="26"/>
        </w:rPr>
        <w:t>the following conditions are met:</w:t>
      </w:r>
    </w:p>
    <w:p w:rsidRPr="0072518E" w:rsidR="009364E8" w:rsidP="007B1C0E" w:rsidRDefault="009364E8" w14:paraId="3F444CD0" w14:textId="4654DE74">
      <w:pPr>
        <w:pStyle w:val="OP"/>
        <w:numPr>
          <w:ilvl w:val="1"/>
          <w:numId w:val="11"/>
        </w:numPr>
        <w:rPr>
          <w:szCs w:val="26"/>
        </w:rPr>
      </w:pPr>
      <w:r w:rsidRPr="0072518E">
        <w:t>For single</w:t>
      </w:r>
      <w:r w:rsidRPr="0072518E" w:rsidR="00436BEB">
        <w:t>-</w:t>
      </w:r>
      <w:r w:rsidRPr="0072518E">
        <w:t>family and small business premises</w:t>
      </w:r>
      <w:r w:rsidR="00B65DC2">
        <w:t>, and for individual dwelling units within a multi</w:t>
      </w:r>
      <w:r w:rsidR="00417BB5">
        <w:t>-</w:t>
      </w:r>
      <w:r w:rsidR="00B65DC2">
        <w:t>fa</w:t>
      </w:r>
      <w:r w:rsidR="008F14DE">
        <w:t>mily property</w:t>
      </w:r>
      <w:r w:rsidRPr="0072518E" w:rsidR="004C0660">
        <w:t>:</w:t>
      </w:r>
    </w:p>
    <w:p w:rsidRPr="0072518E" w:rsidR="00522480" w:rsidP="008402EC" w:rsidRDefault="00522480" w14:paraId="0786E55E" w14:textId="11A016B5">
      <w:pPr>
        <w:pStyle w:val="OPListAlpha"/>
        <w:numPr>
          <w:ilvl w:val="5"/>
          <w:numId w:val="26"/>
        </w:numPr>
        <w:spacing w:after="120" w:line="240" w:lineRule="auto"/>
        <w:ind w:left="1080"/>
      </w:pPr>
      <w:r w:rsidRPr="0072518E">
        <w:t xml:space="preserve">(1) The existing capacity of the service line is less than 100 amperes (amps); </w:t>
      </w:r>
      <w:r w:rsidRPr="0072518E" w:rsidR="006856DD">
        <w:t>and</w:t>
      </w:r>
    </w:p>
    <w:p w:rsidRPr="0072518E" w:rsidR="00522480" w:rsidP="008402EC" w:rsidRDefault="00522480" w14:paraId="11992EB2" w14:textId="0DC1F3E0">
      <w:pPr>
        <w:pStyle w:val="OPListAlpha"/>
        <w:numPr>
          <w:ilvl w:val="0"/>
          <w:numId w:val="0"/>
        </w:numPr>
        <w:spacing w:after="120" w:line="240" w:lineRule="auto"/>
        <w:ind w:left="1080"/>
      </w:pPr>
      <w:r w:rsidRPr="0072518E">
        <w:t>(2)</w:t>
      </w:r>
      <w:r w:rsidRPr="0072518E" w:rsidR="00C90EA9">
        <w:t xml:space="preserve"> The upsized capacity does not exceed 200 amps</w:t>
      </w:r>
      <w:r w:rsidRPr="0072518E" w:rsidR="006856DD">
        <w:t>.</w:t>
      </w:r>
    </w:p>
    <w:p w:rsidRPr="0072518E" w:rsidR="00522480" w:rsidP="008402EC" w:rsidRDefault="00522480" w14:paraId="1278582D" w14:textId="3BE848B6">
      <w:pPr>
        <w:pStyle w:val="OP"/>
        <w:numPr>
          <w:ilvl w:val="1"/>
          <w:numId w:val="11"/>
        </w:numPr>
        <w:rPr>
          <w:szCs w:val="26"/>
        </w:rPr>
      </w:pPr>
      <w:r w:rsidRPr="0072518E">
        <w:t>For all premises:</w:t>
      </w:r>
    </w:p>
    <w:p w:rsidR="00C52615" w:rsidP="00114F2D" w:rsidRDefault="002547B2" w14:paraId="60A8A8F5" w14:textId="2F62241A">
      <w:pPr>
        <w:pStyle w:val="ListNum"/>
        <w:numPr>
          <w:ilvl w:val="0"/>
          <w:numId w:val="41"/>
        </w:numPr>
      </w:pPr>
      <w:r>
        <w:t>E</w:t>
      </w:r>
      <w:r w:rsidR="00A93052">
        <w:t>xisting gas-fired heating equipment (</w:t>
      </w:r>
      <w:r w:rsidR="000A635C">
        <w:t>i.e.</w:t>
      </w:r>
      <w:r w:rsidR="00BC1AC2">
        <w:t>,</w:t>
      </w:r>
      <w:r w:rsidR="000A635C">
        <w:t xml:space="preserve"> </w:t>
      </w:r>
      <w:r w:rsidRPr="00F44B26" w:rsidR="00A93052">
        <w:t>equipment fueled by natural gas, propane, or another fossil fuel</w:t>
      </w:r>
      <w:r w:rsidR="00A93052">
        <w:t xml:space="preserve">) </w:t>
      </w:r>
      <w:r w:rsidR="0027480C">
        <w:t xml:space="preserve">is replaced </w:t>
      </w:r>
      <w:r w:rsidR="00A93052">
        <w:t xml:space="preserve">with a heat pump for space heating and cooling, or an existing gas-fired water heater </w:t>
      </w:r>
      <w:r w:rsidR="00A76773">
        <w:t xml:space="preserve">is replaced </w:t>
      </w:r>
      <w:r w:rsidR="00A93052">
        <w:t>with a heat pump water heater; and</w:t>
      </w:r>
      <w:r w:rsidR="00C03804">
        <w:t xml:space="preserve"> </w:t>
      </w:r>
    </w:p>
    <w:p w:rsidRPr="0072518E" w:rsidR="00485732" w:rsidP="008402EC" w:rsidRDefault="00A93052" w14:paraId="6D851BBE" w14:textId="55CFA5AA">
      <w:pPr>
        <w:pStyle w:val="ListNum"/>
        <w:numPr>
          <w:ilvl w:val="0"/>
          <w:numId w:val="41"/>
        </w:numPr>
      </w:pPr>
      <w:r>
        <w:t xml:space="preserve">At the conclusion of the retrofit, at least two of the following four end uses in the building </w:t>
      </w:r>
      <w:r w:rsidR="00A76773">
        <w:t>have been</w:t>
      </w:r>
      <w:r>
        <w:t xml:space="preserve"> electri</w:t>
      </w:r>
      <w:r w:rsidR="00A76773">
        <w:t>fied</w:t>
      </w:r>
      <w:r>
        <w:t xml:space="preserve">: space heating, water heating, cooking, and clothes drying. </w:t>
      </w:r>
    </w:p>
    <w:p w:rsidRPr="00261EAD" w:rsidR="000525D9" w:rsidP="008256FA" w:rsidRDefault="00A57BF4" w14:paraId="1F3089DD" w14:textId="6C328005">
      <w:pPr>
        <w:pStyle w:val="OP"/>
        <w:spacing w:before="240"/>
      </w:pPr>
      <w:r w:rsidRPr="0072518E">
        <w:t xml:space="preserve">Pacific Gas and Electric Company, Southern California Edison Company, </w:t>
      </w:r>
      <w:r w:rsidR="005205A2">
        <w:t xml:space="preserve">and </w:t>
      </w:r>
      <w:r w:rsidRPr="0072518E">
        <w:t xml:space="preserve">San Diego Gas </w:t>
      </w:r>
      <w:r w:rsidRPr="0072518E" w:rsidR="002913AB">
        <w:t>&amp;</w:t>
      </w:r>
      <w:r w:rsidRPr="0072518E">
        <w:t xml:space="preserve"> Electric Company</w:t>
      </w:r>
      <w:r w:rsidR="005205A2">
        <w:t xml:space="preserve"> </w:t>
      </w:r>
      <w:r w:rsidR="000525D9">
        <w:t xml:space="preserve">shall track and report customer participation in a </w:t>
      </w:r>
      <w:r w:rsidR="006370E9">
        <w:t>P</w:t>
      </w:r>
      <w:r w:rsidR="000525D9">
        <w:t xml:space="preserve">rogram, or </w:t>
      </w:r>
      <w:r w:rsidR="006370E9">
        <w:t>P</w:t>
      </w:r>
      <w:r w:rsidR="000525D9">
        <w:t xml:space="preserve">rograms, </w:t>
      </w:r>
      <w:r w:rsidR="00454FC6">
        <w:t xml:space="preserve">as defined </w:t>
      </w:r>
      <w:r w:rsidR="008A78AB">
        <w:t>in Section 4.</w:t>
      </w:r>
      <w:r w:rsidR="00D50F71">
        <w:t>2</w:t>
      </w:r>
      <w:r w:rsidR="008A78AB">
        <w:t xml:space="preserve"> of this decision, </w:t>
      </w:r>
      <w:r w:rsidR="000525D9">
        <w:t xml:space="preserve">by asking </w:t>
      </w:r>
      <w:r w:rsidR="49CBA134">
        <w:t>the customer specific questions</w:t>
      </w:r>
      <w:r w:rsidR="000525D9">
        <w:t xml:space="preserve"> during the request for service line upsizing process</w:t>
      </w:r>
      <w:r w:rsidR="69FE772F">
        <w:t>,</w:t>
      </w:r>
      <w:r w:rsidR="37F237AA">
        <w:t xml:space="preserve"> </w:t>
      </w:r>
      <w:r w:rsidR="00CA2C88">
        <w:t>to</w:t>
      </w:r>
      <w:r w:rsidR="37F237AA">
        <w:t xml:space="preserve"> determine </w:t>
      </w:r>
      <w:r w:rsidR="07DB6560">
        <w:t xml:space="preserve">customer </w:t>
      </w:r>
      <w:r w:rsidR="00762458">
        <w:t>eligibility for common facility cost treatment</w:t>
      </w:r>
      <w:r w:rsidR="000525D9">
        <w:t>.</w:t>
      </w:r>
      <w:r w:rsidR="00F774A2">
        <w:t xml:space="preserve"> </w:t>
      </w:r>
    </w:p>
    <w:p w:rsidRPr="00AA6961" w:rsidR="00AA6961" w:rsidP="006C423F" w:rsidRDefault="00321EFB" w14:paraId="133D2E93" w14:textId="7441DA51">
      <w:pPr>
        <w:pStyle w:val="OP"/>
      </w:pPr>
      <w:r w:rsidRPr="006C423F">
        <w:t>Starting</w:t>
      </w:r>
      <w:r>
        <w:rPr>
          <w:rFonts w:eastAsia="Book Antiqua" w:cs="Book Antiqua"/>
        </w:rPr>
        <w:t xml:space="preserve"> in 2026, </w:t>
      </w:r>
      <w:r w:rsidRPr="04DBF077" w:rsidR="27FE76CD">
        <w:rPr>
          <w:rFonts w:eastAsia="Book Antiqua" w:cs="Book Antiqua"/>
        </w:rPr>
        <w:t xml:space="preserve">April 15 </w:t>
      </w:r>
      <w:r w:rsidR="00EB7A60">
        <w:rPr>
          <w:rFonts w:eastAsia="Book Antiqua" w:cs="Book Antiqua"/>
        </w:rPr>
        <w:t>i</w:t>
      </w:r>
      <w:r w:rsidRPr="04DBF077" w:rsidR="27FE76CD">
        <w:rPr>
          <w:rFonts w:eastAsia="Book Antiqua" w:cs="Book Antiqua"/>
        </w:rPr>
        <w:t xml:space="preserve">s the </w:t>
      </w:r>
      <w:r w:rsidR="00EB7A60">
        <w:rPr>
          <w:rFonts w:eastAsia="Book Antiqua" w:cs="Book Antiqua"/>
        </w:rPr>
        <w:t xml:space="preserve">new </w:t>
      </w:r>
      <w:r w:rsidRPr="04DBF077" w:rsidR="27FE76CD">
        <w:rPr>
          <w:rFonts w:eastAsia="Book Antiqua" w:cs="Book Antiqua"/>
        </w:rPr>
        <w:t xml:space="preserve">annual deadline for all reporting requirements </w:t>
      </w:r>
      <w:r w:rsidR="00BD12DB">
        <w:rPr>
          <w:rFonts w:eastAsia="Book Antiqua" w:cs="Book Antiqua"/>
        </w:rPr>
        <w:t>established</w:t>
      </w:r>
      <w:r w:rsidRPr="04DBF077" w:rsidR="27FE76CD">
        <w:rPr>
          <w:rFonts w:eastAsia="Book Antiqua" w:cs="Book Antiqua"/>
        </w:rPr>
        <w:t xml:space="preserve"> in this proceeding, </w:t>
      </w:r>
      <w:r w:rsidRPr="04DBF077" w:rsidR="009117D9">
        <w:rPr>
          <w:rFonts w:eastAsia="Book Antiqua" w:cs="Book Antiqua"/>
        </w:rPr>
        <w:t>which</w:t>
      </w:r>
      <w:r w:rsidRPr="04DBF077" w:rsidR="005618C5">
        <w:rPr>
          <w:rFonts w:eastAsia="Book Antiqua" w:cs="Book Antiqua"/>
        </w:rPr>
        <w:t xml:space="preserve"> include</w:t>
      </w:r>
      <w:r w:rsidR="00AA6961">
        <w:rPr>
          <w:rFonts w:eastAsia="Book Antiqua" w:cs="Book Antiqua"/>
        </w:rPr>
        <w:t>s</w:t>
      </w:r>
      <w:r w:rsidRPr="04DBF077" w:rsidR="005618C5">
        <w:rPr>
          <w:rFonts w:eastAsia="Book Antiqua" w:cs="Book Antiqua"/>
        </w:rPr>
        <w:t xml:space="preserve"> </w:t>
      </w:r>
      <w:r w:rsidRPr="04DBF077" w:rsidR="003464B8">
        <w:rPr>
          <w:rFonts w:eastAsia="Book Antiqua" w:cs="Book Antiqua"/>
        </w:rPr>
        <w:t>report</w:t>
      </w:r>
      <w:r w:rsidRPr="04DBF077" w:rsidR="004B57FF">
        <w:rPr>
          <w:rFonts w:eastAsia="Book Antiqua" w:cs="Book Antiqua"/>
        </w:rPr>
        <w:t xml:space="preserve">s </w:t>
      </w:r>
      <w:r w:rsidRPr="04DBF077" w:rsidR="006815C0">
        <w:rPr>
          <w:rFonts w:eastAsia="Book Antiqua" w:cs="Book Antiqua"/>
        </w:rPr>
        <w:t>for Resolution E-5105</w:t>
      </w:r>
      <w:r w:rsidRPr="04DBF077" w:rsidR="00580D71">
        <w:rPr>
          <w:rFonts w:eastAsia="Book Antiqua" w:cs="Book Antiqua"/>
        </w:rPr>
        <w:t>, Appendix C and D reporting requirement</w:t>
      </w:r>
      <w:r w:rsidRPr="001C65A3" w:rsidR="00580D71">
        <w:rPr>
          <w:rFonts w:eastAsia="Book Antiqua" w:cs="Book Antiqua"/>
        </w:rPr>
        <w:t>s for Decis</w:t>
      </w:r>
      <w:r w:rsidRPr="001C65A3" w:rsidR="00FF04FB">
        <w:rPr>
          <w:rFonts w:eastAsia="Book Antiqua" w:cs="Book Antiqua"/>
        </w:rPr>
        <w:t xml:space="preserve">ion </w:t>
      </w:r>
      <w:r w:rsidRPr="001C65A3" w:rsidR="003D7AB8">
        <w:rPr>
          <w:rFonts w:eastAsia="Book Antiqua" w:cs="Book Antiqua"/>
        </w:rPr>
        <w:lastRenderedPageBreak/>
        <w:t>(D.)</w:t>
      </w:r>
      <w:r w:rsidR="00BB3806">
        <w:rPr>
          <w:rFonts w:eastAsia="Book Antiqua" w:cs="Book Antiqua"/>
        </w:rPr>
        <w:t> </w:t>
      </w:r>
      <w:r w:rsidRPr="001C65A3" w:rsidR="003D7AB8">
        <w:rPr>
          <w:rFonts w:eastAsia="Book Antiqua" w:cs="Book Antiqua"/>
        </w:rPr>
        <w:t>21</w:t>
      </w:r>
      <w:r w:rsidR="00BB3806">
        <w:rPr>
          <w:rFonts w:eastAsia="Book Antiqua" w:cs="Book Antiqua"/>
        </w:rPr>
        <w:noBreakHyphen/>
      </w:r>
      <w:r w:rsidRPr="001C65A3" w:rsidR="003D7AB8">
        <w:rPr>
          <w:rFonts w:eastAsia="Book Antiqua" w:cs="Book Antiqua"/>
        </w:rPr>
        <w:t>11</w:t>
      </w:r>
      <w:r w:rsidR="00BB3806">
        <w:rPr>
          <w:rFonts w:eastAsia="Book Antiqua" w:cs="Book Antiqua"/>
        </w:rPr>
        <w:noBreakHyphen/>
      </w:r>
      <w:r w:rsidRPr="001C65A3" w:rsidR="003D7AB8">
        <w:rPr>
          <w:rFonts w:eastAsia="Book Antiqua" w:cs="Book Antiqua"/>
        </w:rPr>
        <w:t>002</w:t>
      </w:r>
      <w:r w:rsidRPr="001C65A3" w:rsidR="008E32B2">
        <w:rPr>
          <w:rFonts w:eastAsia="Book Antiqua" w:cs="Book Antiqua"/>
        </w:rPr>
        <w:t>,</w:t>
      </w:r>
      <w:r w:rsidRPr="001C65A3" w:rsidR="00E05FD8">
        <w:rPr>
          <w:rFonts w:eastAsia="Book Antiqua" w:cs="Book Antiqua"/>
        </w:rPr>
        <w:t xml:space="preserve"> </w:t>
      </w:r>
      <w:r w:rsidRPr="001C65A3" w:rsidR="002D516E">
        <w:rPr>
          <w:rFonts w:eastAsia="Book Antiqua" w:cs="Book Antiqua"/>
        </w:rPr>
        <w:t xml:space="preserve">reporting required by </w:t>
      </w:r>
      <w:r w:rsidRPr="001C65A3" w:rsidR="00E05FD8">
        <w:rPr>
          <w:rFonts w:eastAsia="Book Antiqua" w:cs="Book Antiqua"/>
        </w:rPr>
        <w:t>Ordering P</w:t>
      </w:r>
      <w:r w:rsidRPr="001C65A3" w:rsidR="002D516E">
        <w:rPr>
          <w:rFonts w:eastAsia="Book Antiqua" w:cs="Book Antiqua"/>
        </w:rPr>
        <w:t xml:space="preserve">aragraph </w:t>
      </w:r>
      <w:r w:rsidR="00046876">
        <w:rPr>
          <w:rFonts w:eastAsia="Book Antiqua" w:cs="Book Antiqua"/>
        </w:rPr>
        <w:t>(OP)</w:t>
      </w:r>
      <w:r w:rsidR="00BB3806">
        <w:rPr>
          <w:rFonts w:eastAsia="Book Antiqua" w:cs="Book Antiqua"/>
        </w:rPr>
        <w:t> </w:t>
      </w:r>
      <w:r w:rsidRPr="001C65A3" w:rsidR="002D516E">
        <w:rPr>
          <w:rFonts w:eastAsia="Book Antiqua" w:cs="Book Antiqua"/>
        </w:rPr>
        <w:t>8 of D.23</w:t>
      </w:r>
      <w:r w:rsidR="00BB3806">
        <w:rPr>
          <w:rFonts w:eastAsia="Book Antiqua" w:cs="Book Antiqua"/>
        </w:rPr>
        <w:noBreakHyphen/>
      </w:r>
      <w:r w:rsidRPr="001C65A3" w:rsidR="002D516E">
        <w:rPr>
          <w:rFonts w:eastAsia="Book Antiqua" w:cs="Book Antiqua"/>
        </w:rPr>
        <w:t>12</w:t>
      </w:r>
      <w:r w:rsidR="00BB3806">
        <w:rPr>
          <w:rFonts w:eastAsia="Book Antiqua" w:cs="Book Antiqua"/>
        </w:rPr>
        <w:noBreakHyphen/>
      </w:r>
      <w:r w:rsidRPr="001C65A3" w:rsidR="002D516E">
        <w:rPr>
          <w:rFonts w:eastAsia="Book Antiqua" w:cs="Book Antiqua"/>
        </w:rPr>
        <w:t>037</w:t>
      </w:r>
      <w:r w:rsidRPr="001C65A3" w:rsidR="008E32B2">
        <w:rPr>
          <w:rFonts w:eastAsia="Book Antiqua" w:cs="Book Antiqua"/>
        </w:rPr>
        <w:t xml:space="preserve">, and the additional requirements established in </w:t>
      </w:r>
      <w:r w:rsidR="00046876">
        <w:rPr>
          <w:rFonts w:eastAsia="Book Antiqua" w:cs="Book Antiqua"/>
        </w:rPr>
        <w:t>OP</w:t>
      </w:r>
      <w:r w:rsidR="00BB3806">
        <w:rPr>
          <w:rFonts w:eastAsia="Book Antiqua" w:cs="Book Antiqua"/>
        </w:rPr>
        <w:t> </w:t>
      </w:r>
      <w:r w:rsidR="00E059EE">
        <w:rPr>
          <w:rFonts w:eastAsia="Book Antiqua" w:cs="Book Antiqua"/>
        </w:rPr>
        <w:t>7</w:t>
      </w:r>
      <w:r w:rsidRPr="001C65A3" w:rsidR="006F4785">
        <w:rPr>
          <w:rFonts w:eastAsia="Book Antiqua" w:cs="Book Antiqua"/>
        </w:rPr>
        <w:t xml:space="preserve"> of </w:t>
      </w:r>
      <w:r w:rsidRPr="001C65A3" w:rsidR="008E32B2">
        <w:rPr>
          <w:rFonts w:eastAsia="Book Antiqua" w:cs="Book Antiqua"/>
        </w:rPr>
        <w:t>t</w:t>
      </w:r>
      <w:r w:rsidR="00046876">
        <w:rPr>
          <w:rFonts w:eastAsia="Book Antiqua" w:cs="Book Antiqua"/>
        </w:rPr>
        <w:t>oday’s</w:t>
      </w:r>
      <w:r w:rsidRPr="001C65A3" w:rsidR="008E32B2">
        <w:rPr>
          <w:rFonts w:eastAsia="Book Antiqua" w:cs="Book Antiqua"/>
        </w:rPr>
        <w:t xml:space="preserve"> decision</w:t>
      </w:r>
      <w:r w:rsidRPr="001C65A3" w:rsidR="27FE76CD">
        <w:rPr>
          <w:rFonts w:eastAsia="Book Antiqua" w:cs="Book Antiqua"/>
        </w:rPr>
        <w:t xml:space="preserve">. For </w:t>
      </w:r>
      <w:r w:rsidR="000F3633">
        <w:rPr>
          <w:rFonts w:eastAsia="Book Antiqua" w:cs="Book Antiqua"/>
        </w:rPr>
        <w:t xml:space="preserve">quarterly </w:t>
      </w:r>
      <w:r w:rsidRPr="001C65A3" w:rsidR="27FE76CD">
        <w:rPr>
          <w:rFonts w:eastAsia="Book Antiqua" w:cs="Book Antiqua"/>
        </w:rPr>
        <w:t>report</w:t>
      </w:r>
      <w:r w:rsidR="000F3633">
        <w:rPr>
          <w:rFonts w:eastAsia="Book Antiqua" w:cs="Book Antiqua"/>
        </w:rPr>
        <w:t>s</w:t>
      </w:r>
      <w:r w:rsidRPr="001C65A3" w:rsidR="27FE76CD">
        <w:rPr>
          <w:rFonts w:eastAsia="Book Antiqua" w:cs="Book Antiqua"/>
        </w:rPr>
        <w:t xml:space="preserve">, </w:t>
      </w:r>
      <w:r w:rsidRPr="001C65A3" w:rsidR="00841427">
        <w:rPr>
          <w:rFonts w:eastAsia="Book Antiqua" w:cs="Book Antiqua"/>
        </w:rPr>
        <w:t>such as the</w:t>
      </w:r>
      <w:r w:rsidRPr="001C65A3" w:rsidR="002F70C3">
        <w:rPr>
          <w:rFonts w:eastAsia="Book Antiqua" w:cs="Book Antiqua"/>
        </w:rPr>
        <w:t xml:space="preserve"> </w:t>
      </w:r>
      <w:r w:rsidRPr="001C65A3" w:rsidR="00120879">
        <w:rPr>
          <w:rFonts w:eastAsia="Book Antiqua" w:cs="Book Antiqua"/>
        </w:rPr>
        <w:t>revised</w:t>
      </w:r>
      <w:r w:rsidRPr="001C65A3" w:rsidR="002B4CC7">
        <w:rPr>
          <w:rFonts w:eastAsia="Book Antiqua" w:cs="Book Antiqua"/>
        </w:rPr>
        <w:t xml:space="preserve"> </w:t>
      </w:r>
      <w:r w:rsidRPr="001C65A3" w:rsidR="002F70C3">
        <w:rPr>
          <w:rFonts w:eastAsia="Book Antiqua" w:cs="Book Antiqua"/>
        </w:rPr>
        <w:t>D.23-12-037</w:t>
      </w:r>
      <w:r w:rsidRPr="001C65A3" w:rsidR="002B4CC7">
        <w:rPr>
          <w:rFonts w:eastAsia="Book Antiqua" w:cs="Book Antiqua"/>
        </w:rPr>
        <w:t xml:space="preserve"> reporting</w:t>
      </w:r>
      <w:r w:rsidRPr="001C65A3" w:rsidR="009378B9">
        <w:rPr>
          <w:rFonts w:eastAsia="Book Antiqua" w:cs="Book Antiqua"/>
        </w:rPr>
        <w:t xml:space="preserve"> </w:t>
      </w:r>
      <w:r w:rsidRPr="001C65A3" w:rsidR="00120879">
        <w:rPr>
          <w:rFonts w:eastAsia="Book Antiqua" w:cs="Book Antiqua"/>
        </w:rPr>
        <w:t>deadlines</w:t>
      </w:r>
      <w:r w:rsidRPr="001C65A3" w:rsidR="00C21491">
        <w:rPr>
          <w:rFonts w:eastAsia="Book Antiqua" w:cs="Book Antiqua"/>
        </w:rPr>
        <w:t xml:space="preserve"> established </w:t>
      </w:r>
      <w:r w:rsidRPr="001C65A3" w:rsidR="00841427">
        <w:rPr>
          <w:rFonts w:eastAsia="Book Antiqua" w:cs="Book Antiqua"/>
        </w:rPr>
        <w:t>in</w:t>
      </w:r>
      <w:r w:rsidRPr="001C65A3" w:rsidR="00C21491">
        <w:rPr>
          <w:rFonts w:eastAsia="Book Antiqua" w:cs="Book Antiqua"/>
        </w:rPr>
        <w:t xml:space="preserve"> O</w:t>
      </w:r>
      <w:r w:rsidR="00046876">
        <w:rPr>
          <w:rFonts w:eastAsia="Book Antiqua" w:cs="Book Antiqua"/>
        </w:rPr>
        <w:t>P</w:t>
      </w:r>
      <w:r w:rsidR="00BB3806">
        <w:rPr>
          <w:rFonts w:eastAsia="Book Antiqua" w:cs="Book Antiqua"/>
        </w:rPr>
        <w:t> </w:t>
      </w:r>
      <w:r w:rsidR="00E03F74">
        <w:rPr>
          <w:rFonts w:eastAsia="Book Antiqua" w:cs="Book Antiqua"/>
        </w:rPr>
        <w:t>2</w:t>
      </w:r>
      <w:r w:rsidR="00FC700D">
        <w:rPr>
          <w:rFonts w:eastAsia="Book Antiqua" w:cs="Book Antiqua"/>
        </w:rPr>
        <w:t>8</w:t>
      </w:r>
      <w:r w:rsidR="00E03F74">
        <w:rPr>
          <w:rFonts w:eastAsia="Book Antiqua" w:cs="Book Antiqua"/>
        </w:rPr>
        <w:t xml:space="preserve"> </w:t>
      </w:r>
      <w:r w:rsidR="00120879">
        <w:rPr>
          <w:rFonts w:eastAsia="Book Antiqua" w:cs="Book Antiqua"/>
        </w:rPr>
        <w:t>of t</w:t>
      </w:r>
      <w:r w:rsidR="00046876">
        <w:rPr>
          <w:rFonts w:eastAsia="Book Antiqua" w:cs="Book Antiqua"/>
        </w:rPr>
        <w:t>oday’s</w:t>
      </w:r>
      <w:r w:rsidR="00120879">
        <w:rPr>
          <w:rFonts w:eastAsia="Book Antiqua" w:cs="Book Antiqua"/>
        </w:rPr>
        <w:t xml:space="preserve"> decision</w:t>
      </w:r>
      <w:r w:rsidR="002B4CC7">
        <w:rPr>
          <w:rFonts w:eastAsia="Book Antiqua" w:cs="Book Antiqua"/>
        </w:rPr>
        <w:t>,</w:t>
      </w:r>
      <w:r w:rsidRPr="04DBF077" w:rsidR="27FE76CD">
        <w:rPr>
          <w:rFonts w:eastAsia="Book Antiqua" w:cs="Book Antiqua"/>
        </w:rPr>
        <w:t xml:space="preserve"> th</w:t>
      </w:r>
      <w:r w:rsidR="00120879">
        <w:rPr>
          <w:rFonts w:eastAsia="Book Antiqua" w:cs="Book Antiqua"/>
        </w:rPr>
        <w:t>e</w:t>
      </w:r>
      <w:r w:rsidRPr="04DBF077" w:rsidR="27FE76CD">
        <w:rPr>
          <w:rFonts w:eastAsia="Book Antiqua" w:cs="Book Antiqua"/>
        </w:rPr>
        <w:t xml:space="preserve"> April</w:t>
      </w:r>
      <w:r w:rsidR="00BB3806">
        <w:rPr>
          <w:rFonts w:eastAsia="Book Antiqua" w:cs="Book Antiqua"/>
        </w:rPr>
        <w:t> </w:t>
      </w:r>
      <w:r w:rsidRPr="04DBF077" w:rsidR="27FE76CD">
        <w:rPr>
          <w:rFonts w:eastAsia="Book Antiqua" w:cs="Book Antiqua"/>
        </w:rPr>
        <w:t>15 deadline shall align with the close of the fourth quarter reporting for the prior calendar year and shall also include annual summaries</w:t>
      </w:r>
      <w:r w:rsidR="00AA6961">
        <w:rPr>
          <w:rFonts w:eastAsia="Book Antiqua" w:cs="Book Antiqua"/>
        </w:rPr>
        <w:t>.</w:t>
      </w:r>
    </w:p>
    <w:p w:rsidR="00D156F5" w:rsidP="006C423F" w:rsidRDefault="00D156F5" w14:paraId="2C461BFF" w14:textId="4F759074">
      <w:pPr>
        <w:pStyle w:val="OP"/>
      </w:pPr>
      <w:r w:rsidRPr="00D156F5">
        <w:t>Appendix A to this decision is the Electric Utilities New Reporting Requirements and is adopted. Appendix A shall apply to all electric utilities, Pacific Gas and Electric Company, Southern California Edison Company, and San Diego Gas &amp; Electric Company, Liberty Utilities LLC, PacifiCorp, and Bear Valley Electric Service Inc., and the reporting fields related to common facility cost treatment on Appendix A are only applicable to large electric utilities, and shall automatically sunset after the final report is submitted following either (a) the authorized funds having been fully expended, or (b) after four years, whichever comes first</w:t>
      </w:r>
      <w:r w:rsidR="00B40AFD">
        <w:t>.</w:t>
      </w:r>
    </w:p>
    <w:p w:rsidR="00FC700D" w:rsidP="003C7359" w:rsidRDefault="0E50D837" w14:paraId="36D32FB3" w14:textId="6ACE0F92">
      <w:pPr>
        <w:pStyle w:val="OP"/>
      </w:pPr>
      <w:r w:rsidRPr="006C423F">
        <w:t>Starting</w:t>
      </w:r>
      <w:r w:rsidRPr="00AA6961">
        <w:rPr>
          <w:rFonts w:eastAsia="Times New Roman" w:cs="Times New Roman"/>
        </w:rPr>
        <w:t xml:space="preserve"> in 2026, by April 15 of each year, </w:t>
      </w:r>
      <w:r w:rsidRPr="00796569" w:rsidR="00AD2AB8">
        <w:t>Pacific Gas and Electric Company</w:t>
      </w:r>
      <w:r w:rsidRPr="00796569" w:rsidR="00D6491C">
        <w:t xml:space="preserve"> (PG&amp;E)</w:t>
      </w:r>
      <w:r w:rsidRPr="00796569" w:rsidR="00AD2AB8">
        <w:t>, Southern California Edison Company</w:t>
      </w:r>
      <w:r w:rsidRPr="00796569" w:rsidR="00D6491C">
        <w:t xml:space="preserve"> (SCE)</w:t>
      </w:r>
      <w:r w:rsidRPr="00796569" w:rsidR="00AD2AB8">
        <w:t xml:space="preserve">, San Diego Gas </w:t>
      </w:r>
      <w:r w:rsidR="002913AB">
        <w:t>&amp;</w:t>
      </w:r>
      <w:r w:rsidRPr="00796569" w:rsidR="00AD2AB8">
        <w:t xml:space="preserve"> Electric Company</w:t>
      </w:r>
      <w:r w:rsidRPr="00796569" w:rsidR="00D6491C">
        <w:t xml:space="preserve"> (SDG&amp;E)</w:t>
      </w:r>
      <w:r w:rsidRPr="00796569" w:rsidR="001E5B86">
        <w:t>,</w:t>
      </w:r>
      <w:r w:rsidRPr="00796569" w:rsidR="007146EF">
        <w:t xml:space="preserve"> and </w:t>
      </w:r>
      <w:r w:rsidRPr="00796569" w:rsidR="007146EF">
        <w:rPr>
          <w:rFonts w:eastAsia="Times New Roman" w:cs="Times New Roman"/>
        </w:rPr>
        <w:t xml:space="preserve">Southern California Gas Company </w:t>
      </w:r>
      <w:r w:rsidRPr="00AA6961">
        <w:rPr>
          <w:rFonts w:eastAsia="Times New Roman" w:cs="Times New Roman"/>
        </w:rPr>
        <w:t xml:space="preserve">shall </w:t>
      </w:r>
      <w:r w:rsidR="004950DD">
        <w:rPr>
          <w:rFonts w:eastAsia="Times New Roman" w:cs="Times New Roman"/>
        </w:rPr>
        <w:t>submit</w:t>
      </w:r>
      <w:r w:rsidRPr="00AA6961">
        <w:rPr>
          <w:rFonts w:eastAsia="Times New Roman" w:cs="Times New Roman"/>
        </w:rPr>
        <w:t xml:space="preserve"> a Tier 1 </w:t>
      </w:r>
      <w:r w:rsidRPr="00AA6961" w:rsidR="003B2046">
        <w:rPr>
          <w:rFonts w:eastAsia="Times New Roman" w:cs="Times New Roman"/>
        </w:rPr>
        <w:t>information</w:t>
      </w:r>
      <w:r w:rsidRPr="00AA6961" w:rsidR="00B5531F">
        <w:rPr>
          <w:rFonts w:eastAsia="Times New Roman" w:cs="Times New Roman"/>
        </w:rPr>
        <w:t>-onl</w:t>
      </w:r>
      <w:r w:rsidRPr="00AA6961" w:rsidR="004055E4">
        <w:rPr>
          <w:rFonts w:eastAsia="Times New Roman" w:cs="Times New Roman"/>
        </w:rPr>
        <w:t>y</w:t>
      </w:r>
      <w:r w:rsidRPr="00AA6961" w:rsidR="003B2046">
        <w:rPr>
          <w:rFonts w:eastAsia="Times New Roman" w:cs="Times New Roman"/>
        </w:rPr>
        <w:t xml:space="preserve"> </w:t>
      </w:r>
      <w:r w:rsidRPr="00AA6961">
        <w:rPr>
          <w:rFonts w:eastAsia="Times New Roman" w:cs="Times New Roman"/>
        </w:rPr>
        <w:t xml:space="preserve">Advice Letter containing all reports and data required </w:t>
      </w:r>
      <w:r w:rsidR="00C240A4">
        <w:rPr>
          <w:rFonts w:eastAsia="Times New Roman" w:cs="Times New Roman"/>
        </w:rPr>
        <w:t>in</w:t>
      </w:r>
      <w:r w:rsidRPr="00AA6961">
        <w:rPr>
          <w:rFonts w:eastAsia="Times New Roman" w:cs="Times New Roman"/>
        </w:rPr>
        <w:t xml:space="preserve"> this </w:t>
      </w:r>
      <w:r w:rsidR="00C240A4">
        <w:rPr>
          <w:rFonts w:eastAsia="Times New Roman" w:cs="Times New Roman"/>
        </w:rPr>
        <w:t>decis</w:t>
      </w:r>
      <w:r w:rsidR="00F31AD3">
        <w:rPr>
          <w:rFonts w:eastAsia="Times New Roman" w:cs="Times New Roman"/>
        </w:rPr>
        <w:t>i</w:t>
      </w:r>
      <w:r w:rsidR="00C240A4">
        <w:rPr>
          <w:rFonts w:eastAsia="Times New Roman" w:cs="Times New Roman"/>
        </w:rPr>
        <w:t>on</w:t>
      </w:r>
      <w:r w:rsidR="00530175">
        <w:rPr>
          <w:rFonts w:eastAsia="Times New Roman" w:cs="Times New Roman"/>
        </w:rPr>
        <w:t xml:space="preserve"> </w:t>
      </w:r>
      <w:r w:rsidRPr="00530175" w:rsidR="00530175">
        <w:rPr>
          <w:rFonts w:eastAsia="Times New Roman" w:cs="Times New Roman"/>
        </w:rPr>
        <w:t>as part of their annual submittal for Resolution E-5105; and PG&amp;E, SCE and SDG&amp;E shall also report on the new data collection requirements detailed in this decision’s Appendix A, in addition to their annual reporting required under Resolution E</w:t>
      </w:r>
      <w:r w:rsidRPr="00530175" w:rsidR="00530175">
        <w:rPr>
          <w:rFonts w:ascii="Cambria Math" w:hAnsi="Cambria Math" w:eastAsia="Times New Roman" w:cs="Cambria Math"/>
        </w:rPr>
        <w:t>‑</w:t>
      </w:r>
      <w:r w:rsidRPr="00530175" w:rsidR="00530175">
        <w:rPr>
          <w:rFonts w:eastAsia="Times New Roman" w:cs="Times New Roman"/>
        </w:rPr>
        <w:t>5105.</w:t>
      </w:r>
      <w:r w:rsidR="003558E5">
        <w:t xml:space="preserve"> </w:t>
      </w:r>
    </w:p>
    <w:p w:rsidRPr="00C00556" w:rsidR="00422410" w:rsidP="006C423F" w:rsidRDefault="00DE12DC" w14:paraId="5CFF5CEE" w14:textId="7E3838BD">
      <w:pPr>
        <w:pStyle w:val="OP"/>
      </w:pPr>
      <w:r>
        <w:t xml:space="preserve">Energy Division staff is authorized to update </w:t>
      </w:r>
      <w:r w:rsidR="000A6D58">
        <w:t xml:space="preserve">the </w:t>
      </w:r>
      <w:r>
        <w:t>reporting requirements established by Res</w:t>
      </w:r>
      <w:r w:rsidR="00FC700D">
        <w:t>olution</w:t>
      </w:r>
      <w:r w:rsidR="00BB3806">
        <w:t> </w:t>
      </w:r>
      <w:r>
        <w:t xml:space="preserve">E-5105 and this decision, by notifying the service list of this proceeding, and providing the new template on the Commission’s Building </w:t>
      </w:r>
      <w:r>
        <w:lastRenderedPageBreak/>
        <w:t>Decarbonization website as soon as practicable. If no new reporting requirements are provided, the prior reporting requirements shall</w:t>
      </w:r>
      <w:r w:rsidR="00882C87">
        <w:t xml:space="preserve"> remain</w:t>
      </w:r>
      <w:r w:rsidR="003C2E1D">
        <w:t xml:space="preserve"> in </w:t>
      </w:r>
      <w:r w:rsidRPr="00C00556" w:rsidR="003C2E1D">
        <w:t>effect</w:t>
      </w:r>
      <w:r w:rsidRPr="00C00556">
        <w:t>.</w:t>
      </w:r>
      <w:r w:rsidRPr="00C00556" w:rsidR="001C65A3">
        <w:t xml:space="preserve"> </w:t>
      </w:r>
    </w:p>
    <w:p w:rsidR="003508DB" w:rsidP="003508DB" w:rsidRDefault="000C74EE" w14:paraId="2AA59702" w14:textId="4D89A2AC">
      <w:pPr>
        <w:pStyle w:val="OP"/>
      </w:pPr>
      <w:r w:rsidRPr="00C00556">
        <w:t xml:space="preserve">Within 90 </w:t>
      </w:r>
      <w:r>
        <w:t xml:space="preserve">days of the issuance of this decision, </w:t>
      </w:r>
      <w:r w:rsidR="001B64DA">
        <w:t>Pacific Gas and Electric Company</w:t>
      </w:r>
      <w:r w:rsidR="00471FC9">
        <w:t>,</w:t>
      </w:r>
      <w:r w:rsidR="001B64DA">
        <w:t xml:space="preserve"> Southern California Edison Company</w:t>
      </w:r>
      <w:r w:rsidR="00471FC9">
        <w:t>,</w:t>
      </w:r>
      <w:r w:rsidR="0002134D">
        <w:t xml:space="preserve"> </w:t>
      </w:r>
      <w:r w:rsidR="001B64DA">
        <w:t xml:space="preserve">San Diego Gas </w:t>
      </w:r>
      <w:r w:rsidR="00034149">
        <w:t>&amp;</w:t>
      </w:r>
      <w:r w:rsidR="001B64DA">
        <w:t xml:space="preserve"> Electric Company</w:t>
      </w:r>
      <w:r w:rsidR="00471FC9">
        <w:t>, Liberty Utilities</w:t>
      </w:r>
      <w:r w:rsidR="7EBADCC7">
        <w:t xml:space="preserve"> LLC</w:t>
      </w:r>
      <w:r w:rsidR="00471FC9">
        <w:t>, PacifiCorp, and Bear Valley Electric Service</w:t>
      </w:r>
      <w:r w:rsidR="001B64DA">
        <w:t xml:space="preserve"> </w:t>
      </w:r>
      <w:r w:rsidR="18B05077">
        <w:t>Inc</w:t>
      </w:r>
      <w:r w:rsidR="008D5420">
        <w:t>.</w:t>
      </w:r>
      <w:r w:rsidR="001B64DA">
        <w:t xml:space="preserve"> </w:t>
      </w:r>
      <w:r>
        <w:t>shall</w:t>
      </w:r>
      <w:r w:rsidR="003508DB">
        <w:t>:</w:t>
      </w:r>
    </w:p>
    <w:p w:rsidR="003508DB" w:rsidP="003508DB" w:rsidRDefault="003508DB" w14:paraId="2D9EF3DB" w14:textId="77777777">
      <w:pPr>
        <w:pStyle w:val="OP"/>
        <w:numPr>
          <w:ilvl w:val="1"/>
          <w:numId w:val="11"/>
        </w:numPr>
        <w:spacing w:after="120" w:line="240" w:lineRule="auto"/>
        <w:ind w:right="1080"/>
      </w:pPr>
      <w:r>
        <w:t>File</w:t>
      </w:r>
      <w:r w:rsidRPr="00EB410A">
        <w:t xml:space="preserve"> a Compliance Filing to the docket of this proceeding and served on this proceeding’s service list, providing responses to the questions outlined in Section 5.2.2, regarding: customer meters, 15-minute interval data, true peak demand data, data storage and systems updates, and green button data updates</w:t>
      </w:r>
      <w:r>
        <w:t>; and</w:t>
      </w:r>
    </w:p>
    <w:p w:rsidRPr="00EB410A" w:rsidR="003508DB" w:rsidP="003508DB" w:rsidRDefault="003508DB" w14:paraId="45FDE104" w14:textId="77777777">
      <w:pPr>
        <w:pStyle w:val="OP"/>
        <w:numPr>
          <w:ilvl w:val="1"/>
          <w:numId w:val="11"/>
        </w:numPr>
        <w:spacing w:after="120" w:line="240" w:lineRule="auto"/>
        <w:ind w:right="1080"/>
      </w:pPr>
      <w:r>
        <w:t>C</w:t>
      </w:r>
      <w:r w:rsidRPr="00EB410A">
        <w:t>onfer</w:t>
      </w:r>
      <w:r>
        <w:t xml:space="preserve"> </w:t>
      </w:r>
      <w:r w:rsidRPr="00EB410A">
        <w:t xml:space="preserve">with the California Public Utilities Commission’s Energy Division prior to the </w:t>
      </w:r>
      <w:r>
        <w:t xml:space="preserve">filing </w:t>
      </w:r>
      <w:r w:rsidRPr="00EB410A">
        <w:t>of</w:t>
      </w:r>
      <w:r>
        <w:t xml:space="preserve"> the Compliance Filing </w:t>
      </w:r>
      <w:r w:rsidRPr="00EB410A">
        <w:t xml:space="preserve">to confirm that </w:t>
      </w:r>
      <w:r>
        <w:t xml:space="preserve">the Compliance Filing includes </w:t>
      </w:r>
      <w:r w:rsidRPr="00EB410A">
        <w:t xml:space="preserve">all relevant topics </w:t>
      </w:r>
      <w:r>
        <w:t xml:space="preserve">and information </w:t>
      </w:r>
      <w:r w:rsidRPr="00EB410A">
        <w:t xml:space="preserve">necessary </w:t>
      </w:r>
      <w:r>
        <w:t>to</w:t>
      </w:r>
      <w:r w:rsidRPr="00EB410A">
        <w:t xml:space="preserve"> </w:t>
      </w:r>
      <w:r>
        <w:t xml:space="preserve">inform and </w:t>
      </w:r>
      <w:r w:rsidRPr="00EB410A">
        <w:t>evaluat</w:t>
      </w:r>
      <w:r>
        <w:t>e</w:t>
      </w:r>
      <w:r w:rsidRPr="00EB410A">
        <w:t xml:space="preserve"> </w:t>
      </w:r>
      <w:r>
        <w:t xml:space="preserve">potential </w:t>
      </w:r>
      <w:r w:rsidRPr="00EB410A">
        <w:t xml:space="preserve">future policies on customer access to peak demand data. </w:t>
      </w:r>
    </w:p>
    <w:p w:rsidRPr="00881572" w:rsidR="00881572" w:rsidP="00861814" w:rsidRDefault="006A483F" w14:paraId="53691852" w14:textId="09230163">
      <w:pPr>
        <w:pStyle w:val="OP"/>
      </w:pPr>
      <w:r>
        <w:t>W</w:t>
      </w:r>
      <w:r w:rsidRPr="57395452" w:rsidR="004D4EE0">
        <w:t xml:space="preserve">hen installing new electric service lines or replacing existing electric service lines, </w:t>
      </w:r>
      <w:r w:rsidR="00442DBB">
        <w:t xml:space="preserve">Pacific Gas and Electric Company, Southern California Edison Company, San Diego Gas </w:t>
      </w:r>
      <w:r w:rsidR="00E74F7A">
        <w:t>&amp;</w:t>
      </w:r>
      <w:r w:rsidR="00442DBB">
        <w:t xml:space="preserve"> Electric Company, Liberty Utilities</w:t>
      </w:r>
      <w:r w:rsidR="54E1AB8D">
        <w:t xml:space="preserve"> LLC</w:t>
      </w:r>
      <w:r w:rsidR="00442DBB">
        <w:t>, PacifiCorp, and Bear Valley Electric Service</w:t>
      </w:r>
      <w:r w:rsidRPr="57395452" w:rsidR="00442DBB">
        <w:t xml:space="preserve"> </w:t>
      </w:r>
      <w:r w:rsidR="52F8BE1F">
        <w:t>Inc.</w:t>
      </w:r>
      <w:r w:rsidR="59C088D7">
        <w:t xml:space="preserve"> </w:t>
      </w:r>
      <w:r w:rsidRPr="00861814" w:rsidR="000C74EE">
        <w:t>shall</w:t>
      </w:r>
      <w:r w:rsidRPr="00861814" w:rsidR="00D91DD1">
        <w:t xml:space="preserve"> </w:t>
      </w:r>
      <w:r w:rsidRPr="008402EC" w:rsidR="00D91DD1">
        <w:t>collect service line capacities for (1) any new electric service lines installed in new construction and (2) any electric service lines replacing existing service lines</w:t>
      </w:r>
      <w:r w:rsidR="009F60EB">
        <w:t>;</w:t>
      </w:r>
      <w:r w:rsidRPr="008402EC" w:rsidR="00D91DD1">
        <w:t xml:space="preserve"> and </w:t>
      </w:r>
      <w:r w:rsidR="009F60EB">
        <w:t xml:space="preserve">the aforementioned utilities shall </w:t>
      </w:r>
      <w:r w:rsidRPr="008402EC" w:rsidR="00D91DD1">
        <w:t xml:space="preserve">report this information </w:t>
      </w:r>
      <w:r w:rsidR="009F60EB">
        <w:t>in accordance</w:t>
      </w:r>
      <w:r w:rsidRPr="008402EC" w:rsidR="00D91DD1">
        <w:t xml:space="preserve"> with the requirements established in Section 4.</w:t>
      </w:r>
      <w:r w:rsidR="00D50F71">
        <w:t>2</w:t>
      </w:r>
      <w:r w:rsidRPr="008402EC" w:rsidR="00D91DD1">
        <w:t xml:space="preserve"> and Appendix A of this decision.</w:t>
      </w:r>
      <w:r w:rsidRPr="57395452" w:rsidR="000C74EE">
        <w:t xml:space="preserve"> </w:t>
      </w:r>
    </w:p>
    <w:p w:rsidR="008E5F30" w:rsidP="008E5F30" w:rsidRDefault="008E5F30" w14:paraId="687D9438" w14:textId="77777777">
      <w:pPr>
        <w:pStyle w:val="OP"/>
        <w:rPr>
          <w:szCs w:val="26"/>
        </w:rPr>
      </w:pPr>
      <w:r w:rsidRPr="00EB410A">
        <w:rPr>
          <w:szCs w:val="26"/>
        </w:rPr>
        <w:t xml:space="preserve">We </w:t>
      </w:r>
      <w:r>
        <w:rPr>
          <w:szCs w:val="26"/>
        </w:rPr>
        <w:t xml:space="preserve">adopt the same requirements, confidentiality protections and evaluation process as in </w:t>
      </w:r>
      <w:r w:rsidRPr="00EB410A">
        <w:rPr>
          <w:szCs w:val="26"/>
        </w:rPr>
        <w:t>Resolution E</w:t>
      </w:r>
      <w:r w:rsidRPr="00EB410A">
        <w:rPr>
          <w:szCs w:val="26"/>
        </w:rPr>
        <w:noBreakHyphen/>
        <w:t>5194</w:t>
      </w:r>
      <w:r>
        <w:rPr>
          <w:szCs w:val="26"/>
        </w:rPr>
        <w:t>, which deals with</w:t>
      </w:r>
      <w:r w:rsidRPr="00D478ED">
        <w:rPr>
          <w:szCs w:val="26"/>
        </w:rPr>
        <w:t xml:space="preserve"> isolating </w:t>
      </w:r>
      <w:r>
        <w:rPr>
          <w:szCs w:val="26"/>
        </w:rPr>
        <w:t>devices, to “non-isolating devices” which are</w:t>
      </w:r>
      <w:r w:rsidRPr="00EB410A">
        <w:rPr>
          <w:szCs w:val="26"/>
        </w:rPr>
        <w:t xml:space="preserve"> customer-owned devices that interface with </w:t>
      </w:r>
      <w:r w:rsidRPr="00EB410A">
        <w:rPr>
          <w:szCs w:val="26"/>
        </w:rPr>
        <w:lastRenderedPageBreak/>
        <w:t xml:space="preserve">utility equipment, do not have grid isolation capabilities, and require explicit utility approval. Such non-isolating devices include, but are not limited to, meter socket adapters with distributed energy resource capabilities. </w:t>
      </w:r>
      <w:r w:rsidRPr="00EB410A">
        <w:t>Pacific Gas and Electric Company, Southern California Edison Company, and San Diego Gas &amp; Electric Company</w:t>
      </w:r>
      <w:r w:rsidRPr="00EB410A">
        <w:rPr>
          <w:szCs w:val="26"/>
        </w:rPr>
        <w:t xml:space="preserve"> shall </w:t>
      </w:r>
      <w:r>
        <w:rPr>
          <w:szCs w:val="26"/>
        </w:rPr>
        <w:t>therefore e</w:t>
      </w:r>
      <w:r w:rsidRPr="0020392D">
        <w:rPr>
          <w:szCs w:val="26"/>
        </w:rPr>
        <w:t>valuate and approve non-isolating devices for safety and compatibility in the same manner as isolating devices</w:t>
      </w:r>
      <w:r>
        <w:rPr>
          <w:szCs w:val="26"/>
        </w:rPr>
        <w:t xml:space="preserve"> by following and complying with:</w:t>
      </w:r>
    </w:p>
    <w:p w:rsidRPr="0020392D" w:rsidR="008E5F30" w:rsidP="008E5F30" w:rsidRDefault="008E5F30" w14:paraId="34AC10DF" w14:textId="77777777">
      <w:pPr>
        <w:pStyle w:val="OP"/>
        <w:numPr>
          <w:ilvl w:val="1"/>
          <w:numId w:val="11"/>
        </w:numPr>
        <w:spacing w:before="120" w:after="120" w:line="240" w:lineRule="auto"/>
        <w:ind w:right="1166"/>
        <w:rPr>
          <w:szCs w:val="26"/>
        </w:rPr>
      </w:pPr>
      <w:r>
        <w:rPr>
          <w:szCs w:val="26"/>
        </w:rPr>
        <w:t>A</w:t>
      </w:r>
      <w:r w:rsidRPr="0020392D">
        <w:rPr>
          <w:szCs w:val="26"/>
        </w:rPr>
        <w:t xml:space="preserve">ll reporting, safety evaluations, technology review, and other requirements and applicable processes described in Resolution E-5194; and </w:t>
      </w:r>
    </w:p>
    <w:p w:rsidRPr="00EB410A" w:rsidR="008E5F30" w:rsidP="008E5F30" w:rsidRDefault="008E5F30" w14:paraId="480FFD66" w14:textId="77777777">
      <w:pPr>
        <w:pStyle w:val="OP"/>
        <w:numPr>
          <w:ilvl w:val="1"/>
          <w:numId w:val="11"/>
        </w:numPr>
        <w:spacing w:before="120" w:after="120" w:line="240" w:lineRule="auto"/>
        <w:ind w:right="1166"/>
        <w:rPr>
          <w:szCs w:val="26"/>
        </w:rPr>
      </w:pPr>
      <w:r>
        <w:rPr>
          <w:szCs w:val="26"/>
        </w:rPr>
        <w:t>All</w:t>
      </w:r>
      <w:r w:rsidRPr="00EB410A">
        <w:rPr>
          <w:szCs w:val="26"/>
        </w:rPr>
        <w:t xml:space="preserve"> confidentiality provisions and protections set forth in Resolution E-5194, including the </w:t>
      </w:r>
      <w:r>
        <w:rPr>
          <w:szCs w:val="26"/>
        </w:rPr>
        <w:t xml:space="preserve">process </w:t>
      </w:r>
      <w:r w:rsidRPr="00EB410A">
        <w:rPr>
          <w:szCs w:val="26"/>
        </w:rPr>
        <w:t>to request confidential treatment of proprietary designs and sensitive evaluation materials.</w:t>
      </w:r>
    </w:p>
    <w:p w:rsidRPr="00393396" w:rsidR="00233C26" w:rsidP="006C423F" w:rsidRDefault="00077F7B" w14:paraId="64A57060" w14:textId="339F97A2">
      <w:pPr>
        <w:pStyle w:val="OP"/>
        <w:rPr>
          <w:szCs w:val="26"/>
        </w:rPr>
      </w:pPr>
      <w:r>
        <w:t xml:space="preserve">We modify </w:t>
      </w:r>
      <w:r w:rsidRPr="00FD1DEF" w:rsidR="00FD1DEF">
        <w:t>Decision (D.)</w:t>
      </w:r>
      <w:r w:rsidR="00BB3806">
        <w:t> </w:t>
      </w:r>
      <w:r w:rsidRPr="00FD1DEF" w:rsidR="00FD1DEF">
        <w:t>21</w:t>
      </w:r>
      <w:r w:rsidR="00BB3806">
        <w:noBreakHyphen/>
      </w:r>
      <w:r w:rsidRPr="00FD1DEF" w:rsidR="00FD1DEF">
        <w:t>01</w:t>
      </w:r>
      <w:r w:rsidR="00BB3806">
        <w:noBreakHyphen/>
      </w:r>
      <w:r w:rsidRPr="00FD1DEF" w:rsidR="00FD1DEF">
        <w:t>018</w:t>
      </w:r>
      <w:r w:rsidR="00D159B6">
        <w:t xml:space="preserve">, </w:t>
      </w:r>
      <w:r w:rsidRPr="00D159B6" w:rsidR="00D159B6">
        <w:t>Ordering Paragraph 9</w:t>
      </w:r>
      <w:r w:rsidR="00D159B6">
        <w:t>, and extend the</w:t>
      </w:r>
      <w:r>
        <w:t xml:space="preserve"> </w:t>
      </w:r>
      <w:r w:rsidRPr="00FD1DEF" w:rsidR="00FD1DEF">
        <w:t xml:space="preserve">previously authorized </w:t>
      </w:r>
      <w:r w:rsidRPr="00114B02" w:rsidR="00114B02">
        <w:t>funds for isolating devices</w:t>
      </w:r>
      <w:r w:rsidRPr="00FD1DEF" w:rsidR="00FD1DEF">
        <w:t xml:space="preserve"> to </w:t>
      </w:r>
      <w:r w:rsidR="00EA5EB0">
        <w:t xml:space="preserve">also </w:t>
      </w:r>
      <w:r w:rsidRPr="00FD1DEF" w:rsidR="00FD1DEF">
        <w:t>apply to non-isolating devices</w:t>
      </w:r>
      <w:r w:rsidR="27B28349">
        <w:t>.</w:t>
      </w:r>
      <w:r w:rsidRPr="00FD1DEF" w:rsidR="00FD1DEF">
        <w:t xml:space="preserve"> </w:t>
      </w:r>
      <w:r w:rsidR="0E50D837">
        <w:t xml:space="preserve">Pacific Gas and Electric </w:t>
      </w:r>
      <w:r w:rsidR="0F8D1AED">
        <w:t xml:space="preserve">Company </w:t>
      </w:r>
      <w:r w:rsidR="0E50D837">
        <w:t>(PG&amp;E), Southern California Edison</w:t>
      </w:r>
      <w:r w:rsidR="42516C60">
        <w:t xml:space="preserve"> Company</w:t>
      </w:r>
      <w:r w:rsidR="0E50D837">
        <w:t xml:space="preserve"> (SCE), and San Diego Gas </w:t>
      </w:r>
      <w:r w:rsidR="00034149">
        <w:t>&amp;</w:t>
      </w:r>
      <w:r w:rsidR="0E50D837">
        <w:t xml:space="preserve"> Electric </w:t>
      </w:r>
      <w:r w:rsidR="705F423C">
        <w:t xml:space="preserve">Company </w:t>
      </w:r>
      <w:r w:rsidR="0E50D837">
        <w:t xml:space="preserve">(SDG&amp;E) </w:t>
      </w:r>
      <w:r w:rsidR="00FD1DEF">
        <w:t xml:space="preserve">are </w:t>
      </w:r>
      <w:r w:rsidR="4254D9CF">
        <w:t xml:space="preserve">authorized to </w:t>
      </w:r>
      <w:r w:rsidR="00B9557F">
        <w:t xml:space="preserve">(a) </w:t>
      </w:r>
      <w:r w:rsidR="0E50D837">
        <w:t>use the existing $3</w:t>
      </w:r>
      <w:r w:rsidR="002E58D8">
        <w:t> million</w:t>
      </w:r>
      <w:r w:rsidR="0E50D837">
        <w:t xml:space="preserve"> in funding approved in D</w:t>
      </w:r>
      <w:r w:rsidR="00724F56">
        <w:t>.</w:t>
      </w:r>
      <w:r w:rsidR="0E50D837">
        <w:t>21</w:t>
      </w:r>
      <w:r w:rsidR="00BB3806">
        <w:noBreakHyphen/>
      </w:r>
      <w:r w:rsidR="0E50D837">
        <w:t>01</w:t>
      </w:r>
      <w:r w:rsidR="00BB3806">
        <w:noBreakHyphen/>
      </w:r>
      <w:r w:rsidR="0E50D837">
        <w:t>018 to conduct safety and reliability evaluations of the non-isolating devices</w:t>
      </w:r>
      <w:r w:rsidR="00B9557F">
        <w:t>, and (b)</w:t>
      </w:r>
      <w:r w:rsidR="0E50D837">
        <w:t xml:space="preserve"> prioritize safety evaluations for non-isolating devices that directly enable decarbonization and facilitate electrification efforts. </w:t>
      </w:r>
      <w:r w:rsidRPr="00DA7A3F" w:rsidR="00DA7A3F">
        <w:t>All directions in D.21-01-018 allow</w:t>
      </w:r>
      <w:r w:rsidR="00724F56">
        <w:t>ing</w:t>
      </w:r>
      <w:r w:rsidRPr="00DA7A3F" w:rsidR="00DA7A3F">
        <w:t xml:space="preserve"> PG&amp;E, SCE, and SDG&amp;E to submit Tier 2 Advice Letters requesting additional funding for safety evaluations shall continue to apply.</w:t>
      </w:r>
    </w:p>
    <w:p w:rsidR="009312B0" w:rsidP="00640FEC" w:rsidRDefault="00393396" w14:paraId="7FF87892" w14:textId="12E2BE41">
      <w:pPr>
        <w:pStyle w:val="OP"/>
        <w:rPr>
          <w:szCs w:val="26"/>
        </w:rPr>
      </w:pPr>
      <w:r w:rsidRPr="00393396">
        <w:rPr>
          <w:szCs w:val="26"/>
        </w:rPr>
        <w:t xml:space="preserve">Within </w:t>
      </w:r>
      <w:r w:rsidR="009F7A94">
        <w:rPr>
          <w:szCs w:val="26"/>
        </w:rPr>
        <w:t>180 days</w:t>
      </w:r>
      <w:r w:rsidRPr="00393396">
        <w:rPr>
          <w:szCs w:val="26"/>
        </w:rPr>
        <w:t xml:space="preserve"> of the issuance of this decision, Pacific Gas and Electric Company, Southern California Edison Company, and San Diego Gas </w:t>
      </w:r>
      <w:r w:rsidR="00034149">
        <w:rPr>
          <w:szCs w:val="26"/>
        </w:rPr>
        <w:t>&amp;</w:t>
      </w:r>
      <w:r w:rsidRPr="00393396">
        <w:rPr>
          <w:szCs w:val="26"/>
        </w:rPr>
        <w:t xml:space="preserve"> Electric Company shall each </w:t>
      </w:r>
      <w:r w:rsidR="004950DD">
        <w:rPr>
          <w:szCs w:val="26"/>
        </w:rPr>
        <w:t>submit</w:t>
      </w:r>
      <w:r w:rsidRPr="00393396">
        <w:rPr>
          <w:szCs w:val="26"/>
        </w:rPr>
        <w:t xml:space="preserve"> a Tier 2 Advice Letter to establish a new tariff </w:t>
      </w:r>
      <w:r w:rsidRPr="00393396">
        <w:rPr>
          <w:szCs w:val="26"/>
        </w:rPr>
        <w:lastRenderedPageBreak/>
        <w:t>supporting the installation of customer-owned meter socket adapters</w:t>
      </w:r>
      <w:r w:rsidR="005D3C46">
        <w:rPr>
          <w:szCs w:val="26"/>
        </w:rPr>
        <w:t xml:space="preserve"> (MSAs)</w:t>
      </w:r>
      <w:r w:rsidRPr="00393396">
        <w:rPr>
          <w:szCs w:val="26"/>
        </w:rPr>
        <w:t>, both isolating and non-isolating</w:t>
      </w:r>
      <w:r w:rsidR="009312B0">
        <w:rPr>
          <w:szCs w:val="26"/>
        </w:rPr>
        <w:t xml:space="preserve"> </w:t>
      </w:r>
      <w:r w:rsidRPr="00B24064" w:rsidR="00B24064">
        <w:rPr>
          <w:szCs w:val="26"/>
        </w:rPr>
        <w:t>that describes:</w:t>
      </w:r>
    </w:p>
    <w:p w:rsidR="00B24064" w:rsidP="00B24064" w:rsidRDefault="00B24064" w14:paraId="0A5C6C45" w14:textId="77777777">
      <w:pPr>
        <w:pStyle w:val="OP"/>
        <w:numPr>
          <w:ilvl w:val="1"/>
          <w:numId w:val="11"/>
        </w:numPr>
        <w:spacing w:before="120" w:after="120" w:line="240" w:lineRule="auto"/>
        <w:ind w:right="1080"/>
        <w:rPr>
          <w:szCs w:val="26"/>
        </w:rPr>
      </w:pPr>
      <w:r>
        <w:rPr>
          <w:szCs w:val="26"/>
        </w:rPr>
        <w:t>T</w:t>
      </w:r>
      <w:r w:rsidRPr="00EB410A">
        <w:rPr>
          <w:szCs w:val="26"/>
        </w:rPr>
        <w:t>he process and requirements a customer must follow to install any device approved through the safety evaluation process</w:t>
      </w:r>
      <w:r>
        <w:rPr>
          <w:szCs w:val="26"/>
        </w:rPr>
        <w:t xml:space="preserve">, consistent with the </w:t>
      </w:r>
      <w:r w:rsidRPr="003F5417">
        <w:rPr>
          <w:szCs w:val="26"/>
        </w:rPr>
        <w:t>Resolution E-5105</w:t>
      </w:r>
      <w:r>
        <w:rPr>
          <w:szCs w:val="26"/>
        </w:rPr>
        <w:t xml:space="preserve"> processes we adopt in this decision</w:t>
      </w:r>
      <w:r w:rsidRPr="00EB410A">
        <w:rPr>
          <w:szCs w:val="26"/>
        </w:rPr>
        <w:t xml:space="preserve">, including but not limited to </w:t>
      </w:r>
      <w:r>
        <w:rPr>
          <w:szCs w:val="26"/>
        </w:rPr>
        <w:t xml:space="preserve">(1) </w:t>
      </w:r>
      <w:r w:rsidRPr="00EB410A">
        <w:rPr>
          <w:szCs w:val="26"/>
        </w:rPr>
        <w:t xml:space="preserve">the premises where MSAs may be installed, </w:t>
      </w:r>
      <w:r>
        <w:rPr>
          <w:szCs w:val="26"/>
        </w:rPr>
        <w:t xml:space="preserve">(2) </w:t>
      </w:r>
      <w:r w:rsidRPr="00EB410A">
        <w:rPr>
          <w:szCs w:val="26"/>
        </w:rPr>
        <w:t xml:space="preserve">who is responsible for removing and inserting meters, </w:t>
      </w:r>
      <w:r>
        <w:rPr>
          <w:szCs w:val="26"/>
        </w:rPr>
        <w:t xml:space="preserve">(3) </w:t>
      </w:r>
      <w:r w:rsidRPr="00EB410A">
        <w:rPr>
          <w:szCs w:val="26"/>
        </w:rPr>
        <w:t xml:space="preserve">how to request MSA installations, </w:t>
      </w:r>
      <w:r>
        <w:rPr>
          <w:szCs w:val="26"/>
        </w:rPr>
        <w:t xml:space="preserve">(4) </w:t>
      </w:r>
      <w:r w:rsidRPr="00EB410A">
        <w:rPr>
          <w:szCs w:val="26"/>
        </w:rPr>
        <w:t xml:space="preserve">device ownership and responsibility, </w:t>
      </w:r>
      <w:r>
        <w:rPr>
          <w:szCs w:val="26"/>
        </w:rPr>
        <w:t xml:space="preserve">(5) </w:t>
      </w:r>
      <w:r w:rsidRPr="00EB410A">
        <w:rPr>
          <w:szCs w:val="26"/>
        </w:rPr>
        <w:t xml:space="preserve">conditions requiring device removal, and </w:t>
      </w:r>
      <w:r>
        <w:rPr>
          <w:szCs w:val="26"/>
        </w:rPr>
        <w:t xml:space="preserve">(6) </w:t>
      </w:r>
      <w:r w:rsidRPr="00EB410A">
        <w:rPr>
          <w:szCs w:val="26"/>
        </w:rPr>
        <w:t>how to handle unauthorized installations</w:t>
      </w:r>
      <w:r>
        <w:rPr>
          <w:szCs w:val="26"/>
        </w:rPr>
        <w:t>; and</w:t>
      </w:r>
    </w:p>
    <w:p w:rsidRPr="008E6F6D" w:rsidR="00B24064" w:rsidP="00B24064" w:rsidRDefault="00B24064" w14:paraId="16B23B15" w14:textId="77777777">
      <w:pPr>
        <w:pStyle w:val="OP"/>
        <w:numPr>
          <w:ilvl w:val="1"/>
          <w:numId w:val="11"/>
        </w:numPr>
        <w:spacing w:before="120" w:after="120" w:line="240" w:lineRule="auto"/>
        <w:ind w:right="1080"/>
        <w:rPr>
          <w:szCs w:val="26"/>
        </w:rPr>
      </w:pPr>
      <w:r>
        <w:rPr>
          <w:szCs w:val="26"/>
        </w:rPr>
        <w:t>A</w:t>
      </w:r>
      <w:r w:rsidRPr="00EB410A">
        <w:rPr>
          <w:szCs w:val="26"/>
        </w:rPr>
        <w:t xml:space="preserve"> target timeline between when a customer requests an MSA installation and when the utility installs the MSA</w:t>
      </w:r>
      <w:r>
        <w:t xml:space="preserve">. </w:t>
      </w:r>
    </w:p>
    <w:p w:rsidRPr="00640FEC" w:rsidR="00640FEC" w:rsidP="005E21E8" w:rsidRDefault="00846DF9" w14:paraId="45886D3C" w14:textId="5D180E02">
      <w:pPr>
        <w:pStyle w:val="OP"/>
        <w:numPr>
          <w:ilvl w:val="0"/>
          <w:numId w:val="0"/>
        </w:numPr>
        <w:ind w:firstLine="540"/>
        <w:rPr>
          <w:szCs w:val="26"/>
        </w:rPr>
      </w:pPr>
      <w:r w:rsidRPr="00846DF9">
        <w:rPr>
          <w:szCs w:val="26"/>
        </w:rPr>
        <w:t>If a utility has already made a similar tariff submission, it shall update its submission as needed to fully comply with this order.</w:t>
      </w:r>
    </w:p>
    <w:p w:rsidRPr="00A23D03" w:rsidR="00640FEC" w:rsidP="00640FEC" w:rsidRDefault="00D80FE1" w14:paraId="1DD37954" w14:textId="1AB2FC1E">
      <w:pPr>
        <w:pStyle w:val="OP"/>
        <w:rPr>
          <w:szCs w:val="26"/>
        </w:rPr>
      </w:pPr>
      <w:r>
        <w:t>W</w:t>
      </w:r>
      <w:r w:rsidRPr="00640FEC">
        <w:t xml:space="preserve">ithin </w:t>
      </w:r>
      <w:r>
        <w:t>90 days</w:t>
      </w:r>
      <w:r w:rsidRPr="00640FEC">
        <w:t xml:space="preserve"> of the issuance of this decision</w:t>
      </w:r>
      <w:r>
        <w:t>,</w:t>
      </w:r>
      <w:r w:rsidRPr="00640FEC">
        <w:t xml:space="preserve"> </w:t>
      </w:r>
      <w:r w:rsidRPr="00640FEC" w:rsidR="00640FEC">
        <w:t>Pacific Gas and Electric Company, Southern California Edison Company, and San Diego Gas &amp; Electric Company shall hold a joint public workshop, soliciting feedback on the proposed tariff and gathering public input on an appropriate target timeline for utility installation of meter socket adapters.</w:t>
      </w:r>
    </w:p>
    <w:p w:rsidRPr="00EB250C" w:rsidR="00A23D03" w:rsidP="00EB250C" w:rsidRDefault="00D80FE1" w14:paraId="4BB27402" w14:textId="723BABA1">
      <w:pPr>
        <w:pStyle w:val="OP"/>
      </w:pPr>
      <w:r>
        <w:t>B</w:t>
      </w:r>
      <w:r w:rsidRPr="00EB250C">
        <w:t>eginning on April 15, 2026,</w:t>
      </w:r>
      <w:r>
        <w:t xml:space="preserve"> </w:t>
      </w:r>
      <w:r w:rsidRPr="00EB250C" w:rsidR="00EB250C">
        <w:t xml:space="preserve">Pacific Gas and Electric Company (PG&amp;E), Southern California Edison Company (SCE), and San Diego Gas &amp; Electric Company (SDG&amp;E) shall report annually on the previous year’s data detailing each </w:t>
      </w:r>
      <w:r w:rsidRPr="00640FEC" w:rsidR="004A0883">
        <w:t>meter socket adapter</w:t>
      </w:r>
      <w:r w:rsidRPr="00EB250C" w:rsidR="004A0883">
        <w:t xml:space="preserve"> </w:t>
      </w:r>
      <w:r w:rsidRPr="00EB250C" w:rsidR="00EB250C">
        <w:t>installation and timeline for installation. PG&amp;E, SCE, and SDG&amp;E shall refer to Appendix A for the full list of reporting requirements and shall include this reporting as a Tier 1 Advice Letter as part of the annual reporting mandated under Resolution E-5105</w:t>
      </w:r>
      <w:r w:rsidR="008A07AA">
        <w:t xml:space="preserve"> and</w:t>
      </w:r>
      <w:r w:rsidRPr="00EB250C" w:rsidR="00EB250C">
        <w:t xml:space="preserve"> in accordance </w:t>
      </w:r>
      <w:r w:rsidRPr="00EB250C" w:rsidR="004A0883">
        <w:t>with</w:t>
      </w:r>
      <w:r w:rsidRPr="00EB250C" w:rsidR="00EB250C">
        <w:t xml:space="preserve"> the revised reporting timelines established in section 7.</w:t>
      </w:r>
      <w:r w:rsidR="009D48AD">
        <w:t>2</w:t>
      </w:r>
      <w:r w:rsidRPr="00EB250C" w:rsidR="00EB250C">
        <w:t xml:space="preserve"> of this decision.</w:t>
      </w:r>
    </w:p>
    <w:p w:rsidRPr="00261EAD" w:rsidR="000C74EE" w:rsidP="006C423F" w:rsidRDefault="0E50D837" w14:paraId="56168E1C" w14:textId="5B7A2B64">
      <w:pPr>
        <w:pStyle w:val="OP"/>
        <w:rPr>
          <w:szCs w:val="26"/>
        </w:rPr>
      </w:pPr>
      <w:r>
        <w:lastRenderedPageBreak/>
        <w:t xml:space="preserve">Pacific Gas and Electric </w:t>
      </w:r>
      <w:r w:rsidR="437936B4">
        <w:t>Company</w:t>
      </w:r>
      <w:r w:rsidR="00A81C8C">
        <w:t xml:space="preserve"> (PG&amp;E)</w:t>
      </w:r>
      <w:r>
        <w:t xml:space="preserve">, Southern California Edison </w:t>
      </w:r>
      <w:r w:rsidR="1CE71462">
        <w:t>Company</w:t>
      </w:r>
      <w:r w:rsidR="00A81C8C">
        <w:t xml:space="preserve"> (SCE)</w:t>
      </w:r>
      <w:r>
        <w:t xml:space="preserve">, and San Diego Gas </w:t>
      </w:r>
      <w:r w:rsidR="00034149">
        <w:t>&amp;</w:t>
      </w:r>
      <w:r>
        <w:t xml:space="preserve"> Electric </w:t>
      </w:r>
      <w:r w:rsidR="4C903CC0">
        <w:t>Company</w:t>
      </w:r>
      <w:r w:rsidR="00A81C8C">
        <w:t xml:space="preserve"> (SDG&amp;E)</w:t>
      </w:r>
      <w:r w:rsidR="4C903CC0">
        <w:t xml:space="preserve"> </w:t>
      </w:r>
      <w:r w:rsidR="00FF6C2B">
        <w:t xml:space="preserve">are each authorized </w:t>
      </w:r>
      <w:r w:rsidR="00872125">
        <w:t>to submit</w:t>
      </w:r>
      <w:r>
        <w:t xml:space="preserve"> a Tier 1 Advice Letter if they seek an extension of time to complete an evaluation for a specific device. </w:t>
      </w:r>
      <w:r w:rsidRPr="008763F7" w:rsidR="00F86FF4">
        <w:t>PG&amp;E, SCE, and SDG&amp;E shall coordinate and collaborate on their device safety evaluations to avoid duplicative testing.</w:t>
      </w:r>
      <w:r w:rsidR="00F86FF4">
        <w:rPr>
          <w:b/>
          <w:bCs/>
        </w:rPr>
        <w:t xml:space="preserve"> </w:t>
      </w:r>
      <w:r>
        <w:t xml:space="preserve">Prior to </w:t>
      </w:r>
      <w:r w:rsidR="00491E07">
        <w:t xml:space="preserve">submitting </w:t>
      </w:r>
      <w:r>
        <w:t>th</w:t>
      </w:r>
      <w:r w:rsidR="00C6221C">
        <w:t>e Advice L</w:t>
      </w:r>
      <w:r>
        <w:t xml:space="preserve">etter, </w:t>
      </w:r>
      <w:r w:rsidR="00A81C8C">
        <w:t>PG&amp;E, SCE, and SDG&amp;E</w:t>
      </w:r>
      <w:r>
        <w:t xml:space="preserve"> shall consult with </w:t>
      </w:r>
      <w:r w:rsidR="009F60EB">
        <w:t xml:space="preserve">the California Public Utilities Commission’s </w:t>
      </w:r>
      <w:r>
        <w:t xml:space="preserve">Energy Division to discuss the need for an extension. The </w:t>
      </w:r>
      <w:r w:rsidR="677FDABF">
        <w:t>Advice Letter</w:t>
      </w:r>
      <w:r>
        <w:t xml:space="preserve"> shall include detailed justification for the requested extension, including reason</w:t>
      </w:r>
      <w:r w:rsidR="00370A3F">
        <w:t>s</w:t>
      </w:r>
      <w:r>
        <w:t xml:space="preserve"> for the delay, steps taken to complete the evaluation, and </w:t>
      </w:r>
      <w:r w:rsidR="00370A3F">
        <w:t>new</w:t>
      </w:r>
      <w:r>
        <w:t xml:space="preserve"> timeline for completion. This extension request process shall apply to both isolating and non-isolating devices.</w:t>
      </w:r>
    </w:p>
    <w:p w:rsidRPr="00CF7E3F" w:rsidR="000C74EE" w:rsidP="006C423F" w:rsidRDefault="0E50D837" w14:paraId="5C2295F9" w14:textId="40ED76C0">
      <w:pPr>
        <w:pStyle w:val="OP"/>
      </w:pPr>
      <w:r>
        <w:t xml:space="preserve">Pacific Gas and Electric </w:t>
      </w:r>
      <w:r w:rsidR="0C598298">
        <w:t>Company</w:t>
      </w:r>
      <w:r>
        <w:t xml:space="preserve">, Southern California Edison </w:t>
      </w:r>
      <w:r w:rsidR="2B5D1662">
        <w:t>Company</w:t>
      </w:r>
      <w:r>
        <w:t xml:space="preserve">, and San Diego Gas </w:t>
      </w:r>
      <w:r w:rsidR="00034149">
        <w:t>&amp;</w:t>
      </w:r>
      <w:r>
        <w:t xml:space="preserve"> Electric </w:t>
      </w:r>
      <w:r w:rsidR="3097DCE1">
        <w:t>Company</w:t>
      </w:r>
      <w:r>
        <w:t xml:space="preserve"> </w:t>
      </w:r>
      <w:r w:rsidR="4BADD442">
        <w:t xml:space="preserve">may </w:t>
      </w:r>
      <w:r>
        <w:t>submit Tier 2 Advice Letters requesting additional funding for safety evaluations, as originally authorized in Decision</w:t>
      </w:r>
      <w:r w:rsidR="00BB3806">
        <w:t> </w:t>
      </w:r>
      <w:r>
        <w:t>21</w:t>
      </w:r>
      <w:r w:rsidR="00BB3806">
        <w:noBreakHyphen/>
      </w:r>
      <w:r>
        <w:t>01</w:t>
      </w:r>
      <w:r w:rsidR="00BB3806">
        <w:noBreakHyphen/>
      </w:r>
      <w:r>
        <w:t>018</w:t>
      </w:r>
      <w:r w:rsidR="00451E39">
        <w:t>, Ordering Paragraph 9</w:t>
      </w:r>
      <w:r>
        <w:t xml:space="preserve">. This additional funding shall apply to both isolating and non-isolating devices. Each Tier 2 Advice Letter shall include </w:t>
      </w:r>
      <w:r w:rsidR="00CE3AD8">
        <w:t xml:space="preserve">detailed </w:t>
      </w:r>
      <w:r>
        <w:t>justification in support of any request for budgetary increases.</w:t>
      </w:r>
    </w:p>
    <w:p w:rsidRPr="0080656F" w:rsidR="006A1BB1" w:rsidP="006A1BB1" w:rsidRDefault="0E50D837" w14:paraId="18FC5527" w14:textId="54969097">
      <w:pPr>
        <w:pStyle w:val="OP"/>
      </w:pPr>
      <w:r>
        <w:t xml:space="preserve">Pacific Gas and Electric </w:t>
      </w:r>
      <w:r w:rsidR="169FABA2">
        <w:t>Company</w:t>
      </w:r>
      <w:r>
        <w:t xml:space="preserve">, Southern California Edison </w:t>
      </w:r>
      <w:r w:rsidR="1A712AC6">
        <w:t>Company</w:t>
      </w:r>
      <w:r>
        <w:t xml:space="preserve">, and San Diego Gas </w:t>
      </w:r>
      <w:r w:rsidR="00034149">
        <w:t>&amp;</w:t>
      </w:r>
      <w:r>
        <w:t xml:space="preserve"> Electric </w:t>
      </w:r>
      <w:r w:rsidR="2E3FC4B2">
        <w:t>Company</w:t>
      </w:r>
      <w:r>
        <w:t xml:space="preserve"> shall each submit an informational report, jointly with suppliers, </w:t>
      </w:r>
      <w:r w:rsidRPr="008402EC" w:rsidR="006A1BB1">
        <w:t>when a utility terminates the evaluation process for an isolating or non-isolating device or technology without approving the device or technology for deployment, or when a product has been in the evaluation process for more than six months and both the utility and the supplier have agreed that progress toward completing the evaluation has ceased.</w:t>
      </w:r>
      <w:r w:rsidRPr="0080656F" w:rsidR="006A1BB1">
        <w:t xml:space="preserve"> </w:t>
      </w:r>
      <w:r w:rsidR="004A0883">
        <w:t xml:space="preserve">Each of the aforementioned utilities shall file </w:t>
      </w:r>
      <w:r w:rsidR="00E339B6">
        <w:t>the</w:t>
      </w:r>
      <w:r w:rsidR="004A0883">
        <w:t xml:space="preserve"> informational report to the docket cards in this proceeding and Rulemaking 19-09-009</w:t>
      </w:r>
      <w:r w:rsidR="00E339B6">
        <w:t xml:space="preserve"> and serve the reports on both service </w:t>
      </w:r>
      <w:r w:rsidR="00E339B6">
        <w:lastRenderedPageBreak/>
        <w:t>lists</w:t>
      </w:r>
      <w:r w:rsidR="004A0883">
        <w:t xml:space="preserve">. Each of the aforementioned utilities shall </w:t>
      </w:r>
      <w:r w:rsidR="00E339B6">
        <w:t xml:space="preserve">also </w:t>
      </w:r>
      <w:r w:rsidR="004A0883">
        <w:t xml:space="preserve">email courtesy copies of said informational report to the California Public Utilities Commission’s Energy Division at </w:t>
      </w:r>
      <w:r w:rsidRPr="008402EC" w:rsidR="00692B97">
        <w:t>energydivisioncentralfiles@cpuc.ca.gov</w:t>
      </w:r>
      <w:r w:rsidR="004A0883">
        <w:t xml:space="preserve"> and </w:t>
      </w:r>
      <w:r w:rsidRPr="008402EC" w:rsidR="00692B97">
        <w:t>buildingdecarb@cpuc.ca.gov</w:t>
      </w:r>
      <w:r w:rsidR="004A0883">
        <w:t>.</w:t>
      </w:r>
    </w:p>
    <w:p w:rsidRPr="008402EC" w:rsidR="006B7713" w:rsidP="005E21E8" w:rsidRDefault="006A1BB1" w14:paraId="1AFE70F5" w14:textId="27EB41D9">
      <w:pPr>
        <w:pStyle w:val="OP"/>
      </w:pPr>
      <w:r w:rsidRPr="008402EC">
        <w:t xml:space="preserve">Pacific Gas and Electric Company, Southern California Edison Company, and San Diego Gas &amp; Electric Company shall provide updates to the </w:t>
      </w:r>
      <w:r w:rsidR="00213226">
        <w:t xml:space="preserve">California Public Utilities </w:t>
      </w:r>
      <w:r w:rsidRPr="008402EC">
        <w:t>Commission</w:t>
      </w:r>
      <w:r w:rsidR="00213226">
        <w:t xml:space="preserve"> (Commission)</w:t>
      </w:r>
      <w:r w:rsidRPr="008402EC">
        <w:t>, upon request, of all testing and evaluation activities for isolating and non-isolating devices</w:t>
      </w:r>
      <w:r w:rsidR="00213226">
        <w:t>.</w:t>
      </w:r>
      <w:r w:rsidRPr="008402EC">
        <w:t xml:space="preserve"> </w:t>
      </w:r>
      <w:r w:rsidR="00213226">
        <w:t xml:space="preserve">The Commission’s request shall specify the deadline for when such updates are due. </w:t>
      </w:r>
      <w:r w:rsidRPr="003962B2" w:rsidR="003962B2">
        <w:t>As necessary,</w:t>
      </w:r>
      <w:r w:rsidR="00213226">
        <w:t>, the aforementioned utilities may</w:t>
      </w:r>
      <w:r w:rsidRPr="00925684" w:rsidR="00213226">
        <w:t xml:space="preserve"> </w:t>
      </w:r>
      <w:r w:rsidR="002763E9">
        <w:t>seek</w:t>
      </w:r>
      <w:r w:rsidRPr="00925684" w:rsidR="00213226">
        <w:t xml:space="preserve"> confidential</w:t>
      </w:r>
      <w:r w:rsidR="00533446">
        <w:t xml:space="preserve"> treatment of information</w:t>
      </w:r>
      <w:r w:rsidRPr="00925684" w:rsidR="00213226">
        <w:t>, in accordance with Commission rules</w:t>
      </w:r>
      <w:r w:rsidR="00213226">
        <w:t>.</w:t>
      </w:r>
    </w:p>
    <w:p w:rsidRPr="00B85D81" w:rsidR="005578F8" w:rsidP="00614CCC" w:rsidRDefault="005A47D9" w14:paraId="2C9AED81" w14:textId="262C0A7D">
      <w:pPr>
        <w:pStyle w:val="OP"/>
      </w:pPr>
      <w:r>
        <w:t xml:space="preserve">Within </w:t>
      </w:r>
      <w:r w:rsidR="00103A02">
        <w:t>180</w:t>
      </w:r>
      <w:r>
        <w:t xml:space="preserve"> days of the issuance of this decision, </w:t>
      </w:r>
      <w:r w:rsidR="0E50D837">
        <w:t xml:space="preserve">Pacific Gas and Electric </w:t>
      </w:r>
      <w:r w:rsidR="702963DC">
        <w:t>Company</w:t>
      </w:r>
      <w:r w:rsidR="009A11F0">
        <w:t xml:space="preserve"> (PG&amp;E)</w:t>
      </w:r>
      <w:r w:rsidR="0E50D837">
        <w:t xml:space="preserve">, Southern California Edison </w:t>
      </w:r>
      <w:r w:rsidR="3384045F">
        <w:t>Company</w:t>
      </w:r>
      <w:r w:rsidR="009A11F0">
        <w:t xml:space="preserve"> (SCE)</w:t>
      </w:r>
      <w:r w:rsidR="0E50D837">
        <w:t xml:space="preserve">, and San Diego Gas </w:t>
      </w:r>
      <w:r w:rsidR="00E74F7A">
        <w:t>&amp;</w:t>
      </w:r>
      <w:r w:rsidR="0E50D837">
        <w:t xml:space="preserve"> Electric </w:t>
      </w:r>
      <w:r w:rsidR="4399A271">
        <w:t>Company</w:t>
      </w:r>
      <w:r w:rsidR="009A11F0">
        <w:t xml:space="preserve"> (SDG&amp;E)</w:t>
      </w:r>
      <w:r w:rsidR="4399A271">
        <w:t xml:space="preserve"> </w:t>
      </w:r>
      <w:r w:rsidR="0E50D837">
        <w:t xml:space="preserve">shall publicly list on their respective websites all non-isolating devices that have received </w:t>
      </w:r>
      <w:r w:rsidR="00D10B66">
        <w:t>Investor-Owned</w:t>
      </w:r>
      <w:r w:rsidR="0E50D837">
        <w:t xml:space="preserve"> Utility approval, </w:t>
      </w:r>
      <w:r w:rsidRPr="00D254C4" w:rsidR="00D254C4">
        <w:t>information for manufacturers seeking to undergo the safety evaluation process, and a portal for customers to request installations</w:t>
      </w:r>
      <w:r w:rsidR="00213226">
        <w:t xml:space="preserve"> of meter socket adapters</w:t>
      </w:r>
      <w:r w:rsidRPr="00B85D81" w:rsidR="00D254C4">
        <w:t xml:space="preserve">, </w:t>
      </w:r>
      <w:r w:rsidRPr="00B85D81" w:rsidR="0E50D837">
        <w:t>as described in Section 5.</w:t>
      </w:r>
      <w:r w:rsidRPr="00B85D81" w:rsidR="00EC7A8F">
        <w:t>3</w:t>
      </w:r>
      <w:r w:rsidRPr="00B85D81" w:rsidR="0E50D837">
        <w:t>.</w:t>
      </w:r>
      <w:r w:rsidR="00A73AE9">
        <w:t>2</w:t>
      </w:r>
      <w:r w:rsidRPr="00B85D81" w:rsidR="0E50D837">
        <w:t xml:space="preserve"> of this decision. Each utility shall </w:t>
      </w:r>
      <w:r w:rsidR="008E4E7F">
        <w:t>provide</w:t>
      </w:r>
      <w:r w:rsidR="00313154">
        <w:t xml:space="preserve"> </w:t>
      </w:r>
      <w:r w:rsidR="008E4E7F">
        <w:t>a</w:t>
      </w:r>
      <w:r w:rsidRPr="00B85D81" w:rsidR="0E50D837">
        <w:t xml:space="preserve"> list </w:t>
      </w:r>
      <w:r w:rsidR="005D4590">
        <w:t xml:space="preserve">of </w:t>
      </w:r>
      <w:r w:rsidR="00313154">
        <w:t xml:space="preserve">updated </w:t>
      </w:r>
      <w:r w:rsidR="005D4590">
        <w:t xml:space="preserve">approved devices </w:t>
      </w:r>
      <w:r w:rsidR="00313154">
        <w:t>that</w:t>
      </w:r>
      <w:r w:rsidRPr="00B85D81" w:rsidR="0E50D837">
        <w:t xml:space="preserve"> and any changes in approval status</w:t>
      </w:r>
      <w:r w:rsidRPr="00B85D81" w:rsidR="00182FC2">
        <w:t xml:space="preserve"> within </w:t>
      </w:r>
      <w:r w:rsidRPr="00B85D81" w:rsidR="00EC7A8F">
        <w:t>10 business</w:t>
      </w:r>
      <w:r w:rsidRPr="00B85D81" w:rsidR="00942C42">
        <w:t xml:space="preserve"> </w:t>
      </w:r>
      <w:r w:rsidRPr="00B85D81" w:rsidR="00182FC2">
        <w:t>days</w:t>
      </w:r>
      <w:r w:rsidRPr="00B85D81" w:rsidR="00D57153">
        <w:t xml:space="preserve"> of the approval or change</w:t>
      </w:r>
      <w:r w:rsidRPr="00B85D81" w:rsidR="0E50D837">
        <w:t>.</w:t>
      </w:r>
      <w:r w:rsidR="009A11F0">
        <w:t xml:space="preserve"> </w:t>
      </w:r>
      <w:r w:rsidRPr="000533E1" w:rsidR="005578F8">
        <w:t>P</w:t>
      </w:r>
      <w:r w:rsidR="009A11F0">
        <w:t>G&amp;E</w:t>
      </w:r>
      <w:r w:rsidRPr="000533E1" w:rsidR="005578F8">
        <w:t>, S</w:t>
      </w:r>
      <w:r w:rsidR="009A11F0">
        <w:t>CE</w:t>
      </w:r>
      <w:r w:rsidRPr="000533E1" w:rsidR="005578F8">
        <w:t>, and S</w:t>
      </w:r>
      <w:r w:rsidR="009A11F0">
        <w:t>DG&amp;E</w:t>
      </w:r>
      <w:r w:rsidRPr="000533E1" w:rsidR="005578F8">
        <w:t xml:space="preserve"> shall notify </w:t>
      </w:r>
      <w:r w:rsidR="009F60EB">
        <w:t xml:space="preserve">the California Public Utilities Commission’s </w:t>
      </w:r>
      <w:r w:rsidRPr="000533E1" w:rsidR="005578F8">
        <w:t xml:space="preserve">Energy Division at </w:t>
      </w:r>
      <w:r w:rsidRPr="008402EC" w:rsidR="00692B97">
        <w:t>energydivisioncentralfiles@cpuc.ca.gov</w:t>
      </w:r>
      <w:r w:rsidRPr="000533E1" w:rsidR="005578F8">
        <w:t xml:space="preserve"> and </w:t>
      </w:r>
      <w:r w:rsidRPr="008402EC" w:rsidR="00692B97">
        <w:t>buildingdecarb@cpuc.ca.gov</w:t>
      </w:r>
      <w:r w:rsidRPr="000533E1" w:rsidR="005578F8">
        <w:t xml:space="preserve"> </w:t>
      </w:r>
      <w:r w:rsidR="009A11F0">
        <w:t>concurrent with any website update regarding any newly approved device and change in approval status.</w:t>
      </w:r>
    </w:p>
    <w:p w:rsidR="008B477E" w:rsidP="00E34C9D" w:rsidRDefault="0E50D837" w14:paraId="567F342C" w14:textId="30FF757E">
      <w:pPr>
        <w:pStyle w:val="OP"/>
      </w:pPr>
      <w:r w:rsidRPr="00B85D81">
        <w:t xml:space="preserve">Within </w:t>
      </w:r>
      <w:r w:rsidRPr="00B85D81" w:rsidR="00144C2A">
        <w:t>180</w:t>
      </w:r>
      <w:r w:rsidRPr="00B85D81">
        <w:t xml:space="preserve"> days of the issuance of this decision, Pacific Gas and Electric </w:t>
      </w:r>
      <w:r w:rsidRPr="00B85D81" w:rsidR="1ABEEE77">
        <w:t>Company</w:t>
      </w:r>
      <w:r w:rsidRPr="00B85D81">
        <w:t xml:space="preserve">, Southern California Edison </w:t>
      </w:r>
      <w:r w:rsidRPr="00B85D81" w:rsidR="5397A662">
        <w:t>Company</w:t>
      </w:r>
      <w:r w:rsidRPr="00B85D81">
        <w:t xml:space="preserve">, and San Diego Gas </w:t>
      </w:r>
      <w:r w:rsidRPr="00B85D81" w:rsidR="00034149">
        <w:t>&amp;</w:t>
      </w:r>
      <w:r w:rsidRPr="00B85D81">
        <w:t xml:space="preserve"> Electric </w:t>
      </w:r>
      <w:r w:rsidRPr="00B85D81" w:rsidR="10666B32">
        <w:lastRenderedPageBreak/>
        <w:t xml:space="preserve">Company </w:t>
      </w:r>
      <w:r w:rsidRPr="00B85D81">
        <w:t xml:space="preserve">shall </w:t>
      </w:r>
      <w:r w:rsidRPr="00B85D81" w:rsidR="004950DD">
        <w:t>submit</w:t>
      </w:r>
      <w:r w:rsidRPr="00B85D81">
        <w:t xml:space="preserve"> a Tier 1 Advice Letter outlining compliance with the website requirements </w:t>
      </w:r>
      <w:r w:rsidRPr="00B85D81" w:rsidR="00D27AE3">
        <w:t>detailed</w:t>
      </w:r>
      <w:r w:rsidRPr="00B85D81">
        <w:t xml:space="preserve"> in Section 5.</w:t>
      </w:r>
      <w:r w:rsidRPr="00B85D81" w:rsidR="00EC7A8F">
        <w:t>3</w:t>
      </w:r>
      <w:r w:rsidRPr="00B85D81">
        <w:t>.</w:t>
      </w:r>
      <w:r w:rsidR="00A73AE9">
        <w:t>2</w:t>
      </w:r>
      <w:r w:rsidR="00A06376">
        <w:t xml:space="preserve"> </w:t>
      </w:r>
      <w:r w:rsidR="001932B1">
        <w:t xml:space="preserve">and shall make available and continue to maintain </w:t>
      </w:r>
      <w:r w:rsidRPr="00EB410A" w:rsidR="008B477E">
        <w:t xml:space="preserve">a dedicated public webpage listing all devices approved for utility use through </w:t>
      </w:r>
      <w:r w:rsidR="008B477E">
        <w:t xml:space="preserve">the evaluation process consistent with </w:t>
      </w:r>
      <w:r w:rsidRPr="00EB410A" w:rsidR="008B477E">
        <w:t>the Resolution E</w:t>
      </w:r>
      <w:r w:rsidRPr="00EB410A" w:rsidR="008B477E">
        <w:noBreakHyphen/>
        <w:t>5194 evaluation process. This public webpage information shall</w:t>
      </w:r>
      <w:r w:rsidR="008B477E">
        <w:t>:</w:t>
      </w:r>
    </w:p>
    <w:p w:rsidR="008B477E" w:rsidP="005E21E8" w:rsidRDefault="008B477E" w14:paraId="690150A7" w14:textId="77777777">
      <w:pPr>
        <w:pStyle w:val="Standard"/>
        <w:numPr>
          <w:ilvl w:val="1"/>
          <w:numId w:val="11"/>
        </w:numPr>
        <w:spacing w:after="120" w:line="240" w:lineRule="auto"/>
        <w:ind w:right="1080"/>
      </w:pPr>
      <w:r>
        <w:t>B</w:t>
      </w:r>
      <w:r w:rsidRPr="00025270">
        <w:t>e freely accessible without access restrictions, login credentials, or other barriers</w:t>
      </w:r>
      <w:r>
        <w:t>;</w:t>
      </w:r>
    </w:p>
    <w:p w:rsidR="008B477E" w:rsidP="005E21E8" w:rsidRDefault="008B477E" w14:paraId="727FFA3F" w14:textId="77777777">
      <w:pPr>
        <w:pStyle w:val="Standard"/>
        <w:numPr>
          <w:ilvl w:val="1"/>
          <w:numId w:val="11"/>
        </w:numPr>
        <w:spacing w:after="120" w:line="240" w:lineRule="auto"/>
        <w:ind w:right="1080"/>
      </w:pPr>
      <w:r>
        <w:t>Not</w:t>
      </w:r>
      <w:r w:rsidRPr="00025270">
        <w:t xml:space="preserve"> jeopardiz</w:t>
      </w:r>
      <w:r>
        <w:t>e</w:t>
      </w:r>
      <w:r w:rsidRPr="00025270">
        <w:t xml:space="preserve"> manufacturers’ proprietary data or creating competitive disadvantages</w:t>
      </w:r>
      <w:r>
        <w:t>;</w:t>
      </w:r>
    </w:p>
    <w:p w:rsidRPr="00EB410A" w:rsidR="008B477E" w:rsidP="005E21E8" w:rsidRDefault="008B477E" w14:paraId="32B02C16" w14:textId="77777777">
      <w:pPr>
        <w:pStyle w:val="Standard"/>
        <w:numPr>
          <w:ilvl w:val="1"/>
          <w:numId w:val="11"/>
        </w:numPr>
        <w:spacing w:after="120" w:line="240" w:lineRule="auto"/>
        <w:ind w:right="1080"/>
      </w:pPr>
      <w:r w:rsidRPr="00EB410A">
        <w:t>Include sections on the descriptions of the processes for testing and evaluating new eligible devices, user-friendly explanations of the testing and evaluation processes, resources for manufacturers to better understand the types of tests used to evaluate devices, considerations for manufacturers to keep in mind, and common areas of failure;</w:t>
      </w:r>
    </w:p>
    <w:p w:rsidRPr="00EB410A" w:rsidR="008B477E" w:rsidP="005E21E8" w:rsidRDefault="008B477E" w14:paraId="2B9822BB" w14:textId="77777777">
      <w:pPr>
        <w:pStyle w:val="Standard"/>
        <w:numPr>
          <w:ilvl w:val="1"/>
          <w:numId w:val="11"/>
        </w:numPr>
        <w:spacing w:after="120" w:line="240" w:lineRule="auto"/>
        <w:ind w:right="1080"/>
      </w:pPr>
      <w:r w:rsidRPr="00EB410A">
        <w:t xml:space="preserve">Include a list of approved devices; </w:t>
      </w:r>
    </w:p>
    <w:p w:rsidRPr="00EB410A" w:rsidR="008B477E" w:rsidP="005E21E8" w:rsidRDefault="008B477E" w14:paraId="06793881" w14:textId="77777777">
      <w:pPr>
        <w:pStyle w:val="Standard"/>
        <w:numPr>
          <w:ilvl w:val="1"/>
          <w:numId w:val="11"/>
        </w:numPr>
        <w:spacing w:after="120" w:line="240" w:lineRule="auto"/>
        <w:ind w:right="1080"/>
      </w:pPr>
      <w:r w:rsidRPr="00EB410A">
        <w:t>Include an FAQ section for device manufacturers highlighting the types of tests conducted and key considerations;</w:t>
      </w:r>
    </w:p>
    <w:p w:rsidRPr="00EB410A" w:rsidR="008B477E" w:rsidP="005E21E8" w:rsidRDefault="008B477E" w14:paraId="737954CC" w14:textId="77777777">
      <w:pPr>
        <w:pStyle w:val="Standard"/>
        <w:numPr>
          <w:ilvl w:val="1"/>
          <w:numId w:val="11"/>
        </w:numPr>
        <w:spacing w:after="120" w:line="240" w:lineRule="auto"/>
        <w:ind w:right="1080"/>
      </w:pPr>
      <w:r w:rsidRPr="00EB410A">
        <w:t xml:space="preserve">Link to a portal for customers to request device installations from the utility; </w:t>
      </w:r>
    </w:p>
    <w:p w:rsidRPr="00EB410A" w:rsidR="008B477E" w:rsidP="005E21E8" w:rsidRDefault="008B477E" w14:paraId="10B70F32" w14:textId="77777777">
      <w:pPr>
        <w:pStyle w:val="Standard"/>
        <w:numPr>
          <w:ilvl w:val="1"/>
          <w:numId w:val="11"/>
        </w:numPr>
        <w:spacing w:after="120" w:line="240" w:lineRule="auto"/>
        <w:ind w:right="1080"/>
      </w:pPr>
      <w:r w:rsidRPr="00EB410A">
        <w:t>Permit access without necessitating a customer log-in; and</w:t>
      </w:r>
    </w:p>
    <w:p w:rsidR="005D746D" w:rsidP="005E21E8" w:rsidRDefault="008B477E" w14:paraId="063E7AA5" w14:textId="7C924E2B">
      <w:pPr>
        <w:pStyle w:val="Standard"/>
        <w:numPr>
          <w:ilvl w:val="1"/>
          <w:numId w:val="11"/>
        </w:numPr>
        <w:spacing w:after="120" w:line="240" w:lineRule="auto"/>
        <w:ind w:right="1080"/>
      </w:pPr>
      <w:r>
        <w:t xml:space="preserve">Be hosted </w:t>
      </w:r>
      <w:r w:rsidRPr="00EB410A">
        <w:t>this list on a new landing page specific to these types of devices.</w:t>
      </w:r>
    </w:p>
    <w:p w:rsidRPr="00F522CC" w:rsidR="00F522CC" w:rsidP="006C423F" w:rsidRDefault="1F44C21A" w14:paraId="24B14791" w14:textId="18566995">
      <w:pPr>
        <w:pStyle w:val="OP"/>
        <w:rPr>
          <w:rFonts w:eastAsia="Times New Roman" w:cs="Times New Roman"/>
          <w:szCs w:val="26"/>
        </w:rPr>
      </w:pPr>
      <w:r>
        <w:t xml:space="preserve">Within </w:t>
      </w:r>
      <w:r w:rsidR="009F7A94">
        <w:t>180 days</w:t>
      </w:r>
      <w:r>
        <w:t xml:space="preserve"> of the issuance of this decision, </w:t>
      </w:r>
      <w:r w:rsidR="0E50D837">
        <w:t xml:space="preserve">Pacific Gas and Electric </w:t>
      </w:r>
      <w:r w:rsidR="772A1279">
        <w:t>Company</w:t>
      </w:r>
      <w:r w:rsidR="0E50D837">
        <w:t xml:space="preserve">, Southern California Edison </w:t>
      </w:r>
      <w:r w:rsidR="380D4D45">
        <w:t>Company</w:t>
      </w:r>
      <w:r w:rsidR="0E50D837">
        <w:t xml:space="preserve">, and San Diego Gas </w:t>
      </w:r>
      <w:r w:rsidR="00034149">
        <w:t>&amp;</w:t>
      </w:r>
      <w:r w:rsidR="0E50D837">
        <w:t xml:space="preserve"> Electric </w:t>
      </w:r>
      <w:r w:rsidR="039EBEA9">
        <w:t>Company</w:t>
      </w:r>
      <w:r w:rsidRPr="5107A9CF" w:rsidR="0E50D837">
        <w:rPr>
          <w:rFonts w:eastAsia="Times New Roman" w:cs="Times New Roman"/>
        </w:rPr>
        <w:t xml:space="preserve"> </w:t>
      </w:r>
      <w:r w:rsidRPr="5107A9CF">
        <w:rPr>
          <w:rFonts w:eastAsia="Times New Roman" w:cs="Times New Roman"/>
        </w:rPr>
        <w:t xml:space="preserve">each </w:t>
      </w:r>
      <w:r w:rsidRPr="5107A9CF" w:rsidR="0E50D837">
        <w:rPr>
          <w:rFonts w:eastAsia="Times New Roman" w:cs="Times New Roman"/>
        </w:rPr>
        <w:t>shall</w:t>
      </w:r>
      <w:r w:rsidRPr="5107A9CF">
        <w:rPr>
          <w:rFonts w:eastAsia="Times New Roman" w:cs="Times New Roman"/>
        </w:rPr>
        <w:t>:</w:t>
      </w:r>
      <w:r w:rsidRPr="5107A9CF" w:rsidR="0E50D837">
        <w:rPr>
          <w:rFonts w:eastAsia="Times New Roman" w:cs="Times New Roman"/>
        </w:rPr>
        <w:t xml:space="preserve"> </w:t>
      </w:r>
    </w:p>
    <w:p w:rsidRPr="001C65A3" w:rsidR="005155BA" w:rsidP="008256FA" w:rsidRDefault="00F522CC" w14:paraId="698AF897" w14:textId="65D217D9">
      <w:pPr>
        <w:pStyle w:val="OPListAlpha"/>
        <w:numPr>
          <w:ilvl w:val="0"/>
          <w:numId w:val="17"/>
        </w:numPr>
        <w:spacing w:after="120" w:line="240" w:lineRule="auto"/>
        <w:ind w:right="1080"/>
      </w:pPr>
      <w:r w:rsidRPr="5345B965">
        <w:t>U</w:t>
      </w:r>
      <w:r w:rsidRPr="5345B965" w:rsidR="000C74EE">
        <w:t xml:space="preserve">pdate their respective electric service requirement manuals </w:t>
      </w:r>
      <w:r w:rsidR="00DF7198">
        <w:t xml:space="preserve">by </w:t>
      </w:r>
      <w:r w:rsidRPr="00844312" w:rsidR="00844312">
        <w:t>provid</w:t>
      </w:r>
      <w:r w:rsidR="00DF7198">
        <w:t>ing</w:t>
      </w:r>
      <w:r w:rsidRPr="00844312" w:rsidR="00844312">
        <w:t xml:space="preserve"> detailed guidance on </w:t>
      </w:r>
      <w:r w:rsidR="00714065">
        <w:t>m</w:t>
      </w:r>
      <w:r w:rsidRPr="00DF7198" w:rsidR="00DF7198">
        <w:t xml:space="preserve">eter </w:t>
      </w:r>
      <w:r w:rsidR="00714065">
        <w:t>s</w:t>
      </w:r>
      <w:r w:rsidRPr="00DF7198" w:rsidR="00DF7198">
        <w:t xml:space="preserve">ocket </w:t>
      </w:r>
      <w:r w:rsidR="00714065">
        <w:t>a</w:t>
      </w:r>
      <w:r w:rsidRPr="00DF7198" w:rsidR="00DF7198">
        <w:t xml:space="preserve">dapter </w:t>
      </w:r>
      <w:r w:rsidRPr="00844312" w:rsidR="00844312">
        <w:t>installation requirements</w:t>
      </w:r>
      <w:r w:rsidR="00DC320B">
        <w:t xml:space="preserve"> and</w:t>
      </w:r>
      <w:r w:rsidR="00DF7198">
        <w:t xml:space="preserve"> </w:t>
      </w:r>
      <w:r w:rsidRPr="5345B965" w:rsidR="000C74EE">
        <w:t xml:space="preserve">descriptions of installation processes and procedures for all customer-owned </w:t>
      </w:r>
      <w:r w:rsidR="00C56D38">
        <w:t>device</w:t>
      </w:r>
      <w:r w:rsidRPr="5345B965" w:rsidR="000C74EE">
        <w:t xml:space="preserve">s </w:t>
      </w:r>
      <w:r w:rsidRPr="5345B965" w:rsidR="000C74EE">
        <w:lastRenderedPageBreak/>
        <w:t xml:space="preserve">approved </w:t>
      </w:r>
      <w:r w:rsidR="00DC320B">
        <w:t xml:space="preserve">for use </w:t>
      </w:r>
      <w:r w:rsidRPr="5345B965" w:rsidR="000C74EE">
        <w:t xml:space="preserve">through </w:t>
      </w:r>
      <w:r w:rsidRPr="0090452D" w:rsidR="0090452D">
        <w:t xml:space="preserve">safety evaluation process consistent with </w:t>
      </w:r>
      <w:r w:rsidRPr="5345B965" w:rsidR="000C74EE">
        <w:t>the Resolution E-5194 process</w:t>
      </w:r>
      <w:r w:rsidRPr="5345B965" w:rsidR="005155BA">
        <w:t>; and</w:t>
      </w:r>
      <w:r w:rsidRPr="5345B965" w:rsidR="000C74EE">
        <w:t xml:space="preserve"> </w:t>
      </w:r>
    </w:p>
    <w:p w:rsidR="000C74EE" w:rsidP="008256FA" w:rsidRDefault="006E585E" w14:paraId="5E3F353D" w14:textId="6F6A6BCA">
      <w:pPr>
        <w:pStyle w:val="OPListAlpha"/>
        <w:numPr>
          <w:ilvl w:val="0"/>
          <w:numId w:val="17"/>
        </w:numPr>
        <w:spacing w:after="120" w:line="240" w:lineRule="auto"/>
        <w:ind w:right="1080"/>
      </w:pPr>
      <w:r>
        <w:t>Submit</w:t>
      </w:r>
      <w:r w:rsidRPr="00F522CC" w:rsidR="000C74EE">
        <w:t xml:space="preserve"> a Tier 1 Advice Letter demonstrating compliance with the manual updates in accordance with this order.</w:t>
      </w:r>
    </w:p>
    <w:p w:rsidR="5B0C0DAA" w:rsidP="008256FA" w:rsidRDefault="5B0C0DAA" w14:paraId="107E1C35" w14:textId="39750531">
      <w:pPr>
        <w:pStyle w:val="OP"/>
        <w:spacing w:before="240"/>
        <w:rPr>
          <w:rFonts w:eastAsia="Times New Roman" w:cs="Times New Roman"/>
        </w:rPr>
      </w:pPr>
      <w:r w:rsidRPr="006C423F">
        <w:t>Energy</w:t>
      </w:r>
      <w:r w:rsidRPr="6463208F">
        <w:rPr>
          <w:rFonts w:eastAsia="Times New Roman" w:cs="Times New Roman"/>
        </w:rPr>
        <w:t xml:space="preserve"> Division staff </w:t>
      </w:r>
      <w:r w:rsidR="006E585E">
        <w:rPr>
          <w:rFonts w:eastAsia="Times New Roman" w:cs="Times New Roman"/>
        </w:rPr>
        <w:t>is authorized</w:t>
      </w:r>
      <w:r w:rsidR="0022770F">
        <w:rPr>
          <w:rFonts w:eastAsia="Times New Roman" w:cs="Times New Roman"/>
        </w:rPr>
        <w:t xml:space="preserve"> to</w:t>
      </w:r>
      <w:r w:rsidR="009F60EB">
        <w:rPr>
          <w:rFonts w:eastAsia="Times New Roman" w:cs="Times New Roman"/>
        </w:rPr>
        <w:t xml:space="preserve"> </w:t>
      </w:r>
      <w:r w:rsidRPr="6463208F">
        <w:rPr>
          <w:rFonts w:eastAsia="Times New Roman" w:cs="Times New Roman"/>
        </w:rPr>
        <w:t xml:space="preserve">work with the Technology and Equipment for Clean Heating (TECH) Initiative implementer to create and maintain a website that </w:t>
      </w:r>
      <w:r w:rsidR="0022770F">
        <w:rPr>
          <w:rFonts w:eastAsia="Times New Roman" w:cs="Times New Roman"/>
        </w:rPr>
        <w:t>provides</w:t>
      </w:r>
      <w:r w:rsidRPr="6463208F">
        <w:rPr>
          <w:rFonts w:eastAsia="Times New Roman" w:cs="Times New Roman"/>
        </w:rPr>
        <w:t xml:space="preserve"> resources about alternatives to electric service and panel upsizing. </w:t>
      </w:r>
      <w:r w:rsidRPr="2791E828">
        <w:rPr>
          <w:rFonts w:eastAsia="Times New Roman" w:cs="Times New Roman"/>
        </w:rPr>
        <w:t xml:space="preserve">This website link </w:t>
      </w:r>
      <w:r w:rsidR="009F60EB">
        <w:rPr>
          <w:rFonts w:eastAsia="Times New Roman" w:cs="Times New Roman"/>
        </w:rPr>
        <w:t>shall</w:t>
      </w:r>
      <w:r w:rsidRPr="2791E828" w:rsidR="009F60EB">
        <w:rPr>
          <w:rFonts w:eastAsia="Times New Roman" w:cs="Times New Roman"/>
        </w:rPr>
        <w:t xml:space="preserve"> </w:t>
      </w:r>
      <w:r w:rsidRPr="2791E828">
        <w:rPr>
          <w:rFonts w:eastAsia="Times New Roman" w:cs="Times New Roman"/>
        </w:rPr>
        <w:t xml:space="preserve">be shared with the service list of this proceeding no later than 180 days from the </w:t>
      </w:r>
      <w:r w:rsidR="006A38D9">
        <w:rPr>
          <w:rFonts w:eastAsia="Times New Roman" w:cs="Times New Roman"/>
        </w:rPr>
        <w:t xml:space="preserve">issuance </w:t>
      </w:r>
      <w:r w:rsidRPr="2791E828">
        <w:rPr>
          <w:rFonts w:eastAsia="Times New Roman" w:cs="Times New Roman"/>
        </w:rPr>
        <w:t>of th</w:t>
      </w:r>
      <w:r w:rsidR="006A38D9">
        <w:rPr>
          <w:rFonts w:eastAsia="Times New Roman" w:cs="Times New Roman"/>
        </w:rPr>
        <w:t xml:space="preserve">is </w:t>
      </w:r>
      <w:r w:rsidRPr="2791E828">
        <w:rPr>
          <w:rFonts w:eastAsia="Times New Roman" w:cs="Times New Roman"/>
        </w:rPr>
        <w:t>decision</w:t>
      </w:r>
      <w:r w:rsidR="006A38D9">
        <w:rPr>
          <w:rFonts w:eastAsia="Times New Roman" w:cs="Times New Roman"/>
        </w:rPr>
        <w:t>, or as soon thereafter as practicable</w:t>
      </w:r>
      <w:r w:rsidRPr="2791E828">
        <w:rPr>
          <w:rFonts w:eastAsia="Times New Roman" w:cs="Times New Roman"/>
        </w:rPr>
        <w:t>. The TECH Initiat</w:t>
      </w:r>
      <w:r w:rsidRPr="2791E828" w:rsidR="141D93E8">
        <w:rPr>
          <w:rFonts w:eastAsia="Times New Roman" w:cs="Times New Roman"/>
        </w:rPr>
        <w:t>ive implementer may use existing or upcoming studies and resources to avoid duplication of efforts.</w:t>
      </w:r>
    </w:p>
    <w:p w:rsidRPr="005E21E8" w:rsidR="00185E68" w:rsidP="005E21E8" w:rsidRDefault="00C21842" w14:paraId="3FA19B42" w14:textId="6B56AF43">
      <w:pPr>
        <w:pStyle w:val="OP"/>
        <w:rPr>
          <w:rFonts w:eastAsia="Times New Roman" w:cs="Times New Roman"/>
        </w:rPr>
      </w:pPr>
      <w:r w:rsidRPr="00EB410A">
        <w:rPr>
          <w:rFonts w:eastAsia="Times New Roman" w:cs="Times New Roman"/>
        </w:rPr>
        <w:t xml:space="preserve">Within </w:t>
      </w:r>
      <w:r w:rsidRPr="00EB410A">
        <w:t>270</w:t>
      </w:r>
      <w:r w:rsidRPr="00EB410A">
        <w:rPr>
          <w:rFonts w:eastAsia="Times New Roman" w:cs="Times New Roman"/>
        </w:rPr>
        <w:t xml:space="preserve"> days of the issuance of this decision,</w:t>
      </w:r>
      <w:r w:rsidRPr="00EB410A">
        <w:t xml:space="preserve"> or </w:t>
      </w:r>
      <w:r w:rsidRPr="00EB410A">
        <w:rPr>
          <w:rFonts w:eastAsia="Times New Roman" w:cs="Times New Roman"/>
        </w:rPr>
        <w:t xml:space="preserve">within 90 days after the </w:t>
      </w:r>
      <w:r w:rsidRPr="00EB410A">
        <w:rPr>
          <w:rFonts w:eastAsia="Times New Roman" w:cs="Arial"/>
          <w:color w:val="000000" w:themeColor="text1"/>
        </w:rPr>
        <w:t>Technology and Equipment for Clean Heating (</w:t>
      </w:r>
      <w:r w:rsidRPr="00EB410A">
        <w:rPr>
          <w:rFonts w:eastAsia="Times New Roman" w:cs="Times New Roman"/>
        </w:rPr>
        <w:t>TECH) Initiative implementer share</w:t>
      </w:r>
      <w:r>
        <w:rPr>
          <w:rFonts w:eastAsia="Times New Roman" w:cs="Times New Roman"/>
        </w:rPr>
        <w:t>s</w:t>
      </w:r>
      <w:r w:rsidRPr="00EB410A">
        <w:rPr>
          <w:rFonts w:eastAsia="Times New Roman" w:cs="Times New Roman"/>
        </w:rPr>
        <w:t xml:space="preserve"> the website link </w:t>
      </w:r>
      <w:r>
        <w:rPr>
          <w:rFonts w:eastAsia="Times New Roman" w:cs="Times New Roman"/>
        </w:rPr>
        <w:t xml:space="preserve">ordered in this decision </w:t>
      </w:r>
      <w:r w:rsidRPr="00EB410A">
        <w:rPr>
          <w:rFonts w:eastAsia="Times New Roman" w:cs="Times New Roman"/>
        </w:rPr>
        <w:t xml:space="preserve">with this proceeding’s service list, whichever comes first, </w:t>
      </w:r>
      <w:r w:rsidRPr="00EB410A">
        <w:t>Pacific Gas and Electric Company, Southern California Edison Company, San Diego Gas &amp; Electric Company, Liberty Utilities LLC, PacifiCorp, and Bear Valley Electric Service</w:t>
      </w:r>
      <w:r w:rsidRPr="00EB410A" w:rsidDel="00760A2E">
        <w:t xml:space="preserve"> </w:t>
      </w:r>
      <w:r w:rsidRPr="00EB410A">
        <w:t xml:space="preserve">Inc. </w:t>
      </w:r>
      <w:r w:rsidRPr="00EB410A">
        <w:rPr>
          <w:rFonts w:eastAsia="Times New Roman" w:cs="Times New Roman"/>
        </w:rPr>
        <w:t xml:space="preserve">shall </w:t>
      </w:r>
      <w:r>
        <w:rPr>
          <w:rFonts w:eastAsia="Times New Roman" w:cs="Times New Roman"/>
        </w:rPr>
        <w:t xml:space="preserve">reference and </w:t>
      </w:r>
      <w:r w:rsidRPr="00EB410A">
        <w:rPr>
          <w:rFonts w:eastAsia="Times New Roman" w:cs="Times New Roman"/>
        </w:rPr>
        <w:t>link the</w:t>
      </w:r>
      <w:r>
        <w:rPr>
          <w:rFonts w:eastAsia="Times New Roman" w:cs="Times New Roman"/>
        </w:rPr>
        <w:t xml:space="preserve"> new TECH</w:t>
      </w:r>
      <w:r w:rsidRPr="00EB410A">
        <w:rPr>
          <w:rFonts w:eastAsia="Times New Roman" w:cs="Times New Roman"/>
        </w:rPr>
        <w:t xml:space="preserve"> </w:t>
      </w:r>
      <w:r>
        <w:rPr>
          <w:rFonts w:eastAsia="Times New Roman" w:cs="Times New Roman"/>
        </w:rPr>
        <w:t xml:space="preserve">Initiative implementer’s </w:t>
      </w:r>
      <w:r w:rsidRPr="00EB410A">
        <w:rPr>
          <w:rFonts w:eastAsia="Times New Roman" w:cs="Times New Roman"/>
        </w:rPr>
        <w:t>website link</w:t>
      </w:r>
      <w:r>
        <w:rPr>
          <w:rFonts w:eastAsia="Times New Roman" w:cs="Times New Roman"/>
        </w:rPr>
        <w:t xml:space="preserve">, with </w:t>
      </w:r>
      <w:r w:rsidRPr="00EB410A">
        <w:rPr>
          <w:rFonts w:eastAsia="Times New Roman" w:cs="Times New Roman"/>
        </w:rPr>
        <w:t>resources about alternatives to electric service and panel upsizing</w:t>
      </w:r>
      <w:r>
        <w:rPr>
          <w:rFonts w:eastAsia="Times New Roman" w:cs="Times New Roman"/>
        </w:rPr>
        <w:t>, to each utility’s website page ordered in this decision</w:t>
      </w:r>
      <w:r w:rsidRPr="00EB410A">
        <w:rPr>
          <w:rFonts w:eastAsia="Times New Roman" w:cs="Times New Roman"/>
        </w:rPr>
        <w:t xml:space="preserve">. These resources shall provide customer instructions on how to comply with Electric </w:t>
      </w:r>
      <w:r>
        <w:rPr>
          <w:rFonts w:eastAsia="Times New Roman" w:cs="Times New Roman"/>
        </w:rPr>
        <w:t xml:space="preserve">Tariff </w:t>
      </w:r>
      <w:r w:rsidRPr="00EB410A">
        <w:rPr>
          <w:rFonts w:eastAsia="Times New Roman" w:cs="Times New Roman"/>
        </w:rPr>
        <w:t xml:space="preserve">Rule 3.C requirements. The aforementioned electric utilities </w:t>
      </w:r>
      <w:r>
        <w:rPr>
          <w:rFonts w:eastAsia="Times New Roman" w:cs="Times New Roman"/>
        </w:rPr>
        <w:t xml:space="preserve">also </w:t>
      </w:r>
      <w:r w:rsidRPr="00EB410A">
        <w:rPr>
          <w:rFonts w:eastAsia="Times New Roman" w:cs="Times New Roman"/>
        </w:rPr>
        <w:t xml:space="preserve">shall post </w:t>
      </w:r>
      <w:r>
        <w:rPr>
          <w:rFonts w:eastAsia="Times New Roman" w:cs="Times New Roman"/>
        </w:rPr>
        <w:t xml:space="preserve">and add </w:t>
      </w:r>
      <w:r w:rsidRPr="00EB410A">
        <w:rPr>
          <w:rFonts w:eastAsia="Times New Roman" w:cs="Times New Roman"/>
        </w:rPr>
        <w:t xml:space="preserve">this link at </w:t>
      </w:r>
      <w:r>
        <w:rPr>
          <w:rFonts w:eastAsia="Times New Roman" w:cs="Times New Roman"/>
        </w:rPr>
        <w:t xml:space="preserve">all </w:t>
      </w:r>
      <w:r w:rsidRPr="00EB410A">
        <w:rPr>
          <w:rFonts w:eastAsia="Times New Roman" w:cs="Times New Roman"/>
        </w:rPr>
        <w:t>web locations customers are likely to visit in the process of requesting service line upsizing, such as on the utility application web portals for service upsizing requests.</w:t>
      </w:r>
    </w:p>
    <w:p w:rsidRPr="00602720" w:rsidR="000C74EE" w:rsidP="006C423F" w:rsidRDefault="00185E68" w14:paraId="7A0C1E8B" w14:textId="53DF693A">
      <w:pPr>
        <w:pStyle w:val="OP"/>
      </w:pPr>
      <w:r w:rsidRPr="00EB410A">
        <w:rPr>
          <w:rFonts w:eastAsia="Times New Roman" w:cs="Times New Roman"/>
        </w:rPr>
        <w:t xml:space="preserve">Within 270 days of the issuance of this decision, or within 90 days after the </w:t>
      </w:r>
      <w:r w:rsidRPr="00EB410A">
        <w:rPr>
          <w:rFonts w:eastAsia="Times New Roman" w:cs="Arial"/>
          <w:color w:val="000000" w:themeColor="text1"/>
        </w:rPr>
        <w:t>Technology and Equipment for Clean Heating (</w:t>
      </w:r>
      <w:r w:rsidRPr="00EB410A">
        <w:rPr>
          <w:rFonts w:eastAsia="Times New Roman" w:cs="Times New Roman"/>
        </w:rPr>
        <w:t xml:space="preserve">TECH) Initiative implementer shares the website link </w:t>
      </w:r>
      <w:r w:rsidRPr="002375F7">
        <w:rPr>
          <w:rFonts w:eastAsia="Times New Roman" w:cs="Times New Roman"/>
        </w:rPr>
        <w:t>ordered in this decision with this proceeding’s service list,</w:t>
      </w:r>
      <w:r>
        <w:rPr>
          <w:rFonts w:eastAsia="Times New Roman" w:cs="Times New Roman"/>
        </w:rPr>
        <w:t xml:space="preserve"> </w:t>
      </w:r>
      <w:r w:rsidRPr="00503F81">
        <w:rPr>
          <w:rFonts w:eastAsia="Times New Roman" w:cs="Times New Roman"/>
        </w:rPr>
        <w:lastRenderedPageBreak/>
        <w:t xml:space="preserve">Pacific Gas and Electric Company, </w:t>
      </w:r>
      <w:r w:rsidRPr="00EB410A">
        <w:t>Southern California Edison Company, San Diego Gas &amp; Electric Company, Liberty Utilities LLC, PacifiCorp, and Bear Valley Electric Service</w:t>
      </w:r>
      <w:r w:rsidRPr="00EB410A" w:rsidDel="00760A2E">
        <w:t xml:space="preserve"> </w:t>
      </w:r>
      <w:r w:rsidRPr="00EB410A">
        <w:t xml:space="preserve">Inc. shall </w:t>
      </w:r>
      <w:r>
        <w:t xml:space="preserve">each </w:t>
      </w:r>
      <w:r w:rsidR="000C74EE">
        <w:t xml:space="preserve">revise its application for service upsizing to include </w:t>
      </w:r>
      <w:r w:rsidRPr="7C1C55F0" w:rsidR="000C74EE">
        <w:rPr>
          <w:rFonts w:eastAsia="Times New Roman" w:cs="Times New Roman"/>
        </w:rPr>
        <w:t xml:space="preserve">(a) the </w:t>
      </w:r>
      <w:r w:rsidRPr="373EF1CA" w:rsidR="3AD36127">
        <w:rPr>
          <w:rFonts w:eastAsia="Times New Roman" w:cs="Times New Roman"/>
        </w:rPr>
        <w:t xml:space="preserve">TECH Initiative implementer’s </w:t>
      </w:r>
      <w:r w:rsidRPr="7C1C55F0" w:rsidR="000C74EE">
        <w:rPr>
          <w:rFonts w:eastAsia="Times New Roman" w:cs="Times New Roman"/>
        </w:rPr>
        <w:t>materials summarizing strategies to avoid service upsizing</w:t>
      </w:r>
      <w:r w:rsidRPr="004B7B47" w:rsidR="004B7B47">
        <w:t xml:space="preserve"> </w:t>
      </w:r>
      <w:r w:rsidR="004B7B47">
        <w:t xml:space="preserve">and </w:t>
      </w:r>
      <w:r w:rsidRPr="004B7B47" w:rsidR="004B7B47">
        <w:rPr>
          <w:rFonts w:eastAsia="Times New Roman" w:cs="Times New Roman"/>
        </w:rPr>
        <w:t>inform</w:t>
      </w:r>
      <w:r w:rsidR="004B7B47">
        <w:rPr>
          <w:rFonts w:eastAsia="Times New Roman" w:cs="Times New Roman"/>
        </w:rPr>
        <w:t>ing</w:t>
      </w:r>
      <w:r w:rsidRPr="004B7B47" w:rsidR="004B7B47">
        <w:rPr>
          <w:rFonts w:eastAsia="Times New Roman" w:cs="Times New Roman"/>
        </w:rPr>
        <w:t xml:space="preserve"> applicants requesting a service upsizing about available alternatives</w:t>
      </w:r>
      <w:r w:rsidRPr="7C1C55F0" w:rsidR="000C74EE">
        <w:rPr>
          <w:rFonts w:eastAsia="Times New Roman" w:cs="Times New Roman"/>
        </w:rPr>
        <w:t>, and (b) an applicant attestation form confirming the applicant reviewed the materials and considered available alternatives before proceeding with the service upsizing request.</w:t>
      </w:r>
      <w:r w:rsidRPr="7C1C55F0" w:rsidR="003212A1">
        <w:rPr>
          <w:rFonts w:eastAsia="Times New Roman" w:cs="Times New Roman"/>
        </w:rPr>
        <w:t xml:space="preserve"> </w:t>
      </w:r>
      <w:r w:rsidR="00161576">
        <w:rPr>
          <w:rFonts w:eastAsia="Times New Roman" w:cs="Times New Roman"/>
        </w:rPr>
        <w:t>The aforementioned</w:t>
      </w:r>
      <w:r w:rsidRPr="7C1C55F0" w:rsidR="00161576">
        <w:rPr>
          <w:rFonts w:eastAsia="Times New Roman" w:cs="Times New Roman"/>
        </w:rPr>
        <w:t xml:space="preserve"> </w:t>
      </w:r>
      <w:r w:rsidR="003212A1">
        <w:t xml:space="preserve">electric </w:t>
      </w:r>
      <w:r w:rsidR="00161576">
        <w:t xml:space="preserve">utilities </w:t>
      </w:r>
      <w:r w:rsidR="003212A1">
        <w:t xml:space="preserve">shall make this attestation form a requirement for all applicants seeking </w:t>
      </w:r>
      <w:r w:rsidR="00FB44A2">
        <w:t xml:space="preserve">a </w:t>
      </w:r>
      <w:r w:rsidR="003212A1">
        <w:t>service line upsizing.</w:t>
      </w:r>
    </w:p>
    <w:p w:rsidRPr="003528F8" w:rsidR="005E5B60" w:rsidP="005E5B60" w:rsidRDefault="005E5B60" w14:paraId="69F1EE44" w14:textId="77777777">
      <w:pPr>
        <w:pStyle w:val="OP"/>
      </w:pPr>
      <w:r w:rsidRPr="00EB410A">
        <w:rPr>
          <w:rFonts w:eastAsia="Book Antiqua" w:cs="Book Antiqua"/>
        </w:rPr>
        <w:t xml:space="preserve">Ordering Paragraph 5 of Decision 23-12-037 </w:t>
      </w:r>
      <w:r>
        <w:rPr>
          <w:rFonts w:eastAsia="Book Antiqua" w:cs="Book Antiqua"/>
        </w:rPr>
        <w:t>is modified to</w:t>
      </w:r>
      <w:r w:rsidRPr="00EB410A">
        <w:rPr>
          <w:rFonts w:eastAsia="Book Antiqua" w:cs="Book Antiqua"/>
        </w:rPr>
        <w:t xml:space="preserve"> extend </w:t>
      </w:r>
      <w:r>
        <w:rPr>
          <w:rFonts w:eastAsia="Book Antiqua" w:cs="Book Antiqua"/>
        </w:rPr>
        <w:t xml:space="preserve">the </w:t>
      </w:r>
      <w:r w:rsidRPr="00EB410A">
        <w:rPr>
          <w:rFonts w:eastAsia="Book Antiqua" w:cs="Book Antiqua"/>
        </w:rPr>
        <w:t>deadline</w:t>
      </w:r>
      <w:r>
        <w:rPr>
          <w:rFonts w:eastAsia="Book Antiqua" w:cs="Book Antiqua"/>
        </w:rPr>
        <w:t>s</w:t>
      </w:r>
      <w:r w:rsidRPr="00EB410A">
        <w:rPr>
          <w:rFonts w:eastAsia="Book Antiqua" w:cs="Book Antiqua"/>
        </w:rPr>
        <w:t xml:space="preserve"> it set</w:t>
      </w:r>
      <w:r>
        <w:rPr>
          <w:rFonts w:eastAsia="Book Antiqua" w:cs="Book Antiqua"/>
        </w:rPr>
        <w:t xml:space="preserve"> as follows:</w:t>
      </w:r>
      <w:r w:rsidRPr="00EB410A">
        <w:rPr>
          <w:rFonts w:eastAsia="Book Antiqua" w:cs="Book Antiqua"/>
        </w:rPr>
        <w:t xml:space="preserve"> </w:t>
      </w:r>
    </w:p>
    <w:p w:rsidR="005E5B60" w:rsidP="005E5B60" w:rsidRDefault="005E5B60" w14:paraId="014E9D2C" w14:textId="77777777">
      <w:pPr>
        <w:pStyle w:val="OP"/>
        <w:numPr>
          <w:ilvl w:val="1"/>
          <w:numId w:val="11"/>
        </w:numPr>
        <w:spacing w:before="120" w:after="120" w:line="240" w:lineRule="auto"/>
        <w:ind w:right="1080"/>
      </w:pPr>
      <w:r w:rsidRPr="00EB410A">
        <w:rPr>
          <w:rFonts w:eastAsia="Book Antiqua" w:cs="Book Antiqua"/>
        </w:rPr>
        <w:t>M</w:t>
      </w:r>
      <w:r w:rsidRPr="00EB410A">
        <w:t>ixed-fuel new construction projects shall have until June 30, 2027, which equates to 36 months from July 1, 2024, as the new extended deadline to energize the project</w:t>
      </w:r>
      <w:r>
        <w:t>; and</w:t>
      </w:r>
      <w:r w:rsidRPr="00EB410A">
        <w:t xml:space="preserve"> </w:t>
      </w:r>
    </w:p>
    <w:p w:rsidRPr="001D63C9" w:rsidR="005E5B60" w:rsidP="005E21E8" w:rsidRDefault="005E5B60" w14:paraId="7A33ABF9" w14:textId="74986855">
      <w:pPr>
        <w:pStyle w:val="OP"/>
        <w:numPr>
          <w:ilvl w:val="1"/>
          <w:numId w:val="11"/>
        </w:numPr>
        <w:spacing w:before="120" w:after="120" w:line="240" w:lineRule="auto"/>
        <w:ind w:right="1080"/>
      </w:pPr>
      <w:r>
        <w:t>T</w:t>
      </w:r>
      <w:r w:rsidRPr="00EB410A">
        <w:t xml:space="preserve">he contract-execution deadline </w:t>
      </w:r>
      <w:r>
        <w:t xml:space="preserve">is extended </w:t>
      </w:r>
      <w:r w:rsidRPr="00EB410A">
        <w:t xml:space="preserve">to allow projects </w:t>
      </w:r>
      <w:r w:rsidRPr="00ED1C44">
        <w:t>that were in the design review approval process, but without executed contracts, prior to July 1, 2024</w:t>
      </w:r>
      <w:r>
        <w:t>,</w:t>
      </w:r>
      <w:r w:rsidRPr="00ED1C44">
        <w:t xml:space="preserve"> to remain eligible for electric line extension subsidies for mixed-fuel new construction such that those projects must now only meet June 30, 2027 extended deadline to energize those projects.</w:t>
      </w:r>
    </w:p>
    <w:p w:rsidRPr="00CE1528" w:rsidR="00EB7A60" w:rsidP="001E6A76" w:rsidRDefault="775E1BCE" w14:paraId="173AF48C" w14:textId="1A7356F5">
      <w:pPr>
        <w:pStyle w:val="OP"/>
        <w:keepNext/>
        <w:keepLines/>
        <w:ind w:firstLine="547"/>
        <w:rPr>
          <w:rFonts w:eastAsia="Book Antiqua" w:cs="Book Antiqua"/>
        </w:rPr>
      </w:pPr>
      <w:r w:rsidRPr="47DE5DC1">
        <w:rPr>
          <w:rFonts w:eastAsia="Book Antiqua" w:cs="Book Antiqua"/>
        </w:rPr>
        <w:lastRenderedPageBreak/>
        <w:t>O</w:t>
      </w:r>
      <w:r w:rsidRPr="47DE5DC1" w:rsidR="00012412">
        <w:rPr>
          <w:rFonts w:eastAsia="Book Antiqua" w:cs="Book Antiqua"/>
        </w:rPr>
        <w:t>rdering Paragraph</w:t>
      </w:r>
      <w:r w:rsidRPr="47DE5DC1">
        <w:rPr>
          <w:rFonts w:eastAsia="Book Antiqua" w:cs="Book Antiqua"/>
        </w:rPr>
        <w:t xml:space="preserve"> </w:t>
      </w:r>
      <w:r w:rsidRPr="47DE5DC1" w:rsidR="00D069B5">
        <w:rPr>
          <w:rFonts w:eastAsia="Book Antiqua" w:cs="Book Antiqua"/>
        </w:rPr>
        <w:t xml:space="preserve">(OP) </w:t>
      </w:r>
      <w:r w:rsidRPr="47DE5DC1">
        <w:rPr>
          <w:rFonts w:eastAsia="Book Antiqua" w:cs="Book Antiqua"/>
        </w:rPr>
        <w:t>8 of D</w:t>
      </w:r>
      <w:r w:rsidRPr="47DE5DC1" w:rsidR="00012412">
        <w:rPr>
          <w:rFonts w:eastAsia="Book Antiqua" w:cs="Book Antiqua"/>
        </w:rPr>
        <w:t>ecision</w:t>
      </w:r>
      <w:r w:rsidR="001E6A76">
        <w:rPr>
          <w:rFonts w:eastAsia="Book Antiqua" w:cs="Book Antiqua"/>
        </w:rPr>
        <w:t xml:space="preserve"> (D.) </w:t>
      </w:r>
      <w:r w:rsidRPr="47DE5DC1">
        <w:rPr>
          <w:rFonts w:eastAsia="Book Antiqua" w:cs="Book Antiqua"/>
        </w:rPr>
        <w:t>23-12-037</w:t>
      </w:r>
      <w:r w:rsidR="00B41ACD">
        <w:rPr>
          <w:rFonts w:eastAsia="Book Antiqua" w:cs="Book Antiqua"/>
        </w:rPr>
        <w:t xml:space="preserve"> is modified to change t</w:t>
      </w:r>
      <w:r w:rsidRPr="47DE5DC1" w:rsidR="00C43FD0">
        <w:rPr>
          <w:rFonts w:eastAsia="Book Antiqua" w:cs="Book Antiqua"/>
        </w:rPr>
        <w:t xml:space="preserve">he </w:t>
      </w:r>
      <w:r w:rsidRPr="47DE5DC1">
        <w:rPr>
          <w:rFonts w:eastAsia="Book Antiqua" w:cs="Book Antiqua"/>
        </w:rPr>
        <w:t>annual May 1 deadline to a quarterly deadline</w:t>
      </w:r>
      <w:r w:rsidRPr="47DE5DC1" w:rsidR="00A80733">
        <w:rPr>
          <w:rFonts w:eastAsia="Book Antiqua" w:cs="Book Antiqua"/>
        </w:rPr>
        <w:t xml:space="preserve">, with the </w:t>
      </w:r>
      <w:r w:rsidRPr="47DE5DC1" w:rsidR="00A11C0E">
        <w:rPr>
          <w:rFonts w:eastAsia="Book Antiqua" w:cs="Book Antiqua"/>
        </w:rPr>
        <w:t xml:space="preserve">fourth quarter report </w:t>
      </w:r>
      <w:r w:rsidRPr="47DE5DC1" w:rsidR="00537584">
        <w:rPr>
          <w:rFonts w:eastAsia="Book Antiqua" w:cs="Book Antiqua"/>
        </w:rPr>
        <w:t xml:space="preserve">including </w:t>
      </w:r>
      <w:r w:rsidRPr="47DE5DC1" w:rsidR="00A11C0E">
        <w:rPr>
          <w:rFonts w:eastAsia="Book Antiqua" w:cs="Book Antiqua"/>
        </w:rPr>
        <w:t xml:space="preserve">an annual </w:t>
      </w:r>
      <w:r w:rsidRPr="47DE5DC1" w:rsidR="00537584">
        <w:rPr>
          <w:rFonts w:eastAsia="Book Antiqua" w:cs="Book Antiqua"/>
        </w:rPr>
        <w:t>summary</w:t>
      </w:r>
      <w:r w:rsidRPr="47DE5DC1" w:rsidR="00A11C0E">
        <w:rPr>
          <w:rFonts w:eastAsia="Book Antiqua" w:cs="Book Antiqua"/>
        </w:rPr>
        <w:t xml:space="preserve"> and aligning with the </w:t>
      </w:r>
      <w:r w:rsidRPr="47DE5DC1" w:rsidR="00956FF6">
        <w:rPr>
          <w:rFonts w:eastAsia="Book Antiqua" w:cs="Book Antiqua"/>
        </w:rPr>
        <w:t>April</w:t>
      </w:r>
      <w:r w:rsidR="00D415CF">
        <w:rPr>
          <w:rFonts w:eastAsia="Book Antiqua" w:cs="Book Antiqua"/>
        </w:rPr>
        <w:t> </w:t>
      </w:r>
      <w:r w:rsidRPr="47DE5DC1" w:rsidR="00956FF6">
        <w:rPr>
          <w:rFonts w:eastAsia="Book Antiqua" w:cs="Book Antiqua"/>
        </w:rPr>
        <w:t>15 annual reporting established in O</w:t>
      </w:r>
      <w:r w:rsidRPr="47DE5DC1" w:rsidR="00046876">
        <w:rPr>
          <w:rFonts w:eastAsia="Book Antiqua" w:cs="Book Antiqua"/>
        </w:rPr>
        <w:t>P</w:t>
      </w:r>
      <w:r w:rsidRPr="47DE5DC1" w:rsidR="00956FF6">
        <w:rPr>
          <w:rFonts w:eastAsia="Book Antiqua" w:cs="Book Antiqua"/>
        </w:rPr>
        <w:t xml:space="preserve"> </w:t>
      </w:r>
      <w:r w:rsidR="00E059EE">
        <w:rPr>
          <w:rFonts w:eastAsia="Book Antiqua" w:cs="Book Antiqua"/>
        </w:rPr>
        <w:t>6</w:t>
      </w:r>
      <w:r w:rsidRPr="47DE5DC1" w:rsidR="00046876">
        <w:rPr>
          <w:rFonts w:eastAsia="Book Antiqua" w:cs="Book Antiqua"/>
        </w:rPr>
        <w:t xml:space="preserve"> of today’s decision</w:t>
      </w:r>
      <w:r w:rsidRPr="47DE5DC1">
        <w:rPr>
          <w:rFonts w:eastAsia="Book Antiqua" w:cs="Book Antiqua"/>
        </w:rPr>
        <w:t>.</w:t>
      </w:r>
      <w:r w:rsidRPr="004B1F25">
        <w:t xml:space="preserve"> </w:t>
      </w:r>
      <w:r w:rsidRPr="004B1F25" w:rsidR="0E50D837">
        <w:t xml:space="preserve">Beginning </w:t>
      </w:r>
      <w:r w:rsidR="00577E41">
        <w:t>July 15,</w:t>
      </w:r>
      <w:r w:rsidRPr="004B1F25" w:rsidR="0E50D837">
        <w:t xml:space="preserve"> 2025, </w:t>
      </w:r>
      <w:r w:rsidRPr="00760A2E" w:rsidR="003A223F">
        <w:t xml:space="preserve">Pacific Gas and Electric Company, Southern California Edison Company, </w:t>
      </w:r>
      <w:r w:rsidR="003A223F">
        <w:t xml:space="preserve">and </w:t>
      </w:r>
      <w:r w:rsidRPr="00760A2E" w:rsidR="003A223F">
        <w:t xml:space="preserve">San Diego Gas </w:t>
      </w:r>
      <w:r w:rsidR="00034149">
        <w:t>&amp;</w:t>
      </w:r>
      <w:r w:rsidRPr="00760A2E" w:rsidR="003A223F">
        <w:t xml:space="preserve"> Electric Company</w:t>
      </w:r>
      <w:r w:rsidRPr="004B1F25" w:rsidR="0E50D837">
        <w:t xml:space="preserve"> shall each</w:t>
      </w:r>
      <w:r w:rsidRPr="004B1F25" w:rsidR="004B1F25">
        <w:t xml:space="preserve">: </w:t>
      </w:r>
    </w:p>
    <w:p w:rsidR="00EB7A60" w:rsidP="008256FA" w:rsidRDefault="001A7782" w14:paraId="47589107" w14:textId="55DBBFB5">
      <w:pPr>
        <w:pStyle w:val="OP"/>
        <w:keepNext/>
        <w:keepLines/>
        <w:numPr>
          <w:ilvl w:val="0"/>
          <w:numId w:val="27"/>
        </w:numPr>
        <w:spacing w:after="120" w:line="240" w:lineRule="auto"/>
        <w:ind w:left="1080" w:right="1080"/>
      </w:pPr>
      <w:r>
        <w:t>S</w:t>
      </w:r>
      <w:r w:rsidRPr="004B1F25" w:rsidR="0E50D837">
        <w:t>ubmit quarterly reports conta</w:t>
      </w:r>
      <w:r w:rsidR="0E50D837">
        <w:t xml:space="preserve">ining data as required in </w:t>
      </w:r>
      <w:r w:rsidRPr="001C65A3" w:rsidR="0E50D837">
        <w:t>O</w:t>
      </w:r>
      <w:r w:rsidR="00046876">
        <w:t>P</w:t>
      </w:r>
      <w:r w:rsidR="0E50D837">
        <w:t xml:space="preserve"> 8 of D</w:t>
      </w:r>
      <w:r w:rsidR="001E6A76">
        <w:t>.</w:t>
      </w:r>
      <w:r w:rsidR="0E50D837">
        <w:t>23</w:t>
      </w:r>
      <w:r w:rsidR="001E6A76">
        <w:noBreakHyphen/>
      </w:r>
      <w:r w:rsidR="0E50D837">
        <w:t>12</w:t>
      </w:r>
      <w:r w:rsidR="001E6A76">
        <w:noBreakHyphen/>
      </w:r>
      <w:r w:rsidR="0E50D837">
        <w:t>037, disaggregated by month</w:t>
      </w:r>
      <w:r w:rsidR="004B1F25">
        <w:t xml:space="preserve">; </w:t>
      </w:r>
    </w:p>
    <w:p w:rsidR="00EB7A60" w:rsidP="008256FA" w:rsidRDefault="001A7782" w14:paraId="489C80A0" w14:textId="6A566043">
      <w:pPr>
        <w:pStyle w:val="OP"/>
        <w:keepNext/>
        <w:keepLines/>
        <w:numPr>
          <w:ilvl w:val="0"/>
          <w:numId w:val="27"/>
        </w:numPr>
        <w:spacing w:after="120" w:line="240" w:lineRule="auto"/>
        <w:ind w:left="1080" w:right="1080"/>
        <w:rPr>
          <w:rFonts w:eastAsia="Book Antiqua" w:cs="Book Antiqua"/>
        </w:rPr>
      </w:pPr>
      <w:r>
        <w:t>S</w:t>
      </w:r>
      <w:r w:rsidR="0E50D837">
        <w:t xml:space="preserve">ubmit the same monthly data </w:t>
      </w:r>
      <w:r w:rsidRPr="5107A9CF" w:rsidR="0E50D837">
        <w:rPr>
          <w:rFonts w:eastAsia="Book Antiqua" w:cs="Book Antiqua"/>
        </w:rPr>
        <w:t>broken down by baseline territory and distinguish single-family data from multi-family data</w:t>
      </w:r>
      <w:r w:rsidR="004B1F25">
        <w:rPr>
          <w:rFonts w:eastAsia="Book Antiqua" w:cs="Book Antiqua"/>
        </w:rPr>
        <w:t xml:space="preserve">; and </w:t>
      </w:r>
    </w:p>
    <w:p w:rsidR="000C74EE" w:rsidP="008256FA" w:rsidRDefault="001A7782" w14:paraId="2A172094" w14:textId="0EB7DE8F">
      <w:pPr>
        <w:pStyle w:val="OP"/>
        <w:keepNext/>
        <w:keepLines/>
        <w:numPr>
          <w:ilvl w:val="0"/>
          <w:numId w:val="27"/>
        </w:numPr>
        <w:spacing w:after="120" w:line="240" w:lineRule="auto"/>
        <w:ind w:left="1080" w:right="1080"/>
        <w:rPr>
          <w:rFonts w:eastAsia="Book Antiqua" w:cs="Book Antiqua"/>
        </w:rPr>
      </w:pPr>
      <w:r>
        <w:rPr>
          <w:rFonts w:eastAsia="Book Antiqua" w:cs="Book Antiqua"/>
        </w:rPr>
        <w:t>A</w:t>
      </w:r>
      <w:r w:rsidRPr="5107A9CF" w:rsidR="0E50D837">
        <w:rPr>
          <w:rFonts w:eastAsia="Book Antiqua" w:cs="Book Antiqua"/>
        </w:rPr>
        <w:t xml:space="preserve">s </w:t>
      </w:r>
      <w:r w:rsidRPr="008256FA" w:rsidR="0E50D837">
        <w:t>part</w:t>
      </w:r>
      <w:r w:rsidRPr="5107A9CF" w:rsidR="0E50D837">
        <w:rPr>
          <w:rFonts w:eastAsia="Book Antiqua" w:cs="Book Antiqua"/>
        </w:rPr>
        <w:t xml:space="preserve"> of quarterly reports, provide data on the average number of days between when a contract for a building project is fully paid and when that project is energized.</w:t>
      </w:r>
      <w:r w:rsidRPr="5107A9CF" w:rsidR="335ECA5E">
        <w:rPr>
          <w:rFonts w:eastAsia="Book Antiqua" w:cs="Book Antiqua"/>
        </w:rPr>
        <w:t xml:space="preserve"> </w:t>
      </w:r>
    </w:p>
    <w:p w:rsidRPr="005E21E8" w:rsidR="000C74EE" w:rsidP="005E21E8" w:rsidRDefault="00ED49EF" w14:paraId="24B904A2" w14:textId="1166A1A4">
      <w:pPr>
        <w:pStyle w:val="OP"/>
        <w:spacing w:before="240"/>
        <w:rPr>
          <w:rFonts w:eastAsia="Times New Roman" w:cs="Times New Roman"/>
        </w:rPr>
      </w:pPr>
      <w:r w:rsidRPr="00955371">
        <w:t xml:space="preserve">Pacific Gas and Electric Company, San Diego Gas </w:t>
      </w:r>
      <w:r w:rsidR="00034149">
        <w:t>&amp;</w:t>
      </w:r>
      <w:r w:rsidRPr="00955371">
        <w:t xml:space="preserve"> Electric Company, and </w:t>
      </w:r>
      <w:r w:rsidRPr="00955371" w:rsidR="00FD00EA">
        <w:t>S</w:t>
      </w:r>
      <w:r w:rsidRPr="00955371">
        <w:t xml:space="preserve">outhern California Gas Company </w:t>
      </w:r>
      <w:r w:rsidRPr="006D3918" w:rsidR="000C74EE">
        <w:rPr>
          <w:rFonts w:eastAsia="Times New Roman" w:cs="Times New Roman"/>
        </w:rPr>
        <w:t xml:space="preserve">shall notify all electric utilities operating in their service territory, </w:t>
      </w:r>
      <w:r w:rsidRPr="006D3918" w:rsidR="002473BB">
        <w:rPr>
          <w:rFonts w:eastAsia="Times New Roman" w:cs="Times New Roman"/>
        </w:rPr>
        <w:t xml:space="preserve">including both </w:t>
      </w:r>
      <w:r w:rsidRPr="006D3918" w:rsidR="00093E9D">
        <w:rPr>
          <w:rFonts w:eastAsia="Times New Roman" w:cs="Times New Roman"/>
        </w:rPr>
        <w:t>investor-owned utilities</w:t>
      </w:r>
      <w:r w:rsidRPr="006D3918" w:rsidR="000C74EE">
        <w:rPr>
          <w:rFonts w:eastAsia="Times New Roman" w:cs="Times New Roman"/>
        </w:rPr>
        <w:t xml:space="preserve"> and publicly owned utilities</w:t>
      </w:r>
      <w:r w:rsidRPr="006D3918" w:rsidR="002473BB">
        <w:rPr>
          <w:rFonts w:eastAsia="Times New Roman" w:cs="Times New Roman"/>
        </w:rPr>
        <w:t xml:space="preserve">, </w:t>
      </w:r>
      <w:r w:rsidRPr="006D3918" w:rsidR="000C74EE">
        <w:rPr>
          <w:rFonts w:eastAsia="Times New Roman" w:cs="Times New Roman"/>
        </w:rPr>
        <w:t xml:space="preserve">of the final disposition of </w:t>
      </w:r>
      <w:r w:rsidRPr="006D3918" w:rsidR="001E1693">
        <w:rPr>
          <w:rFonts w:eastAsia="Times New Roman" w:cs="Times New Roman"/>
        </w:rPr>
        <w:t xml:space="preserve">any </w:t>
      </w:r>
      <w:r w:rsidRPr="006D3918" w:rsidR="000C74EE">
        <w:rPr>
          <w:rFonts w:eastAsia="Times New Roman" w:cs="Times New Roman"/>
        </w:rPr>
        <w:t>application</w:t>
      </w:r>
      <w:r w:rsidRPr="006D3918" w:rsidR="00F1498B">
        <w:rPr>
          <w:rFonts w:eastAsia="Times New Roman" w:cs="Times New Roman"/>
        </w:rPr>
        <w:t xml:space="preserve"> </w:t>
      </w:r>
      <w:r w:rsidRPr="006D3918" w:rsidR="00082083">
        <w:rPr>
          <w:rFonts w:eastAsia="Times New Roman" w:cs="Times New Roman"/>
        </w:rPr>
        <w:t>fil</w:t>
      </w:r>
      <w:r w:rsidRPr="006D3918" w:rsidR="00C87934">
        <w:rPr>
          <w:rFonts w:eastAsia="Times New Roman" w:cs="Times New Roman"/>
        </w:rPr>
        <w:t>ed</w:t>
      </w:r>
      <w:r w:rsidRPr="006D3918" w:rsidR="00F1498B">
        <w:rPr>
          <w:rFonts w:eastAsia="Times New Roman" w:cs="Times New Roman"/>
        </w:rPr>
        <w:t xml:space="preserve"> </w:t>
      </w:r>
      <w:r w:rsidR="00C55A46">
        <w:rPr>
          <w:rFonts w:eastAsia="Times New Roman" w:cs="Times New Roman"/>
        </w:rPr>
        <w:t>before</w:t>
      </w:r>
      <w:r w:rsidRPr="006D3918" w:rsidR="00C87934">
        <w:rPr>
          <w:rFonts w:eastAsia="Times New Roman" w:cs="Times New Roman"/>
        </w:rPr>
        <w:t xml:space="preserve"> the California Public Utilities Commission</w:t>
      </w:r>
      <w:r w:rsidRPr="006D3918" w:rsidR="00F1498B">
        <w:rPr>
          <w:rFonts w:eastAsia="Times New Roman" w:cs="Times New Roman"/>
        </w:rPr>
        <w:t xml:space="preserve"> </w:t>
      </w:r>
      <w:r w:rsidRPr="006D3918" w:rsidR="0098439A">
        <w:rPr>
          <w:rFonts w:eastAsia="Times New Roman" w:cs="Times New Roman"/>
        </w:rPr>
        <w:t xml:space="preserve">pursuant to Ordering Paragraph </w:t>
      </w:r>
      <w:r w:rsidRPr="006D3918" w:rsidR="00955371">
        <w:rPr>
          <w:rFonts w:eastAsia="Times New Roman" w:cs="Times New Roman"/>
        </w:rPr>
        <w:t>2</w:t>
      </w:r>
      <w:r w:rsidRPr="006D3918" w:rsidR="0098439A">
        <w:rPr>
          <w:rFonts w:eastAsia="Times New Roman" w:cs="Times New Roman"/>
        </w:rPr>
        <w:t xml:space="preserve"> of Decision 22-09-026 </w:t>
      </w:r>
      <w:r w:rsidRPr="006D3918" w:rsidR="00A1725B">
        <w:rPr>
          <w:rFonts w:eastAsia="Times New Roman" w:cs="Times New Roman"/>
        </w:rPr>
        <w:t>seeking</w:t>
      </w:r>
      <w:r w:rsidRPr="006D3918" w:rsidR="00F1498B">
        <w:rPr>
          <w:rFonts w:eastAsia="Times New Roman" w:cs="Times New Roman"/>
        </w:rPr>
        <w:t xml:space="preserve"> </w:t>
      </w:r>
      <w:r w:rsidRPr="006D3918" w:rsidR="00A1725B">
        <w:rPr>
          <w:rFonts w:eastAsia="Times New Roman" w:cs="Times New Roman"/>
        </w:rPr>
        <w:t xml:space="preserve">an </w:t>
      </w:r>
      <w:r w:rsidRPr="006D3918" w:rsidR="00F1498B">
        <w:rPr>
          <w:rFonts w:eastAsia="Times New Roman" w:cs="Times New Roman"/>
        </w:rPr>
        <w:t>exempt</w:t>
      </w:r>
      <w:r w:rsidRPr="006D3918" w:rsidR="00A1725B">
        <w:rPr>
          <w:rFonts w:eastAsia="Times New Roman" w:cs="Times New Roman"/>
        </w:rPr>
        <w:t>ion</w:t>
      </w:r>
      <w:r w:rsidRPr="006D3918" w:rsidR="00F1498B">
        <w:rPr>
          <w:rFonts w:eastAsia="Times New Roman" w:cs="Times New Roman"/>
        </w:rPr>
        <w:t xml:space="preserve"> from gas line subsidy elimination</w:t>
      </w:r>
      <w:r w:rsidRPr="006D3918" w:rsidR="006C3FAB">
        <w:rPr>
          <w:rFonts w:eastAsia="Times New Roman" w:cs="Times New Roman"/>
        </w:rPr>
        <w:t xml:space="preserve"> for one or more </w:t>
      </w:r>
      <w:r w:rsidRPr="006D3918" w:rsidR="00185171">
        <w:rPr>
          <w:rFonts w:eastAsia="Times New Roman" w:cs="Times New Roman"/>
        </w:rPr>
        <w:t xml:space="preserve">building </w:t>
      </w:r>
      <w:r w:rsidRPr="006D3918" w:rsidR="006C3FAB">
        <w:rPr>
          <w:rFonts w:eastAsia="Times New Roman" w:cs="Times New Roman"/>
        </w:rPr>
        <w:t>projects</w:t>
      </w:r>
      <w:r w:rsidRPr="006D3918" w:rsidR="000C74EE">
        <w:rPr>
          <w:rFonts w:eastAsia="Times New Roman" w:cs="Times New Roman"/>
        </w:rPr>
        <w:t xml:space="preserve">. </w:t>
      </w:r>
      <w:r w:rsidRPr="006D3918" w:rsidR="006D3918">
        <w:rPr>
          <w:rFonts w:eastAsia="Times New Roman" w:cs="Times New Roman"/>
        </w:rPr>
        <w:t>Within 30 days of the Commission’s issuance of a final decision on each relevant application, applicant in that proceeding shall serve a notice of that final decision on the service list of this proceeding.</w:t>
      </w:r>
    </w:p>
    <w:p w:rsidRPr="00577C7A" w:rsidR="000C74EE" w:rsidP="006C423F" w:rsidRDefault="00577C7A" w14:paraId="6315020D" w14:textId="6716A551">
      <w:pPr>
        <w:pStyle w:val="OP"/>
        <w:rPr>
          <w:szCs w:val="26"/>
        </w:rPr>
      </w:pPr>
      <w:r w:rsidRPr="00760A2E">
        <w:t xml:space="preserve">Pacific Gas and Electric Company, Southern California Edison Company, </w:t>
      </w:r>
      <w:r>
        <w:t xml:space="preserve">and </w:t>
      </w:r>
      <w:r w:rsidRPr="00760A2E">
        <w:t xml:space="preserve">San Diego Gas </w:t>
      </w:r>
      <w:r w:rsidR="00034149">
        <w:t>&amp;</w:t>
      </w:r>
      <w:r w:rsidRPr="00760A2E">
        <w:t xml:space="preserve"> Electric Company</w:t>
      </w:r>
      <w:r w:rsidRPr="004B1F25">
        <w:t xml:space="preserve"> </w:t>
      </w:r>
      <w:r>
        <w:t xml:space="preserve">shall refer to </w:t>
      </w:r>
      <w:r w:rsidRPr="00577C7A" w:rsidR="00B35862">
        <w:rPr>
          <w:rFonts w:eastAsia="Book Antiqua" w:cs="Book Antiqua"/>
        </w:rPr>
        <w:t>Resolution E-5352</w:t>
      </w:r>
      <w:r w:rsidR="008C7633">
        <w:rPr>
          <w:rFonts w:eastAsia="Book Antiqua" w:cs="Book Antiqua"/>
        </w:rPr>
        <w:t xml:space="preserve"> for guidance on how to interpret </w:t>
      </w:r>
      <w:r w:rsidR="00F878A3">
        <w:rPr>
          <w:rFonts w:eastAsia="Book Antiqua" w:cs="Book Antiqua"/>
        </w:rPr>
        <w:t xml:space="preserve">what building projects should be considered “mixed-fuel” for purposes of implementing Decision 23-12-037. </w:t>
      </w:r>
      <w:r w:rsidR="00061E37">
        <w:rPr>
          <w:rFonts w:eastAsia="Book Antiqua" w:cs="Book Antiqua"/>
        </w:rPr>
        <w:t>“M</w:t>
      </w:r>
      <w:r w:rsidRPr="00577C7A" w:rsidR="000C74EE">
        <w:rPr>
          <w:rFonts w:eastAsia="Times New Roman" w:cs="Times New Roman"/>
          <w:szCs w:val="26"/>
        </w:rPr>
        <w:t>ixed-fuel</w:t>
      </w:r>
      <w:r w:rsidR="00061E37">
        <w:rPr>
          <w:rFonts w:eastAsia="Times New Roman" w:cs="Times New Roman"/>
          <w:szCs w:val="26"/>
        </w:rPr>
        <w:t>”</w:t>
      </w:r>
      <w:r w:rsidRPr="00577C7A" w:rsidR="000C74EE">
        <w:rPr>
          <w:rFonts w:eastAsia="Times New Roman" w:cs="Times New Roman"/>
          <w:szCs w:val="26"/>
        </w:rPr>
        <w:t xml:space="preserve"> </w:t>
      </w:r>
      <w:r w:rsidRPr="00577C7A" w:rsidR="000C74EE">
        <w:rPr>
          <w:rFonts w:eastAsia="Times New Roman" w:cs="Times New Roman"/>
          <w:szCs w:val="26"/>
        </w:rPr>
        <w:lastRenderedPageBreak/>
        <w:t xml:space="preserve">new construction shall not include otherwise all-electric </w:t>
      </w:r>
      <w:r w:rsidRPr="00577C7A" w:rsidR="008448D9">
        <w:rPr>
          <w:rFonts w:eastAsia="Book Antiqua" w:cs="Book Antiqua"/>
        </w:rPr>
        <w:t>building projects that use gas or propane</w:t>
      </w:r>
      <w:r w:rsidRPr="00577C7A" w:rsidDel="008448D9" w:rsidR="008448D9">
        <w:rPr>
          <w:rFonts w:eastAsia="Times New Roman" w:cs="Times New Roman"/>
          <w:szCs w:val="26"/>
        </w:rPr>
        <w:t xml:space="preserve"> </w:t>
      </w:r>
      <w:r w:rsidRPr="00577C7A" w:rsidR="000C74EE">
        <w:rPr>
          <w:rFonts w:eastAsia="Times New Roman" w:cs="Times New Roman"/>
          <w:szCs w:val="26"/>
        </w:rPr>
        <w:t>solely for backup electricity generation.</w:t>
      </w:r>
    </w:p>
    <w:p w:rsidR="00EB7A60" w:rsidP="006C423F" w:rsidRDefault="000C74EE" w14:paraId="4AEC19C3" w14:textId="77777777">
      <w:pPr>
        <w:pStyle w:val="OP"/>
        <w:rPr>
          <w:szCs w:val="26"/>
        </w:rPr>
      </w:pPr>
      <w:r w:rsidRPr="00AC26FA">
        <w:rPr>
          <w:szCs w:val="26"/>
        </w:rPr>
        <w:t xml:space="preserve">The cost </w:t>
      </w:r>
      <w:r w:rsidRPr="006C423F">
        <w:t>caps</w:t>
      </w:r>
      <w:r w:rsidRPr="00AC26FA">
        <w:rPr>
          <w:szCs w:val="26"/>
        </w:rPr>
        <w:t xml:space="preserve"> established in Decision (D.) 20-03-027 and continued in D.23</w:t>
      </w:r>
      <w:r w:rsidR="000B72C9">
        <w:rPr>
          <w:szCs w:val="26"/>
        </w:rPr>
        <w:noBreakHyphen/>
      </w:r>
      <w:r w:rsidRPr="00AC26FA">
        <w:rPr>
          <w:szCs w:val="26"/>
        </w:rPr>
        <w:t>02</w:t>
      </w:r>
      <w:r w:rsidR="000B72C9">
        <w:rPr>
          <w:szCs w:val="26"/>
        </w:rPr>
        <w:noBreakHyphen/>
      </w:r>
      <w:r w:rsidRPr="00AC26FA">
        <w:rPr>
          <w:szCs w:val="26"/>
        </w:rPr>
        <w:t xml:space="preserve">005 shall apply to the use of Assembly Bill (AB) 157 funds for the </w:t>
      </w:r>
      <w:r w:rsidRPr="00AC26FA">
        <w:rPr>
          <w:rFonts w:eastAsia="Times New Roman" w:cs="Arial"/>
          <w:color w:val="000000"/>
          <w:szCs w:val="26"/>
        </w:rPr>
        <w:t>Technology and Equipment for Clean Heating</w:t>
      </w:r>
      <w:r w:rsidRPr="00AC26FA">
        <w:rPr>
          <w:szCs w:val="26"/>
        </w:rPr>
        <w:t xml:space="preserve"> (TECH) Initiative as follows: </w:t>
      </w:r>
    </w:p>
    <w:p w:rsidR="00EB7A60" w:rsidP="008256FA" w:rsidRDefault="000C74EE" w14:paraId="19621453" w14:textId="1C207FFA">
      <w:pPr>
        <w:pStyle w:val="OP"/>
        <w:numPr>
          <w:ilvl w:val="0"/>
          <w:numId w:val="28"/>
        </w:numPr>
        <w:spacing w:after="120" w:line="240" w:lineRule="auto"/>
        <w:ind w:left="1080" w:right="1080"/>
        <w:rPr>
          <w:szCs w:val="26"/>
        </w:rPr>
      </w:pPr>
      <w:r w:rsidRPr="004B1F25">
        <w:rPr>
          <w:szCs w:val="26"/>
        </w:rPr>
        <w:t>10</w:t>
      </w:r>
      <w:r w:rsidR="000B72C9">
        <w:rPr>
          <w:szCs w:val="26"/>
        </w:rPr>
        <w:t> percent</w:t>
      </w:r>
      <w:r w:rsidRPr="004B1F25">
        <w:rPr>
          <w:szCs w:val="26"/>
        </w:rPr>
        <w:t xml:space="preserve"> for administrative costs of the implementer;</w:t>
      </w:r>
    </w:p>
    <w:p w:rsidR="007F7306" w:rsidP="008256FA" w:rsidRDefault="000C74EE" w14:paraId="5A0D2C1A" w14:textId="2381DA08">
      <w:pPr>
        <w:pStyle w:val="OP"/>
        <w:numPr>
          <w:ilvl w:val="0"/>
          <w:numId w:val="28"/>
        </w:numPr>
        <w:spacing w:after="120" w:line="240" w:lineRule="auto"/>
        <w:ind w:left="1080" w:right="1080"/>
        <w:rPr>
          <w:szCs w:val="26"/>
        </w:rPr>
      </w:pPr>
      <w:r w:rsidRPr="004B1F25">
        <w:rPr>
          <w:szCs w:val="26"/>
        </w:rPr>
        <w:t>1</w:t>
      </w:r>
      <w:r w:rsidR="000B72C9">
        <w:rPr>
          <w:szCs w:val="26"/>
        </w:rPr>
        <w:t> percent</w:t>
      </w:r>
      <w:r w:rsidRPr="004B1F25">
        <w:rPr>
          <w:szCs w:val="26"/>
        </w:rPr>
        <w:t xml:space="preserve"> for administrative costs of the contracting agent</w:t>
      </w:r>
      <w:r w:rsidR="007F7306">
        <w:rPr>
          <w:szCs w:val="26"/>
        </w:rPr>
        <w:t xml:space="preserve">; and </w:t>
      </w:r>
    </w:p>
    <w:p w:rsidR="007F7306" w:rsidP="008402EC" w:rsidRDefault="000C74EE" w14:paraId="5834AA3C" w14:textId="77777777">
      <w:pPr>
        <w:pStyle w:val="OP"/>
        <w:numPr>
          <w:ilvl w:val="0"/>
          <w:numId w:val="28"/>
        </w:numPr>
        <w:spacing w:after="120" w:line="240" w:lineRule="auto"/>
        <w:ind w:left="1080" w:right="1080"/>
      </w:pPr>
      <w:r>
        <w:t>2.5</w:t>
      </w:r>
      <w:r w:rsidR="000B72C9">
        <w:t> percent</w:t>
      </w:r>
      <w:r>
        <w:t xml:space="preserve"> for program evaluation.</w:t>
      </w:r>
      <w:r w:rsidR="004B1F25">
        <w:t xml:space="preserve"> </w:t>
      </w:r>
    </w:p>
    <w:p w:rsidRPr="00EB7A60" w:rsidR="005155BA" w:rsidP="008402EC" w:rsidRDefault="000C74EE" w14:paraId="58300729" w14:textId="33F2ABDF">
      <w:pPr>
        <w:pStyle w:val="OP"/>
        <w:ind w:right="1080" w:firstLine="547"/>
      </w:pPr>
      <w:r>
        <w:t xml:space="preserve">The </w:t>
      </w:r>
      <w:r w:rsidRPr="0056331B" w:rsidR="0056331B">
        <w:t xml:space="preserve">Technology and Equipment for Clean Heating (TECH) </w:t>
      </w:r>
      <w:r>
        <w:t xml:space="preserve"> Initiative implementer shall </w:t>
      </w:r>
      <w:r w:rsidR="005A1CFD">
        <w:t>allocate</w:t>
      </w:r>
      <w:r>
        <w:t xml:space="preserve"> the remaining </w:t>
      </w:r>
      <w:r w:rsidR="0056331B">
        <w:t>Assemb</w:t>
      </w:r>
      <w:r w:rsidR="007D6ED8">
        <w:t>l</w:t>
      </w:r>
      <w:r w:rsidR="0056331B">
        <w:t xml:space="preserve">y </w:t>
      </w:r>
      <w:r w:rsidR="007D6ED8">
        <w:t>B</w:t>
      </w:r>
      <w:r w:rsidR="0056331B">
        <w:t>ill (</w:t>
      </w:r>
      <w:r w:rsidR="00240655">
        <w:t>AB </w:t>
      </w:r>
      <w:r>
        <w:t>157</w:t>
      </w:r>
      <w:r w:rsidR="007D6ED8">
        <w:t>)</w:t>
      </w:r>
      <w:r>
        <w:t xml:space="preserve"> funds exclusively for the following purposes: </w:t>
      </w:r>
      <w:r w:rsidR="007D6ED8">
        <w:t xml:space="preserve">(a) </w:t>
      </w:r>
      <w:r>
        <w:t xml:space="preserve">program incentives; </w:t>
      </w:r>
      <w:r w:rsidR="007D6ED8">
        <w:t xml:space="preserve">(b) </w:t>
      </w:r>
      <w:r>
        <w:t xml:space="preserve">the administration of tenant protections; </w:t>
      </w:r>
      <w:r w:rsidR="007D6ED8">
        <w:t xml:space="preserve">(c) </w:t>
      </w:r>
      <w:r>
        <w:t>workforce education and training efforts</w:t>
      </w:r>
      <w:r w:rsidR="0A659F38">
        <w:t xml:space="preserve">; </w:t>
      </w:r>
      <w:r w:rsidR="007D6ED8">
        <w:t xml:space="preserve">(d) </w:t>
      </w:r>
      <w:r w:rsidR="0A659F38">
        <w:t xml:space="preserve">verifying income eligibility; and </w:t>
      </w:r>
      <w:r w:rsidR="00E321A7">
        <w:t xml:space="preserve">(e) </w:t>
      </w:r>
      <w:r w:rsidR="0A659F38">
        <w:t>reporting</w:t>
      </w:r>
      <w:r w:rsidR="00977EE4">
        <w:t>.</w:t>
      </w:r>
      <w:r w:rsidR="005155BA">
        <w:t xml:space="preserve"> </w:t>
      </w:r>
    </w:p>
    <w:p w:rsidR="000C74EE" w:rsidP="008402EC" w:rsidRDefault="005155BA" w14:paraId="1E965044" w14:textId="5D772F69">
      <w:pPr>
        <w:pStyle w:val="OP"/>
        <w:ind w:firstLine="547"/>
      </w:pPr>
      <w:r>
        <w:t xml:space="preserve">As to the new </w:t>
      </w:r>
      <w:r w:rsidRPr="11EBE291">
        <w:rPr>
          <w:rFonts w:eastAsia="Times New Roman" w:cs="Arial"/>
          <w:color w:val="000000" w:themeColor="text1"/>
        </w:rPr>
        <w:t>Technology and Equipment for Clean Heating</w:t>
      </w:r>
      <w:r>
        <w:t xml:space="preserve"> (TECH) Initiative funding provided by Assembly Bill</w:t>
      </w:r>
      <w:r w:rsidR="000B72C9">
        <w:t> </w:t>
      </w:r>
      <w:r>
        <w:t xml:space="preserve">157, a minimum of </w:t>
      </w:r>
      <w:r w:rsidR="244A4BA4">
        <w:t>5</w:t>
      </w:r>
      <w:r>
        <w:t xml:space="preserve">0 percent of all program costs, </w:t>
      </w:r>
      <w:r w:rsidR="000C74EE">
        <w:t xml:space="preserve">shall be allocated to </w:t>
      </w:r>
      <w:r w:rsidR="3037FE05">
        <w:t xml:space="preserve">either single-family </w:t>
      </w:r>
      <w:r w:rsidR="6D53D77F">
        <w:t>low-income</w:t>
      </w:r>
      <w:r w:rsidR="000C74EE">
        <w:t xml:space="preserve"> household with income at or below 80 percent of area median income, </w:t>
      </w:r>
      <w:r w:rsidR="2FEB3740">
        <w:t>or multi-family low-income as at least 66 percent of occupied living units at or below 80 percent of area median income</w:t>
      </w:r>
      <w:r w:rsidR="000C74EE">
        <w:t>, as defined by the California Department of Housing and Community Development.</w:t>
      </w:r>
      <w:r w:rsidRPr="00231D6A" w:rsidR="00231D6A">
        <w:t xml:space="preserve"> The TECH Initiative implementer shall:</w:t>
      </w:r>
    </w:p>
    <w:p w:rsidRPr="00EB410A" w:rsidR="007633BF" w:rsidP="007633BF" w:rsidRDefault="007633BF" w14:paraId="39D3D9A6" w14:textId="77777777">
      <w:pPr>
        <w:pStyle w:val="OPListAlpha"/>
        <w:numPr>
          <w:ilvl w:val="0"/>
          <w:numId w:val="18"/>
        </w:numPr>
        <w:spacing w:after="120" w:line="240" w:lineRule="auto"/>
        <w:ind w:right="1080"/>
      </w:pPr>
      <w:r>
        <w:t>V</w:t>
      </w:r>
      <w:r w:rsidRPr="00EB410A">
        <w:t>erify the incomes of all participants, or utilize categorical eligibility, to determine eligibility for low-income program benefits; and</w:t>
      </w:r>
    </w:p>
    <w:p w:rsidRPr="00EB410A" w:rsidR="007633BF" w:rsidP="007633BF" w:rsidRDefault="007633BF" w14:paraId="0F518F39" w14:textId="77777777">
      <w:pPr>
        <w:pStyle w:val="OPListAlpha"/>
        <w:numPr>
          <w:ilvl w:val="0"/>
          <w:numId w:val="18"/>
        </w:numPr>
        <w:spacing w:after="120" w:line="240" w:lineRule="auto"/>
        <w:ind w:right="1080"/>
      </w:pPr>
      <w:r>
        <w:t>Exempt from i</w:t>
      </w:r>
      <w:r w:rsidRPr="00EB410A">
        <w:t xml:space="preserve">ncome verification </w:t>
      </w:r>
      <w:r>
        <w:t xml:space="preserve">requirements and therefore do not </w:t>
      </w:r>
      <w:r w:rsidRPr="00EB410A">
        <w:t>require</w:t>
      </w:r>
      <w:r>
        <w:t xml:space="preserve"> income verification</w:t>
      </w:r>
      <w:r w:rsidRPr="00EB410A">
        <w:t xml:space="preserve"> for households whose income has already been verified under the California Energy </w:t>
      </w:r>
      <w:r w:rsidRPr="00EB410A">
        <w:lastRenderedPageBreak/>
        <w:t>Commission’s Home Electrification and Appliance Rebates or Equitable Building Decarbonization programs.</w:t>
      </w:r>
    </w:p>
    <w:p w:rsidRPr="008067E9" w:rsidR="008067E9" w:rsidP="008067E9" w:rsidRDefault="008067E9" w14:paraId="58721009" w14:textId="77777777">
      <w:pPr>
        <w:pStyle w:val="OP"/>
      </w:pPr>
      <w:r w:rsidRPr="008067E9">
        <w:t xml:space="preserve">The eligible measures list for comprehensive building decarbonization adopted under the California Energy Commission's Equitable Building Decarbonization program guidelines, Section I.2, is adopted for qualifying low-income customers; and the Technology and Equipment for Clean Heating (TECH) Initiative implementer is authorized to provide the following as additional measures to all TECH Initiative customers: meter socket adapters, smart splitters, and any other load management device that can be deployed to avoid the need for electric service line upsizing, provided that the use of funds for these devices does not duplicate any other available incentives. </w:t>
      </w:r>
    </w:p>
    <w:p w:rsidRPr="00D450E4" w:rsidR="00D450E4" w:rsidP="00D450E4" w:rsidRDefault="000C74EE" w14:paraId="3FD81A43" w14:textId="621DBEC6">
      <w:pPr>
        <w:pStyle w:val="OP"/>
        <w:rPr>
          <w:rFonts w:eastAsia="Times New Roman" w:cs="Times New Roman"/>
        </w:rPr>
      </w:pPr>
      <w:r w:rsidRPr="0072518E">
        <w:rPr>
          <w:rFonts w:eastAsia="Times New Roman" w:cs="Times New Roman"/>
        </w:rPr>
        <w:t xml:space="preserve">The </w:t>
      </w:r>
      <w:r w:rsidRPr="0072518E">
        <w:t>Technology</w:t>
      </w:r>
      <w:r w:rsidRPr="0072518E">
        <w:rPr>
          <w:rFonts w:eastAsia="Times New Roman" w:cs="Arial"/>
          <w:color w:val="000000" w:themeColor="text1"/>
        </w:rPr>
        <w:t xml:space="preserve"> and Equipment for Clean Heating (TECH)</w:t>
      </w:r>
      <w:r w:rsidRPr="0072518E">
        <w:rPr>
          <w:rFonts w:eastAsia="Times New Roman" w:cs="Times New Roman"/>
        </w:rPr>
        <w:t xml:space="preserve"> Initiative, funded by Assembly Bill (AB) 157, shall continue to be implemented as an upstream and midstream incentive program, per Public Utilities Code Section</w:t>
      </w:r>
      <w:r w:rsidRPr="0072518E" w:rsidR="009B4EAE">
        <w:rPr>
          <w:rFonts w:eastAsia="Times New Roman" w:cs="Times New Roman"/>
        </w:rPr>
        <w:t> </w:t>
      </w:r>
      <w:r w:rsidRPr="0072518E">
        <w:rPr>
          <w:rFonts w:eastAsia="Times New Roman" w:cs="Times New Roman"/>
        </w:rPr>
        <w:t>922, and shall be available on a first</w:t>
      </w:r>
      <w:r w:rsidRPr="731FED01">
        <w:rPr>
          <w:rFonts w:eastAsia="Times New Roman" w:cs="Times New Roman"/>
        </w:rPr>
        <w:t>-come, first-served basis</w:t>
      </w:r>
      <w:r w:rsidRPr="00B84F5C" w:rsidR="00B84F5C">
        <w:rPr>
          <w:rFonts w:eastAsia="Times New Roman" w:cs="Times New Roman"/>
        </w:rPr>
        <w:t>, consistent with the following priority schedule:</w:t>
      </w:r>
      <w:r w:rsidRPr="731FED01">
        <w:rPr>
          <w:rFonts w:eastAsia="Times New Roman" w:cs="Times New Roman"/>
        </w:rPr>
        <w:t xml:space="preserve"> </w:t>
      </w:r>
    </w:p>
    <w:p w:rsidR="00D450E4" w:rsidP="00D450E4" w:rsidRDefault="00D450E4" w14:paraId="607460AB" w14:textId="77777777">
      <w:pPr>
        <w:pStyle w:val="OP"/>
        <w:numPr>
          <w:ilvl w:val="0"/>
          <w:numId w:val="0"/>
        </w:numPr>
        <w:spacing w:before="120" w:after="120" w:line="240" w:lineRule="auto"/>
        <w:ind w:left="1080" w:right="1080" w:hanging="360"/>
        <w:rPr>
          <w:rFonts w:eastAsia="Times New Roman" w:cs="Times New Roman"/>
        </w:rPr>
      </w:pPr>
      <w:r>
        <w:rPr>
          <w:rFonts w:eastAsia="Times New Roman" w:cs="Times New Roman"/>
        </w:rPr>
        <w:t>(a)</w:t>
      </w:r>
      <w:r w:rsidRPr="00EB410A">
        <w:rPr>
          <w:rFonts w:eastAsia="Times New Roman" w:cs="Times New Roman"/>
        </w:rPr>
        <w:t xml:space="preserve"> Until June 30, 2027, one hundred percent of funds shall be allocated exclusively to the San Fernando Valley area while prioritizing the City of Los Angeles communities identified in AB 157 (Porter Ranch, Granada Hills, Northridge, Chatsworth, North Hills, Canoga Park, Reseda, Winnetka, West Hills, Van Nuys, and Lake Balboa)</w:t>
      </w:r>
      <w:r>
        <w:rPr>
          <w:rFonts w:eastAsia="Times New Roman" w:cs="Times New Roman"/>
        </w:rPr>
        <w:t>; and</w:t>
      </w:r>
    </w:p>
    <w:p w:rsidRPr="00EB410A" w:rsidR="00D450E4" w:rsidP="00D450E4" w:rsidRDefault="00D450E4" w14:paraId="6BAD6246" w14:textId="77777777">
      <w:pPr>
        <w:pStyle w:val="OP"/>
        <w:numPr>
          <w:ilvl w:val="0"/>
          <w:numId w:val="0"/>
        </w:numPr>
        <w:spacing w:before="120" w:after="120" w:line="240" w:lineRule="auto"/>
        <w:ind w:left="1080" w:right="1080" w:hanging="360"/>
        <w:rPr>
          <w:rFonts w:eastAsia="Times New Roman" w:cs="Times New Roman"/>
        </w:rPr>
      </w:pPr>
      <w:r>
        <w:rPr>
          <w:rFonts w:eastAsia="Times New Roman" w:cs="Times New Roman"/>
        </w:rPr>
        <w:t xml:space="preserve">(b) </w:t>
      </w:r>
      <w:r w:rsidRPr="00EB410A">
        <w:rPr>
          <w:rFonts w:eastAsia="Times New Roman" w:cs="Times New Roman"/>
        </w:rPr>
        <w:t>After June 30, 2027, any remaining funds shall be made available to other customers within Southern California Gas Company service territory.</w:t>
      </w:r>
    </w:p>
    <w:p w:rsidR="002A683D" w:rsidP="006C423F" w:rsidRDefault="00FD21C3" w14:paraId="72751342" w14:textId="508E57C9">
      <w:pPr>
        <w:pStyle w:val="OP"/>
      </w:pPr>
      <w:r>
        <w:t xml:space="preserve">The Technology and Equipment for Clean Heating (TECH) Initiative implementer </w:t>
      </w:r>
      <w:r w:rsidR="00FE16F9">
        <w:t>shall</w:t>
      </w:r>
      <w:r>
        <w:t xml:space="preserve"> require every property owner </w:t>
      </w:r>
      <w:r w:rsidR="003D3EAB">
        <w:t>or property manager</w:t>
      </w:r>
      <w:r w:rsidR="00C35CD1">
        <w:t>, if applicable,</w:t>
      </w:r>
      <w:r w:rsidR="003D3EAB">
        <w:t xml:space="preserve"> </w:t>
      </w:r>
      <w:r>
        <w:t>seeking or receiving building electrification incentives—whether funded under Assembly Bill</w:t>
      </w:r>
      <w:r w:rsidR="00C30B23">
        <w:t> </w:t>
      </w:r>
      <w:r>
        <w:t xml:space="preserve">157 or otherwise—to enter into a Tenant Protection </w:t>
      </w:r>
      <w:r>
        <w:lastRenderedPageBreak/>
        <w:t>Agreement</w:t>
      </w:r>
      <w:r w:rsidR="764F1A10">
        <w:t xml:space="preserve">, </w:t>
      </w:r>
      <w:r w:rsidR="0036279C">
        <w:t xml:space="preserve">attached </w:t>
      </w:r>
      <w:r w:rsidR="001C3981">
        <w:t>to this decision as</w:t>
      </w:r>
      <w:r w:rsidR="764F1A10">
        <w:t xml:space="preserve"> Appendix B</w:t>
      </w:r>
      <w:r w:rsidR="00097FBF">
        <w:t xml:space="preserve">, which </w:t>
      </w:r>
      <w:r w:rsidR="00BF20E7">
        <w:t xml:space="preserve">provides </w:t>
      </w:r>
      <w:r w:rsidR="00943608">
        <w:t xml:space="preserve">the </w:t>
      </w:r>
      <w:r w:rsidR="00EC2FC6">
        <w:t>following</w:t>
      </w:r>
      <w:r w:rsidR="00943608">
        <w:t xml:space="preserve"> required terms</w:t>
      </w:r>
      <w:r>
        <w:t xml:space="preserve">: </w:t>
      </w:r>
    </w:p>
    <w:p w:rsidRPr="004B1F25" w:rsidR="008448D9" w:rsidP="008256FA" w:rsidRDefault="00EC2FC6" w14:paraId="53254D22" w14:textId="6B0B14A9">
      <w:pPr>
        <w:pStyle w:val="OPListAlpha"/>
        <w:numPr>
          <w:ilvl w:val="0"/>
          <w:numId w:val="19"/>
        </w:numPr>
        <w:spacing w:after="120" w:line="240" w:lineRule="auto"/>
        <w:ind w:left="1170" w:right="1080" w:hanging="450"/>
      </w:pPr>
      <w:r>
        <w:t xml:space="preserve">Prohibition of any </w:t>
      </w:r>
      <w:r w:rsidRPr="00D66862" w:rsidR="00FD21C3">
        <w:t>rent</w:t>
      </w:r>
      <w:r>
        <w:t xml:space="preserve"> increase attributable to </w:t>
      </w:r>
      <w:r w:rsidRPr="00D66862" w:rsidR="00FD21C3">
        <w:t>the electrification retrofit</w:t>
      </w:r>
      <w:r>
        <w:t xml:space="preserve">, </w:t>
      </w:r>
      <w:r w:rsidRPr="00D66862" w:rsidR="00FD21C3">
        <w:t>upgrade</w:t>
      </w:r>
      <w:r>
        <w:t>, or its costs</w:t>
      </w:r>
      <w:r w:rsidR="003D3EAB">
        <w:t>;</w:t>
      </w:r>
      <w:r w:rsidRPr="00D66862" w:rsidR="00FD21C3">
        <w:t xml:space="preserve"> </w:t>
      </w:r>
    </w:p>
    <w:p w:rsidR="003D3EAB" w:rsidP="008256FA" w:rsidRDefault="003D3EAB" w14:paraId="05E39B73" w14:textId="1F5B33A1">
      <w:pPr>
        <w:pStyle w:val="OPListAlpha"/>
        <w:numPr>
          <w:ilvl w:val="0"/>
          <w:numId w:val="19"/>
        </w:numPr>
        <w:spacing w:after="120" w:line="240" w:lineRule="auto"/>
        <w:ind w:left="1170" w:right="1080" w:hanging="450"/>
      </w:pPr>
      <w:r>
        <w:t>P</w:t>
      </w:r>
      <w:r w:rsidRPr="00D66862" w:rsidR="00FD21C3">
        <w:t>rohibit</w:t>
      </w:r>
      <w:r w:rsidR="00626D4B">
        <w:t>ion</w:t>
      </w:r>
      <w:r w:rsidR="00A37482">
        <w:t xml:space="preserve"> </w:t>
      </w:r>
      <w:r w:rsidR="00CD3493">
        <w:t>of</w:t>
      </w:r>
      <w:r w:rsidRPr="00D66862" w:rsidR="00FD21C3">
        <w:t xml:space="preserve"> any eviction or forced move attributable to the electrification</w:t>
      </w:r>
      <w:r w:rsidR="00EC2FC6">
        <w:t>, upgrade,</w:t>
      </w:r>
      <w:r w:rsidRPr="00D66862" w:rsidR="00FD21C3">
        <w:t xml:space="preserve"> or its costs</w:t>
      </w:r>
      <w:r>
        <w:t>;</w:t>
      </w:r>
      <w:r w:rsidRPr="00D66862" w:rsidR="00FD21C3">
        <w:t xml:space="preserve"> </w:t>
      </w:r>
    </w:p>
    <w:p w:rsidR="003D3EAB" w:rsidP="008256FA" w:rsidRDefault="006C60B6" w14:paraId="08584045" w14:textId="588B06F8">
      <w:pPr>
        <w:pStyle w:val="OPListAlpha"/>
        <w:numPr>
          <w:ilvl w:val="0"/>
          <w:numId w:val="19"/>
        </w:numPr>
        <w:spacing w:after="120" w:line="240" w:lineRule="auto"/>
        <w:ind w:left="1170" w:right="1080" w:hanging="450"/>
      </w:pPr>
      <w:r>
        <w:t>Requirement that t</w:t>
      </w:r>
      <w:r w:rsidRPr="00D66862" w:rsidR="00FD21C3">
        <w:t xml:space="preserve">he TECH Initiative implementer shall </w:t>
      </w:r>
      <w:r w:rsidR="005A1CFD">
        <w:t>confirm that all participating</w:t>
      </w:r>
      <w:r w:rsidRPr="00D66862" w:rsidR="00FD21C3">
        <w:t xml:space="preserve"> property owners or property managers</w:t>
      </w:r>
      <w:r>
        <w:t>, as applicable,</w:t>
      </w:r>
      <w:r w:rsidRPr="00D66862" w:rsidR="00FD21C3">
        <w:t xml:space="preserve"> provide addresses </w:t>
      </w:r>
      <w:r w:rsidR="00EC2FC6">
        <w:t>for</w:t>
      </w:r>
      <w:r w:rsidRPr="00D66862" w:rsidR="00FD21C3">
        <w:t xml:space="preserve"> all rental properties</w:t>
      </w:r>
      <w:r w:rsidR="00D66862">
        <w:t xml:space="preserve"> (and individual units)</w:t>
      </w:r>
      <w:r w:rsidRPr="00D66862" w:rsidR="00FD21C3">
        <w:t xml:space="preserve"> participating in the program</w:t>
      </w:r>
      <w:r w:rsidR="003D3EAB">
        <w:t>;</w:t>
      </w:r>
    </w:p>
    <w:p w:rsidR="003D3EAB" w:rsidP="731FED01" w:rsidRDefault="00F53DA4" w14:paraId="4C43E617" w14:textId="06A81EA1">
      <w:pPr>
        <w:pStyle w:val="OPListAlpha"/>
        <w:spacing w:after="120" w:line="240" w:lineRule="auto"/>
        <w:ind w:left="1170" w:right="1080" w:hanging="450"/>
      </w:pPr>
      <w:r>
        <w:t>Requirement that t</w:t>
      </w:r>
      <w:r w:rsidRPr="00D66862" w:rsidR="00FD21C3">
        <w:t>he implementer shall send written</w:t>
      </w:r>
      <w:r w:rsidR="5543CF45">
        <w:t xml:space="preserve"> or digital</w:t>
      </w:r>
      <w:r w:rsidRPr="00D66862" w:rsidR="00FD21C3">
        <w:t xml:space="preserve"> notice to tenants</w:t>
      </w:r>
      <w:r w:rsidR="00D66862">
        <w:t>,</w:t>
      </w:r>
      <w:r w:rsidRPr="00D66862" w:rsidR="00FD21C3">
        <w:t xml:space="preserve"> explaining Tenant Protection Agreement, </w:t>
      </w:r>
      <w:r w:rsidR="00D66862">
        <w:t>tenants’</w:t>
      </w:r>
      <w:r w:rsidRPr="00D66862" w:rsidR="00FD21C3">
        <w:t xml:space="preserve"> rights, and how to report violation</w:t>
      </w:r>
      <w:r w:rsidR="00EC2FC6">
        <w:t>s</w:t>
      </w:r>
      <w:r w:rsidR="003D3EAB">
        <w:t>;</w:t>
      </w:r>
    </w:p>
    <w:p w:rsidR="00D62004" w:rsidP="731FED01" w:rsidRDefault="006B1F7C" w14:paraId="4D274AD1" w14:textId="7AABC281">
      <w:pPr>
        <w:pStyle w:val="OPListAlpha"/>
        <w:spacing w:after="120" w:line="240" w:lineRule="auto"/>
        <w:ind w:left="1170" w:right="1080" w:hanging="450"/>
      </w:pPr>
      <w:r>
        <w:t>Provision that i</w:t>
      </w:r>
      <w:r w:rsidRPr="00D66862" w:rsidR="00FD21C3">
        <w:t>f a property owner or property manager</w:t>
      </w:r>
      <w:r w:rsidR="004A06B6">
        <w:t>, as applicable,</w:t>
      </w:r>
      <w:r w:rsidRPr="00D66862" w:rsidR="00FD21C3">
        <w:t xml:space="preserve"> violates the Tenant Protection Agreement, the implementer may, upon notice to the </w:t>
      </w:r>
      <w:r w:rsidR="008469D3">
        <w:t xml:space="preserve">California Public Utilities </w:t>
      </w:r>
      <w:r w:rsidRPr="00D66862" w:rsidR="00FD21C3">
        <w:t>Commission</w:t>
      </w:r>
      <w:r w:rsidR="008469D3">
        <w:t xml:space="preserve"> (Commission)</w:t>
      </w:r>
      <w:r w:rsidRPr="00D66862" w:rsidR="00FD21C3">
        <w:t>, revoke or deny future participation</w:t>
      </w:r>
      <w:r w:rsidR="5995D3BE">
        <w:t>; and</w:t>
      </w:r>
      <w:r w:rsidRPr="00D66862" w:rsidR="00FD21C3">
        <w:t xml:space="preserve"> </w:t>
      </w:r>
    </w:p>
    <w:p w:rsidR="1F703233" w:rsidP="731FED01" w:rsidRDefault="1F703233" w14:paraId="4246C67D" w14:textId="2A51BBA9">
      <w:pPr>
        <w:pStyle w:val="OPListAlpha"/>
        <w:spacing w:after="120" w:line="240" w:lineRule="auto"/>
        <w:ind w:left="1170" w:right="1080" w:hanging="450"/>
      </w:pPr>
      <w:r>
        <w:t xml:space="preserve">The TECH Implementer is authorized to submit a Tier </w:t>
      </w:r>
      <w:r w:rsidR="003873F5">
        <w:t>2</w:t>
      </w:r>
      <w:r>
        <w:t xml:space="preserve"> Advice Letter seeking revisions to Appendix B if, upon agreement with </w:t>
      </w:r>
      <w:r w:rsidR="008469D3">
        <w:t xml:space="preserve">the Commission’s </w:t>
      </w:r>
      <w:r>
        <w:t>Energy Division staff, revisions are necessary to improve program outcomes.</w:t>
      </w:r>
    </w:p>
    <w:p w:rsidRPr="001C65A3" w:rsidR="000C74EE" w:rsidP="008256FA" w:rsidRDefault="000C74EE" w14:paraId="611FBF31" w14:textId="6170F76E">
      <w:pPr>
        <w:pStyle w:val="OP"/>
        <w:spacing w:before="240"/>
      </w:pPr>
      <w:r w:rsidRPr="001C65A3">
        <w:t xml:space="preserve">The </w:t>
      </w:r>
      <w:r w:rsidRPr="006C423F">
        <w:t>Technology</w:t>
      </w:r>
      <w:r w:rsidRPr="001C65A3">
        <w:rPr>
          <w:rFonts w:eastAsia="Times New Roman" w:cs="Arial"/>
          <w:color w:val="000000" w:themeColor="text1"/>
        </w:rPr>
        <w:t xml:space="preserve"> and Equipment for Clean Heating (TECH)</w:t>
      </w:r>
      <w:r w:rsidRPr="001C65A3">
        <w:t xml:space="preserve"> Initiative contracting agent </w:t>
      </w:r>
      <w:r w:rsidRPr="001C65A3" w:rsidR="00FE16F9">
        <w:t>shall</w:t>
      </w:r>
      <w:r w:rsidRPr="001C65A3">
        <w:t>:</w:t>
      </w:r>
    </w:p>
    <w:p w:rsidR="004F09A6" w:rsidP="004F09A6" w:rsidRDefault="004F09A6" w14:paraId="7D8BAB0F" w14:textId="40B43B08">
      <w:pPr>
        <w:pStyle w:val="OPListAlpha"/>
        <w:numPr>
          <w:ilvl w:val="0"/>
          <w:numId w:val="20"/>
        </w:numPr>
        <w:spacing w:after="120" w:line="240" w:lineRule="auto"/>
        <w:ind w:right="1080"/>
      </w:pPr>
      <w:r>
        <w:t>Modify the existing contract, no later than 45 days after issuance of this decision, with the TECH Initiative implementer and evaluator to disburse the $40 million in new Assembly Bill </w:t>
      </w:r>
      <w:r w:rsidR="00682F8D">
        <w:t xml:space="preserve">(AB) </w:t>
      </w:r>
      <w:r>
        <w:t>157 funding in proportions consistent with Decision 23</w:t>
      </w:r>
      <w:r>
        <w:noBreakHyphen/>
        <w:t>02</w:t>
      </w:r>
      <w:r>
        <w:noBreakHyphen/>
        <w:t>005;</w:t>
      </w:r>
    </w:p>
    <w:p w:rsidRPr="00EB7F60" w:rsidR="00D62004" w:rsidP="008256FA" w:rsidRDefault="000C74EE" w14:paraId="625EF5EF" w14:textId="22457CAF">
      <w:pPr>
        <w:pStyle w:val="OPListAlpha"/>
        <w:numPr>
          <w:ilvl w:val="0"/>
          <w:numId w:val="20"/>
        </w:numPr>
        <w:spacing w:after="120" w:line="240" w:lineRule="auto"/>
        <w:ind w:right="1080"/>
      </w:pPr>
      <w:r w:rsidRPr="00957914">
        <w:t>Within 15 days of modifying the contract, file a Tier 1 Advice Letter seeking Energy Division approval of the modified contract and updating Southern California Edison</w:t>
      </w:r>
      <w:r w:rsidR="003D3EAB">
        <w:t xml:space="preserve"> Company</w:t>
      </w:r>
      <w:r w:rsidRPr="00957914">
        <w:t>’s tariffs for A</w:t>
      </w:r>
      <w:r w:rsidR="00682F8D">
        <w:t>B</w:t>
      </w:r>
      <w:r w:rsidRPr="00957914">
        <w:t xml:space="preserve"> 157’s new TECH Initiative funding;</w:t>
      </w:r>
    </w:p>
    <w:p w:rsidR="000C74EE" w:rsidP="731FED01" w:rsidRDefault="000C74EE" w14:paraId="0BDB4D80" w14:textId="7A5B43CB">
      <w:pPr>
        <w:pStyle w:val="OPListAlpha"/>
        <w:spacing w:after="120" w:line="240" w:lineRule="auto"/>
        <w:ind w:right="1080"/>
      </w:pPr>
      <w:r>
        <w:lastRenderedPageBreak/>
        <w:t xml:space="preserve">Create a sub-account </w:t>
      </w:r>
      <w:r w:rsidRPr="00FA5FC5" w:rsidR="00FA5FC5">
        <w:t xml:space="preserve">no later than </w:t>
      </w:r>
      <w:r w:rsidR="4E47984C">
        <w:t>45</w:t>
      </w:r>
      <w:r w:rsidRPr="00FA5FC5" w:rsidR="00FA5FC5">
        <w:t xml:space="preserve"> days after the issuance of this decision </w:t>
      </w:r>
      <w:r>
        <w:t xml:space="preserve">under the Building Decarbonization Pilot Program Balancing Account to </w:t>
      </w:r>
      <w:r w:rsidRPr="00247CD1">
        <w:t>differentiate the source and use of funds for AB</w:t>
      </w:r>
      <w:r w:rsidR="00C30B23">
        <w:t> </w:t>
      </w:r>
      <w:r w:rsidRPr="00247CD1">
        <w:t>157’s new TECH Initiative funding</w:t>
      </w:r>
      <w:r>
        <w:t>;</w:t>
      </w:r>
    </w:p>
    <w:p w:rsidR="000C74EE" w:rsidP="731FED01" w:rsidRDefault="000C74EE" w14:paraId="7738EF5A" w14:textId="30EC5BEF">
      <w:pPr>
        <w:pStyle w:val="OPListAlpha"/>
        <w:spacing w:after="120" w:line="240" w:lineRule="auto"/>
        <w:ind w:right="1080"/>
      </w:pPr>
      <w:r>
        <w:t>Deposit A</w:t>
      </w:r>
      <w:r w:rsidR="008B00C3">
        <w:t>B</w:t>
      </w:r>
      <w:r w:rsidR="00C30B23">
        <w:t> </w:t>
      </w:r>
      <w:r>
        <w:t>157 funds</w:t>
      </w:r>
      <w:r w:rsidR="69923A0D">
        <w:t xml:space="preserve">, no later than </w:t>
      </w:r>
      <w:r w:rsidR="2A8E25B7">
        <w:t>45</w:t>
      </w:r>
      <w:r w:rsidR="69923A0D">
        <w:t xml:space="preserve"> days after issuance of this decision,</w:t>
      </w:r>
      <w:r>
        <w:t xml:space="preserve"> into an interest-bearing account, with all accrued interest disbursed to the TECH Initiative implementer for use in program incentives, upon written request to S</w:t>
      </w:r>
      <w:r w:rsidR="00C30B23">
        <w:t xml:space="preserve">outhern </w:t>
      </w:r>
      <w:r>
        <w:t>C</w:t>
      </w:r>
      <w:r w:rsidR="00C30B23">
        <w:t xml:space="preserve">alifornia </w:t>
      </w:r>
      <w:r>
        <w:t>E</w:t>
      </w:r>
      <w:r w:rsidR="00C30B23">
        <w:t>dison Company</w:t>
      </w:r>
      <w:r>
        <w:t>; and</w:t>
      </w:r>
    </w:p>
    <w:p w:rsidR="00D62004" w:rsidP="008256FA" w:rsidRDefault="000C74EE" w14:paraId="1C13CC7C" w14:textId="74556CA1">
      <w:pPr>
        <w:pStyle w:val="OPListAlpha"/>
        <w:numPr>
          <w:ilvl w:val="0"/>
          <w:numId w:val="20"/>
        </w:numPr>
        <w:spacing w:after="120" w:line="240" w:lineRule="auto"/>
        <w:ind w:right="1080"/>
      </w:pPr>
      <w:r w:rsidRPr="00957914">
        <w:t>Work with the TECH Initiative implementer to identify and track the source and use of A</w:t>
      </w:r>
      <w:r w:rsidR="008B00C3">
        <w:t>B</w:t>
      </w:r>
      <w:r w:rsidR="00C30B23">
        <w:t> </w:t>
      </w:r>
      <w:r w:rsidRPr="00957914">
        <w:t xml:space="preserve">157 funds within the </w:t>
      </w:r>
      <w:r w:rsidRPr="00C30B23" w:rsidR="00C30B23">
        <w:t>Building Decarbonization Pilot Program Balancing Account</w:t>
      </w:r>
      <w:r w:rsidRPr="00957914">
        <w:t>.</w:t>
      </w:r>
    </w:p>
    <w:p w:rsidR="000C74EE" w:rsidP="008402EC" w:rsidRDefault="000C74EE" w14:paraId="40F9FD68" w14:textId="0C3545D8">
      <w:pPr>
        <w:pStyle w:val="OP"/>
      </w:pPr>
      <w:r w:rsidRPr="006C423F">
        <w:t>Beginning</w:t>
      </w:r>
      <w:r>
        <w:t xml:space="preserve"> </w:t>
      </w:r>
      <w:r w:rsidR="5D084044">
        <w:t>six months</w:t>
      </w:r>
      <w:r>
        <w:t xml:space="preserve"> </w:t>
      </w:r>
      <w:r w:rsidR="6AC96943">
        <w:t>following the launch of incentives</w:t>
      </w:r>
      <w:r>
        <w:t xml:space="preserve">, the </w:t>
      </w:r>
      <w:r w:rsidRPr="00E44594">
        <w:rPr>
          <w:rFonts w:eastAsia="Times New Roman" w:cs="Arial"/>
          <w:color w:val="000000" w:themeColor="text1"/>
        </w:rPr>
        <w:t>Technology and Equipment for Clean Heating (TECH)</w:t>
      </w:r>
      <w:r>
        <w:t xml:space="preserve"> Initiative implementer </w:t>
      </w:r>
      <w:r w:rsidR="00617CDF">
        <w:t xml:space="preserve">and evaluator </w:t>
      </w:r>
      <w:r>
        <w:t xml:space="preserve">shall submit reports </w:t>
      </w:r>
      <w:r w:rsidR="00811263">
        <w:t xml:space="preserve">every six months </w:t>
      </w:r>
      <w:r w:rsidRPr="00E46AA9" w:rsidR="00E46AA9">
        <w:t xml:space="preserve">by serving it on the service list of R.19-01-011 and </w:t>
      </w:r>
      <w:r>
        <w:t>providing the following data on projects funded by Assembly Bill (AB) 157:</w:t>
      </w:r>
    </w:p>
    <w:p w:rsidR="00732B45" w:rsidP="008256FA" w:rsidRDefault="00623292" w14:paraId="3B8FDDB2" w14:textId="30557230">
      <w:pPr>
        <w:pStyle w:val="OPListAlpha"/>
        <w:numPr>
          <w:ilvl w:val="0"/>
          <w:numId w:val="21"/>
        </w:numPr>
        <w:spacing w:after="120" w:line="240" w:lineRule="auto"/>
        <w:ind w:right="1080"/>
      </w:pPr>
      <w:r>
        <w:t>Natural gas demand reduction from the Aliso Canyon natural gas storage facility</w:t>
      </w:r>
      <w:r w:rsidR="00DB5FAD">
        <w:t>;</w:t>
      </w:r>
    </w:p>
    <w:p w:rsidR="00732B45" w:rsidP="008256FA" w:rsidRDefault="00732B45" w14:paraId="71600A89" w14:textId="6A89D916">
      <w:pPr>
        <w:pStyle w:val="OPListAlpha"/>
        <w:numPr>
          <w:ilvl w:val="0"/>
          <w:numId w:val="21"/>
        </w:numPr>
        <w:spacing w:after="120" w:line="240" w:lineRule="auto"/>
        <w:ind w:right="1080"/>
      </w:pPr>
      <w:r>
        <w:t xml:space="preserve">The number </w:t>
      </w:r>
      <w:r w:rsidRPr="00CD27C2" w:rsidR="00CD27C2">
        <w:t>of heat pump installations, installations of other eligible measures adopted in this decision, and the total number of incentives provided to both single-family and multi-family building residents;</w:t>
      </w:r>
    </w:p>
    <w:p w:rsidR="000C74EE" w:rsidP="008256FA" w:rsidRDefault="000C74EE" w14:paraId="24CC4BE8" w14:textId="2E4581C3">
      <w:pPr>
        <w:pStyle w:val="OPListAlpha"/>
        <w:numPr>
          <w:ilvl w:val="0"/>
          <w:numId w:val="21"/>
        </w:numPr>
        <w:spacing w:after="120" w:line="240" w:lineRule="auto"/>
        <w:ind w:right="1080"/>
      </w:pPr>
      <w:r w:rsidRPr="000C74EE">
        <w:t xml:space="preserve">Strategies implemented to prevent the expenditure of </w:t>
      </w:r>
      <w:r w:rsidR="00240655">
        <w:t>AB </w:t>
      </w:r>
      <w:r w:rsidRPr="000C74EE">
        <w:t xml:space="preserve">157 funds </w:t>
      </w:r>
      <w:r w:rsidRPr="00753D28">
        <w:rPr>
          <w:rStyle w:val="OPListAlphaChar"/>
        </w:rPr>
        <w:t>from</w:t>
      </w:r>
      <w:r w:rsidRPr="000C74EE">
        <w:t xml:space="preserve"> contributing to tenant displacement in upgraded rental housing units and to limit cost impacts on tenants;</w:t>
      </w:r>
    </w:p>
    <w:p w:rsidR="000C74EE" w:rsidP="731FED01" w:rsidRDefault="000C74EE" w14:paraId="4C88C6A4" w14:textId="5EA6C168">
      <w:pPr>
        <w:pStyle w:val="OPListAlpha"/>
        <w:spacing w:after="120" w:line="240" w:lineRule="auto"/>
        <w:ind w:right="1080"/>
      </w:pPr>
      <w:r>
        <w:t>Strategies employed to target communities in the</w:t>
      </w:r>
      <w:r w:rsidR="00DB340B">
        <w:t xml:space="preserve"> San Fernando Valley area, inclusive of the</w:t>
      </w:r>
      <w:r>
        <w:t xml:space="preserve"> Aliso Canyon Disaster Area</w:t>
      </w:r>
      <w:r w:rsidR="252868E6">
        <w:t xml:space="preserve">, </w:t>
      </w:r>
      <w:r>
        <w:t xml:space="preserve">and, if applicable after 2027, to Southern California Gas customers outside of the </w:t>
      </w:r>
      <w:r w:rsidR="00DB340B">
        <w:t>San Fernando Valley area</w:t>
      </w:r>
      <w:r>
        <w:t xml:space="preserve">. </w:t>
      </w:r>
      <w:r w:rsidRPr="008256FA">
        <w:rPr>
          <w:rStyle w:val="OPListAlphaChar"/>
        </w:rPr>
        <w:t>The</w:t>
      </w:r>
      <w:r>
        <w:t xml:space="preserve"> report shall demonstrate how these strategies support long-term market development for both market-rate and </w:t>
      </w:r>
      <w:r w:rsidR="59182E86">
        <w:t>low-income</w:t>
      </w:r>
      <w:r>
        <w:t xml:space="preserve"> customers;</w:t>
      </w:r>
    </w:p>
    <w:p w:rsidR="000C74EE" w:rsidP="008256FA" w:rsidRDefault="000C74EE" w14:paraId="363966BB" w14:textId="5E8D94F8">
      <w:pPr>
        <w:pStyle w:val="OPListAlpha"/>
        <w:numPr>
          <w:ilvl w:val="0"/>
          <w:numId w:val="21"/>
        </w:numPr>
        <w:spacing w:after="120" w:line="240" w:lineRule="auto"/>
        <w:ind w:right="1080"/>
      </w:pPr>
      <w:r>
        <w:lastRenderedPageBreak/>
        <w:t xml:space="preserve">The </w:t>
      </w:r>
      <w:r w:rsidRPr="008256FA">
        <w:rPr>
          <w:rStyle w:val="OPListAlphaChar"/>
        </w:rPr>
        <w:t>percentage</w:t>
      </w:r>
      <w:r>
        <w:t xml:space="preserve"> of </w:t>
      </w:r>
      <w:r w:rsidR="00240655">
        <w:t>AB </w:t>
      </w:r>
      <w:r>
        <w:t xml:space="preserve">157-funded TECH Initiative incentives allocated to </w:t>
      </w:r>
      <w:r w:rsidR="7DDA387A">
        <w:t>low-income</w:t>
      </w:r>
      <w:r>
        <w:t xml:space="preserve"> customers relative to the total program funds;</w:t>
      </w:r>
    </w:p>
    <w:p w:rsidR="000C74EE" w:rsidP="008256FA" w:rsidRDefault="000C74EE" w14:paraId="5326F604" w14:textId="77777777">
      <w:pPr>
        <w:pStyle w:val="OPListAlpha"/>
        <w:numPr>
          <w:ilvl w:val="0"/>
          <w:numId w:val="21"/>
        </w:numPr>
        <w:spacing w:after="120" w:line="240" w:lineRule="auto"/>
        <w:ind w:right="1080"/>
      </w:pPr>
      <w:r w:rsidRPr="000C74EE">
        <w:t xml:space="preserve">The </w:t>
      </w:r>
      <w:r w:rsidRPr="00753D28">
        <w:rPr>
          <w:rStyle w:val="OPListAlphaChar"/>
        </w:rPr>
        <w:t>geographic</w:t>
      </w:r>
      <w:r w:rsidRPr="000C74EE">
        <w:t xml:space="preserve"> distribution area and project types (e.g., comprehensive home electrification, or heat pump installations in multi-family housing complexes) targeted by TECH Initiative funding, with justification for allocation decisions; and</w:t>
      </w:r>
    </w:p>
    <w:p w:rsidR="00065764" w:rsidP="008256FA" w:rsidRDefault="000C74EE" w14:paraId="29977950" w14:textId="1AE9EE97">
      <w:pPr>
        <w:pStyle w:val="OPListAlpha"/>
        <w:numPr>
          <w:ilvl w:val="0"/>
          <w:numId w:val="21"/>
        </w:numPr>
        <w:spacing w:after="120" w:line="240" w:lineRule="auto"/>
        <w:ind w:right="1080"/>
      </w:pPr>
      <w:r w:rsidRPr="00753D28">
        <w:rPr>
          <w:rStyle w:val="OPListAlphaChar"/>
        </w:rPr>
        <w:t>Workforce</w:t>
      </w:r>
      <w:r>
        <w:t xml:space="preserve"> training efforts funded through </w:t>
      </w:r>
      <w:r w:rsidR="00240655">
        <w:t>AB </w:t>
      </w:r>
      <w:r>
        <w:t xml:space="preserve">157, including </w:t>
      </w:r>
      <w:r w:rsidRPr="008256FA">
        <w:rPr>
          <w:rStyle w:val="OPListAlphaChar"/>
        </w:rPr>
        <w:t>strategies</w:t>
      </w:r>
      <w:r>
        <w:t xml:space="preserve"> for recruiting, training, and supporting workers in </w:t>
      </w:r>
      <w:r w:rsidR="4FAD3607">
        <w:t>low-income</w:t>
      </w:r>
      <w:r>
        <w:t xml:space="preserve"> communities.</w:t>
      </w:r>
    </w:p>
    <w:p w:rsidRPr="00AE3E27" w:rsidR="00AE3E27" w:rsidP="008256FA" w:rsidRDefault="005957C9" w14:paraId="5D69A8D5" w14:textId="4B2EB5AC">
      <w:pPr>
        <w:pStyle w:val="OP"/>
        <w:spacing w:before="240"/>
        <w:rPr>
          <w:szCs w:val="26"/>
        </w:rPr>
      </w:pPr>
      <w:r w:rsidRPr="005957C9">
        <w:rPr>
          <w:szCs w:val="26"/>
        </w:rPr>
        <w:t xml:space="preserve">All </w:t>
      </w:r>
      <w:r w:rsidRPr="006C423F">
        <w:t>assigned</w:t>
      </w:r>
      <w:r w:rsidRPr="005957C9">
        <w:rPr>
          <w:szCs w:val="26"/>
        </w:rPr>
        <w:t xml:space="preserve"> Commissioner and Administrative Law Judge rulings</w:t>
      </w:r>
      <w:r w:rsidR="00AE3E27">
        <w:rPr>
          <w:szCs w:val="26"/>
        </w:rPr>
        <w:t xml:space="preserve"> issued to date</w:t>
      </w:r>
      <w:r w:rsidRPr="005957C9">
        <w:rPr>
          <w:szCs w:val="26"/>
        </w:rPr>
        <w:t xml:space="preserve"> are affirmed.</w:t>
      </w:r>
    </w:p>
    <w:p w:rsidRPr="000C74EE" w:rsidR="000C74EE" w:rsidP="009E515D" w:rsidRDefault="00121614" w14:paraId="1E99B193" w14:textId="64DA0025">
      <w:pPr>
        <w:pStyle w:val="OP"/>
        <w:keepNext/>
        <w:rPr>
          <w:szCs w:val="26"/>
        </w:rPr>
      </w:pPr>
      <w:r>
        <w:rPr>
          <w:szCs w:val="26"/>
        </w:rPr>
        <w:t>Rulemaking 19</w:t>
      </w:r>
      <w:r>
        <w:rPr>
          <w:szCs w:val="26"/>
        </w:rPr>
        <w:noBreakHyphen/>
        <w:t>01</w:t>
      </w:r>
      <w:r>
        <w:rPr>
          <w:szCs w:val="26"/>
        </w:rPr>
        <w:noBreakHyphen/>
        <w:t>011</w:t>
      </w:r>
      <w:r w:rsidRPr="000C74EE" w:rsidR="000C74EE">
        <w:rPr>
          <w:szCs w:val="26"/>
        </w:rPr>
        <w:t xml:space="preserve"> remains open.</w:t>
      </w:r>
    </w:p>
    <w:p w:rsidR="000C74EE" w:rsidP="009E515D" w:rsidRDefault="000C74EE" w14:paraId="093E1645" w14:textId="6EF62DA7">
      <w:pPr>
        <w:pStyle w:val="Standard"/>
        <w:keepNext/>
        <w:rPr>
          <w:szCs w:val="26"/>
        </w:rPr>
      </w:pPr>
      <w:r w:rsidRPr="000C74EE">
        <w:rPr>
          <w:szCs w:val="26"/>
        </w:rPr>
        <w:t xml:space="preserve">This </w:t>
      </w:r>
      <w:r w:rsidR="006C423F">
        <w:rPr>
          <w:szCs w:val="26"/>
        </w:rPr>
        <w:t>decision</w:t>
      </w:r>
      <w:r w:rsidRPr="000C74EE">
        <w:rPr>
          <w:szCs w:val="26"/>
        </w:rPr>
        <w:t xml:space="preserve"> is effective today.</w:t>
      </w:r>
    </w:p>
    <w:p w:rsidR="006C423F" w:rsidP="009E515D" w:rsidRDefault="006C423F" w14:paraId="7B491FA5" w14:textId="7003606A">
      <w:pPr>
        <w:pStyle w:val="Standard"/>
        <w:keepNext/>
        <w:rPr>
          <w:szCs w:val="26"/>
        </w:rPr>
      </w:pPr>
      <w:r>
        <w:rPr>
          <w:szCs w:val="26"/>
        </w:rPr>
        <w:t>Dated</w:t>
      </w:r>
      <w:r w:rsidR="00614CCC">
        <w:rPr>
          <w:szCs w:val="26"/>
        </w:rPr>
        <w:t xml:space="preserve"> _________ </w:t>
      </w:r>
      <w:r>
        <w:rPr>
          <w:szCs w:val="26"/>
        </w:rPr>
        <w:t xml:space="preserve">at </w:t>
      </w:r>
      <w:r w:rsidR="0050243D">
        <w:rPr>
          <w:szCs w:val="26"/>
        </w:rPr>
        <w:t>Sacramento</w:t>
      </w:r>
      <w:r w:rsidR="00E953D0">
        <w:rPr>
          <w:szCs w:val="26"/>
        </w:rPr>
        <w:t xml:space="preserve">, </w:t>
      </w:r>
      <w:r>
        <w:rPr>
          <w:szCs w:val="26"/>
        </w:rPr>
        <w:t>California</w:t>
      </w:r>
      <w:r w:rsidR="006B0980">
        <w:rPr>
          <w:szCs w:val="26"/>
        </w:rPr>
        <w:t>.</w:t>
      </w:r>
    </w:p>
    <w:p w:rsidR="009E515D" w:rsidP="009E515D" w:rsidRDefault="009E515D" w14:paraId="08B8CF01" w14:textId="77777777">
      <w:pPr>
        <w:pStyle w:val="Standard"/>
        <w:keepNext/>
        <w:rPr>
          <w:szCs w:val="26"/>
        </w:rPr>
      </w:pPr>
    </w:p>
    <w:p w:rsidR="009E515D" w:rsidP="009E515D" w:rsidRDefault="009E515D" w14:paraId="14B5E65B" w14:textId="77777777">
      <w:pPr>
        <w:pStyle w:val="Standard"/>
        <w:keepNext/>
        <w:rPr>
          <w:szCs w:val="26"/>
        </w:rPr>
      </w:pPr>
    </w:p>
    <w:p w:rsidR="009E515D" w:rsidP="009E515D" w:rsidRDefault="009E515D" w14:paraId="036C9513" w14:textId="77777777">
      <w:pPr>
        <w:pStyle w:val="Standard"/>
        <w:keepNext/>
        <w:rPr>
          <w:szCs w:val="26"/>
        </w:rPr>
      </w:pPr>
    </w:p>
    <w:p w:rsidR="007D22A1" w:rsidP="000C74EE" w:rsidRDefault="007D22A1" w14:paraId="4F032923" w14:textId="77777777">
      <w:pPr>
        <w:pStyle w:val="Standard"/>
        <w:keepNext/>
        <w:rPr>
          <w:szCs w:val="26"/>
        </w:rPr>
        <w:sectPr w:rsidR="007D22A1" w:rsidSect="00121614">
          <w:footerReference w:type="default" r:id="rId14"/>
          <w:pgSz w:w="12240" w:h="15840"/>
          <w:pgMar w:top="1728" w:right="1440" w:bottom="1440" w:left="1440" w:header="720" w:footer="720" w:gutter="0"/>
          <w:pgNumType w:start="2"/>
          <w:cols w:space="720"/>
          <w:docGrid w:linePitch="360"/>
        </w:sectPr>
      </w:pPr>
    </w:p>
    <w:p w:rsidRPr="00097D0C" w:rsidR="007D22A1" w:rsidP="00097D0C" w:rsidRDefault="007D22A1" w14:paraId="58F1CAEF" w14:textId="77777777">
      <w:pPr>
        <w:pStyle w:val="Standard"/>
        <w:spacing w:line="240" w:lineRule="auto"/>
        <w:ind w:firstLine="0"/>
        <w:rPr>
          <w:sz w:val="48"/>
          <w:szCs w:val="48"/>
        </w:rPr>
      </w:pPr>
    </w:p>
    <w:p w:rsidRPr="00097D0C" w:rsidR="007D22A1" w:rsidP="00097D0C" w:rsidRDefault="007D22A1" w14:paraId="394F8725" w14:textId="77777777">
      <w:pPr>
        <w:pStyle w:val="Standard"/>
        <w:spacing w:line="240" w:lineRule="auto"/>
        <w:ind w:firstLine="0"/>
        <w:rPr>
          <w:sz w:val="48"/>
          <w:szCs w:val="48"/>
        </w:rPr>
      </w:pPr>
    </w:p>
    <w:p w:rsidRPr="00097D0C" w:rsidR="00097D0C" w:rsidP="00097D0C" w:rsidRDefault="007D22A1" w14:paraId="0160089B" w14:textId="7EAA6CD7">
      <w:pPr>
        <w:pStyle w:val="Standard"/>
        <w:spacing w:line="240" w:lineRule="auto"/>
        <w:ind w:firstLine="0"/>
        <w:jc w:val="center"/>
        <w:rPr>
          <w:sz w:val="40"/>
          <w:szCs w:val="40"/>
        </w:rPr>
      </w:pPr>
      <w:r w:rsidRPr="00097D0C">
        <w:rPr>
          <w:sz w:val="48"/>
          <w:szCs w:val="48"/>
        </w:rPr>
        <w:t>APPENDIX A</w:t>
      </w:r>
      <w:r w:rsidRPr="00097D0C" w:rsidR="00097D0C">
        <w:rPr>
          <w:sz w:val="48"/>
          <w:szCs w:val="48"/>
        </w:rPr>
        <w:br/>
      </w:r>
      <w:r w:rsidR="00644EE7">
        <w:rPr>
          <w:sz w:val="36"/>
          <w:szCs w:val="36"/>
        </w:rPr>
        <w:t>Electric Utilities</w:t>
      </w:r>
      <w:r w:rsidRPr="00097D0C" w:rsidR="00097D0C">
        <w:rPr>
          <w:sz w:val="36"/>
          <w:szCs w:val="36"/>
        </w:rPr>
        <w:t xml:space="preserve"> New Reporting Requirements Established by D.XX</w:t>
      </w:r>
      <w:r w:rsidRPr="00097D0C" w:rsidR="00097D0C">
        <w:rPr>
          <w:sz w:val="36"/>
          <w:szCs w:val="36"/>
        </w:rPr>
        <w:noBreakHyphen/>
        <w:t>XX</w:t>
      </w:r>
      <w:r w:rsidRPr="00097D0C" w:rsidR="00097D0C">
        <w:rPr>
          <w:sz w:val="36"/>
          <w:szCs w:val="36"/>
        </w:rPr>
        <w:noBreakHyphen/>
        <w:t>XXX</w:t>
      </w:r>
    </w:p>
    <w:p w:rsidR="007D22A1" w:rsidP="00097D0C" w:rsidRDefault="007D22A1" w14:paraId="08B56EFC" w14:textId="1353BC39">
      <w:pPr>
        <w:pStyle w:val="Standard"/>
        <w:ind w:firstLine="0"/>
        <w:jc w:val="center"/>
        <w:rPr>
          <w:szCs w:val="26"/>
        </w:rPr>
        <w:sectPr w:rsidR="007D22A1" w:rsidSect="008D6894">
          <w:footerReference w:type="default" r:id="rId15"/>
          <w:pgSz w:w="12240" w:h="15840"/>
          <w:pgMar w:top="1728" w:right="1440" w:bottom="1440" w:left="1440" w:header="720" w:footer="720" w:gutter="0"/>
          <w:pgNumType w:start="1"/>
          <w:cols w:space="720"/>
          <w:docGrid w:linePitch="360"/>
        </w:sectPr>
      </w:pPr>
    </w:p>
    <w:p w:rsidRPr="00097D0C" w:rsidR="007D22A1" w:rsidP="00097D0C" w:rsidRDefault="007D22A1" w14:paraId="04198760" w14:textId="6265CCE8">
      <w:pPr>
        <w:pStyle w:val="Standard"/>
        <w:spacing w:line="240" w:lineRule="auto"/>
        <w:ind w:firstLine="0"/>
        <w:rPr>
          <w:sz w:val="48"/>
          <w:szCs w:val="48"/>
        </w:rPr>
      </w:pPr>
    </w:p>
    <w:p w:rsidRPr="00097D0C" w:rsidR="007D22A1" w:rsidP="00097D0C" w:rsidRDefault="007D22A1" w14:paraId="640167D9" w14:textId="77777777">
      <w:pPr>
        <w:pStyle w:val="Standard"/>
        <w:spacing w:line="240" w:lineRule="auto"/>
        <w:ind w:firstLine="0"/>
        <w:rPr>
          <w:sz w:val="48"/>
          <w:szCs w:val="48"/>
        </w:rPr>
      </w:pPr>
    </w:p>
    <w:p w:rsidRPr="00097D0C" w:rsidR="007D22A1" w:rsidP="00097D0C" w:rsidRDefault="007D22A1" w14:paraId="623D8E44" w14:textId="0A66941C">
      <w:pPr>
        <w:pStyle w:val="Standard"/>
        <w:spacing w:line="240" w:lineRule="auto"/>
        <w:ind w:firstLine="0"/>
        <w:jc w:val="center"/>
        <w:rPr>
          <w:sz w:val="48"/>
          <w:szCs w:val="48"/>
        </w:rPr>
      </w:pPr>
      <w:r w:rsidRPr="00097D0C">
        <w:rPr>
          <w:sz w:val="48"/>
          <w:szCs w:val="48"/>
        </w:rPr>
        <w:t>APPENDIX B</w:t>
      </w:r>
    </w:p>
    <w:p w:rsidRPr="00097D0C" w:rsidR="00097D0C" w:rsidP="00097D0C" w:rsidRDefault="00097D0C" w14:paraId="0E688371" w14:textId="77777777">
      <w:pPr>
        <w:pStyle w:val="Standard"/>
        <w:ind w:firstLine="0"/>
        <w:jc w:val="center"/>
        <w:rPr>
          <w:sz w:val="36"/>
          <w:szCs w:val="36"/>
        </w:rPr>
      </w:pPr>
      <w:r w:rsidRPr="00097D0C">
        <w:rPr>
          <w:sz w:val="36"/>
          <w:szCs w:val="36"/>
        </w:rPr>
        <w:t>TECH Tenant Protection Agreement</w:t>
      </w:r>
    </w:p>
    <w:p w:rsidRPr="000C74EE" w:rsidR="007D22A1" w:rsidP="007D22A1" w:rsidRDefault="007D22A1" w14:paraId="405BE8DB" w14:textId="77777777">
      <w:pPr>
        <w:pStyle w:val="Standard"/>
        <w:ind w:firstLine="0"/>
        <w:rPr>
          <w:szCs w:val="26"/>
        </w:rPr>
      </w:pPr>
    </w:p>
    <w:sectPr w:rsidRPr="000C74EE" w:rsidR="007D22A1" w:rsidSect="008D6894">
      <w:pgSz w:w="12240" w:h="15840"/>
      <w:pgMar w:top="1728" w:right="1440" w:bottom="1440" w:left="1440" w:header="720" w:footer="720" w:gutter="0"/>
      <w:pgNumType w:start="1"/>
      <w:cols w:space="720"/>
      <w:docGrid w:linePitch="360"/>
    </w:sectPr>
    <w:p>
      <w:r>
        <w:t xml:space="preserve"/>
      </w:r>
    </w:p>
    <w:p>
      <w:r>
        <w:t xml:space="preserve">Attachment 1: </w:t>
      </w:r>
    </w:p>
    <w:p>
      <w:hyperlink w:history="true" r:id="R4897a289d0174743">
        <w:r w:rsidRPr="00CB1292">
          <w:rPr>
            <w:rStyle w:val="Hyperlink"/>
            <w:color w:val="2E74B5" w:themeColor="accent1" w:themeShade="BF"/>
            <w:u w:val="single"/>
          </w:rPr>
          <w:t>(Rev. 1) Appendix B to PD R.19-01-011.docx</w:t>
        </w:r>
      </w:hyperlink>
    </w:p>
    <w:p>
      <w:r>
        <w:t xml:space="preserve"/>
      </w:r>
    </w:p>
    <w:p>
      <w:r>
        <w:t xml:space="preserve">Attachment 2: </w:t>
      </w:r>
    </w:p>
    <w:p>
      <w:hyperlink w:history="true" r:id="R64b560e5f67446b8">
        <w:r w:rsidRPr="00CB1292">
          <w:rPr>
            <w:rStyle w:val="Hyperlink"/>
            <w:color w:val="2E74B5" w:themeColor="accent1" w:themeShade="BF"/>
            <w:u w:val="single"/>
          </w:rPr>
          <w:t>(Rev. 1) Appendix A to PD R.19-01-011.docx</w:t>
        </w:r>
      </w:hyperlink>
    </w:p>
    <w:p>
      <w:r>
        <w:t xml:space="preserve"/>
      </w:r>
    </w:p>
    <w:p>
      <w:r>
        <w:t xml:space="preserve">Attachment 3: </w:t>
      </w:r>
    </w:p>
    <w:p>
      <w:hyperlink w:history="true" r:id="Rc1012dc61f694543">
        <w:r w:rsidRPr="00CB1292">
          <w:rPr>
            <w:rStyle w:val="Hyperlink"/>
            <w:color w:val="2E74B5" w:themeColor="accent1" w:themeShade="BF"/>
            <w:u w:val="single"/>
          </w:rPr>
          <w:t>REDLINE (Rev. 1) R.19-01-011 Phase 4 Track A Decision Establishing New Electric Service (updated).pdf</w:t>
        </w:r>
      </w:hyperlink>
    </w:p>
    <w:p>
      <w:r>
        <w:t xml:space="preserve"/>
      </w:r>
    </w:p>
    <w:p>
      <w:r>
        <w:t xml:space="preserve">Attachment 4: </w:t>
      </w:r>
    </w:p>
    <w:p>
      <w:hyperlink w:history="true" r:id="Rd4d092ba33d949d6">
        <w:r w:rsidRPr="00CB1292">
          <w:rPr>
            <w:rStyle w:val="Hyperlink"/>
            <w:color w:val="2E74B5" w:themeColor="accent1" w:themeShade="BF"/>
            <w:u w:val="single"/>
          </w:rPr>
          <w:t>REDLINE (Rev. 1) Appendix B to PD R.19-01-011.pdf</w:t>
        </w:r>
      </w:hyperlink>
    </w:p>
    <w:p>
      <w:r>
        <w:t xml:space="preserve"/>
      </w:r>
    </w:p>
    <w:p>
      <w:r>
        <w:t xml:space="preserve">Attachment 5: </w:t>
      </w:r>
    </w:p>
    <w:p>
      <w:hyperlink w:history="true" r:id="R9484a922a314496e">
        <w:r w:rsidRPr="00CB1292">
          <w:rPr>
            <w:rStyle w:val="Hyperlink"/>
            <w:color w:val="2E74B5" w:themeColor="accent1" w:themeShade="BF"/>
            <w:u w:val="single"/>
          </w:rPr>
          <w:t>REDLINE (Rev. 1) Appendix A to PD R.19-01-011.pdf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594D1" w14:textId="77777777" w:rsidR="00C50E8B" w:rsidRDefault="00C50E8B" w:rsidP="0098138E">
      <w:pPr>
        <w:spacing w:line="240" w:lineRule="auto"/>
      </w:pPr>
      <w:r>
        <w:separator/>
      </w:r>
    </w:p>
  </w:endnote>
  <w:endnote w:type="continuationSeparator" w:id="0">
    <w:p w14:paraId="0EF8B21B" w14:textId="77777777" w:rsidR="00C50E8B" w:rsidRDefault="00C50E8B" w:rsidP="0098138E">
      <w:pPr>
        <w:spacing w:line="240" w:lineRule="auto"/>
      </w:pPr>
      <w:r>
        <w:continuationSeparator/>
      </w:r>
    </w:p>
  </w:endnote>
  <w:endnote w:type="continuationNotice" w:id="1">
    <w:p w14:paraId="17E15F6F" w14:textId="77777777" w:rsidR="00C50E8B" w:rsidRDefault="00C50E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3041" w14:textId="5D8D838C" w:rsidR="00805CA4" w:rsidRDefault="009F5A39" w:rsidP="00121614">
    <w:pPr>
      <w:tabs>
        <w:tab w:val="center" w:pos="4680"/>
      </w:tabs>
      <w:spacing w:line="240" w:lineRule="auto"/>
      <w:ind w:firstLine="0"/>
      <w:rPr>
        <w:noProof/>
      </w:rPr>
    </w:pPr>
    <w:r w:rsidRPr="009F5A39">
      <w:rPr>
        <w:sz w:val="18"/>
        <w:szCs w:val="18"/>
      </w:rPr>
      <w:t>569067338</w:t>
    </w:r>
    <w:sdt>
      <w:sdtPr>
        <w:id w:val="-1352874971"/>
        <w:docPartObj>
          <w:docPartGallery w:val="Page Numbers (Bottom of Page)"/>
          <w:docPartUnique/>
        </w:docPartObj>
      </w:sdtPr>
      <w:sdtEndPr>
        <w:rPr>
          <w:noProof/>
        </w:rPr>
      </w:sdtEndPr>
      <w:sdtContent>
        <w:r w:rsidR="00805CA4">
          <w:rPr>
            <w:rFonts w:ascii="Arial" w:hAnsi="Arial" w:cs="Arial"/>
            <w:sz w:val="16"/>
            <w:szCs w:val="16"/>
          </w:rPr>
          <w:tab/>
        </w:r>
        <w:r w:rsidR="00805CA4">
          <w:t xml:space="preserve">- </w:t>
        </w:r>
        <w:r w:rsidR="00805CA4">
          <w:fldChar w:fldCharType="begin"/>
        </w:r>
        <w:r w:rsidR="00805CA4">
          <w:instrText xml:space="preserve"> PAGE   \* MERGEFORMAT </w:instrText>
        </w:r>
        <w:r w:rsidR="00805CA4">
          <w:fldChar w:fldCharType="separate"/>
        </w:r>
        <w:r w:rsidR="00805CA4">
          <w:t>1</w:t>
        </w:r>
        <w:r w:rsidR="00805CA4">
          <w:rPr>
            <w:noProof/>
          </w:rPr>
          <w:fldChar w:fldCharType="end"/>
        </w:r>
      </w:sdtContent>
    </w:sdt>
    <w:r w:rsidR="00805CA4">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AACC" w14:textId="28B5D3F1" w:rsidR="00805CA4" w:rsidRDefault="00805CA4" w:rsidP="00805CA4">
    <w:pPr>
      <w:spacing w:line="240" w:lineRule="auto"/>
      <w:ind w:firstLine="0"/>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i</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075685"/>
      <w:docPartObj>
        <w:docPartGallery w:val="Page Numbers (Bottom of Page)"/>
        <w:docPartUnique/>
      </w:docPartObj>
    </w:sdtPr>
    <w:sdtEndPr>
      <w:rPr>
        <w:noProof/>
      </w:rPr>
    </w:sdtEndPr>
    <w:sdtContent>
      <w:p w14:paraId="5BC00B78" w14:textId="6F852987" w:rsidR="00E0360E" w:rsidRPr="009B079E" w:rsidRDefault="00805CA4" w:rsidP="00805CA4">
        <w:pPr>
          <w:spacing w:line="240" w:lineRule="auto"/>
          <w:ind w:firstLine="0"/>
          <w:jc w:val="center"/>
        </w:pPr>
        <w:r>
          <w:t>-</w:t>
        </w:r>
        <w:sdt>
          <w:sdtPr>
            <w:id w:val="-103404340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1</w:t>
            </w:r>
            <w:r>
              <w:rPr>
                <w:noProof/>
              </w:rPr>
              <w:fldChar w:fldCharType="end"/>
            </w:r>
            <w:r>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623C" w14:textId="30E75602" w:rsidR="007D22A1" w:rsidRPr="009B079E" w:rsidRDefault="007D22A1" w:rsidP="008D68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74FD6" w14:textId="77777777" w:rsidR="00C50E8B" w:rsidRDefault="00C50E8B" w:rsidP="00DF58E7">
      <w:pPr>
        <w:spacing w:line="240" w:lineRule="auto"/>
        <w:ind w:firstLine="0"/>
      </w:pPr>
      <w:r>
        <w:separator/>
      </w:r>
    </w:p>
  </w:footnote>
  <w:footnote w:type="continuationSeparator" w:id="0">
    <w:p w14:paraId="53E5FA9E" w14:textId="77777777" w:rsidR="00C50E8B" w:rsidRDefault="00C50E8B" w:rsidP="00DF58E7">
      <w:pPr>
        <w:spacing w:line="240" w:lineRule="auto"/>
        <w:ind w:firstLine="0"/>
      </w:pPr>
      <w:r>
        <w:continuationSeparator/>
      </w:r>
    </w:p>
  </w:footnote>
  <w:footnote w:type="continuationNotice" w:id="1">
    <w:p w14:paraId="11D0531D" w14:textId="77777777" w:rsidR="00C50E8B" w:rsidRPr="00DF58E7" w:rsidRDefault="00C50E8B" w:rsidP="00DF58E7">
      <w:pPr>
        <w:spacing w:line="240" w:lineRule="auto"/>
        <w:ind w:firstLine="0"/>
        <w:jc w:val="right"/>
        <w:rPr>
          <w:i/>
          <w:sz w:val="22"/>
        </w:rPr>
      </w:pPr>
    </w:p>
  </w:footnote>
  <w:footnote w:id="2">
    <w:p w14:paraId="7988EA38" w14:textId="5F627702" w:rsidR="00487FB1" w:rsidRPr="00FB5742" w:rsidRDefault="00487FB1"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00E22537" w:rsidRPr="00FB5742">
        <w:rPr>
          <w:szCs w:val="22"/>
        </w:rPr>
        <w:t>T</w:t>
      </w:r>
      <w:r w:rsidR="00A577A1" w:rsidRPr="00FB5742">
        <w:rPr>
          <w:szCs w:val="22"/>
        </w:rPr>
        <w:t>his late-</w:t>
      </w:r>
      <w:r w:rsidR="00E22537" w:rsidRPr="00FB5742">
        <w:rPr>
          <w:szCs w:val="22"/>
        </w:rPr>
        <w:t>fil</w:t>
      </w:r>
      <w:r w:rsidR="00855E4F" w:rsidRPr="00FB5742">
        <w:rPr>
          <w:szCs w:val="22"/>
        </w:rPr>
        <w:t xml:space="preserve">ed </w:t>
      </w:r>
      <w:r w:rsidR="00A577A1" w:rsidRPr="00FB5742">
        <w:rPr>
          <w:szCs w:val="22"/>
        </w:rPr>
        <w:t>comment</w:t>
      </w:r>
      <w:r w:rsidR="00855E4F" w:rsidRPr="00FB5742">
        <w:rPr>
          <w:szCs w:val="22"/>
        </w:rPr>
        <w:t xml:space="preserve"> </w:t>
      </w:r>
      <w:r w:rsidR="00E22537" w:rsidRPr="00FB5742">
        <w:rPr>
          <w:szCs w:val="22"/>
        </w:rPr>
        <w:t xml:space="preserve">was received </w:t>
      </w:r>
      <w:r w:rsidR="00855E4F" w:rsidRPr="00FB5742">
        <w:rPr>
          <w:szCs w:val="22"/>
        </w:rPr>
        <w:t>into the record.</w:t>
      </w:r>
    </w:p>
  </w:footnote>
  <w:footnote w:id="3">
    <w:p w14:paraId="0E4B656A" w14:textId="70497E64" w:rsidR="00985AAB" w:rsidRPr="00FB5742" w:rsidRDefault="00985AAB" w:rsidP="00FB5742">
      <w:pPr>
        <w:pStyle w:val="FootnoteText"/>
        <w:rPr>
          <w:szCs w:val="22"/>
        </w:rPr>
      </w:pPr>
      <w:r w:rsidRPr="00FB5742">
        <w:rPr>
          <w:rStyle w:val="FootnoteReference"/>
          <w:szCs w:val="22"/>
        </w:rPr>
        <w:footnoteRef/>
      </w:r>
      <w:r w:rsidR="00CB01F0" w:rsidRPr="00FB5742">
        <w:rPr>
          <w:szCs w:val="22"/>
        </w:rPr>
        <w:t xml:space="preserve"> </w:t>
      </w:r>
      <w:r w:rsidR="00DD29DA" w:rsidRPr="00FB5742">
        <w:rPr>
          <w:szCs w:val="22"/>
        </w:rPr>
        <w:t xml:space="preserve"> </w:t>
      </w:r>
      <w:r w:rsidR="00BC24F8" w:rsidRPr="00FB5742">
        <w:rPr>
          <w:szCs w:val="22"/>
        </w:rPr>
        <w:t xml:space="preserve">VEIC </w:t>
      </w:r>
      <w:r w:rsidR="00791AF3" w:rsidRPr="00FB5742">
        <w:rPr>
          <w:szCs w:val="22"/>
        </w:rPr>
        <w:t>fil</w:t>
      </w:r>
      <w:r w:rsidR="00536993" w:rsidRPr="00FB5742">
        <w:rPr>
          <w:szCs w:val="22"/>
        </w:rPr>
        <w:t xml:space="preserve">ed </w:t>
      </w:r>
      <w:r w:rsidR="00791AF3" w:rsidRPr="00FB5742">
        <w:rPr>
          <w:szCs w:val="22"/>
        </w:rPr>
        <w:t>its</w:t>
      </w:r>
      <w:r w:rsidR="00536993" w:rsidRPr="00FB5742">
        <w:rPr>
          <w:szCs w:val="22"/>
        </w:rPr>
        <w:t xml:space="preserve"> opening and reply comments on behalf of the TECH Initiative team, which </w:t>
      </w:r>
      <w:r w:rsidR="00791AF3" w:rsidRPr="00FB5742">
        <w:rPr>
          <w:szCs w:val="22"/>
        </w:rPr>
        <w:t>it is</w:t>
      </w:r>
      <w:r w:rsidR="00536993" w:rsidRPr="00FB5742">
        <w:rPr>
          <w:szCs w:val="22"/>
        </w:rPr>
        <w:t xml:space="preserve"> a part of. </w:t>
      </w:r>
    </w:p>
  </w:footnote>
  <w:footnote w:id="4">
    <w:p w14:paraId="69061F65" w14:textId="383949C9" w:rsidR="00417BC7" w:rsidRPr="00FB5742" w:rsidRDefault="00417BC7"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This is the da</w:t>
      </w:r>
      <w:r w:rsidR="00831785" w:rsidRPr="00FB5742">
        <w:rPr>
          <w:szCs w:val="22"/>
        </w:rPr>
        <w:t>te</w:t>
      </w:r>
      <w:r w:rsidRPr="00FB5742">
        <w:rPr>
          <w:szCs w:val="22"/>
        </w:rPr>
        <w:t xml:space="preserve"> the last </w:t>
      </w:r>
      <w:r w:rsidR="00A84D94" w:rsidRPr="00FB5742">
        <w:rPr>
          <w:szCs w:val="22"/>
        </w:rPr>
        <w:t xml:space="preserve">reply </w:t>
      </w:r>
      <w:r w:rsidRPr="00FB5742">
        <w:rPr>
          <w:szCs w:val="22"/>
        </w:rPr>
        <w:t>comments were filed</w:t>
      </w:r>
      <w:r w:rsidR="00A84D94" w:rsidRPr="00FB5742">
        <w:rPr>
          <w:szCs w:val="22"/>
        </w:rPr>
        <w:t xml:space="preserve"> concerning AB 157</w:t>
      </w:r>
      <w:r w:rsidRPr="00FB5742">
        <w:rPr>
          <w:szCs w:val="22"/>
        </w:rPr>
        <w:t>.</w:t>
      </w:r>
    </w:p>
  </w:footnote>
  <w:footnote w:id="5">
    <w:p w14:paraId="1185CEEA" w14:textId="726FB91E" w:rsidR="00B50446" w:rsidRPr="00FB5742" w:rsidRDefault="00B50446"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00462690" w:rsidRPr="00FB5742">
        <w:rPr>
          <w:i/>
          <w:iCs/>
          <w:szCs w:val="22"/>
        </w:rPr>
        <w:t>Citing</w:t>
      </w:r>
      <w:r w:rsidR="00462690" w:rsidRPr="00FB5742">
        <w:rPr>
          <w:szCs w:val="22"/>
        </w:rPr>
        <w:t xml:space="preserve"> </w:t>
      </w:r>
      <w:r w:rsidRPr="00FB5742">
        <w:rPr>
          <w:szCs w:val="22"/>
        </w:rPr>
        <w:t>May 17, 2019 Scoping Memo, at 3-4</w:t>
      </w:r>
      <w:r w:rsidR="00462690" w:rsidRPr="00FB5742">
        <w:rPr>
          <w:szCs w:val="22"/>
        </w:rPr>
        <w:t xml:space="preserve">, </w:t>
      </w:r>
      <w:r w:rsidR="00693790" w:rsidRPr="00FB5742">
        <w:rPr>
          <w:szCs w:val="22"/>
        </w:rPr>
        <w:t>which</w:t>
      </w:r>
      <w:r w:rsidR="00462690" w:rsidRPr="00FB5742">
        <w:rPr>
          <w:szCs w:val="22"/>
        </w:rPr>
        <w:t xml:space="preserve"> established initial schedule for R.19</w:t>
      </w:r>
      <w:r w:rsidR="00DD29DA" w:rsidRPr="00FB5742">
        <w:rPr>
          <w:szCs w:val="22"/>
        </w:rPr>
        <w:noBreakHyphen/>
      </w:r>
      <w:r w:rsidR="00462690" w:rsidRPr="00FB5742">
        <w:rPr>
          <w:szCs w:val="22"/>
        </w:rPr>
        <w:t>01</w:t>
      </w:r>
      <w:r w:rsidR="00DD29DA" w:rsidRPr="00FB5742">
        <w:rPr>
          <w:szCs w:val="22"/>
        </w:rPr>
        <w:noBreakHyphen/>
      </w:r>
      <w:r w:rsidR="00462690" w:rsidRPr="00FB5742">
        <w:rPr>
          <w:szCs w:val="22"/>
        </w:rPr>
        <w:t>011</w:t>
      </w:r>
      <w:r w:rsidR="00693790" w:rsidRPr="00FB5742">
        <w:rPr>
          <w:szCs w:val="22"/>
        </w:rPr>
        <w:t>.</w:t>
      </w:r>
    </w:p>
  </w:footnote>
  <w:footnote w:id="6">
    <w:p w14:paraId="555F9CBB" w14:textId="431DAEA2" w:rsidR="00B50446" w:rsidRPr="00FB5742" w:rsidRDefault="00B50446"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This issue is based on a question posed to the parties in Appendix A to the Phase 4 Scoping Memo (Question 8) and the parties’ comments thereto.</w:t>
      </w:r>
    </w:p>
  </w:footnote>
  <w:footnote w:id="7">
    <w:p w14:paraId="500C94D7" w14:textId="64C144B5" w:rsidR="00B50446" w:rsidRPr="00FB5742" w:rsidRDefault="00B50446"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 xml:space="preserve">This issue is based on the October 8, 2024 ALJ ruling directing parties to comment on </w:t>
      </w:r>
      <w:r w:rsidR="00240655" w:rsidRPr="00FB5742">
        <w:rPr>
          <w:szCs w:val="22"/>
        </w:rPr>
        <w:t>AB </w:t>
      </w:r>
      <w:r w:rsidRPr="00FB5742">
        <w:rPr>
          <w:szCs w:val="22"/>
        </w:rPr>
        <w:t>157 implementation, and the parties’ comments thereto.</w:t>
      </w:r>
    </w:p>
  </w:footnote>
  <w:footnote w:id="8">
    <w:p w14:paraId="3C79E13C" w14:textId="11A33E07" w:rsidR="00C6533D" w:rsidRPr="00FB5742" w:rsidRDefault="00C6533D" w:rsidP="00FB5742">
      <w:pPr>
        <w:pStyle w:val="FootnoteText"/>
        <w:rPr>
          <w:rFonts w:eastAsia="Book Antiqua" w:cs="Book Antiqua"/>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rFonts w:eastAsia="Book Antiqua" w:cs="Book Antiqua"/>
          <w:szCs w:val="22"/>
        </w:rPr>
        <w:t>Parties were asked to comment on the following questions:</w:t>
      </w:r>
      <w:r w:rsidR="001E48BC" w:rsidRPr="00FB5742">
        <w:rPr>
          <w:rFonts w:eastAsia="Book Antiqua" w:cs="Book Antiqua"/>
          <w:szCs w:val="22"/>
        </w:rPr>
        <w:t xml:space="preserve"> (1) </w:t>
      </w:r>
      <w:r w:rsidRPr="00FB5742">
        <w:rPr>
          <w:rFonts w:eastAsia="Book Antiqua" w:cs="Book Antiqua"/>
          <w:szCs w:val="22"/>
        </w:rPr>
        <w:t>Should the Commission limit any potential extension of common facility cost treatment to just residential under-resourced customers? If not, what other customer segments should be considered?</w:t>
      </w:r>
      <w:r w:rsidR="001E48BC" w:rsidRPr="00FB5742">
        <w:rPr>
          <w:rFonts w:eastAsia="Book Antiqua" w:cs="Book Antiqua"/>
          <w:szCs w:val="22"/>
        </w:rPr>
        <w:t xml:space="preserve"> (2) </w:t>
      </w:r>
      <w:r w:rsidRPr="00FB5742">
        <w:rPr>
          <w:rFonts w:eastAsia="Book Antiqua" w:cs="Book Antiqua"/>
          <w:szCs w:val="22"/>
        </w:rPr>
        <w:t xml:space="preserve">Should the Commission limit any potential extension of common facility cost treatment solely to cases involving the installation of electric appliances or should service line upsizing be agnostic as to end use? If not, should </w:t>
      </w:r>
      <w:r w:rsidR="00644EE7" w:rsidRPr="00FB5742">
        <w:rPr>
          <w:rFonts w:eastAsia="Book Antiqua" w:cs="Book Antiqua"/>
          <w:szCs w:val="22"/>
        </w:rPr>
        <w:t>investor-owned utilities (</w:t>
      </w:r>
      <w:r w:rsidRPr="00FB5742">
        <w:rPr>
          <w:rFonts w:eastAsia="Book Antiqua" w:cs="Book Antiqua"/>
          <w:szCs w:val="22"/>
        </w:rPr>
        <w:t>IOUs</w:t>
      </w:r>
      <w:r w:rsidR="00644EE7" w:rsidRPr="00FB5742">
        <w:rPr>
          <w:rFonts w:eastAsia="Book Antiqua" w:cs="Book Antiqua"/>
          <w:szCs w:val="22"/>
        </w:rPr>
        <w:t>)</w:t>
      </w:r>
      <w:r w:rsidRPr="00FB5742">
        <w:rPr>
          <w:rFonts w:eastAsia="Book Antiqua" w:cs="Book Antiqua"/>
          <w:szCs w:val="22"/>
        </w:rPr>
        <w:t xml:space="preserve"> be required to verify if only approved end uses were pursued? How should this be implemented?</w:t>
      </w:r>
      <w:r w:rsidR="001E48BC" w:rsidRPr="00FB5742">
        <w:rPr>
          <w:rFonts w:eastAsia="Book Antiqua" w:cs="Book Antiqua"/>
          <w:szCs w:val="22"/>
        </w:rPr>
        <w:t xml:space="preserve"> (3) </w:t>
      </w:r>
      <w:r w:rsidRPr="00FB5742">
        <w:rPr>
          <w:rFonts w:eastAsia="Book Antiqua" w:cs="Book Antiqua"/>
          <w:szCs w:val="22"/>
        </w:rPr>
        <w:t>Should the Commission limit any potential extension of common facility cost treatment in cases where a service line upsizing is estimated to cross a certain cost threshold? If so, what should that cost threshold be?</w:t>
      </w:r>
      <w:r w:rsidR="001E48BC" w:rsidRPr="00FB5742">
        <w:rPr>
          <w:rFonts w:eastAsia="Book Antiqua" w:cs="Book Antiqua"/>
          <w:szCs w:val="22"/>
        </w:rPr>
        <w:t xml:space="preserve"> (4) </w:t>
      </w:r>
      <w:r w:rsidRPr="00FB5742">
        <w:rPr>
          <w:rFonts w:eastAsia="Book Antiqua" w:cs="Book Antiqua"/>
          <w:szCs w:val="22"/>
        </w:rPr>
        <w:t>Should the Commission place limits on the amount of ratepayer funds that can be expended for any potential extension of common facility cost treatment policy (e.g., extension cost, extension length, need for undergrounding, etc.)? If so, what should those limits be and how should they be imposed?</w:t>
      </w:r>
      <w:r w:rsidR="001E48BC" w:rsidRPr="00FB5742">
        <w:rPr>
          <w:rFonts w:eastAsia="Book Antiqua" w:cs="Book Antiqua"/>
          <w:szCs w:val="22"/>
        </w:rPr>
        <w:t xml:space="preserve"> (5) </w:t>
      </w:r>
      <w:r w:rsidRPr="00FB5742">
        <w:rPr>
          <w:rFonts w:eastAsia="Book Antiqua" w:cs="Book Antiqua"/>
          <w:szCs w:val="22"/>
        </w:rPr>
        <w:t>How should any potential extension of common facility cost treatment be evaluated to determine future need for termination or modification? Should any such evaluation be done in concert with an evaluation of the same policy that is already in place for electric vehicle charging?</w:t>
      </w:r>
    </w:p>
  </w:footnote>
  <w:footnote w:id="9">
    <w:p w14:paraId="6DD05E51" w14:textId="6FAE0516" w:rsidR="00C6533D" w:rsidRPr="00FB5742" w:rsidRDefault="00C6533D" w:rsidP="00FB5742">
      <w:pPr>
        <w:pStyle w:val="FootnoteText"/>
        <w:rPr>
          <w:rFonts w:eastAsia="Book Antiqua" w:cs="Book Antiqua"/>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rFonts w:eastAsia="Book Antiqua" w:cs="Book Antiqua"/>
          <w:szCs w:val="22"/>
        </w:rPr>
        <w:t>Specific questions posed to parties included the following:</w:t>
      </w:r>
      <w:r w:rsidR="001E48BC" w:rsidRPr="00FB5742">
        <w:rPr>
          <w:rFonts w:eastAsia="Book Antiqua" w:cs="Book Antiqua"/>
          <w:szCs w:val="22"/>
        </w:rPr>
        <w:t xml:space="preserve"> (1) </w:t>
      </w:r>
      <w:r w:rsidRPr="00FB5742">
        <w:rPr>
          <w:rFonts w:eastAsia="Book Antiqua" w:cs="Book Antiqua"/>
          <w:szCs w:val="22"/>
        </w:rPr>
        <w:t>Should “under-resourced” be defined as broadly as possible, and be inclusive of existing definitions established by the California Legislature and by various Commission decisions? Or should narrower limits be put in place?</w:t>
      </w:r>
      <w:r w:rsidR="001E48BC" w:rsidRPr="00FB5742">
        <w:rPr>
          <w:rFonts w:eastAsia="Book Antiqua" w:cs="Book Antiqua"/>
          <w:szCs w:val="22"/>
        </w:rPr>
        <w:t xml:space="preserve"> (2) </w:t>
      </w:r>
      <w:r w:rsidRPr="00FB5742">
        <w:rPr>
          <w:rFonts w:eastAsia="Book Antiqua" w:cs="Book Antiqua"/>
          <w:szCs w:val="22"/>
        </w:rPr>
        <w:t>Should the income of the applicant requiring the service line upsizing be verified? If so, how, and by whom, should it be verified?</w:t>
      </w:r>
    </w:p>
  </w:footnote>
  <w:footnote w:id="10">
    <w:p w14:paraId="222A68EC" w14:textId="02060466" w:rsidR="00C6533D" w:rsidRPr="00FB5742" w:rsidRDefault="00C6533D"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rFonts w:eastAsia="Book Antiqua" w:cs="Book Antiqua"/>
          <w:szCs w:val="22"/>
        </w:rPr>
        <w:t>Parties were asked</w:t>
      </w:r>
      <w:r w:rsidR="00A577A1" w:rsidRPr="00FB5742">
        <w:rPr>
          <w:rFonts w:eastAsia="Book Antiqua" w:cs="Book Antiqua"/>
          <w:szCs w:val="22"/>
        </w:rPr>
        <w:t xml:space="preserve"> </w:t>
      </w:r>
      <w:r w:rsidRPr="00FB5742">
        <w:rPr>
          <w:rFonts w:eastAsia="Book Antiqua" w:cs="Book Antiqua"/>
          <w:szCs w:val="22"/>
        </w:rPr>
        <w:t>the following: (1) Is participation in an incentive or assistance program essential or should participation in an incentive or assistance program not be necessary?</w:t>
      </w:r>
    </w:p>
  </w:footnote>
  <w:footnote w:id="11">
    <w:p w14:paraId="21016C6B" w14:textId="3BE363A5" w:rsidR="006219CB" w:rsidRPr="00FB5742" w:rsidRDefault="006219CB"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0047358C" w:rsidRPr="00FB5742">
        <w:rPr>
          <w:szCs w:val="22"/>
        </w:rPr>
        <w:t xml:space="preserve">Joint </w:t>
      </w:r>
      <w:r w:rsidR="00672299" w:rsidRPr="00FB5742">
        <w:rPr>
          <w:szCs w:val="22"/>
        </w:rPr>
        <w:t>REN</w:t>
      </w:r>
      <w:r w:rsidR="0047358C" w:rsidRPr="00FB5742">
        <w:rPr>
          <w:szCs w:val="22"/>
        </w:rPr>
        <w:t>s</w:t>
      </w:r>
      <w:r w:rsidR="00672299" w:rsidRPr="00FB5742">
        <w:rPr>
          <w:szCs w:val="22"/>
        </w:rPr>
        <w:t xml:space="preserve"> </w:t>
      </w:r>
      <w:r w:rsidR="00B908D0" w:rsidRPr="00FB5742">
        <w:rPr>
          <w:szCs w:val="22"/>
          <w:lang w:val="en-ZW"/>
        </w:rPr>
        <w:t>Opening Comments on Phase 4 Scoping Memo</w:t>
      </w:r>
      <w:r w:rsidR="00E925C9" w:rsidRPr="00FB5742">
        <w:rPr>
          <w:szCs w:val="22"/>
        </w:rPr>
        <w:t xml:space="preserve"> at 3</w:t>
      </w:r>
      <w:r w:rsidR="006222DD" w:rsidRPr="00FB5742">
        <w:rPr>
          <w:szCs w:val="22"/>
        </w:rPr>
        <w:t xml:space="preserve"> and 5.</w:t>
      </w:r>
      <w:r w:rsidR="00E925C9" w:rsidRPr="00FB5742">
        <w:rPr>
          <w:szCs w:val="22"/>
        </w:rPr>
        <w:t xml:space="preserve"> </w:t>
      </w:r>
    </w:p>
  </w:footnote>
  <w:footnote w:id="12">
    <w:p w14:paraId="19B2941F" w14:textId="1D727954" w:rsidR="00685C4D" w:rsidRPr="00FB5742" w:rsidRDefault="00685C4D"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 xml:space="preserve">Joint Parties </w:t>
      </w:r>
      <w:r w:rsidR="00C571EC" w:rsidRPr="00FB5742">
        <w:rPr>
          <w:szCs w:val="22"/>
          <w:lang w:val="en-ZW"/>
        </w:rPr>
        <w:t xml:space="preserve">Opening Comments on Phase 4 Scoping Memo </w:t>
      </w:r>
      <w:r w:rsidR="005413E1" w:rsidRPr="00FB5742">
        <w:rPr>
          <w:szCs w:val="22"/>
        </w:rPr>
        <w:t xml:space="preserve">at </w:t>
      </w:r>
      <w:r w:rsidR="00845661" w:rsidRPr="00FB5742">
        <w:rPr>
          <w:szCs w:val="22"/>
        </w:rPr>
        <w:t>1</w:t>
      </w:r>
      <w:r w:rsidR="00874FC5" w:rsidRPr="00FB5742">
        <w:rPr>
          <w:szCs w:val="22"/>
        </w:rPr>
        <w:t>-</w:t>
      </w:r>
      <w:r w:rsidR="00BB31C8" w:rsidRPr="00FB5742">
        <w:rPr>
          <w:szCs w:val="22"/>
        </w:rPr>
        <w:t>3</w:t>
      </w:r>
      <w:r w:rsidR="00845661" w:rsidRPr="00FB5742">
        <w:rPr>
          <w:szCs w:val="22"/>
        </w:rPr>
        <w:t xml:space="preserve"> and 9.</w:t>
      </w:r>
    </w:p>
  </w:footnote>
  <w:footnote w:id="13">
    <w:p w14:paraId="26016761" w14:textId="4BA54177" w:rsidR="00554289" w:rsidRPr="00FB5742" w:rsidRDefault="00554289"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 xml:space="preserve">PG&amp;E </w:t>
      </w:r>
      <w:r w:rsidR="00C571EC" w:rsidRPr="00FB5742">
        <w:rPr>
          <w:szCs w:val="22"/>
          <w:lang w:val="en-ZW"/>
        </w:rPr>
        <w:t>Opening Comments on Phase 4 Scoping Memo</w:t>
      </w:r>
      <w:r w:rsidRPr="00FB5742">
        <w:rPr>
          <w:szCs w:val="22"/>
        </w:rPr>
        <w:t xml:space="preserve"> at 3.</w:t>
      </w:r>
    </w:p>
  </w:footnote>
  <w:footnote w:id="14">
    <w:p w14:paraId="700C0644" w14:textId="38411607" w:rsidR="00833654" w:rsidRPr="00FB5742" w:rsidRDefault="00833654" w:rsidP="00FB5742">
      <w:pPr>
        <w:pStyle w:val="FootnoteText"/>
        <w:rPr>
          <w:szCs w:val="22"/>
        </w:rPr>
      </w:pPr>
      <w:r w:rsidRPr="00FB5742">
        <w:rPr>
          <w:rStyle w:val="FootnoteReference"/>
          <w:szCs w:val="22"/>
        </w:rPr>
        <w:footnoteRef/>
      </w:r>
      <w:r w:rsidR="00DD29DA" w:rsidRPr="00FB5742">
        <w:rPr>
          <w:szCs w:val="22"/>
        </w:rPr>
        <w:t xml:space="preserve"> </w:t>
      </w:r>
      <w:r w:rsidRPr="00FB5742">
        <w:rPr>
          <w:szCs w:val="22"/>
        </w:rPr>
        <w:t xml:space="preserve"> </w:t>
      </w:r>
      <w:r w:rsidR="00435546" w:rsidRPr="00FB5742">
        <w:rPr>
          <w:szCs w:val="22"/>
        </w:rPr>
        <w:t>Cal</w:t>
      </w:r>
      <w:r w:rsidR="005F14F6" w:rsidRPr="00FB5742">
        <w:rPr>
          <w:szCs w:val="22"/>
        </w:rPr>
        <w:t xml:space="preserve"> </w:t>
      </w:r>
      <w:r w:rsidRPr="00FB5742">
        <w:rPr>
          <w:szCs w:val="22"/>
        </w:rPr>
        <w:t xml:space="preserve">Advocates </w:t>
      </w:r>
      <w:r w:rsidR="00C571EC" w:rsidRPr="00FB5742">
        <w:rPr>
          <w:szCs w:val="22"/>
          <w:lang w:val="en-ZW"/>
        </w:rPr>
        <w:t>Opening Comments on Phase 4 Scoping Memo</w:t>
      </w:r>
      <w:r w:rsidRPr="00FB5742">
        <w:rPr>
          <w:szCs w:val="22"/>
        </w:rPr>
        <w:t xml:space="preserve"> at </w:t>
      </w:r>
      <w:r w:rsidR="003E0FD5" w:rsidRPr="00FB5742">
        <w:rPr>
          <w:szCs w:val="22"/>
        </w:rPr>
        <w:t>1-9.</w:t>
      </w:r>
    </w:p>
  </w:footnote>
  <w:footnote w:id="15">
    <w:p w14:paraId="141F41BE" w14:textId="66AA2EB2" w:rsidR="003E0FD5" w:rsidRPr="00FB5742" w:rsidRDefault="003E0FD5"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 xml:space="preserve">SBUA </w:t>
      </w:r>
      <w:r w:rsidR="00C571EC" w:rsidRPr="00FB5742">
        <w:rPr>
          <w:szCs w:val="22"/>
          <w:lang w:val="en-ZW"/>
        </w:rPr>
        <w:t>Opening Comments on Phase 4 Scoping Memo</w:t>
      </w:r>
      <w:r w:rsidRPr="00FB5742">
        <w:rPr>
          <w:szCs w:val="22"/>
        </w:rPr>
        <w:t xml:space="preserve"> at </w:t>
      </w:r>
      <w:r w:rsidR="009B7C4E" w:rsidRPr="00FB5742">
        <w:rPr>
          <w:szCs w:val="22"/>
        </w:rPr>
        <w:t xml:space="preserve">1 </w:t>
      </w:r>
      <w:r w:rsidR="00AA3F83" w:rsidRPr="00FB5742">
        <w:rPr>
          <w:szCs w:val="22"/>
        </w:rPr>
        <w:t>and 12.</w:t>
      </w:r>
    </w:p>
  </w:footnote>
  <w:footnote w:id="16">
    <w:p w14:paraId="2FBEAB70" w14:textId="29CE3D41" w:rsidR="00AA3F83" w:rsidRPr="00FB5742" w:rsidRDefault="00AA3F83"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 xml:space="preserve">SCE </w:t>
      </w:r>
      <w:r w:rsidR="00C571EC" w:rsidRPr="00FB5742">
        <w:rPr>
          <w:szCs w:val="22"/>
          <w:lang w:val="en-ZW"/>
        </w:rPr>
        <w:t>Opening Comments on Phase 4 Scoping Memo</w:t>
      </w:r>
      <w:r w:rsidRPr="00FB5742">
        <w:rPr>
          <w:szCs w:val="22"/>
        </w:rPr>
        <w:t xml:space="preserve"> at </w:t>
      </w:r>
      <w:r w:rsidR="006B750C" w:rsidRPr="00FB5742">
        <w:rPr>
          <w:szCs w:val="22"/>
        </w:rPr>
        <w:t>7 and 8.</w:t>
      </w:r>
    </w:p>
  </w:footnote>
  <w:footnote w:id="17">
    <w:p w14:paraId="11B26898" w14:textId="6810B13D" w:rsidR="00DD5A8C" w:rsidRPr="00FB5742" w:rsidRDefault="00DD5A8C"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S</w:t>
      </w:r>
      <w:r w:rsidR="00CC226E" w:rsidRPr="00FB5742">
        <w:rPr>
          <w:szCs w:val="22"/>
        </w:rPr>
        <w:t>empra Utilitie</w:t>
      </w:r>
      <w:r w:rsidRPr="00FB5742">
        <w:rPr>
          <w:szCs w:val="22"/>
        </w:rPr>
        <w:t xml:space="preserve">s </w:t>
      </w:r>
      <w:r w:rsidR="000D3BCD" w:rsidRPr="00FB5742">
        <w:rPr>
          <w:szCs w:val="22"/>
          <w:lang w:val="en-ZW"/>
        </w:rPr>
        <w:t xml:space="preserve">Opening Comments on Phase 4 Scoping Memo </w:t>
      </w:r>
      <w:r w:rsidRPr="00FB5742">
        <w:rPr>
          <w:szCs w:val="22"/>
        </w:rPr>
        <w:t xml:space="preserve">at </w:t>
      </w:r>
      <w:r w:rsidR="009A486F" w:rsidRPr="00FB5742">
        <w:rPr>
          <w:szCs w:val="22"/>
        </w:rPr>
        <w:t>1-5.</w:t>
      </w:r>
    </w:p>
  </w:footnote>
  <w:footnote w:id="18">
    <w:p w14:paraId="75A50E4C" w14:textId="636C6E10" w:rsidR="006D408B" w:rsidRPr="00FB5742" w:rsidRDefault="006D408B" w:rsidP="00FB5742">
      <w:pPr>
        <w:pStyle w:val="FootnoteText"/>
        <w:rPr>
          <w:szCs w:val="22"/>
        </w:rPr>
      </w:pPr>
      <w:r w:rsidRPr="00FB5742">
        <w:rPr>
          <w:rStyle w:val="FootnoteReference"/>
          <w:szCs w:val="22"/>
        </w:rPr>
        <w:footnoteRef/>
      </w:r>
      <w:r w:rsidR="00C34493" w:rsidRPr="00FB5742">
        <w:rPr>
          <w:szCs w:val="22"/>
        </w:rPr>
        <w:t xml:space="preserve"> </w:t>
      </w:r>
      <w:r w:rsidR="00DD29DA" w:rsidRPr="00FB5742">
        <w:rPr>
          <w:szCs w:val="22"/>
        </w:rPr>
        <w:t xml:space="preserve"> </w:t>
      </w:r>
      <w:r w:rsidR="00066DDB" w:rsidRPr="00FB5742">
        <w:rPr>
          <w:szCs w:val="22"/>
        </w:rPr>
        <w:t xml:space="preserve">“Solving the Panel Puzzle” </w:t>
      </w:r>
      <w:r w:rsidR="00C34493" w:rsidRPr="00FB5742">
        <w:rPr>
          <w:szCs w:val="22"/>
        </w:rPr>
        <w:t>SPUR</w:t>
      </w:r>
      <w:r w:rsidR="00066DDB" w:rsidRPr="00FB5742">
        <w:rPr>
          <w:szCs w:val="22"/>
        </w:rPr>
        <w:t xml:space="preserve"> report</w:t>
      </w:r>
      <w:r w:rsidR="006641B3" w:rsidRPr="00FB5742">
        <w:rPr>
          <w:szCs w:val="22"/>
        </w:rPr>
        <w:t xml:space="preserve"> at </w:t>
      </w:r>
      <w:r w:rsidR="00211DE3" w:rsidRPr="00FB5742">
        <w:rPr>
          <w:szCs w:val="22"/>
        </w:rPr>
        <w:t>5</w:t>
      </w:r>
      <w:r w:rsidR="00066DDB" w:rsidRPr="00FB5742">
        <w:rPr>
          <w:szCs w:val="22"/>
        </w:rPr>
        <w:t>; cited in SPUR Opening Comments</w:t>
      </w:r>
      <w:r w:rsidR="00211DE3" w:rsidRPr="00FB5742">
        <w:rPr>
          <w:szCs w:val="22"/>
        </w:rPr>
        <w:t xml:space="preserve"> at</w:t>
      </w:r>
      <w:r w:rsidR="003A3339" w:rsidRPr="00FB5742">
        <w:rPr>
          <w:szCs w:val="22"/>
        </w:rPr>
        <w:t xml:space="preserve"> 3</w:t>
      </w:r>
      <w:r w:rsidR="00066DDB" w:rsidRPr="00FB5742">
        <w:rPr>
          <w:szCs w:val="22"/>
        </w:rPr>
        <w:t xml:space="preserve">. </w:t>
      </w:r>
    </w:p>
  </w:footnote>
  <w:footnote w:id="19">
    <w:p w14:paraId="3B35B92C" w14:textId="51C75426" w:rsidR="000B0221" w:rsidRPr="00FB5742" w:rsidRDefault="000B0221"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 xml:space="preserve">SPUR </w:t>
      </w:r>
      <w:r w:rsidR="000D3BCD" w:rsidRPr="00FB5742">
        <w:rPr>
          <w:szCs w:val="22"/>
          <w:lang w:val="en-ZW"/>
        </w:rPr>
        <w:t>Opening Comments on Phase 4 Scoping Memo</w:t>
      </w:r>
      <w:r w:rsidRPr="00FB5742">
        <w:rPr>
          <w:szCs w:val="22"/>
        </w:rPr>
        <w:t xml:space="preserve"> at 2-8.</w:t>
      </w:r>
    </w:p>
  </w:footnote>
  <w:footnote w:id="20">
    <w:p w14:paraId="79F2D30B" w14:textId="66F404B4" w:rsidR="00741114" w:rsidRPr="00FB5742" w:rsidRDefault="00741114"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00EE7695" w:rsidRPr="00FB5742">
        <w:rPr>
          <w:szCs w:val="22"/>
        </w:rPr>
        <w:t xml:space="preserve">Joint </w:t>
      </w:r>
      <w:r w:rsidR="00FD77C4" w:rsidRPr="00FB5742">
        <w:rPr>
          <w:szCs w:val="22"/>
        </w:rPr>
        <w:t>REN</w:t>
      </w:r>
      <w:r w:rsidR="00EE7695" w:rsidRPr="00FB5742">
        <w:rPr>
          <w:szCs w:val="22"/>
        </w:rPr>
        <w:t>s</w:t>
      </w:r>
      <w:r w:rsidR="00FD77C4" w:rsidRPr="00FB5742">
        <w:rPr>
          <w:szCs w:val="22"/>
        </w:rPr>
        <w:t xml:space="preserve"> </w:t>
      </w:r>
      <w:r w:rsidRPr="00FB5742">
        <w:rPr>
          <w:szCs w:val="22"/>
        </w:rPr>
        <w:t xml:space="preserve">Reply Comments </w:t>
      </w:r>
      <w:r w:rsidR="000D3BCD" w:rsidRPr="00FB5742">
        <w:rPr>
          <w:szCs w:val="22"/>
          <w:lang w:val="en-ZW"/>
        </w:rPr>
        <w:t xml:space="preserve">on Phase 4 Scoping Memo </w:t>
      </w:r>
      <w:r w:rsidRPr="00FB5742">
        <w:rPr>
          <w:szCs w:val="22"/>
        </w:rPr>
        <w:t xml:space="preserve">at </w:t>
      </w:r>
      <w:r w:rsidR="00D229DF" w:rsidRPr="00FB5742">
        <w:rPr>
          <w:szCs w:val="22"/>
        </w:rPr>
        <w:t xml:space="preserve">1 </w:t>
      </w:r>
      <w:r w:rsidR="007505E9" w:rsidRPr="00FB5742">
        <w:rPr>
          <w:szCs w:val="22"/>
        </w:rPr>
        <w:t xml:space="preserve">and </w:t>
      </w:r>
      <w:r w:rsidR="006A6934" w:rsidRPr="00FB5742">
        <w:rPr>
          <w:szCs w:val="22"/>
        </w:rPr>
        <w:t>2</w:t>
      </w:r>
      <w:r w:rsidR="007505E9" w:rsidRPr="00FB5742">
        <w:rPr>
          <w:szCs w:val="22"/>
        </w:rPr>
        <w:t>.</w:t>
      </w:r>
    </w:p>
  </w:footnote>
  <w:footnote w:id="21">
    <w:p w14:paraId="4280054F" w14:textId="3A65517F" w:rsidR="00153C7E" w:rsidRPr="00FB5742" w:rsidRDefault="00153C7E"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 xml:space="preserve">TURN Reply Comments </w:t>
      </w:r>
      <w:r w:rsidR="000D3BCD" w:rsidRPr="00FB5742">
        <w:rPr>
          <w:szCs w:val="22"/>
          <w:lang w:val="en-ZW"/>
        </w:rPr>
        <w:t xml:space="preserve">on Phase 4 Scoping Memo </w:t>
      </w:r>
      <w:r w:rsidRPr="00FB5742">
        <w:rPr>
          <w:szCs w:val="22"/>
        </w:rPr>
        <w:t xml:space="preserve">at </w:t>
      </w:r>
      <w:r w:rsidR="008103DA" w:rsidRPr="00FB5742">
        <w:rPr>
          <w:szCs w:val="22"/>
        </w:rPr>
        <w:t>2-10.</w:t>
      </w:r>
    </w:p>
  </w:footnote>
  <w:footnote w:id="22">
    <w:p w14:paraId="14375EBF" w14:textId="5BF44263" w:rsidR="008103DA" w:rsidRPr="00FB5742" w:rsidRDefault="008103DA"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 xml:space="preserve">SBUA Reply Comments </w:t>
      </w:r>
      <w:r w:rsidR="00652338" w:rsidRPr="00FB5742">
        <w:rPr>
          <w:szCs w:val="22"/>
          <w:lang w:val="en-ZW"/>
        </w:rPr>
        <w:t xml:space="preserve">on Phase 4 Scoping Memo </w:t>
      </w:r>
      <w:r w:rsidRPr="00FB5742">
        <w:rPr>
          <w:szCs w:val="22"/>
        </w:rPr>
        <w:t xml:space="preserve">at </w:t>
      </w:r>
      <w:r w:rsidR="00EB42AC" w:rsidRPr="00FB5742">
        <w:rPr>
          <w:szCs w:val="22"/>
        </w:rPr>
        <w:t>3.</w:t>
      </w:r>
    </w:p>
  </w:footnote>
  <w:footnote w:id="23">
    <w:p w14:paraId="4FF3D624" w14:textId="5AB0725C" w:rsidR="0084597B" w:rsidRPr="00FB5742" w:rsidRDefault="0084597B"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rPr>
        <w:t xml:space="preserve">Per a recent UCLA study, </w:t>
      </w:r>
      <w:r w:rsidR="00015131" w:rsidRPr="00FB5742">
        <w:rPr>
          <w:szCs w:val="22"/>
        </w:rPr>
        <w:t xml:space="preserve">cited by SPUR in their Opening Comments at 4, </w:t>
      </w:r>
      <w:r w:rsidR="00F0500C">
        <w:rPr>
          <w:szCs w:val="22"/>
        </w:rPr>
        <w:t>8</w:t>
      </w:r>
      <w:r w:rsidR="00F0500C" w:rsidRPr="00FB5742">
        <w:rPr>
          <w:szCs w:val="22"/>
        </w:rPr>
        <w:t> </w:t>
      </w:r>
      <w:r w:rsidR="00240655" w:rsidRPr="00FB5742">
        <w:rPr>
          <w:szCs w:val="22"/>
        </w:rPr>
        <w:t>percent</w:t>
      </w:r>
      <w:r w:rsidR="004D4E13" w:rsidRPr="00FB5742">
        <w:rPr>
          <w:szCs w:val="22"/>
        </w:rPr>
        <w:t xml:space="preserve"> of single-family homes and </w:t>
      </w:r>
      <w:r w:rsidR="00981290">
        <w:rPr>
          <w:szCs w:val="22"/>
        </w:rPr>
        <w:t>14</w:t>
      </w:r>
      <w:r w:rsidR="00981290" w:rsidRPr="00FB5742">
        <w:rPr>
          <w:szCs w:val="22"/>
        </w:rPr>
        <w:t> </w:t>
      </w:r>
      <w:r w:rsidR="00240655" w:rsidRPr="00FB5742">
        <w:rPr>
          <w:szCs w:val="22"/>
        </w:rPr>
        <w:t>percent</w:t>
      </w:r>
      <w:r w:rsidR="00EA1F37" w:rsidRPr="00FB5742">
        <w:rPr>
          <w:szCs w:val="22"/>
        </w:rPr>
        <w:t xml:space="preserve"> of multi-family homes</w:t>
      </w:r>
      <w:r w:rsidR="004D4E13" w:rsidRPr="00FB5742">
        <w:rPr>
          <w:szCs w:val="22"/>
        </w:rPr>
        <w:t xml:space="preserve"> in </w:t>
      </w:r>
      <w:r w:rsidR="00801223" w:rsidRPr="00FB5742">
        <w:rPr>
          <w:szCs w:val="22"/>
        </w:rPr>
        <w:t xml:space="preserve">DACs </w:t>
      </w:r>
      <w:r w:rsidR="00ED4BDB" w:rsidRPr="00FB5742">
        <w:rPr>
          <w:szCs w:val="22"/>
        </w:rPr>
        <w:t>have a</w:t>
      </w:r>
      <w:r w:rsidR="00DE0844" w:rsidRPr="00FB5742">
        <w:rPr>
          <w:szCs w:val="22"/>
        </w:rPr>
        <w:t xml:space="preserve"> rated</w:t>
      </w:r>
      <w:r w:rsidR="00ED4BDB" w:rsidRPr="00FB5742">
        <w:rPr>
          <w:szCs w:val="22"/>
        </w:rPr>
        <w:t xml:space="preserve"> electrical panel </w:t>
      </w:r>
      <w:r w:rsidR="00622F6E" w:rsidRPr="00FB5742">
        <w:rPr>
          <w:szCs w:val="22"/>
        </w:rPr>
        <w:t>capacity</w:t>
      </w:r>
      <w:r w:rsidR="00ED4BDB" w:rsidRPr="00FB5742">
        <w:rPr>
          <w:szCs w:val="22"/>
        </w:rPr>
        <w:t xml:space="preserve"> of less than 100 amp</w:t>
      </w:r>
      <w:r w:rsidR="00E5034E">
        <w:rPr>
          <w:szCs w:val="22"/>
        </w:rPr>
        <w:t>s</w:t>
      </w:r>
      <w:r w:rsidR="00ED4BDB" w:rsidRPr="00FB5742">
        <w:rPr>
          <w:szCs w:val="22"/>
        </w:rPr>
        <w:t>, and less than 60 amp</w:t>
      </w:r>
      <w:r w:rsidR="00E5034E">
        <w:rPr>
          <w:szCs w:val="22"/>
        </w:rPr>
        <w:t>s</w:t>
      </w:r>
      <w:r w:rsidR="00ED4BDB" w:rsidRPr="00FB5742">
        <w:rPr>
          <w:szCs w:val="22"/>
        </w:rPr>
        <w:t>, respectively</w:t>
      </w:r>
      <w:r w:rsidR="00730E31">
        <w:rPr>
          <w:szCs w:val="22"/>
        </w:rPr>
        <w:t xml:space="preserve"> (</w:t>
      </w:r>
      <w:r w:rsidR="00A91AA2" w:rsidRPr="008402EC">
        <w:t>https://www.ioes.ucla.edu/wp-content/uploads/2024/06/2024-Quantifying-the-electric-service-panel-capacities-of-Californias-residential-properties.pdf</w:t>
      </w:r>
      <w:r w:rsidR="00730E31">
        <w:rPr>
          <w:szCs w:val="22"/>
        </w:rPr>
        <w:t>)</w:t>
      </w:r>
      <w:r w:rsidR="00ED4BDB" w:rsidRPr="00FB5742">
        <w:rPr>
          <w:szCs w:val="22"/>
        </w:rPr>
        <w:t>.</w:t>
      </w:r>
      <w:r w:rsidR="00C64479" w:rsidRPr="00FB5742">
        <w:rPr>
          <w:szCs w:val="22"/>
        </w:rPr>
        <w:t xml:space="preserve"> </w:t>
      </w:r>
      <w:r w:rsidR="00801223" w:rsidRPr="00FB5742">
        <w:rPr>
          <w:szCs w:val="22"/>
        </w:rPr>
        <w:t xml:space="preserve">Assuming </w:t>
      </w:r>
      <w:r w:rsidR="00200A31" w:rsidRPr="00FB5742">
        <w:rPr>
          <w:szCs w:val="22"/>
        </w:rPr>
        <w:t>a high co</w:t>
      </w:r>
      <w:r w:rsidR="006D35CB" w:rsidRPr="00FB5742">
        <w:rPr>
          <w:szCs w:val="22"/>
        </w:rPr>
        <w:t xml:space="preserve">-relation </w:t>
      </w:r>
      <w:r w:rsidR="00176B29" w:rsidRPr="00FB5742">
        <w:rPr>
          <w:szCs w:val="22"/>
        </w:rPr>
        <w:t xml:space="preserve">between </w:t>
      </w:r>
      <w:r w:rsidR="00452071" w:rsidRPr="00FB5742">
        <w:rPr>
          <w:szCs w:val="22"/>
        </w:rPr>
        <w:t xml:space="preserve">electrical panel capacity and existing service size, </w:t>
      </w:r>
      <w:r w:rsidR="00811344" w:rsidRPr="00FB5742">
        <w:rPr>
          <w:szCs w:val="22"/>
        </w:rPr>
        <w:t>the common facility cost treatment</w:t>
      </w:r>
      <w:r w:rsidR="002E44B8" w:rsidRPr="00FB5742">
        <w:rPr>
          <w:szCs w:val="22"/>
        </w:rPr>
        <w:t xml:space="preserve"> policy </w:t>
      </w:r>
      <w:r w:rsidR="00811344" w:rsidRPr="00FB5742">
        <w:rPr>
          <w:szCs w:val="22"/>
        </w:rPr>
        <w:t>is intended to</w:t>
      </w:r>
      <w:r w:rsidR="00620BF8" w:rsidRPr="00FB5742">
        <w:rPr>
          <w:szCs w:val="22"/>
        </w:rPr>
        <w:t xml:space="preserve"> provide cost relief </w:t>
      </w:r>
      <w:r w:rsidR="00811344" w:rsidRPr="00FB5742">
        <w:rPr>
          <w:szCs w:val="22"/>
        </w:rPr>
        <w:t xml:space="preserve">to at least </w:t>
      </w:r>
      <w:r w:rsidR="00620BF8" w:rsidRPr="00FB5742">
        <w:rPr>
          <w:szCs w:val="22"/>
        </w:rPr>
        <w:t xml:space="preserve">these subsets of customers. </w:t>
      </w:r>
    </w:p>
  </w:footnote>
  <w:footnote w:id="24">
    <w:p w14:paraId="20DB18F8" w14:textId="4D02B099" w:rsidR="00A9236A" w:rsidRDefault="00A9236A" w:rsidP="00152D4B">
      <w:pPr>
        <w:pStyle w:val="FootnoteText"/>
      </w:pPr>
      <w:r>
        <w:rPr>
          <w:rStyle w:val="FootnoteReference"/>
        </w:rPr>
        <w:footnoteRef/>
      </w:r>
      <w:r w:rsidR="00456B6E">
        <w:t xml:space="preserve"> </w:t>
      </w:r>
      <w:r w:rsidR="00166A51">
        <w:t>Government Code</w:t>
      </w:r>
      <w:r w:rsidR="00227BDE">
        <w:t xml:space="preserve"> Sec</w:t>
      </w:r>
      <w:r w:rsidR="00166A51">
        <w:t>tion</w:t>
      </w:r>
      <w:r w:rsidR="00227BDE">
        <w:t xml:space="preserve"> 14837(d)(2) </w:t>
      </w:r>
      <w:r w:rsidR="00B6260E">
        <w:t xml:space="preserve">currently </w:t>
      </w:r>
      <w:r w:rsidR="00227BDE">
        <w:t xml:space="preserve">defines </w:t>
      </w:r>
      <w:r w:rsidR="0082670B" w:rsidRPr="0082670B">
        <w:t xml:space="preserve">“Microbusiness” </w:t>
      </w:r>
      <w:r w:rsidR="00227BDE">
        <w:t>as</w:t>
      </w:r>
      <w:r w:rsidR="0082670B" w:rsidRPr="0082670B">
        <w:t xml:space="preserve"> a small business which, together with affiliates, has average annual gross receipts of </w:t>
      </w:r>
      <w:r w:rsidR="00673B75" w:rsidRPr="0082670B">
        <w:t>five million dollars ($5,000,000)</w:t>
      </w:r>
      <w:r w:rsidR="00673B75">
        <w:t xml:space="preserve"> o</w:t>
      </w:r>
      <w:r w:rsidR="0082670B" w:rsidRPr="0082670B">
        <w:t>r less over the previous three years, or is a manufacturer, as defined in subdivision (c), with 25 or fewer employees.</w:t>
      </w:r>
    </w:p>
  </w:footnote>
  <w:footnote w:id="25">
    <w:p w14:paraId="28A53594" w14:textId="04DDB2C5" w:rsidR="009C201A" w:rsidRDefault="009C201A">
      <w:pPr>
        <w:pStyle w:val="FootnoteText"/>
      </w:pPr>
      <w:r>
        <w:rPr>
          <w:rStyle w:val="FootnoteReference"/>
        </w:rPr>
        <w:footnoteRef/>
      </w:r>
      <w:r>
        <w:t xml:space="preserve"> </w:t>
      </w:r>
      <w:r w:rsidR="00FF0318" w:rsidRPr="008402EC">
        <w:rPr>
          <w:i/>
          <w:iCs/>
        </w:rPr>
        <w:t>See</w:t>
      </w:r>
      <w:r w:rsidR="00FF0318">
        <w:t xml:space="preserve"> </w:t>
      </w:r>
      <w:r w:rsidR="00692B97" w:rsidRPr="008402EC">
        <w:t>https://efiling.energy.ca.gov/GetDocument.aspx?tn=252682&amp;DocumentContentId=87762</w:t>
      </w:r>
      <w:r w:rsidR="00F173A7">
        <w:t xml:space="preserve"> </w:t>
      </w:r>
      <w:r w:rsidR="00FF0318">
        <w:t xml:space="preserve">at </w:t>
      </w:r>
      <w:r w:rsidR="00342EAB">
        <w:t>13.</w:t>
      </w:r>
    </w:p>
  </w:footnote>
  <w:footnote w:id="26">
    <w:p w14:paraId="6B8F5154" w14:textId="714208CE" w:rsidR="001E24F6" w:rsidRPr="00FB5742" w:rsidRDefault="001E24F6"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00A577A1" w:rsidRPr="00FB5742">
        <w:rPr>
          <w:szCs w:val="22"/>
        </w:rPr>
        <w:t xml:space="preserve">Specifically, </w:t>
      </w:r>
      <w:r w:rsidR="00A577A1" w:rsidRPr="00FB5742">
        <w:rPr>
          <w:rFonts w:eastAsia="Book Antiqua" w:cs="Book Antiqua"/>
          <w:szCs w:val="22"/>
        </w:rPr>
        <w:t>Attachment A of the Phase 4 Scoping Memo asked parties to comment on the following five questions:</w:t>
      </w:r>
      <w:r w:rsidR="00A577A1" w:rsidRPr="00FB5742">
        <w:rPr>
          <w:szCs w:val="22"/>
        </w:rPr>
        <w:t xml:space="preserve"> </w:t>
      </w:r>
      <w:r w:rsidRPr="00FB5742">
        <w:rPr>
          <w:szCs w:val="22"/>
        </w:rPr>
        <w:t xml:space="preserve">(1) </w:t>
      </w:r>
      <w:r w:rsidRPr="00FB5742">
        <w:rPr>
          <w:rFonts w:eastAsia="Book Antiqua" w:cs="Book Antiqua"/>
          <w:szCs w:val="22"/>
        </w:rPr>
        <w:t>Should the Commission require IOUs to test, certify, and evaluate different isolation technologies, approved in Resolution E-5194, including meter socket adapter technologies for non-isolating functionality in building electrification applications, such as heat pumps?</w:t>
      </w:r>
      <w:r w:rsidR="001E48BC" w:rsidRPr="00FB5742">
        <w:rPr>
          <w:szCs w:val="22"/>
        </w:rPr>
        <w:t xml:space="preserve"> </w:t>
      </w:r>
      <w:r w:rsidRPr="00FB5742">
        <w:rPr>
          <w:szCs w:val="22"/>
        </w:rPr>
        <w:t xml:space="preserve">(2) </w:t>
      </w:r>
      <w:r w:rsidRPr="00FB5742">
        <w:rPr>
          <w:rFonts w:eastAsia="Book Antiqua" w:cs="Book Antiqua"/>
          <w:szCs w:val="22"/>
        </w:rPr>
        <w:t>Should the Commission require IOUs to report peak annual and monthly electric demand of the premise on customer bills to help contractors determine whether service upsizing is necessary, and thus ensure service upsizing is pursued as a last resort?</w:t>
      </w:r>
      <w:r w:rsidR="001E48BC" w:rsidRPr="00FB5742">
        <w:rPr>
          <w:szCs w:val="22"/>
        </w:rPr>
        <w:t xml:space="preserve"> </w:t>
      </w:r>
      <w:r w:rsidRPr="00FB5742">
        <w:rPr>
          <w:szCs w:val="22"/>
        </w:rPr>
        <w:t xml:space="preserve">(3) </w:t>
      </w:r>
      <w:r w:rsidRPr="00FB5742">
        <w:rPr>
          <w:rFonts w:eastAsia="Book Antiqua" w:cs="Book Antiqua"/>
          <w:szCs w:val="22"/>
        </w:rPr>
        <w:t>Should the Commission require IOUs to collect proof a service line upsizing application was the last resort for the project, and that alternate strategies (load optimization, electrical panel optimization, etc.) were considered before submitting the application? If so, how should these safeguards be implemented and enforced?</w:t>
      </w:r>
      <w:r w:rsidR="001E48BC" w:rsidRPr="00FB5742">
        <w:rPr>
          <w:rFonts w:eastAsia="Book Antiqua" w:cs="Book Antiqua"/>
          <w:szCs w:val="22"/>
        </w:rPr>
        <w:t xml:space="preserve"> </w:t>
      </w:r>
      <w:r w:rsidRPr="00FB5742">
        <w:rPr>
          <w:szCs w:val="22"/>
        </w:rPr>
        <w:t xml:space="preserve">(4) </w:t>
      </w:r>
      <w:r w:rsidRPr="00FB5742">
        <w:rPr>
          <w:rFonts w:eastAsia="Book Antiqua" w:cs="Book Antiqua"/>
          <w:szCs w:val="22"/>
        </w:rPr>
        <w:t>If the Commission mandates IOU collection of service line capacity data, what is the best way for IOUs to begin collecting this data? Which of the existing mandates/processes requir</w:t>
      </w:r>
      <w:r w:rsidR="00CC0997" w:rsidRPr="00FB5742">
        <w:rPr>
          <w:rFonts w:eastAsia="Book Antiqua" w:cs="Book Antiqua"/>
          <w:szCs w:val="22"/>
        </w:rPr>
        <w:t>ing</w:t>
      </w:r>
      <w:r w:rsidRPr="00FB5742">
        <w:rPr>
          <w:rFonts w:eastAsia="Book Antiqua" w:cs="Book Antiqua"/>
          <w:szCs w:val="22"/>
        </w:rPr>
        <w:t xml:space="preserve"> IOU staff to be on site (e.g., meter inspections) can the IOUs leverage to collect service line capacity for each premise? How can this be optimized for cost and procedural efficiency?</w:t>
      </w:r>
      <w:r w:rsidR="001E48BC" w:rsidRPr="00FB5742">
        <w:rPr>
          <w:rFonts w:eastAsia="Book Antiqua" w:cs="Book Antiqua"/>
          <w:szCs w:val="22"/>
        </w:rPr>
        <w:t xml:space="preserve"> </w:t>
      </w:r>
      <w:r w:rsidRPr="00FB5742">
        <w:rPr>
          <w:szCs w:val="22"/>
        </w:rPr>
        <w:t xml:space="preserve">(5) </w:t>
      </w:r>
      <w:r w:rsidRPr="00FB5742">
        <w:rPr>
          <w:rFonts w:eastAsia="Book Antiqua" w:cs="Book Antiqua"/>
          <w:szCs w:val="22"/>
        </w:rPr>
        <w:t>How should the IOUs determine whether a service upsizing request is necessary or unnecessary? What guidance, if any, should the Commission provide to define necessary and unnecessary service upsizing?</w:t>
      </w:r>
    </w:p>
  </w:footnote>
  <w:footnote w:id="27">
    <w:p w14:paraId="1F85F8B1" w14:textId="0D58C22C" w:rsidR="000A6148" w:rsidRPr="00FB5742" w:rsidRDefault="000A6148"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00EB1429" w:rsidRPr="00FB5742">
        <w:rPr>
          <w:szCs w:val="22"/>
        </w:rPr>
        <w:t>Phase 4A</w:t>
      </w:r>
      <w:r w:rsidRPr="00FB5742">
        <w:rPr>
          <w:szCs w:val="22"/>
        </w:rPr>
        <w:t xml:space="preserve"> Staff Proposal at 37.</w:t>
      </w:r>
    </w:p>
  </w:footnote>
  <w:footnote w:id="28">
    <w:p w14:paraId="7E4F81D7" w14:textId="211DC4DD" w:rsidR="008C7D77" w:rsidRPr="00FB5742" w:rsidRDefault="008C7D77" w:rsidP="00FB5742">
      <w:pPr>
        <w:pStyle w:val="FootnoteText"/>
        <w:rPr>
          <w:szCs w:val="22"/>
          <w:lang w:val="en-ZW"/>
        </w:rPr>
      </w:pPr>
      <w:r w:rsidRPr="00FB5742">
        <w:rPr>
          <w:rStyle w:val="FootnoteReference"/>
          <w:szCs w:val="22"/>
        </w:rPr>
        <w:footnoteRef/>
      </w:r>
      <w:r w:rsidRPr="00FB5742">
        <w:rPr>
          <w:szCs w:val="22"/>
        </w:rPr>
        <w:t xml:space="preserve"> </w:t>
      </w:r>
      <w:r w:rsidR="00DD29DA" w:rsidRPr="00FB5742">
        <w:rPr>
          <w:szCs w:val="22"/>
        </w:rPr>
        <w:t xml:space="preserve"> </w:t>
      </w:r>
      <w:r w:rsidR="00874FC5" w:rsidRPr="00FB5742">
        <w:rPr>
          <w:i/>
          <w:iCs/>
          <w:szCs w:val="22"/>
        </w:rPr>
        <w:t>Id</w:t>
      </w:r>
      <w:r w:rsidR="00874FC5" w:rsidRPr="00FB5742">
        <w:rPr>
          <w:szCs w:val="22"/>
        </w:rPr>
        <w:t>. at</w:t>
      </w:r>
      <w:r w:rsidRPr="00FB5742">
        <w:rPr>
          <w:szCs w:val="22"/>
          <w:lang w:val="en-ZW"/>
        </w:rPr>
        <w:t xml:space="preserve"> 12-13.</w:t>
      </w:r>
    </w:p>
  </w:footnote>
  <w:footnote w:id="29">
    <w:p w14:paraId="71A26DB9" w14:textId="0E161294" w:rsidR="000A6148" w:rsidRPr="00FB5742" w:rsidRDefault="000A6148"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00874FC5" w:rsidRPr="00FB5742">
        <w:rPr>
          <w:i/>
          <w:iCs/>
          <w:szCs w:val="22"/>
        </w:rPr>
        <w:t>Id</w:t>
      </w:r>
      <w:r w:rsidR="00874FC5" w:rsidRPr="00FB5742">
        <w:rPr>
          <w:szCs w:val="22"/>
        </w:rPr>
        <w:t>.</w:t>
      </w:r>
      <w:r w:rsidRPr="00FB5742">
        <w:rPr>
          <w:szCs w:val="22"/>
        </w:rPr>
        <w:t xml:space="preserve"> at 35.</w:t>
      </w:r>
    </w:p>
  </w:footnote>
  <w:footnote w:id="30">
    <w:p w14:paraId="77B7F669" w14:textId="6BE5C548" w:rsidR="000A6148" w:rsidRPr="00FB5742" w:rsidRDefault="000A6148"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00874FC5" w:rsidRPr="00FB5742">
        <w:rPr>
          <w:i/>
          <w:iCs/>
          <w:szCs w:val="22"/>
        </w:rPr>
        <w:t>Id</w:t>
      </w:r>
      <w:r w:rsidR="00874FC5" w:rsidRPr="00FB5742">
        <w:rPr>
          <w:szCs w:val="22"/>
        </w:rPr>
        <w:t>.</w:t>
      </w:r>
      <w:r w:rsidRPr="00FB5742">
        <w:rPr>
          <w:szCs w:val="22"/>
        </w:rPr>
        <w:t xml:space="preserve"> at 1, 35.</w:t>
      </w:r>
    </w:p>
  </w:footnote>
  <w:footnote w:id="31">
    <w:p w14:paraId="67750810" w14:textId="68CE4314" w:rsidR="000A6148" w:rsidRPr="00FB5742" w:rsidRDefault="000A6148"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00874FC5" w:rsidRPr="00FB5742">
        <w:rPr>
          <w:i/>
          <w:iCs/>
          <w:szCs w:val="22"/>
        </w:rPr>
        <w:t>Id</w:t>
      </w:r>
      <w:r w:rsidR="00874FC5" w:rsidRPr="00FB5742">
        <w:rPr>
          <w:szCs w:val="22"/>
        </w:rPr>
        <w:t>.</w:t>
      </w:r>
      <w:r w:rsidRPr="00FB5742">
        <w:rPr>
          <w:szCs w:val="22"/>
        </w:rPr>
        <w:t xml:space="preserve"> at 2, 35.</w:t>
      </w:r>
    </w:p>
  </w:footnote>
  <w:footnote w:id="32">
    <w:p w14:paraId="04F13FC2" w14:textId="7819CC97" w:rsidR="000A6148" w:rsidRPr="00FB5742" w:rsidRDefault="000A6148"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00874FC5" w:rsidRPr="00FB5742">
        <w:rPr>
          <w:i/>
          <w:iCs/>
          <w:szCs w:val="22"/>
        </w:rPr>
        <w:t>Id</w:t>
      </w:r>
      <w:r w:rsidR="00874FC5" w:rsidRPr="00FB5742">
        <w:rPr>
          <w:szCs w:val="22"/>
        </w:rPr>
        <w:t>.</w:t>
      </w:r>
      <w:r w:rsidRPr="00FB5742">
        <w:rPr>
          <w:szCs w:val="22"/>
        </w:rPr>
        <w:t xml:space="preserve"> at </w:t>
      </w:r>
      <w:r w:rsidR="00FC2526" w:rsidRPr="00FB5742">
        <w:rPr>
          <w:szCs w:val="22"/>
        </w:rPr>
        <w:t>36</w:t>
      </w:r>
      <w:r w:rsidRPr="00FB5742">
        <w:rPr>
          <w:szCs w:val="22"/>
        </w:rPr>
        <w:t>.</w:t>
      </w:r>
    </w:p>
  </w:footnote>
  <w:footnote w:id="33">
    <w:p w14:paraId="3EA80311" w14:textId="10CAA575" w:rsidR="00357B8B" w:rsidRPr="00FB5742" w:rsidRDefault="00357B8B" w:rsidP="00FB5742">
      <w:pPr>
        <w:pStyle w:val="FootnoteText"/>
        <w:rPr>
          <w:szCs w:val="22"/>
          <w:lang w:val="en-ZW"/>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lang w:val="en-ZW"/>
        </w:rPr>
        <w:t xml:space="preserve">D.12-01-018 at </w:t>
      </w:r>
      <w:r w:rsidR="00784465" w:rsidRPr="00FB5742">
        <w:rPr>
          <w:szCs w:val="22"/>
          <w:lang w:val="en-ZW"/>
        </w:rPr>
        <w:t>79.</w:t>
      </w:r>
    </w:p>
  </w:footnote>
  <w:footnote w:id="34">
    <w:p w14:paraId="3627AA87" w14:textId="493A42DC" w:rsidR="000A6148" w:rsidRPr="00FB5742" w:rsidRDefault="000A6148" w:rsidP="00FB5742">
      <w:pPr>
        <w:pStyle w:val="FootnoteText"/>
        <w:rPr>
          <w:szCs w:val="22"/>
        </w:rPr>
      </w:pPr>
      <w:r w:rsidRPr="00FB5742">
        <w:rPr>
          <w:rStyle w:val="FootnoteReference"/>
          <w:szCs w:val="22"/>
        </w:rPr>
        <w:footnoteRef/>
      </w:r>
      <w:r w:rsidRPr="00FB5742">
        <w:rPr>
          <w:szCs w:val="22"/>
        </w:rPr>
        <w:t xml:space="preserve"> </w:t>
      </w:r>
      <w:r w:rsidR="00DD29DA" w:rsidRPr="00FB5742">
        <w:rPr>
          <w:szCs w:val="22"/>
        </w:rPr>
        <w:t xml:space="preserve"> </w:t>
      </w:r>
      <w:r w:rsidR="00EB1429" w:rsidRPr="00FB5742">
        <w:rPr>
          <w:szCs w:val="22"/>
        </w:rPr>
        <w:t>Phase 4A</w:t>
      </w:r>
      <w:r w:rsidRPr="00FB5742">
        <w:rPr>
          <w:szCs w:val="22"/>
        </w:rPr>
        <w:t xml:space="preserve"> Staff Proposal at </w:t>
      </w:r>
      <w:r w:rsidR="000A0092" w:rsidRPr="00FB5742">
        <w:rPr>
          <w:szCs w:val="22"/>
        </w:rPr>
        <w:t>36</w:t>
      </w:r>
      <w:r w:rsidRPr="00FB5742">
        <w:rPr>
          <w:szCs w:val="22"/>
        </w:rPr>
        <w:t>.</w:t>
      </w:r>
    </w:p>
  </w:footnote>
  <w:footnote w:id="35">
    <w:p w14:paraId="335AB218" w14:textId="5B23C517" w:rsidR="00827D6E" w:rsidRPr="00FB5742" w:rsidRDefault="00827D6E" w:rsidP="00FB5742">
      <w:pPr>
        <w:pStyle w:val="FootnoteText"/>
        <w:rPr>
          <w:szCs w:val="22"/>
          <w:lang w:val="en-ZW"/>
        </w:rPr>
      </w:pPr>
      <w:r w:rsidRPr="00FB5742">
        <w:rPr>
          <w:rStyle w:val="FootnoteReference"/>
          <w:szCs w:val="22"/>
        </w:rPr>
        <w:footnoteRef/>
      </w:r>
      <w:r w:rsidRPr="00FB5742">
        <w:rPr>
          <w:szCs w:val="22"/>
        </w:rPr>
        <w:t xml:space="preserve"> </w:t>
      </w:r>
      <w:r w:rsidR="00DD29DA" w:rsidRPr="00FB5742">
        <w:rPr>
          <w:szCs w:val="22"/>
        </w:rPr>
        <w:t xml:space="preserve"> </w:t>
      </w:r>
      <w:r w:rsidR="001C7329" w:rsidRPr="00FB5742">
        <w:rPr>
          <w:i/>
          <w:iCs/>
          <w:szCs w:val="22"/>
        </w:rPr>
        <w:t>I</w:t>
      </w:r>
      <w:r w:rsidR="00746B43" w:rsidRPr="00FB5742">
        <w:rPr>
          <w:i/>
          <w:iCs/>
          <w:szCs w:val="22"/>
        </w:rPr>
        <w:t>bid</w:t>
      </w:r>
      <w:r w:rsidR="00746B43" w:rsidRPr="00FB5742">
        <w:rPr>
          <w:szCs w:val="22"/>
        </w:rPr>
        <w:t>.</w:t>
      </w:r>
    </w:p>
  </w:footnote>
  <w:footnote w:id="36">
    <w:p w14:paraId="23F537CE" w14:textId="0541AC5E" w:rsidR="00004EC9" w:rsidRPr="00FB5742" w:rsidRDefault="00004EC9" w:rsidP="00FB5742">
      <w:pPr>
        <w:pStyle w:val="FootnoteText"/>
        <w:rPr>
          <w:szCs w:val="22"/>
          <w:lang w:val="en-ZW"/>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lang w:val="en-ZW"/>
        </w:rPr>
        <w:t xml:space="preserve">Joint Parties Opening Comments </w:t>
      </w:r>
      <w:r w:rsidR="00EB1429" w:rsidRPr="00FB5742">
        <w:rPr>
          <w:szCs w:val="22"/>
          <w:lang w:val="en-ZW"/>
        </w:rPr>
        <w:t>on Phase 4 Scoping Memo</w:t>
      </w:r>
      <w:r w:rsidRPr="00FB5742">
        <w:rPr>
          <w:szCs w:val="22"/>
          <w:lang w:val="en-ZW"/>
        </w:rPr>
        <w:t xml:space="preserve"> </w:t>
      </w:r>
      <w:r w:rsidR="00BA492C" w:rsidRPr="00FB5742">
        <w:rPr>
          <w:szCs w:val="22"/>
          <w:lang w:val="en-ZW"/>
        </w:rPr>
        <w:t>and Phase 4A Staff Proposal</w:t>
      </w:r>
      <w:r w:rsidRPr="00FB5742">
        <w:rPr>
          <w:szCs w:val="22"/>
          <w:lang w:val="en-ZW"/>
        </w:rPr>
        <w:t xml:space="preserve"> at 15</w:t>
      </w:r>
      <w:r w:rsidR="00D30620" w:rsidRPr="00FB5742">
        <w:rPr>
          <w:szCs w:val="22"/>
          <w:lang w:val="en-ZW"/>
        </w:rPr>
        <w:t xml:space="preserve"> and SBUA Opening </w:t>
      </w:r>
      <w:r w:rsidR="00401C59" w:rsidRPr="00FB5742">
        <w:rPr>
          <w:szCs w:val="22"/>
          <w:lang w:val="en-ZW"/>
        </w:rPr>
        <w:t>Comments on Phase 4 Scoping Memo and Phase 4A Staff Proposal</w:t>
      </w:r>
      <w:r w:rsidR="00D30620" w:rsidRPr="00FB5742">
        <w:rPr>
          <w:szCs w:val="22"/>
          <w:lang w:val="en-ZW"/>
        </w:rPr>
        <w:t xml:space="preserve"> at 15.</w:t>
      </w:r>
    </w:p>
  </w:footnote>
  <w:footnote w:id="37">
    <w:p w14:paraId="15B11F67" w14:textId="437E3E0E" w:rsidR="003215D7" w:rsidRPr="00FB5742" w:rsidRDefault="003215D7" w:rsidP="00FB5742">
      <w:pPr>
        <w:pStyle w:val="FootnoteText"/>
        <w:rPr>
          <w:szCs w:val="22"/>
          <w:lang w:val="en-ZW"/>
        </w:rPr>
      </w:pPr>
      <w:r w:rsidRPr="00FB5742">
        <w:rPr>
          <w:rStyle w:val="FootnoteReference"/>
          <w:szCs w:val="22"/>
        </w:rPr>
        <w:footnoteRef/>
      </w:r>
      <w:r w:rsidRPr="00FB5742">
        <w:rPr>
          <w:szCs w:val="22"/>
        </w:rPr>
        <w:t xml:space="preserve"> </w:t>
      </w:r>
      <w:r w:rsidR="00DD29DA" w:rsidRPr="00FB5742">
        <w:rPr>
          <w:szCs w:val="22"/>
        </w:rPr>
        <w:t xml:space="preserve"> </w:t>
      </w:r>
      <w:r w:rsidRPr="00FB5742">
        <w:rPr>
          <w:szCs w:val="22"/>
          <w:lang w:val="en-ZW"/>
        </w:rPr>
        <w:t xml:space="preserve">SPUR Opening </w:t>
      </w:r>
      <w:r w:rsidR="00401C59" w:rsidRPr="00FB5742">
        <w:rPr>
          <w:szCs w:val="22"/>
          <w:lang w:val="en-ZW"/>
        </w:rPr>
        <w:t xml:space="preserve">Comments on Phase 4 Scoping Memo and Phase 4A Staff Proposal </w:t>
      </w:r>
      <w:r w:rsidRPr="00FB5742">
        <w:rPr>
          <w:szCs w:val="22"/>
          <w:lang w:val="en-ZW"/>
        </w:rPr>
        <w:t>at 12.</w:t>
      </w:r>
    </w:p>
  </w:footnote>
  <w:footnote w:id="38">
    <w:p w14:paraId="3865DB3E" w14:textId="3DDB41C0" w:rsidR="00FF3CD3" w:rsidRPr="00FB5742" w:rsidRDefault="00FF3CD3"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NEC 220.87 </w:t>
      </w:r>
      <w:r w:rsidR="00FB543D" w:rsidRPr="00FB5742">
        <w:rPr>
          <w:szCs w:val="22"/>
          <w:lang w:val="en-ZW"/>
        </w:rPr>
        <w:t xml:space="preserve">describes a method of calculating the load of an existing residential dwelling, which uses actual observed load of the building. </w:t>
      </w:r>
      <w:r w:rsidR="00E70A18" w:rsidRPr="00FB5742">
        <w:rPr>
          <w:szCs w:val="22"/>
          <w:lang w:val="en-ZW"/>
        </w:rPr>
        <w:t xml:space="preserve">NEC 220.87 requires peak </w:t>
      </w:r>
      <w:r w:rsidR="007943AF" w:rsidRPr="00FB5742">
        <w:rPr>
          <w:szCs w:val="22"/>
          <w:lang w:val="en-ZW"/>
        </w:rPr>
        <w:t xml:space="preserve">hourly load data </w:t>
      </w:r>
      <w:r w:rsidR="00E0051E" w:rsidRPr="00FB5742">
        <w:rPr>
          <w:szCs w:val="22"/>
          <w:lang w:val="en-ZW"/>
        </w:rPr>
        <w:t>over a period of a year, or peak 15-minute load data covering at least 30 days.</w:t>
      </w:r>
    </w:p>
  </w:footnote>
  <w:footnote w:id="39">
    <w:p w14:paraId="6E5ECF3E" w14:textId="1F762D4E" w:rsidR="0073540F" w:rsidRPr="00FB5742" w:rsidRDefault="0073540F"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SBUA Opening</w:t>
      </w:r>
      <w:r w:rsidR="00585EC2" w:rsidRPr="00FB5742">
        <w:rPr>
          <w:szCs w:val="22"/>
          <w:lang w:val="en-ZW"/>
        </w:rPr>
        <w:t xml:space="preserve"> Comments on Phase 4 Scoping Memo and Phase 4A Staff Proposal</w:t>
      </w:r>
      <w:r w:rsidRPr="00FB5742" w:rsidDel="00585EC2">
        <w:rPr>
          <w:szCs w:val="22"/>
          <w:lang w:val="en-ZW"/>
        </w:rPr>
        <w:t xml:space="preserve"> </w:t>
      </w:r>
      <w:r w:rsidRPr="00FB5742">
        <w:rPr>
          <w:szCs w:val="22"/>
          <w:lang w:val="en-ZW"/>
        </w:rPr>
        <w:t>at 5.</w:t>
      </w:r>
    </w:p>
  </w:footnote>
  <w:footnote w:id="40">
    <w:p w14:paraId="51C5A9E2" w14:textId="13B4D8EA" w:rsidR="0055622A" w:rsidRPr="00FB5742" w:rsidRDefault="0055622A"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VEIC Opening </w:t>
      </w:r>
      <w:r w:rsidR="005934A1" w:rsidRPr="00FB5742">
        <w:rPr>
          <w:szCs w:val="22"/>
          <w:lang w:val="en-ZW"/>
        </w:rPr>
        <w:t xml:space="preserve">Comments on Phase 4 Scoping Memo </w:t>
      </w:r>
      <w:r w:rsidRPr="00FB5742">
        <w:rPr>
          <w:szCs w:val="22"/>
          <w:lang w:val="en-ZW"/>
        </w:rPr>
        <w:t xml:space="preserve">at 6. </w:t>
      </w:r>
    </w:p>
  </w:footnote>
  <w:footnote w:id="41">
    <w:p w14:paraId="0E2184B2" w14:textId="1BF238BD" w:rsidR="00EC4BBA" w:rsidRPr="00FB5742" w:rsidRDefault="00EC4BBA"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EE7695" w:rsidRPr="00FB5742">
        <w:rPr>
          <w:szCs w:val="22"/>
          <w:lang w:val="en-ZW"/>
        </w:rPr>
        <w:t xml:space="preserve">Joint </w:t>
      </w:r>
      <w:r w:rsidRPr="00FB5742">
        <w:rPr>
          <w:szCs w:val="22"/>
          <w:lang w:val="en-ZW"/>
        </w:rPr>
        <w:t>REN</w:t>
      </w:r>
      <w:r w:rsidR="00EE7695" w:rsidRPr="00FB5742">
        <w:rPr>
          <w:szCs w:val="22"/>
          <w:lang w:val="en-ZW"/>
        </w:rPr>
        <w:t>s</w:t>
      </w:r>
      <w:r w:rsidRPr="00FB5742">
        <w:rPr>
          <w:szCs w:val="22"/>
          <w:lang w:val="en-ZW"/>
        </w:rPr>
        <w:t xml:space="preserve"> </w:t>
      </w:r>
      <w:r w:rsidR="005934A1" w:rsidRPr="00FB5742">
        <w:rPr>
          <w:szCs w:val="22"/>
          <w:lang w:val="en-ZW"/>
        </w:rPr>
        <w:t xml:space="preserve">Comments on Phase 4 Scoping Memo </w:t>
      </w:r>
      <w:r w:rsidRPr="00FB5742">
        <w:rPr>
          <w:szCs w:val="22"/>
          <w:lang w:val="en-ZW"/>
        </w:rPr>
        <w:t xml:space="preserve">at </w:t>
      </w:r>
      <w:r w:rsidR="0082458A" w:rsidRPr="00FB5742">
        <w:rPr>
          <w:szCs w:val="22"/>
          <w:lang w:val="en-ZW"/>
        </w:rPr>
        <w:t xml:space="preserve">9. </w:t>
      </w:r>
    </w:p>
  </w:footnote>
  <w:footnote w:id="42">
    <w:p w14:paraId="08E25BB6" w14:textId="36777930" w:rsidR="00166982" w:rsidRPr="00FB5742" w:rsidRDefault="00166982"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PG&amp;E Opening Comments </w:t>
      </w:r>
      <w:r w:rsidR="00852CDA" w:rsidRPr="00FB5742">
        <w:rPr>
          <w:szCs w:val="22"/>
          <w:lang w:val="en-ZW"/>
        </w:rPr>
        <w:t>on Phase 4 Scoping Memo</w:t>
      </w:r>
      <w:r w:rsidRPr="00FB5742">
        <w:rPr>
          <w:szCs w:val="22"/>
          <w:lang w:val="en-ZW"/>
        </w:rPr>
        <w:t xml:space="preserve"> at 8.</w:t>
      </w:r>
    </w:p>
  </w:footnote>
  <w:footnote w:id="43">
    <w:p w14:paraId="7D2CB437" w14:textId="2070E7B4" w:rsidR="00295759" w:rsidRPr="00FB5742" w:rsidRDefault="00295759"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SCE Opening </w:t>
      </w:r>
      <w:r w:rsidR="00E8494D" w:rsidRPr="00FB5742">
        <w:rPr>
          <w:szCs w:val="22"/>
          <w:lang w:val="en-ZW"/>
        </w:rPr>
        <w:t xml:space="preserve">Comments on Phase 4 Scoping Memo </w:t>
      </w:r>
      <w:r w:rsidRPr="00FB5742">
        <w:rPr>
          <w:szCs w:val="22"/>
          <w:lang w:val="en-ZW"/>
        </w:rPr>
        <w:t xml:space="preserve">at 4. </w:t>
      </w:r>
    </w:p>
  </w:footnote>
  <w:footnote w:id="44">
    <w:p w14:paraId="20391E0F" w14:textId="26759FE3" w:rsidR="00C817AA" w:rsidRPr="00FB5742" w:rsidRDefault="00C817AA" w:rsidP="00FB5742">
      <w:pPr>
        <w:pStyle w:val="FootnoteText"/>
        <w:rPr>
          <w:szCs w:val="22"/>
          <w:lang w:val="en-ZW"/>
        </w:rPr>
      </w:pPr>
      <w:r w:rsidRPr="00FB5742">
        <w:rPr>
          <w:rStyle w:val="FootnoteReference"/>
          <w:szCs w:val="22"/>
        </w:rPr>
        <w:footnoteRef/>
      </w:r>
      <w:r w:rsidR="009B5175" w:rsidRPr="00FB5742">
        <w:rPr>
          <w:szCs w:val="22"/>
        </w:rPr>
        <w:t xml:space="preserve"> </w:t>
      </w:r>
      <w:r w:rsidRPr="00FB5742">
        <w:rPr>
          <w:szCs w:val="22"/>
        </w:rPr>
        <w:t xml:space="preserve"> </w:t>
      </w:r>
      <w:r w:rsidR="0022686C" w:rsidRPr="00FB5742">
        <w:rPr>
          <w:szCs w:val="22"/>
          <w:lang w:val="en-ZW"/>
        </w:rPr>
        <w:t>Green</w:t>
      </w:r>
      <w:r w:rsidR="006B1E5F" w:rsidRPr="00FB5742">
        <w:rPr>
          <w:szCs w:val="22"/>
          <w:lang w:val="en-ZW"/>
        </w:rPr>
        <w:t xml:space="preserve"> Button data is </w:t>
      </w:r>
      <w:r w:rsidR="007A43DF" w:rsidRPr="00FB5742">
        <w:rPr>
          <w:szCs w:val="22"/>
          <w:lang w:val="en-ZW"/>
        </w:rPr>
        <w:t>information about a customer’s energy usage provided in a consumer-friendly and computer-friendly format</w:t>
      </w:r>
      <w:r w:rsidR="00D91ACD" w:rsidRPr="00FB5742">
        <w:rPr>
          <w:szCs w:val="22"/>
          <w:lang w:val="en-ZW"/>
        </w:rPr>
        <w:t>.</w:t>
      </w:r>
      <w:r w:rsidR="00B6739A" w:rsidRPr="00FB5742">
        <w:rPr>
          <w:szCs w:val="22"/>
          <w:lang w:val="en-ZW"/>
        </w:rPr>
        <w:t xml:space="preserve"> Customers can download this data from </w:t>
      </w:r>
      <w:r w:rsidR="00361D8A" w:rsidRPr="00FB5742">
        <w:rPr>
          <w:szCs w:val="22"/>
          <w:lang w:val="en-ZW"/>
        </w:rPr>
        <w:t>their utility website’s customer portal.</w:t>
      </w:r>
    </w:p>
  </w:footnote>
  <w:footnote w:id="45">
    <w:p w14:paraId="7144A606" w14:textId="0983837C" w:rsidR="00B63265" w:rsidRPr="00FB5742" w:rsidRDefault="00B63265"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SCE Opening </w:t>
      </w:r>
      <w:r w:rsidR="00E8494D" w:rsidRPr="00FB5742">
        <w:rPr>
          <w:szCs w:val="22"/>
          <w:lang w:val="en-ZW"/>
        </w:rPr>
        <w:t xml:space="preserve">Comments on Phase 4 Scoping Memo </w:t>
      </w:r>
      <w:r w:rsidRPr="00FB5742">
        <w:rPr>
          <w:szCs w:val="22"/>
          <w:lang w:val="en-ZW"/>
        </w:rPr>
        <w:t>at 14.</w:t>
      </w:r>
    </w:p>
  </w:footnote>
  <w:footnote w:id="46">
    <w:p w14:paraId="0F575666" w14:textId="1557F27B" w:rsidR="00CB3118" w:rsidRPr="00FB5742" w:rsidRDefault="00CB3118"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SDG&amp;E Opening </w:t>
      </w:r>
      <w:r w:rsidR="003966D5" w:rsidRPr="00FB5742">
        <w:rPr>
          <w:szCs w:val="22"/>
          <w:lang w:val="en-ZW"/>
        </w:rPr>
        <w:t xml:space="preserve">Comments on Phase </w:t>
      </w:r>
      <w:r w:rsidR="0044657C" w:rsidRPr="00FB5742">
        <w:rPr>
          <w:szCs w:val="22"/>
          <w:lang w:val="en-ZW"/>
        </w:rPr>
        <w:t>4A Staff Proposal</w:t>
      </w:r>
      <w:r w:rsidR="003966D5" w:rsidRPr="00FB5742">
        <w:rPr>
          <w:szCs w:val="22"/>
          <w:lang w:val="en-ZW"/>
        </w:rPr>
        <w:t xml:space="preserve"> at </w:t>
      </w:r>
      <w:r w:rsidRPr="00FB5742">
        <w:rPr>
          <w:szCs w:val="22"/>
          <w:lang w:val="en-ZW"/>
        </w:rPr>
        <w:t>2.</w:t>
      </w:r>
    </w:p>
  </w:footnote>
  <w:footnote w:id="47">
    <w:p w14:paraId="5AD18765" w14:textId="69FE28A1" w:rsidR="00D33130" w:rsidRPr="00FB5742" w:rsidRDefault="00D33130"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A577A1" w:rsidRPr="00FB5742">
        <w:rPr>
          <w:szCs w:val="22"/>
        </w:rPr>
        <w:t xml:space="preserve">The CEC updates and maintains the </w:t>
      </w:r>
      <w:r w:rsidR="00721CF2" w:rsidRPr="00FB5742">
        <w:rPr>
          <w:szCs w:val="22"/>
          <w:lang w:val="en-ZW"/>
        </w:rPr>
        <w:t>Load Management Standard</w:t>
      </w:r>
      <w:r w:rsidR="003F4BA0" w:rsidRPr="00FB5742">
        <w:rPr>
          <w:szCs w:val="22"/>
          <w:lang w:val="en-ZW"/>
        </w:rPr>
        <w:t>s</w:t>
      </w:r>
      <w:r w:rsidR="002E74E4" w:rsidRPr="00FB5742">
        <w:rPr>
          <w:szCs w:val="22"/>
          <w:lang w:val="en-ZW"/>
        </w:rPr>
        <w:t>. The</w:t>
      </w:r>
      <w:r w:rsidR="00763E1B" w:rsidRPr="00FB5742">
        <w:rPr>
          <w:szCs w:val="22"/>
          <w:lang w:val="en-ZW"/>
        </w:rPr>
        <w:t xml:space="preserve"> most recent update to the Standards in </w:t>
      </w:r>
      <w:r w:rsidR="004F05F7" w:rsidRPr="00FB5742">
        <w:rPr>
          <w:szCs w:val="22"/>
          <w:lang w:val="en-ZW"/>
        </w:rPr>
        <w:t>202</w:t>
      </w:r>
      <w:r w:rsidR="00000319" w:rsidRPr="00FB5742">
        <w:rPr>
          <w:szCs w:val="22"/>
          <w:lang w:val="en-ZW"/>
        </w:rPr>
        <w:t>2</w:t>
      </w:r>
      <w:r w:rsidR="00D6129C" w:rsidRPr="00FB5742">
        <w:rPr>
          <w:szCs w:val="22"/>
          <w:lang w:val="en-ZW"/>
        </w:rPr>
        <w:t>, and effective April 1, 2023,</w:t>
      </w:r>
      <w:r w:rsidR="00166EDB" w:rsidRPr="00FB5742">
        <w:rPr>
          <w:szCs w:val="22"/>
          <w:lang w:val="en-ZW"/>
        </w:rPr>
        <w:t xml:space="preserve"> </w:t>
      </w:r>
      <w:r w:rsidR="00F16BD4" w:rsidRPr="00FB5742">
        <w:rPr>
          <w:szCs w:val="22"/>
          <w:lang w:val="en-ZW"/>
        </w:rPr>
        <w:t xml:space="preserve">aimed to </w:t>
      </w:r>
      <w:r w:rsidR="00DA6192" w:rsidRPr="00FB5742">
        <w:rPr>
          <w:szCs w:val="22"/>
          <w:lang w:val="en-ZW"/>
        </w:rPr>
        <w:t xml:space="preserve">help customers manage their own energy use by giving them more </w:t>
      </w:r>
      <w:r w:rsidR="001C16B3" w:rsidRPr="00FB5742">
        <w:rPr>
          <w:szCs w:val="22"/>
          <w:lang w:val="en-ZW"/>
        </w:rPr>
        <w:t>timely and accurate information on the costs of electricity.</w:t>
      </w:r>
      <w:r w:rsidR="00D6129C" w:rsidRPr="00FB5742">
        <w:rPr>
          <w:szCs w:val="22"/>
          <w:lang w:val="en-ZW"/>
        </w:rPr>
        <w:t xml:space="preserve"> The</w:t>
      </w:r>
      <w:r w:rsidR="007E4963" w:rsidRPr="00FB5742">
        <w:rPr>
          <w:szCs w:val="22"/>
          <w:lang w:val="en-ZW"/>
        </w:rPr>
        <w:t xml:space="preserve"> Standards are codified in the California Code of Regulations, Title 20, </w:t>
      </w:r>
      <w:r w:rsidR="00EE4C40" w:rsidRPr="00FB5742">
        <w:rPr>
          <w:szCs w:val="22"/>
          <w:lang w:val="en-ZW"/>
        </w:rPr>
        <w:t>§§ 1621-1625.</w:t>
      </w:r>
    </w:p>
  </w:footnote>
  <w:footnote w:id="48">
    <w:p w14:paraId="13B7ED95" w14:textId="5669A16C" w:rsidR="003D6555" w:rsidRPr="00FB5742" w:rsidRDefault="003D6555"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PG&amp;E </w:t>
      </w:r>
      <w:r w:rsidR="00C57717" w:rsidRPr="00FB5742">
        <w:rPr>
          <w:szCs w:val="22"/>
          <w:lang w:val="en-ZW"/>
        </w:rPr>
        <w:t xml:space="preserve">Openings </w:t>
      </w:r>
      <w:r w:rsidRPr="00FB5742">
        <w:rPr>
          <w:szCs w:val="22"/>
          <w:lang w:val="en-ZW"/>
        </w:rPr>
        <w:t xml:space="preserve">Comments </w:t>
      </w:r>
      <w:r w:rsidR="00C57717" w:rsidRPr="00FB5742">
        <w:rPr>
          <w:szCs w:val="22"/>
          <w:lang w:val="en-ZW"/>
        </w:rPr>
        <w:t xml:space="preserve">on Phase 4A Staff Proposal </w:t>
      </w:r>
      <w:r w:rsidRPr="00FB5742">
        <w:rPr>
          <w:szCs w:val="22"/>
          <w:lang w:val="en-ZW"/>
        </w:rPr>
        <w:t xml:space="preserve">at 3. </w:t>
      </w:r>
    </w:p>
  </w:footnote>
  <w:footnote w:id="49">
    <w:p w14:paraId="68F8BB8C" w14:textId="2D628C85" w:rsidR="00BB2FA8" w:rsidRPr="00FB5742" w:rsidRDefault="00BB2FA8"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Application 24-10-014.</w:t>
      </w:r>
    </w:p>
  </w:footnote>
  <w:footnote w:id="50">
    <w:p w14:paraId="544E311C" w14:textId="38B58D74" w:rsidR="004C173D" w:rsidRPr="00FB5742" w:rsidRDefault="004C173D"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PG&amp;E </w:t>
      </w:r>
      <w:r w:rsidR="003B5C5B" w:rsidRPr="00FB5742">
        <w:rPr>
          <w:szCs w:val="22"/>
          <w:lang w:val="en-ZW"/>
        </w:rPr>
        <w:t>Opening Comments on Ph</w:t>
      </w:r>
      <w:r w:rsidR="00D534D9" w:rsidRPr="00FB5742">
        <w:rPr>
          <w:szCs w:val="22"/>
          <w:lang w:val="en-ZW"/>
        </w:rPr>
        <w:t>ase</w:t>
      </w:r>
      <w:r w:rsidR="003B5C5B" w:rsidRPr="00FB5742">
        <w:rPr>
          <w:szCs w:val="22"/>
          <w:lang w:val="en-ZW"/>
        </w:rPr>
        <w:t xml:space="preserve"> 4A</w:t>
      </w:r>
      <w:r w:rsidRPr="00FB5742">
        <w:rPr>
          <w:szCs w:val="22"/>
          <w:lang w:val="en-ZW"/>
        </w:rPr>
        <w:t xml:space="preserve"> Staff Proposal at 5.</w:t>
      </w:r>
    </w:p>
  </w:footnote>
  <w:footnote w:id="51">
    <w:p w14:paraId="7E821090" w14:textId="28006B64" w:rsidR="009448D8" w:rsidRPr="00FB5742" w:rsidRDefault="009448D8"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SCE Opening </w:t>
      </w:r>
      <w:r w:rsidR="00E01D42" w:rsidRPr="00FB5742">
        <w:rPr>
          <w:szCs w:val="22"/>
          <w:lang w:val="en-ZW"/>
        </w:rPr>
        <w:t xml:space="preserve">Comments on Phase 4 Scoping Memo </w:t>
      </w:r>
      <w:r w:rsidRPr="00FB5742">
        <w:rPr>
          <w:szCs w:val="22"/>
          <w:lang w:val="en-ZW"/>
        </w:rPr>
        <w:t>at 4.</w:t>
      </w:r>
    </w:p>
  </w:footnote>
  <w:footnote w:id="52">
    <w:p w14:paraId="445D19C6" w14:textId="3324A369" w:rsidR="00AA7412" w:rsidRPr="00FB5742" w:rsidRDefault="00AA7412"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SBUA Opening </w:t>
      </w:r>
      <w:r w:rsidR="00761CC3" w:rsidRPr="00FB5742">
        <w:rPr>
          <w:szCs w:val="22"/>
          <w:lang w:val="en-ZW"/>
        </w:rPr>
        <w:t>Comments on Phase 4 Scoping Memo and Phase 4A Staff Proposal</w:t>
      </w:r>
      <w:r w:rsidRPr="00FB5742">
        <w:rPr>
          <w:szCs w:val="22"/>
          <w:lang w:val="en-ZW"/>
        </w:rPr>
        <w:t xml:space="preserve"> at 16.</w:t>
      </w:r>
    </w:p>
  </w:footnote>
  <w:footnote w:id="53">
    <w:p w14:paraId="7AC7BB14" w14:textId="1F9DC2F2" w:rsidR="008567BE" w:rsidRPr="00FB5742" w:rsidRDefault="008567BE"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PG&amp;E Opening Comments </w:t>
      </w:r>
      <w:r w:rsidR="00761CC3" w:rsidRPr="00FB5742">
        <w:rPr>
          <w:szCs w:val="22"/>
          <w:lang w:val="en-ZW"/>
        </w:rPr>
        <w:t xml:space="preserve">on Phase 4A Staff Proposal </w:t>
      </w:r>
      <w:r w:rsidRPr="00FB5742">
        <w:rPr>
          <w:szCs w:val="22"/>
          <w:lang w:val="en-ZW"/>
        </w:rPr>
        <w:t>at 4.</w:t>
      </w:r>
    </w:p>
  </w:footnote>
  <w:footnote w:id="54">
    <w:p w14:paraId="7072A80A" w14:textId="024C828D" w:rsidR="008F2AE8" w:rsidRPr="00FB5742" w:rsidRDefault="008F2AE8"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334CBC" w:rsidRPr="00FB5742">
        <w:rPr>
          <w:i/>
          <w:iCs/>
          <w:szCs w:val="22"/>
        </w:rPr>
        <w:t>Id</w:t>
      </w:r>
      <w:r w:rsidR="00334CBC" w:rsidRPr="00FB5742">
        <w:rPr>
          <w:szCs w:val="22"/>
        </w:rPr>
        <w:t>.</w:t>
      </w:r>
      <w:r w:rsidRPr="00FB5742">
        <w:rPr>
          <w:szCs w:val="22"/>
          <w:lang w:val="en-ZW"/>
        </w:rPr>
        <w:t xml:space="preserve"> at 4-5.</w:t>
      </w:r>
    </w:p>
  </w:footnote>
  <w:footnote w:id="55">
    <w:p w14:paraId="7A4933E3" w14:textId="47D5E6CB" w:rsidR="006A1D46" w:rsidRPr="00DB0114" w:rsidRDefault="006A1D46" w:rsidP="006A1D46">
      <w:pPr>
        <w:pStyle w:val="FootnoteText"/>
      </w:pPr>
      <w:r>
        <w:rPr>
          <w:rStyle w:val="FootnoteReference"/>
        </w:rPr>
        <w:footnoteRef/>
      </w:r>
      <w:r>
        <w:t xml:space="preserve"> </w:t>
      </w:r>
      <w:r w:rsidR="00DB0114">
        <w:t xml:space="preserve"> </w:t>
      </w:r>
      <w:r>
        <w:rPr>
          <w:lang w:val="en-ZW"/>
        </w:rPr>
        <w:t>SCE Opening Comments on Phase 4 Scoping Memo at 15.</w:t>
      </w:r>
    </w:p>
  </w:footnote>
  <w:footnote w:id="56">
    <w:p w14:paraId="4C27931B" w14:textId="0D134F1E" w:rsidR="002B1149" w:rsidRPr="00FB5742" w:rsidRDefault="002B1149"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74002A" w:rsidRPr="00FB5742">
        <w:rPr>
          <w:i/>
          <w:iCs/>
          <w:szCs w:val="22"/>
        </w:rPr>
        <w:t>Id</w:t>
      </w:r>
      <w:r w:rsidR="0074002A" w:rsidRPr="00FB5742">
        <w:rPr>
          <w:szCs w:val="22"/>
        </w:rPr>
        <w:t>.</w:t>
      </w:r>
      <w:r w:rsidR="00761CC3" w:rsidRPr="00FB5742">
        <w:rPr>
          <w:szCs w:val="22"/>
          <w:lang w:val="en-ZW"/>
        </w:rPr>
        <w:t xml:space="preserve"> </w:t>
      </w:r>
      <w:r w:rsidRPr="00FB5742">
        <w:rPr>
          <w:szCs w:val="22"/>
          <w:lang w:val="en-ZW"/>
        </w:rPr>
        <w:t>at 4.</w:t>
      </w:r>
    </w:p>
  </w:footnote>
  <w:footnote w:id="57">
    <w:p w14:paraId="5250A5DE" w14:textId="4629215B" w:rsidR="00D063B4" w:rsidRPr="00FB5742" w:rsidRDefault="00D063B4"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SDG&amp;E Opening Comments </w:t>
      </w:r>
      <w:r w:rsidR="00761CC3" w:rsidRPr="00FB5742">
        <w:rPr>
          <w:szCs w:val="22"/>
          <w:lang w:val="en-ZW"/>
        </w:rPr>
        <w:t>on Phase 4A Staff Proposal</w:t>
      </w:r>
      <w:r w:rsidRPr="00FB5742">
        <w:rPr>
          <w:szCs w:val="22"/>
          <w:lang w:val="en-ZW"/>
        </w:rPr>
        <w:t xml:space="preserve"> at 2-3.</w:t>
      </w:r>
    </w:p>
  </w:footnote>
  <w:footnote w:id="58">
    <w:p w14:paraId="738017FE" w14:textId="32F167FE" w:rsidR="00512EA1" w:rsidRPr="00FB5742" w:rsidRDefault="00512EA1"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rPr>
        <w:t>Ibid</w:t>
      </w:r>
      <w:r w:rsidR="00C975B5" w:rsidRPr="00FB5742">
        <w:rPr>
          <w:i/>
          <w:szCs w:val="22"/>
        </w:rPr>
        <w:t>.</w:t>
      </w:r>
    </w:p>
  </w:footnote>
  <w:footnote w:id="59">
    <w:p w14:paraId="73295B48" w14:textId="722F3D22" w:rsidR="00E0329B" w:rsidRPr="00FB5742" w:rsidRDefault="00E0329B"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EE7695" w:rsidRPr="00FB5742">
        <w:rPr>
          <w:szCs w:val="22"/>
          <w:lang w:val="en-ZW"/>
        </w:rPr>
        <w:t xml:space="preserve">Joint </w:t>
      </w:r>
      <w:r w:rsidRPr="00FB5742">
        <w:rPr>
          <w:szCs w:val="22"/>
          <w:lang w:val="en-ZW"/>
        </w:rPr>
        <w:t>REN</w:t>
      </w:r>
      <w:r w:rsidR="00EE7695" w:rsidRPr="00FB5742">
        <w:rPr>
          <w:szCs w:val="22"/>
          <w:lang w:val="en-ZW"/>
        </w:rPr>
        <w:t>s</w:t>
      </w:r>
      <w:r w:rsidRPr="00FB5742">
        <w:rPr>
          <w:szCs w:val="22"/>
          <w:lang w:val="en-ZW"/>
        </w:rPr>
        <w:t xml:space="preserve"> Reply Comments </w:t>
      </w:r>
      <w:r w:rsidR="00761CC3" w:rsidRPr="00FB5742">
        <w:rPr>
          <w:szCs w:val="22"/>
          <w:lang w:val="en-ZW"/>
        </w:rPr>
        <w:t xml:space="preserve">on Phase 4 Scoping Memo and Phase 4A Staff Proposal </w:t>
      </w:r>
      <w:r w:rsidRPr="00FB5742">
        <w:rPr>
          <w:szCs w:val="22"/>
          <w:lang w:val="en-ZW"/>
        </w:rPr>
        <w:t>at 4.</w:t>
      </w:r>
    </w:p>
  </w:footnote>
  <w:footnote w:id="60">
    <w:p w14:paraId="149FC26F" w14:textId="19493498" w:rsidR="00E0329B" w:rsidRPr="00FB5742" w:rsidRDefault="00E0329B"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PG&amp;E Reply </w:t>
      </w:r>
      <w:r w:rsidR="00E45189" w:rsidRPr="00FB5742">
        <w:rPr>
          <w:szCs w:val="22"/>
          <w:lang w:val="en-ZW"/>
        </w:rPr>
        <w:t xml:space="preserve">Comments on Phase 4 Scoping Memo and Phase 4A Staff Proposal </w:t>
      </w:r>
      <w:r w:rsidRPr="00FB5742">
        <w:rPr>
          <w:szCs w:val="22"/>
          <w:lang w:val="en-ZW"/>
        </w:rPr>
        <w:t>at 3.</w:t>
      </w:r>
    </w:p>
  </w:footnote>
  <w:footnote w:id="61">
    <w:p w14:paraId="4FF2D7BE" w14:textId="28736CC8" w:rsidR="00E0329B" w:rsidRPr="00FB5742" w:rsidRDefault="00E0329B"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SCE Reply </w:t>
      </w:r>
      <w:r w:rsidR="00E45189" w:rsidRPr="00FB5742">
        <w:rPr>
          <w:szCs w:val="22"/>
          <w:lang w:val="en-ZW"/>
        </w:rPr>
        <w:t xml:space="preserve">Comments on Phase 4 Scoping Memo </w:t>
      </w:r>
      <w:r w:rsidRPr="00FB5742">
        <w:rPr>
          <w:szCs w:val="22"/>
          <w:lang w:val="en-ZW"/>
        </w:rPr>
        <w:t>at 3-4.</w:t>
      </w:r>
    </w:p>
  </w:footnote>
  <w:footnote w:id="62">
    <w:p w14:paraId="324B6F70" w14:textId="6F210C05" w:rsidR="00E0329B" w:rsidRPr="00FB5742" w:rsidRDefault="00E0329B"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334CBC" w:rsidRPr="00FB5742">
        <w:rPr>
          <w:i/>
          <w:iCs/>
          <w:szCs w:val="22"/>
        </w:rPr>
        <w:t>Id</w:t>
      </w:r>
      <w:r w:rsidR="00334CBC" w:rsidRPr="00FB5742">
        <w:rPr>
          <w:szCs w:val="22"/>
        </w:rPr>
        <w:t>.</w:t>
      </w:r>
      <w:r w:rsidR="00E45189" w:rsidRPr="00FB5742">
        <w:rPr>
          <w:szCs w:val="22"/>
          <w:lang w:val="en-ZW"/>
        </w:rPr>
        <w:t xml:space="preserve"> </w:t>
      </w:r>
      <w:r w:rsidRPr="00FB5742">
        <w:rPr>
          <w:szCs w:val="22"/>
          <w:lang w:val="en-ZW"/>
        </w:rPr>
        <w:t xml:space="preserve">at 4. </w:t>
      </w:r>
    </w:p>
  </w:footnote>
  <w:footnote w:id="63">
    <w:p w14:paraId="12FEE63F" w14:textId="61D71413" w:rsidR="00E0329B" w:rsidRPr="00FB5742" w:rsidRDefault="00E0329B"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rPr>
        <w:t>Ibid</w:t>
      </w:r>
      <w:r w:rsidR="00C975B5" w:rsidRPr="00FB5742">
        <w:rPr>
          <w:i/>
          <w:szCs w:val="22"/>
        </w:rPr>
        <w:t>.</w:t>
      </w:r>
    </w:p>
  </w:footnote>
  <w:footnote w:id="64">
    <w:p w14:paraId="57D3A819" w14:textId="132A0B46" w:rsidR="00E0329B" w:rsidRPr="00FB5742" w:rsidRDefault="00E0329B"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CBIA Reply </w:t>
      </w:r>
      <w:r w:rsidR="00E45189" w:rsidRPr="00FB5742">
        <w:rPr>
          <w:szCs w:val="22"/>
          <w:lang w:val="en-ZW"/>
        </w:rPr>
        <w:t xml:space="preserve">Comments on Phase 4 Scoping Memo </w:t>
      </w:r>
      <w:r w:rsidRPr="00FB5742">
        <w:rPr>
          <w:szCs w:val="22"/>
          <w:lang w:val="en-ZW"/>
        </w:rPr>
        <w:t xml:space="preserve">at 2. </w:t>
      </w:r>
    </w:p>
  </w:footnote>
  <w:footnote w:id="65">
    <w:p w14:paraId="219D376F" w14:textId="4EFF4542" w:rsidR="00D85E04" w:rsidRPr="00FB5742" w:rsidRDefault="00D85E04"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SCE Opening </w:t>
      </w:r>
      <w:r w:rsidR="00E45189" w:rsidRPr="00FB5742">
        <w:rPr>
          <w:szCs w:val="22"/>
          <w:lang w:val="en-ZW"/>
        </w:rPr>
        <w:t xml:space="preserve">Comments on Phase 4 Scoping Memo </w:t>
      </w:r>
      <w:r w:rsidRPr="00FB5742">
        <w:rPr>
          <w:szCs w:val="22"/>
          <w:lang w:val="en-ZW"/>
        </w:rPr>
        <w:t>at 4.</w:t>
      </w:r>
    </w:p>
  </w:footnote>
  <w:footnote w:id="66">
    <w:p w14:paraId="6278A399" w14:textId="738B117D" w:rsidR="00847D88" w:rsidRPr="00FB5742" w:rsidRDefault="00847D88" w:rsidP="00FB5742">
      <w:pPr>
        <w:pStyle w:val="FootnoteText"/>
        <w:rPr>
          <w:szCs w:val="22"/>
          <w:lang w:val="en-ZW"/>
        </w:rPr>
      </w:pPr>
      <w:r w:rsidRPr="00FB5742">
        <w:rPr>
          <w:rStyle w:val="FootnoteReference"/>
          <w:szCs w:val="22"/>
        </w:rPr>
        <w:footnoteRef/>
      </w:r>
      <w:r w:rsidRPr="00FB5742">
        <w:rPr>
          <w:szCs w:val="22"/>
        </w:rPr>
        <w:t xml:space="preserve"> </w:t>
      </w:r>
      <w:r w:rsidRPr="00FB5742">
        <w:rPr>
          <w:szCs w:val="22"/>
          <w:lang w:val="en-ZW"/>
        </w:rPr>
        <w:t xml:space="preserve">Joint Parties Opening Comments </w:t>
      </w:r>
      <w:r w:rsidR="00E45189" w:rsidRPr="00FB5742">
        <w:rPr>
          <w:szCs w:val="22"/>
          <w:lang w:val="en-ZW"/>
        </w:rPr>
        <w:t xml:space="preserve">on Phase 4 Scoping Memo and Phase 4A Staff Proposal </w:t>
      </w:r>
      <w:r w:rsidRPr="00FB5742">
        <w:rPr>
          <w:szCs w:val="22"/>
          <w:lang w:val="en-ZW"/>
        </w:rPr>
        <w:t xml:space="preserve">at 15. </w:t>
      </w:r>
    </w:p>
  </w:footnote>
  <w:footnote w:id="67">
    <w:p w14:paraId="386BABE2" w14:textId="46C3B4EB" w:rsidR="00BD7AB3" w:rsidRPr="00FB5742" w:rsidRDefault="00BD7AB3"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SBUA Opening </w:t>
      </w:r>
      <w:r w:rsidR="00E45189" w:rsidRPr="00FB5742">
        <w:rPr>
          <w:szCs w:val="22"/>
          <w:lang w:val="en-ZW"/>
        </w:rPr>
        <w:t xml:space="preserve">Comments on Phase 4 Scoping Memo and Phase 4A Staff Proposal </w:t>
      </w:r>
      <w:r w:rsidRPr="00FB5742">
        <w:rPr>
          <w:szCs w:val="22"/>
          <w:lang w:val="en-ZW"/>
        </w:rPr>
        <w:t>at 15.</w:t>
      </w:r>
    </w:p>
  </w:footnote>
  <w:footnote w:id="68">
    <w:p w14:paraId="164046F9" w14:textId="5D008744" w:rsidR="00077972" w:rsidRPr="00FB5742" w:rsidRDefault="00077972"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EE7695" w:rsidRPr="00FB5742">
        <w:rPr>
          <w:szCs w:val="22"/>
          <w:lang w:val="en-ZW"/>
        </w:rPr>
        <w:t xml:space="preserve">Joint </w:t>
      </w:r>
      <w:r w:rsidR="009155F2" w:rsidRPr="00FB5742">
        <w:rPr>
          <w:szCs w:val="22"/>
          <w:lang w:val="en-ZW"/>
        </w:rPr>
        <w:t>REN</w:t>
      </w:r>
      <w:r w:rsidR="00EE7695" w:rsidRPr="00FB5742">
        <w:rPr>
          <w:szCs w:val="22"/>
          <w:lang w:val="en-ZW"/>
        </w:rPr>
        <w:t>s</w:t>
      </w:r>
      <w:r w:rsidR="009155F2" w:rsidRPr="00FB5742">
        <w:rPr>
          <w:szCs w:val="22"/>
          <w:lang w:val="en-ZW"/>
        </w:rPr>
        <w:t xml:space="preserve"> Opening Comments </w:t>
      </w:r>
      <w:r w:rsidR="00E45189" w:rsidRPr="00FB5742">
        <w:rPr>
          <w:szCs w:val="22"/>
          <w:lang w:val="en-ZW"/>
        </w:rPr>
        <w:t xml:space="preserve">on Phase 4 Scoping Memo </w:t>
      </w:r>
      <w:r w:rsidR="009155F2" w:rsidRPr="00FB5742">
        <w:rPr>
          <w:szCs w:val="22"/>
          <w:lang w:val="en-ZW"/>
        </w:rPr>
        <w:t>at 9.</w:t>
      </w:r>
    </w:p>
  </w:footnote>
  <w:footnote w:id="69">
    <w:p w14:paraId="39814CA7" w14:textId="78522B1E" w:rsidR="009470DA" w:rsidRPr="00FB5742" w:rsidRDefault="009470DA"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CALSSA Opening Comments </w:t>
      </w:r>
      <w:r w:rsidR="00E45189" w:rsidRPr="00FB5742">
        <w:rPr>
          <w:szCs w:val="22"/>
          <w:lang w:val="en-ZW"/>
        </w:rPr>
        <w:t xml:space="preserve">on Phase 4A Staff Proposal </w:t>
      </w:r>
      <w:r w:rsidRPr="00FB5742">
        <w:rPr>
          <w:szCs w:val="22"/>
          <w:lang w:val="en-ZW"/>
        </w:rPr>
        <w:t xml:space="preserve">at 2. </w:t>
      </w:r>
    </w:p>
  </w:footnote>
  <w:footnote w:id="70">
    <w:p w14:paraId="33898BE4" w14:textId="034D21ED" w:rsidR="00DB3FE5" w:rsidRPr="00FB5742" w:rsidRDefault="00DB3FE5"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DD3505" w:rsidRPr="00FB5742">
        <w:rPr>
          <w:i/>
          <w:iCs/>
          <w:szCs w:val="22"/>
          <w:lang w:val="en-ZW"/>
        </w:rPr>
        <w:t>Id</w:t>
      </w:r>
      <w:r w:rsidR="00DD3505" w:rsidRPr="00FB5742">
        <w:rPr>
          <w:szCs w:val="22"/>
          <w:lang w:val="en-ZW"/>
        </w:rPr>
        <w:t>.</w:t>
      </w:r>
      <w:r w:rsidR="000C6650" w:rsidRPr="00FB5742">
        <w:rPr>
          <w:szCs w:val="22"/>
          <w:lang w:val="en-ZW"/>
        </w:rPr>
        <w:t xml:space="preserve"> </w:t>
      </w:r>
      <w:r w:rsidR="00DD195D" w:rsidRPr="00FB5742">
        <w:rPr>
          <w:szCs w:val="22"/>
          <w:lang w:val="en-ZW"/>
        </w:rPr>
        <w:t xml:space="preserve">at 2-3. </w:t>
      </w:r>
    </w:p>
  </w:footnote>
  <w:footnote w:id="71">
    <w:p w14:paraId="4666723A" w14:textId="411B36AC" w:rsidR="001E716C" w:rsidRPr="00FB5742" w:rsidRDefault="001E716C"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lang w:val="en-ZW"/>
        </w:rPr>
        <w:t>Ibid</w:t>
      </w:r>
      <w:r w:rsidR="00C975B5" w:rsidRPr="00FB5742">
        <w:rPr>
          <w:i/>
          <w:szCs w:val="22"/>
          <w:lang w:val="en-ZW"/>
        </w:rPr>
        <w:t>.</w:t>
      </w:r>
    </w:p>
  </w:footnote>
  <w:footnote w:id="72">
    <w:p w14:paraId="63FADBF9" w14:textId="4C0D3974" w:rsidR="00901BE9" w:rsidRPr="00FB5742" w:rsidRDefault="00901BE9"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SPUR Opening </w:t>
      </w:r>
      <w:r w:rsidR="000C6650" w:rsidRPr="00FB5742">
        <w:rPr>
          <w:szCs w:val="22"/>
          <w:lang w:val="en-ZW"/>
        </w:rPr>
        <w:t xml:space="preserve">Comments on Phase 4 Scoping Memo and Phase 4A Staff Proposal </w:t>
      </w:r>
      <w:r w:rsidRPr="00FB5742">
        <w:rPr>
          <w:szCs w:val="22"/>
          <w:lang w:val="en-ZW"/>
        </w:rPr>
        <w:t>at 9.</w:t>
      </w:r>
    </w:p>
  </w:footnote>
  <w:footnote w:id="73">
    <w:p w14:paraId="07266120" w14:textId="3262073C" w:rsidR="009001EC" w:rsidRPr="00FB5742" w:rsidRDefault="009001EC"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ConnectDER Opening Comments </w:t>
      </w:r>
      <w:r w:rsidR="000C6650" w:rsidRPr="00FB5742">
        <w:rPr>
          <w:szCs w:val="22"/>
          <w:lang w:val="en-ZW"/>
        </w:rPr>
        <w:t xml:space="preserve">on Phase 4A Staff Proposal </w:t>
      </w:r>
      <w:r w:rsidRPr="00FB5742">
        <w:rPr>
          <w:szCs w:val="22"/>
          <w:lang w:val="en-ZW"/>
        </w:rPr>
        <w:t xml:space="preserve">at 9. </w:t>
      </w:r>
    </w:p>
  </w:footnote>
  <w:footnote w:id="74">
    <w:p w14:paraId="48CC50D6" w14:textId="75BC5871" w:rsidR="001322B9" w:rsidRPr="00FB5742" w:rsidRDefault="001322B9"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334CBC" w:rsidRPr="00FB5742">
        <w:rPr>
          <w:i/>
          <w:iCs/>
          <w:szCs w:val="22"/>
          <w:lang w:val="en-ZW"/>
        </w:rPr>
        <w:t>Id</w:t>
      </w:r>
      <w:r w:rsidR="00334CBC" w:rsidRPr="00FB5742">
        <w:rPr>
          <w:szCs w:val="22"/>
          <w:lang w:val="en-ZW"/>
        </w:rPr>
        <w:t>.</w:t>
      </w:r>
      <w:r w:rsidR="000C6650" w:rsidRPr="00FB5742">
        <w:rPr>
          <w:szCs w:val="22"/>
          <w:lang w:val="en-ZW"/>
        </w:rPr>
        <w:t xml:space="preserve"> </w:t>
      </w:r>
      <w:r w:rsidRPr="00FB5742">
        <w:rPr>
          <w:szCs w:val="22"/>
          <w:lang w:val="en-ZW"/>
        </w:rPr>
        <w:t xml:space="preserve">at </w:t>
      </w:r>
      <w:r w:rsidR="004C3F18" w:rsidRPr="00FB5742">
        <w:rPr>
          <w:szCs w:val="22"/>
          <w:lang w:val="en-ZW"/>
        </w:rPr>
        <w:t>5-8.</w:t>
      </w:r>
    </w:p>
  </w:footnote>
  <w:footnote w:id="75">
    <w:p w14:paraId="28259D99" w14:textId="5599EA79" w:rsidR="00C7688A" w:rsidRPr="00FB5742" w:rsidRDefault="00C7688A"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334CBC" w:rsidRPr="00FB5742">
        <w:rPr>
          <w:i/>
          <w:iCs/>
          <w:szCs w:val="22"/>
          <w:lang w:val="en-ZW"/>
        </w:rPr>
        <w:t>Id</w:t>
      </w:r>
      <w:r w:rsidR="00334CBC" w:rsidRPr="00FB5742">
        <w:rPr>
          <w:szCs w:val="22"/>
          <w:lang w:val="en-ZW"/>
        </w:rPr>
        <w:t>.</w:t>
      </w:r>
      <w:r w:rsidR="000C6650" w:rsidRPr="00FB5742">
        <w:rPr>
          <w:szCs w:val="22"/>
          <w:lang w:val="en-ZW"/>
        </w:rPr>
        <w:t xml:space="preserve"> </w:t>
      </w:r>
      <w:r w:rsidRPr="00FB5742">
        <w:rPr>
          <w:szCs w:val="22"/>
          <w:lang w:val="en-ZW"/>
        </w:rPr>
        <w:t>at 9.</w:t>
      </w:r>
    </w:p>
  </w:footnote>
  <w:footnote w:id="76">
    <w:p w14:paraId="2A62CBD9" w14:textId="0CC514E1" w:rsidR="00204F0C" w:rsidRPr="00FB5742" w:rsidRDefault="00204F0C"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334CBC" w:rsidRPr="00FB5742">
        <w:rPr>
          <w:i/>
          <w:iCs/>
          <w:szCs w:val="22"/>
          <w:lang w:val="en-ZW"/>
        </w:rPr>
        <w:t>Id</w:t>
      </w:r>
      <w:r w:rsidR="00334CBC" w:rsidRPr="00FB5742">
        <w:rPr>
          <w:szCs w:val="22"/>
          <w:lang w:val="en-ZW"/>
        </w:rPr>
        <w:t>.</w:t>
      </w:r>
      <w:r w:rsidR="000C6650" w:rsidRPr="00FB5742">
        <w:rPr>
          <w:szCs w:val="22"/>
          <w:lang w:val="en-ZW"/>
        </w:rPr>
        <w:t xml:space="preserve"> </w:t>
      </w:r>
      <w:r w:rsidR="00B443FE" w:rsidRPr="00FB5742">
        <w:rPr>
          <w:szCs w:val="22"/>
          <w:lang w:val="en-ZW"/>
        </w:rPr>
        <w:t xml:space="preserve">at 8; Resolution E-5194 </w:t>
      </w:r>
      <w:r w:rsidR="00F55AF8" w:rsidRPr="00FB5742">
        <w:rPr>
          <w:szCs w:val="22"/>
          <w:lang w:val="en-ZW"/>
        </w:rPr>
        <w:t>at 23.</w:t>
      </w:r>
    </w:p>
  </w:footnote>
  <w:footnote w:id="77">
    <w:p w14:paraId="30EAC16E" w14:textId="7FBEA4F2" w:rsidR="00FB4C3F" w:rsidRPr="00FB5742" w:rsidRDefault="00FB4C3F"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PG&amp;E Opening Comments </w:t>
      </w:r>
      <w:r w:rsidR="00061148" w:rsidRPr="00FB5742">
        <w:rPr>
          <w:szCs w:val="22"/>
          <w:lang w:val="en-ZW"/>
        </w:rPr>
        <w:t>on Phase 4A Staff Proposal</w:t>
      </w:r>
      <w:r w:rsidRPr="00FB5742">
        <w:rPr>
          <w:szCs w:val="22"/>
          <w:lang w:val="en-ZW"/>
        </w:rPr>
        <w:t xml:space="preserve"> at 6.</w:t>
      </w:r>
    </w:p>
  </w:footnote>
  <w:footnote w:id="78">
    <w:p w14:paraId="6D579C1A" w14:textId="4FCAD45F" w:rsidR="00870985" w:rsidRPr="00FB5742" w:rsidRDefault="00870985"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lang w:val="en-ZW"/>
        </w:rPr>
        <w:t>Ibid</w:t>
      </w:r>
      <w:r w:rsidR="00C975B5" w:rsidRPr="00FB5742">
        <w:rPr>
          <w:i/>
          <w:szCs w:val="22"/>
          <w:lang w:val="en-ZW"/>
        </w:rPr>
        <w:t>.</w:t>
      </w:r>
    </w:p>
  </w:footnote>
  <w:footnote w:id="79">
    <w:p w14:paraId="38E5DC53" w14:textId="77777777" w:rsidR="0012186F" w:rsidRPr="00FB5742" w:rsidRDefault="0012186F" w:rsidP="0012186F">
      <w:pPr>
        <w:pStyle w:val="FootnoteText"/>
        <w:rPr>
          <w:szCs w:val="22"/>
          <w:lang w:val="en-ZW"/>
        </w:rPr>
      </w:pPr>
      <w:r w:rsidRPr="00FB5742">
        <w:rPr>
          <w:rStyle w:val="FootnoteReference"/>
          <w:szCs w:val="22"/>
        </w:rPr>
        <w:footnoteRef/>
      </w:r>
      <w:r w:rsidRPr="00FB5742">
        <w:rPr>
          <w:szCs w:val="22"/>
        </w:rPr>
        <w:t xml:space="preserve">  </w:t>
      </w:r>
      <w:r w:rsidRPr="00FB5742">
        <w:rPr>
          <w:szCs w:val="22"/>
          <w:lang w:val="en-ZW"/>
        </w:rPr>
        <w:t>PG&amp;E Opening Comments on Phase 4 Scoping Memo at 6.</w:t>
      </w:r>
    </w:p>
  </w:footnote>
  <w:footnote w:id="80">
    <w:p w14:paraId="2F0AC99A" w14:textId="7C8510F1" w:rsidR="005440A8" w:rsidRPr="00FB5742" w:rsidRDefault="005440A8"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SCE Opening </w:t>
      </w:r>
      <w:r w:rsidR="00CA0108" w:rsidRPr="00FB5742">
        <w:rPr>
          <w:szCs w:val="22"/>
          <w:lang w:val="en-ZW"/>
        </w:rPr>
        <w:t xml:space="preserve">Comments on Phase 4 Scoping Memo </w:t>
      </w:r>
      <w:r w:rsidRPr="00FB5742">
        <w:rPr>
          <w:szCs w:val="22"/>
          <w:lang w:val="en-ZW"/>
        </w:rPr>
        <w:t xml:space="preserve">at 6. </w:t>
      </w:r>
    </w:p>
  </w:footnote>
  <w:footnote w:id="81">
    <w:p w14:paraId="4FFCE6A2" w14:textId="17E7D6D4" w:rsidR="0066251E" w:rsidRPr="00FB5742" w:rsidRDefault="0066251E"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rPr>
        <w:t>Ibid</w:t>
      </w:r>
      <w:r w:rsidR="00C975B5" w:rsidRPr="00FB5742">
        <w:rPr>
          <w:i/>
          <w:szCs w:val="22"/>
        </w:rPr>
        <w:t>.</w:t>
      </w:r>
    </w:p>
  </w:footnote>
  <w:footnote w:id="82">
    <w:p w14:paraId="1BB2A5E8" w14:textId="34293E6F" w:rsidR="0096313E" w:rsidRPr="00FB5742" w:rsidRDefault="0096313E"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SDG&amp;E Opening Comments </w:t>
      </w:r>
      <w:r w:rsidR="0076280D" w:rsidRPr="00FB5742">
        <w:rPr>
          <w:szCs w:val="22"/>
          <w:lang w:val="en-ZW"/>
        </w:rPr>
        <w:t>on Phase 4A Staff Proposal</w:t>
      </w:r>
      <w:r w:rsidRPr="00FB5742">
        <w:rPr>
          <w:szCs w:val="22"/>
          <w:lang w:val="en-ZW"/>
        </w:rPr>
        <w:t xml:space="preserve"> at 4.</w:t>
      </w:r>
    </w:p>
  </w:footnote>
  <w:footnote w:id="83">
    <w:p w14:paraId="63FA7C51" w14:textId="2D4D03BD" w:rsidR="00DA583E" w:rsidRPr="00FB5742" w:rsidRDefault="00DA583E"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SCE Opening Comments </w:t>
      </w:r>
      <w:r w:rsidR="000C320B" w:rsidRPr="00FB5742">
        <w:rPr>
          <w:szCs w:val="22"/>
          <w:lang w:val="en-ZW"/>
        </w:rPr>
        <w:t xml:space="preserve">on Phase 4 Scoping Memo </w:t>
      </w:r>
      <w:r w:rsidRPr="00FB5742">
        <w:rPr>
          <w:szCs w:val="22"/>
          <w:lang w:val="en-ZW"/>
        </w:rPr>
        <w:t>at 6.</w:t>
      </w:r>
    </w:p>
  </w:footnote>
  <w:footnote w:id="84">
    <w:p w14:paraId="725062C1" w14:textId="7E953436" w:rsidR="00186862" w:rsidRPr="00FB5742" w:rsidRDefault="00186862"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3C0FCF" w:rsidRPr="00FB5742">
        <w:rPr>
          <w:i/>
          <w:iCs/>
          <w:szCs w:val="22"/>
        </w:rPr>
        <w:t>Id.</w:t>
      </w:r>
      <w:r w:rsidR="000C320B" w:rsidRPr="00FB5742">
        <w:rPr>
          <w:szCs w:val="22"/>
          <w:lang w:val="en-ZW"/>
        </w:rPr>
        <w:t xml:space="preserve"> </w:t>
      </w:r>
      <w:r w:rsidR="00E67607" w:rsidRPr="00FB5742">
        <w:rPr>
          <w:szCs w:val="22"/>
        </w:rPr>
        <w:t>at 5-6.</w:t>
      </w:r>
    </w:p>
  </w:footnote>
  <w:footnote w:id="85">
    <w:p w14:paraId="4ADAA17D" w14:textId="3D00F18E" w:rsidR="00953CC5" w:rsidRPr="00FB5742" w:rsidRDefault="00953CC5"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SDG&amp;E Opening Comments </w:t>
      </w:r>
      <w:r w:rsidR="0076280D" w:rsidRPr="00FB5742">
        <w:rPr>
          <w:szCs w:val="22"/>
          <w:lang w:val="en-ZW"/>
        </w:rPr>
        <w:t>on Phase 4A Staff Proposal</w:t>
      </w:r>
      <w:r w:rsidRPr="00FB5742">
        <w:rPr>
          <w:szCs w:val="22"/>
          <w:lang w:val="en-ZW"/>
        </w:rPr>
        <w:t xml:space="preserve"> at 4. </w:t>
      </w:r>
    </w:p>
  </w:footnote>
  <w:footnote w:id="86">
    <w:p w14:paraId="06C503A9" w14:textId="683FAAD4" w:rsidR="00EE7CAB" w:rsidRPr="00FB5742" w:rsidRDefault="00EE7CAB"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EE7695" w:rsidRPr="00FB5742">
        <w:rPr>
          <w:szCs w:val="22"/>
        </w:rPr>
        <w:t xml:space="preserve">Joint </w:t>
      </w:r>
      <w:r w:rsidRPr="00FB5742">
        <w:rPr>
          <w:szCs w:val="22"/>
        </w:rPr>
        <w:t>REN</w:t>
      </w:r>
      <w:r w:rsidR="00EE7695" w:rsidRPr="00FB5742">
        <w:rPr>
          <w:szCs w:val="22"/>
        </w:rPr>
        <w:t>s</w:t>
      </w:r>
      <w:r w:rsidRPr="00FB5742">
        <w:rPr>
          <w:szCs w:val="22"/>
        </w:rPr>
        <w:t xml:space="preserve"> Reply Comments </w:t>
      </w:r>
      <w:r w:rsidR="005C5ED4" w:rsidRPr="00FB5742">
        <w:rPr>
          <w:szCs w:val="22"/>
        </w:rPr>
        <w:t>on Phase 4 Scoping Memo</w:t>
      </w:r>
      <w:r w:rsidRPr="00FB5742">
        <w:rPr>
          <w:szCs w:val="22"/>
        </w:rPr>
        <w:t xml:space="preserve"> at 3-4; CBIA Reply Comments </w:t>
      </w:r>
      <w:r w:rsidR="006E6F2C" w:rsidRPr="00FB5742">
        <w:rPr>
          <w:szCs w:val="22"/>
        </w:rPr>
        <w:t>on Phase 4 Scoping Memo</w:t>
      </w:r>
      <w:r w:rsidRPr="00FB5742">
        <w:rPr>
          <w:szCs w:val="22"/>
        </w:rPr>
        <w:t xml:space="preserve"> at 2-3.</w:t>
      </w:r>
    </w:p>
  </w:footnote>
  <w:footnote w:id="87">
    <w:p w14:paraId="3EF16EB3" w14:textId="6D89637A" w:rsidR="00C31A73" w:rsidRPr="00FB5742" w:rsidRDefault="00C31A73"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SCE Reply Comments </w:t>
      </w:r>
      <w:r w:rsidR="000C540D" w:rsidRPr="00FB5742">
        <w:rPr>
          <w:szCs w:val="22"/>
          <w:lang w:val="en-ZW"/>
        </w:rPr>
        <w:t>on Phase 4 Scoping Memo</w:t>
      </w:r>
      <w:r w:rsidRPr="00FB5742">
        <w:rPr>
          <w:szCs w:val="22"/>
          <w:lang w:val="en-ZW"/>
        </w:rPr>
        <w:t xml:space="preserve"> at 5.</w:t>
      </w:r>
    </w:p>
  </w:footnote>
  <w:footnote w:id="88">
    <w:p w14:paraId="0656684C" w14:textId="4ABA1EB4" w:rsidR="00C31A73" w:rsidRPr="00FB5742" w:rsidRDefault="00C31A73"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3C0FCF" w:rsidRPr="00FB5742">
        <w:rPr>
          <w:i/>
          <w:iCs/>
          <w:szCs w:val="22"/>
        </w:rPr>
        <w:t>Id.</w:t>
      </w:r>
      <w:r w:rsidR="000C540D" w:rsidRPr="00FB5742">
        <w:rPr>
          <w:szCs w:val="22"/>
          <w:lang w:val="en-ZW"/>
        </w:rPr>
        <w:t xml:space="preserve"> </w:t>
      </w:r>
      <w:r w:rsidRPr="00FB5742">
        <w:rPr>
          <w:szCs w:val="22"/>
          <w:lang w:val="en-ZW"/>
        </w:rPr>
        <w:t xml:space="preserve">at 5-6. </w:t>
      </w:r>
    </w:p>
  </w:footnote>
  <w:footnote w:id="89">
    <w:p w14:paraId="570550EB" w14:textId="6138C212" w:rsidR="00C31A73" w:rsidRPr="00FB5742" w:rsidRDefault="00C31A73"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CALSSA Reply Comments </w:t>
      </w:r>
      <w:r w:rsidR="00923C54" w:rsidRPr="00FB5742">
        <w:rPr>
          <w:szCs w:val="22"/>
          <w:lang w:val="en-ZW"/>
        </w:rPr>
        <w:t xml:space="preserve">on Phase 4A Staff Proposal </w:t>
      </w:r>
      <w:r w:rsidRPr="00FB5742">
        <w:rPr>
          <w:szCs w:val="22"/>
          <w:lang w:val="en-ZW"/>
        </w:rPr>
        <w:t>at 2.</w:t>
      </w:r>
    </w:p>
  </w:footnote>
  <w:footnote w:id="90">
    <w:p w14:paraId="7EDBF1EF" w14:textId="597A0ED8" w:rsidR="002F7B19" w:rsidRPr="00FB5742" w:rsidRDefault="002F7B19"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CALSSA Reply Comments </w:t>
      </w:r>
      <w:r w:rsidR="00923C54" w:rsidRPr="00FB5742">
        <w:rPr>
          <w:szCs w:val="22"/>
          <w:lang w:val="en-ZW"/>
        </w:rPr>
        <w:t xml:space="preserve">on Phase 4A Staff Proposal </w:t>
      </w:r>
      <w:r w:rsidRPr="00FB5742">
        <w:rPr>
          <w:szCs w:val="22"/>
          <w:lang w:val="en-ZW"/>
        </w:rPr>
        <w:t xml:space="preserve">at 1 and Joint Parties Reply Comments </w:t>
      </w:r>
      <w:r w:rsidR="00131810" w:rsidRPr="00FB5742">
        <w:rPr>
          <w:szCs w:val="22"/>
          <w:lang w:val="en-ZW"/>
        </w:rPr>
        <w:t xml:space="preserve">on Phase 4 Scoping Memo and Phase 4A Staff Proposal </w:t>
      </w:r>
      <w:r w:rsidRPr="00FB5742">
        <w:rPr>
          <w:szCs w:val="22"/>
          <w:lang w:val="en-ZW"/>
        </w:rPr>
        <w:t>at 8.</w:t>
      </w:r>
    </w:p>
  </w:footnote>
  <w:footnote w:id="91">
    <w:p w14:paraId="42F1C4BB" w14:textId="01CCE9AF" w:rsidR="00D86987" w:rsidRPr="00FB5742" w:rsidRDefault="00D86987"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Resolution E-5194 at 10-11 and 16-17.</w:t>
      </w:r>
    </w:p>
  </w:footnote>
  <w:footnote w:id="92">
    <w:p w14:paraId="363F8603" w14:textId="2D2D8A69" w:rsidR="00FD01E5" w:rsidRPr="00FB5742" w:rsidRDefault="00FD01E5"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3C0FCF" w:rsidRPr="00FB5742">
        <w:rPr>
          <w:i/>
          <w:iCs/>
          <w:szCs w:val="22"/>
        </w:rPr>
        <w:t>Id.</w:t>
      </w:r>
      <w:r w:rsidRPr="00FB5742">
        <w:rPr>
          <w:szCs w:val="22"/>
          <w:lang w:val="en-ZW"/>
        </w:rPr>
        <w:t xml:space="preserve"> at 16-17.</w:t>
      </w:r>
    </w:p>
  </w:footnote>
  <w:footnote w:id="93">
    <w:p w14:paraId="084747C0" w14:textId="2814F9E4" w:rsidR="00D87574" w:rsidRPr="00FB5742" w:rsidRDefault="00D87574"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In relevant implementation </w:t>
      </w:r>
      <w:r w:rsidR="005957C9" w:rsidRPr="00FB5742">
        <w:rPr>
          <w:szCs w:val="22"/>
          <w:lang w:val="en-ZW"/>
        </w:rPr>
        <w:t>Advice Letter</w:t>
      </w:r>
      <w:r w:rsidRPr="00FB5742">
        <w:rPr>
          <w:szCs w:val="22"/>
          <w:lang w:val="en-ZW"/>
        </w:rPr>
        <w:t xml:space="preserve">s, SDG&amp;E AL 3734-E-A, PG&amp;E AL 6153-E-A, and SCE AL 4462-E-A </w:t>
      </w:r>
      <w:r w:rsidR="00173F2E" w:rsidRPr="00FB5742">
        <w:rPr>
          <w:szCs w:val="22"/>
          <w:lang w:val="en-ZW"/>
        </w:rPr>
        <w:t xml:space="preserve">all clarified that any additional testing performed by the </w:t>
      </w:r>
      <w:r w:rsidR="00106F60" w:rsidRPr="00FB5742">
        <w:rPr>
          <w:szCs w:val="22"/>
          <w:lang w:val="en-ZW"/>
        </w:rPr>
        <w:t>IOUs</w:t>
      </w:r>
      <w:r w:rsidR="00173F2E" w:rsidRPr="00FB5742">
        <w:rPr>
          <w:szCs w:val="22"/>
          <w:lang w:val="en-ZW"/>
        </w:rPr>
        <w:t xml:space="preserve"> would be separate from </w:t>
      </w:r>
      <w:r w:rsidR="00D0263D" w:rsidRPr="00FB5742">
        <w:rPr>
          <w:szCs w:val="22"/>
        </w:rPr>
        <w:t>Nationally Recognized Testing Laboratory</w:t>
      </w:r>
      <w:r w:rsidR="00D0263D" w:rsidRPr="00FB5742" w:rsidDel="00D0263D">
        <w:rPr>
          <w:szCs w:val="22"/>
          <w:lang w:val="en-ZW"/>
        </w:rPr>
        <w:t xml:space="preserve"> </w:t>
      </w:r>
      <w:r w:rsidR="00173F2E" w:rsidRPr="00FB5742">
        <w:rPr>
          <w:szCs w:val="22"/>
          <w:lang w:val="en-ZW"/>
        </w:rPr>
        <w:t>testing</w:t>
      </w:r>
      <w:r w:rsidR="00106F60" w:rsidRPr="00FB5742">
        <w:rPr>
          <w:szCs w:val="22"/>
          <w:lang w:val="en-ZW"/>
        </w:rPr>
        <w:t xml:space="preserve">. </w:t>
      </w:r>
      <w:r w:rsidR="00D0263D" w:rsidRPr="00FB5742">
        <w:rPr>
          <w:szCs w:val="22"/>
          <w:lang w:val="en-ZW"/>
        </w:rPr>
        <w:t xml:space="preserve">The </w:t>
      </w:r>
      <w:r w:rsidR="00651DD3" w:rsidRPr="00FB5742">
        <w:rPr>
          <w:szCs w:val="22"/>
          <w:lang w:val="en-ZW"/>
        </w:rPr>
        <w:t xml:space="preserve">IOUs state they will not repeat </w:t>
      </w:r>
      <w:r w:rsidR="00D0263D" w:rsidRPr="00FB5742">
        <w:rPr>
          <w:szCs w:val="22"/>
        </w:rPr>
        <w:t>Nationally Recognized Testing Laboratory</w:t>
      </w:r>
      <w:r w:rsidR="00D0263D" w:rsidRPr="00FB5742" w:rsidDel="00D0263D">
        <w:rPr>
          <w:szCs w:val="22"/>
          <w:lang w:val="en-ZW"/>
        </w:rPr>
        <w:t xml:space="preserve"> </w:t>
      </w:r>
      <w:r w:rsidR="00651DD3" w:rsidRPr="00FB5742">
        <w:rPr>
          <w:szCs w:val="22"/>
          <w:lang w:val="en-ZW"/>
        </w:rPr>
        <w:t>testing unless there are anomalies or concerns about test results.</w:t>
      </w:r>
      <w:r w:rsidR="00CD7E50" w:rsidRPr="00FB5742">
        <w:rPr>
          <w:szCs w:val="22"/>
          <w:lang w:val="en-ZW"/>
        </w:rPr>
        <w:t xml:space="preserve"> Resolution E-5194 at 6 also summarizes this point.</w:t>
      </w:r>
    </w:p>
  </w:footnote>
  <w:footnote w:id="94">
    <w:p w14:paraId="68B5B0ED" w14:textId="47C37313" w:rsidR="00061218" w:rsidRPr="00FB5742" w:rsidRDefault="00061218"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Resolution E-5194 at 5-6. </w:t>
      </w:r>
    </w:p>
  </w:footnote>
  <w:footnote w:id="95">
    <w:p w14:paraId="71F137A0" w14:textId="3022722D" w:rsidR="008B4E35" w:rsidRPr="00FB5742" w:rsidRDefault="008B4E35"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D.21-01-018 at 79.</w:t>
      </w:r>
    </w:p>
  </w:footnote>
  <w:footnote w:id="96">
    <w:p w14:paraId="36F13732" w14:textId="3482ECC2" w:rsidR="00C74177" w:rsidRPr="00FB5742" w:rsidRDefault="00C74177"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lang w:val="en-ZW"/>
        </w:rPr>
        <w:t>Ibid</w:t>
      </w:r>
      <w:r w:rsidR="00C975B5" w:rsidRPr="00FB5742">
        <w:rPr>
          <w:i/>
          <w:szCs w:val="22"/>
          <w:lang w:val="en-ZW"/>
        </w:rPr>
        <w:t>.</w:t>
      </w:r>
    </w:p>
  </w:footnote>
  <w:footnote w:id="97">
    <w:p w14:paraId="47EE9107" w14:textId="1DC1A219" w:rsidR="00547F9E" w:rsidRPr="00FB5742" w:rsidRDefault="00547F9E"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E30498" w:rsidRPr="00FB5742">
        <w:rPr>
          <w:szCs w:val="22"/>
          <w:lang w:val="en-ZW"/>
        </w:rPr>
        <w:t xml:space="preserve">PG&amp;E Opening Comments </w:t>
      </w:r>
      <w:r w:rsidR="00076B2E" w:rsidRPr="00FB5742">
        <w:rPr>
          <w:szCs w:val="22"/>
          <w:lang w:val="en-ZW"/>
        </w:rPr>
        <w:t xml:space="preserve">on Phase 4 Scoping Memo </w:t>
      </w:r>
      <w:r w:rsidR="00E30498" w:rsidRPr="00FB5742">
        <w:rPr>
          <w:szCs w:val="22"/>
          <w:lang w:val="en-ZW"/>
        </w:rPr>
        <w:t>at 9.</w:t>
      </w:r>
    </w:p>
  </w:footnote>
  <w:footnote w:id="98">
    <w:p w14:paraId="7A0B9F8F" w14:textId="287467D5" w:rsidR="00AE57FC" w:rsidRPr="00FB5742" w:rsidRDefault="00AE57FC"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D.11-07-029 </w:t>
      </w:r>
      <w:r w:rsidR="00955CFB" w:rsidRPr="00FB5742">
        <w:rPr>
          <w:szCs w:val="22"/>
          <w:lang w:val="en-ZW"/>
        </w:rPr>
        <w:t>at 59.</w:t>
      </w:r>
    </w:p>
  </w:footnote>
  <w:footnote w:id="99">
    <w:p w14:paraId="47A461B5" w14:textId="14C02C8D" w:rsidR="008B6EBA" w:rsidRPr="00FB5742" w:rsidRDefault="008B6EBA" w:rsidP="00FB5742">
      <w:pPr>
        <w:pStyle w:val="FootnoteText"/>
        <w:rPr>
          <w:i/>
          <w:iCs/>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lang w:val="en-ZW"/>
        </w:rPr>
        <w:t>Ibid</w:t>
      </w:r>
      <w:r w:rsidR="00C975B5" w:rsidRPr="00FB5742">
        <w:rPr>
          <w:i/>
          <w:szCs w:val="22"/>
          <w:lang w:val="en-ZW"/>
        </w:rPr>
        <w:t>.</w:t>
      </w:r>
    </w:p>
  </w:footnote>
  <w:footnote w:id="100">
    <w:p w14:paraId="100B12E5" w14:textId="2B79CC5B" w:rsidR="00F17052" w:rsidRPr="00FB5742" w:rsidRDefault="00F17052"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SCE Opening Comments </w:t>
      </w:r>
      <w:r w:rsidR="00076B2E" w:rsidRPr="00FB5742">
        <w:rPr>
          <w:szCs w:val="22"/>
          <w:lang w:val="en-ZW"/>
        </w:rPr>
        <w:t>on Phase 4 Scoping Memo</w:t>
      </w:r>
      <w:r w:rsidRPr="00FB5742">
        <w:rPr>
          <w:szCs w:val="22"/>
          <w:lang w:val="en-ZW"/>
        </w:rPr>
        <w:t xml:space="preserve"> at 14. </w:t>
      </w:r>
    </w:p>
  </w:footnote>
  <w:footnote w:id="101">
    <w:p w14:paraId="79B35C2B" w14:textId="7AA17C32" w:rsidR="00C54E9B" w:rsidRPr="00FB5742" w:rsidRDefault="00C54E9B"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6C6354" w:rsidRPr="00FB5742">
        <w:rPr>
          <w:szCs w:val="22"/>
        </w:rPr>
        <w:t xml:space="preserve">Joint RENs Opening Comments </w:t>
      </w:r>
      <w:r w:rsidR="005E494C" w:rsidRPr="00FB5742">
        <w:rPr>
          <w:szCs w:val="22"/>
        </w:rPr>
        <w:t xml:space="preserve">on Phase 4 Scoping Memo </w:t>
      </w:r>
      <w:r w:rsidR="006C6354" w:rsidRPr="00FB5742">
        <w:rPr>
          <w:szCs w:val="22"/>
        </w:rPr>
        <w:t>at 9.</w:t>
      </w:r>
    </w:p>
  </w:footnote>
  <w:footnote w:id="102">
    <w:p w14:paraId="1E85C990" w14:textId="60DE8609" w:rsidR="00D430DF" w:rsidRPr="00FB5742" w:rsidRDefault="00D430DF"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Joint RENs Opening Comments </w:t>
      </w:r>
      <w:r w:rsidR="005E494C" w:rsidRPr="00FB5742">
        <w:rPr>
          <w:szCs w:val="22"/>
          <w:lang w:val="en-ZW"/>
        </w:rPr>
        <w:t xml:space="preserve">on Phase 4 Scoping Memo </w:t>
      </w:r>
      <w:r w:rsidRPr="00FB5742">
        <w:rPr>
          <w:szCs w:val="22"/>
          <w:lang w:val="en-ZW"/>
        </w:rPr>
        <w:t xml:space="preserve">at 9-10. </w:t>
      </w:r>
    </w:p>
  </w:footnote>
  <w:footnote w:id="103">
    <w:p w14:paraId="56CECC1D" w14:textId="53C8E634" w:rsidR="00140DE1" w:rsidRPr="00FB5742" w:rsidRDefault="00140DE1"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SPUR Opening Comments</w:t>
      </w:r>
      <w:r w:rsidR="005E494C" w:rsidRPr="00FB5742">
        <w:rPr>
          <w:szCs w:val="22"/>
          <w:lang w:val="en-ZW"/>
        </w:rPr>
        <w:t xml:space="preserve"> on Phase 4 Scoping Memo and Phase 4A Staff Proposal</w:t>
      </w:r>
      <w:r w:rsidRPr="00FB5742">
        <w:rPr>
          <w:szCs w:val="22"/>
          <w:lang w:val="en-ZW"/>
        </w:rPr>
        <w:t xml:space="preserve"> at 13.</w:t>
      </w:r>
    </w:p>
  </w:footnote>
  <w:footnote w:id="104">
    <w:p w14:paraId="5C23EB52" w14:textId="5D34380C" w:rsidR="00693648" w:rsidRPr="00FB5742" w:rsidRDefault="00693648"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1B4571" w:rsidRPr="00FB5742">
        <w:rPr>
          <w:i/>
          <w:iCs/>
          <w:szCs w:val="22"/>
          <w:lang w:val="en-ZW"/>
        </w:rPr>
        <w:t>Id.</w:t>
      </w:r>
      <w:r w:rsidR="001B4571" w:rsidRPr="00FB5742">
        <w:rPr>
          <w:szCs w:val="22"/>
          <w:lang w:val="en-ZW"/>
        </w:rPr>
        <w:t xml:space="preserve"> </w:t>
      </w:r>
      <w:r w:rsidRPr="00FB5742">
        <w:rPr>
          <w:szCs w:val="22"/>
          <w:lang w:val="en-ZW"/>
        </w:rPr>
        <w:t>at 12.</w:t>
      </w:r>
    </w:p>
  </w:footnote>
  <w:footnote w:id="105">
    <w:p w14:paraId="5483542F" w14:textId="3757186D" w:rsidR="00E711A5" w:rsidRPr="00FB5742" w:rsidRDefault="00E711A5"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1B4571" w:rsidRPr="00FB5742">
        <w:rPr>
          <w:i/>
          <w:iCs/>
          <w:szCs w:val="22"/>
          <w:lang w:val="en-ZW"/>
        </w:rPr>
        <w:t>Id.</w:t>
      </w:r>
      <w:r w:rsidR="001B4571" w:rsidRPr="00FB5742">
        <w:rPr>
          <w:szCs w:val="22"/>
          <w:lang w:val="en-ZW"/>
        </w:rPr>
        <w:t xml:space="preserve"> </w:t>
      </w:r>
      <w:r w:rsidR="00140DE1" w:rsidRPr="00FB5742">
        <w:rPr>
          <w:szCs w:val="22"/>
          <w:lang w:val="en-ZW"/>
        </w:rPr>
        <w:t>at 13</w:t>
      </w:r>
      <w:r w:rsidRPr="00FB5742">
        <w:rPr>
          <w:szCs w:val="22"/>
          <w:lang w:val="en-ZW"/>
        </w:rPr>
        <w:t>.</w:t>
      </w:r>
    </w:p>
  </w:footnote>
  <w:footnote w:id="106">
    <w:p w14:paraId="7C6FBD44" w14:textId="2350CEF0" w:rsidR="003D79C9" w:rsidRPr="00FB5742" w:rsidRDefault="003D79C9"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1B4571" w:rsidRPr="00FB5742">
        <w:rPr>
          <w:i/>
          <w:iCs/>
          <w:szCs w:val="22"/>
          <w:lang w:val="en-ZW"/>
        </w:rPr>
        <w:t>Id.</w:t>
      </w:r>
      <w:r w:rsidR="00A3180C" w:rsidRPr="00FB5742">
        <w:rPr>
          <w:szCs w:val="22"/>
          <w:lang w:val="en-ZW"/>
        </w:rPr>
        <w:t xml:space="preserve"> </w:t>
      </w:r>
      <w:r w:rsidRPr="00FB5742">
        <w:rPr>
          <w:szCs w:val="22"/>
          <w:lang w:val="en-ZW"/>
        </w:rPr>
        <w:t>at 14.</w:t>
      </w:r>
    </w:p>
  </w:footnote>
  <w:footnote w:id="107">
    <w:p w14:paraId="1EDAA580" w14:textId="6E1F8FA5" w:rsidR="00497E84" w:rsidRPr="00FB5742" w:rsidRDefault="00497E84"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VEIC Opening Comments </w:t>
      </w:r>
      <w:r w:rsidR="00A3180C" w:rsidRPr="00FB5742">
        <w:rPr>
          <w:szCs w:val="22"/>
          <w:lang w:val="en-ZW"/>
        </w:rPr>
        <w:t>on Phase 4 Scoping Memo</w:t>
      </w:r>
      <w:r w:rsidRPr="00FB5742">
        <w:rPr>
          <w:szCs w:val="22"/>
          <w:lang w:val="en-ZW"/>
        </w:rPr>
        <w:t xml:space="preserve"> at 7. </w:t>
      </w:r>
    </w:p>
  </w:footnote>
  <w:footnote w:id="108">
    <w:p w14:paraId="492DA695" w14:textId="4BD6B190" w:rsidR="00273049" w:rsidRPr="00FB5742" w:rsidRDefault="00273049"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Joint Parties Opening Comments </w:t>
      </w:r>
      <w:r w:rsidR="00A3180C" w:rsidRPr="00FB5742">
        <w:rPr>
          <w:szCs w:val="22"/>
          <w:lang w:val="en-ZW"/>
        </w:rPr>
        <w:t>on Phase 4 Scoping Memo and Phase 4A Staff Proposal</w:t>
      </w:r>
      <w:r w:rsidRPr="00FB5742">
        <w:rPr>
          <w:szCs w:val="22"/>
          <w:lang w:val="en-ZW"/>
        </w:rPr>
        <w:t xml:space="preserve"> at 16. </w:t>
      </w:r>
    </w:p>
  </w:footnote>
  <w:footnote w:id="109">
    <w:p w14:paraId="6CDB25C8" w14:textId="0666CEA3" w:rsidR="00947265" w:rsidRPr="00FB5742" w:rsidRDefault="00947265"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ED3573" w:rsidRPr="00FB5742">
        <w:rPr>
          <w:szCs w:val="22"/>
        </w:rPr>
        <w:t xml:space="preserve">SBUA Opening Comments </w:t>
      </w:r>
      <w:r w:rsidR="007476B4" w:rsidRPr="00FB5742">
        <w:rPr>
          <w:szCs w:val="22"/>
          <w:lang w:val="en-ZW"/>
        </w:rPr>
        <w:t xml:space="preserve">Phase 4 Scoping Memo and Phase 4A Staff Proposal </w:t>
      </w:r>
      <w:r w:rsidR="00ED3573" w:rsidRPr="00FB5742">
        <w:rPr>
          <w:szCs w:val="22"/>
        </w:rPr>
        <w:t>at 15.</w:t>
      </w:r>
    </w:p>
  </w:footnote>
  <w:footnote w:id="110">
    <w:p w14:paraId="205CC2DB" w14:textId="3111F737" w:rsidR="00ED3573" w:rsidRPr="00FB5742" w:rsidRDefault="00ED3573"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00316241" w:rsidRPr="00FB5742">
        <w:rPr>
          <w:i/>
          <w:iCs/>
          <w:szCs w:val="22"/>
          <w:lang w:val="en-ZW"/>
        </w:rPr>
        <w:t>Id.</w:t>
      </w:r>
      <w:r w:rsidR="007476B4" w:rsidRPr="00FB5742">
        <w:rPr>
          <w:szCs w:val="22"/>
          <w:lang w:val="en-ZW"/>
        </w:rPr>
        <w:t xml:space="preserve"> </w:t>
      </w:r>
      <w:r w:rsidRPr="00FB5742">
        <w:rPr>
          <w:szCs w:val="22"/>
          <w:lang w:val="en-ZW"/>
        </w:rPr>
        <w:t xml:space="preserve">at </w:t>
      </w:r>
      <w:r w:rsidR="003B6174" w:rsidRPr="00FB5742">
        <w:rPr>
          <w:szCs w:val="22"/>
          <w:lang w:val="en-ZW"/>
        </w:rPr>
        <w:t>16.</w:t>
      </w:r>
    </w:p>
  </w:footnote>
  <w:footnote w:id="111">
    <w:p w14:paraId="18D134C3" w14:textId="1945D512" w:rsidR="00D234E8" w:rsidRPr="00FB5742" w:rsidRDefault="00D234E8"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PG&amp;E Reply Comments</w:t>
      </w:r>
      <w:r w:rsidR="007476B4" w:rsidRPr="00FB5742">
        <w:rPr>
          <w:szCs w:val="22"/>
          <w:lang w:val="en-ZW"/>
        </w:rPr>
        <w:t xml:space="preserve"> on Phase 4 Scoping Memo and Phase 4A Staff Proposal</w:t>
      </w:r>
      <w:r w:rsidRPr="00FB5742">
        <w:rPr>
          <w:szCs w:val="22"/>
          <w:lang w:val="en-ZW"/>
        </w:rPr>
        <w:t xml:space="preserve"> at 3.</w:t>
      </w:r>
    </w:p>
  </w:footnote>
  <w:footnote w:id="112">
    <w:p w14:paraId="7A318DA6" w14:textId="270BD015" w:rsidR="00C34065" w:rsidRPr="00FB5742" w:rsidRDefault="00C34065"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SBUA Reply Comments </w:t>
      </w:r>
      <w:r w:rsidR="009617BB" w:rsidRPr="00FB5742">
        <w:rPr>
          <w:szCs w:val="22"/>
          <w:lang w:val="en-ZW"/>
        </w:rPr>
        <w:t xml:space="preserve">on Phase 4 Scoping Memo and Phase 4A Staff Proposal </w:t>
      </w:r>
      <w:r w:rsidRPr="00FB5742">
        <w:rPr>
          <w:szCs w:val="22"/>
          <w:lang w:val="en-ZW"/>
        </w:rPr>
        <w:t>at 6.</w:t>
      </w:r>
    </w:p>
  </w:footnote>
  <w:footnote w:id="113">
    <w:p w14:paraId="43B9C17A" w14:textId="0B3A867B" w:rsidR="003808B0" w:rsidRPr="00FB5742" w:rsidRDefault="003808B0" w:rsidP="00FB5742">
      <w:pPr>
        <w:pStyle w:val="FootnoteText"/>
        <w:rPr>
          <w:szCs w:val="22"/>
          <w:lang w:val="en-ZW"/>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lang w:val="en-ZW"/>
        </w:rPr>
        <w:t xml:space="preserve">Joint RENs Reply Comments </w:t>
      </w:r>
      <w:r w:rsidR="009617BB" w:rsidRPr="00FB5742">
        <w:rPr>
          <w:szCs w:val="22"/>
          <w:lang w:val="en-ZW"/>
        </w:rPr>
        <w:t xml:space="preserve">on Phase 4 Scoping Memo and Phase 4A Staff Proposal </w:t>
      </w:r>
      <w:r w:rsidRPr="00FB5742">
        <w:rPr>
          <w:szCs w:val="22"/>
          <w:lang w:val="en-ZW"/>
        </w:rPr>
        <w:t>at 3.</w:t>
      </w:r>
    </w:p>
  </w:footnote>
  <w:footnote w:id="114">
    <w:p w14:paraId="7BA473E9" w14:textId="2B8EFF70" w:rsidR="003E53B7" w:rsidRPr="00FB5742" w:rsidRDefault="003E53B7"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i/>
          <w:iCs/>
          <w:szCs w:val="22"/>
        </w:rPr>
        <w:t>See</w:t>
      </w:r>
      <w:r w:rsidRPr="00FB5742">
        <w:rPr>
          <w:szCs w:val="22"/>
        </w:rPr>
        <w:t xml:space="preserve"> </w:t>
      </w:r>
      <w:r w:rsidR="00692B97" w:rsidRPr="008402EC">
        <w:t>https://energy.ca.gov/solicitations/2023-12/gfo-23-303-decision-tool-electrify-homes-limited-electrical-panel-capacity</w:t>
      </w:r>
      <w:r w:rsidRPr="00FB5742">
        <w:rPr>
          <w:szCs w:val="22"/>
        </w:rPr>
        <w:t>.</w:t>
      </w:r>
    </w:p>
  </w:footnote>
  <w:footnote w:id="115">
    <w:p w14:paraId="6D3DD773" w14:textId="14412737" w:rsidR="00D97A59" w:rsidRPr="00FB5742" w:rsidRDefault="00D97A59"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Joint</w:t>
      </w:r>
      <w:r w:rsidR="002F1902" w:rsidRPr="00FB5742">
        <w:rPr>
          <w:szCs w:val="22"/>
          <w:lang w:val="en-ZW"/>
        </w:rPr>
        <w:t xml:space="preserve"> </w:t>
      </w:r>
      <w:r w:rsidRPr="00FB5742">
        <w:rPr>
          <w:szCs w:val="22"/>
        </w:rPr>
        <w:t>Parties</w:t>
      </w:r>
      <w:r w:rsidR="002F1902" w:rsidRPr="00FB5742">
        <w:rPr>
          <w:szCs w:val="22"/>
          <w:lang w:val="en-ZW"/>
        </w:rPr>
        <w:t xml:space="preserve"> </w:t>
      </w:r>
      <w:r w:rsidRPr="00FB5742">
        <w:rPr>
          <w:szCs w:val="22"/>
        </w:rPr>
        <w:t>Opening</w:t>
      </w:r>
      <w:r w:rsidR="002F1902" w:rsidRPr="00FB5742">
        <w:rPr>
          <w:szCs w:val="22"/>
          <w:lang w:val="en-ZW"/>
        </w:rPr>
        <w:t xml:space="preserve"> </w:t>
      </w:r>
      <w:r w:rsidRPr="00FB5742">
        <w:rPr>
          <w:szCs w:val="22"/>
        </w:rPr>
        <w:t xml:space="preserve">Comments </w:t>
      </w:r>
      <w:r w:rsidR="00214E6D" w:rsidRPr="00FB5742">
        <w:rPr>
          <w:szCs w:val="22"/>
        </w:rPr>
        <w:t>on</w:t>
      </w:r>
      <w:r w:rsidR="00214E6D" w:rsidRPr="00FB5742">
        <w:rPr>
          <w:szCs w:val="22"/>
          <w:lang w:val="en-ZW"/>
        </w:rPr>
        <w:t xml:space="preserve"> Phase</w:t>
      </w:r>
      <w:r w:rsidR="002F1902" w:rsidRPr="00FB5742">
        <w:rPr>
          <w:szCs w:val="22"/>
          <w:lang w:val="en-ZW"/>
        </w:rPr>
        <w:t xml:space="preserve"> </w:t>
      </w:r>
      <w:r w:rsidR="00214E6D" w:rsidRPr="00FB5742">
        <w:rPr>
          <w:szCs w:val="22"/>
          <w:lang w:val="en-ZW"/>
        </w:rPr>
        <w:t>4</w:t>
      </w:r>
      <w:r w:rsidR="002F1902" w:rsidRPr="00FB5742">
        <w:rPr>
          <w:szCs w:val="22"/>
          <w:lang w:val="en-ZW"/>
        </w:rPr>
        <w:t xml:space="preserve"> </w:t>
      </w:r>
      <w:r w:rsidR="00214E6D" w:rsidRPr="00FB5742">
        <w:rPr>
          <w:szCs w:val="22"/>
          <w:lang w:val="en-ZW"/>
        </w:rPr>
        <w:t>Scoping</w:t>
      </w:r>
      <w:r w:rsidR="002F1902" w:rsidRPr="00FB5742">
        <w:rPr>
          <w:szCs w:val="22"/>
          <w:lang w:val="en-ZW"/>
        </w:rPr>
        <w:t xml:space="preserve"> </w:t>
      </w:r>
      <w:r w:rsidR="00214E6D" w:rsidRPr="00FB5742">
        <w:rPr>
          <w:szCs w:val="22"/>
          <w:lang w:val="en-ZW"/>
        </w:rPr>
        <w:t>Memo</w:t>
      </w:r>
      <w:r w:rsidR="002F1902" w:rsidRPr="00FB5742">
        <w:rPr>
          <w:szCs w:val="22"/>
          <w:lang w:val="en-ZW"/>
        </w:rPr>
        <w:t xml:space="preserve"> </w:t>
      </w:r>
      <w:r w:rsidR="009617BB" w:rsidRPr="00FB5742">
        <w:rPr>
          <w:szCs w:val="22"/>
          <w:lang w:val="en-ZW"/>
        </w:rPr>
        <w:t>and</w:t>
      </w:r>
      <w:r w:rsidR="002F1902" w:rsidRPr="00FB5742">
        <w:rPr>
          <w:szCs w:val="22"/>
          <w:lang w:val="en-ZW"/>
        </w:rPr>
        <w:t xml:space="preserve"> </w:t>
      </w:r>
      <w:r w:rsidR="009617BB" w:rsidRPr="00FB5742">
        <w:rPr>
          <w:szCs w:val="22"/>
          <w:lang w:val="en-ZW"/>
        </w:rPr>
        <w:t>Phase</w:t>
      </w:r>
      <w:r w:rsidR="002F1902" w:rsidRPr="00FB5742">
        <w:rPr>
          <w:szCs w:val="22"/>
          <w:lang w:val="en-ZW"/>
        </w:rPr>
        <w:t xml:space="preserve"> </w:t>
      </w:r>
      <w:r w:rsidR="009617BB" w:rsidRPr="00FB5742">
        <w:rPr>
          <w:szCs w:val="22"/>
          <w:lang w:val="en-ZW"/>
        </w:rPr>
        <w:t>4A</w:t>
      </w:r>
      <w:r w:rsidR="002F1902" w:rsidRPr="00FB5742">
        <w:rPr>
          <w:szCs w:val="22"/>
          <w:lang w:val="en-ZW"/>
        </w:rPr>
        <w:t xml:space="preserve"> </w:t>
      </w:r>
      <w:r w:rsidR="009617BB" w:rsidRPr="00FB5742">
        <w:rPr>
          <w:szCs w:val="22"/>
          <w:lang w:val="en-ZW"/>
        </w:rPr>
        <w:t>Staff</w:t>
      </w:r>
      <w:r w:rsidR="002F1902" w:rsidRPr="00FB5742">
        <w:rPr>
          <w:szCs w:val="22"/>
          <w:lang w:val="en-ZW"/>
        </w:rPr>
        <w:t xml:space="preserve"> </w:t>
      </w:r>
      <w:r w:rsidR="009617BB" w:rsidRPr="00FB5742">
        <w:rPr>
          <w:szCs w:val="22"/>
          <w:lang w:val="en-ZW"/>
        </w:rPr>
        <w:t>Proposal</w:t>
      </w:r>
      <w:r w:rsidR="002F1902" w:rsidRPr="00FB5742">
        <w:rPr>
          <w:szCs w:val="22"/>
          <w:lang w:val="en-ZW"/>
        </w:rPr>
        <w:t xml:space="preserve"> </w:t>
      </w:r>
      <w:r w:rsidRPr="00FB5742">
        <w:rPr>
          <w:szCs w:val="22"/>
        </w:rPr>
        <w:t>at 18.</w:t>
      </w:r>
    </w:p>
  </w:footnote>
  <w:footnote w:id="116">
    <w:p w14:paraId="53DB9C52" w14:textId="228A309D" w:rsidR="00D97A59" w:rsidRPr="00FB5742" w:rsidRDefault="00D97A59"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szCs w:val="22"/>
        </w:rPr>
        <w:t>Ibid.</w:t>
      </w:r>
    </w:p>
  </w:footnote>
  <w:footnote w:id="117">
    <w:p w14:paraId="4F309FDD" w14:textId="2A77C364" w:rsidR="00E63744" w:rsidRPr="00FB5742" w:rsidRDefault="00E63744"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SBUA Opening Comments on Phase 4A Staff Proposal and Scoping Memo at 18.</w:t>
      </w:r>
    </w:p>
  </w:footnote>
  <w:footnote w:id="118">
    <w:p w14:paraId="270E0748" w14:textId="4F8F8A53" w:rsidR="00D97A59" w:rsidRPr="00FB5742" w:rsidRDefault="00D97A59"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rPr>
        <w:t>Ibid</w:t>
      </w:r>
      <w:r w:rsidR="00C975B5" w:rsidRPr="00FB5742">
        <w:rPr>
          <w:i/>
          <w:szCs w:val="22"/>
        </w:rPr>
        <w:t>.</w:t>
      </w:r>
    </w:p>
  </w:footnote>
  <w:footnote w:id="119">
    <w:p w14:paraId="2C6167C8" w14:textId="50BA786E" w:rsidR="00D97A59" w:rsidRPr="00FB5742" w:rsidRDefault="00D97A59"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SCE Opening Comments on Phase 4 Scoping Memo at 17.</w:t>
      </w:r>
    </w:p>
  </w:footnote>
  <w:footnote w:id="120">
    <w:p w14:paraId="2D7B63C8" w14:textId="1CAAEB7B" w:rsidR="00300017" w:rsidRPr="00FB5742" w:rsidRDefault="00300017"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rPr>
        <w:t>Ibid</w:t>
      </w:r>
      <w:r w:rsidR="00C975B5" w:rsidRPr="00FB5742">
        <w:rPr>
          <w:i/>
          <w:szCs w:val="22"/>
        </w:rPr>
        <w:t>.</w:t>
      </w:r>
    </w:p>
  </w:footnote>
  <w:footnote w:id="121">
    <w:p w14:paraId="18C52CEC" w14:textId="64188727" w:rsidR="00300017" w:rsidRPr="00FB5742" w:rsidRDefault="00300017"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1D4AB1" w:rsidRPr="00FB5742">
        <w:rPr>
          <w:i/>
          <w:iCs/>
          <w:szCs w:val="22"/>
        </w:rPr>
        <w:t>I</w:t>
      </w:r>
      <w:r w:rsidRPr="00FB5742">
        <w:rPr>
          <w:i/>
          <w:iCs/>
          <w:szCs w:val="22"/>
        </w:rPr>
        <w:t>d</w:t>
      </w:r>
      <w:r w:rsidR="001D4AB1" w:rsidRPr="00FB5742">
        <w:rPr>
          <w:i/>
          <w:iCs/>
          <w:szCs w:val="22"/>
        </w:rPr>
        <w:t>.</w:t>
      </w:r>
      <w:r w:rsidR="002033D7" w:rsidRPr="00FB5742">
        <w:rPr>
          <w:szCs w:val="22"/>
        </w:rPr>
        <w:t xml:space="preserve"> at 1</w:t>
      </w:r>
      <w:r w:rsidR="00CD71C1" w:rsidRPr="00FB5742">
        <w:rPr>
          <w:szCs w:val="22"/>
        </w:rPr>
        <w:t>8</w:t>
      </w:r>
      <w:r w:rsidR="002033D7" w:rsidRPr="00FB5742">
        <w:rPr>
          <w:szCs w:val="22"/>
        </w:rPr>
        <w:t>.</w:t>
      </w:r>
    </w:p>
  </w:footnote>
  <w:footnote w:id="122">
    <w:p w14:paraId="402958CD" w14:textId="1C05C939" w:rsidR="00CB2F38" w:rsidRPr="00FB5742" w:rsidRDefault="00CB2F38"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Sempra Utilities</w:t>
      </w:r>
      <w:r w:rsidR="0090264A" w:rsidRPr="00FB5742">
        <w:rPr>
          <w:szCs w:val="22"/>
        </w:rPr>
        <w:t xml:space="preserve"> Opening Comments on Phase 4 Scoping Memo at </w:t>
      </w:r>
      <w:r w:rsidR="009B3699" w:rsidRPr="00FB5742">
        <w:rPr>
          <w:szCs w:val="22"/>
        </w:rPr>
        <w:t>17</w:t>
      </w:r>
      <w:r w:rsidR="00570E88" w:rsidRPr="00FB5742">
        <w:rPr>
          <w:szCs w:val="22"/>
        </w:rPr>
        <w:t>.</w:t>
      </w:r>
    </w:p>
  </w:footnote>
  <w:footnote w:id="123">
    <w:p w14:paraId="5B1AD871" w14:textId="25055252" w:rsidR="65ED421C" w:rsidRPr="00FB5742" w:rsidRDefault="65ED421C"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1D4AB1" w:rsidRPr="00FB5742">
        <w:rPr>
          <w:i/>
          <w:iCs/>
          <w:szCs w:val="22"/>
        </w:rPr>
        <w:t>Id.</w:t>
      </w:r>
      <w:r w:rsidR="00BF035E" w:rsidRPr="00FB5742" w:rsidDel="00BF035E">
        <w:rPr>
          <w:szCs w:val="22"/>
        </w:rPr>
        <w:t xml:space="preserve"> </w:t>
      </w:r>
      <w:r w:rsidRPr="00FB5742">
        <w:rPr>
          <w:szCs w:val="22"/>
        </w:rPr>
        <w:t>at 18</w:t>
      </w:r>
      <w:r w:rsidR="00570E88" w:rsidRPr="00FB5742">
        <w:rPr>
          <w:szCs w:val="22"/>
        </w:rPr>
        <w:t>.</w:t>
      </w:r>
    </w:p>
  </w:footnote>
  <w:footnote w:id="124">
    <w:p w14:paraId="5D8AD0B9" w14:textId="5833D99F" w:rsidR="003018B9" w:rsidRPr="00FB5742" w:rsidRDefault="003018B9"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Sempra Utilities Reply Comments on Phase 4 Scoping Memo at 2.</w:t>
      </w:r>
    </w:p>
  </w:footnote>
  <w:footnote w:id="125">
    <w:p w14:paraId="31764178" w14:textId="58308DB0" w:rsidR="003018B9" w:rsidRPr="00FB5742" w:rsidRDefault="003018B9"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rPr>
        <w:t>Ibid</w:t>
      </w:r>
      <w:r w:rsidR="00C975B5" w:rsidRPr="00FB5742">
        <w:rPr>
          <w:i/>
          <w:szCs w:val="22"/>
        </w:rPr>
        <w:t>.</w:t>
      </w:r>
    </w:p>
  </w:footnote>
  <w:footnote w:id="126">
    <w:p w14:paraId="20BA6087" w14:textId="59B88C7A" w:rsidR="003018B9" w:rsidRPr="00FB5742" w:rsidRDefault="003018B9"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1D4AB1" w:rsidRPr="00FB5742">
        <w:rPr>
          <w:i/>
          <w:iCs/>
          <w:szCs w:val="22"/>
        </w:rPr>
        <w:t>Id.</w:t>
      </w:r>
      <w:r w:rsidRPr="00FB5742">
        <w:rPr>
          <w:szCs w:val="22"/>
        </w:rPr>
        <w:t xml:space="preserve"> at 3.</w:t>
      </w:r>
    </w:p>
  </w:footnote>
  <w:footnote w:id="127">
    <w:p w14:paraId="025F34AF" w14:textId="17F2019C" w:rsidR="003018B9" w:rsidRPr="00FB5742" w:rsidRDefault="003018B9"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1D4AB1" w:rsidRPr="00FB5742">
        <w:rPr>
          <w:i/>
          <w:iCs/>
          <w:szCs w:val="22"/>
        </w:rPr>
        <w:t>Id.</w:t>
      </w:r>
      <w:r w:rsidRPr="00FB5742">
        <w:rPr>
          <w:szCs w:val="22"/>
        </w:rPr>
        <w:t xml:space="preserve"> at 3-4.</w:t>
      </w:r>
    </w:p>
  </w:footnote>
  <w:footnote w:id="128">
    <w:p w14:paraId="1974D9E5" w14:textId="3A34769E" w:rsidR="003018B9" w:rsidRPr="00FB5742" w:rsidRDefault="003018B9"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1D4AB1" w:rsidRPr="00FB5742">
        <w:rPr>
          <w:i/>
          <w:iCs/>
          <w:szCs w:val="22"/>
        </w:rPr>
        <w:t>I</w:t>
      </w:r>
      <w:r w:rsidRPr="00FB5742">
        <w:rPr>
          <w:i/>
          <w:iCs/>
          <w:szCs w:val="22"/>
        </w:rPr>
        <w:t>bid</w:t>
      </w:r>
      <w:r w:rsidRPr="00FB5742">
        <w:rPr>
          <w:szCs w:val="22"/>
        </w:rPr>
        <w:t xml:space="preserve"> at 4.</w:t>
      </w:r>
    </w:p>
  </w:footnote>
  <w:footnote w:id="129">
    <w:p w14:paraId="3E24C6A0" w14:textId="1B2FCB96" w:rsidR="00D65FD3" w:rsidRDefault="00D65FD3">
      <w:pPr>
        <w:pStyle w:val="FootnoteText"/>
      </w:pPr>
      <w:r>
        <w:rPr>
          <w:rStyle w:val="FootnoteReference"/>
        </w:rPr>
        <w:footnoteRef/>
      </w:r>
      <w:r>
        <w:t xml:space="preserve"> For example, </w:t>
      </w:r>
      <w:r w:rsidRPr="3E14BE5A">
        <w:rPr>
          <w:rFonts w:eastAsia="Book Antiqua" w:cs="Book Antiqua"/>
        </w:rPr>
        <w:t>PG&amp;E, SCE, and SDG&amp;E</w:t>
      </w:r>
      <w:r>
        <w:rPr>
          <w:rFonts w:eastAsia="Book Antiqua" w:cs="Book Antiqua"/>
        </w:rPr>
        <w:t xml:space="preserve"> shall submit</w:t>
      </w:r>
      <w:r w:rsidRPr="00E70975">
        <w:rPr>
          <w:rFonts w:eastAsia="Book Antiqua" w:cs="Book Antiqua"/>
        </w:rPr>
        <w:t xml:space="preserve"> </w:t>
      </w:r>
      <w:r>
        <w:rPr>
          <w:rFonts w:eastAsia="Book Antiqua" w:cs="Book Antiqua"/>
        </w:rPr>
        <w:t>t</w:t>
      </w:r>
      <w:r w:rsidRPr="00E70975">
        <w:rPr>
          <w:rFonts w:eastAsia="Book Antiqua" w:cs="Book Antiqua"/>
        </w:rPr>
        <w:t xml:space="preserve">he first quarterly report (i.e., </w:t>
      </w:r>
      <w:r>
        <w:rPr>
          <w:rFonts w:eastAsia="Book Antiqua" w:cs="Book Antiqua"/>
        </w:rPr>
        <w:t xml:space="preserve">the report containing data </w:t>
      </w:r>
      <w:r w:rsidRPr="00E70975">
        <w:rPr>
          <w:rFonts w:eastAsia="Book Antiqua" w:cs="Book Antiqua"/>
        </w:rPr>
        <w:t xml:space="preserve">for the first quarter of 2025) by </w:t>
      </w:r>
      <w:r>
        <w:rPr>
          <w:rFonts w:eastAsia="Book Antiqua" w:cs="Book Antiqua"/>
        </w:rPr>
        <w:t>no later than</w:t>
      </w:r>
      <w:r w:rsidRPr="00E70975">
        <w:rPr>
          <w:rFonts w:eastAsia="Book Antiqua" w:cs="Book Antiqua"/>
        </w:rPr>
        <w:t xml:space="preserve"> July 15</w:t>
      </w:r>
      <w:r>
        <w:rPr>
          <w:rFonts w:eastAsia="Book Antiqua" w:cs="Book Antiqua"/>
        </w:rPr>
        <w:t xml:space="preserve">, </w:t>
      </w:r>
      <w:r w:rsidRPr="00E70975">
        <w:rPr>
          <w:rFonts w:eastAsia="Book Antiqua" w:cs="Book Antiqua"/>
        </w:rPr>
        <w:t>2025.</w:t>
      </w:r>
    </w:p>
  </w:footnote>
  <w:footnote w:id="130">
    <w:p w14:paraId="514CF118" w14:textId="09B7670A" w:rsidR="007969CF" w:rsidRPr="00FB5742" w:rsidRDefault="007969CF"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i/>
          <w:iCs/>
          <w:szCs w:val="22"/>
        </w:rPr>
        <w:t>See</w:t>
      </w:r>
      <w:r w:rsidR="00104735" w:rsidRPr="00FB5742">
        <w:rPr>
          <w:szCs w:val="22"/>
        </w:rPr>
        <w:t xml:space="preserve"> Response filed on April 22, 2024, in R.24-01-018.</w:t>
      </w:r>
    </w:p>
  </w:footnote>
  <w:footnote w:id="131">
    <w:p w14:paraId="08427AF1" w14:textId="5BF8A3BA" w:rsidR="005B1B4D" w:rsidRPr="00FB5742" w:rsidRDefault="005B1B4D"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Joint Parties Opening Comments at 18.</w:t>
      </w:r>
    </w:p>
  </w:footnote>
  <w:footnote w:id="132">
    <w:p w14:paraId="70F2B279" w14:textId="6CAE0024" w:rsidR="005B1B4D" w:rsidRPr="00FB5742" w:rsidRDefault="005B1B4D"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SBUA Opening comments on Phase 4A Staff Proposal and Scoping Memo at 18.</w:t>
      </w:r>
    </w:p>
  </w:footnote>
  <w:footnote w:id="133">
    <w:p w14:paraId="0CF7E76E" w14:textId="6A4862A8" w:rsidR="65ED421C" w:rsidRPr="00FB5742" w:rsidRDefault="65ED421C"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507FEC" w:rsidRPr="00FB5742">
        <w:rPr>
          <w:szCs w:val="22"/>
        </w:rPr>
        <w:t>Sempra</w:t>
      </w:r>
      <w:r w:rsidR="006F2C5C" w:rsidRPr="00FB5742">
        <w:rPr>
          <w:szCs w:val="22"/>
        </w:rPr>
        <w:t xml:space="preserve"> Utilities</w:t>
      </w:r>
      <w:r w:rsidRPr="00FB5742">
        <w:rPr>
          <w:szCs w:val="22"/>
        </w:rPr>
        <w:t xml:space="preserve"> Opening Comments on Phase 4 Scoping Memo at 23.</w:t>
      </w:r>
    </w:p>
  </w:footnote>
  <w:footnote w:id="134">
    <w:p w14:paraId="49B6B79A" w14:textId="75FDB15A" w:rsidR="00CE0390" w:rsidRPr="00FB5742" w:rsidRDefault="00CE0390"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SCE Opening Comments on Phase 4 Scoping Memo at 19.</w:t>
      </w:r>
    </w:p>
  </w:footnote>
  <w:footnote w:id="135">
    <w:p w14:paraId="3F43EBDA" w14:textId="2089C03C" w:rsidR="007665DC" w:rsidRPr="00FB5742" w:rsidRDefault="007665DC"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Sempra Utilities Opening Comments on Phase 4 Scoping Memo at 17.</w:t>
      </w:r>
    </w:p>
  </w:footnote>
  <w:footnote w:id="136">
    <w:p w14:paraId="6B86BF90" w14:textId="5FA07F0F" w:rsidR="00AD54B7" w:rsidRPr="00FB5742" w:rsidRDefault="00AD54B7"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334CBC" w:rsidRPr="00FB5742">
        <w:rPr>
          <w:i/>
          <w:iCs/>
          <w:szCs w:val="22"/>
          <w:lang w:val="en-ZW"/>
        </w:rPr>
        <w:t>Id</w:t>
      </w:r>
      <w:r w:rsidR="00334CBC" w:rsidRPr="00FB5742">
        <w:rPr>
          <w:szCs w:val="22"/>
          <w:lang w:val="en-ZW"/>
        </w:rPr>
        <w:t>.</w:t>
      </w:r>
      <w:r w:rsidRPr="00FB5742">
        <w:rPr>
          <w:szCs w:val="22"/>
        </w:rPr>
        <w:t xml:space="preserve"> at 20</w:t>
      </w:r>
      <w:r w:rsidR="001D4951" w:rsidRPr="00FB5742">
        <w:rPr>
          <w:szCs w:val="22"/>
        </w:rPr>
        <w:t>.</w:t>
      </w:r>
    </w:p>
  </w:footnote>
  <w:footnote w:id="137">
    <w:p w14:paraId="539E273B" w14:textId="2B37444F" w:rsidR="00AD54B7" w:rsidRPr="00FB5742" w:rsidRDefault="00AD54B7"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SCE Opening Comments on Phase 4 Scoping Memo at 18</w:t>
      </w:r>
      <w:r w:rsidR="002F1902" w:rsidRPr="00FB5742">
        <w:rPr>
          <w:szCs w:val="22"/>
        </w:rPr>
        <w:t>.</w:t>
      </w:r>
    </w:p>
  </w:footnote>
  <w:footnote w:id="138">
    <w:p w14:paraId="7E6F923A" w14:textId="024446B9" w:rsidR="00AD54B7" w:rsidRPr="00FB5742" w:rsidRDefault="00AD54B7"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4D6F94" w:rsidRPr="00FB5742">
        <w:rPr>
          <w:szCs w:val="22"/>
        </w:rPr>
        <w:t>Sempra</w:t>
      </w:r>
      <w:r w:rsidR="007D47A0" w:rsidRPr="00FB5742">
        <w:rPr>
          <w:szCs w:val="22"/>
        </w:rPr>
        <w:t xml:space="preserve"> Utilitie</w:t>
      </w:r>
      <w:r w:rsidRPr="00FB5742">
        <w:rPr>
          <w:szCs w:val="22"/>
        </w:rPr>
        <w:t>s Opening Comments on Phase 4 Scoping Memo at 21 and 22.</w:t>
      </w:r>
    </w:p>
  </w:footnote>
  <w:footnote w:id="139">
    <w:p w14:paraId="0A9569F2" w14:textId="1059C748" w:rsidR="00205A3B" w:rsidRPr="00FB5742" w:rsidRDefault="00205A3B"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933E1D" w:rsidRPr="00FB5742">
        <w:rPr>
          <w:i/>
          <w:iCs/>
          <w:szCs w:val="22"/>
        </w:rPr>
        <w:t>Id</w:t>
      </w:r>
      <w:r w:rsidR="0021404A" w:rsidRPr="00FB5742">
        <w:rPr>
          <w:i/>
          <w:iCs/>
          <w:szCs w:val="22"/>
        </w:rPr>
        <w:t>.</w:t>
      </w:r>
      <w:r w:rsidR="00933E1D" w:rsidRPr="00FB5742">
        <w:rPr>
          <w:szCs w:val="22"/>
        </w:rPr>
        <w:t xml:space="preserve"> </w:t>
      </w:r>
      <w:r w:rsidR="0024067D" w:rsidRPr="00FB5742">
        <w:rPr>
          <w:szCs w:val="22"/>
        </w:rPr>
        <w:t>at 3.</w:t>
      </w:r>
    </w:p>
  </w:footnote>
  <w:footnote w:id="140">
    <w:p w14:paraId="0DABFFA4" w14:textId="5F3EBEBE" w:rsidR="00FC1BBC" w:rsidRPr="00FB5742" w:rsidRDefault="00FC1BBC"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i/>
          <w:iCs/>
          <w:szCs w:val="22"/>
        </w:rPr>
        <w:t>Ibid</w:t>
      </w:r>
      <w:r w:rsidRPr="00FB5742">
        <w:rPr>
          <w:i/>
          <w:szCs w:val="22"/>
        </w:rPr>
        <w:t>.</w:t>
      </w:r>
    </w:p>
  </w:footnote>
  <w:footnote w:id="141">
    <w:p w14:paraId="447EC7CC" w14:textId="475217B4" w:rsidR="001621CC" w:rsidRPr="00FB5742" w:rsidRDefault="001621CC"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Parties were asked to comment on the following </w:t>
      </w:r>
      <w:r w:rsidR="002F1902" w:rsidRPr="00FB5742">
        <w:rPr>
          <w:szCs w:val="22"/>
        </w:rPr>
        <w:t xml:space="preserve">two </w:t>
      </w:r>
      <w:r w:rsidRPr="00FB5742">
        <w:rPr>
          <w:szCs w:val="22"/>
        </w:rPr>
        <w:t>questions:</w:t>
      </w:r>
      <w:r w:rsidR="001E48BC" w:rsidRPr="00FB5742">
        <w:rPr>
          <w:szCs w:val="22"/>
        </w:rPr>
        <w:t xml:space="preserve"> (1) </w:t>
      </w:r>
      <w:r w:rsidRPr="00FB5742">
        <w:rPr>
          <w:szCs w:val="22"/>
        </w:rPr>
        <w:t>Resolution E-5105 established a reporting deadline of September 1 of every year for various decarbonization-related data; D.21-11-002 established a reporting deadline of February 1 of every year for new customer data relating to appliance usage; D.23-12-037 established a reporting deadline of May</w:t>
      </w:r>
      <w:r w:rsidR="001B1D2B" w:rsidRPr="00FB5742">
        <w:rPr>
          <w:szCs w:val="22"/>
        </w:rPr>
        <w:t> </w:t>
      </w:r>
      <w:r w:rsidRPr="00FB5742">
        <w:rPr>
          <w:szCs w:val="22"/>
        </w:rPr>
        <w:t>1 of every year for data relating to line extension requests and subsidies. Should the Commission align the reporting requirement deadlines to be delivered on a single date? Alternatively, should the Commission consider new dates for any particular reporting requirement?</w:t>
      </w:r>
      <w:r w:rsidR="001E48BC" w:rsidRPr="00FB5742">
        <w:rPr>
          <w:szCs w:val="22"/>
        </w:rPr>
        <w:t xml:space="preserve"> (2) </w:t>
      </w:r>
      <w:r w:rsidRPr="00FB5742">
        <w:rPr>
          <w:szCs w:val="22"/>
        </w:rPr>
        <w:t>Unlike in Resolution E-5105 and D.23-12-037, D.21-11-002 did not require new customer data relating to appliance usage to be posted to each IOU’s respective website. Should such data be required to be posted to each IOU’s public website?</w:t>
      </w:r>
    </w:p>
  </w:footnote>
  <w:footnote w:id="142">
    <w:p w14:paraId="69999CBB" w14:textId="7A418CCC" w:rsidR="00344C8A" w:rsidRPr="00FB5742" w:rsidRDefault="00344C8A"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PG&amp;E Opening Comments </w:t>
      </w:r>
      <w:r w:rsidR="009B24DA" w:rsidRPr="00FB5742">
        <w:rPr>
          <w:szCs w:val="22"/>
          <w:lang w:val="en-ZW"/>
        </w:rPr>
        <w:t xml:space="preserve">on Phase 4 Scoping Memo </w:t>
      </w:r>
      <w:r w:rsidRPr="00FB5742">
        <w:rPr>
          <w:szCs w:val="22"/>
        </w:rPr>
        <w:t>at 11.</w:t>
      </w:r>
    </w:p>
  </w:footnote>
  <w:footnote w:id="143">
    <w:p w14:paraId="451EA1F4" w14:textId="3FC3586F" w:rsidR="00344C8A" w:rsidRPr="00FB5742" w:rsidRDefault="00344C8A"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SBUA Opening Comments </w:t>
      </w:r>
      <w:r w:rsidR="00B67465" w:rsidRPr="00FB5742">
        <w:rPr>
          <w:szCs w:val="22"/>
          <w:lang w:val="en-ZW"/>
        </w:rPr>
        <w:t xml:space="preserve">on Phase 4 Scoping Memo </w:t>
      </w:r>
      <w:r w:rsidRPr="00FB5742">
        <w:rPr>
          <w:szCs w:val="22"/>
        </w:rPr>
        <w:t>at 19.</w:t>
      </w:r>
    </w:p>
  </w:footnote>
  <w:footnote w:id="144">
    <w:p w14:paraId="4337D652" w14:textId="44246A93" w:rsidR="00344C8A" w:rsidRPr="00FB5742" w:rsidRDefault="00344C8A"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SCE Opening Comments </w:t>
      </w:r>
      <w:r w:rsidR="00B67465" w:rsidRPr="00FB5742">
        <w:rPr>
          <w:szCs w:val="22"/>
          <w:lang w:val="en-ZW"/>
        </w:rPr>
        <w:t xml:space="preserve">on Phase 4 Scoping Memo </w:t>
      </w:r>
      <w:r w:rsidRPr="00FB5742">
        <w:rPr>
          <w:szCs w:val="22"/>
        </w:rPr>
        <w:t xml:space="preserve">at </w:t>
      </w:r>
      <w:r w:rsidR="00902C75" w:rsidRPr="00FB5742">
        <w:rPr>
          <w:szCs w:val="22"/>
        </w:rPr>
        <w:t>2</w:t>
      </w:r>
      <w:r w:rsidR="00AA65B0" w:rsidRPr="00FB5742">
        <w:rPr>
          <w:szCs w:val="22"/>
        </w:rPr>
        <w:t>0</w:t>
      </w:r>
      <w:r w:rsidR="00B20BE4" w:rsidRPr="00FB5742">
        <w:rPr>
          <w:szCs w:val="22"/>
        </w:rPr>
        <w:t xml:space="preserve"> and</w:t>
      </w:r>
      <w:r w:rsidR="006A380D" w:rsidRPr="00FB5742">
        <w:rPr>
          <w:szCs w:val="22"/>
        </w:rPr>
        <w:t xml:space="preserve"> 21</w:t>
      </w:r>
      <w:r w:rsidRPr="00FB5742">
        <w:rPr>
          <w:szCs w:val="22"/>
        </w:rPr>
        <w:t>.</w:t>
      </w:r>
    </w:p>
  </w:footnote>
  <w:footnote w:id="145">
    <w:p w14:paraId="5025E8F8" w14:textId="4419517C" w:rsidR="00344C8A" w:rsidRPr="00FB5742" w:rsidRDefault="00344C8A"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Sempra Utilities Opening Comments </w:t>
      </w:r>
      <w:r w:rsidR="00B67465" w:rsidRPr="00FB5742">
        <w:rPr>
          <w:szCs w:val="22"/>
          <w:lang w:val="en-ZW"/>
        </w:rPr>
        <w:t xml:space="preserve">on Phase 4 Scoping Memo </w:t>
      </w:r>
      <w:r w:rsidRPr="00FB5742">
        <w:rPr>
          <w:szCs w:val="22"/>
        </w:rPr>
        <w:t xml:space="preserve">at </w:t>
      </w:r>
      <w:r w:rsidR="008F3DF2" w:rsidRPr="00FB5742">
        <w:rPr>
          <w:szCs w:val="22"/>
        </w:rPr>
        <w:t>23</w:t>
      </w:r>
      <w:r w:rsidRPr="00FB5742">
        <w:rPr>
          <w:szCs w:val="22"/>
        </w:rPr>
        <w:t>.</w:t>
      </w:r>
    </w:p>
  </w:footnote>
  <w:footnote w:id="146">
    <w:p w14:paraId="5967627C" w14:textId="1A57D1D9" w:rsidR="00344C8A" w:rsidRPr="00FB5742" w:rsidRDefault="00344C8A" w:rsidP="00FB5742">
      <w:pPr>
        <w:pStyle w:val="FootnoteText"/>
        <w:rPr>
          <w:szCs w:val="22"/>
        </w:rPr>
      </w:pPr>
      <w:r w:rsidRPr="00FB5742">
        <w:rPr>
          <w:rStyle w:val="FootnoteReference"/>
          <w:szCs w:val="22"/>
        </w:rPr>
        <w:footnoteRef/>
      </w:r>
      <w:r w:rsidR="009B5175" w:rsidRPr="00FB5742">
        <w:rPr>
          <w:szCs w:val="22"/>
        </w:rPr>
        <w:t xml:space="preserve"> </w:t>
      </w:r>
      <w:r w:rsidRPr="00FB5742">
        <w:rPr>
          <w:szCs w:val="22"/>
        </w:rPr>
        <w:t xml:space="preserve"> Resolution E-5105, issued Nov 19, 2020.</w:t>
      </w:r>
    </w:p>
  </w:footnote>
  <w:footnote w:id="147">
    <w:p w14:paraId="7994FD62" w14:textId="361A3678" w:rsidR="00344C8A" w:rsidRPr="00FB5742" w:rsidRDefault="00344C8A" w:rsidP="00FB5742">
      <w:pPr>
        <w:pStyle w:val="FootnoteText"/>
        <w:rPr>
          <w:szCs w:val="22"/>
        </w:rPr>
      </w:pPr>
      <w:r w:rsidRPr="00FB5742">
        <w:rPr>
          <w:rStyle w:val="FootnoteReference"/>
          <w:szCs w:val="22"/>
        </w:rPr>
        <w:footnoteRef/>
      </w:r>
      <w:r w:rsidR="009B5175" w:rsidRPr="00FB5742">
        <w:rPr>
          <w:szCs w:val="22"/>
        </w:rPr>
        <w:t xml:space="preserve"> </w:t>
      </w:r>
      <w:r w:rsidRPr="00FB5742">
        <w:rPr>
          <w:szCs w:val="22"/>
        </w:rPr>
        <w:t xml:space="preserve"> Confidential data is submitted to CPUC</w:t>
      </w:r>
      <w:r w:rsidR="00C3171B" w:rsidRPr="00FB5742">
        <w:rPr>
          <w:szCs w:val="22"/>
        </w:rPr>
        <w:t>’s</w:t>
      </w:r>
      <w:r w:rsidRPr="00FB5742">
        <w:rPr>
          <w:szCs w:val="22"/>
        </w:rPr>
        <w:t xml:space="preserve"> Energy Division via secure file transfer, while non-confidential version of the data is made available on the IOU website.</w:t>
      </w:r>
    </w:p>
  </w:footnote>
  <w:footnote w:id="148">
    <w:p w14:paraId="3A9354C0" w14:textId="33F6C9C9" w:rsidR="00E13ACC" w:rsidRPr="00FB5742" w:rsidRDefault="00E13ACC"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C043ED" w:rsidRPr="00FB5742">
        <w:rPr>
          <w:szCs w:val="22"/>
        </w:rPr>
        <w:t>Cal</w:t>
      </w:r>
      <w:r w:rsidR="005F14F6" w:rsidRPr="00FB5742">
        <w:rPr>
          <w:szCs w:val="22"/>
        </w:rPr>
        <w:t xml:space="preserve"> </w:t>
      </w:r>
      <w:r w:rsidR="00C043ED" w:rsidRPr="00FB5742">
        <w:rPr>
          <w:szCs w:val="22"/>
        </w:rPr>
        <w:t xml:space="preserve">Advocates Opening Comments on </w:t>
      </w:r>
      <w:r w:rsidR="00240655" w:rsidRPr="00FB5742">
        <w:rPr>
          <w:szCs w:val="22"/>
        </w:rPr>
        <w:t>AB </w:t>
      </w:r>
      <w:r w:rsidR="00C043ED" w:rsidRPr="00FB5742">
        <w:rPr>
          <w:szCs w:val="22"/>
        </w:rPr>
        <w:t xml:space="preserve">157 </w:t>
      </w:r>
      <w:r w:rsidR="009E2397" w:rsidRPr="00FB5742">
        <w:rPr>
          <w:szCs w:val="22"/>
        </w:rPr>
        <w:t xml:space="preserve">Ruling </w:t>
      </w:r>
      <w:r w:rsidR="00C043ED" w:rsidRPr="00FB5742">
        <w:rPr>
          <w:szCs w:val="22"/>
        </w:rPr>
        <w:t>at 1.</w:t>
      </w:r>
    </w:p>
  </w:footnote>
  <w:footnote w:id="149">
    <w:p w14:paraId="79F08326" w14:textId="23D4E3DD" w:rsidR="00DC3369" w:rsidRPr="00FB5742" w:rsidRDefault="00DC3369" w:rsidP="00FB5742">
      <w:pPr>
        <w:pStyle w:val="FootnoteText"/>
        <w:rPr>
          <w:szCs w:val="22"/>
        </w:rPr>
      </w:pPr>
      <w:r w:rsidRPr="00FB5742">
        <w:rPr>
          <w:rStyle w:val="FootnoteReference"/>
          <w:szCs w:val="22"/>
        </w:rPr>
        <w:footnoteRef/>
      </w:r>
      <w:r w:rsidR="009B5175" w:rsidRPr="00FB5742">
        <w:rPr>
          <w:szCs w:val="22"/>
        </w:rPr>
        <w:t xml:space="preserve"> </w:t>
      </w:r>
      <w:r w:rsidRPr="00FB5742">
        <w:rPr>
          <w:szCs w:val="22"/>
        </w:rPr>
        <w:t xml:space="preserve"> </w:t>
      </w:r>
      <w:r w:rsidR="001D4AB1" w:rsidRPr="00FB5742">
        <w:rPr>
          <w:i/>
          <w:iCs/>
          <w:szCs w:val="22"/>
        </w:rPr>
        <w:t>Id.</w:t>
      </w:r>
      <w:r w:rsidR="009E2397" w:rsidRPr="00FB5742">
        <w:rPr>
          <w:szCs w:val="22"/>
        </w:rPr>
        <w:t xml:space="preserve"> </w:t>
      </w:r>
      <w:r w:rsidR="00091B86" w:rsidRPr="00FB5742">
        <w:rPr>
          <w:szCs w:val="22"/>
        </w:rPr>
        <w:t>at 1-2.</w:t>
      </w:r>
    </w:p>
  </w:footnote>
  <w:footnote w:id="150">
    <w:p w14:paraId="46951D96" w14:textId="39366C94" w:rsidR="008B7AC6" w:rsidRPr="00FB5742" w:rsidRDefault="008B7AC6" w:rsidP="00FB5742">
      <w:pPr>
        <w:pStyle w:val="FootnoteText"/>
        <w:rPr>
          <w:szCs w:val="22"/>
        </w:rPr>
      </w:pPr>
      <w:r w:rsidRPr="00FB5742">
        <w:rPr>
          <w:rStyle w:val="FootnoteReference"/>
          <w:szCs w:val="22"/>
        </w:rPr>
        <w:footnoteRef/>
      </w:r>
      <w:r w:rsidR="009B5175" w:rsidRPr="00FB5742">
        <w:rPr>
          <w:szCs w:val="22"/>
        </w:rPr>
        <w:t xml:space="preserve"> </w:t>
      </w:r>
      <w:r w:rsidRPr="00FB5742">
        <w:rPr>
          <w:szCs w:val="22"/>
        </w:rPr>
        <w:t xml:space="preserve"> </w:t>
      </w:r>
      <w:r w:rsidR="00B96855" w:rsidRPr="00FB5742">
        <w:rPr>
          <w:szCs w:val="22"/>
        </w:rPr>
        <w:t xml:space="preserve">SCE Opening Comments on </w:t>
      </w:r>
      <w:r w:rsidR="00240655" w:rsidRPr="00FB5742">
        <w:rPr>
          <w:szCs w:val="22"/>
        </w:rPr>
        <w:t>AB </w:t>
      </w:r>
      <w:r w:rsidR="00B96855" w:rsidRPr="00FB5742">
        <w:rPr>
          <w:szCs w:val="22"/>
        </w:rPr>
        <w:t xml:space="preserve">157 </w:t>
      </w:r>
      <w:r w:rsidR="009E2397" w:rsidRPr="00FB5742">
        <w:rPr>
          <w:szCs w:val="22"/>
        </w:rPr>
        <w:t xml:space="preserve">Ruling </w:t>
      </w:r>
      <w:r w:rsidR="00B96855" w:rsidRPr="00FB5742">
        <w:rPr>
          <w:szCs w:val="22"/>
        </w:rPr>
        <w:t>at 2.</w:t>
      </w:r>
    </w:p>
  </w:footnote>
  <w:footnote w:id="151">
    <w:p w14:paraId="5F7BDC8D" w14:textId="77F034B1" w:rsidR="00F835FF" w:rsidRPr="00FB5742" w:rsidRDefault="00F835FF"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rPr>
        <w:t>Ibid</w:t>
      </w:r>
      <w:r w:rsidR="00C975B5" w:rsidRPr="00FB5742">
        <w:rPr>
          <w:i/>
          <w:szCs w:val="22"/>
        </w:rPr>
        <w:t>.</w:t>
      </w:r>
    </w:p>
  </w:footnote>
  <w:footnote w:id="152">
    <w:p w14:paraId="78227D98" w14:textId="55225CB7" w:rsidR="009325E7" w:rsidRPr="00FB5742" w:rsidRDefault="009325E7" w:rsidP="00FB5742">
      <w:pPr>
        <w:pStyle w:val="FootnoteText"/>
        <w:rPr>
          <w:szCs w:val="22"/>
        </w:rPr>
      </w:pPr>
      <w:r w:rsidRPr="00FB5742">
        <w:rPr>
          <w:rStyle w:val="FootnoteReference"/>
          <w:szCs w:val="22"/>
        </w:rPr>
        <w:footnoteRef/>
      </w:r>
      <w:r w:rsidR="009B5175" w:rsidRPr="00FB5742">
        <w:rPr>
          <w:szCs w:val="22"/>
        </w:rPr>
        <w:t xml:space="preserve"> </w:t>
      </w:r>
      <w:r w:rsidRPr="00FB5742">
        <w:rPr>
          <w:szCs w:val="22"/>
        </w:rPr>
        <w:t xml:space="preserve"> CAC Opening Comments on </w:t>
      </w:r>
      <w:r w:rsidR="00240655" w:rsidRPr="00FB5742">
        <w:rPr>
          <w:szCs w:val="22"/>
        </w:rPr>
        <w:t>AB </w:t>
      </w:r>
      <w:r w:rsidRPr="00FB5742">
        <w:rPr>
          <w:szCs w:val="22"/>
        </w:rPr>
        <w:t xml:space="preserve">157 </w:t>
      </w:r>
      <w:r w:rsidR="009E2397" w:rsidRPr="00FB5742">
        <w:rPr>
          <w:szCs w:val="22"/>
        </w:rPr>
        <w:t xml:space="preserve">Ruling </w:t>
      </w:r>
      <w:r w:rsidRPr="00FB5742">
        <w:rPr>
          <w:szCs w:val="22"/>
        </w:rPr>
        <w:t>at 4.</w:t>
      </w:r>
    </w:p>
  </w:footnote>
  <w:footnote w:id="153">
    <w:p w14:paraId="3E479FAC" w14:textId="224BC068" w:rsidR="00D322CC" w:rsidRPr="00FB5742" w:rsidRDefault="00D322CC" w:rsidP="00FB5742">
      <w:pPr>
        <w:pStyle w:val="FootnoteText"/>
        <w:rPr>
          <w:szCs w:val="22"/>
        </w:rPr>
      </w:pPr>
      <w:r w:rsidRPr="00FB5742">
        <w:rPr>
          <w:rStyle w:val="FootnoteReference"/>
          <w:szCs w:val="22"/>
        </w:rPr>
        <w:footnoteRef/>
      </w:r>
      <w:r w:rsidR="009B5175" w:rsidRPr="00FB5742">
        <w:rPr>
          <w:szCs w:val="22"/>
        </w:rPr>
        <w:t xml:space="preserve"> </w:t>
      </w:r>
      <w:r w:rsidRPr="00FB5742">
        <w:rPr>
          <w:szCs w:val="22"/>
        </w:rPr>
        <w:t xml:space="preserve"> </w:t>
      </w:r>
      <w:r w:rsidR="001D4AB1" w:rsidRPr="00FB5742">
        <w:rPr>
          <w:i/>
          <w:iCs/>
          <w:szCs w:val="22"/>
        </w:rPr>
        <w:t>Id.</w:t>
      </w:r>
      <w:r w:rsidR="009E2397" w:rsidRPr="00FB5742">
        <w:rPr>
          <w:szCs w:val="22"/>
        </w:rPr>
        <w:t xml:space="preserve"> </w:t>
      </w:r>
      <w:r w:rsidRPr="00FB5742">
        <w:rPr>
          <w:szCs w:val="22"/>
        </w:rPr>
        <w:t>at 6.</w:t>
      </w:r>
    </w:p>
  </w:footnote>
  <w:footnote w:id="154">
    <w:p w14:paraId="0C542754" w14:textId="4F212D26" w:rsidR="007D6BC2" w:rsidRPr="00FB5742" w:rsidRDefault="007D6BC2" w:rsidP="00FB5742">
      <w:pPr>
        <w:pStyle w:val="FootnoteText"/>
        <w:rPr>
          <w:szCs w:val="22"/>
        </w:rPr>
      </w:pPr>
      <w:r w:rsidRPr="00FB5742">
        <w:rPr>
          <w:rStyle w:val="FootnoteReference"/>
          <w:szCs w:val="22"/>
        </w:rPr>
        <w:footnoteRef/>
      </w:r>
      <w:r w:rsidR="009B5175" w:rsidRPr="00FB5742">
        <w:rPr>
          <w:szCs w:val="22"/>
        </w:rPr>
        <w:t xml:space="preserve"> </w:t>
      </w:r>
      <w:r w:rsidRPr="00FB5742">
        <w:rPr>
          <w:szCs w:val="22"/>
        </w:rPr>
        <w:t xml:space="preserve"> </w:t>
      </w:r>
      <w:r w:rsidR="001D4AB1" w:rsidRPr="00FB5742">
        <w:rPr>
          <w:i/>
          <w:iCs/>
          <w:szCs w:val="22"/>
        </w:rPr>
        <w:t>Id.</w:t>
      </w:r>
      <w:r w:rsidR="009E2397" w:rsidRPr="00FB5742">
        <w:rPr>
          <w:szCs w:val="22"/>
        </w:rPr>
        <w:t xml:space="preserve"> </w:t>
      </w:r>
      <w:r w:rsidRPr="00FB5742">
        <w:rPr>
          <w:szCs w:val="22"/>
        </w:rPr>
        <w:t>at 8.</w:t>
      </w:r>
    </w:p>
  </w:footnote>
  <w:footnote w:id="155">
    <w:p w14:paraId="1375876D" w14:textId="46CDDCB4" w:rsidR="007D6BC2" w:rsidRPr="00FB5742" w:rsidRDefault="007D6BC2" w:rsidP="00FB5742">
      <w:pPr>
        <w:pStyle w:val="FootnoteText"/>
        <w:rPr>
          <w:szCs w:val="22"/>
        </w:rPr>
      </w:pPr>
      <w:r w:rsidRPr="00FB5742">
        <w:rPr>
          <w:rStyle w:val="FootnoteReference"/>
          <w:szCs w:val="22"/>
        </w:rPr>
        <w:footnoteRef/>
      </w:r>
      <w:r w:rsidR="009B5175" w:rsidRPr="00FB5742">
        <w:rPr>
          <w:szCs w:val="22"/>
        </w:rPr>
        <w:t xml:space="preserve"> </w:t>
      </w:r>
      <w:r w:rsidRPr="00FB5742">
        <w:rPr>
          <w:szCs w:val="22"/>
        </w:rPr>
        <w:t xml:space="preserve"> </w:t>
      </w:r>
      <w:r w:rsidR="001D4AB1" w:rsidRPr="00FB5742">
        <w:rPr>
          <w:i/>
          <w:iCs/>
          <w:szCs w:val="22"/>
        </w:rPr>
        <w:t>Id.</w:t>
      </w:r>
      <w:r w:rsidR="001D4AB1" w:rsidRPr="00FB5742">
        <w:rPr>
          <w:i/>
          <w:szCs w:val="22"/>
        </w:rPr>
        <w:t xml:space="preserve"> </w:t>
      </w:r>
      <w:r w:rsidRPr="00FB5742">
        <w:rPr>
          <w:szCs w:val="22"/>
        </w:rPr>
        <w:t xml:space="preserve">at 12. </w:t>
      </w:r>
    </w:p>
  </w:footnote>
  <w:footnote w:id="156">
    <w:p w14:paraId="7F4D9D6E" w14:textId="6298AD52" w:rsidR="003B1465" w:rsidRPr="00FB5742" w:rsidRDefault="003B1465"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22389F" w:rsidRPr="00FB5742">
        <w:rPr>
          <w:szCs w:val="22"/>
        </w:rPr>
        <w:t xml:space="preserve">VEIC Opening Comments on </w:t>
      </w:r>
      <w:r w:rsidR="00240655" w:rsidRPr="00FB5742">
        <w:rPr>
          <w:szCs w:val="22"/>
        </w:rPr>
        <w:t>AB </w:t>
      </w:r>
      <w:r w:rsidR="0022389F" w:rsidRPr="00FB5742">
        <w:rPr>
          <w:szCs w:val="22"/>
        </w:rPr>
        <w:t xml:space="preserve">157 </w:t>
      </w:r>
      <w:r w:rsidR="009E2397" w:rsidRPr="00FB5742">
        <w:rPr>
          <w:szCs w:val="22"/>
        </w:rPr>
        <w:t xml:space="preserve">Ruling </w:t>
      </w:r>
      <w:r w:rsidR="0022389F" w:rsidRPr="00FB5742">
        <w:rPr>
          <w:szCs w:val="22"/>
        </w:rPr>
        <w:t>at 4-5.</w:t>
      </w:r>
    </w:p>
  </w:footnote>
  <w:footnote w:id="157">
    <w:p w14:paraId="1ADA9390" w14:textId="163E0B04" w:rsidR="007A2AFF" w:rsidRPr="00FB5742" w:rsidRDefault="007A2AFF"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A.O. Smith Reply Comments on </w:t>
      </w:r>
      <w:r w:rsidR="00240655" w:rsidRPr="00FB5742">
        <w:rPr>
          <w:szCs w:val="22"/>
        </w:rPr>
        <w:t>AB </w:t>
      </w:r>
      <w:r w:rsidRPr="00FB5742">
        <w:rPr>
          <w:szCs w:val="22"/>
        </w:rPr>
        <w:t xml:space="preserve">157 </w:t>
      </w:r>
      <w:r w:rsidR="009E2397" w:rsidRPr="00FB5742">
        <w:rPr>
          <w:szCs w:val="22"/>
        </w:rPr>
        <w:t xml:space="preserve">Ruling </w:t>
      </w:r>
      <w:r w:rsidR="001E1016" w:rsidRPr="00FB5742">
        <w:rPr>
          <w:szCs w:val="22"/>
        </w:rPr>
        <w:t xml:space="preserve">at 2-3. </w:t>
      </w:r>
    </w:p>
  </w:footnote>
  <w:footnote w:id="158">
    <w:p w14:paraId="0CF45F3A" w14:textId="65396554" w:rsidR="008757B2" w:rsidRPr="00FB5742" w:rsidRDefault="008757B2"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SoCalGas </w:t>
      </w:r>
      <w:r w:rsidR="00CF75CF" w:rsidRPr="00FB5742">
        <w:rPr>
          <w:szCs w:val="22"/>
        </w:rPr>
        <w:t xml:space="preserve">Reply </w:t>
      </w:r>
      <w:r w:rsidRPr="00FB5742">
        <w:rPr>
          <w:szCs w:val="22"/>
        </w:rPr>
        <w:t xml:space="preserve">Comments on </w:t>
      </w:r>
      <w:r w:rsidR="00240655" w:rsidRPr="00FB5742">
        <w:rPr>
          <w:szCs w:val="22"/>
        </w:rPr>
        <w:t>AB </w:t>
      </w:r>
      <w:r w:rsidRPr="00FB5742">
        <w:rPr>
          <w:szCs w:val="22"/>
        </w:rPr>
        <w:t xml:space="preserve">157 </w:t>
      </w:r>
      <w:r w:rsidR="009E2397" w:rsidRPr="00FB5742">
        <w:rPr>
          <w:szCs w:val="22"/>
        </w:rPr>
        <w:t xml:space="preserve">Ruling </w:t>
      </w:r>
      <w:r w:rsidRPr="00FB5742">
        <w:rPr>
          <w:szCs w:val="22"/>
        </w:rPr>
        <w:t xml:space="preserve">at 1-2. </w:t>
      </w:r>
    </w:p>
  </w:footnote>
  <w:footnote w:id="159">
    <w:p w14:paraId="15F5E646" w14:textId="65F12F4A" w:rsidR="008757B2" w:rsidRPr="00FB5742" w:rsidRDefault="008757B2" w:rsidP="00FB5742">
      <w:pPr>
        <w:pStyle w:val="FootnoteText"/>
        <w:rPr>
          <w:szCs w:val="22"/>
        </w:rPr>
      </w:pPr>
      <w:r w:rsidRPr="00FB5742">
        <w:rPr>
          <w:rStyle w:val="FootnoteReference"/>
          <w:szCs w:val="22"/>
        </w:rPr>
        <w:footnoteRef/>
      </w:r>
      <w:r w:rsidR="009B5175" w:rsidRPr="00FB5742">
        <w:rPr>
          <w:szCs w:val="22"/>
        </w:rPr>
        <w:t xml:space="preserve"> </w:t>
      </w:r>
      <w:r w:rsidRPr="00FB5742">
        <w:rPr>
          <w:szCs w:val="22"/>
        </w:rPr>
        <w:t xml:space="preserve"> </w:t>
      </w:r>
      <w:r w:rsidR="00104735" w:rsidRPr="00FB5742">
        <w:rPr>
          <w:i/>
          <w:iCs/>
          <w:szCs w:val="22"/>
        </w:rPr>
        <w:t>Id.</w:t>
      </w:r>
      <w:r w:rsidR="00AA662C" w:rsidRPr="00FB5742">
        <w:rPr>
          <w:szCs w:val="22"/>
        </w:rPr>
        <w:t xml:space="preserve"> </w:t>
      </w:r>
      <w:r w:rsidRPr="00FB5742">
        <w:rPr>
          <w:szCs w:val="22"/>
        </w:rPr>
        <w:t>at 2.</w:t>
      </w:r>
    </w:p>
  </w:footnote>
  <w:footnote w:id="160">
    <w:p w14:paraId="158FD9BC" w14:textId="70B019AC" w:rsidR="008757B2" w:rsidRPr="00FB5742" w:rsidRDefault="008757B2"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rPr>
        <w:t>Ibid</w:t>
      </w:r>
      <w:r w:rsidR="00C975B5" w:rsidRPr="00FB5742">
        <w:rPr>
          <w:i/>
          <w:szCs w:val="22"/>
        </w:rPr>
        <w:t>.</w:t>
      </w:r>
    </w:p>
  </w:footnote>
  <w:footnote w:id="161">
    <w:p w14:paraId="31407D21" w14:textId="2ED5DBFD" w:rsidR="00F434D4" w:rsidRPr="00FB5742" w:rsidRDefault="00F434D4"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BD24E9" w:rsidRPr="00FB5742">
        <w:rPr>
          <w:szCs w:val="22"/>
        </w:rPr>
        <w:t xml:space="preserve">LAWDP Reply Comments on </w:t>
      </w:r>
      <w:r w:rsidR="00240655" w:rsidRPr="00FB5742">
        <w:rPr>
          <w:szCs w:val="22"/>
        </w:rPr>
        <w:t>AB </w:t>
      </w:r>
      <w:r w:rsidR="00BD24E9" w:rsidRPr="00FB5742">
        <w:rPr>
          <w:szCs w:val="22"/>
        </w:rPr>
        <w:t xml:space="preserve">157 </w:t>
      </w:r>
      <w:r w:rsidR="009E2397" w:rsidRPr="00FB5742">
        <w:rPr>
          <w:szCs w:val="22"/>
        </w:rPr>
        <w:t xml:space="preserve">Ruling </w:t>
      </w:r>
      <w:r w:rsidR="00BD24E9" w:rsidRPr="00FB5742">
        <w:rPr>
          <w:szCs w:val="22"/>
        </w:rPr>
        <w:t>at 2.</w:t>
      </w:r>
    </w:p>
  </w:footnote>
  <w:footnote w:id="162">
    <w:p w14:paraId="1000A04C" w14:textId="5D65402A" w:rsidR="007C6F6D" w:rsidRPr="00FB5742" w:rsidRDefault="007C6F6D"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VEIC Reply Comments on </w:t>
      </w:r>
      <w:r w:rsidR="00240655" w:rsidRPr="00FB5742">
        <w:rPr>
          <w:szCs w:val="22"/>
        </w:rPr>
        <w:t>AB </w:t>
      </w:r>
      <w:r w:rsidRPr="00FB5742">
        <w:rPr>
          <w:szCs w:val="22"/>
        </w:rPr>
        <w:t xml:space="preserve">157 </w:t>
      </w:r>
      <w:r w:rsidR="009E2397" w:rsidRPr="00FB5742">
        <w:rPr>
          <w:szCs w:val="22"/>
        </w:rPr>
        <w:t xml:space="preserve">Ruling </w:t>
      </w:r>
      <w:r w:rsidRPr="00FB5742">
        <w:rPr>
          <w:szCs w:val="22"/>
        </w:rPr>
        <w:t>at 7.</w:t>
      </w:r>
    </w:p>
  </w:footnote>
  <w:footnote w:id="163">
    <w:p w14:paraId="5EA21CA8" w14:textId="105B817F" w:rsidR="001539CA" w:rsidRPr="00FB5742" w:rsidRDefault="001539CA"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8D0EF4" w:rsidRPr="00FB5742">
        <w:rPr>
          <w:i/>
          <w:iCs/>
          <w:szCs w:val="22"/>
        </w:rPr>
        <w:t>See</w:t>
      </w:r>
      <w:r w:rsidR="008D0EF4" w:rsidRPr="00FB5742">
        <w:rPr>
          <w:szCs w:val="22"/>
        </w:rPr>
        <w:t xml:space="preserve"> </w:t>
      </w:r>
      <w:r w:rsidR="00240655" w:rsidRPr="00FB5742">
        <w:rPr>
          <w:szCs w:val="22"/>
        </w:rPr>
        <w:t>AB </w:t>
      </w:r>
      <w:r w:rsidRPr="00FB5742">
        <w:rPr>
          <w:szCs w:val="22"/>
        </w:rPr>
        <w:t>157.</w:t>
      </w:r>
    </w:p>
  </w:footnote>
  <w:footnote w:id="164">
    <w:p w14:paraId="73079443" w14:textId="2183B0BE" w:rsidR="00204FDD" w:rsidRPr="00FB5742" w:rsidRDefault="00204FDD"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CAC Opening Comments on </w:t>
      </w:r>
      <w:r w:rsidR="00240655" w:rsidRPr="00FB5742">
        <w:rPr>
          <w:szCs w:val="22"/>
        </w:rPr>
        <w:t>AB </w:t>
      </w:r>
      <w:r w:rsidRPr="00FB5742">
        <w:rPr>
          <w:szCs w:val="22"/>
        </w:rPr>
        <w:t xml:space="preserve">157 </w:t>
      </w:r>
      <w:r w:rsidR="00AA662C" w:rsidRPr="00FB5742">
        <w:rPr>
          <w:szCs w:val="22"/>
        </w:rPr>
        <w:t xml:space="preserve">Ruling </w:t>
      </w:r>
      <w:r w:rsidRPr="00FB5742">
        <w:rPr>
          <w:szCs w:val="22"/>
        </w:rPr>
        <w:t>at 1</w:t>
      </w:r>
      <w:r w:rsidR="00100968" w:rsidRPr="00FB5742">
        <w:rPr>
          <w:szCs w:val="22"/>
        </w:rPr>
        <w:t>3</w:t>
      </w:r>
      <w:r w:rsidRPr="00FB5742">
        <w:rPr>
          <w:szCs w:val="22"/>
        </w:rPr>
        <w:t>.</w:t>
      </w:r>
    </w:p>
  </w:footnote>
  <w:footnote w:id="165">
    <w:p w14:paraId="04CFB0A7" w14:textId="54202710" w:rsidR="00204FDD" w:rsidRPr="00FB5742" w:rsidRDefault="00204FDD"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Joint Parties Opening Comments on </w:t>
      </w:r>
      <w:r w:rsidR="00240655" w:rsidRPr="00FB5742">
        <w:rPr>
          <w:szCs w:val="22"/>
        </w:rPr>
        <w:t>AB </w:t>
      </w:r>
      <w:r w:rsidRPr="00FB5742">
        <w:rPr>
          <w:szCs w:val="22"/>
        </w:rPr>
        <w:t xml:space="preserve">157 </w:t>
      </w:r>
      <w:r w:rsidR="00AA662C" w:rsidRPr="00FB5742">
        <w:rPr>
          <w:szCs w:val="22"/>
        </w:rPr>
        <w:t xml:space="preserve">Ruling </w:t>
      </w:r>
      <w:r w:rsidRPr="00FB5742">
        <w:rPr>
          <w:szCs w:val="22"/>
        </w:rPr>
        <w:t xml:space="preserve">at 3. </w:t>
      </w:r>
    </w:p>
  </w:footnote>
  <w:footnote w:id="166">
    <w:p w14:paraId="54D4FC7D" w14:textId="27EA29E1" w:rsidR="00924301" w:rsidRPr="00FB5742" w:rsidRDefault="00924301"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9A4F7F" w:rsidRPr="00FB5742">
        <w:rPr>
          <w:szCs w:val="22"/>
        </w:rPr>
        <w:t xml:space="preserve">The TECH equity community definition includes </w:t>
      </w:r>
      <w:r w:rsidR="00EE0F31" w:rsidRPr="00FB5742">
        <w:rPr>
          <w:szCs w:val="22"/>
        </w:rPr>
        <w:t>DAC</w:t>
      </w:r>
      <w:r w:rsidR="00930CD4" w:rsidRPr="00FB5742">
        <w:rPr>
          <w:szCs w:val="22"/>
        </w:rPr>
        <w:t>s</w:t>
      </w:r>
      <w:r w:rsidR="009A4F7F" w:rsidRPr="00FB5742">
        <w:rPr>
          <w:szCs w:val="22"/>
        </w:rPr>
        <w:t xml:space="preserve">, </w:t>
      </w:r>
      <w:r w:rsidR="006B07B5" w:rsidRPr="00FB5742">
        <w:rPr>
          <w:szCs w:val="22"/>
        </w:rPr>
        <w:t>income-qualified customers</w:t>
      </w:r>
      <w:r w:rsidR="00B02E96" w:rsidRPr="00FB5742">
        <w:rPr>
          <w:szCs w:val="22"/>
        </w:rPr>
        <w:t xml:space="preserve"> (</w:t>
      </w:r>
      <w:r w:rsidR="00E61D6C" w:rsidRPr="00FB5742">
        <w:rPr>
          <w:szCs w:val="22"/>
        </w:rPr>
        <w:t>e.g. CARE/FERA/ESA), hard-to-reach, affordable housing</w:t>
      </w:r>
      <w:r w:rsidR="00095AFE" w:rsidRPr="00FB5742">
        <w:rPr>
          <w:szCs w:val="22"/>
        </w:rPr>
        <w:t xml:space="preserve"> (at least 66</w:t>
      </w:r>
      <w:r w:rsidR="00240655" w:rsidRPr="00FB5742">
        <w:rPr>
          <w:szCs w:val="22"/>
        </w:rPr>
        <w:t> percent</w:t>
      </w:r>
      <w:r w:rsidR="00095AFE" w:rsidRPr="00FB5742">
        <w:rPr>
          <w:szCs w:val="22"/>
        </w:rPr>
        <w:t xml:space="preserve"> of living units </w:t>
      </w:r>
      <w:r w:rsidR="00DA0390" w:rsidRPr="00FB5742">
        <w:rPr>
          <w:szCs w:val="22"/>
        </w:rPr>
        <w:t>have incomes below 80</w:t>
      </w:r>
      <w:r w:rsidR="00240655" w:rsidRPr="00FB5742">
        <w:rPr>
          <w:szCs w:val="22"/>
        </w:rPr>
        <w:t> percent</w:t>
      </w:r>
      <w:r w:rsidR="00DA0390" w:rsidRPr="00FB5742">
        <w:rPr>
          <w:szCs w:val="22"/>
        </w:rPr>
        <w:t xml:space="preserve"> the a</w:t>
      </w:r>
      <w:r w:rsidR="00116607" w:rsidRPr="00FB5742">
        <w:rPr>
          <w:szCs w:val="22"/>
        </w:rPr>
        <w:t>rea median</w:t>
      </w:r>
      <w:r w:rsidR="0050036A" w:rsidRPr="00FB5742">
        <w:rPr>
          <w:szCs w:val="22"/>
        </w:rPr>
        <w:t xml:space="preserve">, </w:t>
      </w:r>
      <w:r w:rsidR="008F1291" w:rsidRPr="00FB5742">
        <w:rPr>
          <w:szCs w:val="22"/>
        </w:rPr>
        <w:t>or live in a deed-restricted housing unit</w:t>
      </w:r>
      <w:r w:rsidR="00B37CEF" w:rsidRPr="00FB5742">
        <w:rPr>
          <w:szCs w:val="22"/>
        </w:rPr>
        <w:t>; or live in a subsidized deed-restricted housing unit)</w:t>
      </w:r>
      <w:r w:rsidR="00B57122" w:rsidRPr="00FB5742">
        <w:rPr>
          <w:szCs w:val="22"/>
        </w:rPr>
        <w:t>,</w:t>
      </w:r>
      <w:r w:rsidR="00B37CEF" w:rsidRPr="00FB5742">
        <w:rPr>
          <w:szCs w:val="22"/>
        </w:rPr>
        <w:t xml:space="preserve"> and</w:t>
      </w:r>
      <w:r w:rsidR="00B57122" w:rsidRPr="00FB5742">
        <w:rPr>
          <w:szCs w:val="22"/>
        </w:rPr>
        <w:t xml:space="preserve"> </w:t>
      </w:r>
      <w:r w:rsidR="00B77461" w:rsidRPr="00FB5742">
        <w:rPr>
          <w:szCs w:val="22"/>
        </w:rPr>
        <w:t xml:space="preserve">low-income household </w:t>
      </w:r>
      <w:r w:rsidR="00676EF7" w:rsidRPr="00FB5742">
        <w:rPr>
          <w:szCs w:val="22"/>
        </w:rPr>
        <w:t>or low-income community</w:t>
      </w:r>
      <w:r w:rsidR="00A20EB3" w:rsidRPr="00FB5742">
        <w:rPr>
          <w:szCs w:val="22"/>
        </w:rPr>
        <w:t>,</w:t>
      </w:r>
      <w:r w:rsidR="00676EF7" w:rsidRPr="00FB5742">
        <w:rPr>
          <w:szCs w:val="22"/>
        </w:rPr>
        <w:t xml:space="preserve"> </w:t>
      </w:r>
      <w:r w:rsidR="008E2EF7" w:rsidRPr="00FB5742">
        <w:rPr>
          <w:szCs w:val="22"/>
        </w:rPr>
        <w:t xml:space="preserve">and low-income and </w:t>
      </w:r>
      <w:r w:rsidR="00EE0F31" w:rsidRPr="00FB5742">
        <w:rPr>
          <w:szCs w:val="22"/>
        </w:rPr>
        <w:t>½ mile from a DAC</w:t>
      </w:r>
      <w:r w:rsidR="00A20EB3" w:rsidRPr="00FB5742">
        <w:rPr>
          <w:szCs w:val="22"/>
        </w:rPr>
        <w:t>, both</w:t>
      </w:r>
      <w:r w:rsidR="00EE0F31" w:rsidRPr="00FB5742">
        <w:rPr>
          <w:szCs w:val="22"/>
        </w:rPr>
        <w:t xml:space="preserve"> </w:t>
      </w:r>
      <w:r w:rsidR="00676EF7" w:rsidRPr="00FB5742">
        <w:rPr>
          <w:szCs w:val="22"/>
        </w:rPr>
        <w:t xml:space="preserve">as defined by </w:t>
      </w:r>
      <w:r w:rsidR="00EC00AE" w:rsidRPr="00FB5742">
        <w:rPr>
          <w:szCs w:val="22"/>
        </w:rPr>
        <w:t>C</w:t>
      </w:r>
      <w:r w:rsidR="00151BB2" w:rsidRPr="00FB5742">
        <w:rPr>
          <w:szCs w:val="22"/>
        </w:rPr>
        <w:t>alifornia Climate Investment</w:t>
      </w:r>
      <w:r w:rsidR="007A59CF" w:rsidRPr="00FB5742">
        <w:rPr>
          <w:szCs w:val="22"/>
        </w:rPr>
        <w:t>’s Priority Populations.</w:t>
      </w:r>
      <w:r w:rsidR="008D0EF4" w:rsidRPr="00FB5742">
        <w:rPr>
          <w:szCs w:val="22"/>
        </w:rPr>
        <w:t xml:space="preserve"> </w:t>
      </w:r>
      <w:r w:rsidR="008D0EF4" w:rsidRPr="008402EC">
        <w:rPr>
          <w:i/>
          <w:iCs/>
          <w:szCs w:val="22"/>
        </w:rPr>
        <w:t>See</w:t>
      </w:r>
      <w:r w:rsidR="008D0EF4" w:rsidRPr="00FB5742">
        <w:rPr>
          <w:szCs w:val="22"/>
        </w:rPr>
        <w:t xml:space="preserve"> TECH website, </w:t>
      </w:r>
      <w:r w:rsidR="00692B97" w:rsidRPr="008402EC">
        <w:t>https://TechCleanCa.com</w:t>
      </w:r>
      <w:r w:rsidR="00293A4E" w:rsidRPr="00FB5742">
        <w:rPr>
          <w:szCs w:val="22"/>
        </w:rPr>
        <w:t>.</w:t>
      </w:r>
    </w:p>
  </w:footnote>
  <w:footnote w:id="167">
    <w:p w14:paraId="409B818D" w14:textId="185DBFF6" w:rsidR="006C6998" w:rsidRPr="00FB5742" w:rsidRDefault="006C6998"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Joint Parties Opening Comments on </w:t>
      </w:r>
      <w:r w:rsidR="00240655" w:rsidRPr="00FB5742">
        <w:rPr>
          <w:szCs w:val="22"/>
        </w:rPr>
        <w:t>AB </w:t>
      </w:r>
      <w:r w:rsidRPr="00FB5742">
        <w:rPr>
          <w:szCs w:val="22"/>
        </w:rPr>
        <w:t xml:space="preserve">157 </w:t>
      </w:r>
      <w:r w:rsidR="00F50313" w:rsidRPr="00FB5742">
        <w:rPr>
          <w:szCs w:val="22"/>
        </w:rPr>
        <w:t xml:space="preserve">Ruling </w:t>
      </w:r>
      <w:r w:rsidRPr="00FB5742">
        <w:rPr>
          <w:szCs w:val="22"/>
        </w:rPr>
        <w:t xml:space="preserve">at 6. </w:t>
      </w:r>
    </w:p>
  </w:footnote>
  <w:footnote w:id="168">
    <w:p w14:paraId="6233B383" w14:textId="5F99F6D7" w:rsidR="005A099E" w:rsidRPr="00FB5742" w:rsidRDefault="005A099E"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Joint Parties Opening Comments on </w:t>
      </w:r>
      <w:r w:rsidR="00240655" w:rsidRPr="00FB5742">
        <w:rPr>
          <w:szCs w:val="22"/>
        </w:rPr>
        <w:t>AB </w:t>
      </w:r>
      <w:r w:rsidRPr="00FB5742">
        <w:rPr>
          <w:szCs w:val="22"/>
        </w:rPr>
        <w:t xml:space="preserve">157 </w:t>
      </w:r>
      <w:r w:rsidR="00F50313" w:rsidRPr="00FB5742">
        <w:rPr>
          <w:szCs w:val="22"/>
        </w:rPr>
        <w:t xml:space="preserve">Ruling </w:t>
      </w:r>
      <w:r w:rsidRPr="00FB5742">
        <w:rPr>
          <w:szCs w:val="22"/>
        </w:rPr>
        <w:t>at 3-4.</w:t>
      </w:r>
    </w:p>
  </w:footnote>
  <w:footnote w:id="169">
    <w:p w14:paraId="79CEB9D3" w14:textId="309F71F8" w:rsidR="008E208F" w:rsidRPr="00FB5742" w:rsidRDefault="008E208F"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1D4AB1" w:rsidRPr="00FB5742">
        <w:rPr>
          <w:i/>
          <w:iCs/>
          <w:szCs w:val="22"/>
        </w:rPr>
        <w:t>Id.</w:t>
      </w:r>
      <w:r w:rsidR="001D4AB1" w:rsidRPr="00FB5742">
        <w:rPr>
          <w:i/>
          <w:szCs w:val="22"/>
        </w:rPr>
        <w:t xml:space="preserve"> </w:t>
      </w:r>
      <w:r w:rsidRPr="00FB5742">
        <w:rPr>
          <w:szCs w:val="22"/>
        </w:rPr>
        <w:t>at 5-6.</w:t>
      </w:r>
    </w:p>
  </w:footnote>
  <w:footnote w:id="170">
    <w:p w14:paraId="34F19269" w14:textId="6FE40517" w:rsidR="00BF2D82" w:rsidRPr="00FB5742" w:rsidRDefault="00BF2D82"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LAWDP Reply Comments on </w:t>
      </w:r>
      <w:r w:rsidR="00240655" w:rsidRPr="00FB5742">
        <w:rPr>
          <w:szCs w:val="22"/>
        </w:rPr>
        <w:t>AB </w:t>
      </w:r>
      <w:r w:rsidRPr="00FB5742">
        <w:rPr>
          <w:szCs w:val="22"/>
        </w:rPr>
        <w:t xml:space="preserve">157 </w:t>
      </w:r>
      <w:r w:rsidR="00F50313" w:rsidRPr="00FB5742">
        <w:rPr>
          <w:szCs w:val="22"/>
        </w:rPr>
        <w:t xml:space="preserve">Ruling </w:t>
      </w:r>
      <w:r w:rsidRPr="00FB5742">
        <w:rPr>
          <w:szCs w:val="22"/>
        </w:rPr>
        <w:t>at 3.</w:t>
      </w:r>
    </w:p>
  </w:footnote>
  <w:footnote w:id="171">
    <w:p w14:paraId="7ADF42A6" w14:textId="1DA7E330" w:rsidR="004025C9" w:rsidRPr="00FB5742" w:rsidRDefault="004025C9"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Cal</w:t>
      </w:r>
      <w:r w:rsidR="005F14F6" w:rsidRPr="00FB5742">
        <w:rPr>
          <w:szCs w:val="22"/>
        </w:rPr>
        <w:t xml:space="preserve"> </w:t>
      </w:r>
      <w:r w:rsidRPr="00FB5742">
        <w:rPr>
          <w:szCs w:val="22"/>
        </w:rPr>
        <w:t xml:space="preserve">Advocates Opening Comments on </w:t>
      </w:r>
      <w:r w:rsidR="00240655" w:rsidRPr="00FB5742">
        <w:rPr>
          <w:szCs w:val="22"/>
        </w:rPr>
        <w:t>AB </w:t>
      </w:r>
      <w:r w:rsidRPr="00FB5742">
        <w:rPr>
          <w:szCs w:val="22"/>
        </w:rPr>
        <w:t xml:space="preserve">157 </w:t>
      </w:r>
      <w:r w:rsidR="00F50313" w:rsidRPr="00FB5742">
        <w:rPr>
          <w:szCs w:val="22"/>
        </w:rPr>
        <w:t xml:space="preserve">Ruling </w:t>
      </w:r>
      <w:r w:rsidRPr="00FB5742">
        <w:rPr>
          <w:szCs w:val="22"/>
        </w:rPr>
        <w:t xml:space="preserve">at </w:t>
      </w:r>
      <w:r w:rsidR="00CE6088" w:rsidRPr="00FB5742">
        <w:rPr>
          <w:szCs w:val="22"/>
        </w:rPr>
        <w:t>4</w:t>
      </w:r>
      <w:r w:rsidRPr="00FB5742">
        <w:rPr>
          <w:szCs w:val="22"/>
        </w:rPr>
        <w:t xml:space="preserve">. </w:t>
      </w:r>
    </w:p>
  </w:footnote>
  <w:footnote w:id="172">
    <w:p w14:paraId="78B77C14" w14:textId="4E41F0CD" w:rsidR="00121005" w:rsidRPr="00FB5742" w:rsidRDefault="00121005"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CAC Reply Comments on </w:t>
      </w:r>
      <w:r w:rsidR="00240655" w:rsidRPr="00FB5742">
        <w:rPr>
          <w:szCs w:val="22"/>
        </w:rPr>
        <w:t>AB </w:t>
      </w:r>
      <w:r w:rsidRPr="00FB5742">
        <w:rPr>
          <w:szCs w:val="22"/>
        </w:rPr>
        <w:t xml:space="preserve">157 </w:t>
      </w:r>
      <w:r w:rsidR="00F50313" w:rsidRPr="00FB5742">
        <w:rPr>
          <w:szCs w:val="22"/>
        </w:rPr>
        <w:t xml:space="preserve">Ruling </w:t>
      </w:r>
      <w:r w:rsidRPr="00FB5742">
        <w:rPr>
          <w:szCs w:val="22"/>
        </w:rPr>
        <w:t>at 4.</w:t>
      </w:r>
    </w:p>
  </w:footnote>
  <w:footnote w:id="173">
    <w:p w14:paraId="03814C13" w14:textId="52BFC83B" w:rsidR="005A3102" w:rsidRPr="00FB5742" w:rsidRDefault="005A3102"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VEIC Reply Comments on </w:t>
      </w:r>
      <w:r w:rsidR="00240655" w:rsidRPr="00FB5742">
        <w:rPr>
          <w:szCs w:val="22"/>
        </w:rPr>
        <w:t>AB </w:t>
      </w:r>
      <w:r w:rsidRPr="00FB5742">
        <w:rPr>
          <w:szCs w:val="22"/>
        </w:rPr>
        <w:t xml:space="preserve">157 </w:t>
      </w:r>
      <w:r w:rsidR="00F50313" w:rsidRPr="00FB5742">
        <w:rPr>
          <w:szCs w:val="22"/>
        </w:rPr>
        <w:t xml:space="preserve">Ruling </w:t>
      </w:r>
      <w:r w:rsidRPr="00FB5742">
        <w:rPr>
          <w:szCs w:val="22"/>
        </w:rPr>
        <w:t>at 5.</w:t>
      </w:r>
    </w:p>
  </w:footnote>
  <w:footnote w:id="174">
    <w:p w14:paraId="2127585D" w14:textId="22715E85" w:rsidR="00602A07" w:rsidRPr="00FB5742" w:rsidRDefault="00602A07"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C975B5" w:rsidRPr="00FB5742">
        <w:rPr>
          <w:i/>
          <w:iCs/>
          <w:szCs w:val="22"/>
        </w:rPr>
        <w:t>Ibid</w:t>
      </w:r>
      <w:r w:rsidR="00C975B5" w:rsidRPr="00FB5742">
        <w:rPr>
          <w:i/>
          <w:szCs w:val="22"/>
        </w:rPr>
        <w:t>.</w:t>
      </w:r>
    </w:p>
  </w:footnote>
  <w:footnote w:id="175">
    <w:p w14:paraId="2E25E729" w14:textId="7243DB0C" w:rsidR="0033027B" w:rsidRPr="00FB5742" w:rsidRDefault="0033027B"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VEIC Reply Comments on </w:t>
      </w:r>
      <w:r w:rsidR="00240655" w:rsidRPr="00FB5742">
        <w:rPr>
          <w:szCs w:val="22"/>
        </w:rPr>
        <w:t>AB </w:t>
      </w:r>
      <w:r w:rsidRPr="00FB5742">
        <w:rPr>
          <w:szCs w:val="22"/>
        </w:rPr>
        <w:t xml:space="preserve">157 </w:t>
      </w:r>
      <w:r w:rsidR="00F50313" w:rsidRPr="00FB5742">
        <w:rPr>
          <w:szCs w:val="22"/>
        </w:rPr>
        <w:t xml:space="preserve">Ruling </w:t>
      </w:r>
      <w:r w:rsidRPr="00FB5742">
        <w:rPr>
          <w:szCs w:val="22"/>
        </w:rPr>
        <w:t>at 6-7.</w:t>
      </w:r>
    </w:p>
  </w:footnote>
  <w:footnote w:id="176">
    <w:p w14:paraId="763F8074" w14:textId="53B2983C" w:rsidR="00D03357" w:rsidRPr="00FB5742" w:rsidRDefault="00D03357"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9864F8" w:rsidRPr="00FB5742">
        <w:rPr>
          <w:szCs w:val="22"/>
        </w:rPr>
        <w:t xml:space="preserve">Income-verification by </w:t>
      </w:r>
      <w:r w:rsidR="008D2D00" w:rsidRPr="00FB5742">
        <w:rPr>
          <w:szCs w:val="22"/>
        </w:rPr>
        <w:t xml:space="preserve">the </w:t>
      </w:r>
      <w:r w:rsidR="00240655" w:rsidRPr="00FB5742">
        <w:rPr>
          <w:szCs w:val="22"/>
        </w:rPr>
        <w:t>AB </w:t>
      </w:r>
      <w:r w:rsidR="009864F8" w:rsidRPr="00FB5742">
        <w:rPr>
          <w:szCs w:val="22"/>
        </w:rPr>
        <w:t xml:space="preserve">157-funded TECH </w:t>
      </w:r>
      <w:r w:rsidR="008D2D00" w:rsidRPr="00FB5742">
        <w:rPr>
          <w:szCs w:val="22"/>
        </w:rPr>
        <w:t xml:space="preserve">Initiative </w:t>
      </w:r>
      <w:r w:rsidR="009864F8" w:rsidRPr="00FB5742">
        <w:rPr>
          <w:szCs w:val="22"/>
        </w:rPr>
        <w:t xml:space="preserve">may not be needed if </w:t>
      </w:r>
      <w:r w:rsidR="00363638" w:rsidRPr="00FB5742">
        <w:rPr>
          <w:szCs w:val="22"/>
        </w:rPr>
        <w:t xml:space="preserve">households’ incomes are being verified by the CEC’s HEEHRA or EBD programs. </w:t>
      </w:r>
    </w:p>
  </w:footnote>
  <w:footnote w:id="177">
    <w:p w14:paraId="02242B04" w14:textId="1A3ED020" w:rsidR="00832756" w:rsidRPr="00FB5742" w:rsidRDefault="00832756"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255973" w:rsidRPr="00FB5742">
        <w:rPr>
          <w:szCs w:val="22"/>
        </w:rPr>
        <w:t>TECH Public Reporting Download Data</w:t>
      </w:r>
      <w:r w:rsidR="008E6527" w:rsidRPr="00FB5742">
        <w:rPr>
          <w:szCs w:val="22"/>
        </w:rPr>
        <w:t xml:space="preserve">, </w:t>
      </w:r>
      <w:r w:rsidR="005C2DBF" w:rsidRPr="00FB5742">
        <w:rPr>
          <w:szCs w:val="22"/>
        </w:rPr>
        <w:t>https://techcleanca.com/heat-pump-data/download-data/</w:t>
      </w:r>
      <w:r w:rsidR="004149BE" w:rsidRPr="00FB5742">
        <w:rPr>
          <w:szCs w:val="22"/>
        </w:rPr>
        <w:t>.</w:t>
      </w:r>
      <w:r w:rsidR="008E6527" w:rsidRPr="00FB5742">
        <w:rPr>
          <w:szCs w:val="22"/>
        </w:rPr>
        <w:t xml:space="preserve"> </w:t>
      </w:r>
    </w:p>
  </w:footnote>
  <w:footnote w:id="178">
    <w:p w14:paraId="7F565158" w14:textId="2BABB827" w:rsidR="00B13094" w:rsidRPr="00FB5742" w:rsidRDefault="00B13094" w:rsidP="00FB5742">
      <w:pPr>
        <w:pStyle w:val="FootnoteText"/>
        <w:rPr>
          <w:szCs w:val="22"/>
        </w:rPr>
      </w:pPr>
      <w:r w:rsidRPr="00FB5742">
        <w:rPr>
          <w:rStyle w:val="FootnoteReference"/>
          <w:szCs w:val="22"/>
        </w:rPr>
        <w:footnoteRef/>
      </w:r>
      <w:r w:rsidR="008E6527" w:rsidRPr="00FB5742">
        <w:rPr>
          <w:szCs w:val="22"/>
        </w:rPr>
        <w:t xml:space="preserve"> </w:t>
      </w:r>
      <w:r w:rsidR="009B5175" w:rsidRPr="00FB5742">
        <w:rPr>
          <w:szCs w:val="22"/>
        </w:rPr>
        <w:t xml:space="preserve"> </w:t>
      </w:r>
      <w:r w:rsidR="008E6527" w:rsidRPr="00FB5742">
        <w:rPr>
          <w:i/>
          <w:iCs/>
          <w:szCs w:val="22"/>
        </w:rPr>
        <w:t>Ibid</w:t>
      </w:r>
      <w:r w:rsidR="00310FE6" w:rsidRPr="00FB5742">
        <w:rPr>
          <w:szCs w:val="22"/>
        </w:rPr>
        <w:t>.</w:t>
      </w:r>
    </w:p>
  </w:footnote>
  <w:footnote w:id="179">
    <w:p w14:paraId="1B38C860" w14:textId="75C47B18" w:rsidR="00847D98" w:rsidRPr="00FB5742" w:rsidRDefault="00847D98"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ConnectDER Opening Comments on </w:t>
      </w:r>
      <w:r w:rsidR="00240655" w:rsidRPr="00FB5742">
        <w:rPr>
          <w:szCs w:val="22"/>
        </w:rPr>
        <w:t>AB </w:t>
      </w:r>
      <w:r w:rsidRPr="00FB5742">
        <w:rPr>
          <w:szCs w:val="22"/>
        </w:rPr>
        <w:t xml:space="preserve">157 </w:t>
      </w:r>
      <w:r w:rsidR="00F50313" w:rsidRPr="00FB5742">
        <w:rPr>
          <w:szCs w:val="22"/>
        </w:rPr>
        <w:t xml:space="preserve">Ruling </w:t>
      </w:r>
      <w:r w:rsidRPr="00FB5742">
        <w:rPr>
          <w:szCs w:val="22"/>
        </w:rPr>
        <w:t>at 3.</w:t>
      </w:r>
    </w:p>
  </w:footnote>
  <w:footnote w:id="180">
    <w:p w14:paraId="6C6BC04C" w14:textId="0DB33A23" w:rsidR="00847D98" w:rsidRPr="00FB5742" w:rsidRDefault="00847D98"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1D4AB1" w:rsidRPr="00FB5742">
        <w:rPr>
          <w:i/>
          <w:iCs/>
          <w:szCs w:val="22"/>
        </w:rPr>
        <w:t>Id.</w:t>
      </w:r>
      <w:r w:rsidR="001D4AB1" w:rsidRPr="00FB5742">
        <w:rPr>
          <w:i/>
          <w:szCs w:val="22"/>
        </w:rPr>
        <w:t xml:space="preserve"> </w:t>
      </w:r>
      <w:r w:rsidRPr="00FB5742">
        <w:rPr>
          <w:szCs w:val="22"/>
        </w:rPr>
        <w:t>at 8.</w:t>
      </w:r>
    </w:p>
  </w:footnote>
  <w:footnote w:id="181">
    <w:p w14:paraId="43C2A27A" w14:textId="2FCA1247" w:rsidR="00D30750" w:rsidRPr="00FB5742" w:rsidRDefault="00D30750"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SPUR Opening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 xml:space="preserve">at 7-9. </w:t>
      </w:r>
    </w:p>
  </w:footnote>
  <w:footnote w:id="182">
    <w:p w14:paraId="340E90E6" w14:textId="762C0528" w:rsidR="001E7AB8" w:rsidRPr="00FB5742" w:rsidRDefault="001E7AB8"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PG&amp;E Opening Comments on </w:t>
      </w:r>
      <w:r w:rsidR="00240655" w:rsidRPr="00FB5742">
        <w:rPr>
          <w:szCs w:val="22"/>
        </w:rPr>
        <w:t>AB </w:t>
      </w:r>
      <w:r w:rsidRPr="00FB5742">
        <w:rPr>
          <w:szCs w:val="22"/>
        </w:rPr>
        <w:t xml:space="preserve">157 </w:t>
      </w:r>
      <w:r w:rsidR="00F50313" w:rsidRPr="00FB5742">
        <w:rPr>
          <w:szCs w:val="22"/>
        </w:rPr>
        <w:t xml:space="preserve">Ruling </w:t>
      </w:r>
      <w:r w:rsidRPr="00FB5742">
        <w:rPr>
          <w:szCs w:val="22"/>
        </w:rPr>
        <w:t xml:space="preserve">at </w:t>
      </w:r>
      <w:r w:rsidR="003F5174" w:rsidRPr="00FB5742">
        <w:rPr>
          <w:szCs w:val="22"/>
        </w:rPr>
        <w:t>1</w:t>
      </w:r>
      <w:r w:rsidR="00F50313" w:rsidRPr="00FB5742">
        <w:rPr>
          <w:szCs w:val="22"/>
        </w:rPr>
        <w:t>-</w:t>
      </w:r>
      <w:r w:rsidR="003F5174" w:rsidRPr="00FB5742">
        <w:rPr>
          <w:szCs w:val="22"/>
        </w:rPr>
        <w:t xml:space="preserve"> </w:t>
      </w:r>
      <w:r w:rsidRPr="00FB5742">
        <w:rPr>
          <w:szCs w:val="22"/>
        </w:rPr>
        <w:t>2.</w:t>
      </w:r>
    </w:p>
  </w:footnote>
  <w:footnote w:id="183">
    <w:p w14:paraId="2DD9939C" w14:textId="4CC360A2" w:rsidR="001E7AB8" w:rsidRPr="00FB5742" w:rsidRDefault="001E7AB8"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Cal</w:t>
      </w:r>
      <w:r w:rsidR="005F14F6" w:rsidRPr="00FB5742">
        <w:rPr>
          <w:szCs w:val="22"/>
        </w:rPr>
        <w:t xml:space="preserve"> </w:t>
      </w:r>
      <w:r w:rsidRPr="00FB5742">
        <w:rPr>
          <w:szCs w:val="22"/>
        </w:rPr>
        <w:t xml:space="preserve">Advocates Opening Comments on </w:t>
      </w:r>
      <w:r w:rsidR="00240655" w:rsidRPr="00FB5742">
        <w:rPr>
          <w:szCs w:val="22"/>
        </w:rPr>
        <w:t>AB </w:t>
      </w:r>
      <w:r w:rsidRPr="00FB5742">
        <w:rPr>
          <w:szCs w:val="22"/>
        </w:rPr>
        <w:t xml:space="preserve">157 </w:t>
      </w:r>
      <w:r w:rsidR="00F50313" w:rsidRPr="00FB5742">
        <w:rPr>
          <w:szCs w:val="22"/>
        </w:rPr>
        <w:t>Ruling</w:t>
      </w:r>
      <w:r w:rsidRPr="00FB5742">
        <w:rPr>
          <w:szCs w:val="22"/>
        </w:rPr>
        <w:t xml:space="preserve"> at 4-5. </w:t>
      </w:r>
    </w:p>
  </w:footnote>
  <w:footnote w:id="184">
    <w:p w14:paraId="0F00892A" w14:textId="44D37EC1" w:rsidR="001E7AB8" w:rsidRPr="00FB5742" w:rsidRDefault="001E7AB8"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SCE Opening Comments on </w:t>
      </w:r>
      <w:r w:rsidR="00240655" w:rsidRPr="00FB5742">
        <w:rPr>
          <w:szCs w:val="22"/>
        </w:rPr>
        <w:t>AB </w:t>
      </w:r>
      <w:r w:rsidRPr="00FB5742">
        <w:rPr>
          <w:szCs w:val="22"/>
        </w:rPr>
        <w:t xml:space="preserve">157 </w:t>
      </w:r>
      <w:r w:rsidR="00F50313" w:rsidRPr="00FB5742">
        <w:rPr>
          <w:szCs w:val="22"/>
        </w:rPr>
        <w:t xml:space="preserve">Ruling </w:t>
      </w:r>
      <w:r w:rsidRPr="00FB5742">
        <w:rPr>
          <w:szCs w:val="22"/>
        </w:rPr>
        <w:t xml:space="preserve">at 4. </w:t>
      </w:r>
    </w:p>
  </w:footnote>
  <w:footnote w:id="185">
    <w:p w14:paraId="1E7A9BC1" w14:textId="00B27AF3" w:rsidR="00B5448B" w:rsidRPr="00FB5742" w:rsidRDefault="00B5448B"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8D0EF4" w:rsidRPr="00FB5742">
        <w:rPr>
          <w:i/>
          <w:iCs/>
          <w:szCs w:val="22"/>
        </w:rPr>
        <w:t>See</w:t>
      </w:r>
      <w:r w:rsidR="008D0EF4" w:rsidRPr="00FB5742">
        <w:rPr>
          <w:szCs w:val="22"/>
        </w:rPr>
        <w:t xml:space="preserve"> Equitable Building Decarbonization Direct Install Program Guidelines submitted </w:t>
      </w:r>
      <w:r w:rsidR="004149BE" w:rsidRPr="00FB5742">
        <w:rPr>
          <w:szCs w:val="22"/>
        </w:rPr>
        <w:t xml:space="preserve">to the CEC </w:t>
      </w:r>
      <w:r w:rsidR="008D0EF4" w:rsidRPr="00FB5742">
        <w:rPr>
          <w:szCs w:val="22"/>
        </w:rPr>
        <w:t>on October 23, 2023, Docket Number 23-DECARB-03, at 13-17.</w:t>
      </w:r>
    </w:p>
  </w:footnote>
  <w:footnote w:id="186">
    <w:p w14:paraId="5EF8AF2D" w14:textId="5A235EAB" w:rsidR="00AF395E" w:rsidRPr="00FB5742" w:rsidRDefault="00AF395E"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3C6452" w:rsidRPr="00FB5742">
        <w:rPr>
          <w:szCs w:val="22"/>
        </w:rPr>
        <w:t xml:space="preserve">VEIC Opening Comments on </w:t>
      </w:r>
      <w:r w:rsidR="00240655" w:rsidRPr="00FB5742">
        <w:rPr>
          <w:szCs w:val="22"/>
        </w:rPr>
        <w:t>AB </w:t>
      </w:r>
      <w:r w:rsidR="003C6452" w:rsidRPr="00FB5742">
        <w:rPr>
          <w:szCs w:val="22"/>
        </w:rPr>
        <w:t xml:space="preserve">157 </w:t>
      </w:r>
      <w:r w:rsidR="00645AC2" w:rsidRPr="00FB5742">
        <w:rPr>
          <w:szCs w:val="22"/>
        </w:rPr>
        <w:t xml:space="preserve">Ruling </w:t>
      </w:r>
      <w:r w:rsidR="003C6452" w:rsidRPr="00FB5742">
        <w:rPr>
          <w:szCs w:val="22"/>
        </w:rPr>
        <w:t>at 6.</w:t>
      </w:r>
    </w:p>
  </w:footnote>
  <w:footnote w:id="187">
    <w:p w14:paraId="2241DBAA" w14:textId="19F3AE46" w:rsidR="009E7AF8" w:rsidRPr="00FB5742" w:rsidRDefault="009E7AF8"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CAC Reply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at 10-11.</w:t>
      </w:r>
    </w:p>
  </w:footnote>
  <w:footnote w:id="188">
    <w:p w14:paraId="1A5E2897" w14:textId="347184CE" w:rsidR="009A4D0E" w:rsidRPr="00FB5742" w:rsidRDefault="009A4D0E"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PG&amp;E Reply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 xml:space="preserve">at 1. </w:t>
      </w:r>
    </w:p>
  </w:footnote>
  <w:footnote w:id="189">
    <w:p w14:paraId="58CC8B1D" w14:textId="0200905B" w:rsidR="00F239C0" w:rsidRPr="00FB5742" w:rsidRDefault="00F239C0"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Pr="00FB5742">
        <w:rPr>
          <w:szCs w:val="22"/>
        </w:rPr>
        <w:t xml:space="preserve">CEJA Reply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at 2-3.</w:t>
      </w:r>
    </w:p>
  </w:footnote>
  <w:footnote w:id="190">
    <w:p w14:paraId="7946876D" w14:textId="47235CFE" w:rsidR="00793964" w:rsidRDefault="00793964">
      <w:pPr>
        <w:pStyle w:val="FootnoteText"/>
      </w:pPr>
      <w:r>
        <w:rPr>
          <w:rStyle w:val="FootnoteReference"/>
        </w:rPr>
        <w:footnoteRef/>
      </w:r>
      <w:r>
        <w:t xml:space="preserve"> </w:t>
      </w:r>
      <w:r w:rsidRPr="00FB5742">
        <w:rPr>
          <w:szCs w:val="22"/>
        </w:rPr>
        <w:t>Phase 4A Staff Proposal at 36.</w:t>
      </w:r>
    </w:p>
  </w:footnote>
  <w:footnote w:id="191">
    <w:p w14:paraId="47A3B66C" w14:textId="6AAEAB67" w:rsidR="009C0A99" w:rsidRPr="00FB5742" w:rsidRDefault="009C0A99" w:rsidP="00FB5742">
      <w:pPr>
        <w:pStyle w:val="FootnoteText"/>
        <w:rPr>
          <w:szCs w:val="22"/>
        </w:rPr>
      </w:pPr>
      <w:r w:rsidRPr="00FB5742">
        <w:rPr>
          <w:rStyle w:val="FootnoteReference"/>
          <w:szCs w:val="22"/>
        </w:rPr>
        <w:footnoteRef/>
      </w:r>
      <w:r w:rsidRPr="00FB5742">
        <w:rPr>
          <w:szCs w:val="22"/>
        </w:rPr>
        <w:t xml:space="preserve"> </w:t>
      </w:r>
      <w:r w:rsidR="009B5175" w:rsidRPr="00FB5742">
        <w:rPr>
          <w:szCs w:val="22"/>
        </w:rPr>
        <w:t xml:space="preserve"> </w:t>
      </w:r>
      <w:r w:rsidR="008D0EF4" w:rsidRPr="00FB5742">
        <w:rPr>
          <w:i/>
          <w:iCs/>
          <w:szCs w:val="22"/>
        </w:rPr>
        <w:t>See</w:t>
      </w:r>
      <w:r w:rsidR="008D0EF4" w:rsidRPr="00FB5742">
        <w:rPr>
          <w:szCs w:val="22"/>
        </w:rPr>
        <w:t xml:space="preserve"> Equitable Building Decarbonization Direct Install Program Guidelines submitted </w:t>
      </w:r>
      <w:r w:rsidR="004149BE" w:rsidRPr="00FB5742">
        <w:rPr>
          <w:szCs w:val="22"/>
        </w:rPr>
        <w:t xml:space="preserve">to the CEC </w:t>
      </w:r>
      <w:r w:rsidR="008D0EF4" w:rsidRPr="00FB5742">
        <w:rPr>
          <w:szCs w:val="22"/>
        </w:rPr>
        <w:t xml:space="preserve">on October 23, 2023, Docket Number 23-DECARB-03, </w:t>
      </w:r>
      <w:r w:rsidR="00C71E66" w:rsidRPr="00FB5742">
        <w:rPr>
          <w:szCs w:val="22"/>
        </w:rPr>
        <w:t xml:space="preserve">at 13-17. </w:t>
      </w:r>
    </w:p>
  </w:footnote>
  <w:footnote w:id="192">
    <w:p w14:paraId="34C07385" w14:textId="7E5F0987" w:rsidR="000F643F" w:rsidRPr="00FB5742" w:rsidRDefault="000F643F"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Cal</w:t>
      </w:r>
      <w:r w:rsidR="005F14F6" w:rsidRPr="00FB5742">
        <w:rPr>
          <w:szCs w:val="22"/>
        </w:rPr>
        <w:t xml:space="preserve"> </w:t>
      </w:r>
      <w:r w:rsidRPr="00FB5742">
        <w:rPr>
          <w:szCs w:val="22"/>
        </w:rPr>
        <w:t xml:space="preserve">Advocates Opening Comments on </w:t>
      </w:r>
      <w:r w:rsidR="00240655" w:rsidRPr="00FB5742">
        <w:rPr>
          <w:szCs w:val="22"/>
        </w:rPr>
        <w:t>AB </w:t>
      </w:r>
      <w:r w:rsidRPr="00FB5742">
        <w:rPr>
          <w:szCs w:val="22"/>
        </w:rPr>
        <w:t xml:space="preserve">157 </w:t>
      </w:r>
      <w:r w:rsidR="00645AC2" w:rsidRPr="00FB5742">
        <w:rPr>
          <w:szCs w:val="22"/>
        </w:rPr>
        <w:t>Ruling</w:t>
      </w:r>
      <w:r w:rsidRPr="00FB5742">
        <w:rPr>
          <w:szCs w:val="22"/>
        </w:rPr>
        <w:t xml:space="preserve"> at 5.</w:t>
      </w:r>
    </w:p>
  </w:footnote>
  <w:footnote w:id="193">
    <w:p w14:paraId="21E6151C" w14:textId="46A3B1AF" w:rsidR="000F643F" w:rsidRPr="00FB5742" w:rsidRDefault="000F643F"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SCE Opening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at 4.</w:t>
      </w:r>
    </w:p>
  </w:footnote>
  <w:footnote w:id="194">
    <w:p w14:paraId="41A7DE1B" w14:textId="10E465BD" w:rsidR="00224199" w:rsidRPr="00FB5742" w:rsidRDefault="00224199"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00E02E95" w:rsidRPr="00FB5742">
        <w:rPr>
          <w:szCs w:val="22"/>
        </w:rPr>
        <w:t xml:space="preserve">CAC Opening Comments on </w:t>
      </w:r>
      <w:r w:rsidR="00240655" w:rsidRPr="00FB5742">
        <w:rPr>
          <w:szCs w:val="22"/>
        </w:rPr>
        <w:t>AB </w:t>
      </w:r>
      <w:r w:rsidR="00E02E95" w:rsidRPr="00FB5742">
        <w:rPr>
          <w:szCs w:val="22"/>
        </w:rPr>
        <w:t xml:space="preserve">157 </w:t>
      </w:r>
      <w:r w:rsidR="00645AC2" w:rsidRPr="00FB5742">
        <w:rPr>
          <w:szCs w:val="22"/>
        </w:rPr>
        <w:t xml:space="preserve">Ruling </w:t>
      </w:r>
      <w:r w:rsidR="00E02E95" w:rsidRPr="00FB5742">
        <w:rPr>
          <w:szCs w:val="22"/>
        </w:rPr>
        <w:t>at 16.</w:t>
      </w:r>
    </w:p>
  </w:footnote>
  <w:footnote w:id="195">
    <w:p w14:paraId="12C4915E" w14:textId="251FAB00" w:rsidR="000F643F" w:rsidRPr="00FB5742" w:rsidRDefault="000F643F"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Joint Parties Opening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at 6.</w:t>
      </w:r>
    </w:p>
  </w:footnote>
  <w:footnote w:id="196">
    <w:p w14:paraId="1A096D7C" w14:textId="4AEFE056" w:rsidR="000F643F" w:rsidRPr="00FB5742" w:rsidRDefault="000F643F"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VEIC Opening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at 8.</w:t>
      </w:r>
    </w:p>
  </w:footnote>
  <w:footnote w:id="197">
    <w:p w14:paraId="4027294D" w14:textId="6F7E2C10" w:rsidR="007C48CF" w:rsidRPr="00FB5742" w:rsidRDefault="007C48CF"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SCE Opening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 xml:space="preserve">at 5. </w:t>
      </w:r>
    </w:p>
  </w:footnote>
  <w:footnote w:id="198">
    <w:p w14:paraId="7122C0B5" w14:textId="566D666F" w:rsidR="007C48CF" w:rsidRPr="00FB5742" w:rsidRDefault="007C48CF"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TURN Opening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at 2.</w:t>
      </w:r>
    </w:p>
  </w:footnote>
  <w:footnote w:id="199">
    <w:p w14:paraId="5D47C25C" w14:textId="3DFF9DA5" w:rsidR="007C48CF" w:rsidRPr="00FB5742" w:rsidRDefault="007C48CF"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SCE Opening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 xml:space="preserve">at 5. </w:t>
      </w:r>
    </w:p>
  </w:footnote>
  <w:footnote w:id="200">
    <w:p w14:paraId="24F81EC3" w14:textId="124F9D4F" w:rsidR="007C48CF" w:rsidRPr="00FB5742" w:rsidRDefault="007C48CF"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TURN Opening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 xml:space="preserve">at 4. </w:t>
      </w:r>
    </w:p>
  </w:footnote>
  <w:footnote w:id="201">
    <w:p w14:paraId="5DC0E26C" w14:textId="1352956D" w:rsidR="007C48CF" w:rsidRPr="00FB5742" w:rsidRDefault="007C48CF" w:rsidP="00FB5742">
      <w:pPr>
        <w:pStyle w:val="FootnoteText"/>
        <w:rPr>
          <w:szCs w:val="22"/>
        </w:rPr>
      </w:pPr>
      <w:r w:rsidRPr="00FB5742">
        <w:rPr>
          <w:rStyle w:val="FootnoteReference"/>
          <w:szCs w:val="22"/>
        </w:rPr>
        <w:footnoteRef/>
      </w:r>
      <w:r w:rsidR="008E6527" w:rsidRPr="00FB5742">
        <w:rPr>
          <w:szCs w:val="22"/>
        </w:rPr>
        <w:t xml:space="preserve"> </w:t>
      </w:r>
      <w:r w:rsidR="008475BF" w:rsidRPr="00FB5742">
        <w:rPr>
          <w:szCs w:val="22"/>
        </w:rPr>
        <w:t xml:space="preserve"> </w:t>
      </w:r>
      <w:r w:rsidR="008E6527" w:rsidRPr="00FB5742">
        <w:rPr>
          <w:i/>
          <w:iCs/>
          <w:szCs w:val="22"/>
        </w:rPr>
        <w:t>Id</w:t>
      </w:r>
      <w:r w:rsidR="008E6527" w:rsidRPr="00FB5742">
        <w:rPr>
          <w:szCs w:val="22"/>
        </w:rPr>
        <w:t>.</w:t>
      </w:r>
      <w:r w:rsidR="00645AC2" w:rsidRPr="00FB5742">
        <w:rPr>
          <w:szCs w:val="22"/>
        </w:rPr>
        <w:t xml:space="preserve"> </w:t>
      </w:r>
      <w:r w:rsidRPr="00FB5742">
        <w:rPr>
          <w:szCs w:val="22"/>
        </w:rPr>
        <w:t>at 5-6.</w:t>
      </w:r>
    </w:p>
  </w:footnote>
  <w:footnote w:id="202">
    <w:p w14:paraId="036236CA" w14:textId="623B3323" w:rsidR="00D36439" w:rsidRPr="00FB5742" w:rsidRDefault="00D36439"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00C975B5" w:rsidRPr="00FB5742">
        <w:rPr>
          <w:i/>
          <w:iCs/>
          <w:szCs w:val="22"/>
        </w:rPr>
        <w:t>Ibid</w:t>
      </w:r>
      <w:r w:rsidR="00C975B5" w:rsidRPr="00FB5742">
        <w:rPr>
          <w:i/>
          <w:szCs w:val="22"/>
        </w:rPr>
        <w:t>.</w:t>
      </w:r>
    </w:p>
  </w:footnote>
  <w:footnote w:id="203">
    <w:p w14:paraId="4BBB434B" w14:textId="27C343AD" w:rsidR="007C48CF" w:rsidRPr="00FB5742" w:rsidRDefault="007C48CF" w:rsidP="00FB5742">
      <w:pPr>
        <w:pStyle w:val="FootnoteText"/>
        <w:rPr>
          <w:szCs w:val="22"/>
        </w:rPr>
      </w:pPr>
      <w:r w:rsidRPr="00FB5742">
        <w:rPr>
          <w:rStyle w:val="FootnoteReference"/>
          <w:szCs w:val="22"/>
        </w:rPr>
        <w:footnoteRef/>
      </w:r>
      <w:r w:rsidRPr="00FB5742">
        <w:rPr>
          <w:szCs w:val="22"/>
        </w:rPr>
        <w:t xml:space="preserve"> Joint Parties Opening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 xml:space="preserve">at 7. </w:t>
      </w:r>
    </w:p>
  </w:footnote>
  <w:footnote w:id="204">
    <w:p w14:paraId="63B4E5E1" w14:textId="0AF59301" w:rsidR="00ED099A" w:rsidRPr="00FB5742" w:rsidRDefault="00ED099A" w:rsidP="00FB5742">
      <w:pPr>
        <w:pStyle w:val="FootnoteText"/>
        <w:rPr>
          <w:szCs w:val="22"/>
        </w:rPr>
      </w:pPr>
      <w:r w:rsidRPr="00FB5742">
        <w:rPr>
          <w:rStyle w:val="FootnoteReference"/>
          <w:szCs w:val="22"/>
        </w:rPr>
        <w:footnoteRef/>
      </w:r>
      <w:r w:rsidRPr="00FB5742">
        <w:rPr>
          <w:szCs w:val="22"/>
        </w:rPr>
        <w:t xml:space="preserve"> </w:t>
      </w:r>
      <w:r w:rsidR="00C975B5" w:rsidRPr="00FB5742">
        <w:rPr>
          <w:i/>
          <w:iCs/>
          <w:szCs w:val="22"/>
        </w:rPr>
        <w:t>Ibid</w:t>
      </w:r>
      <w:r w:rsidR="00C975B5" w:rsidRPr="00FB5742">
        <w:rPr>
          <w:i/>
          <w:szCs w:val="22"/>
        </w:rPr>
        <w:t>.</w:t>
      </w:r>
      <w:r w:rsidRPr="00FB5742">
        <w:rPr>
          <w:szCs w:val="22"/>
        </w:rPr>
        <w:t xml:space="preserve"> </w:t>
      </w:r>
    </w:p>
  </w:footnote>
  <w:footnote w:id="205">
    <w:p w14:paraId="6A1169F6" w14:textId="1750BBA6" w:rsidR="007C48CF" w:rsidRPr="00FB5742" w:rsidRDefault="007C48CF" w:rsidP="00FB5742">
      <w:pPr>
        <w:pStyle w:val="FootnoteText"/>
        <w:rPr>
          <w:szCs w:val="22"/>
        </w:rPr>
      </w:pPr>
      <w:r w:rsidRPr="00FB5742">
        <w:rPr>
          <w:rStyle w:val="FootnoteReference"/>
          <w:szCs w:val="22"/>
        </w:rPr>
        <w:footnoteRef/>
      </w:r>
      <w:r w:rsidRPr="00FB5742">
        <w:rPr>
          <w:szCs w:val="22"/>
        </w:rPr>
        <w:t xml:space="preserve"> Joint Parties Opening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at 7-8.</w:t>
      </w:r>
    </w:p>
  </w:footnote>
  <w:footnote w:id="206">
    <w:p w14:paraId="27EDEF48" w14:textId="7834CE6A" w:rsidR="00546E10" w:rsidRPr="00FB5742" w:rsidRDefault="00546E10" w:rsidP="00FB5742">
      <w:pPr>
        <w:pStyle w:val="FootnoteText"/>
        <w:rPr>
          <w:szCs w:val="22"/>
        </w:rPr>
      </w:pPr>
      <w:r w:rsidRPr="00FB5742">
        <w:rPr>
          <w:rStyle w:val="FootnoteReference"/>
          <w:szCs w:val="22"/>
        </w:rPr>
        <w:footnoteRef/>
      </w:r>
      <w:r w:rsidRPr="00FB5742">
        <w:rPr>
          <w:szCs w:val="22"/>
        </w:rPr>
        <w:t xml:space="preserve"> LADWP Reply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at 4.</w:t>
      </w:r>
    </w:p>
  </w:footnote>
  <w:footnote w:id="207">
    <w:p w14:paraId="00038825" w14:textId="0A15389A" w:rsidR="009A6F7C" w:rsidRPr="00FB5742" w:rsidRDefault="009A6F7C" w:rsidP="00FB5742">
      <w:pPr>
        <w:pStyle w:val="FootnoteText"/>
        <w:rPr>
          <w:szCs w:val="22"/>
        </w:rPr>
      </w:pPr>
      <w:r w:rsidRPr="00FB5742">
        <w:rPr>
          <w:rStyle w:val="FootnoteReference"/>
          <w:szCs w:val="22"/>
        </w:rPr>
        <w:footnoteRef/>
      </w:r>
      <w:r w:rsidRPr="00FB5742">
        <w:rPr>
          <w:szCs w:val="22"/>
        </w:rPr>
        <w:t xml:space="preserve"> </w:t>
      </w:r>
      <w:r w:rsidR="00C975B5" w:rsidRPr="00FB5742">
        <w:rPr>
          <w:i/>
          <w:iCs/>
          <w:szCs w:val="22"/>
        </w:rPr>
        <w:t>Ibid</w:t>
      </w:r>
      <w:r w:rsidR="00C975B5" w:rsidRPr="00FB5742">
        <w:rPr>
          <w:i/>
          <w:szCs w:val="22"/>
        </w:rPr>
        <w:t>.</w:t>
      </w:r>
    </w:p>
  </w:footnote>
  <w:footnote w:id="208">
    <w:p w14:paraId="5303D643" w14:textId="1425BCEE" w:rsidR="007036F6" w:rsidRPr="00FB5742" w:rsidRDefault="007036F6"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CAC Reply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at 6-7.</w:t>
      </w:r>
    </w:p>
  </w:footnote>
  <w:footnote w:id="209">
    <w:p w14:paraId="1B7D8E69" w14:textId="06CDA991" w:rsidR="00EA7969" w:rsidRPr="00FB5742" w:rsidRDefault="00EA7969"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SCE Opening Comments on </w:t>
      </w:r>
      <w:r w:rsidR="00240655" w:rsidRPr="00FB5742">
        <w:rPr>
          <w:szCs w:val="22"/>
        </w:rPr>
        <w:t>AB </w:t>
      </w:r>
      <w:r w:rsidRPr="00FB5742">
        <w:rPr>
          <w:szCs w:val="22"/>
        </w:rPr>
        <w:t xml:space="preserve">157 </w:t>
      </w:r>
      <w:r w:rsidR="00645AC2" w:rsidRPr="00FB5742">
        <w:rPr>
          <w:szCs w:val="22"/>
        </w:rPr>
        <w:t>Ruling</w:t>
      </w:r>
      <w:r w:rsidRPr="00FB5742">
        <w:rPr>
          <w:szCs w:val="22"/>
        </w:rPr>
        <w:t xml:space="preserve"> at 5</w:t>
      </w:r>
      <w:r w:rsidR="00645AC2" w:rsidRPr="00FB5742">
        <w:rPr>
          <w:szCs w:val="22"/>
        </w:rPr>
        <w:t>-</w:t>
      </w:r>
      <w:r w:rsidRPr="00FB5742">
        <w:rPr>
          <w:szCs w:val="22"/>
        </w:rPr>
        <w:t xml:space="preserve">6. </w:t>
      </w:r>
    </w:p>
  </w:footnote>
  <w:footnote w:id="210">
    <w:p w14:paraId="53060E3B" w14:textId="1EFD88B7" w:rsidR="00114CAA" w:rsidRPr="00FB5742" w:rsidRDefault="00114CAA"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Cal</w:t>
      </w:r>
      <w:r w:rsidR="005F14F6" w:rsidRPr="00FB5742">
        <w:rPr>
          <w:szCs w:val="22"/>
        </w:rPr>
        <w:t xml:space="preserve"> </w:t>
      </w:r>
      <w:r w:rsidRPr="00FB5742">
        <w:rPr>
          <w:szCs w:val="22"/>
        </w:rPr>
        <w:t xml:space="preserve">Advocates Opening Comments on </w:t>
      </w:r>
      <w:r w:rsidR="00240655" w:rsidRPr="00FB5742">
        <w:rPr>
          <w:szCs w:val="22"/>
        </w:rPr>
        <w:t>AB </w:t>
      </w:r>
      <w:r w:rsidRPr="00FB5742">
        <w:rPr>
          <w:szCs w:val="22"/>
        </w:rPr>
        <w:t xml:space="preserve">157 </w:t>
      </w:r>
      <w:r w:rsidR="00645AC2" w:rsidRPr="00FB5742">
        <w:rPr>
          <w:szCs w:val="22"/>
        </w:rPr>
        <w:t>Ruling</w:t>
      </w:r>
      <w:r w:rsidRPr="00FB5742">
        <w:rPr>
          <w:szCs w:val="22"/>
        </w:rPr>
        <w:t xml:space="preserve"> at 6.</w:t>
      </w:r>
    </w:p>
  </w:footnote>
  <w:footnote w:id="211">
    <w:p w14:paraId="36F9E42C" w14:textId="567518DB" w:rsidR="005A6D8B" w:rsidRPr="00FB5742" w:rsidRDefault="005A6D8B"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SCE Reply Comments on </w:t>
      </w:r>
      <w:r w:rsidR="00240655" w:rsidRPr="00FB5742">
        <w:rPr>
          <w:szCs w:val="22"/>
        </w:rPr>
        <w:t>AB </w:t>
      </w:r>
      <w:r w:rsidRPr="00FB5742">
        <w:rPr>
          <w:szCs w:val="22"/>
        </w:rPr>
        <w:t xml:space="preserve">157 </w:t>
      </w:r>
      <w:r w:rsidR="00645AC2" w:rsidRPr="00FB5742">
        <w:rPr>
          <w:szCs w:val="22"/>
        </w:rPr>
        <w:t xml:space="preserve">Ruling </w:t>
      </w:r>
      <w:r w:rsidRPr="00FB5742">
        <w:rPr>
          <w:szCs w:val="22"/>
        </w:rPr>
        <w:t>at 3-4.</w:t>
      </w:r>
    </w:p>
  </w:footnote>
  <w:footnote w:id="212">
    <w:p w14:paraId="13C5A643" w14:textId="65477C46" w:rsidR="00DE1C6D" w:rsidRPr="00FB5742" w:rsidRDefault="00DE1C6D"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007C45A0" w:rsidRPr="00FB5742">
        <w:rPr>
          <w:szCs w:val="22"/>
        </w:rPr>
        <w:t xml:space="preserve">LADWP Reply Comments on </w:t>
      </w:r>
      <w:r w:rsidR="00240655" w:rsidRPr="00FB5742">
        <w:rPr>
          <w:szCs w:val="22"/>
        </w:rPr>
        <w:t>AB </w:t>
      </w:r>
      <w:r w:rsidR="007C45A0" w:rsidRPr="00FB5742">
        <w:rPr>
          <w:szCs w:val="22"/>
        </w:rPr>
        <w:t xml:space="preserve">157 </w:t>
      </w:r>
      <w:r w:rsidR="00645AC2" w:rsidRPr="00FB5742">
        <w:rPr>
          <w:szCs w:val="22"/>
        </w:rPr>
        <w:t>Ruling</w:t>
      </w:r>
      <w:r w:rsidR="007C45A0" w:rsidRPr="00FB5742">
        <w:rPr>
          <w:szCs w:val="22"/>
        </w:rPr>
        <w:t xml:space="preserve"> at 5.</w:t>
      </w:r>
    </w:p>
  </w:footnote>
  <w:footnote w:id="213">
    <w:p w14:paraId="25C95EFE" w14:textId="027766CB" w:rsidR="00B5690F" w:rsidRPr="00FB5742" w:rsidRDefault="00B5690F"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00240655" w:rsidRPr="00FB5742">
        <w:rPr>
          <w:szCs w:val="22"/>
        </w:rPr>
        <w:t>AB </w:t>
      </w:r>
      <w:r w:rsidRPr="00FB5742">
        <w:rPr>
          <w:szCs w:val="22"/>
        </w:rPr>
        <w:t>157 Sec. 99, Provisions 1(b)(iv).</w:t>
      </w:r>
    </w:p>
  </w:footnote>
  <w:footnote w:id="214">
    <w:p w14:paraId="394E0998" w14:textId="39AF39A9" w:rsidR="00B5690F" w:rsidRPr="00FB5742" w:rsidRDefault="00B5690F"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CAC Opening Comments on </w:t>
      </w:r>
      <w:r w:rsidR="00240655" w:rsidRPr="00FB5742">
        <w:rPr>
          <w:szCs w:val="22"/>
        </w:rPr>
        <w:t>AB </w:t>
      </w:r>
      <w:r w:rsidRPr="00FB5742">
        <w:rPr>
          <w:szCs w:val="22"/>
        </w:rPr>
        <w:t xml:space="preserve">157 </w:t>
      </w:r>
      <w:r w:rsidR="008D3AD0" w:rsidRPr="00FB5742">
        <w:rPr>
          <w:szCs w:val="22"/>
        </w:rPr>
        <w:t xml:space="preserve">Ruling </w:t>
      </w:r>
      <w:r w:rsidRPr="00FB5742">
        <w:rPr>
          <w:szCs w:val="22"/>
        </w:rPr>
        <w:t>at 17.</w:t>
      </w:r>
    </w:p>
  </w:footnote>
  <w:footnote w:id="215">
    <w:p w14:paraId="048F76D0" w14:textId="7F7293F1" w:rsidR="002F7503" w:rsidRPr="00FB5742" w:rsidRDefault="002F7503"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Cal</w:t>
      </w:r>
      <w:r w:rsidR="005F14F6" w:rsidRPr="00FB5742">
        <w:rPr>
          <w:szCs w:val="22"/>
        </w:rPr>
        <w:t xml:space="preserve"> </w:t>
      </w:r>
      <w:r w:rsidRPr="00FB5742">
        <w:rPr>
          <w:szCs w:val="22"/>
        </w:rPr>
        <w:t xml:space="preserve">Advocates Opening Comments on </w:t>
      </w:r>
      <w:r w:rsidR="00240655" w:rsidRPr="00FB5742">
        <w:rPr>
          <w:szCs w:val="22"/>
        </w:rPr>
        <w:t>AB </w:t>
      </w:r>
      <w:r w:rsidRPr="00FB5742">
        <w:rPr>
          <w:szCs w:val="22"/>
        </w:rPr>
        <w:t xml:space="preserve">157 </w:t>
      </w:r>
      <w:r w:rsidR="00645AC2" w:rsidRPr="00FB5742">
        <w:rPr>
          <w:szCs w:val="22"/>
        </w:rPr>
        <w:t>Ruling</w:t>
      </w:r>
      <w:r w:rsidRPr="00FB5742">
        <w:rPr>
          <w:szCs w:val="22"/>
        </w:rPr>
        <w:t xml:space="preserve"> at 6.</w:t>
      </w:r>
    </w:p>
  </w:footnote>
  <w:footnote w:id="216">
    <w:p w14:paraId="22E237B0" w14:textId="094EBF22" w:rsidR="00656C6F" w:rsidRPr="00FB5742" w:rsidRDefault="00656C6F"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SCE Opening Comments on </w:t>
      </w:r>
      <w:r w:rsidR="00240655" w:rsidRPr="00FB5742">
        <w:rPr>
          <w:szCs w:val="22"/>
        </w:rPr>
        <w:t>AB </w:t>
      </w:r>
      <w:r w:rsidRPr="00FB5742">
        <w:rPr>
          <w:szCs w:val="22"/>
        </w:rPr>
        <w:t xml:space="preserve">157 </w:t>
      </w:r>
      <w:r w:rsidR="00D228DA" w:rsidRPr="00FB5742">
        <w:rPr>
          <w:szCs w:val="22"/>
        </w:rPr>
        <w:t>Ruling</w:t>
      </w:r>
      <w:r w:rsidRPr="00FB5742">
        <w:rPr>
          <w:szCs w:val="22"/>
        </w:rPr>
        <w:t xml:space="preserve"> at 5</w:t>
      </w:r>
      <w:r w:rsidR="00645AC2" w:rsidRPr="00FB5742">
        <w:rPr>
          <w:szCs w:val="22"/>
        </w:rPr>
        <w:t>-</w:t>
      </w:r>
      <w:r w:rsidRPr="00FB5742">
        <w:rPr>
          <w:szCs w:val="22"/>
        </w:rPr>
        <w:t>6.</w:t>
      </w:r>
    </w:p>
  </w:footnote>
  <w:footnote w:id="217">
    <w:p w14:paraId="046CEABC" w14:textId="2D0737D2" w:rsidR="002F7503" w:rsidRPr="00FB5742" w:rsidRDefault="002F7503"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Joint Parties Opening Comments on </w:t>
      </w:r>
      <w:r w:rsidR="00240655" w:rsidRPr="00FB5742">
        <w:rPr>
          <w:szCs w:val="22"/>
        </w:rPr>
        <w:t>AB </w:t>
      </w:r>
      <w:r w:rsidRPr="00FB5742">
        <w:rPr>
          <w:szCs w:val="22"/>
        </w:rPr>
        <w:t xml:space="preserve">157 </w:t>
      </w:r>
      <w:r w:rsidR="00D228DA" w:rsidRPr="00FB5742">
        <w:rPr>
          <w:szCs w:val="22"/>
        </w:rPr>
        <w:t>Ruling</w:t>
      </w:r>
      <w:r w:rsidRPr="00FB5742">
        <w:rPr>
          <w:szCs w:val="22"/>
        </w:rPr>
        <w:t xml:space="preserve"> at 8-9.</w:t>
      </w:r>
    </w:p>
  </w:footnote>
  <w:footnote w:id="218">
    <w:p w14:paraId="2B66AF2A" w14:textId="08F53D2C" w:rsidR="00E820BB" w:rsidRPr="00FB5742" w:rsidRDefault="00E820BB"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VEIC Opening Comments on </w:t>
      </w:r>
      <w:r w:rsidR="00240655" w:rsidRPr="00FB5742">
        <w:rPr>
          <w:szCs w:val="22"/>
        </w:rPr>
        <w:t>AB </w:t>
      </w:r>
      <w:r w:rsidRPr="00FB5742">
        <w:rPr>
          <w:szCs w:val="22"/>
        </w:rPr>
        <w:t xml:space="preserve">157 </w:t>
      </w:r>
      <w:r w:rsidR="00D228DA" w:rsidRPr="00FB5742">
        <w:rPr>
          <w:szCs w:val="22"/>
        </w:rPr>
        <w:t>Ruling</w:t>
      </w:r>
      <w:r w:rsidRPr="00FB5742">
        <w:rPr>
          <w:szCs w:val="22"/>
        </w:rPr>
        <w:t xml:space="preserve"> at 12-13.</w:t>
      </w:r>
    </w:p>
  </w:footnote>
  <w:footnote w:id="219">
    <w:p w14:paraId="2AB96C4F" w14:textId="43387835" w:rsidR="00D85DD4" w:rsidRPr="00FB5742" w:rsidRDefault="00D85DD4"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SoCalGas Reply Comments on </w:t>
      </w:r>
      <w:r w:rsidR="00240655" w:rsidRPr="00FB5742">
        <w:rPr>
          <w:szCs w:val="22"/>
        </w:rPr>
        <w:t>AB </w:t>
      </w:r>
      <w:r w:rsidRPr="00FB5742">
        <w:rPr>
          <w:szCs w:val="22"/>
        </w:rPr>
        <w:t xml:space="preserve">157 </w:t>
      </w:r>
      <w:r w:rsidR="00D228DA" w:rsidRPr="00FB5742">
        <w:rPr>
          <w:szCs w:val="22"/>
        </w:rPr>
        <w:t xml:space="preserve">Ruling </w:t>
      </w:r>
      <w:r w:rsidRPr="00FB5742">
        <w:rPr>
          <w:szCs w:val="22"/>
        </w:rPr>
        <w:t>at 2-3.</w:t>
      </w:r>
    </w:p>
  </w:footnote>
  <w:footnote w:id="220">
    <w:p w14:paraId="1CEAA1ED" w14:textId="68685E12" w:rsidR="001F7416" w:rsidRPr="00FB5742" w:rsidRDefault="001F7416" w:rsidP="00FB5742">
      <w:pPr>
        <w:pStyle w:val="FootnoteText"/>
        <w:rPr>
          <w:szCs w:val="22"/>
        </w:rPr>
      </w:pPr>
      <w:r w:rsidRPr="00FB5742">
        <w:rPr>
          <w:rStyle w:val="FootnoteReference"/>
          <w:szCs w:val="22"/>
        </w:rPr>
        <w:footnoteRef/>
      </w:r>
      <w:r w:rsidR="008475BF" w:rsidRPr="00FB5742">
        <w:rPr>
          <w:szCs w:val="22"/>
        </w:rPr>
        <w:t xml:space="preserve"> </w:t>
      </w:r>
      <w:r w:rsidRPr="00FB5742">
        <w:rPr>
          <w:szCs w:val="22"/>
        </w:rPr>
        <w:t xml:space="preserve"> CAC Reply Comments on </w:t>
      </w:r>
      <w:r w:rsidR="00240655" w:rsidRPr="00FB5742">
        <w:rPr>
          <w:szCs w:val="22"/>
        </w:rPr>
        <w:t>AB </w:t>
      </w:r>
      <w:r w:rsidRPr="00FB5742">
        <w:rPr>
          <w:szCs w:val="22"/>
        </w:rPr>
        <w:t xml:space="preserve">157 </w:t>
      </w:r>
      <w:r w:rsidR="00D228DA" w:rsidRPr="00FB5742">
        <w:rPr>
          <w:szCs w:val="22"/>
        </w:rPr>
        <w:t xml:space="preserve">Ruling </w:t>
      </w:r>
      <w:r w:rsidRPr="00FB5742">
        <w:rPr>
          <w:szCs w:val="22"/>
        </w:rPr>
        <w:t>at 9.</w:t>
      </w:r>
    </w:p>
  </w:footnote>
  <w:footnote w:id="221">
    <w:p w14:paraId="71FF3009" w14:textId="06EDCA0F" w:rsidR="001F7416" w:rsidRPr="00FB5742" w:rsidRDefault="001F7416" w:rsidP="00FB5742">
      <w:pPr>
        <w:pStyle w:val="FootnoteText"/>
        <w:rPr>
          <w:i/>
          <w:szCs w:val="22"/>
        </w:rPr>
      </w:pPr>
      <w:r w:rsidRPr="00FB5742">
        <w:rPr>
          <w:rStyle w:val="FootnoteReference"/>
          <w:szCs w:val="22"/>
        </w:rPr>
        <w:footnoteRef/>
      </w:r>
      <w:r w:rsidR="007C218A" w:rsidRPr="00FB5742">
        <w:rPr>
          <w:szCs w:val="22"/>
        </w:rPr>
        <w:t xml:space="preserve"> </w:t>
      </w:r>
      <w:r w:rsidR="008475BF" w:rsidRPr="00FB5742">
        <w:rPr>
          <w:szCs w:val="22"/>
        </w:rPr>
        <w:t xml:space="preserve"> </w:t>
      </w:r>
      <w:r w:rsidR="00C975B5" w:rsidRPr="00FB5742">
        <w:rPr>
          <w:i/>
          <w:iCs/>
          <w:szCs w:val="22"/>
        </w:rPr>
        <w:t>Ibid</w:t>
      </w:r>
      <w:r w:rsidR="00C975B5" w:rsidRPr="00FB5742">
        <w:rPr>
          <w:i/>
          <w:szCs w:val="22"/>
        </w:rPr>
        <w:t>.</w:t>
      </w:r>
    </w:p>
  </w:footnote>
  <w:footnote w:id="222">
    <w:p w14:paraId="70803A65" w14:textId="6B6D5C0A" w:rsidR="00952FC6" w:rsidRPr="00FB5742" w:rsidRDefault="00952FC6"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00C975B5" w:rsidRPr="00FB5742">
        <w:rPr>
          <w:i/>
          <w:iCs/>
          <w:szCs w:val="22"/>
        </w:rPr>
        <w:t>Ibid</w:t>
      </w:r>
      <w:r w:rsidR="00C975B5" w:rsidRPr="00FB5742">
        <w:rPr>
          <w:i/>
          <w:szCs w:val="22"/>
        </w:rPr>
        <w:t>.</w:t>
      </w:r>
    </w:p>
  </w:footnote>
  <w:footnote w:id="223">
    <w:p w14:paraId="61B1ADFC" w14:textId="5D70ED7B" w:rsidR="00CE2BB6" w:rsidRPr="00FB5742" w:rsidRDefault="00CE2BB6"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Pr="00FB5742">
        <w:rPr>
          <w:szCs w:val="22"/>
        </w:rPr>
        <w:t xml:space="preserve">CAC Reply Comments on </w:t>
      </w:r>
      <w:r w:rsidR="00240655" w:rsidRPr="00FB5742">
        <w:rPr>
          <w:szCs w:val="22"/>
        </w:rPr>
        <w:t>AB </w:t>
      </w:r>
      <w:r w:rsidRPr="00FB5742">
        <w:rPr>
          <w:szCs w:val="22"/>
        </w:rPr>
        <w:t xml:space="preserve">157 </w:t>
      </w:r>
      <w:r w:rsidR="00D228DA" w:rsidRPr="00FB5742">
        <w:rPr>
          <w:szCs w:val="22"/>
        </w:rPr>
        <w:t>Ruling</w:t>
      </w:r>
      <w:r w:rsidRPr="00FB5742">
        <w:rPr>
          <w:szCs w:val="22"/>
        </w:rPr>
        <w:t xml:space="preserve"> </w:t>
      </w:r>
      <w:r w:rsidR="00636CF6" w:rsidRPr="00FB5742">
        <w:rPr>
          <w:szCs w:val="22"/>
        </w:rPr>
        <w:t>9-10.</w:t>
      </w:r>
    </w:p>
  </w:footnote>
  <w:footnote w:id="224">
    <w:p w14:paraId="00CA40EB" w14:textId="50537FA5" w:rsidR="00EF3C24" w:rsidRPr="00FB5742" w:rsidRDefault="00EF3C24" w:rsidP="00FB5742">
      <w:pPr>
        <w:pStyle w:val="FootnoteText"/>
        <w:rPr>
          <w:i/>
          <w:iCs/>
          <w:szCs w:val="22"/>
        </w:rPr>
      </w:pPr>
      <w:r w:rsidRPr="00FB5742">
        <w:rPr>
          <w:rStyle w:val="FootnoteReference"/>
          <w:szCs w:val="22"/>
        </w:rPr>
        <w:footnoteRef/>
      </w:r>
      <w:r w:rsidRPr="00FB5742">
        <w:rPr>
          <w:szCs w:val="22"/>
        </w:rPr>
        <w:t xml:space="preserve"> </w:t>
      </w:r>
      <w:r w:rsidR="008475BF" w:rsidRPr="00FB5742">
        <w:rPr>
          <w:szCs w:val="22"/>
        </w:rPr>
        <w:t xml:space="preserve"> </w:t>
      </w:r>
      <w:r w:rsidR="00C975B5" w:rsidRPr="00FB5742">
        <w:rPr>
          <w:i/>
          <w:iCs/>
          <w:szCs w:val="22"/>
        </w:rPr>
        <w:t>Ibid.</w:t>
      </w:r>
    </w:p>
  </w:footnote>
  <w:footnote w:id="225">
    <w:p w14:paraId="01B0A3E9" w14:textId="2E54AF5D" w:rsidR="00D21DA1" w:rsidRPr="00FB5742" w:rsidRDefault="00D21DA1" w:rsidP="00FB5742">
      <w:pPr>
        <w:pStyle w:val="FootnoteText"/>
        <w:rPr>
          <w:szCs w:val="22"/>
        </w:rPr>
      </w:pPr>
      <w:r w:rsidRPr="00FB5742">
        <w:rPr>
          <w:rStyle w:val="FootnoteReference"/>
          <w:szCs w:val="22"/>
        </w:rPr>
        <w:footnoteRef/>
      </w:r>
      <w:r w:rsidRPr="00FB5742">
        <w:rPr>
          <w:szCs w:val="22"/>
        </w:rPr>
        <w:t xml:space="preserve"> </w:t>
      </w:r>
      <w:r w:rsidR="008475BF" w:rsidRPr="00FB5742">
        <w:rPr>
          <w:szCs w:val="22"/>
        </w:rPr>
        <w:t xml:space="preserve"> </w:t>
      </w:r>
      <w:r w:rsidR="009B7BE2" w:rsidRPr="00FB5742">
        <w:rPr>
          <w:szCs w:val="22"/>
        </w:rPr>
        <w:t xml:space="preserve">CAC Reply Comments on </w:t>
      </w:r>
      <w:r w:rsidR="00240655" w:rsidRPr="00FB5742">
        <w:rPr>
          <w:szCs w:val="22"/>
        </w:rPr>
        <w:t>AB </w:t>
      </w:r>
      <w:r w:rsidR="009B7BE2" w:rsidRPr="00FB5742">
        <w:rPr>
          <w:szCs w:val="22"/>
        </w:rPr>
        <w:t xml:space="preserve">157 </w:t>
      </w:r>
      <w:r w:rsidR="00D228DA" w:rsidRPr="00FB5742">
        <w:rPr>
          <w:szCs w:val="22"/>
        </w:rPr>
        <w:t>Ruling</w:t>
      </w:r>
      <w:r w:rsidR="009B7BE2" w:rsidRPr="00FB5742">
        <w:rPr>
          <w:szCs w:val="22"/>
        </w:rPr>
        <w:t xml:space="preserve"> at 10.</w:t>
      </w:r>
    </w:p>
  </w:footnote>
  <w:footnote w:id="226">
    <w:p w14:paraId="45F9763F" w14:textId="3401CC57" w:rsidR="004624DF" w:rsidRDefault="004624DF">
      <w:pPr>
        <w:pStyle w:val="FootnoteText"/>
      </w:pPr>
      <w:r>
        <w:rPr>
          <w:rStyle w:val="FootnoteReference"/>
        </w:rPr>
        <w:footnoteRef/>
      </w:r>
      <w:r>
        <w:t xml:space="preserve"> On April 21, 2025, Redwood Coast Energy Authority filed a motion for party status</w:t>
      </w:r>
      <w:r w:rsidR="00F7396F">
        <w:t>, which</w:t>
      </w:r>
      <w:r>
        <w:t xml:space="preserve"> was granted </w:t>
      </w:r>
      <w:r w:rsidR="00F7396F">
        <w:t>by</w:t>
      </w:r>
      <w:r>
        <w:t xml:space="preserve"> ruling issued on May 12,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F73C" w14:textId="62035FFD" w:rsidR="006C67F1" w:rsidRDefault="006C67F1" w:rsidP="006C67F1">
    <w:pPr>
      <w:pStyle w:val="Header"/>
      <w:tabs>
        <w:tab w:val="clear" w:pos="4680"/>
      </w:tabs>
      <w:ind w:firstLine="0"/>
    </w:pPr>
    <w:r w:rsidRPr="00DD4909">
      <w:t>R</w:t>
    </w:r>
    <w:r>
      <w:t>.</w:t>
    </w:r>
    <w:r w:rsidRPr="00DD4909">
      <w:t>19</w:t>
    </w:r>
    <w:r>
      <w:noBreakHyphen/>
    </w:r>
    <w:r w:rsidRPr="00DD4909">
      <w:t>01</w:t>
    </w:r>
    <w:r>
      <w:noBreakHyphen/>
    </w:r>
    <w:r w:rsidRPr="00DD4909">
      <w:t>011</w:t>
    </w:r>
    <w:r>
      <w:t xml:space="preserve">  COM/DH7/jnf</w:t>
    </w:r>
    <w:r>
      <w:tab/>
      <w:t>PROPOSED DECISION</w:t>
    </w:r>
    <w:r w:rsidR="009F5A39">
      <w:t xml:space="preserve"> (Rev.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684D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91030"/>
    <w:multiLevelType w:val="hybridMultilevel"/>
    <w:tmpl w:val="88D836A6"/>
    <w:lvl w:ilvl="0" w:tplc="0960E9A6">
      <w:start w:val="1"/>
      <w:numFmt w:val="lowerLetter"/>
      <w:pStyle w:val="OPListAlpha"/>
      <w:lvlText w:val="(%1)"/>
      <w:lvlJc w:val="left"/>
      <w:pPr>
        <w:ind w:left="1080" w:hanging="360"/>
      </w:pPr>
      <w:rPr>
        <w:rFonts w:ascii="Book Antiqua" w:eastAsia="Times New Roman" w:hAnsi="Book Antiqua"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E975C79"/>
    <w:multiLevelType w:val="multilevel"/>
    <w:tmpl w:val="B97C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B7BA7"/>
    <w:multiLevelType w:val="hybridMultilevel"/>
    <w:tmpl w:val="36384DD6"/>
    <w:lvl w:ilvl="0" w:tplc="5FB656EC">
      <w:start w:val="1"/>
      <w:numFmt w:val="upperLetter"/>
      <w:lvlText w:val="%1."/>
      <w:lvlJc w:val="left"/>
      <w:pPr>
        <w:ind w:left="1020" w:hanging="360"/>
      </w:pPr>
    </w:lvl>
    <w:lvl w:ilvl="1" w:tplc="139CBFBA">
      <w:start w:val="1"/>
      <w:numFmt w:val="upperLetter"/>
      <w:lvlText w:val="%2."/>
      <w:lvlJc w:val="left"/>
      <w:pPr>
        <w:ind w:left="1020" w:hanging="360"/>
      </w:pPr>
    </w:lvl>
    <w:lvl w:ilvl="2" w:tplc="E034A870">
      <w:start w:val="1"/>
      <w:numFmt w:val="upperLetter"/>
      <w:lvlText w:val="%3."/>
      <w:lvlJc w:val="left"/>
      <w:pPr>
        <w:ind w:left="1020" w:hanging="360"/>
      </w:pPr>
    </w:lvl>
    <w:lvl w:ilvl="3" w:tplc="65F83728">
      <w:start w:val="1"/>
      <w:numFmt w:val="upperLetter"/>
      <w:lvlText w:val="%4."/>
      <w:lvlJc w:val="left"/>
      <w:pPr>
        <w:ind w:left="1020" w:hanging="360"/>
      </w:pPr>
    </w:lvl>
    <w:lvl w:ilvl="4" w:tplc="65F036E4">
      <w:start w:val="1"/>
      <w:numFmt w:val="upperLetter"/>
      <w:lvlText w:val="%5."/>
      <w:lvlJc w:val="left"/>
      <w:pPr>
        <w:ind w:left="1020" w:hanging="360"/>
      </w:pPr>
    </w:lvl>
    <w:lvl w:ilvl="5" w:tplc="36A4B238">
      <w:start w:val="1"/>
      <w:numFmt w:val="upperLetter"/>
      <w:lvlText w:val="%6."/>
      <w:lvlJc w:val="left"/>
      <w:pPr>
        <w:ind w:left="1020" w:hanging="360"/>
      </w:pPr>
    </w:lvl>
    <w:lvl w:ilvl="6" w:tplc="99DC03DA">
      <w:start w:val="1"/>
      <w:numFmt w:val="upperLetter"/>
      <w:lvlText w:val="%7."/>
      <w:lvlJc w:val="left"/>
      <w:pPr>
        <w:ind w:left="1020" w:hanging="360"/>
      </w:pPr>
    </w:lvl>
    <w:lvl w:ilvl="7" w:tplc="3954A558">
      <w:start w:val="1"/>
      <w:numFmt w:val="upperLetter"/>
      <w:lvlText w:val="%8."/>
      <w:lvlJc w:val="left"/>
      <w:pPr>
        <w:ind w:left="1020" w:hanging="360"/>
      </w:pPr>
    </w:lvl>
    <w:lvl w:ilvl="8" w:tplc="C07AC320">
      <w:start w:val="1"/>
      <w:numFmt w:val="upperLetter"/>
      <w:lvlText w:val="%9."/>
      <w:lvlJc w:val="left"/>
      <w:pPr>
        <w:ind w:left="1020" w:hanging="360"/>
      </w:pPr>
    </w:lvl>
  </w:abstractNum>
  <w:abstractNum w:abstractNumId="4"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5F056CB"/>
    <w:multiLevelType w:val="multilevel"/>
    <w:tmpl w:val="18F4A5AC"/>
    <w:lvl w:ilvl="0">
      <w:start w:val="1"/>
      <w:numFmt w:val="decimal"/>
      <w:pStyle w:val="Co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78C16E0"/>
    <w:multiLevelType w:val="hybridMultilevel"/>
    <w:tmpl w:val="62B8B782"/>
    <w:lvl w:ilvl="0" w:tplc="62666E2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9F90C9A"/>
    <w:multiLevelType w:val="hybridMultilevel"/>
    <w:tmpl w:val="4306D1AA"/>
    <w:lvl w:ilvl="0" w:tplc="84E23CCA">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24A18A1"/>
    <w:multiLevelType w:val="hybridMultilevel"/>
    <w:tmpl w:val="70B06C38"/>
    <w:lvl w:ilvl="0" w:tplc="0409000F">
      <w:start w:val="1"/>
      <w:numFmt w:val="decimal"/>
      <w:lvlText w:val="%1."/>
      <w:lvlJc w:val="left"/>
      <w:pPr>
        <w:ind w:left="1440" w:hanging="360"/>
      </w:pPr>
    </w:lvl>
    <w:lvl w:ilvl="1" w:tplc="1A42A10A">
      <w:start w:val="1"/>
      <w:numFmt w:val="lowerLetter"/>
      <w:pStyle w:val="SubjectAlpha"/>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7032A9"/>
    <w:multiLevelType w:val="hybridMultilevel"/>
    <w:tmpl w:val="81A4F74C"/>
    <w:lvl w:ilvl="0" w:tplc="DDC67682">
      <w:start w:val="1"/>
      <w:numFmt w:val="decimal"/>
      <w:lvlText w:val="%1."/>
      <w:lvlJc w:val="left"/>
      <w:pPr>
        <w:ind w:left="720" w:hanging="360"/>
      </w:pPr>
    </w:lvl>
    <w:lvl w:ilvl="1" w:tplc="C3645DE8">
      <w:start w:val="1"/>
      <w:numFmt w:val="decimal"/>
      <w:lvlText w:val="%2."/>
      <w:lvlJc w:val="left"/>
      <w:pPr>
        <w:ind w:left="720" w:hanging="360"/>
      </w:pPr>
    </w:lvl>
    <w:lvl w:ilvl="2" w:tplc="F784491A">
      <w:start w:val="1"/>
      <w:numFmt w:val="decimal"/>
      <w:lvlText w:val="%3."/>
      <w:lvlJc w:val="left"/>
      <w:pPr>
        <w:ind w:left="720" w:hanging="360"/>
      </w:pPr>
    </w:lvl>
    <w:lvl w:ilvl="3" w:tplc="CB2CE390">
      <w:start w:val="1"/>
      <w:numFmt w:val="decimal"/>
      <w:lvlText w:val="%4."/>
      <w:lvlJc w:val="left"/>
      <w:pPr>
        <w:ind w:left="720" w:hanging="360"/>
      </w:pPr>
    </w:lvl>
    <w:lvl w:ilvl="4" w:tplc="98A439F2">
      <w:start w:val="1"/>
      <w:numFmt w:val="decimal"/>
      <w:lvlText w:val="%5."/>
      <w:lvlJc w:val="left"/>
      <w:pPr>
        <w:ind w:left="720" w:hanging="360"/>
      </w:pPr>
    </w:lvl>
    <w:lvl w:ilvl="5" w:tplc="70F62436">
      <w:start w:val="1"/>
      <w:numFmt w:val="decimal"/>
      <w:lvlText w:val="%6."/>
      <w:lvlJc w:val="left"/>
      <w:pPr>
        <w:ind w:left="720" w:hanging="360"/>
      </w:pPr>
    </w:lvl>
    <w:lvl w:ilvl="6" w:tplc="964678EA">
      <w:start w:val="1"/>
      <w:numFmt w:val="decimal"/>
      <w:lvlText w:val="%7."/>
      <w:lvlJc w:val="left"/>
      <w:pPr>
        <w:ind w:left="720" w:hanging="360"/>
      </w:pPr>
    </w:lvl>
    <w:lvl w:ilvl="7" w:tplc="478E9C9E">
      <w:start w:val="1"/>
      <w:numFmt w:val="decimal"/>
      <w:lvlText w:val="%8."/>
      <w:lvlJc w:val="left"/>
      <w:pPr>
        <w:ind w:left="720" w:hanging="360"/>
      </w:pPr>
    </w:lvl>
    <w:lvl w:ilvl="8" w:tplc="CA72F406">
      <w:start w:val="1"/>
      <w:numFmt w:val="decimal"/>
      <w:lvlText w:val="%9."/>
      <w:lvlJc w:val="left"/>
      <w:pPr>
        <w:ind w:left="720" w:hanging="360"/>
      </w:pPr>
    </w:lvl>
  </w:abstractNum>
  <w:abstractNum w:abstractNumId="10" w15:restartNumberingAfterBreak="0">
    <w:nsid w:val="24CC6576"/>
    <w:multiLevelType w:val="hybridMultilevel"/>
    <w:tmpl w:val="5A4C6C94"/>
    <w:lvl w:ilvl="0" w:tplc="D39E0BDE">
      <w:start w:val="1"/>
      <w:numFmt w:val="decimal"/>
      <w:lvlText w:val="%1."/>
      <w:lvlJc w:val="left"/>
      <w:pPr>
        <w:ind w:left="720" w:hanging="360"/>
      </w:pPr>
    </w:lvl>
    <w:lvl w:ilvl="1" w:tplc="B9C696D8">
      <w:start w:val="1"/>
      <w:numFmt w:val="decimal"/>
      <w:lvlText w:val="%2."/>
      <w:lvlJc w:val="left"/>
      <w:pPr>
        <w:ind w:left="720" w:hanging="360"/>
      </w:pPr>
    </w:lvl>
    <w:lvl w:ilvl="2" w:tplc="65803930">
      <w:start w:val="1"/>
      <w:numFmt w:val="decimal"/>
      <w:lvlText w:val="%3."/>
      <w:lvlJc w:val="left"/>
      <w:pPr>
        <w:ind w:left="720" w:hanging="360"/>
      </w:pPr>
    </w:lvl>
    <w:lvl w:ilvl="3" w:tplc="6906798E">
      <w:start w:val="1"/>
      <w:numFmt w:val="decimal"/>
      <w:lvlText w:val="%4."/>
      <w:lvlJc w:val="left"/>
      <w:pPr>
        <w:ind w:left="720" w:hanging="360"/>
      </w:pPr>
    </w:lvl>
    <w:lvl w:ilvl="4" w:tplc="D0DE8952">
      <w:start w:val="1"/>
      <w:numFmt w:val="decimal"/>
      <w:lvlText w:val="%5."/>
      <w:lvlJc w:val="left"/>
      <w:pPr>
        <w:ind w:left="720" w:hanging="360"/>
      </w:pPr>
    </w:lvl>
    <w:lvl w:ilvl="5" w:tplc="92E864DE">
      <w:start w:val="1"/>
      <w:numFmt w:val="decimal"/>
      <w:lvlText w:val="%6."/>
      <w:lvlJc w:val="left"/>
      <w:pPr>
        <w:ind w:left="720" w:hanging="360"/>
      </w:pPr>
    </w:lvl>
    <w:lvl w:ilvl="6" w:tplc="F7425460">
      <w:start w:val="1"/>
      <w:numFmt w:val="decimal"/>
      <w:lvlText w:val="%7."/>
      <w:lvlJc w:val="left"/>
      <w:pPr>
        <w:ind w:left="720" w:hanging="360"/>
      </w:pPr>
    </w:lvl>
    <w:lvl w:ilvl="7" w:tplc="707A841C">
      <w:start w:val="1"/>
      <w:numFmt w:val="decimal"/>
      <w:lvlText w:val="%8."/>
      <w:lvlJc w:val="left"/>
      <w:pPr>
        <w:ind w:left="720" w:hanging="360"/>
      </w:pPr>
    </w:lvl>
    <w:lvl w:ilvl="8" w:tplc="CF22DC8A">
      <w:start w:val="1"/>
      <w:numFmt w:val="decimal"/>
      <w:lvlText w:val="%9."/>
      <w:lvlJc w:val="left"/>
      <w:pPr>
        <w:ind w:left="720" w:hanging="360"/>
      </w:pPr>
    </w:lvl>
  </w:abstractNum>
  <w:abstractNum w:abstractNumId="11" w15:restartNumberingAfterBreak="0">
    <w:nsid w:val="26B824F5"/>
    <w:multiLevelType w:val="hybridMultilevel"/>
    <w:tmpl w:val="08CE10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DF0174"/>
    <w:multiLevelType w:val="hybridMultilevel"/>
    <w:tmpl w:val="FC62DF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015904"/>
    <w:multiLevelType w:val="hybridMultilevel"/>
    <w:tmpl w:val="AC54B462"/>
    <w:lvl w:ilvl="0" w:tplc="A008CF4E">
      <w:start w:val="1"/>
      <w:numFmt w:val="lowerRoman"/>
      <w:pStyle w:val="ListRoman3"/>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945812"/>
    <w:multiLevelType w:val="hybridMultilevel"/>
    <w:tmpl w:val="FA1CC4A6"/>
    <w:lvl w:ilvl="0" w:tplc="C492A438">
      <w:start w:val="1"/>
      <w:numFmt w:val="upperLetter"/>
      <w:lvlText w:val="%1."/>
      <w:lvlJc w:val="left"/>
      <w:pPr>
        <w:ind w:left="1020" w:hanging="360"/>
      </w:pPr>
    </w:lvl>
    <w:lvl w:ilvl="1" w:tplc="8C0C44C4">
      <w:start w:val="1"/>
      <w:numFmt w:val="upperLetter"/>
      <w:lvlText w:val="%2."/>
      <w:lvlJc w:val="left"/>
      <w:pPr>
        <w:ind w:left="1020" w:hanging="360"/>
      </w:pPr>
    </w:lvl>
    <w:lvl w:ilvl="2" w:tplc="8F3A4DB8">
      <w:start w:val="1"/>
      <w:numFmt w:val="upperLetter"/>
      <w:lvlText w:val="%3."/>
      <w:lvlJc w:val="left"/>
      <w:pPr>
        <w:ind w:left="1020" w:hanging="360"/>
      </w:pPr>
    </w:lvl>
    <w:lvl w:ilvl="3" w:tplc="03926ACE">
      <w:start w:val="1"/>
      <w:numFmt w:val="upperLetter"/>
      <w:lvlText w:val="%4."/>
      <w:lvlJc w:val="left"/>
      <w:pPr>
        <w:ind w:left="1020" w:hanging="360"/>
      </w:pPr>
    </w:lvl>
    <w:lvl w:ilvl="4" w:tplc="EE32841E">
      <w:start w:val="1"/>
      <w:numFmt w:val="upperLetter"/>
      <w:lvlText w:val="%5."/>
      <w:lvlJc w:val="left"/>
      <w:pPr>
        <w:ind w:left="1020" w:hanging="360"/>
      </w:pPr>
    </w:lvl>
    <w:lvl w:ilvl="5" w:tplc="F8C2CBBA">
      <w:start w:val="1"/>
      <w:numFmt w:val="upperLetter"/>
      <w:lvlText w:val="%6."/>
      <w:lvlJc w:val="left"/>
      <w:pPr>
        <w:ind w:left="1020" w:hanging="360"/>
      </w:pPr>
    </w:lvl>
    <w:lvl w:ilvl="6" w:tplc="35D0DE40">
      <w:start w:val="1"/>
      <w:numFmt w:val="upperLetter"/>
      <w:lvlText w:val="%7."/>
      <w:lvlJc w:val="left"/>
      <w:pPr>
        <w:ind w:left="1020" w:hanging="360"/>
      </w:pPr>
    </w:lvl>
    <w:lvl w:ilvl="7" w:tplc="F95605D4">
      <w:start w:val="1"/>
      <w:numFmt w:val="upperLetter"/>
      <w:lvlText w:val="%8."/>
      <w:lvlJc w:val="left"/>
      <w:pPr>
        <w:ind w:left="1020" w:hanging="360"/>
      </w:pPr>
    </w:lvl>
    <w:lvl w:ilvl="8" w:tplc="E7648714">
      <w:start w:val="1"/>
      <w:numFmt w:val="upperLetter"/>
      <w:lvlText w:val="%9."/>
      <w:lvlJc w:val="left"/>
      <w:pPr>
        <w:ind w:left="1020" w:hanging="360"/>
      </w:pPr>
    </w:lvl>
  </w:abstractNum>
  <w:abstractNum w:abstractNumId="15" w15:restartNumberingAfterBreak="0">
    <w:nsid w:val="331F6D42"/>
    <w:multiLevelType w:val="multilevel"/>
    <w:tmpl w:val="3C526EDE"/>
    <w:styleLink w:val="Headings"/>
    <w:lvl w:ilvl="0">
      <w:start w:val="1"/>
      <w:numFmt w:val="decimal"/>
      <w:pStyle w:val="Heading1"/>
      <w:lvlText w:val="%1."/>
      <w:lvlJc w:val="left"/>
      <w:pPr>
        <w:ind w:left="720" w:hanging="720"/>
      </w:pPr>
      <w:rPr>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6" w15:restartNumberingAfterBreak="0">
    <w:nsid w:val="35F9498C"/>
    <w:multiLevelType w:val="hybridMultilevel"/>
    <w:tmpl w:val="9B2C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2313D"/>
    <w:multiLevelType w:val="hybridMultilevel"/>
    <w:tmpl w:val="705A9BFC"/>
    <w:lvl w:ilvl="0" w:tplc="62666E28">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15:restartNumberingAfterBreak="0">
    <w:nsid w:val="3F850400"/>
    <w:multiLevelType w:val="hybridMultilevel"/>
    <w:tmpl w:val="5486F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F549BD"/>
    <w:multiLevelType w:val="hybridMultilevel"/>
    <w:tmpl w:val="54FA60EC"/>
    <w:lvl w:ilvl="0" w:tplc="9D44AC74">
      <w:start w:val="1"/>
      <w:numFmt w:val="lowerRoman"/>
      <w:pStyle w:val="OPListRomanNumer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06352D"/>
    <w:multiLevelType w:val="hybridMultilevel"/>
    <w:tmpl w:val="7DFC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75E06"/>
    <w:multiLevelType w:val="multilevel"/>
    <w:tmpl w:val="48C8777A"/>
    <w:lvl w:ilvl="0">
      <w:start w:val="2"/>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2" w15:restartNumberingAfterBreak="0">
    <w:nsid w:val="432C2547"/>
    <w:multiLevelType w:val="hybridMultilevel"/>
    <w:tmpl w:val="B43A977A"/>
    <w:lvl w:ilvl="0" w:tplc="C4E409D8">
      <w:start w:val="1"/>
      <w:numFmt w:val="decimal"/>
      <w:lvlText w:val="%1."/>
      <w:lvlJc w:val="left"/>
      <w:pPr>
        <w:ind w:left="720" w:hanging="360"/>
      </w:pPr>
    </w:lvl>
    <w:lvl w:ilvl="1" w:tplc="FB6AA42A">
      <w:start w:val="1"/>
      <w:numFmt w:val="decimal"/>
      <w:lvlText w:val="%2."/>
      <w:lvlJc w:val="left"/>
      <w:pPr>
        <w:ind w:left="720" w:hanging="360"/>
      </w:pPr>
    </w:lvl>
    <w:lvl w:ilvl="2" w:tplc="89E45F80">
      <w:start w:val="1"/>
      <w:numFmt w:val="decimal"/>
      <w:lvlText w:val="%3."/>
      <w:lvlJc w:val="left"/>
      <w:pPr>
        <w:ind w:left="720" w:hanging="360"/>
      </w:pPr>
    </w:lvl>
    <w:lvl w:ilvl="3" w:tplc="2A789064">
      <w:start w:val="1"/>
      <w:numFmt w:val="decimal"/>
      <w:lvlText w:val="%4."/>
      <w:lvlJc w:val="left"/>
      <w:pPr>
        <w:ind w:left="720" w:hanging="360"/>
      </w:pPr>
    </w:lvl>
    <w:lvl w:ilvl="4" w:tplc="EF9E25CC">
      <w:start w:val="1"/>
      <w:numFmt w:val="decimal"/>
      <w:lvlText w:val="%5."/>
      <w:lvlJc w:val="left"/>
      <w:pPr>
        <w:ind w:left="720" w:hanging="360"/>
      </w:pPr>
    </w:lvl>
    <w:lvl w:ilvl="5" w:tplc="6722ED50">
      <w:start w:val="1"/>
      <w:numFmt w:val="decimal"/>
      <w:lvlText w:val="%6."/>
      <w:lvlJc w:val="left"/>
      <w:pPr>
        <w:ind w:left="720" w:hanging="360"/>
      </w:pPr>
    </w:lvl>
    <w:lvl w:ilvl="6" w:tplc="C2BE6F32">
      <w:start w:val="1"/>
      <w:numFmt w:val="decimal"/>
      <w:lvlText w:val="%7."/>
      <w:lvlJc w:val="left"/>
      <w:pPr>
        <w:ind w:left="720" w:hanging="360"/>
      </w:pPr>
    </w:lvl>
    <w:lvl w:ilvl="7" w:tplc="5DF28CBA">
      <w:start w:val="1"/>
      <w:numFmt w:val="decimal"/>
      <w:lvlText w:val="%8."/>
      <w:lvlJc w:val="left"/>
      <w:pPr>
        <w:ind w:left="720" w:hanging="360"/>
      </w:pPr>
    </w:lvl>
    <w:lvl w:ilvl="8" w:tplc="5DF6225C">
      <w:start w:val="1"/>
      <w:numFmt w:val="decimal"/>
      <w:lvlText w:val="%9."/>
      <w:lvlJc w:val="left"/>
      <w:pPr>
        <w:ind w:left="720" w:hanging="360"/>
      </w:pPr>
    </w:lvl>
  </w:abstractNum>
  <w:abstractNum w:abstractNumId="23" w15:restartNumberingAfterBreak="0">
    <w:nsid w:val="44B772D2"/>
    <w:multiLevelType w:val="multilevel"/>
    <w:tmpl w:val="590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71BDC"/>
    <w:multiLevelType w:val="hybridMultilevel"/>
    <w:tmpl w:val="0EA637E2"/>
    <w:lvl w:ilvl="0" w:tplc="235603F6">
      <w:start w:val="1"/>
      <w:numFmt w:val="upperLetter"/>
      <w:lvlText w:val="%1."/>
      <w:lvlJc w:val="left"/>
      <w:pPr>
        <w:ind w:left="1020" w:hanging="360"/>
      </w:pPr>
    </w:lvl>
    <w:lvl w:ilvl="1" w:tplc="38CC3E16">
      <w:start w:val="1"/>
      <w:numFmt w:val="upperLetter"/>
      <w:lvlText w:val="%2."/>
      <w:lvlJc w:val="left"/>
      <w:pPr>
        <w:ind w:left="1020" w:hanging="360"/>
      </w:pPr>
    </w:lvl>
    <w:lvl w:ilvl="2" w:tplc="48901C54">
      <w:start w:val="1"/>
      <w:numFmt w:val="upperLetter"/>
      <w:lvlText w:val="%3."/>
      <w:lvlJc w:val="left"/>
      <w:pPr>
        <w:ind w:left="1020" w:hanging="360"/>
      </w:pPr>
    </w:lvl>
    <w:lvl w:ilvl="3" w:tplc="1F7C198C">
      <w:start w:val="1"/>
      <w:numFmt w:val="upperLetter"/>
      <w:lvlText w:val="%4."/>
      <w:lvlJc w:val="left"/>
      <w:pPr>
        <w:ind w:left="1020" w:hanging="360"/>
      </w:pPr>
    </w:lvl>
    <w:lvl w:ilvl="4" w:tplc="94F4C306">
      <w:start w:val="1"/>
      <w:numFmt w:val="upperLetter"/>
      <w:lvlText w:val="%5."/>
      <w:lvlJc w:val="left"/>
      <w:pPr>
        <w:ind w:left="1020" w:hanging="360"/>
      </w:pPr>
    </w:lvl>
    <w:lvl w:ilvl="5" w:tplc="447479A0">
      <w:start w:val="1"/>
      <w:numFmt w:val="upperLetter"/>
      <w:lvlText w:val="%6."/>
      <w:lvlJc w:val="left"/>
      <w:pPr>
        <w:ind w:left="1020" w:hanging="360"/>
      </w:pPr>
    </w:lvl>
    <w:lvl w:ilvl="6" w:tplc="4BA0C118">
      <w:start w:val="1"/>
      <w:numFmt w:val="upperLetter"/>
      <w:lvlText w:val="%7."/>
      <w:lvlJc w:val="left"/>
      <w:pPr>
        <w:ind w:left="1020" w:hanging="360"/>
      </w:pPr>
    </w:lvl>
    <w:lvl w:ilvl="7" w:tplc="4C085AD2">
      <w:start w:val="1"/>
      <w:numFmt w:val="upperLetter"/>
      <w:lvlText w:val="%8."/>
      <w:lvlJc w:val="left"/>
      <w:pPr>
        <w:ind w:left="1020" w:hanging="360"/>
      </w:pPr>
    </w:lvl>
    <w:lvl w:ilvl="8" w:tplc="8A96424A">
      <w:start w:val="1"/>
      <w:numFmt w:val="upperLetter"/>
      <w:lvlText w:val="%9."/>
      <w:lvlJc w:val="left"/>
      <w:pPr>
        <w:ind w:left="1020" w:hanging="360"/>
      </w:pPr>
    </w:lvl>
  </w:abstractNum>
  <w:abstractNum w:abstractNumId="25" w15:restartNumberingAfterBreak="0">
    <w:nsid w:val="495C0AE1"/>
    <w:multiLevelType w:val="hybridMultilevel"/>
    <w:tmpl w:val="B638FFAA"/>
    <w:lvl w:ilvl="0" w:tplc="FC3E99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205BD1"/>
    <w:multiLevelType w:val="hybridMultilevel"/>
    <w:tmpl w:val="0D469946"/>
    <w:lvl w:ilvl="0" w:tplc="62666E2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60C4A29"/>
    <w:multiLevelType w:val="multilevel"/>
    <w:tmpl w:val="FBA487D8"/>
    <w:styleLink w:val="Rules"/>
    <w:lvl w:ilvl="0">
      <w:start w:val="1"/>
      <w:numFmt w:val="lowerLetter"/>
      <w:pStyle w:val="ListNumber"/>
      <w:lvlText w:val="(%1)"/>
      <w:lvlJc w:val="left"/>
      <w:pPr>
        <w:ind w:left="720" w:firstLine="0"/>
      </w:pPr>
      <w:rPr>
        <w:rFonts w:ascii="Book Antiqua" w:hAnsi="Book Antiqua" w:hint="default"/>
        <w:b w:val="0"/>
        <w:i w:val="0"/>
        <w:sz w:val="26"/>
      </w:rPr>
    </w:lvl>
    <w:lvl w:ilvl="1">
      <w:start w:val="1"/>
      <w:numFmt w:val="decimal"/>
      <w:pStyle w:val="List2"/>
      <w:lvlText w:val="(%2)"/>
      <w:lvlJc w:val="left"/>
      <w:pPr>
        <w:ind w:left="1080" w:firstLine="0"/>
      </w:pPr>
      <w:rPr>
        <w:rFonts w:hint="default"/>
      </w:rPr>
    </w:lvl>
    <w:lvl w:ilvl="2">
      <w:start w:val="1"/>
      <w:numFmt w:val="lowerRoman"/>
      <w:pStyle w:val="List3"/>
      <w:lvlText w:val="(%3)"/>
      <w:lvlJc w:val="left"/>
      <w:pPr>
        <w:ind w:left="1440" w:firstLine="0"/>
      </w:pPr>
      <w:rPr>
        <w:rFonts w:hint="default"/>
      </w:rPr>
    </w:lvl>
    <w:lvl w:ilvl="3">
      <w:start w:val="1"/>
      <w:numFmt w:val="decimal"/>
      <w:lvlText w:val="(%4)"/>
      <w:lvlJc w:val="left"/>
      <w:pPr>
        <w:ind w:left="1800" w:firstLine="0"/>
      </w:pPr>
      <w:rPr>
        <w:rFonts w:hint="default"/>
      </w:rPr>
    </w:lvl>
    <w:lvl w:ilvl="4">
      <w:start w:val="1"/>
      <w:numFmt w:val="lowerLetter"/>
      <w:lvlText w:val="(%5)"/>
      <w:lvlJc w:val="left"/>
      <w:pPr>
        <w:ind w:left="2160" w:firstLine="0"/>
      </w:pPr>
      <w:rPr>
        <w:rFonts w:hint="default"/>
      </w:rPr>
    </w:lvl>
    <w:lvl w:ilvl="5">
      <w:start w:val="1"/>
      <w:numFmt w:val="lowerRoman"/>
      <w:lvlText w:val="(%6)"/>
      <w:lvlJc w:val="left"/>
      <w:pPr>
        <w:ind w:left="2520" w:firstLine="0"/>
      </w:pPr>
      <w:rPr>
        <w:rFonts w:hint="default"/>
      </w:rPr>
    </w:lvl>
    <w:lvl w:ilvl="6">
      <w:start w:val="1"/>
      <w:numFmt w:val="decimal"/>
      <w:lvlText w:val="%7."/>
      <w:lvlJc w:val="left"/>
      <w:pPr>
        <w:ind w:left="2880" w:firstLine="0"/>
      </w:pPr>
      <w:rPr>
        <w:rFonts w:hint="default"/>
      </w:rPr>
    </w:lvl>
    <w:lvl w:ilvl="7">
      <w:start w:val="1"/>
      <w:numFmt w:val="lowerLetter"/>
      <w:lvlText w:val="%8."/>
      <w:lvlJc w:val="left"/>
      <w:pPr>
        <w:ind w:left="3240" w:firstLine="0"/>
      </w:pPr>
      <w:rPr>
        <w:rFonts w:hint="default"/>
      </w:rPr>
    </w:lvl>
    <w:lvl w:ilvl="8">
      <w:start w:val="1"/>
      <w:numFmt w:val="lowerRoman"/>
      <w:lvlText w:val="%9."/>
      <w:lvlJc w:val="left"/>
      <w:pPr>
        <w:ind w:left="3600" w:firstLine="0"/>
      </w:pPr>
      <w:rPr>
        <w:rFonts w:hint="default"/>
      </w:rPr>
    </w:lvl>
  </w:abstractNum>
  <w:abstractNum w:abstractNumId="28" w15:restartNumberingAfterBreak="0">
    <w:nsid w:val="568B57D2"/>
    <w:multiLevelType w:val="hybridMultilevel"/>
    <w:tmpl w:val="0054D604"/>
    <w:lvl w:ilvl="0" w:tplc="186AE326">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B02FED"/>
    <w:multiLevelType w:val="hybridMultilevel"/>
    <w:tmpl w:val="B25ACC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A25780"/>
    <w:multiLevelType w:val="multilevel"/>
    <w:tmpl w:val="3C526EDE"/>
    <w:numStyleLink w:val="Headings"/>
  </w:abstractNum>
  <w:abstractNum w:abstractNumId="31" w15:restartNumberingAfterBreak="0">
    <w:nsid w:val="6433362C"/>
    <w:multiLevelType w:val="hybridMultilevel"/>
    <w:tmpl w:val="FCF0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61FDE"/>
    <w:multiLevelType w:val="multilevel"/>
    <w:tmpl w:val="A50C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BD1D83"/>
    <w:multiLevelType w:val="hybridMultilevel"/>
    <w:tmpl w:val="493ACA4C"/>
    <w:lvl w:ilvl="0" w:tplc="C45EB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E57CCA"/>
    <w:multiLevelType w:val="hybridMultilevel"/>
    <w:tmpl w:val="E87A40DC"/>
    <w:lvl w:ilvl="0" w:tplc="9AB485F0">
      <w:start w:val="1"/>
      <w:numFmt w:val="decimal"/>
      <w:pStyle w:val="1ListNumber1"/>
      <w:lvlText w:val="(%1)"/>
      <w:lvlJc w:val="left"/>
      <w:pPr>
        <w:ind w:left="1080" w:hanging="360"/>
      </w:pPr>
      <w:rPr>
        <w:rFonts w:ascii="Book Antiqua" w:eastAsiaTheme="minorHAnsi" w:hAnsi="Book Antiqua"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D40526"/>
    <w:multiLevelType w:val="multilevel"/>
    <w:tmpl w:val="4D42612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ptos" w:eastAsia="Times New Roman" w:hAnsi="Aptos" w:cs="Calibri"/>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7431403B"/>
    <w:multiLevelType w:val="hybridMultilevel"/>
    <w:tmpl w:val="D63C663C"/>
    <w:lvl w:ilvl="0" w:tplc="A2FE6DA8">
      <w:start w:val="1"/>
      <w:numFmt w:val="decimal"/>
      <w:lvlText w:val="%1."/>
      <w:lvlJc w:val="left"/>
      <w:pPr>
        <w:ind w:left="720" w:hanging="360"/>
      </w:pPr>
    </w:lvl>
    <w:lvl w:ilvl="1" w:tplc="322E8FB6">
      <w:start w:val="1"/>
      <w:numFmt w:val="decimal"/>
      <w:lvlText w:val="%2."/>
      <w:lvlJc w:val="left"/>
      <w:pPr>
        <w:ind w:left="720" w:hanging="360"/>
      </w:pPr>
    </w:lvl>
    <w:lvl w:ilvl="2" w:tplc="A82ADCF4">
      <w:start w:val="1"/>
      <w:numFmt w:val="decimal"/>
      <w:lvlText w:val="%3."/>
      <w:lvlJc w:val="left"/>
      <w:pPr>
        <w:ind w:left="720" w:hanging="360"/>
      </w:pPr>
    </w:lvl>
    <w:lvl w:ilvl="3" w:tplc="FBCEB2BC">
      <w:start w:val="1"/>
      <w:numFmt w:val="decimal"/>
      <w:lvlText w:val="%4."/>
      <w:lvlJc w:val="left"/>
      <w:pPr>
        <w:ind w:left="720" w:hanging="360"/>
      </w:pPr>
    </w:lvl>
    <w:lvl w:ilvl="4" w:tplc="74EADA10">
      <w:start w:val="1"/>
      <w:numFmt w:val="decimal"/>
      <w:lvlText w:val="%5."/>
      <w:lvlJc w:val="left"/>
      <w:pPr>
        <w:ind w:left="720" w:hanging="360"/>
      </w:pPr>
    </w:lvl>
    <w:lvl w:ilvl="5" w:tplc="411AF6C4">
      <w:start w:val="1"/>
      <w:numFmt w:val="decimal"/>
      <w:lvlText w:val="%6."/>
      <w:lvlJc w:val="left"/>
      <w:pPr>
        <w:ind w:left="720" w:hanging="360"/>
      </w:pPr>
    </w:lvl>
    <w:lvl w:ilvl="6" w:tplc="71008CA2">
      <w:start w:val="1"/>
      <w:numFmt w:val="decimal"/>
      <w:lvlText w:val="%7."/>
      <w:lvlJc w:val="left"/>
      <w:pPr>
        <w:ind w:left="720" w:hanging="360"/>
      </w:pPr>
    </w:lvl>
    <w:lvl w:ilvl="7" w:tplc="A92A4586">
      <w:start w:val="1"/>
      <w:numFmt w:val="decimal"/>
      <w:lvlText w:val="%8."/>
      <w:lvlJc w:val="left"/>
      <w:pPr>
        <w:ind w:left="720" w:hanging="360"/>
      </w:pPr>
    </w:lvl>
    <w:lvl w:ilvl="8" w:tplc="99641DF6">
      <w:start w:val="1"/>
      <w:numFmt w:val="decimal"/>
      <w:lvlText w:val="%9."/>
      <w:lvlJc w:val="left"/>
      <w:pPr>
        <w:ind w:left="720" w:hanging="360"/>
      </w:pPr>
    </w:lvl>
  </w:abstractNum>
  <w:abstractNum w:abstractNumId="37" w15:restartNumberingAfterBreak="0">
    <w:nsid w:val="75E82274"/>
    <w:multiLevelType w:val="multilevel"/>
    <w:tmpl w:val="FBA487D8"/>
    <w:numStyleLink w:val="Rules"/>
  </w:abstractNum>
  <w:abstractNum w:abstractNumId="38" w15:restartNumberingAfterBreak="0">
    <w:nsid w:val="789A0AFE"/>
    <w:multiLevelType w:val="multilevel"/>
    <w:tmpl w:val="18F4A5AC"/>
    <w:numStyleLink w:val="FoFCoLOP"/>
  </w:abstractNum>
  <w:abstractNum w:abstractNumId="39" w15:restartNumberingAfterBreak="0">
    <w:nsid w:val="7E7942AF"/>
    <w:multiLevelType w:val="hybridMultilevel"/>
    <w:tmpl w:val="89CA6B8E"/>
    <w:lvl w:ilvl="0" w:tplc="04090001">
      <w:start w:val="1"/>
      <w:numFmt w:val="bullet"/>
      <w:lvlText w:val=""/>
      <w:lvlJc w:val="left"/>
      <w:pPr>
        <w:ind w:left="1440" w:hanging="360"/>
      </w:pPr>
      <w:rPr>
        <w:rFonts w:ascii="Symbol" w:hAnsi="Symbol" w:hint="default"/>
      </w:rPr>
    </w:lvl>
    <w:lvl w:ilvl="1" w:tplc="B4E4057C">
      <w:start w:val="1"/>
      <w:numFmt w:val="bullet"/>
      <w:pStyle w:val="ListBullet2"/>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3878205">
    <w:abstractNumId w:val="4"/>
  </w:num>
  <w:num w:numId="2" w16cid:durableId="25176110">
    <w:abstractNumId w:val="15"/>
  </w:num>
  <w:num w:numId="3" w16cid:durableId="881281613">
    <w:abstractNumId w:val="21"/>
  </w:num>
  <w:num w:numId="4" w16cid:durableId="466096048">
    <w:abstractNumId w:val="39"/>
  </w:num>
  <w:num w:numId="5" w16cid:durableId="1736121382">
    <w:abstractNumId w:val="8"/>
  </w:num>
  <w:num w:numId="6" w16cid:durableId="2074422625">
    <w:abstractNumId w:val="34"/>
  </w:num>
  <w:num w:numId="7" w16cid:durableId="1385790613">
    <w:abstractNumId w:val="12"/>
  </w:num>
  <w:num w:numId="8" w16cid:durableId="1178424548">
    <w:abstractNumId w:val="1"/>
  </w:num>
  <w:num w:numId="9" w16cid:durableId="666247142">
    <w:abstractNumId w:val="5"/>
  </w:num>
  <w:num w:numId="10" w16cid:durableId="388724284">
    <w:abstractNumId w:val="30"/>
    <w:lvlOverride w:ilvl="0">
      <w:lvl w:ilvl="0">
        <w:start w:val="1"/>
        <w:numFmt w:val="decimal"/>
        <w:pStyle w:val="Heading1"/>
        <w:lvlText w:val="%1."/>
        <w:lvlJc w:val="left"/>
        <w:pPr>
          <w:ind w:left="720" w:hanging="720"/>
        </w:pPr>
        <w:rPr>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11" w16cid:durableId="2058895308">
    <w:abstractNumId w:val="38"/>
    <w:lvlOverride w:ilvl="0">
      <w:lvl w:ilvl="0">
        <w:start w:val="1"/>
        <w:numFmt w:val="decimal"/>
        <w:pStyle w:val="OP"/>
        <w:lvlText w:val="%1."/>
        <w:lvlJc w:val="right"/>
        <w:pPr>
          <w:ind w:left="0" w:firstLine="540"/>
        </w:pPr>
        <w:rPr>
          <w:rFonts w:hint="default"/>
        </w:rPr>
      </w:lvl>
    </w:lvlOverride>
  </w:num>
  <w:num w:numId="12" w16cid:durableId="1023826908">
    <w:abstractNumId w:val="28"/>
  </w:num>
  <w:num w:numId="13" w16cid:durableId="2131584952">
    <w:abstractNumId w:val="30"/>
    <w:lvlOverride w:ilvl="0">
      <w:startOverride w:val="1"/>
      <w:lvl w:ilvl="0">
        <w:start w:val="1"/>
        <w:numFmt w:val="decimal"/>
        <w:pStyle w:val="Heading1"/>
        <w:lvlText w:val="%1."/>
        <w:lvlJc w:val="left"/>
        <w:pPr>
          <w:ind w:left="720" w:hanging="720"/>
        </w:pPr>
        <w:rPr>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startOverride w:val="1"/>
      <w:lvl w:ilvl="7">
        <w:start w:val="1"/>
        <w:numFmt w:val="lowerLetter"/>
        <w:pStyle w:val="ListAlpha"/>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14" w16cid:durableId="862742150">
    <w:abstractNumId w:val="37"/>
  </w:num>
  <w:num w:numId="15" w16cid:durableId="1262105964">
    <w:abstractNumId w:val="13"/>
  </w:num>
  <w:num w:numId="16" w16cid:durableId="590554882">
    <w:abstractNumId w:val="13"/>
    <w:lvlOverride w:ilvl="0">
      <w:startOverride w:val="1"/>
    </w:lvlOverride>
  </w:num>
  <w:num w:numId="17" w16cid:durableId="1500317080">
    <w:abstractNumId w:val="1"/>
    <w:lvlOverride w:ilvl="0">
      <w:startOverride w:val="1"/>
    </w:lvlOverride>
  </w:num>
  <w:num w:numId="18" w16cid:durableId="2038390556">
    <w:abstractNumId w:val="1"/>
    <w:lvlOverride w:ilvl="0">
      <w:startOverride w:val="1"/>
    </w:lvlOverride>
  </w:num>
  <w:num w:numId="19" w16cid:durableId="1547134643">
    <w:abstractNumId w:val="1"/>
    <w:lvlOverride w:ilvl="0">
      <w:startOverride w:val="1"/>
    </w:lvlOverride>
  </w:num>
  <w:num w:numId="20" w16cid:durableId="1436631042">
    <w:abstractNumId w:val="1"/>
    <w:lvlOverride w:ilvl="0">
      <w:startOverride w:val="1"/>
    </w:lvlOverride>
  </w:num>
  <w:num w:numId="21" w16cid:durableId="1739093998">
    <w:abstractNumId w:val="1"/>
    <w:lvlOverride w:ilvl="0">
      <w:startOverride w:val="1"/>
    </w:lvlOverride>
  </w:num>
  <w:num w:numId="22" w16cid:durableId="231351436">
    <w:abstractNumId w:val="19"/>
  </w:num>
  <w:num w:numId="23" w16cid:durableId="1011644368">
    <w:abstractNumId w:val="27"/>
  </w:num>
  <w:num w:numId="24" w16cid:durableId="1445226504">
    <w:abstractNumId w:val="18"/>
  </w:num>
  <w:num w:numId="25" w16cid:durableId="992215350">
    <w:abstractNumId w:val="16"/>
  </w:num>
  <w:num w:numId="26" w16cid:durableId="1699698223">
    <w:abstractNumId w:val="38"/>
    <w:lvlOverride w:ilvl="0">
      <w:lvl w:ilvl="0">
        <w:start w:val="1"/>
        <w:numFmt w:val="decimal"/>
        <w:pStyle w:val="OP"/>
        <w:lvlText w:val="%1."/>
        <w:lvlJc w:val="right"/>
        <w:pPr>
          <w:ind w:left="0" w:firstLine="540"/>
        </w:pPr>
        <w:rPr>
          <w:rFonts w:hint="default"/>
        </w:rPr>
      </w:lvl>
    </w:lvlOverride>
    <w:lvlOverride w:ilvl="1">
      <w:lvl w:ilvl="1">
        <w:start w:val="2"/>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27" w16cid:durableId="1288924432">
    <w:abstractNumId w:val="17"/>
  </w:num>
  <w:num w:numId="28" w16cid:durableId="890656153">
    <w:abstractNumId w:val="6"/>
  </w:num>
  <w:num w:numId="29" w16cid:durableId="2037610596">
    <w:abstractNumId w:val="33"/>
  </w:num>
  <w:num w:numId="30" w16cid:durableId="4946851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5475205">
    <w:abstractNumId w:val="3"/>
  </w:num>
  <w:num w:numId="32" w16cid:durableId="1206988771">
    <w:abstractNumId w:val="14"/>
  </w:num>
  <w:num w:numId="33" w16cid:durableId="1399548085">
    <w:abstractNumId w:val="24"/>
  </w:num>
  <w:num w:numId="34" w16cid:durableId="1532761581">
    <w:abstractNumId w:val="36"/>
  </w:num>
  <w:num w:numId="35" w16cid:durableId="2057699701">
    <w:abstractNumId w:val="11"/>
  </w:num>
  <w:num w:numId="36" w16cid:durableId="1965773110">
    <w:abstractNumId w:val="29"/>
  </w:num>
  <w:num w:numId="37" w16cid:durableId="847207600">
    <w:abstractNumId w:val="7"/>
  </w:num>
  <w:num w:numId="38" w16cid:durableId="843978329">
    <w:abstractNumId w:val="22"/>
  </w:num>
  <w:num w:numId="39" w16cid:durableId="120000869">
    <w:abstractNumId w:val="9"/>
  </w:num>
  <w:num w:numId="40" w16cid:durableId="230426295">
    <w:abstractNumId w:val="10"/>
  </w:num>
  <w:num w:numId="41" w16cid:durableId="2049799485">
    <w:abstractNumId w:val="25"/>
  </w:num>
  <w:num w:numId="42" w16cid:durableId="1726878711">
    <w:abstractNumId w:val="2"/>
  </w:num>
  <w:num w:numId="43" w16cid:durableId="662202536">
    <w:abstractNumId w:val="0"/>
  </w:num>
  <w:num w:numId="44" w16cid:durableId="1019164750">
    <w:abstractNumId w:val="20"/>
  </w:num>
  <w:num w:numId="45" w16cid:durableId="1668512148">
    <w:abstractNumId w:val="23"/>
  </w:num>
  <w:num w:numId="46" w16cid:durableId="1367146934">
    <w:abstractNumId w:val="32"/>
  </w:num>
  <w:num w:numId="47" w16cid:durableId="1380784862">
    <w:abstractNumId w:val="26"/>
  </w:num>
  <w:num w:numId="48" w16cid:durableId="932664231">
    <w:abstractNumId w:val="31"/>
  </w:num>
  <w:num w:numId="49" w16cid:durableId="1559365281">
    <w:abstractNumId w:val="1"/>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0B"/>
    <w:rsid w:val="000000E8"/>
    <w:rsid w:val="00000100"/>
    <w:rsid w:val="000001DD"/>
    <w:rsid w:val="00000319"/>
    <w:rsid w:val="00000417"/>
    <w:rsid w:val="0000054D"/>
    <w:rsid w:val="000005A8"/>
    <w:rsid w:val="000005FD"/>
    <w:rsid w:val="0000097D"/>
    <w:rsid w:val="00000B47"/>
    <w:rsid w:val="00000BC3"/>
    <w:rsid w:val="00000BEF"/>
    <w:rsid w:val="00000D2A"/>
    <w:rsid w:val="00000D65"/>
    <w:rsid w:val="00000F6A"/>
    <w:rsid w:val="00001047"/>
    <w:rsid w:val="00001148"/>
    <w:rsid w:val="00001262"/>
    <w:rsid w:val="00001353"/>
    <w:rsid w:val="000013EA"/>
    <w:rsid w:val="00001419"/>
    <w:rsid w:val="000014F0"/>
    <w:rsid w:val="0000157B"/>
    <w:rsid w:val="00001934"/>
    <w:rsid w:val="00001AA4"/>
    <w:rsid w:val="00001B90"/>
    <w:rsid w:val="00001BBC"/>
    <w:rsid w:val="00001C83"/>
    <w:rsid w:val="0000201B"/>
    <w:rsid w:val="000020FE"/>
    <w:rsid w:val="0000236E"/>
    <w:rsid w:val="00002493"/>
    <w:rsid w:val="0000254C"/>
    <w:rsid w:val="000025DD"/>
    <w:rsid w:val="00002622"/>
    <w:rsid w:val="00002643"/>
    <w:rsid w:val="000026E0"/>
    <w:rsid w:val="00002964"/>
    <w:rsid w:val="0000299B"/>
    <w:rsid w:val="00002DA5"/>
    <w:rsid w:val="00002FD2"/>
    <w:rsid w:val="000030D0"/>
    <w:rsid w:val="000031FB"/>
    <w:rsid w:val="000033E8"/>
    <w:rsid w:val="000034D3"/>
    <w:rsid w:val="000034F5"/>
    <w:rsid w:val="00003518"/>
    <w:rsid w:val="0000371F"/>
    <w:rsid w:val="0000394D"/>
    <w:rsid w:val="000039E4"/>
    <w:rsid w:val="00003A6A"/>
    <w:rsid w:val="00003AE3"/>
    <w:rsid w:val="00003B42"/>
    <w:rsid w:val="00003BA7"/>
    <w:rsid w:val="00003DCF"/>
    <w:rsid w:val="00003DF9"/>
    <w:rsid w:val="00003F92"/>
    <w:rsid w:val="00004028"/>
    <w:rsid w:val="000043C8"/>
    <w:rsid w:val="0000442C"/>
    <w:rsid w:val="00004449"/>
    <w:rsid w:val="00004558"/>
    <w:rsid w:val="00004801"/>
    <w:rsid w:val="000049B8"/>
    <w:rsid w:val="00004A3D"/>
    <w:rsid w:val="00004C12"/>
    <w:rsid w:val="00004D96"/>
    <w:rsid w:val="00004EC9"/>
    <w:rsid w:val="00004FBE"/>
    <w:rsid w:val="00005007"/>
    <w:rsid w:val="00005208"/>
    <w:rsid w:val="00005394"/>
    <w:rsid w:val="000055F4"/>
    <w:rsid w:val="00005878"/>
    <w:rsid w:val="000058B3"/>
    <w:rsid w:val="00005912"/>
    <w:rsid w:val="00005946"/>
    <w:rsid w:val="00005AAD"/>
    <w:rsid w:val="00005CDA"/>
    <w:rsid w:val="00005D5A"/>
    <w:rsid w:val="00005E04"/>
    <w:rsid w:val="00005FC5"/>
    <w:rsid w:val="0000623F"/>
    <w:rsid w:val="00006545"/>
    <w:rsid w:val="00006573"/>
    <w:rsid w:val="00006664"/>
    <w:rsid w:val="0000666F"/>
    <w:rsid w:val="000066E3"/>
    <w:rsid w:val="000066EB"/>
    <w:rsid w:val="0000674D"/>
    <w:rsid w:val="00006799"/>
    <w:rsid w:val="000067F6"/>
    <w:rsid w:val="00006823"/>
    <w:rsid w:val="0000682F"/>
    <w:rsid w:val="000069EE"/>
    <w:rsid w:val="00006BCD"/>
    <w:rsid w:val="00006BDD"/>
    <w:rsid w:val="00006CEB"/>
    <w:rsid w:val="00006D78"/>
    <w:rsid w:val="00006DCD"/>
    <w:rsid w:val="00006DDA"/>
    <w:rsid w:val="00006FB4"/>
    <w:rsid w:val="0000709E"/>
    <w:rsid w:val="000071C1"/>
    <w:rsid w:val="000071F5"/>
    <w:rsid w:val="000072BB"/>
    <w:rsid w:val="00007398"/>
    <w:rsid w:val="00007799"/>
    <w:rsid w:val="0000779B"/>
    <w:rsid w:val="0000781B"/>
    <w:rsid w:val="0000786C"/>
    <w:rsid w:val="00007899"/>
    <w:rsid w:val="00007949"/>
    <w:rsid w:val="00007B44"/>
    <w:rsid w:val="00007BFD"/>
    <w:rsid w:val="00007C26"/>
    <w:rsid w:val="00007C82"/>
    <w:rsid w:val="00007D8F"/>
    <w:rsid w:val="00007E77"/>
    <w:rsid w:val="00007ED4"/>
    <w:rsid w:val="00007F46"/>
    <w:rsid w:val="00008ED3"/>
    <w:rsid w:val="000100FA"/>
    <w:rsid w:val="0001035F"/>
    <w:rsid w:val="000105C4"/>
    <w:rsid w:val="0001061B"/>
    <w:rsid w:val="00010669"/>
    <w:rsid w:val="0001083E"/>
    <w:rsid w:val="0001094C"/>
    <w:rsid w:val="00010969"/>
    <w:rsid w:val="00010A97"/>
    <w:rsid w:val="00010A9E"/>
    <w:rsid w:val="00010AC0"/>
    <w:rsid w:val="00010B51"/>
    <w:rsid w:val="00010BA1"/>
    <w:rsid w:val="00010BB3"/>
    <w:rsid w:val="00010C6D"/>
    <w:rsid w:val="00010DFF"/>
    <w:rsid w:val="00010ED4"/>
    <w:rsid w:val="00010F08"/>
    <w:rsid w:val="00010FB6"/>
    <w:rsid w:val="0001118A"/>
    <w:rsid w:val="000112CB"/>
    <w:rsid w:val="000112DF"/>
    <w:rsid w:val="000113BD"/>
    <w:rsid w:val="00011427"/>
    <w:rsid w:val="00011488"/>
    <w:rsid w:val="000114C0"/>
    <w:rsid w:val="00011549"/>
    <w:rsid w:val="000116BC"/>
    <w:rsid w:val="000117F6"/>
    <w:rsid w:val="0001188F"/>
    <w:rsid w:val="000118D1"/>
    <w:rsid w:val="00011957"/>
    <w:rsid w:val="00011A11"/>
    <w:rsid w:val="00011C39"/>
    <w:rsid w:val="00011D28"/>
    <w:rsid w:val="00011E4D"/>
    <w:rsid w:val="00011EE6"/>
    <w:rsid w:val="000121B2"/>
    <w:rsid w:val="0001222D"/>
    <w:rsid w:val="00012323"/>
    <w:rsid w:val="00012412"/>
    <w:rsid w:val="000124AD"/>
    <w:rsid w:val="00012637"/>
    <w:rsid w:val="00012667"/>
    <w:rsid w:val="000126DF"/>
    <w:rsid w:val="000129A9"/>
    <w:rsid w:val="00012A35"/>
    <w:rsid w:val="00012B51"/>
    <w:rsid w:val="00012CEE"/>
    <w:rsid w:val="00012DDE"/>
    <w:rsid w:val="00012F42"/>
    <w:rsid w:val="00012FF0"/>
    <w:rsid w:val="0001307F"/>
    <w:rsid w:val="000130EB"/>
    <w:rsid w:val="000131C4"/>
    <w:rsid w:val="000132FE"/>
    <w:rsid w:val="000133B0"/>
    <w:rsid w:val="0001340E"/>
    <w:rsid w:val="00013497"/>
    <w:rsid w:val="000134C7"/>
    <w:rsid w:val="000135AA"/>
    <w:rsid w:val="00013651"/>
    <w:rsid w:val="00013755"/>
    <w:rsid w:val="0001389A"/>
    <w:rsid w:val="00013902"/>
    <w:rsid w:val="0001393D"/>
    <w:rsid w:val="0001399C"/>
    <w:rsid w:val="00013AC5"/>
    <w:rsid w:val="00013ACD"/>
    <w:rsid w:val="00013C1F"/>
    <w:rsid w:val="00013C8E"/>
    <w:rsid w:val="00013C91"/>
    <w:rsid w:val="00013E3D"/>
    <w:rsid w:val="00013E8E"/>
    <w:rsid w:val="00013F2F"/>
    <w:rsid w:val="00013FD4"/>
    <w:rsid w:val="00014030"/>
    <w:rsid w:val="000140A3"/>
    <w:rsid w:val="000140CA"/>
    <w:rsid w:val="00014135"/>
    <w:rsid w:val="000141CC"/>
    <w:rsid w:val="00014203"/>
    <w:rsid w:val="0001427E"/>
    <w:rsid w:val="00014347"/>
    <w:rsid w:val="0001438A"/>
    <w:rsid w:val="000144CB"/>
    <w:rsid w:val="000146E5"/>
    <w:rsid w:val="00014716"/>
    <w:rsid w:val="00014853"/>
    <w:rsid w:val="000148B2"/>
    <w:rsid w:val="00014957"/>
    <w:rsid w:val="0001498E"/>
    <w:rsid w:val="00014D3E"/>
    <w:rsid w:val="00014DE1"/>
    <w:rsid w:val="00014F03"/>
    <w:rsid w:val="0001510D"/>
    <w:rsid w:val="00015131"/>
    <w:rsid w:val="000151D6"/>
    <w:rsid w:val="00015361"/>
    <w:rsid w:val="00015425"/>
    <w:rsid w:val="0001543C"/>
    <w:rsid w:val="000154C9"/>
    <w:rsid w:val="0001573D"/>
    <w:rsid w:val="0001580D"/>
    <w:rsid w:val="0001597B"/>
    <w:rsid w:val="00015A1B"/>
    <w:rsid w:val="00015C76"/>
    <w:rsid w:val="00015C8B"/>
    <w:rsid w:val="00015D11"/>
    <w:rsid w:val="00015D23"/>
    <w:rsid w:val="00015DAF"/>
    <w:rsid w:val="00015E12"/>
    <w:rsid w:val="00015F43"/>
    <w:rsid w:val="0001600D"/>
    <w:rsid w:val="000160F2"/>
    <w:rsid w:val="000162BD"/>
    <w:rsid w:val="000162E0"/>
    <w:rsid w:val="00016526"/>
    <w:rsid w:val="000165EA"/>
    <w:rsid w:val="00016A1F"/>
    <w:rsid w:val="00016A35"/>
    <w:rsid w:val="00016AFA"/>
    <w:rsid w:val="00016B81"/>
    <w:rsid w:val="00016B87"/>
    <w:rsid w:val="00016C44"/>
    <w:rsid w:val="00016DBC"/>
    <w:rsid w:val="00017000"/>
    <w:rsid w:val="00017297"/>
    <w:rsid w:val="000174C9"/>
    <w:rsid w:val="000175AB"/>
    <w:rsid w:val="00017602"/>
    <w:rsid w:val="00017649"/>
    <w:rsid w:val="000177A1"/>
    <w:rsid w:val="00017858"/>
    <w:rsid w:val="00017859"/>
    <w:rsid w:val="00017A8B"/>
    <w:rsid w:val="00017A8D"/>
    <w:rsid w:val="00017B65"/>
    <w:rsid w:val="00017BA3"/>
    <w:rsid w:val="00017C8E"/>
    <w:rsid w:val="00017D39"/>
    <w:rsid w:val="00017E2F"/>
    <w:rsid w:val="00017E36"/>
    <w:rsid w:val="00017F05"/>
    <w:rsid w:val="00017F0E"/>
    <w:rsid w:val="0002003A"/>
    <w:rsid w:val="0002007E"/>
    <w:rsid w:val="00020136"/>
    <w:rsid w:val="000201CC"/>
    <w:rsid w:val="000202DD"/>
    <w:rsid w:val="0002038B"/>
    <w:rsid w:val="0002041A"/>
    <w:rsid w:val="000204DE"/>
    <w:rsid w:val="000204E3"/>
    <w:rsid w:val="0002050D"/>
    <w:rsid w:val="000206E2"/>
    <w:rsid w:val="0002078B"/>
    <w:rsid w:val="000208A9"/>
    <w:rsid w:val="000208C1"/>
    <w:rsid w:val="000208DC"/>
    <w:rsid w:val="00020C97"/>
    <w:rsid w:val="00020D1D"/>
    <w:rsid w:val="00020FAB"/>
    <w:rsid w:val="00021084"/>
    <w:rsid w:val="00021315"/>
    <w:rsid w:val="0002134D"/>
    <w:rsid w:val="0002135B"/>
    <w:rsid w:val="00021414"/>
    <w:rsid w:val="0002143A"/>
    <w:rsid w:val="00021729"/>
    <w:rsid w:val="00021997"/>
    <w:rsid w:val="00021ACE"/>
    <w:rsid w:val="00021B82"/>
    <w:rsid w:val="00021C63"/>
    <w:rsid w:val="00021D36"/>
    <w:rsid w:val="00021E17"/>
    <w:rsid w:val="00021E1D"/>
    <w:rsid w:val="00021F05"/>
    <w:rsid w:val="000220C2"/>
    <w:rsid w:val="00022206"/>
    <w:rsid w:val="000222A1"/>
    <w:rsid w:val="00022392"/>
    <w:rsid w:val="00022730"/>
    <w:rsid w:val="000227EB"/>
    <w:rsid w:val="000228FD"/>
    <w:rsid w:val="00022904"/>
    <w:rsid w:val="0002290F"/>
    <w:rsid w:val="00022B61"/>
    <w:rsid w:val="00022E05"/>
    <w:rsid w:val="00022E1E"/>
    <w:rsid w:val="00022FFB"/>
    <w:rsid w:val="00023053"/>
    <w:rsid w:val="000230CF"/>
    <w:rsid w:val="00023308"/>
    <w:rsid w:val="0002338B"/>
    <w:rsid w:val="00023415"/>
    <w:rsid w:val="0002399A"/>
    <w:rsid w:val="00023B01"/>
    <w:rsid w:val="00023C11"/>
    <w:rsid w:val="000240BF"/>
    <w:rsid w:val="000241B1"/>
    <w:rsid w:val="0002442C"/>
    <w:rsid w:val="000244BC"/>
    <w:rsid w:val="0002469B"/>
    <w:rsid w:val="0002473D"/>
    <w:rsid w:val="0002474D"/>
    <w:rsid w:val="00024760"/>
    <w:rsid w:val="000247A5"/>
    <w:rsid w:val="0002488F"/>
    <w:rsid w:val="000249FD"/>
    <w:rsid w:val="00024A4D"/>
    <w:rsid w:val="00024A7A"/>
    <w:rsid w:val="00024B30"/>
    <w:rsid w:val="00024C6B"/>
    <w:rsid w:val="00024DA4"/>
    <w:rsid w:val="00024E00"/>
    <w:rsid w:val="000252D9"/>
    <w:rsid w:val="000253D3"/>
    <w:rsid w:val="00025515"/>
    <w:rsid w:val="000255CA"/>
    <w:rsid w:val="000256A0"/>
    <w:rsid w:val="000256E0"/>
    <w:rsid w:val="000256FA"/>
    <w:rsid w:val="000257A1"/>
    <w:rsid w:val="00025832"/>
    <w:rsid w:val="000259F4"/>
    <w:rsid w:val="00025A24"/>
    <w:rsid w:val="00025AF4"/>
    <w:rsid w:val="00025B2F"/>
    <w:rsid w:val="00025B72"/>
    <w:rsid w:val="00025C41"/>
    <w:rsid w:val="00025CFA"/>
    <w:rsid w:val="00025D20"/>
    <w:rsid w:val="00025D6D"/>
    <w:rsid w:val="00025D91"/>
    <w:rsid w:val="00025E29"/>
    <w:rsid w:val="00025E72"/>
    <w:rsid w:val="00025E75"/>
    <w:rsid w:val="00025F90"/>
    <w:rsid w:val="00025FC7"/>
    <w:rsid w:val="0002607E"/>
    <w:rsid w:val="00026171"/>
    <w:rsid w:val="000261BF"/>
    <w:rsid w:val="00026239"/>
    <w:rsid w:val="000262B7"/>
    <w:rsid w:val="000263FD"/>
    <w:rsid w:val="00026504"/>
    <w:rsid w:val="00026508"/>
    <w:rsid w:val="000266E8"/>
    <w:rsid w:val="00026715"/>
    <w:rsid w:val="000267A9"/>
    <w:rsid w:val="000267AD"/>
    <w:rsid w:val="0002692B"/>
    <w:rsid w:val="000269B9"/>
    <w:rsid w:val="00026A79"/>
    <w:rsid w:val="00026B6F"/>
    <w:rsid w:val="00026C3C"/>
    <w:rsid w:val="00026D06"/>
    <w:rsid w:val="00026E40"/>
    <w:rsid w:val="00026F8F"/>
    <w:rsid w:val="00026FCD"/>
    <w:rsid w:val="000271CC"/>
    <w:rsid w:val="000272C9"/>
    <w:rsid w:val="0002744B"/>
    <w:rsid w:val="000276F2"/>
    <w:rsid w:val="00027752"/>
    <w:rsid w:val="00027862"/>
    <w:rsid w:val="00027878"/>
    <w:rsid w:val="000278AC"/>
    <w:rsid w:val="000278F6"/>
    <w:rsid w:val="000279FE"/>
    <w:rsid w:val="00027AA1"/>
    <w:rsid w:val="00027B10"/>
    <w:rsid w:val="00027CEC"/>
    <w:rsid w:val="00027D4E"/>
    <w:rsid w:val="00027F29"/>
    <w:rsid w:val="000300DD"/>
    <w:rsid w:val="0003019F"/>
    <w:rsid w:val="000301B8"/>
    <w:rsid w:val="000301E7"/>
    <w:rsid w:val="00030216"/>
    <w:rsid w:val="00030382"/>
    <w:rsid w:val="00030487"/>
    <w:rsid w:val="0003059D"/>
    <w:rsid w:val="0003065A"/>
    <w:rsid w:val="0003084E"/>
    <w:rsid w:val="00030915"/>
    <w:rsid w:val="00030A9D"/>
    <w:rsid w:val="00030BBD"/>
    <w:rsid w:val="00030D7D"/>
    <w:rsid w:val="00030E87"/>
    <w:rsid w:val="00031137"/>
    <w:rsid w:val="000313E4"/>
    <w:rsid w:val="00031525"/>
    <w:rsid w:val="000315D3"/>
    <w:rsid w:val="0003170B"/>
    <w:rsid w:val="0003173A"/>
    <w:rsid w:val="000317E2"/>
    <w:rsid w:val="0003185D"/>
    <w:rsid w:val="00031BA7"/>
    <w:rsid w:val="00031BC5"/>
    <w:rsid w:val="00031E18"/>
    <w:rsid w:val="00031EC1"/>
    <w:rsid w:val="00031F6E"/>
    <w:rsid w:val="00031FEC"/>
    <w:rsid w:val="000320A8"/>
    <w:rsid w:val="000321BB"/>
    <w:rsid w:val="00032206"/>
    <w:rsid w:val="000322E3"/>
    <w:rsid w:val="000323A5"/>
    <w:rsid w:val="0003247C"/>
    <w:rsid w:val="000326F6"/>
    <w:rsid w:val="00032711"/>
    <w:rsid w:val="0003273A"/>
    <w:rsid w:val="000328F9"/>
    <w:rsid w:val="00032A33"/>
    <w:rsid w:val="00032B3B"/>
    <w:rsid w:val="00032BC5"/>
    <w:rsid w:val="00032C95"/>
    <w:rsid w:val="00032E24"/>
    <w:rsid w:val="00032E57"/>
    <w:rsid w:val="00032ECC"/>
    <w:rsid w:val="00032EEE"/>
    <w:rsid w:val="00032F2C"/>
    <w:rsid w:val="00032FE3"/>
    <w:rsid w:val="000330B9"/>
    <w:rsid w:val="000331C0"/>
    <w:rsid w:val="000331D8"/>
    <w:rsid w:val="000332FD"/>
    <w:rsid w:val="00033404"/>
    <w:rsid w:val="00033464"/>
    <w:rsid w:val="00033509"/>
    <w:rsid w:val="0003362B"/>
    <w:rsid w:val="0003363A"/>
    <w:rsid w:val="0003380C"/>
    <w:rsid w:val="000338AC"/>
    <w:rsid w:val="00033A6B"/>
    <w:rsid w:val="00033A8E"/>
    <w:rsid w:val="00033A99"/>
    <w:rsid w:val="00033B1B"/>
    <w:rsid w:val="00033B85"/>
    <w:rsid w:val="00033D18"/>
    <w:rsid w:val="00033D50"/>
    <w:rsid w:val="00033D80"/>
    <w:rsid w:val="00033E82"/>
    <w:rsid w:val="00033F7F"/>
    <w:rsid w:val="00034149"/>
    <w:rsid w:val="00034289"/>
    <w:rsid w:val="000344D0"/>
    <w:rsid w:val="0003451A"/>
    <w:rsid w:val="00034575"/>
    <w:rsid w:val="00034670"/>
    <w:rsid w:val="00034782"/>
    <w:rsid w:val="0003478F"/>
    <w:rsid w:val="00034C12"/>
    <w:rsid w:val="00034C63"/>
    <w:rsid w:val="00034D89"/>
    <w:rsid w:val="00034EC1"/>
    <w:rsid w:val="00034F0B"/>
    <w:rsid w:val="0003509C"/>
    <w:rsid w:val="00035198"/>
    <w:rsid w:val="000351D5"/>
    <w:rsid w:val="00035447"/>
    <w:rsid w:val="0003545E"/>
    <w:rsid w:val="00035671"/>
    <w:rsid w:val="00035688"/>
    <w:rsid w:val="00035752"/>
    <w:rsid w:val="00035845"/>
    <w:rsid w:val="000358FB"/>
    <w:rsid w:val="000359E0"/>
    <w:rsid w:val="00035A43"/>
    <w:rsid w:val="00035B9F"/>
    <w:rsid w:val="00035C52"/>
    <w:rsid w:val="00035CFC"/>
    <w:rsid w:val="00035E22"/>
    <w:rsid w:val="00035E4C"/>
    <w:rsid w:val="00035EE6"/>
    <w:rsid w:val="0003602B"/>
    <w:rsid w:val="00036032"/>
    <w:rsid w:val="000361F6"/>
    <w:rsid w:val="0003621A"/>
    <w:rsid w:val="00036355"/>
    <w:rsid w:val="000365BF"/>
    <w:rsid w:val="00036773"/>
    <w:rsid w:val="000368FD"/>
    <w:rsid w:val="0003696A"/>
    <w:rsid w:val="000369AB"/>
    <w:rsid w:val="000369C7"/>
    <w:rsid w:val="00036AF6"/>
    <w:rsid w:val="00036BC9"/>
    <w:rsid w:val="00036CAB"/>
    <w:rsid w:val="00036CAF"/>
    <w:rsid w:val="00036F6B"/>
    <w:rsid w:val="00037184"/>
    <w:rsid w:val="000372F6"/>
    <w:rsid w:val="0003736C"/>
    <w:rsid w:val="000373BE"/>
    <w:rsid w:val="00037461"/>
    <w:rsid w:val="00037519"/>
    <w:rsid w:val="00037551"/>
    <w:rsid w:val="000377CA"/>
    <w:rsid w:val="000377CD"/>
    <w:rsid w:val="00037899"/>
    <w:rsid w:val="00037945"/>
    <w:rsid w:val="00037AF8"/>
    <w:rsid w:val="00037BD1"/>
    <w:rsid w:val="00037BE1"/>
    <w:rsid w:val="00037D9D"/>
    <w:rsid w:val="00037DB1"/>
    <w:rsid w:val="00040210"/>
    <w:rsid w:val="0004024B"/>
    <w:rsid w:val="00040280"/>
    <w:rsid w:val="000402BE"/>
    <w:rsid w:val="0004051B"/>
    <w:rsid w:val="00040646"/>
    <w:rsid w:val="00040659"/>
    <w:rsid w:val="0004067D"/>
    <w:rsid w:val="0004069C"/>
    <w:rsid w:val="000407F0"/>
    <w:rsid w:val="0004087C"/>
    <w:rsid w:val="00040897"/>
    <w:rsid w:val="00040939"/>
    <w:rsid w:val="00040A38"/>
    <w:rsid w:val="00040B92"/>
    <w:rsid w:val="00040CE1"/>
    <w:rsid w:val="00040E4A"/>
    <w:rsid w:val="00041175"/>
    <w:rsid w:val="00041176"/>
    <w:rsid w:val="000411CB"/>
    <w:rsid w:val="00041331"/>
    <w:rsid w:val="0004145B"/>
    <w:rsid w:val="0004149D"/>
    <w:rsid w:val="000414F2"/>
    <w:rsid w:val="000416C2"/>
    <w:rsid w:val="00041778"/>
    <w:rsid w:val="00041825"/>
    <w:rsid w:val="00041900"/>
    <w:rsid w:val="00041904"/>
    <w:rsid w:val="000419D2"/>
    <w:rsid w:val="00041B63"/>
    <w:rsid w:val="00041BBA"/>
    <w:rsid w:val="00041BD8"/>
    <w:rsid w:val="00041C59"/>
    <w:rsid w:val="00041D76"/>
    <w:rsid w:val="00041DA9"/>
    <w:rsid w:val="000422C1"/>
    <w:rsid w:val="00042315"/>
    <w:rsid w:val="0004251C"/>
    <w:rsid w:val="0004271F"/>
    <w:rsid w:val="000427D0"/>
    <w:rsid w:val="00042973"/>
    <w:rsid w:val="000429C8"/>
    <w:rsid w:val="00042A52"/>
    <w:rsid w:val="00042A87"/>
    <w:rsid w:val="00042B4A"/>
    <w:rsid w:val="00042C60"/>
    <w:rsid w:val="00042D55"/>
    <w:rsid w:val="00042E52"/>
    <w:rsid w:val="000430F8"/>
    <w:rsid w:val="0004329F"/>
    <w:rsid w:val="000433C7"/>
    <w:rsid w:val="00043552"/>
    <w:rsid w:val="00043640"/>
    <w:rsid w:val="0004366D"/>
    <w:rsid w:val="0004372F"/>
    <w:rsid w:val="00043859"/>
    <w:rsid w:val="00043944"/>
    <w:rsid w:val="000439D5"/>
    <w:rsid w:val="000439DC"/>
    <w:rsid w:val="00043DA7"/>
    <w:rsid w:val="00043DCF"/>
    <w:rsid w:val="00043E9B"/>
    <w:rsid w:val="000440D3"/>
    <w:rsid w:val="00044180"/>
    <w:rsid w:val="0004436F"/>
    <w:rsid w:val="000443B4"/>
    <w:rsid w:val="0004451B"/>
    <w:rsid w:val="0004457E"/>
    <w:rsid w:val="00044612"/>
    <w:rsid w:val="00044763"/>
    <w:rsid w:val="00044809"/>
    <w:rsid w:val="0004488E"/>
    <w:rsid w:val="00044905"/>
    <w:rsid w:val="00044A39"/>
    <w:rsid w:val="00044A88"/>
    <w:rsid w:val="00044B14"/>
    <w:rsid w:val="00044B89"/>
    <w:rsid w:val="00044D10"/>
    <w:rsid w:val="00044E48"/>
    <w:rsid w:val="0004510B"/>
    <w:rsid w:val="00045129"/>
    <w:rsid w:val="00045172"/>
    <w:rsid w:val="000451BC"/>
    <w:rsid w:val="000451D7"/>
    <w:rsid w:val="000453CC"/>
    <w:rsid w:val="00045411"/>
    <w:rsid w:val="0004557B"/>
    <w:rsid w:val="000455D8"/>
    <w:rsid w:val="00045606"/>
    <w:rsid w:val="00045747"/>
    <w:rsid w:val="00045755"/>
    <w:rsid w:val="000457DF"/>
    <w:rsid w:val="0004591E"/>
    <w:rsid w:val="0004596B"/>
    <w:rsid w:val="00045A38"/>
    <w:rsid w:val="00045A4A"/>
    <w:rsid w:val="00045AF4"/>
    <w:rsid w:val="00045AFC"/>
    <w:rsid w:val="00045B36"/>
    <w:rsid w:val="00045BD3"/>
    <w:rsid w:val="00045BEE"/>
    <w:rsid w:val="00045C2B"/>
    <w:rsid w:val="00045CC3"/>
    <w:rsid w:val="00045CC5"/>
    <w:rsid w:val="00045D9B"/>
    <w:rsid w:val="00045E1F"/>
    <w:rsid w:val="00045EF9"/>
    <w:rsid w:val="00045F09"/>
    <w:rsid w:val="00045F0A"/>
    <w:rsid w:val="00045F4E"/>
    <w:rsid w:val="00046127"/>
    <w:rsid w:val="000461DB"/>
    <w:rsid w:val="000465FA"/>
    <w:rsid w:val="00046728"/>
    <w:rsid w:val="00046876"/>
    <w:rsid w:val="0004691E"/>
    <w:rsid w:val="000469DE"/>
    <w:rsid w:val="00046AFE"/>
    <w:rsid w:val="00046BDA"/>
    <w:rsid w:val="00046C0A"/>
    <w:rsid w:val="00046ED7"/>
    <w:rsid w:val="00047061"/>
    <w:rsid w:val="000470E8"/>
    <w:rsid w:val="00047111"/>
    <w:rsid w:val="00047123"/>
    <w:rsid w:val="0004733B"/>
    <w:rsid w:val="000473C1"/>
    <w:rsid w:val="00047428"/>
    <w:rsid w:val="00047786"/>
    <w:rsid w:val="000478DC"/>
    <w:rsid w:val="0004797A"/>
    <w:rsid w:val="000479E6"/>
    <w:rsid w:val="00047AE5"/>
    <w:rsid w:val="00047B9C"/>
    <w:rsid w:val="00047E27"/>
    <w:rsid w:val="00047E89"/>
    <w:rsid w:val="00047E8D"/>
    <w:rsid w:val="00047F6B"/>
    <w:rsid w:val="0005001C"/>
    <w:rsid w:val="00050057"/>
    <w:rsid w:val="00050123"/>
    <w:rsid w:val="0005012D"/>
    <w:rsid w:val="0005024A"/>
    <w:rsid w:val="000503B8"/>
    <w:rsid w:val="00050676"/>
    <w:rsid w:val="0005077D"/>
    <w:rsid w:val="000507E0"/>
    <w:rsid w:val="00050C4F"/>
    <w:rsid w:val="00050D13"/>
    <w:rsid w:val="00050DF5"/>
    <w:rsid w:val="00050E69"/>
    <w:rsid w:val="00050FD0"/>
    <w:rsid w:val="00050FFC"/>
    <w:rsid w:val="00051181"/>
    <w:rsid w:val="000511B4"/>
    <w:rsid w:val="0005125D"/>
    <w:rsid w:val="00051498"/>
    <w:rsid w:val="00051604"/>
    <w:rsid w:val="0005164F"/>
    <w:rsid w:val="0005179B"/>
    <w:rsid w:val="000518EF"/>
    <w:rsid w:val="00051A6C"/>
    <w:rsid w:val="00051B75"/>
    <w:rsid w:val="00051BCF"/>
    <w:rsid w:val="00051C7A"/>
    <w:rsid w:val="00051F60"/>
    <w:rsid w:val="00052030"/>
    <w:rsid w:val="0005232B"/>
    <w:rsid w:val="0005237C"/>
    <w:rsid w:val="000523C5"/>
    <w:rsid w:val="00052533"/>
    <w:rsid w:val="000525D9"/>
    <w:rsid w:val="000527E9"/>
    <w:rsid w:val="00052B72"/>
    <w:rsid w:val="00052BBF"/>
    <w:rsid w:val="00052BF4"/>
    <w:rsid w:val="00052C84"/>
    <w:rsid w:val="00052E5F"/>
    <w:rsid w:val="00052EF9"/>
    <w:rsid w:val="00052FB4"/>
    <w:rsid w:val="00053008"/>
    <w:rsid w:val="000530BF"/>
    <w:rsid w:val="000530F5"/>
    <w:rsid w:val="000531BF"/>
    <w:rsid w:val="000531C2"/>
    <w:rsid w:val="000532DC"/>
    <w:rsid w:val="000533B8"/>
    <w:rsid w:val="000533E4"/>
    <w:rsid w:val="000534FD"/>
    <w:rsid w:val="0005356F"/>
    <w:rsid w:val="00053578"/>
    <w:rsid w:val="00053741"/>
    <w:rsid w:val="0005382E"/>
    <w:rsid w:val="00053894"/>
    <w:rsid w:val="00053912"/>
    <w:rsid w:val="00053958"/>
    <w:rsid w:val="0005398E"/>
    <w:rsid w:val="000539D8"/>
    <w:rsid w:val="000539E2"/>
    <w:rsid w:val="00053C3B"/>
    <w:rsid w:val="00053D18"/>
    <w:rsid w:val="00053D49"/>
    <w:rsid w:val="00053E54"/>
    <w:rsid w:val="00054137"/>
    <w:rsid w:val="00054161"/>
    <w:rsid w:val="000541BC"/>
    <w:rsid w:val="0005420B"/>
    <w:rsid w:val="00054218"/>
    <w:rsid w:val="00054378"/>
    <w:rsid w:val="00054410"/>
    <w:rsid w:val="00054543"/>
    <w:rsid w:val="00054596"/>
    <w:rsid w:val="00054625"/>
    <w:rsid w:val="00054661"/>
    <w:rsid w:val="00054671"/>
    <w:rsid w:val="00054714"/>
    <w:rsid w:val="00054827"/>
    <w:rsid w:val="000548BF"/>
    <w:rsid w:val="000549AA"/>
    <w:rsid w:val="00054A6A"/>
    <w:rsid w:val="00054A96"/>
    <w:rsid w:val="00054BA5"/>
    <w:rsid w:val="00054CC3"/>
    <w:rsid w:val="00054D22"/>
    <w:rsid w:val="00054D24"/>
    <w:rsid w:val="00054D6A"/>
    <w:rsid w:val="00054EBA"/>
    <w:rsid w:val="0005508D"/>
    <w:rsid w:val="000552CA"/>
    <w:rsid w:val="00055316"/>
    <w:rsid w:val="000553FE"/>
    <w:rsid w:val="0005543E"/>
    <w:rsid w:val="0005569B"/>
    <w:rsid w:val="0005580C"/>
    <w:rsid w:val="0005585C"/>
    <w:rsid w:val="0005587F"/>
    <w:rsid w:val="0005595F"/>
    <w:rsid w:val="000559D4"/>
    <w:rsid w:val="00055AA4"/>
    <w:rsid w:val="00055C72"/>
    <w:rsid w:val="00055E74"/>
    <w:rsid w:val="00055F93"/>
    <w:rsid w:val="000560FA"/>
    <w:rsid w:val="0005615E"/>
    <w:rsid w:val="000563D0"/>
    <w:rsid w:val="000564E0"/>
    <w:rsid w:val="00056503"/>
    <w:rsid w:val="000565E1"/>
    <w:rsid w:val="000565F0"/>
    <w:rsid w:val="00056628"/>
    <w:rsid w:val="000566CD"/>
    <w:rsid w:val="00056752"/>
    <w:rsid w:val="00056769"/>
    <w:rsid w:val="00056879"/>
    <w:rsid w:val="00056889"/>
    <w:rsid w:val="000568C1"/>
    <w:rsid w:val="0005694C"/>
    <w:rsid w:val="0005696B"/>
    <w:rsid w:val="0005698D"/>
    <w:rsid w:val="0005698E"/>
    <w:rsid w:val="00056A81"/>
    <w:rsid w:val="00056CFA"/>
    <w:rsid w:val="00056DC3"/>
    <w:rsid w:val="00056E7A"/>
    <w:rsid w:val="00056F26"/>
    <w:rsid w:val="00057064"/>
    <w:rsid w:val="00057070"/>
    <w:rsid w:val="000570A4"/>
    <w:rsid w:val="00057451"/>
    <w:rsid w:val="0005745A"/>
    <w:rsid w:val="00057496"/>
    <w:rsid w:val="00057539"/>
    <w:rsid w:val="00057547"/>
    <w:rsid w:val="00057591"/>
    <w:rsid w:val="0005768A"/>
    <w:rsid w:val="00057796"/>
    <w:rsid w:val="00057852"/>
    <w:rsid w:val="0005786D"/>
    <w:rsid w:val="0005796B"/>
    <w:rsid w:val="00057A1F"/>
    <w:rsid w:val="00057C75"/>
    <w:rsid w:val="00057CAC"/>
    <w:rsid w:val="00057CB0"/>
    <w:rsid w:val="00057D4A"/>
    <w:rsid w:val="00057DC3"/>
    <w:rsid w:val="00057E9A"/>
    <w:rsid w:val="00057F24"/>
    <w:rsid w:val="00057F50"/>
    <w:rsid w:val="00057F5C"/>
    <w:rsid w:val="00057FB2"/>
    <w:rsid w:val="00060099"/>
    <w:rsid w:val="0006018A"/>
    <w:rsid w:val="00060203"/>
    <w:rsid w:val="0006020A"/>
    <w:rsid w:val="00060251"/>
    <w:rsid w:val="00060255"/>
    <w:rsid w:val="000602E5"/>
    <w:rsid w:val="00060582"/>
    <w:rsid w:val="00060955"/>
    <w:rsid w:val="0006099E"/>
    <w:rsid w:val="00060A5E"/>
    <w:rsid w:val="00060CF0"/>
    <w:rsid w:val="00060D1B"/>
    <w:rsid w:val="00060D68"/>
    <w:rsid w:val="00060E37"/>
    <w:rsid w:val="00060ED6"/>
    <w:rsid w:val="00060EFD"/>
    <w:rsid w:val="00060F32"/>
    <w:rsid w:val="00060F9D"/>
    <w:rsid w:val="0006104F"/>
    <w:rsid w:val="000610DF"/>
    <w:rsid w:val="00061148"/>
    <w:rsid w:val="00061218"/>
    <w:rsid w:val="0006125E"/>
    <w:rsid w:val="000613F1"/>
    <w:rsid w:val="0006159A"/>
    <w:rsid w:val="000615BE"/>
    <w:rsid w:val="000617CD"/>
    <w:rsid w:val="000619C3"/>
    <w:rsid w:val="00061A0A"/>
    <w:rsid w:val="00061C0A"/>
    <w:rsid w:val="00061C5C"/>
    <w:rsid w:val="00061CA4"/>
    <w:rsid w:val="00061D1A"/>
    <w:rsid w:val="00061D86"/>
    <w:rsid w:val="00061DCF"/>
    <w:rsid w:val="00061E37"/>
    <w:rsid w:val="00061EC9"/>
    <w:rsid w:val="00061FD8"/>
    <w:rsid w:val="000621B3"/>
    <w:rsid w:val="0006225D"/>
    <w:rsid w:val="000622F5"/>
    <w:rsid w:val="00062395"/>
    <w:rsid w:val="000623FE"/>
    <w:rsid w:val="00062406"/>
    <w:rsid w:val="000624D8"/>
    <w:rsid w:val="00062516"/>
    <w:rsid w:val="0006263A"/>
    <w:rsid w:val="00062681"/>
    <w:rsid w:val="000627D0"/>
    <w:rsid w:val="000627E8"/>
    <w:rsid w:val="00062839"/>
    <w:rsid w:val="00062854"/>
    <w:rsid w:val="00062B02"/>
    <w:rsid w:val="00062B5F"/>
    <w:rsid w:val="00062B6B"/>
    <w:rsid w:val="00062C30"/>
    <w:rsid w:val="00062C8D"/>
    <w:rsid w:val="00062C93"/>
    <w:rsid w:val="00062C9C"/>
    <w:rsid w:val="00062CFC"/>
    <w:rsid w:val="00062D31"/>
    <w:rsid w:val="00062D8B"/>
    <w:rsid w:val="00062DCA"/>
    <w:rsid w:val="00062EA5"/>
    <w:rsid w:val="0006318E"/>
    <w:rsid w:val="000631B5"/>
    <w:rsid w:val="00063469"/>
    <w:rsid w:val="0006347B"/>
    <w:rsid w:val="000635A0"/>
    <w:rsid w:val="000635A1"/>
    <w:rsid w:val="00063613"/>
    <w:rsid w:val="00063795"/>
    <w:rsid w:val="00063A2E"/>
    <w:rsid w:val="00063BAB"/>
    <w:rsid w:val="00063DA5"/>
    <w:rsid w:val="00063DB5"/>
    <w:rsid w:val="00063DBA"/>
    <w:rsid w:val="00063DD4"/>
    <w:rsid w:val="00063DFA"/>
    <w:rsid w:val="00063E23"/>
    <w:rsid w:val="00063E96"/>
    <w:rsid w:val="000640AD"/>
    <w:rsid w:val="000640BA"/>
    <w:rsid w:val="000641A8"/>
    <w:rsid w:val="00064224"/>
    <w:rsid w:val="000642D6"/>
    <w:rsid w:val="000643C3"/>
    <w:rsid w:val="0006447E"/>
    <w:rsid w:val="0006465C"/>
    <w:rsid w:val="00064886"/>
    <w:rsid w:val="00064987"/>
    <w:rsid w:val="000649C5"/>
    <w:rsid w:val="000649E7"/>
    <w:rsid w:val="00064A38"/>
    <w:rsid w:val="00064A89"/>
    <w:rsid w:val="00064C7D"/>
    <w:rsid w:val="00064FF2"/>
    <w:rsid w:val="00065061"/>
    <w:rsid w:val="000650C7"/>
    <w:rsid w:val="0006561C"/>
    <w:rsid w:val="000656E9"/>
    <w:rsid w:val="000656F5"/>
    <w:rsid w:val="00065764"/>
    <w:rsid w:val="000657FA"/>
    <w:rsid w:val="000658BF"/>
    <w:rsid w:val="000658F0"/>
    <w:rsid w:val="00065A8E"/>
    <w:rsid w:val="00065BA2"/>
    <w:rsid w:val="00065CA6"/>
    <w:rsid w:val="00065D02"/>
    <w:rsid w:val="00065D9F"/>
    <w:rsid w:val="00065E22"/>
    <w:rsid w:val="00065F21"/>
    <w:rsid w:val="00065F4D"/>
    <w:rsid w:val="00065F51"/>
    <w:rsid w:val="000660CF"/>
    <w:rsid w:val="0006612D"/>
    <w:rsid w:val="000661F5"/>
    <w:rsid w:val="00066351"/>
    <w:rsid w:val="00066470"/>
    <w:rsid w:val="00066471"/>
    <w:rsid w:val="000664B8"/>
    <w:rsid w:val="000664C3"/>
    <w:rsid w:val="000664D7"/>
    <w:rsid w:val="000665FE"/>
    <w:rsid w:val="0006664A"/>
    <w:rsid w:val="0006672D"/>
    <w:rsid w:val="0006676C"/>
    <w:rsid w:val="00066815"/>
    <w:rsid w:val="0006683E"/>
    <w:rsid w:val="00066DDB"/>
    <w:rsid w:val="00066F84"/>
    <w:rsid w:val="00067122"/>
    <w:rsid w:val="0006727D"/>
    <w:rsid w:val="00067313"/>
    <w:rsid w:val="00067337"/>
    <w:rsid w:val="000675D2"/>
    <w:rsid w:val="000675E6"/>
    <w:rsid w:val="00067602"/>
    <w:rsid w:val="0006765B"/>
    <w:rsid w:val="00067706"/>
    <w:rsid w:val="00067791"/>
    <w:rsid w:val="000679BE"/>
    <w:rsid w:val="00067AD6"/>
    <w:rsid w:val="00067B71"/>
    <w:rsid w:val="00067BC6"/>
    <w:rsid w:val="00067D72"/>
    <w:rsid w:val="00067D89"/>
    <w:rsid w:val="00067DF5"/>
    <w:rsid w:val="00067E6E"/>
    <w:rsid w:val="00067F3D"/>
    <w:rsid w:val="0007037A"/>
    <w:rsid w:val="0007039C"/>
    <w:rsid w:val="000703F6"/>
    <w:rsid w:val="000704BE"/>
    <w:rsid w:val="00070505"/>
    <w:rsid w:val="00070537"/>
    <w:rsid w:val="000705B6"/>
    <w:rsid w:val="000706DA"/>
    <w:rsid w:val="000707E2"/>
    <w:rsid w:val="0007080C"/>
    <w:rsid w:val="0007083C"/>
    <w:rsid w:val="00070875"/>
    <w:rsid w:val="0007087A"/>
    <w:rsid w:val="00070C4D"/>
    <w:rsid w:val="00070E36"/>
    <w:rsid w:val="00070E8D"/>
    <w:rsid w:val="00070F3D"/>
    <w:rsid w:val="00070FF3"/>
    <w:rsid w:val="00071093"/>
    <w:rsid w:val="0007115A"/>
    <w:rsid w:val="000712B7"/>
    <w:rsid w:val="00071314"/>
    <w:rsid w:val="0007144C"/>
    <w:rsid w:val="00071521"/>
    <w:rsid w:val="00071544"/>
    <w:rsid w:val="000717C5"/>
    <w:rsid w:val="00071A78"/>
    <w:rsid w:val="00071CB9"/>
    <w:rsid w:val="0007200E"/>
    <w:rsid w:val="00072126"/>
    <w:rsid w:val="00072322"/>
    <w:rsid w:val="000725C5"/>
    <w:rsid w:val="000726A2"/>
    <w:rsid w:val="00072758"/>
    <w:rsid w:val="00072811"/>
    <w:rsid w:val="00072A32"/>
    <w:rsid w:val="00072AFF"/>
    <w:rsid w:val="00072BB4"/>
    <w:rsid w:val="00072D54"/>
    <w:rsid w:val="00072DD8"/>
    <w:rsid w:val="00072E9F"/>
    <w:rsid w:val="00072ED8"/>
    <w:rsid w:val="00072EE3"/>
    <w:rsid w:val="00072F88"/>
    <w:rsid w:val="000730B0"/>
    <w:rsid w:val="000730E8"/>
    <w:rsid w:val="00073143"/>
    <w:rsid w:val="00073176"/>
    <w:rsid w:val="000731C2"/>
    <w:rsid w:val="000732FE"/>
    <w:rsid w:val="0007344F"/>
    <w:rsid w:val="000734B6"/>
    <w:rsid w:val="00073525"/>
    <w:rsid w:val="00073608"/>
    <w:rsid w:val="0007369F"/>
    <w:rsid w:val="000736C5"/>
    <w:rsid w:val="000736D3"/>
    <w:rsid w:val="000738AE"/>
    <w:rsid w:val="000738E8"/>
    <w:rsid w:val="00073A65"/>
    <w:rsid w:val="00073DEE"/>
    <w:rsid w:val="00073F80"/>
    <w:rsid w:val="0007417D"/>
    <w:rsid w:val="00074191"/>
    <w:rsid w:val="00074328"/>
    <w:rsid w:val="0007432F"/>
    <w:rsid w:val="0007438A"/>
    <w:rsid w:val="000744B9"/>
    <w:rsid w:val="0007474F"/>
    <w:rsid w:val="00074820"/>
    <w:rsid w:val="00074951"/>
    <w:rsid w:val="00074967"/>
    <w:rsid w:val="00074997"/>
    <w:rsid w:val="000749A5"/>
    <w:rsid w:val="00074AE9"/>
    <w:rsid w:val="00074B4C"/>
    <w:rsid w:val="00074BA2"/>
    <w:rsid w:val="00074D0C"/>
    <w:rsid w:val="00074D5C"/>
    <w:rsid w:val="00074DD6"/>
    <w:rsid w:val="00074EC6"/>
    <w:rsid w:val="00074F9E"/>
    <w:rsid w:val="000750A7"/>
    <w:rsid w:val="000751EF"/>
    <w:rsid w:val="000753C9"/>
    <w:rsid w:val="00075420"/>
    <w:rsid w:val="00075452"/>
    <w:rsid w:val="00075630"/>
    <w:rsid w:val="0007570D"/>
    <w:rsid w:val="00075746"/>
    <w:rsid w:val="0007575E"/>
    <w:rsid w:val="00075843"/>
    <w:rsid w:val="00075913"/>
    <w:rsid w:val="0007597F"/>
    <w:rsid w:val="00075A32"/>
    <w:rsid w:val="00075ADE"/>
    <w:rsid w:val="00075B22"/>
    <w:rsid w:val="00075D03"/>
    <w:rsid w:val="00075D3B"/>
    <w:rsid w:val="00075E8B"/>
    <w:rsid w:val="00075EC5"/>
    <w:rsid w:val="00075F17"/>
    <w:rsid w:val="00075FEA"/>
    <w:rsid w:val="00076020"/>
    <w:rsid w:val="0007613B"/>
    <w:rsid w:val="00076186"/>
    <w:rsid w:val="0007621D"/>
    <w:rsid w:val="0007628A"/>
    <w:rsid w:val="0007641F"/>
    <w:rsid w:val="00076437"/>
    <w:rsid w:val="000764C2"/>
    <w:rsid w:val="00076509"/>
    <w:rsid w:val="0007659C"/>
    <w:rsid w:val="000765EC"/>
    <w:rsid w:val="00076650"/>
    <w:rsid w:val="0007679B"/>
    <w:rsid w:val="000767B2"/>
    <w:rsid w:val="0007688D"/>
    <w:rsid w:val="00076AFF"/>
    <w:rsid w:val="00076B2E"/>
    <w:rsid w:val="00076DD8"/>
    <w:rsid w:val="00076E7F"/>
    <w:rsid w:val="00076E94"/>
    <w:rsid w:val="00077007"/>
    <w:rsid w:val="00077084"/>
    <w:rsid w:val="000770B9"/>
    <w:rsid w:val="000770C0"/>
    <w:rsid w:val="000772FD"/>
    <w:rsid w:val="000774DB"/>
    <w:rsid w:val="000775B9"/>
    <w:rsid w:val="00077701"/>
    <w:rsid w:val="0007774E"/>
    <w:rsid w:val="0007784B"/>
    <w:rsid w:val="000778CE"/>
    <w:rsid w:val="00077910"/>
    <w:rsid w:val="0007791B"/>
    <w:rsid w:val="00077972"/>
    <w:rsid w:val="00077997"/>
    <w:rsid w:val="000779AC"/>
    <w:rsid w:val="000779DE"/>
    <w:rsid w:val="00077C36"/>
    <w:rsid w:val="00077C62"/>
    <w:rsid w:val="00077E10"/>
    <w:rsid w:val="00077E4C"/>
    <w:rsid w:val="00077EA7"/>
    <w:rsid w:val="00077F7B"/>
    <w:rsid w:val="00080005"/>
    <w:rsid w:val="00080048"/>
    <w:rsid w:val="0008004A"/>
    <w:rsid w:val="00080284"/>
    <w:rsid w:val="000802E5"/>
    <w:rsid w:val="00080343"/>
    <w:rsid w:val="000807A6"/>
    <w:rsid w:val="0008084F"/>
    <w:rsid w:val="000808D0"/>
    <w:rsid w:val="00080964"/>
    <w:rsid w:val="00080A23"/>
    <w:rsid w:val="00080A6A"/>
    <w:rsid w:val="00080C87"/>
    <w:rsid w:val="00080EF8"/>
    <w:rsid w:val="0008122B"/>
    <w:rsid w:val="000813A8"/>
    <w:rsid w:val="0008144F"/>
    <w:rsid w:val="000815A7"/>
    <w:rsid w:val="00081903"/>
    <w:rsid w:val="00081A79"/>
    <w:rsid w:val="00081B70"/>
    <w:rsid w:val="00081BCD"/>
    <w:rsid w:val="00081C88"/>
    <w:rsid w:val="00081CAC"/>
    <w:rsid w:val="00081F6E"/>
    <w:rsid w:val="00082030"/>
    <w:rsid w:val="00082083"/>
    <w:rsid w:val="000820FA"/>
    <w:rsid w:val="00082283"/>
    <w:rsid w:val="0008232E"/>
    <w:rsid w:val="00082387"/>
    <w:rsid w:val="000823F1"/>
    <w:rsid w:val="0008243B"/>
    <w:rsid w:val="000824EE"/>
    <w:rsid w:val="00082530"/>
    <w:rsid w:val="000827BA"/>
    <w:rsid w:val="000828E2"/>
    <w:rsid w:val="00082941"/>
    <w:rsid w:val="000829E6"/>
    <w:rsid w:val="00082AD4"/>
    <w:rsid w:val="00082DA2"/>
    <w:rsid w:val="00082E98"/>
    <w:rsid w:val="0008320F"/>
    <w:rsid w:val="000832D6"/>
    <w:rsid w:val="000833DD"/>
    <w:rsid w:val="00083413"/>
    <w:rsid w:val="000835F4"/>
    <w:rsid w:val="0008360F"/>
    <w:rsid w:val="00083A26"/>
    <w:rsid w:val="00083A5C"/>
    <w:rsid w:val="00083A86"/>
    <w:rsid w:val="00083A92"/>
    <w:rsid w:val="00083AAB"/>
    <w:rsid w:val="00083BEB"/>
    <w:rsid w:val="00083E86"/>
    <w:rsid w:val="00083E9C"/>
    <w:rsid w:val="00083F5D"/>
    <w:rsid w:val="00084059"/>
    <w:rsid w:val="000841F4"/>
    <w:rsid w:val="0008432A"/>
    <w:rsid w:val="0008452D"/>
    <w:rsid w:val="00084585"/>
    <w:rsid w:val="00084661"/>
    <w:rsid w:val="000848B2"/>
    <w:rsid w:val="0008490D"/>
    <w:rsid w:val="0008498B"/>
    <w:rsid w:val="00084A6E"/>
    <w:rsid w:val="00084AAC"/>
    <w:rsid w:val="00084AC3"/>
    <w:rsid w:val="00084ADD"/>
    <w:rsid w:val="00084AE1"/>
    <w:rsid w:val="00084AEB"/>
    <w:rsid w:val="00084B00"/>
    <w:rsid w:val="00084C00"/>
    <w:rsid w:val="00084C1F"/>
    <w:rsid w:val="00084FF9"/>
    <w:rsid w:val="0008527D"/>
    <w:rsid w:val="000853D4"/>
    <w:rsid w:val="0008559E"/>
    <w:rsid w:val="000856BD"/>
    <w:rsid w:val="000856C4"/>
    <w:rsid w:val="000857AC"/>
    <w:rsid w:val="00085915"/>
    <w:rsid w:val="00085A7D"/>
    <w:rsid w:val="00085A89"/>
    <w:rsid w:val="00085AF5"/>
    <w:rsid w:val="00085B5C"/>
    <w:rsid w:val="00085CE0"/>
    <w:rsid w:val="00085CED"/>
    <w:rsid w:val="00085DC2"/>
    <w:rsid w:val="00086012"/>
    <w:rsid w:val="00086031"/>
    <w:rsid w:val="000860E0"/>
    <w:rsid w:val="000860FB"/>
    <w:rsid w:val="0008613A"/>
    <w:rsid w:val="00086429"/>
    <w:rsid w:val="00086487"/>
    <w:rsid w:val="00086527"/>
    <w:rsid w:val="000865D7"/>
    <w:rsid w:val="00086A86"/>
    <w:rsid w:val="00086AAF"/>
    <w:rsid w:val="00086B42"/>
    <w:rsid w:val="00086D87"/>
    <w:rsid w:val="00086EA0"/>
    <w:rsid w:val="00087004"/>
    <w:rsid w:val="00087086"/>
    <w:rsid w:val="00087307"/>
    <w:rsid w:val="00087335"/>
    <w:rsid w:val="000873A3"/>
    <w:rsid w:val="000873CF"/>
    <w:rsid w:val="00087670"/>
    <w:rsid w:val="00087687"/>
    <w:rsid w:val="000876B7"/>
    <w:rsid w:val="00087824"/>
    <w:rsid w:val="0008783E"/>
    <w:rsid w:val="0008799A"/>
    <w:rsid w:val="0008799C"/>
    <w:rsid w:val="000879C1"/>
    <w:rsid w:val="00087A5F"/>
    <w:rsid w:val="00087B56"/>
    <w:rsid w:val="00087BBF"/>
    <w:rsid w:val="00087C8D"/>
    <w:rsid w:val="00087D11"/>
    <w:rsid w:val="0009006D"/>
    <w:rsid w:val="0009009C"/>
    <w:rsid w:val="0009011B"/>
    <w:rsid w:val="00090161"/>
    <w:rsid w:val="00090332"/>
    <w:rsid w:val="0009039C"/>
    <w:rsid w:val="0009068A"/>
    <w:rsid w:val="0009076B"/>
    <w:rsid w:val="00090789"/>
    <w:rsid w:val="000907B7"/>
    <w:rsid w:val="000909BA"/>
    <w:rsid w:val="00090A12"/>
    <w:rsid w:val="00090AEA"/>
    <w:rsid w:val="00090C8F"/>
    <w:rsid w:val="00090CAD"/>
    <w:rsid w:val="00090DE9"/>
    <w:rsid w:val="0009106A"/>
    <w:rsid w:val="000910C0"/>
    <w:rsid w:val="00091109"/>
    <w:rsid w:val="000911AA"/>
    <w:rsid w:val="000912B5"/>
    <w:rsid w:val="00091423"/>
    <w:rsid w:val="0009147B"/>
    <w:rsid w:val="00091482"/>
    <w:rsid w:val="00091489"/>
    <w:rsid w:val="000914AE"/>
    <w:rsid w:val="000914C4"/>
    <w:rsid w:val="00091567"/>
    <w:rsid w:val="000916C7"/>
    <w:rsid w:val="000916CB"/>
    <w:rsid w:val="00091764"/>
    <w:rsid w:val="00091849"/>
    <w:rsid w:val="00091B0F"/>
    <w:rsid w:val="00091B1D"/>
    <w:rsid w:val="00091B86"/>
    <w:rsid w:val="00091D6F"/>
    <w:rsid w:val="00091DFF"/>
    <w:rsid w:val="00092079"/>
    <w:rsid w:val="000920F1"/>
    <w:rsid w:val="000920F7"/>
    <w:rsid w:val="00092282"/>
    <w:rsid w:val="000922E6"/>
    <w:rsid w:val="000925C2"/>
    <w:rsid w:val="0009260A"/>
    <w:rsid w:val="000926A4"/>
    <w:rsid w:val="000927DB"/>
    <w:rsid w:val="00092866"/>
    <w:rsid w:val="000929F8"/>
    <w:rsid w:val="00092A61"/>
    <w:rsid w:val="00092B43"/>
    <w:rsid w:val="00092C1B"/>
    <w:rsid w:val="00092EA6"/>
    <w:rsid w:val="00092F77"/>
    <w:rsid w:val="00093005"/>
    <w:rsid w:val="000930AB"/>
    <w:rsid w:val="000930C0"/>
    <w:rsid w:val="000931B5"/>
    <w:rsid w:val="00093232"/>
    <w:rsid w:val="00093235"/>
    <w:rsid w:val="0009325D"/>
    <w:rsid w:val="00093285"/>
    <w:rsid w:val="000932B1"/>
    <w:rsid w:val="00093413"/>
    <w:rsid w:val="000934BC"/>
    <w:rsid w:val="00093598"/>
    <w:rsid w:val="0009371F"/>
    <w:rsid w:val="0009376C"/>
    <w:rsid w:val="000937C5"/>
    <w:rsid w:val="00093A5C"/>
    <w:rsid w:val="00093B57"/>
    <w:rsid w:val="00093B58"/>
    <w:rsid w:val="00093C14"/>
    <w:rsid w:val="00093C7C"/>
    <w:rsid w:val="00093D35"/>
    <w:rsid w:val="00093E01"/>
    <w:rsid w:val="00093E0F"/>
    <w:rsid w:val="00093E9D"/>
    <w:rsid w:val="00093EE7"/>
    <w:rsid w:val="00093FB9"/>
    <w:rsid w:val="0009402D"/>
    <w:rsid w:val="00094097"/>
    <w:rsid w:val="000941FE"/>
    <w:rsid w:val="00094233"/>
    <w:rsid w:val="00094250"/>
    <w:rsid w:val="0009431C"/>
    <w:rsid w:val="0009435B"/>
    <w:rsid w:val="00094456"/>
    <w:rsid w:val="000944FB"/>
    <w:rsid w:val="00094631"/>
    <w:rsid w:val="00094704"/>
    <w:rsid w:val="000947BE"/>
    <w:rsid w:val="000947DA"/>
    <w:rsid w:val="000947FB"/>
    <w:rsid w:val="00094828"/>
    <w:rsid w:val="0009498A"/>
    <w:rsid w:val="00094C0E"/>
    <w:rsid w:val="00094F10"/>
    <w:rsid w:val="00094F4D"/>
    <w:rsid w:val="0009509B"/>
    <w:rsid w:val="000951A7"/>
    <w:rsid w:val="000952B7"/>
    <w:rsid w:val="00095431"/>
    <w:rsid w:val="00095474"/>
    <w:rsid w:val="000955E6"/>
    <w:rsid w:val="00095623"/>
    <w:rsid w:val="00095659"/>
    <w:rsid w:val="00095707"/>
    <w:rsid w:val="00095763"/>
    <w:rsid w:val="000957FC"/>
    <w:rsid w:val="0009586D"/>
    <w:rsid w:val="00095902"/>
    <w:rsid w:val="00095AFE"/>
    <w:rsid w:val="00095B1A"/>
    <w:rsid w:val="00095C3D"/>
    <w:rsid w:val="00095CE0"/>
    <w:rsid w:val="00095CE2"/>
    <w:rsid w:val="00095D82"/>
    <w:rsid w:val="00095E7A"/>
    <w:rsid w:val="0009601E"/>
    <w:rsid w:val="00096466"/>
    <w:rsid w:val="0009673F"/>
    <w:rsid w:val="0009687F"/>
    <w:rsid w:val="000968C0"/>
    <w:rsid w:val="00096A56"/>
    <w:rsid w:val="00096C88"/>
    <w:rsid w:val="00096F3B"/>
    <w:rsid w:val="00097112"/>
    <w:rsid w:val="00097144"/>
    <w:rsid w:val="00097164"/>
    <w:rsid w:val="000972E8"/>
    <w:rsid w:val="000973C8"/>
    <w:rsid w:val="000974FD"/>
    <w:rsid w:val="00097536"/>
    <w:rsid w:val="0009756A"/>
    <w:rsid w:val="0009761D"/>
    <w:rsid w:val="000976DD"/>
    <w:rsid w:val="0009771B"/>
    <w:rsid w:val="000977B7"/>
    <w:rsid w:val="00097884"/>
    <w:rsid w:val="000978AA"/>
    <w:rsid w:val="000979E3"/>
    <w:rsid w:val="00097A23"/>
    <w:rsid w:val="00097BDC"/>
    <w:rsid w:val="00097D0C"/>
    <w:rsid w:val="00097D47"/>
    <w:rsid w:val="00097D54"/>
    <w:rsid w:val="00097FBF"/>
    <w:rsid w:val="000A003D"/>
    <w:rsid w:val="000A0092"/>
    <w:rsid w:val="000A013C"/>
    <w:rsid w:val="000A01FD"/>
    <w:rsid w:val="000A0203"/>
    <w:rsid w:val="000A0429"/>
    <w:rsid w:val="000A0502"/>
    <w:rsid w:val="000A0547"/>
    <w:rsid w:val="000A06F2"/>
    <w:rsid w:val="000A06FE"/>
    <w:rsid w:val="000A0779"/>
    <w:rsid w:val="000A0793"/>
    <w:rsid w:val="000A07B1"/>
    <w:rsid w:val="000A08E4"/>
    <w:rsid w:val="000A0A52"/>
    <w:rsid w:val="000A0A7D"/>
    <w:rsid w:val="000A0AEA"/>
    <w:rsid w:val="000A0C62"/>
    <w:rsid w:val="000A0D1C"/>
    <w:rsid w:val="000A0D92"/>
    <w:rsid w:val="000A0E0F"/>
    <w:rsid w:val="000A0E57"/>
    <w:rsid w:val="000A0F86"/>
    <w:rsid w:val="000A0F8B"/>
    <w:rsid w:val="000A0FB5"/>
    <w:rsid w:val="000A1004"/>
    <w:rsid w:val="000A10EE"/>
    <w:rsid w:val="000A11FE"/>
    <w:rsid w:val="000A12B7"/>
    <w:rsid w:val="000A1503"/>
    <w:rsid w:val="000A1544"/>
    <w:rsid w:val="000A16DA"/>
    <w:rsid w:val="000A171C"/>
    <w:rsid w:val="000A176B"/>
    <w:rsid w:val="000A19A8"/>
    <w:rsid w:val="000A19FA"/>
    <w:rsid w:val="000A1A46"/>
    <w:rsid w:val="000A1A6B"/>
    <w:rsid w:val="000A1AC2"/>
    <w:rsid w:val="000A1BF5"/>
    <w:rsid w:val="000A1C52"/>
    <w:rsid w:val="000A1CE4"/>
    <w:rsid w:val="000A1CFC"/>
    <w:rsid w:val="000A1D00"/>
    <w:rsid w:val="000A1D20"/>
    <w:rsid w:val="000A1E95"/>
    <w:rsid w:val="000A1EF1"/>
    <w:rsid w:val="000A2090"/>
    <w:rsid w:val="000A209F"/>
    <w:rsid w:val="000A224A"/>
    <w:rsid w:val="000A2458"/>
    <w:rsid w:val="000A2479"/>
    <w:rsid w:val="000A253E"/>
    <w:rsid w:val="000A27D1"/>
    <w:rsid w:val="000A2AA9"/>
    <w:rsid w:val="000A2C84"/>
    <w:rsid w:val="000A2CC2"/>
    <w:rsid w:val="000A2D98"/>
    <w:rsid w:val="000A2E4D"/>
    <w:rsid w:val="000A2F0A"/>
    <w:rsid w:val="000A2F1D"/>
    <w:rsid w:val="000A2F46"/>
    <w:rsid w:val="000A31F8"/>
    <w:rsid w:val="000A3262"/>
    <w:rsid w:val="000A331A"/>
    <w:rsid w:val="000A336E"/>
    <w:rsid w:val="000A3393"/>
    <w:rsid w:val="000A33E0"/>
    <w:rsid w:val="000A3579"/>
    <w:rsid w:val="000A3589"/>
    <w:rsid w:val="000A3670"/>
    <w:rsid w:val="000A3891"/>
    <w:rsid w:val="000A39A6"/>
    <w:rsid w:val="000A3AC8"/>
    <w:rsid w:val="000A3D11"/>
    <w:rsid w:val="000A3E12"/>
    <w:rsid w:val="000A3F63"/>
    <w:rsid w:val="000A4029"/>
    <w:rsid w:val="000A40EF"/>
    <w:rsid w:val="000A417F"/>
    <w:rsid w:val="000A431C"/>
    <w:rsid w:val="000A4423"/>
    <w:rsid w:val="000A4598"/>
    <w:rsid w:val="000A461A"/>
    <w:rsid w:val="000A47BA"/>
    <w:rsid w:val="000A48AE"/>
    <w:rsid w:val="000A49B6"/>
    <w:rsid w:val="000A4A0E"/>
    <w:rsid w:val="000A4AAE"/>
    <w:rsid w:val="000A4B49"/>
    <w:rsid w:val="000A4B4E"/>
    <w:rsid w:val="000A4D9B"/>
    <w:rsid w:val="000A4DED"/>
    <w:rsid w:val="000A4EAE"/>
    <w:rsid w:val="000A4FB2"/>
    <w:rsid w:val="000A5103"/>
    <w:rsid w:val="000A5105"/>
    <w:rsid w:val="000A51D0"/>
    <w:rsid w:val="000A5447"/>
    <w:rsid w:val="000A54C3"/>
    <w:rsid w:val="000A5552"/>
    <w:rsid w:val="000A5635"/>
    <w:rsid w:val="000A56F2"/>
    <w:rsid w:val="000A58C0"/>
    <w:rsid w:val="000A5BF3"/>
    <w:rsid w:val="000A5D83"/>
    <w:rsid w:val="000A5E76"/>
    <w:rsid w:val="000A5ED8"/>
    <w:rsid w:val="000A6001"/>
    <w:rsid w:val="000A6003"/>
    <w:rsid w:val="000A6148"/>
    <w:rsid w:val="000A61D9"/>
    <w:rsid w:val="000A62A0"/>
    <w:rsid w:val="000A635C"/>
    <w:rsid w:val="000A6377"/>
    <w:rsid w:val="000A64A0"/>
    <w:rsid w:val="000A6670"/>
    <w:rsid w:val="000A66EB"/>
    <w:rsid w:val="000A6744"/>
    <w:rsid w:val="000A6793"/>
    <w:rsid w:val="000A689A"/>
    <w:rsid w:val="000A68AF"/>
    <w:rsid w:val="000A69CB"/>
    <w:rsid w:val="000A6A27"/>
    <w:rsid w:val="000A6A43"/>
    <w:rsid w:val="000A6ACF"/>
    <w:rsid w:val="000A6D58"/>
    <w:rsid w:val="000A6DFF"/>
    <w:rsid w:val="000A6E05"/>
    <w:rsid w:val="000A703D"/>
    <w:rsid w:val="000A7184"/>
    <w:rsid w:val="000A71C8"/>
    <w:rsid w:val="000A7205"/>
    <w:rsid w:val="000A7268"/>
    <w:rsid w:val="000A727E"/>
    <w:rsid w:val="000A7435"/>
    <w:rsid w:val="000A7498"/>
    <w:rsid w:val="000A74B7"/>
    <w:rsid w:val="000A7955"/>
    <w:rsid w:val="000A7A65"/>
    <w:rsid w:val="000A7AF0"/>
    <w:rsid w:val="000A7E1A"/>
    <w:rsid w:val="000B0028"/>
    <w:rsid w:val="000B0221"/>
    <w:rsid w:val="000B025F"/>
    <w:rsid w:val="000B02AD"/>
    <w:rsid w:val="000B02BF"/>
    <w:rsid w:val="000B037E"/>
    <w:rsid w:val="000B053A"/>
    <w:rsid w:val="000B0647"/>
    <w:rsid w:val="000B066F"/>
    <w:rsid w:val="000B07C1"/>
    <w:rsid w:val="000B07CE"/>
    <w:rsid w:val="000B088C"/>
    <w:rsid w:val="000B0B63"/>
    <w:rsid w:val="000B0B9F"/>
    <w:rsid w:val="000B0D4D"/>
    <w:rsid w:val="000B12FA"/>
    <w:rsid w:val="000B1346"/>
    <w:rsid w:val="000B14F2"/>
    <w:rsid w:val="000B155B"/>
    <w:rsid w:val="000B1585"/>
    <w:rsid w:val="000B15F1"/>
    <w:rsid w:val="000B16B4"/>
    <w:rsid w:val="000B1A2C"/>
    <w:rsid w:val="000B1A7A"/>
    <w:rsid w:val="000B1AA3"/>
    <w:rsid w:val="000B1BBB"/>
    <w:rsid w:val="000B1CE6"/>
    <w:rsid w:val="000B1F5E"/>
    <w:rsid w:val="000B2008"/>
    <w:rsid w:val="000B200C"/>
    <w:rsid w:val="000B22BA"/>
    <w:rsid w:val="000B2307"/>
    <w:rsid w:val="000B2315"/>
    <w:rsid w:val="000B2508"/>
    <w:rsid w:val="000B25C9"/>
    <w:rsid w:val="000B272C"/>
    <w:rsid w:val="000B273E"/>
    <w:rsid w:val="000B2885"/>
    <w:rsid w:val="000B292F"/>
    <w:rsid w:val="000B2A96"/>
    <w:rsid w:val="000B2B1C"/>
    <w:rsid w:val="000B2BAE"/>
    <w:rsid w:val="000B2F10"/>
    <w:rsid w:val="000B3017"/>
    <w:rsid w:val="000B3041"/>
    <w:rsid w:val="000B3102"/>
    <w:rsid w:val="000B3244"/>
    <w:rsid w:val="000B32FC"/>
    <w:rsid w:val="000B340F"/>
    <w:rsid w:val="000B3471"/>
    <w:rsid w:val="000B379C"/>
    <w:rsid w:val="000B3808"/>
    <w:rsid w:val="000B388B"/>
    <w:rsid w:val="000B38CA"/>
    <w:rsid w:val="000B3916"/>
    <w:rsid w:val="000B396D"/>
    <w:rsid w:val="000B3AD8"/>
    <w:rsid w:val="000B3B48"/>
    <w:rsid w:val="000B3B64"/>
    <w:rsid w:val="000B3BC3"/>
    <w:rsid w:val="000B3C41"/>
    <w:rsid w:val="000B3CBA"/>
    <w:rsid w:val="000B3DD7"/>
    <w:rsid w:val="000B3E96"/>
    <w:rsid w:val="000B3F89"/>
    <w:rsid w:val="000B4030"/>
    <w:rsid w:val="000B4043"/>
    <w:rsid w:val="000B4172"/>
    <w:rsid w:val="000B41FE"/>
    <w:rsid w:val="000B4250"/>
    <w:rsid w:val="000B437A"/>
    <w:rsid w:val="000B4578"/>
    <w:rsid w:val="000B49D3"/>
    <w:rsid w:val="000B4A45"/>
    <w:rsid w:val="000B4A4A"/>
    <w:rsid w:val="000B4C6A"/>
    <w:rsid w:val="000B4CF6"/>
    <w:rsid w:val="000B4E5B"/>
    <w:rsid w:val="000B4E80"/>
    <w:rsid w:val="000B4EE9"/>
    <w:rsid w:val="000B5089"/>
    <w:rsid w:val="000B51BF"/>
    <w:rsid w:val="000B52B3"/>
    <w:rsid w:val="000B53B5"/>
    <w:rsid w:val="000B53FA"/>
    <w:rsid w:val="000B554F"/>
    <w:rsid w:val="000B5592"/>
    <w:rsid w:val="000B55D2"/>
    <w:rsid w:val="000B571C"/>
    <w:rsid w:val="000B57D0"/>
    <w:rsid w:val="000B593B"/>
    <w:rsid w:val="000B5994"/>
    <w:rsid w:val="000B59AC"/>
    <w:rsid w:val="000B5C59"/>
    <w:rsid w:val="000B5C92"/>
    <w:rsid w:val="000B5D2D"/>
    <w:rsid w:val="000B5E86"/>
    <w:rsid w:val="000B5F75"/>
    <w:rsid w:val="000B60E1"/>
    <w:rsid w:val="000B6367"/>
    <w:rsid w:val="000B655A"/>
    <w:rsid w:val="000B6615"/>
    <w:rsid w:val="000B6633"/>
    <w:rsid w:val="000B6688"/>
    <w:rsid w:val="000B66BE"/>
    <w:rsid w:val="000B68A8"/>
    <w:rsid w:val="000B697B"/>
    <w:rsid w:val="000B698D"/>
    <w:rsid w:val="000B69BF"/>
    <w:rsid w:val="000B6A5F"/>
    <w:rsid w:val="000B6CC0"/>
    <w:rsid w:val="000B6D2E"/>
    <w:rsid w:val="000B6D9E"/>
    <w:rsid w:val="000B6EAE"/>
    <w:rsid w:val="000B70AE"/>
    <w:rsid w:val="000B7265"/>
    <w:rsid w:val="000B72C9"/>
    <w:rsid w:val="000B72D9"/>
    <w:rsid w:val="000B7329"/>
    <w:rsid w:val="000B7452"/>
    <w:rsid w:val="000B747D"/>
    <w:rsid w:val="000B7614"/>
    <w:rsid w:val="000B783A"/>
    <w:rsid w:val="000B78C3"/>
    <w:rsid w:val="000B799A"/>
    <w:rsid w:val="000B79EC"/>
    <w:rsid w:val="000B7C42"/>
    <w:rsid w:val="000B7CAC"/>
    <w:rsid w:val="000B7DE5"/>
    <w:rsid w:val="000B7EE7"/>
    <w:rsid w:val="000B7FBB"/>
    <w:rsid w:val="000C00E9"/>
    <w:rsid w:val="000C012E"/>
    <w:rsid w:val="000C0168"/>
    <w:rsid w:val="000C017F"/>
    <w:rsid w:val="000C02D1"/>
    <w:rsid w:val="000C0638"/>
    <w:rsid w:val="000C08BF"/>
    <w:rsid w:val="000C0A58"/>
    <w:rsid w:val="000C0A81"/>
    <w:rsid w:val="000C0AE4"/>
    <w:rsid w:val="000C0B11"/>
    <w:rsid w:val="000C0BDD"/>
    <w:rsid w:val="000C1286"/>
    <w:rsid w:val="000C12CF"/>
    <w:rsid w:val="000C13A8"/>
    <w:rsid w:val="000C14AE"/>
    <w:rsid w:val="000C170B"/>
    <w:rsid w:val="000C1732"/>
    <w:rsid w:val="000C1870"/>
    <w:rsid w:val="000C19A1"/>
    <w:rsid w:val="000C1D5E"/>
    <w:rsid w:val="000C1F4D"/>
    <w:rsid w:val="000C1F53"/>
    <w:rsid w:val="000C1F8F"/>
    <w:rsid w:val="000C22F7"/>
    <w:rsid w:val="000C23F7"/>
    <w:rsid w:val="000C24BF"/>
    <w:rsid w:val="000C25C5"/>
    <w:rsid w:val="000C28D1"/>
    <w:rsid w:val="000C2B68"/>
    <w:rsid w:val="000C2C47"/>
    <w:rsid w:val="000C2C86"/>
    <w:rsid w:val="000C2EC3"/>
    <w:rsid w:val="000C2F8A"/>
    <w:rsid w:val="000C2F99"/>
    <w:rsid w:val="000C320B"/>
    <w:rsid w:val="000C323E"/>
    <w:rsid w:val="000C32CF"/>
    <w:rsid w:val="000C3313"/>
    <w:rsid w:val="000C331E"/>
    <w:rsid w:val="000C353D"/>
    <w:rsid w:val="000C3629"/>
    <w:rsid w:val="000C38D8"/>
    <w:rsid w:val="000C393E"/>
    <w:rsid w:val="000C3A06"/>
    <w:rsid w:val="000C3AA9"/>
    <w:rsid w:val="000C3AC6"/>
    <w:rsid w:val="000C3B10"/>
    <w:rsid w:val="000C3B9A"/>
    <w:rsid w:val="000C3CB5"/>
    <w:rsid w:val="000C3CFA"/>
    <w:rsid w:val="000C3E3B"/>
    <w:rsid w:val="000C4126"/>
    <w:rsid w:val="000C415C"/>
    <w:rsid w:val="000C420A"/>
    <w:rsid w:val="000C4218"/>
    <w:rsid w:val="000C425C"/>
    <w:rsid w:val="000C4264"/>
    <w:rsid w:val="000C42D7"/>
    <w:rsid w:val="000C4411"/>
    <w:rsid w:val="000C4545"/>
    <w:rsid w:val="000C4548"/>
    <w:rsid w:val="000C45F4"/>
    <w:rsid w:val="000C46A2"/>
    <w:rsid w:val="000C477E"/>
    <w:rsid w:val="000C47FD"/>
    <w:rsid w:val="000C486E"/>
    <w:rsid w:val="000C4920"/>
    <w:rsid w:val="000C49AB"/>
    <w:rsid w:val="000C49BF"/>
    <w:rsid w:val="000C4B17"/>
    <w:rsid w:val="000C4B91"/>
    <w:rsid w:val="000C4C11"/>
    <w:rsid w:val="000C4C39"/>
    <w:rsid w:val="000C4C62"/>
    <w:rsid w:val="000C4CB0"/>
    <w:rsid w:val="000C4D5B"/>
    <w:rsid w:val="000C4DED"/>
    <w:rsid w:val="000C4E47"/>
    <w:rsid w:val="000C4F90"/>
    <w:rsid w:val="000C4FDB"/>
    <w:rsid w:val="000C5310"/>
    <w:rsid w:val="000C533A"/>
    <w:rsid w:val="000C5396"/>
    <w:rsid w:val="000C540D"/>
    <w:rsid w:val="000C543F"/>
    <w:rsid w:val="000C54D6"/>
    <w:rsid w:val="000C54EF"/>
    <w:rsid w:val="000C5649"/>
    <w:rsid w:val="000C582B"/>
    <w:rsid w:val="000C5BCC"/>
    <w:rsid w:val="000C5C5C"/>
    <w:rsid w:val="000C5F8E"/>
    <w:rsid w:val="000C5FEB"/>
    <w:rsid w:val="000C61C8"/>
    <w:rsid w:val="000C6382"/>
    <w:rsid w:val="000C6405"/>
    <w:rsid w:val="000C6536"/>
    <w:rsid w:val="000C6650"/>
    <w:rsid w:val="000C681D"/>
    <w:rsid w:val="000C68B9"/>
    <w:rsid w:val="000C6AA8"/>
    <w:rsid w:val="000C6AF4"/>
    <w:rsid w:val="000C6B01"/>
    <w:rsid w:val="000C6C20"/>
    <w:rsid w:val="000C6D1E"/>
    <w:rsid w:val="000C6D6B"/>
    <w:rsid w:val="000C6D82"/>
    <w:rsid w:val="000C6E0F"/>
    <w:rsid w:val="000C6F05"/>
    <w:rsid w:val="000C6F15"/>
    <w:rsid w:val="000C6F30"/>
    <w:rsid w:val="000C7192"/>
    <w:rsid w:val="000C72CD"/>
    <w:rsid w:val="000C73E6"/>
    <w:rsid w:val="000C73F0"/>
    <w:rsid w:val="000C742B"/>
    <w:rsid w:val="000C7472"/>
    <w:rsid w:val="000C74EE"/>
    <w:rsid w:val="000C7506"/>
    <w:rsid w:val="000C750E"/>
    <w:rsid w:val="000C7637"/>
    <w:rsid w:val="000C7661"/>
    <w:rsid w:val="000C76E3"/>
    <w:rsid w:val="000C77D1"/>
    <w:rsid w:val="000C7866"/>
    <w:rsid w:val="000C7930"/>
    <w:rsid w:val="000C7967"/>
    <w:rsid w:val="000C7B85"/>
    <w:rsid w:val="000C7BEA"/>
    <w:rsid w:val="000C7D45"/>
    <w:rsid w:val="000C7E7E"/>
    <w:rsid w:val="000D0000"/>
    <w:rsid w:val="000D0058"/>
    <w:rsid w:val="000D0373"/>
    <w:rsid w:val="000D03C2"/>
    <w:rsid w:val="000D047B"/>
    <w:rsid w:val="000D057E"/>
    <w:rsid w:val="000D068E"/>
    <w:rsid w:val="000D06AA"/>
    <w:rsid w:val="000D08BD"/>
    <w:rsid w:val="000D099A"/>
    <w:rsid w:val="000D0A81"/>
    <w:rsid w:val="000D0B7B"/>
    <w:rsid w:val="000D0C0D"/>
    <w:rsid w:val="000D0D3E"/>
    <w:rsid w:val="000D0F30"/>
    <w:rsid w:val="000D0F8F"/>
    <w:rsid w:val="000D1061"/>
    <w:rsid w:val="000D11CE"/>
    <w:rsid w:val="000D14AB"/>
    <w:rsid w:val="000D1516"/>
    <w:rsid w:val="000D1704"/>
    <w:rsid w:val="000D182D"/>
    <w:rsid w:val="000D18E6"/>
    <w:rsid w:val="000D1929"/>
    <w:rsid w:val="000D1961"/>
    <w:rsid w:val="000D1B3B"/>
    <w:rsid w:val="000D1CC7"/>
    <w:rsid w:val="000D1D8C"/>
    <w:rsid w:val="000D1F50"/>
    <w:rsid w:val="000D1FEB"/>
    <w:rsid w:val="000D2050"/>
    <w:rsid w:val="000D2058"/>
    <w:rsid w:val="000D2070"/>
    <w:rsid w:val="000D2189"/>
    <w:rsid w:val="000D21B3"/>
    <w:rsid w:val="000D2379"/>
    <w:rsid w:val="000D2381"/>
    <w:rsid w:val="000D251F"/>
    <w:rsid w:val="000D25A8"/>
    <w:rsid w:val="000D2631"/>
    <w:rsid w:val="000D2777"/>
    <w:rsid w:val="000D27CB"/>
    <w:rsid w:val="000D294F"/>
    <w:rsid w:val="000D2A6A"/>
    <w:rsid w:val="000D2A89"/>
    <w:rsid w:val="000D2A8F"/>
    <w:rsid w:val="000D2E9A"/>
    <w:rsid w:val="000D2EB3"/>
    <w:rsid w:val="000D3080"/>
    <w:rsid w:val="000D31F0"/>
    <w:rsid w:val="000D3346"/>
    <w:rsid w:val="000D34A8"/>
    <w:rsid w:val="000D355E"/>
    <w:rsid w:val="000D359B"/>
    <w:rsid w:val="000D359C"/>
    <w:rsid w:val="000D387D"/>
    <w:rsid w:val="000D3919"/>
    <w:rsid w:val="000D3984"/>
    <w:rsid w:val="000D3A83"/>
    <w:rsid w:val="000D3B28"/>
    <w:rsid w:val="000D3BCD"/>
    <w:rsid w:val="000D3C26"/>
    <w:rsid w:val="000D3D57"/>
    <w:rsid w:val="000D3DA4"/>
    <w:rsid w:val="000D3F1D"/>
    <w:rsid w:val="000D3F70"/>
    <w:rsid w:val="000D3FA7"/>
    <w:rsid w:val="000D4136"/>
    <w:rsid w:val="000D424E"/>
    <w:rsid w:val="000D44F5"/>
    <w:rsid w:val="000D454B"/>
    <w:rsid w:val="000D4648"/>
    <w:rsid w:val="000D4707"/>
    <w:rsid w:val="000D4A58"/>
    <w:rsid w:val="000D4AC9"/>
    <w:rsid w:val="000D4D74"/>
    <w:rsid w:val="000D4E16"/>
    <w:rsid w:val="000D4E31"/>
    <w:rsid w:val="000D4F8E"/>
    <w:rsid w:val="000D5044"/>
    <w:rsid w:val="000D512C"/>
    <w:rsid w:val="000D518C"/>
    <w:rsid w:val="000D51E5"/>
    <w:rsid w:val="000D52BE"/>
    <w:rsid w:val="000D54BD"/>
    <w:rsid w:val="000D551E"/>
    <w:rsid w:val="000D55A5"/>
    <w:rsid w:val="000D569F"/>
    <w:rsid w:val="000D5764"/>
    <w:rsid w:val="000D58D9"/>
    <w:rsid w:val="000D59CD"/>
    <w:rsid w:val="000D59FE"/>
    <w:rsid w:val="000D5A52"/>
    <w:rsid w:val="000D5B61"/>
    <w:rsid w:val="000D5B6E"/>
    <w:rsid w:val="000D5C16"/>
    <w:rsid w:val="000D5C7C"/>
    <w:rsid w:val="000D5E6D"/>
    <w:rsid w:val="000D6225"/>
    <w:rsid w:val="000D6231"/>
    <w:rsid w:val="000D62B8"/>
    <w:rsid w:val="000D6300"/>
    <w:rsid w:val="000D636B"/>
    <w:rsid w:val="000D63B3"/>
    <w:rsid w:val="000D6436"/>
    <w:rsid w:val="000D64C1"/>
    <w:rsid w:val="000D6569"/>
    <w:rsid w:val="000D65E6"/>
    <w:rsid w:val="000D6621"/>
    <w:rsid w:val="000D66CD"/>
    <w:rsid w:val="000D67F9"/>
    <w:rsid w:val="000D6A16"/>
    <w:rsid w:val="000D6B3E"/>
    <w:rsid w:val="000D6BC1"/>
    <w:rsid w:val="000D6C8C"/>
    <w:rsid w:val="000D6CC3"/>
    <w:rsid w:val="000D6E35"/>
    <w:rsid w:val="000D7074"/>
    <w:rsid w:val="000D71E9"/>
    <w:rsid w:val="000D727D"/>
    <w:rsid w:val="000D7341"/>
    <w:rsid w:val="000D7375"/>
    <w:rsid w:val="000D73B7"/>
    <w:rsid w:val="000D75C5"/>
    <w:rsid w:val="000D75FD"/>
    <w:rsid w:val="000D7691"/>
    <w:rsid w:val="000D779F"/>
    <w:rsid w:val="000D77DD"/>
    <w:rsid w:val="000D77FE"/>
    <w:rsid w:val="000D784D"/>
    <w:rsid w:val="000D78E3"/>
    <w:rsid w:val="000D78FB"/>
    <w:rsid w:val="000D797E"/>
    <w:rsid w:val="000D7993"/>
    <w:rsid w:val="000D7A47"/>
    <w:rsid w:val="000D7B02"/>
    <w:rsid w:val="000D7CA0"/>
    <w:rsid w:val="000D7CA9"/>
    <w:rsid w:val="000D7E08"/>
    <w:rsid w:val="000D7E58"/>
    <w:rsid w:val="000E015F"/>
    <w:rsid w:val="000E01A9"/>
    <w:rsid w:val="000E0205"/>
    <w:rsid w:val="000E0206"/>
    <w:rsid w:val="000E02E7"/>
    <w:rsid w:val="000E0344"/>
    <w:rsid w:val="000E036B"/>
    <w:rsid w:val="000E0423"/>
    <w:rsid w:val="000E0477"/>
    <w:rsid w:val="000E055E"/>
    <w:rsid w:val="000E0599"/>
    <w:rsid w:val="000E06E7"/>
    <w:rsid w:val="000E0717"/>
    <w:rsid w:val="000E075B"/>
    <w:rsid w:val="000E0AA4"/>
    <w:rsid w:val="000E0BF5"/>
    <w:rsid w:val="000E0C20"/>
    <w:rsid w:val="000E0C33"/>
    <w:rsid w:val="000E0D02"/>
    <w:rsid w:val="000E0DD2"/>
    <w:rsid w:val="000E115F"/>
    <w:rsid w:val="000E1178"/>
    <w:rsid w:val="000E11E7"/>
    <w:rsid w:val="000E134B"/>
    <w:rsid w:val="000E1402"/>
    <w:rsid w:val="000E147D"/>
    <w:rsid w:val="000E148D"/>
    <w:rsid w:val="000E157B"/>
    <w:rsid w:val="000E15B6"/>
    <w:rsid w:val="000E175F"/>
    <w:rsid w:val="000E17B7"/>
    <w:rsid w:val="000E1A05"/>
    <w:rsid w:val="000E1A23"/>
    <w:rsid w:val="000E1C47"/>
    <w:rsid w:val="000E1D19"/>
    <w:rsid w:val="000E1D71"/>
    <w:rsid w:val="000E1DAB"/>
    <w:rsid w:val="000E1DEE"/>
    <w:rsid w:val="000E2115"/>
    <w:rsid w:val="000E2121"/>
    <w:rsid w:val="000E2136"/>
    <w:rsid w:val="000E22DD"/>
    <w:rsid w:val="000E2416"/>
    <w:rsid w:val="000E2462"/>
    <w:rsid w:val="000E24CE"/>
    <w:rsid w:val="000E258F"/>
    <w:rsid w:val="000E270A"/>
    <w:rsid w:val="000E27D4"/>
    <w:rsid w:val="000E28F3"/>
    <w:rsid w:val="000E295D"/>
    <w:rsid w:val="000E2A53"/>
    <w:rsid w:val="000E2C44"/>
    <w:rsid w:val="000E2E58"/>
    <w:rsid w:val="000E2EA8"/>
    <w:rsid w:val="000E2EFD"/>
    <w:rsid w:val="000E2F5F"/>
    <w:rsid w:val="000E303B"/>
    <w:rsid w:val="000E31D0"/>
    <w:rsid w:val="000E329C"/>
    <w:rsid w:val="000E32B5"/>
    <w:rsid w:val="000E32BE"/>
    <w:rsid w:val="000E331E"/>
    <w:rsid w:val="000E33F1"/>
    <w:rsid w:val="000E3469"/>
    <w:rsid w:val="000E34FA"/>
    <w:rsid w:val="000E3612"/>
    <w:rsid w:val="000E39D0"/>
    <w:rsid w:val="000E39D7"/>
    <w:rsid w:val="000E39DC"/>
    <w:rsid w:val="000E3A52"/>
    <w:rsid w:val="000E3BD1"/>
    <w:rsid w:val="000E3C12"/>
    <w:rsid w:val="000E3FB2"/>
    <w:rsid w:val="000E3FDF"/>
    <w:rsid w:val="000E40F4"/>
    <w:rsid w:val="000E4539"/>
    <w:rsid w:val="000E4720"/>
    <w:rsid w:val="000E476E"/>
    <w:rsid w:val="000E4915"/>
    <w:rsid w:val="000E4AB3"/>
    <w:rsid w:val="000E4ABB"/>
    <w:rsid w:val="000E4C53"/>
    <w:rsid w:val="000E4D02"/>
    <w:rsid w:val="000E4E14"/>
    <w:rsid w:val="000E513A"/>
    <w:rsid w:val="000E514D"/>
    <w:rsid w:val="000E51F6"/>
    <w:rsid w:val="000E5453"/>
    <w:rsid w:val="000E54B2"/>
    <w:rsid w:val="000E5584"/>
    <w:rsid w:val="000E5657"/>
    <w:rsid w:val="000E56EE"/>
    <w:rsid w:val="000E56F3"/>
    <w:rsid w:val="000E5795"/>
    <w:rsid w:val="000E57A1"/>
    <w:rsid w:val="000E57F6"/>
    <w:rsid w:val="000E5865"/>
    <w:rsid w:val="000E58DC"/>
    <w:rsid w:val="000E5AE6"/>
    <w:rsid w:val="000E5D69"/>
    <w:rsid w:val="000E5E84"/>
    <w:rsid w:val="000E5FC4"/>
    <w:rsid w:val="000E60B9"/>
    <w:rsid w:val="000E60E6"/>
    <w:rsid w:val="000E6151"/>
    <w:rsid w:val="000E616D"/>
    <w:rsid w:val="000E65B3"/>
    <w:rsid w:val="000E67D0"/>
    <w:rsid w:val="000E6841"/>
    <w:rsid w:val="000E6A0D"/>
    <w:rsid w:val="000E6A47"/>
    <w:rsid w:val="000E6A6B"/>
    <w:rsid w:val="000E6BE6"/>
    <w:rsid w:val="000E6CCB"/>
    <w:rsid w:val="000E6D10"/>
    <w:rsid w:val="000E6E14"/>
    <w:rsid w:val="000E6E5D"/>
    <w:rsid w:val="000E7064"/>
    <w:rsid w:val="000E713E"/>
    <w:rsid w:val="000E73E3"/>
    <w:rsid w:val="000E7414"/>
    <w:rsid w:val="000E758B"/>
    <w:rsid w:val="000E7626"/>
    <w:rsid w:val="000E766F"/>
    <w:rsid w:val="000E7858"/>
    <w:rsid w:val="000E7993"/>
    <w:rsid w:val="000E7AED"/>
    <w:rsid w:val="000E7B4E"/>
    <w:rsid w:val="000E7C28"/>
    <w:rsid w:val="000E7D14"/>
    <w:rsid w:val="000E7D40"/>
    <w:rsid w:val="000E7D67"/>
    <w:rsid w:val="000E7E7C"/>
    <w:rsid w:val="000E7ED6"/>
    <w:rsid w:val="000F0291"/>
    <w:rsid w:val="000F030F"/>
    <w:rsid w:val="000F04B5"/>
    <w:rsid w:val="000F04E7"/>
    <w:rsid w:val="000F0566"/>
    <w:rsid w:val="000F0663"/>
    <w:rsid w:val="000F06E1"/>
    <w:rsid w:val="000F073C"/>
    <w:rsid w:val="000F07E2"/>
    <w:rsid w:val="000F09A7"/>
    <w:rsid w:val="000F0A5A"/>
    <w:rsid w:val="000F0C31"/>
    <w:rsid w:val="000F0C67"/>
    <w:rsid w:val="000F0CFF"/>
    <w:rsid w:val="000F0F07"/>
    <w:rsid w:val="000F0FA4"/>
    <w:rsid w:val="000F1046"/>
    <w:rsid w:val="000F10C8"/>
    <w:rsid w:val="000F11BD"/>
    <w:rsid w:val="000F132F"/>
    <w:rsid w:val="000F14D4"/>
    <w:rsid w:val="000F17C1"/>
    <w:rsid w:val="000F17C2"/>
    <w:rsid w:val="000F17F9"/>
    <w:rsid w:val="000F19EF"/>
    <w:rsid w:val="000F1BAD"/>
    <w:rsid w:val="000F1BAE"/>
    <w:rsid w:val="000F1CA2"/>
    <w:rsid w:val="000F1E5B"/>
    <w:rsid w:val="000F1E87"/>
    <w:rsid w:val="000F1FF6"/>
    <w:rsid w:val="000F206E"/>
    <w:rsid w:val="000F2117"/>
    <w:rsid w:val="000F225E"/>
    <w:rsid w:val="000F2372"/>
    <w:rsid w:val="000F2488"/>
    <w:rsid w:val="000F2684"/>
    <w:rsid w:val="000F26DC"/>
    <w:rsid w:val="000F26ED"/>
    <w:rsid w:val="000F2702"/>
    <w:rsid w:val="000F2748"/>
    <w:rsid w:val="000F2996"/>
    <w:rsid w:val="000F2A3C"/>
    <w:rsid w:val="000F2A78"/>
    <w:rsid w:val="000F2B15"/>
    <w:rsid w:val="000F2C0E"/>
    <w:rsid w:val="000F2C23"/>
    <w:rsid w:val="000F2C28"/>
    <w:rsid w:val="000F2C40"/>
    <w:rsid w:val="000F2FD6"/>
    <w:rsid w:val="000F3076"/>
    <w:rsid w:val="000F30A1"/>
    <w:rsid w:val="000F33D7"/>
    <w:rsid w:val="000F362D"/>
    <w:rsid w:val="000F3633"/>
    <w:rsid w:val="000F389D"/>
    <w:rsid w:val="000F39A3"/>
    <w:rsid w:val="000F3A7C"/>
    <w:rsid w:val="000F3ABD"/>
    <w:rsid w:val="000F3B04"/>
    <w:rsid w:val="000F3B52"/>
    <w:rsid w:val="000F3C05"/>
    <w:rsid w:val="000F3C5E"/>
    <w:rsid w:val="000F3E07"/>
    <w:rsid w:val="000F3FF4"/>
    <w:rsid w:val="000F401B"/>
    <w:rsid w:val="000F434C"/>
    <w:rsid w:val="000F43A3"/>
    <w:rsid w:val="000F4528"/>
    <w:rsid w:val="000F477F"/>
    <w:rsid w:val="000F4841"/>
    <w:rsid w:val="000F4862"/>
    <w:rsid w:val="000F4B48"/>
    <w:rsid w:val="000F4C1D"/>
    <w:rsid w:val="000F4C41"/>
    <w:rsid w:val="000F4E30"/>
    <w:rsid w:val="000F4FCB"/>
    <w:rsid w:val="000F50A5"/>
    <w:rsid w:val="000F517A"/>
    <w:rsid w:val="000F525A"/>
    <w:rsid w:val="000F52C8"/>
    <w:rsid w:val="000F5368"/>
    <w:rsid w:val="000F53C6"/>
    <w:rsid w:val="000F53E1"/>
    <w:rsid w:val="000F5415"/>
    <w:rsid w:val="000F542D"/>
    <w:rsid w:val="000F5535"/>
    <w:rsid w:val="000F55F3"/>
    <w:rsid w:val="000F56DF"/>
    <w:rsid w:val="000F5703"/>
    <w:rsid w:val="000F57AD"/>
    <w:rsid w:val="000F58E4"/>
    <w:rsid w:val="000F5919"/>
    <w:rsid w:val="000F5AB5"/>
    <w:rsid w:val="000F5AE7"/>
    <w:rsid w:val="000F5B42"/>
    <w:rsid w:val="000F5C05"/>
    <w:rsid w:val="000F5C37"/>
    <w:rsid w:val="000F5D17"/>
    <w:rsid w:val="000F5D74"/>
    <w:rsid w:val="000F5DEB"/>
    <w:rsid w:val="000F5DF5"/>
    <w:rsid w:val="000F5E2F"/>
    <w:rsid w:val="000F5FAD"/>
    <w:rsid w:val="000F604F"/>
    <w:rsid w:val="000F60CA"/>
    <w:rsid w:val="000F6103"/>
    <w:rsid w:val="000F6151"/>
    <w:rsid w:val="000F61A4"/>
    <w:rsid w:val="000F61D7"/>
    <w:rsid w:val="000F6249"/>
    <w:rsid w:val="000F63F6"/>
    <w:rsid w:val="000F643F"/>
    <w:rsid w:val="000F6460"/>
    <w:rsid w:val="000F64F8"/>
    <w:rsid w:val="000F6513"/>
    <w:rsid w:val="000F6573"/>
    <w:rsid w:val="000F65CA"/>
    <w:rsid w:val="000F65EC"/>
    <w:rsid w:val="000F688C"/>
    <w:rsid w:val="000F6A33"/>
    <w:rsid w:val="000F6AE5"/>
    <w:rsid w:val="000F6B07"/>
    <w:rsid w:val="000F6BF0"/>
    <w:rsid w:val="000F6C28"/>
    <w:rsid w:val="000F6E00"/>
    <w:rsid w:val="000F6F9B"/>
    <w:rsid w:val="000F70C2"/>
    <w:rsid w:val="000F7173"/>
    <w:rsid w:val="000F738F"/>
    <w:rsid w:val="000F73FB"/>
    <w:rsid w:val="000F741B"/>
    <w:rsid w:val="000F748E"/>
    <w:rsid w:val="000F7511"/>
    <w:rsid w:val="000F758F"/>
    <w:rsid w:val="000F76DB"/>
    <w:rsid w:val="000F7846"/>
    <w:rsid w:val="000F797A"/>
    <w:rsid w:val="000F79B4"/>
    <w:rsid w:val="000F7BA6"/>
    <w:rsid w:val="000F7BB3"/>
    <w:rsid w:val="000F7C8C"/>
    <w:rsid w:val="000F7DDC"/>
    <w:rsid w:val="000F7F39"/>
    <w:rsid w:val="0010031A"/>
    <w:rsid w:val="00100373"/>
    <w:rsid w:val="00100495"/>
    <w:rsid w:val="001008AE"/>
    <w:rsid w:val="00100968"/>
    <w:rsid w:val="00100985"/>
    <w:rsid w:val="00100994"/>
    <w:rsid w:val="001009A0"/>
    <w:rsid w:val="00100B2E"/>
    <w:rsid w:val="00100BC6"/>
    <w:rsid w:val="00100CCB"/>
    <w:rsid w:val="00100DA1"/>
    <w:rsid w:val="00100DE4"/>
    <w:rsid w:val="00100FAF"/>
    <w:rsid w:val="0010100F"/>
    <w:rsid w:val="0010115C"/>
    <w:rsid w:val="001011E4"/>
    <w:rsid w:val="0010138D"/>
    <w:rsid w:val="0010138E"/>
    <w:rsid w:val="001013DF"/>
    <w:rsid w:val="00101484"/>
    <w:rsid w:val="0010157E"/>
    <w:rsid w:val="001015C6"/>
    <w:rsid w:val="001015E6"/>
    <w:rsid w:val="0010165E"/>
    <w:rsid w:val="0010171D"/>
    <w:rsid w:val="001018F6"/>
    <w:rsid w:val="00101986"/>
    <w:rsid w:val="001019C9"/>
    <w:rsid w:val="00101AA4"/>
    <w:rsid w:val="00101BEF"/>
    <w:rsid w:val="00101DCD"/>
    <w:rsid w:val="00101EFF"/>
    <w:rsid w:val="00101F91"/>
    <w:rsid w:val="00102121"/>
    <w:rsid w:val="0010226C"/>
    <w:rsid w:val="00102299"/>
    <w:rsid w:val="00102511"/>
    <w:rsid w:val="00102688"/>
    <w:rsid w:val="001026BA"/>
    <w:rsid w:val="001027EE"/>
    <w:rsid w:val="0010289F"/>
    <w:rsid w:val="00102949"/>
    <w:rsid w:val="00102995"/>
    <w:rsid w:val="00102B35"/>
    <w:rsid w:val="00102B4C"/>
    <w:rsid w:val="00102D74"/>
    <w:rsid w:val="00102E43"/>
    <w:rsid w:val="00102E94"/>
    <w:rsid w:val="00102F08"/>
    <w:rsid w:val="00102FF7"/>
    <w:rsid w:val="00103121"/>
    <w:rsid w:val="0010335E"/>
    <w:rsid w:val="0010362D"/>
    <w:rsid w:val="00103885"/>
    <w:rsid w:val="001038EA"/>
    <w:rsid w:val="00103A02"/>
    <w:rsid w:val="00103C11"/>
    <w:rsid w:val="00103C4E"/>
    <w:rsid w:val="00103CDA"/>
    <w:rsid w:val="00103D20"/>
    <w:rsid w:val="00103DE5"/>
    <w:rsid w:val="00104017"/>
    <w:rsid w:val="001040BD"/>
    <w:rsid w:val="001042D9"/>
    <w:rsid w:val="0010434F"/>
    <w:rsid w:val="00104374"/>
    <w:rsid w:val="0010440E"/>
    <w:rsid w:val="001044EC"/>
    <w:rsid w:val="00104735"/>
    <w:rsid w:val="001047A2"/>
    <w:rsid w:val="001047C8"/>
    <w:rsid w:val="001047DC"/>
    <w:rsid w:val="00104802"/>
    <w:rsid w:val="00104891"/>
    <w:rsid w:val="001048AC"/>
    <w:rsid w:val="00104ACE"/>
    <w:rsid w:val="00104C1A"/>
    <w:rsid w:val="00104C82"/>
    <w:rsid w:val="00104CFA"/>
    <w:rsid w:val="00104F4F"/>
    <w:rsid w:val="00105072"/>
    <w:rsid w:val="0010515D"/>
    <w:rsid w:val="00105194"/>
    <w:rsid w:val="001051F6"/>
    <w:rsid w:val="00105372"/>
    <w:rsid w:val="001053A7"/>
    <w:rsid w:val="001053BB"/>
    <w:rsid w:val="00105463"/>
    <w:rsid w:val="001054F5"/>
    <w:rsid w:val="001056AE"/>
    <w:rsid w:val="001059F1"/>
    <w:rsid w:val="001059FB"/>
    <w:rsid w:val="00105BF2"/>
    <w:rsid w:val="00105C4F"/>
    <w:rsid w:val="00105C7F"/>
    <w:rsid w:val="00105E2F"/>
    <w:rsid w:val="00105E39"/>
    <w:rsid w:val="001060E8"/>
    <w:rsid w:val="0010614B"/>
    <w:rsid w:val="00106159"/>
    <w:rsid w:val="001061E7"/>
    <w:rsid w:val="00106242"/>
    <w:rsid w:val="00106247"/>
    <w:rsid w:val="00106364"/>
    <w:rsid w:val="001065CA"/>
    <w:rsid w:val="00106638"/>
    <w:rsid w:val="00106671"/>
    <w:rsid w:val="0010667B"/>
    <w:rsid w:val="0010680B"/>
    <w:rsid w:val="00106824"/>
    <w:rsid w:val="001069F0"/>
    <w:rsid w:val="00106A9A"/>
    <w:rsid w:val="00106B34"/>
    <w:rsid w:val="00106D15"/>
    <w:rsid w:val="00106D8C"/>
    <w:rsid w:val="00106DCD"/>
    <w:rsid w:val="00106E6A"/>
    <w:rsid w:val="00106EE7"/>
    <w:rsid w:val="00106F60"/>
    <w:rsid w:val="00107018"/>
    <w:rsid w:val="0010714C"/>
    <w:rsid w:val="0010719D"/>
    <w:rsid w:val="00107225"/>
    <w:rsid w:val="0010723F"/>
    <w:rsid w:val="00107250"/>
    <w:rsid w:val="001073FF"/>
    <w:rsid w:val="001074AD"/>
    <w:rsid w:val="00107593"/>
    <w:rsid w:val="00107677"/>
    <w:rsid w:val="0010768D"/>
    <w:rsid w:val="001076E5"/>
    <w:rsid w:val="00107857"/>
    <w:rsid w:val="001078B1"/>
    <w:rsid w:val="001078C1"/>
    <w:rsid w:val="001078EB"/>
    <w:rsid w:val="001079AC"/>
    <w:rsid w:val="00107A47"/>
    <w:rsid w:val="00107C02"/>
    <w:rsid w:val="00107C24"/>
    <w:rsid w:val="00107C41"/>
    <w:rsid w:val="00107E66"/>
    <w:rsid w:val="00110088"/>
    <w:rsid w:val="00110101"/>
    <w:rsid w:val="001101F7"/>
    <w:rsid w:val="001103FD"/>
    <w:rsid w:val="001103FE"/>
    <w:rsid w:val="00110492"/>
    <w:rsid w:val="001104CC"/>
    <w:rsid w:val="0011062C"/>
    <w:rsid w:val="0011087A"/>
    <w:rsid w:val="00110BE7"/>
    <w:rsid w:val="00110CEF"/>
    <w:rsid w:val="00110D3D"/>
    <w:rsid w:val="00110E9E"/>
    <w:rsid w:val="00110EA2"/>
    <w:rsid w:val="00110EFD"/>
    <w:rsid w:val="00110F01"/>
    <w:rsid w:val="00110F90"/>
    <w:rsid w:val="001110A1"/>
    <w:rsid w:val="00111331"/>
    <w:rsid w:val="0011135C"/>
    <w:rsid w:val="00111468"/>
    <w:rsid w:val="001116F7"/>
    <w:rsid w:val="0011178C"/>
    <w:rsid w:val="00111A4E"/>
    <w:rsid w:val="00111B84"/>
    <w:rsid w:val="00111CF0"/>
    <w:rsid w:val="00111D36"/>
    <w:rsid w:val="00111DF0"/>
    <w:rsid w:val="00111EBD"/>
    <w:rsid w:val="0011211E"/>
    <w:rsid w:val="0011212B"/>
    <w:rsid w:val="0011219A"/>
    <w:rsid w:val="0011230C"/>
    <w:rsid w:val="00112486"/>
    <w:rsid w:val="001125AF"/>
    <w:rsid w:val="00112698"/>
    <w:rsid w:val="00112A50"/>
    <w:rsid w:val="00112BAE"/>
    <w:rsid w:val="00112C0B"/>
    <w:rsid w:val="00113094"/>
    <w:rsid w:val="00113150"/>
    <w:rsid w:val="0011326E"/>
    <w:rsid w:val="001134A1"/>
    <w:rsid w:val="001134CE"/>
    <w:rsid w:val="001136D0"/>
    <w:rsid w:val="001136F7"/>
    <w:rsid w:val="00113880"/>
    <w:rsid w:val="00113930"/>
    <w:rsid w:val="00113981"/>
    <w:rsid w:val="00113C72"/>
    <w:rsid w:val="00113E88"/>
    <w:rsid w:val="00113E8B"/>
    <w:rsid w:val="00114160"/>
    <w:rsid w:val="001141D9"/>
    <w:rsid w:val="001144D4"/>
    <w:rsid w:val="001145B0"/>
    <w:rsid w:val="001147E4"/>
    <w:rsid w:val="001148DF"/>
    <w:rsid w:val="00114920"/>
    <w:rsid w:val="0011495F"/>
    <w:rsid w:val="00114A48"/>
    <w:rsid w:val="00114B02"/>
    <w:rsid w:val="00114B48"/>
    <w:rsid w:val="00114BA0"/>
    <w:rsid w:val="00114BC1"/>
    <w:rsid w:val="00114BE2"/>
    <w:rsid w:val="00114BFF"/>
    <w:rsid w:val="00114C15"/>
    <w:rsid w:val="00114CAA"/>
    <w:rsid w:val="00114D64"/>
    <w:rsid w:val="00114F2D"/>
    <w:rsid w:val="00114FE6"/>
    <w:rsid w:val="001151F7"/>
    <w:rsid w:val="00115287"/>
    <w:rsid w:val="00115362"/>
    <w:rsid w:val="0011544D"/>
    <w:rsid w:val="00115458"/>
    <w:rsid w:val="00115476"/>
    <w:rsid w:val="0011548E"/>
    <w:rsid w:val="00115517"/>
    <w:rsid w:val="0011555E"/>
    <w:rsid w:val="001156DA"/>
    <w:rsid w:val="00115750"/>
    <w:rsid w:val="0011577D"/>
    <w:rsid w:val="00115A82"/>
    <w:rsid w:val="00115B1C"/>
    <w:rsid w:val="00115B72"/>
    <w:rsid w:val="00115C37"/>
    <w:rsid w:val="00115D01"/>
    <w:rsid w:val="00115E6F"/>
    <w:rsid w:val="00115F20"/>
    <w:rsid w:val="00115F6B"/>
    <w:rsid w:val="001160CB"/>
    <w:rsid w:val="001161B3"/>
    <w:rsid w:val="0011623B"/>
    <w:rsid w:val="001162FE"/>
    <w:rsid w:val="0011634A"/>
    <w:rsid w:val="0011656A"/>
    <w:rsid w:val="001165D7"/>
    <w:rsid w:val="001165FE"/>
    <w:rsid w:val="00116607"/>
    <w:rsid w:val="0011679A"/>
    <w:rsid w:val="00116918"/>
    <w:rsid w:val="0011692F"/>
    <w:rsid w:val="00116A00"/>
    <w:rsid w:val="00116A96"/>
    <w:rsid w:val="00116BAB"/>
    <w:rsid w:val="00116BAF"/>
    <w:rsid w:val="00116BB5"/>
    <w:rsid w:val="00116C01"/>
    <w:rsid w:val="00116CE8"/>
    <w:rsid w:val="00116D58"/>
    <w:rsid w:val="00116DB6"/>
    <w:rsid w:val="00116ED9"/>
    <w:rsid w:val="00116F1C"/>
    <w:rsid w:val="00117025"/>
    <w:rsid w:val="001170AC"/>
    <w:rsid w:val="00117502"/>
    <w:rsid w:val="001175D2"/>
    <w:rsid w:val="00117878"/>
    <w:rsid w:val="0011793D"/>
    <w:rsid w:val="00117A90"/>
    <w:rsid w:val="00117AB7"/>
    <w:rsid w:val="00117AD2"/>
    <w:rsid w:val="00117B8E"/>
    <w:rsid w:val="00117D1D"/>
    <w:rsid w:val="00117D49"/>
    <w:rsid w:val="00117F46"/>
    <w:rsid w:val="00120035"/>
    <w:rsid w:val="0012004E"/>
    <w:rsid w:val="00120088"/>
    <w:rsid w:val="001200DB"/>
    <w:rsid w:val="00120149"/>
    <w:rsid w:val="00120181"/>
    <w:rsid w:val="001201BF"/>
    <w:rsid w:val="0012022F"/>
    <w:rsid w:val="0012035D"/>
    <w:rsid w:val="001204D5"/>
    <w:rsid w:val="001205F2"/>
    <w:rsid w:val="00120616"/>
    <w:rsid w:val="0012073E"/>
    <w:rsid w:val="00120879"/>
    <w:rsid w:val="001209B3"/>
    <w:rsid w:val="001209C7"/>
    <w:rsid w:val="00120AB9"/>
    <w:rsid w:val="00120D3B"/>
    <w:rsid w:val="00120D6E"/>
    <w:rsid w:val="00120DB5"/>
    <w:rsid w:val="00120FB0"/>
    <w:rsid w:val="00121005"/>
    <w:rsid w:val="00121034"/>
    <w:rsid w:val="00121089"/>
    <w:rsid w:val="00121102"/>
    <w:rsid w:val="00121262"/>
    <w:rsid w:val="00121373"/>
    <w:rsid w:val="001214A3"/>
    <w:rsid w:val="001215B2"/>
    <w:rsid w:val="00121614"/>
    <w:rsid w:val="001216E2"/>
    <w:rsid w:val="001217AC"/>
    <w:rsid w:val="001217B1"/>
    <w:rsid w:val="00121851"/>
    <w:rsid w:val="0012186F"/>
    <w:rsid w:val="001219D2"/>
    <w:rsid w:val="00121A1D"/>
    <w:rsid w:val="00121B30"/>
    <w:rsid w:val="00121BC5"/>
    <w:rsid w:val="00121D0E"/>
    <w:rsid w:val="00121D54"/>
    <w:rsid w:val="00121EC2"/>
    <w:rsid w:val="00121FB8"/>
    <w:rsid w:val="00121FD8"/>
    <w:rsid w:val="00122092"/>
    <w:rsid w:val="001220C2"/>
    <w:rsid w:val="00122111"/>
    <w:rsid w:val="001223DD"/>
    <w:rsid w:val="00122418"/>
    <w:rsid w:val="001228AD"/>
    <w:rsid w:val="001228FA"/>
    <w:rsid w:val="00122AA0"/>
    <w:rsid w:val="00122B4F"/>
    <w:rsid w:val="00122BC4"/>
    <w:rsid w:val="00122C1A"/>
    <w:rsid w:val="00122D0E"/>
    <w:rsid w:val="00123153"/>
    <w:rsid w:val="00123230"/>
    <w:rsid w:val="0012343C"/>
    <w:rsid w:val="00123448"/>
    <w:rsid w:val="00123658"/>
    <w:rsid w:val="0012370B"/>
    <w:rsid w:val="0012396E"/>
    <w:rsid w:val="00123C23"/>
    <w:rsid w:val="00123D70"/>
    <w:rsid w:val="00123E2B"/>
    <w:rsid w:val="00123EFA"/>
    <w:rsid w:val="00123FC3"/>
    <w:rsid w:val="00123FCC"/>
    <w:rsid w:val="00124038"/>
    <w:rsid w:val="001241ED"/>
    <w:rsid w:val="00124228"/>
    <w:rsid w:val="001243E8"/>
    <w:rsid w:val="001244D1"/>
    <w:rsid w:val="001245A2"/>
    <w:rsid w:val="00124609"/>
    <w:rsid w:val="001246C2"/>
    <w:rsid w:val="00124799"/>
    <w:rsid w:val="001248C7"/>
    <w:rsid w:val="00124A57"/>
    <w:rsid w:val="00124BC2"/>
    <w:rsid w:val="00124CC3"/>
    <w:rsid w:val="00124EF9"/>
    <w:rsid w:val="0012505A"/>
    <w:rsid w:val="00125509"/>
    <w:rsid w:val="00125622"/>
    <w:rsid w:val="001257F4"/>
    <w:rsid w:val="001258FE"/>
    <w:rsid w:val="00125958"/>
    <w:rsid w:val="00125994"/>
    <w:rsid w:val="00125A25"/>
    <w:rsid w:val="00125C12"/>
    <w:rsid w:val="00125E50"/>
    <w:rsid w:val="00125E7A"/>
    <w:rsid w:val="0012603F"/>
    <w:rsid w:val="001262BB"/>
    <w:rsid w:val="0012632E"/>
    <w:rsid w:val="001263B9"/>
    <w:rsid w:val="001265DD"/>
    <w:rsid w:val="00126646"/>
    <w:rsid w:val="00126647"/>
    <w:rsid w:val="001266A2"/>
    <w:rsid w:val="00126788"/>
    <w:rsid w:val="0012680D"/>
    <w:rsid w:val="00126879"/>
    <w:rsid w:val="001268A1"/>
    <w:rsid w:val="001268B7"/>
    <w:rsid w:val="001268C7"/>
    <w:rsid w:val="001268D3"/>
    <w:rsid w:val="00126951"/>
    <w:rsid w:val="00126AB3"/>
    <w:rsid w:val="00126D6D"/>
    <w:rsid w:val="00126DAA"/>
    <w:rsid w:val="00126FCA"/>
    <w:rsid w:val="00126FE4"/>
    <w:rsid w:val="00127029"/>
    <w:rsid w:val="001270CB"/>
    <w:rsid w:val="001271F2"/>
    <w:rsid w:val="00127258"/>
    <w:rsid w:val="00127437"/>
    <w:rsid w:val="00127470"/>
    <w:rsid w:val="00127488"/>
    <w:rsid w:val="0012756B"/>
    <w:rsid w:val="001275D0"/>
    <w:rsid w:val="001277FE"/>
    <w:rsid w:val="00127B56"/>
    <w:rsid w:val="00127BC8"/>
    <w:rsid w:val="00127C8A"/>
    <w:rsid w:val="00127C93"/>
    <w:rsid w:val="00127CE7"/>
    <w:rsid w:val="00127D3E"/>
    <w:rsid w:val="00127FA2"/>
    <w:rsid w:val="00127FE3"/>
    <w:rsid w:val="001301E4"/>
    <w:rsid w:val="001302BA"/>
    <w:rsid w:val="001304C4"/>
    <w:rsid w:val="00130537"/>
    <w:rsid w:val="001305C8"/>
    <w:rsid w:val="00130647"/>
    <w:rsid w:val="001306DF"/>
    <w:rsid w:val="001307A7"/>
    <w:rsid w:val="00130D81"/>
    <w:rsid w:val="00130D84"/>
    <w:rsid w:val="00130E1E"/>
    <w:rsid w:val="00130EAF"/>
    <w:rsid w:val="00130ED8"/>
    <w:rsid w:val="001313BA"/>
    <w:rsid w:val="0013144C"/>
    <w:rsid w:val="0013148A"/>
    <w:rsid w:val="0013170E"/>
    <w:rsid w:val="00131810"/>
    <w:rsid w:val="0013185D"/>
    <w:rsid w:val="001318CC"/>
    <w:rsid w:val="0013190E"/>
    <w:rsid w:val="00131AA6"/>
    <w:rsid w:val="00131B1E"/>
    <w:rsid w:val="00131BC6"/>
    <w:rsid w:val="00131C97"/>
    <w:rsid w:val="00131D8E"/>
    <w:rsid w:val="00131F40"/>
    <w:rsid w:val="00132193"/>
    <w:rsid w:val="001322B9"/>
    <w:rsid w:val="001322E0"/>
    <w:rsid w:val="001323D7"/>
    <w:rsid w:val="001323E5"/>
    <w:rsid w:val="0013242D"/>
    <w:rsid w:val="00132535"/>
    <w:rsid w:val="0013263C"/>
    <w:rsid w:val="0013265D"/>
    <w:rsid w:val="001326B3"/>
    <w:rsid w:val="00132701"/>
    <w:rsid w:val="0013271B"/>
    <w:rsid w:val="0013276A"/>
    <w:rsid w:val="0013278D"/>
    <w:rsid w:val="00132CA6"/>
    <w:rsid w:val="00132CC1"/>
    <w:rsid w:val="00132D14"/>
    <w:rsid w:val="00132ECC"/>
    <w:rsid w:val="00132FDB"/>
    <w:rsid w:val="00133053"/>
    <w:rsid w:val="00133120"/>
    <w:rsid w:val="00133340"/>
    <w:rsid w:val="0013344F"/>
    <w:rsid w:val="001334F3"/>
    <w:rsid w:val="0013372C"/>
    <w:rsid w:val="001337F8"/>
    <w:rsid w:val="001338BA"/>
    <w:rsid w:val="00133956"/>
    <w:rsid w:val="001339A6"/>
    <w:rsid w:val="00133A3A"/>
    <w:rsid w:val="00133AB0"/>
    <w:rsid w:val="00133AD8"/>
    <w:rsid w:val="00133C3D"/>
    <w:rsid w:val="00133C80"/>
    <w:rsid w:val="00133D0A"/>
    <w:rsid w:val="00133D2B"/>
    <w:rsid w:val="00133D39"/>
    <w:rsid w:val="00134037"/>
    <w:rsid w:val="00134142"/>
    <w:rsid w:val="0013415D"/>
    <w:rsid w:val="0013417E"/>
    <w:rsid w:val="001341FC"/>
    <w:rsid w:val="00134229"/>
    <w:rsid w:val="00134243"/>
    <w:rsid w:val="0013428D"/>
    <w:rsid w:val="00134524"/>
    <w:rsid w:val="0013455E"/>
    <w:rsid w:val="00134576"/>
    <w:rsid w:val="001345F2"/>
    <w:rsid w:val="00134661"/>
    <w:rsid w:val="001346EF"/>
    <w:rsid w:val="00134810"/>
    <w:rsid w:val="00134834"/>
    <w:rsid w:val="00134A35"/>
    <w:rsid w:val="00134A7F"/>
    <w:rsid w:val="00134B84"/>
    <w:rsid w:val="00134CB1"/>
    <w:rsid w:val="00134D23"/>
    <w:rsid w:val="00134DD1"/>
    <w:rsid w:val="00134E35"/>
    <w:rsid w:val="00134EA1"/>
    <w:rsid w:val="00134EE0"/>
    <w:rsid w:val="00134FB9"/>
    <w:rsid w:val="0013506C"/>
    <w:rsid w:val="00135105"/>
    <w:rsid w:val="0013577D"/>
    <w:rsid w:val="0013579F"/>
    <w:rsid w:val="0013581D"/>
    <w:rsid w:val="001358B1"/>
    <w:rsid w:val="00135AD8"/>
    <w:rsid w:val="00135D72"/>
    <w:rsid w:val="00135F7B"/>
    <w:rsid w:val="0013612F"/>
    <w:rsid w:val="001361FC"/>
    <w:rsid w:val="00136567"/>
    <w:rsid w:val="00136AB8"/>
    <w:rsid w:val="00136B46"/>
    <w:rsid w:val="00136BCA"/>
    <w:rsid w:val="00136C03"/>
    <w:rsid w:val="00136D74"/>
    <w:rsid w:val="00136F80"/>
    <w:rsid w:val="00137035"/>
    <w:rsid w:val="001370AD"/>
    <w:rsid w:val="00137151"/>
    <w:rsid w:val="001371E5"/>
    <w:rsid w:val="00137216"/>
    <w:rsid w:val="00137329"/>
    <w:rsid w:val="00137399"/>
    <w:rsid w:val="0013757B"/>
    <w:rsid w:val="001375A7"/>
    <w:rsid w:val="00137761"/>
    <w:rsid w:val="00137790"/>
    <w:rsid w:val="00137793"/>
    <w:rsid w:val="00137963"/>
    <w:rsid w:val="0013796F"/>
    <w:rsid w:val="001379D5"/>
    <w:rsid w:val="00137A23"/>
    <w:rsid w:val="00137AA2"/>
    <w:rsid w:val="00137AEB"/>
    <w:rsid w:val="00137AF9"/>
    <w:rsid w:val="00137B31"/>
    <w:rsid w:val="00137B8A"/>
    <w:rsid w:val="00137CAB"/>
    <w:rsid w:val="00137D50"/>
    <w:rsid w:val="00137ED1"/>
    <w:rsid w:val="00137FBC"/>
    <w:rsid w:val="001400BF"/>
    <w:rsid w:val="001400FA"/>
    <w:rsid w:val="00140111"/>
    <w:rsid w:val="0014013F"/>
    <w:rsid w:val="001401A5"/>
    <w:rsid w:val="001401B4"/>
    <w:rsid w:val="001401C1"/>
    <w:rsid w:val="001403B8"/>
    <w:rsid w:val="00140427"/>
    <w:rsid w:val="001405A3"/>
    <w:rsid w:val="001405E3"/>
    <w:rsid w:val="001408AE"/>
    <w:rsid w:val="00140920"/>
    <w:rsid w:val="0014095F"/>
    <w:rsid w:val="00140A57"/>
    <w:rsid w:val="00140ABE"/>
    <w:rsid w:val="00140CD2"/>
    <w:rsid w:val="00140DE1"/>
    <w:rsid w:val="00140E8C"/>
    <w:rsid w:val="00140EB6"/>
    <w:rsid w:val="00140F64"/>
    <w:rsid w:val="00141186"/>
    <w:rsid w:val="00141207"/>
    <w:rsid w:val="00141212"/>
    <w:rsid w:val="0014133A"/>
    <w:rsid w:val="0014140D"/>
    <w:rsid w:val="00141441"/>
    <w:rsid w:val="001414DC"/>
    <w:rsid w:val="00141591"/>
    <w:rsid w:val="00141780"/>
    <w:rsid w:val="00141998"/>
    <w:rsid w:val="00141A22"/>
    <w:rsid w:val="00141ACD"/>
    <w:rsid w:val="00141BF3"/>
    <w:rsid w:val="00141C21"/>
    <w:rsid w:val="00141DA3"/>
    <w:rsid w:val="00141DAF"/>
    <w:rsid w:val="00141F36"/>
    <w:rsid w:val="00141FD5"/>
    <w:rsid w:val="0014201C"/>
    <w:rsid w:val="00142151"/>
    <w:rsid w:val="00142199"/>
    <w:rsid w:val="0014224D"/>
    <w:rsid w:val="00142282"/>
    <w:rsid w:val="00142283"/>
    <w:rsid w:val="001422F9"/>
    <w:rsid w:val="001424F6"/>
    <w:rsid w:val="001424F8"/>
    <w:rsid w:val="001425AD"/>
    <w:rsid w:val="00142A14"/>
    <w:rsid w:val="00142B1A"/>
    <w:rsid w:val="00142CFE"/>
    <w:rsid w:val="00142DF3"/>
    <w:rsid w:val="00142F16"/>
    <w:rsid w:val="00142FDA"/>
    <w:rsid w:val="00143008"/>
    <w:rsid w:val="0014311A"/>
    <w:rsid w:val="001431B1"/>
    <w:rsid w:val="0014332F"/>
    <w:rsid w:val="001433BE"/>
    <w:rsid w:val="001434C9"/>
    <w:rsid w:val="001435A4"/>
    <w:rsid w:val="0014373D"/>
    <w:rsid w:val="001439C4"/>
    <w:rsid w:val="00143A30"/>
    <w:rsid w:val="00143A7D"/>
    <w:rsid w:val="00143BF6"/>
    <w:rsid w:val="00143CA9"/>
    <w:rsid w:val="00143CB6"/>
    <w:rsid w:val="00143DB8"/>
    <w:rsid w:val="00143E2B"/>
    <w:rsid w:val="001440F0"/>
    <w:rsid w:val="0014411E"/>
    <w:rsid w:val="00144257"/>
    <w:rsid w:val="0014427E"/>
    <w:rsid w:val="001442E2"/>
    <w:rsid w:val="001442FC"/>
    <w:rsid w:val="00144373"/>
    <w:rsid w:val="00144568"/>
    <w:rsid w:val="001445E6"/>
    <w:rsid w:val="0014480C"/>
    <w:rsid w:val="0014493B"/>
    <w:rsid w:val="00144984"/>
    <w:rsid w:val="001449AE"/>
    <w:rsid w:val="001449AF"/>
    <w:rsid w:val="001449D7"/>
    <w:rsid w:val="00144ACD"/>
    <w:rsid w:val="00144B18"/>
    <w:rsid w:val="00144C2A"/>
    <w:rsid w:val="00144CD1"/>
    <w:rsid w:val="00144F5E"/>
    <w:rsid w:val="00144FD5"/>
    <w:rsid w:val="00145114"/>
    <w:rsid w:val="0014515F"/>
    <w:rsid w:val="001451D5"/>
    <w:rsid w:val="00145291"/>
    <w:rsid w:val="001452AB"/>
    <w:rsid w:val="001452E8"/>
    <w:rsid w:val="0014532C"/>
    <w:rsid w:val="0014533C"/>
    <w:rsid w:val="00145554"/>
    <w:rsid w:val="001455B0"/>
    <w:rsid w:val="00145783"/>
    <w:rsid w:val="0014578D"/>
    <w:rsid w:val="00145865"/>
    <w:rsid w:val="00145BCD"/>
    <w:rsid w:val="00145C93"/>
    <w:rsid w:val="00145D9C"/>
    <w:rsid w:val="00145DB4"/>
    <w:rsid w:val="00145DE5"/>
    <w:rsid w:val="00145DEB"/>
    <w:rsid w:val="00145F2E"/>
    <w:rsid w:val="00145F67"/>
    <w:rsid w:val="00146080"/>
    <w:rsid w:val="001460B3"/>
    <w:rsid w:val="001460BD"/>
    <w:rsid w:val="001460CE"/>
    <w:rsid w:val="001461E7"/>
    <w:rsid w:val="0014624C"/>
    <w:rsid w:val="0014638A"/>
    <w:rsid w:val="0014642D"/>
    <w:rsid w:val="0014653D"/>
    <w:rsid w:val="001467D0"/>
    <w:rsid w:val="00146810"/>
    <w:rsid w:val="0014685E"/>
    <w:rsid w:val="001468B2"/>
    <w:rsid w:val="0014693C"/>
    <w:rsid w:val="001469D9"/>
    <w:rsid w:val="00146AA5"/>
    <w:rsid w:val="00146D8D"/>
    <w:rsid w:val="00146EAF"/>
    <w:rsid w:val="001470B3"/>
    <w:rsid w:val="00147192"/>
    <w:rsid w:val="001472B8"/>
    <w:rsid w:val="00147300"/>
    <w:rsid w:val="0014732C"/>
    <w:rsid w:val="0014737E"/>
    <w:rsid w:val="001475F5"/>
    <w:rsid w:val="0014781A"/>
    <w:rsid w:val="00147894"/>
    <w:rsid w:val="00147A6C"/>
    <w:rsid w:val="00147D63"/>
    <w:rsid w:val="00147F37"/>
    <w:rsid w:val="00147F9D"/>
    <w:rsid w:val="00147FB3"/>
    <w:rsid w:val="001497FC"/>
    <w:rsid w:val="001500D9"/>
    <w:rsid w:val="00150393"/>
    <w:rsid w:val="00150613"/>
    <w:rsid w:val="001508AF"/>
    <w:rsid w:val="00150A39"/>
    <w:rsid w:val="00150BD4"/>
    <w:rsid w:val="00150D30"/>
    <w:rsid w:val="00150DE4"/>
    <w:rsid w:val="00150EAF"/>
    <w:rsid w:val="00150FD3"/>
    <w:rsid w:val="00150FFD"/>
    <w:rsid w:val="001510B1"/>
    <w:rsid w:val="001511C2"/>
    <w:rsid w:val="001511E6"/>
    <w:rsid w:val="00151267"/>
    <w:rsid w:val="001513B1"/>
    <w:rsid w:val="00151490"/>
    <w:rsid w:val="00151502"/>
    <w:rsid w:val="001515FF"/>
    <w:rsid w:val="00151651"/>
    <w:rsid w:val="001517B8"/>
    <w:rsid w:val="0015181C"/>
    <w:rsid w:val="00151834"/>
    <w:rsid w:val="00151929"/>
    <w:rsid w:val="00151A13"/>
    <w:rsid w:val="00151ACC"/>
    <w:rsid w:val="00151AF7"/>
    <w:rsid w:val="00151BAC"/>
    <w:rsid w:val="00151BB2"/>
    <w:rsid w:val="00151C74"/>
    <w:rsid w:val="00151CCB"/>
    <w:rsid w:val="00151CDC"/>
    <w:rsid w:val="00151CDF"/>
    <w:rsid w:val="00151DB7"/>
    <w:rsid w:val="00151DED"/>
    <w:rsid w:val="00151E0D"/>
    <w:rsid w:val="00151E74"/>
    <w:rsid w:val="00151F3D"/>
    <w:rsid w:val="00151FCC"/>
    <w:rsid w:val="001520DB"/>
    <w:rsid w:val="001521C0"/>
    <w:rsid w:val="001521EA"/>
    <w:rsid w:val="001521F3"/>
    <w:rsid w:val="0015227C"/>
    <w:rsid w:val="001522A8"/>
    <w:rsid w:val="001523EA"/>
    <w:rsid w:val="00152541"/>
    <w:rsid w:val="001526C4"/>
    <w:rsid w:val="00152739"/>
    <w:rsid w:val="0015273B"/>
    <w:rsid w:val="001528F8"/>
    <w:rsid w:val="001529C1"/>
    <w:rsid w:val="00152BF3"/>
    <w:rsid w:val="00152D10"/>
    <w:rsid w:val="00152D4B"/>
    <w:rsid w:val="00152D9F"/>
    <w:rsid w:val="00152E90"/>
    <w:rsid w:val="00152EE3"/>
    <w:rsid w:val="00153031"/>
    <w:rsid w:val="001532F5"/>
    <w:rsid w:val="001536D7"/>
    <w:rsid w:val="001537D0"/>
    <w:rsid w:val="001539CA"/>
    <w:rsid w:val="00153A65"/>
    <w:rsid w:val="00153ACA"/>
    <w:rsid w:val="00153B22"/>
    <w:rsid w:val="00153B3B"/>
    <w:rsid w:val="00153B72"/>
    <w:rsid w:val="00153C2C"/>
    <w:rsid w:val="00153C7E"/>
    <w:rsid w:val="00153CB0"/>
    <w:rsid w:val="00153D39"/>
    <w:rsid w:val="00153D63"/>
    <w:rsid w:val="00153DC8"/>
    <w:rsid w:val="00153FC1"/>
    <w:rsid w:val="00154079"/>
    <w:rsid w:val="0015437D"/>
    <w:rsid w:val="001543A7"/>
    <w:rsid w:val="0015453E"/>
    <w:rsid w:val="00154557"/>
    <w:rsid w:val="00154714"/>
    <w:rsid w:val="00154832"/>
    <w:rsid w:val="001548CF"/>
    <w:rsid w:val="00154BAB"/>
    <w:rsid w:val="00154E1A"/>
    <w:rsid w:val="00154E1B"/>
    <w:rsid w:val="00154EC9"/>
    <w:rsid w:val="00154F3C"/>
    <w:rsid w:val="00155128"/>
    <w:rsid w:val="001551F1"/>
    <w:rsid w:val="00155206"/>
    <w:rsid w:val="0015549E"/>
    <w:rsid w:val="001554C5"/>
    <w:rsid w:val="00155501"/>
    <w:rsid w:val="001555E6"/>
    <w:rsid w:val="00155728"/>
    <w:rsid w:val="00155766"/>
    <w:rsid w:val="00155903"/>
    <w:rsid w:val="00155A2A"/>
    <w:rsid w:val="00155A2F"/>
    <w:rsid w:val="00155C6A"/>
    <w:rsid w:val="00155DFD"/>
    <w:rsid w:val="00155F1F"/>
    <w:rsid w:val="00155FC0"/>
    <w:rsid w:val="00155FDE"/>
    <w:rsid w:val="00156237"/>
    <w:rsid w:val="0015650A"/>
    <w:rsid w:val="00156513"/>
    <w:rsid w:val="0015652E"/>
    <w:rsid w:val="00156636"/>
    <w:rsid w:val="001566DE"/>
    <w:rsid w:val="00156752"/>
    <w:rsid w:val="00156790"/>
    <w:rsid w:val="00156795"/>
    <w:rsid w:val="001567D0"/>
    <w:rsid w:val="00156864"/>
    <w:rsid w:val="001569E0"/>
    <w:rsid w:val="00156A19"/>
    <w:rsid w:val="00156B19"/>
    <w:rsid w:val="00156BDF"/>
    <w:rsid w:val="00156C29"/>
    <w:rsid w:val="00156C54"/>
    <w:rsid w:val="00156CEC"/>
    <w:rsid w:val="00156EC7"/>
    <w:rsid w:val="00156F2D"/>
    <w:rsid w:val="00156FDB"/>
    <w:rsid w:val="00157041"/>
    <w:rsid w:val="001572AF"/>
    <w:rsid w:val="0015736D"/>
    <w:rsid w:val="0015738E"/>
    <w:rsid w:val="0015770E"/>
    <w:rsid w:val="001578E4"/>
    <w:rsid w:val="001578EE"/>
    <w:rsid w:val="0015795A"/>
    <w:rsid w:val="00157A28"/>
    <w:rsid w:val="00157DD1"/>
    <w:rsid w:val="00157DE6"/>
    <w:rsid w:val="00157E34"/>
    <w:rsid w:val="00157EC9"/>
    <w:rsid w:val="00157F3F"/>
    <w:rsid w:val="00157F49"/>
    <w:rsid w:val="001600C5"/>
    <w:rsid w:val="001602EE"/>
    <w:rsid w:val="00160360"/>
    <w:rsid w:val="00160444"/>
    <w:rsid w:val="00160488"/>
    <w:rsid w:val="001605C7"/>
    <w:rsid w:val="001605FF"/>
    <w:rsid w:val="001606C8"/>
    <w:rsid w:val="0016086A"/>
    <w:rsid w:val="0016086B"/>
    <w:rsid w:val="001609BF"/>
    <w:rsid w:val="00160A6F"/>
    <w:rsid w:val="00160C09"/>
    <w:rsid w:val="00160CB6"/>
    <w:rsid w:val="00160EB4"/>
    <w:rsid w:val="00160F07"/>
    <w:rsid w:val="0016113B"/>
    <w:rsid w:val="001611EF"/>
    <w:rsid w:val="0016120A"/>
    <w:rsid w:val="00161258"/>
    <w:rsid w:val="001613E1"/>
    <w:rsid w:val="00161542"/>
    <w:rsid w:val="00161576"/>
    <w:rsid w:val="001615AF"/>
    <w:rsid w:val="001616EC"/>
    <w:rsid w:val="00161754"/>
    <w:rsid w:val="001617C5"/>
    <w:rsid w:val="00161832"/>
    <w:rsid w:val="0016193E"/>
    <w:rsid w:val="0016194D"/>
    <w:rsid w:val="00161995"/>
    <w:rsid w:val="00161B69"/>
    <w:rsid w:val="00161BEE"/>
    <w:rsid w:val="00161D00"/>
    <w:rsid w:val="00161D38"/>
    <w:rsid w:val="00161D62"/>
    <w:rsid w:val="00161DC6"/>
    <w:rsid w:val="001621B1"/>
    <w:rsid w:val="001621CC"/>
    <w:rsid w:val="00162210"/>
    <w:rsid w:val="00162286"/>
    <w:rsid w:val="001624B7"/>
    <w:rsid w:val="001624DC"/>
    <w:rsid w:val="0016261F"/>
    <w:rsid w:val="001628C0"/>
    <w:rsid w:val="00162984"/>
    <w:rsid w:val="00162A12"/>
    <w:rsid w:val="00162B43"/>
    <w:rsid w:val="00162B90"/>
    <w:rsid w:val="00162C07"/>
    <w:rsid w:val="00162D5F"/>
    <w:rsid w:val="00162E13"/>
    <w:rsid w:val="00162E36"/>
    <w:rsid w:val="00162ED2"/>
    <w:rsid w:val="00162F57"/>
    <w:rsid w:val="00163012"/>
    <w:rsid w:val="0016313A"/>
    <w:rsid w:val="0016333D"/>
    <w:rsid w:val="00163395"/>
    <w:rsid w:val="00163537"/>
    <w:rsid w:val="00163803"/>
    <w:rsid w:val="00163843"/>
    <w:rsid w:val="001638A8"/>
    <w:rsid w:val="001638BE"/>
    <w:rsid w:val="001639E9"/>
    <w:rsid w:val="00163AA1"/>
    <w:rsid w:val="00163ABB"/>
    <w:rsid w:val="00163B20"/>
    <w:rsid w:val="00163B37"/>
    <w:rsid w:val="00163B67"/>
    <w:rsid w:val="00163DDC"/>
    <w:rsid w:val="00163E7C"/>
    <w:rsid w:val="001640A7"/>
    <w:rsid w:val="00164116"/>
    <w:rsid w:val="0016419C"/>
    <w:rsid w:val="00164365"/>
    <w:rsid w:val="001644BB"/>
    <w:rsid w:val="001645CE"/>
    <w:rsid w:val="001648C1"/>
    <w:rsid w:val="00164941"/>
    <w:rsid w:val="0016496C"/>
    <w:rsid w:val="001649FB"/>
    <w:rsid w:val="00164CDB"/>
    <w:rsid w:val="00164ED0"/>
    <w:rsid w:val="00164FA9"/>
    <w:rsid w:val="00164FFD"/>
    <w:rsid w:val="00165166"/>
    <w:rsid w:val="001651E8"/>
    <w:rsid w:val="00165237"/>
    <w:rsid w:val="00165363"/>
    <w:rsid w:val="0016545A"/>
    <w:rsid w:val="00165621"/>
    <w:rsid w:val="001657F9"/>
    <w:rsid w:val="001658B7"/>
    <w:rsid w:val="001659E5"/>
    <w:rsid w:val="00165BDF"/>
    <w:rsid w:val="00165C09"/>
    <w:rsid w:val="00165C4A"/>
    <w:rsid w:val="00165E95"/>
    <w:rsid w:val="00165F23"/>
    <w:rsid w:val="00166053"/>
    <w:rsid w:val="001660FC"/>
    <w:rsid w:val="00166189"/>
    <w:rsid w:val="00166417"/>
    <w:rsid w:val="00166676"/>
    <w:rsid w:val="00166859"/>
    <w:rsid w:val="0016686B"/>
    <w:rsid w:val="00166982"/>
    <w:rsid w:val="00166987"/>
    <w:rsid w:val="00166A47"/>
    <w:rsid w:val="00166A51"/>
    <w:rsid w:val="00166BAA"/>
    <w:rsid w:val="00166D3D"/>
    <w:rsid w:val="00166EDB"/>
    <w:rsid w:val="001671A8"/>
    <w:rsid w:val="001671D2"/>
    <w:rsid w:val="00167210"/>
    <w:rsid w:val="001672AB"/>
    <w:rsid w:val="001673BB"/>
    <w:rsid w:val="0016741B"/>
    <w:rsid w:val="0016747D"/>
    <w:rsid w:val="001674C4"/>
    <w:rsid w:val="00167620"/>
    <w:rsid w:val="00167733"/>
    <w:rsid w:val="0016774D"/>
    <w:rsid w:val="001677E4"/>
    <w:rsid w:val="001677F1"/>
    <w:rsid w:val="0016791A"/>
    <w:rsid w:val="00167962"/>
    <w:rsid w:val="00167A07"/>
    <w:rsid w:val="00167AFF"/>
    <w:rsid w:val="00167B4E"/>
    <w:rsid w:val="00167DCA"/>
    <w:rsid w:val="00167F38"/>
    <w:rsid w:val="00167FBA"/>
    <w:rsid w:val="00170176"/>
    <w:rsid w:val="001702B7"/>
    <w:rsid w:val="0017037B"/>
    <w:rsid w:val="001703AB"/>
    <w:rsid w:val="00170471"/>
    <w:rsid w:val="00170550"/>
    <w:rsid w:val="00170563"/>
    <w:rsid w:val="001705D5"/>
    <w:rsid w:val="001706E3"/>
    <w:rsid w:val="001707C7"/>
    <w:rsid w:val="00170827"/>
    <w:rsid w:val="00170A16"/>
    <w:rsid w:val="00170A5F"/>
    <w:rsid w:val="00170AB9"/>
    <w:rsid w:val="00170BB0"/>
    <w:rsid w:val="00170BCF"/>
    <w:rsid w:val="00170D0C"/>
    <w:rsid w:val="00170DA3"/>
    <w:rsid w:val="00170DE5"/>
    <w:rsid w:val="00170F6B"/>
    <w:rsid w:val="0017104F"/>
    <w:rsid w:val="00171130"/>
    <w:rsid w:val="001712A7"/>
    <w:rsid w:val="001712EE"/>
    <w:rsid w:val="001714E5"/>
    <w:rsid w:val="00171605"/>
    <w:rsid w:val="0017166E"/>
    <w:rsid w:val="001716A8"/>
    <w:rsid w:val="001717E3"/>
    <w:rsid w:val="00171930"/>
    <w:rsid w:val="001719B9"/>
    <w:rsid w:val="00171A30"/>
    <w:rsid w:val="00171F25"/>
    <w:rsid w:val="00171FE7"/>
    <w:rsid w:val="0017209E"/>
    <w:rsid w:val="001720CE"/>
    <w:rsid w:val="00172141"/>
    <w:rsid w:val="001721C4"/>
    <w:rsid w:val="001721EC"/>
    <w:rsid w:val="00172299"/>
    <w:rsid w:val="00172395"/>
    <w:rsid w:val="0017243A"/>
    <w:rsid w:val="0017246B"/>
    <w:rsid w:val="00172634"/>
    <w:rsid w:val="00172650"/>
    <w:rsid w:val="00172663"/>
    <w:rsid w:val="001726A6"/>
    <w:rsid w:val="001726BC"/>
    <w:rsid w:val="0017275C"/>
    <w:rsid w:val="001728B0"/>
    <w:rsid w:val="0017299F"/>
    <w:rsid w:val="00172C3D"/>
    <w:rsid w:val="00172C8A"/>
    <w:rsid w:val="00172C91"/>
    <w:rsid w:val="00172E60"/>
    <w:rsid w:val="00172E7C"/>
    <w:rsid w:val="00173102"/>
    <w:rsid w:val="001731F5"/>
    <w:rsid w:val="00173238"/>
    <w:rsid w:val="001733B2"/>
    <w:rsid w:val="001733F8"/>
    <w:rsid w:val="001734F9"/>
    <w:rsid w:val="0017366B"/>
    <w:rsid w:val="00173847"/>
    <w:rsid w:val="001738D4"/>
    <w:rsid w:val="00173A87"/>
    <w:rsid w:val="00173BBA"/>
    <w:rsid w:val="00173C42"/>
    <w:rsid w:val="00173D35"/>
    <w:rsid w:val="00173F2E"/>
    <w:rsid w:val="00173FC6"/>
    <w:rsid w:val="0017400A"/>
    <w:rsid w:val="00174020"/>
    <w:rsid w:val="00174128"/>
    <w:rsid w:val="001741F6"/>
    <w:rsid w:val="00174242"/>
    <w:rsid w:val="001742EE"/>
    <w:rsid w:val="0017431B"/>
    <w:rsid w:val="001744B5"/>
    <w:rsid w:val="00174532"/>
    <w:rsid w:val="001745F7"/>
    <w:rsid w:val="00174683"/>
    <w:rsid w:val="00174879"/>
    <w:rsid w:val="00174A8C"/>
    <w:rsid w:val="00174B66"/>
    <w:rsid w:val="00174BAC"/>
    <w:rsid w:val="00174D19"/>
    <w:rsid w:val="00174DC2"/>
    <w:rsid w:val="00174EC7"/>
    <w:rsid w:val="00174F25"/>
    <w:rsid w:val="00174F30"/>
    <w:rsid w:val="00174F35"/>
    <w:rsid w:val="00174FF7"/>
    <w:rsid w:val="001750AD"/>
    <w:rsid w:val="0017514D"/>
    <w:rsid w:val="0017517D"/>
    <w:rsid w:val="001752A7"/>
    <w:rsid w:val="00175319"/>
    <w:rsid w:val="00175373"/>
    <w:rsid w:val="00175390"/>
    <w:rsid w:val="00175427"/>
    <w:rsid w:val="0017553B"/>
    <w:rsid w:val="001756A3"/>
    <w:rsid w:val="0017575E"/>
    <w:rsid w:val="001758E5"/>
    <w:rsid w:val="00175948"/>
    <w:rsid w:val="00175CD9"/>
    <w:rsid w:val="00175D0E"/>
    <w:rsid w:val="00175D98"/>
    <w:rsid w:val="00175DAA"/>
    <w:rsid w:val="00175E1C"/>
    <w:rsid w:val="00175E9A"/>
    <w:rsid w:val="00175F75"/>
    <w:rsid w:val="00175F9A"/>
    <w:rsid w:val="00176016"/>
    <w:rsid w:val="001760A0"/>
    <w:rsid w:val="001760B3"/>
    <w:rsid w:val="001760E7"/>
    <w:rsid w:val="001761D3"/>
    <w:rsid w:val="0017635E"/>
    <w:rsid w:val="001765F5"/>
    <w:rsid w:val="00176655"/>
    <w:rsid w:val="001766C2"/>
    <w:rsid w:val="00176729"/>
    <w:rsid w:val="001767CD"/>
    <w:rsid w:val="001767D3"/>
    <w:rsid w:val="0017684A"/>
    <w:rsid w:val="0017699D"/>
    <w:rsid w:val="001769A0"/>
    <w:rsid w:val="001769FA"/>
    <w:rsid w:val="00176AF1"/>
    <w:rsid w:val="00176B26"/>
    <w:rsid w:val="00176B29"/>
    <w:rsid w:val="00176B8D"/>
    <w:rsid w:val="00176B9A"/>
    <w:rsid w:val="00176BD2"/>
    <w:rsid w:val="00176C98"/>
    <w:rsid w:val="00176E88"/>
    <w:rsid w:val="00176ECE"/>
    <w:rsid w:val="00176F00"/>
    <w:rsid w:val="001770DC"/>
    <w:rsid w:val="001771FC"/>
    <w:rsid w:val="00177388"/>
    <w:rsid w:val="0017739E"/>
    <w:rsid w:val="001775E1"/>
    <w:rsid w:val="0017786F"/>
    <w:rsid w:val="00177965"/>
    <w:rsid w:val="001779C6"/>
    <w:rsid w:val="00177A51"/>
    <w:rsid w:val="00177DE8"/>
    <w:rsid w:val="00177DEC"/>
    <w:rsid w:val="00177E4A"/>
    <w:rsid w:val="00177F7A"/>
    <w:rsid w:val="00180089"/>
    <w:rsid w:val="001800E6"/>
    <w:rsid w:val="00180353"/>
    <w:rsid w:val="001804C7"/>
    <w:rsid w:val="00180691"/>
    <w:rsid w:val="001806B4"/>
    <w:rsid w:val="0018075F"/>
    <w:rsid w:val="0018079C"/>
    <w:rsid w:val="0018082E"/>
    <w:rsid w:val="00180875"/>
    <w:rsid w:val="001808D1"/>
    <w:rsid w:val="001808F0"/>
    <w:rsid w:val="001809A7"/>
    <w:rsid w:val="00180A68"/>
    <w:rsid w:val="00180A76"/>
    <w:rsid w:val="00180CE8"/>
    <w:rsid w:val="00180EE0"/>
    <w:rsid w:val="0018105E"/>
    <w:rsid w:val="00181089"/>
    <w:rsid w:val="001812A1"/>
    <w:rsid w:val="001812E1"/>
    <w:rsid w:val="0018132A"/>
    <w:rsid w:val="00181389"/>
    <w:rsid w:val="001813BB"/>
    <w:rsid w:val="001815A7"/>
    <w:rsid w:val="00181667"/>
    <w:rsid w:val="0018166F"/>
    <w:rsid w:val="0018169F"/>
    <w:rsid w:val="00181705"/>
    <w:rsid w:val="00181719"/>
    <w:rsid w:val="001817B0"/>
    <w:rsid w:val="0018188A"/>
    <w:rsid w:val="00181A42"/>
    <w:rsid w:val="00181AFB"/>
    <w:rsid w:val="00181B6A"/>
    <w:rsid w:val="00181CE7"/>
    <w:rsid w:val="00181DB9"/>
    <w:rsid w:val="00181F9D"/>
    <w:rsid w:val="00182064"/>
    <w:rsid w:val="00182108"/>
    <w:rsid w:val="00182328"/>
    <w:rsid w:val="001823E0"/>
    <w:rsid w:val="00182418"/>
    <w:rsid w:val="0018245D"/>
    <w:rsid w:val="001824BC"/>
    <w:rsid w:val="001824BE"/>
    <w:rsid w:val="00182512"/>
    <w:rsid w:val="001825C8"/>
    <w:rsid w:val="001826AE"/>
    <w:rsid w:val="00182827"/>
    <w:rsid w:val="00182981"/>
    <w:rsid w:val="00182C03"/>
    <w:rsid w:val="00182E01"/>
    <w:rsid w:val="00182E3C"/>
    <w:rsid w:val="00182E4E"/>
    <w:rsid w:val="00182E86"/>
    <w:rsid w:val="00182F81"/>
    <w:rsid w:val="00182FC2"/>
    <w:rsid w:val="00182FCC"/>
    <w:rsid w:val="001830B3"/>
    <w:rsid w:val="001832E9"/>
    <w:rsid w:val="0018334A"/>
    <w:rsid w:val="00183373"/>
    <w:rsid w:val="001834F5"/>
    <w:rsid w:val="001835DF"/>
    <w:rsid w:val="0018361D"/>
    <w:rsid w:val="00183640"/>
    <w:rsid w:val="00183709"/>
    <w:rsid w:val="0018379F"/>
    <w:rsid w:val="001837B9"/>
    <w:rsid w:val="0018394D"/>
    <w:rsid w:val="001839B6"/>
    <w:rsid w:val="001839F7"/>
    <w:rsid w:val="00183A23"/>
    <w:rsid w:val="00183AA2"/>
    <w:rsid w:val="00183BB4"/>
    <w:rsid w:val="00183D3C"/>
    <w:rsid w:val="00183D6B"/>
    <w:rsid w:val="00183E87"/>
    <w:rsid w:val="00183FEF"/>
    <w:rsid w:val="0018415B"/>
    <w:rsid w:val="0018422A"/>
    <w:rsid w:val="00184245"/>
    <w:rsid w:val="00184332"/>
    <w:rsid w:val="00184357"/>
    <w:rsid w:val="001843B7"/>
    <w:rsid w:val="00184498"/>
    <w:rsid w:val="001847F7"/>
    <w:rsid w:val="00184AA7"/>
    <w:rsid w:val="00184CDD"/>
    <w:rsid w:val="00184D39"/>
    <w:rsid w:val="00184D83"/>
    <w:rsid w:val="00184DBA"/>
    <w:rsid w:val="00184DF6"/>
    <w:rsid w:val="00184E9A"/>
    <w:rsid w:val="00185054"/>
    <w:rsid w:val="00185165"/>
    <w:rsid w:val="00185171"/>
    <w:rsid w:val="001851BC"/>
    <w:rsid w:val="001851E0"/>
    <w:rsid w:val="0018525B"/>
    <w:rsid w:val="0018529A"/>
    <w:rsid w:val="0018543D"/>
    <w:rsid w:val="00185478"/>
    <w:rsid w:val="001858B6"/>
    <w:rsid w:val="00185983"/>
    <w:rsid w:val="001859DC"/>
    <w:rsid w:val="00185A2B"/>
    <w:rsid w:val="00185B50"/>
    <w:rsid w:val="00185DAA"/>
    <w:rsid w:val="00185E68"/>
    <w:rsid w:val="00185FEB"/>
    <w:rsid w:val="00186100"/>
    <w:rsid w:val="001861AB"/>
    <w:rsid w:val="001862D4"/>
    <w:rsid w:val="001863B8"/>
    <w:rsid w:val="001863EE"/>
    <w:rsid w:val="00186455"/>
    <w:rsid w:val="00186541"/>
    <w:rsid w:val="001865F0"/>
    <w:rsid w:val="001866CA"/>
    <w:rsid w:val="00186819"/>
    <w:rsid w:val="00186862"/>
    <w:rsid w:val="001868DE"/>
    <w:rsid w:val="00186971"/>
    <w:rsid w:val="001869FB"/>
    <w:rsid w:val="00186AAF"/>
    <w:rsid w:val="00186ADA"/>
    <w:rsid w:val="00186AEE"/>
    <w:rsid w:val="00186BF2"/>
    <w:rsid w:val="00186C05"/>
    <w:rsid w:val="00186CB5"/>
    <w:rsid w:val="00186CBF"/>
    <w:rsid w:val="00186E28"/>
    <w:rsid w:val="0018710B"/>
    <w:rsid w:val="0018718D"/>
    <w:rsid w:val="001871FA"/>
    <w:rsid w:val="00187326"/>
    <w:rsid w:val="001874A6"/>
    <w:rsid w:val="001874C3"/>
    <w:rsid w:val="00187843"/>
    <w:rsid w:val="001878F3"/>
    <w:rsid w:val="0018797E"/>
    <w:rsid w:val="00187B67"/>
    <w:rsid w:val="00187B7B"/>
    <w:rsid w:val="00187BDE"/>
    <w:rsid w:val="00187C4C"/>
    <w:rsid w:val="00187CB2"/>
    <w:rsid w:val="00187F3A"/>
    <w:rsid w:val="0018DB0B"/>
    <w:rsid w:val="001902B3"/>
    <w:rsid w:val="001902CB"/>
    <w:rsid w:val="001903E3"/>
    <w:rsid w:val="001905E9"/>
    <w:rsid w:val="00190627"/>
    <w:rsid w:val="0019069B"/>
    <w:rsid w:val="00190745"/>
    <w:rsid w:val="001907C0"/>
    <w:rsid w:val="00190946"/>
    <w:rsid w:val="00190951"/>
    <w:rsid w:val="00190AFD"/>
    <w:rsid w:val="00190BCD"/>
    <w:rsid w:val="00190BEB"/>
    <w:rsid w:val="00190C18"/>
    <w:rsid w:val="00190CB1"/>
    <w:rsid w:val="001911C1"/>
    <w:rsid w:val="00191218"/>
    <w:rsid w:val="0019123A"/>
    <w:rsid w:val="00191295"/>
    <w:rsid w:val="001912B1"/>
    <w:rsid w:val="001913B1"/>
    <w:rsid w:val="00191879"/>
    <w:rsid w:val="00191A16"/>
    <w:rsid w:val="00191AB8"/>
    <w:rsid w:val="00191B4A"/>
    <w:rsid w:val="00191CD4"/>
    <w:rsid w:val="00191D2D"/>
    <w:rsid w:val="00191EA9"/>
    <w:rsid w:val="00191F25"/>
    <w:rsid w:val="00191FA1"/>
    <w:rsid w:val="00192029"/>
    <w:rsid w:val="001920DD"/>
    <w:rsid w:val="001921A2"/>
    <w:rsid w:val="001921B1"/>
    <w:rsid w:val="0019250D"/>
    <w:rsid w:val="0019259B"/>
    <w:rsid w:val="0019259F"/>
    <w:rsid w:val="001925C5"/>
    <w:rsid w:val="001926FA"/>
    <w:rsid w:val="00192724"/>
    <w:rsid w:val="0019289C"/>
    <w:rsid w:val="00192941"/>
    <w:rsid w:val="001929C8"/>
    <w:rsid w:val="00192A1A"/>
    <w:rsid w:val="00192AA4"/>
    <w:rsid w:val="00192E9D"/>
    <w:rsid w:val="00192FA0"/>
    <w:rsid w:val="00192FE0"/>
    <w:rsid w:val="001930ED"/>
    <w:rsid w:val="00193131"/>
    <w:rsid w:val="001932B1"/>
    <w:rsid w:val="001934F0"/>
    <w:rsid w:val="00193522"/>
    <w:rsid w:val="001935AA"/>
    <w:rsid w:val="00193689"/>
    <w:rsid w:val="0019369E"/>
    <w:rsid w:val="00193773"/>
    <w:rsid w:val="0019388C"/>
    <w:rsid w:val="00193946"/>
    <w:rsid w:val="0019397F"/>
    <w:rsid w:val="00193C21"/>
    <w:rsid w:val="00193DA5"/>
    <w:rsid w:val="00194126"/>
    <w:rsid w:val="0019422C"/>
    <w:rsid w:val="001943BA"/>
    <w:rsid w:val="00194478"/>
    <w:rsid w:val="001944DE"/>
    <w:rsid w:val="001946C8"/>
    <w:rsid w:val="001946F7"/>
    <w:rsid w:val="0019475B"/>
    <w:rsid w:val="0019486B"/>
    <w:rsid w:val="001949C8"/>
    <w:rsid w:val="00194A8F"/>
    <w:rsid w:val="00194B09"/>
    <w:rsid w:val="00194B75"/>
    <w:rsid w:val="00194C89"/>
    <w:rsid w:val="00194CE9"/>
    <w:rsid w:val="001950B5"/>
    <w:rsid w:val="00195720"/>
    <w:rsid w:val="00195763"/>
    <w:rsid w:val="001957C4"/>
    <w:rsid w:val="00195966"/>
    <w:rsid w:val="00195AE0"/>
    <w:rsid w:val="00195E07"/>
    <w:rsid w:val="0019603A"/>
    <w:rsid w:val="00196117"/>
    <w:rsid w:val="0019612E"/>
    <w:rsid w:val="001962D6"/>
    <w:rsid w:val="00196396"/>
    <w:rsid w:val="0019649A"/>
    <w:rsid w:val="0019649F"/>
    <w:rsid w:val="0019683D"/>
    <w:rsid w:val="00196866"/>
    <w:rsid w:val="001969B9"/>
    <w:rsid w:val="00196A2F"/>
    <w:rsid w:val="00196A79"/>
    <w:rsid w:val="00196B74"/>
    <w:rsid w:val="00196CB3"/>
    <w:rsid w:val="00196CC7"/>
    <w:rsid w:val="00196D7A"/>
    <w:rsid w:val="00196DA2"/>
    <w:rsid w:val="00196DF5"/>
    <w:rsid w:val="00197065"/>
    <w:rsid w:val="001971ED"/>
    <w:rsid w:val="00197221"/>
    <w:rsid w:val="0019728C"/>
    <w:rsid w:val="00197462"/>
    <w:rsid w:val="00197469"/>
    <w:rsid w:val="0019746B"/>
    <w:rsid w:val="00197602"/>
    <w:rsid w:val="00197643"/>
    <w:rsid w:val="0019771D"/>
    <w:rsid w:val="00197847"/>
    <w:rsid w:val="00197885"/>
    <w:rsid w:val="001979C9"/>
    <w:rsid w:val="001979E2"/>
    <w:rsid w:val="00197B11"/>
    <w:rsid w:val="00197B83"/>
    <w:rsid w:val="00197C01"/>
    <w:rsid w:val="00197CAE"/>
    <w:rsid w:val="00197CFF"/>
    <w:rsid w:val="00197F65"/>
    <w:rsid w:val="001A017B"/>
    <w:rsid w:val="001A01A0"/>
    <w:rsid w:val="001A01F8"/>
    <w:rsid w:val="001A01FA"/>
    <w:rsid w:val="001A020B"/>
    <w:rsid w:val="001A033F"/>
    <w:rsid w:val="001A0345"/>
    <w:rsid w:val="001A0410"/>
    <w:rsid w:val="001A0513"/>
    <w:rsid w:val="001A0525"/>
    <w:rsid w:val="001A07F1"/>
    <w:rsid w:val="001A09A2"/>
    <w:rsid w:val="001A09D2"/>
    <w:rsid w:val="001A0B06"/>
    <w:rsid w:val="001A0B2B"/>
    <w:rsid w:val="001A0C58"/>
    <w:rsid w:val="001A0C5B"/>
    <w:rsid w:val="001A0DF4"/>
    <w:rsid w:val="001A0E6E"/>
    <w:rsid w:val="001A0EBB"/>
    <w:rsid w:val="001A0F96"/>
    <w:rsid w:val="001A12BD"/>
    <w:rsid w:val="001A13BC"/>
    <w:rsid w:val="001A13FB"/>
    <w:rsid w:val="001A14E6"/>
    <w:rsid w:val="001A15DB"/>
    <w:rsid w:val="001A15ED"/>
    <w:rsid w:val="001A165E"/>
    <w:rsid w:val="001A1686"/>
    <w:rsid w:val="001A16AC"/>
    <w:rsid w:val="001A1749"/>
    <w:rsid w:val="001A17C4"/>
    <w:rsid w:val="001A19DB"/>
    <w:rsid w:val="001A19E9"/>
    <w:rsid w:val="001A19F3"/>
    <w:rsid w:val="001A1A67"/>
    <w:rsid w:val="001A1A91"/>
    <w:rsid w:val="001A1D8C"/>
    <w:rsid w:val="001A1DE8"/>
    <w:rsid w:val="001A1E29"/>
    <w:rsid w:val="001A1F65"/>
    <w:rsid w:val="001A1F74"/>
    <w:rsid w:val="001A20AF"/>
    <w:rsid w:val="001A224A"/>
    <w:rsid w:val="001A235C"/>
    <w:rsid w:val="001A2425"/>
    <w:rsid w:val="001A246F"/>
    <w:rsid w:val="001A24AF"/>
    <w:rsid w:val="001A2567"/>
    <w:rsid w:val="001A2620"/>
    <w:rsid w:val="001A264A"/>
    <w:rsid w:val="001A27A6"/>
    <w:rsid w:val="001A27F0"/>
    <w:rsid w:val="001A283F"/>
    <w:rsid w:val="001A2978"/>
    <w:rsid w:val="001A29BD"/>
    <w:rsid w:val="001A29D7"/>
    <w:rsid w:val="001A31E3"/>
    <w:rsid w:val="001A3220"/>
    <w:rsid w:val="001A350B"/>
    <w:rsid w:val="001A363E"/>
    <w:rsid w:val="001A385B"/>
    <w:rsid w:val="001A3AD1"/>
    <w:rsid w:val="001A3AF8"/>
    <w:rsid w:val="001A3B09"/>
    <w:rsid w:val="001A3B68"/>
    <w:rsid w:val="001A3BA3"/>
    <w:rsid w:val="001A3C2A"/>
    <w:rsid w:val="001A3C4E"/>
    <w:rsid w:val="001A3C7C"/>
    <w:rsid w:val="001A3CFD"/>
    <w:rsid w:val="001A3D3E"/>
    <w:rsid w:val="001A3D73"/>
    <w:rsid w:val="001A3DB9"/>
    <w:rsid w:val="001A3FAE"/>
    <w:rsid w:val="001A3FDC"/>
    <w:rsid w:val="001A41E8"/>
    <w:rsid w:val="001A439F"/>
    <w:rsid w:val="001A4489"/>
    <w:rsid w:val="001A4765"/>
    <w:rsid w:val="001A48DA"/>
    <w:rsid w:val="001A4920"/>
    <w:rsid w:val="001A4AA9"/>
    <w:rsid w:val="001A4B06"/>
    <w:rsid w:val="001A4B65"/>
    <w:rsid w:val="001A4C82"/>
    <w:rsid w:val="001A4F50"/>
    <w:rsid w:val="001A504D"/>
    <w:rsid w:val="001A5126"/>
    <w:rsid w:val="001A5133"/>
    <w:rsid w:val="001A5164"/>
    <w:rsid w:val="001A5191"/>
    <w:rsid w:val="001A51E2"/>
    <w:rsid w:val="001A53C1"/>
    <w:rsid w:val="001A54F5"/>
    <w:rsid w:val="001A55C4"/>
    <w:rsid w:val="001A55EA"/>
    <w:rsid w:val="001A5614"/>
    <w:rsid w:val="001A5713"/>
    <w:rsid w:val="001A57B2"/>
    <w:rsid w:val="001A58D8"/>
    <w:rsid w:val="001A5942"/>
    <w:rsid w:val="001A59B4"/>
    <w:rsid w:val="001A5C76"/>
    <w:rsid w:val="001A5D04"/>
    <w:rsid w:val="001A5D7C"/>
    <w:rsid w:val="001A5E18"/>
    <w:rsid w:val="001A5E9B"/>
    <w:rsid w:val="001A5F33"/>
    <w:rsid w:val="001A61BD"/>
    <w:rsid w:val="001A61D7"/>
    <w:rsid w:val="001A62C9"/>
    <w:rsid w:val="001A63F4"/>
    <w:rsid w:val="001A6407"/>
    <w:rsid w:val="001A64E1"/>
    <w:rsid w:val="001A6547"/>
    <w:rsid w:val="001A6700"/>
    <w:rsid w:val="001A6874"/>
    <w:rsid w:val="001A68F6"/>
    <w:rsid w:val="001A6A04"/>
    <w:rsid w:val="001A6A56"/>
    <w:rsid w:val="001A6B21"/>
    <w:rsid w:val="001A6B31"/>
    <w:rsid w:val="001A6C19"/>
    <w:rsid w:val="001A6C6F"/>
    <w:rsid w:val="001A6CFE"/>
    <w:rsid w:val="001A6DC8"/>
    <w:rsid w:val="001A6E12"/>
    <w:rsid w:val="001A6E23"/>
    <w:rsid w:val="001A6F3B"/>
    <w:rsid w:val="001A6F41"/>
    <w:rsid w:val="001A6F90"/>
    <w:rsid w:val="001A7044"/>
    <w:rsid w:val="001A70C7"/>
    <w:rsid w:val="001A7177"/>
    <w:rsid w:val="001A71BA"/>
    <w:rsid w:val="001A7314"/>
    <w:rsid w:val="001A7547"/>
    <w:rsid w:val="001A75E7"/>
    <w:rsid w:val="001A75F2"/>
    <w:rsid w:val="001A7646"/>
    <w:rsid w:val="001A7746"/>
    <w:rsid w:val="001A7782"/>
    <w:rsid w:val="001A782F"/>
    <w:rsid w:val="001A7947"/>
    <w:rsid w:val="001A7993"/>
    <w:rsid w:val="001A7AA7"/>
    <w:rsid w:val="001A7BAF"/>
    <w:rsid w:val="001A7BD5"/>
    <w:rsid w:val="001A7CC8"/>
    <w:rsid w:val="001A7D35"/>
    <w:rsid w:val="001A7E88"/>
    <w:rsid w:val="001A7FB9"/>
    <w:rsid w:val="001A7FD5"/>
    <w:rsid w:val="001B01CB"/>
    <w:rsid w:val="001B01ED"/>
    <w:rsid w:val="001B0203"/>
    <w:rsid w:val="001B02C8"/>
    <w:rsid w:val="001B03B6"/>
    <w:rsid w:val="001B0405"/>
    <w:rsid w:val="001B04AB"/>
    <w:rsid w:val="001B0559"/>
    <w:rsid w:val="001B058D"/>
    <w:rsid w:val="001B05D9"/>
    <w:rsid w:val="001B05F2"/>
    <w:rsid w:val="001B072B"/>
    <w:rsid w:val="001B0753"/>
    <w:rsid w:val="001B0821"/>
    <w:rsid w:val="001B086C"/>
    <w:rsid w:val="001B0898"/>
    <w:rsid w:val="001B08BB"/>
    <w:rsid w:val="001B09D7"/>
    <w:rsid w:val="001B0A84"/>
    <w:rsid w:val="001B0BF3"/>
    <w:rsid w:val="001B0C8A"/>
    <w:rsid w:val="001B0F28"/>
    <w:rsid w:val="001B1270"/>
    <w:rsid w:val="001B1284"/>
    <w:rsid w:val="001B12EE"/>
    <w:rsid w:val="001B1339"/>
    <w:rsid w:val="001B13F4"/>
    <w:rsid w:val="001B1578"/>
    <w:rsid w:val="001B158B"/>
    <w:rsid w:val="001B15C6"/>
    <w:rsid w:val="001B1BF4"/>
    <w:rsid w:val="001B1C52"/>
    <w:rsid w:val="001B1CC6"/>
    <w:rsid w:val="001B1D0E"/>
    <w:rsid w:val="001B1D2B"/>
    <w:rsid w:val="001B1D31"/>
    <w:rsid w:val="001B1FB2"/>
    <w:rsid w:val="001B200E"/>
    <w:rsid w:val="001B217B"/>
    <w:rsid w:val="001B225A"/>
    <w:rsid w:val="001B24AB"/>
    <w:rsid w:val="001B24B1"/>
    <w:rsid w:val="001B257D"/>
    <w:rsid w:val="001B2642"/>
    <w:rsid w:val="001B2743"/>
    <w:rsid w:val="001B292C"/>
    <w:rsid w:val="001B2944"/>
    <w:rsid w:val="001B2964"/>
    <w:rsid w:val="001B2A9A"/>
    <w:rsid w:val="001B2ACD"/>
    <w:rsid w:val="001B2B68"/>
    <w:rsid w:val="001B2DCB"/>
    <w:rsid w:val="001B2E61"/>
    <w:rsid w:val="001B2FED"/>
    <w:rsid w:val="001B30F1"/>
    <w:rsid w:val="001B3181"/>
    <w:rsid w:val="001B32E4"/>
    <w:rsid w:val="001B3311"/>
    <w:rsid w:val="001B332A"/>
    <w:rsid w:val="001B34E3"/>
    <w:rsid w:val="001B350D"/>
    <w:rsid w:val="001B362B"/>
    <w:rsid w:val="001B365F"/>
    <w:rsid w:val="001B3672"/>
    <w:rsid w:val="001B36CB"/>
    <w:rsid w:val="001B36DE"/>
    <w:rsid w:val="001B3771"/>
    <w:rsid w:val="001B377D"/>
    <w:rsid w:val="001B38E2"/>
    <w:rsid w:val="001B39E8"/>
    <w:rsid w:val="001B3ACA"/>
    <w:rsid w:val="001B3B34"/>
    <w:rsid w:val="001B3B4E"/>
    <w:rsid w:val="001B3BD6"/>
    <w:rsid w:val="001B3C11"/>
    <w:rsid w:val="001B3C6E"/>
    <w:rsid w:val="001B3E29"/>
    <w:rsid w:val="001B3E80"/>
    <w:rsid w:val="001B3E91"/>
    <w:rsid w:val="001B3FAF"/>
    <w:rsid w:val="001B3FF7"/>
    <w:rsid w:val="001B4288"/>
    <w:rsid w:val="001B42C3"/>
    <w:rsid w:val="001B435E"/>
    <w:rsid w:val="001B43F4"/>
    <w:rsid w:val="001B4420"/>
    <w:rsid w:val="001B4571"/>
    <w:rsid w:val="001B46B8"/>
    <w:rsid w:val="001B482D"/>
    <w:rsid w:val="001B493E"/>
    <w:rsid w:val="001B4946"/>
    <w:rsid w:val="001B499E"/>
    <w:rsid w:val="001B4A0C"/>
    <w:rsid w:val="001B4A5D"/>
    <w:rsid w:val="001B4BD6"/>
    <w:rsid w:val="001B4D40"/>
    <w:rsid w:val="001B4D96"/>
    <w:rsid w:val="001B4E68"/>
    <w:rsid w:val="001B5153"/>
    <w:rsid w:val="001B5177"/>
    <w:rsid w:val="001B51F0"/>
    <w:rsid w:val="001B525C"/>
    <w:rsid w:val="001B539D"/>
    <w:rsid w:val="001B53C2"/>
    <w:rsid w:val="001B5422"/>
    <w:rsid w:val="001B570C"/>
    <w:rsid w:val="001B5733"/>
    <w:rsid w:val="001B5750"/>
    <w:rsid w:val="001B5BAB"/>
    <w:rsid w:val="001B5BD5"/>
    <w:rsid w:val="001B5C6B"/>
    <w:rsid w:val="001B5E2F"/>
    <w:rsid w:val="001B5E35"/>
    <w:rsid w:val="001B5FBE"/>
    <w:rsid w:val="001B6090"/>
    <w:rsid w:val="001B6109"/>
    <w:rsid w:val="001B6162"/>
    <w:rsid w:val="001B6180"/>
    <w:rsid w:val="001B61D3"/>
    <w:rsid w:val="001B628D"/>
    <w:rsid w:val="001B631B"/>
    <w:rsid w:val="001B6396"/>
    <w:rsid w:val="001B64DA"/>
    <w:rsid w:val="001B65F6"/>
    <w:rsid w:val="001B6660"/>
    <w:rsid w:val="001B666E"/>
    <w:rsid w:val="001B667A"/>
    <w:rsid w:val="001B6698"/>
    <w:rsid w:val="001B672A"/>
    <w:rsid w:val="001B6752"/>
    <w:rsid w:val="001B6760"/>
    <w:rsid w:val="001B67C5"/>
    <w:rsid w:val="001B685E"/>
    <w:rsid w:val="001B6886"/>
    <w:rsid w:val="001B6AB5"/>
    <w:rsid w:val="001B6B20"/>
    <w:rsid w:val="001B6B4B"/>
    <w:rsid w:val="001B6D29"/>
    <w:rsid w:val="001B6D9C"/>
    <w:rsid w:val="001B6DDD"/>
    <w:rsid w:val="001B712F"/>
    <w:rsid w:val="001B71DD"/>
    <w:rsid w:val="001B72E1"/>
    <w:rsid w:val="001B7322"/>
    <w:rsid w:val="001B733F"/>
    <w:rsid w:val="001B7446"/>
    <w:rsid w:val="001B746F"/>
    <w:rsid w:val="001B7551"/>
    <w:rsid w:val="001B7628"/>
    <w:rsid w:val="001B785E"/>
    <w:rsid w:val="001B7A7B"/>
    <w:rsid w:val="001B7B3C"/>
    <w:rsid w:val="001B7BD9"/>
    <w:rsid w:val="001B7D2F"/>
    <w:rsid w:val="001B7DB7"/>
    <w:rsid w:val="001BA192"/>
    <w:rsid w:val="001C008B"/>
    <w:rsid w:val="001C01A6"/>
    <w:rsid w:val="001C01F4"/>
    <w:rsid w:val="001C025D"/>
    <w:rsid w:val="001C02C8"/>
    <w:rsid w:val="001C038E"/>
    <w:rsid w:val="001C03B6"/>
    <w:rsid w:val="001C0431"/>
    <w:rsid w:val="001C0463"/>
    <w:rsid w:val="001C0648"/>
    <w:rsid w:val="001C0674"/>
    <w:rsid w:val="001C0765"/>
    <w:rsid w:val="001C0A02"/>
    <w:rsid w:val="001C0A0A"/>
    <w:rsid w:val="001C0CDC"/>
    <w:rsid w:val="001C0CEF"/>
    <w:rsid w:val="001C0DFA"/>
    <w:rsid w:val="001C0F52"/>
    <w:rsid w:val="001C1102"/>
    <w:rsid w:val="001C1112"/>
    <w:rsid w:val="001C1131"/>
    <w:rsid w:val="001C126D"/>
    <w:rsid w:val="001C1276"/>
    <w:rsid w:val="001C1388"/>
    <w:rsid w:val="001C143D"/>
    <w:rsid w:val="001C16B3"/>
    <w:rsid w:val="001C177E"/>
    <w:rsid w:val="001C189E"/>
    <w:rsid w:val="001C1905"/>
    <w:rsid w:val="001C1949"/>
    <w:rsid w:val="001C19A4"/>
    <w:rsid w:val="001C1B38"/>
    <w:rsid w:val="001C1B79"/>
    <w:rsid w:val="001C1C4A"/>
    <w:rsid w:val="001C1C52"/>
    <w:rsid w:val="001C1CBC"/>
    <w:rsid w:val="001C1DCA"/>
    <w:rsid w:val="001C1DFF"/>
    <w:rsid w:val="001C1E0F"/>
    <w:rsid w:val="001C1ED4"/>
    <w:rsid w:val="001C1F3B"/>
    <w:rsid w:val="001C2064"/>
    <w:rsid w:val="001C20AC"/>
    <w:rsid w:val="001C2256"/>
    <w:rsid w:val="001C22BC"/>
    <w:rsid w:val="001C22DD"/>
    <w:rsid w:val="001C246E"/>
    <w:rsid w:val="001C252A"/>
    <w:rsid w:val="001C25E7"/>
    <w:rsid w:val="001C26D1"/>
    <w:rsid w:val="001C275C"/>
    <w:rsid w:val="001C295E"/>
    <w:rsid w:val="001C2A9C"/>
    <w:rsid w:val="001C2AB3"/>
    <w:rsid w:val="001C2AD7"/>
    <w:rsid w:val="001C2D38"/>
    <w:rsid w:val="001C2D8B"/>
    <w:rsid w:val="001C2DD4"/>
    <w:rsid w:val="001C2E1C"/>
    <w:rsid w:val="001C2EBF"/>
    <w:rsid w:val="001C2FFE"/>
    <w:rsid w:val="001C314F"/>
    <w:rsid w:val="001C3168"/>
    <w:rsid w:val="001C3189"/>
    <w:rsid w:val="001C325E"/>
    <w:rsid w:val="001C32AB"/>
    <w:rsid w:val="001C338D"/>
    <w:rsid w:val="001C341D"/>
    <w:rsid w:val="001C34F6"/>
    <w:rsid w:val="001C363F"/>
    <w:rsid w:val="001C36A7"/>
    <w:rsid w:val="001C36B2"/>
    <w:rsid w:val="001C36B6"/>
    <w:rsid w:val="001C37CA"/>
    <w:rsid w:val="001C3917"/>
    <w:rsid w:val="001C3981"/>
    <w:rsid w:val="001C3ABA"/>
    <w:rsid w:val="001C3C96"/>
    <w:rsid w:val="001C3DBF"/>
    <w:rsid w:val="001C3FB6"/>
    <w:rsid w:val="001C40D4"/>
    <w:rsid w:val="001C4174"/>
    <w:rsid w:val="001C4235"/>
    <w:rsid w:val="001C4333"/>
    <w:rsid w:val="001C43B3"/>
    <w:rsid w:val="001C440D"/>
    <w:rsid w:val="001C460F"/>
    <w:rsid w:val="001C4684"/>
    <w:rsid w:val="001C47DF"/>
    <w:rsid w:val="001C47E5"/>
    <w:rsid w:val="001C48D9"/>
    <w:rsid w:val="001C4941"/>
    <w:rsid w:val="001C4A74"/>
    <w:rsid w:val="001C4AED"/>
    <w:rsid w:val="001C4B99"/>
    <w:rsid w:val="001C4C39"/>
    <w:rsid w:val="001C4D11"/>
    <w:rsid w:val="001C4E3E"/>
    <w:rsid w:val="001C4F11"/>
    <w:rsid w:val="001C4F72"/>
    <w:rsid w:val="001C4F82"/>
    <w:rsid w:val="001C5022"/>
    <w:rsid w:val="001C51FB"/>
    <w:rsid w:val="001C539B"/>
    <w:rsid w:val="001C5401"/>
    <w:rsid w:val="001C563D"/>
    <w:rsid w:val="001C5841"/>
    <w:rsid w:val="001C5943"/>
    <w:rsid w:val="001C598C"/>
    <w:rsid w:val="001C5AAB"/>
    <w:rsid w:val="001C5B95"/>
    <w:rsid w:val="001C5D77"/>
    <w:rsid w:val="001C5DBD"/>
    <w:rsid w:val="001C5E7E"/>
    <w:rsid w:val="001C6057"/>
    <w:rsid w:val="001C6112"/>
    <w:rsid w:val="001C613A"/>
    <w:rsid w:val="001C6231"/>
    <w:rsid w:val="001C648F"/>
    <w:rsid w:val="001C654D"/>
    <w:rsid w:val="001C6576"/>
    <w:rsid w:val="001C65A3"/>
    <w:rsid w:val="001C65C6"/>
    <w:rsid w:val="001C670F"/>
    <w:rsid w:val="001C685E"/>
    <w:rsid w:val="001C6A2E"/>
    <w:rsid w:val="001C6A9F"/>
    <w:rsid w:val="001C6D8F"/>
    <w:rsid w:val="001C6E34"/>
    <w:rsid w:val="001C6F22"/>
    <w:rsid w:val="001C6F62"/>
    <w:rsid w:val="001C703C"/>
    <w:rsid w:val="001C7288"/>
    <w:rsid w:val="001C7329"/>
    <w:rsid w:val="001C73CC"/>
    <w:rsid w:val="001C7497"/>
    <w:rsid w:val="001C74B4"/>
    <w:rsid w:val="001C7732"/>
    <w:rsid w:val="001C7941"/>
    <w:rsid w:val="001C7A41"/>
    <w:rsid w:val="001C7A78"/>
    <w:rsid w:val="001C7B89"/>
    <w:rsid w:val="001C7C0D"/>
    <w:rsid w:val="001C7D1B"/>
    <w:rsid w:val="001C7DAF"/>
    <w:rsid w:val="001C7DE0"/>
    <w:rsid w:val="001CA5FC"/>
    <w:rsid w:val="001D0012"/>
    <w:rsid w:val="001D055E"/>
    <w:rsid w:val="001D06BA"/>
    <w:rsid w:val="001D0732"/>
    <w:rsid w:val="001D0790"/>
    <w:rsid w:val="001D0825"/>
    <w:rsid w:val="001D0935"/>
    <w:rsid w:val="001D095D"/>
    <w:rsid w:val="001D0996"/>
    <w:rsid w:val="001D0AC5"/>
    <w:rsid w:val="001D0ADF"/>
    <w:rsid w:val="001D0BF9"/>
    <w:rsid w:val="001D0DDF"/>
    <w:rsid w:val="001D0FE1"/>
    <w:rsid w:val="001D1099"/>
    <w:rsid w:val="001D11B9"/>
    <w:rsid w:val="001D1203"/>
    <w:rsid w:val="001D1204"/>
    <w:rsid w:val="001D13E3"/>
    <w:rsid w:val="001D146D"/>
    <w:rsid w:val="001D14C4"/>
    <w:rsid w:val="001D1551"/>
    <w:rsid w:val="001D1705"/>
    <w:rsid w:val="001D1713"/>
    <w:rsid w:val="001D17C6"/>
    <w:rsid w:val="001D1853"/>
    <w:rsid w:val="001D1949"/>
    <w:rsid w:val="001D19B0"/>
    <w:rsid w:val="001D1AED"/>
    <w:rsid w:val="001D1B2B"/>
    <w:rsid w:val="001D1B59"/>
    <w:rsid w:val="001D1BD6"/>
    <w:rsid w:val="001D1CDC"/>
    <w:rsid w:val="001D1E41"/>
    <w:rsid w:val="001D1EB3"/>
    <w:rsid w:val="001D1F65"/>
    <w:rsid w:val="001D1F8B"/>
    <w:rsid w:val="001D210F"/>
    <w:rsid w:val="001D2166"/>
    <w:rsid w:val="001D222D"/>
    <w:rsid w:val="001D23D5"/>
    <w:rsid w:val="001D249F"/>
    <w:rsid w:val="001D2696"/>
    <w:rsid w:val="001D26B0"/>
    <w:rsid w:val="001D2831"/>
    <w:rsid w:val="001D2B3D"/>
    <w:rsid w:val="001D2C67"/>
    <w:rsid w:val="001D2D49"/>
    <w:rsid w:val="001D2DA7"/>
    <w:rsid w:val="001D2DC9"/>
    <w:rsid w:val="001D2EDD"/>
    <w:rsid w:val="001D2F4A"/>
    <w:rsid w:val="001D3312"/>
    <w:rsid w:val="001D3335"/>
    <w:rsid w:val="001D3489"/>
    <w:rsid w:val="001D34E3"/>
    <w:rsid w:val="001D371B"/>
    <w:rsid w:val="001D3817"/>
    <w:rsid w:val="001D3B2C"/>
    <w:rsid w:val="001D3B8E"/>
    <w:rsid w:val="001D3C14"/>
    <w:rsid w:val="001D3CB5"/>
    <w:rsid w:val="001D3CDA"/>
    <w:rsid w:val="001D3D18"/>
    <w:rsid w:val="001D3E58"/>
    <w:rsid w:val="001D3E77"/>
    <w:rsid w:val="001D4049"/>
    <w:rsid w:val="001D4258"/>
    <w:rsid w:val="001D4384"/>
    <w:rsid w:val="001D43F4"/>
    <w:rsid w:val="001D4448"/>
    <w:rsid w:val="001D4775"/>
    <w:rsid w:val="001D47D9"/>
    <w:rsid w:val="001D48D5"/>
    <w:rsid w:val="001D4951"/>
    <w:rsid w:val="001D4A93"/>
    <w:rsid w:val="001D4AB1"/>
    <w:rsid w:val="001D4AE9"/>
    <w:rsid w:val="001D4B90"/>
    <w:rsid w:val="001D4B9C"/>
    <w:rsid w:val="001D4BA1"/>
    <w:rsid w:val="001D4BE5"/>
    <w:rsid w:val="001D4D80"/>
    <w:rsid w:val="001D4F92"/>
    <w:rsid w:val="001D4FE0"/>
    <w:rsid w:val="001D50C7"/>
    <w:rsid w:val="001D535B"/>
    <w:rsid w:val="001D541E"/>
    <w:rsid w:val="001D54AD"/>
    <w:rsid w:val="001D54BB"/>
    <w:rsid w:val="001D54CD"/>
    <w:rsid w:val="001D5513"/>
    <w:rsid w:val="001D552C"/>
    <w:rsid w:val="001D5570"/>
    <w:rsid w:val="001D5838"/>
    <w:rsid w:val="001D586F"/>
    <w:rsid w:val="001D5A99"/>
    <w:rsid w:val="001D5AB0"/>
    <w:rsid w:val="001D5CBA"/>
    <w:rsid w:val="001D5F20"/>
    <w:rsid w:val="001D61D8"/>
    <w:rsid w:val="001D6362"/>
    <w:rsid w:val="001D63B1"/>
    <w:rsid w:val="001D63C9"/>
    <w:rsid w:val="001D6441"/>
    <w:rsid w:val="001D676E"/>
    <w:rsid w:val="001D67F4"/>
    <w:rsid w:val="001D68CB"/>
    <w:rsid w:val="001D68FC"/>
    <w:rsid w:val="001D6A28"/>
    <w:rsid w:val="001D6A29"/>
    <w:rsid w:val="001D6ACB"/>
    <w:rsid w:val="001D6B95"/>
    <w:rsid w:val="001D6BB6"/>
    <w:rsid w:val="001D6C5E"/>
    <w:rsid w:val="001D6C68"/>
    <w:rsid w:val="001D6CF7"/>
    <w:rsid w:val="001D6D30"/>
    <w:rsid w:val="001D6E68"/>
    <w:rsid w:val="001D6F87"/>
    <w:rsid w:val="001D7077"/>
    <w:rsid w:val="001D7152"/>
    <w:rsid w:val="001D71B6"/>
    <w:rsid w:val="001D71CF"/>
    <w:rsid w:val="001D75F1"/>
    <w:rsid w:val="001D761E"/>
    <w:rsid w:val="001D77D4"/>
    <w:rsid w:val="001D7833"/>
    <w:rsid w:val="001D78E3"/>
    <w:rsid w:val="001D78F9"/>
    <w:rsid w:val="001D7999"/>
    <w:rsid w:val="001D7A9E"/>
    <w:rsid w:val="001D7AF4"/>
    <w:rsid w:val="001D7B93"/>
    <w:rsid w:val="001D7BF1"/>
    <w:rsid w:val="001D7C23"/>
    <w:rsid w:val="001D7C6D"/>
    <w:rsid w:val="001D7CB0"/>
    <w:rsid w:val="001D7D64"/>
    <w:rsid w:val="001D7E30"/>
    <w:rsid w:val="001D7F0E"/>
    <w:rsid w:val="001E007D"/>
    <w:rsid w:val="001E0080"/>
    <w:rsid w:val="001E024E"/>
    <w:rsid w:val="001E04DB"/>
    <w:rsid w:val="001E05C6"/>
    <w:rsid w:val="001E06C1"/>
    <w:rsid w:val="001E0781"/>
    <w:rsid w:val="001E0784"/>
    <w:rsid w:val="001E07B9"/>
    <w:rsid w:val="001E0896"/>
    <w:rsid w:val="001E08F1"/>
    <w:rsid w:val="001E0900"/>
    <w:rsid w:val="001E09C9"/>
    <w:rsid w:val="001E09DA"/>
    <w:rsid w:val="001E0BDB"/>
    <w:rsid w:val="001E0E10"/>
    <w:rsid w:val="001E1016"/>
    <w:rsid w:val="001E10E6"/>
    <w:rsid w:val="001E136A"/>
    <w:rsid w:val="001E137F"/>
    <w:rsid w:val="001E13AB"/>
    <w:rsid w:val="001E1429"/>
    <w:rsid w:val="001E1567"/>
    <w:rsid w:val="001E1629"/>
    <w:rsid w:val="001E1693"/>
    <w:rsid w:val="001E16E8"/>
    <w:rsid w:val="001E17FB"/>
    <w:rsid w:val="001E183C"/>
    <w:rsid w:val="001E1972"/>
    <w:rsid w:val="001E1A4C"/>
    <w:rsid w:val="001E1ABD"/>
    <w:rsid w:val="001E1BF7"/>
    <w:rsid w:val="001E1ED0"/>
    <w:rsid w:val="001E2006"/>
    <w:rsid w:val="001E200F"/>
    <w:rsid w:val="001E2092"/>
    <w:rsid w:val="001E210D"/>
    <w:rsid w:val="001E2205"/>
    <w:rsid w:val="001E22B8"/>
    <w:rsid w:val="001E2308"/>
    <w:rsid w:val="001E24F6"/>
    <w:rsid w:val="001E25D8"/>
    <w:rsid w:val="001E28D1"/>
    <w:rsid w:val="001E28F7"/>
    <w:rsid w:val="001E29BD"/>
    <w:rsid w:val="001E2A62"/>
    <w:rsid w:val="001E2A65"/>
    <w:rsid w:val="001E2A6C"/>
    <w:rsid w:val="001E2ADD"/>
    <w:rsid w:val="001E2B54"/>
    <w:rsid w:val="001E2DC1"/>
    <w:rsid w:val="001E2DD1"/>
    <w:rsid w:val="001E2E06"/>
    <w:rsid w:val="001E2E32"/>
    <w:rsid w:val="001E3115"/>
    <w:rsid w:val="001E3122"/>
    <w:rsid w:val="001E341A"/>
    <w:rsid w:val="001E3428"/>
    <w:rsid w:val="001E34B9"/>
    <w:rsid w:val="001E354A"/>
    <w:rsid w:val="001E3684"/>
    <w:rsid w:val="001E3690"/>
    <w:rsid w:val="001E374E"/>
    <w:rsid w:val="001E37D2"/>
    <w:rsid w:val="001E393F"/>
    <w:rsid w:val="001E3A93"/>
    <w:rsid w:val="001E3B0A"/>
    <w:rsid w:val="001E3BD7"/>
    <w:rsid w:val="001E3C44"/>
    <w:rsid w:val="001E3C54"/>
    <w:rsid w:val="001E3D3F"/>
    <w:rsid w:val="001E3D66"/>
    <w:rsid w:val="001E3EC2"/>
    <w:rsid w:val="001E3ED1"/>
    <w:rsid w:val="001E40F6"/>
    <w:rsid w:val="001E418B"/>
    <w:rsid w:val="001E4198"/>
    <w:rsid w:val="001E41BC"/>
    <w:rsid w:val="001E42FA"/>
    <w:rsid w:val="001E430B"/>
    <w:rsid w:val="001E43C2"/>
    <w:rsid w:val="001E4416"/>
    <w:rsid w:val="001E456C"/>
    <w:rsid w:val="001E45CE"/>
    <w:rsid w:val="001E4843"/>
    <w:rsid w:val="001E48BC"/>
    <w:rsid w:val="001E4908"/>
    <w:rsid w:val="001E4912"/>
    <w:rsid w:val="001E49E7"/>
    <w:rsid w:val="001E4A99"/>
    <w:rsid w:val="001E4AA6"/>
    <w:rsid w:val="001E4B13"/>
    <w:rsid w:val="001E4B48"/>
    <w:rsid w:val="001E4B85"/>
    <w:rsid w:val="001E4C0A"/>
    <w:rsid w:val="001E4C97"/>
    <w:rsid w:val="001E4FB8"/>
    <w:rsid w:val="001E4FFB"/>
    <w:rsid w:val="001E50DB"/>
    <w:rsid w:val="001E5325"/>
    <w:rsid w:val="001E538E"/>
    <w:rsid w:val="001E54AF"/>
    <w:rsid w:val="001E54FC"/>
    <w:rsid w:val="001E57C5"/>
    <w:rsid w:val="001E5867"/>
    <w:rsid w:val="001E5976"/>
    <w:rsid w:val="001E59FF"/>
    <w:rsid w:val="001E5A63"/>
    <w:rsid w:val="001E5B73"/>
    <w:rsid w:val="001E5B86"/>
    <w:rsid w:val="001E5CCB"/>
    <w:rsid w:val="001E5D59"/>
    <w:rsid w:val="001E5E06"/>
    <w:rsid w:val="001E5E3A"/>
    <w:rsid w:val="001E5EA8"/>
    <w:rsid w:val="001E5EAA"/>
    <w:rsid w:val="001E5EBD"/>
    <w:rsid w:val="001E5EC5"/>
    <w:rsid w:val="001E5F5E"/>
    <w:rsid w:val="001E5FFA"/>
    <w:rsid w:val="001E602C"/>
    <w:rsid w:val="001E6124"/>
    <w:rsid w:val="001E61B6"/>
    <w:rsid w:val="001E62B4"/>
    <w:rsid w:val="001E639D"/>
    <w:rsid w:val="001E6459"/>
    <w:rsid w:val="001E64F2"/>
    <w:rsid w:val="001E662C"/>
    <w:rsid w:val="001E6630"/>
    <w:rsid w:val="001E66C6"/>
    <w:rsid w:val="001E6788"/>
    <w:rsid w:val="001E68BB"/>
    <w:rsid w:val="001E6A50"/>
    <w:rsid w:val="001E6A76"/>
    <w:rsid w:val="001E6B99"/>
    <w:rsid w:val="001E6C5A"/>
    <w:rsid w:val="001E7134"/>
    <w:rsid w:val="001E716C"/>
    <w:rsid w:val="001E724D"/>
    <w:rsid w:val="001E733D"/>
    <w:rsid w:val="001E7344"/>
    <w:rsid w:val="001E75B5"/>
    <w:rsid w:val="001E75E4"/>
    <w:rsid w:val="001E79FB"/>
    <w:rsid w:val="001E7AB0"/>
    <w:rsid w:val="001E7AB8"/>
    <w:rsid w:val="001E7C5B"/>
    <w:rsid w:val="001E7EA5"/>
    <w:rsid w:val="001E7EEC"/>
    <w:rsid w:val="001F0085"/>
    <w:rsid w:val="001F00D1"/>
    <w:rsid w:val="001F0332"/>
    <w:rsid w:val="001F059E"/>
    <w:rsid w:val="001F0613"/>
    <w:rsid w:val="001F061C"/>
    <w:rsid w:val="001F083A"/>
    <w:rsid w:val="001F085E"/>
    <w:rsid w:val="001F088D"/>
    <w:rsid w:val="001F089D"/>
    <w:rsid w:val="001F0915"/>
    <w:rsid w:val="001F091E"/>
    <w:rsid w:val="001F0941"/>
    <w:rsid w:val="001F0B1D"/>
    <w:rsid w:val="001F0B35"/>
    <w:rsid w:val="001F0C32"/>
    <w:rsid w:val="001F0C56"/>
    <w:rsid w:val="001F0D09"/>
    <w:rsid w:val="001F0DE6"/>
    <w:rsid w:val="001F0EFE"/>
    <w:rsid w:val="001F0F16"/>
    <w:rsid w:val="001F0F67"/>
    <w:rsid w:val="001F1127"/>
    <w:rsid w:val="001F122F"/>
    <w:rsid w:val="001F124E"/>
    <w:rsid w:val="001F12B5"/>
    <w:rsid w:val="001F12EF"/>
    <w:rsid w:val="001F1435"/>
    <w:rsid w:val="001F15B6"/>
    <w:rsid w:val="001F164B"/>
    <w:rsid w:val="001F18F4"/>
    <w:rsid w:val="001F192F"/>
    <w:rsid w:val="001F196C"/>
    <w:rsid w:val="001F19B6"/>
    <w:rsid w:val="001F1C74"/>
    <w:rsid w:val="001F1D7F"/>
    <w:rsid w:val="001F1E5A"/>
    <w:rsid w:val="001F2074"/>
    <w:rsid w:val="001F209F"/>
    <w:rsid w:val="001F20BB"/>
    <w:rsid w:val="001F22FC"/>
    <w:rsid w:val="001F2335"/>
    <w:rsid w:val="001F2391"/>
    <w:rsid w:val="001F2474"/>
    <w:rsid w:val="001F260C"/>
    <w:rsid w:val="001F2819"/>
    <w:rsid w:val="001F2856"/>
    <w:rsid w:val="001F293A"/>
    <w:rsid w:val="001F2A0F"/>
    <w:rsid w:val="001F2A30"/>
    <w:rsid w:val="001F2BDC"/>
    <w:rsid w:val="001F2CEE"/>
    <w:rsid w:val="001F2D60"/>
    <w:rsid w:val="001F2E78"/>
    <w:rsid w:val="001F2EB7"/>
    <w:rsid w:val="001F2F61"/>
    <w:rsid w:val="001F2F9E"/>
    <w:rsid w:val="001F30A0"/>
    <w:rsid w:val="001F312A"/>
    <w:rsid w:val="001F324D"/>
    <w:rsid w:val="001F3324"/>
    <w:rsid w:val="001F3327"/>
    <w:rsid w:val="001F34CF"/>
    <w:rsid w:val="001F3514"/>
    <w:rsid w:val="001F3527"/>
    <w:rsid w:val="001F358E"/>
    <w:rsid w:val="001F35BB"/>
    <w:rsid w:val="001F39F6"/>
    <w:rsid w:val="001F3A07"/>
    <w:rsid w:val="001F3A24"/>
    <w:rsid w:val="001F3AE7"/>
    <w:rsid w:val="001F3C03"/>
    <w:rsid w:val="001F3D1D"/>
    <w:rsid w:val="001F3E42"/>
    <w:rsid w:val="001F3EA4"/>
    <w:rsid w:val="001F3EBA"/>
    <w:rsid w:val="001F3EEE"/>
    <w:rsid w:val="001F405F"/>
    <w:rsid w:val="001F429D"/>
    <w:rsid w:val="001F44B0"/>
    <w:rsid w:val="001F44CC"/>
    <w:rsid w:val="001F44E7"/>
    <w:rsid w:val="001F44E8"/>
    <w:rsid w:val="001F453E"/>
    <w:rsid w:val="001F465C"/>
    <w:rsid w:val="001F467A"/>
    <w:rsid w:val="001F4741"/>
    <w:rsid w:val="001F4A21"/>
    <w:rsid w:val="001F4B67"/>
    <w:rsid w:val="001F4B84"/>
    <w:rsid w:val="001F4BA9"/>
    <w:rsid w:val="001F4BDD"/>
    <w:rsid w:val="001F4CB2"/>
    <w:rsid w:val="001F4EA4"/>
    <w:rsid w:val="001F4F48"/>
    <w:rsid w:val="001F4F5B"/>
    <w:rsid w:val="001F4FD6"/>
    <w:rsid w:val="001F5048"/>
    <w:rsid w:val="001F5139"/>
    <w:rsid w:val="001F531B"/>
    <w:rsid w:val="001F5358"/>
    <w:rsid w:val="001F542A"/>
    <w:rsid w:val="001F54B2"/>
    <w:rsid w:val="001F54EE"/>
    <w:rsid w:val="001F54FF"/>
    <w:rsid w:val="001F5511"/>
    <w:rsid w:val="001F553E"/>
    <w:rsid w:val="001F57B0"/>
    <w:rsid w:val="001F5855"/>
    <w:rsid w:val="001F591D"/>
    <w:rsid w:val="001F5A38"/>
    <w:rsid w:val="001F5C36"/>
    <w:rsid w:val="001F5C8E"/>
    <w:rsid w:val="001F5E1F"/>
    <w:rsid w:val="001F5E5A"/>
    <w:rsid w:val="001F5EE9"/>
    <w:rsid w:val="001F60AE"/>
    <w:rsid w:val="001F614B"/>
    <w:rsid w:val="001F6212"/>
    <w:rsid w:val="001F649C"/>
    <w:rsid w:val="001F64BC"/>
    <w:rsid w:val="001F658A"/>
    <w:rsid w:val="001F6624"/>
    <w:rsid w:val="001F69B7"/>
    <w:rsid w:val="001F6A4F"/>
    <w:rsid w:val="001F6ABE"/>
    <w:rsid w:val="001F6CDB"/>
    <w:rsid w:val="001F6F21"/>
    <w:rsid w:val="001F6F3D"/>
    <w:rsid w:val="001F7087"/>
    <w:rsid w:val="001F7093"/>
    <w:rsid w:val="001F72AC"/>
    <w:rsid w:val="001F7333"/>
    <w:rsid w:val="001F7416"/>
    <w:rsid w:val="001F7507"/>
    <w:rsid w:val="001F75E2"/>
    <w:rsid w:val="001F763B"/>
    <w:rsid w:val="001F76BF"/>
    <w:rsid w:val="001F772F"/>
    <w:rsid w:val="001F777A"/>
    <w:rsid w:val="001F796B"/>
    <w:rsid w:val="001F7B3B"/>
    <w:rsid w:val="001F7B54"/>
    <w:rsid w:val="001F7B69"/>
    <w:rsid w:val="001F7BEB"/>
    <w:rsid w:val="001F7C49"/>
    <w:rsid w:val="001F7F03"/>
    <w:rsid w:val="0020003A"/>
    <w:rsid w:val="002001DF"/>
    <w:rsid w:val="002001E1"/>
    <w:rsid w:val="00200293"/>
    <w:rsid w:val="00200364"/>
    <w:rsid w:val="00200670"/>
    <w:rsid w:val="00200725"/>
    <w:rsid w:val="0020084B"/>
    <w:rsid w:val="0020084C"/>
    <w:rsid w:val="00200A31"/>
    <w:rsid w:val="00200A42"/>
    <w:rsid w:val="00200A5E"/>
    <w:rsid w:val="00200BD8"/>
    <w:rsid w:val="00200BEA"/>
    <w:rsid w:val="00200D0D"/>
    <w:rsid w:val="00200D3D"/>
    <w:rsid w:val="00200F30"/>
    <w:rsid w:val="00200F5D"/>
    <w:rsid w:val="00201341"/>
    <w:rsid w:val="00201466"/>
    <w:rsid w:val="0020160F"/>
    <w:rsid w:val="00201628"/>
    <w:rsid w:val="002016EB"/>
    <w:rsid w:val="002016F9"/>
    <w:rsid w:val="00201A04"/>
    <w:rsid w:val="00201A19"/>
    <w:rsid w:val="00201A6A"/>
    <w:rsid w:val="00201BD5"/>
    <w:rsid w:val="00201BFD"/>
    <w:rsid w:val="00201CD1"/>
    <w:rsid w:val="00201D82"/>
    <w:rsid w:val="00202090"/>
    <w:rsid w:val="002020C3"/>
    <w:rsid w:val="002021E6"/>
    <w:rsid w:val="00202232"/>
    <w:rsid w:val="00202345"/>
    <w:rsid w:val="002023A4"/>
    <w:rsid w:val="002023C9"/>
    <w:rsid w:val="002024F8"/>
    <w:rsid w:val="0020262E"/>
    <w:rsid w:val="0020268A"/>
    <w:rsid w:val="00202900"/>
    <w:rsid w:val="00202B4C"/>
    <w:rsid w:val="00202B76"/>
    <w:rsid w:val="00202BCC"/>
    <w:rsid w:val="00202CC5"/>
    <w:rsid w:val="00202E40"/>
    <w:rsid w:val="00202E8C"/>
    <w:rsid w:val="00202E95"/>
    <w:rsid w:val="00202EA7"/>
    <w:rsid w:val="00202EB9"/>
    <w:rsid w:val="00202EC9"/>
    <w:rsid w:val="00202F52"/>
    <w:rsid w:val="00202FAE"/>
    <w:rsid w:val="0020301E"/>
    <w:rsid w:val="00203025"/>
    <w:rsid w:val="0020312D"/>
    <w:rsid w:val="00203276"/>
    <w:rsid w:val="002033D7"/>
    <w:rsid w:val="002033E6"/>
    <w:rsid w:val="00203737"/>
    <w:rsid w:val="00203800"/>
    <w:rsid w:val="00203811"/>
    <w:rsid w:val="002038C0"/>
    <w:rsid w:val="00203967"/>
    <w:rsid w:val="0020396E"/>
    <w:rsid w:val="002039A3"/>
    <w:rsid w:val="002039BE"/>
    <w:rsid w:val="00203A20"/>
    <w:rsid w:val="00203BAC"/>
    <w:rsid w:val="00203BB9"/>
    <w:rsid w:val="00203BBB"/>
    <w:rsid w:val="00203CF2"/>
    <w:rsid w:val="00203E2B"/>
    <w:rsid w:val="00203E58"/>
    <w:rsid w:val="00204035"/>
    <w:rsid w:val="0020404D"/>
    <w:rsid w:val="002041DD"/>
    <w:rsid w:val="002042C9"/>
    <w:rsid w:val="002043EC"/>
    <w:rsid w:val="002043FD"/>
    <w:rsid w:val="00204447"/>
    <w:rsid w:val="002045BC"/>
    <w:rsid w:val="002046D3"/>
    <w:rsid w:val="00204817"/>
    <w:rsid w:val="002048F1"/>
    <w:rsid w:val="00204942"/>
    <w:rsid w:val="00204B93"/>
    <w:rsid w:val="00204BB9"/>
    <w:rsid w:val="00204C9A"/>
    <w:rsid w:val="00204DAF"/>
    <w:rsid w:val="00204DF2"/>
    <w:rsid w:val="00204DF6"/>
    <w:rsid w:val="00204F0C"/>
    <w:rsid w:val="00204FDD"/>
    <w:rsid w:val="00205244"/>
    <w:rsid w:val="00205286"/>
    <w:rsid w:val="00205395"/>
    <w:rsid w:val="002054DD"/>
    <w:rsid w:val="00205522"/>
    <w:rsid w:val="00205546"/>
    <w:rsid w:val="002055E5"/>
    <w:rsid w:val="0020567C"/>
    <w:rsid w:val="0020570C"/>
    <w:rsid w:val="0020578D"/>
    <w:rsid w:val="002057B5"/>
    <w:rsid w:val="002057CA"/>
    <w:rsid w:val="00205912"/>
    <w:rsid w:val="002059B8"/>
    <w:rsid w:val="002059DA"/>
    <w:rsid w:val="00205A3B"/>
    <w:rsid w:val="00205BE7"/>
    <w:rsid w:val="00205C38"/>
    <w:rsid w:val="00205CCF"/>
    <w:rsid w:val="00205D2F"/>
    <w:rsid w:val="00205E25"/>
    <w:rsid w:val="00205E2F"/>
    <w:rsid w:val="00205F80"/>
    <w:rsid w:val="00205FB5"/>
    <w:rsid w:val="00205FD5"/>
    <w:rsid w:val="00206114"/>
    <w:rsid w:val="002062D1"/>
    <w:rsid w:val="00206362"/>
    <w:rsid w:val="00206465"/>
    <w:rsid w:val="00206504"/>
    <w:rsid w:val="00206732"/>
    <w:rsid w:val="0020678E"/>
    <w:rsid w:val="0020684A"/>
    <w:rsid w:val="0020687A"/>
    <w:rsid w:val="00206A25"/>
    <w:rsid w:val="00206AAA"/>
    <w:rsid w:val="00206B00"/>
    <w:rsid w:val="00206B47"/>
    <w:rsid w:val="00206D14"/>
    <w:rsid w:val="00206E73"/>
    <w:rsid w:val="00207009"/>
    <w:rsid w:val="0020716D"/>
    <w:rsid w:val="0020721E"/>
    <w:rsid w:val="002072A0"/>
    <w:rsid w:val="002072CA"/>
    <w:rsid w:val="00207305"/>
    <w:rsid w:val="00207422"/>
    <w:rsid w:val="002074E9"/>
    <w:rsid w:val="00207590"/>
    <w:rsid w:val="002077CC"/>
    <w:rsid w:val="00207874"/>
    <w:rsid w:val="0020788C"/>
    <w:rsid w:val="00207A73"/>
    <w:rsid w:val="00207AD8"/>
    <w:rsid w:val="00207C00"/>
    <w:rsid w:val="00207C17"/>
    <w:rsid w:val="00207E4C"/>
    <w:rsid w:val="00207F40"/>
    <w:rsid w:val="00207F77"/>
    <w:rsid w:val="002100DD"/>
    <w:rsid w:val="0021010E"/>
    <w:rsid w:val="0021023F"/>
    <w:rsid w:val="00210394"/>
    <w:rsid w:val="0021039B"/>
    <w:rsid w:val="002103B4"/>
    <w:rsid w:val="002103EE"/>
    <w:rsid w:val="002104AC"/>
    <w:rsid w:val="00210560"/>
    <w:rsid w:val="002105A8"/>
    <w:rsid w:val="0021074E"/>
    <w:rsid w:val="002108BA"/>
    <w:rsid w:val="00210923"/>
    <w:rsid w:val="00210BB4"/>
    <w:rsid w:val="00210DF6"/>
    <w:rsid w:val="00211215"/>
    <w:rsid w:val="002112DA"/>
    <w:rsid w:val="00211465"/>
    <w:rsid w:val="00211529"/>
    <w:rsid w:val="00211576"/>
    <w:rsid w:val="002115DD"/>
    <w:rsid w:val="002116B7"/>
    <w:rsid w:val="00211890"/>
    <w:rsid w:val="0021194A"/>
    <w:rsid w:val="00211A38"/>
    <w:rsid w:val="00211B7D"/>
    <w:rsid w:val="00211C79"/>
    <w:rsid w:val="00211D8A"/>
    <w:rsid w:val="00211DC6"/>
    <w:rsid w:val="00211DE3"/>
    <w:rsid w:val="00211EB0"/>
    <w:rsid w:val="00211F5B"/>
    <w:rsid w:val="002121EF"/>
    <w:rsid w:val="0021237A"/>
    <w:rsid w:val="002125AB"/>
    <w:rsid w:val="002126EA"/>
    <w:rsid w:val="00212808"/>
    <w:rsid w:val="002129B4"/>
    <w:rsid w:val="00212AFA"/>
    <w:rsid w:val="00212C17"/>
    <w:rsid w:val="00212D8C"/>
    <w:rsid w:val="00212FDB"/>
    <w:rsid w:val="00213034"/>
    <w:rsid w:val="00213098"/>
    <w:rsid w:val="0021309B"/>
    <w:rsid w:val="00213226"/>
    <w:rsid w:val="00213BB2"/>
    <w:rsid w:val="00213C9B"/>
    <w:rsid w:val="00213D79"/>
    <w:rsid w:val="00213E6B"/>
    <w:rsid w:val="00213F06"/>
    <w:rsid w:val="00214027"/>
    <w:rsid w:val="0021404A"/>
    <w:rsid w:val="002141A0"/>
    <w:rsid w:val="002142AE"/>
    <w:rsid w:val="0021438F"/>
    <w:rsid w:val="00214464"/>
    <w:rsid w:val="0021447C"/>
    <w:rsid w:val="00214566"/>
    <w:rsid w:val="002145CA"/>
    <w:rsid w:val="002145DB"/>
    <w:rsid w:val="00214642"/>
    <w:rsid w:val="002146A8"/>
    <w:rsid w:val="002147D6"/>
    <w:rsid w:val="002147FE"/>
    <w:rsid w:val="00214C36"/>
    <w:rsid w:val="00214E4B"/>
    <w:rsid w:val="00214E6D"/>
    <w:rsid w:val="00214EBE"/>
    <w:rsid w:val="00214F53"/>
    <w:rsid w:val="00214FC3"/>
    <w:rsid w:val="00214FF6"/>
    <w:rsid w:val="0021500E"/>
    <w:rsid w:val="0021504E"/>
    <w:rsid w:val="002150DE"/>
    <w:rsid w:val="002151F7"/>
    <w:rsid w:val="0021525F"/>
    <w:rsid w:val="00215304"/>
    <w:rsid w:val="0021533B"/>
    <w:rsid w:val="00215447"/>
    <w:rsid w:val="00215706"/>
    <w:rsid w:val="002158F6"/>
    <w:rsid w:val="00215BD5"/>
    <w:rsid w:val="00215C1F"/>
    <w:rsid w:val="00215C53"/>
    <w:rsid w:val="00215EB6"/>
    <w:rsid w:val="00215EB9"/>
    <w:rsid w:val="00215F19"/>
    <w:rsid w:val="002161C1"/>
    <w:rsid w:val="002162F1"/>
    <w:rsid w:val="0021632E"/>
    <w:rsid w:val="0021636E"/>
    <w:rsid w:val="0021653E"/>
    <w:rsid w:val="0021657A"/>
    <w:rsid w:val="00216598"/>
    <w:rsid w:val="00216726"/>
    <w:rsid w:val="0021688B"/>
    <w:rsid w:val="002168B9"/>
    <w:rsid w:val="002168CB"/>
    <w:rsid w:val="00216A63"/>
    <w:rsid w:val="00216B99"/>
    <w:rsid w:val="00216C1F"/>
    <w:rsid w:val="00216D5B"/>
    <w:rsid w:val="00216DFE"/>
    <w:rsid w:val="00216E88"/>
    <w:rsid w:val="00216F67"/>
    <w:rsid w:val="0021702B"/>
    <w:rsid w:val="00217085"/>
    <w:rsid w:val="0021719D"/>
    <w:rsid w:val="002171D8"/>
    <w:rsid w:val="00217226"/>
    <w:rsid w:val="002172DD"/>
    <w:rsid w:val="0021732E"/>
    <w:rsid w:val="002174AA"/>
    <w:rsid w:val="00217563"/>
    <w:rsid w:val="00217566"/>
    <w:rsid w:val="002175BA"/>
    <w:rsid w:val="00217747"/>
    <w:rsid w:val="00217791"/>
    <w:rsid w:val="002178D9"/>
    <w:rsid w:val="0021791F"/>
    <w:rsid w:val="00217988"/>
    <w:rsid w:val="00217A25"/>
    <w:rsid w:val="00217AC2"/>
    <w:rsid w:val="00217BEA"/>
    <w:rsid w:val="00217C14"/>
    <w:rsid w:val="00217CA8"/>
    <w:rsid w:val="00217E5C"/>
    <w:rsid w:val="00217F27"/>
    <w:rsid w:val="00220047"/>
    <w:rsid w:val="002200F9"/>
    <w:rsid w:val="0022015B"/>
    <w:rsid w:val="00220203"/>
    <w:rsid w:val="00220433"/>
    <w:rsid w:val="00220468"/>
    <w:rsid w:val="0022067D"/>
    <w:rsid w:val="0022067F"/>
    <w:rsid w:val="002206CB"/>
    <w:rsid w:val="0022084C"/>
    <w:rsid w:val="002208A9"/>
    <w:rsid w:val="002208F7"/>
    <w:rsid w:val="0022092E"/>
    <w:rsid w:val="0022093A"/>
    <w:rsid w:val="00220994"/>
    <w:rsid w:val="002209A6"/>
    <w:rsid w:val="002209D6"/>
    <w:rsid w:val="00220B48"/>
    <w:rsid w:val="00220BC5"/>
    <w:rsid w:val="00220DCD"/>
    <w:rsid w:val="00220EDF"/>
    <w:rsid w:val="00220F0B"/>
    <w:rsid w:val="00220F90"/>
    <w:rsid w:val="00220FB9"/>
    <w:rsid w:val="0022108D"/>
    <w:rsid w:val="0022112B"/>
    <w:rsid w:val="0022125A"/>
    <w:rsid w:val="00221285"/>
    <w:rsid w:val="0022129E"/>
    <w:rsid w:val="002212F1"/>
    <w:rsid w:val="0022134C"/>
    <w:rsid w:val="00221371"/>
    <w:rsid w:val="00221382"/>
    <w:rsid w:val="0022143C"/>
    <w:rsid w:val="00221488"/>
    <w:rsid w:val="00221491"/>
    <w:rsid w:val="002216B1"/>
    <w:rsid w:val="0022179E"/>
    <w:rsid w:val="00221934"/>
    <w:rsid w:val="00221BFB"/>
    <w:rsid w:val="00221CA4"/>
    <w:rsid w:val="00221FE8"/>
    <w:rsid w:val="0022201B"/>
    <w:rsid w:val="0022206A"/>
    <w:rsid w:val="0022222A"/>
    <w:rsid w:val="0022233B"/>
    <w:rsid w:val="0022256B"/>
    <w:rsid w:val="0022257F"/>
    <w:rsid w:val="002227B3"/>
    <w:rsid w:val="0022280F"/>
    <w:rsid w:val="0022286A"/>
    <w:rsid w:val="002228AC"/>
    <w:rsid w:val="00222DA9"/>
    <w:rsid w:val="00222EB1"/>
    <w:rsid w:val="0022309B"/>
    <w:rsid w:val="00223158"/>
    <w:rsid w:val="002231AB"/>
    <w:rsid w:val="0022322A"/>
    <w:rsid w:val="002232C0"/>
    <w:rsid w:val="00223421"/>
    <w:rsid w:val="00223498"/>
    <w:rsid w:val="0022362A"/>
    <w:rsid w:val="002236AA"/>
    <w:rsid w:val="0022389F"/>
    <w:rsid w:val="002238A5"/>
    <w:rsid w:val="002238C3"/>
    <w:rsid w:val="0022396A"/>
    <w:rsid w:val="00223A06"/>
    <w:rsid w:val="00223A63"/>
    <w:rsid w:val="00223A81"/>
    <w:rsid w:val="00223A84"/>
    <w:rsid w:val="00223ADA"/>
    <w:rsid w:val="00223BAA"/>
    <w:rsid w:val="00223BD6"/>
    <w:rsid w:val="00223C52"/>
    <w:rsid w:val="00223CD2"/>
    <w:rsid w:val="00223E68"/>
    <w:rsid w:val="00223EF2"/>
    <w:rsid w:val="00224067"/>
    <w:rsid w:val="002240AC"/>
    <w:rsid w:val="00224199"/>
    <w:rsid w:val="00224282"/>
    <w:rsid w:val="0022450A"/>
    <w:rsid w:val="002245D5"/>
    <w:rsid w:val="002246A1"/>
    <w:rsid w:val="00224702"/>
    <w:rsid w:val="0022475D"/>
    <w:rsid w:val="002248FC"/>
    <w:rsid w:val="00224A54"/>
    <w:rsid w:val="00224C49"/>
    <w:rsid w:val="00224DBC"/>
    <w:rsid w:val="00224EFC"/>
    <w:rsid w:val="00224F35"/>
    <w:rsid w:val="00224F91"/>
    <w:rsid w:val="00224FB1"/>
    <w:rsid w:val="0022507E"/>
    <w:rsid w:val="0022519F"/>
    <w:rsid w:val="0022523B"/>
    <w:rsid w:val="00225335"/>
    <w:rsid w:val="00225386"/>
    <w:rsid w:val="00225408"/>
    <w:rsid w:val="00225546"/>
    <w:rsid w:val="00225734"/>
    <w:rsid w:val="00225960"/>
    <w:rsid w:val="00225A9F"/>
    <w:rsid w:val="00225B46"/>
    <w:rsid w:val="00225BF3"/>
    <w:rsid w:val="00225C73"/>
    <w:rsid w:val="00225E5E"/>
    <w:rsid w:val="00225FC0"/>
    <w:rsid w:val="0022610C"/>
    <w:rsid w:val="0022616A"/>
    <w:rsid w:val="0022619B"/>
    <w:rsid w:val="00226462"/>
    <w:rsid w:val="0022646E"/>
    <w:rsid w:val="00226528"/>
    <w:rsid w:val="00226571"/>
    <w:rsid w:val="002266E8"/>
    <w:rsid w:val="002266FC"/>
    <w:rsid w:val="002267B7"/>
    <w:rsid w:val="00226850"/>
    <w:rsid w:val="0022686C"/>
    <w:rsid w:val="0022698F"/>
    <w:rsid w:val="00226A0F"/>
    <w:rsid w:val="00226C44"/>
    <w:rsid w:val="00226D57"/>
    <w:rsid w:val="00226E0A"/>
    <w:rsid w:val="00226ED6"/>
    <w:rsid w:val="00226F3A"/>
    <w:rsid w:val="00226F90"/>
    <w:rsid w:val="00226F97"/>
    <w:rsid w:val="00226FE1"/>
    <w:rsid w:val="00226FF0"/>
    <w:rsid w:val="002270B5"/>
    <w:rsid w:val="002271A4"/>
    <w:rsid w:val="00227288"/>
    <w:rsid w:val="002272C6"/>
    <w:rsid w:val="00227361"/>
    <w:rsid w:val="00227426"/>
    <w:rsid w:val="00227599"/>
    <w:rsid w:val="0022767F"/>
    <w:rsid w:val="0022770F"/>
    <w:rsid w:val="0022777D"/>
    <w:rsid w:val="002277AC"/>
    <w:rsid w:val="00227A7A"/>
    <w:rsid w:val="00227AC8"/>
    <w:rsid w:val="00227B8F"/>
    <w:rsid w:val="00227BDE"/>
    <w:rsid w:val="002300BA"/>
    <w:rsid w:val="002300F3"/>
    <w:rsid w:val="0023022C"/>
    <w:rsid w:val="0023034A"/>
    <w:rsid w:val="00230350"/>
    <w:rsid w:val="0023037A"/>
    <w:rsid w:val="00230485"/>
    <w:rsid w:val="002304CD"/>
    <w:rsid w:val="0023051E"/>
    <w:rsid w:val="00230525"/>
    <w:rsid w:val="002305A5"/>
    <w:rsid w:val="002305A6"/>
    <w:rsid w:val="0023069D"/>
    <w:rsid w:val="002306FF"/>
    <w:rsid w:val="00230710"/>
    <w:rsid w:val="00230975"/>
    <w:rsid w:val="00230985"/>
    <w:rsid w:val="00230AD8"/>
    <w:rsid w:val="00230B10"/>
    <w:rsid w:val="00230B15"/>
    <w:rsid w:val="0023102A"/>
    <w:rsid w:val="002311B8"/>
    <w:rsid w:val="002312B1"/>
    <w:rsid w:val="002312E6"/>
    <w:rsid w:val="002312FE"/>
    <w:rsid w:val="00231386"/>
    <w:rsid w:val="0023148F"/>
    <w:rsid w:val="00231583"/>
    <w:rsid w:val="002315FE"/>
    <w:rsid w:val="00231688"/>
    <w:rsid w:val="0023172C"/>
    <w:rsid w:val="002317AD"/>
    <w:rsid w:val="0023195D"/>
    <w:rsid w:val="00231B90"/>
    <w:rsid w:val="00231D6A"/>
    <w:rsid w:val="00231E3E"/>
    <w:rsid w:val="00231E85"/>
    <w:rsid w:val="00231F52"/>
    <w:rsid w:val="00231FD4"/>
    <w:rsid w:val="002320A2"/>
    <w:rsid w:val="00232132"/>
    <w:rsid w:val="00232313"/>
    <w:rsid w:val="00232370"/>
    <w:rsid w:val="0023246F"/>
    <w:rsid w:val="0023266C"/>
    <w:rsid w:val="002326B7"/>
    <w:rsid w:val="002326E9"/>
    <w:rsid w:val="002329FF"/>
    <w:rsid w:val="00232A1E"/>
    <w:rsid w:val="00232A9F"/>
    <w:rsid w:val="00232AE4"/>
    <w:rsid w:val="00232B7B"/>
    <w:rsid w:val="00232C6A"/>
    <w:rsid w:val="00232CF3"/>
    <w:rsid w:val="00232D72"/>
    <w:rsid w:val="00232F21"/>
    <w:rsid w:val="00233029"/>
    <w:rsid w:val="00233059"/>
    <w:rsid w:val="002331AB"/>
    <w:rsid w:val="002331B3"/>
    <w:rsid w:val="00233353"/>
    <w:rsid w:val="00233486"/>
    <w:rsid w:val="0023359F"/>
    <w:rsid w:val="0023381C"/>
    <w:rsid w:val="00233C26"/>
    <w:rsid w:val="00233C63"/>
    <w:rsid w:val="00233D31"/>
    <w:rsid w:val="00233E60"/>
    <w:rsid w:val="00233E78"/>
    <w:rsid w:val="00233E85"/>
    <w:rsid w:val="00233F49"/>
    <w:rsid w:val="00233F92"/>
    <w:rsid w:val="00233FA5"/>
    <w:rsid w:val="00234083"/>
    <w:rsid w:val="00234222"/>
    <w:rsid w:val="00234241"/>
    <w:rsid w:val="002342C9"/>
    <w:rsid w:val="002343E0"/>
    <w:rsid w:val="00234498"/>
    <w:rsid w:val="00234542"/>
    <w:rsid w:val="00234576"/>
    <w:rsid w:val="002345BF"/>
    <w:rsid w:val="0023489D"/>
    <w:rsid w:val="00234DF6"/>
    <w:rsid w:val="00234E0B"/>
    <w:rsid w:val="00234E29"/>
    <w:rsid w:val="00234E2A"/>
    <w:rsid w:val="00234EEC"/>
    <w:rsid w:val="0023518E"/>
    <w:rsid w:val="002351FC"/>
    <w:rsid w:val="00235867"/>
    <w:rsid w:val="0023589B"/>
    <w:rsid w:val="00235972"/>
    <w:rsid w:val="002359F0"/>
    <w:rsid w:val="00235A7D"/>
    <w:rsid w:val="00235A98"/>
    <w:rsid w:val="00235AC7"/>
    <w:rsid w:val="00235B10"/>
    <w:rsid w:val="00235C11"/>
    <w:rsid w:val="00235CBC"/>
    <w:rsid w:val="00235D50"/>
    <w:rsid w:val="00235EB9"/>
    <w:rsid w:val="00235FCD"/>
    <w:rsid w:val="00236111"/>
    <w:rsid w:val="002361CE"/>
    <w:rsid w:val="00236219"/>
    <w:rsid w:val="00236259"/>
    <w:rsid w:val="00236501"/>
    <w:rsid w:val="00236663"/>
    <w:rsid w:val="00236743"/>
    <w:rsid w:val="002368D5"/>
    <w:rsid w:val="00236968"/>
    <w:rsid w:val="002369F0"/>
    <w:rsid w:val="00236A72"/>
    <w:rsid w:val="00236AD5"/>
    <w:rsid w:val="00236AE0"/>
    <w:rsid w:val="00236BAC"/>
    <w:rsid w:val="00236C29"/>
    <w:rsid w:val="00236E18"/>
    <w:rsid w:val="00236EC1"/>
    <w:rsid w:val="00236F1D"/>
    <w:rsid w:val="00236FFF"/>
    <w:rsid w:val="002370C1"/>
    <w:rsid w:val="00237224"/>
    <w:rsid w:val="00237317"/>
    <w:rsid w:val="0023762D"/>
    <w:rsid w:val="002376A0"/>
    <w:rsid w:val="002376AD"/>
    <w:rsid w:val="002377BB"/>
    <w:rsid w:val="00237803"/>
    <w:rsid w:val="0023789F"/>
    <w:rsid w:val="002378F6"/>
    <w:rsid w:val="00237969"/>
    <w:rsid w:val="00237A61"/>
    <w:rsid w:val="00237AE8"/>
    <w:rsid w:val="00237C5A"/>
    <w:rsid w:val="00237D52"/>
    <w:rsid w:val="00237ECE"/>
    <w:rsid w:val="00237F66"/>
    <w:rsid w:val="00237FD1"/>
    <w:rsid w:val="00240337"/>
    <w:rsid w:val="00240342"/>
    <w:rsid w:val="0024039E"/>
    <w:rsid w:val="002404CB"/>
    <w:rsid w:val="00240598"/>
    <w:rsid w:val="002405B4"/>
    <w:rsid w:val="00240655"/>
    <w:rsid w:val="0024067D"/>
    <w:rsid w:val="00240891"/>
    <w:rsid w:val="002408B3"/>
    <w:rsid w:val="002408B9"/>
    <w:rsid w:val="002409B7"/>
    <w:rsid w:val="00240BC5"/>
    <w:rsid w:val="00240C91"/>
    <w:rsid w:val="00240CE2"/>
    <w:rsid w:val="00240F72"/>
    <w:rsid w:val="00240FDB"/>
    <w:rsid w:val="00241056"/>
    <w:rsid w:val="0024108D"/>
    <w:rsid w:val="002411BE"/>
    <w:rsid w:val="002411C6"/>
    <w:rsid w:val="002411E3"/>
    <w:rsid w:val="00241292"/>
    <w:rsid w:val="002412E3"/>
    <w:rsid w:val="00241313"/>
    <w:rsid w:val="00241378"/>
    <w:rsid w:val="002413A8"/>
    <w:rsid w:val="00241479"/>
    <w:rsid w:val="0024151F"/>
    <w:rsid w:val="0024156E"/>
    <w:rsid w:val="00241633"/>
    <w:rsid w:val="002418CF"/>
    <w:rsid w:val="002418E0"/>
    <w:rsid w:val="002418E6"/>
    <w:rsid w:val="00241A9A"/>
    <w:rsid w:val="00241B10"/>
    <w:rsid w:val="00241D9A"/>
    <w:rsid w:val="00241ED5"/>
    <w:rsid w:val="00242040"/>
    <w:rsid w:val="002420B0"/>
    <w:rsid w:val="00242137"/>
    <w:rsid w:val="00242229"/>
    <w:rsid w:val="0024241B"/>
    <w:rsid w:val="00242490"/>
    <w:rsid w:val="002424F3"/>
    <w:rsid w:val="0024253D"/>
    <w:rsid w:val="002425EC"/>
    <w:rsid w:val="0024267D"/>
    <w:rsid w:val="002426C9"/>
    <w:rsid w:val="00242997"/>
    <w:rsid w:val="00242B1D"/>
    <w:rsid w:val="00242B91"/>
    <w:rsid w:val="00242BAE"/>
    <w:rsid w:val="00242D04"/>
    <w:rsid w:val="00242F72"/>
    <w:rsid w:val="00242F87"/>
    <w:rsid w:val="00243039"/>
    <w:rsid w:val="00243044"/>
    <w:rsid w:val="002430D7"/>
    <w:rsid w:val="0024333B"/>
    <w:rsid w:val="00243498"/>
    <w:rsid w:val="00243618"/>
    <w:rsid w:val="0024361D"/>
    <w:rsid w:val="00243668"/>
    <w:rsid w:val="00243756"/>
    <w:rsid w:val="002437AF"/>
    <w:rsid w:val="00243936"/>
    <w:rsid w:val="00243945"/>
    <w:rsid w:val="00243B8A"/>
    <w:rsid w:val="00243DC0"/>
    <w:rsid w:val="00243E9A"/>
    <w:rsid w:val="00243ED8"/>
    <w:rsid w:val="0024400C"/>
    <w:rsid w:val="0024418C"/>
    <w:rsid w:val="00244280"/>
    <w:rsid w:val="002444DF"/>
    <w:rsid w:val="002445A1"/>
    <w:rsid w:val="0024463B"/>
    <w:rsid w:val="0024472B"/>
    <w:rsid w:val="002448C2"/>
    <w:rsid w:val="002448D8"/>
    <w:rsid w:val="00244A31"/>
    <w:rsid w:val="00244B0E"/>
    <w:rsid w:val="00244B16"/>
    <w:rsid w:val="00244BCD"/>
    <w:rsid w:val="00244C36"/>
    <w:rsid w:val="00244E2C"/>
    <w:rsid w:val="00244EFC"/>
    <w:rsid w:val="00244FAB"/>
    <w:rsid w:val="002452C5"/>
    <w:rsid w:val="002454B4"/>
    <w:rsid w:val="0024567B"/>
    <w:rsid w:val="00245760"/>
    <w:rsid w:val="002458F1"/>
    <w:rsid w:val="00245947"/>
    <w:rsid w:val="00245ABC"/>
    <w:rsid w:val="00245B7F"/>
    <w:rsid w:val="00245C9E"/>
    <w:rsid w:val="00245D27"/>
    <w:rsid w:val="00245E08"/>
    <w:rsid w:val="0024622B"/>
    <w:rsid w:val="0024625B"/>
    <w:rsid w:val="002462D6"/>
    <w:rsid w:val="00246345"/>
    <w:rsid w:val="00246551"/>
    <w:rsid w:val="00246625"/>
    <w:rsid w:val="002467EB"/>
    <w:rsid w:val="00246801"/>
    <w:rsid w:val="0024685C"/>
    <w:rsid w:val="002468E3"/>
    <w:rsid w:val="00246A91"/>
    <w:rsid w:val="00246AC4"/>
    <w:rsid w:val="00246B88"/>
    <w:rsid w:val="00246CD7"/>
    <w:rsid w:val="00246D75"/>
    <w:rsid w:val="00246D99"/>
    <w:rsid w:val="00246FD3"/>
    <w:rsid w:val="002470CB"/>
    <w:rsid w:val="00247178"/>
    <w:rsid w:val="002471B7"/>
    <w:rsid w:val="002472F6"/>
    <w:rsid w:val="002473BB"/>
    <w:rsid w:val="0024746B"/>
    <w:rsid w:val="00247477"/>
    <w:rsid w:val="00247584"/>
    <w:rsid w:val="00247663"/>
    <w:rsid w:val="00247795"/>
    <w:rsid w:val="0024780B"/>
    <w:rsid w:val="0024796D"/>
    <w:rsid w:val="00247A0D"/>
    <w:rsid w:val="00247CD1"/>
    <w:rsid w:val="00250119"/>
    <w:rsid w:val="0025012F"/>
    <w:rsid w:val="00250146"/>
    <w:rsid w:val="00250177"/>
    <w:rsid w:val="00250277"/>
    <w:rsid w:val="0025036B"/>
    <w:rsid w:val="002503A6"/>
    <w:rsid w:val="002503F5"/>
    <w:rsid w:val="00250409"/>
    <w:rsid w:val="002504E6"/>
    <w:rsid w:val="002506CE"/>
    <w:rsid w:val="0025073F"/>
    <w:rsid w:val="00250794"/>
    <w:rsid w:val="00250818"/>
    <w:rsid w:val="00250877"/>
    <w:rsid w:val="002509C4"/>
    <w:rsid w:val="00250B49"/>
    <w:rsid w:val="00250C12"/>
    <w:rsid w:val="00250C47"/>
    <w:rsid w:val="00250CAB"/>
    <w:rsid w:val="00250E5F"/>
    <w:rsid w:val="00250EBC"/>
    <w:rsid w:val="00250F1B"/>
    <w:rsid w:val="00250F35"/>
    <w:rsid w:val="002511C1"/>
    <w:rsid w:val="00251217"/>
    <w:rsid w:val="00251260"/>
    <w:rsid w:val="0025127B"/>
    <w:rsid w:val="002513D0"/>
    <w:rsid w:val="00251609"/>
    <w:rsid w:val="00251653"/>
    <w:rsid w:val="00251693"/>
    <w:rsid w:val="002517DB"/>
    <w:rsid w:val="002517DF"/>
    <w:rsid w:val="002518D2"/>
    <w:rsid w:val="002518DB"/>
    <w:rsid w:val="00251950"/>
    <w:rsid w:val="00251B03"/>
    <w:rsid w:val="00251BD7"/>
    <w:rsid w:val="00251DE5"/>
    <w:rsid w:val="00251ED0"/>
    <w:rsid w:val="00252086"/>
    <w:rsid w:val="002521B9"/>
    <w:rsid w:val="0025235E"/>
    <w:rsid w:val="0025246B"/>
    <w:rsid w:val="0025248B"/>
    <w:rsid w:val="002524C5"/>
    <w:rsid w:val="00252583"/>
    <w:rsid w:val="00252777"/>
    <w:rsid w:val="002527DF"/>
    <w:rsid w:val="00252839"/>
    <w:rsid w:val="00252983"/>
    <w:rsid w:val="00252B5E"/>
    <w:rsid w:val="00252B6E"/>
    <w:rsid w:val="00252C1F"/>
    <w:rsid w:val="00252C9C"/>
    <w:rsid w:val="00252CB6"/>
    <w:rsid w:val="00252EDA"/>
    <w:rsid w:val="002530C9"/>
    <w:rsid w:val="0025310B"/>
    <w:rsid w:val="00253318"/>
    <w:rsid w:val="00253345"/>
    <w:rsid w:val="002533E7"/>
    <w:rsid w:val="002534DB"/>
    <w:rsid w:val="002535B4"/>
    <w:rsid w:val="00253607"/>
    <w:rsid w:val="0025364E"/>
    <w:rsid w:val="00253912"/>
    <w:rsid w:val="002539A2"/>
    <w:rsid w:val="00253B62"/>
    <w:rsid w:val="00253C80"/>
    <w:rsid w:val="00253CB3"/>
    <w:rsid w:val="00253CBF"/>
    <w:rsid w:val="00254186"/>
    <w:rsid w:val="0025420A"/>
    <w:rsid w:val="00254278"/>
    <w:rsid w:val="002542A5"/>
    <w:rsid w:val="002542D9"/>
    <w:rsid w:val="00254316"/>
    <w:rsid w:val="002543F3"/>
    <w:rsid w:val="00254438"/>
    <w:rsid w:val="002544EA"/>
    <w:rsid w:val="0025461C"/>
    <w:rsid w:val="0025470D"/>
    <w:rsid w:val="00254762"/>
    <w:rsid w:val="00254767"/>
    <w:rsid w:val="002547B2"/>
    <w:rsid w:val="002547E0"/>
    <w:rsid w:val="002548EE"/>
    <w:rsid w:val="0025494D"/>
    <w:rsid w:val="00254B96"/>
    <w:rsid w:val="00254DB2"/>
    <w:rsid w:val="00254DB9"/>
    <w:rsid w:val="00254E8A"/>
    <w:rsid w:val="00254FD2"/>
    <w:rsid w:val="0025500D"/>
    <w:rsid w:val="0025504E"/>
    <w:rsid w:val="0025526E"/>
    <w:rsid w:val="00255290"/>
    <w:rsid w:val="0025531E"/>
    <w:rsid w:val="002553C9"/>
    <w:rsid w:val="002554A0"/>
    <w:rsid w:val="0025573E"/>
    <w:rsid w:val="00255965"/>
    <w:rsid w:val="00255973"/>
    <w:rsid w:val="0025598D"/>
    <w:rsid w:val="00255CFB"/>
    <w:rsid w:val="00255D9F"/>
    <w:rsid w:val="0025609E"/>
    <w:rsid w:val="002561E9"/>
    <w:rsid w:val="00256264"/>
    <w:rsid w:val="00256332"/>
    <w:rsid w:val="002564E9"/>
    <w:rsid w:val="00256665"/>
    <w:rsid w:val="0025672D"/>
    <w:rsid w:val="0025674C"/>
    <w:rsid w:val="002567FD"/>
    <w:rsid w:val="0025697E"/>
    <w:rsid w:val="00256A9B"/>
    <w:rsid w:val="00256B0B"/>
    <w:rsid w:val="00256B7B"/>
    <w:rsid w:val="00256BB2"/>
    <w:rsid w:val="00256C43"/>
    <w:rsid w:val="00256EC7"/>
    <w:rsid w:val="00256F39"/>
    <w:rsid w:val="0025707F"/>
    <w:rsid w:val="002570DA"/>
    <w:rsid w:val="0025719F"/>
    <w:rsid w:val="0025721E"/>
    <w:rsid w:val="0025736B"/>
    <w:rsid w:val="002573BB"/>
    <w:rsid w:val="002573CF"/>
    <w:rsid w:val="0025740E"/>
    <w:rsid w:val="00257461"/>
    <w:rsid w:val="0025751D"/>
    <w:rsid w:val="00257557"/>
    <w:rsid w:val="0025755B"/>
    <w:rsid w:val="002575BA"/>
    <w:rsid w:val="00257614"/>
    <w:rsid w:val="00257727"/>
    <w:rsid w:val="00257738"/>
    <w:rsid w:val="002577AA"/>
    <w:rsid w:val="0025782A"/>
    <w:rsid w:val="00257938"/>
    <w:rsid w:val="00257AD8"/>
    <w:rsid w:val="00257B18"/>
    <w:rsid w:val="00257B50"/>
    <w:rsid w:val="00257BE7"/>
    <w:rsid w:val="00257BED"/>
    <w:rsid w:val="00257C3E"/>
    <w:rsid w:val="00257D74"/>
    <w:rsid w:val="00257DE8"/>
    <w:rsid w:val="00257EF7"/>
    <w:rsid w:val="0026004C"/>
    <w:rsid w:val="00260109"/>
    <w:rsid w:val="00260166"/>
    <w:rsid w:val="00260278"/>
    <w:rsid w:val="002602C9"/>
    <w:rsid w:val="00260489"/>
    <w:rsid w:val="002606DE"/>
    <w:rsid w:val="00260824"/>
    <w:rsid w:val="00260A5B"/>
    <w:rsid w:val="00260AD8"/>
    <w:rsid w:val="00260B45"/>
    <w:rsid w:val="00260C05"/>
    <w:rsid w:val="00260CD8"/>
    <w:rsid w:val="00260D39"/>
    <w:rsid w:val="00260DBA"/>
    <w:rsid w:val="00260E23"/>
    <w:rsid w:val="00260E43"/>
    <w:rsid w:val="00260E6F"/>
    <w:rsid w:val="00260E75"/>
    <w:rsid w:val="00260F4D"/>
    <w:rsid w:val="00260FB4"/>
    <w:rsid w:val="0026116A"/>
    <w:rsid w:val="002611E5"/>
    <w:rsid w:val="00261412"/>
    <w:rsid w:val="0026158C"/>
    <w:rsid w:val="00261692"/>
    <w:rsid w:val="002616E6"/>
    <w:rsid w:val="002619DC"/>
    <w:rsid w:val="00261AE6"/>
    <w:rsid w:val="00261CD4"/>
    <w:rsid w:val="00261DBD"/>
    <w:rsid w:val="00261E55"/>
    <w:rsid w:val="00261E6C"/>
    <w:rsid w:val="00261F26"/>
    <w:rsid w:val="00261F61"/>
    <w:rsid w:val="00262054"/>
    <w:rsid w:val="00262087"/>
    <w:rsid w:val="002620FE"/>
    <w:rsid w:val="002621E0"/>
    <w:rsid w:val="002621E4"/>
    <w:rsid w:val="00262492"/>
    <w:rsid w:val="00262542"/>
    <w:rsid w:val="00262558"/>
    <w:rsid w:val="0026265B"/>
    <w:rsid w:val="002626ED"/>
    <w:rsid w:val="00262723"/>
    <w:rsid w:val="002627DE"/>
    <w:rsid w:val="0026291A"/>
    <w:rsid w:val="00262A7E"/>
    <w:rsid w:val="00263145"/>
    <w:rsid w:val="002631B5"/>
    <w:rsid w:val="0026326D"/>
    <w:rsid w:val="00263298"/>
    <w:rsid w:val="00263348"/>
    <w:rsid w:val="0026337C"/>
    <w:rsid w:val="00263400"/>
    <w:rsid w:val="00263635"/>
    <w:rsid w:val="002637C9"/>
    <w:rsid w:val="0026384A"/>
    <w:rsid w:val="002638BB"/>
    <w:rsid w:val="00263951"/>
    <w:rsid w:val="00263980"/>
    <w:rsid w:val="00263A06"/>
    <w:rsid w:val="00263CC4"/>
    <w:rsid w:val="00263EF2"/>
    <w:rsid w:val="002641F6"/>
    <w:rsid w:val="00264216"/>
    <w:rsid w:val="002644A3"/>
    <w:rsid w:val="002645E8"/>
    <w:rsid w:val="00264658"/>
    <w:rsid w:val="00264756"/>
    <w:rsid w:val="002647F6"/>
    <w:rsid w:val="0026481C"/>
    <w:rsid w:val="00264883"/>
    <w:rsid w:val="0026499F"/>
    <w:rsid w:val="00264A2E"/>
    <w:rsid w:val="00264AED"/>
    <w:rsid w:val="00264C63"/>
    <w:rsid w:val="00264EBC"/>
    <w:rsid w:val="00265277"/>
    <w:rsid w:val="00265401"/>
    <w:rsid w:val="002654C9"/>
    <w:rsid w:val="002659ED"/>
    <w:rsid w:val="00265AEB"/>
    <w:rsid w:val="00265CEC"/>
    <w:rsid w:val="00265D8C"/>
    <w:rsid w:val="00265DA9"/>
    <w:rsid w:val="00265E17"/>
    <w:rsid w:val="00265EF0"/>
    <w:rsid w:val="00265F40"/>
    <w:rsid w:val="00265FE4"/>
    <w:rsid w:val="00265FE7"/>
    <w:rsid w:val="0026602B"/>
    <w:rsid w:val="0026604C"/>
    <w:rsid w:val="002660EF"/>
    <w:rsid w:val="0026636E"/>
    <w:rsid w:val="002663BC"/>
    <w:rsid w:val="00266446"/>
    <w:rsid w:val="00266471"/>
    <w:rsid w:val="002665E6"/>
    <w:rsid w:val="00266714"/>
    <w:rsid w:val="00266740"/>
    <w:rsid w:val="00266745"/>
    <w:rsid w:val="002668FB"/>
    <w:rsid w:val="0026699D"/>
    <w:rsid w:val="00266A52"/>
    <w:rsid w:val="00266B36"/>
    <w:rsid w:val="00266B55"/>
    <w:rsid w:val="00266F6A"/>
    <w:rsid w:val="00266F95"/>
    <w:rsid w:val="002670CC"/>
    <w:rsid w:val="00267234"/>
    <w:rsid w:val="002672C5"/>
    <w:rsid w:val="00267318"/>
    <w:rsid w:val="0026740D"/>
    <w:rsid w:val="0026755C"/>
    <w:rsid w:val="00267609"/>
    <w:rsid w:val="00267613"/>
    <w:rsid w:val="0026792E"/>
    <w:rsid w:val="002679C6"/>
    <w:rsid w:val="00267A49"/>
    <w:rsid w:val="00267A74"/>
    <w:rsid w:val="00267AED"/>
    <w:rsid w:val="00267AEF"/>
    <w:rsid w:val="00267B0C"/>
    <w:rsid w:val="00267BD3"/>
    <w:rsid w:val="00267CB8"/>
    <w:rsid w:val="00267D1D"/>
    <w:rsid w:val="00267E3C"/>
    <w:rsid w:val="00267F8C"/>
    <w:rsid w:val="002702CC"/>
    <w:rsid w:val="00270440"/>
    <w:rsid w:val="002705D0"/>
    <w:rsid w:val="00270631"/>
    <w:rsid w:val="0027064C"/>
    <w:rsid w:val="00270A20"/>
    <w:rsid w:val="00270E1F"/>
    <w:rsid w:val="00270E3E"/>
    <w:rsid w:val="00270E7A"/>
    <w:rsid w:val="00270E93"/>
    <w:rsid w:val="00270FA6"/>
    <w:rsid w:val="00270FFD"/>
    <w:rsid w:val="002710AF"/>
    <w:rsid w:val="002710DE"/>
    <w:rsid w:val="002710FD"/>
    <w:rsid w:val="0027110D"/>
    <w:rsid w:val="0027114E"/>
    <w:rsid w:val="0027121F"/>
    <w:rsid w:val="00271288"/>
    <w:rsid w:val="002712E8"/>
    <w:rsid w:val="00271360"/>
    <w:rsid w:val="002714F1"/>
    <w:rsid w:val="00271564"/>
    <w:rsid w:val="002718EB"/>
    <w:rsid w:val="002719FF"/>
    <w:rsid w:val="00271AD9"/>
    <w:rsid w:val="00271B04"/>
    <w:rsid w:val="00271CB9"/>
    <w:rsid w:val="00271D3A"/>
    <w:rsid w:val="00271DA4"/>
    <w:rsid w:val="00271DD3"/>
    <w:rsid w:val="00271DE9"/>
    <w:rsid w:val="00271F63"/>
    <w:rsid w:val="00271FBE"/>
    <w:rsid w:val="002721C2"/>
    <w:rsid w:val="0027247A"/>
    <w:rsid w:val="002724A6"/>
    <w:rsid w:val="002724BB"/>
    <w:rsid w:val="002725EB"/>
    <w:rsid w:val="00272781"/>
    <w:rsid w:val="00272783"/>
    <w:rsid w:val="00272797"/>
    <w:rsid w:val="002728D7"/>
    <w:rsid w:val="0027290D"/>
    <w:rsid w:val="0027293A"/>
    <w:rsid w:val="002729A9"/>
    <w:rsid w:val="00272A1B"/>
    <w:rsid w:val="00272BBD"/>
    <w:rsid w:val="00272C1F"/>
    <w:rsid w:val="00272C71"/>
    <w:rsid w:val="00272E48"/>
    <w:rsid w:val="00272ED9"/>
    <w:rsid w:val="00273049"/>
    <w:rsid w:val="00273056"/>
    <w:rsid w:val="0027329F"/>
    <w:rsid w:val="002732E4"/>
    <w:rsid w:val="00273398"/>
    <w:rsid w:val="002734A1"/>
    <w:rsid w:val="00273615"/>
    <w:rsid w:val="00273627"/>
    <w:rsid w:val="002737B2"/>
    <w:rsid w:val="00273917"/>
    <w:rsid w:val="00273AD2"/>
    <w:rsid w:val="00273AE9"/>
    <w:rsid w:val="00273C92"/>
    <w:rsid w:val="00273E1F"/>
    <w:rsid w:val="00273E21"/>
    <w:rsid w:val="00273E67"/>
    <w:rsid w:val="00273E71"/>
    <w:rsid w:val="00273EBF"/>
    <w:rsid w:val="00273EF2"/>
    <w:rsid w:val="002740BD"/>
    <w:rsid w:val="002742FF"/>
    <w:rsid w:val="00274304"/>
    <w:rsid w:val="00274407"/>
    <w:rsid w:val="002744CD"/>
    <w:rsid w:val="002745AC"/>
    <w:rsid w:val="002747BF"/>
    <w:rsid w:val="0027480C"/>
    <w:rsid w:val="00274813"/>
    <w:rsid w:val="002748EF"/>
    <w:rsid w:val="002748F8"/>
    <w:rsid w:val="00274A37"/>
    <w:rsid w:val="00274A3F"/>
    <w:rsid w:val="00274A50"/>
    <w:rsid w:val="00274A89"/>
    <w:rsid w:val="00274AC8"/>
    <w:rsid w:val="00274FD7"/>
    <w:rsid w:val="0027500B"/>
    <w:rsid w:val="00275202"/>
    <w:rsid w:val="0027530E"/>
    <w:rsid w:val="002753D3"/>
    <w:rsid w:val="00275404"/>
    <w:rsid w:val="002755BB"/>
    <w:rsid w:val="002756E4"/>
    <w:rsid w:val="00275747"/>
    <w:rsid w:val="002757CA"/>
    <w:rsid w:val="002757E9"/>
    <w:rsid w:val="002758B1"/>
    <w:rsid w:val="0027591E"/>
    <w:rsid w:val="00275929"/>
    <w:rsid w:val="0027594D"/>
    <w:rsid w:val="00275960"/>
    <w:rsid w:val="002759FA"/>
    <w:rsid w:val="00275A86"/>
    <w:rsid w:val="00275AF4"/>
    <w:rsid w:val="00275B43"/>
    <w:rsid w:val="00275B9C"/>
    <w:rsid w:val="00275BC0"/>
    <w:rsid w:val="00275D1F"/>
    <w:rsid w:val="00275D97"/>
    <w:rsid w:val="00275E50"/>
    <w:rsid w:val="00275E86"/>
    <w:rsid w:val="0027600B"/>
    <w:rsid w:val="00276032"/>
    <w:rsid w:val="002761E1"/>
    <w:rsid w:val="00276326"/>
    <w:rsid w:val="0027632D"/>
    <w:rsid w:val="002763E9"/>
    <w:rsid w:val="00276A11"/>
    <w:rsid w:val="00276A19"/>
    <w:rsid w:val="00276A4F"/>
    <w:rsid w:val="00276AE1"/>
    <w:rsid w:val="00276B50"/>
    <w:rsid w:val="00276B89"/>
    <w:rsid w:val="00276D87"/>
    <w:rsid w:val="00276DF6"/>
    <w:rsid w:val="00276E6F"/>
    <w:rsid w:val="00276EDE"/>
    <w:rsid w:val="00276F04"/>
    <w:rsid w:val="00276FB2"/>
    <w:rsid w:val="00276FF1"/>
    <w:rsid w:val="002771F1"/>
    <w:rsid w:val="002774FA"/>
    <w:rsid w:val="0027750C"/>
    <w:rsid w:val="00277536"/>
    <w:rsid w:val="002775F3"/>
    <w:rsid w:val="002777B3"/>
    <w:rsid w:val="00277843"/>
    <w:rsid w:val="00277914"/>
    <w:rsid w:val="00277AAA"/>
    <w:rsid w:val="00277E63"/>
    <w:rsid w:val="00277EEF"/>
    <w:rsid w:val="00277F4E"/>
    <w:rsid w:val="002800B9"/>
    <w:rsid w:val="002800F4"/>
    <w:rsid w:val="002801C5"/>
    <w:rsid w:val="0028033C"/>
    <w:rsid w:val="00280424"/>
    <w:rsid w:val="002804E1"/>
    <w:rsid w:val="00280525"/>
    <w:rsid w:val="00280674"/>
    <w:rsid w:val="002806B7"/>
    <w:rsid w:val="002806F9"/>
    <w:rsid w:val="00280700"/>
    <w:rsid w:val="00280829"/>
    <w:rsid w:val="002809FA"/>
    <w:rsid w:val="00280A38"/>
    <w:rsid w:val="00280A9F"/>
    <w:rsid w:val="00280AEA"/>
    <w:rsid w:val="00280BFF"/>
    <w:rsid w:val="00280C11"/>
    <w:rsid w:val="00280E12"/>
    <w:rsid w:val="00280EF5"/>
    <w:rsid w:val="00280F97"/>
    <w:rsid w:val="00281010"/>
    <w:rsid w:val="002810E5"/>
    <w:rsid w:val="00281132"/>
    <w:rsid w:val="002811CF"/>
    <w:rsid w:val="002812EB"/>
    <w:rsid w:val="002812EC"/>
    <w:rsid w:val="002813CE"/>
    <w:rsid w:val="0028153F"/>
    <w:rsid w:val="0028154A"/>
    <w:rsid w:val="00281648"/>
    <w:rsid w:val="00281700"/>
    <w:rsid w:val="00281729"/>
    <w:rsid w:val="002817AB"/>
    <w:rsid w:val="002817B4"/>
    <w:rsid w:val="002817CB"/>
    <w:rsid w:val="002818DE"/>
    <w:rsid w:val="0028191A"/>
    <w:rsid w:val="00281AAB"/>
    <w:rsid w:val="00281B86"/>
    <w:rsid w:val="00281C58"/>
    <w:rsid w:val="00281CC9"/>
    <w:rsid w:val="0028215C"/>
    <w:rsid w:val="0028219B"/>
    <w:rsid w:val="0028228B"/>
    <w:rsid w:val="002824F9"/>
    <w:rsid w:val="00282558"/>
    <w:rsid w:val="00282582"/>
    <w:rsid w:val="002825AC"/>
    <w:rsid w:val="002825F2"/>
    <w:rsid w:val="00282643"/>
    <w:rsid w:val="0028266D"/>
    <w:rsid w:val="002826C0"/>
    <w:rsid w:val="002827F1"/>
    <w:rsid w:val="00282825"/>
    <w:rsid w:val="00282862"/>
    <w:rsid w:val="00282912"/>
    <w:rsid w:val="00282B6A"/>
    <w:rsid w:val="00282D9E"/>
    <w:rsid w:val="00282DA1"/>
    <w:rsid w:val="00282E36"/>
    <w:rsid w:val="002831D5"/>
    <w:rsid w:val="002832BB"/>
    <w:rsid w:val="002832E4"/>
    <w:rsid w:val="00283344"/>
    <w:rsid w:val="002834F8"/>
    <w:rsid w:val="00283569"/>
    <w:rsid w:val="0028367C"/>
    <w:rsid w:val="00283701"/>
    <w:rsid w:val="00283732"/>
    <w:rsid w:val="00283825"/>
    <w:rsid w:val="00283995"/>
    <w:rsid w:val="00283B1F"/>
    <w:rsid w:val="00283BDF"/>
    <w:rsid w:val="00283BE0"/>
    <w:rsid w:val="00283D69"/>
    <w:rsid w:val="00283DF9"/>
    <w:rsid w:val="00283E12"/>
    <w:rsid w:val="00283E46"/>
    <w:rsid w:val="00283E60"/>
    <w:rsid w:val="00283E64"/>
    <w:rsid w:val="00283EA2"/>
    <w:rsid w:val="00283FC9"/>
    <w:rsid w:val="0028404A"/>
    <w:rsid w:val="00284167"/>
    <w:rsid w:val="002841A5"/>
    <w:rsid w:val="002841C6"/>
    <w:rsid w:val="0028435F"/>
    <w:rsid w:val="00284368"/>
    <w:rsid w:val="0028445B"/>
    <w:rsid w:val="002845A7"/>
    <w:rsid w:val="002845BB"/>
    <w:rsid w:val="002845C2"/>
    <w:rsid w:val="00284726"/>
    <w:rsid w:val="002847EB"/>
    <w:rsid w:val="00284858"/>
    <w:rsid w:val="00284883"/>
    <w:rsid w:val="00284A3E"/>
    <w:rsid w:val="00284A90"/>
    <w:rsid w:val="00284AD0"/>
    <w:rsid w:val="00284C26"/>
    <w:rsid w:val="00284CDF"/>
    <w:rsid w:val="00284F24"/>
    <w:rsid w:val="00284F60"/>
    <w:rsid w:val="00284FAE"/>
    <w:rsid w:val="002850BF"/>
    <w:rsid w:val="002850E5"/>
    <w:rsid w:val="002850F5"/>
    <w:rsid w:val="00285407"/>
    <w:rsid w:val="00285545"/>
    <w:rsid w:val="00285746"/>
    <w:rsid w:val="0028583B"/>
    <w:rsid w:val="00285906"/>
    <w:rsid w:val="00285B0F"/>
    <w:rsid w:val="00285C3B"/>
    <w:rsid w:val="00285C54"/>
    <w:rsid w:val="00285C84"/>
    <w:rsid w:val="00285DCB"/>
    <w:rsid w:val="00285E2E"/>
    <w:rsid w:val="00285E5E"/>
    <w:rsid w:val="002860D9"/>
    <w:rsid w:val="00286123"/>
    <w:rsid w:val="0028612D"/>
    <w:rsid w:val="002861D5"/>
    <w:rsid w:val="0028623B"/>
    <w:rsid w:val="002862AA"/>
    <w:rsid w:val="0028633E"/>
    <w:rsid w:val="002863E0"/>
    <w:rsid w:val="00286433"/>
    <w:rsid w:val="002865FB"/>
    <w:rsid w:val="00286603"/>
    <w:rsid w:val="00286653"/>
    <w:rsid w:val="002867E2"/>
    <w:rsid w:val="0028696B"/>
    <w:rsid w:val="00286A52"/>
    <w:rsid w:val="00286AFB"/>
    <w:rsid w:val="00286BA2"/>
    <w:rsid w:val="00286DB5"/>
    <w:rsid w:val="00286DE7"/>
    <w:rsid w:val="00286EA7"/>
    <w:rsid w:val="00286F2B"/>
    <w:rsid w:val="00286F36"/>
    <w:rsid w:val="0028706E"/>
    <w:rsid w:val="00287115"/>
    <w:rsid w:val="0028712F"/>
    <w:rsid w:val="002871A6"/>
    <w:rsid w:val="002871B1"/>
    <w:rsid w:val="002872BD"/>
    <w:rsid w:val="002873C3"/>
    <w:rsid w:val="002873F4"/>
    <w:rsid w:val="0028742B"/>
    <w:rsid w:val="002874D3"/>
    <w:rsid w:val="00287557"/>
    <w:rsid w:val="0028759F"/>
    <w:rsid w:val="0028770D"/>
    <w:rsid w:val="002877FF"/>
    <w:rsid w:val="00287867"/>
    <w:rsid w:val="00287877"/>
    <w:rsid w:val="002878D6"/>
    <w:rsid w:val="002878DF"/>
    <w:rsid w:val="00287B47"/>
    <w:rsid w:val="00287BC5"/>
    <w:rsid w:val="00287C98"/>
    <w:rsid w:val="00287E90"/>
    <w:rsid w:val="00287EB5"/>
    <w:rsid w:val="00287EE1"/>
    <w:rsid w:val="00290051"/>
    <w:rsid w:val="002900FA"/>
    <w:rsid w:val="002901CB"/>
    <w:rsid w:val="002903F2"/>
    <w:rsid w:val="00290468"/>
    <w:rsid w:val="002906FD"/>
    <w:rsid w:val="00290743"/>
    <w:rsid w:val="002907D1"/>
    <w:rsid w:val="00290864"/>
    <w:rsid w:val="002908F4"/>
    <w:rsid w:val="00290A90"/>
    <w:rsid w:val="00290ACC"/>
    <w:rsid w:val="00290B98"/>
    <w:rsid w:val="00290C06"/>
    <w:rsid w:val="00290CB2"/>
    <w:rsid w:val="00290DBA"/>
    <w:rsid w:val="00290EF1"/>
    <w:rsid w:val="00290FAB"/>
    <w:rsid w:val="00290FF6"/>
    <w:rsid w:val="002910AC"/>
    <w:rsid w:val="00291137"/>
    <w:rsid w:val="00291225"/>
    <w:rsid w:val="0029122F"/>
    <w:rsid w:val="002913AB"/>
    <w:rsid w:val="0029147E"/>
    <w:rsid w:val="002914EF"/>
    <w:rsid w:val="0029150E"/>
    <w:rsid w:val="00291523"/>
    <w:rsid w:val="00291541"/>
    <w:rsid w:val="00291716"/>
    <w:rsid w:val="002917B9"/>
    <w:rsid w:val="0029184E"/>
    <w:rsid w:val="0029188B"/>
    <w:rsid w:val="0029191E"/>
    <w:rsid w:val="0029193B"/>
    <w:rsid w:val="00291A14"/>
    <w:rsid w:val="00291A40"/>
    <w:rsid w:val="00291B6F"/>
    <w:rsid w:val="00291BD8"/>
    <w:rsid w:val="00291CD7"/>
    <w:rsid w:val="00291DA3"/>
    <w:rsid w:val="00291DE2"/>
    <w:rsid w:val="00291E16"/>
    <w:rsid w:val="00291E8A"/>
    <w:rsid w:val="00291F51"/>
    <w:rsid w:val="00291FB8"/>
    <w:rsid w:val="00292040"/>
    <w:rsid w:val="002921C9"/>
    <w:rsid w:val="00292449"/>
    <w:rsid w:val="002925BB"/>
    <w:rsid w:val="002925DD"/>
    <w:rsid w:val="0029264A"/>
    <w:rsid w:val="002927AB"/>
    <w:rsid w:val="00292A47"/>
    <w:rsid w:val="00292A7A"/>
    <w:rsid w:val="00292DFB"/>
    <w:rsid w:val="00292F02"/>
    <w:rsid w:val="00292F67"/>
    <w:rsid w:val="00292FC8"/>
    <w:rsid w:val="00293033"/>
    <w:rsid w:val="002931A1"/>
    <w:rsid w:val="00293481"/>
    <w:rsid w:val="00293505"/>
    <w:rsid w:val="00293547"/>
    <w:rsid w:val="0029356C"/>
    <w:rsid w:val="0029358F"/>
    <w:rsid w:val="00293701"/>
    <w:rsid w:val="0029371A"/>
    <w:rsid w:val="00293942"/>
    <w:rsid w:val="00293A4E"/>
    <w:rsid w:val="00293DEE"/>
    <w:rsid w:val="00293E3B"/>
    <w:rsid w:val="00293E5F"/>
    <w:rsid w:val="00293EBC"/>
    <w:rsid w:val="002942DC"/>
    <w:rsid w:val="002942F6"/>
    <w:rsid w:val="002943E3"/>
    <w:rsid w:val="002944C5"/>
    <w:rsid w:val="00294743"/>
    <w:rsid w:val="00294A07"/>
    <w:rsid w:val="00294B7C"/>
    <w:rsid w:val="00294BFF"/>
    <w:rsid w:val="00294D1E"/>
    <w:rsid w:val="00294D2C"/>
    <w:rsid w:val="00294F56"/>
    <w:rsid w:val="00294F7A"/>
    <w:rsid w:val="00294F93"/>
    <w:rsid w:val="00294FCC"/>
    <w:rsid w:val="00295144"/>
    <w:rsid w:val="002951B4"/>
    <w:rsid w:val="002951D5"/>
    <w:rsid w:val="002952A5"/>
    <w:rsid w:val="00295551"/>
    <w:rsid w:val="00295730"/>
    <w:rsid w:val="00295759"/>
    <w:rsid w:val="002957EE"/>
    <w:rsid w:val="002958EF"/>
    <w:rsid w:val="00295952"/>
    <w:rsid w:val="00295A2B"/>
    <w:rsid w:val="00295AE2"/>
    <w:rsid w:val="00295BA1"/>
    <w:rsid w:val="00295BB0"/>
    <w:rsid w:val="00295E15"/>
    <w:rsid w:val="00295F64"/>
    <w:rsid w:val="00295F81"/>
    <w:rsid w:val="002962BC"/>
    <w:rsid w:val="002962D7"/>
    <w:rsid w:val="002962EF"/>
    <w:rsid w:val="0029642F"/>
    <w:rsid w:val="002964CF"/>
    <w:rsid w:val="00296578"/>
    <w:rsid w:val="0029658E"/>
    <w:rsid w:val="00296720"/>
    <w:rsid w:val="0029681D"/>
    <w:rsid w:val="0029693A"/>
    <w:rsid w:val="00296A99"/>
    <w:rsid w:val="00296BC8"/>
    <w:rsid w:val="00296DBC"/>
    <w:rsid w:val="00297148"/>
    <w:rsid w:val="00297153"/>
    <w:rsid w:val="002971AE"/>
    <w:rsid w:val="00297271"/>
    <w:rsid w:val="0029733D"/>
    <w:rsid w:val="00297392"/>
    <w:rsid w:val="002974B6"/>
    <w:rsid w:val="00297661"/>
    <w:rsid w:val="002976A1"/>
    <w:rsid w:val="0029788A"/>
    <w:rsid w:val="00297934"/>
    <w:rsid w:val="00297A42"/>
    <w:rsid w:val="00297A5F"/>
    <w:rsid w:val="00297B66"/>
    <w:rsid w:val="00297B99"/>
    <w:rsid w:val="00297ECC"/>
    <w:rsid w:val="002A0054"/>
    <w:rsid w:val="002A0057"/>
    <w:rsid w:val="002A015A"/>
    <w:rsid w:val="002A0210"/>
    <w:rsid w:val="002A0357"/>
    <w:rsid w:val="002A03E7"/>
    <w:rsid w:val="002A0431"/>
    <w:rsid w:val="002A0B4C"/>
    <w:rsid w:val="002A0B5D"/>
    <w:rsid w:val="002A0B8D"/>
    <w:rsid w:val="002A0C84"/>
    <w:rsid w:val="002A0EF7"/>
    <w:rsid w:val="002A0F11"/>
    <w:rsid w:val="002A106C"/>
    <w:rsid w:val="002A10E2"/>
    <w:rsid w:val="002A117B"/>
    <w:rsid w:val="002A1222"/>
    <w:rsid w:val="002A19FA"/>
    <w:rsid w:val="002A1BCB"/>
    <w:rsid w:val="002A1D01"/>
    <w:rsid w:val="002A1E65"/>
    <w:rsid w:val="002A1EC4"/>
    <w:rsid w:val="002A1FDA"/>
    <w:rsid w:val="002A200E"/>
    <w:rsid w:val="002A206D"/>
    <w:rsid w:val="002A21D7"/>
    <w:rsid w:val="002A2290"/>
    <w:rsid w:val="002A253B"/>
    <w:rsid w:val="002A2713"/>
    <w:rsid w:val="002A2999"/>
    <w:rsid w:val="002A2A5C"/>
    <w:rsid w:val="002A2C91"/>
    <w:rsid w:val="002A2DCC"/>
    <w:rsid w:val="002A2E13"/>
    <w:rsid w:val="002A2E46"/>
    <w:rsid w:val="002A2E48"/>
    <w:rsid w:val="002A2E9E"/>
    <w:rsid w:val="002A2F0B"/>
    <w:rsid w:val="002A2F7E"/>
    <w:rsid w:val="002A30C7"/>
    <w:rsid w:val="002A3152"/>
    <w:rsid w:val="002A3156"/>
    <w:rsid w:val="002A375E"/>
    <w:rsid w:val="002A3D51"/>
    <w:rsid w:val="002A3D65"/>
    <w:rsid w:val="002A3E13"/>
    <w:rsid w:val="002A3EF7"/>
    <w:rsid w:val="002A3F2D"/>
    <w:rsid w:val="002A3F69"/>
    <w:rsid w:val="002A4031"/>
    <w:rsid w:val="002A4091"/>
    <w:rsid w:val="002A414B"/>
    <w:rsid w:val="002A4179"/>
    <w:rsid w:val="002A438B"/>
    <w:rsid w:val="002A460F"/>
    <w:rsid w:val="002A46F7"/>
    <w:rsid w:val="002A4701"/>
    <w:rsid w:val="002A479F"/>
    <w:rsid w:val="002A48E2"/>
    <w:rsid w:val="002A48F3"/>
    <w:rsid w:val="002A4976"/>
    <w:rsid w:val="002A497E"/>
    <w:rsid w:val="002A4A47"/>
    <w:rsid w:val="002A4B22"/>
    <w:rsid w:val="002A4B36"/>
    <w:rsid w:val="002A4B6A"/>
    <w:rsid w:val="002A4BAC"/>
    <w:rsid w:val="002A4CBE"/>
    <w:rsid w:val="002A4D64"/>
    <w:rsid w:val="002A4E1F"/>
    <w:rsid w:val="002A4F85"/>
    <w:rsid w:val="002A500E"/>
    <w:rsid w:val="002A50CF"/>
    <w:rsid w:val="002A513A"/>
    <w:rsid w:val="002A5393"/>
    <w:rsid w:val="002A5433"/>
    <w:rsid w:val="002A5483"/>
    <w:rsid w:val="002A567D"/>
    <w:rsid w:val="002A5702"/>
    <w:rsid w:val="002A5747"/>
    <w:rsid w:val="002A575A"/>
    <w:rsid w:val="002A576A"/>
    <w:rsid w:val="002A5859"/>
    <w:rsid w:val="002A5911"/>
    <w:rsid w:val="002A59CC"/>
    <w:rsid w:val="002A5A95"/>
    <w:rsid w:val="002A5AE6"/>
    <w:rsid w:val="002A5AE7"/>
    <w:rsid w:val="002A5B6B"/>
    <w:rsid w:val="002A5C17"/>
    <w:rsid w:val="002A5E53"/>
    <w:rsid w:val="002A5FC9"/>
    <w:rsid w:val="002A60AB"/>
    <w:rsid w:val="002A60DA"/>
    <w:rsid w:val="002A60F8"/>
    <w:rsid w:val="002A623D"/>
    <w:rsid w:val="002A629A"/>
    <w:rsid w:val="002A630C"/>
    <w:rsid w:val="002A6484"/>
    <w:rsid w:val="002A64D3"/>
    <w:rsid w:val="002A6628"/>
    <w:rsid w:val="002A6684"/>
    <w:rsid w:val="002A669E"/>
    <w:rsid w:val="002A683D"/>
    <w:rsid w:val="002A69B5"/>
    <w:rsid w:val="002A69D7"/>
    <w:rsid w:val="002A6CD6"/>
    <w:rsid w:val="002A6D83"/>
    <w:rsid w:val="002A6F56"/>
    <w:rsid w:val="002A6FC9"/>
    <w:rsid w:val="002A70E6"/>
    <w:rsid w:val="002A7181"/>
    <w:rsid w:val="002A724F"/>
    <w:rsid w:val="002A727F"/>
    <w:rsid w:val="002A741D"/>
    <w:rsid w:val="002A7539"/>
    <w:rsid w:val="002A7643"/>
    <w:rsid w:val="002A7659"/>
    <w:rsid w:val="002A780A"/>
    <w:rsid w:val="002A7A21"/>
    <w:rsid w:val="002A7B07"/>
    <w:rsid w:val="002A7BF0"/>
    <w:rsid w:val="002A7C03"/>
    <w:rsid w:val="002A7C4B"/>
    <w:rsid w:val="002A7D23"/>
    <w:rsid w:val="002A7E3E"/>
    <w:rsid w:val="002B0023"/>
    <w:rsid w:val="002B007E"/>
    <w:rsid w:val="002B00AE"/>
    <w:rsid w:val="002B0234"/>
    <w:rsid w:val="002B0384"/>
    <w:rsid w:val="002B0408"/>
    <w:rsid w:val="002B06C5"/>
    <w:rsid w:val="002B0741"/>
    <w:rsid w:val="002B0757"/>
    <w:rsid w:val="002B07F7"/>
    <w:rsid w:val="002B0942"/>
    <w:rsid w:val="002B0975"/>
    <w:rsid w:val="002B0A56"/>
    <w:rsid w:val="002B0B7C"/>
    <w:rsid w:val="002B0B8A"/>
    <w:rsid w:val="002B0C2D"/>
    <w:rsid w:val="002B0E0B"/>
    <w:rsid w:val="002B0E1D"/>
    <w:rsid w:val="002B0E36"/>
    <w:rsid w:val="002B0F31"/>
    <w:rsid w:val="002B101C"/>
    <w:rsid w:val="002B110F"/>
    <w:rsid w:val="002B1149"/>
    <w:rsid w:val="002B1267"/>
    <w:rsid w:val="002B1314"/>
    <w:rsid w:val="002B1350"/>
    <w:rsid w:val="002B13F3"/>
    <w:rsid w:val="002B13FF"/>
    <w:rsid w:val="002B1433"/>
    <w:rsid w:val="002B15DD"/>
    <w:rsid w:val="002B163F"/>
    <w:rsid w:val="002B16E9"/>
    <w:rsid w:val="002B1766"/>
    <w:rsid w:val="002B17C6"/>
    <w:rsid w:val="002B1950"/>
    <w:rsid w:val="002B19BD"/>
    <w:rsid w:val="002B1A2E"/>
    <w:rsid w:val="002B1C2F"/>
    <w:rsid w:val="002B1C8A"/>
    <w:rsid w:val="002B1DE2"/>
    <w:rsid w:val="002B1F5C"/>
    <w:rsid w:val="002B2139"/>
    <w:rsid w:val="002B2202"/>
    <w:rsid w:val="002B22C8"/>
    <w:rsid w:val="002B22CF"/>
    <w:rsid w:val="002B2308"/>
    <w:rsid w:val="002B231E"/>
    <w:rsid w:val="002B236B"/>
    <w:rsid w:val="002B2386"/>
    <w:rsid w:val="002B23ED"/>
    <w:rsid w:val="002B24FE"/>
    <w:rsid w:val="002B2569"/>
    <w:rsid w:val="002B25FA"/>
    <w:rsid w:val="002B279C"/>
    <w:rsid w:val="002B27DD"/>
    <w:rsid w:val="002B27E5"/>
    <w:rsid w:val="002B29CA"/>
    <w:rsid w:val="002B2C85"/>
    <w:rsid w:val="002B2C9B"/>
    <w:rsid w:val="002B2D2F"/>
    <w:rsid w:val="002B2EDD"/>
    <w:rsid w:val="002B2EE9"/>
    <w:rsid w:val="002B313C"/>
    <w:rsid w:val="002B3179"/>
    <w:rsid w:val="002B339F"/>
    <w:rsid w:val="002B34A5"/>
    <w:rsid w:val="002B3634"/>
    <w:rsid w:val="002B38AE"/>
    <w:rsid w:val="002B3A0E"/>
    <w:rsid w:val="002B3A20"/>
    <w:rsid w:val="002B3BCB"/>
    <w:rsid w:val="002B3C33"/>
    <w:rsid w:val="002B3C51"/>
    <w:rsid w:val="002B3D2A"/>
    <w:rsid w:val="002B3DBC"/>
    <w:rsid w:val="002B3E7B"/>
    <w:rsid w:val="002B4068"/>
    <w:rsid w:val="002B406D"/>
    <w:rsid w:val="002B4189"/>
    <w:rsid w:val="002B4245"/>
    <w:rsid w:val="002B4260"/>
    <w:rsid w:val="002B434E"/>
    <w:rsid w:val="002B470B"/>
    <w:rsid w:val="002B47B7"/>
    <w:rsid w:val="002B4A95"/>
    <w:rsid w:val="002B4AAD"/>
    <w:rsid w:val="002B4B89"/>
    <w:rsid w:val="002B4C3A"/>
    <w:rsid w:val="002B4CA2"/>
    <w:rsid w:val="002B4CC7"/>
    <w:rsid w:val="002B4CCF"/>
    <w:rsid w:val="002B4CFF"/>
    <w:rsid w:val="002B4D3A"/>
    <w:rsid w:val="002B4FDE"/>
    <w:rsid w:val="002B507C"/>
    <w:rsid w:val="002B50AE"/>
    <w:rsid w:val="002B50B1"/>
    <w:rsid w:val="002B5369"/>
    <w:rsid w:val="002B54DC"/>
    <w:rsid w:val="002B55A9"/>
    <w:rsid w:val="002B57E0"/>
    <w:rsid w:val="002B58C4"/>
    <w:rsid w:val="002B58C7"/>
    <w:rsid w:val="002B5A16"/>
    <w:rsid w:val="002B5AEB"/>
    <w:rsid w:val="002B5B19"/>
    <w:rsid w:val="002B5C1A"/>
    <w:rsid w:val="002B5C94"/>
    <w:rsid w:val="002B5CC5"/>
    <w:rsid w:val="002B5DAB"/>
    <w:rsid w:val="002B5E84"/>
    <w:rsid w:val="002B5F40"/>
    <w:rsid w:val="002B5FC4"/>
    <w:rsid w:val="002B61B2"/>
    <w:rsid w:val="002B62A6"/>
    <w:rsid w:val="002B644D"/>
    <w:rsid w:val="002B6596"/>
    <w:rsid w:val="002B6694"/>
    <w:rsid w:val="002B6805"/>
    <w:rsid w:val="002B6A1A"/>
    <w:rsid w:val="002B6ABB"/>
    <w:rsid w:val="002B6AF4"/>
    <w:rsid w:val="002B6C47"/>
    <w:rsid w:val="002B6CD1"/>
    <w:rsid w:val="002B6DB5"/>
    <w:rsid w:val="002B6DEF"/>
    <w:rsid w:val="002B6EB3"/>
    <w:rsid w:val="002B6EB4"/>
    <w:rsid w:val="002B6EE3"/>
    <w:rsid w:val="002B6FAD"/>
    <w:rsid w:val="002B7305"/>
    <w:rsid w:val="002B73D5"/>
    <w:rsid w:val="002B7523"/>
    <w:rsid w:val="002B75A4"/>
    <w:rsid w:val="002B76A9"/>
    <w:rsid w:val="002B7789"/>
    <w:rsid w:val="002B77C9"/>
    <w:rsid w:val="002B77DD"/>
    <w:rsid w:val="002B78F7"/>
    <w:rsid w:val="002B79CC"/>
    <w:rsid w:val="002B7ACD"/>
    <w:rsid w:val="002B7C06"/>
    <w:rsid w:val="002B7C1E"/>
    <w:rsid w:val="002B7CE6"/>
    <w:rsid w:val="002B7F66"/>
    <w:rsid w:val="002C01C4"/>
    <w:rsid w:val="002C0207"/>
    <w:rsid w:val="002C02EF"/>
    <w:rsid w:val="002C0394"/>
    <w:rsid w:val="002C04C7"/>
    <w:rsid w:val="002C0559"/>
    <w:rsid w:val="002C0572"/>
    <w:rsid w:val="002C058C"/>
    <w:rsid w:val="002C0607"/>
    <w:rsid w:val="002C0718"/>
    <w:rsid w:val="002C07EC"/>
    <w:rsid w:val="002C0884"/>
    <w:rsid w:val="002C08A4"/>
    <w:rsid w:val="002C0994"/>
    <w:rsid w:val="002C09C3"/>
    <w:rsid w:val="002C09DE"/>
    <w:rsid w:val="002C0C80"/>
    <w:rsid w:val="002C0CDD"/>
    <w:rsid w:val="002C0D00"/>
    <w:rsid w:val="002C0DBA"/>
    <w:rsid w:val="002C0F25"/>
    <w:rsid w:val="002C0FC3"/>
    <w:rsid w:val="002C10D3"/>
    <w:rsid w:val="002C11AA"/>
    <w:rsid w:val="002C1320"/>
    <w:rsid w:val="002C1353"/>
    <w:rsid w:val="002C13AF"/>
    <w:rsid w:val="002C157B"/>
    <w:rsid w:val="002C1698"/>
    <w:rsid w:val="002C16A0"/>
    <w:rsid w:val="002C1709"/>
    <w:rsid w:val="002C1756"/>
    <w:rsid w:val="002C17A6"/>
    <w:rsid w:val="002C1841"/>
    <w:rsid w:val="002C18C6"/>
    <w:rsid w:val="002C1929"/>
    <w:rsid w:val="002C1938"/>
    <w:rsid w:val="002C1A5D"/>
    <w:rsid w:val="002C1A62"/>
    <w:rsid w:val="002C1AA0"/>
    <w:rsid w:val="002C1ACF"/>
    <w:rsid w:val="002C1C75"/>
    <w:rsid w:val="002C1C92"/>
    <w:rsid w:val="002C1FD8"/>
    <w:rsid w:val="002C2002"/>
    <w:rsid w:val="002C204B"/>
    <w:rsid w:val="002C20DD"/>
    <w:rsid w:val="002C211E"/>
    <w:rsid w:val="002C24A0"/>
    <w:rsid w:val="002C24A6"/>
    <w:rsid w:val="002C24AE"/>
    <w:rsid w:val="002C25C0"/>
    <w:rsid w:val="002C263F"/>
    <w:rsid w:val="002C2B62"/>
    <w:rsid w:val="002C2B85"/>
    <w:rsid w:val="002C2B87"/>
    <w:rsid w:val="002C2BDB"/>
    <w:rsid w:val="002C2BF5"/>
    <w:rsid w:val="002C2D33"/>
    <w:rsid w:val="002C2D9D"/>
    <w:rsid w:val="002C2DD7"/>
    <w:rsid w:val="002C2DE1"/>
    <w:rsid w:val="002C2E7E"/>
    <w:rsid w:val="002C2FA8"/>
    <w:rsid w:val="002C2FED"/>
    <w:rsid w:val="002C32C6"/>
    <w:rsid w:val="002C32EE"/>
    <w:rsid w:val="002C34FB"/>
    <w:rsid w:val="002C36A8"/>
    <w:rsid w:val="002C3786"/>
    <w:rsid w:val="002C37E3"/>
    <w:rsid w:val="002C3807"/>
    <w:rsid w:val="002C3916"/>
    <w:rsid w:val="002C396A"/>
    <w:rsid w:val="002C3B1E"/>
    <w:rsid w:val="002C3B5F"/>
    <w:rsid w:val="002C3CAF"/>
    <w:rsid w:val="002C3D03"/>
    <w:rsid w:val="002C3D2D"/>
    <w:rsid w:val="002C3ECE"/>
    <w:rsid w:val="002C4377"/>
    <w:rsid w:val="002C43CF"/>
    <w:rsid w:val="002C45D1"/>
    <w:rsid w:val="002C46FB"/>
    <w:rsid w:val="002C47BC"/>
    <w:rsid w:val="002C49D6"/>
    <w:rsid w:val="002C4A2F"/>
    <w:rsid w:val="002C4AFF"/>
    <w:rsid w:val="002C4B20"/>
    <w:rsid w:val="002C4BED"/>
    <w:rsid w:val="002C4BF7"/>
    <w:rsid w:val="002C4D8A"/>
    <w:rsid w:val="002C4EDD"/>
    <w:rsid w:val="002C4F15"/>
    <w:rsid w:val="002C4F29"/>
    <w:rsid w:val="002C4FFB"/>
    <w:rsid w:val="002C50D8"/>
    <w:rsid w:val="002C5255"/>
    <w:rsid w:val="002C53D2"/>
    <w:rsid w:val="002C53D4"/>
    <w:rsid w:val="002C53F0"/>
    <w:rsid w:val="002C544A"/>
    <w:rsid w:val="002C55B7"/>
    <w:rsid w:val="002C5662"/>
    <w:rsid w:val="002C56B0"/>
    <w:rsid w:val="002C5822"/>
    <w:rsid w:val="002C58C9"/>
    <w:rsid w:val="002C59B7"/>
    <w:rsid w:val="002C5A43"/>
    <w:rsid w:val="002C5B4E"/>
    <w:rsid w:val="002C5BEC"/>
    <w:rsid w:val="002C5C95"/>
    <w:rsid w:val="002C5CA4"/>
    <w:rsid w:val="002C5E0D"/>
    <w:rsid w:val="002C5E8F"/>
    <w:rsid w:val="002C5F46"/>
    <w:rsid w:val="002C600B"/>
    <w:rsid w:val="002C6304"/>
    <w:rsid w:val="002C6349"/>
    <w:rsid w:val="002C6364"/>
    <w:rsid w:val="002C63BC"/>
    <w:rsid w:val="002C64DF"/>
    <w:rsid w:val="002C6551"/>
    <w:rsid w:val="002C6567"/>
    <w:rsid w:val="002C65E2"/>
    <w:rsid w:val="002C677B"/>
    <w:rsid w:val="002C6A18"/>
    <w:rsid w:val="002C6A3C"/>
    <w:rsid w:val="002C6B3D"/>
    <w:rsid w:val="002C6C0D"/>
    <w:rsid w:val="002C6C44"/>
    <w:rsid w:val="002C6CB7"/>
    <w:rsid w:val="002C6E06"/>
    <w:rsid w:val="002C6E76"/>
    <w:rsid w:val="002C6EAA"/>
    <w:rsid w:val="002C6EF8"/>
    <w:rsid w:val="002C6F01"/>
    <w:rsid w:val="002C702F"/>
    <w:rsid w:val="002C7055"/>
    <w:rsid w:val="002C7077"/>
    <w:rsid w:val="002C70E0"/>
    <w:rsid w:val="002C70ED"/>
    <w:rsid w:val="002C7133"/>
    <w:rsid w:val="002C7306"/>
    <w:rsid w:val="002C734B"/>
    <w:rsid w:val="002C73A5"/>
    <w:rsid w:val="002C73DC"/>
    <w:rsid w:val="002C7480"/>
    <w:rsid w:val="002C75D6"/>
    <w:rsid w:val="002C7705"/>
    <w:rsid w:val="002C7821"/>
    <w:rsid w:val="002C79EE"/>
    <w:rsid w:val="002C79FD"/>
    <w:rsid w:val="002C7A32"/>
    <w:rsid w:val="002C7C50"/>
    <w:rsid w:val="002C7DA4"/>
    <w:rsid w:val="002C7FE9"/>
    <w:rsid w:val="002D0174"/>
    <w:rsid w:val="002D02D9"/>
    <w:rsid w:val="002D0365"/>
    <w:rsid w:val="002D0612"/>
    <w:rsid w:val="002D0618"/>
    <w:rsid w:val="002D063D"/>
    <w:rsid w:val="002D07A5"/>
    <w:rsid w:val="002D0816"/>
    <w:rsid w:val="002D0A1C"/>
    <w:rsid w:val="002D0AA8"/>
    <w:rsid w:val="002D0B71"/>
    <w:rsid w:val="002D0BA5"/>
    <w:rsid w:val="002D0BE9"/>
    <w:rsid w:val="002D0D36"/>
    <w:rsid w:val="002D0DB7"/>
    <w:rsid w:val="002D0DC5"/>
    <w:rsid w:val="002D0DF3"/>
    <w:rsid w:val="002D0E2B"/>
    <w:rsid w:val="002D11CD"/>
    <w:rsid w:val="002D1216"/>
    <w:rsid w:val="002D1402"/>
    <w:rsid w:val="002D153B"/>
    <w:rsid w:val="002D16B1"/>
    <w:rsid w:val="002D16FF"/>
    <w:rsid w:val="002D1A48"/>
    <w:rsid w:val="002D1AEA"/>
    <w:rsid w:val="002D1BA7"/>
    <w:rsid w:val="002D1C5F"/>
    <w:rsid w:val="002D1CA1"/>
    <w:rsid w:val="002D1E6C"/>
    <w:rsid w:val="002D1F6B"/>
    <w:rsid w:val="002D205D"/>
    <w:rsid w:val="002D208C"/>
    <w:rsid w:val="002D218E"/>
    <w:rsid w:val="002D2220"/>
    <w:rsid w:val="002D223C"/>
    <w:rsid w:val="002D22FC"/>
    <w:rsid w:val="002D238D"/>
    <w:rsid w:val="002D23E3"/>
    <w:rsid w:val="002D24C8"/>
    <w:rsid w:val="002D24CC"/>
    <w:rsid w:val="002D25BD"/>
    <w:rsid w:val="002D25FD"/>
    <w:rsid w:val="002D28E3"/>
    <w:rsid w:val="002D2972"/>
    <w:rsid w:val="002D29CE"/>
    <w:rsid w:val="002D2A03"/>
    <w:rsid w:val="002D2BB1"/>
    <w:rsid w:val="002D2CF8"/>
    <w:rsid w:val="002D2D55"/>
    <w:rsid w:val="002D2E1A"/>
    <w:rsid w:val="002D2EF4"/>
    <w:rsid w:val="002D2F11"/>
    <w:rsid w:val="002D2F57"/>
    <w:rsid w:val="002D2F63"/>
    <w:rsid w:val="002D3088"/>
    <w:rsid w:val="002D31E5"/>
    <w:rsid w:val="002D3351"/>
    <w:rsid w:val="002D3368"/>
    <w:rsid w:val="002D36A2"/>
    <w:rsid w:val="002D36AF"/>
    <w:rsid w:val="002D3756"/>
    <w:rsid w:val="002D3789"/>
    <w:rsid w:val="002D382C"/>
    <w:rsid w:val="002D3A54"/>
    <w:rsid w:val="002D3AFC"/>
    <w:rsid w:val="002D3BFC"/>
    <w:rsid w:val="002D3C43"/>
    <w:rsid w:val="002D3C68"/>
    <w:rsid w:val="002D3CEA"/>
    <w:rsid w:val="002D3D6F"/>
    <w:rsid w:val="002D3DC5"/>
    <w:rsid w:val="002D3EC6"/>
    <w:rsid w:val="002D3F3F"/>
    <w:rsid w:val="002D41AD"/>
    <w:rsid w:val="002D4376"/>
    <w:rsid w:val="002D4472"/>
    <w:rsid w:val="002D457C"/>
    <w:rsid w:val="002D45D5"/>
    <w:rsid w:val="002D4794"/>
    <w:rsid w:val="002D479F"/>
    <w:rsid w:val="002D48A1"/>
    <w:rsid w:val="002D495D"/>
    <w:rsid w:val="002D4B38"/>
    <w:rsid w:val="002D4B52"/>
    <w:rsid w:val="002D4B97"/>
    <w:rsid w:val="002D4BF5"/>
    <w:rsid w:val="002D4C3A"/>
    <w:rsid w:val="002D4ECA"/>
    <w:rsid w:val="002D4EFD"/>
    <w:rsid w:val="002D516E"/>
    <w:rsid w:val="002D52A2"/>
    <w:rsid w:val="002D536F"/>
    <w:rsid w:val="002D5387"/>
    <w:rsid w:val="002D555A"/>
    <w:rsid w:val="002D5606"/>
    <w:rsid w:val="002D5893"/>
    <w:rsid w:val="002D58FB"/>
    <w:rsid w:val="002D595B"/>
    <w:rsid w:val="002D5A0F"/>
    <w:rsid w:val="002D5A7C"/>
    <w:rsid w:val="002D5AB3"/>
    <w:rsid w:val="002D5AB5"/>
    <w:rsid w:val="002D5ABA"/>
    <w:rsid w:val="002D5B58"/>
    <w:rsid w:val="002D5B68"/>
    <w:rsid w:val="002D5C15"/>
    <w:rsid w:val="002D5DB8"/>
    <w:rsid w:val="002D5EE9"/>
    <w:rsid w:val="002D6052"/>
    <w:rsid w:val="002D60D8"/>
    <w:rsid w:val="002D6126"/>
    <w:rsid w:val="002D631B"/>
    <w:rsid w:val="002D6349"/>
    <w:rsid w:val="002D6526"/>
    <w:rsid w:val="002D6590"/>
    <w:rsid w:val="002D65A2"/>
    <w:rsid w:val="002D65CB"/>
    <w:rsid w:val="002D6649"/>
    <w:rsid w:val="002D66FE"/>
    <w:rsid w:val="002D671F"/>
    <w:rsid w:val="002D6720"/>
    <w:rsid w:val="002D675B"/>
    <w:rsid w:val="002D67A5"/>
    <w:rsid w:val="002D6876"/>
    <w:rsid w:val="002D6928"/>
    <w:rsid w:val="002D6954"/>
    <w:rsid w:val="002D698A"/>
    <w:rsid w:val="002D69A1"/>
    <w:rsid w:val="002D69B5"/>
    <w:rsid w:val="002D6A1A"/>
    <w:rsid w:val="002D6B42"/>
    <w:rsid w:val="002D6B7B"/>
    <w:rsid w:val="002D6BA1"/>
    <w:rsid w:val="002D6C61"/>
    <w:rsid w:val="002D6DBF"/>
    <w:rsid w:val="002D6DEC"/>
    <w:rsid w:val="002D7026"/>
    <w:rsid w:val="002D707E"/>
    <w:rsid w:val="002D70A5"/>
    <w:rsid w:val="002D7153"/>
    <w:rsid w:val="002D71DD"/>
    <w:rsid w:val="002D7379"/>
    <w:rsid w:val="002D750F"/>
    <w:rsid w:val="002D7673"/>
    <w:rsid w:val="002D7678"/>
    <w:rsid w:val="002D7A24"/>
    <w:rsid w:val="002D7BC4"/>
    <w:rsid w:val="002D7C76"/>
    <w:rsid w:val="002D7DE1"/>
    <w:rsid w:val="002D7DF2"/>
    <w:rsid w:val="002E00EC"/>
    <w:rsid w:val="002E0173"/>
    <w:rsid w:val="002E01B3"/>
    <w:rsid w:val="002E0364"/>
    <w:rsid w:val="002E03AF"/>
    <w:rsid w:val="002E05F0"/>
    <w:rsid w:val="002E070C"/>
    <w:rsid w:val="002E076F"/>
    <w:rsid w:val="002E0775"/>
    <w:rsid w:val="002E0D8C"/>
    <w:rsid w:val="002E0EB7"/>
    <w:rsid w:val="002E0F92"/>
    <w:rsid w:val="002E0FE8"/>
    <w:rsid w:val="002E131B"/>
    <w:rsid w:val="002E14DB"/>
    <w:rsid w:val="002E151F"/>
    <w:rsid w:val="002E15E3"/>
    <w:rsid w:val="002E173B"/>
    <w:rsid w:val="002E17C8"/>
    <w:rsid w:val="002E17CA"/>
    <w:rsid w:val="002E18F0"/>
    <w:rsid w:val="002E1BDD"/>
    <w:rsid w:val="002E1C36"/>
    <w:rsid w:val="002E1E5A"/>
    <w:rsid w:val="002E1E63"/>
    <w:rsid w:val="002E21B2"/>
    <w:rsid w:val="002E2307"/>
    <w:rsid w:val="002E2483"/>
    <w:rsid w:val="002E248A"/>
    <w:rsid w:val="002E25BA"/>
    <w:rsid w:val="002E2714"/>
    <w:rsid w:val="002E2748"/>
    <w:rsid w:val="002E27A8"/>
    <w:rsid w:val="002E2A6E"/>
    <w:rsid w:val="002E2A96"/>
    <w:rsid w:val="002E2AB0"/>
    <w:rsid w:val="002E2BB3"/>
    <w:rsid w:val="002E2D85"/>
    <w:rsid w:val="002E2E1A"/>
    <w:rsid w:val="002E2F42"/>
    <w:rsid w:val="002E2F5A"/>
    <w:rsid w:val="002E2FB3"/>
    <w:rsid w:val="002E31CC"/>
    <w:rsid w:val="002E3229"/>
    <w:rsid w:val="002E326C"/>
    <w:rsid w:val="002E3341"/>
    <w:rsid w:val="002E33E5"/>
    <w:rsid w:val="002E33F7"/>
    <w:rsid w:val="002E3592"/>
    <w:rsid w:val="002E3678"/>
    <w:rsid w:val="002E36F8"/>
    <w:rsid w:val="002E3799"/>
    <w:rsid w:val="002E37F5"/>
    <w:rsid w:val="002E389C"/>
    <w:rsid w:val="002E38F1"/>
    <w:rsid w:val="002E3914"/>
    <w:rsid w:val="002E3937"/>
    <w:rsid w:val="002E3A71"/>
    <w:rsid w:val="002E3B47"/>
    <w:rsid w:val="002E3C69"/>
    <w:rsid w:val="002E3CFC"/>
    <w:rsid w:val="002E3E25"/>
    <w:rsid w:val="002E40F5"/>
    <w:rsid w:val="002E4168"/>
    <w:rsid w:val="002E4172"/>
    <w:rsid w:val="002E42A7"/>
    <w:rsid w:val="002E42B2"/>
    <w:rsid w:val="002E42F0"/>
    <w:rsid w:val="002E43CD"/>
    <w:rsid w:val="002E4489"/>
    <w:rsid w:val="002E4498"/>
    <w:rsid w:val="002E44B8"/>
    <w:rsid w:val="002E44EF"/>
    <w:rsid w:val="002E4540"/>
    <w:rsid w:val="002E4554"/>
    <w:rsid w:val="002E46B3"/>
    <w:rsid w:val="002E46FA"/>
    <w:rsid w:val="002E4766"/>
    <w:rsid w:val="002E47CF"/>
    <w:rsid w:val="002E48AF"/>
    <w:rsid w:val="002E4995"/>
    <w:rsid w:val="002E499D"/>
    <w:rsid w:val="002E4A5E"/>
    <w:rsid w:val="002E4AA0"/>
    <w:rsid w:val="002E502A"/>
    <w:rsid w:val="002E5095"/>
    <w:rsid w:val="002E50EA"/>
    <w:rsid w:val="002E51EF"/>
    <w:rsid w:val="002E5244"/>
    <w:rsid w:val="002E544C"/>
    <w:rsid w:val="002E5664"/>
    <w:rsid w:val="002E58D8"/>
    <w:rsid w:val="002E5A27"/>
    <w:rsid w:val="002E5BF0"/>
    <w:rsid w:val="002E5C02"/>
    <w:rsid w:val="002E5C86"/>
    <w:rsid w:val="002E5D5C"/>
    <w:rsid w:val="002E5EC7"/>
    <w:rsid w:val="002E603D"/>
    <w:rsid w:val="002E6573"/>
    <w:rsid w:val="002E67A0"/>
    <w:rsid w:val="002E6813"/>
    <w:rsid w:val="002E682B"/>
    <w:rsid w:val="002E6AAF"/>
    <w:rsid w:val="002E6B29"/>
    <w:rsid w:val="002E6DAF"/>
    <w:rsid w:val="002E6E3F"/>
    <w:rsid w:val="002E6EA9"/>
    <w:rsid w:val="002E6EFC"/>
    <w:rsid w:val="002E70C4"/>
    <w:rsid w:val="002E7198"/>
    <w:rsid w:val="002E71F1"/>
    <w:rsid w:val="002E732A"/>
    <w:rsid w:val="002E7390"/>
    <w:rsid w:val="002E74E4"/>
    <w:rsid w:val="002E74EC"/>
    <w:rsid w:val="002E7695"/>
    <w:rsid w:val="002E7780"/>
    <w:rsid w:val="002E783C"/>
    <w:rsid w:val="002E79CA"/>
    <w:rsid w:val="002E7A1A"/>
    <w:rsid w:val="002E7BCA"/>
    <w:rsid w:val="002E7DED"/>
    <w:rsid w:val="002E7E11"/>
    <w:rsid w:val="002E7E17"/>
    <w:rsid w:val="002F00D9"/>
    <w:rsid w:val="002F01B9"/>
    <w:rsid w:val="002F02A8"/>
    <w:rsid w:val="002F030D"/>
    <w:rsid w:val="002F0348"/>
    <w:rsid w:val="002F0396"/>
    <w:rsid w:val="002F03AA"/>
    <w:rsid w:val="002F04BF"/>
    <w:rsid w:val="002F059F"/>
    <w:rsid w:val="002F0669"/>
    <w:rsid w:val="002F071C"/>
    <w:rsid w:val="002F0745"/>
    <w:rsid w:val="002F082A"/>
    <w:rsid w:val="002F09F0"/>
    <w:rsid w:val="002F0A7C"/>
    <w:rsid w:val="002F0AC4"/>
    <w:rsid w:val="002F0B99"/>
    <w:rsid w:val="002F0C0D"/>
    <w:rsid w:val="002F0C35"/>
    <w:rsid w:val="002F0D8D"/>
    <w:rsid w:val="002F0DB2"/>
    <w:rsid w:val="002F0EDB"/>
    <w:rsid w:val="002F0F32"/>
    <w:rsid w:val="002F109B"/>
    <w:rsid w:val="002F119A"/>
    <w:rsid w:val="002F1331"/>
    <w:rsid w:val="002F1377"/>
    <w:rsid w:val="002F1380"/>
    <w:rsid w:val="002F13B8"/>
    <w:rsid w:val="002F14E9"/>
    <w:rsid w:val="002F1627"/>
    <w:rsid w:val="002F172C"/>
    <w:rsid w:val="002F1764"/>
    <w:rsid w:val="002F1874"/>
    <w:rsid w:val="002F1902"/>
    <w:rsid w:val="002F1B9A"/>
    <w:rsid w:val="002F1BD5"/>
    <w:rsid w:val="002F1D0B"/>
    <w:rsid w:val="002F1DA4"/>
    <w:rsid w:val="002F1DA7"/>
    <w:rsid w:val="002F1E63"/>
    <w:rsid w:val="002F1F1A"/>
    <w:rsid w:val="002F1F41"/>
    <w:rsid w:val="002F21F4"/>
    <w:rsid w:val="002F22C3"/>
    <w:rsid w:val="002F23B8"/>
    <w:rsid w:val="002F23E3"/>
    <w:rsid w:val="002F2495"/>
    <w:rsid w:val="002F250B"/>
    <w:rsid w:val="002F252A"/>
    <w:rsid w:val="002F2636"/>
    <w:rsid w:val="002F265E"/>
    <w:rsid w:val="002F27CC"/>
    <w:rsid w:val="002F2962"/>
    <w:rsid w:val="002F2A30"/>
    <w:rsid w:val="002F2A63"/>
    <w:rsid w:val="002F2AAE"/>
    <w:rsid w:val="002F2BAC"/>
    <w:rsid w:val="002F2C44"/>
    <w:rsid w:val="002F2CA6"/>
    <w:rsid w:val="002F2D0F"/>
    <w:rsid w:val="002F2EE3"/>
    <w:rsid w:val="002F3044"/>
    <w:rsid w:val="002F3064"/>
    <w:rsid w:val="002F3158"/>
    <w:rsid w:val="002F31BC"/>
    <w:rsid w:val="002F32E5"/>
    <w:rsid w:val="002F3367"/>
    <w:rsid w:val="002F33F9"/>
    <w:rsid w:val="002F3406"/>
    <w:rsid w:val="002F3508"/>
    <w:rsid w:val="002F359F"/>
    <w:rsid w:val="002F3668"/>
    <w:rsid w:val="002F3699"/>
    <w:rsid w:val="002F3717"/>
    <w:rsid w:val="002F38ED"/>
    <w:rsid w:val="002F3AB3"/>
    <w:rsid w:val="002F3B38"/>
    <w:rsid w:val="002F3B48"/>
    <w:rsid w:val="002F3BA6"/>
    <w:rsid w:val="002F3D01"/>
    <w:rsid w:val="002F3E70"/>
    <w:rsid w:val="002F4028"/>
    <w:rsid w:val="002F4095"/>
    <w:rsid w:val="002F45EF"/>
    <w:rsid w:val="002F463A"/>
    <w:rsid w:val="002F4721"/>
    <w:rsid w:val="002F4744"/>
    <w:rsid w:val="002F4763"/>
    <w:rsid w:val="002F47D9"/>
    <w:rsid w:val="002F484E"/>
    <w:rsid w:val="002F495E"/>
    <w:rsid w:val="002F496B"/>
    <w:rsid w:val="002F49AF"/>
    <w:rsid w:val="002F4A65"/>
    <w:rsid w:val="002F4A9B"/>
    <w:rsid w:val="002F4ACC"/>
    <w:rsid w:val="002F4B77"/>
    <w:rsid w:val="002F4C28"/>
    <w:rsid w:val="002F4C3B"/>
    <w:rsid w:val="002F4D40"/>
    <w:rsid w:val="002F4E17"/>
    <w:rsid w:val="002F4ED7"/>
    <w:rsid w:val="002F4EE1"/>
    <w:rsid w:val="002F5027"/>
    <w:rsid w:val="002F50C7"/>
    <w:rsid w:val="002F519F"/>
    <w:rsid w:val="002F52F7"/>
    <w:rsid w:val="002F53DB"/>
    <w:rsid w:val="002F57F8"/>
    <w:rsid w:val="002F583F"/>
    <w:rsid w:val="002F58D4"/>
    <w:rsid w:val="002F58DE"/>
    <w:rsid w:val="002F5950"/>
    <w:rsid w:val="002F5B28"/>
    <w:rsid w:val="002F5C03"/>
    <w:rsid w:val="002F5D84"/>
    <w:rsid w:val="002F5DF2"/>
    <w:rsid w:val="002F5F94"/>
    <w:rsid w:val="002F603E"/>
    <w:rsid w:val="002F60D2"/>
    <w:rsid w:val="002F60D6"/>
    <w:rsid w:val="002F611C"/>
    <w:rsid w:val="002F62C8"/>
    <w:rsid w:val="002F6308"/>
    <w:rsid w:val="002F642E"/>
    <w:rsid w:val="002F643A"/>
    <w:rsid w:val="002F6455"/>
    <w:rsid w:val="002F656C"/>
    <w:rsid w:val="002F65AF"/>
    <w:rsid w:val="002F6666"/>
    <w:rsid w:val="002F672B"/>
    <w:rsid w:val="002F68C2"/>
    <w:rsid w:val="002F6937"/>
    <w:rsid w:val="002F6A04"/>
    <w:rsid w:val="002F6C00"/>
    <w:rsid w:val="002F6C0B"/>
    <w:rsid w:val="002F6E39"/>
    <w:rsid w:val="002F6F00"/>
    <w:rsid w:val="002F6F0B"/>
    <w:rsid w:val="002F6F0C"/>
    <w:rsid w:val="002F6F37"/>
    <w:rsid w:val="002F7011"/>
    <w:rsid w:val="002F7037"/>
    <w:rsid w:val="002F707D"/>
    <w:rsid w:val="002F70C3"/>
    <w:rsid w:val="002F7118"/>
    <w:rsid w:val="002F72A4"/>
    <w:rsid w:val="002F73FD"/>
    <w:rsid w:val="002F74A6"/>
    <w:rsid w:val="002F74F0"/>
    <w:rsid w:val="002F74FC"/>
    <w:rsid w:val="002F7503"/>
    <w:rsid w:val="002F7702"/>
    <w:rsid w:val="002F770E"/>
    <w:rsid w:val="002F7733"/>
    <w:rsid w:val="002F775D"/>
    <w:rsid w:val="002F77C2"/>
    <w:rsid w:val="002F7841"/>
    <w:rsid w:val="002F7999"/>
    <w:rsid w:val="002F79FF"/>
    <w:rsid w:val="002F7B0E"/>
    <w:rsid w:val="002F7B0F"/>
    <w:rsid w:val="002F7B19"/>
    <w:rsid w:val="002F7B4E"/>
    <w:rsid w:val="002F7BB4"/>
    <w:rsid w:val="002F7C2F"/>
    <w:rsid w:val="002F7C7C"/>
    <w:rsid w:val="002F7C91"/>
    <w:rsid w:val="002F7DD9"/>
    <w:rsid w:val="002F7EB4"/>
    <w:rsid w:val="002F7F04"/>
    <w:rsid w:val="002F7F15"/>
    <w:rsid w:val="002F7FBB"/>
    <w:rsid w:val="00300017"/>
    <w:rsid w:val="003000BB"/>
    <w:rsid w:val="00300148"/>
    <w:rsid w:val="0030030D"/>
    <w:rsid w:val="0030045E"/>
    <w:rsid w:val="00300753"/>
    <w:rsid w:val="003007A4"/>
    <w:rsid w:val="00300A06"/>
    <w:rsid w:val="00300ABB"/>
    <w:rsid w:val="00300B94"/>
    <w:rsid w:val="00300BE0"/>
    <w:rsid w:val="00300CB5"/>
    <w:rsid w:val="00300CDF"/>
    <w:rsid w:val="00300DF4"/>
    <w:rsid w:val="00300EE8"/>
    <w:rsid w:val="0030101A"/>
    <w:rsid w:val="0030105C"/>
    <w:rsid w:val="00301334"/>
    <w:rsid w:val="0030140D"/>
    <w:rsid w:val="003015D1"/>
    <w:rsid w:val="00301609"/>
    <w:rsid w:val="003017B6"/>
    <w:rsid w:val="00301859"/>
    <w:rsid w:val="003018A6"/>
    <w:rsid w:val="003018B9"/>
    <w:rsid w:val="003019A5"/>
    <w:rsid w:val="00301A02"/>
    <w:rsid w:val="00301ABB"/>
    <w:rsid w:val="00301CDB"/>
    <w:rsid w:val="00301CF1"/>
    <w:rsid w:val="00301D99"/>
    <w:rsid w:val="00301DAF"/>
    <w:rsid w:val="00301DF8"/>
    <w:rsid w:val="00301E53"/>
    <w:rsid w:val="00301FA5"/>
    <w:rsid w:val="00301FFF"/>
    <w:rsid w:val="00302262"/>
    <w:rsid w:val="00302486"/>
    <w:rsid w:val="0030249E"/>
    <w:rsid w:val="003024FB"/>
    <w:rsid w:val="003025C7"/>
    <w:rsid w:val="00302675"/>
    <w:rsid w:val="0030280D"/>
    <w:rsid w:val="003028B7"/>
    <w:rsid w:val="00302903"/>
    <w:rsid w:val="00302920"/>
    <w:rsid w:val="00302940"/>
    <w:rsid w:val="00302957"/>
    <w:rsid w:val="00302C71"/>
    <w:rsid w:val="00302C72"/>
    <w:rsid w:val="00302CEA"/>
    <w:rsid w:val="00302CFE"/>
    <w:rsid w:val="00302F37"/>
    <w:rsid w:val="00302F59"/>
    <w:rsid w:val="00302F9E"/>
    <w:rsid w:val="00303160"/>
    <w:rsid w:val="003033DF"/>
    <w:rsid w:val="00303465"/>
    <w:rsid w:val="00303512"/>
    <w:rsid w:val="00303614"/>
    <w:rsid w:val="00303661"/>
    <w:rsid w:val="00303724"/>
    <w:rsid w:val="003038E1"/>
    <w:rsid w:val="00303B67"/>
    <w:rsid w:val="00303BBF"/>
    <w:rsid w:val="00303BE0"/>
    <w:rsid w:val="00303BEF"/>
    <w:rsid w:val="00303C7F"/>
    <w:rsid w:val="00303D3F"/>
    <w:rsid w:val="00303E7B"/>
    <w:rsid w:val="00303F67"/>
    <w:rsid w:val="00304228"/>
    <w:rsid w:val="003045A7"/>
    <w:rsid w:val="003046A2"/>
    <w:rsid w:val="003047C5"/>
    <w:rsid w:val="0030484A"/>
    <w:rsid w:val="00304857"/>
    <w:rsid w:val="003048FF"/>
    <w:rsid w:val="00304976"/>
    <w:rsid w:val="00304AAB"/>
    <w:rsid w:val="00304AC4"/>
    <w:rsid w:val="00304B82"/>
    <w:rsid w:val="00304BA1"/>
    <w:rsid w:val="00304BB6"/>
    <w:rsid w:val="00304D45"/>
    <w:rsid w:val="00305209"/>
    <w:rsid w:val="00305326"/>
    <w:rsid w:val="00305390"/>
    <w:rsid w:val="00305400"/>
    <w:rsid w:val="003054AE"/>
    <w:rsid w:val="00305650"/>
    <w:rsid w:val="00305845"/>
    <w:rsid w:val="00305A1A"/>
    <w:rsid w:val="00305AB5"/>
    <w:rsid w:val="00305CC5"/>
    <w:rsid w:val="00305D4A"/>
    <w:rsid w:val="00305DCC"/>
    <w:rsid w:val="00305EFE"/>
    <w:rsid w:val="00306025"/>
    <w:rsid w:val="00306219"/>
    <w:rsid w:val="003062CB"/>
    <w:rsid w:val="0030633A"/>
    <w:rsid w:val="00306705"/>
    <w:rsid w:val="00306707"/>
    <w:rsid w:val="0030686B"/>
    <w:rsid w:val="00306A01"/>
    <w:rsid w:val="00306ACE"/>
    <w:rsid w:val="00306B24"/>
    <w:rsid w:val="00306B2E"/>
    <w:rsid w:val="00306D31"/>
    <w:rsid w:val="00306D5F"/>
    <w:rsid w:val="00306DA8"/>
    <w:rsid w:val="00306E34"/>
    <w:rsid w:val="00306E70"/>
    <w:rsid w:val="003070DF"/>
    <w:rsid w:val="0030711B"/>
    <w:rsid w:val="00307155"/>
    <w:rsid w:val="0030750C"/>
    <w:rsid w:val="003076D2"/>
    <w:rsid w:val="00307717"/>
    <w:rsid w:val="003078EA"/>
    <w:rsid w:val="003078FB"/>
    <w:rsid w:val="00307978"/>
    <w:rsid w:val="00307CE5"/>
    <w:rsid w:val="00307D13"/>
    <w:rsid w:val="0031028E"/>
    <w:rsid w:val="00310474"/>
    <w:rsid w:val="003104C2"/>
    <w:rsid w:val="00310606"/>
    <w:rsid w:val="0031076C"/>
    <w:rsid w:val="003107D7"/>
    <w:rsid w:val="00310880"/>
    <w:rsid w:val="00310899"/>
    <w:rsid w:val="003108B2"/>
    <w:rsid w:val="003109F0"/>
    <w:rsid w:val="00310A14"/>
    <w:rsid w:val="00310BAD"/>
    <w:rsid w:val="00310C77"/>
    <w:rsid w:val="00310D7E"/>
    <w:rsid w:val="00310DF2"/>
    <w:rsid w:val="00310EE3"/>
    <w:rsid w:val="00310FE6"/>
    <w:rsid w:val="003110C0"/>
    <w:rsid w:val="00311178"/>
    <w:rsid w:val="003111E6"/>
    <w:rsid w:val="003112F5"/>
    <w:rsid w:val="003114B3"/>
    <w:rsid w:val="0031165B"/>
    <w:rsid w:val="00311678"/>
    <w:rsid w:val="00311711"/>
    <w:rsid w:val="0031172B"/>
    <w:rsid w:val="003117CE"/>
    <w:rsid w:val="003117D6"/>
    <w:rsid w:val="00311AB8"/>
    <w:rsid w:val="00311B14"/>
    <w:rsid w:val="00311D4E"/>
    <w:rsid w:val="00311D75"/>
    <w:rsid w:val="00311D93"/>
    <w:rsid w:val="00311EAA"/>
    <w:rsid w:val="00311F89"/>
    <w:rsid w:val="0031201B"/>
    <w:rsid w:val="0031203C"/>
    <w:rsid w:val="00312153"/>
    <w:rsid w:val="00312171"/>
    <w:rsid w:val="0031218E"/>
    <w:rsid w:val="0031232D"/>
    <w:rsid w:val="0031238A"/>
    <w:rsid w:val="003123E6"/>
    <w:rsid w:val="0031246C"/>
    <w:rsid w:val="00312474"/>
    <w:rsid w:val="0031248D"/>
    <w:rsid w:val="0031270C"/>
    <w:rsid w:val="00312779"/>
    <w:rsid w:val="0031294E"/>
    <w:rsid w:val="00312ACC"/>
    <w:rsid w:val="00312BC9"/>
    <w:rsid w:val="00312E6E"/>
    <w:rsid w:val="00312E83"/>
    <w:rsid w:val="00312EA9"/>
    <w:rsid w:val="00312EAB"/>
    <w:rsid w:val="00312F21"/>
    <w:rsid w:val="00313035"/>
    <w:rsid w:val="0031305B"/>
    <w:rsid w:val="00313154"/>
    <w:rsid w:val="0031317C"/>
    <w:rsid w:val="00313335"/>
    <w:rsid w:val="003133C6"/>
    <w:rsid w:val="00313532"/>
    <w:rsid w:val="003135E0"/>
    <w:rsid w:val="00313699"/>
    <w:rsid w:val="003136D0"/>
    <w:rsid w:val="0031378E"/>
    <w:rsid w:val="0031387D"/>
    <w:rsid w:val="003138B5"/>
    <w:rsid w:val="003138D5"/>
    <w:rsid w:val="00313A39"/>
    <w:rsid w:val="00313A53"/>
    <w:rsid w:val="00313C7D"/>
    <w:rsid w:val="00313CC9"/>
    <w:rsid w:val="00313D2F"/>
    <w:rsid w:val="00313DD8"/>
    <w:rsid w:val="00313E2B"/>
    <w:rsid w:val="00313F41"/>
    <w:rsid w:val="00314152"/>
    <w:rsid w:val="00314168"/>
    <w:rsid w:val="00314268"/>
    <w:rsid w:val="00314282"/>
    <w:rsid w:val="00314492"/>
    <w:rsid w:val="00314534"/>
    <w:rsid w:val="003145D7"/>
    <w:rsid w:val="00314610"/>
    <w:rsid w:val="00314732"/>
    <w:rsid w:val="00314745"/>
    <w:rsid w:val="003147E9"/>
    <w:rsid w:val="003147F4"/>
    <w:rsid w:val="003149DA"/>
    <w:rsid w:val="00314CFE"/>
    <w:rsid w:val="00314D57"/>
    <w:rsid w:val="00314E58"/>
    <w:rsid w:val="00314EB3"/>
    <w:rsid w:val="00314F14"/>
    <w:rsid w:val="00314F94"/>
    <w:rsid w:val="00315028"/>
    <w:rsid w:val="003150E8"/>
    <w:rsid w:val="00315110"/>
    <w:rsid w:val="003151EA"/>
    <w:rsid w:val="00315269"/>
    <w:rsid w:val="003152C1"/>
    <w:rsid w:val="003153E4"/>
    <w:rsid w:val="003153EE"/>
    <w:rsid w:val="00315481"/>
    <w:rsid w:val="003154DD"/>
    <w:rsid w:val="003155DA"/>
    <w:rsid w:val="00315610"/>
    <w:rsid w:val="0031569D"/>
    <w:rsid w:val="003157F6"/>
    <w:rsid w:val="0031588D"/>
    <w:rsid w:val="00315908"/>
    <w:rsid w:val="00315A97"/>
    <w:rsid w:val="00315BE0"/>
    <w:rsid w:val="00315CE7"/>
    <w:rsid w:val="00315DE3"/>
    <w:rsid w:val="00315E61"/>
    <w:rsid w:val="00315F28"/>
    <w:rsid w:val="00315FDC"/>
    <w:rsid w:val="00316071"/>
    <w:rsid w:val="0031612D"/>
    <w:rsid w:val="0031618C"/>
    <w:rsid w:val="00316241"/>
    <w:rsid w:val="0031633E"/>
    <w:rsid w:val="00316526"/>
    <w:rsid w:val="0031654D"/>
    <w:rsid w:val="003165FB"/>
    <w:rsid w:val="003166C8"/>
    <w:rsid w:val="00316804"/>
    <w:rsid w:val="00316847"/>
    <w:rsid w:val="003168F1"/>
    <w:rsid w:val="00316977"/>
    <w:rsid w:val="003169A8"/>
    <w:rsid w:val="00316AB0"/>
    <w:rsid w:val="00316C4E"/>
    <w:rsid w:val="00316C84"/>
    <w:rsid w:val="00316CE7"/>
    <w:rsid w:val="00316D7F"/>
    <w:rsid w:val="00316EED"/>
    <w:rsid w:val="00316F38"/>
    <w:rsid w:val="00316FF9"/>
    <w:rsid w:val="00317014"/>
    <w:rsid w:val="0031708A"/>
    <w:rsid w:val="003171DF"/>
    <w:rsid w:val="0031745B"/>
    <w:rsid w:val="0031758D"/>
    <w:rsid w:val="003176AD"/>
    <w:rsid w:val="00317750"/>
    <w:rsid w:val="003177AE"/>
    <w:rsid w:val="0031791C"/>
    <w:rsid w:val="00317AD1"/>
    <w:rsid w:val="00317B97"/>
    <w:rsid w:val="00317C22"/>
    <w:rsid w:val="00317E00"/>
    <w:rsid w:val="00317ECC"/>
    <w:rsid w:val="00317F1C"/>
    <w:rsid w:val="0032009E"/>
    <w:rsid w:val="003200AD"/>
    <w:rsid w:val="003200AE"/>
    <w:rsid w:val="003200F3"/>
    <w:rsid w:val="003201AC"/>
    <w:rsid w:val="00320252"/>
    <w:rsid w:val="00320619"/>
    <w:rsid w:val="00320674"/>
    <w:rsid w:val="00320923"/>
    <w:rsid w:val="003209EA"/>
    <w:rsid w:val="00320B95"/>
    <w:rsid w:val="00320C44"/>
    <w:rsid w:val="00320CED"/>
    <w:rsid w:val="00320D33"/>
    <w:rsid w:val="00320D59"/>
    <w:rsid w:val="00320EDA"/>
    <w:rsid w:val="00321076"/>
    <w:rsid w:val="0032123A"/>
    <w:rsid w:val="00321252"/>
    <w:rsid w:val="003212A1"/>
    <w:rsid w:val="00321304"/>
    <w:rsid w:val="003213E3"/>
    <w:rsid w:val="003214D8"/>
    <w:rsid w:val="003215D7"/>
    <w:rsid w:val="00321626"/>
    <w:rsid w:val="0032163F"/>
    <w:rsid w:val="003216DB"/>
    <w:rsid w:val="0032178E"/>
    <w:rsid w:val="0032182F"/>
    <w:rsid w:val="00321847"/>
    <w:rsid w:val="00321972"/>
    <w:rsid w:val="003219C9"/>
    <w:rsid w:val="00321B6B"/>
    <w:rsid w:val="00321B99"/>
    <w:rsid w:val="00321CAD"/>
    <w:rsid w:val="00321CB4"/>
    <w:rsid w:val="00321CD1"/>
    <w:rsid w:val="00321DC1"/>
    <w:rsid w:val="00321EFB"/>
    <w:rsid w:val="003220D3"/>
    <w:rsid w:val="003223C1"/>
    <w:rsid w:val="00322484"/>
    <w:rsid w:val="003225A7"/>
    <w:rsid w:val="00322821"/>
    <w:rsid w:val="0032288A"/>
    <w:rsid w:val="00322BD9"/>
    <w:rsid w:val="00322CAB"/>
    <w:rsid w:val="00322FB0"/>
    <w:rsid w:val="00322FBA"/>
    <w:rsid w:val="00322FD4"/>
    <w:rsid w:val="00323089"/>
    <w:rsid w:val="003230A7"/>
    <w:rsid w:val="003230C2"/>
    <w:rsid w:val="0032315B"/>
    <w:rsid w:val="003232C4"/>
    <w:rsid w:val="0032339F"/>
    <w:rsid w:val="003233CC"/>
    <w:rsid w:val="0032342F"/>
    <w:rsid w:val="003237E9"/>
    <w:rsid w:val="00323845"/>
    <w:rsid w:val="00323874"/>
    <w:rsid w:val="00323886"/>
    <w:rsid w:val="00323975"/>
    <w:rsid w:val="00323A95"/>
    <w:rsid w:val="00323AAB"/>
    <w:rsid w:val="00323AC2"/>
    <w:rsid w:val="00323D71"/>
    <w:rsid w:val="00323E11"/>
    <w:rsid w:val="00323EB6"/>
    <w:rsid w:val="00324250"/>
    <w:rsid w:val="0032438A"/>
    <w:rsid w:val="003243A5"/>
    <w:rsid w:val="00324561"/>
    <w:rsid w:val="003247D4"/>
    <w:rsid w:val="003247DA"/>
    <w:rsid w:val="00324983"/>
    <w:rsid w:val="00324A48"/>
    <w:rsid w:val="00324D82"/>
    <w:rsid w:val="00324D8C"/>
    <w:rsid w:val="00324F01"/>
    <w:rsid w:val="00324F3B"/>
    <w:rsid w:val="00325076"/>
    <w:rsid w:val="003251BB"/>
    <w:rsid w:val="00325773"/>
    <w:rsid w:val="00325978"/>
    <w:rsid w:val="00325997"/>
    <w:rsid w:val="00325BA3"/>
    <w:rsid w:val="00325BE0"/>
    <w:rsid w:val="00325BE3"/>
    <w:rsid w:val="00325CB6"/>
    <w:rsid w:val="00325D42"/>
    <w:rsid w:val="00325F41"/>
    <w:rsid w:val="00326141"/>
    <w:rsid w:val="003261AE"/>
    <w:rsid w:val="00326271"/>
    <w:rsid w:val="003262F8"/>
    <w:rsid w:val="00326317"/>
    <w:rsid w:val="003263D3"/>
    <w:rsid w:val="00326542"/>
    <w:rsid w:val="00326559"/>
    <w:rsid w:val="003266BB"/>
    <w:rsid w:val="00326711"/>
    <w:rsid w:val="00326833"/>
    <w:rsid w:val="00326897"/>
    <w:rsid w:val="003268C1"/>
    <w:rsid w:val="00326932"/>
    <w:rsid w:val="00326A04"/>
    <w:rsid w:val="00326AAD"/>
    <w:rsid w:val="00326AE8"/>
    <w:rsid w:val="00326C7A"/>
    <w:rsid w:val="00326D3D"/>
    <w:rsid w:val="00326D48"/>
    <w:rsid w:val="00326E9D"/>
    <w:rsid w:val="00326EC8"/>
    <w:rsid w:val="00326F9D"/>
    <w:rsid w:val="00327044"/>
    <w:rsid w:val="0032706D"/>
    <w:rsid w:val="003270B0"/>
    <w:rsid w:val="003273FC"/>
    <w:rsid w:val="00327686"/>
    <w:rsid w:val="00327761"/>
    <w:rsid w:val="00327813"/>
    <w:rsid w:val="003278CA"/>
    <w:rsid w:val="00327AA9"/>
    <w:rsid w:val="00327B1D"/>
    <w:rsid w:val="00327C38"/>
    <w:rsid w:val="00327D4F"/>
    <w:rsid w:val="00327DCA"/>
    <w:rsid w:val="00327E62"/>
    <w:rsid w:val="00327FD9"/>
    <w:rsid w:val="003300D4"/>
    <w:rsid w:val="003300FF"/>
    <w:rsid w:val="00330184"/>
    <w:rsid w:val="0033027B"/>
    <w:rsid w:val="0033029F"/>
    <w:rsid w:val="003302B3"/>
    <w:rsid w:val="003304D3"/>
    <w:rsid w:val="0033055D"/>
    <w:rsid w:val="00330771"/>
    <w:rsid w:val="003307C5"/>
    <w:rsid w:val="00330859"/>
    <w:rsid w:val="003308E1"/>
    <w:rsid w:val="00330A13"/>
    <w:rsid w:val="00330C86"/>
    <w:rsid w:val="00330ED6"/>
    <w:rsid w:val="00330F40"/>
    <w:rsid w:val="00330F41"/>
    <w:rsid w:val="003310C9"/>
    <w:rsid w:val="003311F3"/>
    <w:rsid w:val="00331211"/>
    <w:rsid w:val="00331252"/>
    <w:rsid w:val="00331312"/>
    <w:rsid w:val="00331655"/>
    <w:rsid w:val="00331752"/>
    <w:rsid w:val="0033186F"/>
    <w:rsid w:val="00331991"/>
    <w:rsid w:val="00331A31"/>
    <w:rsid w:val="00331A86"/>
    <w:rsid w:val="00331C70"/>
    <w:rsid w:val="00331F31"/>
    <w:rsid w:val="00332253"/>
    <w:rsid w:val="00332256"/>
    <w:rsid w:val="00332551"/>
    <w:rsid w:val="0033262B"/>
    <w:rsid w:val="003327BB"/>
    <w:rsid w:val="00332A29"/>
    <w:rsid w:val="00332AB9"/>
    <w:rsid w:val="00332B0B"/>
    <w:rsid w:val="00332C4B"/>
    <w:rsid w:val="00332C52"/>
    <w:rsid w:val="00332C7E"/>
    <w:rsid w:val="00332CA1"/>
    <w:rsid w:val="00333189"/>
    <w:rsid w:val="00333203"/>
    <w:rsid w:val="00333323"/>
    <w:rsid w:val="00333390"/>
    <w:rsid w:val="0033354F"/>
    <w:rsid w:val="0033360A"/>
    <w:rsid w:val="0033369D"/>
    <w:rsid w:val="00333793"/>
    <w:rsid w:val="0033384C"/>
    <w:rsid w:val="00333888"/>
    <w:rsid w:val="0033397E"/>
    <w:rsid w:val="003339AC"/>
    <w:rsid w:val="00333A37"/>
    <w:rsid w:val="00333AFC"/>
    <w:rsid w:val="00333B22"/>
    <w:rsid w:val="00333C22"/>
    <w:rsid w:val="00333D5E"/>
    <w:rsid w:val="00333E3B"/>
    <w:rsid w:val="00333E7D"/>
    <w:rsid w:val="00333EF2"/>
    <w:rsid w:val="003340D4"/>
    <w:rsid w:val="00334430"/>
    <w:rsid w:val="003344D5"/>
    <w:rsid w:val="00334530"/>
    <w:rsid w:val="00334645"/>
    <w:rsid w:val="0033466C"/>
    <w:rsid w:val="00334950"/>
    <w:rsid w:val="00334ADB"/>
    <w:rsid w:val="00334C48"/>
    <w:rsid w:val="00334C8B"/>
    <w:rsid w:val="00334CBC"/>
    <w:rsid w:val="00334EE0"/>
    <w:rsid w:val="00335028"/>
    <w:rsid w:val="003351F3"/>
    <w:rsid w:val="0033526A"/>
    <w:rsid w:val="003352BB"/>
    <w:rsid w:val="003353AC"/>
    <w:rsid w:val="003356BC"/>
    <w:rsid w:val="00335979"/>
    <w:rsid w:val="00335B66"/>
    <w:rsid w:val="00335BBA"/>
    <w:rsid w:val="00335E01"/>
    <w:rsid w:val="00335E60"/>
    <w:rsid w:val="00335F2A"/>
    <w:rsid w:val="00336019"/>
    <w:rsid w:val="0033618D"/>
    <w:rsid w:val="00336193"/>
    <w:rsid w:val="003361DE"/>
    <w:rsid w:val="003361FC"/>
    <w:rsid w:val="0033621A"/>
    <w:rsid w:val="00336335"/>
    <w:rsid w:val="0033637A"/>
    <w:rsid w:val="0033652B"/>
    <w:rsid w:val="0033654E"/>
    <w:rsid w:val="003365B2"/>
    <w:rsid w:val="003367C2"/>
    <w:rsid w:val="00336974"/>
    <w:rsid w:val="00336AC1"/>
    <w:rsid w:val="00336B2B"/>
    <w:rsid w:val="00336C48"/>
    <w:rsid w:val="00336C54"/>
    <w:rsid w:val="00336CF8"/>
    <w:rsid w:val="00336E6D"/>
    <w:rsid w:val="00336ED0"/>
    <w:rsid w:val="00336ED1"/>
    <w:rsid w:val="00336F8B"/>
    <w:rsid w:val="003370A4"/>
    <w:rsid w:val="003370C1"/>
    <w:rsid w:val="0033777E"/>
    <w:rsid w:val="0033779D"/>
    <w:rsid w:val="003377A4"/>
    <w:rsid w:val="0033797B"/>
    <w:rsid w:val="00337AD3"/>
    <w:rsid w:val="00337BB5"/>
    <w:rsid w:val="00337CDD"/>
    <w:rsid w:val="00337E0C"/>
    <w:rsid w:val="00337EF8"/>
    <w:rsid w:val="0034000D"/>
    <w:rsid w:val="003400FD"/>
    <w:rsid w:val="00340172"/>
    <w:rsid w:val="003401EC"/>
    <w:rsid w:val="00340256"/>
    <w:rsid w:val="00340370"/>
    <w:rsid w:val="0034037D"/>
    <w:rsid w:val="003403DC"/>
    <w:rsid w:val="0034051E"/>
    <w:rsid w:val="0034053A"/>
    <w:rsid w:val="0034072C"/>
    <w:rsid w:val="003408AE"/>
    <w:rsid w:val="00340942"/>
    <w:rsid w:val="00340B4D"/>
    <w:rsid w:val="00340B76"/>
    <w:rsid w:val="00340C34"/>
    <w:rsid w:val="00340D32"/>
    <w:rsid w:val="0034130E"/>
    <w:rsid w:val="0034155D"/>
    <w:rsid w:val="00341964"/>
    <w:rsid w:val="00341991"/>
    <w:rsid w:val="003419D6"/>
    <w:rsid w:val="00341AA0"/>
    <w:rsid w:val="00341C5F"/>
    <w:rsid w:val="00341CBB"/>
    <w:rsid w:val="00341CFE"/>
    <w:rsid w:val="00341E54"/>
    <w:rsid w:val="00341E94"/>
    <w:rsid w:val="00341F43"/>
    <w:rsid w:val="00341FF4"/>
    <w:rsid w:val="003422A4"/>
    <w:rsid w:val="003422ED"/>
    <w:rsid w:val="00342363"/>
    <w:rsid w:val="003423E2"/>
    <w:rsid w:val="003423FF"/>
    <w:rsid w:val="003424CC"/>
    <w:rsid w:val="00342517"/>
    <w:rsid w:val="0034258A"/>
    <w:rsid w:val="0034287B"/>
    <w:rsid w:val="00342909"/>
    <w:rsid w:val="0034292B"/>
    <w:rsid w:val="00342A80"/>
    <w:rsid w:val="00342B08"/>
    <w:rsid w:val="00342BD9"/>
    <w:rsid w:val="00342EAB"/>
    <w:rsid w:val="00342F78"/>
    <w:rsid w:val="00342F8D"/>
    <w:rsid w:val="0034341E"/>
    <w:rsid w:val="003436A4"/>
    <w:rsid w:val="0034378F"/>
    <w:rsid w:val="00343803"/>
    <w:rsid w:val="0034385A"/>
    <w:rsid w:val="00343B08"/>
    <w:rsid w:val="00343C82"/>
    <w:rsid w:val="00343E08"/>
    <w:rsid w:val="00343E5C"/>
    <w:rsid w:val="00343EE9"/>
    <w:rsid w:val="00343FCE"/>
    <w:rsid w:val="00344031"/>
    <w:rsid w:val="0034403F"/>
    <w:rsid w:val="00344311"/>
    <w:rsid w:val="003443CF"/>
    <w:rsid w:val="00344414"/>
    <w:rsid w:val="00344429"/>
    <w:rsid w:val="003444C7"/>
    <w:rsid w:val="003444E5"/>
    <w:rsid w:val="00344699"/>
    <w:rsid w:val="00344702"/>
    <w:rsid w:val="00344719"/>
    <w:rsid w:val="003447EE"/>
    <w:rsid w:val="00344874"/>
    <w:rsid w:val="0034487B"/>
    <w:rsid w:val="0034494B"/>
    <w:rsid w:val="003449BC"/>
    <w:rsid w:val="00344A97"/>
    <w:rsid w:val="00344BC2"/>
    <w:rsid w:val="00344C8A"/>
    <w:rsid w:val="00344FB8"/>
    <w:rsid w:val="00344FDB"/>
    <w:rsid w:val="0034505C"/>
    <w:rsid w:val="00345069"/>
    <w:rsid w:val="0034514D"/>
    <w:rsid w:val="003451EC"/>
    <w:rsid w:val="0034529B"/>
    <w:rsid w:val="00345326"/>
    <w:rsid w:val="003454B9"/>
    <w:rsid w:val="003454D9"/>
    <w:rsid w:val="003455C2"/>
    <w:rsid w:val="003455C5"/>
    <w:rsid w:val="00345653"/>
    <w:rsid w:val="0034588A"/>
    <w:rsid w:val="0034594D"/>
    <w:rsid w:val="003459C9"/>
    <w:rsid w:val="00345A54"/>
    <w:rsid w:val="00345B15"/>
    <w:rsid w:val="00345BDA"/>
    <w:rsid w:val="00345C72"/>
    <w:rsid w:val="00345CA8"/>
    <w:rsid w:val="00345D1E"/>
    <w:rsid w:val="00345D4E"/>
    <w:rsid w:val="00345E36"/>
    <w:rsid w:val="0034602C"/>
    <w:rsid w:val="00346090"/>
    <w:rsid w:val="00346103"/>
    <w:rsid w:val="00346123"/>
    <w:rsid w:val="0034622A"/>
    <w:rsid w:val="0034631E"/>
    <w:rsid w:val="0034632C"/>
    <w:rsid w:val="00346384"/>
    <w:rsid w:val="00346473"/>
    <w:rsid w:val="003464B8"/>
    <w:rsid w:val="0034650A"/>
    <w:rsid w:val="0034677F"/>
    <w:rsid w:val="00346A06"/>
    <w:rsid w:val="00346B8E"/>
    <w:rsid w:val="00346BD0"/>
    <w:rsid w:val="00346C49"/>
    <w:rsid w:val="00346C67"/>
    <w:rsid w:val="00346CAC"/>
    <w:rsid w:val="00346D04"/>
    <w:rsid w:val="00346DC9"/>
    <w:rsid w:val="00346DD2"/>
    <w:rsid w:val="00347010"/>
    <w:rsid w:val="003470C5"/>
    <w:rsid w:val="00347198"/>
    <w:rsid w:val="0034726D"/>
    <w:rsid w:val="0034754B"/>
    <w:rsid w:val="00347656"/>
    <w:rsid w:val="003476C7"/>
    <w:rsid w:val="00347898"/>
    <w:rsid w:val="0034789E"/>
    <w:rsid w:val="00347C89"/>
    <w:rsid w:val="00347D0E"/>
    <w:rsid w:val="00347E51"/>
    <w:rsid w:val="00347E8E"/>
    <w:rsid w:val="00347EB1"/>
    <w:rsid w:val="00347F3D"/>
    <w:rsid w:val="00350154"/>
    <w:rsid w:val="0035024B"/>
    <w:rsid w:val="003502E1"/>
    <w:rsid w:val="00350397"/>
    <w:rsid w:val="003504AF"/>
    <w:rsid w:val="00350574"/>
    <w:rsid w:val="0035064E"/>
    <w:rsid w:val="003506AE"/>
    <w:rsid w:val="0035072E"/>
    <w:rsid w:val="003508DB"/>
    <w:rsid w:val="0035095F"/>
    <w:rsid w:val="00350A64"/>
    <w:rsid w:val="00350AE2"/>
    <w:rsid w:val="00350AE8"/>
    <w:rsid w:val="00350C88"/>
    <w:rsid w:val="00350C94"/>
    <w:rsid w:val="00350D34"/>
    <w:rsid w:val="00350E7F"/>
    <w:rsid w:val="00350F03"/>
    <w:rsid w:val="003510E7"/>
    <w:rsid w:val="0035119F"/>
    <w:rsid w:val="003512A5"/>
    <w:rsid w:val="00351427"/>
    <w:rsid w:val="00351451"/>
    <w:rsid w:val="0035154D"/>
    <w:rsid w:val="00351671"/>
    <w:rsid w:val="003516A2"/>
    <w:rsid w:val="003517C5"/>
    <w:rsid w:val="003519E6"/>
    <w:rsid w:val="00351B3B"/>
    <w:rsid w:val="00351B41"/>
    <w:rsid w:val="00351D0C"/>
    <w:rsid w:val="00351DD4"/>
    <w:rsid w:val="00351EEE"/>
    <w:rsid w:val="00351FCB"/>
    <w:rsid w:val="003520EA"/>
    <w:rsid w:val="003520F0"/>
    <w:rsid w:val="0035212F"/>
    <w:rsid w:val="003522AD"/>
    <w:rsid w:val="0035269B"/>
    <w:rsid w:val="00352799"/>
    <w:rsid w:val="0035281B"/>
    <w:rsid w:val="0035288F"/>
    <w:rsid w:val="003528AE"/>
    <w:rsid w:val="003528EC"/>
    <w:rsid w:val="003529C8"/>
    <w:rsid w:val="00352AD7"/>
    <w:rsid w:val="00352C9F"/>
    <w:rsid w:val="00352CD5"/>
    <w:rsid w:val="00352E2A"/>
    <w:rsid w:val="00352E80"/>
    <w:rsid w:val="00352EFC"/>
    <w:rsid w:val="00352F24"/>
    <w:rsid w:val="00352FAA"/>
    <w:rsid w:val="00352FBC"/>
    <w:rsid w:val="0035317C"/>
    <w:rsid w:val="0035321C"/>
    <w:rsid w:val="0035326C"/>
    <w:rsid w:val="00353285"/>
    <w:rsid w:val="003535C7"/>
    <w:rsid w:val="003537C6"/>
    <w:rsid w:val="003539B8"/>
    <w:rsid w:val="003539FC"/>
    <w:rsid w:val="00353AB1"/>
    <w:rsid w:val="00353AE1"/>
    <w:rsid w:val="00353BA7"/>
    <w:rsid w:val="00353D89"/>
    <w:rsid w:val="00353ECA"/>
    <w:rsid w:val="00353FAC"/>
    <w:rsid w:val="00354487"/>
    <w:rsid w:val="003544EA"/>
    <w:rsid w:val="0035452E"/>
    <w:rsid w:val="003545A5"/>
    <w:rsid w:val="003545FA"/>
    <w:rsid w:val="003546CD"/>
    <w:rsid w:val="0035480A"/>
    <w:rsid w:val="00354832"/>
    <w:rsid w:val="003548E9"/>
    <w:rsid w:val="00354A7D"/>
    <w:rsid w:val="00354B2A"/>
    <w:rsid w:val="00354C72"/>
    <w:rsid w:val="00354C87"/>
    <w:rsid w:val="00354CDA"/>
    <w:rsid w:val="00354D0B"/>
    <w:rsid w:val="00354D2E"/>
    <w:rsid w:val="00354D6E"/>
    <w:rsid w:val="00354D96"/>
    <w:rsid w:val="00354DB9"/>
    <w:rsid w:val="00354DEA"/>
    <w:rsid w:val="00354ECA"/>
    <w:rsid w:val="00354F24"/>
    <w:rsid w:val="00354F74"/>
    <w:rsid w:val="00355035"/>
    <w:rsid w:val="003551C7"/>
    <w:rsid w:val="0035522C"/>
    <w:rsid w:val="003552E5"/>
    <w:rsid w:val="00355350"/>
    <w:rsid w:val="003554F6"/>
    <w:rsid w:val="00355526"/>
    <w:rsid w:val="00355650"/>
    <w:rsid w:val="003556DC"/>
    <w:rsid w:val="0035575C"/>
    <w:rsid w:val="00355812"/>
    <w:rsid w:val="00355860"/>
    <w:rsid w:val="0035586D"/>
    <w:rsid w:val="003558E5"/>
    <w:rsid w:val="00355935"/>
    <w:rsid w:val="003559C1"/>
    <w:rsid w:val="00355A1A"/>
    <w:rsid w:val="00355B8A"/>
    <w:rsid w:val="00355C34"/>
    <w:rsid w:val="00355C42"/>
    <w:rsid w:val="00355FBB"/>
    <w:rsid w:val="00355FFD"/>
    <w:rsid w:val="003560DA"/>
    <w:rsid w:val="0035612E"/>
    <w:rsid w:val="00356190"/>
    <w:rsid w:val="00356286"/>
    <w:rsid w:val="003562D2"/>
    <w:rsid w:val="00356388"/>
    <w:rsid w:val="0035649B"/>
    <w:rsid w:val="00356551"/>
    <w:rsid w:val="003565EF"/>
    <w:rsid w:val="003565FD"/>
    <w:rsid w:val="003566B5"/>
    <w:rsid w:val="0035676B"/>
    <w:rsid w:val="003567C3"/>
    <w:rsid w:val="003569AB"/>
    <w:rsid w:val="003569C4"/>
    <w:rsid w:val="00356ADA"/>
    <w:rsid w:val="00356E47"/>
    <w:rsid w:val="003570C6"/>
    <w:rsid w:val="00357187"/>
    <w:rsid w:val="00357196"/>
    <w:rsid w:val="003571CA"/>
    <w:rsid w:val="003571CE"/>
    <w:rsid w:val="0035730B"/>
    <w:rsid w:val="003573B1"/>
    <w:rsid w:val="003573FC"/>
    <w:rsid w:val="00357467"/>
    <w:rsid w:val="00357558"/>
    <w:rsid w:val="003576DE"/>
    <w:rsid w:val="0035771F"/>
    <w:rsid w:val="00357879"/>
    <w:rsid w:val="00357989"/>
    <w:rsid w:val="003579D2"/>
    <w:rsid w:val="00357AE3"/>
    <w:rsid w:val="00357B8B"/>
    <w:rsid w:val="00357BA2"/>
    <w:rsid w:val="00357BB4"/>
    <w:rsid w:val="00357C5D"/>
    <w:rsid w:val="00357D55"/>
    <w:rsid w:val="00357E21"/>
    <w:rsid w:val="00357F99"/>
    <w:rsid w:val="00357FFB"/>
    <w:rsid w:val="0035D56C"/>
    <w:rsid w:val="00360061"/>
    <w:rsid w:val="0036010B"/>
    <w:rsid w:val="00360117"/>
    <w:rsid w:val="0036017B"/>
    <w:rsid w:val="0036028D"/>
    <w:rsid w:val="0036031A"/>
    <w:rsid w:val="00360392"/>
    <w:rsid w:val="0036041D"/>
    <w:rsid w:val="00360527"/>
    <w:rsid w:val="00360588"/>
    <w:rsid w:val="003605CE"/>
    <w:rsid w:val="00360612"/>
    <w:rsid w:val="0036064C"/>
    <w:rsid w:val="003606C2"/>
    <w:rsid w:val="0036086A"/>
    <w:rsid w:val="00360899"/>
    <w:rsid w:val="003608A0"/>
    <w:rsid w:val="0036090B"/>
    <w:rsid w:val="0036092E"/>
    <w:rsid w:val="0036099C"/>
    <w:rsid w:val="00360AF1"/>
    <w:rsid w:val="00360B09"/>
    <w:rsid w:val="00360C5C"/>
    <w:rsid w:val="00360CF3"/>
    <w:rsid w:val="00360D6D"/>
    <w:rsid w:val="00360E08"/>
    <w:rsid w:val="00360F62"/>
    <w:rsid w:val="00360FD4"/>
    <w:rsid w:val="00361197"/>
    <w:rsid w:val="00361205"/>
    <w:rsid w:val="0036121B"/>
    <w:rsid w:val="00361243"/>
    <w:rsid w:val="00361408"/>
    <w:rsid w:val="00361425"/>
    <w:rsid w:val="003614BC"/>
    <w:rsid w:val="00361585"/>
    <w:rsid w:val="00361865"/>
    <w:rsid w:val="003618E6"/>
    <w:rsid w:val="00361AA0"/>
    <w:rsid w:val="00361B08"/>
    <w:rsid w:val="00361CA7"/>
    <w:rsid w:val="00361D8A"/>
    <w:rsid w:val="00361E85"/>
    <w:rsid w:val="00361F71"/>
    <w:rsid w:val="00361F91"/>
    <w:rsid w:val="00362032"/>
    <w:rsid w:val="00362284"/>
    <w:rsid w:val="003622C0"/>
    <w:rsid w:val="00362433"/>
    <w:rsid w:val="0036254B"/>
    <w:rsid w:val="0036256D"/>
    <w:rsid w:val="003626BD"/>
    <w:rsid w:val="00362755"/>
    <w:rsid w:val="0036279C"/>
    <w:rsid w:val="00362A37"/>
    <w:rsid w:val="00362A6D"/>
    <w:rsid w:val="00362A7F"/>
    <w:rsid w:val="00362CB0"/>
    <w:rsid w:val="00362CE0"/>
    <w:rsid w:val="00362D50"/>
    <w:rsid w:val="00362E2F"/>
    <w:rsid w:val="00362F91"/>
    <w:rsid w:val="00363001"/>
    <w:rsid w:val="00363039"/>
    <w:rsid w:val="003632DB"/>
    <w:rsid w:val="0036337A"/>
    <w:rsid w:val="00363638"/>
    <w:rsid w:val="00363673"/>
    <w:rsid w:val="00363717"/>
    <w:rsid w:val="0036394E"/>
    <w:rsid w:val="003639E1"/>
    <w:rsid w:val="00363A24"/>
    <w:rsid w:val="00363C0D"/>
    <w:rsid w:val="00363C5E"/>
    <w:rsid w:val="00363E46"/>
    <w:rsid w:val="00363F49"/>
    <w:rsid w:val="00363FE3"/>
    <w:rsid w:val="00363FF8"/>
    <w:rsid w:val="003641EB"/>
    <w:rsid w:val="0036426E"/>
    <w:rsid w:val="003642F7"/>
    <w:rsid w:val="003644E7"/>
    <w:rsid w:val="0036456D"/>
    <w:rsid w:val="003646CE"/>
    <w:rsid w:val="00364792"/>
    <w:rsid w:val="0036489F"/>
    <w:rsid w:val="003649BC"/>
    <w:rsid w:val="00364A1B"/>
    <w:rsid w:val="00364BCF"/>
    <w:rsid w:val="00364BE0"/>
    <w:rsid w:val="00364E3F"/>
    <w:rsid w:val="003650B6"/>
    <w:rsid w:val="003650F4"/>
    <w:rsid w:val="00365102"/>
    <w:rsid w:val="00365148"/>
    <w:rsid w:val="00365342"/>
    <w:rsid w:val="00365392"/>
    <w:rsid w:val="003655CE"/>
    <w:rsid w:val="003656EA"/>
    <w:rsid w:val="00365703"/>
    <w:rsid w:val="003657C2"/>
    <w:rsid w:val="003657DC"/>
    <w:rsid w:val="00365877"/>
    <w:rsid w:val="00365896"/>
    <w:rsid w:val="00365970"/>
    <w:rsid w:val="003659A4"/>
    <w:rsid w:val="00365B1A"/>
    <w:rsid w:val="00365C30"/>
    <w:rsid w:val="00365CA9"/>
    <w:rsid w:val="00365CDB"/>
    <w:rsid w:val="00365D97"/>
    <w:rsid w:val="00365FE3"/>
    <w:rsid w:val="0036607B"/>
    <w:rsid w:val="003664F2"/>
    <w:rsid w:val="00366628"/>
    <w:rsid w:val="0036662A"/>
    <w:rsid w:val="0036669A"/>
    <w:rsid w:val="003666FB"/>
    <w:rsid w:val="00366929"/>
    <w:rsid w:val="00366AA0"/>
    <w:rsid w:val="00366AFC"/>
    <w:rsid w:val="00366B52"/>
    <w:rsid w:val="00366B9B"/>
    <w:rsid w:val="00366FD2"/>
    <w:rsid w:val="00366FD9"/>
    <w:rsid w:val="00366FE4"/>
    <w:rsid w:val="00367064"/>
    <w:rsid w:val="00367168"/>
    <w:rsid w:val="0036721E"/>
    <w:rsid w:val="00367604"/>
    <w:rsid w:val="00367760"/>
    <w:rsid w:val="00367872"/>
    <w:rsid w:val="0036798E"/>
    <w:rsid w:val="00367E8A"/>
    <w:rsid w:val="00367EBF"/>
    <w:rsid w:val="00367F84"/>
    <w:rsid w:val="00370026"/>
    <w:rsid w:val="003700E3"/>
    <w:rsid w:val="0037012A"/>
    <w:rsid w:val="003701AC"/>
    <w:rsid w:val="00370266"/>
    <w:rsid w:val="003702EB"/>
    <w:rsid w:val="00370324"/>
    <w:rsid w:val="003703B7"/>
    <w:rsid w:val="003704B3"/>
    <w:rsid w:val="00370616"/>
    <w:rsid w:val="00370800"/>
    <w:rsid w:val="00370929"/>
    <w:rsid w:val="0037096C"/>
    <w:rsid w:val="00370A3F"/>
    <w:rsid w:val="00370B5E"/>
    <w:rsid w:val="00370BAD"/>
    <w:rsid w:val="00370BDE"/>
    <w:rsid w:val="00370CD4"/>
    <w:rsid w:val="00370DD7"/>
    <w:rsid w:val="00370E46"/>
    <w:rsid w:val="00370EA5"/>
    <w:rsid w:val="00370ED1"/>
    <w:rsid w:val="00370FFF"/>
    <w:rsid w:val="00371070"/>
    <w:rsid w:val="003710DA"/>
    <w:rsid w:val="003712AD"/>
    <w:rsid w:val="00371354"/>
    <w:rsid w:val="003713F4"/>
    <w:rsid w:val="00371545"/>
    <w:rsid w:val="003717D5"/>
    <w:rsid w:val="00371916"/>
    <w:rsid w:val="00371980"/>
    <w:rsid w:val="00371A2A"/>
    <w:rsid w:val="00371B3E"/>
    <w:rsid w:val="00371BA2"/>
    <w:rsid w:val="00371C08"/>
    <w:rsid w:val="00371C2A"/>
    <w:rsid w:val="00371C2B"/>
    <w:rsid w:val="00371CE0"/>
    <w:rsid w:val="00371E7E"/>
    <w:rsid w:val="00371FC1"/>
    <w:rsid w:val="0037241F"/>
    <w:rsid w:val="00372609"/>
    <w:rsid w:val="0037265C"/>
    <w:rsid w:val="0037269E"/>
    <w:rsid w:val="003726C6"/>
    <w:rsid w:val="003726C8"/>
    <w:rsid w:val="00372824"/>
    <w:rsid w:val="00372841"/>
    <w:rsid w:val="00372846"/>
    <w:rsid w:val="003728AA"/>
    <w:rsid w:val="00372925"/>
    <w:rsid w:val="00372970"/>
    <w:rsid w:val="00372987"/>
    <w:rsid w:val="0037299F"/>
    <w:rsid w:val="003729CA"/>
    <w:rsid w:val="00372B3E"/>
    <w:rsid w:val="00372C46"/>
    <w:rsid w:val="00372C52"/>
    <w:rsid w:val="00372C76"/>
    <w:rsid w:val="00372CB9"/>
    <w:rsid w:val="00372CC4"/>
    <w:rsid w:val="00372D00"/>
    <w:rsid w:val="00372E33"/>
    <w:rsid w:val="00372F0E"/>
    <w:rsid w:val="00372F2C"/>
    <w:rsid w:val="00372F48"/>
    <w:rsid w:val="00372FC6"/>
    <w:rsid w:val="00372FFE"/>
    <w:rsid w:val="0037313C"/>
    <w:rsid w:val="00373145"/>
    <w:rsid w:val="0037331C"/>
    <w:rsid w:val="0037347F"/>
    <w:rsid w:val="00373494"/>
    <w:rsid w:val="003734A1"/>
    <w:rsid w:val="003734C3"/>
    <w:rsid w:val="003735AF"/>
    <w:rsid w:val="0037362A"/>
    <w:rsid w:val="003736C1"/>
    <w:rsid w:val="00373702"/>
    <w:rsid w:val="0037379A"/>
    <w:rsid w:val="003737D6"/>
    <w:rsid w:val="003737DA"/>
    <w:rsid w:val="003737DB"/>
    <w:rsid w:val="0037391A"/>
    <w:rsid w:val="00373923"/>
    <w:rsid w:val="0037399A"/>
    <w:rsid w:val="00373B81"/>
    <w:rsid w:val="00373B93"/>
    <w:rsid w:val="00373BB5"/>
    <w:rsid w:val="00373BE4"/>
    <w:rsid w:val="00373DB8"/>
    <w:rsid w:val="00373E10"/>
    <w:rsid w:val="0037414D"/>
    <w:rsid w:val="0037421D"/>
    <w:rsid w:val="00374434"/>
    <w:rsid w:val="0037443D"/>
    <w:rsid w:val="00374473"/>
    <w:rsid w:val="00374594"/>
    <w:rsid w:val="003746DB"/>
    <w:rsid w:val="003748BB"/>
    <w:rsid w:val="00374BCA"/>
    <w:rsid w:val="00374C11"/>
    <w:rsid w:val="00374C12"/>
    <w:rsid w:val="00374CD6"/>
    <w:rsid w:val="00374E38"/>
    <w:rsid w:val="00374EF0"/>
    <w:rsid w:val="00375038"/>
    <w:rsid w:val="00375079"/>
    <w:rsid w:val="003751D3"/>
    <w:rsid w:val="003751EF"/>
    <w:rsid w:val="00375204"/>
    <w:rsid w:val="0037525A"/>
    <w:rsid w:val="003752CF"/>
    <w:rsid w:val="0037538C"/>
    <w:rsid w:val="0037548C"/>
    <w:rsid w:val="0037563D"/>
    <w:rsid w:val="003756F8"/>
    <w:rsid w:val="0037572E"/>
    <w:rsid w:val="003757C4"/>
    <w:rsid w:val="00375C4D"/>
    <w:rsid w:val="00375C71"/>
    <w:rsid w:val="00375CA6"/>
    <w:rsid w:val="00375D80"/>
    <w:rsid w:val="00376066"/>
    <w:rsid w:val="0037610D"/>
    <w:rsid w:val="00376273"/>
    <w:rsid w:val="003762E5"/>
    <w:rsid w:val="00376641"/>
    <w:rsid w:val="003766F9"/>
    <w:rsid w:val="0037672E"/>
    <w:rsid w:val="003767E5"/>
    <w:rsid w:val="0037681A"/>
    <w:rsid w:val="00376830"/>
    <w:rsid w:val="00376861"/>
    <w:rsid w:val="00376A2C"/>
    <w:rsid w:val="00376C30"/>
    <w:rsid w:val="00376D0D"/>
    <w:rsid w:val="00376D5D"/>
    <w:rsid w:val="00376E14"/>
    <w:rsid w:val="00376EC0"/>
    <w:rsid w:val="00376F63"/>
    <w:rsid w:val="0037700F"/>
    <w:rsid w:val="003771B1"/>
    <w:rsid w:val="003771C0"/>
    <w:rsid w:val="003771C4"/>
    <w:rsid w:val="00377289"/>
    <w:rsid w:val="00377431"/>
    <w:rsid w:val="00377477"/>
    <w:rsid w:val="00377731"/>
    <w:rsid w:val="003777A3"/>
    <w:rsid w:val="00377A23"/>
    <w:rsid w:val="00377A99"/>
    <w:rsid w:val="00377B65"/>
    <w:rsid w:val="00377D08"/>
    <w:rsid w:val="00377E91"/>
    <w:rsid w:val="0038006F"/>
    <w:rsid w:val="003800D5"/>
    <w:rsid w:val="00380129"/>
    <w:rsid w:val="00380193"/>
    <w:rsid w:val="0038021C"/>
    <w:rsid w:val="003803BD"/>
    <w:rsid w:val="003804E5"/>
    <w:rsid w:val="003805F7"/>
    <w:rsid w:val="0038066A"/>
    <w:rsid w:val="0038076C"/>
    <w:rsid w:val="00380780"/>
    <w:rsid w:val="00380782"/>
    <w:rsid w:val="003808B0"/>
    <w:rsid w:val="003808F7"/>
    <w:rsid w:val="00380B0F"/>
    <w:rsid w:val="00380B2D"/>
    <w:rsid w:val="00380CD1"/>
    <w:rsid w:val="00380D31"/>
    <w:rsid w:val="00380DB6"/>
    <w:rsid w:val="00380DDE"/>
    <w:rsid w:val="00380E56"/>
    <w:rsid w:val="00380E58"/>
    <w:rsid w:val="00380F63"/>
    <w:rsid w:val="00381065"/>
    <w:rsid w:val="00381077"/>
    <w:rsid w:val="0038110B"/>
    <w:rsid w:val="003811A5"/>
    <w:rsid w:val="003811F3"/>
    <w:rsid w:val="00381255"/>
    <w:rsid w:val="003815DF"/>
    <w:rsid w:val="0038162F"/>
    <w:rsid w:val="00381668"/>
    <w:rsid w:val="00381688"/>
    <w:rsid w:val="0038168E"/>
    <w:rsid w:val="00381707"/>
    <w:rsid w:val="003818FC"/>
    <w:rsid w:val="00381AE7"/>
    <w:rsid w:val="00381C45"/>
    <w:rsid w:val="00381C7B"/>
    <w:rsid w:val="00381E4B"/>
    <w:rsid w:val="00381E6E"/>
    <w:rsid w:val="00381EFF"/>
    <w:rsid w:val="00381F40"/>
    <w:rsid w:val="00382017"/>
    <w:rsid w:val="00382082"/>
    <w:rsid w:val="0038213C"/>
    <w:rsid w:val="0038240C"/>
    <w:rsid w:val="003824BB"/>
    <w:rsid w:val="003826A9"/>
    <w:rsid w:val="00382743"/>
    <w:rsid w:val="00382796"/>
    <w:rsid w:val="003828EA"/>
    <w:rsid w:val="003828FA"/>
    <w:rsid w:val="00382919"/>
    <w:rsid w:val="0038295A"/>
    <w:rsid w:val="00382966"/>
    <w:rsid w:val="00382B94"/>
    <w:rsid w:val="00382BE3"/>
    <w:rsid w:val="00382BFF"/>
    <w:rsid w:val="00382C38"/>
    <w:rsid w:val="00382D20"/>
    <w:rsid w:val="00382DA0"/>
    <w:rsid w:val="00382EFE"/>
    <w:rsid w:val="00382F2B"/>
    <w:rsid w:val="00382F62"/>
    <w:rsid w:val="00382FD8"/>
    <w:rsid w:val="003830DA"/>
    <w:rsid w:val="003830FB"/>
    <w:rsid w:val="00383105"/>
    <w:rsid w:val="00383213"/>
    <w:rsid w:val="00383411"/>
    <w:rsid w:val="0038354B"/>
    <w:rsid w:val="003835DC"/>
    <w:rsid w:val="003835DF"/>
    <w:rsid w:val="00383649"/>
    <w:rsid w:val="00383807"/>
    <w:rsid w:val="00383986"/>
    <w:rsid w:val="00383A71"/>
    <w:rsid w:val="00383D48"/>
    <w:rsid w:val="00383D4D"/>
    <w:rsid w:val="00383E32"/>
    <w:rsid w:val="00383E60"/>
    <w:rsid w:val="00383F46"/>
    <w:rsid w:val="00383FF5"/>
    <w:rsid w:val="0038412F"/>
    <w:rsid w:val="00384283"/>
    <w:rsid w:val="003844CB"/>
    <w:rsid w:val="00384507"/>
    <w:rsid w:val="00384756"/>
    <w:rsid w:val="00384844"/>
    <w:rsid w:val="0038489D"/>
    <w:rsid w:val="003848C2"/>
    <w:rsid w:val="003848F3"/>
    <w:rsid w:val="003849AE"/>
    <w:rsid w:val="00384A2F"/>
    <w:rsid w:val="00384A75"/>
    <w:rsid w:val="00384AD2"/>
    <w:rsid w:val="00384B0E"/>
    <w:rsid w:val="00384C99"/>
    <w:rsid w:val="00384D1F"/>
    <w:rsid w:val="00384DA2"/>
    <w:rsid w:val="00384F35"/>
    <w:rsid w:val="00384F47"/>
    <w:rsid w:val="00385203"/>
    <w:rsid w:val="0038534B"/>
    <w:rsid w:val="003853EE"/>
    <w:rsid w:val="00385487"/>
    <w:rsid w:val="003855C5"/>
    <w:rsid w:val="003858F4"/>
    <w:rsid w:val="003859D3"/>
    <w:rsid w:val="00385B0C"/>
    <w:rsid w:val="00385CCC"/>
    <w:rsid w:val="00385D7C"/>
    <w:rsid w:val="00385ECE"/>
    <w:rsid w:val="00385FE1"/>
    <w:rsid w:val="00385FEA"/>
    <w:rsid w:val="0038601B"/>
    <w:rsid w:val="003860A2"/>
    <w:rsid w:val="003861F5"/>
    <w:rsid w:val="00386232"/>
    <w:rsid w:val="003862D6"/>
    <w:rsid w:val="00386333"/>
    <w:rsid w:val="003864BF"/>
    <w:rsid w:val="00386585"/>
    <w:rsid w:val="003865C5"/>
    <w:rsid w:val="0038668A"/>
    <w:rsid w:val="00386774"/>
    <w:rsid w:val="00386971"/>
    <w:rsid w:val="00386A69"/>
    <w:rsid w:val="00386A98"/>
    <w:rsid w:val="00386AD8"/>
    <w:rsid w:val="00386B6A"/>
    <w:rsid w:val="00386C64"/>
    <w:rsid w:val="00386CE9"/>
    <w:rsid w:val="00386D7C"/>
    <w:rsid w:val="00386F4D"/>
    <w:rsid w:val="0038733E"/>
    <w:rsid w:val="003873E3"/>
    <w:rsid w:val="003873F5"/>
    <w:rsid w:val="0038744E"/>
    <w:rsid w:val="0038747D"/>
    <w:rsid w:val="003878A0"/>
    <w:rsid w:val="00387951"/>
    <w:rsid w:val="00387A46"/>
    <w:rsid w:val="00387A88"/>
    <w:rsid w:val="00387AB3"/>
    <w:rsid w:val="00387CCC"/>
    <w:rsid w:val="00387DAA"/>
    <w:rsid w:val="00387FF0"/>
    <w:rsid w:val="00390016"/>
    <w:rsid w:val="003900BF"/>
    <w:rsid w:val="003903D7"/>
    <w:rsid w:val="003904CF"/>
    <w:rsid w:val="003906D8"/>
    <w:rsid w:val="00390737"/>
    <w:rsid w:val="00390768"/>
    <w:rsid w:val="003908AB"/>
    <w:rsid w:val="0039098B"/>
    <w:rsid w:val="00390AB0"/>
    <w:rsid w:val="00390ABD"/>
    <w:rsid w:val="00390D15"/>
    <w:rsid w:val="00390DC8"/>
    <w:rsid w:val="00390E22"/>
    <w:rsid w:val="00390EEE"/>
    <w:rsid w:val="00391212"/>
    <w:rsid w:val="0039122A"/>
    <w:rsid w:val="00391230"/>
    <w:rsid w:val="003912C6"/>
    <w:rsid w:val="003912EC"/>
    <w:rsid w:val="00391309"/>
    <w:rsid w:val="00391341"/>
    <w:rsid w:val="0039137F"/>
    <w:rsid w:val="003914F2"/>
    <w:rsid w:val="003915B3"/>
    <w:rsid w:val="00391635"/>
    <w:rsid w:val="0039173B"/>
    <w:rsid w:val="00391918"/>
    <w:rsid w:val="003919AB"/>
    <w:rsid w:val="00391AA4"/>
    <w:rsid w:val="00391B2F"/>
    <w:rsid w:val="00391CB3"/>
    <w:rsid w:val="00391D86"/>
    <w:rsid w:val="00391D8A"/>
    <w:rsid w:val="00391DBF"/>
    <w:rsid w:val="00391DCD"/>
    <w:rsid w:val="00391EF7"/>
    <w:rsid w:val="00391F2D"/>
    <w:rsid w:val="0039235D"/>
    <w:rsid w:val="003923B4"/>
    <w:rsid w:val="003923D0"/>
    <w:rsid w:val="00392589"/>
    <w:rsid w:val="00392734"/>
    <w:rsid w:val="0039273A"/>
    <w:rsid w:val="00392843"/>
    <w:rsid w:val="00392873"/>
    <w:rsid w:val="0039288A"/>
    <w:rsid w:val="003928BE"/>
    <w:rsid w:val="003928D6"/>
    <w:rsid w:val="00392C42"/>
    <w:rsid w:val="00392E15"/>
    <w:rsid w:val="00392EFA"/>
    <w:rsid w:val="00393026"/>
    <w:rsid w:val="00393038"/>
    <w:rsid w:val="00393396"/>
    <w:rsid w:val="003934EC"/>
    <w:rsid w:val="00393833"/>
    <w:rsid w:val="0039395F"/>
    <w:rsid w:val="00393A50"/>
    <w:rsid w:val="00393AC5"/>
    <w:rsid w:val="00393B43"/>
    <w:rsid w:val="00393D16"/>
    <w:rsid w:val="00393D59"/>
    <w:rsid w:val="00393DFA"/>
    <w:rsid w:val="00393E2A"/>
    <w:rsid w:val="00393E88"/>
    <w:rsid w:val="00393EC1"/>
    <w:rsid w:val="00393FB0"/>
    <w:rsid w:val="00394046"/>
    <w:rsid w:val="00394176"/>
    <w:rsid w:val="00394214"/>
    <w:rsid w:val="00394271"/>
    <w:rsid w:val="00394329"/>
    <w:rsid w:val="003945D3"/>
    <w:rsid w:val="00394621"/>
    <w:rsid w:val="0039498E"/>
    <w:rsid w:val="00394B1F"/>
    <w:rsid w:val="00394D87"/>
    <w:rsid w:val="00394DEC"/>
    <w:rsid w:val="003950ED"/>
    <w:rsid w:val="00395103"/>
    <w:rsid w:val="0039512F"/>
    <w:rsid w:val="00395171"/>
    <w:rsid w:val="00395214"/>
    <w:rsid w:val="003953C6"/>
    <w:rsid w:val="003954A7"/>
    <w:rsid w:val="00395609"/>
    <w:rsid w:val="00395741"/>
    <w:rsid w:val="00395AC0"/>
    <w:rsid w:val="00395B69"/>
    <w:rsid w:val="00395CC8"/>
    <w:rsid w:val="00395CEB"/>
    <w:rsid w:val="00395D7E"/>
    <w:rsid w:val="00395EFD"/>
    <w:rsid w:val="00396023"/>
    <w:rsid w:val="0039609C"/>
    <w:rsid w:val="00396156"/>
    <w:rsid w:val="0039626B"/>
    <w:rsid w:val="003962B2"/>
    <w:rsid w:val="003963D0"/>
    <w:rsid w:val="00396418"/>
    <w:rsid w:val="00396485"/>
    <w:rsid w:val="00396542"/>
    <w:rsid w:val="0039655F"/>
    <w:rsid w:val="0039658D"/>
    <w:rsid w:val="00396686"/>
    <w:rsid w:val="003966D5"/>
    <w:rsid w:val="00396715"/>
    <w:rsid w:val="00396727"/>
    <w:rsid w:val="00396777"/>
    <w:rsid w:val="00396841"/>
    <w:rsid w:val="00396C2C"/>
    <w:rsid w:val="00396D37"/>
    <w:rsid w:val="00396FE3"/>
    <w:rsid w:val="0039711B"/>
    <w:rsid w:val="003971FA"/>
    <w:rsid w:val="00397228"/>
    <w:rsid w:val="003972B8"/>
    <w:rsid w:val="003972CE"/>
    <w:rsid w:val="00397430"/>
    <w:rsid w:val="00397511"/>
    <w:rsid w:val="003975A4"/>
    <w:rsid w:val="00397670"/>
    <w:rsid w:val="003976C8"/>
    <w:rsid w:val="00397A80"/>
    <w:rsid w:val="00397AF0"/>
    <w:rsid w:val="00397B09"/>
    <w:rsid w:val="00397C2D"/>
    <w:rsid w:val="00397C39"/>
    <w:rsid w:val="00397C89"/>
    <w:rsid w:val="00397DDA"/>
    <w:rsid w:val="00397DE1"/>
    <w:rsid w:val="00397E57"/>
    <w:rsid w:val="003A010B"/>
    <w:rsid w:val="003A01B0"/>
    <w:rsid w:val="003A03C7"/>
    <w:rsid w:val="003A03F2"/>
    <w:rsid w:val="003A0439"/>
    <w:rsid w:val="003A0492"/>
    <w:rsid w:val="003A05F4"/>
    <w:rsid w:val="003A0665"/>
    <w:rsid w:val="003A06FD"/>
    <w:rsid w:val="003A0703"/>
    <w:rsid w:val="003A0938"/>
    <w:rsid w:val="003A0A33"/>
    <w:rsid w:val="003A0A6A"/>
    <w:rsid w:val="003A0AC6"/>
    <w:rsid w:val="003A0AF0"/>
    <w:rsid w:val="003A0BCC"/>
    <w:rsid w:val="003A0C15"/>
    <w:rsid w:val="003A0C2A"/>
    <w:rsid w:val="003A0D10"/>
    <w:rsid w:val="003A0D7E"/>
    <w:rsid w:val="003A0E41"/>
    <w:rsid w:val="003A0E79"/>
    <w:rsid w:val="003A0FAE"/>
    <w:rsid w:val="003A0FC5"/>
    <w:rsid w:val="003A0FD7"/>
    <w:rsid w:val="003A107A"/>
    <w:rsid w:val="003A109E"/>
    <w:rsid w:val="003A12A5"/>
    <w:rsid w:val="003A1429"/>
    <w:rsid w:val="003A1432"/>
    <w:rsid w:val="003A1469"/>
    <w:rsid w:val="003A17CD"/>
    <w:rsid w:val="003A188C"/>
    <w:rsid w:val="003A1A18"/>
    <w:rsid w:val="003A1A66"/>
    <w:rsid w:val="003A1D69"/>
    <w:rsid w:val="003A1E56"/>
    <w:rsid w:val="003A1E63"/>
    <w:rsid w:val="003A1E8D"/>
    <w:rsid w:val="003A1EBD"/>
    <w:rsid w:val="003A1FA1"/>
    <w:rsid w:val="003A1FFA"/>
    <w:rsid w:val="003A20C2"/>
    <w:rsid w:val="003A223F"/>
    <w:rsid w:val="003A224D"/>
    <w:rsid w:val="003A2297"/>
    <w:rsid w:val="003A2298"/>
    <w:rsid w:val="003A2696"/>
    <w:rsid w:val="003A269A"/>
    <w:rsid w:val="003A277C"/>
    <w:rsid w:val="003A27F6"/>
    <w:rsid w:val="003A2853"/>
    <w:rsid w:val="003A2923"/>
    <w:rsid w:val="003A2932"/>
    <w:rsid w:val="003A2AD6"/>
    <w:rsid w:val="003A2D71"/>
    <w:rsid w:val="003A2E30"/>
    <w:rsid w:val="003A2E66"/>
    <w:rsid w:val="003A2F14"/>
    <w:rsid w:val="003A2FDB"/>
    <w:rsid w:val="003A2FFF"/>
    <w:rsid w:val="003A30FF"/>
    <w:rsid w:val="003A31B3"/>
    <w:rsid w:val="003A31CB"/>
    <w:rsid w:val="003A3278"/>
    <w:rsid w:val="003A3339"/>
    <w:rsid w:val="003A3442"/>
    <w:rsid w:val="003A3567"/>
    <w:rsid w:val="003A37ED"/>
    <w:rsid w:val="003A37F2"/>
    <w:rsid w:val="003A3806"/>
    <w:rsid w:val="003A384B"/>
    <w:rsid w:val="003A38F0"/>
    <w:rsid w:val="003A3953"/>
    <w:rsid w:val="003A3B21"/>
    <w:rsid w:val="003A3B57"/>
    <w:rsid w:val="003A3B73"/>
    <w:rsid w:val="003A3BBE"/>
    <w:rsid w:val="003A3DFF"/>
    <w:rsid w:val="003A3F47"/>
    <w:rsid w:val="003A3F65"/>
    <w:rsid w:val="003A4058"/>
    <w:rsid w:val="003A414A"/>
    <w:rsid w:val="003A41DB"/>
    <w:rsid w:val="003A42A4"/>
    <w:rsid w:val="003A43C6"/>
    <w:rsid w:val="003A4437"/>
    <w:rsid w:val="003A445C"/>
    <w:rsid w:val="003A45CB"/>
    <w:rsid w:val="003A4691"/>
    <w:rsid w:val="003A47DC"/>
    <w:rsid w:val="003A486E"/>
    <w:rsid w:val="003A48F2"/>
    <w:rsid w:val="003A4913"/>
    <w:rsid w:val="003A4A6D"/>
    <w:rsid w:val="003A4A7B"/>
    <w:rsid w:val="003A4C3A"/>
    <w:rsid w:val="003A4C5C"/>
    <w:rsid w:val="003A4C61"/>
    <w:rsid w:val="003A4D6C"/>
    <w:rsid w:val="003A504F"/>
    <w:rsid w:val="003A50FB"/>
    <w:rsid w:val="003A510E"/>
    <w:rsid w:val="003A516C"/>
    <w:rsid w:val="003A52DB"/>
    <w:rsid w:val="003A5313"/>
    <w:rsid w:val="003A5361"/>
    <w:rsid w:val="003A536B"/>
    <w:rsid w:val="003A5379"/>
    <w:rsid w:val="003A57C4"/>
    <w:rsid w:val="003A5A66"/>
    <w:rsid w:val="003A5ACC"/>
    <w:rsid w:val="003A6070"/>
    <w:rsid w:val="003A60A3"/>
    <w:rsid w:val="003A61E9"/>
    <w:rsid w:val="003A61F0"/>
    <w:rsid w:val="003A68D4"/>
    <w:rsid w:val="003A693D"/>
    <w:rsid w:val="003A6DF1"/>
    <w:rsid w:val="003A6E4A"/>
    <w:rsid w:val="003A6FDA"/>
    <w:rsid w:val="003A70D7"/>
    <w:rsid w:val="003A7107"/>
    <w:rsid w:val="003A7124"/>
    <w:rsid w:val="003A7184"/>
    <w:rsid w:val="003A71A2"/>
    <w:rsid w:val="003A71E8"/>
    <w:rsid w:val="003A74FD"/>
    <w:rsid w:val="003A75E8"/>
    <w:rsid w:val="003A75F8"/>
    <w:rsid w:val="003A7643"/>
    <w:rsid w:val="003A7739"/>
    <w:rsid w:val="003A7860"/>
    <w:rsid w:val="003A787A"/>
    <w:rsid w:val="003A791F"/>
    <w:rsid w:val="003A792A"/>
    <w:rsid w:val="003A7B67"/>
    <w:rsid w:val="003A7D39"/>
    <w:rsid w:val="003A7E82"/>
    <w:rsid w:val="003B0044"/>
    <w:rsid w:val="003B0089"/>
    <w:rsid w:val="003B01BA"/>
    <w:rsid w:val="003B0317"/>
    <w:rsid w:val="003B0358"/>
    <w:rsid w:val="003B04F3"/>
    <w:rsid w:val="003B0647"/>
    <w:rsid w:val="003B06BF"/>
    <w:rsid w:val="003B07D2"/>
    <w:rsid w:val="003B08A0"/>
    <w:rsid w:val="003B0A2C"/>
    <w:rsid w:val="003B0AA6"/>
    <w:rsid w:val="003B0C04"/>
    <w:rsid w:val="003B0D7F"/>
    <w:rsid w:val="003B10DA"/>
    <w:rsid w:val="003B114E"/>
    <w:rsid w:val="003B1203"/>
    <w:rsid w:val="003B1465"/>
    <w:rsid w:val="003B1828"/>
    <w:rsid w:val="003B18F5"/>
    <w:rsid w:val="003B1BF6"/>
    <w:rsid w:val="003B1C72"/>
    <w:rsid w:val="003B1DCA"/>
    <w:rsid w:val="003B1F67"/>
    <w:rsid w:val="003B1FB3"/>
    <w:rsid w:val="003B2046"/>
    <w:rsid w:val="003B2093"/>
    <w:rsid w:val="003B22F0"/>
    <w:rsid w:val="003B236A"/>
    <w:rsid w:val="003B253C"/>
    <w:rsid w:val="003B26D4"/>
    <w:rsid w:val="003B2723"/>
    <w:rsid w:val="003B27FC"/>
    <w:rsid w:val="003B2A79"/>
    <w:rsid w:val="003B2ABF"/>
    <w:rsid w:val="003B30FE"/>
    <w:rsid w:val="003B3334"/>
    <w:rsid w:val="003B3408"/>
    <w:rsid w:val="003B3438"/>
    <w:rsid w:val="003B3592"/>
    <w:rsid w:val="003B36B1"/>
    <w:rsid w:val="003B36EB"/>
    <w:rsid w:val="003B371C"/>
    <w:rsid w:val="003B383D"/>
    <w:rsid w:val="003B3944"/>
    <w:rsid w:val="003B3BAD"/>
    <w:rsid w:val="003B3C37"/>
    <w:rsid w:val="003B3C68"/>
    <w:rsid w:val="003B3C91"/>
    <w:rsid w:val="003B3CB2"/>
    <w:rsid w:val="003B3CE9"/>
    <w:rsid w:val="003B3F1E"/>
    <w:rsid w:val="003B3F69"/>
    <w:rsid w:val="003B4066"/>
    <w:rsid w:val="003B4232"/>
    <w:rsid w:val="003B4356"/>
    <w:rsid w:val="003B4384"/>
    <w:rsid w:val="003B46C2"/>
    <w:rsid w:val="003B46CB"/>
    <w:rsid w:val="003B4765"/>
    <w:rsid w:val="003B4772"/>
    <w:rsid w:val="003B47D1"/>
    <w:rsid w:val="003B47EB"/>
    <w:rsid w:val="003B48A7"/>
    <w:rsid w:val="003B49EA"/>
    <w:rsid w:val="003B4AA0"/>
    <w:rsid w:val="003B4AEE"/>
    <w:rsid w:val="003B4BF9"/>
    <w:rsid w:val="003B4C3F"/>
    <w:rsid w:val="003B4CFF"/>
    <w:rsid w:val="003B4E3C"/>
    <w:rsid w:val="003B4F7A"/>
    <w:rsid w:val="003B4FA3"/>
    <w:rsid w:val="003B5135"/>
    <w:rsid w:val="003B51A8"/>
    <w:rsid w:val="003B52A1"/>
    <w:rsid w:val="003B53A9"/>
    <w:rsid w:val="003B5531"/>
    <w:rsid w:val="003B5576"/>
    <w:rsid w:val="003B5699"/>
    <w:rsid w:val="003B575E"/>
    <w:rsid w:val="003B5AA4"/>
    <w:rsid w:val="003B5B8F"/>
    <w:rsid w:val="003B5BF6"/>
    <w:rsid w:val="003B5C5B"/>
    <w:rsid w:val="003B5D05"/>
    <w:rsid w:val="003B5EBD"/>
    <w:rsid w:val="003B5F30"/>
    <w:rsid w:val="003B6019"/>
    <w:rsid w:val="003B6174"/>
    <w:rsid w:val="003B6248"/>
    <w:rsid w:val="003B62B9"/>
    <w:rsid w:val="003B62D1"/>
    <w:rsid w:val="003B6339"/>
    <w:rsid w:val="003B645A"/>
    <w:rsid w:val="003B6503"/>
    <w:rsid w:val="003B6565"/>
    <w:rsid w:val="003B65FF"/>
    <w:rsid w:val="003B66FA"/>
    <w:rsid w:val="003B680F"/>
    <w:rsid w:val="003B68DC"/>
    <w:rsid w:val="003B68EA"/>
    <w:rsid w:val="003B69D0"/>
    <w:rsid w:val="003B6A19"/>
    <w:rsid w:val="003B6B49"/>
    <w:rsid w:val="003B6C44"/>
    <w:rsid w:val="003B6C80"/>
    <w:rsid w:val="003B6DBD"/>
    <w:rsid w:val="003B6DC7"/>
    <w:rsid w:val="003B6E09"/>
    <w:rsid w:val="003B6F22"/>
    <w:rsid w:val="003B6F62"/>
    <w:rsid w:val="003B6FB7"/>
    <w:rsid w:val="003B7539"/>
    <w:rsid w:val="003B7590"/>
    <w:rsid w:val="003B769E"/>
    <w:rsid w:val="003B7885"/>
    <w:rsid w:val="003B78A7"/>
    <w:rsid w:val="003B790F"/>
    <w:rsid w:val="003B7AE3"/>
    <w:rsid w:val="003B7B43"/>
    <w:rsid w:val="003B7CBD"/>
    <w:rsid w:val="003B7CE0"/>
    <w:rsid w:val="003B7D4E"/>
    <w:rsid w:val="003C00A7"/>
    <w:rsid w:val="003C0113"/>
    <w:rsid w:val="003C0388"/>
    <w:rsid w:val="003C039B"/>
    <w:rsid w:val="003C05B4"/>
    <w:rsid w:val="003C05B5"/>
    <w:rsid w:val="003C06F1"/>
    <w:rsid w:val="003C0703"/>
    <w:rsid w:val="003C0734"/>
    <w:rsid w:val="003C0868"/>
    <w:rsid w:val="003C08FC"/>
    <w:rsid w:val="003C0919"/>
    <w:rsid w:val="003C0AC6"/>
    <w:rsid w:val="003C0B91"/>
    <w:rsid w:val="003C0BB8"/>
    <w:rsid w:val="003C0CCA"/>
    <w:rsid w:val="003C0E72"/>
    <w:rsid w:val="003C0EF8"/>
    <w:rsid w:val="003C0F30"/>
    <w:rsid w:val="003C0F63"/>
    <w:rsid w:val="003C0FCF"/>
    <w:rsid w:val="003C0FDE"/>
    <w:rsid w:val="003C102E"/>
    <w:rsid w:val="003C1031"/>
    <w:rsid w:val="003C1037"/>
    <w:rsid w:val="003C103E"/>
    <w:rsid w:val="003C11A7"/>
    <w:rsid w:val="003C12CA"/>
    <w:rsid w:val="003C12EE"/>
    <w:rsid w:val="003C139F"/>
    <w:rsid w:val="003C13AA"/>
    <w:rsid w:val="003C13AD"/>
    <w:rsid w:val="003C1496"/>
    <w:rsid w:val="003C15D4"/>
    <w:rsid w:val="003C1764"/>
    <w:rsid w:val="003C1786"/>
    <w:rsid w:val="003C1A83"/>
    <w:rsid w:val="003C1AB3"/>
    <w:rsid w:val="003C1B3C"/>
    <w:rsid w:val="003C1D01"/>
    <w:rsid w:val="003C1DD6"/>
    <w:rsid w:val="003C1DE9"/>
    <w:rsid w:val="003C1E15"/>
    <w:rsid w:val="003C1F6E"/>
    <w:rsid w:val="003C1FF2"/>
    <w:rsid w:val="003C2086"/>
    <w:rsid w:val="003C20E5"/>
    <w:rsid w:val="003C2257"/>
    <w:rsid w:val="003C22FA"/>
    <w:rsid w:val="003C2310"/>
    <w:rsid w:val="003C23EC"/>
    <w:rsid w:val="003C2468"/>
    <w:rsid w:val="003C25AA"/>
    <w:rsid w:val="003C25FA"/>
    <w:rsid w:val="003C266A"/>
    <w:rsid w:val="003C2688"/>
    <w:rsid w:val="003C26BF"/>
    <w:rsid w:val="003C275A"/>
    <w:rsid w:val="003C29A4"/>
    <w:rsid w:val="003C2ADF"/>
    <w:rsid w:val="003C2D49"/>
    <w:rsid w:val="003C2E1B"/>
    <w:rsid w:val="003C2E1D"/>
    <w:rsid w:val="003C2ECB"/>
    <w:rsid w:val="003C2FBF"/>
    <w:rsid w:val="003C3104"/>
    <w:rsid w:val="003C3133"/>
    <w:rsid w:val="003C31F9"/>
    <w:rsid w:val="003C3397"/>
    <w:rsid w:val="003C348E"/>
    <w:rsid w:val="003C3609"/>
    <w:rsid w:val="003C3666"/>
    <w:rsid w:val="003C372C"/>
    <w:rsid w:val="003C384D"/>
    <w:rsid w:val="003C390C"/>
    <w:rsid w:val="003C3E1F"/>
    <w:rsid w:val="003C3ED2"/>
    <w:rsid w:val="003C3F3D"/>
    <w:rsid w:val="003C3FE0"/>
    <w:rsid w:val="003C409F"/>
    <w:rsid w:val="003C40AE"/>
    <w:rsid w:val="003C40E1"/>
    <w:rsid w:val="003C41FA"/>
    <w:rsid w:val="003C4298"/>
    <w:rsid w:val="003C42C6"/>
    <w:rsid w:val="003C432F"/>
    <w:rsid w:val="003C444F"/>
    <w:rsid w:val="003C449B"/>
    <w:rsid w:val="003C44C1"/>
    <w:rsid w:val="003C4505"/>
    <w:rsid w:val="003C4679"/>
    <w:rsid w:val="003C4851"/>
    <w:rsid w:val="003C4953"/>
    <w:rsid w:val="003C4A1F"/>
    <w:rsid w:val="003C4AEA"/>
    <w:rsid w:val="003C4B15"/>
    <w:rsid w:val="003C4C8C"/>
    <w:rsid w:val="003C4C90"/>
    <w:rsid w:val="003C4C9E"/>
    <w:rsid w:val="003C4CCA"/>
    <w:rsid w:val="003C4DD8"/>
    <w:rsid w:val="003C4F64"/>
    <w:rsid w:val="003C51B5"/>
    <w:rsid w:val="003C52CF"/>
    <w:rsid w:val="003C5377"/>
    <w:rsid w:val="003C53D4"/>
    <w:rsid w:val="003C53ED"/>
    <w:rsid w:val="003C5482"/>
    <w:rsid w:val="003C56A2"/>
    <w:rsid w:val="003C56ED"/>
    <w:rsid w:val="003C586F"/>
    <w:rsid w:val="003C58D6"/>
    <w:rsid w:val="003C5924"/>
    <w:rsid w:val="003C59B1"/>
    <w:rsid w:val="003C5C9D"/>
    <w:rsid w:val="003C5CCB"/>
    <w:rsid w:val="003C5EC2"/>
    <w:rsid w:val="003C5F0D"/>
    <w:rsid w:val="003C6176"/>
    <w:rsid w:val="003C623C"/>
    <w:rsid w:val="003C6250"/>
    <w:rsid w:val="003C62D5"/>
    <w:rsid w:val="003C6344"/>
    <w:rsid w:val="003C6450"/>
    <w:rsid w:val="003C6452"/>
    <w:rsid w:val="003C64D8"/>
    <w:rsid w:val="003C6745"/>
    <w:rsid w:val="003C6892"/>
    <w:rsid w:val="003C6A44"/>
    <w:rsid w:val="003C6A97"/>
    <w:rsid w:val="003C6BB4"/>
    <w:rsid w:val="003C6BD3"/>
    <w:rsid w:val="003C6C5E"/>
    <w:rsid w:val="003C6C62"/>
    <w:rsid w:val="003C6CE6"/>
    <w:rsid w:val="003C6D5E"/>
    <w:rsid w:val="003C6DF4"/>
    <w:rsid w:val="003C6E62"/>
    <w:rsid w:val="003C6EAF"/>
    <w:rsid w:val="003C6F9B"/>
    <w:rsid w:val="003C7359"/>
    <w:rsid w:val="003C7525"/>
    <w:rsid w:val="003C76D7"/>
    <w:rsid w:val="003C76F8"/>
    <w:rsid w:val="003C76FD"/>
    <w:rsid w:val="003C77FF"/>
    <w:rsid w:val="003C7AD1"/>
    <w:rsid w:val="003C7B14"/>
    <w:rsid w:val="003C7BBA"/>
    <w:rsid w:val="003C7E7D"/>
    <w:rsid w:val="003D0005"/>
    <w:rsid w:val="003D00CA"/>
    <w:rsid w:val="003D0133"/>
    <w:rsid w:val="003D023A"/>
    <w:rsid w:val="003D0324"/>
    <w:rsid w:val="003D06BA"/>
    <w:rsid w:val="003D083A"/>
    <w:rsid w:val="003D095B"/>
    <w:rsid w:val="003D0A55"/>
    <w:rsid w:val="003D0B47"/>
    <w:rsid w:val="003D0BCE"/>
    <w:rsid w:val="003D0C6E"/>
    <w:rsid w:val="003D0D2A"/>
    <w:rsid w:val="003D0D9A"/>
    <w:rsid w:val="003D1044"/>
    <w:rsid w:val="003D10AF"/>
    <w:rsid w:val="003D10B6"/>
    <w:rsid w:val="003D111B"/>
    <w:rsid w:val="003D1241"/>
    <w:rsid w:val="003D1252"/>
    <w:rsid w:val="003D130D"/>
    <w:rsid w:val="003D133E"/>
    <w:rsid w:val="003D1409"/>
    <w:rsid w:val="003D17C1"/>
    <w:rsid w:val="003D17FE"/>
    <w:rsid w:val="003D1889"/>
    <w:rsid w:val="003D18BE"/>
    <w:rsid w:val="003D19F5"/>
    <w:rsid w:val="003D1A12"/>
    <w:rsid w:val="003D1D14"/>
    <w:rsid w:val="003D1D3A"/>
    <w:rsid w:val="003D1D9D"/>
    <w:rsid w:val="003D1DCF"/>
    <w:rsid w:val="003D1DDC"/>
    <w:rsid w:val="003D1DEF"/>
    <w:rsid w:val="003D1EAC"/>
    <w:rsid w:val="003D1F2A"/>
    <w:rsid w:val="003D1F92"/>
    <w:rsid w:val="003D1FF0"/>
    <w:rsid w:val="003D207D"/>
    <w:rsid w:val="003D20B8"/>
    <w:rsid w:val="003D2106"/>
    <w:rsid w:val="003D21DB"/>
    <w:rsid w:val="003D2214"/>
    <w:rsid w:val="003D22E7"/>
    <w:rsid w:val="003D23FA"/>
    <w:rsid w:val="003D2419"/>
    <w:rsid w:val="003D24B6"/>
    <w:rsid w:val="003D2513"/>
    <w:rsid w:val="003D27EC"/>
    <w:rsid w:val="003D2825"/>
    <w:rsid w:val="003D28E2"/>
    <w:rsid w:val="003D2941"/>
    <w:rsid w:val="003D29D4"/>
    <w:rsid w:val="003D2B42"/>
    <w:rsid w:val="003D2B62"/>
    <w:rsid w:val="003D2BCF"/>
    <w:rsid w:val="003D2C99"/>
    <w:rsid w:val="003D2CE5"/>
    <w:rsid w:val="003D2D05"/>
    <w:rsid w:val="003D2E8E"/>
    <w:rsid w:val="003D2F88"/>
    <w:rsid w:val="003D302C"/>
    <w:rsid w:val="003D31C4"/>
    <w:rsid w:val="003D3209"/>
    <w:rsid w:val="003D3276"/>
    <w:rsid w:val="003D33E4"/>
    <w:rsid w:val="003D342A"/>
    <w:rsid w:val="003D348A"/>
    <w:rsid w:val="003D3575"/>
    <w:rsid w:val="003D3578"/>
    <w:rsid w:val="003D35E1"/>
    <w:rsid w:val="003D36A5"/>
    <w:rsid w:val="003D3804"/>
    <w:rsid w:val="003D3812"/>
    <w:rsid w:val="003D3902"/>
    <w:rsid w:val="003D3962"/>
    <w:rsid w:val="003D3A08"/>
    <w:rsid w:val="003D3B00"/>
    <w:rsid w:val="003D3B17"/>
    <w:rsid w:val="003D3B5C"/>
    <w:rsid w:val="003D3BC8"/>
    <w:rsid w:val="003D3BDB"/>
    <w:rsid w:val="003D3C49"/>
    <w:rsid w:val="003D3D30"/>
    <w:rsid w:val="003D3DD7"/>
    <w:rsid w:val="003D3E25"/>
    <w:rsid w:val="003D3EAB"/>
    <w:rsid w:val="003D3F35"/>
    <w:rsid w:val="003D3F81"/>
    <w:rsid w:val="003D4034"/>
    <w:rsid w:val="003D4047"/>
    <w:rsid w:val="003D40C6"/>
    <w:rsid w:val="003D440C"/>
    <w:rsid w:val="003D4492"/>
    <w:rsid w:val="003D455B"/>
    <w:rsid w:val="003D46E3"/>
    <w:rsid w:val="003D47A8"/>
    <w:rsid w:val="003D4987"/>
    <w:rsid w:val="003D498E"/>
    <w:rsid w:val="003D4BF6"/>
    <w:rsid w:val="003D4D34"/>
    <w:rsid w:val="003D4D3D"/>
    <w:rsid w:val="003D4E41"/>
    <w:rsid w:val="003D4E4F"/>
    <w:rsid w:val="003D4F75"/>
    <w:rsid w:val="003D50BD"/>
    <w:rsid w:val="003D51C0"/>
    <w:rsid w:val="003D51DD"/>
    <w:rsid w:val="003D5353"/>
    <w:rsid w:val="003D55BB"/>
    <w:rsid w:val="003D55DE"/>
    <w:rsid w:val="003D56E9"/>
    <w:rsid w:val="003D58B7"/>
    <w:rsid w:val="003D5950"/>
    <w:rsid w:val="003D59C7"/>
    <w:rsid w:val="003D5A67"/>
    <w:rsid w:val="003D5A91"/>
    <w:rsid w:val="003D5C1F"/>
    <w:rsid w:val="003D5F9B"/>
    <w:rsid w:val="003D609D"/>
    <w:rsid w:val="003D610A"/>
    <w:rsid w:val="003D62B8"/>
    <w:rsid w:val="003D6346"/>
    <w:rsid w:val="003D63C3"/>
    <w:rsid w:val="003D63D6"/>
    <w:rsid w:val="003D6485"/>
    <w:rsid w:val="003D6514"/>
    <w:rsid w:val="003D6555"/>
    <w:rsid w:val="003D6AC6"/>
    <w:rsid w:val="003D6CEA"/>
    <w:rsid w:val="003D6D5B"/>
    <w:rsid w:val="003D6DFF"/>
    <w:rsid w:val="003D6E93"/>
    <w:rsid w:val="003D72A9"/>
    <w:rsid w:val="003D74AA"/>
    <w:rsid w:val="003D7517"/>
    <w:rsid w:val="003D767D"/>
    <w:rsid w:val="003D787B"/>
    <w:rsid w:val="003D7938"/>
    <w:rsid w:val="003D79C9"/>
    <w:rsid w:val="003D7A1A"/>
    <w:rsid w:val="003D7A32"/>
    <w:rsid w:val="003D7AB8"/>
    <w:rsid w:val="003D7C2C"/>
    <w:rsid w:val="003D7E4D"/>
    <w:rsid w:val="003D7E57"/>
    <w:rsid w:val="003D7E59"/>
    <w:rsid w:val="003E003E"/>
    <w:rsid w:val="003E004E"/>
    <w:rsid w:val="003E00D8"/>
    <w:rsid w:val="003E010C"/>
    <w:rsid w:val="003E036D"/>
    <w:rsid w:val="003E049A"/>
    <w:rsid w:val="003E0537"/>
    <w:rsid w:val="003E05C5"/>
    <w:rsid w:val="003E07F1"/>
    <w:rsid w:val="003E0802"/>
    <w:rsid w:val="003E0972"/>
    <w:rsid w:val="003E0A19"/>
    <w:rsid w:val="003E0B12"/>
    <w:rsid w:val="003E0CAD"/>
    <w:rsid w:val="003E0D5F"/>
    <w:rsid w:val="003E0E43"/>
    <w:rsid w:val="003E0E83"/>
    <w:rsid w:val="003E0F71"/>
    <w:rsid w:val="003E0FD5"/>
    <w:rsid w:val="003E1172"/>
    <w:rsid w:val="003E1178"/>
    <w:rsid w:val="003E1269"/>
    <w:rsid w:val="003E15A1"/>
    <w:rsid w:val="003E1624"/>
    <w:rsid w:val="003E1658"/>
    <w:rsid w:val="003E18C8"/>
    <w:rsid w:val="003E197D"/>
    <w:rsid w:val="003E1A9E"/>
    <w:rsid w:val="003E1AD4"/>
    <w:rsid w:val="003E1D33"/>
    <w:rsid w:val="003E2285"/>
    <w:rsid w:val="003E23B4"/>
    <w:rsid w:val="003E2454"/>
    <w:rsid w:val="003E24AE"/>
    <w:rsid w:val="003E2751"/>
    <w:rsid w:val="003E2A1B"/>
    <w:rsid w:val="003E2D9A"/>
    <w:rsid w:val="003E2E36"/>
    <w:rsid w:val="003E306C"/>
    <w:rsid w:val="003E30F9"/>
    <w:rsid w:val="003E31A0"/>
    <w:rsid w:val="003E3407"/>
    <w:rsid w:val="003E347B"/>
    <w:rsid w:val="003E3489"/>
    <w:rsid w:val="003E3499"/>
    <w:rsid w:val="003E349B"/>
    <w:rsid w:val="003E3518"/>
    <w:rsid w:val="003E3A1C"/>
    <w:rsid w:val="003E3AA5"/>
    <w:rsid w:val="003E3B81"/>
    <w:rsid w:val="003E3CB7"/>
    <w:rsid w:val="003E3D76"/>
    <w:rsid w:val="003E3EAE"/>
    <w:rsid w:val="003E40DD"/>
    <w:rsid w:val="003E40EF"/>
    <w:rsid w:val="003E433D"/>
    <w:rsid w:val="003E43B4"/>
    <w:rsid w:val="003E43D1"/>
    <w:rsid w:val="003E4431"/>
    <w:rsid w:val="003E45C0"/>
    <w:rsid w:val="003E45FD"/>
    <w:rsid w:val="003E4660"/>
    <w:rsid w:val="003E4831"/>
    <w:rsid w:val="003E483D"/>
    <w:rsid w:val="003E4909"/>
    <w:rsid w:val="003E4969"/>
    <w:rsid w:val="003E49B9"/>
    <w:rsid w:val="003E4A41"/>
    <w:rsid w:val="003E4A47"/>
    <w:rsid w:val="003E4A83"/>
    <w:rsid w:val="003E4AA6"/>
    <w:rsid w:val="003E4C22"/>
    <w:rsid w:val="003E4C35"/>
    <w:rsid w:val="003E4C75"/>
    <w:rsid w:val="003E4E15"/>
    <w:rsid w:val="003E4E28"/>
    <w:rsid w:val="003E4E6E"/>
    <w:rsid w:val="003E51B2"/>
    <w:rsid w:val="003E5343"/>
    <w:rsid w:val="003E5396"/>
    <w:rsid w:val="003E5399"/>
    <w:rsid w:val="003E53B7"/>
    <w:rsid w:val="003E53C9"/>
    <w:rsid w:val="003E567E"/>
    <w:rsid w:val="003E56B8"/>
    <w:rsid w:val="003E57B7"/>
    <w:rsid w:val="003E57BE"/>
    <w:rsid w:val="003E5B76"/>
    <w:rsid w:val="003E5C5F"/>
    <w:rsid w:val="003E5CDA"/>
    <w:rsid w:val="003E5D83"/>
    <w:rsid w:val="003E5D9E"/>
    <w:rsid w:val="003E5DCA"/>
    <w:rsid w:val="003E5DF1"/>
    <w:rsid w:val="003E5EF7"/>
    <w:rsid w:val="003E5FF3"/>
    <w:rsid w:val="003E627E"/>
    <w:rsid w:val="003E62F0"/>
    <w:rsid w:val="003E6369"/>
    <w:rsid w:val="003E63F8"/>
    <w:rsid w:val="003E6513"/>
    <w:rsid w:val="003E6587"/>
    <w:rsid w:val="003E667D"/>
    <w:rsid w:val="003E673E"/>
    <w:rsid w:val="003E6785"/>
    <w:rsid w:val="003E67A6"/>
    <w:rsid w:val="003E6816"/>
    <w:rsid w:val="003E6C72"/>
    <w:rsid w:val="003E6E16"/>
    <w:rsid w:val="003E6EA7"/>
    <w:rsid w:val="003E6FEF"/>
    <w:rsid w:val="003E7152"/>
    <w:rsid w:val="003E715C"/>
    <w:rsid w:val="003E72A3"/>
    <w:rsid w:val="003E7351"/>
    <w:rsid w:val="003E73DA"/>
    <w:rsid w:val="003E74F2"/>
    <w:rsid w:val="003E7726"/>
    <w:rsid w:val="003E773C"/>
    <w:rsid w:val="003E787A"/>
    <w:rsid w:val="003E7926"/>
    <w:rsid w:val="003E7928"/>
    <w:rsid w:val="003E7979"/>
    <w:rsid w:val="003E79B3"/>
    <w:rsid w:val="003E79EA"/>
    <w:rsid w:val="003E7A9B"/>
    <w:rsid w:val="003E7BC8"/>
    <w:rsid w:val="003E7CDB"/>
    <w:rsid w:val="003F0095"/>
    <w:rsid w:val="003F013A"/>
    <w:rsid w:val="003F0144"/>
    <w:rsid w:val="003F0169"/>
    <w:rsid w:val="003F0220"/>
    <w:rsid w:val="003F02B6"/>
    <w:rsid w:val="003F02FD"/>
    <w:rsid w:val="003F0356"/>
    <w:rsid w:val="003F0417"/>
    <w:rsid w:val="003F04E3"/>
    <w:rsid w:val="003F069A"/>
    <w:rsid w:val="003F06B0"/>
    <w:rsid w:val="003F07AE"/>
    <w:rsid w:val="003F08AE"/>
    <w:rsid w:val="003F09E0"/>
    <w:rsid w:val="003F0A4F"/>
    <w:rsid w:val="003F0AFE"/>
    <w:rsid w:val="003F0F85"/>
    <w:rsid w:val="003F0FB3"/>
    <w:rsid w:val="003F0FFF"/>
    <w:rsid w:val="003F103E"/>
    <w:rsid w:val="003F10D8"/>
    <w:rsid w:val="003F110A"/>
    <w:rsid w:val="003F1356"/>
    <w:rsid w:val="003F140E"/>
    <w:rsid w:val="003F14B6"/>
    <w:rsid w:val="003F154D"/>
    <w:rsid w:val="003F15E1"/>
    <w:rsid w:val="003F15F8"/>
    <w:rsid w:val="003F16A1"/>
    <w:rsid w:val="003F1783"/>
    <w:rsid w:val="003F193A"/>
    <w:rsid w:val="003F19DB"/>
    <w:rsid w:val="003F1A07"/>
    <w:rsid w:val="003F1CF8"/>
    <w:rsid w:val="003F1D80"/>
    <w:rsid w:val="003F1D84"/>
    <w:rsid w:val="003F1E27"/>
    <w:rsid w:val="003F1FA5"/>
    <w:rsid w:val="003F2280"/>
    <w:rsid w:val="003F2400"/>
    <w:rsid w:val="003F242C"/>
    <w:rsid w:val="003F266C"/>
    <w:rsid w:val="003F26D0"/>
    <w:rsid w:val="003F26DE"/>
    <w:rsid w:val="003F285A"/>
    <w:rsid w:val="003F28DE"/>
    <w:rsid w:val="003F29BD"/>
    <w:rsid w:val="003F2B95"/>
    <w:rsid w:val="003F2C84"/>
    <w:rsid w:val="003F2E97"/>
    <w:rsid w:val="003F2EBF"/>
    <w:rsid w:val="003F2F4B"/>
    <w:rsid w:val="003F301B"/>
    <w:rsid w:val="003F329C"/>
    <w:rsid w:val="003F33FB"/>
    <w:rsid w:val="003F34F6"/>
    <w:rsid w:val="003F3658"/>
    <w:rsid w:val="003F3681"/>
    <w:rsid w:val="003F37B1"/>
    <w:rsid w:val="003F38BF"/>
    <w:rsid w:val="003F3920"/>
    <w:rsid w:val="003F397B"/>
    <w:rsid w:val="003F3A31"/>
    <w:rsid w:val="003F3B3F"/>
    <w:rsid w:val="003F3EEE"/>
    <w:rsid w:val="003F3EF9"/>
    <w:rsid w:val="003F3F24"/>
    <w:rsid w:val="003F3F93"/>
    <w:rsid w:val="003F40F1"/>
    <w:rsid w:val="003F41BD"/>
    <w:rsid w:val="003F4320"/>
    <w:rsid w:val="003F4329"/>
    <w:rsid w:val="003F445F"/>
    <w:rsid w:val="003F452C"/>
    <w:rsid w:val="003F48E1"/>
    <w:rsid w:val="003F49C6"/>
    <w:rsid w:val="003F4A08"/>
    <w:rsid w:val="003F4A7F"/>
    <w:rsid w:val="003F4BA0"/>
    <w:rsid w:val="003F4BF1"/>
    <w:rsid w:val="003F4C37"/>
    <w:rsid w:val="003F4C58"/>
    <w:rsid w:val="003F4C7E"/>
    <w:rsid w:val="003F4CAC"/>
    <w:rsid w:val="003F4CF5"/>
    <w:rsid w:val="003F4D1E"/>
    <w:rsid w:val="003F4FE6"/>
    <w:rsid w:val="003F5043"/>
    <w:rsid w:val="003F506B"/>
    <w:rsid w:val="003F5096"/>
    <w:rsid w:val="003F5174"/>
    <w:rsid w:val="003F551F"/>
    <w:rsid w:val="003F56CF"/>
    <w:rsid w:val="003F573F"/>
    <w:rsid w:val="003F5757"/>
    <w:rsid w:val="003F5875"/>
    <w:rsid w:val="003F59CF"/>
    <w:rsid w:val="003F5D7D"/>
    <w:rsid w:val="003F5DB1"/>
    <w:rsid w:val="003F5E59"/>
    <w:rsid w:val="003F5F3C"/>
    <w:rsid w:val="003F5F5B"/>
    <w:rsid w:val="003F60B6"/>
    <w:rsid w:val="003F614A"/>
    <w:rsid w:val="003F63B3"/>
    <w:rsid w:val="003F651D"/>
    <w:rsid w:val="003F657F"/>
    <w:rsid w:val="003F65D2"/>
    <w:rsid w:val="003F6724"/>
    <w:rsid w:val="003F674D"/>
    <w:rsid w:val="003F67C1"/>
    <w:rsid w:val="003F6819"/>
    <w:rsid w:val="003F686E"/>
    <w:rsid w:val="003F69D3"/>
    <w:rsid w:val="003F6A3A"/>
    <w:rsid w:val="003F6A6F"/>
    <w:rsid w:val="003F6A72"/>
    <w:rsid w:val="003F6B23"/>
    <w:rsid w:val="003F6BF7"/>
    <w:rsid w:val="003F6D1F"/>
    <w:rsid w:val="003F6D83"/>
    <w:rsid w:val="003F6DAB"/>
    <w:rsid w:val="003F6EBA"/>
    <w:rsid w:val="003F6EC4"/>
    <w:rsid w:val="003F7175"/>
    <w:rsid w:val="003F71CC"/>
    <w:rsid w:val="003F73D3"/>
    <w:rsid w:val="003F73D4"/>
    <w:rsid w:val="003F741B"/>
    <w:rsid w:val="003F7446"/>
    <w:rsid w:val="003F7453"/>
    <w:rsid w:val="003F74AB"/>
    <w:rsid w:val="003F75B3"/>
    <w:rsid w:val="003F767E"/>
    <w:rsid w:val="003F7869"/>
    <w:rsid w:val="003F787F"/>
    <w:rsid w:val="003F790D"/>
    <w:rsid w:val="003F7A13"/>
    <w:rsid w:val="003F7B05"/>
    <w:rsid w:val="003F7BCB"/>
    <w:rsid w:val="003F7C15"/>
    <w:rsid w:val="003F7E66"/>
    <w:rsid w:val="003F7E86"/>
    <w:rsid w:val="00400164"/>
    <w:rsid w:val="00400182"/>
    <w:rsid w:val="00400186"/>
    <w:rsid w:val="0040033E"/>
    <w:rsid w:val="004004B8"/>
    <w:rsid w:val="0040054C"/>
    <w:rsid w:val="004005B9"/>
    <w:rsid w:val="00400850"/>
    <w:rsid w:val="0040085A"/>
    <w:rsid w:val="004009D9"/>
    <w:rsid w:val="004009FA"/>
    <w:rsid w:val="00400A9C"/>
    <w:rsid w:val="00400AF0"/>
    <w:rsid w:val="00400D36"/>
    <w:rsid w:val="00400D88"/>
    <w:rsid w:val="00400EDC"/>
    <w:rsid w:val="00400FCF"/>
    <w:rsid w:val="00401048"/>
    <w:rsid w:val="00401081"/>
    <w:rsid w:val="00401156"/>
    <w:rsid w:val="00401286"/>
    <w:rsid w:val="004012B4"/>
    <w:rsid w:val="00401420"/>
    <w:rsid w:val="004016BE"/>
    <w:rsid w:val="0040171E"/>
    <w:rsid w:val="004017B5"/>
    <w:rsid w:val="004018BA"/>
    <w:rsid w:val="0040191E"/>
    <w:rsid w:val="00401A70"/>
    <w:rsid w:val="00401B53"/>
    <w:rsid w:val="00401C1F"/>
    <w:rsid w:val="00401C49"/>
    <w:rsid w:val="00401C59"/>
    <w:rsid w:val="00401C93"/>
    <w:rsid w:val="00401D17"/>
    <w:rsid w:val="00401D9D"/>
    <w:rsid w:val="00401E4B"/>
    <w:rsid w:val="00401E76"/>
    <w:rsid w:val="00401EE0"/>
    <w:rsid w:val="004022C7"/>
    <w:rsid w:val="004022D2"/>
    <w:rsid w:val="0040230D"/>
    <w:rsid w:val="0040233B"/>
    <w:rsid w:val="004024F7"/>
    <w:rsid w:val="004025C9"/>
    <w:rsid w:val="00402785"/>
    <w:rsid w:val="00402814"/>
    <w:rsid w:val="00402988"/>
    <w:rsid w:val="00402A88"/>
    <w:rsid w:val="00402ABB"/>
    <w:rsid w:val="00402BAA"/>
    <w:rsid w:val="00402C56"/>
    <w:rsid w:val="00402E47"/>
    <w:rsid w:val="00402F96"/>
    <w:rsid w:val="00403253"/>
    <w:rsid w:val="0040328D"/>
    <w:rsid w:val="00403296"/>
    <w:rsid w:val="004032BD"/>
    <w:rsid w:val="004032DD"/>
    <w:rsid w:val="00403860"/>
    <w:rsid w:val="004038B6"/>
    <w:rsid w:val="00403A64"/>
    <w:rsid w:val="00403AF8"/>
    <w:rsid w:val="00403C41"/>
    <w:rsid w:val="00403EBE"/>
    <w:rsid w:val="00403F1A"/>
    <w:rsid w:val="00403F3C"/>
    <w:rsid w:val="00403FE4"/>
    <w:rsid w:val="00404007"/>
    <w:rsid w:val="00404043"/>
    <w:rsid w:val="00404108"/>
    <w:rsid w:val="00404124"/>
    <w:rsid w:val="0040412B"/>
    <w:rsid w:val="004042AB"/>
    <w:rsid w:val="00404300"/>
    <w:rsid w:val="00404340"/>
    <w:rsid w:val="004043B5"/>
    <w:rsid w:val="004043DE"/>
    <w:rsid w:val="00404405"/>
    <w:rsid w:val="00404460"/>
    <w:rsid w:val="004048ED"/>
    <w:rsid w:val="0040492F"/>
    <w:rsid w:val="0040499F"/>
    <w:rsid w:val="00404AC0"/>
    <w:rsid w:val="00404B09"/>
    <w:rsid w:val="00404B59"/>
    <w:rsid w:val="00404BD9"/>
    <w:rsid w:val="00404DA7"/>
    <w:rsid w:val="00404EE0"/>
    <w:rsid w:val="00404F1C"/>
    <w:rsid w:val="00405195"/>
    <w:rsid w:val="00405255"/>
    <w:rsid w:val="004055E4"/>
    <w:rsid w:val="004056D7"/>
    <w:rsid w:val="00405716"/>
    <w:rsid w:val="004057F9"/>
    <w:rsid w:val="00405933"/>
    <w:rsid w:val="00405A82"/>
    <w:rsid w:val="00405AB5"/>
    <w:rsid w:val="00405B57"/>
    <w:rsid w:val="00405CA9"/>
    <w:rsid w:val="00405EAE"/>
    <w:rsid w:val="00405F12"/>
    <w:rsid w:val="00405F88"/>
    <w:rsid w:val="004061B5"/>
    <w:rsid w:val="0040625C"/>
    <w:rsid w:val="004062EF"/>
    <w:rsid w:val="0040641B"/>
    <w:rsid w:val="00406454"/>
    <w:rsid w:val="0040667C"/>
    <w:rsid w:val="00406759"/>
    <w:rsid w:val="004068D9"/>
    <w:rsid w:val="00406A66"/>
    <w:rsid w:val="00406A9C"/>
    <w:rsid w:val="00406B18"/>
    <w:rsid w:val="00406B5E"/>
    <w:rsid w:val="00406D66"/>
    <w:rsid w:val="00406D88"/>
    <w:rsid w:val="00406DA8"/>
    <w:rsid w:val="00406E93"/>
    <w:rsid w:val="00407063"/>
    <w:rsid w:val="00407182"/>
    <w:rsid w:val="004071DC"/>
    <w:rsid w:val="004071E3"/>
    <w:rsid w:val="004072EA"/>
    <w:rsid w:val="00407400"/>
    <w:rsid w:val="00407448"/>
    <w:rsid w:val="00407890"/>
    <w:rsid w:val="00407AF6"/>
    <w:rsid w:val="00407B52"/>
    <w:rsid w:val="00407C3E"/>
    <w:rsid w:val="00407D91"/>
    <w:rsid w:val="00407E84"/>
    <w:rsid w:val="0041008D"/>
    <w:rsid w:val="004100A9"/>
    <w:rsid w:val="004100ED"/>
    <w:rsid w:val="004101EA"/>
    <w:rsid w:val="0041027C"/>
    <w:rsid w:val="004102BD"/>
    <w:rsid w:val="00410340"/>
    <w:rsid w:val="00410356"/>
    <w:rsid w:val="00410394"/>
    <w:rsid w:val="00410497"/>
    <w:rsid w:val="004104A6"/>
    <w:rsid w:val="004104C0"/>
    <w:rsid w:val="004105A2"/>
    <w:rsid w:val="004105B9"/>
    <w:rsid w:val="004106B0"/>
    <w:rsid w:val="004106B1"/>
    <w:rsid w:val="004108CB"/>
    <w:rsid w:val="0041094C"/>
    <w:rsid w:val="00410BC2"/>
    <w:rsid w:val="00410BDD"/>
    <w:rsid w:val="00410E71"/>
    <w:rsid w:val="00410F9F"/>
    <w:rsid w:val="00411031"/>
    <w:rsid w:val="004110F4"/>
    <w:rsid w:val="0041110E"/>
    <w:rsid w:val="0041111A"/>
    <w:rsid w:val="0041114C"/>
    <w:rsid w:val="004112FD"/>
    <w:rsid w:val="00411306"/>
    <w:rsid w:val="0041130C"/>
    <w:rsid w:val="00411380"/>
    <w:rsid w:val="00411395"/>
    <w:rsid w:val="00411403"/>
    <w:rsid w:val="0041147B"/>
    <w:rsid w:val="00411486"/>
    <w:rsid w:val="004114A2"/>
    <w:rsid w:val="0041190E"/>
    <w:rsid w:val="00411965"/>
    <w:rsid w:val="004119E7"/>
    <w:rsid w:val="00411A3F"/>
    <w:rsid w:val="00411AE7"/>
    <w:rsid w:val="00411B52"/>
    <w:rsid w:val="00411B6F"/>
    <w:rsid w:val="00411BF1"/>
    <w:rsid w:val="00411CD6"/>
    <w:rsid w:val="00411FB7"/>
    <w:rsid w:val="00412012"/>
    <w:rsid w:val="004120FC"/>
    <w:rsid w:val="0041222C"/>
    <w:rsid w:val="0041222E"/>
    <w:rsid w:val="00412282"/>
    <w:rsid w:val="004123D4"/>
    <w:rsid w:val="00412534"/>
    <w:rsid w:val="00412634"/>
    <w:rsid w:val="00412A97"/>
    <w:rsid w:val="00412BD1"/>
    <w:rsid w:val="00412C32"/>
    <w:rsid w:val="00412C77"/>
    <w:rsid w:val="00412C83"/>
    <w:rsid w:val="00412E7F"/>
    <w:rsid w:val="00412EB2"/>
    <w:rsid w:val="00412EE4"/>
    <w:rsid w:val="00412F04"/>
    <w:rsid w:val="00412FC7"/>
    <w:rsid w:val="0041312C"/>
    <w:rsid w:val="00413248"/>
    <w:rsid w:val="0041331B"/>
    <w:rsid w:val="00413322"/>
    <w:rsid w:val="004134D1"/>
    <w:rsid w:val="00413591"/>
    <w:rsid w:val="0041362B"/>
    <w:rsid w:val="00413636"/>
    <w:rsid w:val="00413679"/>
    <w:rsid w:val="004136B1"/>
    <w:rsid w:val="00413768"/>
    <w:rsid w:val="004137B5"/>
    <w:rsid w:val="0041386B"/>
    <w:rsid w:val="004139F1"/>
    <w:rsid w:val="00413BB2"/>
    <w:rsid w:val="00413F7D"/>
    <w:rsid w:val="0041410F"/>
    <w:rsid w:val="00414198"/>
    <w:rsid w:val="0041429A"/>
    <w:rsid w:val="004142DF"/>
    <w:rsid w:val="004142F7"/>
    <w:rsid w:val="00414371"/>
    <w:rsid w:val="00414647"/>
    <w:rsid w:val="0041464D"/>
    <w:rsid w:val="00414782"/>
    <w:rsid w:val="004149BE"/>
    <w:rsid w:val="00414B2E"/>
    <w:rsid w:val="00414C4D"/>
    <w:rsid w:val="00414C5F"/>
    <w:rsid w:val="00414F70"/>
    <w:rsid w:val="00414FF0"/>
    <w:rsid w:val="0041502C"/>
    <w:rsid w:val="00415060"/>
    <w:rsid w:val="00415106"/>
    <w:rsid w:val="004151F7"/>
    <w:rsid w:val="004152AE"/>
    <w:rsid w:val="004152CA"/>
    <w:rsid w:val="004153C2"/>
    <w:rsid w:val="00415423"/>
    <w:rsid w:val="004154AD"/>
    <w:rsid w:val="00415567"/>
    <w:rsid w:val="00415698"/>
    <w:rsid w:val="00415800"/>
    <w:rsid w:val="004158A9"/>
    <w:rsid w:val="004159C6"/>
    <w:rsid w:val="00415AEB"/>
    <w:rsid w:val="00415C5D"/>
    <w:rsid w:val="00415CEE"/>
    <w:rsid w:val="00415DAE"/>
    <w:rsid w:val="00415E25"/>
    <w:rsid w:val="00415E87"/>
    <w:rsid w:val="00415EFE"/>
    <w:rsid w:val="00415F3F"/>
    <w:rsid w:val="00415FF5"/>
    <w:rsid w:val="0041613F"/>
    <w:rsid w:val="00416284"/>
    <w:rsid w:val="0041649E"/>
    <w:rsid w:val="0041652B"/>
    <w:rsid w:val="004165AF"/>
    <w:rsid w:val="004165F2"/>
    <w:rsid w:val="00416619"/>
    <w:rsid w:val="004166D8"/>
    <w:rsid w:val="00416942"/>
    <w:rsid w:val="00416969"/>
    <w:rsid w:val="004169E2"/>
    <w:rsid w:val="00416B7F"/>
    <w:rsid w:val="00416BE5"/>
    <w:rsid w:val="00416C2B"/>
    <w:rsid w:val="00416C40"/>
    <w:rsid w:val="00416C51"/>
    <w:rsid w:val="00416D9D"/>
    <w:rsid w:val="00416DC1"/>
    <w:rsid w:val="00416DE3"/>
    <w:rsid w:val="00416E00"/>
    <w:rsid w:val="00416E1B"/>
    <w:rsid w:val="00416E71"/>
    <w:rsid w:val="00416EA9"/>
    <w:rsid w:val="00416FD7"/>
    <w:rsid w:val="00416FF0"/>
    <w:rsid w:val="0041727B"/>
    <w:rsid w:val="00417373"/>
    <w:rsid w:val="00417414"/>
    <w:rsid w:val="004175A5"/>
    <w:rsid w:val="00417672"/>
    <w:rsid w:val="0041768D"/>
    <w:rsid w:val="004176E7"/>
    <w:rsid w:val="00417735"/>
    <w:rsid w:val="004177ED"/>
    <w:rsid w:val="0041782B"/>
    <w:rsid w:val="00417881"/>
    <w:rsid w:val="00417B83"/>
    <w:rsid w:val="00417BB5"/>
    <w:rsid w:val="00417BC7"/>
    <w:rsid w:val="00417C29"/>
    <w:rsid w:val="00417E14"/>
    <w:rsid w:val="00417E3B"/>
    <w:rsid w:val="00417ED7"/>
    <w:rsid w:val="00417F17"/>
    <w:rsid w:val="00420024"/>
    <w:rsid w:val="00420226"/>
    <w:rsid w:val="004202C4"/>
    <w:rsid w:val="004204A7"/>
    <w:rsid w:val="00420889"/>
    <w:rsid w:val="0042089F"/>
    <w:rsid w:val="004208B6"/>
    <w:rsid w:val="00420BB9"/>
    <w:rsid w:val="00420CE3"/>
    <w:rsid w:val="00420EE0"/>
    <w:rsid w:val="00420F9F"/>
    <w:rsid w:val="00420FBF"/>
    <w:rsid w:val="004210CA"/>
    <w:rsid w:val="00421118"/>
    <w:rsid w:val="00421159"/>
    <w:rsid w:val="00421163"/>
    <w:rsid w:val="004216E5"/>
    <w:rsid w:val="00421741"/>
    <w:rsid w:val="00421763"/>
    <w:rsid w:val="0042187B"/>
    <w:rsid w:val="0042192F"/>
    <w:rsid w:val="0042196A"/>
    <w:rsid w:val="00421BCB"/>
    <w:rsid w:val="00421C23"/>
    <w:rsid w:val="00421CEB"/>
    <w:rsid w:val="00421E14"/>
    <w:rsid w:val="0042200A"/>
    <w:rsid w:val="004220FD"/>
    <w:rsid w:val="004221EF"/>
    <w:rsid w:val="00422410"/>
    <w:rsid w:val="0042289F"/>
    <w:rsid w:val="00422987"/>
    <w:rsid w:val="004229CB"/>
    <w:rsid w:val="00422B3A"/>
    <w:rsid w:val="00422BE8"/>
    <w:rsid w:val="00422C9A"/>
    <w:rsid w:val="00422D59"/>
    <w:rsid w:val="00422F8D"/>
    <w:rsid w:val="004230FC"/>
    <w:rsid w:val="00423153"/>
    <w:rsid w:val="004231A3"/>
    <w:rsid w:val="004232A3"/>
    <w:rsid w:val="00423632"/>
    <w:rsid w:val="00423663"/>
    <w:rsid w:val="00423788"/>
    <w:rsid w:val="00423832"/>
    <w:rsid w:val="0042386B"/>
    <w:rsid w:val="004239DD"/>
    <w:rsid w:val="00423A63"/>
    <w:rsid w:val="00423A75"/>
    <w:rsid w:val="00423C85"/>
    <w:rsid w:val="00423C89"/>
    <w:rsid w:val="00423CB8"/>
    <w:rsid w:val="00423D0C"/>
    <w:rsid w:val="00423D77"/>
    <w:rsid w:val="00423E66"/>
    <w:rsid w:val="00423F9C"/>
    <w:rsid w:val="00424076"/>
    <w:rsid w:val="00424107"/>
    <w:rsid w:val="004241F1"/>
    <w:rsid w:val="004242AF"/>
    <w:rsid w:val="004243CD"/>
    <w:rsid w:val="004243DE"/>
    <w:rsid w:val="00424538"/>
    <w:rsid w:val="0042490E"/>
    <w:rsid w:val="00424A54"/>
    <w:rsid w:val="00424A6C"/>
    <w:rsid w:val="00424BD3"/>
    <w:rsid w:val="00424CEF"/>
    <w:rsid w:val="00424D1B"/>
    <w:rsid w:val="00424D4B"/>
    <w:rsid w:val="00424D52"/>
    <w:rsid w:val="00424EFD"/>
    <w:rsid w:val="004250A9"/>
    <w:rsid w:val="004250DA"/>
    <w:rsid w:val="00425215"/>
    <w:rsid w:val="00425467"/>
    <w:rsid w:val="00425728"/>
    <w:rsid w:val="00425840"/>
    <w:rsid w:val="004258D4"/>
    <w:rsid w:val="00425953"/>
    <w:rsid w:val="004259B6"/>
    <w:rsid w:val="00425A39"/>
    <w:rsid w:val="00425A77"/>
    <w:rsid w:val="00425BE2"/>
    <w:rsid w:val="00425C53"/>
    <w:rsid w:val="00425D8B"/>
    <w:rsid w:val="00425F0E"/>
    <w:rsid w:val="00425F47"/>
    <w:rsid w:val="00426014"/>
    <w:rsid w:val="00426032"/>
    <w:rsid w:val="004260D0"/>
    <w:rsid w:val="00426130"/>
    <w:rsid w:val="00426210"/>
    <w:rsid w:val="00426323"/>
    <w:rsid w:val="004263D4"/>
    <w:rsid w:val="00426444"/>
    <w:rsid w:val="0042645F"/>
    <w:rsid w:val="004264A5"/>
    <w:rsid w:val="004265ED"/>
    <w:rsid w:val="004266DD"/>
    <w:rsid w:val="0042670A"/>
    <w:rsid w:val="004268A5"/>
    <w:rsid w:val="00426AFB"/>
    <w:rsid w:val="00426B50"/>
    <w:rsid w:val="00426CAA"/>
    <w:rsid w:val="00426D3C"/>
    <w:rsid w:val="00426D46"/>
    <w:rsid w:val="00426D9B"/>
    <w:rsid w:val="00426F22"/>
    <w:rsid w:val="00426F9B"/>
    <w:rsid w:val="00427159"/>
    <w:rsid w:val="00427175"/>
    <w:rsid w:val="004272E9"/>
    <w:rsid w:val="00427316"/>
    <w:rsid w:val="0042745C"/>
    <w:rsid w:val="0042755E"/>
    <w:rsid w:val="00427718"/>
    <w:rsid w:val="0042779E"/>
    <w:rsid w:val="004277E0"/>
    <w:rsid w:val="0042791B"/>
    <w:rsid w:val="00427B85"/>
    <w:rsid w:val="00427C2F"/>
    <w:rsid w:val="00427CE2"/>
    <w:rsid w:val="00427D67"/>
    <w:rsid w:val="00427D7F"/>
    <w:rsid w:val="00427E82"/>
    <w:rsid w:val="00430041"/>
    <w:rsid w:val="00430122"/>
    <w:rsid w:val="0043016B"/>
    <w:rsid w:val="004301AA"/>
    <w:rsid w:val="004301D8"/>
    <w:rsid w:val="00430286"/>
    <w:rsid w:val="00430293"/>
    <w:rsid w:val="004302CF"/>
    <w:rsid w:val="00430505"/>
    <w:rsid w:val="0043053F"/>
    <w:rsid w:val="004305B5"/>
    <w:rsid w:val="004307F7"/>
    <w:rsid w:val="00430854"/>
    <w:rsid w:val="0043088C"/>
    <w:rsid w:val="004309F0"/>
    <w:rsid w:val="00430D05"/>
    <w:rsid w:val="00430F0D"/>
    <w:rsid w:val="00430FA2"/>
    <w:rsid w:val="004313A5"/>
    <w:rsid w:val="0043150E"/>
    <w:rsid w:val="004315B4"/>
    <w:rsid w:val="0043164A"/>
    <w:rsid w:val="0043180B"/>
    <w:rsid w:val="00431A87"/>
    <w:rsid w:val="00431B82"/>
    <w:rsid w:val="00431BA6"/>
    <w:rsid w:val="00431EA8"/>
    <w:rsid w:val="00431FB4"/>
    <w:rsid w:val="00432305"/>
    <w:rsid w:val="004324E9"/>
    <w:rsid w:val="004324F7"/>
    <w:rsid w:val="00432500"/>
    <w:rsid w:val="00432529"/>
    <w:rsid w:val="004326DA"/>
    <w:rsid w:val="004327DF"/>
    <w:rsid w:val="004328EF"/>
    <w:rsid w:val="00432914"/>
    <w:rsid w:val="00432ABC"/>
    <w:rsid w:val="00432DC5"/>
    <w:rsid w:val="00433245"/>
    <w:rsid w:val="00433395"/>
    <w:rsid w:val="00433412"/>
    <w:rsid w:val="0043377E"/>
    <w:rsid w:val="00433792"/>
    <w:rsid w:val="00433A18"/>
    <w:rsid w:val="00433A50"/>
    <w:rsid w:val="00433AB5"/>
    <w:rsid w:val="00433C25"/>
    <w:rsid w:val="00433D79"/>
    <w:rsid w:val="00434159"/>
    <w:rsid w:val="00434160"/>
    <w:rsid w:val="004342B1"/>
    <w:rsid w:val="004342EC"/>
    <w:rsid w:val="00434301"/>
    <w:rsid w:val="004343A3"/>
    <w:rsid w:val="004344AC"/>
    <w:rsid w:val="00434561"/>
    <w:rsid w:val="0043465E"/>
    <w:rsid w:val="0043467E"/>
    <w:rsid w:val="00434783"/>
    <w:rsid w:val="0043497A"/>
    <w:rsid w:val="0043498F"/>
    <w:rsid w:val="00434AA7"/>
    <w:rsid w:val="00434B41"/>
    <w:rsid w:val="00434C23"/>
    <w:rsid w:val="00434C3E"/>
    <w:rsid w:val="00434CC6"/>
    <w:rsid w:val="00434E89"/>
    <w:rsid w:val="00434EA2"/>
    <w:rsid w:val="00434F4E"/>
    <w:rsid w:val="00434FF5"/>
    <w:rsid w:val="004352AA"/>
    <w:rsid w:val="004352C6"/>
    <w:rsid w:val="00435447"/>
    <w:rsid w:val="00435541"/>
    <w:rsid w:val="00435546"/>
    <w:rsid w:val="00435597"/>
    <w:rsid w:val="00435631"/>
    <w:rsid w:val="004356CA"/>
    <w:rsid w:val="00435713"/>
    <w:rsid w:val="004357E3"/>
    <w:rsid w:val="00435C09"/>
    <w:rsid w:val="00435CA0"/>
    <w:rsid w:val="00435CB4"/>
    <w:rsid w:val="00436034"/>
    <w:rsid w:val="0043621A"/>
    <w:rsid w:val="00436348"/>
    <w:rsid w:val="00436464"/>
    <w:rsid w:val="004364B9"/>
    <w:rsid w:val="004366AE"/>
    <w:rsid w:val="00436706"/>
    <w:rsid w:val="0043676B"/>
    <w:rsid w:val="00436885"/>
    <w:rsid w:val="00436943"/>
    <w:rsid w:val="00436984"/>
    <w:rsid w:val="00436AA8"/>
    <w:rsid w:val="00436BEB"/>
    <w:rsid w:val="00436EC4"/>
    <w:rsid w:val="004371B2"/>
    <w:rsid w:val="004371D1"/>
    <w:rsid w:val="004371F7"/>
    <w:rsid w:val="004372C2"/>
    <w:rsid w:val="004375F5"/>
    <w:rsid w:val="00437619"/>
    <w:rsid w:val="0043762A"/>
    <w:rsid w:val="004377AD"/>
    <w:rsid w:val="004378DA"/>
    <w:rsid w:val="00437947"/>
    <w:rsid w:val="004379B9"/>
    <w:rsid w:val="004379DB"/>
    <w:rsid w:val="00437C2D"/>
    <w:rsid w:val="00437F6C"/>
    <w:rsid w:val="00440136"/>
    <w:rsid w:val="00440256"/>
    <w:rsid w:val="0044056A"/>
    <w:rsid w:val="00440598"/>
    <w:rsid w:val="004405F0"/>
    <w:rsid w:val="00440848"/>
    <w:rsid w:val="00440A02"/>
    <w:rsid w:val="00440AF7"/>
    <w:rsid w:val="00440B11"/>
    <w:rsid w:val="00440C3F"/>
    <w:rsid w:val="00440E49"/>
    <w:rsid w:val="00440FFB"/>
    <w:rsid w:val="004412F2"/>
    <w:rsid w:val="004412F3"/>
    <w:rsid w:val="0044134F"/>
    <w:rsid w:val="00441393"/>
    <w:rsid w:val="00441710"/>
    <w:rsid w:val="004418D5"/>
    <w:rsid w:val="004418DA"/>
    <w:rsid w:val="0044193D"/>
    <w:rsid w:val="00441BE2"/>
    <w:rsid w:val="00441D3D"/>
    <w:rsid w:val="00441DE3"/>
    <w:rsid w:val="00441EFF"/>
    <w:rsid w:val="00441FC9"/>
    <w:rsid w:val="00441FED"/>
    <w:rsid w:val="004421A1"/>
    <w:rsid w:val="004422D0"/>
    <w:rsid w:val="004423DE"/>
    <w:rsid w:val="00442473"/>
    <w:rsid w:val="004424CE"/>
    <w:rsid w:val="004424D7"/>
    <w:rsid w:val="004424FF"/>
    <w:rsid w:val="00442602"/>
    <w:rsid w:val="00442612"/>
    <w:rsid w:val="0044265C"/>
    <w:rsid w:val="00442720"/>
    <w:rsid w:val="00442859"/>
    <w:rsid w:val="00442AAB"/>
    <w:rsid w:val="00442B11"/>
    <w:rsid w:val="00442C6B"/>
    <w:rsid w:val="00442CCD"/>
    <w:rsid w:val="00442D95"/>
    <w:rsid w:val="00442DA7"/>
    <w:rsid w:val="00442DBB"/>
    <w:rsid w:val="00442E30"/>
    <w:rsid w:val="00442E51"/>
    <w:rsid w:val="00442F4C"/>
    <w:rsid w:val="00442FAD"/>
    <w:rsid w:val="00442FAE"/>
    <w:rsid w:val="004430DA"/>
    <w:rsid w:val="0044333B"/>
    <w:rsid w:val="0044337B"/>
    <w:rsid w:val="004433EE"/>
    <w:rsid w:val="0044369D"/>
    <w:rsid w:val="004436B6"/>
    <w:rsid w:val="00443714"/>
    <w:rsid w:val="00443A84"/>
    <w:rsid w:val="00443B2D"/>
    <w:rsid w:val="00443DD9"/>
    <w:rsid w:val="00443DF3"/>
    <w:rsid w:val="00443E22"/>
    <w:rsid w:val="0044403D"/>
    <w:rsid w:val="004440CD"/>
    <w:rsid w:val="00444210"/>
    <w:rsid w:val="0044424D"/>
    <w:rsid w:val="0044433E"/>
    <w:rsid w:val="00444405"/>
    <w:rsid w:val="004444CD"/>
    <w:rsid w:val="00444502"/>
    <w:rsid w:val="004445CA"/>
    <w:rsid w:val="004445FC"/>
    <w:rsid w:val="00444629"/>
    <w:rsid w:val="0044491C"/>
    <w:rsid w:val="00444964"/>
    <w:rsid w:val="00444A66"/>
    <w:rsid w:val="00444AA8"/>
    <w:rsid w:val="00444D89"/>
    <w:rsid w:val="00444E0E"/>
    <w:rsid w:val="00444FF3"/>
    <w:rsid w:val="004452A1"/>
    <w:rsid w:val="00445403"/>
    <w:rsid w:val="0044545D"/>
    <w:rsid w:val="0044547D"/>
    <w:rsid w:val="004455A8"/>
    <w:rsid w:val="00445606"/>
    <w:rsid w:val="00445651"/>
    <w:rsid w:val="0044567A"/>
    <w:rsid w:val="004457C6"/>
    <w:rsid w:val="0044587F"/>
    <w:rsid w:val="004458A3"/>
    <w:rsid w:val="004459A0"/>
    <w:rsid w:val="00445A77"/>
    <w:rsid w:val="00445A79"/>
    <w:rsid w:val="00445BAA"/>
    <w:rsid w:val="00445CEF"/>
    <w:rsid w:val="00445D12"/>
    <w:rsid w:val="00445D43"/>
    <w:rsid w:val="00445E56"/>
    <w:rsid w:val="00445EBE"/>
    <w:rsid w:val="00445FE2"/>
    <w:rsid w:val="00446028"/>
    <w:rsid w:val="0044617E"/>
    <w:rsid w:val="004462BE"/>
    <w:rsid w:val="004462C8"/>
    <w:rsid w:val="00446346"/>
    <w:rsid w:val="00446456"/>
    <w:rsid w:val="0044646E"/>
    <w:rsid w:val="00446472"/>
    <w:rsid w:val="00446528"/>
    <w:rsid w:val="0044657C"/>
    <w:rsid w:val="004467DE"/>
    <w:rsid w:val="00446832"/>
    <w:rsid w:val="004469CD"/>
    <w:rsid w:val="00446AF0"/>
    <w:rsid w:val="00446B57"/>
    <w:rsid w:val="00446D16"/>
    <w:rsid w:val="00446DA0"/>
    <w:rsid w:val="00447146"/>
    <w:rsid w:val="00447193"/>
    <w:rsid w:val="00447206"/>
    <w:rsid w:val="00447292"/>
    <w:rsid w:val="004472C6"/>
    <w:rsid w:val="0044733D"/>
    <w:rsid w:val="0044737A"/>
    <w:rsid w:val="0044751D"/>
    <w:rsid w:val="00447793"/>
    <w:rsid w:val="00447915"/>
    <w:rsid w:val="00447943"/>
    <w:rsid w:val="00447D69"/>
    <w:rsid w:val="00447E35"/>
    <w:rsid w:val="00447EA3"/>
    <w:rsid w:val="00447F02"/>
    <w:rsid w:val="00450080"/>
    <w:rsid w:val="00450328"/>
    <w:rsid w:val="004508C9"/>
    <w:rsid w:val="0045097B"/>
    <w:rsid w:val="00450AAD"/>
    <w:rsid w:val="00450AD7"/>
    <w:rsid w:val="00450B4E"/>
    <w:rsid w:val="00450BFC"/>
    <w:rsid w:val="00450CF1"/>
    <w:rsid w:val="00450D2F"/>
    <w:rsid w:val="00450DF4"/>
    <w:rsid w:val="00450E1E"/>
    <w:rsid w:val="00450E32"/>
    <w:rsid w:val="00450E99"/>
    <w:rsid w:val="00450EEB"/>
    <w:rsid w:val="0045103D"/>
    <w:rsid w:val="004510A5"/>
    <w:rsid w:val="004510D7"/>
    <w:rsid w:val="004512A2"/>
    <w:rsid w:val="00451351"/>
    <w:rsid w:val="004513D8"/>
    <w:rsid w:val="00451406"/>
    <w:rsid w:val="00451425"/>
    <w:rsid w:val="0045145A"/>
    <w:rsid w:val="00451483"/>
    <w:rsid w:val="004514BC"/>
    <w:rsid w:val="0045153E"/>
    <w:rsid w:val="004516F0"/>
    <w:rsid w:val="0045184D"/>
    <w:rsid w:val="00451936"/>
    <w:rsid w:val="00451B35"/>
    <w:rsid w:val="00451C0E"/>
    <w:rsid w:val="00451E2B"/>
    <w:rsid w:val="00451E39"/>
    <w:rsid w:val="00451FDF"/>
    <w:rsid w:val="00452071"/>
    <w:rsid w:val="004520A5"/>
    <w:rsid w:val="00452149"/>
    <w:rsid w:val="004521EA"/>
    <w:rsid w:val="00452205"/>
    <w:rsid w:val="00452227"/>
    <w:rsid w:val="0045238F"/>
    <w:rsid w:val="00452392"/>
    <w:rsid w:val="004524DC"/>
    <w:rsid w:val="0045251C"/>
    <w:rsid w:val="00452713"/>
    <w:rsid w:val="004527B9"/>
    <w:rsid w:val="00452845"/>
    <w:rsid w:val="00452936"/>
    <w:rsid w:val="00452938"/>
    <w:rsid w:val="00452A3A"/>
    <w:rsid w:val="00452ABD"/>
    <w:rsid w:val="00452C6C"/>
    <w:rsid w:val="00452C97"/>
    <w:rsid w:val="00452CA4"/>
    <w:rsid w:val="00452DCE"/>
    <w:rsid w:val="00452E0F"/>
    <w:rsid w:val="00452F35"/>
    <w:rsid w:val="00452FD2"/>
    <w:rsid w:val="00453030"/>
    <w:rsid w:val="004530B9"/>
    <w:rsid w:val="00453110"/>
    <w:rsid w:val="004533BA"/>
    <w:rsid w:val="004533EB"/>
    <w:rsid w:val="00453414"/>
    <w:rsid w:val="00453460"/>
    <w:rsid w:val="004535A2"/>
    <w:rsid w:val="00453665"/>
    <w:rsid w:val="0045376B"/>
    <w:rsid w:val="004538DC"/>
    <w:rsid w:val="0045392B"/>
    <w:rsid w:val="004539D3"/>
    <w:rsid w:val="00453A92"/>
    <w:rsid w:val="00453AFA"/>
    <w:rsid w:val="00453B32"/>
    <w:rsid w:val="00453B9B"/>
    <w:rsid w:val="00453C43"/>
    <w:rsid w:val="00453DBA"/>
    <w:rsid w:val="00453DE0"/>
    <w:rsid w:val="00453E03"/>
    <w:rsid w:val="00453E8D"/>
    <w:rsid w:val="00453F06"/>
    <w:rsid w:val="0045400F"/>
    <w:rsid w:val="00454100"/>
    <w:rsid w:val="0045410E"/>
    <w:rsid w:val="004541F2"/>
    <w:rsid w:val="0045431E"/>
    <w:rsid w:val="00454466"/>
    <w:rsid w:val="0045447A"/>
    <w:rsid w:val="004544C0"/>
    <w:rsid w:val="004544D8"/>
    <w:rsid w:val="004544D9"/>
    <w:rsid w:val="00454572"/>
    <w:rsid w:val="00454711"/>
    <w:rsid w:val="00454799"/>
    <w:rsid w:val="004547EC"/>
    <w:rsid w:val="004547EF"/>
    <w:rsid w:val="0045497A"/>
    <w:rsid w:val="00454A19"/>
    <w:rsid w:val="00454A35"/>
    <w:rsid w:val="00454BA0"/>
    <w:rsid w:val="00454BAF"/>
    <w:rsid w:val="00454BDA"/>
    <w:rsid w:val="00454D6B"/>
    <w:rsid w:val="00454E67"/>
    <w:rsid w:val="00454E95"/>
    <w:rsid w:val="00454FAC"/>
    <w:rsid w:val="00454FC6"/>
    <w:rsid w:val="00455001"/>
    <w:rsid w:val="0045539E"/>
    <w:rsid w:val="004553FE"/>
    <w:rsid w:val="00455433"/>
    <w:rsid w:val="004555BC"/>
    <w:rsid w:val="004555D0"/>
    <w:rsid w:val="004556C6"/>
    <w:rsid w:val="0045574E"/>
    <w:rsid w:val="00455975"/>
    <w:rsid w:val="00455A33"/>
    <w:rsid w:val="00455A69"/>
    <w:rsid w:val="00455DDE"/>
    <w:rsid w:val="00455E1C"/>
    <w:rsid w:val="00455E3F"/>
    <w:rsid w:val="00455E45"/>
    <w:rsid w:val="00455E71"/>
    <w:rsid w:val="00456091"/>
    <w:rsid w:val="00456267"/>
    <w:rsid w:val="0045627D"/>
    <w:rsid w:val="0045632B"/>
    <w:rsid w:val="004563DB"/>
    <w:rsid w:val="004563E8"/>
    <w:rsid w:val="00456410"/>
    <w:rsid w:val="00456419"/>
    <w:rsid w:val="004564FA"/>
    <w:rsid w:val="0045652C"/>
    <w:rsid w:val="004567E0"/>
    <w:rsid w:val="00456B6E"/>
    <w:rsid w:val="00456B95"/>
    <w:rsid w:val="00456C4C"/>
    <w:rsid w:val="00456D8E"/>
    <w:rsid w:val="00457450"/>
    <w:rsid w:val="0045747A"/>
    <w:rsid w:val="0045749F"/>
    <w:rsid w:val="00457577"/>
    <w:rsid w:val="0045765B"/>
    <w:rsid w:val="0045775F"/>
    <w:rsid w:val="0045787A"/>
    <w:rsid w:val="004579C0"/>
    <w:rsid w:val="00457A96"/>
    <w:rsid w:val="00457AFC"/>
    <w:rsid w:val="00457B1F"/>
    <w:rsid w:val="00457BB6"/>
    <w:rsid w:val="00457C75"/>
    <w:rsid w:val="00457CB6"/>
    <w:rsid w:val="00457CD4"/>
    <w:rsid w:val="00457E15"/>
    <w:rsid w:val="00457E79"/>
    <w:rsid w:val="00457EE5"/>
    <w:rsid w:val="00457F5C"/>
    <w:rsid w:val="00457F6B"/>
    <w:rsid w:val="004600D0"/>
    <w:rsid w:val="00460183"/>
    <w:rsid w:val="004603B7"/>
    <w:rsid w:val="00460406"/>
    <w:rsid w:val="00460442"/>
    <w:rsid w:val="0046049A"/>
    <w:rsid w:val="004604EB"/>
    <w:rsid w:val="00460564"/>
    <w:rsid w:val="0046062C"/>
    <w:rsid w:val="004606B2"/>
    <w:rsid w:val="004608D8"/>
    <w:rsid w:val="00460AAB"/>
    <w:rsid w:val="00460B7D"/>
    <w:rsid w:val="00460C00"/>
    <w:rsid w:val="00460D93"/>
    <w:rsid w:val="00460ED0"/>
    <w:rsid w:val="004613D2"/>
    <w:rsid w:val="004615B0"/>
    <w:rsid w:val="004615E9"/>
    <w:rsid w:val="00461616"/>
    <w:rsid w:val="004619A3"/>
    <w:rsid w:val="00461AB0"/>
    <w:rsid w:val="00461DED"/>
    <w:rsid w:val="00461E01"/>
    <w:rsid w:val="00461E1C"/>
    <w:rsid w:val="00461EB7"/>
    <w:rsid w:val="0046203B"/>
    <w:rsid w:val="0046229C"/>
    <w:rsid w:val="00462310"/>
    <w:rsid w:val="00462376"/>
    <w:rsid w:val="004623AA"/>
    <w:rsid w:val="0046242F"/>
    <w:rsid w:val="0046247C"/>
    <w:rsid w:val="004624DF"/>
    <w:rsid w:val="00462569"/>
    <w:rsid w:val="004625CA"/>
    <w:rsid w:val="00462690"/>
    <w:rsid w:val="00462770"/>
    <w:rsid w:val="00462788"/>
    <w:rsid w:val="004627FF"/>
    <w:rsid w:val="00462895"/>
    <w:rsid w:val="00462A24"/>
    <w:rsid w:val="00462D03"/>
    <w:rsid w:val="00462DFC"/>
    <w:rsid w:val="00462EE2"/>
    <w:rsid w:val="00463158"/>
    <w:rsid w:val="0046317F"/>
    <w:rsid w:val="004631CF"/>
    <w:rsid w:val="00463256"/>
    <w:rsid w:val="00463379"/>
    <w:rsid w:val="004633EA"/>
    <w:rsid w:val="0046341B"/>
    <w:rsid w:val="0046347C"/>
    <w:rsid w:val="00463526"/>
    <w:rsid w:val="0046373F"/>
    <w:rsid w:val="004637D2"/>
    <w:rsid w:val="00463876"/>
    <w:rsid w:val="004638B2"/>
    <w:rsid w:val="00463B18"/>
    <w:rsid w:val="00463D54"/>
    <w:rsid w:val="00463D63"/>
    <w:rsid w:val="00463D9C"/>
    <w:rsid w:val="00463DA8"/>
    <w:rsid w:val="00463F5B"/>
    <w:rsid w:val="00463F6B"/>
    <w:rsid w:val="00463FC2"/>
    <w:rsid w:val="0046403B"/>
    <w:rsid w:val="004640A5"/>
    <w:rsid w:val="004640E7"/>
    <w:rsid w:val="004642C4"/>
    <w:rsid w:val="00464310"/>
    <w:rsid w:val="0046431D"/>
    <w:rsid w:val="00464423"/>
    <w:rsid w:val="00464459"/>
    <w:rsid w:val="0046449D"/>
    <w:rsid w:val="00464565"/>
    <w:rsid w:val="004645B4"/>
    <w:rsid w:val="0046476C"/>
    <w:rsid w:val="0046478B"/>
    <w:rsid w:val="004647FB"/>
    <w:rsid w:val="004649D5"/>
    <w:rsid w:val="00464AE1"/>
    <w:rsid w:val="00464B8A"/>
    <w:rsid w:val="00464CF5"/>
    <w:rsid w:val="00464E22"/>
    <w:rsid w:val="00464E57"/>
    <w:rsid w:val="00464E5A"/>
    <w:rsid w:val="00464F02"/>
    <w:rsid w:val="004654D2"/>
    <w:rsid w:val="004656CF"/>
    <w:rsid w:val="00465734"/>
    <w:rsid w:val="0046577F"/>
    <w:rsid w:val="004657A5"/>
    <w:rsid w:val="00465828"/>
    <w:rsid w:val="00465992"/>
    <w:rsid w:val="00465996"/>
    <w:rsid w:val="00465BC7"/>
    <w:rsid w:val="00465C0E"/>
    <w:rsid w:val="00465C17"/>
    <w:rsid w:val="00465CD9"/>
    <w:rsid w:val="00465D1B"/>
    <w:rsid w:val="00465D43"/>
    <w:rsid w:val="0046610E"/>
    <w:rsid w:val="00466134"/>
    <w:rsid w:val="004661DD"/>
    <w:rsid w:val="00466268"/>
    <w:rsid w:val="0046643E"/>
    <w:rsid w:val="004665A3"/>
    <w:rsid w:val="00466649"/>
    <w:rsid w:val="0046679D"/>
    <w:rsid w:val="00466843"/>
    <w:rsid w:val="00466892"/>
    <w:rsid w:val="00466A2B"/>
    <w:rsid w:val="00466A4E"/>
    <w:rsid w:val="00466B6D"/>
    <w:rsid w:val="00466BBB"/>
    <w:rsid w:val="00466C6C"/>
    <w:rsid w:val="00466E4B"/>
    <w:rsid w:val="00466E76"/>
    <w:rsid w:val="00467070"/>
    <w:rsid w:val="0046723B"/>
    <w:rsid w:val="00467382"/>
    <w:rsid w:val="0046744D"/>
    <w:rsid w:val="0046750A"/>
    <w:rsid w:val="0046753F"/>
    <w:rsid w:val="00467596"/>
    <w:rsid w:val="0046797A"/>
    <w:rsid w:val="004679DB"/>
    <w:rsid w:val="00467AB5"/>
    <w:rsid w:val="00467D08"/>
    <w:rsid w:val="00467DB3"/>
    <w:rsid w:val="00467DF6"/>
    <w:rsid w:val="00467E44"/>
    <w:rsid w:val="00467E86"/>
    <w:rsid w:val="00467EAF"/>
    <w:rsid w:val="004702F1"/>
    <w:rsid w:val="0047047F"/>
    <w:rsid w:val="0047058D"/>
    <w:rsid w:val="00470617"/>
    <w:rsid w:val="00470685"/>
    <w:rsid w:val="0047069C"/>
    <w:rsid w:val="0047071E"/>
    <w:rsid w:val="00470818"/>
    <w:rsid w:val="004708DA"/>
    <w:rsid w:val="004708F6"/>
    <w:rsid w:val="00470CB1"/>
    <w:rsid w:val="00470CE5"/>
    <w:rsid w:val="00470CF1"/>
    <w:rsid w:val="00470CF2"/>
    <w:rsid w:val="00471018"/>
    <w:rsid w:val="00471096"/>
    <w:rsid w:val="0047110B"/>
    <w:rsid w:val="004711A2"/>
    <w:rsid w:val="00471204"/>
    <w:rsid w:val="0047126C"/>
    <w:rsid w:val="00471320"/>
    <w:rsid w:val="0047135C"/>
    <w:rsid w:val="004713CF"/>
    <w:rsid w:val="004715B2"/>
    <w:rsid w:val="004716A0"/>
    <w:rsid w:val="004717B8"/>
    <w:rsid w:val="0047186B"/>
    <w:rsid w:val="004718A4"/>
    <w:rsid w:val="004718FB"/>
    <w:rsid w:val="00471911"/>
    <w:rsid w:val="004719EE"/>
    <w:rsid w:val="00471A8A"/>
    <w:rsid w:val="00471B7F"/>
    <w:rsid w:val="00471BFA"/>
    <w:rsid w:val="00471C06"/>
    <w:rsid w:val="00471D1C"/>
    <w:rsid w:val="00471DDB"/>
    <w:rsid w:val="00471E8A"/>
    <w:rsid w:val="00471EDB"/>
    <w:rsid w:val="00471FC9"/>
    <w:rsid w:val="00472092"/>
    <w:rsid w:val="004722B3"/>
    <w:rsid w:val="0047231C"/>
    <w:rsid w:val="0047241C"/>
    <w:rsid w:val="004726CE"/>
    <w:rsid w:val="00472748"/>
    <w:rsid w:val="00472903"/>
    <w:rsid w:val="0047298E"/>
    <w:rsid w:val="00472A21"/>
    <w:rsid w:val="00472A83"/>
    <w:rsid w:val="00472ADD"/>
    <w:rsid w:val="00472B49"/>
    <w:rsid w:val="00472D51"/>
    <w:rsid w:val="00472E02"/>
    <w:rsid w:val="00472EDA"/>
    <w:rsid w:val="0047304B"/>
    <w:rsid w:val="004730D5"/>
    <w:rsid w:val="00473178"/>
    <w:rsid w:val="004731EC"/>
    <w:rsid w:val="0047329A"/>
    <w:rsid w:val="0047331B"/>
    <w:rsid w:val="00473488"/>
    <w:rsid w:val="004734A4"/>
    <w:rsid w:val="004734DC"/>
    <w:rsid w:val="0047358C"/>
    <w:rsid w:val="004736FA"/>
    <w:rsid w:val="004738AA"/>
    <w:rsid w:val="004738D1"/>
    <w:rsid w:val="00473ABD"/>
    <w:rsid w:val="00473AEB"/>
    <w:rsid w:val="00473AED"/>
    <w:rsid w:val="00473BF3"/>
    <w:rsid w:val="00473E00"/>
    <w:rsid w:val="00473F70"/>
    <w:rsid w:val="00473FF5"/>
    <w:rsid w:val="0047401B"/>
    <w:rsid w:val="004743C3"/>
    <w:rsid w:val="004744D4"/>
    <w:rsid w:val="00474588"/>
    <w:rsid w:val="00474632"/>
    <w:rsid w:val="0047466A"/>
    <w:rsid w:val="00474673"/>
    <w:rsid w:val="00474731"/>
    <w:rsid w:val="00474808"/>
    <w:rsid w:val="00474A55"/>
    <w:rsid w:val="00474B00"/>
    <w:rsid w:val="00474B95"/>
    <w:rsid w:val="00474CC6"/>
    <w:rsid w:val="00474DD4"/>
    <w:rsid w:val="00474FBA"/>
    <w:rsid w:val="004750C6"/>
    <w:rsid w:val="004750ED"/>
    <w:rsid w:val="004750FA"/>
    <w:rsid w:val="004751C1"/>
    <w:rsid w:val="004751CB"/>
    <w:rsid w:val="00475514"/>
    <w:rsid w:val="0047561A"/>
    <w:rsid w:val="004757C4"/>
    <w:rsid w:val="004759F5"/>
    <w:rsid w:val="004759FE"/>
    <w:rsid w:val="00475A1F"/>
    <w:rsid w:val="00475A7D"/>
    <w:rsid w:val="00475BE6"/>
    <w:rsid w:val="00475C4C"/>
    <w:rsid w:val="00475C4D"/>
    <w:rsid w:val="00475CBD"/>
    <w:rsid w:val="00475DAA"/>
    <w:rsid w:val="00475DF0"/>
    <w:rsid w:val="00475E63"/>
    <w:rsid w:val="00475E8A"/>
    <w:rsid w:val="00475E8E"/>
    <w:rsid w:val="00475E90"/>
    <w:rsid w:val="00475ED9"/>
    <w:rsid w:val="00475F81"/>
    <w:rsid w:val="00475FD9"/>
    <w:rsid w:val="0047627D"/>
    <w:rsid w:val="004763E2"/>
    <w:rsid w:val="00476709"/>
    <w:rsid w:val="00476791"/>
    <w:rsid w:val="00476A03"/>
    <w:rsid w:val="00476B9C"/>
    <w:rsid w:val="00476E9B"/>
    <w:rsid w:val="00476F31"/>
    <w:rsid w:val="00476F5E"/>
    <w:rsid w:val="00476F7D"/>
    <w:rsid w:val="0047708B"/>
    <w:rsid w:val="00477159"/>
    <w:rsid w:val="004772AA"/>
    <w:rsid w:val="004775C9"/>
    <w:rsid w:val="004777CE"/>
    <w:rsid w:val="004777D9"/>
    <w:rsid w:val="00477821"/>
    <w:rsid w:val="004778E0"/>
    <w:rsid w:val="004778FE"/>
    <w:rsid w:val="00477A34"/>
    <w:rsid w:val="00477A5F"/>
    <w:rsid w:val="00477BC4"/>
    <w:rsid w:val="00477C42"/>
    <w:rsid w:val="00477CCE"/>
    <w:rsid w:val="00477EE3"/>
    <w:rsid w:val="00477F3B"/>
    <w:rsid w:val="00477F52"/>
    <w:rsid w:val="00477F60"/>
    <w:rsid w:val="00477F9C"/>
    <w:rsid w:val="0047C5B5"/>
    <w:rsid w:val="004802DB"/>
    <w:rsid w:val="00480751"/>
    <w:rsid w:val="004808CF"/>
    <w:rsid w:val="004809A4"/>
    <w:rsid w:val="004809C0"/>
    <w:rsid w:val="004809E6"/>
    <w:rsid w:val="00480B6E"/>
    <w:rsid w:val="00480CB0"/>
    <w:rsid w:val="00480E7A"/>
    <w:rsid w:val="00480EF5"/>
    <w:rsid w:val="00480F2F"/>
    <w:rsid w:val="00481077"/>
    <w:rsid w:val="0048117A"/>
    <w:rsid w:val="0048126B"/>
    <w:rsid w:val="004812A3"/>
    <w:rsid w:val="004812B5"/>
    <w:rsid w:val="004812E7"/>
    <w:rsid w:val="0048142C"/>
    <w:rsid w:val="004814E2"/>
    <w:rsid w:val="004819B9"/>
    <w:rsid w:val="00481AD9"/>
    <w:rsid w:val="00481EFD"/>
    <w:rsid w:val="00481F43"/>
    <w:rsid w:val="004821CE"/>
    <w:rsid w:val="00482303"/>
    <w:rsid w:val="00482330"/>
    <w:rsid w:val="00482353"/>
    <w:rsid w:val="004823AF"/>
    <w:rsid w:val="00482481"/>
    <w:rsid w:val="0048253D"/>
    <w:rsid w:val="004825ED"/>
    <w:rsid w:val="00482611"/>
    <w:rsid w:val="00482662"/>
    <w:rsid w:val="0048298B"/>
    <w:rsid w:val="004829B9"/>
    <w:rsid w:val="00482C86"/>
    <w:rsid w:val="00482FC5"/>
    <w:rsid w:val="004832CE"/>
    <w:rsid w:val="0048345D"/>
    <w:rsid w:val="00483524"/>
    <w:rsid w:val="0048359A"/>
    <w:rsid w:val="004835C8"/>
    <w:rsid w:val="004835FD"/>
    <w:rsid w:val="00483949"/>
    <w:rsid w:val="00483B28"/>
    <w:rsid w:val="00483E94"/>
    <w:rsid w:val="00483F55"/>
    <w:rsid w:val="00483FFF"/>
    <w:rsid w:val="004840D4"/>
    <w:rsid w:val="00484147"/>
    <w:rsid w:val="00484179"/>
    <w:rsid w:val="00484194"/>
    <w:rsid w:val="00484244"/>
    <w:rsid w:val="004842A3"/>
    <w:rsid w:val="004845B9"/>
    <w:rsid w:val="00484632"/>
    <w:rsid w:val="004847ED"/>
    <w:rsid w:val="00484815"/>
    <w:rsid w:val="0048484D"/>
    <w:rsid w:val="004848FE"/>
    <w:rsid w:val="004849FC"/>
    <w:rsid w:val="00484A3E"/>
    <w:rsid w:val="00484A86"/>
    <w:rsid w:val="00484AAC"/>
    <w:rsid w:val="00484B5D"/>
    <w:rsid w:val="00484BE6"/>
    <w:rsid w:val="00484C78"/>
    <w:rsid w:val="00484CB2"/>
    <w:rsid w:val="00484F56"/>
    <w:rsid w:val="0048506D"/>
    <w:rsid w:val="0048520D"/>
    <w:rsid w:val="00485225"/>
    <w:rsid w:val="00485513"/>
    <w:rsid w:val="00485549"/>
    <w:rsid w:val="0048566E"/>
    <w:rsid w:val="004856C6"/>
    <w:rsid w:val="00485732"/>
    <w:rsid w:val="004857C4"/>
    <w:rsid w:val="00485889"/>
    <w:rsid w:val="00485917"/>
    <w:rsid w:val="00485BB4"/>
    <w:rsid w:val="00485C11"/>
    <w:rsid w:val="00485C6A"/>
    <w:rsid w:val="00485CD5"/>
    <w:rsid w:val="00485FA1"/>
    <w:rsid w:val="00486063"/>
    <w:rsid w:val="004860FB"/>
    <w:rsid w:val="0048612B"/>
    <w:rsid w:val="004861BF"/>
    <w:rsid w:val="004862C6"/>
    <w:rsid w:val="00486332"/>
    <w:rsid w:val="0048636E"/>
    <w:rsid w:val="004863A0"/>
    <w:rsid w:val="00486516"/>
    <w:rsid w:val="00486570"/>
    <w:rsid w:val="00486743"/>
    <w:rsid w:val="0048690E"/>
    <w:rsid w:val="0048692E"/>
    <w:rsid w:val="00486968"/>
    <w:rsid w:val="00486A3A"/>
    <w:rsid w:val="00486B03"/>
    <w:rsid w:val="00486B0A"/>
    <w:rsid w:val="00486B55"/>
    <w:rsid w:val="00486CCC"/>
    <w:rsid w:val="00486CE9"/>
    <w:rsid w:val="00486D34"/>
    <w:rsid w:val="00486E31"/>
    <w:rsid w:val="0048704C"/>
    <w:rsid w:val="004870E3"/>
    <w:rsid w:val="0048721A"/>
    <w:rsid w:val="00487329"/>
    <w:rsid w:val="004874A5"/>
    <w:rsid w:val="00487524"/>
    <w:rsid w:val="0048752C"/>
    <w:rsid w:val="0048753E"/>
    <w:rsid w:val="0048753F"/>
    <w:rsid w:val="00487612"/>
    <w:rsid w:val="0048781D"/>
    <w:rsid w:val="0048792D"/>
    <w:rsid w:val="00487992"/>
    <w:rsid w:val="00487AFF"/>
    <w:rsid w:val="00487C15"/>
    <w:rsid w:val="00487C49"/>
    <w:rsid w:val="00487CF5"/>
    <w:rsid w:val="00487F0B"/>
    <w:rsid w:val="00487FB1"/>
    <w:rsid w:val="0049015D"/>
    <w:rsid w:val="00490268"/>
    <w:rsid w:val="004903E0"/>
    <w:rsid w:val="0049053E"/>
    <w:rsid w:val="004906A5"/>
    <w:rsid w:val="0049070D"/>
    <w:rsid w:val="00490778"/>
    <w:rsid w:val="004907ED"/>
    <w:rsid w:val="004908F5"/>
    <w:rsid w:val="00490A6C"/>
    <w:rsid w:val="00490A6F"/>
    <w:rsid w:val="00490E3B"/>
    <w:rsid w:val="00490F19"/>
    <w:rsid w:val="00491023"/>
    <w:rsid w:val="0049118A"/>
    <w:rsid w:val="004911E3"/>
    <w:rsid w:val="004913BB"/>
    <w:rsid w:val="00491590"/>
    <w:rsid w:val="0049163B"/>
    <w:rsid w:val="00491B4E"/>
    <w:rsid w:val="00491CDF"/>
    <w:rsid w:val="00491D5F"/>
    <w:rsid w:val="00491DB4"/>
    <w:rsid w:val="00491E07"/>
    <w:rsid w:val="00491EF1"/>
    <w:rsid w:val="00492090"/>
    <w:rsid w:val="0049215E"/>
    <w:rsid w:val="0049231A"/>
    <w:rsid w:val="0049240D"/>
    <w:rsid w:val="00492424"/>
    <w:rsid w:val="00492428"/>
    <w:rsid w:val="004928EE"/>
    <w:rsid w:val="004928F0"/>
    <w:rsid w:val="00492A75"/>
    <w:rsid w:val="00492AA3"/>
    <w:rsid w:val="00492ABF"/>
    <w:rsid w:val="00492AE2"/>
    <w:rsid w:val="00492B05"/>
    <w:rsid w:val="00492FEB"/>
    <w:rsid w:val="00493038"/>
    <w:rsid w:val="0049303E"/>
    <w:rsid w:val="00493074"/>
    <w:rsid w:val="00493236"/>
    <w:rsid w:val="004932D4"/>
    <w:rsid w:val="004934F6"/>
    <w:rsid w:val="00493592"/>
    <w:rsid w:val="004935EF"/>
    <w:rsid w:val="004937D2"/>
    <w:rsid w:val="0049383C"/>
    <w:rsid w:val="0049390D"/>
    <w:rsid w:val="00493A50"/>
    <w:rsid w:val="00493BA6"/>
    <w:rsid w:val="00493C81"/>
    <w:rsid w:val="00493C8C"/>
    <w:rsid w:val="00493E0F"/>
    <w:rsid w:val="00493F0A"/>
    <w:rsid w:val="004941FF"/>
    <w:rsid w:val="0049437B"/>
    <w:rsid w:val="004943BC"/>
    <w:rsid w:val="004944E6"/>
    <w:rsid w:val="00494630"/>
    <w:rsid w:val="004947EA"/>
    <w:rsid w:val="00494816"/>
    <w:rsid w:val="0049485C"/>
    <w:rsid w:val="004948C7"/>
    <w:rsid w:val="00494D84"/>
    <w:rsid w:val="00494EC8"/>
    <w:rsid w:val="00494F18"/>
    <w:rsid w:val="00494F5F"/>
    <w:rsid w:val="004950DD"/>
    <w:rsid w:val="0049516B"/>
    <w:rsid w:val="004951EC"/>
    <w:rsid w:val="004952A1"/>
    <w:rsid w:val="00495316"/>
    <w:rsid w:val="004953C7"/>
    <w:rsid w:val="004953CD"/>
    <w:rsid w:val="00495501"/>
    <w:rsid w:val="0049565B"/>
    <w:rsid w:val="00495706"/>
    <w:rsid w:val="0049570B"/>
    <w:rsid w:val="004957BE"/>
    <w:rsid w:val="004957E9"/>
    <w:rsid w:val="00495865"/>
    <w:rsid w:val="0049588F"/>
    <w:rsid w:val="0049595E"/>
    <w:rsid w:val="00495A5F"/>
    <w:rsid w:val="00495A6A"/>
    <w:rsid w:val="00495A8B"/>
    <w:rsid w:val="00495B3D"/>
    <w:rsid w:val="00495B41"/>
    <w:rsid w:val="00495C65"/>
    <w:rsid w:val="00495CD5"/>
    <w:rsid w:val="00495D21"/>
    <w:rsid w:val="00495D4A"/>
    <w:rsid w:val="00495EBB"/>
    <w:rsid w:val="00495FD4"/>
    <w:rsid w:val="0049603B"/>
    <w:rsid w:val="00496058"/>
    <w:rsid w:val="004961AD"/>
    <w:rsid w:val="00496219"/>
    <w:rsid w:val="0049629D"/>
    <w:rsid w:val="004962AD"/>
    <w:rsid w:val="0049644C"/>
    <w:rsid w:val="004965A0"/>
    <w:rsid w:val="004965F3"/>
    <w:rsid w:val="0049662F"/>
    <w:rsid w:val="00496682"/>
    <w:rsid w:val="00496939"/>
    <w:rsid w:val="00496976"/>
    <w:rsid w:val="00496A48"/>
    <w:rsid w:val="00496B5C"/>
    <w:rsid w:val="00496C22"/>
    <w:rsid w:val="00496CE9"/>
    <w:rsid w:val="00496E9B"/>
    <w:rsid w:val="00496ED5"/>
    <w:rsid w:val="00496F6A"/>
    <w:rsid w:val="00497071"/>
    <w:rsid w:val="0049716F"/>
    <w:rsid w:val="0049719E"/>
    <w:rsid w:val="004973C5"/>
    <w:rsid w:val="00497448"/>
    <w:rsid w:val="0049763F"/>
    <w:rsid w:val="00497937"/>
    <w:rsid w:val="0049794A"/>
    <w:rsid w:val="00497D46"/>
    <w:rsid w:val="00497E48"/>
    <w:rsid w:val="00497E84"/>
    <w:rsid w:val="00497EBC"/>
    <w:rsid w:val="00497F26"/>
    <w:rsid w:val="004A04A4"/>
    <w:rsid w:val="004A04D9"/>
    <w:rsid w:val="004A068A"/>
    <w:rsid w:val="004A06B6"/>
    <w:rsid w:val="004A073E"/>
    <w:rsid w:val="004A0883"/>
    <w:rsid w:val="004A08CE"/>
    <w:rsid w:val="004A08E3"/>
    <w:rsid w:val="004A0A64"/>
    <w:rsid w:val="004A0B72"/>
    <w:rsid w:val="004A0BD2"/>
    <w:rsid w:val="004A0D98"/>
    <w:rsid w:val="004A0FA1"/>
    <w:rsid w:val="004A1005"/>
    <w:rsid w:val="004A103F"/>
    <w:rsid w:val="004A111F"/>
    <w:rsid w:val="004A1151"/>
    <w:rsid w:val="004A115E"/>
    <w:rsid w:val="004A118B"/>
    <w:rsid w:val="004A119D"/>
    <w:rsid w:val="004A14DE"/>
    <w:rsid w:val="004A160A"/>
    <w:rsid w:val="004A16E6"/>
    <w:rsid w:val="004A17AE"/>
    <w:rsid w:val="004A17B3"/>
    <w:rsid w:val="004A1898"/>
    <w:rsid w:val="004A18DE"/>
    <w:rsid w:val="004A19F0"/>
    <w:rsid w:val="004A1B5A"/>
    <w:rsid w:val="004A1B84"/>
    <w:rsid w:val="004A1BCF"/>
    <w:rsid w:val="004A1BDC"/>
    <w:rsid w:val="004A1F2E"/>
    <w:rsid w:val="004A2000"/>
    <w:rsid w:val="004A2266"/>
    <w:rsid w:val="004A228C"/>
    <w:rsid w:val="004A22E3"/>
    <w:rsid w:val="004A2497"/>
    <w:rsid w:val="004A24E7"/>
    <w:rsid w:val="004A2521"/>
    <w:rsid w:val="004A261F"/>
    <w:rsid w:val="004A2630"/>
    <w:rsid w:val="004A26B7"/>
    <w:rsid w:val="004A2855"/>
    <w:rsid w:val="004A2964"/>
    <w:rsid w:val="004A2996"/>
    <w:rsid w:val="004A29DB"/>
    <w:rsid w:val="004A2AF7"/>
    <w:rsid w:val="004A2C8E"/>
    <w:rsid w:val="004A2D34"/>
    <w:rsid w:val="004A2E41"/>
    <w:rsid w:val="004A2F0C"/>
    <w:rsid w:val="004A2F99"/>
    <w:rsid w:val="004A2FD0"/>
    <w:rsid w:val="004A30D6"/>
    <w:rsid w:val="004A3215"/>
    <w:rsid w:val="004A3273"/>
    <w:rsid w:val="004A3378"/>
    <w:rsid w:val="004A33FD"/>
    <w:rsid w:val="004A34B1"/>
    <w:rsid w:val="004A358B"/>
    <w:rsid w:val="004A35AA"/>
    <w:rsid w:val="004A388C"/>
    <w:rsid w:val="004A395C"/>
    <w:rsid w:val="004A397B"/>
    <w:rsid w:val="004A39C6"/>
    <w:rsid w:val="004A3A90"/>
    <w:rsid w:val="004A3DA6"/>
    <w:rsid w:val="004A3FDB"/>
    <w:rsid w:val="004A4081"/>
    <w:rsid w:val="004A4138"/>
    <w:rsid w:val="004A413C"/>
    <w:rsid w:val="004A4453"/>
    <w:rsid w:val="004A4513"/>
    <w:rsid w:val="004A457C"/>
    <w:rsid w:val="004A45F7"/>
    <w:rsid w:val="004A4725"/>
    <w:rsid w:val="004A4800"/>
    <w:rsid w:val="004A488A"/>
    <w:rsid w:val="004A48B4"/>
    <w:rsid w:val="004A4910"/>
    <w:rsid w:val="004A4A6E"/>
    <w:rsid w:val="004A4A74"/>
    <w:rsid w:val="004A4B56"/>
    <w:rsid w:val="004A4C3D"/>
    <w:rsid w:val="004A4D16"/>
    <w:rsid w:val="004A50EF"/>
    <w:rsid w:val="004A515E"/>
    <w:rsid w:val="004A518D"/>
    <w:rsid w:val="004A5251"/>
    <w:rsid w:val="004A538C"/>
    <w:rsid w:val="004A5401"/>
    <w:rsid w:val="004A554A"/>
    <w:rsid w:val="004A5972"/>
    <w:rsid w:val="004A5991"/>
    <w:rsid w:val="004A5B2B"/>
    <w:rsid w:val="004A5B59"/>
    <w:rsid w:val="004A5C1C"/>
    <w:rsid w:val="004A5DD5"/>
    <w:rsid w:val="004A5FF6"/>
    <w:rsid w:val="004A607C"/>
    <w:rsid w:val="004A6174"/>
    <w:rsid w:val="004A6197"/>
    <w:rsid w:val="004A61FC"/>
    <w:rsid w:val="004A6232"/>
    <w:rsid w:val="004A65BE"/>
    <w:rsid w:val="004A66F1"/>
    <w:rsid w:val="004A6720"/>
    <w:rsid w:val="004A6814"/>
    <w:rsid w:val="004A6942"/>
    <w:rsid w:val="004A69E6"/>
    <w:rsid w:val="004A6CE2"/>
    <w:rsid w:val="004A6D87"/>
    <w:rsid w:val="004A6E15"/>
    <w:rsid w:val="004A6E41"/>
    <w:rsid w:val="004A6F28"/>
    <w:rsid w:val="004A6F51"/>
    <w:rsid w:val="004A7047"/>
    <w:rsid w:val="004A70B7"/>
    <w:rsid w:val="004A713D"/>
    <w:rsid w:val="004A75C8"/>
    <w:rsid w:val="004A76CA"/>
    <w:rsid w:val="004A76DD"/>
    <w:rsid w:val="004A76FD"/>
    <w:rsid w:val="004A77F6"/>
    <w:rsid w:val="004A78DB"/>
    <w:rsid w:val="004A7A19"/>
    <w:rsid w:val="004A7A8D"/>
    <w:rsid w:val="004A7BB4"/>
    <w:rsid w:val="004A7D6B"/>
    <w:rsid w:val="004A7D90"/>
    <w:rsid w:val="004A7EAC"/>
    <w:rsid w:val="004A7F62"/>
    <w:rsid w:val="004A7F9E"/>
    <w:rsid w:val="004A7FEB"/>
    <w:rsid w:val="004B000E"/>
    <w:rsid w:val="004B0038"/>
    <w:rsid w:val="004B0158"/>
    <w:rsid w:val="004B015F"/>
    <w:rsid w:val="004B03D5"/>
    <w:rsid w:val="004B055F"/>
    <w:rsid w:val="004B0599"/>
    <w:rsid w:val="004B07F8"/>
    <w:rsid w:val="004B084B"/>
    <w:rsid w:val="004B085D"/>
    <w:rsid w:val="004B0AAF"/>
    <w:rsid w:val="004B0B46"/>
    <w:rsid w:val="004B0C07"/>
    <w:rsid w:val="004B0D51"/>
    <w:rsid w:val="004B0E6B"/>
    <w:rsid w:val="004B0F9E"/>
    <w:rsid w:val="004B0FB3"/>
    <w:rsid w:val="004B1014"/>
    <w:rsid w:val="004B106D"/>
    <w:rsid w:val="004B1256"/>
    <w:rsid w:val="004B1264"/>
    <w:rsid w:val="004B15F9"/>
    <w:rsid w:val="004B1746"/>
    <w:rsid w:val="004B176C"/>
    <w:rsid w:val="004B19F6"/>
    <w:rsid w:val="004B1B16"/>
    <w:rsid w:val="004B1CF1"/>
    <w:rsid w:val="004B1D08"/>
    <w:rsid w:val="004B1F25"/>
    <w:rsid w:val="004B201B"/>
    <w:rsid w:val="004B20D2"/>
    <w:rsid w:val="004B210E"/>
    <w:rsid w:val="004B21B7"/>
    <w:rsid w:val="004B2250"/>
    <w:rsid w:val="004B232E"/>
    <w:rsid w:val="004B249C"/>
    <w:rsid w:val="004B24EE"/>
    <w:rsid w:val="004B250B"/>
    <w:rsid w:val="004B25DA"/>
    <w:rsid w:val="004B2651"/>
    <w:rsid w:val="004B2790"/>
    <w:rsid w:val="004B290A"/>
    <w:rsid w:val="004B298A"/>
    <w:rsid w:val="004B298C"/>
    <w:rsid w:val="004B2B2D"/>
    <w:rsid w:val="004B2B9E"/>
    <w:rsid w:val="004B2BFF"/>
    <w:rsid w:val="004B2C22"/>
    <w:rsid w:val="004B2C57"/>
    <w:rsid w:val="004B2E51"/>
    <w:rsid w:val="004B2EB0"/>
    <w:rsid w:val="004B2F31"/>
    <w:rsid w:val="004B3065"/>
    <w:rsid w:val="004B30CD"/>
    <w:rsid w:val="004B3181"/>
    <w:rsid w:val="004B327D"/>
    <w:rsid w:val="004B32D6"/>
    <w:rsid w:val="004B34A0"/>
    <w:rsid w:val="004B34DC"/>
    <w:rsid w:val="004B34E8"/>
    <w:rsid w:val="004B34EA"/>
    <w:rsid w:val="004B3735"/>
    <w:rsid w:val="004B3736"/>
    <w:rsid w:val="004B37EF"/>
    <w:rsid w:val="004B38A3"/>
    <w:rsid w:val="004B3925"/>
    <w:rsid w:val="004B3B51"/>
    <w:rsid w:val="004B3CA2"/>
    <w:rsid w:val="004B3DBC"/>
    <w:rsid w:val="004B3E49"/>
    <w:rsid w:val="004B3EDA"/>
    <w:rsid w:val="004B3EF8"/>
    <w:rsid w:val="004B409D"/>
    <w:rsid w:val="004B41A5"/>
    <w:rsid w:val="004B42FA"/>
    <w:rsid w:val="004B43A3"/>
    <w:rsid w:val="004B43DA"/>
    <w:rsid w:val="004B4462"/>
    <w:rsid w:val="004B4530"/>
    <w:rsid w:val="004B463F"/>
    <w:rsid w:val="004B4686"/>
    <w:rsid w:val="004B47EB"/>
    <w:rsid w:val="004B480B"/>
    <w:rsid w:val="004B490F"/>
    <w:rsid w:val="004B4A7C"/>
    <w:rsid w:val="004B4D5D"/>
    <w:rsid w:val="004B5088"/>
    <w:rsid w:val="004B5124"/>
    <w:rsid w:val="004B5221"/>
    <w:rsid w:val="004B53AD"/>
    <w:rsid w:val="004B5414"/>
    <w:rsid w:val="004B5494"/>
    <w:rsid w:val="004B54CB"/>
    <w:rsid w:val="004B556A"/>
    <w:rsid w:val="004B557B"/>
    <w:rsid w:val="004B57FF"/>
    <w:rsid w:val="004B58A7"/>
    <w:rsid w:val="004B58B8"/>
    <w:rsid w:val="004B590C"/>
    <w:rsid w:val="004B5D74"/>
    <w:rsid w:val="004B5DB7"/>
    <w:rsid w:val="004B5E62"/>
    <w:rsid w:val="004B5E78"/>
    <w:rsid w:val="004B5F0B"/>
    <w:rsid w:val="004B5F0C"/>
    <w:rsid w:val="004B5F8D"/>
    <w:rsid w:val="004B5FE7"/>
    <w:rsid w:val="004B635E"/>
    <w:rsid w:val="004B6494"/>
    <w:rsid w:val="004B65D7"/>
    <w:rsid w:val="004B6615"/>
    <w:rsid w:val="004B668D"/>
    <w:rsid w:val="004B66E1"/>
    <w:rsid w:val="004B67A3"/>
    <w:rsid w:val="004B683F"/>
    <w:rsid w:val="004B69D7"/>
    <w:rsid w:val="004B6A4A"/>
    <w:rsid w:val="004B6B59"/>
    <w:rsid w:val="004B6B69"/>
    <w:rsid w:val="004B6B7F"/>
    <w:rsid w:val="004B6BC6"/>
    <w:rsid w:val="004B6CB2"/>
    <w:rsid w:val="004B6D08"/>
    <w:rsid w:val="004B6D3C"/>
    <w:rsid w:val="004B6D79"/>
    <w:rsid w:val="004B703E"/>
    <w:rsid w:val="004B7205"/>
    <w:rsid w:val="004B73B6"/>
    <w:rsid w:val="004B73DE"/>
    <w:rsid w:val="004B7565"/>
    <w:rsid w:val="004B75B9"/>
    <w:rsid w:val="004B765A"/>
    <w:rsid w:val="004B7891"/>
    <w:rsid w:val="004B7A18"/>
    <w:rsid w:val="004B7AA6"/>
    <w:rsid w:val="004B7B47"/>
    <w:rsid w:val="004B7D0C"/>
    <w:rsid w:val="004B7D12"/>
    <w:rsid w:val="004C012B"/>
    <w:rsid w:val="004C01A4"/>
    <w:rsid w:val="004C022E"/>
    <w:rsid w:val="004C026A"/>
    <w:rsid w:val="004C0277"/>
    <w:rsid w:val="004C0342"/>
    <w:rsid w:val="004C039C"/>
    <w:rsid w:val="004C0428"/>
    <w:rsid w:val="004C0502"/>
    <w:rsid w:val="004C0577"/>
    <w:rsid w:val="004C0660"/>
    <w:rsid w:val="004C0944"/>
    <w:rsid w:val="004C09E0"/>
    <w:rsid w:val="004C0AC7"/>
    <w:rsid w:val="004C0AD2"/>
    <w:rsid w:val="004C0B33"/>
    <w:rsid w:val="004C1068"/>
    <w:rsid w:val="004C10D8"/>
    <w:rsid w:val="004C1399"/>
    <w:rsid w:val="004C13EC"/>
    <w:rsid w:val="004C144E"/>
    <w:rsid w:val="004C14AF"/>
    <w:rsid w:val="004C1610"/>
    <w:rsid w:val="004C1630"/>
    <w:rsid w:val="004C1672"/>
    <w:rsid w:val="004C16DA"/>
    <w:rsid w:val="004C173D"/>
    <w:rsid w:val="004C1911"/>
    <w:rsid w:val="004C1B8A"/>
    <w:rsid w:val="004C1BBC"/>
    <w:rsid w:val="004C1DF3"/>
    <w:rsid w:val="004C1E84"/>
    <w:rsid w:val="004C1F79"/>
    <w:rsid w:val="004C2021"/>
    <w:rsid w:val="004C2342"/>
    <w:rsid w:val="004C23AD"/>
    <w:rsid w:val="004C23C0"/>
    <w:rsid w:val="004C242C"/>
    <w:rsid w:val="004C25A2"/>
    <w:rsid w:val="004C262E"/>
    <w:rsid w:val="004C26B6"/>
    <w:rsid w:val="004C2865"/>
    <w:rsid w:val="004C29F2"/>
    <w:rsid w:val="004C2AA8"/>
    <w:rsid w:val="004C2BF7"/>
    <w:rsid w:val="004C2DAA"/>
    <w:rsid w:val="004C2E92"/>
    <w:rsid w:val="004C2EBA"/>
    <w:rsid w:val="004C2EDB"/>
    <w:rsid w:val="004C2FAD"/>
    <w:rsid w:val="004C308D"/>
    <w:rsid w:val="004C31A5"/>
    <w:rsid w:val="004C320C"/>
    <w:rsid w:val="004C32AD"/>
    <w:rsid w:val="004C33BF"/>
    <w:rsid w:val="004C35D9"/>
    <w:rsid w:val="004C35E2"/>
    <w:rsid w:val="004C3667"/>
    <w:rsid w:val="004C3679"/>
    <w:rsid w:val="004C36E7"/>
    <w:rsid w:val="004C376A"/>
    <w:rsid w:val="004C38B4"/>
    <w:rsid w:val="004C3996"/>
    <w:rsid w:val="004C3AA7"/>
    <w:rsid w:val="004C3AB3"/>
    <w:rsid w:val="004C3BB3"/>
    <w:rsid w:val="004C3BE6"/>
    <w:rsid w:val="004C3C65"/>
    <w:rsid w:val="004C3F18"/>
    <w:rsid w:val="004C3FBE"/>
    <w:rsid w:val="004C41F3"/>
    <w:rsid w:val="004C42B4"/>
    <w:rsid w:val="004C43A9"/>
    <w:rsid w:val="004C4416"/>
    <w:rsid w:val="004C447D"/>
    <w:rsid w:val="004C44DE"/>
    <w:rsid w:val="004C4699"/>
    <w:rsid w:val="004C46A2"/>
    <w:rsid w:val="004C4784"/>
    <w:rsid w:val="004C4A9E"/>
    <w:rsid w:val="004C4C5C"/>
    <w:rsid w:val="004C4D2A"/>
    <w:rsid w:val="004C4D4A"/>
    <w:rsid w:val="004C4D7C"/>
    <w:rsid w:val="004C4D84"/>
    <w:rsid w:val="004C4DB3"/>
    <w:rsid w:val="004C4E3A"/>
    <w:rsid w:val="004C4F51"/>
    <w:rsid w:val="004C5334"/>
    <w:rsid w:val="004C5433"/>
    <w:rsid w:val="004C547A"/>
    <w:rsid w:val="004C54AD"/>
    <w:rsid w:val="004C54DD"/>
    <w:rsid w:val="004C5577"/>
    <w:rsid w:val="004C5705"/>
    <w:rsid w:val="004C594B"/>
    <w:rsid w:val="004C5B5E"/>
    <w:rsid w:val="004C5C0C"/>
    <w:rsid w:val="004C5C2A"/>
    <w:rsid w:val="004C5CF6"/>
    <w:rsid w:val="004C5D7E"/>
    <w:rsid w:val="004C5E5F"/>
    <w:rsid w:val="004C6361"/>
    <w:rsid w:val="004C6609"/>
    <w:rsid w:val="004C6610"/>
    <w:rsid w:val="004C67CB"/>
    <w:rsid w:val="004C69E7"/>
    <w:rsid w:val="004C6DD1"/>
    <w:rsid w:val="004C6DDF"/>
    <w:rsid w:val="004C7054"/>
    <w:rsid w:val="004C7061"/>
    <w:rsid w:val="004C710B"/>
    <w:rsid w:val="004C7228"/>
    <w:rsid w:val="004C73CC"/>
    <w:rsid w:val="004C748B"/>
    <w:rsid w:val="004C7660"/>
    <w:rsid w:val="004C7677"/>
    <w:rsid w:val="004C780A"/>
    <w:rsid w:val="004C792B"/>
    <w:rsid w:val="004C797E"/>
    <w:rsid w:val="004C7A2B"/>
    <w:rsid w:val="004C7A75"/>
    <w:rsid w:val="004C7AC1"/>
    <w:rsid w:val="004C7B9A"/>
    <w:rsid w:val="004C7D05"/>
    <w:rsid w:val="004C7D3A"/>
    <w:rsid w:val="004C7F8D"/>
    <w:rsid w:val="004C7FA8"/>
    <w:rsid w:val="004C7FBE"/>
    <w:rsid w:val="004C7FEA"/>
    <w:rsid w:val="004C7FFD"/>
    <w:rsid w:val="004D01C5"/>
    <w:rsid w:val="004D0441"/>
    <w:rsid w:val="004D0471"/>
    <w:rsid w:val="004D0479"/>
    <w:rsid w:val="004D04DC"/>
    <w:rsid w:val="004D051C"/>
    <w:rsid w:val="004D05CE"/>
    <w:rsid w:val="004D0721"/>
    <w:rsid w:val="004D073B"/>
    <w:rsid w:val="004D0912"/>
    <w:rsid w:val="004D09E6"/>
    <w:rsid w:val="004D0A9F"/>
    <w:rsid w:val="004D0B34"/>
    <w:rsid w:val="004D0B36"/>
    <w:rsid w:val="004D0B47"/>
    <w:rsid w:val="004D0BC7"/>
    <w:rsid w:val="004D0DA5"/>
    <w:rsid w:val="004D0DE7"/>
    <w:rsid w:val="004D0F44"/>
    <w:rsid w:val="004D0F85"/>
    <w:rsid w:val="004D1757"/>
    <w:rsid w:val="004D17E2"/>
    <w:rsid w:val="004D183C"/>
    <w:rsid w:val="004D1963"/>
    <w:rsid w:val="004D19DA"/>
    <w:rsid w:val="004D1BBC"/>
    <w:rsid w:val="004D1C4C"/>
    <w:rsid w:val="004D1C84"/>
    <w:rsid w:val="004D1E8F"/>
    <w:rsid w:val="004D1EDF"/>
    <w:rsid w:val="004D1F05"/>
    <w:rsid w:val="004D1FB4"/>
    <w:rsid w:val="004D20D6"/>
    <w:rsid w:val="004D20E2"/>
    <w:rsid w:val="004D2101"/>
    <w:rsid w:val="004D21D8"/>
    <w:rsid w:val="004D21F5"/>
    <w:rsid w:val="004D23BD"/>
    <w:rsid w:val="004D24AF"/>
    <w:rsid w:val="004D24B1"/>
    <w:rsid w:val="004D252A"/>
    <w:rsid w:val="004D260B"/>
    <w:rsid w:val="004D266E"/>
    <w:rsid w:val="004D26B0"/>
    <w:rsid w:val="004D26D8"/>
    <w:rsid w:val="004D27B3"/>
    <w:rsid w:val="004D2828"/>
    <w:rsid w:val="004D28C1"/>
    <w:rsid w:val="004D28EA"/>
    <w:rsid w:val="004D29B6"/>
    <w:rsid w:val="004D2A88"/>
    <w:rsid w:val="004D2BA8"/>
    <w:rsid w:val="004D2BBB"/>
    <w:rsid w:val="004D2C50"/>
    <w:rsid w:val="004D2C83"/>
    <w:rsid w:val="004D2E24"/>
    <w:rsid w:val="004D2E3E"/>
    <w:rsid w:val="004D3115"/>
    <w:rsid w:val="004D327D"/>
    <w:rsid w:val="004D33FF"/>
    <w:rsid w:val="004D348D"/>
    <w:rsid w:val="004D34DE"/>
    <w:rsid w:val="004D3595"/>
    <w:rsid w:val="004D35BF"/>
    <w:rsid w:val="004D35E4"/>
    <w:rsid w:val="004D3739"/>
    <w:rsid w:val="004D3864"/>
    <w:rsid w:val="004D38B9"/>
    <w:rsid w:val="004D39DB"/>
    <w:rsid w:val="004D3AE7"/>
    <w:rsid w:val="004D3B75"/>
    <w:rsid w:val="004D3C70"/>
    <w:rsid w:val="004D3D0C"/>
    <w:rsid w:val="004D3DE0"/>
    <w:rsid w:val="004D3E45"/>
    <w:rsid w:val="004D3ECF"/>
    <w:rsid w:val="004D4024"/>
    <w:rsid w:val="004D4116"/>
    <w:rsid w:val="004D438C"/>
    <w:rsid w:val="004D43F0"/>
    <w:rsid w:val="004D43FB"/>
    <w:rsid w:val="004D4427"/>
    <w:rsid w:val="004D4488"/>
    <w:rsid w:val="004D4624"/>
    <w:rsid w:val="004D4631"/>
    <w:rsid w:val="004D4641"/>
    <w:rsid w:val="004D47BF"/>
    <w:rsid w:val="004D497D"/>
    <w:rsid w:val="004D49EE"/>
    <w:rsid w:val="004D4A87"/>
    <w:rsid w:val="004D4B88"/>
    <w:rsid w:val="004D4C1D"/>
    <w:rsid w:val="004D4C89"/>
    <w:rsid w:val="004D4D59"/>
    <w:rsid w:val="004D4DEA"/>
    <w:rsid w:val="004D4E13"/>
    <w:rsid w:val="004D4EE0"/>
    <w:rsid w:val="004D4FAC"/>
    <w:rsid w:val="004D50AB"/>
    <w:rsid w:val="004D5322"/>
    <w:rsid w:val="004D5446"/>
    <w:rsid w:val="004D544C"/>
    <w:rsid w:val="004D552E"/>
    <w:rsid w:val="004D5561"/>
    <w:rsid w:val="004D55B4"/>
    <w:rsid w:val="004D55E5"/>
    <w:rsid w:val="004D5602"/>
    <w:rsid w:val="004D561A"/>
    <w:rsid w:val="004D563D"/>
    <w:rsid w:val="004D567D"/>
    <w:rsid w:val="004D56D3"/>
    <w:rsid w:val="004D577F"/>
    <w:rsid w:val="004D5BB5"/>
    <w:rsid w:val="004D5BDF"/>
    <w:rsid w:val="004D5C69"/>
    <w:rsid w:val="004D6071"/>
    <w:rsid w:val="004D61EB"/>
    <w:rsid w:val="004D61F5"/>
    <w:rsid w:val="004D6247"/>
    <w:rsid w:val="004D6293"/>
    <w:rsid w:val="004D62C3"/>
    <w:rsid w:val="004D6310"/>
    <w:rsid w:val="004D6443"/>
    <w:rsid w:val="004D64A0"/>
    <w:rsid w:val="004D665D"/>
    <w:rsid w:val="004D689F"/>
    <w:rsid w:val="004D68F2"/>
    <w:rsid w:val="004D6906"/>
    <w:rsid w:val="004D6BDE"/>
    <w:rsid w:val="004D6DCF"/>
    <w:rsid w:val="004D6ED7"/>
    <w:rsid w:val="004D6F94"/>
    <w:rsid w:val="004D70E2"/>
    <w:rsid w:val="004D7105"/>
    <w:rsid w:val="004D7193"/>
    <w:rsid w:val="004D7298"/>
    <w:rsid w:val="004D72CB"/>
    <w:rsid w:val="004D744C"/>
    <w:rsid w:val="004D74A0"/>
    <w:rsid w:val="004D74DB"/>
    <w:rsid w:val="004D74DC"/>
    <w:rsid w:val="004D7546"/>
    <w:rsid w:val="004D76B2"/>
    <w:rsid w:val="004D76C5"/>
    <w:rsid w:val="004D7721"/>
    <w:rsid w:val="004D7982"/>
    <w:rsid w:val="004D7B30"/>
    <w:rsid w:val="004D7B81"/>
    <w:rsid w:val="004D7CD2"/>
    <w:rsid w:val="004D7DE0"/>
    <w:rsid w:val="004D7E0E"/>
    <w:rsid w:val="004D7E28"/>
    <w:rsid w:val="004D7E30"/>
    <w:rsid w:val="004DC4DF"/>
    <w:rsid w:val="004E018A"/>
    <w:rsid w:val="004E054E"/>
    <w:rsid w:val="004E08AF"/>
    <w:rsid w:val="004E09CD"/>
    <w:rsid w:val="004E0A08"/>
    <w:rsid w:val="004E0ABE"/>
    <w:rsid w:val="004E0D27"/>
    <w:rsid w:val="004E0E42"/>
    <w:rsid w:val="004E0EB8"/>
    <w:rsid w:val="004E0F2B"/>
    <w:rsid w:val="004E1076"/>
    <w:rsid w:val="004E1079"/>
    <w:rsid w:val="004E1164"/>
    <w:rsid w:val="004E116A"/>
    <w:rsid w:val="004E1267"/>
    <w:rsid w:val="004E1285"/>
    <w:rsid w:val="004E1505"/>
    <w:rsid w:val="004E1533"/>
    <w:rsid w:val="004E159B"/>
    <w:rsid w:val="004E17BB"/>
    <w:rsid w:val="004E1BBF"/>
    <w:rsid w:val="004E1C1A"/>
    <w:rsid w:val="004E1C67"/>
    <w:rsid w:val="004E1DB1"/>
    <w:rsid w:val="004E1ED1"/>
    <w:rsid w:val="004E1F10"/>
    <w:rsid w:val="004E2248"/>
    <w:rsid w:val="004E236A"/>
    <w:rsid w:val="004E264C"/>
    <w:rsid w:val="004E2693"/>
    <w:rsid w:val="004E2783"/>
    <w:rsid w:val="004E27DE"/>
    <w:rsid w:val="004E28B0"/>
    <w:rsid w:val="004E28C5"/>
    <w:rsid w:val="004E28F1"/>
    <w:rsid w:val="004E2B05"/>
    <w:rsid w:val="004E2B1F"/>
    <w:rsid w:val="004E2C8A"/>
    <w:rsid w:val="004E2D72"/>
    <w:rsid w:val="004E2DA5"/>
    <w:rsid w:val="004E2DEE"/>
    <w:rsid w:val="004E2EBE"/>
    <w:rsid w:val="004E2EDE"/>
    <w:rsid w:val="004E3195"/>
    <w:rsid w:val="004E3458"/>
    <w:rsid w:val="004E352E"/>
    <w:rsid w:val="004E354D"/>
    <w:rsid w:val="004E3738"/>
    <w:rsid w:val="004E37C8"/>
    <w:rsid w:val="004E39B1"/>
    <w:rsid w:val="004E3ABC"/>
    <w:rsid w:val="004E3BEB"/>
    <w:rsid w:val="004E3C43"/>
    <w:rsid w:val="004E3CBF"/>
    <w:rsid w:val="004E3CD0"/>
    <w:rsid w:val="004E3D4B"/>
    <w:rsid w:val="004E3D77"/>
    <w:rsid w:val="004E3D7A"/>
    <w:rsid w:val="004E3D90"/>
    <w:rsid w:val="004E429F"/>
    <w:rsid w:val="004E4323"/>
    <w:rsid w:val="004E4324"/>
    <w:rsid w:val="004E437D"/>
    <w:rsid w:val="004E4438"/>
    <w:rsid w:val="004E447C"/>
    <w:rsid w:val="004E475A"/>
    <w:rsid w:val="004E475F"/>
    <w:rsid w:val="004E47F9"/>
    <w:rsid w:val="004E47FF"/>
    <w:rsid w:val="004E48CE"/>
    <w:rsid w:val="004E48F7"/>
    <w:rsid w:val="004E4AC0"/>
    <w:rsid w:val="004E4BCC"/>
    <w:rsid w:val="004E4C14"/>
    <w:rsid w:val="004E4E1D"/>
    <w:rsid w:val="004E4EAB"/>
    <w:rsid w:val="004E513E"/>
    <w:rsid w:val="004E52CA"/>
    <w:rsid w:val="004E52CF"/>
    <w:rsid w:val="004E5531"/>
    <w:rsid w:val="004E55B0"/>
    <w:rsid w:val="004E5640"/>
    <w:rsid w:val="004E56C4"/>
    <w:rsid w:val="004E580C"/>
    <w:rsid w:val="004E5819"/>
    <w:rsid w:val="004E58E9"/>
    <w:rsid w:val="004E5A7E"/>
    <w:rsid w:val="004E5AB1"/>
    <w:rsid w:val="004E5AC0"/>
    <w:rsid w:val="004E5B3B"/>
    <w:rsid w:val="004E5B75"/>
    <w:rsid w:val="004E5BE1"/>
    <w:rsid w:val="004E5BF5"/>
    <w:rsid w:val="004E5BFD"/>
    <w:rsid w:val="004E5C0F"/>
    <w:rsid w:val="004E5E0C"/>
    <w:rsid w:val="004E5F23"/>
    <w:rsid w:val="004E5F8A"/>
    <w:rsid w:val="004E611B"/>
    <w:rsid w:val="004E631A"/>
    <w:rsid w:val="004E63B6"/>
    <w:rsid w:val="004E642C"/>
    <w:rsid w:val="004E64D4"/>
    <w:rsid w:val="004E655A"/>
    <w:rsid w:val="004E65B5"/>
    <w:rsid w:val="004E6AB4"/>
    <w:rsid w:val="004E6C14"/>
    <w:rsid w:val="004E6C1E"/>
    <w:rsid w:val="004E6D82"/>
    <w:rsid w:val="004E6E14"/>
    <w:rsid w:val="004E6FC7"/>
    <w:rsid w:val="004E7125"/>
    <w:rsid w:val="004E7144"/>
    <w:rsid w:val="004E71A3"/>
    <w:rsid w:val="004E71BA"/>
    <w:rsid w:val="004E726D"/>
    <w:rsid w:val="004E7349"/>
    <w:rsid w:val="004E73CC"/>
    <w:rsid w:val="004E7412"/>
    <w:rsid w:val="004E7420"/>
    <w:rsid w:val="004E7453"/>
    <w:rsid w:val="004E7462"/>
    <w:rsid w:val="004E74B9"/>
    <w:rsid w:val="004E7590"/>
    <w:rsid w:val="004E76B8"/>
    <w:rsid w:val="004E77BC"/>
    <w:rsid w:val="004E7899"/>
    <w:rsid w:val="004E790C"/>
    <w:rsid w:val="004E792A"/>
    <w:rsid w:val="004E7A28"/>
    <w:rsid w:val="004E7A3C"/>
    <w:rsid w:val="004E7C4D"/>
    <w:rsid w:val="004E7CDE"/>
    <w:rsid w:val="004E7CF5"/>
    <w:rsid w:val="004E7D00"/>
    <w:rsid w:val="004E7F3C"/>
    <w:rsid w:val="004E7F47"/>
    <w:rsid w:val="004F00A2"/>
    <w:rsid w:val="004F01EA"/>
    <w:rsid w:val="004F023B"/>
    <w:rsid w:val="004F03BC"/>
    <w:rsid w:val="004F03F5"/>
    <w:rsid w:val="004F055E"/>
    <w:rsid w:val="004F05D6"/>
    <w:rsid w:val="004F05F7"/>
    <w:rsid w:val="004F0870"/>
    <w:rsid w:val="004F09A6"/>
    <w:rsid w:val="004F0B47"/>
    <w:rsid w:val="004F0BDE"/>
    <w:rsid w:val="004F0C04"/>
    <w:rsid w:val="004F0C8B"/>
    <w:rsid w:val="004F0CA5"/>
    <w:rsid w:val="004F0F19"/>
    <w:rsid w:val="004F0FCA"/>
    <w:rsid w:val="004F12A7"/>
    <w:rsid w:val="004F12C9"/>
    <w:rsid w:val="004F1328"/>
    <w:rsid w:val="004F1472"/>
    <w:rsid w:val="004F14A5"/>
    <w:rsid w:val="004F1914"/>
    <w:rsid w:val="004F1A84"/>
    <w:rsid w:val="004F1AB4"/>
    <w:rsid w:val="004F1B65"/>
    <w:rsid w:val="004F1BB9"/>
    <w:rsid w:val="004F1DF8"/>
    <w:rsid w:val="004F1F36"/>
    <w:rsid w:val="004F2071"/>
    <w:rsid w:val="004F213D"/>
    <w:rsid w:val="004F215D"/>
    <w:rsid w:val="004F2198"/>
    <w:rsid w:val="004F2253"/>
    <w:rsid w:val="004F2288"/>
    <w:rsid w:val="004F237A"/>
    <w:rsid w:val="004F2478"/>
    <w:rsid w:val="004F247E"/>
    <w:rsid w:val="004F24F0"/>
    <w:rsid w:val="004F2517"/>
    <w:rsid w:val="004F25E9"/>
    <w:rsid w:val="004F2614"/>
    <w:rsid w:val="004F266B"/>
    <w:rsid w:val="004F2871"/>
    <w:rsid w:val="004F28E7"/>
    <w:rsid w:val="004F2944"/>
    <w:rsid w:val="004F299C"/>
    <w:rsid w:val="004F29DB"/>
    <w:rsid w:val="004F2B4A"/>
    <w:rsid w:val="004F2ECF"/>
    <w:rsid w:val="004F3017"/>
    <w:rsid w:val="004F3094"/>
    <w:rsid w:val="004F30F8"/>
    <w:rsid w:val="004F3130"/>
    <w:rsid w:val="004F316E"/>
    <w:rsid w:val="004F31CE"/>
    <w:rsid w:val="004F33B2"/>
    <w:rsid w:val="004F348E"/>
    <w:rsid w:val="004F34B1"/>
    <w:rsid w:val="004F39D6"/>
    <w:rsid w:val="004F3C74"/>
    <w:rsid w:val="004F3D9D"/>
    <w:rsid w:val="004F3E0A"/>
    <w:rsid w:val="004F3E2E"/>
    <w:rsid w:val="004F3EC4"/>
    <w:rsid w:val="004F3EC8"/>
    <w:rsid w:val="004F3FBF"/>
    <w:rsid w:val="004F41D2"/>
    <w:rsid w:val="004F43EE"/>
    <w:rsid w:val="004F4855"/>
    <w:rsid w:val="004F48FA"/>
    <w:rsid w:val="004F4909"/>
    <w:rsid w:val="004F4B73"/>
    <w:rsid w:val="004F4B95"/>
    <w:rsid w:val="004F4CB3"/>
    <w:rsid w:val="004F4D5C"/>
    <w:rsid w:val="004F4EE4"/>
    <w:rsid w:val="004F500E"/>
    <w:rsid w:val="004F5021"/>
    <w:rsid w:val="004F5167"/>
    <w:rsid w:val="004F51B1"/>
    <w:rsid w:val="004F51CD"/>
    <w:rsid w:val="004F51E5"/>
    <w:rsid w:val="004F5278"/>
    <w:rsid w:val="004F52A1"/>
    <w:rsid w:val="004F5367"/>
    <w:rsid w:val="004F54BF"/>
    <w:rsid w:val="004F56CD"/>
    <w:rsid w:val="004F579B"/>
    <w:rsid w:val="004F583A"/>
    <w:rsid w:val="004F5858"/>
    <w:rsid w:val="004F5991"/>
    <w:rsid w:val="004F5A23"/>
    <w:rsid w:val="004F5C2E"/>
    <w:rsid w:val="004F5D66"/>
    <w:rsid w:val="004F5FD4"/>
    <w:rsid w:val="004F6054"/>
    <w:rsid w:val="004F61EA"/>
    <w:rsid w:val="004F6347"/>
    <w:rsid w:val="004F64E2"/>
    <w:rsid w:val="004F664D"/>
    <w:rsid w:val="004F6654"/>
    <w:rsid w:val="004F6751"/>
    <w:rsid w:val="004F6A62"/>
    <w:rsid w:val="004F6AD9"/>
    <w:rsid w:val="004F6B50"/>
    <w:rsid w:val="004F6BCF"/>
    <w:rsid w:val="004F6BF0"/>
    <w:rsid w:val="004F6D0D"/>
    <w:rsid w:val="004F6D50"/>
    <w:rsid w:val="004F6E64"/>
    <w:rsid w:val="004F6F6D"/>
    <w:rsid w:val="004F7050"/>
    <w:rsid w:val="004F70F8"/>
    <w:rsid w:val="004F7236"/>
    <w:rsid w:val="004F72B4"/>
    <w:rsid w:val="004F739E"/>
    <w:rsid w:val="004F7465"/>
    <w:rsid w:val="004F7468"/>
    <w:rsid w:val="004F7720"/>
    <w:rsid w:val="004F77DE"/>
    <w:rsid w:val="004F7803"/>
    <w:rsid w:val="004F78C2"/>
    <w:rsid w:val="004F792F"/>
    <w:rsid w:val="004F79B8"/>
    <w:rsid w:val="004F7D16"/>
    <w:rsid w:val="004F7D71"/>
    <w:rsid w:val="004F7D7A"/>
    <w:rsid w:val="004F7DCC"/>
    <w:rsid w:val="004F7EA8"/>
    <w:rsid w:val="004F7FF8"/>
    <w:rsid w:val="00500003"/>
    <w:rsid w:val="0050010D"/>
    <w:rsid w:val="005001E5"/>
    <w:rsid w:val="0050036A"/>
    <w:rsid w:val="005003A3"/>
    <w:rsid w:val="005003A9"/>
    <w:rsid w:val="005003C6"/>
    <w:rsid w:val="00500436"/>
    <w:rsid w:val="005005A4"/>
    <w:rsid w:val="0050065C"/>
    <w:rsid w:val="00500669"/>
    <w:rsid w:val="005006E2"/>
    <w:rsid w:val="005006E9"/>
    <w:rsid w:val="005007A8"/>
    <w:rsid w:val="005007F7"/>
    <w:rsid w:val="00500968"/>
    <w:rsid w:val="005009E8"/>
    <w:rsid w:val="00500AA8"/>
    <w:rsid w:val="00500B21"/>
    <w:rsid w:val="00500B92"/>
    <w:rsid w:val="00500D11"/>
    <w:rsid w:val="00500DBE"/>
    <w:rsid w:val="00501348"/>
    <w:rsid w:val="0050139F"/>
    <w:rsid w:val="005013D9"/>
    <w:rsid w:val="005014C8"/>
    <w:rsid w:val="005015AA"/>
    <w:rsid w:val="005015E1"/>
    <w:rsid w:val="005017CC"/>
    <w:rsid w:val="005017DD"/>
    <w:rsid w:val="005017F5"/>
    <w:rsid w:val="005018A8"/>
    <w:rsid w:val="00501A30"/>
    <w:rsid w:val="00501ADB"/>
    <w:rsid w:val="00501AE8"/>
    <w:rsid w:val="00501B37"/>
    <w:rsid w:val="00501C7F"/>
    <w:rsid w:val="00501D0F"/>
    <w:rsid w:val="00501D58"/>
    <w:rsid w:val="00501E0F"/>
    <w:rsid w:val="00502088"/>
    <w:rsid w:val="005020B3"/>
    <w:rsid w:val="005021FC"/>
    <w:rsid w:val="00502247"/>
    <w:rsid w:val="0050226A"/>
    <w:rsid w:val="005022DA"/>
    <w:rsid w:val="0050243D"/>
    <w:rsid w:val="00502443"/>
    <w:rsid w:val="0050253B"/>
    <w:rsid w:val="005026A1"/>
    <w:rsid w:val="005028B3"/>
    <w:rsid w:val="00502A32"/>
    <w:rsid w:val="00502E96"/>
    <w:rsid w:val="00502E97"/>
    <w:rsid w:val="00503178"/>
    <w:rsid w:val="00503274"/>
    <w:rsid w:val="00503278"/>
    <w:rsid w:val="00503435"/>
    <w:rsid w:val="00503559"/>
    <w:rsid w:val="00503647"/>
    <w:rsid w:val="0050377D"/>
    <w:rsid w:val="0050397E"/>
    <w:rsid w:val="00503A27"/>
    <w:rsid w:val="00503C79"/>
    <w:rsid w:val="00503CC1"/>
    <w:rsid w:val="00503E44"/>
    <w:rsid w:val="00503F09"/>
    <w:rsid w:val="0050403F"/>
    <w:rsid w:val="00504215"/>
    <w:rsid w:val="0050432A"/>
    <w:rsid w:val="00504472"/>
    <w:rsid w:val="0050464F"/>
    <w:rsid w:val="00504679"/>
    <w:rsid w:val="0050475B"/>
    <w:rsid w:val="00504795"/>
    <w:rsid w:val="00504808"/>
    <w:rsid w:val="0050486D"/>
    <w:rsid w:val="005048D4"/>
    <w:rsid w:val="00504997"/>
    <w:rsid w:val="005049A5"/>
    <w:rsid w:val="00504A64"/>
    <w:rsid w:val="00504B02"/>
    <w:rsid w:val="00504BF7"/>
    <w:rsid w:val="00504DEC"/>
    <w:rsid w:val="00504E3C"/>
    <w:rsid w:val="00504FA7"/>
    <w:rsid w:val="00505132"/>
    <w:rsid w:val="005051C9"/>
    <w:rsid w:val="0050521B"/>
    <w:rsid w:val="005052C4"/>
    <w:rsid w:val="005052D9"/>
    <w:rsid w:val="00505500"/>
    <w:rsid w:val="0050566A"/>
    <w:rsid w:val="00505678"/>
    <w:rsid w:val="005056A2"/>
    <w:rsid w:val="00505773"/>
    <w:rsid w:val="005058C5"/>
    <w:rsid w:val="00505A39"/>
    <w:rsid w:val="00505A67"/>
    <w:rsid w:val="00505B3A"/>
    <w:rsid w:val="00505B8B"/>
    <w:rsid w:val="00505B8C"/>
    <w:rsid w:val="00505BDB"/>
    <w:rsid w:val="00505BF8"/>
    <w:rsid w:val="00505C71"/>
    <w:rsid w:val="00505DD2"/>
    <w:rsid w:val="00505EB6"/>
    <w:rsid w:val="00505F0E"/>
    <w:rsid w:val="00505F28"/>
    <w:rsid w:val="005060D6"/>
    <w:rsid w:val="0050614A"/>
    <w:rsid w:val="00506180"/>
    <w:rsid w:val="00506432"/>
    <w:rsid w:val="00506436"/>
    <w:rsid w:val="0050643D"/>
    <w:rsid w:val="00506565"/>
    <w:rsid w:val="005065DD"/>
    <w:rsid w:val="00506695"/>
    <w:rsid w:val="00506740"/>
    <w:rsid w:val="005067C8"/>
    <w:rsid w:val="005068F5"/>
    <w:rsid w:val="005068FA"/>
    <w:rsid w:val="005069C4"/>
    <w:rsid w:val="00506A51"/>
    <w:rsid w:val="00506B1A"/>
    <w:rsid w:val="00506C00"/>
    <w:rsid w:val="00506C0A"/>
    <w:rsid w:val="00506C22"/>
    <w:rsid w:val="00506CFE"/>
    <w:rsid w:val="00506D17"/>
    <w:rsid w:val="00506D24"/>
    <w:rsid w:val="00506E31"/>
    <w:rsid w:val="00506EE3"/>
    <w:rsid w:val="00507020"/>
    <w:rsid w:val="00507094"/>
    <w:rsid w:val="00507305"/>
    <w:rsid w:val="00507354"/>
    <w:rsid w:val="0050742E"/>
    <w:rsid w:val="005074BA"/>
    <w:rsid w:val="005074D3"/>
    <w:rsid w:val="005076AB"/>
    <w:rsid w:val="005076FF"/>
    <w:rsid w:val="00507705"/>
    <w:rsid w:val="00507780"/>
    <w:rsid w:val="005077FD"/>
    <w:rsid w:val="005078A9"/>
    <w:rsid w:val="005078F8"/>
    <w:rsid w:val="005079A8"/>
    <w:rsid w:val="00507A42"/>
    <w:rsid w:val="00507B33"/>
    <w:rsid w:val="00507BD8"/>
    <w:rsid w:val="00507CFA"/>
    <w:rsid w:val="00507D4E"/>
    <w:rsid w:val="00507E73"/>
    <w:rsid w:val="00507EB0"/>
    <w:rsid w:val="00507FEA"/>
    <w:rsid w:val="00507FEC"/>
    <w:rsid w:val="00509343"/>
    <w:rsid w:val="00510097"/>
    <w:rsid w:val="005100D1"/>
    <w:rsid w:val="00510194"/>
    <w:rsid w:val="00510256"/>
    <w:rsid w:val="005102EE"/>
    <w:rsid w:val="00510437"/>
    <w:rsid w:val="005104AC"/>
    <w:rsid w:val="005104F0"/>
    <w:rsid w:val="0051059F"/>
    <w:rsid w:val="00510633"/>
    <w:rsid w:val="005107E7"/>
    <w:rsid w:val="0051085E"/>
    <w:rsid w:val="00510B92"/>
    <w:rsid w:val="00510D8C"/>
    <w:rsid w:val="00510EDC"/>
    <w:rsid w:val="00511112"/>
    <w:rsid w:val="005112A9"/>
    <w:rsid w:val="005113B3"/>
    <w:rsid w:val="00511436"/>
    <w:rsid w:val="00511620"/>
    <w:rsid w:val="0051170C"/>
    <w:rsid w:val="005117FD"/>
    <w:rsid w:val="0051184E"/>
    <w:rsid w:val="00511892"/>
    <w:rsid w:val="005118C6"/>
    <w:rsid w:val="00511B67"/>
    <w:rsid w:val="00511BE7"/>
    <w:rsid w:val="00511C28"/>
    <w:rsid w:val="00511D34"/>
    <w:rsid w:val="00511D4A"/>
    <w:rsid w:val="00511D58"/>
    <w:rsid w:val="00511E45"/>
    <w:rsid w:val="00511E75"/>
    <w:rsid w:val="0051211A"/>
    <w:rsid w:val="00512149"/>
    <w:rsid w:val="005122CA"/>
    <w:rsid w:val="005122E3"/>
    <w:rsid w:val="00512307"/>
    <w:rsid w:val="00512517"/>
    <w:rsid w:val="00512532"/>
    <w:rsid w:val="005128F3"/>
    <w:rsid w:val="00512B14"/>
    <w:rsid w:val="00512B2E"/>
    <w:rsid w:val="00512B7C"/>
    <w:rsid w:val="00512D2F"/>
    <w:rsid w:val="00512E15"/>
    <w:rsid w:val="00512E50"/>
    <w:rsid w:val="00512E56"/>
    <w:rsid w:val="00512EA1"/>
    <w:rsid w:val="00512FFF"/>
    <w:rsid w:val="0051316F"/>
    <w:rsid w:val="00513185"/>
    <w:rsid w:val="00513248"/>
    <w:rsid w:val="0051331D"/>
    <w:rsid w:val="005133B5"/>
    <w:rsid w:val="00513458"/>
    <w:rsid w:val="005134BE"/>
    <w:rsid w:val="0051361C"/>
    <w:rsid w:val="0051372A"/>
    <w:rsid w:val="0051375C"/>
    <w:rsid w:val="00513809"/>
    <w:rsid w:val="005138D4"/>
    <w:rsid w:val="00513976"/>
    <w:rsid w:val="005139B8"/>
    <w:rsid w:val="00513A29"/>
    <w:rsid w:val="00513ACE"/>
    <w:rsid w:val="00513B21"/>
    <w:rsid w:val="00513B9A"/>
    <w:rsid w:val="00513C0D"/>
    <w:rsid w:val="00513C94"/>
    <w:rsid w:val="00513E9B"/>
    <w:rsid w:val="00513FDA"/>
    <w:rsid w:val="00514167"/>
    <w:rsid w:val="005142C7"/>
    <w:rsid w:val="005142FA"/>
    <w:rsid w:val="00514308"/>
    <w:rsid w:val="005143CF"/>
    <w:rsid w:val="00514421"/>
    <w:rsid w:val="00514516"/>
    <w:rsid w:val="005147CA"/>
    <w:rsid w:val="00514858"/>
    <w:rsid w:val="0051495B"/>
    <w:rsid w:val="005149CB"/>
    <w:rsid w:val="005149E6"/>
    <w:rsid w:val="00514A56"/>
    <w:rsid w:val="00514A9D"/>
    <w:rsid w:val="00514AA8"/>
    <w:rsid w:val="00514ABA"/>
    <w:rsid w:val="00514DF6"/>
    <w:rsid w:val="00514F01"/>
    <w:rsid w:val="0051502C"/>
    <w:rsid w:val="00515104"/>
    <w:rsid w:val="005151C2"/>
    <w:rsid w:val="0051524D"/>
    <w:rsid w:val="005153D8"/>
    <w:rsid w:val="005155BA"/>
    <w:rsid w:val="005155FD"/>
    <w:rsid w:val="005156ED"/>
    <w:rsid w:val="005157EB"/>
    <w:rsid w:val="00515800"/>
    <w:rsid w:val="00515852"/>
    <w:rsid w:val="00515854"/>
    <w:rsid w:val="00515BF4"/>
    <w:rsid w:val="00515BF7"/>
    <w:rsid w:val="00515C25"/>
    <w:rsid w:val="00515D23"/>
    <w:rsid w:val="00515DC9"/>
    <w:rsid w:val="00515E8C"/>
    <w:rsid w:val="00515F69"/>
    <w:rsid w:val="00515F73"/>
    <w:rsid w:val="00515FA8"/>
    <w:rsid w:val="00515FE0"/>
    <w:rsid w:val="00516083"/>
    <w:rsid w:val="005165EE"/>
    <w:rsid w:val="005169E0"/>
    <w:rsid w:val="00516A43"/>
    <w:rsid w:val="00516C07"/>
    <w:rsid w:val="00516DE5"/>
    <w:rsid w:val="00517178"/>
    <w:rsid w:val="00517267"/>
    <w:rsid w:val="005173B0"/>
    <w:rsid w:val="0051744C"/>
    <w:rsid w:val="00517458"/>
    <w:rsid w:val="0051746E"/>
    <w:rsid w:val="00517490"/>
    <w:rsid w:val="005174E1"/>
    <w:rsid w:val="005175AF"/>
    <w:rsid w:val="00517644"/>
    <w:rsid w:val="005176C7"/>
    <w:rsid w:val="00517704"/>
    <w:rsid w:val="00517742"/>
    <w:rsid w:val="0051777B"/>
    <w:rsid w:val="005177A4"/>
    <w:rsid w:val="00517814"/>
    <w:rsid w:val="005178EB"/>
    <w:rsid w:val="00517939"/>
    <w:rsid w:val="00517C13"/>
    <w:rsid w:val="00517E86"/>
    <w:rsid w:val="00517E8D"/>
    <w:rsid w:val="0052017A"/>
    <w:rsid w:val="005202A6"/>
    <w:rsid w:val="00520480"/>
    <w:rsid w:val="005204C1"/>
    <w:rsid w:val="005205A2"/>
    <w:rsid w:val="005206BF"/>
    <w:rsid w:val="0052072B"/>
    <w:rsid w:val="00520778"/>
    <w:rsid w:val="00520796"/>
    <w:rsid w:val="005207E1"/>
    <w:rsid w:val="00520B04"/>
    <w:rsid w:val="00520C05"/>
    <w:rsid w:val="00520E09"/>
    <w:rsid w:val="00520EB1"/>
    <w:rsid w:val="00521048"/>
    <w:rsid w:val="0052106F"/>
    <w:rsid w:val="005210AE"/>
    <w:rsid w:val="005210F4"/>
    <w:rsid w:val="00521103"/>
    <w:rsid w:val="0052119F"/>
    <w:rsid w:val="00521321"/>
    <w:rsid w:val="005213B5"/>
    <w:rsid w:val="005213E9"/>
    <w:rsid w:val="00521491"/>
    <w:rsid w:val="00521525"/>
    <w:rsid w:val="00521555"/>
    <w:rsid w:val="00521557"/>
    <w:rsid w:val="0052172E"/>
    <w:rsid w:val="00521761"/>
    <w:rsid w:val="00521864"/>
    <w:rsid w:val="0052194B"/>
    <w:rsid w:val="0052195F"/>
    <w:rsid w:val="00521BA4"/>
    <w:rsid w:val="00521C85"/>
    <w:rsid w:val="00521CB2"/>
    <w:rsid w:val="00521D61"/>
    <w:rsid w:val="00521DC0"/>
    <w:rsid w:val="00521F5E"/>
    <w:rsid w:val="005220CC"/>
    <w:rsid w:val="00522102"/>
    <w:rsid w:val="00522172"/>
    <w:rsid w:val="0052238E"/>
    <w:rsid w:val="005223C1"/>
    <w:rsid w:val="00522480"/>
    <w:rsid w:val="00522499"/>
    <w:rsid w:val="005224B7"/>
    <w:rsid w:val="005225FA"/>
    <w:rsid w:val="005226DC"/>
    <w:rsid w:val="00522813"/>
    <w:rsid w:val="005228B1"/>
    <w:rsid w:val="00522909"/>
    <w:rsid w:val="00522A59"/>
    <w:rsid w:val="00522C0C"/>
    <w:rsid w:val="00522C73"/>
    <w:rsid w:val="00522CA7"/>
    <w:rsid w:val="00522DB9"/>
    <w:rsid w:val="00522E35"/>
    <w:rsid w:val="005232A2"/>
    <w:rsid w:val="00523308"/>
    <w:rsid w:val="00523374"/>
    <w:rsid w:val="00523393"/>
    <w:rsid w:val="005234F7"/>
    <w:rsid w:val="00523617"/>
    <w:rsid w:val="00523621"/>
    <w:rsid w:val="0052365E"/>
    <w:rsid w:val="005236D7"/>
    <w:rsid w:val="00523A32"/>
    <w:rsid w:val="00523CD3"/>
    <w:rsid w:val="00523DCD"/>
    <w:rsid w:val="00523FFF"/>
    <w:rsid w:val="00524032"/>
    <w:rsid w:val="005240BF"/>
    <w:rsid w:val="005241ED"/>
    <w:rsid w:val="005242B4"/>
    <w:rsid w:val="0052438E"/>
    <w:rsid w:val="00524448"/>
    <w:rsid w:val="0052451E"/>
    <w:rsid w:val="0052463C"/>
    <w:rsid w:val="00524783"/>
    <w:rsid w:val="005249D8"/>
    <w:rsid w:val="00524B73"/>
    <w:rsid w:val="00524B9A"/>
    <w:rsid w:val="00524B9B"/>
    <w:rsid w:val="00524DD8"/>
    <w:rsid w:val="00524EAE"/>
    <w:rsid w:val="00524FAF"/>
    <w:rsid w:val="00524FE0"/>
    <w:rsid w:val="00525153"/>
    <w:rsid w:val="00525322"/>
    <w:rsid w:val="005253E2"/>
    <w:rsid w:val="00525436"/>
    <w:rsid w:val="00525615"/>
    <w:rsid w:val="0052569F"/>
    <w:rsid w:val="005256FD"/>
    <w:rsid w:val="0052571E"/>
    <w:rsid w:val="005258AF"/>
    <w:rsid w:val="00525B31"/>
    <w:rsid w:val="00525B63"/>
    <w:rsid w:val="00525BD3"/>
    <w:rsid w:val="00525CCD"/>
    <w:rsid w:val="00525D1B"/>
    <w:rsid w:val="00525D52"/>
    <w:rsid w:val="00525DAE"/>
    <w:rsid w:val="00525F1F"/>
    <w:rsid w:val="00525FF8"/>
    <w:rsid w:val="00526250"/>
    <w:rsid w:val="005262B4"/>
    <w:rsid w:val="0052646A"/>
    <w:rsid w:val="00526474"/>
    <w:rsid w:val="005264A0"/>
    <w:rsid w:val="0052650B"/>
    <w:rsid w:val="0052651E"/>
    <w:rsid w:val="005265B0"/>
    <w:rsid w:val="00526632"/>
    <w:rsid w:val="005266C8"/>
    <w:rsid w:val="00526778"/>
    <w:rsid w:val="0052685C"/>
    <w:rsid w:val="00526955"/>
    <w:rsid w:val="00526A8F"/>
    <w:rsid w:val="00526B9A"/>
    <w:rsid w:val="00526C40"/>
    <w:rsid w:val="00526CD5"/>
    <w:rsid w:val="00526CFD"/>
    <w:rsid w:val="00526DF2"/>
    <w:rsid w:val="00526E15"/>
    <w:rsid w:val="00526EC9"/>
    <w:rsid w:val="00526F19"/>
    <w:rsid w:val="0052709A"/>
    <w:rsid w:val="005270A5"/>
    <w:rsid w:val="00527127"/>
    <w:rsid w:val="005271D5"/>
    <w:rsid w:val="005272A9"/>
    <w:rsid w:val="00527456"/>
    <w:rsid w:val="0052752D"/>
    <w:rsid w:val="00527549"/>
    <w:rsid w:val="0052782D"/>
    <w:rsid w:val="005278F3"/>
    <w:rsid w:val="00527965"/>
    <w:rsid w:val="005279B5"/>
    <w:rsid w:val="00527A32"/>
    <w:rsid w:val="00527A6D"/>
    <w:rsid w:val="00527A74"/>
    <w:rsid w:val="00527AA4"/>
    <w:rsid w:val="00527B04"/>
    <w:rsid w:val="00527BE6"/>
    <w:rsid w:val="00527CA3"/>
    <w:rsid w:val="00527D70"/>
    <w:rsid w:val="00527DDD"/>
    <w:rsid w:val="00527F06"/>
    <w:rsid w:val="00527FC2"/>
    <w:rsid w:val="00530175"/>
    <w:rsid w:val="005301A8"/>
    <w:rsid w:val="00530339"/>
    <w:rsid w:val="0053038B"/>
    <w:rsid w:val="005304A1"/>
    <w:rsid w:val="005304B9"/>
    <w:rsid w:val="00530555"/>
    <w:rsid w:val="0053056A"/>
    <w:rsid w:val="00530570"/>
    <w:rsid w:val="005305F5"/>
    <w:rsid w:val="00530659"/>
    <w:rsid w:val="005307F5"/>
    <w:rsid w:val="005308A7"/>
    <w:rsid w:val="005309D7"/>
    <w:rsid w:val="00530A19"/>
    <w:rsid w:val="00530BB9"/>
    <w:rsid w:val="00530C48"/>
    <w:rsid w:val="00530F0D"/>
    <w:rsid w:val="00530F23"/>
    <w:rsid w:val="00530F66"/>
    <w:rsid w:val="00530F9F"/>
    <w:rsid w:val="005310A3"/>
    <w:rsid w:val="00531147"/>
    <w:rsid w:val="0053139A"/>
    <w:rsid w:val="00531573"/>
    <w:rsid w:val="00531608"/>
    <w:rsid w:val="005316C2"/>
    <w:rsid w:val="0053179A"/>
    <w:rsid w:val="005318B3"/>
    <w:rsid w:val="005318D6"/>
    <w:rsid w:val="00531AB3"/>
    <w:rsid w:val="00531C0A"/>
    <w:rsid w:val="00531CD8"/>
    <w:rsid w:val="00531DF0"/>
    <w:rsid w:val="00531E1F"/>
    <w:rsid w:val="00531F6D"/>
    <w:rsid w:val="00531FFB"/>
    <w:rsid w:val="00532179"/>
    <w:rsid w:val="00532260"/>
    <w:rsid w:val="00532358"/>
    <w:rsid w:val="0053236E"/>
    <w:rsid w:val="005323FF"/>
    <w:rsid w:val="0053245B"/>
    <w:rsid w:val="00532535"/>
    <w:rsid w:val="005325F4"/>
    <w:rsid w:val="005327D9"/>
    <w:rsid w:val="00532886"/>
    <w:rsid w:val="00532AAF"/>
    <w:rsid w:val="00532ADF"/>
    <w:rsid w:val="00532B00"/>
    <w:rsid w:val="00532B05"/>
    <w:rsid w:val="00532F65"/>
    <w:rsid w:val="00532FAC"/>
    <w:rsid w:val="0053317F"/>
    <w:rsid w:val="00533290"/>
    <w:rsid w:val="00533446"/>
    <w:rsid w:val="0053367D"/>
    <w:rsid w:val="005336DA"/>
    <w:rsid w:val="00533744"/>
    <w:rsid w:val="005338C8"/>
    <w:rsid w:val="00533930"/>
    <w:rsid w:val="005339FC"/>
    <w:rsid w:val="00533AE4"/>
    <w:rsid w:val="00533B1A"/>
    <w:rsid w:val="00533B88"/>
    <w:rsid w:val="00533CB7"/>
    <w:rsid w:val="00533DB6"/>
    <w:rsid w:val="00533E08"/>
    <w:rsid w:val="00533E72"/>
    <w:rsid w:val="00533E8E"/>
    <w:rsid w:val="00533F52"/>
    <w:rsid w:val="005340D2"/>
    <w:rsid w:val="005341D3"/>
    <w:rsid w:val="005342D8"/>
    <w:rsid w:val="0053430E"/>
    <w:rsid w:val="005345F8"/>
    <w:rsid w:val="005345F9"/>
    <w:rsid w:val="0053470E"/>
    <w:rsid w:val="00534761"/>
    <w:rsid w:val="005347CF"/>
    <w:rsid w:val="00534825"/>
    <w:rsid w:val="0053490C"/>
    <w:rsid w:val="00534AAE"/>
    <w:rsid w:val="00534AFD"/>
    <w:rsid w:val="00534B34"/>
    <w:rsid w:val="00534C39"/>
    <w:rsid w:val="00534EEE"/>
    <w:rsid w:val="005350A7"/>
    <w:rsid w:val="00535156"/>
    <w:rsid w:val="0053526B"/>
    <w:rsid w:val="005353A2"/>
    <w:rsid w:val="005353C5"/>
    <w:rsid w:val="0053540E"/>
    <w:rsid w:val="0053552D"/>
    <w:rsid w:val="0053586A"/>
    <w:rsid w:val="00535931"/>
    <w:rsid w:val="00535A2A"/>
    <w:rsid w:val="00535AC4"/>
    <w:rsid w:val="00535C2A"/>
    <w:rsid w:val="00535C60"/>
    <w:rsid w:val="00535CC6"/>
    <w:rsid w:val="00535E1D"/>
    <w:rsid w:val="00535F5B"/>
    <w:rsid w:val="00535FBE"/>
    <w:rsid w:val="00535FCB"/>
    <w:rsid w:val="00536029"/>
    <w:rsid w:val="00536051"/>
    <w:rsid w:val="005360A0"/>
    <w:rsid w:val="005362BB"/>
    <w:rsid w:val="0053634D"/>
    <w:rsid w:val="0053643B"/>
    <w:rsid w:val="00536706"/>
    <w:rsid w:val="00536751"/>
    <w:rsid w:val="005367E9"/>
    <w:rsid w:val="00536822"/>
    <w:rsid w:val="00536904"/>
    <w:rsid w:val="00536955"/>
    <w:rsid w:val="00536983"/>
    <w:rsid w:val="00536991"/>
    <w:rsid w:val="00536993"/>
    <w:rsid w:val="005369AC"/>
    <w:rsid w:val="00536A8A"/>
    <w:rsid w:val="00536AB1"/>
    <w:rsid w:val="00536AF1"/>
    <w:rsid w:val="00536B02"/>
    <w:rsid w:val="00536BBD"/>
    <w:rsid w:val="00536D88"/>
    <w:rsid w:val="00536E91"/>
    <w:rsid w:val="00536F55"/>
    <w:rsid w:val="00536FE4"/>
    <w:rsid w:val="005371C6"/>
    <w:rsid w:val="00537281"/>
    <w:rsid w:val="00537584"/>
    <w:rsid w:val="005375E5"/>
    <w:rsid w:val="0053775B"/>
    <w:rsid w:val="0053777A"/>
    <w:rsid w:val="00537793"/>
    <w:rsid w:val="00537860"/>
    <w:rsid w:val="005378AE"/>
    <w:rsid w:val="005378EE"/>
    <w:rsid w:val="00537ABC"/>
    <w:rsid w:val="00537AD7"/>
    <w:rsid w:val="00537CE7"/>
    <w:rsid w:val="00537E43"/>
    <w:rsid w:val="00537EAA"/>
    <w:rsid w:val="00537EF2"/>
    <w:rsid w:val="005400F9"/>
    <w:rsid w:val="0054014F"/>
    <w:rsid w:val="0054016C"/>
    <w:rsid w:val="0054026C"/>
    <w:rsid w:val="00540493"/>
    <w:rsid w:val="005405CC"/>
    <w:rsid w:val="005407B6"/>
    <w:rsid w:val="00540953"/>
    <w:rsid w:val="0054099B"/>
    <w:rsid w:val="00540A0D"/>
    <w:rsid w:val="00540BA0"/>
    <w:rsid w:val="00540C7A"/>
    <w:rsid w:val="00540D50"/>
    <w:rsid w:val="00540F6B"/>
    <w:rsid w:val="00540FF7"/>
    <w:rsid w:val="005412FB"/>
    <w:rsid w:val="005413E1"/>
    <w:rsid w:val="00541482"/>
    <w:rsid w:val="005414C0"/>
    <w:rsid w:val="0054166F"/>
    <w:rsid w:val="005416A6"/>
    <w:rsid w:val="005417A4"/>
    <w:rsid w:val="005417AD"/>
    <w:rsid w:val="00541843"/>
    <w:rsid w:val="005418E7"/>
    <w:rsid w:val="0054194D"/>
    <w:rsid w:val="005419D9"/>
    <w:rsid w:val="00541AA7"/>
    <w:rsid w:val="00541BD8"/>
    <w:rsid w:val="00541D01"/>
    <w:rsid w:val="00541D05"/>
    <w:rsid w:val="00541DD2"/>
    <w:rsid w:val="00541E0C"/>
    <w:rsid w:val="00542008"/>
    <w:rsid w:val="00542245"/>
    <w:rsid w:val="0054227C"/>
    <w:rsid w:val="005423CE"/>
    <w:rsid w:val="0054245C"/>
    <w:rsid w:val="00542605"/>
    <w:rsid w:val="005427D2"/>
    <w:rsid w:val="005427F2"/>
    <w:rsid w:val="00542865"/>
    <w:rsid w:val="00542A9B"/>
    <w:rsid w:val="00542B22"/>
    <w:rsid w:val="00542C60"/>
    <w:rsid w:val="00542EAC"/>
    <w:rsid w:val="00542F77"/>
    <w:rsid w:val="00543107"/>
    <w:rsid w:val="00543188"/>
    <w:rsid w:val="00543262"/>
    <w:rsid w:val="00543292"/>
    <w:rsid w:val="00543634"/>
    <w:rsid w:val="00543688"/>
    <w:rsid w:val="00543804"/>
    <w:rsid w:val="005438FA"/>
    <w:rsid w:val="00543A21"/>
    <w:rsid w:val="00543A55"/>
    <w:rsid w:val="00543AC7"/>
    <w:rsid w:val="00543B02"/>
    <w:rsid w:val="00543C5F"/>
    <w:rsid w:val="00543D6E"/>
    <w:rsid w:val="00543D85"/>
    <w:rsid w:val="00543EDE"/>
    <w:rsid w:val="00543F61"/>
    <w:rsid w:val="00543F7E"/>
    <w:rsid w:val="00543FAB"/>
    <w:rsid w:val="005440A8"/>
    <w:rsid w:val="005446CA"/>
    <w:rsid w:val="005448F6"/>
    <w:rsid w:val="005449EC"/>
    <w:rsid w:val="00544AA2"/>
    <w:rsid w:val="00544CAA"/>
    <w:rsid w:val="00544CCA"/>
    <w:rsid w:val="00544D1C"/>
    <w:rsid w:val="00544E02"/>
    <w:rsid w:val="00544F25"/>
    <w:rsid w:val="00544F75"/>
    <w:rsid w:val="00544FA5"/>
    <w:rsid w:val="00544FF6"/>
    <w:rsid w:val="00545134"/>
    <w:rsid w:val="00545137"/>
    <w:rsid w:val="00545169"/>
    <w:rsid w:val="005451A2"/>
    <w:rsid w:val="005451EC"/>
    <w:rsid w:val="005451F1"/>
    <w:rsid w:val="005452A3"/>
    <w:rsid w:val="005453F1"/>
    <w:rsid w:val="00545481"/>
    <w:rsid w:val="005454FA"/>
    <w:rsid w:val="005454FF"/>
    <w:rsid w:val="00545556"/>
    <w:rsid w:val="00545665"/>
    <w:rsid w:val="005456BA"/>
    <w:rsid w:val="0054574F"/>
    <w:rsid w:val="00545887"/>
    <w:rsid w:val="0054592E"/>
    <w:rsid w:val="00545A91"/>
    <w:rsid w:val="00545C92"/>
    <w:rsid w:val="00545D75"/>
    <w:rsid w:val="00545DBD"/>
    <w:rsid w:val="00545E7A"/>
    <w:rsid w:val="00545E7C"/>
    <w:rsid w:val="00545F30"/>
    <w:rsid w:val="005465D3"/>
    <w:rsid w:val="0054676D"/>
    <w:rsid w:val="00546799"/>
    <w:rsid w:val="00546813"/>
    <w:rsid w:val="005468AC"/>
    <w:rsid w:val="00546920"/>
    <w:rsid w:val="005469BE"/>
    <w:rsid w:val="00546A32"/>
    <w:rsid w:val="00546A90"/>
    <w:rsid w:val="00546B2A"/>
    <w:rsid w:val="00546BD6"/>
    <w:rsid w:val="00546E10"/>
    <w:rsid w:val="00546E3D"/>
    <w:rsid w:val="00546E53"/>
    <w:rsid w:val="00546EBA"/>
    <w:rsid w:val="00546F52"/>
    <w:rsid w:val="00546FBC"/>
    <w:rsid w:val="00546FDD"/>
    <w:rsid w:val="0054702D"/>
    <w:rsid w:val="00547073"/>
    <w:rsid w:val="00547121"/>
    <w:rsid w:val="0054720F"/>
    <w:rsid w:val="0054724A"/>
    <w:rsid w:val="005473AB"/>
    <w:rsid w:val="00547661"/>
    <w:rsid w:val="0054784F"/>
    <w:rsid w:val="0054788F"/>
    <w:rsid w:val="005479A0"/>
    <w:rsid w:val="00547A0E"/>
    <w:rsid w:val="00547C12"/>
    <w:rsid w:val="00547C40"/>
    <w:rsid w:val="00547C8F"/>
    <w:rsid w:val="00547F9E"/>
    <w:rsid w:val="00550217"/>
    <w:rsid w:val="005502C4"/>
    <w:rsid w:val="005502EF"/>
    <w:rsid w:val="005503A6"/>
    <w:rsid w:val="005505BD"/>
    <w:rsid w:val="0055068E"/>
    <w:rsid w:val="00550BBD"/>
    <w:rsid w:val="00550C42"/>
    <w:rsid w:val="00550CCF"/>
    <w:rsid w:val="00550CD7"/>
    <w:rsid w:val="00550D36"/>
    <w:rsid w:val="00550D61"/>
    <w:rsid w:val="00550D7F"/>
    <w:rsid w:val="00550DA5"/>
    <w:rsid w:val="00550DEA"/>
    <w:rsid w:val="00550F02"/>
    <w:rsid w:val="00551066"/>
    <w:rsid w:val="005510C8"/>
    <w:rsid w:val="005510EF"/>
    <w:rsid w:val="00551291"/>
    <w:rsid w:val="005512CB"/>
    <w:rsid w:val="00551311"/>
    <w:rsid w:val="00551337"/>
    <w:rsid w:val="005513CE"/>
    <w:rsid w:val="005516B5"/>
    <w:rsid w:val="0055171B"/>
    <w:rsid w:val="00551925"/>
    <w:rsid w:val="00551AB0"/>
    <w:rsid w:val="00551B46"/>
    <w:rsid w:val="00551C2A"/>
    <w:rsid w:val="00551D51"/>
    <w:rsid w:val="00551E92"/>
    <w:rsid w:val="00551EFA"/>
    <w:rsid w:val="00551FD5"/>
    <w:rsid w:val="005520C6"/>
    <w:rsid w:val="005520FE"/>
    <w:rsid w:val="0055211C"/>
    <w:rsid w:val="0055234C"/>
    <w:rsid w:val="005524DB"/>
    <w:rsid w:val="00552500"/>
    <w:rsid w:val="00552551"/>
    <w:rsid w:val="0055272F"/>
    <w:rsid w:val="005528CF"/>
    <w:rsid w:val="005528ED"/>
    <w:rsid w:val="00552B68"/>
    <w:rsid w:val="00552B7C"/>
    <w:rsid w:val="00552CDE"/>
    <w:rsid w:val="00552CF2"/>
    <w:rsid w:val="00552D9A"/>
    <w:rsid w:val="00552D9F"/>
    <w:rsid w:val="00552F6F"/>
    <w:rsid w:val="00552F84"/>
    <w:rsid w:val="00552FA9"/>
    <w:rsid w:val="00552FDF"/>
    <w:rsid w:val="005530B2"/>
    <w:rsid w:val="005530BD"/>
    <w:rsid w:val="005531EA"/>
    <w:rsid w:val="00553314"/>
    <w:rsid w:val="0055334F"/>
    <w:rsid w:val="0055343D"/>
    <w:rsid w:val="00553446"/>
    <w:rsid w:val="005534DA"/>
    <w:rsid w:val="00553512"/>
    <w:rsid w:val="005536A8"/>
    <w:rsid w:val="00553700"/>
    <w:rsid w:val="00553797"/>
    <w:rsid w:val="005537AC"/>
    <w:rsid w:val="00553868"/>
    <w:rsid w:val="0055386C"/>
    <w:rsid w:val="00553A5D"/>
    <w:rsid w:val="00553AB6"/>
    <w:rsid w:val="00553ADA"/>
    <w:rsid w:val="00553BA1"/>
    <w:rsid w:val="00553C6A"/>
    <w:rsid w:val="00553C7A"/>
    <w:rsid w:val="00553C95"/>
    <w:rsid w:val="00553E5F"/>
    <w:rsid w:val="00553EA1"/>
    <w:rsid w:val="00553F16"/>
    <w:rsid w:val="00553F69"/>
    <w:rsid w:val="00553F9D"/>
    <w:rsid w:val="00554061"/>
    <w:rsid w:val="005541AB"/>
    <w:rsid w:val="00554289"/>
    <w:rsid w:val="005543E0"/>
    <w:rsid w:val="005544B7"/>
    <w:rsid w:val="005544CF"/>
    <w:rsid w:val="005548A4"/>
    <w:rsid w:val="00554938"/>
    <w:rsid w:val="00554A92"/>
    <w:rsid w:val="00554ABB"/>
    <w:rsid w:val="00554B6D"/>
    <w:rsid w:val="00554B7B"/>
    <w:rsid w:val="00554CB4"/>
    <w:rsid w:val="00554CC4"/>
    <w:rsid w:val="00554DEC"/>
    <w:rsid w:val="00554F3E"/>
    <w:rsid w:val="00554FFF"/>
    <w:rsid w:val="00555118"/>
    <w:rsid w:val="00555201"/>
    <w:rsid w:val="005552A3"/>
    <w:rsid w:val="005554E9"/>
    <w:rsid w:val="00555525"/>
    <w:rsid w:val="00555624"/>
    <w:rsid w:val="0055566A"/>
    <w:rsid w:val="005556F1"/>
    <w:rsid w:val="00555817"/>
    <w:rsid w:val="00555AC1"/>
    <w:rsid w:val="00555B15"/>
    <w:rsid w:val="00555BFF"/>
    <w:rsid w:val="00555C0A"/>
    <w:rsid w:val="00555CB6"/>
    <w:rsid w:val="00555DFD"/>
    <w:rsid w:val="00555ED0"/>
    <w:rsid w:val="00555F12"/>
    <w:rsid w:val="00555F91"/>
    <w:rsid w:val="005560AF"/>
    <w:rsid w:val="0055622A"/>
    <w:rsid w:val="0055623A"/>
    <w:rsid w:val="005562EB"/>
    <w:rsid w:val="00556385"/>
    <w:rsid w:val="00556449"/>
    <w:rsid w:val="00556591"/>
    <w:rsid w:val="005565AF"/>
    <w:rsid w:val="00556759"/>
    <w:rsid w:val="0055688E"/>
    <w:rsid w:val="00556995"/>
    <w:rsid w:val="00556A27"/>
    <w:rsid w:val="00556A81"/>
    <w:rsid w:val="00556B53"/>
    <w:rsid w:val="00556CDB"/>
    <w:rsid w:val="00556DAD"/>
    <w:rsid w:val="00556E39"/>
    <w:rsid w:val="00556E60"/>
    <w:rsid w:val="00556F63"/>
    <w:rsid w:val="00557038"/>
    <w:rsid w:val="005571AF"/>
    <w:rsid w:val="005571C6"/>
    <w:rsid w:val="005571D1"/>
    <w:rsid w:val="0055724A"/>
    <w:rsid w:val="00557297"/>
    <w:rsid w:val="00557376"/>
    <w:rsid w:val="005574F0"/>
    <w:rsid w:val="0055763E"/>
    <w:rsid w:val="005576A9"/>
    <w:rsid w:val="005577BC"/>
    <w:rsid w:val="005577F1"/>
    <w:rsid w:val="005578F8"/>
    <w:rsid w:val="00557944"/>
    <w:rsid w:val="00557DF8"/>
    <w:rsid w:val="00557EA8"/>
    <w:rsid w:val="00557F5D"/>
    <w:rsid w:val="00557FE7"/>
    <w:rsid w:val="005600A1"/>
    <w:rsid w:val="00560157"/>
    <w:rsid w:val="00560289"/>
    <w:rsid w:val="00560374"/>
    <w:rsid w:val="00560418"/>
    <w:rsid w:val="00560517"/>
    <w:rsid w:val="005605F6"/>
    <w:rsid w:val="0056065F"/>
    <w:rsid w:val="00560738"/>
    <w:rsid w:val="0056091D"/>
    <w:rsid w:val="005609A2"/>
    <w:rsid w:val="00560A32"/>
    <w:rsid w:val="00560CE8"/>
    <w:rsid w:val="00560DD3"/>
    <w:rsid w:val="00560FEA"/>
    <w:rsid w:val="00561007"/>
    <w:rsid w:val="005610BC"/>
    <w:rsid w:val="005611C2"/>
    <w:rsid w:val="00561269"/>
    <w:rsid w:val="00561309"/>
    <w:rsid w:val="00561345"/>
    <w:rsid w:val="005613D4"/>
    <w:rsid w:val="005614DD"/>
    <w:rsid w:val="0056160D"/>
    <w:rsid w:val="005616E1"/>
    <w:rsid w:val="005616F3"/>
    <w:rsid w:val="00561789"/>
    <w:rsid w:val="0056185E"/>
    <w:rsid w:val="005618C5"/>
    <w:rsid w:val="00561908"/>
    <w:rsid w:val="0056190F"/>
    <w:rsid w:val="00561934"/>
    <w:rsid w:val="005619E0"/>
    <w:rsid w:val="00561A45"/>
    <w:rsid w:val="00561B67"/>
    <w:rsid w:val="00561D2B"/>
    <w:rsid w:val="00561DDE"/>
    <w:rsid w:val="00561E56"/>
    <w:rsid w:val="00561F35"/>
    <w:rsid w:val="00561FBC"/>
    <w:rsid w:val="00562125"/>
    <w:rsid w:val="0056212E"/>
    <w:rsid w:val="00562194"/>
    <w:rsid w:val="005623D4"/>
    <w:rsid w:val="005623FB"/>
    <w:rsid w:val="00562561"/>
    <w:rsid w:val="0056262A"/>
    <w:rsid w:val="00562659"/>
    <w:rsid w:val="005626E8"/>
    <w:rsid w:val="005628D2"/>
    <w:rsid w:val="00562977"/>
    <w:rsid w:val="005629CB"/>
    <w:rsid w:val="00562A7E"/>
    <w:rsid w:val="00562AF2"/>
    <w:rsid w:val="00562D4B"/>
    <w:rsid w:val="00562F41"/>
    <w:rsid w:val="00562FAE"/>
    <w:rsid w:val="00563077"/>
    <w:rsid w:val="005631FE"/>
    <w:rsid w:val="0056323B"/>
    <w:rsid w:val="005632E1"/>
    <w:rsid w:val="0056331B"/>
    <w:rsid w:val="0056339C"/>
    <w:rsid w:val="0056354D"/>
    <w:rsid w:val="0056355F"/>
    <w:rsid w:val="0056376F"/>
    <w:rsid w:val="00563828"/>
    <w:rsid w:val="00563ABF"/>
    <w:rsid w:val="00563AE5"/>
    <w:rsid w:val="00563BA0"/>
    <w:rsid w:val="00563C40"/>
    <w:rsid w:val="00563E1B"/>
    <w:rsid w:val="00563FCD"/>
    <w:rsid w:val="00563FF0"/>
    <w:rsid w:val="005640D0"/>
    <w:rsid w:val="00564237"/>
    <w:rsid w:val="00564325"/>
    <w:rsid w:val="005645AA"/>
    <w:rsid w:val="00564617"/>
    <w:rsid w:val="00564802"/>
    <w:rsid w:val="0056488D"/>
    <w:rsid w:val="005649B7"/>
    <w:rsid w:val="00564BD5"/>
    <w:rsid w:val="00564C7C"/>
    <w:rsid w:val="00564CD1"/>
    <w:rsid w:val="00564D16"/>
    <w:rsid w:val="00564DCF"/>
    <w:rsid w:val="00564FB9"/>
    <w:rsid w:val="005650EA"/>
    <w:rsid w:val="005654D9"/>
    <w:rsid w:val="005654F1"/>
    <w:rsid w:val="00565AEC"/>
    <w:rsid w:val="00565AF6"/>
    <w:rsid w:val="00565B2D"/>
    <w:rsid w:val="00565B8B"/>
    <w:rsid w:val="00565C72"/>
    <w:rsid w:val="00565D2F"/>
    <w:rsid w:val="00565D45"/>
    <w:rsid w:val="00565D54"/>
    <w:rsid w:val="00565DD0"/>
    <w:rsid w:val="00565E2F"/>
    <w:rsid w:val="00565E80"/>
    <w:rsid w:val="00565FC5"/>
    <w:rsid w:val="00566153"/>
    <w:rsid w:val="005662AD"/>
    <w:rsid w:val="005663C5"/>
    <w:rsid w:val="005664E9"/>
    <w:rsid w:val="0056654A"/>
    <w:rsid w:val="00566594"/>
    <w:rsid w:val="00566598"/>
    <w:rsid w:val="0056683E"/>
    <w:rsid w:val="005668BA"/>
    <w:rsid w:val="005668CF"/>
    <w:rsid w:val="005668EA"/>
    <w:rsid w:val="005668F1"/>
    <w:rsid w:val="005669E8"/>
    <w:rsid w:val="005669F9"/>
    <w:rsid w:val="00566A17"/>
    <w:rsid w:val="00566BA1"/>
    <w:rsid w:val="00566BDA"/>
    <w:rsid w:val="00566C32"/>
    <w:rsid w:val="00566EF7"/>
    <w:rsid w:val="00566F2D"/>
    <w:rsid w:val="00566FD2"/>
    <w:rsid w:val="00567006"/>
    <w:rsid w:val="0056705E"/>
    <w:rsid w:val="00567103"/>
    <w:rsid w:val="00567179"/>
    <w:rsid w:val="005672D6"/>
    <w:rsid w:val="0056748F"/>
    <w:rsid w:val="00567541"/>
    <w:rsid w:val="005675E7"/>
    <w:rsid w:val="00567614"/>
    <w:rsid w:val="00567660"/>
    <w:rsid w:val="005677C4"/>
    <w:rsid w:val="005677EC"/>
    <w:rsid w:val="0056786F"/>
    <w:rsid w:val="0056790D"/>
    <w:rsid w:val="0056798F"/>
    <w:rsid w:val="005679BE"/>
    <w:rsid w:val="00567B09"/>
    <w:rsid w:val="00567B9E"/>
    <w:rsid w:val="00567BA1"/>
    <w:rsid w:val="00567C48"/>
    <w:rsid w:val="00567CAF"/>
    <w:rsid w:val="00567CC0"/>
    <w:rsid w:val="00567CF9"/>
    <w:rsid w:val="00567D0E"/>
    <w:rsid w:val="00567D7A"/>
    <w:rsid w:val="00567EB4"/>
    <w:rsid w:val="005701DB"/>
    <w:rsid w:val="00570288"/>
    <w:rsid w:val="00570393"/>
    <w:rsid w:val="00570405"/>
    <w:rsid w:val="005705F0"/>
    <w:rsid w:val="00570688"/>
    <w:rsid w:val="00570A88"/>
    <w:rsid w:val="00570B4B"/>
    <w:rsid w:val="00570D29"/>
    <w:rsid w:val="00570D3F"/>
    <w:rsid w:val="00570D5D"/>
    <w:rsid w:val="00570DEF"/>
    <w:rsid w:val="00570DF7"/>
    <w:rsid w:val="00570E88"/>
    <w:rsid w:val="005711C6"/>
    <w:rsid w:val="00571422"/>
    <w:rsid w:val="00571516"/>
    <w:rsid w:val="005715F2"/>
    <w:rsid w:val="005718A0"/>
    <w:rsid w:val="005718A7"/>
    <w:rsid w:val="0057190B"/>
    <w:rsid w:val="00571B4F"/>
    <w:rsid w:val="00571C3A"/>
    <w:rsid w:val="00571DC1"/>
    <w:rsid w:val="00571E01"/>
    <w:rsid w:val="00571E16"/>
    <w:rsid w:val="00571EC5"/>
    <w:rsid w:val="00571EF7"/>
    <w:rsid w:val="00571F3B"/>
    <w:rsid w:val="005720AD"/>
    <w:rsid w:val="005721F7"/>
    <w:rsid w:val="00572245"/>
    <w:rsid w:val="005722EB"/>
    <w:rsid w:val="005723FC"/>
    <w:rsid w:val="005724E0"/>
    <w:rsid w:val="005725EA"/>
    <w:rsid w:val="005726D9"/>
    <w:rsid w:val="00572775"/>
    <w:rsid w:val="005728EC"/>
    <w:rsid w:val="00572944"/>
    <w:rsid w:val="00572B47"/>
    <w:rsid w:val="00572C42"/>
    <w:rsid w:val="00572CB1"/>
    <w:rsid w:val="00572FDC"/>
    <w:rsid w:val="0057303B"/>
    <w:rsid w:val="005730F7"/>
    <w:rsid w:val="00573500"/>
    <w:rsid w:val="0057358F"/>
    <w:rsid w:val="00573764"/>
    <w:rsid w:val="0057378F"/>
    <w:rsid w:val="005738A9"/>
    <w:rsid w:val="0057391A"/>
    <w:rsid w:val="005739E1"/>
    <w:rsid w:val="00573A4E"/>
    <w:rsid w:val="00573B22"/>
    <w:rsid w:val="00573B5E"/>
    <w:rsid w:val="00573CDA"/>
    <w:rsid w:val="00573D3B"/>
    <w:rsid w:val="00573E01"/>
    <w:rsid w:val="00573EBB"/>
    <w:rsid w:val="00573F39"/>
    <w:rsid w:val="00573FD5"/>
    <w:rsid w:val="0057407F"/>
    <w:rsid w:val="005740A2"/>
    <w:rsid w:val="00574115"/>
    <w:rsid w:val="005741F2"/>
    <w:rsid w:val="0057438E"/>
    <w:rsid w:val="005744D3"/>
    <w:rsid w:val="0057453D"/>
    <w:rsid w:val="00574596"/>
    <w:rsid w:val="005745C6"/>
    <w:rsid w:val="005745DE"/>
    <w:rsid w:val="00574691"/>
    <w:rsid w:val="00574717"/>
    <w:rsid w:val="00574A3E"/>
    <w:rsid w:val="00574B9C"/>
    <w:rsid w:val="00574BC5"/>
    <w:rsid w:val="00574D35"/>
    <w:rsid w:val="00574E85"/>
    <w:rsid w:val="00574F3F"/>
    <w:rsid w:val="00574F44"/>
    <w:rsid w:val="0057503B"/>
    <w:rsid w:val="0057504F"/>
    <w:rsid w:val="00575086"/>
    <w:rsid w:val="005750C3"/>
    <w:rsid w:val="005751F6"/>
    <w:rsid w:val="005752DB"/>
    <w:rsid w:val="005752EC"/>
    <w:rsid w:val="0057530D"/>
    <w:rsid w:val="0057532A"/>
    <w:rsid w:val="005754E4"/>
    <w:rsid w:val="005754EE"/>
    <w:rsid w:val="005755F0"/>
    <w:rsid w:val="00575606"/>
    <w:rsid w:val="005756E6"/>
    <w:rsid w:val="005757C1"/>
    <w:rsid w:val="00575965"/>
    <w:rsid w:val="00575BFE"/>
    <w:rsid w:val="00575C55"/>
    <w:rsid w:val="00575E62"/>
    <w:rsid w:val="00575E89"/>
    <w:rsid w:val="00575ED0"/>
    <w:rsid w:val="00575FAE"/>
    <w:rsid w:val="0057607B"/>
    <w:rsid w:val="0057615D"/>
    <w:rsid w:val="005761AE"/>
    <w:rsid w:val="00576252"/>
    <w:rsid w:val="00576270"/>
    <w:rsid w:val="005764A0"/>
    <w:rsid w:val="005765A3"/>
    <w:rsid w:val="005767F7"/>
    <w:rsid w:val="00576904"/>
    <w:rsid w:val="00576966"/>
    <w:rsid w:val="005769F0"/>
    <w:rsid w:val="00576A37"/>
    <w:rsid w:val="00576A38"/>
    <w:rsid w:val="00576B34"/>
    <w:rsid w:val="00576C3C"/>
    <w:rsid w:val="00576E18"/>
    <w:rsid w:val="00576FFC"/>
    <w:rsid w:val="005770BC"/>
    <w:rsid w:val="005770D3"/>
    <w:rsid w:val="005771F8"/>
    <w:rsid w:val="00577346"/>
    <w:rsid w:val="005773EE"/>
    <w:rsid w:val="00577451"/>
    <w:rsid w:val="0057759E"/>
    <w:rsid w:val="00577637"/>
    <w:rsid w:val="005776F0"/>
    <w:rsid w:val="005777DA"/>
    <w:rsid w:val="0057791E"/>
    <w:rsid w:val="00577A41"/>
    <w:rsid w:val="00577A6C"/>
    <w:rsid w:val="00577B2D"/>
    <w:rsid w:val="00577C7A"/>
    <w:rsid w:val="00577DA1"/>
    <w:rsid w:val="00577E41"/>
    <w:rsid w:val="00577EE0"/>
    <w:rsid w:val="00577F4A"/>
    <w:rsid w:val="00577FB2"/>
    <w:rsid w:val="00580022"/>
    <w:rsid w:val="0058004B"/>
    <w:rsid w:val="0058005C"/>
    <w:rsid w:val="00580156"/>
    <w:rsid w:val="00580176"/>
    <w:rsid w:val="005801D6"/>
    <w:rsid w:val="0058022B"/>
    <w:rsid w:val="005804AC"/>
    <w:rsid w:val="005804BE"/>
    <w:rsid w:val="005804D7"/>
    <w:rsid w:val="005807C1"/>
    <w:rsid w:val="005807C7"/>
    <w:rsid w:val="005809F9"/>
    <w:rsid w:val="00580D71"/>
    <w:rsid w:val="00580F32"/>
    <w:rsid w:val="0058103E"/>
    <w:rsid w:val="00581117"/>
    <w:rsid w:val="0058114D"/>
    <w:rsid w:val="0058119E"/>
    <w:rsid w:val="00581380"/>
    <w:rsid w:val="005814BA"/>
    <w:rsid w:val="00581506"/>
    <w:rsid w:val="005815C8"/>
    <w:rsid w:val="005818AF"/>
    <w:rsid w:val="005818D9"/>
    <w:rsid w:val="00581912"/>
    <w:rsid w:val="00581AFF"/>
    <w:rsid w:val="00581FCC"/>
    <w:rsid w:val="0058202D"/>
    <w:rsid w:val="0058204E"/>
    <w:rsid w:val="005820EC"/>
    <w:rsid w:val="0058237E"/>
    <w:rsid w:val="005823A2"/>
    <w:rsid w:val="005823C9"/>
    <w:rsid w:val="00582596"/>
    <w:rsid w:val="005825A0"/>
    <w:rsid w:val="0058276B"/>
    <w:rsid w:val="00582880"/>
    <w:rsid w:val="00582BF3"/>
    <w:rsid w:val="00582C6D"/>
    <w:rsid w:val="00582D05"/>
    <w:rsid w:val="00582D3C"/>
    <w:rsid w:val="00583204"/>
    <w:rsid w:val="00583316"/>
    <w:rsid w:val="005833E0"/>
    <w:rsid w:val="00583555"/>
    <w:rsid w:val="00583885"/>
    <w:rsid w:val="00583AC9"/>
    <w:rsid w:val="00583B4C"/>
    <w:rsid w:val="00583BFA"/>
    <w:rsid w:val="00583CB2"/>
    <w:rsid w:val="00583E65"/>
    <w:rsid w:val="00583EF7"/>
    <w:rsid w:val="00583F96"/>
    <w:rsid w:val="00584032"/>
    <w:rsid w:val="005840CF"/>
    <w:rsid w:val="0058410E"/>
    <w:rsid w:val="00584232"/>
    <w:rsid w:val="00584355"/>
    <w:rsid w:val="005845A4"/>
    <w:rsid w:val="0058461C"/>
    <w:rsid w:val="00584637"/>
    <w:rsid w:val="00584ABC"/>
    <w:rsid w:val="00584D35"/>
    <w:rsid w:val="00584DC6"/>
    <w:rsid w:val="00584E82"/>
    <w:rsid w:val="0058505F"/>
    <w:rsid w:val="0058507D"/>
    <w:rsid w:val="00585084"/>
    <w:rsid w:val="005850B3"/>
    <w:rsid w:val="00585108"/>
    <w:rsid w:val="005852B9"/>
    <w:rsid w:val="005852BD"/>
    <w:rsid w:val="005852CE"/>
    <w:rsid w:val="00585329"/>
    <w:rsid w:val="0058533A"/>
    <w:rsid w:val="00585388"/>
    <w:rsid w:val="00585390"/>
    <w:rsid w:val="005853DE"/>
    <w:rsid w:val="00585431"/>
    <w:rsid w:val="00585482"/>
    <w:rsid w:val="005855F4"/>
    <w:rsid w:val="00585979"/>
    <w:rsid w:val="0058598B"/>
    <w:rsid w:val="00585A64"/>
    <w:rsid w:val="00585AA1"/>
    <w:rsid w:val="00585ABB"/>
    <w:rsid w:val="00585ABD"/>
    <w:rsid w:val="00585AFC"/>
    <w:rsid w:val="00585E50"/>
    <w:rsid w:val="00585EC2"/>
    <w:rsid w:val="00585EF4"/>
    <w:rsid w:val="00585FDD"/>
    <w:rsid w:val="0058601E"/>
    <w:rsid w:val="00586032"/>
    <w:rsid w:val="0058608B"/>
    <w:rsid w:val="005860CA"/>
    <w:rsid w:val="005862A7"/>
    <w:rsid w:val="005862C2"/>
    <w:rsid w:val="005864AD"/>
    <w:rsid w:val="005864CA"/>
    <w:rsid w:val="0058658C"/>
    <w:rsid w:val="005865A4"/>
    <w:rsid w:val="005865BA"/>
    <w:rsid w:val="005865EE"/>
    <w:rsid w:val="00586661"/>
    <w:rsid w:val="005867E3"/>
    <w:rsid w:val="00586A6A"/>
    <w:rsid w:val="00586BE4"/>
    <w:rsid w:val="00586C64"/>
    <w:rsid w:val="00586E47"/>
    <w:rsid w:val="00586F56"/>
    <w:rsid w:val="005870E8"/>
    <w:rsid w:val="005871DC"/>
    <w:rsid w:val="0058729E"/>
    <w:rsid w:val="005872AA"/>
    <w:rsid w:val="005872DB"/>
    <w:rsid w:val="0058742D"/>
    <w:rsid w:val="0058747F"/>
    <w:rsid w:val="0058748C"/>
    <w:rsid w:val="00587596"/>
    <w:rsid w:val="005875E7"/>
    <w:rsid w:val="005876CE"/>
    <w:rsid w:val="0058772D"/>
    <w:rsid w:val="00587881"/>
    <w:rsid w:val="0058793E"/>
    <w:rsid w:val="0058798F"/>
    <w:rsid w:val="005879F5"/>
    <w:rsid w:val="00587A1E"/>
    <w:rsid w:val="00587A6E"/>
    <w:rsid w:val="00587C70"/>
    <w:rsid w:val="00587D08"/>
    <w:rsid w:val="00587DE3"/>
    <w:rsid w:val="00587F26"/>
    <w:rsid w:val="00587FC0"/>
    <w:rsid w:val="0059000A"/>
    <w:rsid w:val="00590095"/>
    <w:rsid w:val="005901E8"/>
    <w:rsid w:val="005901F3"/>
    <w:rsid w:val="005902DE"/>
    <w:rsid w:val="005903FA"/>
    <w:rsid w:val="00590443"/>
    <w:rsid w:val="00590534"/>
    <w:rsid w:val="00590547"/>
    <w:rsid w:val="00590BD9"/>
    <w:rsid w:val="00590D17"/>
    <w:rsid w:val="00590D53"/>
    <w:rsid w:val="00590E10"/>
    <w:rsid w:val="00590E2D"/>
    <w:rsid w:val="00591078"/>
    <w:rsid w:val="005910CF"/>
    <w:rsid w:val="00591102"/>
    <w:rsid w:val="0059115E"/>
    <w:rsid w:val="00591267"/>
    <w:rsid w:val="00591542"/>
    <w:rsid w:val="00591574"/>
    <w:rsid w:val="0059171C"/>
    <w:rsid w:val="00591741"/>
    <w:rsid w:val="00591791"/>
    <w:rsid w:val="00591CBA"/>
    <w:rsid w:val="00591EF3"/>
    <w:rsid w:val="00592309"/>
    <w:rsid w:val="00592393"/>
    <w:rsid w:val="005923B5"/>
    <w:rsid w:val="005923F5"/>
    <w:rsid w:val="005923FB"/>
    <w:rsid w:val="005924BD"/>
    <w:rsid w:val="005924E9"/>
    <w:rsid w:val="0059250C"/>
    <w:rsid w:val="005925C2"/>
    <w:rsid w:val="005925E8"/>
    <w:rsid w:val="00592606"/>
    <w:rsid w:val="0059260B"/>
    <w:rsid w:val="00592649"/>
    <w:rsid w:val="005927E1"/>
    <w:rsid w:val="005927EC"/>
    <w:rsid w:val="005927FC"/>
    <w:rsid w:val="00592973"/>
    <w:rsid w:val="005929CC"/>
    <w:rsid w:val="00592A29"/>
    <w:rsid w:val="00592A3E"/>
    <w:rsid w:val="00592ADB"/>
    <w:rsid w:val="00592BE4"/>
    <w:rsid w:val="00592DAB"/>
    <w:rsid w:val="00592E73"/>
    <w:rsid w:val="00592E79"/>
    <w:rsid w:val="00592FD9"/>
    <w:rsid w:val="00593161"/>
    <w:rsid w:val="00593307"/>
    <w:rsid w:val="0059339B"/>
    <w:rsid w:val="0059349D"/>
    <w:rsid w:val="005934A1"/>
    <w:rsid w:val="00593557"/>
    <w:rsid w:val="00593619"/>
    <w:rsid w:val="00593627"/>
    <w:rsid w:val="00593687"/>
    <w:rsid w:val="0059386B"/>
    <w:rsid w:val="00593899"/>
    <w:rsid w:val="005939A5"/>
    <w:rsid w:val="00593A45"/>
    <w:rsid w:val="00593A60"/>
    <w:rsid w:val="00593C28"/>
    <w:rsid w:val="00593D0B"/>
    <w:rsid w:val="00593D1C"/>
    <w:rsid w:val="00594078"/>
    <w:rsid w:val="005941E1"/>
    <w:rsid w:val="00594389"/>
    <w:rsid w:val="0059439C"/>
    <w:rsid w:val="005944A4"/>
    <w:rsid w:val="005944FB"/>
    <w:rsid w:val="00594537"/>
    <w:rsid w:val="005945D2"/>
    <w:rsid w:val="00594783"/>
    <w:rsid w:val="005947A7"/>
    <w:rsid w:val="005947B8"/>
    <w:rsid w:val="005947CB"/>
    <w:rsid w:val="005947DA"/>
    <w:rsid w:val="0059486D"/>
    <w:rsid w:val="0059494F"/>
    <w:rsid w:val="00594C3A"/>
    <w:rsid w:val="00594D52"/>
    <w:rsid w:val="00594D56"/>
    <w:rsid w:val="00594FBC"/>
    <w:rsid w:val="00595087"/>
    <w:rsid w:val="00595094"/>
    <w:rsid w:val="005951D5"/>
    <w:rsid w:val="00595270"/>
    <w:rsid w:val="00595301"/>
    <w:rsid w:val="0059532E"/>
    <w:rsid w:val="0059566A"/>
    <w:rsid w:val="0059574E"/>
    <w:rsid w:val="005957C9"/>
    <w:rsid w:val="005958E4"/>
    <w:rsid w:val="00595A0A"/>
    <w:rsid w:val="00595A36"/>
    <w:rsid w:val="00595A60"/>
    <w:rsid w:val="00595A71"/>
    <w:rsid w:val="00595A9C"/>
    <w:rsid w:val="00595B85"/>
    <w:rsid w:val="00595C4A"/>
    <w:rsid w:val="00595D07"/>
    <w:rsid w:val="00595D77"/>
    <w:rsid w:val="00595E05"/>
    <w:rsid w:val="00595EC1"/>
    <w:rsid w:val="00595F4C"/>
    <w:rsid w:val="00596059"/>
    <w:rsid w:val="005960AA"/>
    <w:rsid w:val="00596183"/>
    <w:rsid w:val="0059633C"/>
    <w:rsid w:val="005964D5"/>
    <w:rsid w:val="005964F6"/>
    <w:rsid w:val="005966F5"/>
    <w:rsid w:val="005966F7"/>
    <w:rsid w:val="005967C6"/>
    <w:rsid w:val="00596925"/>
    <w:rsid w:val="00596A7E"/>
    <w:rsid w:val="00596C21"/>
    <w:rsid w:val="00596D57"/>
    <w:rsid w:val="00596DED"/>
    <w:rsid w:val="00596E3A"/>
    <w:rsid w:val="00596EC0"/>
    <w:rsid w:val="00596F38"/>
    <w:rsid w:val="00596FDC"/>
    <w:rsid w:val="00596FF1"/>
    <w:rsid w:val="00597003"/>
    <w:rsid w:val="0059708C"/>
    <w:rsid w:val="00597161"/>
    <w:rsid w:val="005973F3"/>
    <w:rsid w:val="00597548"/>
    <w:rsid w:val="005976F8"/>
    <w:rsid w:val="00597885"/>
    <w:rsid w:val="00597895"/>
    <w:rsid w:val="00597ADC"/>
    <w:rsid w:val="00597B3B"/>
    <w:rsid w:val="00597C67"/>
    <w:rsid w:val="00597DFD"/>
    <w:rsid w:val="00597E16"/>
    <w:rsid w:val="00597F07"/>
    <w:rsid w:val="005A014B"/>
    <w:rsid w:val="005A01D6"/>
    <w:rsid w:val="005A0540"/>
    <w:rsid w:val="005A060C"/>
    <w:rsid w:val="005A069C"/>
    <w:rsid w:val="005A073A"/>
    <w:rsid w:val="005A099E"/>
    <w:rsid w:val="005A0A32"/>
    <w:rsid w:val="005A0AD8"/>
    <w:rsid w:val="005A0C07"/>
    <w:rsid w:val="005A0CAF"/>
    <w:rsid w:val="005A0D51"/>
    <w:rsid w:val="005A0DFC"/>
    <w:rsid w:val="005A0E1E"/>
    <w:rsid w:val="005A1128"/>
    <w:rsid w:val="005A1478"/>
    <w:rsid w:val="005A148C"/>
    <w:rsid w:val="005A1519"/>
    <w:rsid w:val="005A1530"/>
    <w:rsid w:val="005A1587"/>
    <w:rsid w:val="005A163F"/>
    <w:rsid w:val="005A1681"/>
    <w:rsid w:val="005A1819"/>
    <w:rsid w:val="005A18EE"/>
    <w:rsid w:val="005A18F1"/>
    <w:rsid w:val="005A1A6D"/>
    <w:rsid w:val="005A1C1E"/>
    <w:rsid w:val="005A1C87"/>
    <w:rsid w:val="005A1CFD"/>
    <w:rsid w:val="005A1D47"/>
    <w:rsid w:val="005A1DA5"/>
    <w:rsid w:val="005A1DF7"/>
    <w:rsid w:val="005A1EED"/>
    <w:rsid w:val="005A1F06"/>
    <w:rsid w:val="005A1F73"/>
    <w:rsid w:val="005A208D"/>
    <w:rsid w:val="005A21F4"/>
    <w:rsid w:val="005A22C2"/>
    <w:rsid w:val="005A2303"/>
    <w:rsid w:val="005A2392"/>
    <w:rsid w:val="005A2540"/>
    <w:rsid w:val="005A25B3"/>
    <w:rsid w:val="005A2688"/>
    <w:rsid w:val="005A2782"/>
    <w:rsid w:val="005A2A32"/>
    <w:rsid w:val="005A2AAC"/>
    <w:rsid w:val="005A2AFA"/>
    <w:rsid w:val="005A2EEE"/>
    <w:rsid w:val="005A2F9B"/>
    <w:rsid w:val="005A3065"/>
    <w:rsid w:val="005A3102"/>
    <w:rsid w:val="005A32FD"/>
    <w:rsid w:val="005A3328"/>
    <w:rsid w:val="005A35B3"/>
    <w:rsid w:val="005A37DB"/>
    <w:rsid w:val="005A3A69"/>
    <w:rsid w:val="005A3AE2"/>
    <w:rsid w:val="005A3B5F"/>
    <w:rsid w:val="005A3BB6"/>
    <w:rsid w:val="005A3BED"/>
    <w:rsid w:val="005A3C99"/>
    <w:rsid w:val="005A3D31"/>
    <w:rsid w:val="005A3E05"/>
    <w:rsid w:val="005A3E60"/>
    <w:rsid w:val="005A3F5D"/>
    <w:rsid w:val="005A3F9E"/>
    <w:rsid w:val="005A4066"/>
    <w:rsid w:val="005A40BA"/>
    <w:rsid w:val="005A4107"/>
    <w:rsid w:val="005A4143"/>
    <w:rsid w:val="005A4233"/>
    <w:rsid w:val="005A4302"/>
    <w:rsid w:val="005A44D9"/>
    <w:rsid w:val="005A44F6"/>
    <w:rsid w:val="005A452E"/>
    <w:rsid w:val="005A4534"/>
    <w:rsid w:val="005A4580"/>
    <w:rsid w:val="005A471A"/>
    <w:rsid w:val="005A4727"/>
    <w:rsid w:val="005A479F"/>
    <w:rsid w:val="005A47D9"/>
    <w:rsid w:val="005A481E"/>
    <w:rsid w:val="005A493C"/>
    <w:rsid w:val="005A4A58"/>
    <w:rsid w:val="005A4A76"/>
    <w:rsid w:val="005A4AD3"/>
    <w:rsid w:val="005A4B97"/>
    <w:rsid w:val="005A4CD7"/>
    <w:rsid w:val="005A4DD4"/>
    <w:rsid w:val="005A4E38"/>
    <w:rsid w:val="005A4F3B"/>
    <w:rsid w:val="005A5003"/>
    <w:rsid w:val="005A50B0"/>
    <w:rsid w:val="005A5136"/>
    <w:rsid w:val="005A51AF"/>
    <w:rsid w:val="005A5204"/>
    <w:rsid w:val="005A5313"/>
    <w:rsid w:val="005A5394"/>
    <w:rsid w:val="005A54BE"/>
    <w:rsid w:val="005A557A"/>
    <w:rsid w:val="005A55A8"/>
    <w:rsid w:val="005A55F0"/>
    <w:rsid w:val="005A565D"/>
    <w:rsid w:val="005A566B"/>
    <w:rsid w:val="005A5881"/>
    <w:rsid w:val="005A594E"/>
    <w:rsid w:val="005A597A"/>
    <w:rsid w:val="005A59D5"/>
    <w:rsid w:val="005A5AE5"/>
    <w:rsid w:val="005A5B91"/>
    <w:rsid w:val="005A5C41"/>
    <w:rsid w:val="005A5EA3"/>
    <w:rsid w:val="005A5F0B"/>
    <w:rsid w:val="005A6011"/>
    <w:rsid w:val="005A601B"/>
    <w:rsid w:val="005A61FA"/>
    <w:rsid w:val="005A61FF"/>
    <w:rsid w:val="005A6379"/>
    <w:rsid w:val="005A647F"/>
    <w:rsid w:val="005A64BD"/>
    <w:rsid w:val="005A658C"/>
    <w:rsid w:val="005A6607"/>
    <w:rsid w:val="005A669F"/>
    <w:rsid w:val="005A674A"/>
    <w:rsid w:val="005A6792"/>
    <w:rsid w:val="005A6880"/>
    <w:rsid w:val="005A689E"/>
    <w:rsid w:val="005A693D"/>
    <w:rsid w:val="005A6B2A"/>
    <w:rsid w:val="005A6C46"/>
    <w:rsid w:val="005A6CC6"/>
    <w:rsid w:val="005A6D8B"/>
    <w:rsid w:val="005A6EA9"/>
    <w:rsid w:val="005A6F92"/>
    <w:rsid w:val="005A6FE8"/>
    <w:rsid w:val="005A7480"/>
    <w:rsid w:val="005A74AC"/>
    <w:rsid w:val="005A76F8"/>
    <w:rsid w:val="005A7858"/>
    <w:rsid w:val="005A78E9"/>
    <w:rsid w:val="005A7EFC"/>
    <w:rsid w:val="005A7F1E"/>
    <w:rsid w:val="005B0003"/>
    <w:rsid w:val="005B02FF"/>
    <w:rsid w:val="005B0415"/>
    <w:rsid w:val="005B05E8"/>
    <w:rsid w:val="005B069F"/>
    <w:rsid w:val="005B078C"/>
    <w:rsid w:val="005B08B1"/>
    <w:rsid w:val="005B095B"/>
    <w:rsid w:val="005B09B0"/>
    <w:rsid w:val="005B0B0A"/>
    <w:rsid w:val="005B0B54"/>
    <w:rsid w:val="005B0BE5"/>
    <w:rsid w:val="005B0C28"/>
    <w:rsid w:val="005B0CD8"/>
    <w:rsid w:val="005B0D7D"/>
    <w:rsid w:val="005B0E10"/>
    <w:rsid w:val="005B0E70"/>
    <w:rsid w:val="005B0EE3"/>
    <w:rsid w:val="005B0F62"/>
    <w:rsid w:val="005B0FB8"/>
    <w:rsid w:val="005B0FFC"/>
    <w:rsid w:val="005B1075"/>
    <w:rsid w:val="005B10A0"/>
    <w:rsid w:val="005B121A"/>
    <w:rsid w:val="005B149C"/>
    <w:rsid w:val="005B14B2"/>
    <w:rsid w:val="005B16A9"/>
    <w:rsid w:val="005B16F7"/>
    <w:rsid w:val="005B1729"/>
    <w:rsid w:val="005B18A0"/>
    <w:rsid w:val="005B1925"/>
    <w:rsid w:val="005B1A01"/>
    <w:rsid w:val="005B1AA2"/>
    <w:rsid w:val="005B1B3E"/>
    <w:rsid w:val="005B1B4D"/>
    <w:rsid w:val="005B1BC4"/>
    <w:rsid w:val="005B1C08"/>
    <w:rsid w:val="005B1C2C"/>
    <w:rsid w:val="005B1CC8"/>
    <w:rsid w:val="005B1D41"/>
    <w:rsid w:val="005B1D93"/>
    <w:rsid w:val="005B1E47"/>
    <w:rsid w:val="005B1E62"/>
    <w:rsid w:val="005B220E"/>
    <w:rsid w:val="005B227F"/>
    <w:rsid w:val="005B2475"/>
    <w:rsid w:val="005B25F5"/>
    <w:rsid w:val="005B2679"/>
    <w:rsid w:val="005B2A21"/>
    <w:rsid w:val="005B2E69"/>
    <w:rsid w:val="005B305F"/>
    <w:rsid w:val="005B3176"/>
    <w:rsid w:val="005B31D7"/>
    <w:rsid w:val="005B323B"/>
    <w:rsid w:val="005B3277"/>
    <w:rsid w:val="005B32DA"/>
    <w:rsid w:val="005B346E"/>
    <w:rsid w:val="005B352F"/>
    <w:rsid w:val="005B35E9"/>
    <w:rsid w:val="005B364E"/>
    <w:rsid w:val="005B3763"/>
    <w:rsid w:val="005B382B"/>
    <w:rsid w:val="005B3905"/>
    <w:rsid w:val="005B3965"/>
    <w:rsid w:val="005B3A2A"/>
    <w:rsid w:val="005B3AEB"/>
    <w:rsid w:val="005B3BF4"/>
    <w:rsid w:val="005B3CD1"/>
    <w:rsid w:val="005B3CED"/>
    <w:rsid w:val="005B3D65"/>
    <w:rsid w:val="005B3DDF"/>
    <w:rsid w:val="005B40D1"/>
    <w:rsid w:val="005B42DC"/>
    <w:rsid w:val="005B4433"/>
    <w:rsid w:val="005B452D"/>
    <w:rsid w:val="005B45F4"/>
    <w:rsid w:val="005B4628"/>
    <w:rsid w:val="005B4790"/>
    <w:rsid w:val="005B4883"/>
    <w:rsid w:val="005B488D"/>
    <w:rsid w:val="005B49D9"/>
    <w:rsid w:val="005B4A2F"/>
    <w:rsid w:val="005B4BD2"/>
    <w:rsid w:val="005B4D84"/>
    <w:rsid w:val="005B4E98"/>
    <w:rsid w:val="005B5087"/>
    <w:rsid w:val="005B508D"/>
    <w:rsid w:val="005B529E"/>
    <w:rsid w:val="005B5318"/>
    <w:rsid w:val="005B533A"/>
    <w:rsid w:val="005B54A8"/>
    <w:rsid w:val="005B55ED"/>
    <w:rsid w:val="005B5642"/>
    <w:rsid w:val="005B5656"/>
    <w:rsid w:val="005B56D0"/>
    <w:rsid w:val="005B581D"/>
    <w:rsid w:val="005B5827"/>
    <w:rsid w:val="005B5866"/>
    <w:rsid w:val="005B59AC"/>
    <w:rsid w:val="005B5B88"/>
    <w:rsid w:val="005B5CAD"/>
    <w:rsid w:val="005B5D5F"/>
    <w:rsid w:val="005B5EC5"/>
    <w:rsid w:val="005B5EDA"/>
    <w:rsid w:val="005B62A3"/>
    <w:rsid w:val="005B62ED"/>
    <w:rsid w:val="005B6437"/>
    <w:rsid w:val="005B653A"/>
    <w:rsid w:val="005B6572"/>
    <w:rsid w:val="005B65BE"/>
    <w:rsid w:val="005B6688"/>
    <w:rsid w:val="005B6694"/>
    <w:rsid w:val="005B67BD"/>
    <w:rsid w:val="005B6903"/>
    <w:rsid w:val="005B6969"/>
    <w:rsid w:val="005B69F3"/>
    <w:rsid w:val="005B69FE"/>
    <w:rsid w:val="005B6C90"/>
    <w:rsid w:val="005B6D30"/>
    <w:rsid w:val="005B6EEE"/>
    <w:rsid w:val="005B6F05"/>
    <w:rsid w:val="005B6F5A"/>
    <w:rsid w:val="005B6FAE"/>
    <w:rsid w:val="005B6FB6"/>
    <w:rsid w:val="005B6FF8"/>
    <w:rsid w:val="005B715B"/>
    <w:rsid w:val="005B719A"/>
    <w:rsid w:val="005B7210"/>
    <w:rsid w:val="005B747B"/>
    <w:rsid w:val="005B75C8"/>
    <w:rsid w:val="005B75F0"/>
    <w:rsid w:val="005B7634"/>
    <w:rsid w:val="005B76B3"/>
    <w:rsid w:val="005B78D9"/>
    <w:rsid w:val="005B7985"/>
    <w:rsid w:val="005B79D7"/>
    <w:rsid w:val="005B7A4E"/>
    <w:rsid w:val="005B7A77"/>
    <w:rsid w:val="005B7A8D"/>
    <w:rsid w:val="005B7B61"/>
    <w:rsid w:val="005B7CC7"/>
    <w:rsid w:val="005B7DDE"/>
    <w:rsid w:val="005B7E11"/>
    <w:rsid w:val="005B7F2E"/>
    <w:rsid w:val="005C0148"/>
    <w:rsid w:val="005C0162"/>
    <w:rsid w:val="005C031E"/>
    <w:rsid w:val="005C041E"/>
    <w:rsid w:val="005C0688"/>
    <w:rsid w:val="005C0697"/>
    <w:rsid w:val="005C06F4"/>
    <w:rsid w:val="005C07A9"/>
    <w:rsid w:val="005C08D7"/>
    <w:rsid w:val="005C09A9"/>
    <w:rsid w:val="005C0A52"/>
    <w:rsid w:val="005C0A58"/>
    <w:rsid w:val="005C0B11"/>
    <w:rsid w:val="005C0B43"/>
    <w:rsid w:val="005C0B6A"/>
    <w:rsid w:val="005C0D84"/>
    <w:rsid w:val="005C0DFD"/>
    <w:rsid w:val="005C0E5F"/>
    <w:rsid w:val="005C0E75"/>
    <w:rsid w:val="005C0F37"/>
    <w:rsid w:val="005C0FBF"/>
    <w:rsid w:val="005C108F"/>
    <w:rsid w:val="005C10F5"/>
    <w:rsid w:val="005C115C"/>
    <w:rsid w:val="005C11A4"/>
    <w:rsid w:val="005C1285"/>
    <w:rsid w:val="005C144D"/>
    <w:rsid w:val="005C15EE"/>
    <w:rsid w:val="005C17E4"/>
    <w:rsid w:val="005C1AE2"/>
    <w:rsid w:val="005C1B9E"/>
    <w:rsid w:val="005C1BB5"/>
    <w:rsid w:val="005C1C4D"/>
    <w:rsid w:val="005C1C60"/>
    <w:rsid w:val="005C1CD2"/>
    <w:rsid w:val="005C1ED6"/>
    <w:rsid w:val="005C2060"/>
    <w:rsid w:val="005C21AF"/>
    <w:rsid w:val="005C2239"/>
    <w:rsid w:val="005C22E6"/>
    <w:rsid w:val="005C234E"/>
    <w:rsid w:val="005C2414"/>
    <w:rsid w:val="005C24B3"/>
    <w:rsid w:val="005C26EF"/>
    <w:rsid w:val="005C27D6"/>
    <w:rsid w:val="005C283D"/>
    <w:rsid w:val="005C2907"/>
    <w:rsid w:val="005C2990"/>
    <w:rsid w:val="005C2A12"/>
    <w:rsid w:val="005C2DBF"/>
    <w:rsid w:val="005C2E0C"/>
    <w:rsid w:val="005C2E95"/>
    <w:rsid w:val="005C3159"/>
    <w:rsid w:val="005C315C"/>
    <w:rsid w:val="005C3186"/>
    <w:rsid w:val="005C31FC"/>
    <w:rsid w:val="005C321B"/>
    <w:rsid w:val="005C3223"/>
    <w:rsid w:val="005C3260"/>
    <w:rsid w:val="005C3379"/>
    <w:rsid w:val="005C349A"/>
    <w:rsid w:val="005C34B0"/>
    <w:rsid w:val="005C3521"/>
    <w:rsid w:val="005C3624"/>
    <w:rsid w:val="005C3630"/>
    <w:rsid w:val="005C36CB"/>
    <w:rsid w:val="005C36DB"/>
    <w:rsid w:val="005C36E1"/>
    <w:rsid w:val="005C3712"/>
    <w:rsid w:val="005C3B18"/>
    <w:rsid w:val="005C3CA4"/>
    <w:rsid w:val="005C3E8D"/>
    <w:rsid w:val="005C3F5F"/>
    <w:rsid w:val="005C3FDE"/>
    <w:rsid w:val="005C40C4"/>
    <w:rsid w:val="005C4131"/>
    <w:rsid w:val="005C43E6"/>
    <w:rsid w:val="005C43E9"/>
    <w:rsid w:val="005C45BA"/>
    <w:rsid w:val="005C460B"/>
    <w:rsid w:val="005C471B"/>
    <w:rsid w:val="005C482F"/>
    <w:rsid w:val="005C4A61"/>
    <w:rsid w:val="005C4B16"/>
    <w:rsid w:val="005C4B26"/>
    <w:rsid w:val="005C4C80"/>
    <w:rsid w:val="005C4EFB"/>
    <w:rsid w:val="005C4FC9"/>
    <w:rsid w:val="005C50A8"/>
    <w:rsid w:val="005C5207"/>
    <w:rsid w:val="005C5220"/>
    <w:rsid w:val="005C5377"/>
    <w:rsid w:val="005C53E3"/>
    <w:rsid w:val="005C545A"/>
    <w:rsid w:val="005C54C2"/>
    <w:rsid w:val="005C552D"/>
    <w:rsid w:val="005C55A2"/>
    <w:rsid w:val="005C58A4"/>
    <w:rsid w:val="005C58FA"/>
    <w:rsid w:val="005C5A21"/>
    <w:rsid w:val="005C5A28"/>
    <w:rsid w:val="005C5B81"/>
    <w:rsid w:val="005C5C93"/>
    <w:rsid w:val="005C5D6F"/>
    <w:rsid w:val="005C5E8F"/>
    <w:rsid w:val="005C5ED4"/>
    <w:rsid w:val="005C6068"/>
    <w:rsid w:val="005C622B"/>
    <w:rsid w:val="005C6254"/>
    <w:rsid w:val="005C62EF"/>
    <w:rsid w:val="005C665F"/>
    <w:rsid w:val="005C67B6"/>
    <w:rsid w:val="005C68AC"/>
    <w:rsid w:val="005C6ABF"/>
    <w:rsid w:val="005C6CF0"/>
    <w:rsid w:val="005C6DEC"/>
    <w:rsid w:val="005C6E0D"/>
    <w:rsid w:val="005C6EAD"/>
    <w:rsid w:val="005C6F17"/>
    <w:rsid w:val="005C6F61"/>
    <w:rsid w:val="005C70AB"/>
    <w:rsid w:val="005C70C2"/>
    <w:rsid w:val="005C7107"/>
    <w:rsid w:val="005C712D"/>
    <w:rsid w:val="005C7238"/>
    <w:rsid w:val="005C7365"/>
    <w:rsid w:val="005C743A"/>
    <w:rsid w:val="005C7457"/>
    <w:rsid w:val="005C7637"/>
    <w:rsid w:val="005C7779"/>
    <w:rsid w:val="005C77D6"/>
    <w:rsid w:val="005C79CD"/>
    <w:rsid w:val="005C7B32"/>
    <w:rsid w:val="005C7B55"/>
    <w:rsid w:val="005C7C11"/>
    <w:rsid w:val="005C7C3A"/>
    <w:rsid w:val="005C7FD3"/>
    <w:rsid w:val="005C7FE1"/>
    <w:rsid w:val="005D0034"/>
    <w:rsid w:val="005D00F1"/>
    <w:rsid w:val="005D01E9"/>
    <w:rsid w:val="005D0209"/>
    <w:rsid w:val="005D0248"/>
    <w:rsid w:val="005D0274"/>
    <w:rsid w:val="005D0292"/>
    <w:rsid w:val="005D02AB"/>
    <w:rsid w:val="005D02FF"/>
    <w:rsid w:val="005D0302"/>
    <w:rsid w:val="005D0309"/>
    <w:rsid w:val="005D0323"/>
    <w:rsid w:val="005D053D"/>
    <w:rsid w:val="005D064B"/>
    <w:rsid w:val="005D0683"/>
    <w:rsid w:val="005D0697"/>
    <w:rsid w:val="005D079E"/>
    <w:rsid w:val="005D08AB"/>
    <w:rsid w:val="005D0918"/>
    <w:rsid w:val="005D09CF"/>
    <w:rsid w:val="005D0B70"/>
    <w:rsid w:val="005D0D12"/>
    <w:rsid w:val="005D0D30"/>
    <w:rsid w:val="005D0F51"/>
    <w:rsid w:val="005D0FE0"/>
    <w:rsid w:val="005D1016"/>
    <w:rsid w:val="005D1090"/>
    <w:rsid w:val="005D11CF"/>
    <w:rsid w:val="005D11DB"/>
    <w:rsid w:val="005D11E4"/>
    <w:rsid w:val="005D12AB"/>
    <w:rsid w:val="005D12E2"/>
    <w:rsid w:val="005D1312"/>
    <w:rsid w:val="005D136F"/>
    <w:rsid w:val="005D14BD"/>
    <w:rsid w:val="005D14CF"/>
    <w:rsid w:val="005D15D7"/>
    <w:rsid w:val="005D16A4"/>
    <w:rsid w:val="005D16C6"/>
    <w:rsid w:val="005D1732"/>
    <w:rsid w:val="005D179C"/>
    <w:rsid w:val="005D17AF"/>
    <w:rsid w:val="005D1892"/>
    <w:rsid w:val="005D1912"/>
    <w:rsid w:val="005D1BA3"/>
    <w:rsid w:val="005D1DDD"/>
    <w:rsid w:val="005D1F6A"/>
    <w:rsid w:val="005D1FDE"/>
    <w:rsid w:val="005D2008"/>
    <w:rsid w:val="005D2021"/>
    <w:rsid w:val="005D2037"/>
    <w:rsid w:val="005D2092"/>
    <w:rsid w:val="005D20C5"/>
    <w:rsid w:val="005D2135"/>
    <w:rsid w:val="005D2142"/>
    <w:rsid w:val="005D21C4"/>
    <w:rsid w:val="005D2210"/>
    <w:rsid w:val="005D2559"/>
    <w:rsid w:val="005D25E3"/>
    <w:rsid w:val="005D2A96"/>
    <w:rsid w:val="005D2B8B"/>
    <w:rsid w:val="005D2BA4"/>
    <w:rsid w:val="005D2C81"/>
    <w:rsid w:val="005D3082"/>
    <w:rsid w:val="005D30FC"/>
    <w:rsid w:val="005D3138"/>
    <w:rsid w:val="005D3314"/>
    <w:rsid w:val="005D33D7"/>
    <w:rsid w:val="005D3439"/>
    <w:rsid w:val="005D3501"/>
    <w:rsid w:val="005D3547"/>
    <w:rsid w:val="005D365B"/>
    <w:rsid w:val="005D3782"/>
    <w:rsid w:val="005D3948"/>
    <w:rsid w:val="005D3A83"/>
    <w:rsid w:val="005D3B58"/>
    <w:rsid w:val="005D3C24"/>
    <w:rsid w:val="005D3C46"/>
    <w:rsid w:val="005D3D14"/>
    <w:rsid w:val="005D3EBF"/>
    <w:rsid w:val="005D40A6"/>
    <w:rsid w:val="005D424F"/>
    <w:rsid w:val="005D42E1"/>
    <w:rsid w:val="005D4365"/>
    <w:rsid w:val="005D446E"/>
    <w:rsid w:val="005D44CB"/>
    <w:rsid w:val="005D4590"/>
    <w:rsid w:val="005D4839"/>
    <w:rsid w:val="005D4A67"/>
    <w:rsid w:val="005D4C19"/>
    <w:rsid w:val="005D4CEC"/>
    <w:rsid w:val="005D4DCD"/>
    <w:rsid w:val="005D4E54"/>
    <w:rsid w:val="005D4E9F"/>
    <w:rsid w:val="005D4F94"/>
    <w:rsid w:val="005D4FE8"/>
    <w:rsid w:val="005D521F"/>
    <w:rsid w:val="005D5228"/>
    <w:rsid w:val="005D52D0"/>
    <w:rsid w:val="005D53EE"/>
    <w:rsid w:val="005D5433"/>
    <w:rsid w:val="005D5464"/>
    <w:rsid w:val="005D5497"/>
    <w:rsid w:val="005D55E9"/>
    <w:rsid w:val="005D56A4"/>
    <w:rsid w:val="005D56BB"/>
    <w:rsid w:val="005D587D"/>
    <w:rsid w:val="005D58CD"/>
    <w:rsid w:val="005D596C"/>
    <w:rsid w:val="005D5979"/>
    <w:rsid w:val="005D59A3"/>
    <w:rsid w:val="005D5ACF"/>
    <w:rsid w:val="005D5B2E"/>
    <w:rsid w:val="005D5BBC"/>
    <w:rsid w:val="005D5C1C"/>
    <w:rsid w:val="005D5D75"/>
    <w:rsid w:val="005D5DB5"/>
    <w:rsid w:val="005D5E4B"/>
    <w:rsid w:val="005D5F03"/>
    <w:rsid w:val="005D601A"/>
    <w:rsid w:val="005D6025"/>
    <w:rsid w:val="005D60FB"/>
    <w:rsid w:val="005D6151"/>
    <w:rsid w:val="005D6187"/>
    <w:rsid w:val="005D6210"/>
    <w:rsid w:val="005D63C4"/>
    <w:rsid w:val="005D645D"/>
    <w:rsid w:val="005D6788"/>
    <w:rsid w:val="005D6814"/>
    <w:rsid w:val="005D6856"/>
    <w:rsid w:val="005D69EA"/>
    <w:rsid w:val="005D6A02"/>
    <w:rsid w:val="005D6A53"/>
    <w:rsid w:val="005D6AA4"/>
    <w:rsid w:val="005D6CB9"/>
    <w:rsid w:val="005D6D77"/>
    <w:rsid w:val="005D6EB9"/>
    <w:rsid w:val="005D6ECF"/>
    <w:rsid w:val="005D6ED5"/>
    <w:rsid w:val="005D6EE8"/>
    <w:rsid w:val="005D701B"/>
    <w:rsid w:val="005D705E"/>
    <w:rsid w:val="005D70BE"/>
    <w:rsid w:val="005D710A"/>
    <w:rsid w:val="005D72AF"/>
    <w:rsid w:val="005D746D"/>
    <w:rsid w:val="005D74ED"/>
    <w:rsid w:val="005D7525"/>
    <w:rsid w:val="005D75F4"/>
    <w:rsid w:val="005D77B0"/>
    <w:rsid w:val="005D780A"/>
    <w:rsid w:val="005D780C"/>
    <w:rsid w:val="005D7810"/>
    <w:rsid w:val="005D7820"/>
    <w:rsid w:val="005D7B22"/>
    <w:rsid w:val="005D7B7C"/>
    <w:rsid w:val="005D7B9E"/>
    <w:rsid w:val="005D7CAD"/>
    <w:rsid w:val="005D7D22"/>
    <w:rsid w:val="005D7DAB"/>
    <w:rsid w:val="005D7E86"/>
    <w:rsid w:val="005E0092"/>
    <w:rsid w:val="005E00C9"/>
    <w:rsid w:val="005E02FD"/>
    <w:rsid w:val="005E041D"/>
    <w:rsid w:val="005E0527"/>
    <w:rsid w:val="005E053D"/>
    <w:rsid w:val="005E05D0"/>
    <w:rsid w:val="005E061B"/>
    <w:rsid w:val="005E0649"/>
    <w:rsid w:val="005E0907"/>
    <w:rsid w:val="005E09B7"/>
    <w:rsid w:val="005E09E1"/>
    <w:rsid w:val="005E0B05"/>
    <w:rsid w:val="005E0B11"/>
    <w:rsid w:val="005E0CEA"/>
    <w:rsid w:val="005E0EB0"/>
    <w:rsid w:val="005E109E"/>
    <w:rsid w:val="005E1112"/>
    <w:rsid w:val="005E11F4"/>
    <w:rsid w:val="005E128B"/>
    <w:rsid w:val="005E12D8"/>
    <w:rsid w:val="005E1548"/>
    <w:rsid w:val="005E1728"/>
    <w:rsid w:val="005E181F"/>
    <w:rsid w:val="005E1842"/>
    <w:rsid w:val="005E1A2E"/>
    <w:rsid w:val="005E1A4A"/>
    <w:rsid w:val="005E1AEA"/>
    <w:rsid w:val="005E1C10"/>
    <w:rsid w:val="005E1C74"/>
    <w:rsid w:val="005E1E7F"/>
    <w:rsid w:val="005E1EAC"/>
    <w:rsid w:val="005E1F77"/>
    <w:rsid w:val="005E20A8"/>
    <w:rsid w:val="005E2171"/>
    <w:rsid w:val="005E21E8"/>
    <w:rsid w:val="005E21EC"/>
    <w:rsid w:val="005E22FB"/>
    <w:rsid w:val="005E2336"/>
    <w:rsid w:val="005E234D"/>
    <w:rsid w:val="005E234F"/>
    <w:rsid w:val="005E2407"/>
    <w:rsid w:val="005E24AA"/>
    <w:rsid w:val="005E2519"/>
    <w:rsid w:val="005E25D0"/>
    <w:rsid w:val="005E2658"/>
    <w:rsid w:val="005E2669"/>
    <w:rsid w:val="005E2704"/>
    <w:rsid w:val="005E2748"/>
    <w:rsid w:val="005E27E9"/>
    <w:rsid w:val="005E283F"/>
    <w:rsid w:val="005E28F1"/>
    <w:rsid w:val="005E2ABC"/>
    <w:rsid w:val="005E2AC2"/>
    <w:rsid w:val="005E2AF6"/>
    <w:rsid w:val="005E2BFD"/>
    <w:rsid w:val="005E304E"/>
    <w:rsid w:val="005E3317"/>
    <w:rsid w:val="005E35ED"/>
    <w:rsid w:val="005E371A"/>
    <w:rsid w:val="005E3A22"/>
    <w:rsid w:val="005E3A25"/>
    <w:rsid w:val="005E3B1E"/>
    <w:rsid w:val="005E3E72"/>
    <w:rsid w:val="005E3EAF"/>
    <w:rsid w:val="005E3EEB"/>
    <w:rsid w:val="005E3F35"/>
    <w:rsid w:val="005E417F"/>
    <w:rsid w:val="005E4218"/>
    <w:rsid w:val="005E4237"/>
    <w:rsid w:val="005E43BD"/>
    <w:rsid w:val="005E4549"/>
    <w:rsid w:val="005E4582"/>
    <w:rsid w:val="005E4645"/>
    <w:rsid w:val="005E4670"/>
    <w:rsid w:val="005E4729"/>
    <w:rsid w:val="005E47BB"/>
    <w:rsid w:val="005E4887"/>
    <w:rsid w:val="005E494C"/>
    <w:rsid w:val="005E4A0B"/>
    <w:rsid w:val="005E4ABC"/>
    <w:rsid w:val="005E4C0B"/>
    <w:rsid w:val="005E4D4A"/>
    <w:rsid w:val="005E4DF0"/>
    <w:rsid w:val="005E4E96"/>
    <w:rsid w:val="005E4F13"/>
    <w:rsid w:val="005E4F9A"/>
    <w:rsid w:val="005E4FA1"/>
    <w:rsid w:val="005E5177"/>
    <w:rsid w:val="005E5248"/>
    <w:rsid w:val="005E5484"/>
    <w:rsid w:val="005E5584"/>
    <w:rsid w:val="005E56E7"/>
    <w:rsid w:val="005E5788"/>
    <w:rsid w:val="005E5998"/>
    <w:rsid w:val="005E599D"/>
    <w:rsid w:val="005E59D6"/>
    <w:rsid w:val="005E5B3C"/>
    <w:rsid w:val="005E5B60"/>
    <w:rsid w:val="005E5B9F"/>
    <w:rsid w:val="005E5BB4"/>
    <w:rsid w:val="005E5BDA"/>
    <w:rsid w:val="005E5CF7"/>
    <w:rsid w:val="005E5E24"/>
    <w:rsid w:val="005E5E83"/>
    <w:rsid w:val="005E603C"/>
    <w:rsid w:val="005E6070"/>
    <w:rsid w:val="005E60E9"/>
    <w:rsid w:val="005E6166"/>
    <w:rsid w:val="005E6197"/>
    <w:rsid w:val="005E65AC"/>
    <w:rsid w:val="005E6693"/>
    <w:rsid w:val="005E66A5"/>
    <w:rsid w:val="005E6B43"/>
    <w:rsid w:val="005E6D34"/>
    <w:rsid w:val="005E6D36"/>
    <w:rsid w:val="005E6E69"/>
    <w:rsid w:val="005E6EA8"/>
    <w:rsid w:val="005E6FD7"/>
    <w:rsid w:val="005E7183"/>
    <w:rsid w:val="005E71C7"/>
    <w:rsid w:val="005E733F"/>
    <w:rsid w:val="005E7361"/>
    <w:rsid w:val="005E736F"/>
    <w:rsid w:val="005E76B3"/>
    <w:rsid w:val="005E7988"/>
    <w:rsid w:val="005E7A07"/>
    <w:rsid w:val="005E7A22"/>
    <w:rsid w:val="005E7AA4"/>
    <w:rsid w:val="005E7B13"/>
    <w:rsid w:val="005E7BC1"/>
    <w:rsid w:val="005E7D6E"/>
    <w:rsid w:val="005E7D9B"/>
    <w:rsid w:val="005E7DE4"/>
    <w:rsid w:val="005E7EC5"/>
    <w:rsid w:val="005E7FD5"/>
    <w:rsid w:val="005E7FF0"/>
    <w:rsid w:val="005E839E"/>
    <w:rsid w:val="005EE638"/>
    <w:rsid w:val="005F0044"/>
    <w:rsid w:val="005F020C"/>
    <w:rsid w:val="005F033E"/>
    <w:rsid w:val="005F0351"/>
    <w:rsid w:val="005F045A"/>
    <w:rsid w:val="005F04D8"/>
    <w:rsid w:val="005F0529"/>
    <w:rsid w:val="005F0573"/>
    <w:rsid w:val="005F0574"/>
    <w:rsid w:val="005F05A7"/>
    <w:rsid w:val="005F068E"/>
    <w:rsid w:val="005F07DA"/>
    <w:rsid w:val="005F0930"/>
    <w:rsid w:val="005F09AC"/>
    <w:rsid w:val="005F0A21"/>
    <w:rsid w:val="005F0A88"/>
    <w:rsid w:val="005F0B66"/>
    <w:rsid w:val="005F0EE8"/>
    <w:rsid w:val="005F0FF4"/>
    <w:rsid w:val="005F1011"/>
    <w:rsid w:val="005F1263"/>
    <w:rsid w:val="005F144D"/>
    <w:rsid w:val="005F14F6"/>
    <w:rsid w:val="005F1609"/>
    <w:rsid w:val="005F17DA"/>
    <w:rsid w:val="005F19CF"/>
    <w:rsid w:val="005F1ACF"/>
    <w:rsid w:val="005F1ADD"/>
    <w:rsid w:val="005F1B35"/>
    <w:rsid w:val="005F1BA8"/>
    <w:rsid w:val="005F1BEF"/>
    <w:rsid w:val="005F1BF4"/>
    <w:rsid w:val="005F1CD4"/>
    <w:rsid w:val="005F1CFA"/>
    <w:rsid w:val="005F1D37"/>
    <w:rsid w:val="005F20BE"/>
    <w:rsid w:val="005F221E"/>
    <w:rsid w:val="005F23A0"/>
    <w:rsid w:val="005F2546"/>
    <w:rsid w:val="005F258F"/>
    <w:rsid w:val="005F2AA6"/>
    <w:rsid w:val="005F2B75"/>
    <w:rsid w:val="005F2B92"/>
    <w:rsid w:val="005F2CBA"/>
    <w:rsid w:val="005F2F2E"/>
    <w:rsid w:val="005F2F47"/>
    <w:rsid w:val="005F2F7B"/>
    <w:rsid w:val="005F2F7F"/>
    <w:rsid w:val="005F2FF3"/>
    <w:rsid w:val="005F3002"/>
    <w:rsid w:val="005F3146"/>
    <w:rsid w:val="005F315A"/>
    <w:rsid w:val="005F3190"/>
    <w:rsid w:val="005F32C5"/>
    <w:rsid w:val="005F342B"/>
    <w:rsid w:val="005F346C"/>
    <w:rsid w:val="005F3590"/>
    <w:rsid w:val="005F3644"/>
    <w:rsid w:val="005F372F"/>
    <w:rsid w:val="005F37EB"/>
    <w:rsid w:val="005F3921"/>
    <w:rsid w:val="005F3922"/>
    <w:rsid w:val="005F3A0C"/>
    <w:rsid w:val="005F3A6B"/>
    <w:rsid w:val="005F3B1C"/>
    <w:rsid w:val="005F3B89"/>
    <w:rsid w:val="005F3CE7"/>
    <w:rsid w:val="005F3CFC"/>
    <w:rsid w:val="005F3D6E"/>
    <w:rsid w:val="005F3D72"/>
    <w:rsid w:val="005F3DFB"/>
    <w:rsid w:val="005F3DFE"/>
    <w:rsid w:val="005F3FC5"/>
    <w:rsid w:val="005F4076"/>
    <w:rsid w:val="005F4086"/>
    <w:rsid w:val="005F42A4"/>
    <w:rsid w:val="005F42CE"/>
    <w:rsid w:val="005F4358"/>
    <w:rsid w:val="005F4454"/>
    <w:rsid w:val="005F4558"/>
    <w:rsid w:val="005F45C5"/>
    <w:rsid w:val="005F4775"/>
    <w:rsid w:val="005F47FD"/>
    <w:rsid w:val="005F485E"/>
    <w:rsid w:val="005F48A6"/>
    <w:rsid w:val="005F48B4"/>
    <w:rsid w:val="005F49B9"/>
    <w:rsid w:val="005F4A5E"/>
    <w:rsid w:val="005F4A7E"/>
    <w:rsid w:val="005F4AC1"/>
    <w:rsid w:val="005F4BA8"/>
    <w:rsid w:val="005F4C6C"/>
    <w:rsid w:val="005F4D45"/>
    <w:rsid w:val="005F4D88"/>
    <w:rsid w:val="005F4E1C"/>
    <w:rsid w:val="005F4FB9"/>
    <w:rsid w:val="005F50EE"/>
    <w:rsid w:val="005F5104"/>
    <w:rsid w:val="005F51C0"/>
    <w:rsid w:val="005F5295"/>
    <w:rsid w:val="005F52CF"/>
    <w:rsid w:val="005F54C2"/>
    <w:rsid w:val="005F5522"/>
    <w:rsid w:val="005F5713"/>
    <w:rsid w:val="005F5735"/>
    <w:rsid w:val="005F57E6"/>
    <w:rsid w:val="005F58E8"/>
    <w:rsid w:val="005F5913"/>
    <w:rsid w:val="005F59CC"/>
    <w:rsid w:val="005F59F2"/>
    <w:rsid w:val="005F5A42"/>
    <w:rsid w:val="005F5BA0"/>
    <w:rsid w:val="005F5C40"/>
    <w:rsid w:val="005F5CBE"/>
    <w:rsid w:val="005F5EE0"/>
    <w:rsid w:val="005F5EEB"/>
    <w:rsid w:val="005F5FA1"/>
    <w:rsid w:val="005F6032"/>
    <w:rsid w:val="005F6069"/>
    <w:rsid w:val="005F62C3"/>
    <w:rsid w:val="005F62E6"/>
    <w:rsid w:val="005F62FF"/>
    <w:rsid w:val="005F6345"/>
    <w:rsid w:val="005F63DB"/>
    <w:rsid w:val="005F63DC"/>
    <w:rsid w:val="005F6433"/>
    <w:rsid w:val="005F643A"/>
    <w:rsid w:val="005F649E"/>
    <w:rsid w:val="005F6511"/>
    <w:rsid w:val="005F657B"/>
    <w:rsid w:val="005F65B7"/>
    <w:rsid w:val="005F682F"/>
    <w:rsid w:val="005F6B20"/>
    <w:rsid w:val="005F6BA0"/>
    <w:rsid w:val="005F6BCB"/>
    <w:rsid w:val="005F6DEA"/>
    <w:rsid w:val="005F6E03"/>
    <w:rsid w:val="005F6E4B"/>
    <w:rsid w:val="005F6FE2"/>
    <w:rsid w:val="005F7079"/>
    <w:rsid w:val="005F7172"/>
    <w:rsid w:val="005F7599"/>
    <w:rsid w:val="005F7690"/>
    <w:rsid w:val="005F7A00"/>
    <w:rsid w:val="005F7A23"/>
    <w:rsid w:val="005F7AF4"/>
    <w:rsid w:val="005F7B4A"/>
    <w:rsid w:val="005F7D78"/>
    <w:rsid w:val="005F7E8B"/>
    <w:rsid w:val="005F7FEF"/>
    <w:rsid w:val="006000CD"/>
    <w:rsid w:val="00600153"/>
    <w:rsid w:val="006003CC"/>
    <w:rsid w:val="006003D5"/>
    <w:rsid w:val="0060063A"/>
    <w:rsid w:val="00600688"/>
    <w:rsid w:val="006006AD"/>
    <w:rsid w:val="0060070F"/>
    <w:rsid w:val="00600716"/>
    <w:rsid w:val="00600A85"/>
    <w:rsid w:val="00600C97"/>
    <w:rsid w:val="00600D2B"/>
    <w:rsid w:val="00600DC5"/>
    <w:rsid w:val="00600E3F"/>
    <w:rsid w:val="00600ECA"/>
    <w:rsid w:val="00600EEB"/>
    <w:rsid w:val="00601023"/>
    <w:rsid w:val="0060111F"/>
    <w:rsid w:val="006011FA"/>
    <w:rsid w:val="00601253"/>
    <w:rsid w:val="00601263"/>
    <w:rsid w:val="0060132B"/>
    <w:rsid w:val="00601428"/>
    <w:rsid w:val="006014C0"/>
    <w:rsid w:val="00601512"/>
    <w:rsid w:val="0060171F"/>
    <w:rsid w:val="00601731"/>
    <w:rsid w:val="006017C6"/>
    <w:rsid w:val="00601829"/>
    <w:rsid w:val="006018E0"/>
    <w:rsid w:val="006019A0"/>
    <w:rsid w:val="00601B42"/>
    <w:rsid w:val="00601CD4"/>
    <w:rsid w:val="00601D82"/>
    <w:rsid w:val="00601DDC"/>
    <w:rsid w:val="00601E1B"/>
    <w:rsid w:val="00601F0B"/>
    <w:rsid w:val="00601F1B"/>
    <w:rsid w:val="00601FE7"/>
    <w:rsid w:val="006023B0"/>
    <w:rsid w:val="0060254C"/>
    <w:rsid w:val="00602567"/>
    <w:rsid w:val="006026F8"/>
    <w:rsid w:val="00602714"/>
    <w:rsid w:val="0060275D"/>
    <w:rsid w:val="006028F5"/>
    <w:rsid w:val="0060291E"/>
    <w:rsid w:val="00602958"/>
    <w:rsid w:val="00602A07"/>
    <w:rsid w:val="00602A9A"/>
    <w:rsid w:val="00602AA2"/>
    <w:rsid w:val="00602B86"/>
    <w:rsid w:val="00602BCD"/>
    <w:rsid w:val="00602DAC"/>
    <w:rsid w:val="00602E92"/>
    <w:rsid w:val="0060318A"/>
    <w:rsid w:val="006031BE"/>
    <w:rsid w:val="00603369"/>
    <w:rsid w:val="006033D0"/>
    <w:rsid w:val="00603434"/>
    <w:rsid w:val="00603637"/>
    <w:rsid w:val="006036F8"/>
    <w:rsid w:val="00603718"/>
    <w:rsid w:val="006037CC"/>
    <w:rsid w:val="00603836"/>
    <w:rsid w:val="0060387D"/>
    <w:rsid w:val="00603978"/>
    <w:rsid w:val="00603ABA"/>
    <w:rsid w:val="00603B48"/>
    <w:rsid w:val="00603C11"/>
    <w:rsid w:val="00603E31"/>
    <w:rsid w:val="00603E3F"/>
    <w:rsid w:val="00603EE5"/>
    <w:rsid w:val="00603F52"/>
    <w:rsid w:val="0060402C"/>
    <w:rsid w:val="006042BA"/>
    <w:rsid w:val="00604363"/>
    <w:rsid w:val="0060437F"/>
    <w:rsid w:val="00604653"/>
    <w:rsid w:val="00604664"/>
    <w:rsid w:val="0060479A"/>
    <w:rsid w:val="00604805"/>
    <w:rsid w:val="00604824"/>
    <w:rsid w:val="006049D7"/>
    <w:rsid w:val="00604A3B"/>
    <w:rsid w:val="00604ABF"/>
    <w:rsid w:val="00604B49"/>
    <w:rsid w:val="00604B90"/>
    <w:rsid w:val="00604C1D"/>
    <w:rsid w:val="00604D82"/>
    <w:rsid w:val="00604E99"/>
    <w:rsid w:val="00605348"/>
    <w:rsid w:val="0060536D"/>
    <w:rsid w:val="00605473"/>
    <w:rsid w:val="00605545"/>
    <w:rsid w:val="006055C7"/>
    <w:rsid w:val="00605601"/>
    <w:rsid w:val="00605676"/>
    <w:rsid w:val="006056ED"/>
    <w:rsid w:val="006057EE"/>
    <w:rsid w:val="00605891"/>
    <w:rsid w:val="006058EB"/>
    <w:rsid w:val="00605D4F"/>
    <w:rsid w:val="00605FFC"/>
    <w:rsid w:val="0060609F"/>
    <w:rsid w:val="006060D3"/>
    <w:rsid w:val="0060619C"/>
    <w:rsid w:val="00606592"/>
    <w:rsid w:val="006066A0"/>
    <w:rsid w:val="006066C4"/>
    <w:rsid w:val="00606707"/>
    <w:rsid w:val="00606953"/>
    <w:rsid w:val="00606B5A"/>
    <w:rsid w:val="00606E03"/>
    <w:rsid w:val="00606ED0"/>
    <w:rsid w:val="00606F03"/>
    <w:rsid w:val="00606FD7"/>
    <w:rsid w:val="00607027"/>
    <w:rsid w:val="0060702F"/>
    <w:rsid w:val="006071C6"/>
    <w:rsid w:val="006073DD"/>
    <w:rsid w:val="00607405"/>
    <w:rsid w:val="006074DE"/>
    <w:rsid w:val="0060774D"/>
    <w:rsid w:val="00607750"/>
    <w:rsid w:val="006077F8"/>
    <w:rsid w:val="0060782D"/>
    <w:rsid w:val="00607A79"/>
    <w:rsid w:val="00607B75"/>
    <w:rsid w:val="00607BED"/>
    <w:rsid w:val="00607E47"/>
    <w:rsid w:val="00607FC5"/>
    <w:rsid w:val="00610074"/>
    <w:rsid w:val="006100BF"/>
    <w:rsid w:val="006100C4"/>
    <w:rsid w:val="00610154"/>
    <w:rsid w:val="00610160"/>
    <w:rsid w:val="00610239"/>
    <w:rsid w:val="00610357"/>
    <w:rsid w:val="00610482"/>
    <w:rsid w:val="0061048E"/>
    <w:rsid w:val="00610656"/>
    <w:rsid w:val="00610736"/>
    <w:rsid w:val="006107E8"/>
    <w:rsid w:val="00610839"/>
    <w:rsid w:val="00610960"/>
    <w:rsid w:val="00610B52"/>
    <w:rsid w:val="00610B87"/>
    <w:rsid w:val="00610DED"/>
    <w:rsid w:val="00610E66"/>
    <w:rsid w:val="00610E89"/>
    <w:rsid w:val="00610FE9"/>
    <w:rsid w:val="00611101"/>
    <w:rsid w:val="00611265"/>
    <w:rsid w:val="006115B5"/>
    <w:rsid w:val="006116ED"/>
    <w:rsid w:val="00611724"/>
    <w:rsid w:val="00611777"/>
    <w:rsid w:val="0061180A"/>
    <w:rsid w:val="00611AC0"/>
    <w:rsid w:val="00611C08"/>
    <w:rsid w:val="00611CAF"/>
    <w:rsid w:val="00611E13"/>
    <w:rsid w:val="00611F40"/>
    <w:rsid w:val="00611F59"/>
    <w:rsid w:val="00611FC7"/>
    <w:rsid w:val="00611FDF"/>
    <w:rsid w:val="00612093"/>
    <w:rsid w:val="00612150"/>
    <w:rsid w:val="00612469"/>
    <w:rsid w:val="0061247B"/>
    <w:rsid w:val="0061252A"/>
    <w:rsid w:val="006125FC"/>
    <w:rsid w:val="006127CF"/>
    <w:rsid w:val="0061287F"/>
    <w:rsid w:val="006129A2"/>
    <w:rsid w:val="00612A60"/>
    <w:rsid w:val="00612BB6"/>
    <w:rsid w:val="00612F03"/>
    <w:rsid w:val="00612FB5"/>
    <w:rsid w:val="0061300D"/>
    <w:rsid w:val="00613022"/>
    <w:rsid w:val="00613092"/>
    <w:rsid w:val="00613188"/>
    <w:rsid w:val="006131C1"/>
    <w:rsid w:val="0061326D"/>
    <w:rsid w:val="00613271"/>
    <w:rsid w:val="00613293"/>
    <w:rsid w:val="006132AB"/>
    <w:rsid w:val="006132F9"/>
    <w:rsid w:val="00613303"/>
    <w:rsid w:val="0061346E"/>
    <w:rsid w:val="0061346F"/>
    <w:rsid w:val="006135EB"/>
    <w:rsid w:val="00613A42"/>
    <w:rsid w:val="00613A81"/>
    <w:rsid w:val="00613AF5"/>
    <w:rsid w:val="00613C23"/>
    <w:rsid w:val="00613C33"/>
    <w:rsid w:val="00613D27"/>
    <w:rsid w:val="00613D58"/>
    <w:rsid w:val="00613EE0"/>
    <w:rsid w:val="00613F9B"/>
    <w:rsid w:val="00614349"/>
    <w:rsid w:val="006143F9"/>
    <w:rsid w:val="006143FA"/>
    <w:rsid w:val="0061441A"/>
    <w:rsid w:val="006144C7"/>
    <w:rsid w:val="00614570"/>
    <w:rsid w:val="00614678"/>
    <w:rsid w:val="006148D5"/>
    <w:rsid w:val="0061494E"/>
    <w:rsid w:val="00614B63"/>
    <w:rsid w:val="00614C0D"/>
    <w:rsid w:val="00614C78"/>
    <w:rsid w:val="00614CCC"/>
    <w:rsid w:val="00614DB2"/>
    <w:rsid w:val="00614DC2"/>
    <w:rsid w:val="00614FAF"/>
    <w:rsid w:val="0061546F"/>
    <w:rsid w:val="00615565"/>
    <w:rsid w:val="0061556B"/>
    <w:rsid w:val="006155E0"/>
    <w:rsid w:val="006156BC"/>
    <w:rsid w:val="006158D3"/>
    <w:rsid w:val="0061591A"/>
    <w:rsid w:val="006159D0"/>
    <w:rsid w:val="006159DA"/>
    <w:rsid w:val="00615A00"/>
    <w:rsid w:val="00615BB4"/>
    <w:rsid w:val="00615C76"/>
    <w:rsid w:val="00615E31"/>
    <w:rsid w:val="00615E7C"/>
    <w:rsid w:val="00615E91"/>
    <w:rsid w:val="00615F06"/>
    <w:rsid w:val="00615FF8"/>
    <w:rsid w:val="00616357"/>
    <w:rsid w:val="006164A7"/>
    <w:rsid w:val="0061657E"/>
    <w:rsid w:val="00616839"/>
    <w:rsid w:val="006168D2"/>
    <w:rsid w:val="00616BF2"/>
    <w:rsid w:val="00616C4E"/>
    <w:rsid w:val="00616E13"/>
    <w:rsid w:val="00616E70"/>
    <w:rsid w:val="00616E74"/>
    <w:rsid w:val="00616F83"/>
    <w:rsid w:val="006170BB"/>
    <w:rsid w:val="006170CE"/>
    <w:rsid w:val="006170DB"/>
    <w:rsid w:val="006170FD"/>
    <w:rsid w:val="00617139"/>
    <w:rsid w:val="00617251"/>
    <w:rsid w:val="00617392"/>
    <w:rsid w:val="006173A7"/>
    <w:rsid w:val="006173B7"/>
    <w:rsid w:val="006173E7"/>
    <w:rsid w:val="0061754A"/>
    <w:rsid w:val="006175BA"/>
    <w:rsid w:val="006175F7"/>
    <w:rsid w:val="006176D8"/>
    <w:rsid w:val="00617715"/>
    <w:rsid w:val="00617821"/>
    <w:rsid w:val="00617956"/>
    <w:rsid w:val="00617A42"/>
    <w:rsid w:val="00617A6D"/>
    <w:rsid w:val="00617A7B"/>
    <w:rsid w:val="00617C42"/>
    <w:rsid w:val="00617CDF"/>
    <w:rsid w:val="00617D1D"/>
    <w:rsid w:val="00617E67"/>
    <w:rsid w:val="00617EAC"/>
    <w:rsid w:val="00617FA2"/>
    <w:rsid w:val="00620004"/>
    <w:rsid w:val="00620026"/>
    <w:rsid w:val="006200C3"/>
    <w:rsid w:val="006200C9"/>
    <w:rsid w:val="006202B1"/>
    <w:rsid w:val="006202C1"/>
    <w:rsid w:val="00620371"/>
    <w:rsid w:val="00620388"/>
    <w:rsid w:val="006203F1"/>
    <w:rsid w:val="006204AB"/>
    <w:rsid w:val="006204B3"/>
    <w:rsid w:val="0062068F"/>
    <w:rsid w:val="00620691"/>
    <w:rsid w:val="00620743"/>
    <w:rsid w:val="0062093C"/>
    <w:rsid w:val="00620AA0"/>
    <w:rsid w:val="00620BF8"/>
    <w:rsid w:val="00620C6F"/>
    <w:rsid w:val="00620F4B"/>
    <w:rsid w:val="0062102E"/>
    <w:rsid w:val="006210F6"/>
    <w:rsid w:val="00621153"/>
    <w:rsid w:val="00621283"/>
    <w:rsid w:val="006212DB"/>
    <w:rsid w:val="006213D2"/>
    <w:rsid w:val="00621463"/>
    <w:rsid w:val="00621478"/>
    <w:rsid w:val="0062172B"/>
    <w:rsid w:val="0062173F"/>
    <w:rsid w:val="0062174B"/>
    <w:rsid w:val="0062187C"/>
    <w:rsid w:val="00621903"/>
    <w:rsid w:val="006219CB"/>
    <w:rsid w:val="00621A09"/>
    <w:rsid w:val="00621A39"/>
    <w:rsid w:val="00621CAF"/>
    <w:rsid w:val="00621CDC"/>
    <w:rsid w:val="00621FB2"/>
    <w:rsid w:val="00622046"/>
    <w:rsid w:val="0062206C"/>
    <w:rsid w:val="006221D3"/>
    <w:rsid w:val="006222DD"/>
    <w:rsid w:val="00622314"/>
    <w:rsid w:val="0062237D"/>
    <w:rsid w:val="006223F2"/>
    <w:rsid w:val="00622446"/>
    <w:rsid w:val="006224A6"/>
    <w:rsid w:val="00622513"/>
    <w:rsid w:val="00622576"/>
    <w:rsid w:val="0062278A"/>
    <w:rsid w:val="006227BB"/>
    <w:rsid w:val="006228E3"/>
    <w:rsid w:val="0062292E"/>
    <w:rsid w:val="00622AC8"/>
    <w:rsid w:val="00622AF4"/>
    <w:rsid w:val="00622B05"/>
    <w:rsid w:val="00622C3E"/>
    <w:rsid w:val="00622D9D"/>
    <w:rsid w:val="00622DBF"/>
    <w:rsid w:val="00622E65"/>
    <w:rsid w:val="00622F54"/>
    <w:rsid w:val="00622F6E"/>
    <w:rsid w:val="0062300D"/>
    <w:rsid w:val="006230CD"/>
    <w:rsid w:val="006230E7"/>
    <w:rsid w:val="00623292"/>
    <w:rsid w:val="006232BF"/>
    <w:rsid w:val="0062337D"/>
    <w:rsid w:val="006233C2"/>
    <w:rsid w:val="006233D6"/>
    <w:rsid w:val="00623511"/>
    <w:rsid w:val="0062374D"/>
    <w:rsid w:val="006237DF"/>
    <w:rsid w:val="00623A43"/>
    <w:rsid w:val="00623A7D"/>
    <w:rsid w:val="00623ACE"/>
    <w:rsid w:val="00623B78"/>
    <w:rsid w:val="00623C51"/>
    <w:rsid w:val="00623D4A"/>
    <w:rsid w:val="006240DF"/>
    <w:rsid w:val="00624488"/>
    <w:rsid w:val="0062450A"/>
    <w:rsid w:val="0062450C"/>
    <w:rsid w:val="00624520"/>
    <w:rsid w:val="0062452E"/>
    <w:rsid w:val="0062459A"/>
    <w:rsid w:val="006246B4"/>
    <w:rsid w:val="006247E2"/>
    <w:rsid w:val="00624994"/>
    <w:rsid w:val="00624CC4"/>
    <w:rsid w:val="00624EE9"/>
    <w:rsid w:val="00625025"/>
    <w:rsid w:val="0062508E"/>
    <w:rsid w:val="006250C6"/>
    <w:rsid w:val="00625509"/>
    <w:rsid w:val="00625758"/>
    <w:rsid w:val="00625A31"/>
    <w:rsid w:val="00625A37"/>
    <w:rsid w:val="00625A51"/>
    <w:rsid w:val="00625AB0"/>
    <w:rsid w:val="00625AF6"/>
    <w:rsid w:val="00625C48"/>
    <w:rsid w:val="006260AC"/>
    <w:rsid w:val="00626123"/>
    <w:rsid w:val="0062624D"/>
    <w:rsid w:val="0062627F"/>
    <w:rsid w:val="006264B7"/>
    <w:rsid w:val="006264C9"/>
    <w:rsid w:val="00626679"/>
    <w:rsid w:val="0062669A"/>
    <w:rsid w:val="00626716"/>
    <w:rsid w:val="00626720"/>
    <w:rsid w:val="00626751"/>
    <w:rsid w:val="006268AE"/>
    <w:rsid w:val="0062695A"/>
    <w:rsid w:val="006269F8"/>
    <w:rsid w:val="00626A65"/>
    <w:rsid w:val="00626A88"/>
    <w:rsid w:val="00626B90"/>
    <w:rsid w:val="00626CCD"/>
    <w:rsid w:val="00626D18"/>
    <w:rsid w:val="00626D4B"/>
    <w:rsid w:val="00627083"/>
    <w:rsid w:val="006270F1"/>
    <w:rsid w:val="0062710A"/>
    <w:rsid w:val="00627249"/>
    <w:rsid w:val="006275F1"/>
    <w:rsid w:val="0062768B"/>
    <w:rsid w:val="00627695"/>
    <w:rsid w:val="00627700"/>
    <w:rsid w:val="00627A67"/>
    <w:rsid w:val="00627BC2"/>
    <w:rsid w:val="00627C4B"/>
    <w:rsid w:val="00627CAF"/>
    <w:rsid w:val="00627CCD"/>
    <w:rsid w:val="00627CE8"/>
    <w:rsid w:val="00627DB8"/>
    <w:rsid w:val="00627FE4"/>
    <w:rsid w:val="006301F6"/>
    <w:rsid w:val="006301FB"/>
    <w:rsid w:val="006302D3"/>
    <w:rsid w:val="0063042A"/>
    <w:rsid w:val="006304EF"/>
    <w:rsid w:val="00630551"/>
    <w:rsid w:val="006305BA"/>
    <w:rsid w:val="006305BF"/>
    <w:rsid w:val="00630631"/>
    <w:rsid w:val="006306B8"/>
    <w:rsid w:val="00630772"/>
    <w:rsid w:val="0063085D"/>
    <w:rsid w:val="00630AA6"/>
    <w:rsid w:val="00630B99"/>
    <w:rsid w:val="00630D39"/>
    <w:rsid w:val="00630E2E"/>
    <w:rsid w:val="00630E70"/>
    <w:rsid w:val="00630F5F"/>
    <w:rsid w:val="006311A5"/>
    <w:rsid w:val="006313D1"/>
    <w:rsid w:val="00631546"/>
    <w:rsid w:val="006315B8"/>
    <w:rsid w:val="006316D1"/>
    <w:rsid w:val="00631714"/>
    <w:rsid w:val="00631737"/>
    <w:rsid w:val="0063179D"/>
    <w:rsid w:val="0063182E"/>
    <w:rsid w:val="00631A8E"/>
    <w:rsid w:val="00631B27"/>
    <w:rsid w:val="00631B8E"/>
    <w:rsid w:val="00631BA8"/>
    <w:rsid w:val="00631E03"/>
    <w:rsid w:val="00631E51"/>
    <w:rsid w:val="00631F46"/>
    <w:rsid w:val="0063200F"/>
    <w:rsid w:val="00632207"/>
    <w:rsid w:val="006323D7"/>
    <w:rsid w:val="006323F6"/>
    <w:rsid w:val="006327EF"/>
    <w:rsid w:val="00632806"/>
    <w:rsid w:val="00632A8B"/>
    <w:rsid w:val="00632CB5"/>
    <w:rsid w:val="00632D18"/>
    <w:rsid w:val="00632D73"/>
    <w:rsid w:val="00632F56"/>
    <w:rsid w:val="00632FB3"/>
    <w:rsid w:val="00633199"/>
    <w:rsid w:val="0063338E"/>
    <w:rsid w:val="006333B8"/>
    <w:rsid w:val="006333DC"/>
    <w:rsid w:val="00633458"/>
    <w:rsid w:val="006334A2"/>
    <w:rsid w:val="0063351B"/>
    <w:rsid w:val="0063358B"/>
    <w:rsid w:val="0063378F"/>
    <w:rsid w:val="006337CF"/>
    <w:rsid w:val="006338FF"/>
    <w:rsid w:val="00633982"/>
    <w:rsid w:val="006339D5"/>
    <w:rsid w:val="00633D12"/>
    <w:rsid w:val="00633ED9"/>
    <w:rsid w:val="00633F4F"/>
    <w:rsid w:val="006341A9"/>
    <w:rsid w:val="006341DF"/>
    <w:rsid w:val="0063420D"/>
    <w:rsid w:val="0063424D"/>
    <w:rsid w:val="00634351"/>
    <w:rsid w:val="00634479"/>
    <w:rsid w:val="0063447D"/>
    <w:rsid w:val="006344F8"/>
    <w:rsid w:val="00634559"/>
    <w:rsid w:val="006345BB"/>
    <w:rsid w:val="006345DE"/>
    <w:rsid w:val="006346D9"/>
    <w:rsid w:val="00634753"/>
    <w:rsid w:val="006347A5"/>
    <w:rsid w:val="00634828"/>
    <w:rsid w:val="0063491C"/>
    <w:rsid w:val="00634BEB"/>
    <w:rsid w:val="00634CA7"/>
    <w:rsid w:val="00634CC5"/>
    <w:rsid w:val="00634D41"/>
    <w:rsid w:val="00634F0F"/>
    <w:rsid w:val="00634F16"/>
    <w:rsid w:val="00634FB7"/>
    <w:rsid w:val="00635046"/>
    <w:rsid w:val="006352C6"/>
    <w:rsid w:val="006353F5"/>
    <w:rsid w:val="00635402"/>
    <w:rsid w:val="0063541A"/>
    <w:rsid w:val="006355E1"/>
    <w:rsid w:val="00635743"/>
    <w:rsid w:val="00635768"/>
    <w:rsid w:val="006357A5"/>
    <w:rsid w:val="006357E2"/>
    <w:rsid w:val="0063583A"/>
    <w:rsid w:val="006358C8"/>
    <w:rsid w:val="006358CB"/>
    <w:rsid w:val="00635B2A"/>
    <w:rsid w:val="00635C0A"/>
    <w:rsid w:val="00635C1E"/>
    <w:rsid w:val="00635DE0"/>
    <w:rsid w:val="00635F19"/>
    <w:rsid w:val="0063620B"/>
    <w:rsid w:val="00636394"/>
    <w:rsid w:val="0063648E"/>
    <w:rsid w:val="006364F0"/>
    <w:rsid w:val="00636517"/>
    <w:rsid w:val="0063656E"/>
    <w:rsid w:val="0063668B"/>
    <w:rsid w:val="0063674A"/>
    <w:rsid w:val="00636775"/>
    <w:rsid w:val="00636831"/>
    <w:rsid w:val="00636A05"/>
    <w:rsid w:val="00636A44"/>
    <w:rsid w:val="00636AE0"/>
    <w:rsid w:val="00636AF4"/>
    <w:rsid w:val="00636B36"/>
    <w:rsid w:val="00636B81"/>
    <w:rsid w:val="00636CF6"/>
    <w:rsid w:val="00636D3C"/>
    <w:rsid w:val="00636DF0"/>
    <w:rsid w:val="00636EAC"/>
    <w:rsid w:val="00636ED6"/>
    <w:rsid w:val="00636F9B"/>
    <w:rsid w:val="006370E9"/>
    <w:rsid w:val="00637103"/>
    <w:rsid w:val="00637190"/>
    <w:rsid w:val="006372A6"/>
    <w:rsid w:val="006373C7"/>
    <w:rsid w:val="006373F8"/>
    <w:rsid w:val="0063741C"/>
    <w:rsid w:val="00637690"/>
    <w:rsid w:val="0063776E"/>
    <w:rsid w:val="006377C4"/>
    <w:rsid w:val="006378D6"/>
    <w:rsid w:val="006378EC"/>
    <w:rsid w:val="00637923"/>
    <w:rsid w:val="00637B03"/>
    <w:rsid w:val="00637D32"/>
    <w:rsid w:val="00637E96"/>
    <w:rsid w:val="00637EBB"/>
    <w:rsid w:val="00637F1D"/>
    <w:rsid w:val="0064005A"/>
    <w:rsid w:val="0064015E"/>
    <w:rsid w:val="00640210"/>
    <w:rsid w:val="0064024C"/>
    <w:rsid w:val="0064027A"/>
    <w:rsid w:val="006404DC"/>
    <w:rsid w:val="006405D7"/>
    <w:rsid w:val="00640614"/>
    <w:rsid w:val="0064061B"/>
    <w:rsid w:val="006406B6"/>
    <w:rsid w:val="006407F4"/>
    <w:rsid w:val="00640840"/>
    <w:rsid w:val="0064097A"/>
    <w:rsid w:val="00640A40"/>
    <w:rsid w:val="00640A79"/>
    <w:rsid w:val="00640C03"/>
    <w:rsid w:val="00640C2B"/>
    <w:rsid w:val="00640C2C"/>
    <w:rsid w:val="00640CA6"/>
    <w:rsid w:val="00640DD3"/>
    <w:rsid w:val="00640DE1"/>
    <w:rsid w:val="00640DFA"/>
    <w:rsid w:val="00640FEC"/>
    <w:rsid w:val="00641180"/>
    <w:rsid w:val="00641236"/>
    <w:rsid w:val="006412FE"/>
    <w:rsid w:val="0064132E"/>
    <w:rsid w:val="006416C5"/>
    <w:rsid w:val="00641886"/>
    <w:rsid w:val="0064194F"/>
    <w:rsid w:val="006419B3"/>
    <w:rsid w:val="00641E5A"/>
    <w:rsid w:val="00642060"/>
    <w:rsid w:val="00642087"/>
    <w:rsid w:val="006420BA"/>
    <w:rsid w:val="006421DD"/>
    <w:rsid w:val="0064222B"/>
    <w:rsid w:val="0064228E"/>
    <w:rsid w:val="00642388"/>
    <w:rsid w:val="00642639"/>
    <w:rsid w:val="006426D0"/>
    <w:rsid w:val="0064273A"/>
    <w:rsid w:val="0064283E"/>
    <w:rsid w:val="00642879"/>
    <w:rsid w:val="0064291A"/>
    <w:rsid w:val="006429A1"/>
    <w:rsid w:val="00642A3C"/>
    <w:rsid w:val="00642B86"/>
    <w:rsid w:val="00642BDC"/>
    <w:rsid w:val="00642BEB"/>
    <w:rsid w:val="00642C8D"/>
    <w:rsid w:val="00642D24"/>
    <w:rsid w:val="00642DD5"/>
    <w:rsid w:val="00642DE8"/>
    <w:rsid w:val="00642F55"/>
    <w:rsid w:val="0064305F"/>
    <w:rsid w:val="00643072"/>
    <w:rsid w:val="00643126"/>
    <w:rsid w:val="0064313F"/>
    <w:rsid w:val="00643141"/>
    <w:rsid w:val="00643282"/>
    <w:rsid w:val="006434C8"/>
    <w:rsid w:val="0064363A"/>
    <w:rsid w:val="00643652"/>
    <w:rsid w:val="00643660"/>
    <w:rsid w:val="00643701"/>
    <w:rsid w:val="00643781"/>
    <w:rsid w:val="006437B7"/>
    <w:rsid w:val="00643905"/>
    <w:rsid w:val="00643A99"/>
    <w:rsid w:val="00643B22"/>
    <w:rsid w:val="00643BB2"/>
    <w:rsid w:val="00643CFA"/>
    <w:rsid w:val="00643E8B"/>
    <w:rsid w:val="00643F74"/>
    <w:rsid w:val="00643FFC"/>
    <w:rsid w:val="0064422C"/>
    <w:rsid w:val="006442C6"/>
    <w:rsid w:val="00644412"/>
    <w:rsid w:val="006445E4"/>
    <w:rsid w:val="0064473F"/>
    <w:rsid w:val="006447D1"/>
    <w:rsid w:val="00644803"/>
    <w:rsid w:val="00644865"/>
    <w:rsid w:val="006448CF"/>
    <w:rsid w:val="006448E5"/>
    <w:rsid w:val="00644BE3"/>
    <w:rsid w:val="00644C7F"/>
    <w:rsid w:val="00644D93"/>
    <w:rsid w:val="00644DE3"/>
    <w:rsid w:val="00644EE7"/>
    <w:rsid w:val="00644EEE"/>
    <w:rsid w:val="00644FC1"/>
    <w:rsid w:val="00645052"/>
    <w:rsid w:val="00645059"/>
    <w:rsid w:val="006450B5"/>
    <w:rsid w:val="0064517B"/>
    <w:rsid w:val="0064524E"/>
    <w:rsid w:val="00645361"/>
    <w:rsid w:val="006453EE"/>
    <w:rsid w:val="0064546F"/>
    <w:rsid w:val="006454F3"/>
    <w:rsid w:val="00645513"/>
    <w:rsid w:val="00645717"/>
    <w:rsid w:val="006457E2"/>
    <w:rsid w:val="006458BA"/>
    <w:rsid w:val="006458C3"/>
    <w:rsid w:val="00645992"/>
    <w:rsid w:val="00645A4D"/>
    <w:rsid w:val="00645A55"/>
    <w:rsid w:val="00645AB4"/>
    <w:rsid w:val="00645AC2"/>
    <w:rsid w:val="00645BA7"/>
    <w:rsid w:val="00645BF6"/>
    <w:rsid w:val="00645C2F"/>
    <w:rsid w:val="00645C9F"/>
    <w:rsid w:val="00645D9F"/>
    <w:rsid w:val="00645DBF"/>
    <w:rsid w:val="00645F4F"/>
    <w:rsid w:val="00646142"/>
    <w:rsid w:val="006461CC"/>
    <w:rsid w:val="00646324"/>
    <w:rsid w:val="0064635D"/>
    <w:rsid w:val="00646640"/>
    <w:rsid w:val="006466F5"/>
    <w:rsid w:val="00646736"/>
    <w:rsid w:val="00646837"/>
    <w:rsid w:val="00646858"/>
    <w:rsid w:val="00646880"/>
    <w:rsid w:val="006468F9"/>
    <w:rsid w:val="00646C63"/>
    <w:rsid w:val="00646CE0"/>
    <w:rsid w:val="00646DA2"/>
    <w:rsid w:val="0064712A"/>
    <w:rsid w:val="00647163"/>
    <w:rsid w:val="0064716C"/>
    <w:rsid w:val="0064738C"/>
    <w:rsid w:val="006473AA"/>
    <w:rsid w:val="006474CB"/>
    <w:rsid w:val="006474F2"/>
    <w:rsid w:val="00647662"/>
    <w:rsid w:val="0064767D"/>
    <w:rsid w:val="006476A1"/>
    <w:rsid w:val="00647714"/>
    <w:rsid w:val="00647A5E"/>
    <w:rsid w:val="00647AE2"/>
    <w:rsid w:val="00647DA7"/>
    <w:rsid w:val="00647E17"/>
    <w:rsid w:val="006500B1"/>
    <w:rsid w:val="006501E9"/>
    <w:rsid w:val="00650404"/>
    <w:rsid w:val="00650507"/>
    <w:rsid w:val="0065075F"/>
    <w:rsid w:val="00650770"/>
    <w:rsid w:val="00650795"/>
    <w:rsid w:val="0065088D"/>
    <w:rsid w:val="006508E7"/>
    <w:rsid w:val="00650A3D"/>
    <w:rsid w:val="00650A65"/>
    <w:rsid w:val="00650CBF"/>
    <w:rsid w:val="00650D2A"/>
    <w:rsid w:val="00650DB8"/>
    <w:rsid w:val="00650DC7"/>
    <w:rsid w:val="00650F96"/>
    <w:rsid w:val="006512E7"/>
    <w:rsid w:val="00651344"/>
    <w:rsid w:val="006513F8"/>
    <w:rsid w:val="006514EC"/>
    <w:rsid w:val="00651602"/>
    <w:rsid w:val="00651659"/>
    <w:rsid w:val="0065165D"/>
    <w:rsid w:val="00651712"/>
    <w:rsid w:val="00651726"/>
    <w:rsid w:val="00651798"/>
    <w:rsid w:val="006518A1"/>
    <w:rsid w:val="00651A03"/>
    <w:rsid w:val="00651A8F"/>
    <w:rsid w:val="00651B53"/>
    <w:rsid w:val="00651B64"/>
    <w:rsid w:val="00651C27"/>
    <w:rsid w:val="00651CC4"/>
    <w:rsid w:val="00651DA5"/>
    <w:rsid w:val="00651DD3"/>
    <w:rsid w:val="00651E65"/>
    <w:rsid w:val="00651E70"/>
    <w:rsid w:val="00651EC8"/>
    <w:rsid w:val="00651EEE"/>
    <w:rsid w:val="006520A4"/>
    <w:rsid w:val="00652183"/>
    <w:rsid w:val="00652222"/>
    <w:rsid w:val="006522A5"/>
    <w:rsid w:val="00652338"/>
    <w:rsid w:val="00652428"/>
    <w:rsid w:val="006525FB"/>
    <w:rsid w:val="0065275C"/>
    <w:rsid w:val="006527D7"/>
    <w:rsid w:val="00652915"/>
    <w:rsid w:val="006529E6"/>
    <w:rsid w:val="00652A43"/>
    <w:rsid w:val="00652A56"/>
    <w:rsid w:val="00652A69"/>
    <w:rsid w:val="00652C79"/>
    <w:rsid w:val="00652D23"/>
    <w:rsid w:val="00652D37"/>
    <w:rsid w:val="00652D7D"/>
    <w:rsid w:val="00652E00"/>
    <w:rsid w:val="00652E51"/>
    <w:rsid w:val="00652EA7"/>
    <w:rsid w:val="00652F20"/>
    <w:rsid w:val="00653019"/>
    <w:rsid w:val="0065308F"/>
    <w:rsid w:val="006533DD"/>
    <w:rsid w:val="00653576"/>
    <w:rsid w:val="006535E7"/>
    <w:rsid w:val="0065366A"/>
    <w:rsid w:val="006536F5"/>
    <w:rsid w:val="00653708"/>
    <w:rsid w:val="00653790"/>
    <w:rsid w:val="00653A4F"/>
    <w:rsid w:val="00653AD2"/>
    <w:rsid w:val="00653B04"/>
    <w:rsid w:val="00653B9C"/>
    <w:rsid w:val="00653C26"/>
    <w:rsid w:val="00653C45"/>
    <w:rsid w:val="00653C61"/>
    <w:rsid w:val="00653D22"/>
    <w:rsid w:val="00653E9B"/>
    <w:rsid w:val="00653F56"/>
    <w:rsid w:val="00654003"/>
    <w:rsid w:val="006540B0"/>
    <w:rsid w:val="006541FD"/>
    <w:rsid w:val="006542CE"/>
    <w:rsid w:val="00654596"/>
    <w:rsid w:val="006546C2"/>
    <w:rsid w:val="006546C3"/>
    <w:rsid w:val="006547B8"/>
    <w:rsid w:val="00654887"/>
    <w:rsid w:val="00654947"/>
    <w:rsid w:val="0065496E"/>
    <w:rsid w:val="00654CB3"/>
    <w:rsid w:val="00654E33"/>
    <w:rsid w:val="00654F9D"/>
    <w:rsid w:val="00654FB5"/>
    <w:rsid w:val="006551A4"/>
    <w:rsid w:val="006552DA"/>
    <w:rsid w:val="006554B2"/>
    <w:rsid w:val="0065557F"/>
    <w:rsid w:val="00655607"/>
    <w:rsid w:val="006556EC"/>
    <w:rsid w:val="00655860"/>
    <w:rsid w:val="00655899"/>
    <w:rsid w:val="006558D7"/>
    <w:rsid w:val="00655A50"/>
    <w:rsid w:val="00655C97"/>
    <w:rsid w:val="006561F6"/>
    <w:rsid w:val="00656396"/>
    <w:rsid w:val="00656453"/>
    <w:rsid w:val="00656797"/>
    <w:rsid w:val="00656836"/>
    <w:rsid w:val="0065699F"/>
    <w:rsid w:val="006569F4"/>
    <w:rsid w:val="00656A29"/>
    <w:rsid w:val="00656AC1"/>
    <w:rsid w:val="00656B8E"/>
    <w:rsid w:val="00656BBD"/>
    <w:rsid w:val="00656C6F"/>
    <w:rsid w:val="00656CE9"/>
    <w:rsid w:val="00656DA7"/>
    <w:rsid w:val="00656EBE"/>
    <w:rsid w:val="00656ED6"/>
    <w:rsid w:val="00656F72"/>
    <w:rsid w:val="006570FA"/>
    <w:rsid w:val="00657144"/>
    <w:rsid w:val="00657149"/>
    <w:rsid w:val="0065718A"/>
    <w:rsid w:val="00657279"/>
    <w:rsid w:val="006574F2"/>
    <w:rsid w:val="0065757D"/>
    <w:rsid w:val="00657590"/>
    <w:rsid w:val="00657689"/>
    <w:rsid w:val="00657703"/>
    <w:rsid w:val="0065785A"/>
    <w:rsid w:val="006578A2"/>
    <w:rsid w:val="00657A11"/>
    <w:rsid w:val="00657A13"/>
    <w:rsid w:val="00657AEA"/>
    <w:rsid w:val="00657BB2"/>
    <w:rsid w:val="00657C15"/>
    <w:rsid w:val="00657D36"/>
    <w:rsid w:val="00657D6E"/>
    <w:rsid w:val="00657F46"/>
    <w:rsid w:val="00657FF2"/>
    <w:rsid w:val="00660252"/>
    <w:rsid w:val="00660258"/>
    <w:rsid w:val="00660483"/>
    <w:rsid w:val="00660491"/>
    <w:rsid w:val="00660630"/>
    <w:rsid w:val="00660854"/>
    <w:rsid w:val="006609B2"/>
    <w:rsid w:val="006609F3"/>
    <w:rsid w:val="00660AF1"/>
    <w:rsid w:val="00660BAD"/>
    <w:rsid w:val="00660BF4"/>
    <w:rsid w:val="00660D72"/>
    <w:rsid w:val="006610FA"/>
    <w:rsid w:val="0066131C"/>
    <w:rsid w:val="0066132E"/>
    <w:rsid w:val="00661375"/>
    <w:rsid w:val="006613CA"/>
    <w:rsid w:val="006615BD"/>
    <w:rsid w:val="006616B2"/>
    <w:rsid w:val="006616BA"/>
    <w:rsid w:val="00661739"/>
    <w:rsid w:val="0066173B"/>
    <w:rsid w:val="006619A9"/>
    <w:rsid w:val="00661AFE"/>
    <w:rsid w:val="00661C22"/>
    <w:rsid w:val="00661D9B"/>
    <w:rsid w:val="00661F08"/>
    <w:rsid w:val="00661F63"/>
    <w:rsid w:val="00661F86"/>
    <w:rsid w:val="00662021"/>
    <w:rsid w:val="00662064"/>
    <w:rsid w:val="00662091"/>
    <w:rsid w:val="006620B4"/>
    <w:rsid w:val="00662259"/>
    <w:rsid w:val="00662304"/>
    <w:rsid w:val="00662333"/>
    <w:rsid w:val="00662350"/>
    <w:rsid w:val="00662503"/>
    <w:rsid w:val="0066251E"/>
    <w:rsid w:val="0066265A"/>
    <w:rsid w:val="006626A5"/>
    <w:rsid w:val="00662768"/>
    <w:rsid w:val="00662806"/>
    <w:rsid w:val="00662807"/>
    <w:rsid w:val="006629D3"/>
    <w:rsid w:val="00662A33"/>
    <w:rsid w:val="00662E1F"/>
    <w:rsid w:val="00662E40"/>
    <w:rsid w:val="00662EBE"/>
    <w:rsid w:val="00662FA3"/>
    <w:rsid w:val="00663042"/>
    <w:rsid w:val="006630C7"/>
    <w:rsid w:val="0066328A"/>
    <w:rsid w:val="006632FE"/>
    <w:rsid w:val="00663466"/>
    <w:rsid w:val="00663502"/>
    <w:rsid w:val="0066352E"/>
    <w:rsid w:val="006635CF"/>
    <w:rsid w:val="00663620"/>
    <w:rsid w:val="006636C6"/>
    <w:rsid w:val="006636EA"/>
    <w:rsid w:val="00663716"/>
    <w:rsid w:val="006637A7"/>
    <w:rsid w:val="00663BEC"/>
    <w:rsid w:val="00663C46"/>
    <w:rsid w:val="00663F1B"/>
    <w:rsid w:val="00663F6E"/>
    <w:rsid w:val="00664041"/>
    <w:rsid w:val="0066405E"/>
    <w:rsid w:val="006641B3"/>
    <w:rsid w:val="00664286"/>
    <w:rsid w:val="006643C2"/>
    <w:rsid w:val="006644C1"/>
    <w:rsid w:val="006644C4"/>
    <w:rsid w:val="0066458A"/>
    <w:rsid w:val="00664598"/>
    <w:rsid w:val="0066468D"/>
    <w:rsid w:val="0066472D"/>
    <w:rsid w:val="0066481C"/>
    <w:rsid w:val="0066487D"/>
    <w:rsid w:val="00664890"/>
    <w:rsid w:val="00664B6E"/>
    <w:rsid w:val="00664B94"/>
    <w:rsid w:val="00664BA7"/>
    <w:rsid w:val="00664C9E"/>
    <w:rsid w:val="00664CAB"/>
    <w:rsid w:val="00664CEE"/>
    <w:rsid w:val="00664D78"/>
    <w:rsid w:val="00664EAE"/>
    <w:rsid w:val="00664EC1"/>
    <w:rsid w:val="00664F03"/>
    <w:rsid w:val="006652CB"/>
    <w:rsid w:val="00665321"/>
    <w:rsid w:val="00665440"/>
    <w:rsid w:val="0066548A"/>
    <w:rsid w:val="00665498"/>
    <w:rsid w:val="00665536"/>
    <w:rsid w:val="00665549"/>
    <w:rsid w:val="00665557"/>
    <w:rsid w:val="00665577"/>
    <w:rsid w:val="006655C6"/>
    <w:rsid w:val="0066563F"/>
    <w:rsid w:val="00665781"/>
    <w:rsid w:val="0066579A"/>
    <w:rsid w:val="0066587D"/>
    <w:rsid w:val="00665880"/>
    <w:rsid w:val="00665A05"/>
    <w:rsid w:val="00665A4B"/>
    <w:rsid w:val="00665B20"/>
    <w:rsid w:val="00665C07"/>
    <w:rsid w:val="00665C15"/>
    <w:rsid w:val="00665CC2"/>
    <w:rsid w:val="00665D35"/>
    <w:rsid w:val="00665DD8"/>
    <w:rsid w:val="00665FF3"/>
    <w:rsid w:val="006660D4"/>
    <w:rsid w:val="0066615A"/>
    <w:rsid w:val="00666327"/>
    <w:rsid w:val="00666389"/>
    <w:rsid w:val="00666541"/>
    <w:rsid w:val="0066654C"/>
    <w:rsid w:val="006665D5"/>
    <w:rsid w:val="006667C6"/>
    <w:rsid w:val="006668FD"/>
    <w:rsid w:val="006669AB"/>
    <w:rsid w:val="006669D8"/>
    <w:rsid w:val="00666A28"/>
    <w:rsid w:val="00666A4A"/>
    <w:rsid w:val="00666A57"/>
    <w:rsid w:val="00666B98"/>
    <w:rsid w:val="00666CB6"/>
    <w:rsid w:val="00666CC0"/>
    <w:rsid w:val="00666DD9"/>
    <w:rsid w:val="00666E8F"/>
    <w:rsid w:val="00667172"/>
    <w:rsid w:val="00667520"/>
    <w:rsid w:val="0066756B"/>
    <w:rsid w:val="00667599"/>
    <w:rsid w:val="006675ED"/>
    <w:rsid w:val="0066767E"/>
    <w:rsid w:val="006677E0"/>
    <w:rsid w:val="00667893"/>
    <w:rsid w:val="00667A1D"/>
    <w:rsid w:val="00667B1D"/>
    <w:rsid w:val="00667C77"/>
    <w:rsid w:val="00667F09"/>
    <w:rsid w:val="00667F78"/>
    <w:rsid w:val="006701DE"/>
    <w:rsid w:val="00670211"/>
    <w:rsid w:val="006702E5"/>
    <w:rsid w:val="0067030F"/>
    <w:rsid w:val="00670461"/>
    <w:rsid w:val="00670552"/>
    <w:rsid w:val="006706A3"/>
    <w:rsid w:val="006706E5"/>
    <w:rsid w:val="00670726"/>
    <w:rsid w:val="006707AA"/>
    <w:rsid w:val="006708EE"/>
    <w:rsid w:val="0067095B"/>
    <w:rsid w:val="006709FF"/>
    <w:rsid w:val="00670A2F"/>
    <w:rsid w:val="00670C6E"/>
    <w:rsid w:val="00670CDF"/>
    <w:rsid w:val="00670D29"/>
    <w:rsid w:val="00670DC7"/>
    <w:rsid w:val="0067105E"/>
    <w:rsid w:val="006710CA"/>
    <w:rsid w:val="0067123B"/>
    <w:rsid w:val="006712D7"/>
    <w:rsid w:val="00671408"/>
    <w:rsid w:val="00671478"/>
    <w:rsid w:val="00671533"/>
    <w:rsid w:val="00671614"/>
    <w:rsid w:val="006719F0"/>
    <w:rsid w:val="006719F9"/>
    <w:rsid w:val="00671A04"/>
    <w:rsid w:val="00671D6E"/>
    <w:rsid w:val="00671EAF"/>
    <w:rsid w:val="00671F24"/>
    <w:rsid w:val="006721B2"/>
    <w:rsid w:val="006721C1"/>
    <w:rsid w:val="0067221D"/>
    <w:rsid w:val="00672249"/>
    <w:rsid w:val="00672299"/>
    <w:rsid w:val="0067237F"/>
    <w:rsid w:val="006723AA"/>
    <w:rsid w:val="00672491"/>
    <w:rsid w:val="00672534"/>
    <w:rsid w:val="006725C7"/>
    <w:rsid w:val="00672611"/>
    <w:rsid w:val="0067269A"/>
    <w:rsid w:val="006726EA"/>
    <w:rsid w:val="006726F3"/>
    <w:rsid w:val="00672738"/>
    <w:rsid w:val="006727B6"/>
    <w:rsid w:val="006727C3"/>
    <w:rsid w:val="00672A60"/>
    <w:rsid w:val="00672ACD"/>
    <w:rsid w:val="00672B51"/>
    <w:rsid w:val="00672B54"/>
    <w:rsid w:val="00672D5F"/>
    <w:rsid w:val="00672DE1"/>
    <w:rsid w:val="00672E06"/>
    <w:rsid w:val="00672F10"/>
    <w:rsid w:val="00672F46"/>
    <w:rsid w:val="00672F7A"/>
    <w:rsid w:val="00672FA5"/>
    <w:rsid w:val="0067304D"/>
    <w:rsid w:val="006730AD"/>
    <w:rsid w:val="00673283"/>
    <w:rsid w:val="00673301"/>
    <w:rsid w:val="006733A1"/>
    <w:rsid w:val="006733B7"/>
    <w:rsid w:val="0067349E"/>
    <w:rsid w:val="0067366E"/>
    <w:rsid w:val="0067391E"/>
    <w:rsid w:val="00673995"/>
    <w:rsid w:val="006739CE"/>
    <w:rsid w:val="00673AA7"/>
    <w:rsid w:val="00673B75"/>
    <w:rsid w:val="00673D03"/>
    <w:rsid w:val="00673D3E"/>
    <w:rsid w:val="00673D7D"/>
    <w:rsid w:val="00673DC6"/>
    <w:rsid w:val="00673EA2"/>
    <w:rsid w:val="006741B7"/>
    <w:rsid w:val="00674202"/>
    <w:rsid w:val="00674246"/>
    <w:rsid w:val="00674761"/>
    <w:rsid w:val="00674819"/>
    <w:rsid w:val="0067485B"/>
    <w:rsid w:val="006748E6"/>
    <w:rsid w:val="00674B8A"/>
    <w:rsid w:val="00674BDA"/>
    <w:rsid w:val="00674C6C"/>
    <w:rsid w:val="00674D5D"/>
    <w:rsid w:val="00674D6D"/>
    <w:rsid w:val="00674ED2"/>
    <w:rsid w:val="00675027"/>
    <w:rsid w:val="006750F0"/>
    <w:rsid w:val="00675126"/>
    <w:rsid w:val="0067514E"/>
    <w:rsid w:val="00675367"/>
    <w:rsid w:val="0067538C"/>
    <w:rsid w:val="00675450"/>
    <w:rsid w:val="00675695"/>
    <w:rsid w:val="006756F3"/>
    <w:rsid w:val="006756F9"/>
    <w:rsid w:val="00675939"/>
    <w:rsid w:val="0067593D"/>
    <w:rsid w:val="0067598F"/>
    <w:rsid w:val="006759E9"/>
    <w:rsid w:val="006759EF"/>
    <w:rsid w:val="00675AAD"/>
    <w:rsid w:val="00675B63"/>
    <w:rsid w:val="00675BFA"/>
    <w:rsid w:val="00675C4E"/>
    <w:rsid w:val="00675C5D"/>
    <w:rsid w:val="00675CBD"/>
    <w:rsid w:val="00675D3C"/>
    <w:rsid w:val="00675DB0"/>
    <w:rsid w:val="00675E7B"/>
    <w:rsid w:val="00676039"/>
    <w:rsid w:val="0067607F"/>
    <w:rsid w:val="006760BF"/>
    <w:rsid w:val="00676199"/>
    <w:rsid w:val="00676226"/>
    <w:rsid w:val="00676258"/>
    <w:rsid w:val="00676450"/>
    <w:rsid w:val="006764DD"/>
    <w:rsid w:val="006765C8"/>
    <w:rsid w:val="00676853"/>
    <w:rsid w:val="006768A9"/>
    <w:rsid w:val="00676AD3"/>
    <w:rsid w:val="00676C58"/>
    <w:rsid w:val="00676CE9"/>
    <w:rsid w:val="00676EF7"/>
    <w:rsid w:val="00676F2D"/>
    <w:rsid w:val="0067708F"/>
    <w:rsid w:val="00677184"/>
    <w:rsid w:val="00677205"/>
    <w:rsid w:val="006773A3"/>
    <w:rsid w:val="00677482"/>
    <w:rsid w:val="00677489"/>
    <w:rsid w:val="00677505"/>
    <w:rsid w:val="00677878"/>
    <w:rsid w:val="006779FF"/>
    <w:rsid w:val="00677C7E"/>
    <w:rsid w:val="00677CEF"/>
    <w:rsid w:val="00677D12"/>
    <w:rsid w:val="00677D16"/>
    <w:rsid w:val="00677D57"/>
    <w:rsid w:val="00677DB8"/>
    <w:rsid w:val="006801CF"/>
    <w:rsid w:val="00680222"/>
    <w:rsid w:val="0068028E"/>
    <w:rsid w:val="0068034B"/>
    <w:rsid w:val="00680380"/>
    <w:rsid w:val="0068043C"/>
    <w:rsid w:val="0068051F"/>
    <w:rsid w:val="006805E1"/>
    <w:rsid w:val="0068075A"/>
    <w:rsid w:val="0068079F"/>
    <w:rsid w:val="006807BB"/>
    <w:rsid w:val="006808E9"/>
    <w:rsid w:val="00680903"/>
    <w:rsid w:val="00680937"/>
    <w:rsid w:val="006809F6"/>
    <w:rsid w:val="00680A21"/>
    <w:rsid w:val="00680D61"/>
    <w:rsid w:val="00680E55"/>
    <w:rsid w:val="00680F19"/>
    <w:rsid w:val="00680F85"/>
    <w:rsid w:val="0068103B"/>
    <w:rsid w:val="00681087"/>
    <w:rsid w:val="00681140"/>
    <w:rsid w:val="00681161"/>
    <w:rsid w:val="006811B0"/>
    <w:rsid w:val="006811CF"/>
    <w:rsid w:val="00681254"/>
    <w:rsid w:val="00681307"/>
    <w:rsid w:val="0068145D"/>
    <w:rsid w:val="006814E1"/>
    <w:rsid w:val="006815C0"/>
    <w:rsid w:val="00681600"/>
    <w:rsid w:val="00681727"/>
    <w:rsid w:val="006817E0"/>
    <w:rsid w:val="0068190D"/>
    <w:rsid w:val="00681ADB"/>
    <w:rsid w:val="00681B78"/>
    <w:rsid w:val="00681BC1"/>
    <w:rsid w:val="00681DAC"/>
    <w:rsid w:val="00681FE1"/>
    <w:rsid w:val="00681FF4"/>
    <w:rsid w:val="0068205D"/>
    <w:rsid w:val="00682179"/>
    <w:rsid w:val="006821A9"/>
    <w:rsid w:val="006821AF"/>
    <w:rsid w:val="006821DE"/>
    <w:rsid w:val="006826C7"/>
    <w:rsid w:val="00682B58"/>
    <w:rsid w:val="00682C16"/>
    <w:rsid w:val="00682F09"/>
    <w:rsid w:val="00682F8D"/>
    <w:rsid w:val="00682FFA"/>
    <w:rsid w:val="00683103"/>
    <w:rsid w:val="006834D1"/>
    <w:rsid w:val="00683533"/>
    <w:rsid w:val="00683584"/>
    <w:rsid w:val="006836F7"/>
    <w:rsid w:val="0068392D"/>
    <w:rsid w:val="00683935"/>
    <w:rsid w:val="00683A1F"/>
    <w:rsid w:val="00683B79"/>
    <w:rsid w:val="00683D42"/>
    <w:rsid w:val="00683D92"/>
    <w:rsid w:val="00683E27"/>
    <w:rsid w:val="00683EA2"/>
    <w:rsid w:val="00683EFE"/>
    <w:rsid w:val="00683F19"/>
    <w:rsid w:val="00683F82"/>
    <w:rsid w:val="00683FFD"/>
    <w:rsid w:val="006840F0"/>
    <w:rsid w:val="0068413E"/>
    <w:rsid w:val="0068424B"/>
    <w:rsid w:val="00684274"/>
    <w:rsid w:val="00684365"/>
    <w:rsid w:val="0068436F"/>
    <w:rsid w:val="006844FB"/>
    <w:rsid w:val="00684616"/>
    <w:rsid w:val="00684694"/>
    <w:rsid w:val="00684730"/>
    <w:rsid w:val="00684889"/>
    <w:rsid w:val="00684A11"/>
    <w:rsid w:val="00684A43"/>
    <w:rsid w:val="00684A80"/>
    <w:rsid w:val="00684ACB"/>
    <w:rsid w:val="00684C00"/>
    <w:rsid w:val="00684D16"/>
    <w:rsid w:val="00684D94"/>
    <w:rsid w:val="00684F8A"/>
    <w:rsid w:val="00685018"/>
    <w:rsid w:val="006850C7"/>
    <w:rsid w:val="00685181"/>
    <w:rsid w:val="00685353"/>
    <w:rsid w:val="006854D6"/>
    <w:rsid w:val="006856CF"/>
    <w:rsid w:val="006856DD"/>
    <w:rsid w:val="006857BB"/>
    <w:rsid w:val="0068584E"/>
    <w:rsid w:val="0068589F"/>
    <w:rsid w:val="00685A80"/>
    <w:rsid w:val="00685A89"/>
    <w:rsid w:val="00685B67"/>
    <w:rsid w:val="00685C4D"/>
    <w:rsid w:val="00685C8F"/>
    <w:rsid w:val="00685DFD"/>
    <w:rsid w:val="00685E06"/>
    <w:rsid w:val="00685ED5"/>
    <w:rsid w:val="006860BB"/>
    <w:rsid w:val="006860D5"/>
    <w:rsid w:val="006860EC"/>
    <w:rsid w:val="00686118"/>
    <w:rsid w:val="0068617D"/>
    <w:rsid w:val="006861DC"/>
    <w:rsid w:val="00686297"/>
    <w:rsid w:val="00686316"/>
    <w:rsid w:val="00686346"/>
    <w:rsid w:val="00686355"/>
    <w:rsid w:val="00686361"/>
    <w:rsid w:val="0068640D"/>
    <w:rsid w:val="006864D2"/>
    <w:rsid w:val="00686594"/>
    <w:rsid w:val="0068673E"/>
    <w:rsid w:val="00686A29"/>
    <w:rsid w:val="00686AE2"/>
    <w:rsid w:val="00686B19"/>
    <w:rsid w:val="00686C0C"/>
    <w:rsid w:val="00686C8D"/>
    <w:rsid w:val="00686F51"/>
    <w:rsid w:val="00686F74"/>
    <w:rsid w:val="00686FF7"/>
    <w:rsid w:val="00687168"/>
    <w:rsid w:val="006873C1"/>
    <w:rsid w:val="006873C4"/>
    <w:rsid w:val="006873DD"/>
    <w:rsid w:val="00687472"/>
    <w:rsid w:val="00687473"/>
    <w:rsid w:val="00687566"/>
    <w:rsid w:val="0068766D"/>
    <w:rsid w:val="00687698"/>
    <w:rsid w:val="00687793"/>
    <w:rsid w:val="00687800"/>
    <w:rsid w:val="006879B7"/>
    <w:rsid w:val="00687C2B"/>
    <w:rsid w:val="00687F3D"/>
    <w:rsid w:val="006900CC"/>
    <w:rsid w:val="0069011E"/>
    <w:rsid w:val="00690175"/>
    <w:rsid w:val="006902D5"/>
    <w:rsid w:val="006902E3"/>
    <w:rsid w:val="0069036E"/>
    <w:rsid w:val="0069043B"/>
    <w:rsid w:val="0069054F"/>
    <w:rsid w:val="00690562"/>
    <w:rsid w:val="0069061D"/>
    <w:rsid w:val="006906DF"/>
    <w:rsid w:val="00690726"/>
    <w:rsid w:val="006907DD"/>
    <w:rsid w:val="006908CA"/>
    <w:rsid w:val="00690A58"/>
    <w:rsid w:val="00690A6C"/>
    <w:rsid w:val="00690BDB"/>
    <w:rsid w:val="00690C5D"/>
    <w:rsid w:val="00690E40"/>
    <w:rsid w:val="0069111B"/>
    <w:rsid w:val="006911CF"/>
    <w:rsid w:val="0069123F"/>
    <w:rsid w:val="006912D8"/>
    <w:rsid w:val="00691585"/>
    <w:rsid w:val="006916B4"/>
    <w:rsid w:val="00691766"/>
    <w:rsid w:val="0069192C"/>
    <w:rsid w:val="006919EE"/>
    <w:rsid w:val="00691A9C"/>
    <w:rsid w:val="00691C14"/>
    <w:rsid w:val="00691D03"/>
    <w:rsid w:val="00692027"/>
    <w:rsid w:val="00692117"/>
    <w:rsid w:val="0069251A"/>
    <w:rsid w:val="00692677"/>
    <w:rsid w:val="006926D7"/>
    <w:rsid w:val="00692756"/>
    <w:rsid w:val="00692838"/>
    <w:rsid w:val="00692A90"/>
    <w:rsid w:val="00692B05"/>
    <w:rsid w:val="00692B97"/>
    <w:rsid w:val="00692D00"/>
    <w:rsid w:val="00692DC9"/>
    <w:rsid w:val="00692E14"/>
    <w:rsid w:val="00692EE0"/>
    <w:rsid w:val="00692F4C"/>
    <w:rsid w:val="0069308D"/>
    <w:rsid w:val="006933D1"/>
    <w:rsid w:val="00693648"/>
    <w:rsid w:val="00693673"/>
    <w:rsid w:val="00693790"/>
    <w:rsid w:val="006937A8"/>
    <w:rsid w:val="00693975"/>
    <w:rsid w:val="006939C5"/>
    <w:rsid w:val="00693A18"/>
    <w:rsid w:val="00693AA3"/>
    <w:rsid w:val="00693D27"/>
    <w:rsid w:val="00693DC4"/>
    <w:rsid w:val="00693DFF"/>
    <w:rsid w:val="00693E79"/>
    <w:rsid w:val="00693FA7"/>
    <w:rsid w:val="00693FE1"/>
    <w:rsid w:val="00694047"/>
    <w:rsid w:val="00694078"/>
    <w:rsid w:val="0069410B"/>
    <w:rsid w:val="006941F4"/>
    <w:rsid w:val="00694338"/>
    <w:rsid w:val="00694377"/>
    <w:rsid w:val="0069441B"/>
    <w:rsid w:val="00694490"/>
    <w:rsid w:val="00694616"/>
    <w:rsid w:val="00694645"/>
    <w:rsid w:val="00694653"/>
    <w:rsid w:val="006946E4"/>
    <w:rsid w:val="00694836"/>
    <w:rsid w:val="00694890"/>
    <w:rsid w:val="006949A1"/>
    <w:rsid w:val="00694A67"/>
    <w:rsid w:val="00694AC9"/>
    <w:rsid w:val="00694B0E"/>
    <w:rsid w:val="00694B64"/>
    <w:rsid w:val="00694B6A"/>
    <w:rsid w:val="00694BEB"/>
    <w:rsid w:val="00694C15"/>
    <w:rsid w:val="00694D64"/>
    <w:rsid w:val="00694E12"/>
    <w:rsid w:val="00694F37"/>
    <w:rsid w:val="0069504B"/>
    <w:rsid w:val="00695137"/>
    <w:rsid w:val="00695268"/>
    <w:rsid w:val="0069532A"/>
    <w:rsid w:val="006953D1"/>
    <w:rsid w:val="0069547C"/>
    <w:rsid w:val="006955CD"/>
    <w:rsid w:val="006955D6"/>
    <w:rsid w:val="006955D9"/>
    <w:rsid w:val="00695788"/>
    <w:rsid w:val="00695810"/>
    <w:rsid w:val="00695863"/>
    <w:rsid w:val="00695C69"/>
    <w:rsid w:val="00695CE8"/>
    <w:rsid w:val="00695D78"/>
    <w:rsid w:val="00695DC2"/>
    <w:rsid w:val="006961A3"/>
    <w:rsid w:val="00696256"/>
    <w:rsid w:val="00696384"/>
    <w:rsid w:val="00696585"/>
    <w:rsid w:val="00696597"/>
    <w:rsid w:val="006965B5"/>
    <w:rsid w:val="00696604"/>
    <w:rsid w:val="00696786"/>
    <w:rsid w:val="0069692E"/>
    <w:rsid w:val="0069693D"/>
    <w:rsid w:val="00696945"/>
    <w:rsid w:val="00696A6E"/>
    <w:rsid w:val="00696AD9"/>
    <w:rsid w:val="00696B72"/>
    <w:rsid w:val="00696C3B"/>
    <w:rsid w:val="00696C9F"/>
    <w:rsid w:val="00696D5C"/>
    <w:rsid w:val="00696D60"/>
    <w:rsid w:val="00696DC8"/>
    <w:rsid w:val="00696E4A"/>
    <w:rsid w:val="00696ED1"/>
    <w:rsid w:val="00696EF7"/>
    <w:rsid w:val="0069708A"/>
    <w:rsid w:val="006971AF"/>
    <w:rsid w:val="006973DA"/>
    <w:rsid w:val="006973E6"/>
    <w:rsid w:val="00697481"/>
    <w:rsid w:val="00697531"/>
    <w:rsid w:val="00697609"/>
    <w:rsid w:val="006977A7"/>
    <w:rsid w:val="0069780F"/>
    <w:rsid w:val="00697AAB"/>
    <w:rsid w:val="00697B34"/>
    <w:rsid w:val="00697B4F"/>
    <w:rsid w:val="00697C1A"/>
    <w:rsid w:val="00697C34"/>
    <w:rsid w:val="00697E25"/>
    <w:rsid w:val="00697F48"/>
    <w:rsid w:val="006A0098"/>
    <w:rsid w:val="006A0128"/>
    <w:rsid w:val="006A028B"/>
    <w:rsid w:val="006A03DC"/>
    <w:rsid w:val="006A0494"/>
    <w:rsid w:val="006A059E"/>
    <w:rsid w:val="006A059F"/>
    <w:rsid w:val="006A05C6"/>
    <w:rsid w:val="006A06A7"/>
    <w:rsid w:val="006A077A"/>
    <w:rsid w:val="006A087B"/>
    <w:rsid w:val="006A08B8"/>
    <w:rsid w:val="006A0AD4"/>
    <w:rsid w:val="006A0C78"/>
    <w:rsid w:val="006A0E12"/>
    <w:rsid w:val="006A0F7F"/>
    <w:rsid w:val="006A0F9E"/>
    <w:rsid w:val="006A0FAF"/>
    <w:rsid w:val="006A11E2"/>
    <w:rsid w:val="006A1202"/>
    <w:rsid w:val="006A125E"/>
    <w:rsid w:val="006A12B3"/>
    <w:rsid w:val="006A1447"/>
    <w:rsid w:val="006A1531"/>
    <w:rsid w:val="006A16C5"/>
    <w:rsid w:val="006A1839"/>
    <w:rsid w:val="006A18D0"/>
    <w:rsid w:val="006A18E1"/>
    <w:rsid w:val="006A1A2E"/>
    <w:rsid w:val="006A1B75"/>
    <w:rsid w:val="006A1BB1"/>
    <w:rsid w:val="006A1C92"/>
    <w:rsid w:val="006A1CC7"/>
    <w:rsid w:val="006A1D19"/>
    <w:rsid w:val="006A1D46"/>
    <w:rsid w:val="006A1F07"/>
    <w:rsid w:val="006A220E"/>
    <w:rsid w:val="006A2271"/>
    <w:rsid w:val="006A22A3"/>
    <w:rsid w:val="006A22AA"/>
    <w:rsid w:val="006A22C0"/>
    <w:rsid w:val="006A2813"/>
    <w:rsid w:val="006A28D5"/>
    <w:rsid w:val="006A29A3"/>
    <w:rsid w:val="006A2A70"/>
    <w:rsid w:val="006A2ACB"/>
    <w:rsid w:val="006A2C47"/>
    <w:rsid w:val="006A2C53"/>
    <w:rsid w:val="006A2DE8"/>
    <w:rsid w:val="006A2DF8"/>
    <w:rsid w:val="006A3092"/>
    <w:rsid w:val="006A31BF"/>
    <w:rsid w:val="006A32E4"/>
    <w:rsid w:val="006A32F4"/>
    <w:rsid w:val="006A37A0"/>
    <w:rsid w:val="006A380D"/>
    <w:rsid w:val="006A3893"/>
    <w:rsid w:val="006A38D9"/>
    <w:rsid w:val="006A3976"/>
    <w:rsid w:val="006A3C24"/>
    <w:rsid w:val="006A3DF8"/>
    <w:rsid w:val="006A3EE4"/>
    <w:rsid w:val="006A3F93"/>
    <w:rsid w:val="006A3FC7"/>
    <w:rsid w:val="006A3FD1"/>
    <w:rsid w:val="006A40FD"/>
    <w:rsid w:val="006A411B"/>
    <w:rsid w:val="006A4233"/>
    <w:rsid w:val="006A42BB"/>
    <w:rsid w:val="006A42C0"/>
    <w:rsid w:val="006A42F7"/>
    <w:rsid w:val="006A43CD"/>
    <w:rsid w:val="006A4440"/>
    <w:rsid w:val="006A453A"/>
    <w:rsid w:val="006A4631"/>
    <w:rsid w:val="006A478A"/>
    <w:rsid w:val="006A4831"/>
    <w:rsid w:val="006A483F"/>
    <w:rsid w:val="006A4915"/>
    <w:rsid w:val="006A492A"/>
    <w:rsid w:val="006A49C7"/>
    <w:rsid w:val="006A4A53"/>
    <w:rsid w:val="006A4A9A"/>
    <w:rsid w:val="006A4B93"/>
    <w:rsid w:val="006A4C2B"/>
    <w:rsid w:val="006A4E9E"/>
    <w:rsid w:val="006A4EE4"/>
    <w:rsid w:val="006A4F23"/>
    <w:rsid w:val="006A5095"/>
    <w:rsid w:val="006A509A"/>
    <w:rsid w:val="006A513A"/>
    <w:rsid w:val="006A51F2"/>
    <w:rsid w:val="006A5227"/>
    <w:rsid w:val="006A5262"/>
    <w:rsid w:val="006A551E"/>
    <w:rsid w:val="006A5B12"/>
    <w:rsid w:val="006A5C66"/>
    <w:rsid w:val="006A5D0A"/>
    <w:rsid w:val="006A5DF1"/>
    <w:rsid w:val="006A5E94"/>
    <w:rsid w:val="006A612E"/>
    <w:rsid w:val="006A62BE"/>
    <w:rsid w:val="006A663C"/>
    <w:rsid w:val="006A665F"/>
    <w:rsid w:val="006A67D1"/>
    <w:rsid w:val="006A6934"/>
    <w:rsid w:val="006A697C"/>
    <w:rsid w:val="006A6A18"/>
    <w:rsid w:val="006A6B10"/>
    <w:rsid w:val="006A6B40"/>
    <w:rsid w:val="006A6BB5"/>
    <w:rsid w:val="006A6C20"/>
    <w:rsid w:val="006A6CA7"/>
    <w:rsid w:val="006A6D4D"/>
    <w:rsid w:val="006A6DC9"/>
    <w:rsid w:val="006A6E1B"/>
    <w:rsid w:val="006A6F0B"/>
    <w:rsid w:val="006A71BE"/>
    <w:rsid w:val="006A71EA"/>
    <w:rsid w:val="006A71F0"/>
    <w:rsid w:val="006A738E"/>
    <w:rsid w:val="006A7453"/>
    <w:rsid w:val="006A784A"/>
    <w:rsid w:val="006A78E4"/>
    <w:rsid w:val="006A7A4B"/>
    <w:rsid w:val="006A7A61"/>
    <w:rsid w:val="006A7A7C"/>
    <w:rsid w:val="006A7ACD"/>
    <w:rsid w:val="006A7B63"/>
    <w:rsid w:val="006A7C1B"/>
    <w:rsid w:val="006A7CF0"/>
    <w:rsid w:val="006A7CF5"/>
    <w:rsid w:val="006A7DFA"/>
    <w:rsid w:val="006A7EA8"/>
    <w:rsid w:val="006A7EF2"/>
    <w:rsid w:val="006A7F80"/>
    <w:rsid w:val="006B0047"/>
    <w:rsid w:val="006B0128"/>
    <w:rsid w:val="006B012F"/>
    <w:rsid w:val="006B01EB"/>
    <w:rsid w:val="006B026B"/>
    <w:rsid w:val="006B028C"/>
    <w:rsid w:val="006B02CA"/>
    <w:rsid w:val="006B047B"/>
    <w:rsid w:val="006B050F"/>
    <w:rsid w:val="006B0701"/>
    <w:rsid w:val="006B072B"/>
    <w:rsid w:val="006B076E"/>
    <w:rsid w:val="006B07B5"/>
    <w:rsid w:val="006B080C"/>
    <w:rsid w:val="006B090E"/>
    <w:rsid w:val="006B0980"/>
    <w:rsid w:val="006B0A40"/>
    <w:rsid w:val="006B0B15"/>
    <w:rsid w:val="006B0B43"/>
    <w:rsid w:val="006B0C9F"/>
    <w:rsid w:val="006B0CD2"/>
    <w:rsid w:val="006B112C"/>
    <w:rsid w:val="006B144B"/>
    <w:rsid w:val="006B155B"/>
    <w:rsid w:val="006B1601"/>
    <w:rsid w:val="006B16CC"/>
    <w:rsid w:val="006B176B"/>
    <w:rsid w:val="006B17DE"/>
    <w:rsid w:val="006B182E"/>
    <w:rsid w:val="006B1AA8"/>
    <w:rsid w:val="006B1B56"/>
    <w:rsid w:val="006B1BB4"/>
    <w:rsid w:val="006B1DE9"/>
    <w:rsid w:val="006B1E3D"/>
    <w:rsid w:val="006B1E5F"/>
    <w:rsid w:val="006B1F7C"/>
    <w:rsid w:val="006B200D"/>
    <w:rsid w:val="006B2064"/>
    <w:rsid w:val="006B20DB"/>
    <w:rsid w:val="006B2437"/>
    <w:rsid w:val="006B24A8"/>
    <w:rsid w:val="006B255E"/>
    <w:rsid w:val="006B25C5"/>
    <w:rsid w:val="006B25F6"/>
    <w:rsid w:val="006B26B0"/>
    <w:rsid w:val="006B2722"/>
    <w:rsid w:val="006B296B"/>
    <w:rsid w:val="006B2B74"/>
    <w:rsid w:val="006B2C5B"/>
    <w:rsid w:val="006B2C60"/>
    <w:rsid w:val="006B2E2E"/>
    <w:rsid w:val="006B31A9"/>
    <w:rsid w:val="006B31F2"/>
    <w:rsid w:val="006B333F"/>
    <w:rsid w:val="006B36B2"/>
    <w:rsid w:val="006B3875"/>
    <w:rsid w:val="006B38B0"/>
    <w:rsid w:val="006B3921"/>
    <w:rsid w:val="006B39B0"/>
    <w:rsid w:val="006B39C7"/>
    <w:rsid w:val="006B39DF"/>
    <w:rsid w:val="006B3B1F"/>
    <w:rsid w:val="006B3C64"/>
    <w:rsid w:val="006B3D89"/>
    <w:rsid w:val="006B3D8D"/>
    <w:rsid w:val="006B3DCB"/>
    <w:rsid w:val="006B3EC4"/>
    <w:rsid w:val="006B3FCF"/>
    <w:rsid w:val="006B4082"/>
    <w:rsid w:val="006B4194"/>
    <w:rsid w:val="006B41B7"/>
    <w:rsid w:val="006B41F5"/>
    <w:rsid w:val="006B45A2"/>
    <w:rsid w:val="006B471B"/>
    <w:rsid w:val="006B481F"/>
    <w:rsid w:val="006B48C5"/>
    <w:rsid w:val="006B48CF"/>
    <w:rsid w:val="006B4920"/>
    <w:rsid w:val="006B49A8"/>
    <w:rsid w:val="006B4C53"/>
    <w:rsid w:val="006B4CF4"/>
    <w:rsid w:val="006B4D79"/>
    <w:rsid w:val="006B4F84"/>
    <w:rsid w:val="006B4FF8"/>
    <w:rsid w:val="006B5196"/>
    <w:rsid w:val="006B53C3"/>
    <w:rsid w:val="006B5414"/>
    <w:rsid w:val="006B55FB"/>
    <w:rsid w:val="006B560A"/>
    <w:rsid w:val="006B5840"/>
    <w:rsid w:val="006B5899"/>
    <w:rsid w:val="006B591E"/>
    <w:rsid w:val="006B5A96"/>
    <w:rsid w:val="006B5BE2"/>
    <w:rsid w:val="006B5F4B"/>
    <w:rsid w:val="006B5F60"/>
    <w:rsid w:val="006B6086"/>
    <w:rsid w:val="006B60B0"/>
    <w:rsid w:val="006B63DE"/>
    <w:rsid w:val="006B6616"/>
    <w:rsid w:val="006B671C"/>
    <w:rsid w:val="006B691E"/>
    <w:rsid w:val="006B6930"/>
    <w:rsid w:val="006B698F"/>
    <w:rsid w:val="006B69D5"/>
    <w:rsid w:val="006B6A3C"/>
    <w:rsid w:val="006B6B07"/>
    <w:rsid w:val="006B6C5C"/>
    <w:rsid w:val="006B6E4C"/>
    <w:rsid w:val="006B6FEE"/>
    <w:rsid w:val="006B700E"/>
    <w:rsid w:val="006B7148"/>
    <w:rsid w:val="006B714C"/>
    <w:rsid w:val="006B716C"/>
    <w:rsid w:val="006B725A"/>
    <w:rsid w:val="006B7264"/>
    <w:rsid w:val="006B750C"/>
    <w:rsid w:val="006B7713"/>
    <w:rsid w:val="006B773F"/>
    <w:rsid w:val="006B7C73"/>
    <w:rsid w:val="006B7C8F"/>
    <w:rsid w:val="006B7D22"/>
    <w:rsid w:val="006B7DCF"/>
    <w:rsid w:val="006B7F57"/>
    <w:rsid w:val="006B7F75"/>
    <w:rsid w:val="006C0067"/>
    <w:rsid w:val="006C0397"/>
    <w:rsid w:val="006C042A"/>
    <w:rsid w:val="006C0692"/>
    <w:rsid w:val="006C076A"/>
    <w:rsid w:val="006C08A9"/>
    <w:rsid w:val="006C0A54"/>
    <w:rsid w:val="006C0BFB"/>
    <w:rsid w:val="006C0C1E"/>
    <w:rsid w:val="006C0D88"/>
    <w:rsid w:val="006C0F20"/>
    <w:rsid w:val="006C0FAE"/>
    <w:rsid w:val="006C12E4"/>
    <w:rsid w:val="006C13CF"/>
    <w:rsid w:val="006C1430"/>
    <w:rsid w:val="006C150C"/>
    <w:rsid w:val="006C15D5"/>
    <w:rsid w:val="006C19F0"/>
    <w:rsid w:val="006C1D5D"/>
    <w:rsid w:val="006C1ED4"/>
    <w:rsid w:val="006C1F10"/>
    <w:rsid w:val="006C2213"/>
    <w:rsid w:val="006C222D"/>
    <w:rsid w:val="006C2260"/>
    <w:rsid w:val="006C2357"/>
    <w:rsid w:val="006C248F"/>
    <w:rsid w:val="006C25FF"/>
    <w:rsid w:val="006C26A9"/>
    <w:rsid w:val="006C2720"/>
    <w:rsid w:val="006C2860"/>
    <w:rsid w:val="006C2970"/>
    <w:rsid w:val="006C2C99"/>
    <w:rsid w:val="006C2D04"/>
    <w:rsid w:val="006C2DC2"/>
    <w:rsid w:val="006C2E12"/>
    <w:rsid w:val="006C2E2F"/>
    <w:rsid w:val="006C2EF0"/>
    <w:rsid w:val="006C2F96"/>
    <w:rsid w:val="006C31EF"/>
    <w:rsid w:val="006C325C"/>
    <w:rsid w:val="006C33AD"/>
    <w:rsid w:val="006C3416"/>
    <w:rsid w:val="006C35A6"/>
    <w:rsid w:val="006C3745"/>
    <w:rsid w:val="006C37BB"/>
    <w:rsid w:val="006C380B"/>
    <w:rsid w:val="006C3821"/>
    <w:rsid w:val="006C3839"/>
    <w:rsid w:val="006C3863"/>
    <w:rsid w:val="006C38D8"/>
    <w:rsid w:val="006C39D3"/>
    <w:rsid w:val="006C39E4"/>
    <w:rsid w:val="006C39FF"/>
    <w:rsid w:val="006C3ADE"/>
    <w:rsid w:val="006C3B49"/>
    <w:rsid w:val="006C3D78"/>
    <w:rsid w:val="006C3F71"/>
    <w:rsid w:val="006C3FAB"/>
    <w:rsid w:val="006C3FF6"/>
    <w:rsid w:val="006C40B8"/>
    <w:rsid w:val="006C41D6"/>
    <w:rsid w:val="006C423F"/>
    <w:rsid w:val="006C42CA"/>
    <w:rsid w:val="006C4387"/>
    <w:rsid w:val="006C43ED"/>
    <w:rsid w:val="006C4480"/>
    <w:rsid w:val="006C4487"/>
    <w:rsid w:val="006C4506"/>
    <w:rsid w:val="006C45E7"/>
    <w:rsid w:val="006C45EC"/>
    <w:rsid w:val="006C4681"/>
    <w:rsid w:val="006C4904"/>
    <w:rsid w:val="006C49D8"/>
    <w:rsid w:val="006C4CC3"/>
    <w:rsid w:val="006C4CF6"/>
    <w:rsid w:val="006C4D65"/>
    <w:rsid w:val="006C4DF5"/>
    <w:rsid w:val="006C4E48"/>
    <w:rsid w:val="006C4F1E"/>
    <w:rsid w:val="006C4F5C"/>
    <w:rsid w:val="006C4FCF"/>
    <w:rsid w:val="006C4FF3"/>
    <w:rsid w:val="006C5065"/>
    <w:rsid w:val="006C509D"/>
    <w:rsid w:val="006C5303"/>
    <w:rsid w:val="006C5428"/>
    <w:rsid w:val="006C5433"/>
    <w:rsid w:val="006C54C2"/>
    <w:rsid w:val="006C5612"/>
    <w:rsid w:val="006C57C8"/>
    <w:rsid w:val="006C5855"/>
    <w:rsid w:val="006C587D"/>
    <w:rsid w:val="006C59F6"/>
    <w:rsid w:val="006C5B67"/>
    <w:rsid w:val="006C5BD4"/>
    <w:rsid w:val="006C5C0F"/>
    <w:rsid w:val="006C5C66"/>
    <w:rsid w:val="006C5DE5"/>
    <w:rsid w:val="006C60B6"/>
    <w:rsid w:val="006C6231"/>
    <w:rsid w:val="006C6332"/>
    <w:rsid w:val="006C6354"/>
    <w:rsid w:val="006C63D1"/>
    <w:rsid w:val="006C66CC"/>
    <w:rsid w:val="006C67F1"/>
    <w:rsid w:val="006C681A"/>
    <w:rsid w:val="006C695C"/>
    <w:rsid w:val="006C6991"/>
    <w:rsid w:val="006C6998"/>
    <w:rsid w:val="006C6C2F"/>
    <w:rsid w:val="006C6D90"/>
    <w:rsid w:val="006C6E5B"/>
    <w:rsid w:val="006C706B"/>
    <w:rsid w:val="006C7122"/>
    <w:rsid w:val="006C712F"/>
    <w:rsid w:val="006C725B"/>
    <w:rsid w:val="006C72EC"/>
    <w:rsid w:val="006C7361"/>
    <w:rsid w:val="006C77A3"/>
    <w:rsid w:val="006C77A7"/>
    <w:rsid w:val="006C77D6"/>
    <w:rsid w:val="006C7852"/>
    <w:rsid w:val="006C799D"/>
    <w:rsid w:val="006C79FD"/>
    <w:rsid w:val="006C7A0F"/>
    <w:rsid w:val="006C7C1B"/>
    <w:rsid w:val="006C7C54"/>
    <w:rsid w:val="006C7DE2"/>
    <w:rsid w:val="006C7EC0"/>
    <w:rsid w:val="006C7F17"/>
    <w:rsid w:val="006D01EA"/>
    <w:rsid w:val="006D022B"/>
    <w:rsid w:val="006D0318"/>
    <w:rsid w:val="006D0359"/>
    <w:rsid w:val="006D03D8"/>
    <w:rsid w:val="006D03EC"/>
    <w:rsid w:val="006D0461"/>
    <w:rsid w:val="006D0707"/>
    <w:rsid w:val="006D091A"/>
    <w:rsid w:val="006D0B9D"/>
    <w:rsid w:val="006D0C1C"/>
    <w:rsid w:val="006D0CC6"/>
    <w:rsid w:val="006D0CFA"/>
    <w:rsid w:val="006D0D6A"/>
    <w:rsid w:val="006D0E98"/>
    <w:rsid w:val="006D10E0"/>
    <w:rsid w:val="006D11B3"/>
    <w:rsid w:val="006D11DD"/>
    <w:rsid w:val="006D1205"/>
    <w:rsid w:val="006D1228"/>
    <w:rsid w:val="006D12CC"/>
    <w:rsid w:val="006D1357"/>
    <w:rsid w:val="006D1531"/>
    <w:rsid w:val="006D15A1"/>
    <w:rsid w:val="006D15C7"/>
    <w:rsid w:val="006D15FF"/>
    <w:rsid w:val="006D1654"/>
    <w:rsid w:val="006D1893"/>
    <w:rsid w:val="006D1961"/>
    <w:rsid w:val="006D1A36"/>
    <w:rsid w:val="006D1A9B"/>
    <w:rsid w:val="006D1B6C"/>
    <w:rsid w:val="006D1BA1"/>
    <w:rsid w:val="006D1E84"/>
    <w:rsid w:val="006D2015"/>
    <w:rsid w:val="006D215A"/>
    <w:rsid w:val="006D2247"/>
    <w:rsid w:val="006D2286"/>
    <w:rsid w:val="006D2288"/>
    <w:rsid w:val="006D22F3"/>
    <w:rsid w:val="006D23D6"/>
    <w:rsid w:val="006D2451"/>
    <w:rsid w:val="006D255D"/>
    <w:rsid w:val="006D2A12"/>
    <w:rsid w:val="006D2CB1"/>
    <w:rsid w:val="006D2CF9"/>
    <w:rsid w:val="006D2D5D"/>
    <w:rsid w:val="006D2E0D"/>
    <w:rsid w:val="006D2E17"/>
    <w:rsid w:val="006D2E74"/>
    <w:rsid w:val="006D2F0E"/>
    <w:rsid w:val="006D2F8C"/>
    <w:rsid w:val="006D30AA"/>
    <w:rsid w:val="006D30DA"/>
    <w:rsid w:val="006D3342"/>
    <w:rsid w:val="006D33D4"/>
    <w:rsid w:val="006D344E"/>
    <w:rsid w:val="006D34D1"/>
    <w:rsid w:val="006D34E7"/>
    <w:rsid w:val="006D35CB"/>
    <w:rsid w:val="006D36D0"/>
    <w:rsid w:val="006D374A"/>
    <w:rsid w:val="006D38C9"/>
    <w:rsid w:val="006D3918"/>
    <w:rsid w:val="006D39F4"/>
    <w:rsid w:val="006D3A77"/>
    <w:rsid w:val="006D3AC8"/>
    <w:rsid w:val="006D3C6D"/>
    <w:rsid w:val="006D3E0C"/>
    <w:rsid w:val="006D3F5E"/>
    <w:rsid w:val="006D3F6E"/>
    <w:rsid w:val="006D408B"/>
    <w:rsid w:val="006D4257"/>
    <w:rsid w:val="006D443C"/>
    <w:rsid w:val="006D4770"/>
    <w:rsid w:val="006D47B2"/>
    <w:rsid w:val="006D4893"/>
    <w:rsid w:val="006D48FB"/>
    <w:rsid w:val="006D4930"/>
    <w:rsid w:val="006D4B5A"/>
    <w:rsid w:val="006D4BF7"/>
    <w:rsid w:val="006D4C35"/>
    <w:rsid w:val="006D4CAC"/>
    <w:rsid w:val="006D4E7D"/>
    <w:rsid w:val="006D4F59"/>
    <w:rsid w:val="006D5010"/>
    <w:rsid w:val="006D5106"/>
    <w:rsid w:val="006D534D"/>
    <w:rsid w:val="006D538E"/>
    <w:rsid w:val="006D5391"/>
    <w:rsid w:val="006D5595"/>
    <w:rsid w:val="006D5776"/>
    <w:rsid w:val="006D5808"/>
    <w:rsid w:val="006D5826"/>
    <w:rsid w:val="006D5B15"/>
    <w:rsid w:val="006D5B41"/>
    <w:rsid w:val="006D5BD0"/>
    <w:rsid w:val="006D5C0F"/>
    <w:rsid w:val="006D5C1B"/>
    <w:rsid w:val="006D5C7F"/>
    <w:rsid w:val="006D5D52"/>
    <w:rsid w:val="006D5E64"/>
    <w:rsid w:val="006D5E9D"/>
    <w:rsid w:val="006D5EE8"/>
    <w:rsid w:val="006D6130"/>
    <w:rsid w:val="006D6195"/>
    <w:rsid w:val="006D6220"/>
    <w:rsid w:val="006D6287"/>
    <w:rsid w:val="006D63E5"/>
    <w:rsid w:val="006D6402"/>
    <w:rsid w:val="006D64E2"/>
    <w:rsid w:val="006D66EF"/>
    <w:rsid w:val="006D69E6"/>
    <w:rsid w:val="006D6A05"/>
    <w:rsid w:val="006D6C36"/>
    <w:rsid w:val="006D6CB1"/>
    <w:rsid w:val="006D6F21"/>
    <w:rsid w:val="006D6F5F"/>
    <w:rsid w:val="006D6FDF"/>
    <w:rsid w:val="006D7086"/>
    <w:rsid w:val="006D7094"/>
    <w:rsid w:val="006D70FA"/>
    <w:rsid w:val="006D7120"/>
    <w:rsid w:val="006D712B"/>
    <w:rsid w:val="006D712D"/>
    <w:rsid w:val="006D71DF"/>
    <w:rsid w:val="006D7208"/>
    <w:rsid w:val="006D74B1"/>
    <w:rsid w:val="006D7621"/>
    <w:rsid w:val="006D7639"/>
    <w:rsid w:val="006D76B9"/>
    <w:rsid w:val="006D76E6"/>
    <w:rsid w:val="006D7725"/>
    <w:rsid w:val="006D78A2"/>
    <w:rsid w:val="006D78F3"/>
    <w:rsid w:val="006D7A08"/>
    <w:rsid w:val="006D7B2B"/>
    <w:rsid w:val="006D7BE4"/>
    <w:rsid w:val="006D7DD7"/>
    <w:rsid w:val="006D7E88"/>
    <w:rsid w:val="006D7EA8"/>
    <w:rsid w:val="006D7EDD"/>
    <w:rsid w:val="006D7F2D"/>
    <w:rsid w:val="006D7F89"/>
    <w:rsid w:val="006D7FD8"/>
    <w:rsid w:val="006E010A"/>
    <w:rsid w:val="006E015D"/>
    <w:rsid w:val="006E0418"/>
    <w:rsid w:val="006E05CC"/>
    <w:rsid w:val="006E07BD"/>
    <w:rsid w:val="006E09EC"/>
    <w:rsid w:val="006E0ABD"/>
    <w:rsid w:val="006E0B87"/>
    <w:rsid w:val="006E0C19"/>
    <w:rsid w:val="006E0C4B"/>
    <w:rsid w:val="006E0D68"/>
    <w:rsid w:val="006E0E00"/>
    <w:rsid w:val="006E0E08"/>
    <w:rsid w:val="006E0E16"/>
    <w:rsid w:val="006E120D"/>
    <w:rsid w:val="006E12A5"/>
    <w:rsid w:val="006E12B9"/>
    <w:rsid w:val="006E12C3"/>
    <w:rsid w:val="006E12DC"/>
    <w:rsid w:val="006E14A7"/>
    <w:rsid w:val="006E1579"/>
    <w:rsid w:val="006E1685"/>
    <w:rsid w:val="006E1712"/>
    <w:rsid w:val="006E1729"/>
    <w:rsid w:val="006E18BF"/>
    <w:rsid w:val="006E1965"/>
    <w:rsid w:val="006E1C43"/>
    <w:rsid w:val="006E1C5C"/>
    <w:rsid w:val="006E1CDA"/>
    <w:rsid w:val="006E1D64"/>
    <w:rsid w:val="006E1E75"/>
    <w:rsid w:val="006E1ECD"/>
    <w:rsid w:val="006E22BF"/>
    <w:rsid w:val="006E236E"/>
    <w:rsid w:val="006E2395"/>
    <w:rsid w:val="006E23AA"/>
    <w:rsid w:val="006E24F4"/>
    <w:rsid w:val="006E25A7"/>
    <w:rsid w:val="006E26BA"/>
    <w:rsid w:val="006E27A1"/>
    <w:rsid w:val="006E27B4"/>
    <w:rsid w:val="006E28B9"/>
    <w:rsid w:val="006E2993"/>
    <w:rsid w:val="006E29D3"/>
    <w:rsid w:val="006E2B20"/>
    <w:rsid w:val="006E2E07"/>
    <w:rsid w:val="006E309B"/>
    <w:rsid w:val="006E30EB"/>
    <w:rsid w:val="006E311F"/>
    <w:rsid w:val="006E33ED"/>
    <w:rsid w:val="006E33F5"/>
    <w:rsid w:val="006E3498"/>
    <w:rsid w:val="006E36B7"/>
    <w:rsid w:val="006E3843"/>
    <w:rsid w:val="006E3B1A"/>
    <w:rsid w:val="006E3BB4"/>
    <w:rsid w:val="006E3CA4"/>
    <w:rsid w:val="006E3ECB"/>
    <w:rsid w:val="006E3ED4"/>
    <w:rsid w:val="006E3F08"/>
    <w:rsid w:val="006E3F91"/>
    <w:rsid w:val="006E3FEF"/>
    <w:rsid w:val="006E4190"/>
    <w:rsid w:val="006E4214"/>
    <w:rsid w:val="006E421B"/>
    <w:rsid w:val="006E4307"/>
    <w:rsid w:val="006E435A"/>
    <w:rsid w:val="006E4510"/>
    <w:rsid w:val="006E45B4"/>
    <w:rsid w:val="006E4755"/>
    <w:rsid w:val="006E489A"/>
    <w:rsid w:val="006E4A10"/>
    <w:rsid w:val="006E4A2F"/>
    <w:rsid w:val="006E4A62"/>
    <w:rsid w:val="006E4BF3"/>
    <w:rsid w:val="006E4BF5"/>
    <w:rsid w:val="006E4C63"/>
    <w:rsid w:val="006E4D34"/>
    <w:rsid w:val="006E4DCE"/>
    <w:rsid w:val="006E4E50"/>
    <w:rsid w:val="006E508D"/>
    <w:rsid w:val="006E5212"/>
    <w:rsid w:val="006E537A"/>
    <w:rsid w:val="006E53C0"/>
    <w:rsid w:val="006E5477"/>
    <w:rsid w:val="006E5608"/>
    <w:rsid w:val="006E568E"/>
    <w:rsid w:val="006E56D8"/>
    <w:rsid w:val="006E577D"/>
    <w:rsid w:val="006E57CA"/>
    <w:rsid w:val="006E5801"/>
    <w:rsid w:val="006E5854"/>
    <w:rsid w:val="006E585E"/>
    <w:rsid w:val="006E593F"/>
    <w:rsid w:val="006E598B"/>
    <w:rsid w:val="006E59E7"/>
    <w:rsid w:val="006E5BBF"/>
    <w:rsid w:val="006E5D99"/>
    <w:rsid w:val="006E5DDA"/>
    <w:rsid w:val="006E5E28"/>
    <w:rsid w:val="006E5EA7"/>
    <w:rsid w:val="006E618C"/>
    <w:rsid w:val="006E6358"/>
    <w:rsid w:val="006E6382"/>
    <w:rsid w:val="006E63EF"/>
    <w:rsid w:val="006E6500"/>
    <w:rsid w:val="006E656A"/>
    <w:rsid w:val="006E6574"/>
    <w:rsid w:val="006E684E"/>
    <w:rsid w:val="006E6AED"/>
    <w:rsid w:val="006E6BDA"/>
    <w:rsid w:val="006E6C9B"/>
    <w:rsid w:val="006E6CE2"/>
    <w:rsid w:val="006E6E50"/>
    <w:rsid w:val="006E6F2C"/>
    <w:rsid w:val="006E6F2D"/>
    <w:rsid w:val="006E7196"/>
    <w:rsid w:val="006E7263"/>
    <w:rsid w:val="006E7704"/>
    <w:rsid w:val="006E773C"/>
    <w:rsid w:val="006E7782"/>
    <w:rsid w:val="006E7797"/>
    <w:rsid w:val="006E7974"/>
    <w:rsid w:val="006E79CE"/>
    <w:rsid w:val="006E7AE8"/>
    <w:rsid w:val="006E7B8F"/>
    <w:rsid w:val="006E7C68"/>
    <w:rsid w:val="006E7CF6"/>
    <w:rsid w:val="006E7DE1"/>
    <w:rsid w:val="006E7E32"/>
    <w:rsid w:val="006E7F1B"/>
    <w:rsid w:val="006E7FD3"/>
    <w:rsid w:val="006F0013"/>
    <w:rsid w:val="006F00FB"/>
    <w:rsid w:val="006F0182"/>
    <w:rsid w:val="006F02ED"/>
    <w:rsid w:val="006F0441"/>
    <w:rsid w:val="006F0466"/>
    <w:rsid w:val="006F0495"/>
    <w:rsid w:val="006F04E3"/>
    <w:rsid w:val="006F05EB"/>
    <w:rsid w:val="006F0683"/>
    <w:rsid w:val="006F08E2"/>
    <w:rsid w:val="006F0910"/>
    <w:rsid w:val="006F0B57"/>
    <w:rsid w:val="006F0B6D"/>
    <w:rsid w:val="006F0B96"/>
    <w:rsid w:val="006F0CFB"/>
    <w:rsid w:val="006F0D58"/>
    <w:rsid w:val="006F0DB6"/>
    <w:rsid w:val="006F1011"/>
    <w:rsid w:val="006F1174"/>
    <w:rsid w:val="006F132E"/>
    <w:rsid w:val="006F13D0"/>
    <w:rsid w:val="006F1412"/>
    <w:rsid w:val="006F1445"/>
    <w:rsid w:val="006F1474"/>
    <w:rsid w:val="006F14AC"/>
    <w:rsid w:val="006F1512"/>
    <w:rsid w:val="006F1604"/>
    <w:rsid w:val="006F17A6"/>
    <w:rsid w:val="006F1875"/>
    <w:rsid w:val="006F1933"/>
    <w:rsid w:val="006F1A43"/>
    <w:rsid w:val="006F1B16"/>
    <w:rsid w:val="006F1B30"/>
    <w:rsid w:val="006F1C39"/>
    <w:rsid w:val="006F1D89"/>
    <w:rsid w:val="006F1D91"/>
    <w:rsid w:val="006F1E91"/>
    <w:rsid w:val="006F1F52"/>
    <w:rsid w:val="006F1FD5"/>
    <w:rsid w:val="006F1FFB"/>
    <w:rsid w:val="006F203D"/>
    <w:rsid w:val="006F21D0"/>
    <w:rsid w:val="006F22C2"/>
    <w:rsid w:val="006F22D7"/>
    <w:rsid w:val="006F2366"/>
    <w:rsid w:val="006F23FA"/>
    <w:rsid w:val="006F24E2"/>
    <w:rsid w:val="006F261C"/>
    <w:rsid w:val="006F26F4"/>
    <w:rsid w:val="006F282E"/>
    <w:rsid w:val="006F288E"/>
    <w:rsid w:val="006F28B3"/>
    <w:rsid w:val="006F28B6"/>
    <w:rsid w:val="006F28EC"/>
    <w:rsid w:val="006F2C5C"/>
    <w:rsid w:val="006F2CE9"/>
    <w:rsid w:val="006F2D08"/>
    <w:rsid w:val="006F2E28"/>
    <w:rsid w:val="006F2EAC"/>
    <w:rsid w:val="006F2EF9"/>
    <w:rsid w:val="006F2FB2"/>
    <w:rsid w:val="006F30B3"/>
    <w:rsid w:val="006F31BA"/>
    <w:rsid w:val="006F32CB"/>
    <w:rsid w:val="006F34AD"/>
    <w:rsid w:val="006F34FB"/>
    <w:rsid w:val="006F3690"/>
    <w:rsid w:val="006F36D0"/>
    <w:rsid w:val="006F3B94"/>
    <w:rsid w:val="006F3E63"/>
    <w:rsid w:val="006F3EEC"/>
    <w:rsid w:val="006F3FE6"/>
    <w:rsid w:val="006F40FB"/>
    <w:rsid w:val="006F4174"/>
    <w:rsid w:val="006F41B6"/>
    <w:rsid w:val="006F43E8"/>
    <w:rsid w:val="006F44EA"/>
    <w:rsid w:val="006F44FC"/>
    <w:rsid w:val="006F4584"/>
    <w:rsid w:val="006F45F6"/>
    <w:rsid w:val="006F4676"/>
    <w:rsid w:val="006F4785"/>
    <w:rsid w:val="006F4912"/>
    <w:rsid w:val="006F4990"/>
    <w:rsid w:val="006F4992"/>
    <w:rsid w:val="006F4A87"/>
    <w:rsid w:val="006F4C10"/>
    <w:rsid w:val="006F4C4F"/>
    <w:rsid w:val="006F4CAB"/>
    <w:rsid w:val="006F4CDF"/>
    <w:rsid w:val="006F4E57"/>
    <w:rsid w:val="006F4F56"/>
    <w:rsid w:val="006F4F76"/>
    <w:rsid w:val="006F5055"/>
    <w:rsid w:val="006F50EA"/>
    <w:rsid w:val="006F523F"/>
    <w:rsid w:val="006F56AC"/>
    <w:rsid w:val="006F57B5"/>
    <w:rsid w:val="006F57DB"/>
    <w:rsid w:val="006F586D"/>
    <w:rsid w:val="006F5967"/>
    <w:rsid w:val="006F5B91"/>
    <w:rsid w:val="006F5BC1"/>
    <w:rsid w:val="006F5D3B"/>
    <w:rsid w:val="006F5E65"/>
    <w:rsid w:val="006F5E7E"/>
    <w:rsid w:val="006F5EEE"/>
    <w:rsid w:val="006F5F02"/>
    <w:rsid w:val="006F60BC"/>
    <w:rsid w:val="006F60D1"/>
    <w:rsid w:val="006F61C6"/>
    <w:rsid w:val="006F6265"/>
    <w:rsid w:val="006F6286"/>
    <w:rsid w:val="006F63DC"/>
    <w:rsid w:val="006F64A4"/>
    <w:rsid w:val="006F662E"/>
    <w:rsid w:val="006F6676"/>
    <w:rsid w:val="006F6778"/>
    <w:rsid w:val="006F67DE"/>
    <w:rsid w:val="006F6853"/>
    <w:rsid w:val="006F68CE"/>
    <w:rsid w:val="006F6A45"/>
    <w:rsid w:val="006F6B70"/>
    <w:rsid w:val="006F6BEE"/>
    <w:rsid w:val="006F6E39"/>
    <w:rsid w:val="006F6F03"/>
    <w:rsid w:val="006F6F1E"/>
    <w:rsid w:val="006F6F65"/>
    <w:rsid w:val="006F701C"/>
    <w:rsid w:val="006F7099"/>
    <w:rsid w:val="006F7190"/>
    <w:rsid w:val="006F71C9"/>
    <w:rsid w:val="006F7227"/>
    <w:rsid w:val="006F7386"/>
    <w:rsid w:val="006F74C8"/>
    <w:rsid w:val="006F7636"/>
    <w:rsid w:val="006F776F"/>
    <w:rsid w:val="006F779A"/>
    <w:rsid w:val="006F77B2"/>
    <w:rsid w:val="006F7A53"/>
    <w:rsid w:val="006F7BEC"/>
    <w:rsid w:val="006F7D19"/>
    <w:rsid w:val="006F7D79"/>
    <w:rsid w:val="006F7F03"/>
    <w:rsid w:val="006F7FCC"/>
    <w:rsid w:val="006FA2CF"/>
    <w:rsid w:val="00700059"/>
    <w:rsid w:val="00700134"/>
    <w:rsid w:val="0070027D"/>
    <w:rsid w:val="007002B4"/>
    <w:rsid w:val="0070041D"/>
    <w:rsid w:val="0070062B"/>
    <w:rsid w:val="0070065F"/>
    <w:rsid w:val="00700761"/>
    <w:rsid w:val="007007D1"/>
    <w:rsid w:val="007007FB"/>
    <w:rsid w:val="00700828"/>
    <w:rsid w:val="00700833"/>
    <w:rsid w:val="007008E2"/>
    <w:rsid w:val="007008E9"/>
    <w:rsid w:val="00700956"/>
    <w:rsid w:val="00700A16"/>
    <w:rsid w:val="00700E0D"/>
    <w:rsid w:val="00700E7B"/>
    <w:rsid w:val="00700F4B"/>
    <w:rsid w:val="00700F75"/>
    <w:rsid w:val="00701112"/>
    <w:rsid w:val="00701121"/>
    <w:rsid w:val="00701129"/>
    <w:rsid w:val="007012B5"/>
    <w:rsid w:val="007012C8"/>
    <w:rsid w:val="007013B8"/>
    <w:rsid w:val="00701522"/>
    <w:rsid w:val="007016DC"/>
    <w:rsid w:val="0070185D"/>
    <w:rsid w:val="0070187A"/>
    <w:rsid w:val="0070192F"/>
    <w:rsid w:val="00701996"/>
    <w:rsid w:val="00701B87"/>
    <w:rsid w:val="00701DF0"/>
    <w:rsid w:val="00701F03"/>
    <w:rsid w:val="00701F3F"/>
    <w:rsid w:val="00702004"/>
    <w:rsid w:val="00702073"/>
    <w:rsid w:val="007021B7"/>
    <w:rsid w:val="007024B1"/>
    <w:rsid w:val="007025ED"/>
    <w:rsid w:val="00702633"/>
    <w:rsid w:val="007026C4"/>
    <w:rsid w:val="007026E5"/>
    <w:rsid w:val="00702995"/>
    <w:rsid w:val="00702A5B"/>
    <w:rsid w:val="00702B65"/>
    <w:rsid w:val="00702BB0"/>
    <w:rsid w:val="00702C5E"/>
    <w:rsid w:val="00702D33"/>
    <w:rsid w:val="00702D7E"/>
    <w:rsid w:val="00702D88"/>
    <w:rsid w:val="00702ED3"/>
    <w:rsid w:val="00702FFD"/>
    <w:rsid w:val="0070304A"/>
    <w:rsid w:val="007030CD"/>
    <w:rsid w:val="007032E4"/>
    <w:rsid w:val="00703326"/>
    <w:rsid w:val="0070335D"/>
    <w:rsid w:val="00703387"/>
    <w:rsid w:val="0070357C"/>
    <w:rsid w:val="007035F6"/>
    <w:rsid w:val="007036AA"/>
    <w:rsid w:val="007036F6"/>
    <w:rsid w:val="0070373E"/>
    <w:rsid w:val="00703765"/>
    <w:rsid w:val="0070381B"/>
    <w:rsid w:val="0070389B"/>
    <w:rsid w:val="007038D3"/>
    <w:rsid w:val="007038F4"/>
    <w:rsid w:val="0070399E"/>
    <w:rsid w:val="007039B2"/>
    <w:rsid w:val="00703A17"/>
    <w:rsid w:val="00703A8F"/>
    <w:rsid w:val="00703B8E"/>
    <w:rsid w:val="00703BDA"/>
    <w:rsid w:val="00703C2C"/>
    <w:rsid w:val="00703C58"/>
    <w:rsid w:val="00703CE1"/>
    <w:rsid w:val="00703CFF"/>
    <w:rsid w:val="00703D8E"/>
    <w:rsid w:val="00703F7C"/>
    <w:rsid w:val="00703FD3"/>
    <w:rsid w:val="00704266"/>
    <w:rsid w:val="00704479"/>
    <w:rsid w:val="00704493"/>
    <w:rsid w:val="007045A6"/>
    <w:rsid w:val="007045A9"/>
    <w:rsid w:val="00704607"/>
    <w:rsid w:val="007046F9"/>
    <w:rsid w:val="007048BC"/>
    <w:rsid w:val="007048EE"/>
    <w:rsid w:val="0070495C"/>
    <w:rsid w:val="007049A7"/>
    <w:rsid w:val="007049BC"/>
    <w:rsid w:val="00704A00"/>
    <w:rsid w:val="00704ADA"/>
    <w:rsid w:val="00704B3C"/>
    <w:rsid w:val="00704CE5"/>
    <w:rsid w:val="00704E24"/>
    <w:rsid w:val="00704E42"/>
    <w:rsid w:val="00704EF3"/>
    <w:rsid w:val="00705073"/>
    <w:rsid w:val="007050E4"/>
    <w:rsid w:val="00705142"/>
    <w:rsid w:val="007052EB"/>
    <w:rsid w:val="007053B1"/>
    <w:rsid w:val="0070554E"/>
    <w:rsid w:val="007055A4"/>
    <w:rsid w:val="0070570A"/>
    <w:rsid w:val="007057ED"/>
    <w:rsid w:val="007058DD"/>
    <w:rsid w:val="0070592B"/>
    <w:rsid w:val="00705A35"/>
    <w:rsid w:val="00705A61"/>
    <w:rsid w:val="00705A72"/>
    <w:rsid w:val="00705AE9"/>
    <w:rsid w:val="00705CA9"/>
    <w:rsid w:val="00705CF0"/>
    <w:rsid w:val="00705E24"/>
    <w:rsid w:val="00705E7A"/>
    <w:rsid w:val="00705F00"/>
    <w:rsid w:val="00705F88"/>
    <w:rsid w:val="00706099"/>
    <w:rsid w:val="007060B0"/>
    <w:rsid w:val="0070633C"/>
    <w:rsid w:val="007064C3"/>
    <w:rsid w:val="007066F4"/>
    <w:rsid w:val="00706781"/>
    <w:rsid w:val="00706851"/>
    <w:rsid w:val="00706889"/>
    <w:rsid w:val="00706898"/>
    <w:rsid w:val="007068D8"/>
    <w:rsid w:val="0070693F"/>
    <w:rsid w:val="00706BE3"/>
    <w:rsid w:val="00706D22"/>
    <w:rsid w:val="00706FC2"/>
    <w:rsid w:val="00706FD0"/>
    <w:rsid w:val="0070702E"/>
    <w:rsid w:val="007070FF"/>
    <w:rsid w:val="0070710F"/>
    <w:rsid w:val="00707118"/>
    <w:rsid w:val="00707173"/>
    <w:rsid w:val="00707187"/>
    <w:rsid w:val="0070726C"/>
    <w:rsid w:val="0070730F"/>
    <w:rsid w:val="00707436"/>
    <w:rsid w:val="00707470"/>
    <w:rsid w:val="007074B3"/>
    <w:rsid w:val="0070754E"/>
    <w:rsid w:val="00707674"/>
    <w:rsid w:val="00707706"/>
    <w:rsid w:val="0070787D"/>
    <w:rsid w:val="007078FA"/>
    <w:rsid w:val="00707AB9"/>
    <w:rsid w:val="00707BA2"/>
    <w:rsid w:val="00707BE6"/>
    <w:rsid w:val="00707C01"/>
    <w:rsid w:val="00707DAF"/>
    <w:rsid w:val="00707E1C"/>
    <w:rsid w:val="00707ED9"/>
    <w:rsid w:val="00707F68"/>
    <w:rsid w:val="00707FC0"/>
    <w:rsid w:val="0071004A"/>
    <w:rsid w:val="007104C8"/>
    <w:rsid w:val="007104FA"/>
    <w:rsid w:val="00710569"/>
    <w:rsid w:val="00710705"/>
    <w:rsid w:val="007108DF"/>
    <w:rsid w:val="00710DF8"/>
    <w:rsid w:val="00711014"/>
    <w:rsid w:val="007110CF"/>
    <w:rsid w:val="007110D2"/>
    <w:rsid w:val="007111ED"/>
    <w:rsid w:val="007111F0"/>
    <w:rsid w:val="00711392"/>
    <w:rsid w:val="0071139C"/>
    <w:rsid w:val="007113A9"/>
    <w:rsid w:val="007114ED"/>
    <w:rsid w:val="007115B7"/>
    <w:rsid w:val="00711690"/>
    <w:rsid w:val="007116E7"/>
    <w:rsid w:val="00711895"/>
    <w:rsid w:val="007118B7"/>
    <w:rsid w:val="00711BAA"/>
    <w:rsid w:val="00711BD9"/>
    <w:rsid w:val="00711C07"/>
    <w:rsid w:val="00711C1B"/>
    <w:rsid w:val="00711CB9"/>
    <w:rsid w:val="00711CE3"/>
    <w:rsid w:val="00711D39"/>
    <w:rsid w:val="00711D73"/>
    <w:rsid w:val="00711E18"/>
    <w:rsid w:val="00711EE7"/>
    <w:rsid w:val="00711EE8"/>
    <w:rsid w:val="00711EF2"/>
    <w:rsid w:val="00712033"/>
    <w:rsid w:val="0071210B"/>
    <w:rsid w:val="007121D4"/>
    <w:rsid w:val="00712203"/>
    <w:rsid w:val="00712337"/>
    <w:rsid w:val="007123C5"/>
    <w:rsid w:val="007123D5"/>
    <w:rsid w:val="007124DC"/>
    <w:rsid w:val="007127AB"/>
    <w:rsid w:val="007128B1"/>
    <w:rsid w:val="0071291D"/>
    <w:rsid w:val="007129BC"/>
    <w:rsid w:val="00712A21"/>
    <w:rsid w:val="00712A5B"/>
    <w:rsid w:val="00712AA0"/>
    <w:rsid w:val="00712B62"/>
    <w:rsid w:val="00712B6D"/>
    <w:rsid w:val="00712C7C"/>
    <w:rsid w:val="00712EB4"/>
    <w:rsid w:val="00712F69"/>
    <w:rsid w:val="00712F8F"/>
    <w:rsid w:val="00712FAB"/>
    <w:rsid w:val="00713062"/>
    <w:rsid w:val="007130BF"/>
    <w:rsid w:val="0071312F"/>
    <w:rsid w:val="0071346E"/>
    <w:rsid w:val="00713644"/>
    <w:rsid w:val="007138A8"/>
    <w:rsid w:val="00713A28"/>
    <w:rsid w:val="00713BFD"/>
    <w:rsid w:val="00713E84"/>
    <w:rsid w:val="00713ED9"/>
    <w:rsid w:val="00713F27"/>
    <w:rsid w:val="00714005"/>
    <w:rsid w:val="00714051"/>
    <w:rsid w:val="00714065"/>
    <w:rsid w:val="00714328"/>
    <w:rsid w:val="007144EB"/>
    <w:rsid w:val="0071455D"/>
    <w:rsid w:val="007146EF"/>
    <w:rsid w:val="0071482D"/>
    <w:rsid w:val="007148C8"/>
    <w:rsid w:val="007149C8"/>
    <w:rsid w:val="00714A47"/>
    <w:rsid w:val="00714A9F"/>
    <w:rsid w:val="00714CF2"/>
    <w:rsid w:val="00714D1F"/>
    <w:rsid w:val="00714DC7"/>
    <w:rsid w:val="00714E14"/>
    <w:rsid w:val="00714EE7"/>
    <w:rsid w:val="0071547F"/>
    <w:rsid w:val="00715552"/>
    <w:rsid w:val="0071569A"/>
    <w:rsid w:val="007156B9"/>
    <w:rsid w:val="0071591E"/>
    <w:rsid w:val="007159BD"/>
    <w:rsid w:val="00715A98"/>
    <w:rsid w:val="00715AB3"/>
    <w:rsid w:val="00715D1D"/>
    <w:rsid w:val="00715D3A"/>
    <w:rsid w:val="00715E53"/>
    <w:rsid w:val="00715E80"/>
    <w:rsid w:val="00715FC9"/>
    <w:rsid w:val="007160B3"/>
    <w:rsid w:val="007160E4"/>
    <w:rsid w:val="0071621C"/>
    <w:rsid w:val="007163FD"/>
    <w:rsid w:val="0071645F"/>
    <w:rsid w:val="0071659B"/>
    <w:rsid w:val="00716872"/>
    <w:rsid w:val="0071688D"/>
    <w:rsid w:val="00716BE1"/>
    <w:rsid w:val="00716C55"/>
    <w:rsid w:val="00717020"/>
    <w:rsid w:val="00717027"/>
    <w:rsid w:val="00717040"/>
    <w:rsid w:val="0071708B"/>
    <w:rsid w:val="00717135"/>
    <w:rsid w:val="007171C6"/>
    <w:rsid w:val="007171E6"/>
    <w:rsid w:val="00717379"/>
    <w:rsid w:val="00717446"/>
    <w:rsid w:val="007174BE"/>
    <w:rsid w:val="007174E1"/>
    <w:rsid w:val="00717567"/>
    <w:rsid w:val="0071759D"/>
    <w:rsid w:val="007175FF"/>
    <w:rsid w:val="0071767E"/>
    <w:rsid w:val="0071770B"/>
    <w:rsid w:val="007177FC"/>
    <w:rsid w:val="007179EB"/>
    <w:rsid w:val="00717AE4"/>
    <w:rsid w:val="00717B8A"/>
    <w:rsid w:val="00717C96"/>
    <w:rsid w:val="00717EC4"/>
    <w:rsid w:val="00717F68"/>
    <w:rsid w:val="00720374"/>
    <w:rsid w:val="00720393"/>
    <w:rsid w:val="007203D6"/>
    <w:rsid w:val="007203DD"/>
    <w:rsid w:val="00720466"/>
    <w:rsid w:val="00720467"/>
    <w:rsid w:val="007204A4"/>
    <w:rsid w:val="007205CC"/>
    <w:rsid w:val="007206F9"/>
    <w:rsid w:val="0072076D"/>
    <w:rsid w:val="007207DB"/>
    <w:rsid w:val="00720817"/>
    <w:rsid w:val="0072092D"/>
    <w:rsid w:val="007209DC"/>
    <w:rsid w:val="00720AFC"/>
    <w:rsid w:val="00720B50"/>
    <w:rsid w:val="00720B80"/>
    <w:rsid w:val="00720BCC"/>
    <w:rsid w:val="00720CDF"/>
    <w:rsid w:val="00720DE7"/>
    <w:rsid w:val="00720E42"/>
    <w:rsid w:val="00720F91"/>
    <w:rsid w:val="00720FC8"/>
    <w:rsid w:val="00720FFE"/>
    <w:rsid w:val="007210CC"/>
    <w:rsid w:val="007210F9"/>
    <w:rsid w:val="00721223"/>
    <w:rsid w:val="00721234"/>
    <w:rsid w:val="007213A2"/>
    <w:rsid w:val="007218B0"/>
    <w:rsid w:val="00721919"/>
    <w:rsid w:val="00721CF2"/>
    <w:rsid w:val="00721D27"/>
    <w:rsid w:val="00721E44"/>
    <w:rsid w:val="00721E7E"/>
    <w:rsid w:val="00721FFE"/>
    <w:rsid w:val="007220A0"/>
    <w:rsid w:val="0072217D"/>
    <w:rsid w:val="0072220A"/>
    <w:rsid w:val="00722295"/>
    <w:rsid w:val="00722311"/>
    <w:rsid w:val="007223A3"/>
    <w:rsid w:val="007223E2"/>
    <w:rsid w:val="00722509"/>
    <w:rsid w:val="00722567"/>
    <w:rsid w:val="007225F5"/>
    <w:rsid w:val="007225FA"/>
    <w:rsid w:val="007226D4"/>
    <w:rsid w:val="007226E3"/>
    <w:rsid w:val="00722850"/>
    <w:rsid w:val="007228C9"/>
    <w:rsid w:val="00722979"/>
    <w:rsid w:val="00722986"/>
    <w:rsid w:val="0072299B"/>
    <w:rsid w:val="007229EA"/>
    <w:rsid w:val="00722BBF"/>
    <w:rsid w:val="00722D4F"/>
    <w:rsid w:val="00722D86"/>
    <w:rsid w:val="00722F12"/>
    <w:rsid w:val="00722FAF"/>
    <w:rsid w:val="00723031"/>
    <w:rsid w:val="00723080"/>
    <w:rsid w:val="007230D8"/>
    <w:rsid w:val="0072348D"/>
    <w:rsid w:val="0072348F"/>
    <w:rsid w:val="0072355A"/>
    <w:rsid w:val="0072384B"/>
    <w:rsid w:val="007238D6"/>
    <w:rsid w:val="00723AC8"/>
    <w:rsid w:val="00723CD5"/>
    <w:rsid w:val="00723D8F"/>
    <w:rsid w:val="00723E52"/>
    <w:rsid w:val="00723F32"/>
    <w:rsid w:val="00723F8B"/>
    <w:rsid w:val="00723FD7"/>
    <w:rsid w:val="00724053"/>
    <w:rsid w:val="0072407B"/>
    <w:rsid w:val="007240BB"/>
    <w:rsid w:val="007242AA"/>
    <w:rsid w:val="0072443F"/>
    <w:rsid w:val="00724452"/>
    <w:rsid w:val="00724628"/>
    <w:rsid w:val="007246D5"/>
    <w:rsid w:val="007246E7"/>
    <w:rsid w:val="00724991"/>
    <w:rsid w:val="007249BC"/>
    <w:rsid w:val="00724AFE"/>
    <w:rsid w:val="00724BF4"/>
    <w:rsid w:val="00724D2F"/>
    <w:rsid w:val="00724DC9"/>
    <w:rsid w:val="00724E37"/>
    <w:rsid w:val="00724F56"/>
    <w:rsid w:val="00724FA4"/>
    <w:rsid w:val="00724FF9"/>
    <w:rsid w:val="007250CA"/>
    <w:rsid w:val="00725161"/>
    <w:rsid w:val="0072518E"/>
    <w:rsid w:val="0072530C"/>
    <w:rsid w:val="00725349"/>
    <w:rsid w:val="00725422"/>
    <w:rsid w:val="0072545F"/>
    <w:rsid w:val="00725601"/>
    <w:rsid w:val="0072592A"/>
    <w:rsid w:val="0072592B"/>
    <w:rsid w:val="0072596A"/>
    <w:rsid w:val="007259BB"/>
    <w:rsid w:val="007259CA"/>
    <w:rsid w:val="00725A61"/>
    <w:rsid w:val="00725C0D"/>
    <w:rsid w:val="00725C90"/>
    <w:rsid w:val="00725EDA"/>
    <w:rsid w:val="00725F67"/>
    <w:rsid w:val="00725FFD"/>
    <w:rsid w:val="007260DD"/>
    <w:rsid w:val="00726246"/>
    <w:rsid w:val="007264D3"/>
    <w:rsid w:val="00726501"/>
    <w:rsid w:val="0072650D"/>
    <w:rsid w:val="007266CE"/>
    <w:rsid w:val="00726704"/>
    <w:rsid w:val="0072684E"/>
    <w:rsid w:val="00726930"/>
    <w:rsid w:val="00726A5D"/>
    <w:rsid w:val="00726A98"/>
    <w:rsid w:val="00726C8C"/>
    <w:rsid w:val="00726D57"/>
    <w:rsid w:val="00726DEF"/>
    <w:rsid w:val="00726E48"/>
    <w:rsid w:val="00726F27"/>
    <w:rsid w:val="00726FCD"/>
    <w:rsid w:val="0072706F"/>
    <w:rsid w:val="0072725C"/>
    <w:rsid w:val="00727266"/>
    <w:rsid w:val="007272B2"/>
    <w:rsid w:val="00727530"/>
    <w:rsid w:val="00727578"/>
    <w:rsid w:val="00727660"/>
    <w:rsid w:val="0072793D"/>
    <w:rsid w:val="0072793E"/>
    <w:rsid w:val="00727AE0"/>
    <w:rsid w:val="00727B28"/>
    <w:rsid w:val="00727C6A"/>
    <w:rsid w:val="00727CEA"/>
    <w:rsid w:val="00727DA0"/>
    <w:rsid w:val="00727F04"/>
    <w:rsid w:val="00727F23"/>
    <w:rsid w:val="00727F7C"/>
    <w:rsid w:val="0072BA3C"/>
    <w:rsid w:val="0072E13F"/>
    <w:rsid w:val="00730044"/>
    <w:rsid w:val="00730242"/>
    <w:rsid w:val="007302B7"/>
    <w:rsid w:val="00730365"/>
    <w:rsid w:val="00730464"/>
    <w:rsid w:val="007305A8"/>
    <w:rsid w:val="00730716"/>
    <w:rsid w:val="00730763"/>
    <w:rsid w:val="00730846"/>
    <w:rsid w:val="00730873"/>
    <w:rsid w:val="00730980"/>
    <w:rsid w:val="00730A65"/>
    <w:rsid w:val="00730A6A"/>
    <w:rsid w:val="00730D78"/>
    <w:rsid w:val="00730E31"/>
    <w:rsid w:val="00731009"/>
    <w:rsid w:val="00731067"/>
    <w:rsid w:val="0073113A"/>
    <w:rsid w:val="00731206"/>
    <w:rsid w:val="0073130A"/>
    <w:rsid w:val="0073137F"/>
    <w:rsid w:val="007315BF"/>
    <w:rsid w:val="0073167D"/>
    <w:rsid w:val="00731792"/>
    <w:rsid w:val="00731A46"/>
    <w:rsid w:val="00731B3F"/>
    <w:rsid w:val="00731B55"/>
    <w:rsid w:val="00731CBA"/>
    <w:rsid w:val="00731DE5"/>
    <w:rsid w:val="00731F58"/>
    <w:rsid w:val="0073202F"/>
    <w:rsid w:val="00732251"/>
    <w:rsid w:val="0073226A"/>
    <w:rsid w:val="00732318"/>
    <w:rsid w:val="007323E2"/>
    <w:rsid w:val="007325EE"/>
    <w:rsid w:val="00732722"/>
    <w:rsid w:val="0073275C"/>
    <w:rsid w:val="00732790"/>
    <w:rsid w:val="007328DB"/>
    <w:rsid w:val="00732A6F"/>
    <w:rsid w:val="00732B14"/>
    <w:rsid w:val="00732B45"/>
    <w:rsid w:val="00732B88"/>
    <w:rsid w:val="00732D18"/>
    <w:rsid w:val="00732DAF"/>
    <w:rsid w:val="00733347"/>
    <w:rsid w:val="0073342D"/>
    <w:rsid w:val="007334B3"/>
    <w:rsid w:val="0073352C"/>
    <w:rsid w:val="0073353F"/>
    <w:rsid w:val="00733609"/>
    <w:rsid w:val="0073381B"/>
    <w:rsid w:val="007338A9"/>
    <w:rsid w:val="00733937"/>
    <w:rsid w:val="00733940"/>
    <w:rsid w:val="00733949"/>
    <w:rsid w:val="007339DA"/>
    <w:rsid w:val="00733A0D"/>
    <w:rsid w:val="00733BA2"/>
    <w:rsid w:val="00733C02"/>
    <w:rsid w:val="00733D7D"/>
    <w:rsid w:val="00734072"/>
    <w:rsid w:val="007340A5"/>
    <w:rsid w:val="00734337"/>
    <w:rsid w:val="0073447F"/>
    <w:rsid w:val="0073451F"/>
    <w:rsid w:val="007345D4"/>
    <w:rsid w:val="00734775"/>
    <w:rsid w:val="0073486B"/>
    <w:rsid w:val="00734C66"/>
    <w:rsid w:val="00734CC0"/>
    <w:rsid w:val="00734ED4"/>
    <w:rsid w:val="00734F22"/>
    <w:rsid w:val="00734FA3"/>
    <w:rsid w:val="007350DE"/>
    <w:rsid w:val="00735166"/>
    <w:rsid w:val="0073521D"/>
    <w:rsid w:val="00735299"/>
    <w:rsid w:val="007352F0"/>
    <w:rsid w:val="0073540F"/>
    <w:rsid w:val="007354B9"/>
    <w:rsid w:val="007354C5"/>
    <w:rsid w:val="0073550C"/>
    <w:rsid w:val="00735557"/>
    <w:rsid w:val="00735643"/>
    <w:rsid w:val="00735791"/>
    <w:rsid w:val="00735797"/>
    <w:rsid w:val="007357CE"/>
    <w:rsid w:val="007358A9"/>
    <w:rsid w:val="007358BC"/>
    <w:rsid w:val="0073594F"/>
    <w:rsid w:val="007359DE"/>
    <w:rsid w:val="00735A91"/>
    <w:rsid w:val="00735B8E"/>
    <w:rsid w:val="00735EF8"/>
    <w:rsid w:val="00735F7A"/>
    <w:rsid w:val="00735F9E"/>
    <w:rsid w:val="0073609F"/>
    <w:rsid w:val="00736122"/>
    <w:rsid w:val="00736155"/>
    <w:rsid w:val="00736191"/>
    <w:rsid w:val="00736219"/>
    <w:rsid w:val="00736226"/>
    <w:rsid w:val="00736228"/>
    <w:rsid w:val="007362F4"/>
    <w:rsid w:val="007363CD"/>
    <w:rsid w:val="00736585"/>
    <w:rsid w:val="0073668C"/>
    <w:rsid w:val="007366BB"/>
    <w:rsid w:val="0073672D"/>
    <w:rsid w:val="00736871"/>
    <w:rsid w:val="00736931"/>
    <w:rsid w:val="00736B1D"/>
    <w:rsid w:val="00736BE8"/>
    <w:rsid w:val="00736DC6"/>
    <w:rsid w:val="00736E17"/>
    <w:rsid w:val="00736E76"/>
    <w:rsid w:val="00736FDA"/>
    <w:rsid w:val="0073703E"/>
    <w:rsid w:val="007370F8"/>
    <w:rsid w:val="007371E6"/>
    <w:rsid w:val="007371FA"/>
    <w:rsid w:val="007372F7"/>
    <w:rsid w:val="0073730A"/>
    <w:rsid w:val="007374A9"/>
    <w:rsid w:val="00737550"/>
    <w:rsid w:val="0073756B"/>
    <w:rsid w:val="007376ED"/>
    <w:rsid w:val="0073781C"/>
    <w:rsid w:val="007379F3"/>
    <w:rsid w:val="00737DD1"/>
    <w:rsid w:val="00737EA1"/>
    <w:rsid w:val="0074002A"/>
    <w:rsid w:val="007400A4"/>
    <w:rsid w:val="007400B6"/>
    <w:rsid w:val="007400FC"/>
    <w:rsid w:val="007402AC"/>
    <w:rsid w:val="0074042C"/>
    <w:rsid w:val="007404B9"/>
    <w:rsid w:val="007405EC"/>
    <w:rsid w:val="007406A7"/>
    <w:rsid w:val="007407D2"/>
    <w:rsid w:val="00740966"/>
    <w:rsid w:val="00740978"/>
    <w:rsid w:val="00740A09"/>
    <w:rsid w:val="00740A2A"/>
    <w:rsid w:val="00740AF5"/>
    <w:rsid w:val="00740B48"/>
    <w:rsid w:val="00740B66"/>
    <w:rsid w:val="00740CAC"/>
    <w:rsid w:val="00740E27"/>
    <w:rsid w:val="00740E8F"/>
    <w:rsid w:val="00740EA2"/>
    <w:rsid w:val="007410DB"/>
    <w:rsid w:val="00741114"/>
    <w:rsid w:val="00741217"/>
    <w:rsid w:val="0074126C"/>
    <w:rsid w:val="00741472"/>
    <w:rsid w:val="0074165E"/>
    <w:rsid w:val="00741695"/>
    <w:rsid w:val="00741757"/>
    <w:rsid w:val="00741793"/>
    <w:rsid w:val="007417DB"/>
    <w:rsid w:val="00741A07"/>
    <w:rsid w:val="00741A9F"/>
    <w:rsid w:val="00741AF4"/>
    <w:rsid w:val="00741C11"/>
    <w:rsid w:val="00741D0C"/>
    <w:rsid w:val="00741D6C"/>
    <w:rsid w:val="00741D92"/>
    <w:rsid w:val="00741DF0"/>
    <w:rsid w:val="00741E68"/>
    <w:rsid w:val="00741EBD"/>
    <w:rsid w:val="00741FD2"/>
    <w:rsid w:val="00741FE1"/>
    <w:rsid w:val="0074201B"/>
    <w:rsid w:val="007420AA"/>
    <w:rsid w:val="00742298"/>
    <w:rsid w:val="007423D9"/>
    <w:rsid w:val="007424D2"/>
    <w:rsid w:val="0074260E"/>
    <w:rsid w:val="0074264B"/>
    <w:rsid w:val="00742844"/>
    <w:rsid w:val="0074285B"/>
    <w:rsid w:val="00742935"/>
    <w:rsid w:val="00742A83"/>
    <w:rsid w:val="00742B10"/>
    <w:rsid w:val="00742B24"/>
    <w:rsid w:val="00742BB9"/>
    <w:rsid w:val="00742C06"/>
    <w:rsid w:val="00742C79"/>
    <w:rsid w:val="00742E45"/>
    <w:rsid w:val="00742FC7"/>
    <w:rsid w:val="00742FF2"/>
    <w:rsid w:val="00743000"/>
    <w:rsid w:val="00743020"/>
    <w:rsid w:val="00743297"/>
    <w:rsid w:val="007432CF"/>
    <w:rsid w:val="00743353"/>
    <w:rsid w:val="00743514"/>
    <w:rsid w:val="00743668"/>
    <w:rsid w:val="007436E7"/>
    <w:rsid w:val="007437CD"/>
    <w:rsid w:val="00743A07"/>
    <w:rsid w:val="00743B51"/>
    <w:rsid w:val="00743C3B"/>
    <w:rsid w:val="00743C7B"/>
    <w:rsid w:val="00743D5E"/>
    <w:rsid w:val="00743DF0"/>
    <w:rsid w:val="00743E52"/>
    <w:rsid w:val="00743EDE"/>
    <w:rsid w:val="00743EEB"/>
    <w:rsid w:val="007440E6"/>
    <w:rsid w:val="00744105"/>
    <w:rsid w:val="007441B5"/>
    <w:rsid w:val="007441D6"/>
    <w:rsid w:val="007441FD"/>
    <w:rsid w:val="00744396"/>
    <w:rsid w:val="007447AF"/>
    <w:rsid w:val="007447B4"/>
    <w:rsid w:val="0074485F"/>
    <w:rsid w:val="007449E9"/>
    <w:rsid w:val="00744A94"/>
    <w:rsid w:val="00744B15"/>
    <w:rsid w:val="00744C4A"/>
    <w:rsid w:val="00744DAF"/>
    <w:rsid w:val="00744E9F"/>
    <w:rsid w:val="00745094"/>
    <w:rsid w:val="00745243"/>
    <w:rsid w:val="007452F6"/>
    <w:rsid w:val="00745405"/>
    <w:rsid w:val="007454D6"/>
    <w:rsid w:val="0074552B"/>
    <w:rsid w:val="0074557D"/>
    <w:rsid w:val="00745587"/>
    <w:rsid w:val="007455E8"/>
    <w:rsid w:val="00745733"/>
    <w:rsid w:val="007457AF"/>
    <w:rsid w:val="007457E6"/>
    <w:rsid w:val="00745859"/>
    <w:rsid w:val="00745A10"/>
    <w:rsid w:val="00745A63"/>
    <w:rsid w:val="00745AD8"/>
    <w:rsid w:val="00745B6B"/>
    <w:rsid w:val="00745BC1"/>
    <w:rsid w:val="00745EC6"/>
    <w:rsid w:val="00746056"/>
    <w:rsid w:val="007460CC"/>
    <w:rsid w:val="007460FD"/>
    <w:rsid w:val="00746220"/>
    <w:rsid w:val="00746293"/>
    <w:rsid w:val="00746310"/>
    <w:rsid w:val="0074635E"/>
    <w:rsid w:val="007463AA"/>
    <w:rsid w:val="00746535"/>
    <w:rsid w:val="00746538"/>
    <w:rsid w:val="007465DD"/>
    <w:rsid w:val="007465FD"/>
    <w:rsid w:val="0074667E"/>
    <w:rsid w:val="007466C8"/>
    <w:rsid w:val="007468CB"/>
    <w:rsid w:val="0074695C"/>
    <w:rsid w:val="0074696F"/>
    <w:rsid w:val="00746AE3"/>
    <w:rsid w:val="00746B43"/>
    <w:rsid w:val="00746BE3"/>
    <w:rsid w:val="00746C29"/>
    <w:rsid w:val="00746C93"/>
    <w:rsid w:val="0074712D"/>
    <w:rsid w:val="0074721E"/>
    <w:rsid w:val="007472D7"/>
    <w:rsid w:val="007473EC"/>
    <w:rsid w:val="007473EE"/>
    <w:rsid w:val="007474F5"/>
    <w:rsid w:val="00747568"/>
    <w:rsid w:val="0074767D"/>
    <w:rsid w:val="007476B4"/>
    <w:rsid w:val="007476E6"/>
    <w:rsid w:val="0074771F"/>
    <w:rsid w:val="00747816"/>
    <w:rsid w:val="0074783F"/>
    <w:rsid w:val="00747996"/>
    <w:rsid w:val="00747A2E"/>
    <w:rsid w:val="00747CC6"/>
    <w:rsid w:val="00747E50"/>
    <w:rsid w:val="00750039"/>
    <w:rsid w:val="00750438"/>
    <w:rsid w:val="00750502"/>
    <w:rsid w:val="007505C7"/>
    <w:rsid w:val="007505E9"/>
    <w:rsid w:val="0075065B"/>
    <w:rsid w:val="00750728"/>
    <w:rsid w:val="00750816"/>
    <w:rsid w:val="00750822"/>
    <w:rsid w:val="00750828"/>
    <w:rsid w:val="007509B6"/>
    <w:rsid w:val="00750C11"/>
    <w:rsid w:val="00750C63"/>
    <w:rsid w:val="00750DA1"/>
    <w:rsid w:val="00750F15"/>
    <w:rsid w:val="00750F79"/>
    <w:rsid w:val="0075101B"/>
    <w:rsid w:val="007511DC"/>
    <w:rsid w:val="00751262"/>
    <w:rsid w:val="00751393"/>
    <w:rsid w:val="007513B1"/>
    <w:rsid w:val="0075151D"/>
    <w:rsid w:val="007515DB"/>
    <w:rsid w:val="00751619"/>
    <w:rsid w:val="0075185B"/>
    <w:rsid w:val="00751A3F"/>
    <w:rsid w:val="00751A69"/>
    <w:rsid w:val="00751BA6"/>
    <w:rsid w:val="00751C80"/>
    <w:rsid w:val="00751E43"/>
    <w:rsid w:val="0075209F"/>
    <w:rsid w:val="007520F2"/>
    <w:rsid w:val="00752185"/>
    <w:rsid w:val="007521AF"/>
    <w:rsid w:val="007521F6"/>
    <w:rsid w:val="007523E9"/>
    <w:rsid w:val="007524AF"/>
    <w:rsid w:val="007525F9"/>
    <w:rsid w:val="0075264A"/>
    <w:rsid w:val="0075271B"/>
    <w:rsid w:val="00752787"/>
    <w:rsid w:val="007527E1"/>
    <w:rsid w:val="00752870"/>
    <w:rsid w:val="00752975"/>
    <w:rsid w:val="00752A97"/>
    <w:rsid w:val="00752C8A"/>
    <w:rsid w:val="00752D21"/>
    <w:rsid w:val="00752D96"/>
    <w:rsid w:val="00752E06"/>
    <w:rsid w:val="00753107"/>
    <w:rsid w:val="007531D2"/>
    <w:rsid w:val="00753243"/>
    <w:rsid w:val="00753539"/>
    <w:rsid w:val="0075370D"/>
    <w:rsid w:val="00753722"/>
    <w:rsid w:val="00753853"/>
    <w:rsid w:val="007538F3"/>
    <w:rsid w:val="00753A2E"/>
    <w:rsid w:val="00753A4D"/>
    <w:rsid w:val="00753A6B"/>
    <w:rsid w:val="00753AB3"/>
    <w:rsid w:val="00753CD6"/>
    <w:rsid w:val="00753D28"/>
    <w:rsid w:val="00753D69"/>
    <w:rsid w:val="007540E4"/>
    <w:rsid w:val="00754265"/>
    <w:rsid w:val="007542B5"/>
    <w:rsid w:val="007543AD"/>
    <w:rsid w:val="0075443F"/>
    <w:rsid w:val="007545C5"/>
    <w:rsid w:val="00754636"/>
    <w:rsid w:val="0075471B"/>
    <w:rsid w:val="00754783"/>
    <w:rsid w:val="00754A03"/>
    <w:rsid w:val="00754AED"/>
    <w:rsid w:val="00754C4E"/>
    <w:rsid w:val="00754D61"/>
    <w:rsid w:val="00754DF1"/>
    <w:rsid w:val="00754EA5"/>
    <w:rsid w:val="00754F30"/>
    <w:rsid w:val="00754F79"/>
    <w:rsid w:val="0075500F"/>
    <w:rsid w:val="0075509D"/>
    <w:rsid w:val="00755121"/>
    <w:rsid w:val="0075547E"/>
    <w:rsid w:val="00755482"/>
    <w:rsid w:val="007555C5"/>
    <w:rsid w:val="00755604"/>
    <w:rsid w:val="00755729"/>
    <w:rsid w:val="00755787"/>
    <w:rsid w:val="007557D4"/>
    <w:rsid w:val="007559FD"/>
    <w:rsid w:val="00755B5A"/>
    <w:rsid w:val="00755B62"/>
    <w:rsid w:val="00755BD9"/>
    <w:rsid w:val="00755C5D"/>
    <w:rsid w:val="00755CE5"/>
    <w:rsid w:val="00755E55"/>
    <w:rsid w:val="00755F7E"/>
    <w:rsid w:val="00755F9D"/>
    <w:rsid w:val="00756035"/>
    <w:rsid w:val="00756040"/>
    <w:rsid w:val="00756299"/>
    <w:rsid w:val="00756319"/>
    <w:rsid w:val="00756469"/>
    <w:rsid w:val="007564E6"/>
    <w:rsid w:val="00756549"/>
    <w:rsid w:val="0075658B"/>
    <w:rsid w:val="0075674A"/>
    <w:rsid w:val="00756792"/>
    <w:rsid w:val="00756875"/>
    <w:rsid w:val="00756939"/>
    <w:rsid w:val="00756A45"/>
    <w:rsid w:val="00756A89"/>
    <w:rsid w:val="00756C32"/>
    <w:rsid w:val="00756C93"/>
    <w:rsid w:val="00756E39"/>
    <w:rsid w:val="00756E8D"/>
    <w:rsid w:val="00756ED5"/>
    <w:rsid w:val="00756EDA"/>
    <w:rsid w:val="00756F97"/>
    <w:rsid w:val="00756FEF"/>
    <w:rsid w:val="007571C3"/>
    <w:rsid w:val="007571DF"/>
    <w:rsid w:val="00757218"/>
    <w:rsid w:val="0075729A"/>
    <w:rsid w:val="0075734A"/>
    <w:rsid w:val="00757423"/>
    <w:rsid w:val="00757453"/>
    <w:rsid w:val="007574DE"/>
    <w:rsid w:val="00757511"/>
    <w:rsid w:val="007576AE"/>
    <w:rsid w:val="0075770F"/>
    <w:rsid w:val="0075776D"/>
    <w:rsid w:val="00757950"/>
    <w:rsid w:val="00757AAD"/>
    <w:rsid w:val="00757BC4"/>
    <w:rsid w:val="00757D8B"/>
    <w:rsid w:val="00757ECB"/>
    <w:rsid w:val="00757EF6"/>
    <w:rsid w:val="00757F75"/>
    <w:rsid w:val="00760141"/>
    <w:rsid w:val="007601DB"/>
    <w:rsid w:val="00760211"/>
    <w:rsid w:val="007602BB"/>
    <w:rsid w:val="007603CA"/>
    <w:rsid w:val="00760504"/>
    <w:rsid w:val="00760583"/>
    <w:rsid w:val="0076063E"/>
    <w:rsid w:val="007606C4"/>
    <w:rsid w:val="007606F6"/>
    <w:rsid w:val="0076081C"/>
    <w:rsid w:val="00760A2E"/>
    <w:rsid w:val="00760A35"/>
    <w:rsid w:val="00760A7C"/>
    <w:rsid w:val="00760C4F"/>
    <w:rsid w:val="00760C5D"/>
    <w:rsid w:val="00760DDA"/>
    <w:rsid w:val="00760E6E"/>
    <w:rsid w:val="00760E8A"/>
    <w:rsid w:val="0076104F"/>
    <w:rsid w:val="007613E0"/>
    <w:rsid w:val="007614A1"/>
    <w:rsid w:val="00761574"/>
    <w:rsid w:val="0076170E"/>
    <w:rsid w:val="00761747"/>
    <w:rsid w:val="007617B4"/>
    <w:rsid w:val="0076184A"/>
    <w:rsid w:val="00761A29"/>
    <w:rsid w:val="00761AF3"/>
    <w:rsid w:val="00761B38"/>
    <w:rsid w:val="00761B54"/>
    <w:rsid w:val="00761CC3"/>
    <w:rsid w:val="00761D10"/>
    <w:rsid w:val="00761D9F"/>
    <w:rsid w:val="00762276"/>
    <w:rsid w:val="00762384"/>
    <w:rsid w:val="00762458"/>
    <w:rsid w:val="007624F5"/>
    <w:rsid w:val="00762578"/>
    <w:rsid w:val="007625A9"/>
    <w:rsid w:val="0076261F"/>
    <w:rsid w:val="0076272C"/>
    <w:rsid w:val="0076279A"/>
    <w:rsid w:val="0076280D"/>
    <w:rsid w:val="0076296F"/>
    <w:rsid w:val="00762979"/>
    <w:rsid w:val="00762998"/>
    <w:rsid w:val="00762A1F"/>
    <w:rsid w:val="00762A79"/>
    <w:rsid w:val="00762AF5"/>
    <w:rsid w:val="00762B4F"/>
    <w:rsid w:val="00762C55"/>
    <w:rsid w:val="00762D1E"/>
    <w:rsid w:val="00762DA7"/>
    <w:rsid w:val="00762FE5"/>
    <w:rsid w:val="007633BF"/>
    <w:rsid w:val="00763419"/>
    <w:rsid w:val="0076389F"/>
    <w:rsid w:val="007638F8"/>
    <w:rsid w:val="0076393F"/>
    <w:rsid w:val="00763956"/>
    <w:rsid w:val="00763D29"/>
    <w:rsid w:val="00763D65"/>
    <w:rsid w:val="00763E05"/>
    <w:rsid w:val="00763E1B"/>
    <w:rsid w:val="00763F50"/>
    <w:rsid w:val="00764128"/>
    <w:rsid w:val="007642BB"/>
    <w:rsid w:val="007642FE"/>
    <w:rsid w:val="00764344"/>
    <w:rsid w:val="00764508"/>
    <w:rsid w:val="0076457A"/>
    <w:rsid w:val="0076457E"/>
    <w:rsid w:val="007645B4"/>
    <w:rsid w:val="0076472B"/>
    <w:rsid w:val="007648DD"/>
    <w:rsid w:val="0076492B"/>
    <w:rsid w:val="00764943"/>
    <w:rsid w:val="00764948"/>
    <w:rsid w:val="00764A65"/>
    <w:rsid w:val="00764B96"/>
    <w:rsid w:val="00764BE5"/>
    <w:rsid w:val="00764BE9"/>
    <w:rsid w:val="00764C3C"/>
    <w:rsid w:val="00764D72"/>
    <w:rsid w:val="0076519D"/>
    <w:rsid w:val="007652EC"/>
    <w:rsid w:val="007652F9"/>
    <w:rsid w:val="007654C7"/>
    <w:rsid w:val="00765543"/>
    <w:rsid w:val="00765640"/>
    <w:rsid w:val="0076567A"/>
    <w:rsid w:val="007656A9"/>
    <w:rsid w:val="00765702"/>
    <w:rsid w:val="007657C1"/>
    <w:rsid w:val="00765A85"/>
    <w:rsid w:val="00765AA9"/>
    <w:rsid w:val="00765B06"/>
    <w:rsid w:val="00765B40"/>
    <w:rsid w:val="00765B9D"/>
    <w:rsid w:val="00765D0A"/>
    <w:rsid w:val="00765E08"/>
    <w:rsid w:val="00765ED6"/>
    <w:rsid w:val="00765F18"/>
    <w:rsid w:val="00765F75"/>
    <w:rsid w:val="00765F85"/>
    <w:rsid w:val="00765FBC"/>
    <w:rsid w:val="0076602A"/>
    <w:rsid w:val="0076614F"/>
    <w:rsid w:val="00766308"/>
    <w:rsid w:val="00766353"/>
    <w:rsid w:val="007665DC"/>
    <w:rsid w:val="0076664D"/>
    <w:rsid w:val="00766694"/>
    <w:rsid w:val="007666C8"/>
    <w:rsid w:val="00766706"/>
    <w:rsid w:val="00766868"/>
    <w:rsid w:val="007668D0"/>
    <w:rsid w:val="00766983"/>
    <w:rsid w:val="007669D8"/>
    <w:rsid w:val="00766A14"/>
    <w:rsid w:val="00766C36"/>
    <w:rsid w:val="00766D43"/>
    <w:rsid w:val="00766D78"/>
    <w:rsid w:val="00766F5F"/>
    <w:rsid w:val="007670EC"/>
    <w:rsid w:val="007670F5"/>
    <w:rsid w:val="0076714D"/>
    <w:rsid w:val="00767302"/>
    <w:rsid w:val="00767517"/>
    <w:rsid w:val="007675D8"/>
    <w:rsid w:val="00767639"/>
    <w:rsid w:val="007676E3"/>
    <w:rsid w:val="00767AAD"/>
    <w:rsid w:val="00767B61"/>
    <w:rsid w:val="00767C05"/>
    <w:rsid w:val="00767D4B"/>
    <w:rsid w:val="00767DF3"/>
    <w:rsid w:val="00767EA5"/>
    <w:rsid w:val="00767FDC"/>
    <w:rsid w:val="00770027"/>
    <w:rsid w:val="00770231"/>
    <w:rsid w:val="00770334"/>
    <w:rsid w:val="0077039E"/>
    <w:rsid w:val="0077048B"/>
    <w:rsid w:val="007705AE"/>
    <w:rsid w:val="007705DC"/>
    <w:rsid w:val="00770637"/>
    <w:rsid w:val="00770722"/>
    <w:rsid w:val="00770763"/>
    <w:rsid w:val="00770771"/>
    <w:rsid w:val="0077079B"/>
    <w:rsid w:val="0077083D"/>
    <w:rsid w:val="007708C2"/>
    <w:rsid w:val="0077093E"/>
    <w:rsid w:val="00770980"/>
    <w:rsid w:val="00770BB1"/>
    <w:rsid w:val="00770BF5"/>
    <w:rsid w:val="00770E35"/>
    <w:rsid w:val="00770EF6"/>
    <w:rsid w:val="00770F9F"/>
    <w:rsid w:val="0077100B"/>
    <w:rsid w:val="00771267"/>
    <w:rsid w:val="0077133F"/>
    <w:rsid w:val="00771406"/>
    <w:rsid w:val="007714C9"/>
    <w:rsid w:val="00771510"/>
    <w:rsid w:val="00771634"/>
    <w:rsid w:val="007716DF"/>
    <w:rsid w:val="00771798"/>
    <w:rsid w:val="007717F8"/>
    <w:rsid w:val="0077180F"/>
    <w:rsid w:val="00771A03"/>
    <w:rsid w:val="00771B70"/>
    <w:rsid w:val="00771BAD"/>
    <w:rsid w:val="00771BAE"/>
    <w:rsid w:val="00771D60"/>
    <w:rsid w:val="00771E56"/>
    <w:rsid w:val="00771F1D"/>
    <w:rsid w:val="00771F4D"/>
    <w:rsid w:val="00771FEA"/>
    <w:rsid w:val="007720FD"/>
    <w:rsid w:val="00772133"/>
    <w:rsid w:val="00772237"/>
    <w:rsid w:val="0077244F"/>
    <w:rsid w:val="007724B4"/>
    <w:rsid w:val="00772600"/>
    <w:rsid w:val="007726AC"/>
    <w:rsid w:val="007726DA"/>
    <w:rsid w:val="007727B6"/>
    <w:rsid w:val="007727F1"/>
    <w:rsid w:val="00772BA7"/>
    <w:rsid w:val="00772C00"/>
    <w:rsid w:val="00772C2B"/>
    <w:rsid w:val="00772D80"/>
    <w:rsid w:val="00772D99"/>
    <w:rsid w:val="00772FAE"/>
    <w:rsid w:val="00773003"/>
    <w:rsid w:val="0077315A"/>
    <w:rsid w:val="00773178"/>
    <w:rsid w:val="007731EC"/>
    <w:rsid w:val="00773282"/>
    <w:rsid w:val="00773286"/>
    <w:rsid w:val="0077335C"/>
    <w:rsid w:val="007735A7"/>
    <w:rsid w:val="00773672"/>
    <w:rsid w:val="007738EC"/>
    <w:rsid w:val="007739E8"/>
    <w:rsid w:val="00773B19"/>
    <w:rsid w:val="00773B3F"/>
    <w:rsid w:val="00773C5C"/>
    <w:rsid w:val="00773E85"/>
    <w:rsid w:val="00773F84"/>
    <w:rsid w:val="00773FAD"/>
    <w:rsid w:val="00774090"/>
    <w:rsid w:val="0077431B"/>
    <w:rsid w:val="00774361"/>
    <w:rsid w:val="0077443F"/>
    <w:rsid w:val="0077460A"/>
    <w:rsid w:val="0077468A"/>
    <w:rsid w:val="0077489E"/>
    <w:rsid w:val="00774AF3"/>
    <w:rsid w:val="00774B31"/>
    <w:rsid w:val="00774B3B"/>
    <w:rsid w:val="00774C40"/>
    <w:rsid w:val="00774C4A"/>
    <w:rsid w:val="00774CD8"/>
    <w:rsid w:val="00774D50"/>
    <w:rsid w:val="00774D96"/>
    <w:rsid w:val="00774D9E"/>
    <w:rsid w:val="00774E8C"/>
    <w:rsid w:val="00774FCC"/>
    <w:rsid w:val="0077516E"/>
    <w:rsid w:val="007752DA"/>
    <w:rsid w:val="007752DB"/>
    <w:rsid w:val="007752FC"/>
    <w:rsid w:val="0077530E"/>
    <w:rsid w:val="00775323"/>
    <w:rsid w:val="00775552"/>
    <w:rsid w:val="007756F2"/>
    <w:rsid w:val="00775878"/>
    <w:rsid w:val="007759F5"/>
    <w:rsid w:val="00775A8B"/>
    <w:rsid w:val="00775A9C"/>
    <w:rsid w:val="00775B24"/>
    <w:rsid w:val="00775D71"/>
    <w:rsid w:val="00775D94"/>
    <w:rsid w:val="0077600F"/>
    <w:rsid w:val="00776096"/>
    <w:rsid w:val="007764B4"/>
    <w:rsid w:val="00776578"/>
    <w:rsid w:val="007765B6"/>
    <w:rsid w:val="00776667"/>
    <w:rsid w:val="007767EB"/>
    <w:rsid w:val="007768AB"/>
    <w:rsid w:val="00776ADD"/>
    <w:rsid w:val="00776C05"/>
    <w:rsid w:val="00776D94"/>
    <w:rsid w:val="0077721B"/>
    <w:rsid w:val="0077738F"/>
    <w:rsid w:val="007773F5"/>
    <w:rsid w:val="0077749D"/>
    <w:rsid w:val="0077755F"/>
    <w:rsid w:val="00777750"/>
    <w:rsid w:val="007777BC"/>
    <w:rsid w:val="007778C7"/>
    <w:rsid w:val="007779E9"/>
    <w:rsid w:val="00777B87"/>
    <w:rsid w:val="00777C73"/>
    <w:rsid w:val="00777CFD"/>
    <w:rsid w:val="00777D18"/>
    <w:rsid w:val="00777D77"/>
    <w:rsid w:val="00777DBA"/>
    <w:rsid w:val="00777DF1"/>
    <w:rsid w:val="00777F0B"/>
    <w:rsid w:val="00777FC8"/>
    <w:rsid w:val="0078014E"/>
    <w:rsid w:val="0078064A"/>
    <w:rsid w:val="007807DA"/>
    <w:rsid w:val="007807F3"/>
    <w:rsid w:val="00780848"/>
    <w:rsid w:val="00780A49"/>
    <w:rsid w:val="00780A75"/>
    <w:rsid w:val="00780AF2"/>
    <w:rsid w:val="00780B76"/>
    <w:rsid w:val="00780BAD"/>
    <w:rsid w:val="00780C16"/>
    <w:rsid w:val="00780E5B"/>
    <w:rsid w:val="00780EBF"/>
    <w:rsid w:val="00780EF9"/>
    <w:rsid w:val="0078108B"/>
    <w:rsid w:val="007810C0"/>
    <w:rsid w:val="00781149"/>
    <w:rsid w:val="007811B7"/>
    <w:rsid w:val="00781274"/>
    <w:rsid w:val="007812CC"/>
    <w:rsid w:val="007812D4"/>
    <w:rsid w:val="00781382"/>
    <w:rsid w:val="00781460"/>
    <w:rsid w:val="007814FB"/>
    <w:rsid w:val="007815C4"/>
    <w:rsid w:val="007816ED"/>
    <w:rsid w:val="007817CC"/>
    <w:rsid w:val="007817EA"/>
    <w:rsid w:val="00781836"/>
    <w:rsid w:val="00781863"/>
    <w:rsid w:val="007819B7"/>
    <w:rsid w:val="00781A03"/>
    <w:rsid w:val="00781BA5"/>
    <w:rsid w:val="00781C39"/>
    <w:rsid w:val="00781C6D"/>
    <w:rsid w:val="00781C90"/>
    <w:rsid w:val="00781D25"/>
    <w:rsid w:val="00781D4C"/>
    <w:rsid w:val="00781FC1"/>
    <w:rsid w:val="007822FF"/>
    <w:rsid w:val="00782343"/>
    <w:rsid w:val="007823A9"/>
    <w:rsid w:val="007823E7"/>
    <w:rsid w:val="007823FA"/>
    <w:rsid w:val="007824AD"/>
    <w:rsid w:val="0078254C"/>
    <w:rsid w:val="0078293B"/>
    <w:rsid w:val="0078299B"/>
    <w:rsid w:val="007829C0"/>
    <w:rsid w:val="00782B5F"/>
    <w:rsid w:val="00782FB4"/>
    <w:rsid w:val="0078358C"/>
    <w:rsid w:val="00783664"/>
    <w:rsid w:val="0078375A"/>
    <w:rsid w:val="007837DC"/>
    <w:rsid w:val="0078396E"/>
    <w:rsid w:val="0078399F"/>
    <w:rsid w:val="00783BA3"/>
    <w:rsid w:val="00783C05"/>
    <w:rsid w:val="00783C13"/>
    <w:rsid w:val="00783E70"/>
    <w:rsid w:val="00783EA3"/>
    <w:rsid w:val="00783EB9"/>
    <w:rsid w:val="00783FD4"/>
    <w:rsid w:val="00784043"/>
    <w:rsid w:val="007840E0"/>
    <w:rsid w:val="007841FF"/>
    <w:rsid w:val="00784231"/>
    <w:rsid w:val="007842B2"/>
    <w:rsid w:val="007842F0"/>
    <w:rsid w:val="00784308"/>
    <w:rsid w:val="00784465"/>
    <w:rsid w:val="0078459A"/>
    <w:rsid w:val="0078466E"/>
    <w:rsid w:val="007846D1"/>
    <w:rsid w:val="00784851"/>
    <w:rsid w:val="0078492A"/>
    <w:rsid w:val="007849AE"/>
    <w:rsid w:val="00784AD8"/>
    <w:rsid w:val="00784C1D"/>
    <w:rsid w:val="00784C35"/>
    <w:rsid w:val="00784F33"/>
    <w:rsid w:val="00784F54"/>
    <w:rsid w:val="00785031"/>
    <w:rsid w:val="0078509D"/>
    <w:rsid w:val="00785426"/>
    <w:rsid w:val="007854D6"/>
    <w:rsid w:val="007855A8"/>
    <w:rsid w:val="007855F6"/>
    <w:rsid w:val="00785714"/>
    <w:rsid w:val="007857CF"/>
    <w:rsid w:val="00785839"/>
    <w:rsid w:val="00785860"/>
    <w:rsid w:val="00785A8A"/>
    <w:rsid w:val="00785B06"/>
    <w:rsid w:val="00785CC9"/>
    <w:rsid w:val="00785E8B"/>
    <w:rsid w:val="0078601D"/>
    <w:rsid w:val="007861BA"/>
    <w:rsid w:val="0078624F"/>
    <w:rsid w:val="007862C4"/>
    <w:rsid w:val="00786308"/>
    <w:rsid w:val="0078639A"/>
    <w:rsid w:val="0078647D"/>
    <w:rsid w:val="007864DA"/>
    <w:rsid w:val="0078668E"/>
    <w:rsid w:val="007866CF"/>
    <w:rsid w:val="00786762"/>
    <w:rsid w:val="007867B3"/>
    <w:rsid w:val="0078693D"/>
    <w:rsid w:val="00786A4B"/>
    <w:rsid w:val="00786B95"/>
    <w:rsid w:val="00786D5C"/>
    <w:rsid w:val="00786F34"/>
    <w:rsid w:val="00786F41"/>
    <w:rsid w:val="007870EA"/>
    <w:rsid w:val="007870F8"/>
    <w:rsid w:val="00787108"/>
    <w:rsid w:val="0078717B"/>
    <w:rsid w:val="007871F4"/>
    <w:rsid w:val="00787267"/>
    <w:rsid w:val="0078727B"/>
    <w:rsid w:val="00787417"/>
    <w:rsid w:val="007874BD"/>
    <w:rsid w:val="007874D0"/>
    <w:rsid w:val="007874DB"/>
    <w:rsid w:val="007877A3"/>
    <w:rsid w:val="007878DD"/>
    <w:rsid w:val="007878EB"/>
    <w:rsid w:val="00787962"/>
    <w:rsid w:val="0078797B"/>
    <w:rsid w:val="00787ABB"/>
    <w:rsid w:val="00787C58"/>
    <w:rsid w:val="00787E45"/>
    <w:rsid w:val="00787E75"/>
    <w:rsid w:val="00787EB2"/>
    <w:rsid w:val="00787EC8"/>
    <w:rsid w:val="0079000E"/>
    <w:rsid w:val="0079004A"/>
    <w:rsid w:val="0079006F"/>
    <w:rsid w:val="007902B7"/>
    <w:rsid w:val="00790378"/>
    <w:rsid w:val="00790397"/>
    <w:rsid w:val="007903A9"/>
    <w:rsid w:val="0079052C"/>
    <w:rsid w:val="0079080B"/>
    <w:rsid w:val="007909E7"/>
    <w:rsid w:val="00790B30"/>
    <w:rsid w:val="00790DA8"/>
    <w:rsid w:val="00790DD9"/>
    <w:rsid w:val="00790DDA"/>
    <w:rsid w:val="00790E4C"/>
    <w:rsid w:val="00790E65"/>
    <w:rsid w:val="00791141"/>
    <w:rsid w:val="00791389"/>
    <w:rsid w:val="00791433"/>
    <w:rsid w:val="007915C1"/>
    <w:rsid w:val="007915EC"/>
    <w:rsid w:val="0079172D"/>
    <w:rsid w:val="0079176E"/>
    <w:rsid w:val="007917C9"/>
    <w:rsid w:val="007917E1"/>
    <w:rsid w:val="007919D5"/>
    <w:rsid w:val="00791ACC"/>
    <w:rsid w:val="00791AF3"/>
    <w:rsid w:val="00791B7B"/>
    <w:rsid w:val="00791C27"/>
    <w:rsid w:val="00791D83"/>
    <w:rsid w:val="00791F58"/>
    <w:rsid w:val="00792008"/>
    <w:rsid w:val="00792078"/>
    <w:rsid w:val="00792159"/>
    <w:rsid w:val="00792267"/>
    <w:rsid w:val="0079238E"/>
    <w:rsid w:val="00792488"/>
    <w:rsid w:val="00792537"/>
    <w:rsid w:val="0079288B"/>
    <w:rsid w:val="0079288C"/>
    <w:rsid w:val="00792963"/>
    <w:rsid w:val="0079297A"/>
    <w:rsid w:val="0079299D"/>
    <w:rsid w:val="007929CE"/>
    <w:rsid w:val="00792A8B"/>
    <w:rsid w:val="00792B88"/>
    <w:rsid w:val="00792C41"/>
    <w:rsid w:val="00792C4C"/>
    <w:rsid w:val="00792C61"/>
    <w:rsid w:val="00792C68"/>
    <w:rsid w:val="00792CD9"/>
    <w:rsid w:val="00792D8F"/>
    <w:rsid w:val="00792E07"/>
    <w:rsid w:val="00792F63"/>
    <w:rsid w:val="00792F6E"/>
    <w:rsid w:val="00792F73"/>
    <w:rsid w:val="00793369"/>
    <w:rsid w:val="0079359D"/>
    <w:rsid w:val="007935D7"/>
    <w:rsid w:val="00793612"/>
    <w:rsid w:val="0079365D"/>
    <w:rsid w:val="0079391F"/>
    <w:rsid w:val="00793964"/>
    <w:rsid w:val="00793A74"/>
    <w:rsid w:val="00793BEA"/>
    <w:rsid w:val="00793C1D"/>
    <w:rsid w:val="00793C73"/>
    <w:rsid w:val="00793CA3"/>
    <w:rsid w:val="00793E80"/>
    <w:rsid w:val="00794291"/>
    <w:rsid w:val="00794300"/>
    <w:rsid w:val="007943AF"/>
    <w:rsid w:val="007943FE"/>
    <w:rsid w:val="00794433"/>
    <w:rsid w:val="00794582"/>
    <w:rsid w:val="0079466C"/>
    <w:rsid w:val="00794689"/>
    <w:rsid w:val="00794690"/>
    <w:rsid w:val="00794C43"/>
    <w:rsid w:val="00794D02"/>
    <w:rsid w:val="00794F2F"/>
    <w:rsid w:val="00794F56"/>
    <w:rsid w:val="00795036"/>
    <w:rsid w:val="00795065"/>
    <w:rsid w:val="00795197"/>
    <w:rsid w:val="00795255"/>
    <w:rsid w:val="0079530D"/>
    <w:rsid w:val="0079552C"/>
    <w:rsid w:val="00795777"/>
    <w:rsid w:val="00795814"/>
    <w:rsid w:val="00795850"/>
    <w:rsid w:val="00795CB7"/>
    <w:rsid w:val="00795CEC"/>
    <w:rsid w:val="00795F78"/>
    <w:rsid w:val="00795F8F"/>
    <w:rsid w:val="007960C5"/>
    <w:rsid w:val="007962F7"/>
    <w:rsid w:val="00796449"/>
    <w:rsid w:val="00796569"/>
    <w:rsid w:val="0079669E"/>
    <w:rsid w:val="0079681C"/>
    <w:rsid w:val="007968D0"/>
    <w:rsid w:val="0079692B"/>
    <w:rsid w:val="007969CF"/>
    <w:rsid w:val="00796A14"/>
    <w:rsid w:val="00796BC9"/>
    <w:rsid w:val="00796C1A"/>
    <w:rsid w:val="00796CA6"/>
    <w:rsid w:val="00796E46"/>
    <w:rsid w:val="00797069"/>
    <w:rsid w:val="00797080"/>
    <w:rsid w:val="00797239"/>
    <w:rsid w:val="00797272"/>
    <w:rsid w:val="0079728A"/>
    <w:rsid w:val="00797379"/>
    <w:rsid w:val="00797548"/>
    <w:rsid w:val="0079754B"/>
    <w:rsid w:val="007975A4"/>
    <w:rsid w:val="00797686"/>
    <w:rsid w:val="00797939"/>
    <w:rsid w:val="00797949"/>
    <w:rsid w:val="00797AD6"/>
    <w:rsid w:val="00797BA7"/>
    <w:rsid w:val="00797D42"/>
    <w:rsid w:val="00797DBE"/>
    <w:rsid w:val="00797FCE"/>
    <w:rsid w:val="0079D9DA"/>
    <w:rsid w:val="007A004C"/>
    <w:rsid w:val="007A0126"/>
    <w:rsid w:val="007A01B6"/>
    <w:rsid w:val="007A034A"/>
    <w:rsid w:val="007A0400"/>
    <w:rsid w:val="007A042C"/>
    <w:rsid w:val="007A05F7"/>
    <w:rsid w:val="007A06DC"/>
    <w:rsid w:val="007A0755"/>
    <w:rsid w:val="007A07A5"/>
    <w:rsid w:val="007A07B7"/>
    <w:rsid w:val="007A085C"/>
    <w:rsid w:val="007A0A49"/>
    <w:rsid w:val="007A0A82"/>
    <w:rsid w:val="007A0A84"/>
    <w:rsid w:val="007A0AD1"/>
    <w:rsid w:val="007A0B5B"/>
    <w:rsid w:val="007A0C97"/>
    <w:rsid w:val="007A0CE4"/>
    <w:rsid w:val="007A0D09"/>
    <w:rsid w:val="007A0D44"/>
    <w:rsid w:val="007A0E19"/>
    <w:rsid w:val="007A107F"/>
    <w:rsid w:val="007A10A4"/>
    <w:rsid w:val="007A113B"/>
    <w:rsid w:val="007A11BA"/>
    <w:rsid w:val="007A1496"/>
    <w:rsid w:val="007A1675"/>
    <w:rsid w:val="007A1896"/>
    <w:rsid w:val="007A18FC"/>
    <w:rsid w:val="007A190A"/>
    <w:rsid w:val="007A1954"/>
    <w:rsid w:val="007A1A25"/>
    <w:rsid w:val="007A1AB4"/>
    <w:rsid w:val="007A1AE1"/>
    <w:rsid w:val="007A1B52"/>
    <w:rsid w:val="007A1C54"/>
    <w:rsid w:val="007A1CFC"/>
    <w:rsid w:val="007A1E72"/>
    <w:rsid w:val="007A1EB4"/>
    <w:rsid w:val="007A1FB0"/>
    <w:rsid w:val="007A1FFD"/>
    <w:rsid w:val="007A21B8"/>
    <w:rsid w:val="007A2278"/>
    <w:rsid w:val="007A22C3"/>
    <w:rsid w:val="007A2357"/>
    <w:rsid w:val="007A23C5"/>
    <w:rsid w:val="007A2558"/>
    <w:rsid w:val="007A2679"/>
    <w:rsid w:val="007A2770"/>
    <w:rsid w:val="007A287C"/>
    <w:rsid w:val="007A28FF"/>
    <w:rsid w:val="007A296A"/>
    <w:rsid w:val="007A2978"/>
    <w:rsid w:val="007A2A22"/>
    <w:rsid w:val="007A2ABD"/>
    <w:rsid w:val="007A2AFF"/>
    <w:rsid w:val="007A2B29"/>
    <w:rsid w:val="007A2CD2"/>
    <w:rsid w:val="007A2CF1"/>
    <w:rsid w:val="007A2E48"/>
    <w:rsid w:val="007A2ED2"/>
    <w:rsid w:val="007A2EFE"/>
    <w:rsid w:val="007A2F51"/>
    <w:rsid w:val="007A3080"/>
    <w:rsid w:val="007A3098"/>
    <w:rsid w:val="007A314E"/>
    <w:rsid w:val="007A3225"/>
    <w:rsid w:val="007A325E"/>
    <w:rsid w:val="007A326E"/>
    <w:rsid w:val="007A32C4"/>
    <w:rsid w:val="007A3322"/>
    <w:rsid w:val="007A3572"/>
    <w:rsid w:val="007A375B"/>
    <w:rsid w:val="007A386D"/>
    <w:rsid w:val="007A38DE"/>
    <w:rsid w:val="007A393D"/>
    <w:rsid w:val="007A3A1B"/>
    <w:rsid w:val="007A3A1F"/>
    <w:rsid w:val="007A3B5F"/>
    <w:rsid w:val="007A3C1C"/>
    <w:rsid w:val="007A3C79"/>
    <w:rsid w:val="007A3D71"/>
    <w:rsid w:val="007A3DD6"/>
    <w:rsid w:val="007A3E59"/>
    <w:rsid w:val="007A3E7B"/>
    <w:rsid w:val="007A3EAF"/>
    <w:rsid w:val="007A3F86"/>
    <w:rsid w:val="007A3FB7"/>
    <w:rsid w:val="007A3FE6"/>
    <w:rsid w:val="007A406D"/>
    <w:rsid w:val="007A411E"/>
    <w:rsid w:val="007A42D0"/>
    <w:rsid w:val="007A42F7"/>
    <w:rsid w:val="007A43DF"/>
    <w:rsid w:val="007A4470"/>
    <w:rsid w:val="007A44C3"/>
    <w:rsid w:val="007A4528"/>
    <w:rsid w:val="007A455A"/>
    <w:rsid w:val="007A4565"/>
    <w:rsid w:val="007A4582"/>
    <w:rsid w:val="007A45A7"/>
    <w:rsid w:val="007A46F6"/>
    <w:rsid w:val="007A46FB"/>
    <w:rsid w:val="007A4742"/>
    <w:rsid w:val="007A48B4"/>
    <w:rsid w:val="007A4A05"/>
    <w:rsid w:val="007A4A59"/>
    <w:rsid w:val="007A4A84"/>
    <w:rsid w:val="007A4A9E"/>
    <w:rsid w:val="007A4AE8"/>
    <w:rsid w:val="007A4C16"/>
    <w:rsid w:val="007A4D1C"/>
    <w:rsid w:val="007A4D2D"/>
    <w:rsid w:val="007A4E71"/>
    <w:rsid w:val="007A4E7C"/>
    <w:rsid w:val="007A4F8E"/>
    <w:rsid w:val="007A5001"/>
    <w:rsid w:val="007A5012"/>
    <w:rsid w:val="007A5063"/>
    <w:rsid w:val="007A5082"/>
    <w:rsid w:val="007A50F0"/>
    <w:rsid w:val="007A51C8"/>
    <w:rsid w:val="007A542E"/>
    <w:rsid w:val="007A5669"/>
    <w:rsid w:val="007A56CF"/>
    <w:rsid w:val="007A56E8"/>
    <w:rsid w:val="007A56F2"/>
    <w:rsid w:val="007A58BA"/>
    <w:rsid w:val="007A5912"/>
    <w:rsid w:val="007A594D"/>
    <w:rsid w:val="007A59CF"/>
    <w:rsid w:val="007A5A73"/>
    <w:rsid w:val="007A5AEE"/>
    <w:rsid w:val="007A5B36"/>
    <w:rsid w:val="007A5BB0"/>
    <w:rsid w:val="007A5D3B"/>
    <w:rsid w:val="007A5FBC"/>
    <w:rsid w:val="007A6023"/>
    <w:rsid w:val="007A61B8"/>
    <w:rsid w:val="007A61DA"/>
    <w:rsid w:val="007A61F3"/>
    <w:rsid w:val="007A61FB"/>
    <w:rsid w:val="007A6200"/>
    <w:rsid w:val="007A6263"/>
    <w:rsid w:val="007A628E"/>
    <w:rsid w:val="007A62B0"/>
    <w:rsid w:val="007A6433"/>
    <w:rsid w:val="007A64C6"/>
    <w:rsid w:val="007A6520"/>
    <w:rsid w:val="007A65D7"/>
    <w:rsid w:val="007A6693"/>
    <w:rsid w:val="007A6751"/>
    <w:rsid w:val="007A676D"/>
    <w:rsid w:val="007A679A"/>
    <w:rsid w:val="007A6835"/>
    <w:rsid w:val="007A6A2B"/>
    <w:rsid w:val="007A6BC0"/>
    <w:rsid w:val="007A6BD6"/>
    <w:rsid w:val="007A6BE4"/>
    <w:rsid w:val="007A6BED"/>
    <w:rsid w:val="007A6C73"/>
    <w:rsid w:val="007A6E35"/>
    <w:rsid w:val="007A6E69"/>
    <w:rsid w:val="007A6F1B"/>
    <w:rsid w:val="007A6F85"/>
    <w:rsid w:val="007A7147"/>
    <w:rsid w:val="007A72C1"/>
    <w:rsid w:val="007A7321"/>
    <w:rsid w:val="007A73BA"/>
    <w:rsid w:val="007A772E"/>
    <w:rsid w:val="007A7850"/>
    <w:rsid w:val="007A7916"/>
    <w:rsid w:val="007A7C04"/>
    <w:rsid w:val="007A7C7B"/>
    <w:rsid w:val="007A7CCA"/>
    <w:rsid w:val="007A7CCB"/>
    <w:rsid w:val="007A7D41"/>
    <w:rsid w:val="007A7DE7"/>
    <w:rsid w:val="007A7E07"/>
    <w:rsid w:val="007A7FA3"/>
    <w:rsid w:val="007A7FDC"/>
    <w:rsid w:val="007A7FF5"/>
    <w:rsid w:val="007B0057"/>
    <w:rsid w:val="007B018B"/>
    <w:rsid w:val="007B01AC"/>
    <w:rsid w:val="007B01C8"/>
    <w:rsid w:val="007B0290"/>
    <w:rsid w:val="007B0299"/>
    <w:rsid w:val="007B03F7"/>
    <w:rsid w:val="007B0494"/>
    <w:rsid w:val="007B04DA"/>
    <w:rsid w:val="007B0868"/>
    <w:rsid w:val="007B097B"/>
    <w:rsid w:val="007B0A79"/>
    <w:rsid w:val="007B0CAB"/>
    <w:rsid w:val="007B0CCE"/>
    <w:rsid w:val="007B0D0A"/>
    <w:rsid w:val="007B0D18"/>
    <w:rsid w:val="007B0EC9"/>
    <w:rsid w:val="007B1015"/>
    <w:rsid w:val="007B1078"/>
    <w:rsid w:val="007B116F"/>
    <w:rsid w:val="007B163B"/>
    <w:rsid w:val="007B16BD"/>
    <w:rsid w:val="007B178B"/>
    <w:rsid w:val="007B1797"/>
    <w:rsid w:val="007B17D8"/>
    <w:rsid w:val="007B199E"/>
    <w:rsid w:val="007B19A7"/>
    <w:rsid w:val="007B1AC6"/>
    <w:rsid w:val="007B1B50"/>
    <w:rsid w:val="007B1B5A"/>
    <w:rsid w:val="007B1C0E"/>
    <w:rsid w:val="007B1C5A"/>
    <w:rsid w:val="007B1FC8"/>
    <w:rsid w:val="007B2036"/>
    <w:rsid w:val="007B2095"/>
    <w:rsid w:val="007B20DE"/>
    <w:rsid w:val="007B20FF"/>
    <w:rsid w:val="007B216B"/>
    <w:rsid w:val="007B216C"/>
    <w:rsid w:val="007B21F9"/>
    <w:rsid w:val="007B228E"/>
    <w:rsid w:val="007B22D2"/>
    <w:rsid w:val="007B23B5"/>
    <w:rsid w:val="007B244F"/>
    <w:rsid w:val="007B258B"/>
    <w:rsid w:val="007B265E"/>
    <w:rsid w:val="007B2709"/>
    <w:rsid w:val="007B2735"/>
    <w:rsid w:val="007B2750"/>
    <w:rsid w:val="007B2842"/>
    <w:rsid w:val="007B291D"/>
    <w:rsid w:val="007B2AF2"/>
    <w:rsid w:val="007B2D5A"/>
    <w:rsid w:val="007B2DD5"/>
    <w:rsid w:val="007B2E93"/>
    <w:rsid w:val="007B2EE3"/>
    <w:rsid w:val="007B2FBA"/>
    <w:rsid w:val="007B320E"/>
    <w:rsid w:val="007B3232"/>
    <w:rsid w:val="007B3249"/>
    <w:rsid w:val="007B351D"/>
    <w:rsid w:val="007B3542"/>
    <w:rsid w:val="007B39AD"/>
    <w:rsid w:val="007B3ABC"/>
    <w:rsid w:val="007B3B15"/>
    <w:rsid w:val="007B3B2D"/>
    <w:rsid w:val="007B3C1D"/>
    <w:rsid w:val="007B3C9D"/>
    <w:rsid w:val="007B3D1C"/>
    <w:rsid w:val="007B3DE5"/>
    <w:rsid w:val="007B3E7D"/>
    <w:rsid w:val="007B3EA5"/>
    <w:rsid w:val="007B3EA6"/>
    <w:rsid w:val="007B400A"/>
    <w:rsid w:val="007B4437"/>
    <w:rsid w:val="007B473D"/>
    <w:rsid w:val="007B4A77"/>
    <w:rsid w:val="007B4AAC"/>
    <w:rsid w:val="007B4B52"/>
    <w:rsid w:val="007B4C00"/>
    <w:rsid w:val="007B4CEC"/>
    <w:rsid w:val="007B4F2F"/>
    <w:rsid w:val="007B4FB2"/>
    <w:rsid w:val="007B50A6"/>
    <w:rsid w:val="007B5156"/>
    <w:rsid w:val="007B51F7"/>
    <w:rsid w:val="007B5214"/>
    <w:rsid w:val="007B5242"/>
    <w:rsid w:val="007B5277"/>
    <w:rsid w:val="007B54BE"/>
    <w:rsid w:val="007B54F2"/>
    <w:rsid w:val="007B58DD"/>
    <w:rsid w:val="007B5935"/>
    <w:rsid w:val="007B5A69"/>
    <w:rsid w:val="007B5A81"/>
    <w:rsid w:val="007B5E04"/>
    <w:rsid w:val="007B5E5B"/>
    <w:rsid w:val="007B5E91"/>
    <w:rsid w:val="007B5E98"/>
    <w:rsid w:val="007B6061"/>
    <w:rsid w:val="007B60F4"/>
    <w:rsid w:val="007B61B2"/>
    <w:rsid w:val="007B61E8"/>
    <w:rsid w:val="007B61FA"/>
    <w:rsid w:val="007B62B2"/>
    <w:rsid w:val="007B62B4"/>
    <w:rsid w:val="007B632E"/>
    <w:rsid w:val="007B6499"/>
    <w:rsid w:val="007B64D3"/>
    <w:rsid w:val="007B65BD"/>
    <w:rsid w:val="007B65E4"/>
    <w:rsid w:val="007B6737"/>
    <w:rsid w:val="007B67A0"/>
    <w:rsid w:val="007B6848"/>
    <w:rsid w:val="007B693C"/>
    <w:rsid w:val="007B6AAA"/>
    <w:rsid w:val="007B6B6E"/>
    <w:rsid w:val="007B6C9C"/>
    <w:rsid w:val="007B6D09"/>
    <w:rsid w:val="007B6D4A"/>
    <w:rsid w:val="007B6D74"/>
    <w:rsid w:val="007B6D7C"/>
    <w:rsid w:val="007B6E9B"/>
    <w:rsid w:val="007B6F2B"/>
    <w:rsid w:val="007B6F39"/>
    <w:rsid w:val="007B6F76"/>
    <w:rsid w:val="007B703B"/>
    <w:rsid w:val="007B727D"/>
    <w:rsid w:val="007B72CE"/>
    <w:rsid w:val="007B7529"/>
    <w:rsid w:val="007B760A"/>
    <w:rsid w:val="007B7613"/>
    <w:rsid w:val="007B768C"/>
    <w:rsid w:val="007B7776"/>
    <w:rsid w:val="007B7796"/>
    <w:rsid w:val="007B798E"/>
    <w:rsid w:val="007B7B9B"/>
    <w:rsid w:val="007B7E4F"/>
    <w:rsid w:val="007B7E7D"/>
    <w:rsid w:val="007B7FF0"/>
    <w:rsid w:val="007B8071"/>
    <w:rsid w:val="007C01B1"/>
    <w:rsid w:val="007C01B4"/>
    <w:rsid w:val="007C02CE"/>
    <w:rsid w:val="007C0643"/>
    <w:rsid w:val="007C068D"/>
    <w:rsid w:val="007C072C"/>
    <w:rsid w:val="007C0776"/>
    <w:rsid w:val="007C07E3"/>
    <w:rsid w:val="007C07EC"/>
    <w:rsid w:val="007C09B8"/>
    <w:rsid w:val="007C0B46"/>
    <w:rsid w:val="007C0B94"/>
    <w:rsid w:val="007C0BA9"/>
    <w:rsid w:val="007C0E00"/>
    <w:rsid w:val="007C0FAD"/>
    <w:rsid w:val="007C103E"/>
    <w:rsid w:val="007C10E5"/>
    <w:rsid w:val="007C1230"/>
    <w:rsid w:val="007C1251"/>
    <w:rsid w:val="007C136E"/>
    <w:rsid w:val="007C1379"/>
    <w:rsid w:val="007C13E6"/>
    <w:rsid w:val="007C15DF"/>
    <w:rsid w:val="007C16F8"/>
    <w:rsid w:val="007C173F"/>
    <w:rsid w:val="007C17AC"/>
    <w:rsid w:val="007C1843"/>
    <w:rsid w:val="007C1A21"/>
    <w:rsid w:val="007C1BB8"/>
    <w:rsid w:val="007C1BE9"/>
    <w:rsid w:val="007C1E0E"/>
    <w:rsid w:val="007C1FF2"/>
    <w:rsid w:val="007C2153"/>
    <w:rsid w:val="007C218A"/>
    <w:rsid w:val="007C220D"/>
    <w:rsid w:val="007C2236"/>
    <w:rsid w:val="007C225B"/>
    <w:rsid w:val="007C23EA"/>
    <w:rsid w:val="007C26A7"/>
    <w:rsid w:val="007C282F"/>
    <w:rsid w:val="007C28D3"/>
    <w:rsid w:val="007C2BC1"/>
    <w:rsid w:val="007C2C61"/>
    <w:rsid w:val="007C2D39"/>
    <w:rsid w:val="007C2D42"/>
    <w:rsid w:val="007C2E9C"/>
    <w:rsid w:val="007C2F5A"/>
    <w:rsid w:val="007C3063"/>
    <w:rsid w:val="007C3119"/>
    <w:rsid w:val="007C3298"/>
    <w:rsid w:val="007C35D2"/>
    <w:rsid w:val="007C3730"/>
    <w:rsid w:val="007C3C45"/>
    <w:rsid w:val="007C3C68"/>
    <w:rsid w:val="007C3CE1"/>
    <w:rsid w:val="007C3D02"/>
    <w:rsid w:val="007C3D7C"/>
    <w:rsid w:val="007C3DD9"/>
    <w:rsid w:val="007C3ED9"/>
    <w:rsid w:val="007C3F1A"/>
    <w:rsid w:val="007C3FB1"/>
    <w:rsid w:val="007C4198"/>
    <w:rsid w:val="007C419A"/>
    <w:rsid w:val="007C4266"/>
    <w:rsid w:val="007C42AC"/>
    <w:rsid w:val="007C4314"/>
    <w:rsid w:val="007C4350"/>
    <w:rsid w:val="007C43EA"/>
    <w:rsid w:val="007C44E4"/>
    <w:rsid w:val="007C45A0"/>
    <w:rsid w:val="007C47D1"/>
    <w:rsid w:val="007C48CF"/>
    <w:rsid w:val="007C4904"/>
    <w:rsid w:val="007C4A4A"/>
    <w:rsid w:val="007C4AE8"/>
    <w:rsid w:val="007C4B01"/>
    <w:rsid w:val="007C4B3D"/>
    <w:rsid w:val="007C4C41"/>
    <w:rsid w:val="007C4C6A"/>
    <w:rsid w:val="007C4E1B"/>
    <w:rsid w:val="007C4E45"/>
    <w:rsid w:val="007C4ED3"/>
    <w:rsid w:val="007C4F7D"/>
    <w:rsid w:val="007C5017"/>
    <w:rsid w:val="007C515B"/>
    <w:rsid w:val="007C57BC"/>
    <w:rsid w:val="007C5A0C"/>
    <w:rsid w:val="007C5AB1"/>
    <w:rsid w:val="007C5B38"/>
    <w:rsid w:val="007C5CAB"/>
    <w:rsid w:val="007C5CF5"/>
    <w:rsid w:val="007C5F58"/>
    <w:rsid w:val="007C5FB1"/>
    <w:rsid w:val="007C6156"/>
    <w:rsid w:val="007C61E3"/>
    <w:rsid w:val="007C620E"/>
    <w:rsid w:val="007C6256"/>
    <w:rsid w:val="007C630A"/>
    <w:rsid w:val="007C63F2"/>
    <w:rsid w:val="007C6401"/>
    <w:rsid w:val="007C64EB"/>
    <w:rsid w:val="007C6756"/>
    <w:rsid w:val="007C676C"/>
    <w:rsid w:val="007C6779"/>
    <w:rsid w:val="007C6798"/>
    <w:rsid w:val="007C67B6"/>
    <w:rsid w:val="007C68CC"/>
    <w:rsid w:val="007C68E0"/>
    <w:rsid w:val="007C6939"/>
    <w:rsid w:val="007C6AB9"/>
    <w:rsid w:val="007C6B2F"/>
    <w:rsid w:val="007C6C20"/>
    <w:rsid w:val="007C6CB4"/>
    <w:rsid w:val="007C6CBE"/>
    <w:rsid w:val="007C6F6D"/>
    <w:rsid w:val="007C7207"/>
    <w:rsid w:val="007C722F"/>
    <w:rsid w:val="007C73E9"/>
    <w:rsid w:val="007C7462"/>
    <w:rsid w:val="007C75A6"/>
    <w:rsid w:val="007C75AB"/>
    <w:rsid w:val="007C77A2"/>
    <w:rsid w:val="007C77C6"/>
    <w:rsid w:val="007C77EC"/>
    <w:rsid w:val="007C7ABC"/>
    <w:rsid w:val="007C7B05"/>
    <w:rsid w:val="007C7BFD"/>
    <w:rsid w:val="007C7CC6"/>
    <w:rsid w:val="007C7CD5"/>
    <w:rsid w:val="007C7DC4"/>
    <w:rsid w:val="007C7E4E"/>
    <w:rsid w:val="007C7E80"/>
    <w:rsid w:val="007C7E8E"/>
    <w:rsid w:val="007C7F03"/>
    <w:rsid w:val="007C7F75"/>
    <w:rsid w:val="007C7FA8"/>
    <w:rsid w:val="007D00D2"/>
    <w:rsid w:val="007D034D"/>
    <w:rsid w:val="007D036B"/>
    <w:rsid w:val="007D03F8"/>
    <w:rsid w:val="007D05DA"/>
    <w:rsid w:val="007D0622"/>
    <w:rsid w:val="007D065B"/>
    <w:rsid w:val="007D0686"/>
    <w:rsid w:val="007D06FF"/>
    <w:rsid w:val="007D0839"/>
    <w:rsid w:val="007D0865"/>
    <w:rsid w:val="007D0EEF"/>
    <w:rsid w:val="007D12FF"/>
    <w:rsid w:val="007D1323"/>
    <w:rsid w:val="007D13B8"/>
    <w:rsid w:val="007D142E"/>
    <w:rsid w:val="007D1583"/>
    <w:rsid w:val="007D15A6"/>
    <w:rsid w:val="007D17BD"/>
    <w:rsid w:val="007D1AC5"/>
    <w:rsid w:val="007D1B10"/>
    <w:rsid w:val="007D1B14"/>
    <w:rsid w:val="007D1E01"/>
    <w:rsid w:val="007D1E58"/>
    <w:rsid w:val="007D1EBE"/>
    <w:rsid w:val="007D200E"/>
    <w:rsid w:val="007D218F"/>
    <w:rsid w:val="007D22A1"/>
    <w:rsid w:val="007D2374"/>
    <w:rsid w:val="007D256C"/>
    <w:rsid w:val="007D259C"/>
    <w:rsid w:val="007D2673"/>
    <w:rsid w:val="007D2695"/>
    <w:rsid w:val="007D2755"/>
    <w:rsid w:val="007D27B3"/>
    <w:rsid w:val="007D2833"/>
    <w:rsid w:val="007D284B"/>
    <w:rsid w:val="007D2851"/>
    <w:rsid w:val="007D290B"/>
    <w:rsid w:val="007D29E0"/>
    <w:rsid w:val="007D2A02"/>
    <w:rsid w:val="007D2A22"/>
    <w:rsid w:val="007D2A50"/>
    <w:rsid w:val="007D2B0D"/>
    <w:rsid w:val="007D2B8E"/>
    <w:rsid w:val="007D2BE7"/>
    <w:rsid w:val="007D2C1C"/>
    <w:rsid w:val="007D2C39"/>
    <w:rsid w:val="007D2CCF"/>
    <w:rsid w:val="007D2D19"/>
    <w:rsid w:val="007D2E01"/>
    <w:rsid w:val="007D2EE9"/>
    <w:rsid w:val="007D2F52"/>
    <w:rsid w:val="007D3144"/>
    <w:rsid w:val="007D3219"/>
    <w:rsid w:val="007D32A2"/>
    <w:rsid w:val="007D3300"/>
    <w:rsid w:val="007D33CB"/>
    <w:rsid w:val="007D341E"/>
    <w:rsid w:val="007D3499"/>
    <w:rsid w:val="007D3708"/>
    <w:rsid w:val="007D3741"/>
    <w:rsid w:val="007D37B9"/>
    <w:rsid w:val="007D38C7"/>
    <w:rsid w:val="007D396B"/>
    <w:rsid w:val="007D3A74"/>
    <w:rsid w:val="007D3C9C"/>
    <w:rsid w:val="007D3CEE"/>
    <w:rsid w:val="007D3D01"/>
    <w:rsid w:val="007D3E5F"/>
    <w:rsid w:val="007D3EEF"/>
    <w:rsid w:val="007D3F14"/>
    <w:rsid w:val="007D3FAD"/>
    <w:rsid w:val="007D4008"/>
    <w:rsid w:val="007D404D"/>
    <w:rsid w:val="007D4451"/>
    <w:rsid w:val="007D4461"/>
    <w:rsid w:val="007D46E6"/>
    <w:rsid w:val="007D4744"/>
    <w:rsid w:val="007D47A0"/>
    <w:rsid w:val="007D4928"/>
    <w:rsid w:val="007D497A"/>
    <w:rsid w:val="007D49D4"/>
    <w:rsid w:val="007D4A38"/>
    <w:rsid w:val="007D4B96"/>
    <w:rsid w:val="007D4C3A"/>
    <w:rsid w:val="007D4C7B"/>
    <w:rsid w:val="007D4CF7"/>
    <w:rsid w:val="007D4D20"/>
    <w:rsid w:val="007D4DD0"/>
    <w:rsid w:val="007D4F90"/>
    <w:rsid w:val="007D5027"/>
    <w:rsid w:val="007D5143"/>
    <w:rsid w:val="007D5249"/>
    <w:rsid w:val="007D52D9"/>
    <w:rsid w:val="007D5436"/>
    <w:rsid w:val="007D558B"/>
    <w:rsid w:val="007D5625"/>
    <w:rsid w:val="007D5686"/>
    <w:rsid w:val="007D5849"/>
    <w:rsid w:val="007D58CD"/>
    <w:rsid w:val="007D58E6"/>
    <w:rsid w:val="007D58FC"/>
    <w:rsid w:val="007D5920"/>
    <w:rsid w:val="007D5A2D"/>
    <w:rsid w:val="007D5A54"/>
    <w:rsid w:val="007D5B24"/>
    <w:rsid w:val="007D5B3A"/>
    <w:rsid w:val="007D5DC7"/>
    <w:rsid w:val="007D5DD6"/>
    <w:rsid w:val="007D5EEC"/>
    <w:rsid w:val="007D6065"/>
    <w:rsid w:val="007D6073"/>
    <w:rsid w:val="007D60AE"/>
    <w:rsid w:val="007D636F"/>
    <w:rsid w:val="007D6489"/>
    <w:rsid w:val="007D6589"/>
    <w:rsid w:val="007D66C4"/>
    <w:rsid w:val="007D66E1"/>
    <w:rsid w:val="007D6889"/>
    <w:rsid w:val="007D68E4"/>
    <w:rsid w:val="007D6ABD"/>
    <w:rsid w:val="007D6BC2"/>
    <w:rsid w:val="007D6C1D"/>
    <w:rsid w:val="007D6C6A"/>
    <w:rsid w:val="007D6DE1"/>
    <w:rsid w:val="007D6ED8"/>
    <w:rsid w:val="007D6F95"/>
    <w:rsid w:val="007D707E"/>
    <w:rsid w:val="007D721B"/>
    <w:rsid w:val="007D72A6"/>
    <w:rsid w:val="007D72E7"/>
    <w:rsid w:val="007D72F8"/>
    <w:rsid w:val="007D7373"/>
    <w:rsid w:val="007D739A"/>
    <w:rsid w:val="007D752F"/>
    <w:rsid w:val="007D75D6"/>
    <w:rsid w:val="007D76DA"/>
    <w:rsid w:val="007D7804"/>
    <w:rsid w:val="007D7812"/>
    <w:rsid w:val="007D798E"/>
    <w:rsid w:val="007D79FC"/>
    <w:rsid w:val="007D7A70"/>
    <w:rsid w:val="007D7AA8"/>
    <w:rsid w:val="007D7B42"/>
    <w:rsid w:val="007D7C09"/>
    <w:rsid w:val="007D7CA2"/>
    <w:rsid w:val="007D7CC8"/>
    <w:rsid w:val="007D7DDD"/>
    <w:rsid w:val="007E001D"/>
    <w:rsid w:val="007E034D"/>
    <w:rsid w:val="007E057C"/>
    <w:rsid w:val="007E06F5"/>
    <w:rsid w:val="007E0811"/>
    <w:rsid w:val="007E0AAB"/>
    <w:rsid w:val="007E0C55"/>
    <w:rsid w:val="007E0D0B"/>
    <w:rsid w:val="007E0D90"/>
    <w:rsid w:val="007E0EFF"/>
    <w:rsid w:val="007E0F10"/>
    <w:rsid w:val="007E0F31"/>
    <w:rsid w:val="007E0FEE"/>
    <w:rsid w:val="007E0FEF"/>
    <w:rsid w:val="007E0FFE"/>
    <w:rsid w:val="007E1042"/>
    <w:rsid w:val="007E10F3"/>
    <w:rsid w:val="007E11CA"/>
    <w:rsid w:val="007E14BB"/>
    <w:rsid w:val="007E15E7"/>
    <w:rsid w:val="007E16A9"/>
    <w:rsid w:val="007E16D0"/>
    <w:rsid w:val="007E1A07"/>
    <w:rsid w:val="007E1AB2"/>
    <w:rsid w:val="007E1C8E"/>
    <w:rsid w:val="007E1D62"/>
    <w:rsid w:val="007E1F71"/>
    <w:rsid w:val="007E20C8"/>
    <w:rsid w:val="007E2174"/>
    <w:rsid w:val="007E2272"/>
    <w:rsid w:val="007E2289"/>
    <w:rsid w:val="007E22DF"/>
    <w:rsid w:val="007E2407"/>
    <w:rsid w:val="007E2564"/>
    <w:rsid w:val="007E25BE"/>
    <w:rsid w:val="007E2754"/>
    <w:rsid w:val="007E27C3"/>
    <w:rsid w:val="007E283F"/>
    <w:rsid w:val="007E28A7"/>
    <w:rsid w:val="007E28C0"/>
    <w:rsid w:val="007E28EC"/>
    <w:rsid w:val="007E2945"/>
    <w:rsid w:val="007E296F"/>
    <w:rsid w:val="007E2972"/>
    <w:rsid w:val="007E2988"/>
    <w:rsid w:val="007E29CF"/>
    <w:rsid w:val="007E2AB9"/>
    <w:rsid w:val="007E2CE5"/>
    <w:rsid w:val="007E2DAB"/>
    <w:rsid w:val="007E31D8"/>
    <w:rsid w:val="007E32D9"/>
    <w:rsid w:val="007E3317"/>
    <w:rsid w:val="007E3373"/>
    <w:rsid w:val="007E3386"/>
    <w:rsid w:val="007E3413"/>
    <w:rsid w:val="007E379A"/>
    <w:rsid w:val="007E3866"/>
    <w:rsid w:val="007E388C"/>
    <w:rsid w:val="007E38D2"/>
    <w:rsid w:val="007E390D"/>
    <w:rsid w:val="007E3921"/>
    <w:rsid w:val="007E39B3"/>
    <w:rsid w:val="007E3A09"/>
    <w:rsid w:val="007E3B5B"/>
    <w:rsid w:val="007E3E2A"/>
    <w:rsid w:val="007E411C"/>
    <w:rsid w:val="007E4282"/>
    <w:rsid w:val="007E42E1"/>
    <w:rsid w:val="007E45E3"/>
    <w:rsid w:val="007E46E4"/>
    <w:rsid w:val="007E4740"/>
    <w:rsid w:val="007E4774"/>
    <w:rsid w:val="007E4824"/>
    <w:rsid w:val="007E488F"/>
    <w:rsid w:val="007E4963"/>
    <w:rsid w:val="007E4974"/>
    <w:rsid w:val="007E4977"/>
    <w:rsid w:val="007E499A"/>
    <w:rsid w:val="007E4AC0"/>
    <w:rsid w:val="007E4AC8"/>
    <w:rsid w:val="007E4C73"/>
    <w:rsid w:val="007E4F93"/>
    <w:rsid w:val="007E5081"/>
    <w:rsid w:val="007E5180"/>
    <w:rsid w:val="007E5230"/>
    <w:rsid w:val="007E52FC"/>
    <w:rsid w:val="007E5327"/>
    <w:rsid w:val="007E53E4"/>
    <w:rsid w:val="007E579E"/>
    <w:rsid w:val="007E5910"/>
    <w:rsid w:val="007E59EA"/>
    <w:rsid w:val="007E5A0C"/>
    <w:rsid w:val="007E5AAC"/>
    <w:rsid w:val="007E5AC9"/>
    <w:rsid w:val="007E5AD3"/>
    <w:rsid w:val="007E5CE5"/>
    <w:rsid w:val="007E5CE6"/>
    <w:rsid w:val="007E5D78"/>
    <w:rsid w:val="007E5EC2"/>
    <w:rsid w:val="007E5EFC"/>
    <w:rsid w:val="007E5F36"/>
    <w:rsid w:val="007E5F3A"/>
    <w:rsid w:val="007E5F8C"/>
    <w:rsid w:val="007E5F8D"/>
    <w:rsid w:val="007E6477"/>
    <w:rsid w:val="007E64B1"/>
    <w:rsid w:val="007E6664"/>
    <w:rsid w:val="007E6738"/>
    <w:rsid w:val="007E676E"/>
    <w:rsid w:val="007E6A47"/>
    <w:rsid w:val="007E6B6B"/>
    <w:rsid w:val="007E6C6F"/>
    <w:rsid w:val="007E6CDC"/>
    <w:rsid w:val="007E6DC4"/>
    <w:rsid w:val="007E6E62"/>
    <w:rsid w:val="007E6EEE"/>
    <w:rsid w:val="007E70DB"/>
    <w:rsid w:val="007E7233"/>
    <w:rsid w:val="007E7314"/>
    <w:rsid w:val="007E7364"/>
    <w:rsid w:val="007E739B"/>
    <w:rsid w:val="007E73B3"/>
    <w:rsid w:val="007E73FF"/>
    <w:rsid w:val="007E7482"/>
    <w:rsid w:val="007E74CC"/>
    <w:rsid w:val="007E78CE"/>
    <w:rsid w:val="007E78EF"/>
    <w:rsid w:val="007E7A5A"/>
    <w:rsid w:val="007E7B1B"/>
    <w:rsid w:val="007E7C17"/>
    <w:rsid w:val="007E7D22"/>
    <w:rsid w:val="007E7F0F"/>
    <w:rsid w:val="007F0112"/>
    <w:rsid w:val="007F0216"/>
    <w:rsid w:val="007F03EC"/>
    <w:rsid w:val="007F0605"/>
    <w:rsid w:val="007F065D"/>
    <w:rsid w:val="007F0791"/>
    <w:rsid w:val="007F09DF"/>
    <w:rsid w:val="007F0E7A"/>
    <w:rsid w:val="007F0F7B"/>
    <w:rsid w:val="007F10CA"/>
    <w:rsid w:val="007F1182"/>
    <w:rsid w:val="007F11E7"/>
    <w:rsid w:val="007F1280"/>
    <w:rsid w:val="007F13A0"/>
    <w:rsid w:val="007F149E"/>
    <w:rsid w:val="007F1576"/>
    <w:rsid w:val="007F15BF"/>
    <w:rsid w:val="007F15D0"/>
    <w:rsid w:val="007F1721"/>
    <w:rsid w:val="007F1961"/>
    <w:rsid w:val="007F1AB9"/>
    <w:rsid w:val="007F1BC1"/>
    <w:rsid w:val="007F1D8A"/>
    <w:rsid w:val="007F1E4E"/>
    <w:rsid w:val="007F1ED0"/>
    <w:rsid w:val="007F2017"/>
    <w:rsid w:val="007F22E7"/>
    <w:rsid w:val="007F2433"/>
    <w:rsid w:val="007F2587"/>
    <w:rsid w:val="007F25E9"/>
    <w:rsid w:val="007F2717"/>
    <w:rsid w:val="007F27D0"/>
    <w:rsid w:val="007F2898"/>
    <w:rsid w:val="007F2DAE"/>
    <w:rsid w:val="007F2DDE"/>
    <w:rsid w:val="007F3000"/>
    <w:rsid w:val="007F313A"/>
    <w:rsid w:val="007F3157"/>
    <w:rsid w:val="007F3183"/>
    <w:rsid w:val="007F31E9"/>
    <w:rsid w:val="007F32F8"/>
    <w:rsid w:val="007F3476"/>
    <w:rsid w:val="007F355F"/>
    <w:rsid w:val="007F3584"/>
    <w:rsid w:val="007F3812"/>
    <w:rsid w:val="007F3975"/>
    <w:rsid w:val="007F39EB"/>
    <w:rsid w:val="007F3A1B"/>
    <w:rsid w:val="007F3C6F"/>
    <w:rsid w:val="007F3C8E"/>
    <w:rsid w:val="007F3EBF"/>
    <w:rsid w:val="007F3F39"/>
    <w:rsid w:val="007F4120"/>
    <w:rsid w:val="007F419D"/>
    <w:rsid w:val="007F4463"/>
    <w:rsid w:val="007F4506"/>
    <w:rsid w:val="007F45A4"/>
    <w:rsid w:val="007F461B"/>
    <w:rsid w:val="007F4706"/>
    <w:rsid w:val="007F473A"/>
    <w:rsid w:val="007F4742"/>
    <w:rsid w:val="007F4760"/>
    <w:rsid w:val="007F490C"/>
    <w:rsid w:val="007F4963"/>
    <w:rsid w:val="007F4B12"/>
    <w:rsid w:val="007F4BFE"/>
    <w:rsid w:val="007F4D88"/>
    <w:rsid w:val="007F4E51"/>
    <w:rsid w:val="007F4EE0"/>
    <w:rsid w:val="007F4F24"/>
    <w:rsid w:val="007F4F27"/>
    <w:rsid w:val="007F4FE2"/>
    <w:rsid w:val="007F50B5"/>
    <w:rsid w:val="007F50C2"/>
    <w:rsid w:val="007F52F9"/>
    <w:rsid w:val="007F5338"/>
    <w:rsid w:val="007F533A"/>
    <w:rsid w:val="007F53E8"/>
    <w:rsid w:val="007F53F6"/>
    <w:rsid w:val="007F5458"/>
    <w:rsid w:val="007F5547"/>
    <w:rsid w:val="007F5671"/>
    <w:rsid w:val="007F57A1"/>
    <w:rsid w:val="007F57EE"/>
    <w:rsid w:val="007F57F5"/>
    <w:rsid w:val="007F5826"/>
    <w:rsid w:val="007F593C"/>
    <w:rsid w:val="007F5967"/>
    <w:rsid w:val="007F5A37"/>
    <w:rsid w:val="007F5A71"/>
    <w:rsid w:val="007F5BF1"/>
    <w:rsid w:val="007F5D80"/>
    <w:rsid w:val="007F5DC8"/>
    <w:rsid w:val="007F5E56"/>
    <w:rsid w:val="007F5E6A"/>
    <w:rsid w:val="007F6002"/>
    <w:rsid w:val="007F6026"/>
    <w:rsid w:val="007F6225"/>
    <w:rsid w:val="007F632E"/>
    <w:rsid w:val="007F634D"/>
    <w:rsid w:val="007F64B7"/>
    <w:rsid w:val="007F64E1"/>
    <w:rsid w:val="007F6593"/>
    <w:rsid w:val="007F661F"/>
    <w:rsid w:val="007F6690"/>
    <w:rsid w:val="007F686A"/>
    <w:rsid w:val="007F6A12"/>
    <w:rsid w:val="007F6A25"/>
    <w:rsid w:val="007F6A42"/>
    <w:rsid w:val="007F6A7F"/>
    <w:rsid w:val="007F6AC8"/>
    <w:rsid w:val="007F6C4C"/>
    <w:rsid w:val="007F6D69"/>
    <w:rsid w:val="007F6DC5"/>
    <w:rsid w:val="007F6DC7"/>
    <w:rsid w:val="007F725C"/>
    <w:rsid w:val="007F7306"/>
    <w:rsid w:val="007F74EF"/>
    <w:rsid w:val="007F77A6"/>
    <w:rsid w:val="007F77F4"/>
    <w:rsid w:val="007F7868"/>
    <w:rsid w:val="007F7A7B"/>
    <w:rsid w:val="007F7AFB"/>
    <w:rsid w:val="007F7B52"/>
    <w:rsid w:val="007F7C94"/>
    <w:rsid w:val="007F7D7E"/>
    <w:rsid w:val="007F7DD6"/>
    <w:rsid w:val="007F7EB3"/>
    <w:rsid w:val="00800128"/>
    <w:rsid w:val="00800239"/>
    <w:rsid w:val="0080043B"/>
    <w:rsid w:val="008004AD"/>
    <w:rsid w:val="008005BE"/>
    <w:rsid w:val="008005CE"/>
    <w:rsid w:val="00800624"/>
    <w:rsid w:val="00800780"/>
    <w:rsid w:val="00800889"/>
    <w:rsid w:val="008008ED"/>
    <w:rsid w:val="008008FF"/>
    <w:rsid w:val="00800D5E"/>
    <w:rsid w:val="00800E2C"/>
    <w:rsid w:val="00800E40"/>
    <w:rsid w:val="00801126"/>
    <w:rsid w:val="00801191"/>
    <w:rsid w:val="00801198"/>
    <w:rsid w:val="008011A1"/>
    <w:rsid w:val="00801223"/>
    <w:rsid w:val="0080125E"/>
    <w:rsid w:val="008012C8"/>
    <w:rsid w:val="0080153D"/>
    <w:rsid w:val="008015EF"/>
    <w:rsid w:val="00801626"/>
    <w:rsid w:val="0080185D"/>
    <w:rsid w:val="00801ACC"/>
    <w:rsid w:val="00801AE5"/>
    <w:rsid w:val="00801BEC"/>
    <w:rsid w:val="00801CAF"/>
    <w:rsid w:val="00801D1B"/>
    <w:rsid w:val="00801E6E"/>
    <w:rsid w:val="00801F92"/>
    <w:rsid w:val="008021A1"/>
    <w:rsid w:val="008022A6"/>
    <w:rsid w:val="008022E4"/>
    <w:rsid w:val="00802318"/>
    <w:rsid w:val="00802429"/>
    <w:rsid w:val="00802431"/>
    <w:rsid w:val="00802511"/>
    <w:rsid w:val="00802681"/>
    <w:rsid w:val="008027A9"/>
    <w:rsid w:val="0080285F"/>
    <w:rsid w:val="008028FE"/>
    <w:rsid w:val="00802ADB"/>
    <w:rsid w:val="00802BF7"/>
    <w:rsid w:val="00802C58"/>
    <w:rsid w:val="00802D0E"/>
    <w:rsid w:val="00802DFA"/>
    <w:rsid w:val="00802F72"/>
    <w:rsid w:val="0080302D"/>
    <w:rsid w:val="008032BB"/>
    <w:rsid w:val="0080336A"/>
    <w:rsid w:val="00803443"/>
    <w:rsid w:val="00803445"/>
    <w:rsid w:val="00803534"/>
    <w:rsid w:val="00803643"/>
    <w:rsid w:val="00803670"/>
    <w:rsid w:val="00803855"/>
    <w:rsid w:val="00803895"/>
    <w:rsid w:val="00803A2E"/>
    <w:rsid w:val="00803BB8"/>
    <w:rsid w:val="00803C6A"/>
    <w:rsid w:val="00803F70"/>
    <w:rsid w:val="008040F6"/>
    <w:rsid w:val="0080418D"/>
    <w:rsid w:val="0080427E"/>
    <w:rsid w:val="00804475"/>
    <w:rsid w:val="008044C6"/>
    <w:rsid w:val="008045BB"/>
    <w:rsid w:val="008045BF"/>
    <w:rsid w:val="008049AA"/>
    <w:rsid w:val="00804AEF"/>
    <w:rsid w:val="00804CBD"/>
    <w:rsid w:val="00804DC2"/>
    <w:rsid w:val="00804DD8"/>
    <w:rsid w:val="00804F27"/>
    <w:rsid w:val="0080501B"/>
    <w:rsid w:val="0080504C"/>
    <w:rsid w:val="008050D9"/>
    <w:rsid w:val="0080522B"/>
    <w:rsid w:val="0080526A"/>
    <w:rsid w:val="008052C0"/>
    <w:rsid w:val="00805445"/>
    <w:rsid w:val="008054AF"/>
    <w:rsid w:val="008054B8"/>
    <w:rsid w:val="00805820"/>
    <w:rsid w:val="00805848"/>
    <w:rsid w:val="00805909"/>
    <w:rsid w:val="0080593E"/>
    <w:rsid w:val="00805951"/>
    <w:rsid w:val="008059A9"/>
    <w:rsid w:val="00805A8C"/>
    <w:rsid w:val="00805C29"/>
    <w:rsid w:val="00805CA4"/>
    <w:rsid w:val="00805E54"/>
    <w:rsid w:val="00805F1F"/>
    <w:rsid w:val="00805F96"/>
    <w:rsid w:val="0080606A"/>
    <w:rsid w:val="00806099"/>
    <w:rsid w:val="00806122"/>
    <w:rsid w:val="0080628F"/>
    <w:rsid w:val="008062DC"/>
    <w:rsid w:val="0080630F"/>
    <w:rsid w:val="008063A1"/>
    <w:rsid w:val="008063E0"/>
    <w:rsid w:val="00806432"/>
    <w:rsid w:val="008064AA"/>
    <w:rsid w:val="0080656F"/>
    <w:rsid w:val="008065AB"/>
    <w:rsid w:val="008065B6"/>
    <w:rsid w:val="00806715"/>
    <w:rsid w:val="00806734"/>
    <w:rsid w:val="00806778"/>
    <w:rsid w:val="008067E9"/>
    <w:rsid w:val="0080681A"/>
    <w:rsid w:val="0080699E"/>
    <w:rsid w:val="00806A70"/>
    <w:rsid w:val="00806BBA"/>
    <w:rsid w:val="00806DF8"/>
    <w:rsid w:val="00806EA6"/>
    <w:rsid w:val="00806FF5"/>
    <w:rsid w:val="00806FF9"/>
    <w:rsid w:val="00806FFF"/>
    <w:rsid w:val="00807071"/>
    <w:rsid w:val="008071BC"/>
    <w:rsid w:val="00807248"/>
    <w:rsid w:val="00807277"/>
    <w:rsid w:val="008072A5"/>
    <w:rsid w:val="008072AF"/>
    <w:rsid w:val="008076AC"/>
    <w:rsid w:val="0080783E"/>
    <w:rsid w:val="0080784D"/>
    <w:rsid w:val="008078BE"/>
    <w:rsid w:val="008079DF"/>
    <w:rsid w:val="00807AD9"/>
    <w:rsid w:val="00807B0C"/>
    <w:rsid w:val="00807D24"/>
    <w:rsid w:val="00807D46"/>
    <w:rsid w:val="00807EE3"/>
    <w:rsid w:val="00807F0B"/>
    <w:rsid w:val="00807FA4"/>
    <w:rsid w:val="0080807E"/>
    <w:rsid w:val="0081012D"/>
    <w:rsid w:val="00810266"/>
    <w:rsid w:val="0081034A"/>
    <w:rsid w:val="0081035D"/>
    <w:rsid w:val="00810366"/>
    <w:rsid w:val="008103DA"/>
    <w:rsid w:val="00810441"/>
    <w:rsid w:val="008104D7"/>
    <w:rsid w:val="008104FE"/>
    <w:rsid w:val="00810772"/>
    <w:rsid w:val="0081092D"/>
    <w:rsid w:val="0081094C"/>
    <w:rsid w:val="00810B61"/>
    <w:rsid w:val="00810B70"/>
    <w:rsid w:val="00810C07"/>
    <w:rsid w:val="00810C54"/>
    <w:rsid w:val="008111FE"/>
    <w:rsid w:val="00811263"/>
    <w:rsid w:val="00811330"/>
    <w:rsid w:val="00811344"/>
    <w:rsid w:val="008117F2"/>
    <w:rsid w:val="00811824"/>
    <w:rsid w:val="008118EB"/>
    <w:rsid w:val="00811B24"/>
    <w:rsid w:val="00811B66"/>
    <w:rsid w:val="00811C9F"/>
    <w:rsid w:val="00811DBD"/>
    <w:rsid w:val="00812061"/>
    <w:rsid w:val="008124D9"/>
    <w:rsid w:val="008124E4"/>
    <w:rsid w:val="00812549"/>
    <w:rsid w:val="008125A0"/>
    <w:rsid w:val="00812633"/>
    <w:rsid w:val="008126B9"/>
    <w:rsid w:val="00812901"/>
    <w:rsid w:val="008129A2"/>
    <w:rsid w:val="00812A1C"/>
    <w:rsid w:val="00812BE0"/>
    <w:rsid w:val="00812C57"/>
    <w:rsid w:val="00812CC4"/>
    <w:rsid w:val="00812D33"/>
    <w:rsid w:val="00812D35"/>
    <w:rsid w:val="00812E8A"/>
    <w:rsid w:val="00812EBC"/>
    <w:rsid w:val="00812FD8"/>
    <w:rsid w:val="00813026"/>
    <w:rsid w:val="00813088"/>
    <w:rsid w:val="00813153"/>
    <w:rsid w:val="00813173"/>
    <w:rsid w:val="00813372"/>
    <w:rsid w:val="0081356B"/>
    <w:rsid w:val="008135B2"/>
    <w:rsid w:val="00813752"/>
    <w:rsid w:val="00813858"/>
    <w:rsid w:val="00813867"/>
    <w:rsid w:val="00813889"/>
    <w:rsid w:val="008138EE"/>
    <w:rsid w:val="00813906"/>
    <w:rsid w:val="00813A12"/>
    <w:rsid w:val="00813A19"/>
    <w:rsid w:val="00813A4D"/>
    <w:rsid w:val="00813ACF"/>
    <w:rsid w:val="00813D08"/>
    <w:rsid w:val="00813D3A"/>
    <w:rsid w:val="00813D88"/>
    <w:rsid w:val="00813EA2"/>
    <w:rsid w:val="00813EFF"/>
    <w:rsid w:val="00813FD5"/>
    <w:rsid w:val="00814291"/>
    <w:rsid w:val="008142B8"/>
    <w:rsid w:val="008143A2"/>
    <w:rsid w:val="008144B4"/>
    <w:rsid w:val="008144EE"/>
    <w:rsid w:val="0081460C"/>
    <w:rsid w:val="008146A6"/>
    <w:rsid w:val="0081484F"/>
    <w:rsid w:val="00814896"/>
    <w:rsid w:val="00814974"/>
    <w:rsid w:val="00814AB7"/>
    <w:rsid w:val="00814B21"/>
    <w:rsid w:val="00814D80"/>
    <w:rsid w:val="00814E86"/>
    <w:rsid w:val="00815025"/>
    <w:rsid w:val="00815092"/>
    <w:rsid w:val="00815158"/>
    <w:rsid w:val="00815174"/>
    <w:rsid w:val="008155CD"/>
    <w:rsid w:val="0081562F"/>
    <w:rsid w:val="0081574E"/>
    <w:rsid w:val="008157F5"/>
    <w:rsid w:val="008157FC"/>
    <w:rsid w:val="008159B5"/>
    <w:rsid w:val="008159CF"/>
    <w:rsid w:val="00815B7D"/>
    <w:rsid w:val="00815BDF"/>
    <w:rsid w:val="00815D0F"/>
    <w:rsid w:val="00815E88"/>
    <w:rsid w:val="00815F25"/>
    <w:rsid w:val="00815F61"/>
    <w:rsid w:val="00815F7D"/>
    <w:rsid w:val="00815F7E"/>
    <w:rsid w:val="00816112"/>
    <w:rsid w:val="0081615E"/>
    <w:rsid w:val="008162ED"/>
    <w:rsid w:val="00816408"/>
    <w:rsid w:val="008164D5"/>
    <w:rsid w:val="00816566"/>
    <w:rsid w:val="008166C2"/>
    <w:rsid w:val="00816750"/>
    <w:rsid w:val="008168F1"/>
    <w:rsid w:val="00816B23"/>
    <w:rsid w:val="00816CA5"/>
    <w:rsid w:val="00816D8A"/>
    <w:rsid w:val="00816E05"/>
    <w:rsid w:val="00816E63"/>
    <w:rsid w:val="00816F46"/>
    <w:rsid w:val="00816F8E"/>
    <w:rsid w:val="00817017"/>
    <w:rsid w:val="00817090"/>
    <w:rsid w:val="0081721E"/>
    <w:rsid w:val="00817242"/>
    <w:rsid w:val="0081733D"/>
    <w:rsid w:val="00817395"/>
    <w:rsid w:val="008173AE"/>
    <w:rsid w:val="00817454"/>
    <w:rsid w:val="008175FB"/>
    <w:rsid w:val="008176BD"/>
    <w:rsid w:val="008176CE"/>
    <w:rsid w:val="008176F2"/>
    <w:rsid w:val="0081774E"/>
    <w:rsid w:val="00817811"/>
    <w:rsid w:val="00817904"/>
    <w:rsid w:val="0081794E"/>
    <w:rsid w:val="008179A0"/>
    <w:rsid w:val="008179FF"/>
    <w:rsid w:val="00817A26"/>
    <w:rsid w:val="00817AA6"/>
    <w:rsid w:val="00817AED"/>
    <w:rsid w:val="00817B44"/>
    <w:rsid w:val="00817E4D"/>
    <w:rsid w:val="00820013"/>
    <w:rsid w:val="00820016"/>
    <w:rsid w:val="0082009B"/>
    <w:rsid w:val="00820180"/>
    <w:rsid w:val="00820200"/>
    <w:rsid w:val="008204E5"/>
    <w:rsid w:val="008206AC"/>
    <w:rsid w:val="008206B2"/>
    <w:rsid w:val="008206EC"/>
    <w:rsid w:val="00820892"/>
    <w:rsid w:val="00820915"/>
    <w:rsid w:val="00820970"/>
    <w:rsid w:val="00820A7F"/>
    <w:rsid w:val="00820B03"/>
    <w:rsid w:val="00820C9F"/>
    <w:rsid w:val="00820E0B"/>
    <w:rsid w:val="00820E36"/>
    <w:rsid w:val="00820EE3"/>
    <w:rsid w:val="00821189"/>
    <w:rsid w:val="00821339"/>
    <w:rsid w:val="0082134E"/>
    <w:rsid w:val="0082137B"/>
    <w:rsid w:val="0082141A"/>
    <w:rsid w:val="00821464"/>
    <w:rsid w:val="00821490"/>
    <w:rsid w:val="008214D2"/>
    <w:rsid w:val="00821639"/>
    <w:rsid w:val="00821716"/>
    <w:rsid w:val="008217E0"/>
    <w:rsid w:val="008219D3"/>
    <w:rsid w:val="008219E0"/>
    <w:rsid w:val="00821A41"/>
    <w:rsid w:val="00821ACF"/>
    <w:rsid w:val="00821BE0"/>
    <w:rsid w:val="00822000"/>
    <w:rsid w:val="00822044"/>
    <w:rsid w:val="0082212E"/>
    <w:rsid w:val="008221E0"/>
    <w:rsid w:val="00822278"/>
    <w:rsid w:val="0082235C"/>
    <w:rsid w:val="00822421"/>
    <w:rsid w:val="00822570"/>
    <w:rsid w:val="008228CD"/>
    <w:rsid w:val="00822993"/>
    <w:rsid w:val="008229B0"/>
    <w:rsid w:val="008229D8"/>
    <w:rsid w:val="00822AA6"/>
    <w:rsid w:val="00822BD9"/>
    <w:rsid w:val="00822DEB"/>
    <w:rsid w:val="00822E30"/>
    <w:rsid w:val="00822EDF"/>
    <w:rsid w:val="00822EED"/>
    <w:rsid w:val="00822FD3"/>
    <w:rsid w:val="00822FDA"/>
    <w:rsid w:val="0082306D"/>
    <w:rsid w:val="008230B2"/>
    <w:rsid w:val="00823180"/>
    <w:rsid w:val="0082321A"/>
    <w:rsid w:val="008232C3"/>
    <w:rsid w:val="00823366"/>
    <w:rsid w:val="00823604"/>
    <w:rsid w:val="008236E0"/>
    <w:rsid w:val="0082376F"/>
    <w:rsid w:val="008237E3"/>
    <w:rsid w:val="00823AD3"/>
    <w:rsid w:val="00823AD6"/>
    <w:rsid w:val="00823BA1"/>
    <w:rsid w:val="00823D6D"/>
    <w:rsid w:val="00823DA8"/>
    <w:rsid w:val="008240D7"/>
    <w:rsid w:val="00824276"/>
    <w:rsid w:val="00824361"/>
    <w:rsid w:val="0082440E"/>
    <w:rsid w:val="00824451"/>
    <w:rsid w:val="00824490"/>
    <w:rsid w:val="0082458A"/>
    <w:rsid w:val="008246D1"/>
    <w:rsid w:val="00824718"/>
    <w:rsid w:val="00824749"/>
    <w:rsid w:val="008249AA"/>
    <w:rsid w:val="00824A2D"/>
    <w:rsid w:val="00824A6B"/>
    <w:rsid w:val="00824C5F"/>
    <w:rsid w:val="00824DB0"/>
    <w:rsid w:val="00824ECE"/>
    <w:rsid w:val="00824EDB"/>
    <w:rsid w:val="00824F2D"/>
    <w:rsid w:val="00824F84"/>
    <w:rsid w:val="008251EA"/>
    <w:rsid w:val="00825233"/>
    <w:rsid w:val="00825339"/>
    <w:rsid w:val="0082568B"/>
    <w:rsid w:val="008256FA"/>
    <w:rsid w:val="00825721"/>
    <w:rsid w:val="008258C4"/>
    <w:rsid w:val="0082594E"/>
    <w:rsid w:val="008259B9"/>
    <w:rsid w:val="00825B01"/>
    <w:rsid w:val="00825D18"/>
    <w:rsid w:val="00825D8D"/>
    <w:rsid w:val="00825DC4"/>
    <w:rsid w:val="008260AF"/>
    <w:rsid w:val="008260E8"/>
    <w:rsid w:val="00826218"/>
    <w:rsid w:val="00826374"/>
    <w:rsid w:val="008263BB"/>
    <w:rsid w:val="0082649B"/>
    <w:rsid w:val="00826520"/>
    <w:rsid w:val="0082655D"/>
    <w:rsid w:val="008265C1"/>
    <w:rsid w:val="008265DE"/>
    <w:rsid w:val="00826603"/>
    <w:rsid w:val="0082670B"/>
    <w:rsid w:val="00826864"/>
    <w:rsid w:val="0082689F"/>
    <w:rsid w:val="008269B4"/>
    <w:rsid w:val="00826A9F"/>
    <w:rsid w:val="00826AA0"/>
    <w:rsid w:val="00826CAD"/>
    <w:rsid w:val="00826E4B"/>
    <w:rsid w:val="00826E76"/>
    <w:rsid w:val="00826E93"/>
    <w:rsid w:val="00826F49"/>
    <w:rsid w:val="00826F6A"/>
    <w:rsid w:val="00826FCF"/>
    <w:rsid w:val="008270E1"/>
    <w:rsid w:val="0082724C"/>
    <w:rsid w:val="00827574"/>
    <w:rsid w:val="008276DD"/>
    <w:rsid w:val="00827968"/>
    <w:rsid w:val="00827AAB"/>
    <w:rsid w:val="00827BDF"/>
    <w:rsid w:val="00827C7B"/>
    <w:rsid w:val="00827CA8"/>
    <w:rsid w:val="00827CDE"/>
    <w:rsid w:val="00827D67"/>
    <w:rsid w:val="00827D6E"/>
    <w:rsid w:val="00827FA4"/>
    <w:rsid w:val="00830029"/>
    <w:rsid w:val="00830148"/>
    <w:rsid w:val="00830176"/>
    <w:rsid w:val="00830237"/>
    <w:rsid w:val="00830286"/>
    <w:rsid w:val="008302B4"/>
    <w:rsid w:val="0083031A"/>
    <w:rsid w:val="00830328"/>
    <w:rsid w:val="00830384"/>
    <w:rsid w:val="008303FB"/>
    <w:rsid w:val="00830536"/>
    <w:rsid w:val="00830546"/>
    <w:rsid w:val="008305D5"/>
    <w:rsid w:val="00830660"/>
    <w:rsid w:val="008306DF"/>
    <w:rsid w:val="008308EA"/>
    <w:rsid w:val="00830A88"/>
    <w:rsid w:val="00830CB7"/>
    <w:rsid w:val="00830F33"/>
    <w:rsid w:val="00830F75"/>
    <w:rsid w:val="00831167"/>
    <w:rsid w:val="0083151E"/>
    <w:rsid w:val="00831704"/>
    <w:rsid w:val="00831742"/>
    <w:rsid w:val="00831785"/>
    <w:rsid w:val="008317B1"/>
    <w:rsid w:val="008317C1"/>
    <w:rsid w:val="00831809"/>
    <w:rsid w:val="00831893"/>
    <w:rsid w:val="0083190B"/>
    <w:rsid w:val="0083196C"/>
    <w:rsid w:val="00831989"/>
    <w:rsid w:val="00831B99"/>
    <w:rsid w:val="00831BA1"/>
    <w:rsid w:val="00831C3E"/>
    <w:rsid w:val="00831DB5"/>
    <w:rsid w:val="00831EB4"/>
    <w:rsid w:val="00831F05"/>
    <w:rsid w:val="008320D0"/>
    <w:rsid w:val="00832140"/>
    <w:rsid w:val="00832153"/>
    <w:rsid w:val="0083215B"/>
    <w:rsid w:val="00832178"/>
    <w:rsid w:val="008321A3"/>
    <w:rsid w:val="008321C7"/>
    <w:rsid w:val="00832219"/>
    <w:rsid w:val="0083223E"/>
    <w:rsid w:val="008323E3"/>
    <w:rsid w:val="00832529"/>
    <w:rsid w:val="008325D2"/>
    <w:rsid w:val="00832632"/>
    <w:rsid w:val="00832756"/>
    <w:rsid w:val="00832874"/>
    <w:rsid w:val="008329F8"/>
    <w:rsid w:val="00832F8F"/>
    <w:rsid w:val="00833106"/>
    <w:rsid w:val="008331C1"/>
    <w:rsid w:val="0083325A"/>
    <w:rsid w:val="008332C9"/>
    <w:rsid w:val="00833312"/>
    <w:rsid w:val="00833560"/>
    <w:rsid w:val="008335D4"/>
    <w:rsid w:val="00833654"/>
    <w:rsid w:val="00833738"/>
    <w:rsid w:val="0083387A"/>
    <w:rsid w:val="008338CA"/>
    <w:rsid w:val="008338F8"/>
    <w:rsid w:val="0083391C"/>
    <w:rsid w:val="008339BB"/>
    <w:rsid w:val="00833B37"/>
    <w:rsid w:val="00833CF3"/>
    <w:rsid w:val="00833D23"/>
    <w:rsid w:val="00833E3F"/>
    <w:rsid w:val="00833F70"/>
    <w:rsid w:val="0083409A"/>
    <w:rsid w:val="008341D8"/>
    <w:rsid w:val="008342CD"/>
    <w:rsid w:val="00834511"/>
    <w:rsid w:val="00834608"/>
    <w:rsid w:val="0083467B"/>
    <w:rsid w:val="008346B5"/>
    <w:rsid w:val="008346F1"/>
    <w:rsid w:val="00834A48"/>
    <w:rsid w:val="00834AF5"/>
    <w:rsid w:val="00834B60"/>
    <w:rsid w:val="00834B82"/>
    <w:rsid w:val="00834C10"/>
    <w:rsid w:val="00834DE8"/>
    <w:rsid w:val="00834E25"/>
    <w:rsid w:val="00834E8F"/>
    <w:rsid w:val="00834EC5"/>
    <w:rsid w:val="00834EE8"/>
    <w:rsid w:val="00834FE1"/>
    <w:rsid w:val="00834FFA"/>
    <w:rsid w:val="00835194"/>
    <w:rsid w:val="00835251"/>
    <w:rsid w:val="008352AD"/>
    <w:rsid w:val="008353B4"/>
    <w:rsid w:val="00835438"/>
    <w:rsid w:val="00835467"/>
    <w:rsid w:val="00835565"/>
    <w:rsid w:val="008355F8"/>
    <w:rsid w:val="00835761"/>
    <w:rsid w:val="00835821"/>
    <w:rsid w:val="00835849"/>
    <w:rsid w:val="008359D4"/>
    <w:rsid w:val="00835A02"/>
    <w:rsid w:val="00835E39"/>
    <w:rsid w:val="00835E3D"/>
    <w:rsid w:val="00835F40"/>
    <w:rsid w:val="00836032"/>
    <w:rsid w:val="008360E8"/>
    <w:rsid w:val="0083611E"/>
    <w:rsid w:val="0083629A"/>
    <w:rsid w:val="008362B1"/>
    <w:rsid w:val="008362D4"/>
    <w:rsid w:val="00836345"/>
    <w:rsid w:val="008363FB"/>
    <w:rsid w:val="00836495"/>
    <w:rsid w:val="0083663A"/>
    <w:rsid w:val="008366A6"/>
    <w:rsid w:val="00836718"/>
    <w:rsid w:val="0083680B"/>
    <w:rsid w:val="0083684C"/>
    <w:rsid w:val="00836891"/>
    <w:rsid w:val="00836894"/>
    <w:rsid w:val="00836CCA"/>
    <w:rsid w:val="00836D14"/>
    <w:rsid w:val="00836D45"/>
    <w:rsid w:val="00836DF7"/>
    <w:rsid w:val="008370AD"/>
    <w:rsid w:val="008370D9"/>
    <w:rsid w:val="008373B7"/>
    <w:rsid w:val="008373C8"/>
    <w:rsid w:val="008374AA"/>
    <w:rsid w:val="00837611"/>
    <w:rsid w:val="0083767D"/>
    <w:rsid w:val="0083779B"/>
    <w:rsid w:val="00837884"/>
    <w:rsid w:val="00837A07"/>
    <w:rsid w:val="00837A18"/>
    <w:rsid w:val="00837AAE"/>
    <w:rsid w:val="00837BAA"/>
    <w:rsid w:val="00837BBE"/>
    <w:rsid w:val="00837D6C"/>
    <w:rsid w:val="00837F47"/>
    <w:rsid w:val="0084009F"/>
    <w:rsid w:val="0084013E"/>
    <w:rsid w:val="008402EC"/>
    <w:rsid w:val="00840572"/>
    <w:rsid w:val="00840726"/>
    <w:rsid w:val="008409C6"/>
    <w:rsid w:val="00840A1F"/>
    <w:rsid w:val="00840AD5"/>
    <w:rsid w:val="00840B4F"/>
    <w:rsid w:val="00840B9E"/>
    <w:rsid w:val="00840BBB"/>
    <w:rsid w:val="00840BE5"/>
    <w:rsid w:val="00840C5F"/>
    <w:rsid w:val="00840DB5"/>
    <w:rsid w:val="0084102C"/>
    <w:rsid w:val="0084116A"/>
    <w:rsid w:val="0084120D"/>
    <w:rsid w:val="00841251"/>
    <w:rsid w:val="00841427"/>
    <w:rsid w:val="0084145E"/>
    <w:rsid w:val="008415AD"/>
    <w:rsid w:val="00841652"/>
    <w:rsid w:val="008417E0"/>
    <w:rsid w:val="00841811"/>
    <w:rsid w:val="0084184C"/>
    <w:rsid w:val="00841D3D"/>
    <w:rsid w:val="00841D45"/>
    <w:rsid w:val="00841E50"/>
    <w:rsid w:val="00841EAB"/>
    <w:rsid w:val="00841F18"/>
    <w:rsid w:val="00841F40"/>
    <w:rsid w:val="008420CC"/>
    <w:rsid w:val="00842113"/>
    <w:rsid w:val="00842178"/>
    <w:rsid w:val="00842268"/>
    <w:rsid w:val="00842284"/>
    <w:rsid w:val="00842413"/>
    <w:rsid w:val="0084253B"/>
    <w:rsid w:val="00842AB4"/>
    <w:rsid w:val="00842B25"/>
    <w:rsid w:val="00842B46"/>
    <w:rsid w:val="00842C57"/>
    <w:rsid w:val="00842E92"/>
    <w:rsid w:val="00842F8C"/>
    <w:rsid w:val="00842FD4"/>
    <w:rsid w:val="00842FD8"/>
    <w:rsid w:val="00843141"/>
    <w:rsid w:val="008432B9"/>
    <w:rsid w:val="0084342A"/>
    <w:rsid w:val="008434EA"/>
    <w:rsid w:val="0084364F"/>
    <w:rsid w:val="008436AB"/>
    <w:rsid w:val="008436BB"/>
    <w:rsid w:val="008436BD"/>
    <w:rsid w:val="00843723"/>
    <w:rsid w:val="0084374D"/>
    <w:rsid w:val="008438AF"/>
    <w:rsid w:val="008439A1"/>
    <w:rsid w:val="008439E4"/>
    <w:rsid w:val="00843AFB"/>
    <w:rsid w:val="00843B26"/>
    <w:rsid w:val="00843C29"/>
    <w:rsid w:val="00843D15"/>
    <w:rsid w:val="00843E74"/>
    <w:rsid w:val="00844312"/>
    <w:rsid w:val="00844439"/>
    <w:rsid w:val="008444C4"/>
    <w:rsid w:val="008444D0"/>
    <w:rsid w:val="008445CD"/>
    <w:rsid w:val="008446C8"/>
    <w:rsid w:val="00844706"/>
    <w:rsid w:val="00844738"/>
    <w:rsid w:val="00844762"/>
    <w:rsid w:val="008447E8"/>
    <w:rsid w:val="008448D9"/>
    <w:rsid w:val="00844AF4"/>
    <w:rsid w:val="00844B0D"/>
    <w:rsid w:val="00844E6D"/>
    <w:rsid w:val="008450AA"/>
    <w:rsid w:val="008450F3"/>
    <w:rsid w:val="008450F7"/>
    <w:rsid w:val="008452E4"/>
    <w:rsid w:val="0084550A"/>
    <w:rsid w:val="008455D5"/>
    <w:rsid w:val="00845661"/>
    <w:rsid w:val="0084569D"/>
    <w:rsid w:val="008456CF"/>
    <w:rsid w:val="00845937"/>
    <w:rsid w:val="0084597B"/>
    <w:rsid w:val="00845AC3"/>
    <w:rsid w:val="00845BB3"/>
    <w:rsid w:val="00845BCD"/>
    <w:rsid w:val="00845CAA"/>
    <w:rsid w:val="00845CF9"/>
    <w:rsid w:val="00845E1B"/>
    <w:rsid w:val="00845E26"/>
    <w:rsid w:val="00845FEB"/>
    <w:rsid w:val="008460AA"/>
    <w:rsid w:val="00846212"/>
    <w:rsid w:val="008463DF"/>
    <w:rsid w:val="008463E2"/>
    <w:rsid w:val="00846432"/>
    <w:rsid w:val="0084644F"/>
    <w:rsid w:val="00846474"/>
    <w:rsid w:val="008464CC"/>
    <w:rsid w:val="0084654F"/>
    <w:rsid w:val="0084680C"/>
    <w:rsid w:val="008469D3"/>
    <w:rsid w:val="00846A81"/>
    <w:rsid w:val="00846BFE"/>
    <w:rsid w:val="00846D0A"/>
    <w:rsid w:val="00846DB1"/>
    <w:rsid w:val="00846DF9"/>
    <w:rsid w:val="00846F04"/>
    <w:rsid w:val="00846F60"/>
    <w:rsid w:val="00846FB2"/>
    <w:rsid w:val="00847033"/>
    <w:rsid w:val="00847161"/>
    <w:rsid w:val="008471A6"/>
    <w:rsid w:val="008471B7"/>
    <w:rsid w:val="00847361"/>
    <w:rsid w:val="008474D8"/>
    <w:rsid w:val="008475BF"/>
    <w:rsid w:val="00847872"/>
    <w:rsid w:val="00847A2C"/>
    <w:rsid w:val="00847A4F"/>
    <w:rsid w:val="00847D49"/>
    <w:rsid w:val="00847D62"/>
    <w:rsid w:val="00847D88"/>
    <w:rsid w:val="00847D98"/>
    <w:rsid w:val="00847DB1"/>
    <w:rsid w:val="00847E2E"/>
    <w:rsid w:val="00847E7F"/>
    <w:rsid w:val="00847E9B"/>
    <w:rsid w:val="00847ECF"/>
    <w:rsid w:val="00847F48"/>
    <w:rsid w:val="00847FB0"/>
    <w:rsid w:val="008501B4"/>
    <w:rsid w:val="0085020C"/>
    <w:rsid w:val="00850223"/>
    <w:rsid w:val="0085029B"/>
    <w:rsid w:val="008502E3"/>
    <w:rsid w:val="00850368"/>
    <w:rsid w:val="00850439"/>
    <w:rsid w:val="008504BB"/>
    <w:rsid w:val="008504E5"/>
    <w:rsid w:val="00850544"/>
    <w:rsid w:val="0085065A"/>
    <w:rsid w:val="00850675"/>
    <w:rsid w:val="00850764"/>
    <w:rsid w:val="008507D6"/>
    <w:rsid w:val="008507F4"/>
    <w:rsid w:val="008508CB"/>
    <w:rsid w:val="00850944"/>
    <w:rsid w:val="00850ACF"/>
    <w:rsid w:val="00850B05"/>
    <w:rsid w:val="00850C51"/>
    <w:rsid w:val="00850CCA"/>
    <w:rsid w:val="00850D82"/>
    <w:rsid w:val="00850F99"/>
    <w:rsid w:val="008511BD"/>
    <w:rsid w:val="008512C2"/>
    <w:rsid w:val="0085144F"/>
    <w:rsid w:val="0085145E"/>
    <w:rsid w:val="008514D8"/>
    <w:rsid w:val="00851636"/>
    <w:rsid w:val="008516AC"/>
    <w:rsid w:val="00851833"/>
    <w:rsid w:val="0085187C"/>
    <w:rsid w:val="00851888"/>
    <w:rsid w:val="00851939"/>
    <w:rsid w:val="0085194B"/>
    <w:rsid w:val="00851993"/>
    <w:rsid w:val="00851A51"/>
    <w:rsid w:val="00851A77"/>
    <w:rsid w:val="00851C07"/>
    <w:rsid w:val="00851CC0"/>
    <w:rsid w:val="00851D3A"/>
    <w:rsid w:val="00851EF9"/>
    <w:rsid w:val="00851F6C"/>
    <w:rsid w:val="008523A9"/>
    <w:rsid w:val="008523F4"/>
    <w:rsid w:val="008526D8"/>
    <w:rsid w:val="00852746"/>
    <w:rsid w:val="008528E0"/>
    <w:rsid w:val="008528F2"/>
    <w:rsid w:val="008528F4"/>
    <w:rsid w:val="008528FC"/>
    <w:rsid w:val="0085293B"/>
    <w:rsid w:val="00852942"/>
    <w:rsid w:val="00852A73"/>
    <w:rsid w:val="00852C41"/>
    <w:rsid w:val="00852C5B"/>
    <w:rsid w:val="00852CDA"/>
    <w:rsid w:val="00852D44"/>
    <w:rsid w:val="00852DD3"/>
    <w:rsid w:val="00852E04"/>
    <w:rsid w:val="00852E84"/>
    <w:rsid w:val="00852EA4"/>
    <w:rsid w:val="00853151"/>
    <w:rsid w:val="00853276"/>
    <w:rsid w:val="00853314"/>
    <w:rsid w:val="00853462"/>
    <w:rsid w:val="008534E5"/>
    <w:rsid w:val="008535B9"/>
    <w:rsid w:val="0085366E"/>
    <w:rsid w:val="008536E3"/>
    <w:rsid w:val="008538A9"/>
    <w:rsid w:val="00853A0E"/>
    <w:rsid w:val="00853A71"/>
    <w:rsid w:val="00853B5F"/>
    <w:rsid w:val="0085404E"/>
    <w:rsid w:val="00854082"/>
    <w:rsid w:val="00854237"/>
    <w:rsid w:val="008543AC"/>
    <w:rsid w:val="008543D7"/>
    <w:rsid w:val="00854471"/>
    <w:rsid w:val="00854475"/>
    <w:rsid w:val="0085451C"/>
    <w:rsid w:val="0085456C"/>
    <w:rsid w:val="00854648"/>
    <w:rsid w:val="008548E0"/>
    <w:rsid w:val="0085491C"/>
    <w:rsid w:val="00854987"/>
    <w:rsid w:val="0085498B"/>
    <w:rsid w:val="0085498E"/>
    <w:rsid w:val="00854CAE"/>
    <w:rsid w:val="00854DD8"/>
    <w:rsid w:val="00854E3A"/>
    <w:rsid w:val="00854EED"/>
    <w:rsid w:val="00854F4C"/>
    <w:rsid w:val="0085507E"/>
    <w:rsid w:val="0085519B"/>
    <w:rsid w:val="008552E3"/>
    <w:rsid w:val="00855316"/>
    <w:rsid w:val="0085535F"/>
    <w:rsid w:val="0085573E"/>
    <w:rsid w:val="008558FE"/>
    <w:rsid w:val="00855AC3"/>
    <w:rsid w:val="00855AE9"/>
    <w:rsid w:val="00855BA0"/>
    <w:rsid w:val="00855CFE"/>
    <w:rsid w:val="00855D2C"/>
    <w:rsid w:val="00855D70"/>
    <w:rsid w:val="00855DA3"/>
    <w:rsid w:val="00855E4F"/>
    <w:rsid w:val="00855F3B"/>
    <w:rsid w:val="00856021"/>
    <w:rsid w:val="00856053"/>
    <w:rsid w:val="00856141"/>
    <w:rsid w:val="00856415"/>
    <w:rsid w:val="0085653C"/>
    <w:rsid w:val="0085654A"/>
    <w:rsid w:val="00856724"/>
    <w:rsid w:val="008567BE"/>
    <w:rsid w:val="00856863"/>
    <w:rsid w:val="008568AF"/>
    <w:rsid w:val="00856970"/>
    <w:rsid w:val="0085698E"/>
    <w:rsid w:val="00856A4A"/>
    <w:rsid w:val="00856C4B"/>
    <w:rsid w:val="00856C64"/>
    <w:rsid w:val="00856C6F"/>
    <w:rsid w:val="00856CE2"/>
    <w:rsid w:val="00856D19"/>
    <w:rsid w:val="00856D62"/>
    <w:rsid w:val="00856DD3"/>
    <w:rsid w:val="00857055"/>
    <w:rsid w:val="00857376"/>
    <w:rsid w:val="0085741F"/>
    <w:rsid w:val="008575D2"/>
    <w:rsid w:val="0085767D"/>
    <w:rsid w:val="008576E2"/>
    <w:rsid w:val="008577C2"/>
    <w:rsid w:val="00857A12"/>
    <w:rsid w:val="00857AD5"/>
    <w:rsid w:val="00857B40"/>
    <w:rsid w:val="00857B91"/>
    <w:rsid w:val="00857BD1"/>
    <w:rsid w:val="00857BF9"/>
    <w:rsid w:val="00857D3C"/>
    <w:rsid w:val="00857DB5"/>
    <w:rsid w:val="00857E80"/>
    <w:rsid w:val="0085F7AE"/>
    <w:rsid w:val="00860251"/>
    <w:rsid w:val="00860274"/>
    <w:rsid w:val="00860329"/>
    <w:rsid w:val="00860395"/>
    <w:rsid w:val="00860476"/>
    <w:rsid w:val="008604EC"/>
    <w:rsid w:val="00860509"/>
    <w:rsid w:val="008607CA"/>
    <w:rsid w:val="00860AF2"/>
    <w:rsid w:val="00860C50"/>
    <w:rsid w:val="00860C70"/>
    <w:rsid w:val="00860CD7"/>
    <w:rsid w:val="00860DEF"/>
    <w:rsid w:val="00860E14"/>
    <w:rsid w:val="00860F52"/>
    <w:rsid w:val="0086113F"/>
    <w:rsid w:val="0086114B"/>
    <w:rsid w:val="008611CC"/>
    <w:rsid w:val="008611EE"/>
    <w:rsid w:val="0086129D"/>
    <w:rsid w:val="00861304"/>
    <w:rsid w:val="0086133E"/>
    <w:rsid w:val="0086148B"/>
    <w:rsid w:val="00861558"/>
    <w:rsid w:val="008616B6"/>
    <w:rsid w:val="008617F3"/>
    <w:rsid w:val="00861814"/>
    <w:rsid w:val="008618AF"/>
    <w:rsid w:val="008619AE"/>
    <w:rsid w:val="00861A27"/>
    <w:rsid w:val="00861A4D"/>
    <w:rsid w:val="00861BB8"/>
    <w:rsid w:val="00861C0F"/>
    <w:rsid w:val="00861C27"/>
    <w:rsid w:val="00861C7F"/>
    <w:rsid w:val="00861CB3"/>
    <w:rsid w:val="00861DDC"/>
    <w:rsid w:val="008621F2"/>
    <w:rsid w:val="008621F6"/>
    <w:rsid w:val="0086222E"/>
    <w:rsid w:val="00862304"/>
    <w:rsid w:val="0086233E"/>
    <w:rsid w:val="0086239C"/>
    <w:rsid w:val="008624D7"/>
    <w:rsid w:val="00862774"/>
    <w:rsid w:val="00862784"/>
    <w:rsid w:val="008627B3"/>
    <w:rsid w:val="00862995"/>
    <w:rsid w:val="00862AAF"/>
    <w:rsid w:val="00862AF2"/>
    <w:rsid w:val="00862B1E"/>
    <w:rsid w:val="00862B8E"/>
    <w:rsid w:val="00862CC0"/>
    <w:rsid w:val="00862D87"/>
    <w:rsid w:val="00862ED3"/>
    <w:rsid w:val="00862EFA"/>
    <w:rsid w:val="00863068"/>
    <w:rsid w:val="008630FC"/>
    <w:rsid w:val="00863361"/>
    <w:rsid w:val="008633F5"/>
    <w:rsid w:val="00863474"/>
    <w:rsid w:val="0086354F"/>
    <w:rsid w:val="00863597"/>
    <w:rsid w:val="008635D6"/>
    <w:rsid w:val="008637FA"/>
    <w:rsid w:val="00863A00"/>
    <w:rsid w:val="00863B21"/>
    <w:rsid w:val="00863D28"/>
    <w:rsid w:val="00863D2B"/>
    <w:rsid w:val="00863E0F"/>
    <w:rsid w:val="00863EAE"/>
    <w:rsid w:val="00863EB7"/>
    <w:rsid w:val="00863F81"/>
    <w:rsid w:val="0086419A"/>
    <w:rsid w:val="008642E0"/>
    <w:rsid w:val="00864389"/>
    <w:rsid w:val="00864443"/>
    <w:rsid w:val="008645EC"/>
    <w:rsid w:val="0086468A"/>
    <w:rsid w:val="008647AC"/>
    <w:rsid w:val="00864A5D"/>
    <w:rsid w:val="00864AED"/>
    <w:rsid w:val="00864B3C"/>
    <w:rsid w:val="00864BC3"/>
    <w:rsid w:val="00864C44"/>
    <w:rsid w:val="00864CC6"/>
    <w:rsid w:val="00864D20"/>
    <w:rsid w:val="00864ECA"/>
    <w:rsid w:val="00864FAA"/>
    <w:rsid w:val="00864FC7"/>
    <w:rsid w:val="00865012"/>
    <w:rsid w:val="00865139"/>
    <w:rsid w:val="00865258"/>
    <w:rsid w:val="00865594"/>
    <w:rsid w:val="0086577C"/>
    <w:rsid w:val="00865D50"/>
    <w:rsid w:val="00865E06"/>
    <w:rsid w:val="00865E7A"/>
    <w:rsid w:val="00865E96"/>
    <w:rsid w:val="00865EB1"/>
    <w:rsid w:val="00865ED0"/>
    <w:rsid w:val="00865F4A"/>
    <w:rsid w:val="0086630E"/>
    <w:rsid w:val="008663FE"/>
    <w:rsid w:val="0086648A"/>
    <w:rsid w:val="008664CA"/>
    <w:rsid w:val="008665A7"/>
    <w:rsid w:val="008665BA"/>
    <w:rsid w:val="008666AC"/>
    <w:rsid w:val="00866749"/>
    <w:rsid w:val="008667E9"/>
    <w:rsid w:val="008668D7"/>
    <w:rsid w:val="008669EF"/>
    <w:rsid w:val="00866A23"/>
    <w:rsid w:val="00866C42"/>
    <w:rsid w:val="00866D6B"/>
    <w:rsid w:val="00866DB5"/>
    <w:rsid w:val="00866DCA"/>
    <w:rsid w:val="00866E72"/>
    <w:rsid w:val="008671E4"/>
    <w:rsid w:val="00867385"/>
    <w:rsid w:val="00867389"/>
    <w:rsid w:val="00867419"/>
    <w:rsid w:val="0086751E"/>
    <w:rsid w:val="00867596"/>
    <w:rsid w:val="008675BB"/>
    <w:rsid w:val="00867681"/>
    <w:rsid w:val="008676EE"/>
    <w:rsid w:val="00867841"/>
    <w:rsid w:val="00867975"/>
    <w:rsid w:val="00867ADA"/>
    <w:rsid w:val="00867B45"/>
    <w:rsid w:val="00867C3B"/>
    <w:rsid w:val="00867CAA"/>
    <w:rsid w:val="008700B3"/>
    <w:rsid w:val="00870128"/>
    <w:rsid w:val="008701C7"/>
    <w:rsid w:val="0087023B"/>
    <w:rsid w:val="0087040E"/>
    <w:rsid w:val="00870536"/>
    <w:rsid w:val="008705C9"/>
    <w:rsid w:val="008706CD"/>
    <w:rsid w:val="008706E0"/>
    <w:rsid w:val="00870729"/>
    <w:rsid w:val="00870786"/>
    <w:rsid w:val="00870985"/>
    <w:rsid w:val="00870A0B"/>
    <w:rsid w:val="00870A98"/>
    <w:rsid w:val="00870AB7"/>
    <w:rsid w:val="00870B96"/>
    <w:rsid w:val="00870BE5"/>
    <w:rsid w:val="00870C3D"/>
    <w:rsid w:val="00870C8C"/>
    <w:rsid w:val="00870E00"/>
    <w:rsid w:val="0087105B"/>
    <w:rsid w:val="008711B0"/>
    <w:rsid w:val="008712BB"/>
    <w:rsid w:val="008712C1"/>
    <w:rsid w:val="008712F1"/>
    <w:rsid w:val="00871391"/>
    <w:rsid w:val="00871679"/>
    <w:rsid w:val="008716E6"/>
    <w:rsid w:val="0087177E"/>
    <w:rsid w:val="0087186F"/>
    <w:rsid w:val="00871BAE"/>
    <w:rsid w:val="00871D0A"/>
    <w:rsid w:val="00871D38"/>
    <w:rsid w:val="00871DFC"/>
    <w:rsid w:val="00871F69"/>
    <w:rsid w:val="00871FA3"/>
    <w:rsid w:val="00871FBE"/>
    <w:rsid w:val="00872100"/>
    <w:rsid w:val="00872103"/>
    <w:rsid w:val="00872115"/>
    <w:rsid w:val="00872125"/>
    <w:rsid w:val="00872320"/>
    <w:rsid w:val="00872353"/>
    <w:rsid w:val="00872493"/>
    <w:rsid w:val="0087252E"/>
    <w:rsid w:val="008725A7"/>
    <w:rsid w:val="0087273F"/>
    <w:rsid w:val="00872772"/>
    <w:rsid w:val="008729A9"/>
    <w:rsid w:val="008729CA"/>
    <w:rsid w:val="008729DC"/>
    <w:rsid w:val="00872B0D"/>
    <w:rsid w:val="00872B4A"/>
    <w:rsid w:val="00872BEC"/>
    <w:rsid w:val="00872C94"/>
    <w:rsid w:val="00872D7E"/>
    <w:rsid w:val="00872D96"/>
    <w:rsid w:val="00872F4F"/>
    <w:rsid w:val="00872FA5"/>
    <w:rsid w:val="00873032"/>
    <w:rsid w:val="00873093"/>
    <w:rsid w:val="00873153"/>
    <w:rsid w:val="00873251"/>
    <w:rsid w:val="00873291"/>
    <w:rsid w:val="0087348C"/>
    <w:rsid w:val="0087355A"/>
    <w:rsid w:val="0087363D"/>
    <w:rsid w:val="00873676"/>
    <w:rsid w:val="008736E6"/>
    <w:rsid w:val="008737CB"/>
    <w:rsid w:val="008737D6"/>
    <w:rsid w:val="00873B1E"/>
    <w:rsid w:val="00873B2E"/>
    <w:rsid w:val="00873CF6"/>
    <w:rsid w:val="00873D03"/>
    <w:rsid w:val="00873D9E"/>
    <w:rsid w:val="00873E1C"/>
    <w:rsid w:val="0087415F"/>
    <w:rsid w:val="00874248"/>
    <w:rsid w:val="00874394"/>
    <w:rsid w:val="00874557"/>
    <w:rsid w:val="008745FD"/>
    <w:rsid w:val="00874721"/>
    <w:rsid w:val="00874794"/>
    <w:rsid w:val="0087497A"/>
    <w:rsid w:val="008749AF"/>
    <w:rsid w:val="008749BF"/>
    <w:rsid w:val="00874BCF"/>
    <w:rsid w:val="00874F98"/>
    <w:rsid w:val="00874FC5"/>
    <w:rsid w:val="00874FDF"/>
    <w:rsid w:val="00875047"/>
    <w:rsid w:val="008750B4"/>
    <w:rsid w:val="008751EF"/>
    <w:rsid w:val="00875631"/>
    <w:rsid w:val="008757B2"/>
    <w:rsid w:val="008757CE"/>
    <w:rsid w:val="00875833"/>
    <w:rsid w:val="0087583E"/>
    <w:rsid w:val="0087587D"/>
    <w:rsid w:val="008758DB"/>
    <w:rsid w:val="008759C4"/>
    <w:rsid w:val="00875A86"/>
    <w:rsid w:val="00875B09"/>
    <w:rsid w:val="00875CCD"/>
    <w:rsid w:val="00875D02"/>
    <w:rsid w:val="00875E4F"/>
    <w:rsid w:val="00875ECB"/>
    <w:rsid w:val="008760C1"/>
    <w:rsid w:val="00876103"/>
    <w:rsid w:val="00876131"/>
    <w:rsid w:val="008763B6"/>
    <w:rsid w:val="008763F7"/>
    <w:rsid w:val="00876446"/>
    <w:rsid w:val="0087647A"/>
    <w:rsid w:val="008764F8"/>
    <w:rsid w:val="008765B1"/>
    <w:rsid w:val="008765C9"/>
    <w:rsid w:val="0087676E"/>
    <w:rsid w:val="00876849"/>
    <w:rsid w:val="00876870"/>
    <w:rsid w:val="00876876"/>
    <w:rsid w:val="00876964"/>
    <w:rsid w:val="00876A11"/>
    <w:rsid w:val="00876A3C"/>
    <w:rsid w:val="00876E4C"/>
    <w:rsid w:val="00876E5E"/>
    <w:rsid w:val="00876E80"/>
    <w:rsid w:val="00876E8F"/>
    <w:rsid w:val="0087731C"/>
    <w:rsid w:val="00877387"/>
    <w:rsid w:val="008773CE"/>
    <w:rsid w:val="0087741B"/>
    <w:rsid w:val="0087753E"/>
    <w:rsid w:val="00877677"/>
    <w:rsid w:val="00877770"/>
    <w:rsid w:val="0087783E"/>
    <w:rsid w:val="0087784E"/>
    <w:rsid w:val="0087798C"/>
    <w:rsid w:val="00877F8D"/>
    <w:rsid w:val="00877FF1"/>
    <w:rsid w:val="008800DD"/>
    <w:rsid w:val="0088016D"/>
    <w:rsid w:val="00880300"/>
    <w:rsid w:val="00880492"/>
    <w:rsid w:val="008804C6"/>
    <w:rsid w:val="00880687"/>
    <w:rsid w:val="00880697"/>
    <w:rsid w:val="008806E8"/>
    <w:rsid w:val="00880857"/>
    <w:rsid w:val="008808D5"/>
    <w:rsid w:val="0088092D"/>
    <w:rsid w:val="00880981"/>
    <w:rsid w:val="00880A96"/>
    <w:rsid w:val="00880BC3"/>
    <w:rsid w:val="00880C1D"/>
    <w:rsid w:val="00880FF3"/>
    <w:rsid w:val="008810BE"/>
    <w:rsid w:val="008811BE"/>
    <w:rsid w:val="008812B4"/>
    <w:rsid w:val="008812FE"/>
    <w:rsid w:val="00881379"/>
    <w:rsid w:val="00881572"/>
    <w:rsid w:val="0088159A"/>
    <w:rsid w:val="008815CB"/>
    <w:rsid w:val="008819F4"/>
    <w:rsid w:val="00881B34"/>
    <w:rsid w:val="00881C3B"/>
    <w:rsid w:val="00881C52"/>
    <w:rsid w:val="00881C98"/>
    <w:rsid w:val="00881D06"/>
    <w:rsid w:val="00881D2E"/>
    <w:rsid w:val="00881DEF"/>
    <w:rsid w:val="00881E68"/>
    <w:rsid w:val="00881F14"/>
    <w:rsid w:val="00882024"/>
    <w:rsid w:val="00882204"/>
    <w:rsid w:val="00882356"/>
    <w:rsid w:val="00882380"/>
    <w:rsid w:val="0088250C"/>
    <w:rsid w:val="008825FD"/>
    <w:rsid w:val="008827C2"/>
    <w:rsid w:val="008827CF"/>
    <w:rsid w:val="008828F3"/>
    <w:rsid w:val="008829A7"/>
    <w:rsid w:val="008829C2"/>
    <w:rsid w:val="00882A84"/>
    <w:rsid w:val="00882B0C"/>
    <w:rsid w:val="00882BBE"/>
    <w:rsid w:val="00882C87"/>
    <w:rsid w:val="00882CC9"/>
    <w:rsid w:val="00882E29"/>
    <w:rsid w:val="00882E2A"/>
    <w:rsid w:val="00882FAB"/>
    <w:rsid w:val="00883009"/>
    <w:rsid w:val="00883065"/>
    <w:rsid w:val="00883298"/>
    <w:rsid w:val="008832F3"/>
    <w:rsid w:val="0088332C"/>
    <w:rsid w:val="008833B8"/>
    <w:rsid w:val="00883497"/>
    <w:rsid w:val="0088366C"/>
    <w:rsid w:val="008836F4"/>
    <w:rsid w:val="008838BE"/>
    <w:rsid w:val="0088399F"/>
    <w:rsid w:val="008839BC"/>
    <w:rsid w:val="00883A04"/>
    <w:rsid w:val="00883B5D"/>
    <w:rsid w:val="00883C32"/>
    <w:rsid w:val="008840B6"/>
    <w:rsid w:val="00884230"/>
    <w:rsid w:val="0088448E"/>
    <w:rsid w:val="00884756"/>
    <w:rsid w:val="008847CB"/>
    <w:rsid w:val="00884838"/>
    <w:rsid w:val="00884917"/>
    <w:rsid w:val="0088495C"/>
    <w:rsid w:val="00884A37"/>
    <w:rsid w:val="00884AEB"/>
    <w:rsid w:val="00884B4B"/>
    <w:rsid w:val="00884BB0"/>
    <w:rsid w:val="00884C09"/>
    <w:rsid w:val="00884D7F"/>
    <w:rsid w:val="00884FA1"/>
    <w:rsid w:val="00885214"/>
    <w:rsid w:val="008852A4"/>
    <w:rsid w:val="008852F3"/>
    <w:rsid w:val="00885373"/>
    <w:rsid w:val="008853A0"/>
    <w:rsid w:val="0088542F"/>
    <w:rsid w:val="00885464"/>
    <w:rsid w:val="0088546C"/>
    <w:rsid w:val="008854A8"/>
    <w:rsid w:val="00885713"/>
    <w:rsid w:val="0088584C"/>
    <w:rsid w:val="00885864"/>
    <w:rsid w:val="00885A41"/>
    <w:rsid w:val="00885B8A"/>
    <w:rsid w:val="00885BB2"/>
    <w:rsid w:val="00885C5A"/>
    <w:rsid w:val="00885D1D"/>
    <w:rsid w:val="00885F99"/>
    <w:rsid w:val="0088611A"/>
    <w:rsid w:val="0088623A"/>
    <w:rsid w:val="00886297"/>
    <w:rsid w:val="00886342"/>
    <w:rsid w:val="008863AF"/>
    <w:rsid w:val="008865A0"/>
    <w:rsid w:val="008865B3"/>
    <w:rsid w:val="0088676F"/>
    <w:rsid w:val="00886809"/>
    <w:rsid w:val="00886824"/>
    <w:rsid w:val="00886901"/>
    <w:rsid w:val="008869F3"/>
    <w:rsid w:val="008869F8"/>
    <w:rsid w:val="00886A13"/>
    <w:rsid w:val="00886A78"/>
    <w:rsid w:val="00886AB1"/>
    <w:rsid w:val="00886AF2"/>
    <w:rsid w:val="00886BA7"/>
    <w:rsid w:val="00886CF1"/>
    <w:rsid w:val="00886DE0"/>
    <w:rsid w:val="00886E47"/>
    <w:rsid w:val="00887086"/>
    <w:rsid w:val="0088709D"/>
    <w:rsid w:val="00887195"/>
    <w:rsid w:val="008872B5"/>
    <w:rsid w:val="00887388"/>
    <w:rsid w:val="00887527"/>
    <w:rsid w:val="008876BB"/>
    <w:rsid w:val="00887A0E"/>
    <w:rsid w:val="00887A93"/>
    <w:rsid w:val="00887AA9"/>
    <w:rsid w:val="00887E2D"/>
    <w:rsid w:val="00887E94"/>
    <w:rsid w:val="00887EF4"/>
    <w:rsid w:val="0088B88B"/>
    <w:rsid w:val="00890008"/>
    <w:rsid w:val="00890190"/>
    <w:rsid w:val="0089036D"/>
    <w:rsid w:val="00890575"/>
    <w:rsid w:val="008905C3"/>
    <w:rsid w:val="008905E3"/>
    <w:rsid w:val="00890699"/>
    <w:rsid w:val="008907EC"/>
    <w:rsid w:val="008908D5"/>
    <w:rsid w:val="0089094B"/>
    <w:rsid w:val="0089094D"/>
    <w:rsid w:val="00890A2F"/>
    <w:rsid w:val="00890C2E"/>
    <w:rsid w:val="00890C70"/>
    <w:rsid w:val="00890CAA"/>
    <w:rsid w:val="00890E51"/>
    <w:rsid w:val="00890E71"/>
    <w:rsid w:val="00890F07"/>
    <w:rsid w:val="00891018"/>
    <w:rsid w:val="0089106F"/>
    <w:rsid w:val="0089113D"/>
    <w:rsid w:val="00891215"/>
    <w:rsid w:val="008913AA"/>
    <w:rsid w:val="008914B6"/>
    <w:rsid w:val="008915D6"/>
    <w:rsid w:val="008917B8"/>
    <w:rsid w:val="0089182A"/>
    <w:rsid w:val="00891944"/>
    <w:rsid w:val="00891970"/>
    <w:rsid w:val="00891A18"/>
    <w:rsid w:val="00891C44"/>
    <w:rsid w:val="00891C5C"/>
    <w:rsid w:val="00891D03"/>
    <w:rsid w:val="00891D36"/>
    <w:rsid w:val="00891EBF"/>
    <w:rsid w:val="00891F8A"/>
    <w:rsid w:val="0089201C"/>
    <w:rsid w:val="008921AD"/>
    <w:rsid w:val="0089222D"/>
    <w:rsid w:val="008923B2"/>
    <w:rsid w:val="00892459"/>
    <w:rsid w:val="0089257A"/>
    <w:rsid w:val="00892620"/>
    <w:rsid w:val="00892630"/>
    <w:rsid w:val="0089263B"/>
    <w:rsid w:val="0089263F"/>
    <w:rsid w:val="00892650"/>
    <w:rsid w:val="0089265F"/>
    <w:rsid w:val="00892934"/>
    <w:rsid w:val="00892A6B"/>
    <w:rsid w:val="00892C2C"/>
    <w:rsid w:val="00892CB4"/>
    <w:rsid w:val="00892D7A"/>
    <w:rsid w:val="00892DA0"/>
    <w:rsid w:val="00892DD8"/>
    <w:rsid w:val="00892E4A"/>
    <w:rsid w:val="00892E7D"/>
    <w:rsid w:val="00892FAB"/>
    <w:rsid w:val="00893114"/>
    <w:rsid w:val="008935C9"/>
    <w:rsid w:val="0089368F"/>
    <w:rsid w:val="00893750"/>
    <w:rsid w:val="00893818"/>
    <w:rsid w:val="0089385B"/>
    <w:rsid w:val="0089391D"/>
    <w:rsid w:val="008939C6"/>
    <w:rsid w:val="00893A9D"/>
    <w:rsid w:val="00893BBF"/>
    <w:rsid w:val="00893E1A"/>
    <w:rsid w:val="00893EE6"/>
    <w:rsid w:val="00894019"/>
    <w:rsid w:val="00894064"/>
    <w:rsid w:val="0089413A"/>
    <w:rsid w:val="00894223"/>
    <w:rsid w:val="0089441B"/>
    <w:rsid w:val="00894463"/>
    <w:rsid w:val="00894620"/>
    <w:rsid w:val="00894678"/>
    <w:rsid w:val="008946BB"/>
    <w:rsid w:val="00894841"/>
    <w:rsid w:val="008948D3"/>
    <w:rsid w:val="00894977"/>
    <w:rsid w:val="00894A1B"/>
    <w:rsid w:val="00894AFB"/>
    <w:rsid w:val="00894B6E"/>
    <w:rsid w:val="00894B96"/>
    <w:rsid w:val="00894C31"/>
    <w:rsid w:val="00894D13"/>
    <w:rsid w:val="00894D38"/>
    <w:rsid w:val="00894D81"/>
    <w:rsid w:val="00894EE4"/>
    <w:rsid w:val="00894EF3"/>
    <w:rsid w:val="00895319"/>
    <w:rsid w:val="0089534D"/>
    <w:rsid w:val="00895355"/>
    <w:rsid w:val="00895424"/>
    <w:rsid w:val="008955E1"/>
    <w:rsid w:val="00895710"/>
    <w:rsid w:val="00895B8C"/>
    <w:rsid w:val="00895BCB"/>
    <w:rsid w:val="00895C2E"/>
    <w:rsid w:val="00895E67"/>
    <w:rsid w:val="00895F47"/>
    <w:rsid w:val="0089607B"/>
    <w:rsid w:val="008960B5"/>
    <w:rsid w:val="00896112"/>
    <w:rsid w:val="0089616E"/>
    <w:rsid w:val="0089654F"/>
    <w:rsid w:val="008965BE"/>
    <w:rsid w:val="008965F9"/>
    <w:rsid w:val="008966A7"/>
    <w:rsid w:val="008966B6"/>
    <w:rsid w:val="008966C7"/>
    <w:rsid w:val="0089676C"/>
    <w:rsid w:val="00896862"/>
    <w:rsid w:val="00896921"/>
    <w:rsid w:val="008969C7"/>
    <w:rsid w:val="00896B54"/>
    <w:rsid w:val="00896C20"/>
    <w:rsid w:val="00896D9D"/>
    <w:rsid w:val="0089708B"/>
    <w:rsid w:val="008971EC"/>
    <w:rsid w:val="008972F1"/>
    <w:rsid w:val="008973C4"/>
    <w:rsid w:val="0089740B"/>
    <w:rsid w:val="008974B7"/>
    <w:rsid w:val="00897630"/>
    <w:rsid w:val="008976DD"/>
    <w:rsid w:val="00897761"/>
    <w:rsid w:val="00897815"/>
    <w:rsid w:val="00897837"/>
    <w:rsid w:val="00897850"/>
    <w:rsid w:val="00897861"/>
    <w:rsid w:val="008978EF"/>
    <w:rsid w:val="00897944"/>
    <w:rsid w:val="00897A1E"/>
    <w:rsid w:val="00897BFE"/>
    <w:rsid w:val="00897C34"/>
    <w:rsid w:val="00897C3D"/>
    <w:rsid w:val="00897D4B"/>
    <w:rsid w:val="00897DE7"/>
    <w:rsid w:val="00897FB8"/>
    <w:rsid w:val="008A002B"/>
    <w:rsid w:val="008A0065"/>
    <w:rsid w:val="008A009D"/>
    <w:rsid w:val="008A00E8"/>
    <w:rsid w:val="008A01F7"/>
    <w:rsid w:val="008A0337"/>
    <w:rsid w:val="008A03E2"/>
    <w:rsid w:val="008A058A"/>
    <w:rsid w:val="008A05EE"/>
    <w:rsid w:val="008A0685"/>
    <w:rsid w:val="008A0774"/>
    <w:rsid w:val="008A07AA"/>
    <w:rsid w:val="008A07B6"/>
    <w:rsid w:val="008A0942"/>
    <w:rsid w:val="008A0A31"/>
    <w:rsid w:val="008A0A4B"/>
    <w:rsid w:val="008A0B6C"/>
    <w:rsid w:val="008A0C1B"/>
    <w:rsid w:val="008A0E96"/>
    <w:rsid w:val="008A0F3B"/>
    <w:rsid w:val="008A0F65"/>
    <w:rsid w:val="008A0FBF"/>
    <w:rsid w:val="008A0FC0"/>
    <w:rsid w:val="008A1070"/>
    <w:rsid w:val="008A10C1"/>
    <w:rsid w:val="008A10CE"/>
    <w:rsid w:val="008A1348"/>
    <w:rsid w:val="008A136B"/>
    <w:rsid w:val="008A1371"/>
    <w:rsid w:val="008A16BC"/>
    <w:rsid w:val="008A179F"/>
    <w:rsid w:val="008A18E5"/>
    <w:rsid w:val="008A1999"/>
    <w:rsid w:val="008A19AA"/>
    <w:rsid w:val="008A19BF"/>
    <w:rsid w:val="008A1A01"/>
    <w:rsid w:val="008A1A3C"/>
    <w:rsid w:val="008A1A5A"/>
    <w:rsid w:val="008A1AD8"/>
    <w:rsid w:val="008A1B71"/>
    <w:rsid w:val="008A1D39"/>
    <w:rsid w:val="008A1DA0"/>
    <w:rsid w:val="008A1E0B"/>
    <w:rsid w:val="008A1FED"/>
    <w:rsid w:val="008A2040"/>
    <w:rsid w:val="008A209D"/>
    <w:rsid w:val="008A20E7"/>
    <w:rsid w:val="008A21C0"/>
    <w:rsid w:val="008A23F9"/>
    <w:rsid w:val="008A2538"/>
    <w:rsid w:val="008A25A2"/>
    <w:rsid w:val="008A25A3"/>
    <w:rsid w:val="008A25D3"/>
    <w:rsid w:val="008A2746"/>
    <w:rsid w:val="008A2827"/>
    <w:rsid w:val="008A29C4"/>
    <w:rsid w:val="008A2B18"/>
    <w:rsid w:val="008A2B2D"/>
    <w:rsid w:val="008A2B72"/>
    <w:rsid w:val="008A2CB0"/>
    <w:rsid w:val="008A2D1D"/>
    <w:rsid w:val="008A2DB7"/>
    <w:rsid w:val="008A2F8C"/>
    <w:rsid w:val="008A30D3"/>
    <w:rsid w:val="008A3104"/>
    <w:rsid w:val="008A3110"/>
    <w:rsid w:val="008A3121"/>
    <w:rsid w:val="008A312D"/>
    <w:rsid w:val="008A31D1"/>
    <w:rsid w:val="008A3593"/>
    <w:rsid w:val="008A362F"/>
    <w:rsid w:val="008A3743"/>
    <w:rsid w:val="008A381C"/>
    <w:rsid w:val="008A383C"/>
    <w:rsid w:val="008A3893"/>
    <w:rsid w:val="008A39C9"/>
    <w:rsid w:val="008A3A33"/>
    <w:rsid w:val="008A3B01"/>
    <w:rsid w:val="008A3B0E"/>
    <w:rsid w:val="008A3B1F"/>
    <w:rsid w:val="008A3B8E"/>
    <w:rsid w:val="008A3BED"/>
    <w:rsid w:val="008A3E13"/>
    <w:rsid w:val="008A3E92"/>
    <w:rsid w:val="008A3EEB"/>
    <w:rsid w:val="008A40D2"/>
    <w:rsid w:val="008A4186"/>
    <w:rsid w:val="008A41A9"/>
    <w:rsid w:val="008A41D7"/>
    <w:rsid w:val="008A420A"/>
    <w:rsid w:val="008A420B"/>
    <w:rsid w:val="008A4277"/>
    <w:rsid w:val="008A42EC"/>
    <w:rsid w:val="008A4411"/>
    <w:rsid w:val="008A49CF"/>
    <w:rsid w:val="008A4B13"/>
    <w:rsid w:val="008A4B6A"/>
    <w:rsid w:val="008A4D13"/>
    <w:rsid w:val="008A4E35"/>
    <w:rsid w:val="008A4F41"/>
    <w:rsid w:val="008A504D"/>
    <w:rsid w:val="008A52EC"/>
    <w:rsid w:val="008A5335"/>
    <w:rsid w:val="008A5624"/>
    <w:rsid w:val="008A562C"/>
    <w:rsid w:val="008A57E4"/>
    <w:rsid w:val="008A5869"/>
    <w:rsid w:val="008A58A0"/>
    <w:rsid w:val="008A5976"/>
    <w:rsid w:val="008A59C1"/>
    <w:rsid w:val="008A5C06"/>
    <w:rsid w:val="008A5D92"/>
    <w:rsid w:val="008A5E15"/>
    <w:rsid w:val="008A5F19"/>
    <w:rsid w:val="008A5F31"/>
    <w:rsid w:val="008A5FA4"/>
    <w:rsid w:val="008A6018"/>
    <w:rsid w:val="008A607A"/>
    <w:rsid w:val="008A6204"/>
    <w:rsid w:val="008A6309"/>
    <w:rsid w:val="008A649B"/>
    <w:rsid w:val="008A6566"/>
    <w:rsid w:val="008A65EC"/>
    <w:rsid w:val="008A660C"/>
    <w:rsid w:val="008A668A"/>
    <w:rsid w:val="008A66F4"/>
    <w:rsid w:val="008A6817"/>
    <w:rsid w:val="008A6B2F"/>
    <w:rsid w:val="008A6B3F"/>
    <w:rsid w:val="008A6B49"/>
    <w:rsid w:val="008A6B67"/>
    <w:rsid w:val="008A6B70"/>
    <w:rsid w:val="008A6BBE"/>
    <w:rsid w:val="008A6BF3"/>
    <w:rsid w:val="008A6D7D"/>
    <w:rsid w:val="008A6FCF"/>
    <w:rsid w:val="008A701C"/>
    <w:rsid w:val="008A714D"/>
    <w:rsid w:val="008A7156"/>
    <w:rsid w:val="008A73FB"/>
    <w:rsid w:val="008A7435"/>
    <w:rsid w:val="008A74A2"/>
    <w:rsid w:val="008A76B9"/>
    <w:rsid w:val="008A7770"/>
    <w:rsid w:val="008A7896"/>
    <w:rsid w:val="008A78AB"/>
    <w:rsid w:val="008A790D"/>
    <w:rsid w:val="008A7936"/>
    <w:rsid w:val="008A79AD"/>
    <w:rsid w:val="008A7A24"/>
    <w:rsid w:val="008A7A29"/>
    <w:rsid w:val="008A7ADB"/>
    <w:rsid w:val="008A7B3C"/>
    <w:rsid w:val="008A7D26"/>
    <w:rsid w:val="008A7DAB"/>
    <w:rsid w:val="008A7DB1"/>
    <w:rsid w:val="008A7F41"/>
    <w:rsid w:val="008A7F68"/>
    <w:rsid w:val="008A7F8A"/>
    <w:rsid w:val="008B0067"/>
    <w:rsid w:val="008B00C3"/>
    <w:rsid w:val="008B00D5"/>
    <w:rsid w:val="008B0178"/>
    <w:rsid w:val="008B0310"/>
    <w:rsid w:val="008B036A"/>
    <w:rsid w:val="008B0386"/>
    <w:rsid w:val="008B03F7"/>
    <w:rsid w:val="008B071C"/>
    <w:rsid w:val="008B078C"/>
    <w:rsid w:val="008B07A0"/>
    <w:rsid w:val="008B07E8"/>
    <w:rsid w:val="008B0864"/>
    <w:rsid w:val="008B0924"/>
    <w:rsid w:val="008B0A28"/>
    <w:rsid w:val="008B0A3F"/>
    <w:rsid w:val="008B0A70"/>
    <w:rsid w:val="008B0A77"/>
    <w:rsid w:val="008B0B6F"/>
    <w:rsid w:val="008B0BF6"/>
    <w:rsid w:val="008B0C68"/>
    <w:rsid w:val="008B0E85"/>
    <w:rsid w:val="008B1046"/>
    <w:rsid w:val="008B1248"/>
    <w:rsid w:val="008B12F8"/>
    <w:rsid w:val="008B137D"/>
    <w:rsid w:val="008B144F"/>
    <w:rsid w:val="008B150B"/>
    <w:rsid w:val="008B157E"/>
    <w:rsid w:val="008B17DA"/>
    <w:rsid w:val="008B1864"/>
    <w:rsid w:val="008B1BCB"/>
    <w:rsid w:val="008B1DC3"/>
    <w:rsid w:val="008B1E82"/>
    <w:rsid w:val="008B2058"/>
    <w:rsid w:val="008B207F"/>
    <w:rsid w:val="008B20C1"/>
    <w:rsid w:val="008B211B"/>
    <w:rsid w:val="008B230C"/>
    <w:rsid w:val="008B2331"/>
    <w:rsid w:val="008B2335"/>
    <w:rsid w:val="008B2417"/>
    <w:rsid w:val="008B252D"/>
    <w:rsid w:val="008B25E7"/>
    <w:rsid w:val="008B25EE"/>
    <w:rsid w:val="008B2606"/>
    <w:rsid w:val="008B2681"/>
    <w:rsid w:val="008B26E3"/>
    <w:rsid w:val="008B274C"/>
    <w:rsid w:val="008B27B7"/>
    <w:rsid w:val="008B28B9"/>
    <w:rsid w:val="008B2A74"/>
    <w:rsid w:val="008B2B7C"/>
    <w:rsid w:val="008B2D4A"/>
    <w:rsid w:val="008B2DA8"/>
    <w:rsid w:val="008B2DCA"/>
    <w:rsid w:val="008B2E1A"/>
    <w:rsid w:val="008B2EE5"/>
    <w:rsid w:val="008B30F3"/>
    <w:rsid w:val="008B311C"/>
    <w:rsid w:val="008B31A2"/>
    <w:rsid w:val="008B31E5"/>
    <w:rsid w:val="008B3274"/>
    <w:rsid w:val="008B327A"/>
    <w:rsid w:val="008B3297"/>
    <w:rsid w:val="008B331C"/>
    <w:rsid w:val="008B341D"/>
    <w:rsid w:val="008B3510"/>
    <w:rsid w:val="008B3914"/>
    <w:rsid w:val="008B3A30"/>
    <w:rsid w:val="008B3D89"/>
    <w:rsid w:val="008B4027"/>
    <w:rsid w:val="008B4054"/>
    <w:rsid w:val="008B4074"/>
    <w:rsid w:val="008B40F5"/>
    <w:rsid w:val="008B41DE"/>
    <w:rsid w:val="008B4247"/>
    <w:rsid w:val="008B429E"/>
    <w:rsid w:val="008B445C"/>
    <w:rsid w:val="008B4488"/>
    <w:rsid w:val="008B465F"/>
    <w:rsid w:val="008B4735"/>
    <w:rsid w:val="008B477E"/>
    <w:rsid w:val="008B4980"/>
    <w:rsid w:val="008B4A5F"/>
    <w:rsid w:val="008B4AC8"/>
    <w:rsid w:val="008B4C2A"/>
    <w:rsid w:val="008B4DAA"/>
    <w:rsid w:val="008B4E35"/>
    <w:rsid w:val="008B4E51"/>
    <w:rsid w:val="008B4EFF"/>
    <w:rsid w:val="008B5134"/>
    <w:rsid w:val="008B5139"/>
    <w:rsid w:val="008B51D9"/>
    <w:rsid w:val="008B53DF"/>
    <w:rsid w:val="008B5473"/>
    <w:rsid w:val="008B5493"/>
    <w:rsid w:val="008B566B"/>
    <w:rsid w:val="008B5673"/>
    <w:rsid w:val="008B5779"/>
    <w:rsid w:val="008B5978"/>
    <w:rsid w:val="008B5A63"/>
    <w:rsid w:val="008B5BAD"/>
    <w:rsid w:val="008B5BED"/>
    <w:rsid w:val="008B5C91"/>
    <w:rsid w:val="008B5CFF"/>
    <w:rsid w:val="008B604B"/>
    <w:rsid w:val="008B60CB"/>
    <w:rsid w:val="008B629D"/>
    <w:rsid w:val="008B6358"/>
    <w:rsid w:val="008B6567"/>
    <w:rsid w:val="008B663F"/>
    <w:rsid w:val="008B67BF"/>
    <w:rsid w:val="008B6870"/>
    <w:rsid w:val="008B6888"/>
    <w:rsid w:val="008B68C0"/>
    <w:rsid w:val="008B68F7"/>
    <w:rsid w:val="008B69C4"/>
    <w:rsid w:val="008B6A08"/>
    <w:rsid w:val="008B6A44"/>
    <w:rsid w:val="008B6CD0"/>
    <w:rsid w:val="008B6DA8"/>
    <w:rsid w:val="008B6DAA"/>
    <w:rsid w:val="008B6E17"/>
    <w:rsid w:val="008B6EBA"/>
    <w:rsid w:val="008B7050"/>
    <w:rsid w:val="008B7063"/>
    <w:rsid w:val="008B7096"/>
    <w:rsid w:val="008B7186"/>
    <w:rsid w:val="008B7271"/>
    <w:rsid w:val="008B72A3"/>
    <w:rsid w:val="008B72A6"/>
    <w:rsid w:val="008B7373"/>
    <w:rsid w:val="008B747E"/>
    <w:rsid w:val="008B7530"/>
    <w:rsid w:val="008B7592"/>
    <w:rsid w:val="008B75EB"/>
    <w:rsid w:val="008B761E"/>
    <w:rsid w:val="008B7698"/>
    <w:rsid w:val="008B79A5"/>
    <w:rsid w:val="008B79B3"/>
    <w:rsid w:val="008B7A90"/>
    <w:rsid w:val="008B7AC0"/>
    <w:rsid w:val="008B7AC6"/>
    <w:rsid w:val="008B7AEF"/>
    <w:rsid w:val="008B7C63"/>
    <w:rsid w:val="008B7D06"/>
    <w:rsid w:val="008B7D21"/>
    <w:rsid w:val="008B7E3F"/>
    <w:rsid w:val="008B7E78"/>
    <w:rsid w:val="008B7E8F"/>
    <w:rsid w:val="008B7FC6"/>
    <w:rsid w:val="008C0087"/>
    <w:rsid w:val="008C020B"/>
    <w:rsid w:val="008C03BE"/>
    <w:rsid w:val="008C0519"/>
    <w:rsid w:val="008C059B"/>
    <w:rsid w:val="008C0676"/>
    <w:rsid w:val="008C0798"/>
    <w:rsid w:val="008C0931"/>
    <w:rsid w:val="008C0932"/>
    <w:rsid w:val="008C0BE1"/>
    <w:rsid w:val="008C0CFC"/>
    <w:rsid w:val="008C0D14"/>
    <w:rsid w:val="008C0DC7"/>
    <w:rsid w:val="008C0E8F"/>
    <w:rsid w:val="008C0FCE"/>
    <w:rsid w:val="008C10FC"/>
    <w:rsid w:val="008C1165"/>
    <w:rsid w:val="008C1240"/>
    <w:rsid w:val="008C127C"/>
    <w:rsid w:val="008C148D"/>
    <w:rsid w:val="008C14B7"/>
    <w:rsid w:val="008C15B2"/>
    <w:rsid w:val="008C15CE"/>
    <w:rsid w:val="008C1661"/>
    <w:rsid w:val="008C17A9"/>
    <w:rsid w:val="008C1825"/>
    <w:rsid w:val="008C1C39"/>
    <w:rsid w:val="008C1C46"/>
    <w:rsid w:val="008C1CC6"/>
    <w:rsid w:val="008C1DEE"/>
    <w:rsid w:val="008C1F16"/>
    <w:rsid w:val="008C1F94"/>
    <w:rsid w:val="008C2339"/>
    <w:rsid w:val="008C2493"/>
    <w:rsid w:val="008C24FF"/>
    <w:rsid w:val="008C2906"/>
    <w:rsid w:val="008C2955"/>
    <w:rsid w:val="008C29F2"/>
    <w:rsid w:val="008C2C9A"/>
    <w:rsid w:val="008C2D48"/>
    <w:rsid w:val="008C2D82"/>
    <w:rsid w:val="008C2DD7"/>
    <w:rsid w:val="008C2EB9"/>
    <w:rsid w:val="008C3026"/>
    <w:rsid w:val="008C31EC"/>
    <w:rsid w:val="008C32DF"/>
    <w:rsid w:val="008C333F"/>
    <w:rsid w:val="008C3388"/>
    <w:rsid w:val="008C33E2"/>
    <w:rsid w:val="008C36C6"/>
    <w:rsid w:val="008C3716"/>
    <w:rsid w:val="008C371C"/>
    <w:rsid w:val="008C376C"/>
    <w:rsid w:val="008C377D"/>
    <w:rsid w:val="008C37C8"/>
    <w:rsid w:val="008C3935"/>
    <w:rsid w:val="008C3A3B"/>
    <w:rsid w:val="008C3AC5"/>
    <w:rsid w:val="008C3B4D"/>
    <w:rsid w:val="008C3CD5"/>
    <w:rsid w:val="008C3CF9"/>
    <w:rsid w:val="008C3DCD"/>
    <w:rsid w:val="008C3F35"/>
    <w:rsid w:val="008C3FF9"/>
    <w:rsid w:val="008C417E"/>
    <w:rsid w:val="008C4364"/>
    <w:rsid w:val="008C458B"/>
    <w:rsid w:val="008C4680"/>
    <w:rsid w:val="008C46CB"/>
    <w:rsid w:val="008C46FD"/>
    <w:rsid w:val="008C4775"/>
    <w:rsid w:val="008C47C3"/>
    <w:rsid w:val="008C484E"/>
    <w:rsid w:val="008C4A75"/>
    <w:rsid w:val="008C4A77"/>
    <w:rsid w:val="008C4BB0"/>
    <w:rsid w:val="008C4BBD"/>
    <w:rsid w:val="008C4C5F"/>
    <w:rsid w:val="008C4D0D"/>
    <w:rsid w:val="008C4D1B"/>
    <w:rsid w:val="008C4EDA"/>
    <w:rsid w:val="008C4F3D"/>
    <w:rsid w:val="008C50BF"/>
    <w:rsid w:val="008C5293"/>
    <w:rsid w:val="008C52D3"/>
    <w:rsid w:val="008C5359"/>
    <w:rsid w:val="008C5419"/>
    <w:rsid w:val="008C54EC"/>
    <w:rsid w:val="008C5633"/>
    <w:rsid w:val="008C56AC"/>
    <w:rsid w:val="008C580D"/>
    <w:rsid w:val="008C5916"/>
    <w:rsid w:val="008C5B4F"/>
    <w:rsid w:val="008C5C12"/>
    <w:rsid w:val="008C5CD3"/>
    <w:rsid w:val="008C5CE4"/>
    <w:rsid w:val="008C5E6D"/>
    <w:rsid w:val="008C5F20"/>
    <w:rsid w:val="008C5F4A"/>
    <w:rsid w:val="008C609F"/>
    <w:rsid w:val="008C61C5"/>
    <w:rsid w:val="008C63EF"/>
    <w:rsid w:val="008C6482"/>
    <w:rsid w:val="008C6701"/>
    <w:rsid w:val="008C6715"/>
    <w:rsid w:val="008C692D"/>
    <w:rsid w:val="008C6940"/>
    <w:rsid w:val="008C69AF"/>
    <w:rsid w:val="008C69EC"/>
    <w:rsid w:val="008C6A07"/>
    <w:rsid w:val="008C6B03"/>
    <w:rsid w:val="008C6C03"/>
    <w:rsid w:val="008C6C3D"/>
    <w:rsid w:val="008C6D19"/>
    <w:rsid w:val="008C6D5E"/>
    <w:rsid w:val="008C6D7A"/>
    <w:rsid w:val="008C6EC9"/>
    <w:rsid w:val="008C70DE"/>
    <w:rsid w:val="008C7322"/>
    <w:rsid w:val="008C73B4"/>
    <w:rsid w:val="008C7413"/>
    <w:rsid w:val="008C7477"/>
    <w:rsid w:val="008C74B0"/>
    <w:rsid w:val="008C74E0"/>
    <w:rsid w:val="008C7633"/>
    <w:rsid w:val="008C7644"/>
    <w:rsid w:val="008C77BD"/>
    <w:rsid w:val="008C7B4A"/>
    <w:rsid w:val="008C7BE7"/>
    <w:rsid w:val="008C7D77"/>
    <w:rsid w:val="008C7D7E"/>
    <w:rsid w:val="008C7D8D"/>
    <w:rsid w:val="008C7E2B"/>
    <w:rsid w:val="008C7E45"/>
    <w:rsid w:val="008C7F67"/>
    <w:rsid w:val="008C7F9C"/>
    <w:rsid w:val="008C7FC6"/>
    <w:rsid w:val="008D01B8"/>
    <w:rsid w:val="008D0304"/>
    <w:rsid w:val="008D0350"/>
    <w:rsid w:val="008D057D"/>
    <w:rsid w:val="008D07E9"/>
    <w:rsid w:val="008D0967"/>
    <w:rsid w:val="008D0B72"/>
    <w:rsid w:val="008D0C4E"/>
    <w:rsid w:val="008D0EF4"/>
    <w:rsid w:val="008D0F12"/>
    <w:rsid w:val="008D0F77"/>
    <w:rsid w:val="008D101B"/>
    <w:rsid w:val="008D1192"/>
    <w:rsid w:val="008D11DD"/>
    <w:rsid w:val="008D12D4"/>
    <w:rsid w:val="008D1371"/>
    <w:rsid w:val="008D137A"/>
    <w:rsid w:val="008D13E3"/>
    <w:rsid w:val="008D154F"/>
    <w:rsid w:val="008D16B7"/>
    <w:rsid w:val="008D16C5"/>
    <w:rsid w:val="008D16DE"/>
    <w:rsid w:val="008D182F"/>
    <w:rsid w:val="008D1840"/>
    <w:rsid w:val="008D188A"/>
    <w:rsid w:val="008D1DB8"/>
    <w:rsid w:val="008D1DC3"/>
    <w:rsid w:val="008D2049"/>
    <w:rsid w:val="008D20C9"/>
    <w:rsid w:val="008D2369"/>
    <w:rsid w:val="008D2378"/>
    <w:rsid w:val="008D2395"/>
    <w:rsid w:val="008D243C"/>
    <w:rsid w:val="008D2478"/>
    <w:rsid w:val="008D251D"/>
    <w:rsid w:val="008D2668"/>
    <w:rsid w:val="008D26C8"/>
    <w:rsid w:val="008D2757"/>
    <w:rsid w:val="008D282D"/>
    <w:rsid w:val="008D2841"/>
    <w:rsid w:val="008D2871"/>
    <w:rsid w:val="008D28D2"/>
    <w:rsid w:val="008D290D"/>
    <w:rsid w:val="008D2983"/>
    <w:rsid w:val="008D2A0E"/>
    <w:rsid w:val="008D2B06"/>
    <w:rsid w:val="008D2D00"/>
    <w:rsid w:val="008D2D89"/>
    <w:rsid w:val="008D2F70"/>
    <w:rsid w:val="008D2FC2"/>
    <w:rsid w:val="008D302D"/>
    <w:rsid w:val="008D3132"/>
    <w:rsid w:val="008D3156"/>
    <w:rsid w:val="008D316A"/>
    <w:rsid w:val="008D3218"/>
    <w:rsid w:val="008D323E"/>
    <w:rsid w:val="008D33B9"/>
    <w:rsid w:val="008D34AE"/>
    <w:rsid w:val="008D354D"/>
    <w:rsid w:val="008D3599"/>
    <w:rsid w:val="008D3659"/>
    <w:rsid w:val="008D36B1"/>
    <w:rsid w:val="008D374C"/>
    <w:rsid w:val="008D3869"/>
    <w:rsid w:val="008D38CC"/>
    <w:rsid w:val="008D38D3"/>
    <w:rsid w:val="008D394D"/>
    <w:rsid w:val="008D3AAA"/>
    <w:rsid w:val="008D3AD0"/>
    <w:rsid w:val="008D3C62"/>
    <w:rsid w:val="008D3CE9"/>
    <w:rsid w:val="008D3F34"/>
    <w:rsid w:val="008D4084"/>
    <w:rsid w:val="008D4120"/>
    <w:rsid w:val="008D4262"/>
    <w:rsid w:val="008D4303"/>
    <w:rsid w:val="008D4346"/>
    <w:rsid w:val="008D44D9"/>
    <w:rsid w:val="008D4667"/>
    <w:rsid w:val="008D4776"/>
    <w:rsid w:val="008D481C"/>
    <w:rsid w:val="008D48F2"/>
    <w:rsid w:val="008D4C13"/>
    <w:rsid w:val="008D4CE6"/>
    <w:rsid w:val="008D4DB1"/>
    <w:rsid w:val="008D4F91"/>
    <w:rsid w:val="008D50F3"/>
    <w:rsid w:val="008D5210"/>
    <w:rsid w:val="008D5218"/>
    <w:rsid w:val="008D531C"/>
    <w:rsid w:val="008D5420"/>
    <w:rsid w:val="008D54C1"/>
    <w:rsid w:val="008D54D5"/>
    <w:rsid w:val="008D56D7"/>
    <w:rsid w:val="008D5922"/>
    <w:rsid w:val="008D5B1F"/>
    <w:rsid w:val="008D5B22"/>
    <w:rsid w:val="008D5B38"/>
    <w:rsid w:val="008D5BE7"/>
    <w:rsid w:val="008D5C52"/>
    <w:rsid w:val="008D5DC3"/>
    <w:rsid w:val="008D5E6A"/>
    <w:rsid w:val="008D5F59"/>
    <w:rsid w:val="008D60F4"/>
    <w:rsid w:val="008D620B"/>
    <w:rsid w:val="008D6418"/>
    <w:rsid w:val="008D655A"/>
    <w:rsid w:val="008D65CD"/>
    <w:rsid w:val="008D6650"/>
    <w:rsid w:val="008D6894"/>
    <w:rsid w:val="008D6953"/>
    <w:rsid w:val="008D6B1C"/>
    <w:rsid w:val="008D6C7A"/>
    <w:rsid w:val="008D6C88"/>
    <w:rsid w:val="008D6E5E"/>
    <w:rsid w:val="008D6F2C"/>
    <w:rsid w:val="008D7278"/>
    <w:rsid w:val="008D72C4"/>
    <w:rsid w:val="008D7406"/>
    <w:rsid w:val="008D744F"/>
    <w:rsid w:val="008D7459"/>
    <w:rsid w:val="008D752E"/>
    <w:rsid w:val="008D7585"/>
    <w:rsid w:val="008D7637"/>
    <w:rsid w:val="008D78C9"/>
    <w:rsid w:val="008D78CB"/>
    <w:rsid w:val="008D7958"/>
    <w:rsid w:val="008D7973"/>
    <w:rsid w:val="008D7A2A"/>
    <w:rsid w:val="008D7A62"/>
    <w:rsid w:val="008D7C1F"/>
    <w:rsid w:val="008D7C6F"/>
    <w:rsid w:val="008D7D15"/>
    <w:rsid w:val="008D7D18"/>
    <w:rsid w:val="008D7DBA"/>
    <w:rsid w:val="008D7DD2"/>
    <w:rsid w:val="008E0042"/>
    <w:rsid w:val="008E0130"/>
    <w:rsid w:val="008E01D1"/>
    <w:rsid w:val="008E0349"/>
    <w:rsid w:val="008E044A"/>
    <w:rsid w:val="008E0492"/>
    <w:rsid w:val="008E04DC"/>
    <w:rsid w:val="008E0504"/>
    <w:rsid w:val="008E06A6"/>
    <w:rsid w:val="008E06BD"/>
    <w:rsid w:val="008E079C"/>
    <w:rsid w:val="008E0A77"/>
    <w:rsid w:val="008E0A9F"/>
    <w:rsid w:val="008E0D37"/>
    <w:rsid w:val="008E0DD1"/>
    <w:rsid w:val="008E0F4A"/>
    <w:rsid w:val="008E0F79"/>
    <w:rsid w:val="008E0FF2"/>
    <w:rsid w:val="008E1321"/>
    <w:rsid w:val="008E14FE"/>
    <w:rsid w:val="008E151F"/>
    <w:rsid w:val="008E1560"/>
    <w:rsid w:val="008E1721"/>
    <w:rsid w:val="008E1792"/>
    <w:rsid w:val="008E1EA2"/>
    <w:rsid w:val="008E1F01"/>
    <w:rsid w:val="008E1F02"/>
    <w:rsid w:val="008E1F47"/>
    <w:rsid w:val="008E208F"/>
    <w:rsid w:val="008E20A7"/>
    <w:rsid w:val="008E21C6"/>
    <w:rsid w:val="008E21DF"/>
    <w:rsid w:val="008E2219"/>
    <w:rsid w:val="008E22CE"/>
    <w:rsid w:val="008E241F"/>
    <w:rsid w:val="008E25E5"/>
    <w:rsid w:val="008E26E6"/>
    <w:rsid w:val="008E279C"/>
    <w:rsid w:val="008E2A9B"/>
    <w:rsid w:val="008E2B10"/>
    <w:rsid w:val="008E2B80"/>
    <w:rsid w:val="008E2BB0"/>
    <w:rsid w:val="008E2BD7"/>
    <w:rsid w:val="008E2C08"/>
    <w:rsid w:val="008E2E04"/>
    <w:rsid w:val="008E2EF7"/>
    <w:rsid w:val="008E31C7"/>
    <w:rsid w:val="008E320B"/>
    <w:rsid w:val="008E3273"/>
    <w:rsid w:val="008E3280"/>
    <w:rsid w:val="008E32B2"/>
    <w:rsid w:val="008E3384"/>
    <w:rsid w:val="008E3469"/>
    <w:rsid w:val="008E3521"/>
    <w:rsid w:val="008E374F"/>
    <w:rsid w:val="008E3793"/>
    <w:rsid w:val="008E3796"/>
    <w:rsid w:val="008E387B"/>
    <w:rsid w:val="008E387F"/>
    <w:rsid w:val="008E3882"/>
    <w:rsid w:val="008E3A01"/>
    <w:rsid w:val="008E3AA7"/>
    <w:rsid w:val="008E3B38"/>
    <w:rsid w:val="008E3BC2"/>
    <w:rsid w:val="008E3C8A"/>
    <w:rsid w:val="008E3F3F"/>
    <w:rsid w:val="008E3F90"/>
    <w:rsid w:val="008E3F9F"/>
    <w:rsid w:val="008E3FAA"/>
    <w:rsid w:val="008E3FF8"/>
    <w:rsid w:val="008E4053"/>
    <w:rsid w:val="008E4089"/>
    <w:rsid w:val="008E40C4"/>
    <w:rsid w:val="008E41A2"/>
    <w:rsid w:val="008E4235"/>
    <w:rsid w:val="008E44C2"/>
    <w:rsid w:val="008E4598"/>
    <w:rsid w:val="008E4882"/>
    <w:rsid w:val="008E4AC1"/>
    <w:rsid w:val="008E4BC1"/>
    <w:rsid w:val="008E4C8C"/>
    <w:rsid w:val="008E4DC6"/>
    <w:rsid w:val="008E4E55"/>
    <w:rsid w:val="008E4E7F"/>
    <w:rsid w:val="008E4FBE"/>
    <w:rsid w:val="008E4FC2"/>
    <w:rsid w:val="008E504B"/>
    <w:rsid w:val="008E5149"/>
    <w:rsid w:val="008E5162"/>
    <w:rsid w:val="008E5203"/>
    <w:rsid w:val="008E5350"/>
    <w:rsid w:val="008E53A4"/>
    <w:rsid w:val="008E5480"/>
    <w:rsid w:val="008E54FB"/>
    <w:rsid w:val="008E551C"/>
    <w:rsid w:val="008E55A0"/>
    <w:rsid w:val="008E5865"/>
    <w:rsid w:val="008E5A19"/>
    <w:rsid w:val="008E5A61"/>
    <w:rsid w:val="008E5D02"/>
    <w:rsid w:val="008E5E0E"/>
    <w:rsid w:val="008E5F30"/>
    <w:rsid w:val="008E5FAC"/>
    <w:rsid w:val="008E61CB"/>
    <w:rsid w:val="008E6252"/>
    <w:rsid w:val="008E6260"/>
    <w:rsid w:val="008E6405"/>
    <w:rsid w:val="008E6466"/>
    <w:rsid w:val="008E64A0"/>
    <w:rsid w:val="008E6527"/>
    <w:rsid w:val="008E65FC"/>
    <w:rsid w:val="008E6603"/>
    <w:rsid w:val="008E6643"/>
    <w:rsid w:val="008E672E"/>
    <w:rsid w:val="008E6737"/>
    <w:rsid w:val="008E6814"/>
    <w:rsid w:val="008E681A"/>
    <w:rsid w:val="008E6924"/>
    <w:rsid w:val="008E6A25"/>
    <w:rsid w:val="008E6AC5"/>
    <w:rsid w:val="008E6AE6"/>
    <w:rsid w:val="008E6BCF"/>
    <w:rsid w:val="008E6E4F"/>
    <w:rsid w:val="008E6F40"/>
    <w:rsid w:val="008E6F45"/>
    <w:rsid w:val="008E6F87"/>
    <w:rsid w:val="008E7034"/>
    <w:rsid w:val="008E7153"/>
    <w:rsid w:val="008E726B"/>
    <w:rsid w:val="008E738D"/>
    <w:rsid w:val="008E740C"/>
    <w:rsid w:val="008E745B"/>
    <w:rsid w:val="008E7533"/>
    <w:rsid w:val="008E764A"/>
    <w:rsid w:val="008E7682"/>
    <w:rsid w:val="008E78A3"/>
    <w:rsid w:val="008E7B21"/>
    <w:rsid w:val="008E7B22"/>
    <w:rsid w:val="008E7C68"/>
    <w:rsid w:val="008E7D0B"/>
    <w:rsid w:val="008E7D99"/>
    <w:rsid w:val="008E7E29"/>
    <w:rsid w:val="008E7F40"/>
    <w:rsid w:val="008E7F8A"/>
    <w:rsid w:val="008E7F9F"/>
    <w:rsid w:val="008E7FDB"/>
    <w:rsid w:val="008F0027"/>
    <w:rsid w:val="008F0116"/>
    <w:rsid w:val="008F0242"/>
    <w:rsid w:val="008F03DD"/>
    <w:rsid w:val="008F04FB"/>
    <w:rsid w:val="008F0785"/>
    <w:rsid w:val="008F07E6"/>
    <w:rsid w:val="008F082D"/>
    <w:rsid w:val="008F08CA"/>
    <w:rsid w:val="008F09FF"/>
    <w:rsid w:val="008F0A18"/>
    <w:rsid w:val="008F0B31"/>
    <w:rsid w:val="008F0B73"/>
    <w:rsid w:val="008F0CC0"/>
    <w:rsid w:val="008F0E07"/>
    <w:rsid w:val="008F0F30"/>
    <w:rsid w:val="008F103B"/>
    <w:rsid w:val="008F1214"/>
    <w:rsid w:val="008F1291"/>
    <w:rsid w:val="008F13EB"/>
    <w:rsid w:val="008F143D"/>
    <w:rsid w:val="008F14B4"/>
    <w:rsid w:val="008F14B6"/>
    <w:rsid w:val="008F14DE"/>
    <w:rsid w:val="008F14FF"/>
    <w:rsid w:val="008F1986"/>
    <w:rsid w:val="008F1AAD"/>
    <w:rsid w:val="008F1AE7"/>
    <w:rsid w:val="008F1B49"/>
    <w:rsid w:val="008F1BA0"/>
    <w:rsid w:val="008F1BF0"/>
    <w:rsid w:val="008F1DBB"/>
    <w:rsid w:val="008F200F"/>
    <w:rsid w:val="008F2027"/>
    <w:rsid w:val="008F2083"/>
    <w:rsid w:val="008F2138"/>
    <w:rsid w:val="008F21CB"/>
    <w:rsid w:val="008F22E5"/>
    <w:rsid w:val="008F2369"/>
    <w:rsid w:val="008F23AE"/>
    <w:rsid w:val="008F23B6"/>
    <w:rsid w:val="008F2404"/>
    <w:rsid w:val="008F24FC"/>
    <w:rsid w:val="008F26D7"/>
    <w:rsid w:val="008F26DB"/>
    <w:rsid w:val="008F284A"/>
    <w:rsid w:val="008F28C1"/>
    <w:rsid w:val="008F2926"/>
    <w:rsid w:val="008F2AE8"/>
    <w:rsid w:val="008F2B11"/>
    <w:rsid w:val="008F2C95"/>
    <w:rsid w:val="008F2E77"/>
    <w:rsid w:val="008F2E8F"/>
    <w:rsid w:val="008F2EA9"/>
    <w:rsid w:val="008F2EE3"/>
    <w:rsid w:val="008F311D"/>
    <w:rsid w:val="008F3124"/>
    <w:rsid w:val="008F332E"/>
    <w:rsid w:val="008F338A"/>
    <w:rsid w:val="008F33F7"/>
    <w:rsid w:val="008F347B"/>
    <w:rsid w:val="008F35CF"/>
    <w:rsid w:val="008F35EB"/>
    <w:rsid w:val="008F36C6"/>
    <w:rsid w:val="008F382C"/>
    <w:rsid w:val="008F3BDE"/>
    <w:rsid w:val="008F3DF2"/>
    <w:rsid w:val="008F3E11"/>
    <w:rsid w:val="008F3EDE"/>
    <w:rsid w:val="008F44CE"/>
    <w:rsid w:val="008F4525"/>
    <w:rsid w:val="008F45C3"/>
    <w:rsid w:val="008F46D1"/>
    <w:rsid w:val="008F48A4"/>
    <w:rsid w:val="008F4909"/>
    <w:rsid w:val="008F4B5C"/>
    <w:rsid w:val="008F4B82"/>
    <w:rsid w:val="008F4F7F"/>
    <w:rsid w:val="008F5076"/>
    <w:rsid w:val="008F50FD"/>
    <w:rsid w:val="008F5123"/>
    <w:rsid w:val="008F5140"/>
    <w:rsid w:val="008F5244"/>
    <w:rsid w:val="008F53B3"/>
    <w:rsid w:val="008F5857"/>
    <w:rsid w:val="008F5A5A"/>
    <w:rsid w:val="008F5A8F"/>
    <w:rsid w:val="008F5BD4"/>
    <w:rsid w:val="008F5DC8"/>
    <w:rsid w:val="008F5EC8"/>
    <w:rsid w:val="008F60A8"/>
    <w:rsid w:val="008F6172"/>
    <w:rsid w:val="008F640E"/>
    <w:rsid w:val="008F67D3"/>
    <w:rsid w:val="008F680D"/>
    <w:rsid w:val="008F6867"/>
    <w:rsid w:val="008F6951"/>
    <w:rsid w:val="008F6ABB"/>
    <w:rsid w:val="008F6ADB"/>
    <w:rsid w:val="008F6B6D"/>
    <w:rsid w:val="008F6BEC"/>
    <w:rsid w:val="008F6CBD"/>
    <w:rsid w:val="008F6CCE"/>
    <w:rsid w:val="008F6D3C"/>
    <w:rsid w:val="008F6EA3"/>
    <w:rsid w:val="008F6F0C"/>
    <w:rsid w:val="008F6F8E"/>
    <w:rsid w:val="008F7023"/>
    <w:rsid w:val="008F72C5"/>
    <w:rsid w:val="008F742D"/>
    <w:rsid w:val="008F743C"/>
    <w:rsid w:val="008F7658"/>
    <w:rsid w:val="008F76CF"/>
    <w:rsid w:val="008F774C"/>
    <w:rsid w:val="008F7785"/>
    <w:rsid w:val="008F77BF"/>
    <w:rsid w:val="008F78C6"/>
    <w:rsid w:val="008F793B"/>
    <w:rsid w:val="008F79C7"/>
    <w:rsid w:val="008F79C9"/>
    <w:rsid w:val="008F79EF"/>
    <w:rsid w:val="008F7A23"/>
    <w:rsid w:val="008F7A6B"/>
    <w:rsid w:val="008F7B9A"/>
    <w:rsid w:val="008F7CA0"/>
    <w:rsid w:val="008F7D1A"/>
    <w:rsid w:val="008F7D86"/>
    <w:rsid w:val="008F7DBC"/>
    <w:rsid w:val="008F7E20"/>
    <w:rsid w:val="008F7ECB"/>
    <w:rsid w:val="008F7FAD"/>
    <w:rsid w:val="008F7FE8"/>
    <w:rsid w:val="009001EC"/>
    <w:rsid w:val="0090029E"/>
    <w:rsid w:val="00900427"/>
    <w:rsid w:val="0090045B"/>
    <w:rsid w:val="009005C3"/>
    <w:rsid w:val="00900667"/>
    <w:rsid w:val="009006B0"/>
    <w:rsid w:val="009007ED"/>
    <w:rsid w:val="0090090B"/>
    <w:rsid w:val="00900AE8"/>
    <w:rsid w:val="00900AEF"/>
    <w:rsid w:val="00900AF2"/>
    <w:rsid w:val="00900B40"/>
    <w:rsid w:val="00900F8D"/>
    <w:rsid w:val="00900FC0"/>
    <w:rsid w:val="00901095"/>
    <w:rsid w:val="009010C9"/>
    <w:rsid w:val="009011AA"/>
    <w:rsid w:val="00901286"/>
    <w:rsid w:val="00901399"/>
    <w:rsid w:val="00901630"/>
    <w:rsid w:val="0090176D"/>
    <w:rsid w:val="009017E0"/>
    <w:rsid w:val="00901841"/>
    <w:rsid w:val="00901985"/>
    <w:rsid w:val="00901BE9"/>
    <w:rsid w:val="00901BF1"/>
    <w:rsid w:val="00901CB6"/>
    <w:rsid w:val="00901D11"/>
    <w:rsid w:val="00901D9A"/>
    <w:rsid w:val="00901FAD"/>
    <w:rsid w:val="009020F4"/>
    <w:rsid w:val="009020FB"/>
    <w:rsid w:val="00902255"/>
    <w:rsid w:val="009022D5"/>
    <w:rsid w:val="009023E1"/>
    <w:rsid w:val="009024DD"/>
    <w:rsid w:val="009024F7"/>
    <w:rsid w:val="0090264A"/>
    <w:rsid w:val="0090294A"/>
    <w:rsid w:val="00902970"/>
    <w:rsid w:val="009029C6"/>
    <w:rsid w:val="009029D0"/>
    <w:rsid w:val="009029DD"/>
    <w:rsid w:val="00902A67"/>
    <w:rsid w:val="00902B92"/>
    <w:rsid w:val="00902C0D"/>
    <w:rsid w:val="00902C75"/>
    <w:rsid w:val="00902CEA"/>
    <w:rsid w:val="00902D6F"/>
    <w:rsid w:val="00902DBD"/>
    <w:rsid w:val="00902DE6"/>
    <w:rsid w:val="00902E71"/>
    <w:rsid w:val="00902F74"/>
    <w:rsid w:val="00902FDF"/>
    <w:rsid w:val="00903117"/>
    <w:rsid w:val="009031C9"/>
    <w:rsid w:val="009031F7"/>
    <w:rsid w:val="00903203"/>
    <w:rsid w:val="009033B1"/>
    <w:rsid w:val="0090347E"/>
    <w:rsid w:val="009035CF"/>
    <w:rsid w:val="009035DD"/>
    <w:rsid w:val="009036BA"/>
    <w:rsid w:val="00903753"/>
    <w:rsid w:val="009038AB"/>
    <w:rsid w:val="00903A3B"/>
    <w:rsid w:val="00903A4C"/>
    <w:rsid w:val="00903A6E"/>
    <w:rsid w:val="00903AF5"/>
    <w:rsid w:val="00903B78"/>
    <w:rsid w:val="00903D65"/>
    <w:rsid w:val="00903E4F"/>
    <w:rsid w:val="00903E6C"/>
    <w:rsid w:val="00903FA7"/>
    <w:rsid w:val="00904243"/>
    <w:rsid w:val="00904246"/>
    <w:rsid w:val="0090428D"/>
    <w:rsid w:val="0090452D"/>
    <w:rsid w:val="0090455C"/>
    <w:rsid w:val="00904586"/>
    <w:rsid w:val="00904695"/>
    <w:rsid w:val="00904812"/>
    <w:rsid w:val="00904831"/>
    <w:rsid w:val="009048F6"/>
    <w:rsid w:val="0090492D"/>
    <w:rsid w:val="00904940"/>
    <w:rsid w:val="009049C9"/>
    <w:rsid w:val="00904A79"/>
    <w:rsid w:val="00904D94"/>
    <w:rsid w:val="00904E25"/>
    <w:rsid w:val="00904ECB"/>
    <w:rsid w:val="00904FD1"/>
    <w:rsid w:val="00905005"/>
    <w:rsid w:val="0090515B"/>
    <w:rsid w:val="00905325"/>
    <w:rsid w:val="00905414"/>
    <w:rsid w:val="00905461"/>
    <w:rsid w:val="009054C7"/>
    <w:rsid w:val="0090550E"/>
    <w:rsid w:val="009055F7"/>
    <w:rsid w:val="0090581F"/>
    <w:rsid w:val="009058B0"/>
    <w:rsid w:val="00905A03"/>
    <w:rsid w:val="00905A14"/>
    <w:rsid w:val="00905C78"/>
    <w:rsid w:val="00905D02"/>
    <w:rsid w:val="00905D50"/>
    <w:rsid w:val="00905D7C"/>
    <w:rsid w:val="00905E46"/>
    <w:rsid w:val="00905E5A"/>
    <w:rsid w:val="009060D8"/>
    <w:rsid w:val="00906205"/>
    <w:rsid w:val="0090631A"/>
    <w:rsid w:val="0090645F"/>
    <w:rsid w:val="009065CB"/>
    <w:rsid w:val="00906625"/>
    <w:rsid w:val="0090666A"/>
    <w:rsid w:val="00906696"/>
    <w:rsid w:val="00906950"/>
    <w:rsid w:val="00906A0A"/>
    <w:rsid w:val="00906C76"/>
    <w:rsid w:val="00906C79"/>
    <w:rsid w:val="00906CAE"/>
    <w:rsid w:val="00906D1F"/>
    <w:rsid w:val="00906D75"/>
    <w:rsid w:val="00906F57"/>
    <w:rsid w:val="00907096"/>
    <w:rsid w:val="00907292"/>
    <w:rsid w:val="00907336"/>
    <w:rsid w:val="0090737B"/>
    <w:rsid w:val="00907507"/>
    <w:rsid w:val="009076A5"/>
    <w:rsid w:val="00907749"/>
    <w:rsid w:val="009077FD"/>
    <w:rsid w:val="00907914"/>
    <w:rsid w:val="0090791C"/>
    <w:rsid w:val="00907B0D"/>
    <w:rsid w:val="00907C0A"/>
    <w:rsid w:val="00907D33"/>
    <w:rsid w:val="00907ED3"/>
    <w:rsid w:val="00907FA7"/>
    <w:rsid w:val="0091002A"/>
    <w:rsid w:val="0091007C"/>
    <w:rsid w:val="00910241"/>
    <w:rsid w:val="0091030F"/>
    <w:rsid w:val="00910398"/>
    <w:rsid w:val="00910422"/>
    <w:rsid w:val="009104D1"/>
    <w:rsid w:val="0091056B"/>
    <w:rsid w:val="009105DB"/>
    <w:rsid w:val="0091060E"/>
    <w:rsid w:val="009106B2"/>
    <w:rsid w:val="009109EC"/>
    <w:rsid w:val="009109FF"/>
    <w:rsid w:val="00910A10"/>
    <w:rsid w:val="00910C48"/>
    <w:rsid w:val="00910F0F"/>
    <w:rsid w:val="00911033"/>
    <w:rsid w:val="009110BC"/>
    <w:rsid w:val="00911168"/>
    <w:rsid w:val="00911312"/>
    <w:rsid w:val="00911393"/>
    <w:rsid w:val="00911403"/>
    <w:rsid w:val="00911688"/>
    <w:rsid w:val="009117D9"/>
    <w:rsid w:val="0091195D"/>
    <w:rsid w:val="00911A90"/>
    <w:rsid w:val="00911B32"/>
    <w:rsid w:val="00911B98"/>
    <w:rsid w:val="00911BA0"/>
    <w:rsid w:val="00911C3B"/>
    <w:rsid w:val="00911C9A"/>
    <w:rsid w:val="00911CFE"/>
    <w:rsid w:val="00911DA1"/>
    <w:rsid w:val="00911DE0"/>
    <w:rsid w:val="00911DF2"/>
    <w:rsid w:val="00911E32"/>
    <w:rsid w:val="00911EE9"/>
    <w:rsid w:val="0091202C"/>
    <w:rsid w:val="00912042"/>
    <w:rsid w:val="0091215B"/>
    <w:rsid w:val="0091216B"/>
    <w:rsid w:val="00912370"/>
    <w:rsid w:val="00912418"/>
    <w:rsid w:val="009124D6"/>
    <w:rsid w:val="0091263B"/>
    <w:rsid w:val="00912660"/>
    <w:rsid w:val="009126A5"/>
    <w:rsid w:val="00912940"/>
    <w:rsid w:val="009129DA"/>
    <w:rsid w:val="00912AB8"/>
    <w:rsid w:val="00912B2A"/>
    <w:rsid w:val="00912B85"/>
    <w:rsid w:val="00912B86"/>
    <w:rsid w:val="00912C28"/>
    <w:rsid w:val="00912C42"/>
    <w:rsid w:val="00912DAB"/>
    <w:rsid w:val="00913039"/>
    <w:rsid w:val="00913218"/>
    <w:rsid w:val="0091322E"/>
    <w:rsid w:val="00913266"/>
    <w:rsid w:val="00913333"/>
    <w:rsid w:val="0091336D"/>
    <w:rsid w:val="00913527"/>
    <w:rsid w:val="009135BE"/>
    <w:rsid w:val="0091372C"/>
    <w:rsid w:val="00913883"/>
    <w:rsid w:val="00913885"/>
    <w:rsid w:val="00913977"/>
    <w:rsid w:val="009139DB"/>
    <w:rsid w:val="00913BE1"/>
    <w:rsid w:val="00913C41"/>
    <w:rsid w:val="00913C8A"/>
    <w:rsid w:val="00913CDE"/>
    <w:rsid w:val="00913E52"/>
    <w:rsid w:val="00913EA8"/>
    <w:rsid w:val="00914077"/>
    <w:rsid w:val="0091411A"/>
    <w:rsid w:val="00914171"/>
    <w:rsid w:val="009143C7"/>
    <w:rsid w:val="009144BA"/>
    <w:rsid w:val="009144EB"/>
    <w:rsid w:val="009145FE"/>
    <w:rsid w:val="009146AC"/>
    <w:rsid w:val="009146B1"/>
    <w:rsid w:val="009146B7"/>
    <w:rsid w:val="0091470E"/>
    <w:rsid w:val="00914720"/>
    <w:rsid w:val="009148B8"/>
    <w:rsid w:val="009149C0"/>
    <w:rsid w:val="00914A3B"/>
    <w:rsid w:val="00914B39"/>
    <w:rsid w:val="00914B58"/>
    <w:rsid w:val="00914EDC"/>
    <w:rsid w:val="00914F2B"/>
    <w:rsid w:val="0091508D"/>
    <w:rsid w:val="00915097"/>
    <w:rsid w:val="009153D3"/>
    <w:rsid w:val="009155F2"/>
    <w:rsid w:val="009155FA"/>
    <w:rsid w:val="00915644"/>
    <w:rsid w:val="009157E9"/>
    <w:rsid w:val="00915889"/>
    <w:rsid w:val="00915A69"/>
    <w:rsid w:val="00915A95"/>
    <w:rsid w:val="00915B85"/>
    <w:rsid w:val="00915B8C"/>
    <w:rsid w:val="00915C94"/>
    <w:rsid w:val="00915DF0"/>
    <w:rsid w:val="00915E25"/>
    <w:rsid w:val="00915F5F"/>
    <w:rsid w:val="00915FD0"/>
    <w:rsid w:val="00915FE5"/>
    <w:rsid w:val="009160F7"/>
    <w:rsid w:val="00916487"/>
    <w:rsid w:val="00916583"/>
    <w:rsid w:val="009165C9"/>
    <w:rsid w:val="0091669E"/>
    <w:rsid w:val="009166BD"/>
    <w:rsid w:val="0091673E"/>
    <w:rsid w:val="0091684C"/>
    <w:rsid w:val="00916ADF"/>
    <w:rsid w:val="00916C03"/>
    <w:rsid w:val="00916CE6"/>
    <w:rsid w:val="00916CFF"/>
    <w:rsid w:val="00916E7E"/>
    <w:rsid w:val="00916EF4"/>
    <w:rsid w:val="00916FC3"/>
    <w:rsid w:val="00916FDC"/>
    <w:rsid w:val="00917661"/>
    <w:rsid w:val="00917755"/>
    <w:rsid w:val="0091782A"/>
    <w:rsid w:val="00917840"/>
    <w:rsid w:val="00917921"/>
    <w:rsid w:val="0091793D"/>
    <w:rsid w:val="009179DD"/>
    <w:rsid w:val="00917A49"/>
    <w:rsid w:val="00917BD9"/>
    <w:rsid w:val="00917CD0"/>
    <w:rsid w:val="00917E1C"/>
    <w:rsid w:val="00917F29"/>
    <w:rsid w:val="00917FCC"/>
    <w:rsid w:val="009200CA"/>
    <w:rsid w:val="009200FC"/>
    <w:rsid w:val="0092029C"/>
    <w:rsid w:val="009202C8"/>
    <w:rsid w:val="009204ED"/>
    <w:rsid w:val="009205D1"/>
    <w:rsid w:val="009205F7"/>
    <w:rsid w:val="0092078C"/>
    <w:rsid w:val="009207CB"/>
    <w:rsid w:val="00920839"/>
    <w:rsid w:val="00920906"/>
    <w:rsid w:val="009209B7"/>
    <w:rsid w:val="009209FF"/>
    <w:rsid w:val="00920A05"/>
    <w:rsid w:val="00920F70"/>
    <w:rsid w:val="00920FDD"/>
    <w:rsid w:val="00920FDE"/>
    <w:rsid w:val="00920FFB"/>
    <w:rsid w:val="0092106E"/>
    <w:rsid w:val="0092111C"/>
    <w:rsid w:val="009211CA"/>
    <w:rsid w:val="009212D6"/>
    <w:rsid w:val="00921484"/>
    <w:rsid w:val="00921739"/>
    <w:rsid w:val="009218A9"/>
    <w:rsid w:val="009218C6"/>
    <w:rsid w:val="009218DD"/>
    <w:rsid w:val="0092195A"/>
    <w:rsid w:val="00921A07"/>
    <w:rsid w:val="00921C36"/>
    <w:rsid w:val="00921D78"/>
    <w:rsid w:val="00921DBA"/>
    <w:rsid w:val="00921DED"/>
    <w:rsid w:val="00921E9D"/>
    <w:rsid w:val="00921EF3"/>
    <w:rsid w:val="00921FE0"/>
    <w:rsid w:val="009220B8"/>
    <w:rsid w:val="00922400"/>
    <w:rsid w:val="00922448"/>
    <w:rsid w:val="009224D4"/>
    <w:rsid w:val="009225F7"/>
    <w:rsid w:val="00922678"/>
    <w:rsid w:val="00922716"/>
    <w:rsid w:val="00922C09"/>
    <w:rsid w:val="00922C11"/>
    <w:rsid w:val="00922D35"/>
    <w:rsid w:val="00922DDF"/>
    <w:rsid w:val="00922F09"/>
    <w:rsid w:val="00922F18"/>
    <w:rsid w:val="0092309D"/>
    <w:rsid w:val="009231AB"/>
    <w:rsid w:val="00923362"/>
    <w:rsid w:val="009238DB"/>
    <w:rsid w:val="0092399C"/>
    <w:rsid w:val="009239F0"/>
    <w:rsid w:val="00923C54"/>
    <w:rsid w:val="00923C60"/>
    <w:rsid w:val="00923DEE"/>
    <w:rsid w:val="00923F5D"/>
    <w:rsid w:val="00924043"/>
    <w:rsid w:val="00924059"/>
    <w:rsid w:val="00924113"/>
    <w:rsid w:val="0092412E"/>
    <w:rsid w:val="00924162"/>
    <w:rsid w:val="009242B1"/>
    <w:rsid w:val="00924301"/>
    <w:rsid w:val="0092432F"/>
    <w:rsid w:val="009243C0"/>
    <w:rsid w:val="009243C4"/>
    <w:rsid w:val="00924434"/>
    <w:rsid w:val="009244E4"/>
    <w:rsid w:val="00924622"/>
    <w:rsid w:val="009248E9"/>
    <w:rsid w:val="00924932"/>
    <w:rsid w:val="00924A20"/>
    <w:rsid w:val="00924A74"/>
    <w:rsid w:val="00924A9A"/>
    <w:rsid w:val="00924CD0"/>
    <w:rsid w:val="00924D66"/>
    <w:rsid w:val="00924DB2"/>
    <w:rsid w:val="00924DE8"/>
    <w:rsid w:val="00924F69"/>
    <w:rsid w:val="00924F7E"/>
    <w:rsid w:val="00924FA6"/>
    <w:rsid w:val="00924FF2"/>
    <w:rsid w:val="00925079"/>
    <w:rsid w:val="009250B8"/>
    <w:rsid w:val="0092514B"/>
    <w:rsid w:val="009251DE"/>
    <w:rsid w:val="009251EA"/>
    <w:rsid w:val="009252AA"/>
    <w:rsid w:val="00925322"/>
    <w:rsid w:val="0092533E"/>
    <w:rsid w:val="009253C9"/>
    <w:rsid w:val="009253E4"/>
    <w:rsid w:val="009254D0"/>
    <w:rsid w:val="00925684"/>
    <w:rsid w:val="0092569E"/>
    <w:rsid w:val="00925725"/>
    <w:rsid w:val="0092578B"/>
    <w:rsid w:val="009257C4"/>
    <w:rsid w:val="009257F4"/>
    <w:rsid w:val="00925AB5"/>
    <w:rsid w:val="00925B75"/>
    <w:rsid w:val="00925BDD"/>
    <w:rsid w:val="00925E45"/>
    <w:rsid w:val="00925ED3"/>
    <w:rsid w:val="00925F7C"/>
    <w:rsid w:val="0092608B"/>
    <w:rsid w:val="00926175"/>
    <w:rsid w:val="00926222"/>
    <w:rsid w:val="009262AF"/>
    <w:rsid w:val="00926306"/>
    <w:rsid w:val="009263F0"/>
    <w:rsid w:val="009263F2"/>
    <w:rsid w:val="00926667"/>
    <w:rsid w:val="0092669B"/>
    <w:rsid w:val="0092672B"/>
    <w:rsid w:val="00926847"/>
    <w:rsid w:val="00926972"/>
    <w:rsid w:val="009269AA"/>
    <w:rsid w:val="00926A93"/>
    <w:rsid w:val="00926ADA"/>
    <w:rsid w:val="00926AF7"/>
    <w:rsid w:val="00926C04"/>
    <w:rsid w:val="00926D22"/>
    <w:rsid w:val="00926D24"/>
    <w:rsid w:val="00926D43"/>
    <w:rsid w:val="00926EA6"/>
    <w:rsid w:val="00926EE6"/>
    <w:rsid w:val="00926FF2"/>
    <w:rsid w:val="009270DB"/>
    <w:rsid w:val="00927144"/>
    <w:rsid w:val="0092716D"/>
    <w:rsid w:val="00927294"/>
    <w:rsid w:val="0092736A"/>
    <w:rsid w:val="00927395"/>
    <w:rsid w:val="009274A8"/>
    <w:rsid w:val="00927527"/>
    <w:rsid w:val="009275B1"/>
    <w:rsid w:val="00927622"/>
    <w:rsid w:val="009276A1"/>
    <w:rsid w:val="009276F8"/>
    <w:rsid w:val="0092772E"/>
    <w:rsid w:val="00927BA6"/>
    <w:rsid w:val="00927D05"/>
    <w:rsid w:val="00927EA6"/>
    <w:rsid w:val="00927F96"/>
    <w:rsid w:val="0093009B"/>
    <w:rsid w:val="009301EA"/>
    <w:rsid w:val="009301F7"/>
    <w:rsid w:val="009302E3"/>
    <w:rsid w:val="0093036E"/>
    <w:rsid w:val="00930482"/>
    <w:rsid w:val="00930597"/>
    <w:rsid w:val="009307F0"/>
    <w:rsid w:val="00930989"/>
    <w:rsid w:val="00930CD4"/>
    <w:rsid w:val="00930CF0"/>
    <w:rsid w:val="00930D2C"/>
    <w:rsid w:val="00930D75"/>
    <w:rsid w:val="00930F08"/>
    <w:rsid w:val="00931063"/>
    <w:rsid w:val="00931207"/>
    <w:rsid w:val="009312B0"/>
    <w:rsid w:val="009312D7"/>
    <w:rsid w:val="0093144D"/>
    <w:rsid w:val="0093144E"/>
    <w:rsid w:val="00931580"/>
    <w:rsid w:val="00931625"/>
    <w:rsid w:val="00931711"/>
    <w:rsid w:val="00931727"/>
    <w:rsid w:val="00931A56"/>
    <w:rsid w:val="00931A64"/>
    <w:rsid w:val="00931A82"/>
    <w:rsid w:val="00931BD2"/>
    <w:rsid w:val="00931D48"/>
    <w:rsid w:val="00931D6C"/>
    <w:rsid w:val="00931E5B"/>
    <w:rsid w:val="00931E9C"/>
    <w:rsid w:val="00931F5B"/>
    <w:rsid w:val="009322E7"/>
    <w:rsid w:val="009323A8"/>
    <w:rsid w:val="009323CC"/>
    <w:rsid w:val="009325E5"/>
    <w:rsid w:val="009325E7"/>
    <w:rsid w:val="009326D9"/>
    <w:rsid w:val="009326EF"/>
    <w:rsid w:val="0093270B"/>
    <w:rsid w:val="009327D5"/>
    <w:rsid w:val="00932865"/>
    <w:rsid w:val="00932A20"/>
    <w:rsid w:val="00932A94"/>
    <w:rsid w:val="00932BA5"/>
    <w:rsid w:val="00932D29"/>
    <w:rsid w:val="00932DD9"/>
    <w:rsid w:val="00932E28"/>
    <w:rsid w:val="00932E83"/>
    <w:rsid w:val="0093307A"/>
    <w:rsid w:val="009331E0"/>
    <w:rsid w:val="009331FC"/>
    <w:rsid w:val="0093325D"/>
    <w:rsid w:val="009332CB"/>
    <w:rsid w:val="00933353"/>
    <w:rsid w:val="00933399"/>
    <w:rsid w:val="009333CF"/>
    <w:rsid w:val="009335FF"/>
    <w:rsid w:val="00933648"/>
    <w:rsid w:val="00933743"/>
    <w:rsid w:val="00933750"/>
    <w:rsid w:val="00933A9D"/>
    <w:rsid w:val="00933AFA"/>
    <w:rsid w:val="00933C5C"/>
    <w:rsid w:val="00933C87"/>
    <w:rsid w:val="00933CB8"/>
    <w:rsid w:val="00933CDE"/>
    <w:rsid w:val="00933CF0"/>
    <w:rsid w:val="00933E1D"/>
    <w:rsid w:val="00933FA1"/>
    <w:rsid w:val="0093413B"/>
    <w:rsid w:val="0093417D"/>
    <w:rsid w:val="009344C8"/>
    <w:rsid w:val="00934599"/>
    <w:rsid w:val="009345A4"/>
    <w:rsid w:val="009345D5"/>
    <w:rsid w:val="00934855"/>
    <w:rsid w:val="00934886"/>
    <w:rsid w:val="00934A71"/>
    <w:rsid w:val="00934AC3"/>
    <w:rsid w:val="00934BF8"/>
    <w:rsid w:val="00934CBC"/>
    <w:rsid w:val="00934D2F"/>
    <w:rsid w:val="00934DD6"/>
    <w:rsid w:val="00935083"/>
    <w:rsid w:val="0093517E"/>
    <w:rsid w:val="009351F7"/>
    <w:rsid w:val="00935323"/>
    <w:rsid w:val="00935362"/>
    <w:rsid w:val="00935445"/>
    <w:rsid w:val="009354E1"/>
    <w:rsid w:val="00935505"/>
    <w:rsid w:val="0093551F"/>
    <w:rsid w:val="00935615"/>
    <w:rsid w:val="00935735"/>
    <w:rsid w:val="00935941"/>
    <w:rsid w:val="00935A20"/>
    <w:rsid w:val="00935B1E"/>
    <w:rsid w:val="00935BB7"/>
    <w:rsid w:val="00935D1E"/>
    <w:rsid w:val="00935D2C"/>
    <w:rsid w:val="00935D7D"/>
    <w:rsid w:val="00935DF3"/>
    <w:rsid w:val="00935FF2"/>
    <w:rsid w:val="00936002"/>
    <w:rsid w:val="00936078"/>
    <w:rsid w:val="00936174"/>
    <w:rsid w:val="00936492"/>
    <w:rsid w:val="009364E8"/>
    <w:rsid w:val="009366A3"/>
    <w:rsid w:val="009366BF"/>
    <w:rsid w:val="00936842"/>
    <w:rsid w:val="00936A2C"/>
    <w:rsid w:val="00936C76"/>
    <w:rsid w:val="00936C91"/>
    <w:rsid w:val="00936C9E"/>
    <w:rsid w:val="00936D7E"/>
    <w:rsid w:val="00936E16"/>
    <w:rsid w:val="00936FF2"/>
    <w:rsid w:val="0093706A"/>
    <w:rsid w:val="009371D1"/>
    <w:rsid w:val="009372AD"/>
    <w:rsid w:val="0093739B"/>
    <w:rsid w:val="0093739E"/>
    <w:rsid w:val="00937450"/>
    <w:rsid w:val="009374FE"/>
    <w:rsid w:val="0093778C"/>
    <w:rsid w:val="009377D0"/>
    <w:rsid w:val="009377FC"/>
    <w:rsid w:val="00937863"/>
    <w:rsid w:val="009378B3"/>
    <w:rsid w:val="009378B9"/>
    <w:rsid w:val="009378FE"/>
    <w:rsid w:val="0093792F"/>
    <w:rsid w:val="00937A51"/>
    <w:rsid w:val="00937B1F"/>
    <w:rsid w:val="00937B4D"/>
    <w:rsid w:val="00937BCB"/>
    <w:rsid w:val="00937C06"/>
    <w:rsid w:val="00937C09"/>
    <w:rsid w:val="00937C7A"/>
    <w:rsid w:val="00937C9C"/>
    <w:rsid w:val="00937CB4"/>
    <w:rsid w:val="00937D9B"/>
    <w:rsid w:val="00937DF0"/>
    <w:rsid w:val="00937FF5"/>
    <w:rsid w:val="00940148"/>
    <w:rsid w:val="009401D0"/>
    <w:rsid w:val="00940243"/>
    <w:rsid w:val="0094034A"/>
    <w:rsid w:val="00940350"/>
    <w:rsid w:val="009404EC"/>
    <w:rsid w:val="00940545"/>
    <w:rsid w:val="009406A1"/>
    <w:rsid w:val="00940806"/>
    <w:rsid w:val="0094086A"/>
    <w:rsid w:val="009409DE"/>
    <w:rsid w:val="00940A36"/>
    <w:rsid w:val="00940AF3"/>
    <w:rsid w:val="00940B07"/>
    <w:rsid w:val="00940B25"/>
    <w:rsid w:val="00940B6C"/>
    <w:rsid w:val="00940C4B"/>
    <w:rsid w:val="00940CA8"/>
    <w:rsid w:val="00940D05"/>
    <w:rsid w:val="00940E1C"/>
    <w:rsid w:val="00940E81"/>
    <w:rsid w:val="00940FA3"/>
    <w:rsid w:val="00941090"/>
    <w:rsid w:val="00941246"/>
    <w:rsid w:val="0094134C"/>
    <w:rsid w:val="009415F5"/>
    <w:rsid w:val="00941624"/>
    <w:rsid w:val="0094163A"/>
    <w:rsid w:val="00941710"/>
    <w:rsid w:val="0094177E"/>
    <w:rsid w:val="009418AE"/>
    <w:rsid w:val="00941921"/>
    <w:rsid w:val="0094195F"/>
    <w:rsid w:val="00941A4A"/>
    <w:rsid w:val="00941B28"/>
    <w:rsid w:val="00941C46"/>
    <w:rsid w:val="00941CD7"/>
    <w:rsid w:val="00941D49"/>
    <w:rsid w:val="00941D5C"/>
    <w:rsid w:val="00941DA8"/>
    <w:rsid w:val="00941DC6"/>
    <w:rsid w:val="00941E08"/>
    <w:rsid w:val="00941E15"/>
    <w:rsid w:val="00941F18"/>
    <w:rsid w:val="0094206B"/>
    <w:rsid w:val="00942120"/>
    <w:rsid w:val="0094217A"/>
    <w:rsid w:val="009422D8"/>
    <w:rsid w:val="00942588"/>
    <w:rsid w:val="0094267E"/>
    <w:rsid w:val="009426B1"/>
    <w:rsid w:val="009426FC"/>
    <w:rsid w:val="009427E1"/>
    <w:rsid w:val="0094281D"/>
    <w:rsid w:val="009428D2"/>
    <w:rsid w:val="00942993"/>
    <w:rsid w:val="00942A85"/>
    <w:rsid w:val="00942AB7"/>
    <w:rsid w:val="00942AC0"/>
    <w:rsid w:val="00942B69"/>
    <w:rsid w:val="00942C42"/>
    <w:rsid w:val="00942D1B"/>
    <w:rsid w:val="00942D21"/>
    <w:rsid w:val="00942EFA"/>
    <w:rsid w:val="00942FBA"/>
    <w:rsid w:val="00942FC1"/>
    <w:rsid w:val="00942FCA"/>
    <w:rsid w:val="00942FCE"/>
    <w:rsid w:val="00943040"/>
    <w:rsid w:val="00943093"/>
    <w:rsid w:val="009430A0"/>
    <w:rsid w:val="0094311D"/>
    <w:rsid w:val="009433C2"/>
    <w:rsid w:val="00943425"/>
    <w:rsid w:val="009434BA"/>
    <w:rsid w:val="009434E0"/>
    <w:rsid w:val="00943608"/>
    <w:rsid w:val="0094365C"/>
    <w:rsid w:val="00943784"/>
    <w:rsid w:val="00943789"/>
    <w:rsid w:val="00943807"/>
    <w:rsid w:val="009439DA"/>
    <w:rsid w:val="009439DB"/>
    <w:rsid w:val="00943B04"/>
    <w:rsid w:val="00943D7C"/>
    <w:rsid w:val="00943E31"/>
    <w:rsid w:val="00943EDD"/>
    <w:rsid w:val="00943F0F"/>
    <w:rsid w:val="00943F96"/>
    <w:rsid w:val="00944016"/>
    <w:rsid w:val="009440A2"/>
    <w:rsid w:val="009441F4"/>
    <w:rsid w:val="009442CC"/>
    <w:rsid w:val="0094444A"/>
    <w:rsid w:val="009444E3"/>
    <w:rsid w:val="009444F7"/>
    <w:rsid w:val="00944655"/>
    <w:rsid w:val="00944669"/>
    <w:rsid w:val="009448D8"/>
    <w:rsid w:val="009449C0"/>
    <w:rsid w:val="009449E9"/>
    <w:rsid w:val="00944A52"/>
    <w:rsid w:val="00944C09"/>
    <w:rsid w:val="00944D82"/>
    <w:rsid w:val="00944D9C"/>
    <w:rsid w:val="00944DD1"/>
    <w:rsid w:val="00944E5A"/>
    <w:rsid w:val="00944EE1"/>
    <w:rsid w:val="00945134"/>
    <w:rsid w:val="0094534B"/>
    <w:rsid w:val="009453C9"/>
    <w:rsid w:val="009453EC"/>
    <w:rsid w:val="0094547B"/>
    <w:rsid w:val="00945615"/>
    <w:rsid w:val="0094571A"/>
    <w:rsid w:val="0094582A"/>
    <w:rsid w:val="00945A9E"/>
    <w:rsid w:val="00945B37"/>
    <w:rsid w:val="00945CAC"/>
    <w:rsid w:val="00945D39"/>
    <w:rsid w:val="00945D3B"/>
    <w:rsid w:val="00945D55"/>
    <w:rsid w:val="00945F04"/>
    <w:rsid w:val="00945FC8"/>
    <w:rsid w:val="0094608D"/>
    <w:rsid w:val="009460E3"/>
    <w:rsid w:val="009461CB"/>
    <w:rsid w:val="0094641F"/>
    <w:rsid w:val="0094649E"/>
    <w:rsid w:val="009464D0"/>
    <w:rsid w:val="009465B3"/>
    <w:rsid w:val="009465FC"/>
    <w:rsid w:val="009467DD"/>
    <w:rsid w:val="00946A3D"/>
    <w:rsid w:val="00946B2F"/>
    <w:rsid w:val="00946EE1"/>
    <w:rsid w:val="00946F6F"/>
    <w:rsid w:val="00946F79"/>
    <w:rsid w:val="00946FC0"/>
    <w:rsid w:val="009470AD"/>
    <w:rsid w:val="009470DA"/>
    <w:rsid w:val="009471FC"/>
    <w:rsid w:val="00947253"/>
    <w:rsid w:val="00947265"/>
    <w:rsid w:val="00947374"/>
    <w:rsid w:val="0094746D"/>
    <w:rsid w:val="00947554"/>
    <w:rsid w:val="009475D9"/>
    <w:rsid w:val="00947809"/>
    <w:rsid w:val="009478C1"/>
    <w:rsid w:val="009478CC"/>
    <w:rsid w:val="00947986"/>
    <w:rsid w:val="0094799A"/>
    <w:rsid w:val="00947AB3"/>
    <w:rsid w:val="00947C8D"/>
    <w:rsid w:val="00947E2A"/>
    <w:rsid w:val="00947EE9"/>
    <w:rsid w:val="00947F61"/>
    <w:rsid w:val="00947FA3"/>
    <w:rsid w:val="00950022"/>
    <w:rsid w:val="00950035"/>
    <w:rsid w:val="00950075"/>
    <w:rsid w:val="00950180"/>
    <w:rsid w:val="009501B7"/>
    <w:rsid w:val="009502E0"/>
    <w:rsid w:val="00950340"/>
    <w:rsid w:val="00950344"/>
    <w:rsid w:val="00950375"/>
    <w:rsid w:val="009503BF"/>
    <w:rsid w:val="009505E5"/>
    <w:rsid w:val="009505F0"/>
    <w:rsid w:val="009506D2"/>
    <w:rsid w:val="0095098E"/>
    <w:rsid w:val="009509F8"/>
    <w:rsid w:val="00950B38"/>
    <w:rsid w:val="00950C59"/>
    <w:rsid w:val="00950C71"/>
    <w:rsid w:val="00950D64"/>
    <w:rsid w:val="00950DAA"/>
    <w:rsid w:val="00950F78"/>
    <w:rsid w:val="009510B5"/>
    <w:rsid w:val="00951213"/>
    <w:rsid w:val="0095150D"/>
    <w:rsid w:val="009515DA"/>
    <w:rsid w:val="00951676"/>
    <w:rsid w:val="00951834"/>
    <w:rsid w:val="00951877"/>
    <w:rsid w:val="00951947"/>
    <w:rsid w:val="009519E6"/>
    <w:rsid w:val="00951A79"/>
    <w:rsid w:val="00951BF3"/>
    <w:rsid w:val="00951ED8"/>
    <w:rsid w:val="00951EFE"/>
    <w:rsid w:val="00951F63"/>
    <w:rsid w:val="00951F7F"/>
    <w:rsid w:val="00952005"/>
    <w:rsid w:val="0095200E"/>
    <w:rsid w:val="0095202F"/>
    <w:rsid w:val="0095215D"/>
    <w:rsid w:val="009522FB"/>
    <w:rsid w:val="00952361"/>
    <w:rsid w:val="00952461"/>
    <w:rsid w:val="00952553"/>
    <w:rsid w:val="0095256B"/>
    <w:rsid w:val="009525CE"/>
    <w:rsid w:val="00952698"/>
    <w:rsid w:val="009526AF"/>
    <w:rsid w:val="009528C8"/>
    <w:rsid w:val="009529CC"/>
    <w:rsid w:val="00952A1A"/>
    <w:rsid w:val="00952B1B"/>
    <w:rsid w:val="00952BBC"/>
    <w:rsid w:val="00952C25"/>
    <w:rsid w:val="00952D9F"/>
    <w:rsid w:val="00952E60"/>
    <w:rsid w:val="00952FC6"/>
    <w:rsid w:val="00953039"/>
    <w:rsid w:val="009530B5"/>
    <w:rsid w:val="009530E7"/>
    <w:rsid w:val="0095334F"/>
    <w:rsid w:val="0095354B"/>
    <w:rsid w:val="0095361E"/>
    <w:rsid w:val="00953863"/>
    <w:rsid w:val="009538D3"/>
    <w:rsid w:val="009538ED"/>
    <w:rsid w:val="00953903"/>
    <w:rsid w:val="009539AA"/>
    <w:rsid w:val="009539E2"/>
    <w:rsid w:val="00953B91"/>
    <w:rsid w:val="00953C39"/>
    <w:rsid w:val="00953C8F"/>
    <w:rsid w:val="00953C94"/>
    <w:rsid w:val="00953CC5"/>
    <w:rsid w:val="00953FE0"/>
    <w:rsid w:val="00954078"/>
    <w:rsid w:val="00954103"/>
    <w:rsid w:val="009541C3"/>
    <w:rsid w:val="00954300"/>
    <w:rsid w:val="009544AC"/>
    <w:rsid w:val="0095456A"/>
    <w:rsid w:val="00954571"/>
    <w:rsid w:val="009545E8"/>
    <w:rsid w:val="009547E7"/>
    <w:rsid w:val="009548A1"/>
    <w:rsid w:val="0095493E"/>
    <w:rsid w:val="00954AA2"/>
    <w:rsid w:val="00954B65"/>
    <w:rsid w:val="00954BE0"/>
    <w:rsid w:val="00954E30"/>
    <w:rsid w:val="00954E51"/>
    <w:rsid w:val="00954E6A"/>
    <w:rsid w:val="00954EDD"/>
    <w:rsid w:val="00954F07"/>
    <w:rsid w:val="00954FA6"/>
    <w:rsid w:val="00954FE5"/>
    <w:rsid w:val="00955371"/>
    <w:rsid w:val="0095542B"/>
    <w:rsid w:val="0095542F"/>
    <w:rsid w:val="009554D0"/>
    <w:rsid w:val="009556A9"/>
    <w:rsid w:val="009556AF"/>
    <w:rsid w:val="009556F4"/>
    <w:rsid w:val="00955813"/>
    <w:rsid w:val="009558A9"/>
    <w:rsid w:val="00955A84"/>
    <w:rsid w:val="00955B33"/>
    <w:rsid w:val="00955BFA"/>
    <w:rsid w:val="00955C30"/>
    <w:rsid w:val="00955CFB"/>
    <w:rsid w:val="00955D2A"/>
    <w:rsid w:val="00955D5F"/>
    <w:rsid w:val="00955D8D"/>
    <w:rsid w:val="00955F90"/>
    <w:rsid w:val="00956046"/>
    <w:rsid w:val="00956192"/>
    <w:rsid w:val="00956226"/>
    <w:rsid w:val="00956236"/>
    <w:rsid w:val="0095628D"/>
    <w:rsid w:val="00956290"/>
    <w:rsid w:val="0095629E"/>
    <w:rsid w:val="009565E1"/>
    <w:rsid w:val="00956621"/>
    <w:rsid w:val="0095679C"/>
    <w:rsid w:val="009567EF"/>
    <w:rsid w:val="0095697E"/>
    <w:rsid w:val="00956997"/>
    <w:rsid w:val="00956D69"/>
    <w:rsid w:val="00956D87"/>
    <w:rsid w:val="00956ECA"/>
    <w:rsid w:val="00956F75"/>
    <w:rsid w:val="00956FF6"/>
    <w:rsid w:val="009570A7"/>
    <w:rsid w:val="009570F9"/>
    <w:rsid w:val="009571CC"/>
    <w:rsid w:val="009572BF"/>
    <w:rsid w:val="009572C6"/>
    <w:rsid w:val="00957370"/>
    <w:rsid w:val="009573BB"/>
    <w:rsid w:val="0095749D"/>
    <w:rsid w:val="009574B3"/>
    <w:rsid w:val="009575C9"/>
    <w:rsid w:val="00957805"/>
    <w:rsid w:val="00957A0F"/>
    <w:rsid w:val="00957B16"/>
    <w:rsid w:val="00957C20"/>
    <w:rsid w:val="00957CC2"/>
    <w:rsid w:val="00957CC3"/>
    <w:rsid w:val="00957D4C"/>
    <w:rsid w:val="00957DD8"/>
    <w:rsid w:val="00957DDA"/>
    <w:rsid w:val="00957EFE"/>
    <w:rsid w:val="009601B3"/>
    <w:rsid w:val="00960204"/>
    <w:rsid w:val="0096033A"/>
    <w:rsid w:val="009603DE"/>
    <w:rsid w:val="009604FD"/>
    <w:rsid w:val="00960528"/>
    <w:rsid w:val="00960562"/>
    <w:rsid w:val="009605A9"/>
    <w:rsid w:val="009605EE"/>
    <w:rsid w:val="009605F5"/>
    <w:rsid w:val="00960860"/>
    <w:rsid w:val="00960A2F"/>
    <w:rsid w:val="00960A38"/>
    <w:rsid w:val="00960C30"/>
    <w:rsid w:val="00960E01"/>
    <w:rsid w:val="00960E92"/>
    <w:rsid w:val="00960F7A"/>
    <w:rsid w:val="00961004"/>
    <w:rsid w:val="0096116C"/>
    <w:rsid w:val="009611B0"/>
    <w:rsid w:val="00961272"/>
    <w:rsid w:val="00961440"/>
    <w:rsid w:val="00961486"/>
    <w:rsid w:val="0096165C"/>
    <w:rsid w:val="009616DB"/>
    <w:rsid w:val="009617BB"/>
    <w:rsid w:val="00961C16"/>
    <w:rsid w:val="00961C20"/>
    <w:rsid w:val="00961F77"/>
    <w:rsid w:val="00961FF7"/>
    <w:rsid w:val="0096201B"/>
    <w:rsid w:val="00962139"/>
    <w:rsid w:val="009621B5"/>
    <w:rsid w:val="00962528"/>
    <w:rsid w:val="00962555"/>
    <w:rsid w:val="0096291E"/>
    <w:rsid w:val="00962AC5"/>
    <w:rsid w:val="00962CFD"/>
    <w:rsid w:val="00962D4A"/>
    <w:rsid w:val="00962D50"/>
    <w:rsid w:val="00962DDA"/>
    <w:rsid w:val="00962EBD"/>
    <w:rsid w:val="00962FD7"/>
    <w:rsid w:val="0096313E"/>
    <w:rsid w:val="00963155"/>
    <w:rsid w:val="009631F5"/>
    <w:rsid w:val="00963409"/>
    <w:rsid w:val="0096371E"/>
    <w:rsid w:val="00963A1D"/>
    <w:rsid w:val="00963A1E"/>
    <w:rsid w:val="00963DF5"/>
    <w:rsid w:val="00963E81"/>
    <w:rsid w:val="0096403D"/>
    <w:rsid w:val="00964056"/>
    <w:rsid w:val="0096418D"/>
    <w:rsid w:val="009642EC"/>
    <w:rsid w:val="00964507"/>
    <w:rsid w:val="00964531"/>
    <w:rsid w:val="00964735"/>
    <w:rsid w:val="00964752"/>
    <w:rsid w:val="00964BC8"/>
    <w:rsid w:val="00964BE1"/>
    <w:rsid w:val="00964D5B"/>
    <w:rsid w:val="00964FCC"/>
    <w:rsid w:val="009651D1"/>
    <w:rsid w:val="00965248"/>
    <w:rsid w:val="009653F9"/>
    <w:rsid w:val="00965412"/>
    <w:rsid w:val="009654E0"/>
    <w:rsid w:val="009655E2"/>
    <w:rsid w:val="00965771"/>
    <w:rsid w:val="009658F1"/>
    <w:rsid w:val="00965A1D"/>
    <w:rsid w:val="00965A31"/>
    <w:rsid w:val="00965B51"/>
    <w:rsid w:val="00965BA8"/>
    <w:rsid w:val="00965BC8"/>
    <w:rsid w:val="00965C4D"/>
    <w:rsid w:val="00965D52"/>
    <w:rsid w:val="00965D72"/>
    <w:rsid w:val="00965DDF"/>
    <w:rsid w:val="00965E51"/>
    <w:rsid w:val="00965FB0"/>
    <w:rsid w:val="00966074"/>
    <w:rsid w:val="00966192"/>
    <w:rsid w:val="009662A5"/>
    <w:rsid w:val="0096639F"/>
    <w:rsid w:val="0096662A"/>
    <w:rsid w:val="009666BE"/>
    <w:rsid w:val="009666FA"/>
    <w:rsid w:val="0096670D"/>
    <w:rsid w:val="0096672A"/>
    <w:rsid w:val="0096674D"/>
    <w:rsid w:val="009667FC"/>
    <w:rsid w:val="00966859"/>
    <w:rsid w:val="00966864"/>
    <w:rsid w:val="00966884"/>
    <w:rsid w:val="009669E1"/>
    <w:rsid w:val="00966AEB"/>
    <w:rsid w:val="00966CE2"/>
    <w:rsid w:val="00966CFC"/>
    <w:rsid w:val="00966D35"/>
    <w:rsid w:val="00966EB6"/>
    <w:rsid w:val="00966EBB"/>
    <w:rsid w:val="00966EC3"/>
    <w:rsid w:val="00966F1C"/>
    <w:rsid w:val="00966FD6"/>
    <w:rsid w:val="00966FDF"/>
    <w:rsid w:val="009672A6"/>
    <w:rsid w:val="00967364"/>
    <w:rsid w:val="00967490"/>
    <w:rsid w:val="009675CA"/>
    <w:rsid w:val="0096779F"/>
    <w:rsid w:val="00967886"/>
    <w:rsid w:val="00967A54"/>
    <w:rsid w:val="00967AED"/>
    <w:rsid w:val="00967D9E"/>
    <w:rsid w:val="00967E00"/>
    <w:rsid w:val="00967E21"/>
    <w:rsid w:val="00967F4D"/>
    <w:rsid w:val="00967FE8"/>
    <w:rsid w:val="00970005"/>
    <w:rsid w:val="009701D6"/>
    <w:rsid w:val="009702D3"/>
    <w:rsid w:val="00970537"/>
    <w:rsid w:val="009705F2"/>
    <w:rsid w:val="0097074C"/>
    <w:rsid w:val="0097074D"/>
    <w:rsid w:val="009707EB"/>
    <w:rsid w:val="00970A16"/>
    <w:rsid w:val="00970AD4"/>
    <w:rsid w:val="00970C3F"/>
    <w:rsid w:val="00970D08"/>
    <w:rsid w:val="00970D2D"/>
    <w:rsid w:val="00970DC6"/>
    <w:rsid w:val="00971117"/>
    <w:rsid w:val="00971123"/>
    <w:rsid w:val="009711A7"/>
    <w:rsid w:val="009711CE"/>
    <w:rsid w:val="00971498"/>
    <w:rsid w:val="009715E9"/>
    <w:rsid w:val="009718C3"/>
    <w:rsid w:val="00971931"/>
    <w:rsid w:val="00971946"/>
    <w:rsid w:val="009719E3"/>
    <w:rsid w:val="00971AB5"/>
    <w:rsid w:val="00971BD7"/>
    <w:rsid w:val="00971CFD"/>
    <w:rsid w:val="00971D8B"/>
    <w:rsid w:val="00971E2C"/>
    <w:rsid w:val="00971E60"/>
    <w:rsid w:val="0097216B"/>
    <w:rsid w:val="009723B8"/>
    <w:rsid w:val="00972432"/>
    <w:rsid w:val="00972621"/>
    <w:rsid w:val="00972756"/>
    <w:rsid w:val="00972812"/>
    <w:rsid w:val="00972897"/>
    <w:rsid w:val="009728E2"/>
    <w:rsid w:val="009729EA"/>
    <w:rsid w:val="00972B8F"/>
    <w:rsid w:val="0097302B"/>
    <w:rsid w:val="009731CF"/>
    <w:rsid w:val="009732A9"/>
    <w:rsid w:val="00973303"/>
    <w:rsid w:val="00973312"/>
    <w:rsid w:val="00973333"/>
    <w:rsid w:val="00973510"/>
    <w:rsid w:val="00973698"/>
    <w:rsid w:val="00973765"/>
    <w:rsid w:val="00973811"/>
    <w:rsid w:val="00973867"/>
    <w:rsid w:val="009738C0"/>
    <w:rsid w:val="00973BE0"/>
    <w:rsid w:val="0097409C"/>
    <w:rsid w:val="009741E7"/>
    <w:rsid w:val="0097426A"/>
    <w:rsid w:val="009742F4"/>
    <w:rsid w:val="0097430F"/>
    <w:rsid w:val="00974439"/>
    <w:rsid w:val="00974695"/>
    <w:rsid w:val="00974726"/>
    <w:rsid w:val="00974878"/>
    <w:rsid w:val="009748FC"/>
    <w:rsid w:val="009749B4"/>
    <w:rsid w:val="00974A95"/>
    <w:rsid w:val="00974CED"/>
    <w:rsid w:val="00974CF9"/>
    <w:rsid w:val="00974E9A"/>
    <w:rsid w:val="009751EC"/>
    <w:rsid w:val="00975515"/>
    <w:rsid w:val="0097565F"/>
    <w:rsid w:val="009756B7"/>
    <w:rsid w:val="009756E0"/>
    <w:rsid w:val="009757A3"/>
    <w:rsid w:val="009757B5"/>
    <w:rsid w:val="00975B73"/>
    <w:rsid w:val="00975D44"/>
    <w:rsid w:val="00975D60"/>
    <w:rsid w:val="00975DC5"/>
    <w:rsid w:val="00975EF1"/>
    <w:rsid w:val="009760DE"/>
    <w:rsid w:val="009764E2"/>
    <w:rsid w:val="00976B8A"/>
    <w:rsid w:val="00976BD6"/>
    <w:rsid w:val="00976C12"/>
    <w:rsid w:val="00976CC3"/>
    <w:rsid w:val="00976D03"/>
    <w:rsid w:val="00976D8F"/>
    <w:rsid w:val="00976DFD"/>
    <w:rsid w:val="00976E6A"/>
    <w:rsid w:val="009770ED"/>
    <w:rsid w:val="009771EE"/>
    <w:rsid w:val="00977251"/>
    <w:rsid w:val="00977266"/>
    <w:rsid w:val="00977285"/>
    <w:rsid w:val="009773B4"/>
    <w:rsid w:val="009775FC"/>
    <w:rsid w:val="0097773F"/>
    <w:rsid w:val="009777FD"/>
    <w:rsid w:val="009778A4"/>
    <w:rsid w:val="00977B1E"/>
    <w:rsid w:val="00977C82"/>
    <w:rsid w:val="00977D22"/>
    <w:rsid w:val="00977E25"/>
    <w:rsid w:val="00977EA1"/>
    <w:rsid w:val="00977EE4"/>
    <w:rsid w:val="0098015B"/>
    <w:rsid w:val="0098017B"/>
    <w:rsid w:val="009801CD"/>
    <w:rsid w:val="00980207"/>
    <w:rsid w:val="0098025D"/>
    <w:rsid w:val="009802BF"/>
    <w:rsid w:val="009804E7"/>
    <w:rsid w:val="00980514"/>
    <w:rsid w:val="0098056A"/>
    <w:rsid w:val="0098058C"/>
    <w:rsid w:val="00980603"/>
    <w:rsid w:val="00980618"/>
    <w:rsid w:val="00980648"/>
    <w:rsid w:val="00980660"/>
    <w:rsid w:val="00980701"/>
    <w:rsid w:val="00980797"/>
    <w:rsid w:val="009807A4"/>
    <w:rsid w:val="0098083E"/>
    <w:rsid w:val="00980885"/>
    <w:rsid w:val="0098097F"/>
    <w:rsid w:val="0098099C"/>
    <w:rsid w:val="00980AAF"/>
    <w:rsid w:val="00980B32"/>
    <w:rsid w:val="00980B55"/>
    <w:rsid w:val="00980B6C"/>
    <w:rsid w:val="00980CEA"/>
    <w:rsid w:val="00980E95"/>
    <w:rsid w:val="00980EBF"/>
    <w:rsid w:val="00980F71"/>
    <w:rsid w:val="009811C6"/>
    <w:rsid w:val="00981256"/>
    <w:rsid w:val="00981290"/>
    <w:rsid w:val="009812AF"/>
    <w:rsid w:val="0098138E"/>
    <w:rsid w:val="00981452"/>
    <w:rsid w:val="00981652"/>
    <w:rsid w:val="009816A4"/>
    <w:rsid w:val="00981780"/>
    <w:rsid w:val="00981795"/>
    <w:rsid w:val="009817F7"/>
    <w:rsid w:val="00981809"/>
    <w:rsid w:val="009818C5"/>
    <w:rsid w:val="00981B29"/>
    <w:rsid w:val="00981EC0"/>
    <w:rsid w:val="00981F54"/>
    <w:rsid w:val="009821C1"/>
    <w:rsid w:val="009821EC"/>
    <w:rsid w:val="0098233D"/>
    <w:rsid w:val="00982372"/>
    <w:rsid w:val="0098249B"/>
    <w:rsid w:val="009824E3"/>
    <w:rsid w:val="009825B8"/>
    <w:rsid w:val="009825D0"/>
    <w:rsid w:val="00982603"/>
    <w:rsid w:val="009826D3"/>
    <w:rsid w:val="0098287F"/>
    <w:rsid w:val="00982881"/>
    <w:rsid w:val="009828DA"/>
    <w:rsid w:val="009828E5"/>
    <w:rsid w:val="00982930"/>
    <w:rsid w:val="009829C7"/>
    <w:rsid w:val="00982A7C"/>
    <w:rsid w:val="00982ADE"/>
    <w:rsid w:val="00982AF5"/>
    <w:rsid w:val="00982D1F"/>
    <w:rsid w:val="00982EAE"/>
    <w:rsid w:val="00982EE8"/>
    <w:rsid w:val="00982EF4"/>
    <w:rsid w:val="00982FAA"/>
    <w:rsid w:val="00982FAD"/>
    <w:rsid w:val="00983110"/>
    <w:rsid w:val="00983169"/>
    <w:rsid w:val="009831ED"/>
    <w:rsid w:val="0098324C"/>
    <w:rsid w:val="00983333"/>
    <w:rsid w:val="00983362"/>
    <w:rsid w:val="00983420"/>
    <w:rsid w:val="00983548"/>
    <w:rsid w:val="00983563"/>
    <w:rsid w:val="00983725"/>
    <w:rsid w:val="0098379C"/>
    <w:rsid w:val="0098379F"/>
    <w:rsid w:val="009838F7"/>
    <w:rsid w:val="009839F2"/>
    <w:rsid w:val="00983D54"/>
    <w:rsid w:val="00983ECC"/>
    <w:rsid w:val="00983ED2"/>
    <w:rsid w:val="00983EF5"/>
    <w:rsid w:val="009840CC"/>
    <w:rsid w:val="009841BA"/>
    <w:rsid w:val="009841FD"/>
    <w:rsid w:val="00984338"/>
    <w:rsid w:val="0098439A"/>
    <w:rsid w:val="0098442B"/>
    <w:rsid w:val="00984691"/>
    <w:rsid w:val="009847FF"/>
    <w:rsid w:val="00984A53"/>
    <w:rsid w:val="00984B98"/>
    <w:rsid w:val="00984C08"/>
    <w:rsid w:val="009850FB"/>
    <w:rsid w:val="00985373"/>
    <w:rsid w:val="009854E9"/>
    <w:rsid w:val="00985527"/>
    <w:rsid w:val="00985814"/>
    <w:rsid w:val="0098585B"/>
    <w:rsid w:val="00985956"/>
    <w:rsid w:val="009859C8"/>
    <w:rsid w:val="00985AAB"/>
    <w:rsid w:val="00985AB0"/>
    <w:rsid w:val="00985B6B"/>
    <w:rsid w:val="00985BCB"/>
    <w:rsid w:val="00985BF6"/>
    <w:rsid w:val="00985C69"/>
    <w:rsid w:val="00985E91"/>
    <w:rsid w:val="00985EBE"/>
    <w:rsid w:val="00985EC1"/>
    <w:rsid w:val="00985F63"/>
    <w:rsid w:val="00985FCD"/>
    <w:rsid w:val="009860AA"/>
    <w:rsid w:val="00986242"/>
    <w:rsid w:val="009862F2"/>
    <w:rsid w:val="00986449"/>
    <w:rsid w:val="009864F8"/>
    <w:rsid w:val="0098655A"/>
    <w:rsid w:val="009865FC"/>
    <w:rsid w:val="009866CD"/>
    <w:rsid w:val="0098675C"/>
    <w:rsid w:val="009867BF"/>
    <w:rsid w:val="009869CA"/>
    <w:rsid w:val="00986AD6"/>
    <w:rsid w:val="00986BB3"/>
    <w:rsid w:val="00986DC1"/>
    <w:rsid w:val="009871BF"/>
    <w:rsid w:val="0098724B"/>
    <w:rsid w:val="009872E0"/>
    <w:rsid w:val="00987301"/>
    <w:rsid w:val="00987670"/>
    <w:rsid w:val="009876F1"/>
    <w:rsid w:val="009877C0"/>
    <w:rsid w:val="009878B5"/>
    <w:rsid w:val="00987A5D"/>
    <w:rsid w:val="00987BA7"/>
    <w:rsid w:val="00987BE3"/>
    <w:rsid w:val="00987C08"/>
    <w:rsid w:val="00987C55"/>
    <w:rsid w:val="00987E96"/>
    <w:rsid w:val="00987FCD"/>
    <w:rsid w:val="00990225"/>
    <w:rsid w:val="00990273"/>
    <w:rsid w:val="00990311"/>
    <w:rsid w:val="00990365"/>
    <w:rsid w:val="0099039E"/>
    <w:rsid w:val="00990425"/>
    <w:rsid w:val="009904C3"/>
    <w:rsid w:val="009904CF"/>
    <w:rsid w:val="00990504"/>
    <w:rsid w:val="00990603"/>
    <w:rsid w:val="00990715"/>
    <w:rsid w:val="0099072A"/>
    <w:rsid w:val="009909F2"/>
    <w:rsid w:val="00990E6A"/>
    <w:rsid w:val="00990E84"/>
    <w:rsid w:val="00991129"/>
    <w:rsid w:val="00991369"/>
    <w:rsid w:val="00991486"/>
    <w:rsid w:val="00991698"/>
    <w:rsid w:val="0099185D"/>
    <w:rsid w:val="0099189B"/>
    <w:rsid w:val="009918F1"/>
    <w:rsid w:val="0099192E"/>
    <w:rsid w:val="0099194B"/>
    <w:rsid w:val="00991970"/>
    <w:rsid w:val="00991BC2"/>
    <w:rsid w:val="00991D61"/>
    <w:rsid w:val="00991DB0"/>
    <w:rsid w:val="00991E70"/>
    <w:rsid w:val="00991EDA"/>
    <w:rsid w:val="00991EF3"/>
    <w:rsid w:val="00991F3F"/>
    <w:rsid w:val="00991FF0"/>
    <w:rsid w:val="009924C3"/>
    <w:rsid w:val="009924E0"/>
    <w:rsid w:val="009925D4"/>
    <w:rsid w:val="009925EC"/>
    <w:rsid w:val="009926DE"/>
    <w:rsid w:val="009927A9"/>
    <w:rsid w:val="00992822"/>
    <w:rsid w:val="00992905"/>
    <w:rsid w:val="00992909"/>
    <w:rsid w:val="00992924"/>
    <w:rsid w:val="00992A15"/>
    <w:rsid w:val="00992F8F"/>
    <w:rsid w:val="00993143"/>
    <w:rsid w:val="0099327C"/>
    <w:rsid w:val="00993280"/>
    <w:rsid w:val="009932BB"/>
    <w:rsid w:val="00993682"/>
    <w:rsid w:val="00993689"/>
    <w:rsid w:val="009936C2"/>
    <w:rsid w:val="00993756"/>
    <w:rsid w:val="00993765"/>
    <w:rsid w:val="009937F7"/>
    <w:rsid w:val="009938E0"/>
    <w:rsid w:val="00993C48"/>
    <w:rsid w:val="00993D6B"/>
    <w:rsid w:val="00993E6D"/>
    <w:rsid w:val="00993E8F"/>
    <w:rsid w:val="00993EE7"/>
    <w:rsid w:val="00993FEC"/>
    <w:rsid w:val="009940EA"/>
    <w:rsid w:val="009940F6"/>
    <w:rsid w:val="0099425B"/>
    <w:rsid w:val="009942C2"/>
    <w:rsid w:val="00994417"/>
    <w:rsid w:val="0099441F"/>
    <w:rsid w:val="00994559"/>
    <w:rsid w:val="009945A8"/>
    <w:rsid w:val="0099472D"/>
    <w:rsid w:val="00994AF6"/>
    <w:rsid w:val="00994B01"/>
    <w:rsid w:val="00994C50"/>
    <w:rsid w:val="00994CB7"/>
    <w:rsid w:val="00994CD7"/>
    <w:rsid w:val="00994DBE"/>
    <w:rsid w:val="00994EDF"/>
    <w:rsid w:val="00995045"/>
    <w:rsid w:val="00995068"/>
    <w:rsid w:val="009950A6"/>
    <w:rsid w:val="009950FE"/>
    <w:rsid w:val="00995147"/>
    <w:rsid w:val="00995172"/>
    <w:rsid w:val="00995233"/>
    <w:rsid w:val="00995303"/>
    <w:rsid w:val="0099533C"/>
    <w:rsid w:val="00995461"/>
    <w:rsid w:val="0099546B"/>
    <w:rsid w:val="0099556C"/>
    <w:rsid w:val="009955A1"/>
    <w:rsid w:val="0099564D"/>
    <w:rsid w:val="0099588D"/>
    <w:rsid w:val="0099588E"/>
    <w:rsid w:val="009958BF"/>
    <w:rsid w:val="00995981"/>
    <w:rsid w:val="009959F4"/>
    <w:rsid w:val="00995AC8"/>
    <w:rsid w:val="00995B8D"/>
    <w:rsid w:val="00995BC4"/>
    <w:rsid w:val="00995C6A"/>
    <w:rsid w:val="00995CC7"/>
    <w:rsid w:val="00995CE7"/>
    <w:rsid w:val="00995CFF"/>
    <w:rsid w:val="00995ECD"/>
    <w:rsid w:val="00995EE0"/>
    <w:rsid w:val="00995F52"/>
    <w:rsid w:val="00995FDD"/>
    <w:rsid w:val="00996053"/>
    <w:rsid w:val="009961D9"/>
    <w:rsid w:val="0099628A"/>
    <w:rsid w:val="009962DD"/>
    <w:rsid w:val="00996355"/>
    <w:rsid w:val="00996368"/>
    <w:rsid w:val="009963EE"/>
    <w:rsid w:val="009965B6"/>
    <w:rsid w:val="00996685"/>
    <w:rsid w:val="009966CD"/>
    <w:rsid w:val="00996909"/>
    <w:rsid w:val="00996982"/>
    <w:rsid w:val="00996BCA"/>
    <w:rsid w:val="00996CBF"/>
    <w:rsid w:val="00996D64"/>
    <w:rsid w:val="00996E85"/>
    <w:rsid w:val="00996EA0"/>
    <w:rsid w:val="00996F65"/>
    <w:rsid w:val="00996FEE"/>
    <w:rsid w:val="0099715E"/>
    <w:rsid w:val="009975ED"/>
    <w:rsid w:val="00997775"/>
    <w:rsid w:val="009979AB"/>
    <w:rsid w:val="00997A06"/>
    <w:rsid w:val="00997B09"/>
    <w:rsid w:val="00997B2C"/>
    <w:rsid w:val="00997B64"/>
    <w:rsid w:val="00997C83"/>
    <w:rsid w:val="00997D18"/>
    <w:rsid w:val="00997D79"/>
    <w:rsid w:val="00997E01"/>
    <w:rsid w:val="00997EF2"/>
    <w:rsid w:val="00997F94"/>
    <w:rsid w:val="009A0024"/>
    <w:rsid w:val="009A00E8"/>
    <w:rsid w:val="009A0151"/>
    <w:rsid w:val="009A0188"/>
    <w:rsid w:val="009A018A"/>
    <w:rsid w:val="009A027B"/>
    <w:rsid w:val="009A04CB"/>
    <w:rsid w:val="009A054B"/>
    <w:rsid w:val="009A0708"/>
    <w:rsid w:val="009A0731"/>
    <w:rsid w:val="009A080F"/>
    <w:rsid w:val="009A08E2"/>
    <w:rsid w:val="009A0AEF"/>
    <w:rsid w:val="009A0D0B"/>
    <w:rsid w:val="009A0F68"/>
    <w:rsid w:val="009A100A"/>
    <w:rsid w:val="009A10F7"/>
    <w:rsid w:val="009A11F0"/>
    <w:rsid w:val="009A1383"/>
    <w:rsid w:val="009A1496"/>
    <w:rsid w:val="009A15CA"/>
    <w:rsid w:val="009A165D"/>
    <w:rsid w:val="009A1872"/>
    <w:rsid w:val="009A188A"/>
    <w:rsid w:val="009A189C"/>
    <w:rsid w:val="009A18E2"/>
    <w:rsid w:val="009A1AAC"/>
    <w:rsid w:val="009A1C38"/>
    <w:rsid w:val="009A1C52"/>
    <w:rsid w:val="009A1CF1"/>
    <w:rsid w:val="009A1CF3"/>
    <w:rsid w:val="009A1E62"/>
    <w:rsid w:val="009A1E6E"/>
    <w:rsid w:val="009A1F64"/>
    <w:rsid w:val="009A20A3"/>
    <w:rsid w:val="009A2228"/>
    <w:rsid w:val="009A2409"/>
    <w:rsid w:val="009A242E"/>
    <w:rsid w:val="009A248C"/>
    <w:rsid w:val="009A24A5"/>
    <w:rsid w:val="009A24A7"/>
    <w:rsid w:val="009A2640"/>
    <w:rsid w:val="009A26B4"/>
    <w:rsid w:val="009A272A"/>
    <w:rsid w:val="009A277A"/>
    <w:rsid w:val="009A2913"/>
    <w:rsid w:val="009A29AD"/>
    <w:rsid w:val="009A2A3E"/>
    <w:rsid w:val="009A2B1F"/>
    <w:rsid w:val="009A2D75"/>
    <w:rsid w:val="009A2F89"/>
    <w:rsid w:val="009A30E9"/>
    <w:rsid w:val="009A3251"/>
    <w:rsid w:val="009A3266"/>
    <w:rsid w:val="009A330E"/>
    <w:rsid w:val="009A331F"/>
    <w:rsid w:val="009A365B"/>
    <w:rsid w:val="009A373E"/>
    <w:rsid w:val="009A3765"/>
    <w:rsid w:val="009A37BD"/>
    <w:rsid w:val="009A37CD"/>
    <w:rsid w:val="009A3AB8"/>
    <w:rsid w:val="009A3C30"/>
    <w:rsid w:val="009A3D04"/>
    <w:rsid w:val="009A3D28"/>
    <w:rsid w:val="009A3E0A"/>
    <w:rsid w:val="009A3E9E"/>
    <w:rsid w:val="009A3F20"/>
    <w:rsid w:val="009A3FAB"/>
    <w:rsid w:val="009A4006"/>
    <w:rsid w:val="009A4089"/>
    <w:rsid w:val="009A4130"/>
    <w:rsid w:val="009A413D"/>
    <w:rsid w:val="009A4158"/>
    <w:rsid w:val="009A41BD"/>
    <w:rsid w:val="009A4451"/>
    <w:rsid w:val="009A451D"/>
    <w:rsid w:val="009A4577"/>
    <w:rsid w:val="009A46F7"/>
    <w:rsid w:val="009A486F"/>
    <w:rsid w:val="009A48D3"/>
    <w:rsid w:val="009A4B73"/>
    <w:rsid w:val="009A4BA5"/>
    <w:rsid w:val="009A4D0E"/>
    <w:rsid w:val="009A4F5D"/>
    <w:rsid w:val="009A4F7F"/>
    <w:rsid w:val="009A5000"/>
    <w:rsid w:val="009A5160"/>
    <w:rsid w:val="009A51BE"/>
    <w:rsid w:val="009A51E2"/>
    <w:rsid w:val="009A530D"/>
    <w:rsid w:val="009A5716"/>
    <w:rsid w:val="009A5771"/>
    <w:rsid w:val="009A57C0"/>
    <w:rsid w:val="009A59EA"/>
    <w:rsid w:val="009A5D20"/>
    <w:rsid w:val="009A5DD9"/>
    <w:rsid w:val="009A5E33"/>
    <w:rsid w:val="009A5E87"/>
    <w:rsid w:val="009A6362"/>
    <w:rsid w:val="009A63CA"/>
    <w:rsid w:val="009A63F8"/>
    <w:rsid w:val="009A64E7"/>
    <w:rsid w:val="009A668C"/>
    <w:rsid w:val="009A6A75"/>
    <w:rsid w:val="009A6D84"/>
    <w:rsid w:val="009A6DEE"/>
    <w:rsid w:val="009A6DF6"/>
    <w:rsid w:val="009A6E36"/>
    <w:rsid w:val="009A6E95"/>
    <w:rsid w:val="009A6EE6"/>
    <w:rsid w:val="009A6F6F"/>
    <w:rsid w:val="009A6F7C"/>
    <w:rsid w:val="009A729C"/>
    <w:rsid w:val="009A72AF"/>
    <w:rsid w:val="009A72DC"/>
    <w:rsid w:val="009A7418"/>
    <w:rsid w:val="009A741E"/>
    <w:rsid w:val="009A74A6"/>
    <w:rsid w:val="009A752B"/>
    <w:rsid w:val="009A76F9"/>
    <w:rsid w:val="009A7C23"/>
    <w:rsid w:val="009A7C5B"/>
    <w:rsid w:val="009A7C9E"/>
    <w:rsid w:val="009A7D15"/>
    <w:rsid w:val="009A7E41"/>
    <w:rsid w:val="009A7EA9"/>
    <w:rsid w:val="009A7F38"/>
    <w:rsid w:val="009A7FAB"/>
    <w:rsid w:val="009B01E3"/>
    <w:rsid w:val="009B0608"/>
    <w:rsid w:val="009B06AF"/>
    <w:rsid w:val="009B079E"/>
    <w:rsid w:val="009B0839"/>
    <w:rsid w:val="009B08EA"/>
    <w:rsid w:val="009B091D"/>
    <w:rsid w:val="009B0931"/>
    <w:rsid w:val="009B0A7E"/>
    <w:rsid w:val="009B0B1F"/>
    <w:rsid w:val="009B0BB5"/>
    <w:rsid w:val="009B0C63"/>
    <w:rsid w:val="009B0DCA"/>
    <w:rsid w:val="009B0E56"/>
    <w:rsid w:val="009B0E6B"/>
    <w:rsid w:val="009B102C"/>
    <w:rsid w:val="009B10E5"/>
    <w:rsid w:val="009B10F6"/>
    <w:rsid w:val="009B122C"/>
    <w:rsid w:val="009B132E"/>
    <w:rsid w:val="009B15E7"/>
    <w:rsid w:val="009B17AA"/>
    <w:rsid w:val="009B17D8"/>
    <w:rsid w:val="009B19FC"/>
    <w:rsid w:val="009B1A59"/>
    <w:rsid w:val="009B1BBB"/>
    <w:rsid w:val="009B1C7D"/>
    <w:rsid w:val="009B1C9C"/>
    <w:rsid w:val="009B1DED"/>
    <w:rsid w:val="009B1E9D"/>
    <w:rsid w:val="009B1EB9"/>
    <w:rsid w:val="009B1EE2"/>
    <w:rsid w:val="009B246E"/>
    <w:rsid w:val="009B247D"/>
    <w:rsid w:val="009B24DA"/>
    <w:rsid w:val="009B26A6"/>
    <w:rsid w:val="009B2708"/>
    <w:rsid w:val="009B2798"/>
    <w:rsid w:val="009B28F2"/>
    <w:rsid w:val="009B297C"/>
    <w:rsid w:val="009B29A1"/>
    <w:rsid w:val="009B2AED"/>
    <w:rsid w:val="009B2BBD"/>
    <w:rsid w:val="009B2E3A"/>
    <w:rsid w:val="009B2FD2"/>
    <w:rsid w:val="009B308A"/>
    <w:rsid w:val="009B316B"/>
    <w:rsid w:val="009B31A4"/>
    <w:rsid w:val="009B324E"/>
    <w:rsid w:val="009B32E2"/>
    <w:rsid w:val="009B33CF"/>
    <w:rsid w:val="009B35DE"/>
    <w:rsid w:val="009B3699"/>
    <w:rsid w:val="009B3788"/>
    <w:rsid w:val="009B391B"/>
    <w:rsid w:val="009B3B23"/>
    <w:rsid w:val="009B3B31"/>
    <w:rsid w:val="009B3C71"/>
    <w:rsid w:val="009B3CC3"/>
    <w:rsid w:val="009B4067"/>
    <w:rsid w:val="009B4131"/>
    <w:rsid w:val="009B41B9"/>
    <w:rsid w:val="009B41F5"/>
    <w:rsid w:val="009B4273"/>
    <w:rsid w:val="009B427C"/>
    <w:rsid w:val="009B44AE"/>
    <w:rsid w:val="009B48D1"/>
    <w:rsid w:val="009B496C"/>
    <w:rsid w:val="009B4A6C"/>
    <w:rsid w:val="009B4DE3"/>
    <w:rsid w:val="009B4EAE"/>
    <w:rsid w:val="009B4F56"/>
    <w:rsid w:val="009B5102"/>
    <w:rsid w:val="009B5175"/>
    <w:rsid w:val="009B52CB"/>
    <w:rsid w:val="009B52D7"/>
    <w:rsid w:val="009B52DB"/>
    <w:rsid w:val="009B5490"/>
    <w:rsid w:val="009B5510"/>
    <w:rsid w:val="009B56A5"/>
    <w:rsid w:val="009B56E0"/>
    <w:rsid w:val="009B570D"/>
    <w:rsid w:val="009B58F7"/>
    <w:rsid w:val="009B5959"/>
    <w:rsid w:val="009B5AFC"/>
    <w:rsid w:val="009B5BB6"/>
    <w:rsid w:val="009B5DEC"/>
    <w:rsid w:val="009B603C"/>
    <w:rsid w:val="009B60A3"/>
    <w:rsid w:val="009B60F1"/>
    <w:rsid w:val="009B6338"/>
    <w:rsid w:val="009B6343"/>
    <w:rsid w:val="009B63CC"/>
    <w:rsid w:val="009B63E2"/>
    <w:rsid w:val="009B6413"/>
    <w:rsid w:val="009B6462"/>
    <w:rsid w:val="009B653C"/>
    <w:rsid w:val="009B666F"/>
    <w:rsid w:val="009B67B2"/>
    <w:rsid w:val="009B68B9"/>
    <w:rsid w:val="009B68FE"/>
    <w:rsid w:val="009B6A3B"/>
    <w:rsid w:val="009B6C8D"/>
    <w:rsid w:val="009B6E0D"/>
    <w:rsid w:val="009B6ED7"/>
    <w:rsid w:val="009B6F6C"/>
    <w:rsid w:val="009B6FAA"/>
    <w:rsid w:val="009B7129"/>
    <w:rsid w:val="009B720C"/>
    <w:rsid w:val="009B72CC"/>
    <w:rsid w:val="009B72D7"/>
    <w:rsid w:val="009B73A0"/>
    <w:rsid w:val="009B73CD"/>
    <w:rsid w:val="009B73F9"/>
    <w:rsid w:val="009B748F"/>
    <w:rsid w:val="009B74E1"/>
    <w:rsid w:val="009B77AF"/>
    <w:rsid w:val="009B79B1"/>
    <w:rsid w:val="009B79F1"/>
    <w:rsid w:val="009B7AE9"/>
    <w:rsid w:val="009B7BE2"/>
    <w:rsid w:val="009B7C38"/>
    <w:rsid w:val="009B7C4E"/>
    <w:rsid w:val="009B7DC2"/>
    <w:rsid w:val="009B7EEE"/>
    <w:rsid w:val="009B8C82"/>
    <w:rsid w:val="009C010A"/>
    <w:rsid w:val="009C0175"/>
    <w:rsid w:val="009C01FD"/>
    <w:rsid w:val="009C023D"/>
    <w:rsid w:val="009C023E"/>
    <w:rsid w:val="009C0270"/>
    <w:rsid w:val="009C034C"/>
    <w:rsid w:val="009C036A"/>
    <w:rsid w:val="009C040F"/>
    <w:rsid w:val="009C056C"/>
    <w:rsid w:val="009C05B0"/>
    <w:rsid w:val="009C06BC"/>
    <w:rsid w:val="009C0806"/>
    <w:rsid w:val="009C088A"/>
    <w:rsid w:val="009C08BD"/>
    <w:rsid w:val="009C0903"/>
    <w:rsid w:val="009C09B9"/>
    <w:rsid w:val="009C0A29"/>
    <w:rsid w:val="009C0A99"/>
    <w:rsid w:val="009C0B0F"/>
    <w:rsid w:val="009C0C56"/>
    <w:rsid w:val="009C0CDB"/>
    <w:rsid w:val="009C0D4D"/>
    <w:rsid w:val="009C0D54"/>
    <w:rsid w:val="009C0D9E"/>
    <w:rsid w:val="009C0DAF"/>
    <w:rsid w:val="009C0E00"/>
    <w:rsid w:val="009C108A"/>
    <w:rsid w:val="009C1125"/>
    <w:rsid w:val="009C1402"/>
    <w:rsid w:val="009C1556"/>
    <w:rsid w:val="009C155A"/>
    <w:rsid w:val="009C1562"/>
    <w:rsid w:val="009C176A"/>
    <w:rsid w:val="009C18CD"/>
    <w:rsid w:val="009C190F"/>
    <w:rsid w:val="009C1BBE"/>
    <w:rsid w:val="009C1BE0"/>
    <w:rsid w:val="009C1C50"/>
    <w:rsid w:val="009C1C80"/>
    <w:rsid w:val="009C1CB9"/>
    <w:rsid w:val="009C1CCE"/>
    <w:rsid w:val="009C1CE3"/>
    <w:rsid w:val="009C1D74"/>
    <w:rsid w:val="009C1DD1"/>
    <w:rsid w:val="009C1E65"/>
    <w:rsid w:val="009C1EF3"/>
    <w:rsid w:val="009C1F0B"/>
    <w:rsid w:val="009C201A"/>
    <w:rsid w:val="009C206E"/>
    <w:rsid w:val="009C2214"/>
    <w:rsid w:val="009C2299"/>
    <w:rsid w:val="009C2446"/>
    <w:rsid w:val="009C2497"/>
    <w:rsid w:val="009C25E1"/>
    <w:rsid w:val="009C2707"/>
    <w:rsid w:val="009C271A"/>
    <w:rsid w:val="009C2878"/>
    <w:rsid w:val="009C29E7"/>
    <w:rsid w:val="009C2A79"/>
    <w:rsid w:val="009C2B8A"/>
    <w:rsid w:val="009C2B92"/>
    <w:rsid w:val="009C2C29"/>
    <w:rsid w:val="009C2C62"/>
    <w:rsid w:val="009C2CD2"/>
    <w:rsid w:val="009C2E11"/>
    <w:rsid w:val="009C2E4C"/>
    <w:rsid w:val="009C2EA8"/>
    <w:rsid w:val="009C2F9B"/>
    <w:rsid w:val="009C3014"/>
    <w:rsid w:val="009C313E"/>
    <w:rsid w:val="009C33BD"/>
    <w:rsid w:val="009C3544"/>
    <w:rsid w:val="009C35D4"/>
    <w:rsid w:val="009C3628"/>
    <w:rsid w:val="009C3793"/>
    <w:rsid w:val="009C3852"/>
    <w:rsid w:val="009C3A04"/>
    <w:rsid w:val="009C3A46"/>
    <w:rsid w:val="009C3A8D"/>
    <w:rsid w:val="009C3AD5"/>
    <w:rsid w:val="009C3AED"/>
    <w:rsid w:val="009C3B94"/>
    <w:rsid w:val="009C3BFE"/>
    <w:rsid w:val="009C3C27"/>
    <w:rsid w:val="009C3DC4"/>
    <w:rsid w:val="009C3F27"/>
    <w:rsid w:val="009C4063"/>
    <w:rsid w:val="009C40F8"/>
    <w:rsid w:val="009C4249"/>
    <w:rsid w:val="009C463B"/>
    <w:rsid w:val="009C464C"/>
    <w:rsid w:val="009C4710"/>
    <w:rsid w:val="009C48C2"/>
    <w:rsid w:val="009C491D"/>
    <w:rsid w:val="009C4994"/>
    <w:rsid w:val="009C49AB"/>
    <w:rsid w:val="009C4ADE"/>
    <w:rsid w:val="009C4B2E"/>
    <w:rsid w:val="009C4B47"/>
    <w:rsid w:val="009C4BCE"/>
    <w:rsid w:val="009C4DEF"/>
    <w:rsid w:val="009C4E5C"/>
    <w:rsid w:val="009C4ED8"/>
    <w:rsid w:val="009C4F11"/>
    <w:rsid w:val="009C4F13"/>
    <w:rsid w:val="009C4F55"/>
    <w:rsid w:val="009C4F70"/>
    <w:rsid w:val="009C4FB7"/>
    <w:rsid w:val="009C5171"/>
    <w:rsid w:val="009C530A"/>
    <w:rsid w:val="009C5322"/>
    <w:rsid w:val="009C54C1"/>
    <w:rsid w:val="009C54C6"/>
    <w:rsid w:val="009C5620"/>
    <w:rsid w:val="009C56D0"/>
    <w:rsid w:val="009C56FC"/>
    <w:rsid w:val="009C58F7"/>
    <w:rsid w:val="009C5A04"/>
    <w:rsid w:val="009C5A60"/>
    <w:rsid w:val="009C5D26"/>
    <w:rsid w:val="009C5DA7"/>
    <w:rsid w:val="009C5E96"/>
    <w:rsid w:val="009C5F61"/>
    <w:rsid w:val="009C5FFE"/>
    <w:rsid w:val="009C6038"/>
    <w:rsid w:val="009C6147"/>
    <w:rsid w:val="009C6187"/>
    <w:rsid w:val="009C6197"/>
    <w:rsid w:val="009C6266"/>
    <w:rsid w:val="009C6363"/>
    <w:rsid w:val="009C63B6"/>
    <w:rsid w:val="009C6407"/>
    <w:rsid w:val="009C6562"/>
    <w:rsid w:val="009C6574"/>
    <w:rsid w:val="009C65AF"/>
    <w:rsid w:val="009C6643"/>
    <w:rsid w:val="009C6763"/>
    <w:rsid w:val="009C6899"/>
    <w:rsid w:val="009C6E31"/>
    <w:rsid w:val="009C6EC4"/>
    <w:rsid w:val="009C6F4B"/>
    <w:rsid w:val="009C6F66"/>
    <w:rsid w:val="009C706A"/>
    <w:rsid w:val="009C7086"/>
    <w:rsid w:val="009C711E"/>
    <w:rsid w:val="009C7176"/>
    <w:rsid w:val="009C720C"/>
    <w:rsid w:val="009C725A"/>
    <w:rsid w:val="009C734C"/>
    <w:rsid w:val="009C7579"/>
    <w:rsid w:val="009C7667"/>
    <w:rsid w:val="009C77BE"/>
    <w:rsid w:val="009C7A0D"/>
    <w:rsid w:val="009C7B76"/>
    <w:rsid w:val="009C7CAE"/>
    <w:rsid w:val="009C7D31"/>
    <w:rsid w:val="009C7D38"/>
    <w:rsid w:val="009C7D6A"/>
    <w:rsid w:val="009C7F00"/>
    <w:rsid w:val="009D0016"/>
    <w:rsid w:val="009D018D"/>
    <w:rsid w:val="009D0274"/>
    <w:rsid w:val="009D03A8"/>
    <w:rsid w:val="009D03D7"/>
    <w:rsid w:val="009D0457"/>
    <w:rsid w:val="009D0489"/>
    <w:rsid w:val="009D058B"/>
    <w:rsid w:val="009D07C3"/>
    <w:rsid w:val="009D086D"/>
    <w:rsid w:val="009D0A3B"/>
    <w:rsid w:val="009D0AFE"/>
    <w:rsid w:val="009D0B65"/>
    <w:rsid w:val="009D0CC9"/>
    <w:rsid w:val="009D0D22"/>
    <w:rsid w:val="009D0DC6"/>
    <w:rsid w:val="009D1072"/>
    <w:rsid w:val="009D10BD"/>
    <w:rsid w:val="009D10EB"/>
    <w:rsid w:val="009D11F7"/>
    <w:rsid w:val="009D1201"/>
    <w:rsid w:val="009D129D"/>
    <w:rsid w:val="009D12A6"/>
    <w:rsid w:val="009D12E1"/>
    <w:rsid w:val="009D13BC"/>
    <w:rsid w:val="009D1466"/>
    <w:rsid w:val="009D14F3"/>
    <w:rsid w:val="009D14F6"/>
    <w:rsid w:val="009D15D2"/>
    <w:rsid w:val="009D15DE"/>
    <w:rsid w:val="009D16EE"/>
    <w:rsid w:val="009D189B"/>
    <w:rsid w:val="009D19DF"/>
    <w:rsid w:val="009D1AE1"/>
    <w:rsid w:val="009D1B23"/>
    <w:rsid w:val="009D1BAB"/>
    <w:rsid w:val="009D1BDD"/>
    <w:rsid w:val="009D1C2E"/>
    <w:rsid w:val="009D1F15"/>
    <w:rsid w:val="009D1F5E"/>
    <w:rsid w:val="009D2025"/>
    <w:rsid w:val="009D20FE"/>
    <w:rsid w:val="009D2146"/>
    <w:rsid w:val="009D23B3"/>
    <w:rsid w:val="009D23DD"/>
    <w:rsid w:val="009D2430"/>
    <w:rsid w:val="009D24E0"/>
    <w:rsid w:val="009D2560"/>
    <w:rsid w:val="009D2620"/>
    <w:rsid w:val="009D26B1"/>
    <w:rsid w:val="009D27F6"/>
    <w:rsid w:val="009D2A55"/>
    <w:rsid w:val="009D2B2D"/>
    <w:rsid w:val="009D2C5C"/>
    <w:rsid w:val="009D2DBD"/>
    <w:rsid w:val="009D2E2D"/>
    <w:rsid w:val="009D2E2F"/>
    <w:rsid w:val="009D2ED4"/>
    <w:rsid w:val="009D2FF0"/>
    <w:rsid w:val="009D3129"/>
    <w:rsid w:val="009D312E"/>
    <w:rsid w:val="009D313D"/>
    <w:rsid w:val="009D3289"/>
    <w:rsid w:val="009D3319"/>
    <w:rsid w:val="009D33C4"/>
    <w:rsid w:val="009D34AD"/>
    <w:rsid w:val="009D3549"/>
    <w:rsid w:val="009D3672"/>
    <w:rsid w:val="009D3727"/>
    <w:rsid w:val="009D3D20"/>
    <w:rsid w:val="009D3EDA"/>
    <w:rsid w:val="009D3F33"/>
    <w:rsid w:val="009D3F6F"/>
    <w:rsid w:val="009D416A"/>
    <w:rsid w:val="009D417B"/>
    <w:rsid w:val="009D4390"/>
    <w:rsid w:val="009D43E5"/>
    <w:rsid w:val="009D467C"/>
    <w:rsid w:val="009D48AD"/>
    <w:rsid w:val="009D4910"/>
    <w:rsid w:val="009D496A"/>
    <w:rsid w:val="009D4B3B"/>
    <w:rsid w:val="009D4C55"/>
    <w:rsid w:val="009D4CAB"/>
    <w:rsid w:val="009D4DD9"/>
    <w:rsid w:val="009D4E14"/>
    <w:rsid w:val="009D4E53"/>
    <w:rsid w:val="009D4EB5"/>
    <w:rsid w:val="009D5066"/>
    <w:rsid w:val="009D508C"/>
    <w:rsid w:val="009D5237"/>
    <w:rsid w:val="009D52D1"/>
    <w:rsid w:val="009D52E6"/>
    <w:rsid w:val="009D54B3"/>
    <w:rsid w:val="009D55A2"/>
    <w:rsid w:val="009D55E8"/>
    <w:rsid w:val="009D5672"/>
    <w:rsid w:val="009D5680"/>
    <w:rsid w:val="009D5690"/>
    <w:rsid w:val="009D5699"/>
    <w:rsid w:val="009D5862"/>
    <w:rsid w:val="009D5898"/>
    <w:rsid w:val="009D59BD"/>
    <w:rsid w:val="009D5C52"/>
    <w:rsid w:val="009D5E72"/>
    <w:rsid w:val="009D5F52"/>
    <w:rsid w:val="009D5F99"/>
    <w:rsid w:val="009D5FD8"/>
    <w:rsid w:val="009D6031"/>
    <w:rsid w:val="009D6056"/>
    <w:rsid w:val="009D605E"/>
    <w:rsid w:val="009D60FF"/>
    <w:rsid w:val="009D6216"/>
    <w:rsid w:val="009D6274"/>
    <w:rsid w:val="009D68A2"/>
    <w:rsid w:val="009D693D"/>
    <w:rsid w:val="009D69E5"/>
    <w:rsid w:val="009D6A05"/>
    <w:rsid w:val="009D6A14"/>
    <w:rsid w:val="009D6A65"/>
    <w:rsid w:val="009D6AE5"/>
    <w:rsid w:val="009D6B40"/>
    <w:rsid w:val="009D6BC0"/>
    <w:rsid w:val="009D6C52"/>
    <w:rsid w:val="009D6D34"/>
    <w:rsid w:val="009D6D6E"/>
    <w:rsid w:val="009D6D9B"/>
    <w:rsid w:val="009D6E70"/>
    <w:rsid w:val="009D6EDF"/>
    <w:rsid w:val="009D736B"/>
    <w:rsid w:val="009D739E"/>
    <w:rsid w:val="009D751A"/>
    <w:rsid w:val="009D7559"/>
    <w:rsid w:val="009D7683"/>
    <w:rsid w:val="009D76E9"/>
    <w:rsid w:val="009D7966"/>
    <w:rsid w:val="009D7BFE"/>
    <w:rsid w:val="009D7C9C"/>
    <w:rsid w:val="009D7CA2"/>
    <w:rsid w:val="009D7D18"/>
    <w:rsid w:val="009D7D6B"/>
    <w:rsid w:val="009E02D1"/>
    <w:rsid w:val="009E0362"/>
    <w:rsid w:val="009E0367"/>
    <w:rsid w:val="009E03D5"/>
    <w:rsid w:val="009E0420"/>
    <w:rsid w:val="009E0443"/>
    <w:rsid w:val="009E0463"/>
    <w:rsid w:val="009E049A"/>
    <w:rsid w:val="009E0732"/>
    <w:rsid w:val="009E08CE"/>
    <w:rsid w:val="009E0B9B"/>
    <w:rsid w:val="009E0D0A"/>
    <w:rsid w:val="009E0D45"/>
    <w:rsid w:val="009E0D63"/>
    <w:rsid w:val="009E0DAB"/>
    <w:rsid w:val="009E0E4F"/>
    <w:rsid w:val="009E0F81"/>
    <w:rsid w:val="009E112B"/>
    <w:rsid w:val="009E11FA"/>
    <w:rsid w:val="009E125C"/>
    <w:rsid w:val="009E1579"/>
    <w:rsid w:val="009E16A3"/>
    <w:rsid w:val="009E19DF"/>
    <w:rsid w:val="009E1B2B"/>
    <w:rsid w:val="009E1C09"/>
    <w:rsid w:val="009E1DBD"/>
    <w:rsid w:val="009E1E98"/>
    <w:rsid w:val="009E20FF"/>
    <w:rsid w:val="009E2288"/>
    <w:rsid w:val="009E2397"/>
    <w:rsid w:val="009E24EB"/>
    <w:rsid w:val="009E2500"/>
    <w:rsid w:val="009E2604"/>
    <w:rsid w:val="009E2613"/>
    <w:rsid w:val="009E265E"/>
    <w:rsid w:val="009E27CB"/>
    <w:rsid w:val="009E27E1"/>
    <w:rsid w:val="009E27F2"/>
    <w:rsid w:val="009E282B"/>
    <w:rsid w:val="009E2A99"/>
    <w:rsid w:val="009E2AAA"/>
    <w:rsid w:val="009E2C4E"/>
    <w:rsid w:val="009E2DB0"/>
    <w:rsid w:val="009E306F"/>
    <w:rsid w:val="009E322D"/>
    <w:rsid w:val="009E3344"/>
    <w:rsid w:val="009E338D"/>
    <w:rsid w:val="009E33C2"/>
    <w:rsid w:val="009E344F"/>
    <w:rsid w:val="009E345E"/>
    <w:rsid w:val="009E355E"/>
    <w:rsid w:val="009E371D"/>
    <w:rsid w:val="009E374E"/>
    <w:rsid w:val="009E37B0"/>
    <w:rsid w:val="009E37C8"/>
    <w:rsid w:val="009E37D7"/>
    <w:rsid w:val="009E380C"/>
    <w:rsid w:val="009E389D"/>
    <w:rsid w:val="009E38F4"/>
    <w:rsid w:val="009E3906"/>
    <w:rsid w:val="009E3A6A"/>
    <w:rsid w:val="009E3B70"/>
    <w:rsid w:val="009E3B8C"/>
    <w:rsid w:val="009E3BB8"/>
    <w:rsid w:val="009E3BE9"/>
    <w:rsid w:val="009E3C98"/>
    <w:rsid w:val="009E3CDA"/>
    <w:rsid w:val="009E3D11"/>
    <w:rsid w:val="009E3D7C"/>
    <w:rsid w:val="009E3DC6"/>
    <w:rsid w:val="009E3F18"/>
    <w:rsid w:val="009E3F89"/>
    <w:rsid w:val="009E40ED"/>
    <w:rsid w:val="009E41B0"/>
    <w:rsid w:val="009E421A"/>
    <w:rsid w:val="009E42DF"/>
    <w:rsid w:val="009E43C9"/>
    <w:rsid w:val="009E45D3"/>
    <w:rsid w:val="009E4824"/>
    <w:rsid w:val="009E4A75"/>
    <w:rsid w:val="009E4AEB"/>
    <w:rsid w:val="009E4B92"/>
    <w:rsid w:val="009E4D70"/>
    <w:rsid w:val="009E4D78"/>
    <w:rsid w:val="009E4E1E"/>
    <w:rsid w:val="009E4E4B"/>
    <w:rsid w:val="009E4E54"/>
    <w:rsid w:val="009E4EDF"/>
    <w:rsid w:val="009E50B4"/>
    <w:rsid w:val="009E515D"/>
    <w:rsid w:val="009E51CC"/>
    <w:rsid w:val="009E530F"/>
    <w:rsid w:val="009E533C"/>
    <w:rsid w:val="009E540D"/>
    <w:rsid w:val="009E55CA"/>
    <w:rsid w:val="009E55EB"/>
    <w:rsid w:val="009E56BB"/>
    <w:rsid w:val="009E57BF"/>
    <w:rsid w:val="009E58F5"/>
    <w:rsid w:val="009E5A34"/>
    <w:rsid w:val="009E5AC6"/>
    <w:rsid w:val="009E5B29"/>
    <w:rsid w:val="009E5C6B"/>
    <w:rsid w:val="009E5C7A"/>
    <w:rsid w:val="009E5CCC"/>
    <w:rsid w:val="009E5D30"/>
    <w:rsid w:val="009E5D9C"/>
    <w:rsid w:val="009E5DBE"/>
    <w:rsid w:val="009E5F9D"/>
    <w:rsid w:val="009E5FB9"/>
    <w:rsid w:val="009E6045"/>
    <w:rsid w:val="009E6052"/>
    <w:rsid w:val="009E605B"/>
    <w:rsid w:val="009E60A7"/>
    <w:rsid w:val="009E62E1"/>
    <w:rsid w:val="009E62EA"/>
    <w:rsid w:val="009E6527"/>
    <w:rsid w:val="009E65D8"/>
    <w:rsid w:val="009E69BB"/>
    <w:rsid w:val="009E6A30"/>
    <w:rsid w:val="009E6A98"/>
    <w:rsid w:val="009E6AA3"/>
    <w:rsid w:val="009E6AFA"/>
    <w:rsid w:val="009E6BA4"/>
    <w:rsid w:val="009E6E35"/>
    <w:rsid w:val="009E7031"/>
    <w:rsid w:val="009E706E"/>
    <w:rsid w:val="009E71E6"/>
    <w:rsid w:val="009E7314"/>
    <w:rsid w:val="009E7331"/>
    <w:rsid w:val="009E736A"/>
    <w:rsid w:val="009E7396"/>
    <w:rsid w:val="009E748D"/>
    <w:rsid w:val="009E7495"/>
    <w:rsid w:val="009E74DF"/>
    <w:rsid w:val="009E753F"/>
    <w:rsid w:val="009E75D2"/>
    <w:rsid w:val="009E76DA"/>
    <w:rsid w:val="009E78C8"/>
    <w:rsid w:val="009E7AF8"/>
    <w:rsid w:val="009E7B32"/>
    <w:rsid w:val="009E7BC3"/>
    <w:rsid w:val="009E7BCC"/>
    <w:rsid w:val="009E7C7F"/>
    <w:rsid w:val="009E7DB9"/>
    <w:rsid w:val="009E7DDF"/>
    <w:rsid w:val="009E7E74"/>
    <w:rsid w:val="009E7EFF"/>
    <w:rsid w:val="009F00E1"/>
    <w:rsid w:val="009F00E4"/>
    <w:rsid w:val="009F0119"/>
    <w:rsid w:val="009F014C"/>
    <w:rsid w:val="009F0282"/>
    <w:rsid w:val="009F03F7"/>
    <w:rsid w:val="009F0565"/>
    <w:rsid w:val="009F061F"/>
    <w:rsid w:val="009F0834"/>
    <w:rsid w:val="009F0906"/>
    <w:rsid w:val="009F0AEE"/>
    <w:rsid w:val="009F0D28"/>
    <w:rsid w:val="009F0FFB"/>
    <w:rsid w:val="009F1015"/>
    <w:rsid w:val="009F10C9"/>
    <w:rsid w:val="009F1197"/>
    <w:rsid w:val="009F12CD"/>
    <w:rsid w:val="009F133F"/>
    <w:rsid w:val="009F13A8"/>
    <w:rsid w:val="009F16F3"/>
    <w:rsid w:val="009F1842"/>
    <w:rsid w:val="009F1925"/>
    <w:rsid w:val="009F19EE"/>
    <w:rsid w:val="009F1DB0"/>
    <w:rsid w:val="009F1DC5"/>
    <w:rsid w:val="009F1FD5"/>
    <w:rsid w:val="009F1FEC"/>
    <w:rsid w:val="009F2019"/>
    <w:rsid w:val="009F2142"/>
    <w:rsid w:val="009F218D"/>
    <w:rsid w:val="009F22A8"/>
    <w:rsid w:val="009F22E4"/>
    <w:rsid w:val="009F2519"/>
    <w:rsid w:val="009F25D1"/>
    <w:rsid w:val="009F2602"/>
    <w:rsid w:val="009F2815"/>
    <w:rsid w:val="009F28B1"/>
    <w:rsid w:val="009F2B9D"/>
    <w:rsid w:val="009F2C74"/>
    <w:rsid w:val="009F2CE5"/>
    <w:rsid w:val="009F2DD5"/>
    <w:rsid w:val="009F2E75"/>
    <w:rsid w:val="009F2F06"/>
    <w:rsid w:val="009F2FB2"/>
    <w:rsid w:val="009F2FD1"/>
    <w:rsid w:val="009F303E"/>
    <w:rsid w:val="009F32EF"/>
    <w:rsid w:val="009F3419"/>
    <w:rsid w:val="009F34A6"/>
    <w:rsid w:val="009F3524"/>
    <w:rsid w:val="009F353A"/>
    <w:rsid w:val="009F3559"/>
    <w:rsid w:val="009F36AC"/>
    <w:rsid w:val="009F36E8"/>
    <w:rsid w:val="009F375E"/>
    <w:rsid w:val="009F38ED"/>
    <w:rsid w:val="009F396B"/>
    <w:rsid w:val="009F39B4"/>
    <w:rsid w:val="009F39C7"/>
    <w:rsid w:val="009F3ACA"/>
    <w:rsid w:val="009F3B24"/>
    <w:rsid w:val="009F3C1F"/>
    <w:rsid w:val="009F3C51"/>
    <w:rsid w:val="009F3C6C"/>
    <w:rsid w:val="009F3CC7"/>
    <w:rsid w:val="009F4096"/>
    <w:rsid w:val="009F40FF"/>
    <w:rsid w:val="009F42A2"/>
    <w:rsid w:val="009F434F"/>
    <w:rsid w:val="009F4442"/>
    <w:rsid w:val="009F4454"/>
    <w:rsid w:val="009F44A3"/>
    <w:rsid w:val="009F450E"/>
    <w:rsid w:val="009F4578"/>
    <w:rsid w:val="009F461B"/>
    <w:rsid w:val="009F4664"/>
    <w:rsid w:val="009F46D0"/>
    <w:rsid w:val="009F475F"/>
    <w:rsid w:val="009F4830"/>
    <w:rsid w:val="009F494B"/>
    <w:rsid w:val="009F495B"/>
    <w:rsid w:val="009F4B6C"/>
    <w:rsid w:val="009F4BA6"/>
    <w:rsid w:val="009F4BD7"/>
    <w:rsid w:val="009F4D10"/>
    <w:rsid w:val="009F4D9F"/>
    <w:rsid w:val="009F4EE6"/>
    <w:rsid w:val="009F4EF7"/>
    <w:rsid w:val="009F4FAE"/>
    <w:rsid w:val="009F50F7"/>
    <w:rsid w:val="009F510D"/>
    <w:rsid w:val="009F515B"/>
    <w:rsid w:val="009F525D"/>
    <w:rsid w:val="009F52E4"/>
    <w:rsid w:val="009F5456"/>
    <w:rsid w:val="009F5580"/>
    <w:rsid w:val="009F55B7"/>
    <w:rsid w:val="009F564E"/>
    <w:rsid w:val="009F56B5"/>
    <w:rsid w:val="009F5853"/>
    <w:rsid w:val="009F5A39"/>
    <w:rsid w:val="009F5AC4"/>
    <w:rsid w:val="009F5C35"/>
    <w:rsid w:val="009F5CA6"/>
    <w:rsid w:val="009F5CDF"/>
    <w:rsid w:val="009F5DDE"/>
    <w:rsid w:val="009F5EC8"/>
    <w:rsid w:val="009F5F35"/>
    <w:rsid w:val="009F5F47"/>
    <w:rsid w:val="009F5F68"/>
    <w:rsid w:val="009F5FB9"/>
    <w:rsid w:val="009F5FCC"/>
    <w:rsid w:val="009F60EB"/>
    <w:rsid w:val="009F613A"/>
    <w:rsid w:val="009F638C"/>
    <w:rsid w:val="009F63E4"/>
    <w:rsid w:val="009F647D"/>
    <w:rsid w:val="009F6483"/>
    <w:rsid w:val="009F64BB"/>
    <w:rsid w:val="009F65C5"/>
    <w:rsid w:val="009F66E9"/>
    <w:rsid w:val="009F68B6"/>
    <w:rsid w:val="009F6B7F"/>
    <w:rsid w:val="009F6BA8"/>
    <w:rsid w:val="009F6BF3"/>
    <w:rsid w:val="009F6C14"/>
    <w:rsid w:val="009F6CA1"/>
    <w:rsid w:val="009F7148"/>
    <w:rsid w:val="009F71A5"/>
    <w:rsid w:val="009F71EB"/>
    <w:rsid w:val="009F7213"/>
    <w:rsid w:val="009F7255"/>
    <w:rsid w:val="009F7393"/>
    <w:rsid w:val="009F7459"/>
    <w:rsid w:val="009F74B5"/>
    <w:rsid w:val="009F77EB"/>
    <w:rsid w:val="009F7983"/>
    <w:rsid w:val="009F7A2E"/>
    <w:rsid w:val="009F7A94"/>
    <w:rsid w:val="009F7BC5"/>
    <w:rsid w:val="009F7BCF"/>
    <w:rsid w:val="009F7C40"/>
    <w:rsid w:val="009F7C41"/>
    <w:rsid w:val="009F7CBA"/>
    <w:rsid w:val="009F7D3A"/>
    <w:rsid w:val="009F7DE5"/>
    <w:rsid w:val="009F7EB9"/>
    <w:rsid w:val="009F7F0B"/>
    <w:rsid w:val="00A00040"/>
    <w:rsid w:val="00A000AB"/>
    <w:rsid w:val="00A00210"/>
    <w:rsid w:val="00A00384"/>
    <w:rsid w:val="00A003B1"/>
    <w:rsid w:val="00A00406"/>
    <w:rsid w:val="00A00467"/>
    <w:rsid w:val="00A00485"/>
    <w:rsid w:val="00A006C6"/>
    <w:rsid w:val="00A006DE"/>
    <w:rsid w:val="00A00736"/>
    <w:rsid w:val="00A00926"/>
    <w:rsid w:val="00A00973"/>
    <w:rsid w:val="00A00A7D"/>
    <w:rsid w:val="00A00C32"/>
    <w:rsid w:val="00A00DB1"/>
    <w:rsid w:val="00A00E1C"/>
    <w:rsid w:val="00A00E4C"/>
    <w:rsid w:val="00A00F38"/>
    <w:rsid w:val="00A0113A"/>
    <w:rsid w:val="00A01179"/>
    <w:rsid w:val="00A011BD"/>
    <w:rsid w:val="00A01318"/>
    <w:rsid w:val="00A0132E"/>
    <w:rsid w:val="00A0134E"/>
    <w:rsid w:val="00A013DA"/>
    <w:rsid w:val="00A01455"/>
    <w:rsid w:val="00A01695"/>
    <w:rsid w:val="00A0172F"/>
    <w:rsid w:val="00A017A4"/>
    <w:rsid w:val="00A018A5"/>
    <w:rsid w:val="00A01931"/>
    <w:rsid w:val="00A019A7"/>
    <w:rsid w:val="00A019AC"/>
    <w:rsid w:val="00A01C6F"/>
    <w:rsid w:val="00A01DD4"/>
    <w:rsid w:val="00A01E3B"/>
    <w:rsid w:val="00A01F1B"/>
    <w:rsid w:val="00A0200F"/>
    <w:rsid w:val="00A020A2"/>
    <w:rsid w:val="00A02352"/>
    <w:rsid w:val="00A02387"/>
    <w:rsid w:val="00A0239D"/>
    <w:rsid w:val="00A023F0"/>
    <w:rsid w:val="00A02452"/>
    <w:rsid w:val="00A0260B"/>
    <w:rsid w:val="00A02626"/>
    <w:rsid w:val="00A02748"/>
    <w:rsid w:val="00A027B4"/>
    <w:rsid w:val="00A027E7"/>
    <w:rsid w:val="00A027F5"/>
    <w:rsid w:val="00A028CE"/>
    <w:rsid w:val="00A02920"/>
    <w:rsid w:val="00A02AA3"/>
    <w:rsid w:val="00A02DC9"/>
    <w:rsid w:val="00A02F36"/>
    <w:rsid w:val="00A030FB"/>
    <w:rsid w:val="00A03170"/>
    <w:rsid w:val="00A031C3"/>
    <w:rsid w:val="00A031EB"/>
    <w:rsid w:val="00A032D9"/>
    <w:rsid w:val="00A0330F"/>
    <w:rsid w:val="00A03316"/>
    <w:rsid w:val="00A03467"/>
    <w:rsid w:val="00A035B2"/>
    <w:rsid w:val="00A036A5"/>
    <w:rsid w:val="00A03714"/>
    <w:rsid w:val="00A03720"/>
    <w:rsid w:val="00A0387C"/>
    <w:rsid w:val="00A039CF"/>
    <w:rsid w:val="00A03A50"/>
    <w:rsid w:val="00A03A97"/>
    <w:rsid w:val="00A03B71"/>
    <w:rsid w:val="00A03BF0"/>
    <w:rsid w:val="00A03E52"/>
    <w:rsid w:val="00A03FE6"/>
    <w:rsid w:val="00A03FFE"/>
    <w:rsid w:val="00A04146"/>
    <w:rsid w:val="00A04155"/>
    <w:rsid w:val="00A04171"/>
    <w:rsid w:val="00A0436E"/>
    <w:rsid w:val="00A0476E"/>
    <w:rsid w:val="00A04A55"/>
    <w:rsid w:val="00A04A71"/>
    <w:rsid w:val="00A04A79"/>
    <w:rsid w:val="00A04B54"/>
    <w:rsid w:val="00A04BD7"/>
    <w:rsid w:val="00A04BF0"/>
    <w:rsid w:val="00A04D45"/>
    <w:rsid w:val="00A04E6B"/>
    <w:rsid w:val="00A04FF5"/>
    <w:rsid w:val="00A05035"/>
    <w:rsid w:val="00A050C4"/>
    <w:rsid w:val="00A05247"/>
    <w:rsid w:val="00A0528F"/>
    <w:rsid w:val="00A05424"/>
    <w:rsid w:val="00A055F6"/>
    <w:rsid w:val="00A056B3"/>
    <w:rsid w:val="00A05725"/>
    <w:rsid w:val="00A05796"/>
    <w:rsid w:val="00A057EB"/>
    <w:rsid w:val="00A05875"/>
    <w:rsid w:val="00A0595C"/>
    <w:rsid w:val="00A05961"/>
    <w:rsid w:val="00A05A5F"/>
    <w:rsid w:val="00A05B20"/>
    <w:rsid w:val="00A05C48"/>
    <w:rsid w:val="00A05C6D"/>
    <w:rsid w:val="00A05CA5"/>
    <w:rsid w:val="00A05E10"/>
    <w:rsid w:val="00A05F7F"/>
    <w:rsid w:val="00A05F8C"/>
    <w:rsid w:val="00A05FEC"/>
    <w:rsid w:val="00A06053"/>
    <w:rsid w:val="00A0632C"/>
    <w:rsid w:val="00A06376"/>
    <w:rsid w:val="00A063AB"/>
    <w:rsid w:val="00A063CC"/>
    <w:rsid w:val="00A0641D"/>
    <w:rsid w:val="00A06484"/>
    <w:rsid w:val="00A06522"/>
    <w:rsid w:val="00A067E7"/>
    <w:rsid w:val="00A06910"/>
    <w:rsid w:val="00A069F4"/>
    <w:rsid w:val="00A06A4A"/>
    <w:rsid w:val="00A06DD1"/>
    <w:rsid w:val="00A06F14"/>
    <w:rsid w:val="00A06F1B"/>
    <w:rsid w:val="00A071F2"/>
    <w:rsid w:val="00A072AA"/>
    <w:rsid w:val="00A072C2"/>
    <w:rsid w:val="00A07387"/>
    <w:rsid w:val="00A073BA"/>
    <w:rsid w:val="00A0762E"/>
    <w:rsid w:val="00A07637"/>
    <w:rsid w:val="00A0771E"/>
    <w:rsid w:val="00A07974"/>
    <w:rsid w:val="00A07C0B"/>
    <w:rsid w:val="00A10025"/>
    <w:rsid w:val="00A1002F"/>
    <w:rsid w:val="00A1035B"/>
    <w:rsid w:val="00A103F3"/>
    <w:rsid w:val="00A1045B"/>
    <w:rsid w:val="00A10546"/>
    <w:rsid w:val="00A10638"/>
    <w:rsid w:val="00A1063A"/>
    <w:rsid w:val="00A10641"/>
    <w:rsid w:val="00A1073A"/>
    <w:rsid w:val="00A108E9"/>
    <w:rsid w:val="00A10949"/>
    <w:rsid w:val="00A1096B"/>
    <w:rsid w:val="00A109CA"/>
    <w:rsid w:val="00A10A43"/>
    <w:rsid w:val="00A10A9A"/>
    <w:rsid w:val="00A10B60"/>
    <w:rsid w:val="00A10D0C"/>
    <w:rsid w:val="00A10DB2"/>
    <w:rsid w:val="00A1102E"/>
    <w:rsid w:val="00A110FE"/>
    <w:rsid w:val="00A11290"/>
    <w:rsid w:val="00A11397"/>
    <w:rsid w:val="00A1144F"/>
    <w:rsid w:val="00A1161D"/>
    <w:rsid w:val="00A119AB"/>
    <w:rsid w:val="00A11B31"/>
    <w:rsid w:val="00A11C0E"/>
    <w:rsid w:val="00A11CCA"/>
    <w:rsid w:val="00A11DA4"/>
    <w:rsid w:val="00A11EBE"/>
    <w:rsid w:val="00A11F5A"/>
    <w:rsid w:val="00A11F9A"/>
    <w:rsid w:val="00A12120"/>
    <w:rsid w:val="00A121EA"/>
    <w:rsid w:val="00A12215"/>
    <w:rsid w:val="00A1238A"/>
    <w:rsid w:val="00A123BE"/>
    <w:rsid w:val="00A125AC"/>
    <w:rsid w:val="00A12623"/>
    <w:rsid w:val="00A12640"/>
    <w:rsid w:val="00A126D7"/>
    <w:rsid w:val="00A12769"/>
    <w:rsid w:val="00A12793"/>
    <w:rsid w:val="00A1282F"/>
    <w:rsid w:val="00A128EB"/>
    <w:rsid w:val="00A12B4C"/>
    <w:rsid w:val="00A12C10"/>
    <w:rsid w:val="00A12CB0"/>
    <w:rsid w:val="00A12D3E"/>
    <w:rsid w:val="00A12D49"/>
    <w:rsid w:val="00A12FE0"/>
    <w:rsid w:val="00A13035"/>
    <w:rsid w:val="00A132CC"/>
    <w:rsid w:val="00A132FA"/>
    <w:rsid w:val="00A13469"/>
    <w:rsid w:val="00A134A3"/>
    <w:rsid w:val="00A134DA"/>
    <w:rsid w:val="00A135AE"/>
    <w:rsid w:val="00A135FA"/>
    <w:rsid w:val="00A13683"/>
    <w:rsid w:val="00A1374F"/>
    <w:rsid w:val="00A13794"/>
    <w:rsid w:val="00A1387B"/>
    <w:rsid w:val="00A138D3"/>
    <w:rsid w:val="00A13A44"/>
    <w:rsid w:val="00A13AED"/>
    <w:rsid w:val="00A13B3F"/>
    <w:rsid w:val="00A13B5F"/>
    <w:rsid w:val="00A13C91"/>
    <w:rsid w:val="00A13D4F"/>
    <w:rsid w:val="00A13F22"/>
    <w:rsid w:val="00A13F57"/>
    <w:rsid w:val="00A13FFC"/>
    <w:rsid w:val="00A14142"/>
    <w:rsid w:val="00A1422A"/>
    <w:rsid w:val="00A1423D"/>
    <w:rsid w:val="00A14311"/>
    <w:rsid w:val="00A144A4"/>
    <w:rsid w:val="00A14582"/>
    <w:rsid w:val="00A14629"/>
    <w:rsid w:val="00A147E7"/>
    <w:rsid w:val="00A14828"/>
    <w:rsid w:val="00A14919"/>
    <w:rsid w:val="00A14C66"/>
    <w:rsid w:val="00A14CB1"/>
    <w:rsid w:val="00A14DF5"/>
    <w:rsid w:val="00A14E00"/>
    <w:rsid w:val="00A14E86"/>
    <w:rsid w:val="00A14F0D"/>
    <w:rsid w:val="00A14F71"/>
    <w:rsid w:val="00A14FA9"/>
    <w:rsid w:val="00A15022"/>
    <w:rsid w:val="00A15198"/>
    <w:rsid w:val="00A15313"/>
    <w:rsid w:val="00A1548C"/>
    <w:rsid w:val="00A15689"/>
    <w:rsid w:val="00A1569D"/>
    <w:rsid w:val="00A156E2"/>
    <w:rsid w:val="00A156E5"/>
    <w:rsid w:val="00A157F1"/>
    <w:rsid w:val="00A15824"/>
    <w:rsid w:val="00A15916"/>
    <w:rsid w:val="00A15A0A"/>
    <w:rsid w:val="00A15B1C"/>
    <w:rsid w:val="00A15B86"/>
    <w:rsid w:val="00A15C23"/>
    <w:rsid w:val="00A15C26"/>
    <w:rsid w:val="00A15C7F"/>
    <w:rsid w:val="00A15CDF"/>
    <w:rsid w:val="00A15D7B"/>
    <w:rsid w:val="00A15D86"/>
    <w:rsid w:val="00A15E24"/>
    <w:rsid w:val="00A15E6F"/>
    <w:rsid w:val="00A160DA"/>
    <w:rsid w:val="00A1617C"/>
    <w:rsid w:val="00A163F0"/>
    <w:rsid w:val="00A16532"/>
    <w:rsid w:val="00A16578"/>
    <w:rsid w:val="00A1663F"/>
    <w:rsid w:val="00A16647"/>
    <w:rsid w:val="00A1672D"/>
    <w:rsid w:val="00A167C6"/>
    <w:rsid w:val="00A167F6"/>
    <w:rsid w:val="00A168B0"/>
    <w:rsid w:val="00A168D8"/>
    <w:rsid w:val="00A16906"/>
    <w:rsid w:val="00A16A58"/>
    <w:rsid w:val="00A16AD1"/>
    <w:rsid w:val="00A16D17"/>
    <w:rsid w:val="00A16DB3"/>
    <w:rsid w:val="00A16F81"/>
    <w:rsid w:val="00A1712F"/>
    <w:rsid w:val="00A171A2"/>
    <w:rsid w:val="00A1725B"/>
    <w:rsid w:val="00A1730B"/>
    <w:rsid w:val="00A17316"/>
    <w:rsid w:val="00A17382"/>
    <w:rsid w:val="00A173FB"/>
    <w:rsid w:val="00A17681"/>
    <w:rsid w:val="00A1777F"/>
    <w:rsid w:val="00A177E1"/>
    <w:rsid w:val="00A178AB"/>
    <w:rsid w:val="00A17921"/>
    <w:rsid w:val="00A17A00"/>
    <w:rsid w:val="00A17A1C"/>
    <w:rsid w:val="00A17C6B"/>
    <w:rsid w:val="00A17CBD"/>
    <w:rsid w:val="00A17CE0"/>
    <w:rsid w:val="00A17E38"/>
    <w:rsid w:val="00A200FE"/>
    <w:rsid w:val="00A2018C"/>
    <w:rsid w:val="00A20203"/>
    <w:rsid w:val="00A203C3"/>
    <w:rsid w:val="00A20564"/>
    <w:rsid w:val="00A206B7"/>
    <w:rsid w:val="00A207D5"/>
    <w:rsid w:val="00A208BD"/>
    <w:rsid w:val="00A208CA"/>
    <w:rsid w:val="00A209A1"/>
    <w:rsid w:val="00A20A1F"/>
    <w:rsid w:val="00A20B54"/>
    <w:rsid w:val="00A20BE8"/>
    <w:rsid w:val="00A20D2F"/>
    <w:rsid w:val="00A20EB3"/>
    <w:rsid w:val="00A20EE6"/>
    <w:rsid w:val="00A211E2"/>
    <w:rsid w:val="00A21211"/>
    <w:rsid w:val="00A21496"/>
    <w:rsid w:val="00A21499"/>
    <w:rsid w:val="00A2151B"/>
    <w:rsid w:val="00A21527"/>
    <w:rsid w:val="00A215A4"/>
    <w:rsid w:val="00A216F4"/>
    <w:rsid w:val="00A21709"/>
    <w:rsid w:val="00A21955"/>
    <w:rsid w:val="00A2198C"/>
    <w:rsid w:val="00A219CC"/>
    <w:rsid w:val="00A219E9"/>
    <w:rsid w:val="00A21A94"/>
    <w:rsid w:val="00A21CB0"/>
    <w:rsid w:val="00A21D23"/>
    <w:rsid w:val="00A21FFF"/>
    <w:rsid w:val="00A22125"/>
    <w:rsid w:val="00A2261E"/>
    <w:rsid w:val="00A22741"/>
    <w:rsid w:val="00A2290B"/>
    <w:rsid w:val="00A22A0F"/>
    <w:rsid w:val="00A22B13"/>
    <w:rsid w:val="00A22D15"/>
    <w:rsid w:val="00A22D21"/>
    <w:rsid w:val="00A22E7B"/>
    <w:rsid w:val="00A22FF2"/>
    <w:rsid w:val="00A23009"/>
    <w:rsid w:val="00A23064"/>
    <w:rsid w:val="00A230AD"/>
    <w:rsid w:val="00A23108"/>
    <w:rsid w:val="00A2311E"/>
    <w:rsid w:val="00A2328D"/>
    <w:rsid w:val="00A232BB"/>
    <w:rsid w:val="00A23461"/>
    <w:rsid w:val="00A2347D"/>
    <w:rsid w:val="00A2351B"/>
    <w:rsid w:val="00A2351E"/>
    <w:rsid w:val="00A2356C"/>
    <w:rsid w:val="00A237A4"/>
    <w:rsid w:val="00A238AF"/>
    <w:rsid w:val="00A23975"/>
    <w:rsid w:val="00A23B00"/>
    <w:rsid w:val="00A23BF2"/>
    <w:rsid w:val="00A23C36"/>
    <w:rsid w:val="00A23D03"/>
    <w:rsid w:val="00A23D48"/>
    <w:rsid w:val="00A23D7A"/>
    <w:rsid w:val="00A23E43"/>
    <w:rsid w:val="00A23EE8"/>
    <w:rsid w:val="00A24092"/>
    <w:rsid w:val="00A24103"/>
    <w:rsid w:val="00A24139"/>
    <w:rsid w:val="00A2438E"/>
    <w:rsid w:val="00A2439A"/>
    <w:rsid w:val="00A243D3"/>
    <w:rsid w:val="00A24458"/>
    <w:rsid w:val="00A24481"/>
    <w:rsid w:val="00A2448F"/>
    <w:rsid w:val="00A24558"/>
    <w:rsid w:val="00A2463E"/>
    <w:rsid w:val="00A24661"/>
    <w:rsid w:val="00A2469A"/>
    <w:rsid w:val="00A24739"/>
    <w:rsid w:val="00A24818"/>
    <w:rsid w:val="00A249E0"/>
    <w:rsid w:val="00A24B5F"/>
    <w:rsid w:val="00A24B8D"/>
    <w:rsid w:val="00A24C53"/>
    <w:rsid w:val="00A24E63"/>
    <w:rsid w:val="00A24F1F"/>
    <w:rsid w:val="00A25244"/>
    <w:rsid w:val="00A25264"/>
    <w:rsid w:val="00A252BC"/>
    <w:rsid w:val="00A254B3"/>
    <w:rsid w:val="00A255C4"/>
    <w:rsid w:val="00A25661"/>
    <w:rsid w:val="00A25705"/>
    <w:rsid w:val="00A25800"/>
    <w:rsid w:val="00A258E1"/>
    <w:rsid w:val="00A25A4B"/>
    <w:rsid w:val="00A25A68"/>
    <w:rsid w:val="00A25AEC"/>
    <w:rsid w:val="00A25B4C"/>
    <w:rsid w:val="00A25B56"/>
    <w:rsid w:val="00A25BC0"/>
    <w:rsid w:val="00A25BFA"/>
    <w:rsid w:val="00A25C4B"/>
    <w:rsid w:val="00A25C73"/>
    <w:rsid w:val="00A25CD9"/>
    <w:rsid w:val="00A25DF4"/>
    <w:rsid w:val="00A25E4B"/>
    <w:rsid w:val="00A25F0A"/>
    <w:rsid w:val="00A262A1"/>
    <w:rsid w:val="00A263E4"/>
    <w:rsid w:val="00A26412"/>
    <w:rsid w:val="00A26456"/>
    <w:rsid w:val="00A265A7"/>
    <w:rsid w:val="00A2668B"/>
    <w:rsid w:val="00A266E9"/>
    <w:rsid w:val="00A26757"/>
    <w:rsid w:val="00A26888"/>
    <w:rsid w:val="00A26AB8"/>
    <w:rsid w:val="00A26ABD"/>
    <w:rsid w:val="00A26B54"/>
    <w:rsid w:val="00A26BE5"/>
    <w:rsid w:val="00A26D0F"/>
    <w:rsid w:val="00A26D11"/>
    <w:rsid w:val="00A26D3C"/>
    <w:rsid w:val="00A26D7F"/>
    <w:rsid w:val="00A26DEC"/>
    <w:rsid w:val="00A26F8C"/>
    <w:rsid w:val="00A27014"/>
    <w:rsid w:val="00A27054"/>
    <w:rsid w:val="00A271D4"/>
    <w:rsid w:val="00A27242"/>
    <w:rsid w:val="00A27259"/>
    <w:rsid w:val="00A272BA"/>
    <w:rsid w:val="00A272E2"/>
    <w:rsid w:val="00A273C3"/>
    <w:rsid w:val="00A273C6"/>
    <w:rsid w:val="00A273DA"/>
    <w:rsid w:val="00A2745E"/>
    <w:rsid w:val="00A2746D"/>
    <w:rsid w:val="00A27520"/>
    <w:rsid w:val="00A27660"/>
    <w:rsid w:val="00A276C6"/>
    <w:rsid w:val="00A276CE"/>
    <w:rsid w:val="00A2787E"/>
    <w:rsid w:val="00A27A31"/>
    <w:rsid w:val="00A27A7F"/>
    <w:rsid w:val="00A27AFC"/>
    <w:rsid w:val="00A27BB7"/>
    <w:rsid w:val="00A27D86"/>
    <w:rsid w:val="00A2A1F2"/>
    <w:rsid w:val="00A30017"/>
    <w:rsid w:val="00A30052"/>
    <w:rsid w:val="00A300AF"/>
    <w:rsid w:val="00A3022D"/>
    <w:rsid w:val="00A3041B"/>
    <w:rsid w:val="00A304C9"/>
    <w:rsid w:val="00A306DD"/>
    <w:rsid w:val="00A307E5"/>
    <w:rsid w:val="00A308EC"/>
    <w:rsid w:val="00A308FE"/>
    <w:rsid w:val="00A30955"/>
    <w:rsid w:val="00A30B15"/>
    <w:rsid w:val="00A30B81"/>
    <w:rsid w:val="00A30B91"/>
    <w:rsid w:val="00A30CEA"/>
    <w:rsid w:val="00A30D57"/>
    <w:rsid w:val="00A30DC6"/>
    <w:rsid w:val="00A30DCB"/>
    <w:rsid w:val="00A30ECF"/>
    <w:rsid w:val="00A30EF0"/>
    <w:rsid w:val="00A30F39"/>
    <w:rsid w:val="00A30FBA"/>
    <w:rsid w:val="00A31031"/>
    <w:rsid w:val="00A31167"/>
    <w:rsid w:val="00A311B5"/>
    <w:rsid w:val="00A312C3"/>
    <w:rsid w:val="00A31332"/>
    <w:rsid w:val="00A3150E"/>
    <w:rsid w:val="00A31634"/>
    <w:rsid w:val="00A31737"/>
    <w:rsid w:val="00A3180C"/>
    <w:rsid w:val="00A31A2B"/>
    <w:rsid w:val="00A31A72"/>
    <w:rsid w:val="00A31A87"/>
    <w:rsid w:val="00A31B95"/>
    <w:rsid w:val="00A31D10"/>
    <w:rsid w:val="00A3207F"/>
    <w:rsid w:val="00A3221F"/>
    <w:rsid w:val="00A32248"/>
    <w:rsid w:val="00A32379"/>
    <w:rsid w:val="00A32423"/>
    <w:rsid w:val="00A327D5"/>
    <w:rsid w:val="00A327F8"/>
    <w:rsid w:val="00A328D4"/>
    <w:rsid w:val="00A32983"/>
    <w:rsid w:val="00A329ED"/>
    <w:rsid w:val="00A32B43"/>
    <w:rsid w:val="00A32D48"/>
    <w:rsid w:val="00A32F0B"/>
    <w:rsid w:val="00A32FB4"/>
    <w:rsid w:val="00A33137"/>
    <w:rsid w:val="00A3341E"/>
    <w:rsid w:val="00A335D4"/>
    <w:rsid w:val="00A336FF"/>
    <w:rsid w:val="00A33728"/>
    <w:rsid w:val="00A3383F"/>
    <w:rsid w:val="00A339A5"/>
    <w:rsid w:val="00A33A23"/>
    <w:rsid w:val="00A33B9C"/>
    <w:rsid w:val="00A33C3F"/>
    <w:rsid w:val="00A33D6F"/>
    <w:rsid w:val="00A33DDD"/>
    <w:rsid w:val="00A33E4C"/>
    <w:rsid w:val="00A33E52"/>
    <w:rsid w:val="00A33FC1"/>
    <w:rsid w:val="00A341FE"/>
    <w:rsid w:val="00A34299"/>
    <w:rsid w:val="00A342A3"/>
    <w:rsid w:val="00A342CB"/>
    <w:rsid w:val="00A344B1"/>
    <w:rsid w:val="00A34667"/>
    <w:rsid w:val="00A34815"/>
    <w:rsid w:val="00A348D8"/>
    <w:rsid w:val="00A348DF"/>
    <w:rsid w:val="00A3495E"/>
    <w:rsid w:val="00A349B1"/>
    <w:rsid w:val="00A349C8"/>
    <w:rsid w:val="00A34B47"/>
    <w:rsid w:val="00A34BAD"/>
    <w:rsid w:val="00A34BC7"/>
    <w:rsid w:val="00A34C9A"/>
    <w:rsid w:val="00A34CB9"/>
    <w:rsid w:val="00A34D5C"/>
    <w:rsid w:val="00A34E76"/>
    <w:rsid w:val="00A34F89"/>
    <w:rsid w:val="00A34FB5"/>
    <w:rsid w:val="00A35001"/>
    <w:rsid w:val="00A35059"/>
    <w:rsid w:val="00A3514F"/>
    <w:rsid w:val="00A3532B"/>
    <w:rsid w:val="00A3538D"/>
    <w:rsid w:val="00A353DB"/>
    <w:rsid w:val="00A3557B"/>
    <w:rsid w:val="00A35619"/>
    <w:rsid w:val="00A3561C"/>
    <w:rsid w:val="00A3571B"/>
    <w:rsid w:val="00A35764"/>
    <w:rsid w:val="00A357A0"/>
    <w:rsid w:val="00A35A71"/>
    <w:rsid w:val="00A35B4E"/>
    <w:rsid w:val="00A35CEC"/>
    <w:rsid w:val="00A35D06"/>
    <w:rsid w:val="00A35D15"/>
    <w:rsid w:val="00A35D60"/>
    <w:rsid w:val="00A35D84"/>
    <w:rsid w:val="00A35D9A"/>
    <w:rsid w:val="00A35E26"/>
    <w:rsid w:val="00A35E47"/>
    <w:rsid w:val="00A35F7F"/>
    <w:rsid w:val="00A36150"/>
    <w:rsid w:val="00A362D1"/>
    <w:rsid w:val="00A3634A"/>
    <w:rsid w:val="00A3647A"/>
    <w:rsid w:val="00A36484"/>
    <w:rsid w:val="00A364AC"/>
    <w:rsid w:val="00A364F9"/>
    <w:rsid w:val="00A364FC"/>
    <w:rsid w:val="00A3650D"/>
    <w:rsid w:val="00A36516"/>
    <w:rsid w:val="00A366D2"/>
    <w:rsid w:val="00A36845"/>
    <w:rsid w:val="00A36A69"/>
    <w:rsid w:val="00A36A77"/>
    <w:rsid w:val="00A36AE7"/>
    <w:rsid w:val="00A36B4A"/>
    <w:rsid w:val="00A36B6D"/>
    <w:rsid w:val="00A36B9F"/>
    <w:rsid w:val="00A36C75"/>
    <w:rsid w:val="00A36DBF"/>
    <w:rsid w:val="00A36DC8"/>
    <w:rsid w:val="00A36DF1"/>
    <w:rsid w:val="00A36E70"/>
    <w:rsid w:val="00A36FB3"/>
    <w:rsid w:val="00A37230"/>
    <w:rsid w:val="00A37231"/>
    <w:rsid w:val="00A37392"/>
    <w:rsid w:val="00A37451"/>
    <w:rsid w:val="00A37482"/>
    <w:rsid w:val="00A374E4"/>
    <w:rsid w:val="00A3751B"/>
    <w:rsid w:val="00A37550"/>
    <w:rsid w:val="00A37563"/>
    <w:rsid w:val="00A37740"/>
    <w:rsid w:val="00A37817"/>
    <w:rsid w:val="00A3784D"/>
    <w:rsid w:val="00A37859"/>
    <w:rsid w:val="00A37963"/>
    <w:rsid w:val="00A3798C"/>
    <w:rsid w:val="00A37A41"/>
    <w:rsid w:val="00A37A5D"/>
    <w:rsid w:val="00A37A6B"/>
    <w:rsid w:val="00A37A73"/>
    <w:rsid w:val="00A37B87"/>
    <w:rsid w:val="00A37BBB"/>
    <w:rsid w:val="00A37CDA"/>
    <w:rsid w:val="00A37DE3"/>
    <w:rsid w:val="00A4002B"/>
    <w:rsid w:val="00A40070"/>
    <w:rsid w:val="00A401D5"/>
    <w:rsid w:val="00A40283"/>
    <w:rsid w:val="00A40344"/>
    <w:rsid w:val="00A4044D"/>
    <w:rsid w:val="00A4044E"/>
    <w:rsid w:val="00A406EC"/>
    <w:rsid w:val="00A406EE"/>
    <w:rsid w:val="00A40714"/>
    <w:rsid w:val="00A40793"/>
    <w:rsid w:val="00A407E1"/>
    <w:rsid w:val="00A40AAF"/>
    <w:rsid w:val="00A40B41"/>
    <w:rsid w:val="00A40EE7"/>
    <w:rsid w:val="00A40F6C"/>
    <w:rsid w:val="00A4106F"/>
    <w:rsid w:val="00A410D5"/>
    <w:rsid w:val="00A412AB"/>
    <w:rsid w:val="00A41300"/>
    <w:rsid w:val="00A41531"/>
    <w:rsid w:val="00A41670"/>
    <w:rsid w:val="00A41786"/>
    <w:rsid w:val="00A41899"/>
    <w:rsid w:val="00A418A4"/>
    <w:rsid w:val="00A418C8"/>
    <w:rsid w:val="00A418D8"/>
    <w:rsid w:val="00A419AD"/>
    <w:rsid w:val="00A41AA9"/>
    <w:rsid w:val="00A41B99"/>
    <w:rsid w:val="00A41C52"/>
    <w:rsid w:val="00A41C65"/>
    <w:rsid w:val="00A41C7D"/>
    <w:rsid w:val="00A41CA2"/>
    <w:rsid w:val="00A41D78"/>
    <w:rsid w:val="00A41DCA"/>
    <w:rsid w:val="00A41E8B"/>
    <w:rsid w:val="00A420B7"/>
    <w:rsid w:val="00A420D8"/>
    <w:rsid w:val="00A42147"/>
    <w:rsid w:val="00A42199"/>
    <w:rsid w:val="00A421E7"/>
    <w:rsid w:val="00A42301"/>
    <w:rsid w:val="00A42306"/>
    <w:rsid w:val="00A4234F"/>
    <w:rsid w:val="00A42385"/>
    <w:rsid w:val="00A42539"/>
    <w:rsid w:val="00A425A9"/>
    <w:rsid w:val="00A425B4"/>
    <w:rsid w:val="00A42721"/>
    <w:rsid w:val="00A428D7"/>
    <w:rsid w:val="00A42B4A"/>
    <w:rsid w:val="00A42DC3"/>
    <w:rsid w:val="00A42EE5"/>
    <w:rsid w:val="00A42F8C"/>
    <w:rsid w:val="00A430D9"/>
    <w:rsid w:val="00A4312E"/>
    <w:rsid w:val="00A43167"/>
    <w:rsid w:val="00A432DF"/>
    <w:rsid w:val="00A433A6"/>
    <w:rsid w:val="00A43487"/>
    <w:rsid w:val="00A43511"/>
    <w:rsid w:val="00A43632"/>
    <w:rsid w:val="00A436BC"/>
    <w:rsid w:val="00A43777"/>
    <w:rsid w:val="00A437BD"/>
    <w:rsid w:val="00A437FB"/>
    <w:rsid w:val="00A43863"/>
    <w:rsid w:val="00A439A3"/>
    <w:rsid w:val="00A439FA"/>
    <w:rsid w:val="00A43A23"/>
    <w:rsid w:val="00A43AC1"/>
    <w:rsid w:val="00A43B6B"/>
    <w:rsid w:val="00A43B6E"/>
    <w:rsid w:val="00A43C56"/>
    <w:rsid w:val="00A43C70"/>
    <w:rsid w:val="00A43D06"/>
    <w:rsid w:val="00A43D41"/>
    <w:rsid w:val="00A43E1A"/>
    <w:rsid w:val="00A43E9D"/>
    <w:rsid w:val="00A44002"/>
    <w:rsid w:val="00A440A6"/>
    <w:rsid w:val="00A440CC"/>
    <w:rsid w:val="00A441E8"/>
    <w:rsid w:val="00A4432E"/>
    <w:rsid w:val="00A4436C"/>
    <w:rsid w:val="00A44445"/>
    <w:rsid w:val="00A44535"/>
    <w:rsid w:val="00A4458A"/>
    <w:rsid w:val="00A44593"/>
    <w:rsid w:val="00A4473E"/>
    <w:rsid w:val="00A447BB"/>
    <w:rsid w:val="00A44894"/>
    <w:rsid w:val="00A44899"/>
    <w:rsid w:val="00A44947"/>
    <w:rsid w:val="00A44AB1"/>
    <w:rsid w:val="00A44B4E"/>
    <w:rsid w:val="00A44C54"/>
    <w:rsid w:val="00A44C85"/>
    <w:rsid w:val="00A44CDB"/>
    <w:rsid w:val="00A44E6E"/>
    <w:rsid w:val="00A44E7F"/>
    <w:rsid w:val="00A44E8D"/>
    <w:rsid w:val="00A44EF1"/>
    <w:rsid w:val="00A44F1F"/>
    <w:rsid w:val="00A44F62"/>
    <w:rsid w:val="00A44F6F"/>
    <w:rsid w:val="00A44FE1"/>
    <w:rsid w:val="00A45098"/>
    <w:rsid w:val="00A451E0"/>
    <w:rsid w:val="00A451FE"/>
    <w:rsid w:val="00A45278"/>
    <w:rsid w:val="00A452C7"/>
    <w:rsid w:val="00A453CD"/>
    <w:rsid w:val="00A4542F"/>
    <w:rsid w:val="00A45440"/>
    <w:rsid w:val="00A454F6"/>
    <w:rsid w:val="00A457A8"/>
    <w:rsid w:val="00A457C3"/>
    <w:rsid w:val="00A45865"/>
    <w:rsid w:val="00A4591B"/>
    <w:rsid w:val="00A45B4F"/>
    <w:rsid w:val="00A45B92"/>
    <w:rsid w:val="00A45C1F"/>
    <w:rsid w:val="00A45D18"/>
    <w:rsid w:val="00A45EF1"/>
    <w:rsid w:val="00A46038"/>
    <w:rsid w:val="00A460D5"/>
    <w:rsid w:val="00A46130"/>
    <w:rsid w:val="00A46184"/>
    <w:rsid w:val="00A4621B"/>
    <w:rsid w:val="00A46288"/>
    <w:rsid w:val="00A46338"/>
    <w:rsid w:val="00A46349"/>
    <w:rsid w:val="00A46371"/>
    <w:rsid w:val="00A463CF"/>
    <w:rsid w:val="00A46448"/>
    <w:rsid w:val="00A46467"/>
    <w:rsid w:val="00A4648E"/>
    <w:rsid w:val="00A4653C"/>
    <w:rsid w:val="00A4680A"/>
    <w:rsid w:val="00A46839"/>
    <w:rsid w:val="00A46ACD"/>
    <w:rsid w:val="00A46AD3"/>
    <w:rsid w:val="00A46B47"/>
    <w:rsid w:val="00A46EA8"/>
    <w:rsid w:val="00A47205"/>
    <w:rsid w:val="00A47306"/>
    <w:rsid w:val="00A47459"/>
    <w:rsid w:val="00A47648"/>
    <w:rsid w:val="00A47691"/>
    <w:rsid w:val="00A4790B"/>
    <w:rsid w:val="00A47950"/>
    <w:rsid w:val="00A4796E"/>
    <w:rsid w:val="00A479D2"/>
    <w:rsid w:val="00A47AD5"/>
    <w:rsid w:val="00A47DDA"/>
    <w:rsid w:val="00A47DF2"/>
    <w:rsid w:val="00A47DFD"/>
    <w:rsid w:val="00A47E24"/>
    <w:rsid w:val="00A47EAE"/>
    <w:rsid w:val="00A47FEE"/>
    <w:rsid w:val="00A50013"/>
    <w:rsid w:val="00A50079"/>
    <w:rsid w:val="00A500BB"/>
    <w:rsid w:val="00A50205"/>
    <w:rsid w:val="00A50472"/>
    <w:rsid w:val="00A504A5"/>
    <w:rsid w:val="00A504F2"/>
    <w:rsid w:val="00A5052C"/>
    <w:rsid w:val="00A505E4"/>
    <w:rsid w:val="00A506F9"/>
    <w:rsid w:val="00A50759"/>
    <w:rsid w:val="00A5084B"/>
    <w:rsid w:val="00A50859"/>
    <w:rsid w:val="00A50CAC"/>
    <w:rsid w:val="00A50CBB"/>
    <w:rsid w:val="00A50DCF"/>
    <w:rsid w:val="00A50EC5"/>
    <w:rsid w:val="00A50EF1"/>
    <w:rsid w:val="00A510EC"/>
    <w:rsid w:val="00A512A9"/>
    <w:rsid w:val="00A512C5"/>
    <w:rsid w:val="00A512FE"/>
    <w:rsid w:val="00A51315"/>
    <w:rsid w:val="00A5135B"/>
    <w:rsid w:val="00A5165F"/>
    <w:rsid w:val="00A516A6"/>
    <w:rsid w:val="00A5183D"/>
    <w:rsid w:val="00A518B4"/>
    <w:rsid w:val="00A518D0"/>
    <w:rsid w:val="00A5195E"/>
    <w:rsid w:val="00A51969"/>
    <w:rsid w:val="00A51994"/>
    <w:rsid w:val="00A51A75"/>
    <w:rsid w:val="00A51B18"/>
    <w:rsid w:val="00A51C05"/>
    <w:rsid w:val="00A51CC0"/>
    <w:rsid w:val="00A51F0C"/>
    <w:rsid w:val="00A51F20"/>
    <w:rsid w:val="00A51FF3"/>
    <w:rsid w:val="00A522B4"/>
    <w:rsid w:val="00A52300"/>
    <w:rsid w:val="00A52392"/>
    <w:rsid w:val="00A523F5"/>
    <w:rsid w:val="00A524AD"/>
    <w:rsid w:val="00A5251C"/>
    <w:rsid w:val="00A52522"/>
    <w:rsid w:val="00A52732"/>
    <w:rsid w:val="00A52861"/>
    <w:rsid w:val="00A52B08"/>
    <w:rsid w:val="00A52B98"/>
    <w:rsid w:val="00A52D38"/>
    <w:rsid w:val="00A52E08"/>
    <w:rsid w:val="00A52E95"/>
    <w:rsid w:val="00A52F11"/>
    <w:rsid w:val="00A52F5A"/>
    <w:rsid w:val="00A52F77"/>
    <w:rsid w:val="00A5303F"/>
    <w:rsid w:val="00A5322C"/>
    <w:rsid w:val="00A5328A"/>
    <w:rsid w:val="00A534BB"/>
    <w:rsid w:val="00A53563"/>
    <w:rsid w:val="00A53629"/>
    <w:rsid w:val="00A53681"/>
    <w:rsid w:val="00A536CB"/>
    <w:rsid w:val="00A537BE"/>
    <w:rsid w:val="00A538C7"/>
    <w:rsid w:val="00A53A8B"/>
    <w:rsid w:val="00A53BCC"/>
    <w:rsid w:val="00A53E05"/>
    <w:rsid w:val="00A53F8E"/>
    <w:rsid w:val="00A54133"/>
    <w:rsid w:val="00A541B7"/>
    <w:rsid w:val="00A543C3"/>
    <w:rsid w:val="00A54483"/>
    <w:rsid w:val="00A5449E"/>
    <w:rsid w:val="00A54523"/>
    <w:rsid w:val="00A545BD"/>
    <w:rsid w:val="00A54892"/>
    <w:rsid w:val="00A54A78"/>
    <w:rsid w:val="00A54BA5"/>
    <w:rsid w:val="00A54E73"/>
    <w:rsid w:val="00A54F88"/>
    <w:rsid w:val="00A55189"/>
    <w:rsid w:val="00A55243"/>
    <w:rsid w:val="00A55374"/>
    <w:rsid w:val="00A554FE"/>
    <w:rsid w:val="00A55506"/>
    <w:rsid w:val="00A5556D"/>
    <w:rsid w:val="00A55646"/>
    <w:rsid w:val="00A556B9"/>
    <w:rsid w:val="00A5585E"/>
    <w:rsid w:val="00A558F2"/>
    <w:rsid w:val="00A55ACD"/>
    <w:rsid w:val="00A55BAA"/>
    <w:rsid w:val="00A55CB3"/>
    <w:rsid w:val="00A55D0B"/>
    <w:rsid w:val="00A55E7F"/>
    <w:rsid w:val="00A55F40"/>
    <w:rsid w:val="00A56064"/>
    <w:rsid w:val="00A56124"/>
    <w:rsid w:val="00A56184"/>
    <w:rsid w:val="00A561E3"/>
    <w:rsid w:val="00A561FC"/>
    <w:rsid w:val="00A5622E"/>
    <w:rsid w:val="00A562B7"/>
    <w:rsid w:val="00A563FF"/>
    <w:rsid w:val="00A56579"/>
    <w:rsid w:val="00A5667A"/>
    <w:rsid w:val="00A566CC"/>
    <w:rsid w:val="00A56863"/>
    <w:rsid w:val="00A568A6"/>
    <w:rsid w:val="00A56A3E"/>
    <w:rsid w:val="00A56A50"/>
    <w:rsid w:val="00A56A93"/>
    <w:rsid w:val="00A56BD6"/>
    <w:rsid w:val="00A56E1C"/>
    <w:rsid w:val="00A56F56"/>
    <w:rsid w:val="00A5714E"/>
    <w:rsid w:val="00A57276"/>
    <w:rsid w:val="00A57312"/>
    <w:rsid w:val="00A5738F"/>
    <w:rsid w:val="00A573D1"/>
    <w:rsid w:val="00A57417"/>
    <w:rsid w:val="00A5745D"/>
    <w:rsid w:val="00A57514"/>
    <w:rsid w:val="00A5753F"/>
    <w:rsid w:val="00A5763F"/>
    <w:rsid w:val="00A576A0"/>
    <w:rsid w:val="00A57790"/>
    <w:rsid w:val="00A577A1"/>
    <w:rsid w:val="00A577FE"/>
    <w:rsid w:val="00A57930"/>
    <w:rsid w:val="00A57A52"/>
    <w:rsid w:val="00A57B4A"/>
    <w:rsid w:val="00A57B7A"/>
    <w:rsid w:val="00A57BF4"/>
    <w:rsid w:val="00A57C20"/>
    <w:rsid w:val="00A57CEB"/>
    <w:rsid w:val="00A57CFE"/>
    <w:rsid w:val="00A60125"/>
    <w:rsid w:val="00A601F5"/>
    <w:rsid w:val="00A60238"/>
    <w:rsid w:val="00A6030F"/>
    <w:rsid w:val="00A6037F"/>
    <w:rsid w:val="00A60430"/>
    <w:rsid w:val="00A6045B"/>
    <w:rsid w:val="00A6059B"/>
    <w:rsid w:val="00A605D7"/>
    <w:rsid w:val="00A6062D"/>
    <w:rsid w:val="00A606D7"/>
    <w:rsid w:val="00A607C6"/>
    <w:rsid w:val="00A608B6"/>
    <w:rsid w:val="00A609B9"/>
    <w:rsid w:val="00A60A29"/>
    <w:rsid w:val="00A60BA5"/>
    <w:rsid w:val="00A60BA8"/>
    <w:rsid w:val="00A60C64"/>
    <w:rsid w:val="00A60E6E"/>
    <w:rsid w:val="00A60F91"/>
    <w:rsid w:val="00A60FF4"/>
    <w:rsid w:val="00A610D3"/>
    <w:rsid w:val="00A610E3"/>
    <w:rsid w:val="00A612CC"/>
    <w:rsid w:val="00A612EA"/>
    <w:rsid w:val="00A61453"/>
    <w:rsid w:val="00A614BD"/>
    <w:rsid w:val="00A615AC"/>
    <w:rsid w:val="00A615B0"/>
    <w:rsid w:val="00A61602"/>
    <w:rsid w:val="00A619C3"/>
    <w:rsid w:val="00A61AD8"/>
    <w:rsid w:val="00A61B90"/>
    <w:rsid w:val="00A61BEB"/>
    <w:rsid w:val="00A61CA2"/>
    <w:rsid w:val="00A61E01"/>
    <w:rsid w:val="00A61E3E"/>
    <w:rsid w:val="00A61F75"/>
    <w:rsid w:val="00A61FB2"/>
    <w:rsid w:val="00A622D7"/>
    <w:rsid w:val="00A62466"/>
    <w:rsid w:val="00A6248C"/>
    <w:rsid w:val="00A624AD"/>
    <w:rsid w:val="00A62628"/>
    <w:rsid w:val="00A6268B"/>
    <w:rsid w:val="00A626A6"/>
    <w:rsid w:val="00A627B2"/>
    <w:rsid w:val="00A627E6"/>
    <w:rsid w:val="00A62829"/>
    <w:rsid w:val="00A62894"/>
    <w:rsid w:val="00A628D6"/>
    <w:rsid w:val="00A62A23"/>
    <w:rsid w:val="00A62A85"/>
    <w:rsid w:val="00A62AE6"/>
    <w:rsid w:val="00A62D7B"/>
    <w:rsid w:val="00A62DA9"/>
    <w:rsid w:val="00A62E15"/>
    <w:rsid w:val="00A62F8C"/>
    <w:rsid w:val="00A6334B"/>
    <w:rsid w:val="00A6344D"/>
    <w:rsid w:val="00A63552"/>
    <w:rsid w:val="00A63554"/>
    <w:rsid w:val="00A63588"/>
    <w:rsid w:val="00A6360A"/>
    <w:rsid w:val="00A63733"/>
    <w:rsid w:val="00A63858"/>
    <w:rsid w:val="00A639FB"/>
    <w:rsid w:val="00A63A5E"/>
    <w:rsid w:val="00A63A5F"/>
    <w:rsid w:val="00A63A9E"/>
    <w:rsid w:val="00A63E16"/>
    <w:rsid w:val="00A63EDF"/>
    <w:rsid w:val="00A63FDE"/>
    <w:rsid w:val="00A640B9"/>
    <w:rsid w:val="00A6439C"/>
    <w:rsid w:val="00A643FF"/>
    <w:rsid w:val="00A6441F"/>
    <w:rsid w:val="00A64601"/>
    <w:rsid w:val="00A64616"/>
    <w:rsid w:val="00A6470A"/>
    <w:rsid w:val="00A6474D"/>
    <w:rsid w:val="00A647D6"/>
    <w:rsid w:val="00A648E7"/>
    <w:rsid w:val="00A64920"/>
    <w:rsid w:val="00A64AE0"/>
    <w:rsid w:val="00A64E31"/>
    <w:rsid w:val="00A650F5"/>
    <w:rsid w:val="00A65185"/>
    <w:rsid w:val="00A652AA"/>
    <w:rsid w:val="00A65367"/>
    <w:rsid w:val="00A653B8"/>
    <w:rsid w:val="00A65448"/>
    <w:rsid w:val="00A655CE"/>
    <w:rsid w:val="00A65646"/>
    <w:rsid w:val="00A65711"/>
    <w:rsid w:val="00A65852"/>
    <w:rsid w:val="00A6586C"/>
    <w:rsid w:val="00A658D6"/>
    <w:rsid w:val="00A6598C"/>
    <w:rsid w:val="00A65A02"/>
    <w:rsid w:val="00A65B90"/>
    <w:rsid w:val="00A65C28"/>
    <w:rsid w:val="00A65C42"/>
    <w:rsid w:val="00A65CBA"/>
    <w:rsid w:val="00A65F36"/>
    <w:rsid w:val="00A65FE1"/>
    <w:rsid w:val="00A660A4"/>
    <w:rsid w:val="00A662A6"/>
    <w:rsid w:val="00A66489"/>
    <w:rsid w:val="00A664DD"/>
    <w:rsid w:val="00A66874"/>
    <w:rsid w:val="00A66896"/>
    <w:rsid w:val="00A66AD5"/>
    <w:rsid w:val="00A66D43"/>
    <w:rsid w:val="00A66FAA"/>
    <w:rsid w:val="00A66FC3"/>
    <w:rsid w:val="00A67175"/>
    <w:rsid w:val="00A6721A"/>
    <w:rsid w:val="00A674C4"/>
    <w:rsid w:val="00A67500"/>
    <w:rsid w:val="00A67502"/>
    <w:rsid w:val="00A675A9"/>
    <w:rsid w:val="00A675DC"/>
    <w:rsid w:val="00A675DF"/>
    <w:rsid w:val="00A6779F"/>
    <w:rsid w:val="00A677B7"/>
    <w:rsid w:val="00A678B3"/>
    <w:rsid w:val="00A678B8"/>
    <w:rsid w:val="00A678C3"/>
    <w:rsid w:val="00A678E9"/>
    <w:rsid w:val="00A6790B"/>
    <w:rsid w:val="00A67B64"/>
    <w:rsid w:val="00A67B9E"/>
    <w:rsid w:val="00A67C42"/>
    <w:rsid w:val="00A67E72"/>
    <w:rsid w:val="00A67EC7"/>
    <w:rsid w:val="00A67F1C"/>
    <w:rsid w:val="00A70056"/>
    <w:rsid w:val="00A70242"/>
    <w:rsid w:val="00A702A5"/>
    <w:rsid w:val="00A702B3"/>
    <w:rsid w:val="00A70338"/>
    <w:rsid w:val="00A70380"/>
    <w:rsid w:val="00A70399"/>
    <w:rsid w:val="00A70419"/>
    <w:rsid w:val="00A70431"/>
    <w:rsid w:val="00A7048C"/>
    <w:rsid w:val="00A70571"/>
    <w:rsid w:val="00A70605"/>
    <w:rsid w:val="00A707AF"/>
    <w:rsid w:val="00A70956"/>
    <w:rsid w:val="00A70ACF"/>
    <w:rsid w:val="00A70C64"/>
    <w:rsid w:val="00A70C79"/>
    <w:rsid w:val="00A70CBA"/>
    <w:rsid w:val="00A70D6D"/>
    <w:rsid w:val="00A70E8D"/>
    <w:rsid w:val="00A71037"/>
    <w:rsid w:val="00A71132"/>
    <w:rsid w:val="00A7115C"/>
    <w:rsid w:val="00A7119C"/>
    <w:rsid w:val="00A712D2"/>
    <w:rsid w:val="00A71459"/>
    <w:rsid w:val="00A7168D"/>
    <w:rsid w:val="00A716C7"/>
    <w:rsid w:val="00A716E5"/>
    <w:rsid w:val="00A717F7"/>
    <w:rsid w:val="00A7186B"/>
    <w:rsid w:val="00A718E0"/>
    <w:rsid w:val="00A71948"/>
    <w:rsid w:val="00A719CF"/>
    <w:rsid w:val="00A71AB8"/>
    <w:rsid w:val="00A71AE7"/>
    <w:rsid w:val="00A71B77"/>
    <w:rsid w:val="00A71C6F"/>
    <w:rsid w:val="00A71D06"/>
    <w:rsid w:val="00A71DAD"/>
    <w:rsid w:val="00A71DB4"/>
    <w:rsid w:val="00A71E24"/>
    <w:rsid w:val="00A720D9"/>
    <w:rsid w:val="00A72147"/>
    <w:rsid w:val="00A7219C"/>
    <w:rsid w:val="00A721C4"/>
    <w:rsid w:val="00A72442"/>
    <w:rsid w:val="00A72465"/>
    <w:rsid w:val="00A72741"/>
    <w:rsid w:val="00A7281A"/>
    <w:rsid w:val="00A72935"/>
    <w:rsid w:val="00A72936"/>
    <w:rsid w:val="00A72B68"/>
    <w:rsid w:val="00A72B80"/>
    <w:rsid w:val="00A72C13"/>
    <w:rsid w:val="00A72CB6"/>
    <w:rsid w:val="00A72F34"/>
    <w:rsid w:val="00A73031"/>
    <w:rsid w:val="00A73041"/>
    <w:rsid w:val="00A730CB"/>
    <w:rsid w:val="00A73157"/>
    <w:rsid w:val="00A7329C"/>
    <w:rsid w:val="00A73397"/>
    <w:rsid w:val="00A733CB"/>
    <w:rsid w:val="00A736A7"/>
    <w:rsid w:val="00A7377E"/>
    <w:rsid w:val="00A737B6"/>
    <w:rsid w:val="00A73875"/>
    <w:rsid w:val="00A73A38"/>
    <w:rsid w:val="00A73AE9"/>
    <w:rsid w:val="00A73B65"/>
    <w:rsid w:val="00A73CCA"/>
    <w:rsid w:val="00A73D9B"/>
    <w:rsid w:val="00A740D2"/>
    <w:rsid w:val="00A742BF"/>
    <w:rsid w:val="00A742E6"/>
    <w:rsid w:val="00A7439C"/>
    <w:rsid w:val="00A74411"/>
    <w:rsid w:val="00A74422"/>
    <w:rsid w:val="00A7456F"/>
    <w:rsid w:val="00A74592"/>
    <w:rsid w:val="00A746B0"/>
    <w:rsid w:val="00A747A9"/>
    <w:rsid w:val="00A748C0"/>
    <w:rsid w:val="00A74977"/>
    <w:rsid w:val="00A749D8"/>
    <w:rsid w:val="00A74B9B"/>
    <w:rsid w:val="00A74C12"/>
    <w:rsid w:val="00A74E09"/>
    <w:rsid w:val="00A74EA8"/>
    <w:rsid w:val="00A74F2C"/>
    <w:rsid w:val="00A74FF6"/>
    <w:rsid w:val="00A7511F"/>
    <w:rsid w:val="00A7514F"/>
    <w:rsid w:val="00A752C3"/>
    <w:rsid w:val="00A75455"/>
    <w:rsid w:val="00A75474"/>
    <w:rsid w:val="00A7547E"/>
    <w:rsid w:val="00A754CD"/>
    <w:rsid w:val="00A75599"/>
    <w:rsid w:val="00A757FB"/>
    <w:rsid w:val="00A75BE8"/>
    <w:rsid w:val="00A761CA"/>
    <w:rsid w:val="00A762D0"/>
    <w:rsid w:val="00A763F5"/>
    <w:rsid w:val="00A765B7"/>
    <w:rsid w:val="00A76773"/>
    <w:rsid w:val="00A767C9"/>
    <w:rsid w:val="00A76996"/>
    <w:rsid w:val="00A769E3"/>
    <w:rsid w:val="00A76CCD"/>
    <w:rsid w:val="00A76DA9"/>
    <w:rsid w:val="00A76EF2"/>
    <w:rsid w:val="00A76FA6"/>
    <w:rsid w:val="00A77260"/>
    <w:rsid w:val="00A7738E"/>
    <w:rsid w:val="00A77741"/>
    <w:rsid w:val="00A777A3"/>
    <w:rsid w:val="00A77828"/>
    <w:rsid w:val="00A77878"/>
    <w:rsid w:val="00A77926"/>
    <w:rsid w:val="00A77928"/>
    <w:rsid w:val="00A77953"/>
    <w:rsid w:val="00A77D5E"/>
    <w:rsid w:val="00A77DC5"/>
    <w:rsid w:val="00A77E31"/>
    <w:rsid w:val="00A77F05"/>
    <w:rsid w:val="00A80074"/>
    <w:rsid w:val="00A800F0"/>
    <w:rsid w:val="00A801FD"/>
    <w:rsid w:val="00A80267"/>
    <w:rsid w:val="00A80449"/>
    <w:rsid w:val="00A804C4"/>
    <w:rsid w:val="00A804E3"/>
    <w:rsid w:val="00A805E4"/>
    <w:rsid w:val="00A806F7"/>
    <w:rsid w:val="00A80733"/>
    <w:rsid w:val="00A807FD"/>
    <w:rsid w:val="00A8083F"/>
    <w:rsid w:val="00A809C5"/>
    <w:rsid w:val="00A80A05"/>
    <w:rsid w:val="00A80C07"/>
    <w:rsid w:val="00A80E74"/>
    <w:rsid w:val="00A80EA4"/>
    <w:rsid w:val="00A80EC6"/>
    <w:rsid w:val="00A80F23"/>
    <w:rsid w:val="00A80F60"/>
    <w:rsid w:val="00A810B1"/>
    <w:rsid w:val="00A8113D"/>
    <w:rsid w:val="00A812BA"/>
    <w:rsid w:val="00A812E0"/>
    <w:rsid w:val="00A812E2"/>
    <w:rsid w:val="00A8133B"/>
    <w:rsid w:val="00A8133D"/>
    <w:rsid w:val="00A8136F"/>
    <w:rsid w:val="00A81402"/>
    <w:rsid w:val="00A8142A"/>
    <w:rsid w:val="00A815E8"/>
    <w:rsid w:val="00A8164E"/>
    <w:rsid w:val="00A816F1"/>
    <w:rsid w:val="00A817A5"/>
    <w:rsid w:val="00A817CA"/>
    <w:rsid w:val="00A81B3A"/>
    <w:rsid w:val="00A81B6E"/>
    <w:rsid w:val="00A81C8C"/>
    <w:rsid w:val="00A81CFC"/>
    <w:rsid w:val="00A81D35"/>
    <w:rsid w:val="00A81D6F"/>
    <w:rsid w:val="00A82313"/>
    <w:rsid w:val="00A825CD"/>
    <w:rsid w:val="00A825DD"/>
    <w:rsid w:val="00A82897"/>
    <w:rsid w:val="00A82988"/>
    <w:rsid w:val="00A829D9"/>
    <w:rsid w:val="00A82BBF"/>
    <w:rsid w:val="00A82C56"/>
    <w:rsid w:val="00A82D8F"/>
    <w:rsid w:val="00A82FA2"/>
    <w:rsid w:val="00A83039"/>
    <w:rsid w:val="00A830E2"/>
    <w:rsid w:val="00A83140"/>
    <w:rsid w:val="00A831C0"/>
    <w:rsid w:val="00A832D5"/>
    <w:rsid w:val="00A833EB"/>
    <w:rsid w:val="00A8353A"/>
    <w:rsid w:val="00A83648"/>
    <w:rsid w:val="00A8367A"/>
    <w:rsid w:val="00A8372A"/>
    <w:rsid w:val="00A83742"/>
    <w:rsid w:val="00A8377E"/>
    <w:rsid w:val="00A838CA"/>
    <w:rsid w:val="00A83B21"/>
    <w:rsid w:val="00A83B84"/>
    <w:rsid w:val="00A83BBF"/>
    <w:rsid w:val="00A83BD4"/>
    <w:rsid w:val="00A83C8C"/>
    <w:rsid w:val="00A83CAB"/>
    <w:rsid w:val="00A83D46"/>
    <w:rsid w:val="00A83DF3"/>
    <w:rsid w:val="00A83E1F"/>
    <w:rsid w:val="00A840B5"/>
    <w:rsid w:val="00A84127"/>
    <w:rsid w:val="00A84212"/>
    <w:rsid w:val="00A8439D"/>
    <w:rsid w:val="00A84592"/>
    <w:rsid w:val="00A845B6"/>
    <w:rsid w:val="00A848F4"/>
    <w:rsid w:val="00A849B2"/>
    <w:rsid w:val="00A849F5"/>
    <w:rsid w:val="00A84B47"/>
    <w:rsid w:val="00A84C7A"/>
    <w:rsid w:val="00A84D94"/>
    <w:rsid w:val="00A84DD8"/>
    <w:rsid w:val="00A84DFA"/>
    <w:rsid w:val="00A85010"/>
    <w:rsid w:val="00A850EA"/>
    <w:rsid w:val="00A8510D"/>
    <w:rsid w:val="00A85122"/>
    <w:rsid w:val="00A852B4"/>
    <w:rsid w:val="00A8539D"/>
    <w:rsid w:val="00A8544C"/>
    <w:rsid w:val="00A854F0"/>
    <w:rsid w:val="00A85538"/>
    <w:rsid w:val="00A85593"/>
    <w:rsid w:val="00A855A1"/>
    <w:rsid w:val="00A85809"/>
    <w:rsid w:val="00A85840"/>
    <w:rsid w:val="00A85AA4"/>
    <w:rsid w:val="00A85BDB"/>
    <w:rsid w:val="00A85C2D"/>
    <w:rsid w:val="00A85C4E"/>
    <w:rsid w:val="00A85C52"/>
    <w:rsid w:val="00A85CE8"/>
    <w:rsid w:val="00A85D15"/>
    <w:rsid w:val="00A85D27"/>
    <w:rsid w:val="00A85D43"/>
    <w:rsid w:val="00A85D7D"/>
    <w:rsid w:val="00A85DB7"/>
    <w:rsid w:val="00A85EA2"/>
    <w:rsid w:val="00A85EE1"/>
    <w:rsid w:val="00A86071"/>
    <w:rsid w:val="00A86282"/>
    <w:rsid w:val="00A862AA"/>
    <w:rsid w:val="00A862C8"/>
    <w:rsid w:val="00A86340"/>
    <w:rsid w:val="00A86355"/>
    <w:rsid w:val="00A863F0"/>
    <w:rsid w:val="00A86572"/>
    <w:rsid w:val="00A86775"/>
    <w:rsid w:val="00A867B2"/>
    <w:rsid w:val="00A8689F"/>
    <w:rsid w:val="00A86B2C"/>
    <w:rsid w:val="00A86C12"/>
    <w:rsid w:val="00A86D25"/>
    <w:rsid w:val="00A86EB7"/>
    <w:rsid w:val="00A8707E"/>
    <w:rsid w:val="00A8713B"/>
    <w:rsid w:val="00A871F8"/>
    <w:rsid w:val="00A8728C"/>
    <w:rsid w:val="00A872A8"/>
    <w:rsid w:val="00A872BF"/>
    <w:rsid w:val="00A87390"/>
    <w:rsid w:val="00A873DD"/>
    <w:rsid w:val="00A8744B"/>
    <w:rsid w:val="00A87459"/>
    <w:rsid w:val="00A87572"/>
    <w:rsid w:val="00A87587"/>
    <w:rsid w:val="00A87785"/>
    <w:rsid w:val="00A878DA"/>
    <w:rsid w:val="00A87988"/>
    <w:rsid w:val="00A87A17"/>
    <w:rsid w:val="00A87A7D"/>
    <w:rsid w:val="00A87AF5"/>
    <w:rsid w:val="00A87BA0"/>
    <w:rsid w:val="00A87BE8"/>
    <w:rsid w:val="00A87C38"/>
    <w:rsid w:val="00A87C80"/>
    <w:rsid w:val="00A87CC4"/>
    <w:rsid w:val="00A87CFB"/>
    <w:rsid w:val="00A87D6B"/>
    <w:rsid w:val="00A87ED5"/>
    <w:rsid w:val="00A87FB9"/>
    <w:rsid w:val="00A9004E"/>
    <w:rsid w:val="00A902CE"/>
    <w:rsid w:val="00A9034A"/>
    <w:rsid w:val="00A9036B"/>
    <w:rsid w:val="00A9046F"/>
    <w:rsid w:val="00A90586"/>
    <w:rsid w:val="00A905BB"/>
    <w:rsid w:val="00A90729"/>
    <w:rsid w:val="00A907A2"/>
    <w:rsid w:val="00A907DA"/>
    <w:rsid w:val="00A9081C"/>
    <w:rsid w:val="00A90877"/>
    <w:rsid w:val="00A90936"/>
    <w:rsid w:val="00A90B10"/>
    <w:rsid w:val="00A90BD6"/>
    <w:rsid w:val="00A90CD2"/>
    <w:rsid w:val="00A90CEF"/>
    <w:rsid w:val="00A90CF6"/>
    <w:rsid w:val="00A90D65"/>
    <w:rsid w:val="00A90D86"/>
    <w:rsid w:val="00A90F0F"/>
    <w:rsid w:val="00A90F5B"/>
    <w:rsid w:val="00A910F8"/>
    <w:rsid w:val="00A912CA"/>
    <w:rsid w:val="00A9136C"/>
    <w:rsid w:val="00A91499"/>
    <w:rsid w:val="00A914B1"/>
    <w:rsid w:val="00A91598"/>
    <w:rsid w:val="00A915DC"/>
    <w:rsid w:val="00A915F3"/>
    <w:rsid w:val="00A917AF"/>
    <w:rsid w:val="00A918AD"/>
    <w:rsid w:val="00A919CE"/>
    <w:rsid w:val="00A91A5B"/>
    <w:rsid w:val="00A91AA2"/>
    <w:rsid w:val="00A91B02"/>
    <w:rsid w:val="00A91C08"/>
    <w:rsid w:val="00A91C9B"/>
    <w:rsid w:val="00A91DF3"/>
    <w:rsid w:val="00A91F20"/>
    <w:rsid w:val="00A91F96"/>
    <w:rsid w:val="00A9203D"/>
    <w:rsid w:val="00A920B1"/>
    <w:rsid w:val="00A9215C"/>
    <w:rsid w:val="00A9236A"/>
    <w:rsid w:val="00A92424"/>
    <w:rsid w:val="00A92562"/>
    <w:rsid w:val="00A925B9"/>
    <w:rsid w:val="00A9260B"/>
    <w:rsid w:val="00A926AE"/>
    <w:rsid w:val="00A927EC"/>
    <w:rsid w:val="00A929F1"/>
    <w:rsid w:val="00A92ACE"/>
    <w:rsid w:val="00A92AD5"/>
    <w:rsid w:val="00A92B1A"/>
    <w:rsid w:val="00A92BC9"/>
    <w:rsid w:val="00A92BEF"/>
    <w:rsid w:val="00A92DBF"/>
    <w:rsid w:val="00A92F22"/>
    <w:rsid w:val="00A92F40"/>
    <w:rsid w:val="00A93044"/>
    <w:rsid w:val="00A93052"/>
    <w:rsid w:val="00A930D1"/>
    <w:rsid w:val="00A931E0"/>
    <w:rsid w:val="00A9340D"/>
    <w:rsid w:val="00A9360F"/>
    <w:rsid w:val="00A936C3"/>
    <w:rsid w:val="00A93714"/>
    <w:rsid w:val="00A93885"/>
    <w:rsid w:val="00A938C9"/>
    <w:rsid w:val="00A93971"/>
    <w:rsid w:val="00A93B7E"/>
    <w:rsid w:val="00A93B81"/>
    <w:rsid w:val="00A93B8E"/>
    <w:rsid w:val="00A93BB5"/>
    <w:rsid w:val="00A93C8C"/>
    <w:rsid w:val="00A93EB7"/>
    <w:rsid w:val="00A940DE"/>
    <w:rsid w:val="00A9412B"/>
    <w:rsid w:val="00A9452B"/>
    <w:rsid w:val="00A94696"/>
    <w:rsid w:val="00A9479B"/>
    <w:rsid w:val="00A94A59"/>
    <w:rsid w:val="00A94BBF"/>
    <w:rsid w:val="00A94E3C"/>
    <w:rsid w:val="00A94E8B"/>
    <w:rsid w:val="00A94F45"/>
    <w:rsid w:val="00A950B5"/>
    <w:rsid w:val="00A950CA"/>
    <w:rsid w:val="00A95189"/>
    <w:rsid w:val="00A951A3"/>
    <w:rsid w:val="00A952D8"/>
    <w:rsid w:val="00A952E3"/>
    <w:rsid w:val="00A953E0"/>
    <w:rsid w:val="00A954A7"/>
    <w:rsid w:val="00A95631"/>
    <w:rsid w:val="00A9567B"/>
    <w:rsid w:val="00A956B4"/>
    <w:rsid w:val="00A958A4"/>
    <w:rsid w:val="00A95DC8"/>
    <w:rsid w:val="00A95DE8"/>
    <w:rsid w:val="00A95E53"/>
    <w:rsid w:val="00A96153"/>
    <w:rsid w:val="00A962AF"/>
    <w:rsid w:val="00A96368"/>
    <w:rsid w:val="00A963C6"/>
    <w:rsid w:val="00A9645B"/>
    <w:rsid w:val="00A965C7"/>
    <w:rsid w:val="00A967D3"/>
    <w:rsid w:val="00A9698E"/>
    <w:rsid w:val="00A96D91"/>
    <w:rsid w:val="00A970F6"/>
    <w:rsid w:val="00A971B1"/>
    <w:rsid w:val="00A971FD"/>
    <w:rsid w:val="00A97294"/>
    <w:rsid w:val="00A97362"/>
    <w:rsid w:val="00A9740B"/>
    <w:rsid w:val="00A97451"/>
    <w:rsid w:val="00A97497"/>
    <w:rsid w:val="00A97719"/>
    <w:rsid w:val="00A97A1D"/>
    <w:rsid w:val="00A97B00"/>
    <w:rsid w:val="00A97DE4"/>
    <w:rsid w:val="00AA004D"/>
    <w:rsid w:val="00AA0226"/>
    <w:rsid w:val="00AA02C9"/>
    <w:rsid w:val="00AA0356"/>
    <w:rsid w:val="00AA03CB"/>
    <w:rsid w:val="00AA0427"/>
    <w:rsid w:val="00AA047B"/>
    <w:rsid w:val="00AA04B6"/>
    <w:rsid w:val="00AA057F"/>
    <w:rsid w:val="00AA0614"/>
    <w:rsid w:val="00AA0670"/>
    <w:rsid w:val="00AA07FD"/>
    <w:rsid w:val="00AA0881"/>
    <w:rsid w:val="00AA0BC4"/>
    <w:rsid w:val="00AA0BE1"/>
    <w:rsid w:val="00AA0CD6"/>
    <w:rsid w:val="00AA0E3E"/>
    <w:rsid w:val="00AA0E71"/>
    <w:rsid w:val="00AA0FEF"/>
    <w:rsid w:val="00AA1071"/>
    <w:rsid w:val="00AA10C7"/>
    <w:rsid w:val="00AA11CB"/>
    <w:rsid w:val="00AA11F9"/>
    <w:rsid w:val="00AA1239"/>
    <w:rsid w:val="00AA12B0"/>
    <w:rsid w:val="00AA1399"/>
    <w:rsid w:val="00AA13B9"/>
    <w:rsid w:val="00AA140F"/>
    <w:rsid w:val="00AA158C"/>
    <w:rsid w:val="00AA1592"/>
    <w:rsid w:val="00AA160D"/>
    <w:rsid w:val="00AA1756"/>
    <w:rsid w:val="00AA187B"/>
    <w:rsid w:val="00AA18A3"/>
    <w:rsid w:val="00AA18C0"/>
    <w:rsid w:val="00AA1C62"/>
    <w:rsid w:val="00AA1DBB"/>
    <w:rsid w:val="00AA1E12"/>
    <w:rsid w:val="00AA1EA2"/>
    <w:rsid w:val="00AA1ED2"/>
    <w:rsid w:val="00AA2048"/>
    <w:rsid w:val="00AA211E"/>
    <w:rsid w:val="00AA217B"/>
    <w:rsid w:val="00AA21A1"/>
    <w:rsid w:val="00AA226B"/>
    <w:rsid w:val="00AA22FB"/>
    <w:rsid w:val="00AA2324"/>
    <w:rsid w:val="00AA2451"/>
    <w:rsid w:val="00AA247D"/>
    <w:rsid w:val="00AA261B"/>
    <w:rsid w:val="00AA261D"/>
    <w:rsid w:val="00AA2620"/>
    <w:rsid w:val="00AA278D"/>
    <w:rsid w:val="00AA2A21"/>
    <w:rsid w:val="00AA2A41"/>
    <w:rsid w:val="00AA2A4B"/>
    <w:rsid w:val="00AA2A4C"/>
    <w:rsid w:val="00AA2C1E"/>
    <w:rsid w:val="00AA2DC3"/>
    <w:rsid w:val="00AA2F2F"/>
    <w:rsid w:val="00AA311F"/>
    <w:rsid w:val="00AA3163"/>
    <w:rsid w:val="00AA3346"/>
    <w:rsid w:val="00AA3385"/>
    <w:rsid w:val="00AA3515"/>
    <w:rsid w:val="00AA3568"/>
    <w:rsid w:val="00AA35E6"/>
    <w:rsid w:val="00AA3619"/>
    <w:rsid w:val="00AA37DF"/>
    <w:rsid w:val="00AA3804"/>
    <w:rsid w:val="00AA3A55"/>
    <w:rsid w:val="00AA3C65"/>
    <w:rsid w:val="00AA3ED5"/>
    <w:rsid w:val="00AA3F83"/>
    <w:rsid w:val="00AA3FCD"/>
    <w:rsid w:val="00AA4063"/>
    <w:rsid w:val="00AA42A0"/>
    <w:rsid w:val="00AA42DF"/>
    <w:rsid w:val="00AA430B"/>
    <w:rsid w:val="00AA4374"/>
    <w:rsid w:val="00AA4445"/>
    <w:rsid w:val="00AA450A"/>
    <w:rsid w:val="00AA4730"/>
    <w:rsid w:val="00AA479C"/>
    <w:rsid w:val="00AA47D7"/>
    <w:rsid w:val="00AA4883"/>
    <w:rsid w:val="00AA4920"/>
    <w:rsid w:val="00AA4970"/>
    <w:rsid w:val="00AA49D2"/>
    <w:rsid w:val="00AA4A4D"/>
    <w:rsid w:val="00AA4A51"/>
    <w:rsid w:val="00AA4B07"/>
    <w:rsid w:val="00AA4B24"/>
    <w:rsid w:val="00AA4CC9"/>
    <w:rsid w:val="00AA4D31"/>
    <w:rsid w:val="00AA4DC1"/>
    <w:rsid w:val="00AA4DEE"/>
    <w:rsid w:val="00AA4E11"/>
    <w:rsid w:val="00AA4E88"/>
    <w:rsid w:val="00AA4EDD"/>
    <w:rsid w:val="00AA509E"/>
    <w:rsid w:val="00AA50FB"/>
    <w:rsid w:val="00AA519D"/>
    <w:rsid w:val="00AA51F5"/>
    <w:rsid w:val="00AA5250"/>
    <w:rsid w:val="00AA52DF"/>
    <w:rsid w:val="00AA53B2"/>
    <w:rsid w:val="00AA53D0"/>
    <w:rsid w:val="00AA5544"/>
    <w:rsid w:val="00AA556F"/>
    <w:rsid w:val="00AA577D"/>
    <w:rsid w:val="00AA5801"/>
    <w:rsid w:val="00AA596A"/>
    <w:rsid w:val="00AA5A13"/>
    <w:rsid w:val="00AA5A6A"/>
    <w:rsid w:val="00AA5B89"/>
    <w:rsid w:val="00AA5BA4"/>
    <w:rsid w:val="00AA5CEC"/>
    <w:rsid w:val="00AA5E5C"/>
    <w:rsid w:val="00AA5F73"/>
    <w:rsid w:val="00AA61A0"/>
    <w:rsid w:val="00AA61B2"/>
    <w:rsid w:val="00AA6308"/>
    <w:rsid w:val="00AA648D"/>
    <w:rsid w:val="00AA651D"/>
    <w:rsid w:val="00AA65A0"/>
    <w:rsid w:val="00AA65B0"/>
    <w:rsid w:val="00AA662C"/>
    <w:rsid w:val="00AA67FD"/>
    <w:rsid w:val="00AA6961"/>
    <w:rsid w:val="00AA6A84"/>
    <w:rsid w:val="00AA6AEB"/>
    <w:rsid w:val="00AA6C94"/>
    <w:rsid w:val="00AA6ECF"/>
    <w:rsid w:val="00AA6F68"/>
    <w:rsid w:val="00AA6FAB"/>
    <w:rsid w:val="00AA6FF2"/>
    <w:rsid w:val="00AA70C8"/>
    <w:rsid w:val="00AA70D3"/>
    <w:rsid w:val="00AA7305"/>
    <w:rsid w:val="00AA73C6"/>
    <w:rsid w:val="00AA7412"/>
    <w:rsid w:val="00AA7538"/>
    <w:rsid w:val="00AA7583"/>
    <w:rsid w:val="00AA75F7"/>
    <w:rsid w:val="00AA7626"/>
    <w:rsid w:val="00AA76C9"/>
    <w:rsid w:val="00AA7703"/>
    <w:rsid w:val="00AA7749"/>
    <w:rsid w:val="00AA7862"/>
    <w:rsid w:val="00AA79D1"/>
    <w:rsid w:val="00AA7AD3"/>
    <w:rsid w:val="00AA7BAC"/>
    <w:rsid w:val="00AA7C5C"/>
    <w:rsid w:val="00AA7C77"/>
    <w:rsid w:val="00AA7DAE"/>
    <w:rsid w:val="00AA7E0F"/>
    <w:rsid w:val="00AA7EFB"/>
    <w:rsid w:val="00AB002F"/>
    <w:rsid w:val="00AB00AA"/>
    <w:rsid w:val="00AB0121"/>
    <w:rsid w:val="00AB0196"/>
    <w:rsid w:val="00AB0395"/>
    <w:rsid w:val="00AB03B7"/>
    <w:rsid w:val="00AB047F"/>
    <w:rsid w:val="00AB04CD"/>
    <w:rsid w:val="00AB0512"/>
    <w:rsid w:val="00AB0BFD"/>
    <w:rsid w:val="00AB0D4A"/>
    <w:rsid w:val="00AB0E78"/>
    <w:rsid w:val="00AB0F5D"/>
    <w:rsid w:val="00AB1109"/>
    <w:rsid w:val="00AB1117"/>
    <w:rsid w:val="00AB11A2"/>
    <w:rsid w:val="00AB1341"/>
    <w:rsid w:val="00AB143C"/>
    <w:rsid w:val="00AB160B"/>
    <w:rsid w:val="00AB170F"/>
    <w:rsid w:val="00AB1879"/>
    <w:rsid w:val="00AB1882"/>
    <w:rsid w:val="00AB1984"/>
    <w:rsid w:val="00AB19E4"/>
    <w:rsid w:val="00AB19FA"/>
    <w:rsid w:val="00AB1A29"/>
    <w:rsid w:val="00AB1AC4"/>
    <w:rsid w:val="00AB1B65"/>
    <w:rsid w:val="00AB1EFF"/>
    <w:rsid w:val="00AB1F7A"/>
    <w:rsid w:val="00AB2171"/>
    <w:rsid w:val="00AB21D6"/>
    <w:rsid w:val="00AB2262"/>
    <w:rsid w:val="00AB22F7"/>
    <w:rsid w:val="00AB270D"/>
    <w:rsid w:val="00AB2795"/>
    <w:rsid w:val="00AB27D5"/>
    <w:rsid w:val="00AB2814"/>
    <w:rsid w:val="00AB28D0"/>
    <w:rsid w:val="00AB28F9"/>
    <w:rsid w:val="00AB2968"/>
    <w:rsid w:val="00AB2B17"/>
    <w:rsid w:val="00AB2BA4"/>
    <w:rsid w:val="00AB2DF1"/>
    <w:rsid w:val="00AB2EA0"/>
    <w:rsid w:val="00AB2F3E"/>
    <w:rsid w:val="00AB3013"/>
    <w:rsid w:val="00AB3039"/>
    <w:rsid w:val="00AB304C"/>
    <w:rsid w:val="00AB321E"/>
    <w:rsid w:val="00AB3271"/>
    <w:rsid w:val="00AB3559"/>
    <w:rsid w:val="00AB3601"/>
    <w:rsid w:val="00AB360B"/>
    <w:rsid w:val="00AB36A4"/>
    <w:rsid w:val="00AB385E"/>
    <w:rsid w:val="00AB3B0B"/>
    <w:rsid w:val="00AB3BDE"/>
    <w:rsid w:val="00AB3CD6"/>
    <w:rsid w:val="00AB3CDA"/>
    <w:rsid w:val="00AB3D13"/>
    <w:rsid w:val="00AB3D46"/>
    <w:rsid w:val="00AB3E32"/>
    <w:rsid w:val="00AB3EBD"/>
    <w:rsid w:val="00AB4067"/>
    <w:rsid w:val="00AB41FA"/>
    <w:rsid w:val="00AB4301"/>
    <w:rsid w:val="00AB43BB"/>
    <w:rsid w:val="00AB4458"/>
    <w:rsid w:val="00AB46F5"/>
    <w:rsid w:val="00AB4768"/>
    <w:rsid w:val="00AB48C7"/>
    <w:rsid w:val="00AB4AD9"/>
    <w:rsid w:val="00AB4AE6"/>
    <w:rsid w:val="00AB4D3D"/>
    <w:rsid w:val="00AB4F59"/>
    <w:rsid w:val="00AB4FBF"/>
    <w:rsid w:val="00AB4FFE"/>
    <w:rsid w:val="00AB50B6"/>
    <w:rsid w:val="00AB518B"/>
    <w:rsid w:val="00AB5275"/>
    <w:rsid w:val="00AB53D0"/>
    <w:rsid w:val="00AB5502"/>
    <w:rsid w:val="00AB56CB"/>
    <w:rsid w:val="00AB5755"/>
    <w:rsid w:val="00AB5861"/>
    <w:rsid w:val="00AB5929"/>
    <w:rsid w:val="00AB5963"/>
    <w:rsid w:val="00AB5A25"/>
    <w:rsid w:val="00AB5A48"/>
    <w:rsid w:val="00AB5A4B"/>
    <w:rsid w:val="00AB5A9E"/>
    <w:rsid w:val="00AB5AC4"/>
    <w:rsid w:val="00AB5AE9"/>
    <w:rsid w:val="00AB5C03"/>
    <w:rsid w:val="00AB5CD4"/>
    <w:rsid w:val="00AB5F87"/>
    <w:rsid w:val="00AB6078"/>
    <w:rsid w:val="00AB60C1"/>
    <w:rsid w:val="00AB6102"/>
    <w:rsid w:val="00AB610E"/>
    <w:rsid w:val="00AB611E"/>
    <w:rsid w:val="00AB6183"/>
    <w:rsid w:val="00AB6336"/>
    <w:rsid w:val="00AB640E"/>
    <w:rsid w:val="00AB640F"/>
    <w:rsid w:val="00AB660F"/>
    <w:rsid w:val="00AB6797"/>
    <w:rsid w:val="00AB686B"/>
    <w:rsid w:val="00AB68CA"/>
    <w:rsid w:val="00AB6ADA"/>
    <w:rsid w:val="00AB6C6F"/>
    <w:rsid w:val="00AB6E51"/>
    <w:rsid w:val="00AB6F30"/>
    <w:rsid w:val="00AB6F87"/>
    <w:rsid w:val="00AB6FA2"/>
    <w:rsid w:val="00AB7131"/>
    <w:rsid w:val="00AB71DE"/>
    <w:rsid w:val="00AB7354"/>
    <w:rsid w:val="00AB7407"/>
    <w:rsid w:val="00AB7495"/>
    <w:rsid w:val="00AB74BE"/>
    <w:rsid w:val="00AB74C7"/>
    <w:rsid w:val="00AB7554"/>
    <w:rsid w:val="00AB759C"/>
    <w:rsid w:val="00AB7801"/>
    <w:rsid w:val="00AB7875"/>
    <w:rsid w:val="00AB7904"/>
    <w:rsid w:val="00AB7930"/>
    <w:rsid w:val="00AB7B01"/>
    <w:rsid w:val="00AB7CA0"/>
    <w:rsid w:val="00AB7CB8"/>
    <w:rsid w:val="00AB7E5C"/>
    <w:rsid w:val="00AB7F25"/>
    <w:rsid w:val="00ABDF6D"/>
    <w:rsid w:val="00AC00FB"/>
    <w:rsid w:val="00AC0164"/>
    <w:rsid w:val="00AC0233"/>
    <w:rsid w:val="00AC040A"/>
    <w:rsid w:val="00AC04E9"/>
    <w:rsid w:val="00AC05E8"/>
    <w:rsid w:val="00AC05FE"/>
    <w:rsid w:val="00AC0617"/>
    <w:rsid w:val="00AC07A7"/>
    <w:rsid w:val="00AC07D5"/>
    <w:rsid w:val="00AC07DE"/>
    <w:rsid w:val="00AC0850"/>
    <w:rsid w:val="00AC0902"/>
    <w:rsid w:val="00AC0AAD"/>
    <w:rsid w:val="00AC0B9F"/>
    <w:rsid w:val="00AC0BC9"/>
    <w:rsid w:val="00AC0BFF"/>
    <w:rsid w:val="00AC0C2A"/>
    <w:rsid w:val="00AC0DB9"/>
    <w:rsid w:val="00AC0DD5"/>
    <w:rsid w:val="00AC0E3A"/>
    <w:rsid w:val="00AC1060"/>
    <w:rsid w:val="00AC1282"/>
    <w:rsid w:val="00AC130B"/>
    <w:rsid w:val="00AC13B4"/>
    <w:rsid w:val="00AC1400"/>
    <w:rsid w:val="00AC1450"/>
    <w:rsid w:val="00AC155E"/>
    <w:rsid w:val="00AC17E2"/>
    <w:rsid w:val="00AC17FB"/>
    <w:rsid w:val="00AC197B"/>
    <w:rsid w:val="00AC1A38"/>
    <w:rsid w:val="00AC1B04"/>
    <w:rsid w:val="00AC1D68"/>
    <w:rsid w:val="00AC1DDB"/>
    <w:rsid w:val="00AC1EBD"/>
    <w:rsid w:val="00AC1F08"/>
    <w:rsid w:val="00AC1F1D"/>
    <w:rsid w:val="00AC1FE9"/>
    <w:rsid w:val="00AC20E7"/>
    <w:rsid w:val="00AC2298"/>
    <w:rsid w:val="00AC230A"/>
    <w:rsid w:val="00AC2443"/>
    <w:rsid w:val="00AC245F"/>
    <w:rsid w:val="00AC24EE"/>
    <w:rsid w:val="00AC25A9"/>
    <w:rsid w:val="00AC27AB"/>
    <w:rsid w:val="00AC2809"/>
    <w:rsid w:val="00AC2989"/>
    <w:rsid w:val="00AC298D"/>
    <w:rsid w:val="00AC29B3"/>
    <w:rsid w:val="00AC2A39"/>
    <w:rsid w:val="00AC2A7F"/>
    <w:rsid w:val="00AC2C7A"/>
    <w:rsid w:val="00AC2DAC"/>
    <w:rsid w:val="00AC2DFB"/>
    <w:rsid w:val="00AC2E7B"/>
    <w:rsid w:val="00AC2F47"/>
    <w:rsid w:val="00AC314D"/>
    <w:rsid w:val="00AC31F7"/>
    <w:rsid w:val="00AC329E"/>
    <w:rsid w:val="00AC33DA"/>
    <w:rsid w:val="00AC34AD"/>
    <w:rsid w:val="00AC3567"/>
    <w:rsid w:val="00AC3646"/>
    <w:rsid w:val="00AC3662"/>
    <w:rsid w:val="00AC374A"/>
    <w:rsid w:val="00AC387F"/>
    <w:rsid w:val="00AC39CE"/>
    <w:rsid w:val="00AC3A40"/>
    <w:rsid w:val="00AC3A75"/>
    <w:rsid w:val="00AC3BD4"/>
    <w:rsid w:val="00AC3D90"/>
    <w:rsid w:val="00AC3E2E"/>
    <w:rsid w:val="00AC3E6D"/>
    <w:rsid w:val="00AC3E76"/>
    <w:rsid w:val="00AC3F33"/>
    <w:rsid w:val="00AC3F42"/>
    <w:rsid w:val="00AC4102"/>
    <w:rsid w:val="00AC416E"/>
    <w:rsid w:val="00AC4247"/>
    <w:rsid w:val="00AC4248"/>
    <w:rsid w:val="00AC4263"/>
    <w:rsid w:val="00AC4354"/>
    <w:rsid w:val="00AC4609"/>
    <w:rsid w:val="00AC46D7"/>
    <w:rsid w:val="00AC4886"/>
    <w:rsid w:val="00AC48AF"/>
    <w:rsid w:val="00AC48F3"/>
    <w:rsid w:val="00AC498A"/>
    <w:rsid w:val="00AC4A5F"/>
    <w:rsid w:val="00AC4D79"/>
    <w:rsid w:val="00AC4DEE"/>
    <w:rsid w:val="00AC4E7F"/>
    <w:rsid w:val="00AC4FA4"/>
    <w:rsid w:val="00AC4FBA"/>
    <w:rsid w:val="00AC508F"/>
    <w:rsid w:val="00AC5141"/>
    <w:rsid w:val="00AC514C"/>
    <w:rsid w:val="00AC531A"/>
    <w:rsid w:val="00AC5325"/>
    <w:rsid w:val="00AC532F"/>
    <w:rsid w:val="00AC5642"/>
    <w:rsid w:val="00AC56C1"/>
    <w:rsid w:val="00AC573E"/>
    <w:rsid w:val="00AC58AF"/>
    <w:rsid w:val="00AC5980"/>
    <w:rsid w:val="00AC5A63"/>
    <w:rsid w:val="00AC5A64"/>
    <w:rsid w:val="00AC5A6E"/>
    <w:rsid w:val="00AC5B5D"/>
    <w:rsid w:val="00AC5BE8"/>
    <w:rsid w:val="00AC5C18"/>
    <w:rsid w:val="00AC5E48"/>
    <w:rsid w:val="00AC5EAD"/>
    <w:rsid w:val="00AC5F41"/>
    <w:rsid w:val="00AC61CE"/>
    <w:rsid w:val="00AC6341"/>
    <w:rsid w:val="00AC6403"/>
    <w:rsid w:val="00AC640A"/>
    <w:rsid w:val="00AC6450"/>
    <w:rsid w:val="00AC651C"/>
    <w:rsid w:val="00AC6605"/>
    <w:rsid w:val="00AC66BC"/>
    <w:rsid w:val="00AC68D6"/>
    <w:rsid w:val="00AC68EE"/>
    <w:rsid w:val="00AC69BB"/>
    <w:rsid w:val="00AC6A1E"/>
    <w:rsid w:val="00AC6C3E"/>
    <w:rsid w:val="00AC6C97"/>
    <w:rsid w:val="00AC6CD7"/>
    <w:rsid w:val="00AC6CFE"/>
    <w:rsid w:val="00AC6EE9"/>
    <w:rsid w:val="00AC6FAE"/>
    <w:rsid w:val="00AC70F5"/>
    <w:rsid w:val="00AC71EF"/>
    <w:rsid w:val="00AC71F8"/>
    <w:rsid w:val="00AC743A"/>
    <w:rsid w:val="00AC769C"/>
    <w:rsid w:val="00AC7879"/>
    <w:rsid w:val="00AC78DC"/>
    <w:rsid w:val="00AC79A8"/>
    <w:rsid w:val="00AC7BEC"/>
    <w:rsid w:val="00AC7C7D"/>
    <w:rsid w:val="00AC7D27"/>
    <w:rsid w:val="00AC7EED"/>
    <w:rsid w:val="00AC7EFB"/>
    <w:rsid w:val="00AC7FD3"/>
    <w:rsid w:val="00AC7FD5"/>
    <w:rsid w:val="00ACA9CD"/>
    <w:rsid w:val="00AD0029"/>
    <w:rsid w:val="00AD0068"/>
    <w:rsid w:val="00AD021B"/>
    <w:rsid w:val="00AD041E"/>
    <w:rsid w:val="00AD074B"/>
    <w:rsid w:val="00AD094B"/>
    <w:rsid w:val="00AD095E"/>
    <w:rsid w:val="00AD09BD"/>
    <w:rsid w:val="00AD0BE0"/>
    <w:rsid w:val="00AD0BF1"/>
    <w:rsid w:val="00AD0EA2"/>
    <w:rsid w:val="00AD0F96"/>
    <w:rsid w:val="00AD1007"/>
    <w:rsid w:val="00AD113B"/>
    <w:rsid w:val="00AD11D7"/>
    <w:rsid w:val="00AD1381"/>
    <w:rsid w:val="00AD181C"/>
    <w:rsid w:val="00AD1989"/>
    <w:rsid w:val="00AD198E"/>
    <w:rsid w:val="00AD1A12"/>
    <w:rsid w:val="00AD1C43"/>
    <w:rsid w:val="00AD2291"/>
    <w:rsid w:val="00AD22A4"/>
    <w:rsid w:val="00AD22B9"/>
    <w:rsid w:val="00AD253F"/>
    <w:rsid w:val="00AD285B"/>
    <w:rsid w:val="00AD29EC"/>
    <w:rsid w:val="00AD2A82"/>
    <w:rsid w:val="00AD2AB8"/>
    <w:rsid w:val="00AD2B5A"/>
    <w:rsid w:val="00AD2C73"/>
    <w:rsid w:val="00AD2D17"/>
    <w:rsid w:val="00AD2D8F"/>
    <w:rsid w:val="00AD2DE8"/>
    <w:rsid w:val="00AD2F02"/>
    <w:rsid w:val="00AD2F23"/>
    <w:rsid w:val="00AD2F9D"/>
    <w:rsid w:val="00AD2FB7"/>
    <w:rsid w:val="00AD31B5"/>
    <w:rsid w:val="00AD3450"/>
    <w:rsid w:val="00AD34EF"/>
    <w:rsid w:val="00AD36BC"/>
    <w:rsid w:val="00AD3716"/>
    <w:rsid w:val="00AD3998"/>
    <w:rsid w:val="00AD39C6"/>
    <w:rsid w:val="00AD3B2D"/>
    <w:rsid w:val="00AD3BB2"/>
    <w:rsid w:val="00AD3BDE"/>
    <w:rsid w:val="00AD3CC7"/>
    <w:rsid w:val="00AD3CEF"/>
    <w:rsid w:val="00AD3D8B"/>
    <w:rsid w:val="00AD3E9B"/>
    <w:rsid w:val="00AD400A"/>
    <w:rsid w:val="00AD4022"/>
    <w:rsid w:val="00AD40F4"/>
    <w:rsid w:val="00AD42C9"/>
    <w:rsid w:val="00AD432F"/>
    <w:rsid w:val="00AD44F3"/>
    <w:rsid w:val="00AD45D9"/>
    <w:rsid w:val="00AD46E4"/>
    <w:rsid w:val="00AD4999"/>
    <w:rsid w:val="00AD4A63"/>
    <w:rsid w:val="00AD4ACD"/>
    <w:rsid w:val="00AD4C3C"/>
    <w:rsid w:val="00AD4C43"/>
    <w:rsid w:val="00AD4E0B"/>
    <w:rsid w:val="00AD4E42"/>
    <w:rsid w:val="00AD4E4F"/>
    <w:rsid w:val="00AD506F"/>
    <w:rsid w:val="00AD5139"/>
    <w:rsid w:val="00AD520D"/>
    <w:rsid w:val="00AD521C"/>
    <w:rsid w:val="00AD5479"/>
    <w:rsid w:val="00AD54B7"/>
    <w:rsid w:val="00AD5678"/>
    <w:rsid w:val="00AD5975"/>
    <w:rsid w:val="00AD5A41"/>
    <w:rsid w:val="00AD5B4B"/>
    <w:rsid w:val="00AD5C70"/>
    <w:rsid w:val="00AD5CEF"/>
    <w:rsid w:val="00AD5DF6"/>
    <w:rsid w:val="00AD5F83"/>
    <w:rsid w:val="00AD60B6"/>
    <w:rsid w:val="00AD60BA"/>
    <w:rsid w:val="00AD6344"/>
    <w:rsid w:val="00AD634A"/>
    <w:rsid w:val="00AD675F"/>
    <w:rsid w:val="00AD6A82"/>
    <w:rsid w:val="00AD6AFF"/>
    <w:rsid w:val="00AD6BB2"/>
    <w:rsid w:val="00AD6C06"/>
    <w:rsid w:val="00AD6C7F"/>
    <w:rsid w:val="00AD6DCD"/>
    <w:rsid w:val="00AD6E0D"/>
    <w:rsid w:val="00AD6E51"/>
    <w:rsid w:val="00AD70CD"/>
    <w:rsid w:val="00AD72A3"/>
    <w:rsid w:val="00AD72A7"/>
    <w:rsid w:val="00AD7304"/>
    <w:rsid w:val="00AD74A1"/>
    <w:rsid w:val="00AD762A"/>
    <w:rsid w:val="00AD77F0"/>
    <w:rsid w:val="00AD797B"/>
    <w:rsid w:val="00AD799C"/>
    <w:rsid w:val="00AD7A70"/>
    <w:rsid w:val="00AD7B00"/>
    <w:rsid w:val="00AD7B42"/>
    <w:rsid w:val="00AD7CF3"/>
    <w:rsid w:val="00AD7EB9"/>
    <w:rsid w:val="00AE0026"/>
    <w:rsid w:val="00AE006C"/>
    <w:rsid w:val="00AE008A"/>
    <w:rsid w:val="00AE0091"/>
    <w:rsid w:val="00AE0359"/>
    <w:rsid w:val="00AE03DF"/>
    <w:rsid w:val="00AE0408"/>
    <w:rsid w:val="00AE047F"/>
    <w:rsid w:val="00AE04FF"/>
    <w:rsid w:val="00AE050D"/>
    <w:rsid w:val="00AE061D"/>
    <w:rsid w:val="00AE0715"/>
    <w:rsid w:val="00AE0802"/>
    <w:rsid w:val="00AE0918"/>
    <w:rsid w:val="00AE0ACB"/>
    <w:rsid w:val="00AE0AD9"/>
    <w:rsid w:val="00AE0BD6"/>
    <w:rsid w:val="00AE0BF2"/>
    <w:rsid w:val="00AE0CFF"/>
    <w:rsid w:val="00AE0D4B"/>
    <w:rsid w:val="00AE0D9E"/>
    <w:rsid w:val="00AE0DE7"/>
    <w:rsid w:val="00AE0EC1"/>
    <w:rsid w:val="00AE0EF5"/>
    <w:rsid w:val="00AE0F8C"/>
    <w:rsid w:val="00AE1097"/>
    <w:rsid w:val="00AE12E7"/>
    <w:rsid w:val="00AE144F"/>
    <w:rsid w:val="00AE14B9"/>
    <w:rsid w:val="00AE15E0"/>
    <w:rsid w:val="00AE1696"/>
    <w:rsid w:val="00AE16A9"/>
    <w:rsid w:val="00AE1813"/>
    <w:rsid w:val="00AE18AB"/>
    <w:rsid w:val="00AE18C2"/>
    <w:rsid w:val="00AE1947"/>
    <w:rsid w:val="00AE1A70"/>
    <w:rsid w:val="00AE1A93"/>
    <w:rsid w:val="00AE1B02"/>
    <w:rsid w:val="00AE1B5B"/>
    <w:rsid w:val="00AE1B92"/>
    <w:rsid w:val="00AE1C46"/>
    <w:rsid w:val="00AE1CFE"/>
    <w:rsid w:val="00AE1D0E"/>
    <w:rsid w:val="00AE1D6C"/>
    <w:rsid w:val="00AE1F12"/>
    <w:rsid w:val="00AE200E"/>
    <w:rsid w:val="00AE20A9"/>
    <w:rsid w:val="00AE2125"/>
    <w:rsid w:val="00AE21A0"/>
    <w:rsid w:val="00AE22EE"/>
    <w:rsid w:val="00AE234B"/>
    <w:rsid w:val="00AE2410"/>
    <w:rsid w:val="00AE24C1"/>
    <w:rsid w:val="00AE26A8"/>
    <w:rsid w:val="00AE272A"/>
    <w:rsid w:val="00AE2776"/>
    <w:rsid w:val="00AE27C1"/>
    <w:rsid w:val="00AE2829"/>
    <w:rsid w:val="00AE2883"/>
    <w:rsid w:val="00AE28A0"/>
    <w:rsid w:val="00AE2990"/>
    <w:rsid w:val="00AE29AF"/>
    <w:rsid w:val="00AE2A31"/>
    <w:rsid w:val="00AE2A84"/>
    <w:rsid w:val="00AE2A8E"/>
    <w:rsid w:val="00AE2C23"/>
    <w:rsid w:val="00AE2D91"/>
    <w:rsid w:val="00AE2DB1"/>
    <w:rsid w:val="00AE2FB5"/>
    <w:rsid w:val="00AE2FC3"/>
    <w:rsid w:val="00AE30E1"/>
    <w:rsid w:val="00AE33F8"/>
    <w:rsid w:val="00AE3591"/>
    <w:rsid w:val="00AE35BD"/>
    <w:rsid w:val="00AE3672"/>
    <w:rsid w:val="00AE375F"/>
    <w:rsid w:val="00AE3A95"/>
    <w:rsid w:val="00AE3B43"/>
    <w:rsid w:val="00AE3B69"/>
    <w:rsid w:val="00AE3B80"/>
    <w:rsid w:val="00AE3BA5"/>
    <w:rsid w:val="00AE3C74"/>
    <w:rsid w:val="00AE3CC2"/>
    <w:rsid w:val="00AE3E27"/>
    <w:rsid w:val="00AE3EC2"/>
    <w:rsid w:val="00AE3F10"/>
    <w:rsid w:val="00AE3FD5"/>
    <w:rsid w:val="00AE4108"/>
    <w:rsid w:val="00AE41F5"/>
    <w:rsid w:val="00AE437E"/>
    <w:rsid w:val="00AE4450"/>
    <w:rsid w:val="00AE4519"/>
    <w:rsid w:val="00AE45BD"/>
    <w:rsid w:val="00AE46AC"/>
    <w:rsid w:val="00AE46DE"/>
    <w:rsid w:val="00AE478C"/>
    <w:rsid w:val="00AE49EA"/>
    <w:rsid w:val="00AE4A3E"/>
    <w:rsid w:val="00AE4CF6"/>
    <w:rsid w:val="00AE4DA2"/>
    <w:rsid w:val="00AE4E24"/>
    <w:rsid w:val="00AE4E79"/>
    <w:rsid w:val="00AE4F20"/>
    <w:rsid w:val="00AE4FDF"/>
    <w:rsid w:val="00AE521E"/>
    <w:rsid w:val="00AE573F"/>
    <w:rsid w:val="00AE57FC"/>
    <w:rsid w:val="00AE5A0D"/>
    <w:rsid w:val="00AE5A6E"/>
    <w:rsid w:val="00AE5B89"/>
    <w:rsid w:val="00AE5D64"/>
    <w:rsid w:val="00AE5EA3"/>
    <w:rsid w:val="00AE5FDB"/>
    <w:rsid w:val="00AE5FFB"/>
    <w:rsid w:val="00AE6011"/>
    <w:rsid w:val="00AE6310"/>
    <w:rsid w:val="00AE64B4"/>
    <w:rsid w:val="00AE64BA"/>
    <w:rsid w:val="00AE65A0"/>
    <w:rsid w:val="00AE65DF"/>
    <w:rsid w:val="00AE66A1"/>
    <w:rsid w:val="00AE680E"/>
    <w:rsid w:val="00AE69D0"/>
    <w:rsid w:val="00AE6A5F"/>
    <w:rsid w:val="00AE6C5C"/>
    <w:rsid w:val="00AE6D2C"/>
    <w:rsid w:val="00AE6DC7"/>
    <w:rsid w:val="00AE7030"/>
    <w:rsid w:val="00AE7087"/>
    <w:rsid w:val="00AE70CE"/>
    <w:rsid w:val="00AE71CA"/>
    <w:rsid w:val="00AE7202"/>
    <w:rsid w:val="00AE72F7"/>
    <w:rsid w:val="00AE737D"/>
    <w:rsid w:val="00AE73E5"/>
    <w:rsid w:val="00AE7546"/>
    <w:rsid w:val="00AE773A"/>
    <w:rsid w:val="00AE77AB"/>
    <w:rsid w:val="00AE7866"/>
    <w:rsid w:val="00AEEAE8"/>
    <w:rsid w:val="00AF0075"/>
    <w:rsid w:val="00AF01B7"/>
    <w:rsid w:val="00AF031A"/>
    <w:rsid w:val="00AF033D"/>
    <w:rsid w:val="00AF0464"/>
    <w:rsid w:val="00AF0469"/>
    <w:rsid w:val="00AF0594"/>
    <w:rsid w:val="00AF06F2"/>
    <w:rsid w:val="00AF073A"/>
    <w:rsid w:val="00AF080A"/>
    <w:rsid w:val="00AF0860"/>
    <w:rsid w:val="00AF08A7"/>
    <w:rsid w:val="00AF0962"/>
    <w:rsid w:val="00AF0A42"/>
    <w:rsid w:val="00AF0B31"/>
    <w:rsid w:val="00AF0BDA"/>
    <w:rsid w:val="00AF0C1D"/>
    <w:rsid w:val="00AF0FED"/>
    <w:rsid w:val="00AF1059"/>
    <w:rsid w:val="00AF10BC"/>
    <w:rsid w:val="00AF10E7"/>
    <w:rsid w:val="00AF1209"/>
    <w:rsid w:val="00AF1672"/>
    <w:rsid w:val="00AF17AA"/>
    <w:rsid w:val="00AF1883"/>
    <w:rsid w:val="00AF1C1E"/>
    <w:rsid w:val="00AF1C3D"/>
    <w:rsid w:val="00AF1C7C"/>
    <w:rsid w:val="00AF1CF4"/>
    <w:rsid w:val="00AF1CFB"/>
    <w:rsid w:val="00AF1D39"/>
    <w:rsid w:val="00AF1DA8"/>
    <w:rsid w:val="00AF1F0E"/>
    <w:rsid w:val="00AF1F67"/>
    <w:rsid w:val="00AF2211"/>
    <w:rsid w:val="00AF2280"/>
    <w:rsid w:val="00AF2318"/>
    <w:rsid w:val="00AF2660"/>
    <w:rsid w:val="00AF2677"/>
    <w:rsid w:val="00AF2740"/>
    <w:rsid w:val="00AF27D8"/>
    <w:rsid w:val="00AF27E4"/>
    <w:rsid w:val="00AF28C2"/>
    <w:rsid w:val="00AF2974"/>
    <w:rsid w:val="00AF299A"/>
    <w:rsid w:val="00AF2AFC"/>
    <w:rsid w:val="00AF2F01"/>
    <w:rsid w:val="00AF2F85"/>
    <w:rsid w:val="00AF2F95"/>
    <w:rsid w:val="00AF3297"/>
    <w:rsid w:val="00AF34B6"/>
    <w:rsid w:val="00AF35C2"/>
    <w:rsid w:val="00AF362B"/>
    <w:rsid w:val="00AF366B"/>
    <w:rsid w:val="00AF3775"/>
    <w:rsid w:val="00AF37E6"/>
    <w:rsid w:val="00AF3849"/>
    <w:rsid w:val="00AF38CE"/>
    <w:rsid w:val="00AF395E"/>
    <w:rsid w:val="00AF39B8"/>
    <w:rsid w:val="00AF39E9"/>
    <w:rsid w:val="00AF3AEC"/>
    <w:rsid w:val="00AF3B72"/>
    <w:rsid w:val="00AF3C1D"/>
    <w:rsid w:val="00AF3C5C"/>
    <w:rsid w:val="00AF3CF6"/>
    <w:rsid w:val="00AF3D71"/>
    <w:rsid w:val="00AF3DE4"/>
    <w:rsid w:val="00AF3DF6"/>
    <w:rsid w:val="00AF3E16"/>
    <w:rsid w:val="00AF3E7D"/>
    <w:rsid w:val="00AF3E88"/>
    <w:rsid w:val="00AF3F01"/>
    <w:rsid w:val="00AF4057"/>
    <w:rsid w:val="00AF4081"/>
    <w:rsid w:val="00AF4088"/>
    <w:rsid w:val="00AF4258"/>
    <w:rsid w:val="00AF43E3"/>
    <w:rsid w:val="00AF44AE"/>
    <w:rsid w:val="00AF450F"/>
    <w:rsid w:val="00AF47C3"/>
    <w:rsid w:val="00AF492D"/>
    <w:rsid w:val="00AF49B1"/>
    <w:rsid w:val="00AF4A6F"/>
    <w:rsid w:val="00AF4AE3"/>
    <w:rsid w:val="00AF4B55"/>
    <w:rsid w:val="00AF4C6B"/>
    <w:rsid w:val="00AF4CF7"/>
    <w:rsid w:val="00AF4F3F"/>
    <w:rsid w:val="00AF507C"/>
    <w:rsid w:val="00AF50B1"/>
    <w:rsid w:val="00AF51F8"/>
    <w:rsid w:val="00AF522F"/>
    <w:rsid w:val="00AF523C"/>
    <w:rsid w:val="00AF52D3"/>
    <w:rsid w:val="00AF53D9"/>
    <w:rsid w:val="00AF54B5"/>
    <w:rsid w:val="00AF55BE"/>
    <w:rsid w:val="00AF5691"/>
    <w:rsid w:val="00AF57D4"/>
    <w:rsid w:val="00AF57F7"/>
    <w:rsid w:val="00AF5A6C"/>
    <w:rsid w:val="00AF5B70"/>
    <w:rsid w:val="00AF5D0A"/>
    <w:rsid w:val="00AF5DA6"/>
    <w:rsid w:val="00AF5FDD"/>
    <w:rsid w:val="00AF6011"/>
    <w:rsid w:val="00AF6067"/>
    <w:rsid w:val="00AF6075"/>
    <w:rsid w:val="00AF6237"/>
    <w:rsid w:val="00AF6274"/>
    <w:rsid w:val="00AF634F"/>
    <w:rsid w:val="00AF641A"/>
    <w:rsid w:val="00AF644B"/>
    <w:rsid w:val="00AF6520"/>
    <w:rsid w:val="00AF65A7"/>
    <w:rsid w:val="00AF6643"/>
    <w:rsid w:val="00AF669B"/>
    <w:rsid w:val="00AF696A"/>
    <w:rsid w:val="00AF6C31"/>
    <w:rsid w:val="00AF6CE0"/>
    <w:rsid w:val="00AF6DE0"/>
    <w:rsid w:val="00AF6EA8"/>
    <w:rsid w:val="00AF6F31"/>
    <w:rsid w:val="00AF738A"/>
    <w:rsid w:val="00AF742D"/>
    <w:rsid w:val="00AF7574"/>
    <w:rsid w:val="00AF7588"/>
    <w:rsid w:val="00AF75F7"/>
    <w:rsid w:val="00AF788B"/>
    <w:rsid w:val="00AF796F"/>
    <w:rsid w:val="00AF7A97"/>
    <w:rsid w:val="00AF7BF0"/>
    <w:rsid w:val="00AF7DF4"/>
    <w:rsid w:val="00AF7EDF"/>
    <w:rsid w:val="00AF7EE8"/>
    <w:rsid w:val="00AF7FA8"/>
    <w:rsid w:val="00B00016"/>
    <w:rsid w:val="00B005FE"/>
    <w:rsid w:val="00B00633"/>
    <w:rsid w:val="00B00637"/>
    <w:rsid w:val="00B00B89"/>
    <w:rsid w:val="00B00BA6"/>
    <w:rsid w:val="00B00BE1"/>
    <w:rsid w:val="00B00BFE"/>
    <w:rsid w:val="00B00C3A"/>
    <w:rsid w:val="00B00C92"/>
    <w:rsid w:val="00B00CFD"/>
    <w:rsid w:val="00B00DA3"/>
    <w:rsid w:val="00B00F3E"/>
    <w:rsid w:val="00B00FBB"/>
    <w:rsid w:val="00B01064"/>
    <w:rsid w:val="00B010C5"/>
    <w:rsid w:val="00B0119B"/>
    <w:rsid w:val="00B011A6"/>
    <w:rsid w:val="00B01283"/>
    <w:rsid w:val="00B0128D"/>
    <w:rsid w:val="00B012AC"/>
    <w:rsid w:val="00B01428"/>
    <w:rsid w:val="00B01474"/>
    <w:rsid w:val="00B014AE"/>
    <w:rsid w:val="00B0154E"/>
    <w:rsid w:val="00B01617"/>
    <w:rsid w:val="00B0163A"/>
    <w:rsid w:val="00B01771"/>
    <w:rsid w:val="00B0177C"/>
    <w:rsid w:val="00B017D7"/>
    <w:rsid w:val="00B017F4"/>
    <w:rsid w:val="00B019C3"/>
    <w:rsid w:val="00B019DD"/>
    <w:rsid w:val="00B01D1C"/>
    <w:rsid w:val="00B01D3E"/>
    <w:rsid w:val="00B01F3B"/>
    <w:rsid w:val="00B01F56"/>
    <w:rsid w:val="00B01F5B"/>
    <w:rsid w:val="00B01F6E"/>
    <w:rsid w:val="00B01F7D"/>
    <w:rsid w:val="00B01F7E"/>
    <w:rsid w:val="00B01F86"/>
    <w:rsid w:val="00B01FAB"/>
    <w:rsid w:val="00B02060"/>
    <w:rsid w:val="00B0219F"/>
    <w:rsid w:val="00B021FF"/>
    <w:rsid w:val="00B023A1"/>
    <w:rsid w:val="00B0241D"/>
    <w:rsid w:val="00B0244C"/>
    <w:rsid w:val="00B0248F"/>
    <w:rsid w:val="00B024B9"/>
    <w:rsid w:val="00B02500"/>
    <w:rsid w:val="00B0250E"/>
    <w:rsid w:val="00B025E0"/>
    <w:rsid w:val="00B0264F"/>
    <w:rsid w:val="00B026F4"/>
    <w:rsid w:val="00B0274B"/>
    <w:rsid w:val="00B0285D"/>
    <w:rsid w:val="00B02939"/>
    <w:rsid w:val="00B0293E"/>
    <w:rsid w:val="00B0295F"/>
    <w:rsid w:val="00B029C6"/>
    <w:rsid w:val="00B02A63"/>
    <w:rsid w:val="00B02A6F"/>
    <w:rsid w:val="00B02ACF"/>
    <w:rsid w:val="00B02B83"/>
    <w:rsid w:val="00B02D4D"/>
    <w:rsid w:val="00B02E0B"/>
    <w:rsid w:val="00B02E96"/>
    <w:rsid w:val="00B02F74"/>
    <w:rsid w:val="00B03137"/>
    <w:rsid w:val="00B0317D"/>
    <w:rsid w:val="00B031F2"/>
    <w:rsid w:val="00B03269"/>
    <w:rsid w:val="00B0326E"/>
    <w:rsid w:val="00B032FD"/>
    <w:rsid w:val="00B03636"/>
    <w:rsid w:val="00B036AD"/>
    <w:rsid w:val="00B036BB"/>
    <w:rsid w:val="00B036E5"/>
    <w:rsid w:val="00B039C8"/>
    <w:rsid w:val="00B03A62"/>
    <w:rsid w:val="00B03AB5"/>
    <w:rsid w:val="00B03B81"/>
    <w:rsid w:val="00B03B96"/>
    <w:rsid w:val="00B03DC0"/>
    <w:rsid w:val="00B03E21"/>
    <w:rsid w:val="00B03FAD"/>
    <w:rsid w:val="00B03FEC"/>
    <w:rsid w:val="00B04001"/>
    <w:rsid w:val="00B040ED"/>
    <w:rsid w:val="00B04259"/>
    <w:rsid w:val="00B04357"/>
    <w:rsid w:val="00B044A7"/>
    <w:rsid w:val="00B044E0"/>
    <w:rsid w:val="00B0468C"/>
    <w:rsid w:val="00B046E4"/>
    <w:rsid w:val="00B047F3"/>
    <w:rsid w:val="00B04858"/>
    <w:rsid w:val="00B04868"/>
    <w:rsid w:val="00B048DE"/>
    <w:rsid w:val="00B049BA"/>
    <w:rsid w:val="00B04CC4"/>
    <w:rsid w:val="00B04E39"/>
    <w:rsid w:val="00B0514E"/>
    <w:rsid w:val="00B051F8"/>
    <w:rsid w:val="00B05327"/>
    <w:rsid w:val="00B0538F"/>
    <w:rsid w:val="00B05393"/>
    <w:rsid w:val="00B05703"/>
    <w:rsid w:val="00B05803"/>
    <w:rsid w:val="00B05925"/>
    <w:rsid w:val="00B05A73"/>
    <w:rsid w:val="00B05AFE"/>
    <w:rsid w:val="00B05D26"/>
    <w:rsid w:val="00B05E5E"/>
    <w:rsid w:val="00B05EEB"/>
    <w:rsid w:val="00B05F98"/>
    <w:rsid w:val="00B06135"/>
    <w:rsid w:val="00B06247"/>
    <w:rsid w:val="00B062D9"/>
    <w:rsid w:val="00B0662B"/>
    <w:rsid w:val="00B06811"/>
    <w:rsid w:val="00B068FA"/>
    <w:rsid w:val="00B06916"/>
    <w:rsid w:val="00B06AB7"/>
    <w:rsid w:val="00B06AE7"/>
    <w:rsid w:val="00B06BA7"/>
    <w:rsid w:val="00B06BBC"/>
    <w:rsid w:val="00B06C97"/>
    <w:rsid w:val="00B06CAC"/>
    <w:rsid w:val="00B06E79"/>
    <w:rsid w:val="00B06EB3"/>
    <w:rsid w:val="00B06F0B"/>
    <w:rsid w:val="00B06F91"/>
    <w:rsid w:val="00B06FD8"/>
    <w:rsid w:val="00B07001"/>
    <w:rsid w:val="00B07086"/>
    <w:rsid w:val="00B07171"/>
    <w:rsid w:val="00B071FC"/>
    <w:rsid w:val="00B0731B"/>
    <w:rsid w:val="00B073B1"/>
    <w:rsid w:val="00B0746D"/>
    <w:rsid w:val="00B07676"/>
    <w:rsid w:val="00B077D9"/>
    <w:rsid w:val="00B07A70"/>
    <w:rsid w:val="00B07A8E"/>
    <w:rsid w:val="00B07AE5"/>
    <w:rsid w:val="00B07C36"/>
    <w:rsid w:val="00B07D91"/>
    <w:rsid w:val="00B07DC5"/>
    <w:rsid w:val="00B07E00"/>
    <w:rsid w:val="00B101E7"/>
    <w:rsid w:val="00B1033B"/>
    <w:rsid w:val="00B10470"/>
    <w:rsid w:val="00B10497"/>
    <w:rsid w:val="00B104D9"/>
    <w:rsid w:val="00B106C4"/>
    <w:rsid w:val="00B107E4"/>
    <w:rsid w:val="00B108D9"/>
    <w:rsid w:val="00B109A6"/>
    <w:rsid w:val="00B10A56"/>
    <w:rsid w:val="00B10A92"/>
    <w:rsid w:val="00B10B43"/>
    <w:rsid w:val="00B10BDF"/>
    <w:rsid w:val="00B10C84"/>
    <w:rsid w:val="00B10CDD"/>
    <w:rsid w:val="00B10D71"/>
    <w:rsid w:val="00B10E1E"/>
    <w:rsid w:val="00B10E49"/>
    <w:rsid w:val="00B10EC2"/>
    <w:rsid w:val="00B10F1A"/>
    <w:rsid w:val="00B10F9F"/>
    <w:rsid w:val="00B10FA3"/>
    <w:rsid w:val="00B10FF9"/>
    <w:rsid w:val="00B11165"/>
    <w:rsid w:val="00B111DA"/>
    <w:rsid w:val="00B11213"/>
    <w:rsid w:val="00B11216"/>
    <w:rsid w:val="00B11268"/>
    <w:rsid w:val="00B116AB"/>
    <w:rsid w:val="00B117F6"/>
    <w:rsid w:val="00B1192F"/>
    <w:rsid w:val="00B11943"/>
    <w:rsid w:val="00B11978"/>
    <w:rsid w:val="00B11A8A"/>
    <w:rsid w:val="00B11ADF"/>
    <w:rsid w:val="00B11B3E"/>
    <w:rsid w:val="00B11C80"/>
    <w:rsid w:val="00B11EE9"/>
    <w:rsid w:val="00B11F97"/>
    <w:rsid w:val="00B12057"/>
    <w:rsid w:val="00B12223"/>
    <w:rsid w:val="00B12287"/>
    <w:rsid w:val="00B122E3"/>
    <w:rsid w:val="00B12438"/>
    <w:rsid w:val="00B12461"/>
    <w:rsid w:val="00B124CE"/>
    <w:rsid w:val="00B12678"/>
    <w:rsid w:val="00B1270A"/>
    <w:rsid w:val="00B1297E"/>
    <w:rsid w:val="00B12B00"/>
    <w:rsid w:val="00B12CA3"/>
    <w:rsid w:val="00B12CCC"/>
    <w:rsid w:val="00B12D9B"/>
    <w:rsid w:val="00B12F0B"/>
    <w:rsid w:val="00B12FD7"/>
    <w:rsid w:val="00B13094"/>
    <w:rsid w:val="00B1313D"/>
    <w:rsid w:val="00B1317D"/>
    <w:rsid w:val="00B13291"/>
    <w:rsid w:val="00B133C1"/>
    <w:rsid w:val="00B133F9"/>
    <w:rsid w:val="00B134FD"/>
    <w:rsid w:val="00B13526"/>
    <w:rsid w:val="00B135B6"/>
    <w:rsid w:val="00B13697"/>
    <w:rsid w:val="00B136DA"/>
    <w:rsid w:val="00B1371A"/>
    <w:rsid w:val="00B1374C"/>
    <w:rsid w:val="00B137CF"/>
    <w:rsid w:val="00B1383E"/>
    <w:rsid w:val="00B13BAA"/>
    <w:rsid w:val="00B13C4D"/>
    <w:rsid w:val="00B13C91"/>
    <w:rsid w:val="00B13DA9"/>
    <w:rsid w:val="00B140A4"/>
    <w:rsid w:val="00B141A6"/>
    <w:rsid w:val="00B14527"/>
    <w:rsid w:val="00B145A4"/>
    <w:rsid w:val="00B146A7"/>
    <w:rsid w:val="00B146F4"/>
    <w:rsid w:val="00B148B1"/>
    <w:rsid w:val="00B148C8"/>
    <w:rsid w:val="00B148E7"/>
    <w:rsid w:val="00B14952"/>
    <w:rsid w:val="00B1495B"/>
    <w:rsid w:val="00B14A23"/>
    <w:rsid w:val="00B14AD4"/>
    <w:rsid w:val="00B14B17"/>
    <w:rsid w:val="00B14B21"/>
    <w:rsid w:val="00B14B80"/>
    <w:rsid w:val="00B14B93"/>
    <w:rsid w:val="00B14C9C"/>
    <w:rsid w:val="00B14CC4"/>
    <w:rsid w:val="00B14DB8"/>
    <w:rsid w:val="00B14E8D"/>
    <w:rsid w:val="00B15023"/>
    <w:rsid w:val="00B150C0"/>
    <w:rsid w:val="00B15111"/>
    <w:rsid w:val="00B151F9"/>
    <w:rsid w:val="00B1532D"/>
    <w:rsid w:val="00B154D2"/>
    <w:rsid w:val="00B1550C"/>
    <w:rsid w:val="00B15524"/>
    <w:rsid w:val="00B15538"/>
    <w:rsid w:val="00B15570"/>
    <w:rsid w:val="00B15675"/>
    <w:rsid w:val="00B15897"/>
    <w:rsid w:val="00B159F5"/>
    <w:rsid w:val="00B15AAF"/>
    <w:rsid w:val="00B15B6A"/>
    <w:rsid w:val="00B15CDA"/>
    <w:rsid w:val="00B15F4A"/>
    <w:rsid w:val="00B160D7"/>
    <w:rsid w:val="00B16303"/>
    <w:rsid w:val="00B163B0"/>
    <w:rsid w:val="00B16477"/>
    <w:rsid w:val="00B167D2"/>
    <w:rsid w:val="00B1681D"/>
    <w:rsid w:val="00B16A59"/>
    <w:rsid w:val="00B16A63"/>
    <w:rsid w:val="00B16C2A"/>
    <w:rsid w:val="00B16D18"/>
    <w:rsid w:val="00B16D42"/>
    <w:rsid w:val="00B16D43"/>
    <w:rsid w:val="00B170DE"/>
    <w:rsid w:val="00B17188"/>
    <w:rsid w:val="00B17228"/>
    <w:rsid w:val="00B17287"/>
    <w:rsid w:val="00B172C8"/>
    <w:rsid w:val="00B173BB"/>
    <w:rsid w:val="00B17409"/>
    <w:rsid w:val="00B17471"/>
    <w:rsid w:val="00B174DA"/>
    <w:rsid w:val="00B17582"/>
    <w:rsid w:val="00B17591"/>
    <w:rsid w:val="00B175CE"/>
    <w:rsid w:val="00B175E3"/>
    <w:rsid w:val="00B175F2"/>
    <w:rsid w:val="00B17687"/>
    <w:rsid w:val="00B177C1"/>
    <w:rsid w:val="00B1781D"/>
    <w:rsid w:val="00B1788B"/>
    <w:rsid w:val="00B178BF"/>
    <w:rsid w:val="00B178D1"/>
    <w:rsid w:val="00B17A72"/>
    <w:rsid w:val="00B17A9F"/>
    <w:rsid w:val="00B17B4C"/>
    <w:rsid w:val="00B17B6D"/>
    <w:rsid w:val="00B17CD4"/>
    <w:rsid w:val="00B17CFD"/>
    <w:rsid w:val="00B17DEC"/>
    <w:rsid w:val="00B17F3B"/>
    <w:rsid w:val="00B1AD82"/>
    <w:rsid w:val="00B20000"/>
    <w:rsid w:val="00B20209"/>
    <w:rsid w:val="00B2033A"/>
    <w:rsid w:val="00B203ED"/>
    <w:rsid w:val="00B203F3"/>
    <w:rsid w:val="00B20557"/>
    <w:rsid w:val="00B2065B"/>
    <w:rsid w:val="00B2070C"/>
    <w:rsid w:val="00B20898"/>
    <w:rsid w:val="00B209B7"/>
    <w:rsid w:val="00B20A0F"/>
    <w:rsid w:val="00B20ABC"/>
    <w:rsid w:val="00B20ADF"/>
    <w:rsid w:val="00B20BE4"/>
    <w:rsid w:val="00B20C83"/>
    <w:rsid w:val="00B20D42"/>
    <w:rsid w:val="00B20DF8"/>
    <w:rsid w:val="00B20E39"/>
    <w:rsid w:val="00B20E9C"/>
    <w:rsid w:val="00B20F22"/>
    <w:rsid w:val="00B20F48"/>
    <w:rsid w:val="00B20FC0"/>
    <w:rsid w:val="00B20FE6"/>
    <w:rsid w:val="00B2102E"/>
    <w:rsid w:val="00B210B7"/>
    <w:rsid w:val="00B21480"/>
    <w:rsid w:val="00B21535"/>
    <w:rsid w:val="00B21613"/>
    <w:rsid w:val="00B21993"/>
    <w:rsid w:val="00B219CE"/>
    <w:rsid w:val="00B21A9E"/>
    <w:rsid w:val="00B21D97"/>
    <w:rsid w:val="00B21FCF"/>
    <w:rsid w:val="00B21FF0"/>
    <w:rsid w:val="00B22080"/>
    <w:rsid w:val="00B22298"/>
    <w:rsid w:val="00B22312"/>
    <w:rsid w:val="00B223BE"/>
    <w:rsid w:val="00B224E1"/>
    <w:rsid w:val="00B2259F"/>
    <w:rsid w:val="00B2267A"/>
    <w:rsid w:val="00B22736"/>
    <w:rsid w:val="00B22741"/>
    <w:rsid w:val="00B227DE"/>
    <w:rsid w:val="00B2282A"/>
    <w:rsid w:val="00B22873"/>
    <w:rsid w:val="00B22BCC"/>
    <w:rsid w:val="00B22C1F"/>
    <w:rsid w:val="00B22C88"/>
    <w:rsid w:val="00B22CDD"/>
    <w:rsid w:val="00B22D37"/>
    <w:rsid w:val="00B22E02"/>
    <w:rsid w:val="00B22EA3"/>
    <w:rsid w:val="00B22ED5"/>
    <w:rsid w:val="00B22F1E"/>
    <w:rsid w:val="00B22F64"/>
    <w:rsid w:val="00B2307A"/>
    <w:rsid w:val="00B230CE"/>
    <w:rsid w:val="00B23138"/>
    <w:rsid w:val="00B232AE"/>
    <w:rsid w:val="00B23418"/>
    <w:rsid w:val="00B2359F"/>
    <w:rsid w:val="00B235F0"/>
    <w:rsid w:val="00B236FB"/>
    <w:rsid w:val="00B23714"/>
    <w:rsid w:val="00B23850"/>
    <w:rsid w:val="00B238C8"/>
    <w:rsid w:val="00B23951"/>
    <w:rsid w:val="00B2397C"/>
    <w:rsid w:val="00B23A1D"/>
    <w:rsid w:val="00B23C21"/>
    <w:rsid w:val="00B24064"/>
    <w:rsid w:val="00B24166"/>
    <w:rsid w:val="00B241FB"/>
    <w:rsid w:val="00B243BE"/>
    <w:rsid w:val="00B2447C"/>
    <w:rsid w:val="00B24491"/>
    <w:rsid w:val="00B244C4"/>
    <w:rsid w:val="00B24709"/>
    <w:rsid w:val="00B247D6"/>
    <w:rsid w:val="00B2490D"/>
    <w:rsid w:val="00B2492D"/>
    <w:rsid w:val="00B24B37"/>
    <w:rsid w:val="00B24DDA"/>
    <w:rsid w:val="00B24E0D"/>
    <w:rsid w:val="00B24E42"/>
    <w:rsid w:val="00B24E50"/>
    <w:rsid w:val="00B250D7"/>
    <w:rsid w:val="00B2515A"/>
    <w:rsid w:val="00B25183"/>
    <w:rsid w:val="00B252F3"/>
    <w:rsid w:val="00B25727"/>
    <w:rsid w:val="00B25799"/>
    <w:rsid w:val="00B257EF"/>
    <w:rsid w:val="00B258B5"/>
    <w:rsid w:val="00B2593B"/>
    <w:rsid w:val="00B25945"/>
    <w:rsid w:val="00B25971"/>
    <w:rsid w:val="00B25A1C"/>
    <w:rsid w:val="00B25AF0"/>
    <w:rsid w:val="00B25AFC"/>
    <w:rsid w:val="00B25B72"/>
    <w:rsid w:val="00B25C9E"/>
    <w:rsid w:val="00B25E78"/>
    <w:rsid w:val="00B25F3B"/>
    <w:rsid w:val="00B26266"/>
    <w:rsid w:val="00B262AF"/>
    <w:rsid w:val="00B262D1"/>
    <w:rsid w:val="00B264D7"/>
    <w:rsid w:val="00B2660D"/>
    <w:rsid w:val="00B266BC"/>
    <w:rsid w:val="00B26738"/>
    <w:rsid w:val="00B2679D"/>
    <w:rsid w:val="00B26855"/>
    <w:rsid w:val="00B26A4D"/>
    <w:rsid w:val="00B26B08"/>
    <w:rsid w:val="00B26B78"/>
    <w:rsid w:val="00B26BB2"/>
    <w:rsid w:val="00B26CBE"/>
    <w:rsid w:val="00B26CF0"/>
    <w:rsid w:val="00B26DAF"/>
    <w:rsid w:val="00B26DC2"/>
    <w:rsid w:val="00B26F37"/>
    <w:rsid w:val="00B26F8A"/>
    <w:rsid w:val="00B26FDD"/>
    <w:rsid w:val="00B27025"/>
    <w:rsid w:val="00B2709D"/>
    <w:rsid w:val="00B27181"/>
    <w:rsid w:val="00B2724A"/>
    <w:rsid w:val="00B272CF"/>
    <w:rsid w:val="00B2731A"/>
    <w:rsid w:val="00B273C9"/>
    <w:rsid w:val="00B27474"/>
    <w:rsid w:val="00B27537"/>
    <w:rsid w:val="00B2771E"/>
    <w:rsid w:val="00B2778E"/>
    <w:rsid w:val="00B277E2"/>
    <w:rsid w:val="00B277EF"/>
    <w:rsid w:val="00B2785B"/>
    <w:rsid w:val="00B27CC8"/>
    <w:rsid w:val="00B27CE0"/>
    <w:rsid w:val="00B27D4E"/>
    <w:rsid w:val="00B27E94"/>
    <w:rsid w:val="00B3017D"/>
    <w:rsid w:val="00B301DC"/>
    <w:rsid w:val="00B303CA"/>
    <w:rsid w:val="00B3060E"/>
    <w:rsid w:val="00B306EF"/>
    <w:rsid w:val="00B30743"/>
    <w:rsid w:val="00B307B6"/>
    <w:rsid w:val="00B3087D"/>
    <w:rsid w:val="00B30922"/>
    <w:rsid w:val="00B30A38"/>
    <w:rsid w:val="00B30ACB"/>
    <w:rsid w:val="00B30D8A"/>
    <w:rsid w:val="00B30E77"/>
    <w:rsid w:val="00B30ED5"/>
    <w:rsid w:val="00B30FE5"/>
    <w:rsid w:val="00B31242"/>
    <w:rsid w:val="00B31257"/>
    <w:rsid w:val="00B3128D"/>
    <w:rsid w:val="00B313D2"/>
    <w:rsid w:val="00B315CF"/>
    <w:rsid w:val="00B3176E"/>
    <w:rsid w:val="00B31813"/>
    <w:rsid w:val="00B31954"/>
    <w:rsid w:val="00B31AFE"/>
    <w:rsid w:val="00B31B22"/>
    <w:rsid w:val="00B31BDB"/>
    <w:rsid w:val="00B31C44"/>
    <w:rsid w:val="00B31CA8"/>
    <w:rsid w:val="00B31CF1"/>
    <w:rsid w:val="00B31D69"/>
    <w:rsid w:val="00B32008"/>
    <w:rsid w:val="00B32012"/>
    <w:rsid w:val="00B320EB"/>
    <w:rsid w:val="00B32236"/>
    <w:rsid w:val="00B3236E"/>
    <w:rsid w:val="00B32419"/>
    <w:rsid w:val="00B32542"/>
    <w:rsid w:val="00B325A5"/>
    <w:rsid w:val="00B326EB"/>
    <w:rsid w:val="00B32717"/>
    <w:rsid w:val="00B3279F"/>
    <w:rsid w:val="00B3298C"/>
    <w:rsid w:val="00B329C1"/>
    <w:rsid w:val="00B32BA8"/>
    <w:rsid w:val="00B32BC6"/>
    <w:rsid w:val="00B32C7D"/>
    <w:rsid w:val="00B32CB8"/>
    <w:rsid w:val="00B33156"/>
    <w:rsid w:val="00B33168"/>
    <w:rsid w:val="00B33434"/>
    <w:rsid w:val="00B33439"/>
    <w:rsid w:val="00B33473"/>
    <w:rsid w:val="00B3377E"/>
    <w:rsid w:val="00B33789"/>
    <w:rsid w:val="00B337EB"/>
    <w:rsid w:val="00B33896"/>
    <w:rsid w:val="00B33B24"/>
    <w:rsid w:val="00B33BFF"/>
    <w:rsid w:val="00B33C24"/>
    <w:rsid w:val="00B33CB4"/>
    <w:rsid w:val="00B33CBF"/>
    <w:rsid w:val="00B33DED"/>
    <w:rsid w:val="00B33E13"/>
    <w:rsid w:val="00B33E2C"/>
    <w:rsid w:val="00B33FA3"/>
    <w:rsid w:val="00B33FEE"/>
    <w:rsid w:val="00B340D4"/>
    <w:rsid w:val="00B34179"/>
    <w:rsid w:val="00B3418A"/>
    <w:rsid w:val="00B346CD"/>
    <w:rsid w:val="00B34794"/>
    <w:rsid w:val="00B34871"/>
    <w:rsid w:val="00B349D1"/>
    <w:rsid w:val="00B34A1D"/>
    <w:rsid w:val="00B34A4F"/>
    <w:rsid w:val="00B34B71"/>
    <w:rsid w:val="00B34C3C"/>
    <w:rsid w:val="00B34C51"/>
    <w:rsid w:val="00B34CE0"/>
    <w:rsid w:val="00B34E59"/>
    <w:rsid w:val="00B34F6B"/>
    <w:rsid w:val="00B34FC4"/>
    <w:rsid w:val="00B35053"/>
    <w:rsid w:val="00B3519B"/>
    <w:rsid w:val="00B351CB"/>
    <w:rsid w:val="00B352B3"/>
    <w:rsid w:val="00B353E5"/>
    <w:rsid w:val="00B35441"/>
    <w:rsid w:val="00B35506"/>
    <w:rsid w:val="00B35545"/>
    <w:rsid w:val="00B355A5"/>
    <w:rsid w:val="00B3566E"/>
    <w:rsid w:val="00B356C2"/>
    <w:rsid w:val="00B356FB"/>
    <w:rsid w:val="00B35747"/>
    <w:rsid w:val="00B35793"/>
    <w:rsid w:val="00B357F1"/>
    <w:rsid w:val="00B35862"/>
    <w:rsid w:val="00B35A20"/>
    <w:rsid w:val="00B35A73"/>
    <w:rsid w:val="00B35A97"/>
    <w:rsid w:val="00B35B3E"/>
    <w:rsid w:val="00B35C2D"/>
    <w:rsid w:val="00B35DBA"/>
    <w:rsid w:val="00B35E1F"/>
    <w:rsid w:val="00B360B4"/>
    <w:rsid w:val="00B36579"/>
    <w:rsid w:val="00B3664D"/>
    <w:rsid w:val="00B366AE"/>
    <w:rsid w:val="00B36ABB"/>
    <w:rsid w:val="00B36ADC"/>
    <w:rsid w:val="00B36C47"/>
    <w:rsid w:val="00B36EE6"/>
    <w:rsid w:val="00B36EE9"/>
    <w:rsid w:val="00B36EFF"/>
    <w:rsid w:val="00B36F21"/>
    <w:rsid w:val="00B3710F"/>
    <w:rsid w:val="00B37155"/>
    <w:rsid w:val="00B3736A"/>
    <w:rsid w:val="00B37447"/>
    <w:rsid w:val="00B377C2"/>
    <w:rsid w:val="00B37891"/>
    <w:rsid w:val="00B378AD"/>
    <w:rsid w:val="00B37A9B"/>
    <w:rsid w:val="00B37AAD"/>
    <w:rsid w:val="00B37AF7"/>
    <w:rsid w:val="00B37C22"/>
    <w:rsid w:val="00B37CEF"/>
    <w:rsid w:val="00B37E96"/>
    <w:rsid w:val="00B37F88"/>
    <w:rsid w:val="00B4009B"/>
    <w:rsid w:val="00B40169"/>
    <w:rsid w:val="00B40229"/>
    <w:rsid w:val="00B40284"/>
    <w:rsid w:val="00B402C2"/>
    <w:rsid w:val="00B40324"/>
    <w:rsid w:val="00B403A0"/>
    <w:rsid w:val="00B403AC"/>
    <w:rsid w:val="00B40524"/>
    <w:rsid w:val="00B40678"/>
    <w:rsid w:val="00B406C5"/>
    <w:rsid w:val="00B4077B"/>
    <w:rsid w:val="00B407B3"/>
    <w:rsid w:val="00B407B6"/>
    <w:rsid w:val="00B408CF"/>
    <w:rsid w:val="00B4091E"/>
    <w:rsid w:val="00B40AFD"/>
    <w:rsid w:val="00B40AFF"/>
    <w:rsid w:val="00B40C28"/>
    <w:rsid w:val="00B40C32"/>
    <w:rsid w:val="00B40E21"/>
    <w:rsid w:val="00B40E32"/>
    <w:rsid w:val="00B41019"/>
    <w:rsid w:val="00B41065"/>
    <w:rsid w:val="00B41496"/>
    <w:rsid w:val="00B415DD"/>
    <w:rsid w:val="00B4170F"/>
    <w:rsid w:val="00B41792"/>
    <w:rsid w:val="00B417A9"/>
    <w:rsid w:val="00B417F9"/>
    <w:rsid w:val="00B41A22"/>
    <w:rsid w:val="00B41ACD"/>
    <w:rsid w:val="00B41B81"/>
    <w:rsid w:val="00B41CE7"/>
    <w:rsid w:val="00B41D73"/>
    <w:rsid w:val="00B41EF2"/>
    <w:rsid w:val="00B41F67"/>
    <w:rsid w:val="00B42076"/>
    <w:rsid w:val="00B421A6"/>
    <w:rsid w:val="00B422C3"/>
    <w:rsid w:val="00B422DE"/>
    <w:rsid w:val="00B423B6"/>
    <w:rsid w:val="00B42536"/>
    <w:rsid w:val="00B425AE"/>
    <w:rsid w:val="00B425B6"/>
    <w:rsid w:val="00B42611"/>
    <w:rsid w:val="00B426D2"/>
    <w:rsid w:val="00B4273F"/>
    <w:rsid w:val="00B42752"/>
    <w:rsid w:val="00B42753"/>
    <w:rsid w:val="00B42777"/>
    <w:rsid w:val="00B42AEF"/>
    <w:rsid w:val="00B42D9A"/>
    <w:rsid w:val="00B42FA6"/>
    <w:rsid w:val="00B4301E"/>
    <w:rsid w:val="00B43054"/>
    <w:rsid w:val="00B4306E"/>
    <w:rsid w:val="00B43152"/>
    <w:rsid w:val="00B431AB"/>
    <w:rsid w:val="00B432AE"/>
    <w:rsid w:val="00B433F9"/>
    <w:rsid w:val="00B434D8"/>
    <w:rsid w:val="00B43676"/>
    <w:rsid w:val="00B436FC"/>
    <w:rsid w:val="00B43734"/>
    <w:rsid w:val="00B438C9"/>
    <w:rsid w:val="00B43A1F"/>
    <w:rsid w:val="00B43A38"/>
    <w:rsid w:val="00B43C20"/>
    <w:rsid w:val="00B43C3A"/>
    <w:rsid w:val="00B43D7A"/>
    <w:rsid w:val="00B43E4A"/>
    <w:rsid w:val="00B43FEA"/>
    <w:rsid w:val="00B4410E"/>
    <w:rsid w:val="00B44127"/>
    <w:rsid w:val="00B441CE"/>
    <w:rsid w:val="00B443CB"/>
    <w:rsid w:val="00B443F4"/>
    <w:rsid w:val="00B443FE"/>
    <w:rsid w:val="00B444BD"/>
    <w:rsid w:val="00B4456D"/>
    <w:rsid w:val="00B44630"/>
    <w:rsid w:val="00B4473E"/>
    <w:rsid w:val="00B4475E"/>
    <w:rsid w:val="00B447C6"/>
    <w:rsid w:val="00B44882"/>
    <w:rsid w:val="00B448B1"/>
    <w:rsid w:val="00B44985"/>
    <w:rsid w:val="00B449C5"/>
    <w:rsid w:val="00B44A82"/>
    <w:rsid w:val="00B44C19"/>
    <w:rsid w:val="00B44D07"/>
    <w:rsid w:val="00B44DAC"/>
    <w:rsid w:val="00B44EB3"/>
    <w:rsid w:val="00B45050"/>
    <w:rsid w:val="00B450FC"/>
    <w:rsid w:val="00B4510E"/>
    <w:rsid w:val="00B45209"/>
    <w:rsid w:val="00B4538F"/>
    <w:rsid w:val="00B4543A"/>
    <w:rsid w:val="00B4544B"/>
    <w:rsid w:val="00B454B3"/>
    <w:rsid w:val="00B45515"/>
    <w:rsid w:val="00B45602"/>
    <w:rsid w:val="00B45699"/>
    <w:rsid w:val="00B456DA"/>
    <w:rsid w:val="00B45777"/>
    <w:rsid w:val="00B45830"/>
    <w:rsid w:val="00B45AC9"/>
    <w:rsid w:val="00B45BE9"/>
    <w:rsid w:val="00B45C1F"/>
    <w:rsid w:val="00B45FA9"/>
    <w:rsid w:val="00B45FAE"/>
    <w:rsid w:val="00B46077"/>
    <w:rsid w:val="00B46233"/>
    <w:rsid w:val="00B4627F"/>
    <w:rsid w:val="00B46373"/>
    <w:rsid w:val="00B463AD"/>
    <w:rsid w:val="00B46539"/>
    <w:rsid w:val="00B46597"/>
    <w:rsid w:val="00B46617"/>
    <w:rsid w:val="00B46641"/>
    <w:rsid w:val="00B46892"/>
    <w:rsid w:val="00B4691E"/>
    <w:rsid w:val="00B46950"/>
    <w:rsid w:val="00B46B07"/>
    <w:rsid w:val="00B46CCD"/>
    <w:rsid w:val="00B46CD3"/>
    <w:rsid w:val="00B46EA5"/>
    <w:rsid w:val="00B46F54"/>
    <w:rsid w:val="00B47054"/>
    <w:rsid w:val="00B4718D"/>
    <w:rsid w:val="00B472C9"/>
    <w:rsid w:val="00B4743C"/>
    <w:rsid w:val="00B475D2"/>
    <w:rsid w:val="00B47763"/>
    <w:rsid w:val="00B4779A"/>
    <w:rsid w:val="00B477C8"/>
    <w:rsid w:val="00B47829"/>
    <w:rsid w:val="00B478B6"/>
    <w:rsid w:val="00B47915"/>
    <w:rsid w:val="00B47976"/>
    <w:rsid w:val="00B479CD"/>
    <w:rsid w:val="00B479E5"/>
    <w:rsid w:val="00B47A66"/>
    <w:rsid w:val="00B47A98"/>
    <w:rsid w:val="00B47B15"/>
    <w:rsid w:val="00B47BE6"/>
    <w:rsid w:val="00B47E37"/>
    <w:rsid w:val="00B47E3E"/>
    <w:rsid w:val="00B47F1C"/>
    <w:rsid w:val="00B50057"/>
    <w:rsid w:val="00B5012A"/>
    <w:rsid w:val="00B501BC"/>
    <w:rsid w:val="00B5035B"/>
    <w:rsid w:val="00B50434"/>
    <w:rsid w:val="00B50446"/>
    <w:rsid w:val="00B505DF"/>
    <w:rsid w:val="00B505EA"/>
    <w:rsid w:val="00B5062C"/>
    <w:rsid w:val="00B507F5"/>
    <w:rsid w:val="00B50859"/>
    <w:rsid w:val="00B50955"/>
    <w:rsid w:val="00B50960"/>
    <w:rsid w:val="00B5097E"/>
    <w:rsid w:val="00B50A8C"/>
    <w:rsid w:val="00B50AF9"/>
    <w:rsid w:val="00B50C12"/>
    <w:rsid w:val="00B50C6E"/>
    <w:rsid w:val="00B50EFE"/>
    <w:rsid w:val="00B50F03"/>
    <w:rsid w:val="00B50F5C"/>
    <w:rsid w:val="00B5100E"/>
    <w:rsid w:val="00B5148B"/>
    <w:rsid w:val="00B5149C"/>
    <w:rsid w:val="00B51624"/>
    <w:rsid w:val="00B51646"/>
    <w:rsid w:val="00B5164D"/>
    <w:rsid w:val="00B516D1"/>
    <w:rsid w:val="00B51881"/>
    <w:rsid w:val="00B518D2"/>
    <w:rsid w:val="00B5198C"/>
    <w:rsid w:val="00B519AE"/>
    <w:rsid w:val="00B51ADC"/>
    <w:rsid w:val="00B51BB9"/>
    <w:rsid w:val="00B51C15"/>
    <w:rsid w:val="00B51C8A"/>
    <w:rsid w:val="00B51E7E"/>
    <w:rsid w:val="00B51F31"/>
    <w:rsid w:val="00B51FCF"/>
    <w:rsid w:val="00B520EE"/>
    <w:rsid w:val="00B52181"/>
    <w:rsid w:val="00B521F9"/>
    <w:rsid w:val="00B52361"/>
    <w:rsid w:val="00B52549"/>
    <w:rsid w:val="00B5259A"/>
    <w:rsid w:val="00B5273B"/>
    <w:rsid w:val="00B527CD"/>
    <w:rsid w:val="00B52878"/>
    <w:rsid w:val="00B52891"/>
    <w:rsid w:val="00B528AD"/>
    <w:rsid w:val="00B52D69"/>
    <w:rsid w:val="00B52DAE"/>
    <w:rsid w:val="00B52EA5"/>
    <w:rsid w:val="00B52EC2"/>
    <w:rsid w:val="00B52EE2"/>
    <w:rsid w:val="00B52F38"/>
    <w:rsid w:val="00B52F55"/>
    <w:rsid w:val="00B52F58"/>
    <w:rsid w:val="00B52F65"/>
    <w:rsid w:val="00B52FEE"/>
    <w:rsid w:val="00B53118"/>
    <w:rsid w:val="00B53259"/>
    <w:rsid w:val="00B5331D"/>
    <w:rsid w:val="00B53408"/>
    <w:rsid w:val="00B53435"/>
    <w:rsid w:val="00B53443"/>
    <w:rsid w:val="00B53451"/>
    <w:rsid w:val="00B534DC"/>
    <w:rsid w:val="00B5350F"/>
    <w:rsid w:val="00B53589"/>
    <w:rsid w:val="00B536CB"/>
    <w:rsid w:val="00B5385F"/>
    <w:rsid w:val="00B538F1"/>
    <w:rsid w:val="00B53957"/>
    <w:rsid w:val="00B539D4"/>
    <w:rsid w:val="00B53A8C"/>
    <w:rsid w:val="00B53A9D"/>
    <w:rsid w:val="00B53CC2"/>
    <w:rsid w:val="00B53D5F"/>
    <w:rsid w:val="00B54393"/>
    <w:rsid w:val="00B5448B"/>
    <w:rsid w:val="00B544A3"/>
    <w:rsid w:val="00B545B8"/>
    <w:rsid w:val="00B5477B"/>
    <w:rsid w:val="00B547E3"/>
    <w:rsid w:val="00B5488B"/>
    <w:rsid w:val="00B548F6"/>
    <w:rsid w:val="00B54AFE"/>
    <w:rsid w:val="00B54BFC"/>
    <w:rsid w:val="00B54C90"/>
    <w:rsid w:val="00B54CC7"/>
    <w:rsid w:val="00B54F80"/>
    <w:rsid w:val="00B5502A"/>
    <w:rsid w:val="00B552BD"/>
    <w:rsid w:val="00B5531F"/>
    <w:rsid w:val="00B5538C"/>
    <w:rsid w:val="00B553B5"/>
    <w:rsid w:val="00B554E6"/>
    <w:rsid w:val="00B5589E"/>
    <w:rsid w:val="00B558CA"/>
    <w:rsid w:val="00B5591F"/>
    <w:rsid w:val="00B559C7"/>
    <w:rsid w:val="00B559CE"/>
    <w:rsid w:val="00B55A25"/>
    <w:rsid w:val="00B55B35"/>
    <w:rsid w:val="00B55B77"/>
    <w:rsid w:val="00B55D4A"/>
    <w:rsid w:val="00B55D9B"/>
    <w:rsid w:val="00B55DD8"/>
    <w:rsid w:val="00B55DE0"/>
    <w:rsid w:val="00B55E2D"/>
    <w:rsid w:val="00B55E72"/>
    <w:rsid w:val="00B55EDC"/>
    <w:rsid w:val="00B55EE8"/>
    <w:rsid w:val="00B56207"/>
    <w:rsid w:val="00B563F2"/>
    <w:rsid w:val="00B5654E"/>
    <w:rsid w:val="00B56720"/>
    <w:rsid w:val="00B567B3"/>
    <w:rsid w:val="00B56815"/>
    <w:rsid w:val="00B5690F"/>
    <w:rsid w:val="00B5692B"/>
    <w:rsid w:val="00B569E2"/>
    <w:rsid w:val="00B56A7D"/>
    <w:rsid w:val="00B56ACB"/>
    <w:rsid w:val="00B56BDC"/>
    <w:rsid w:val="00B56D9D"/>
    <w:rsid w:val="00B56EB7"/>
    <w:rsid w:val="00B570D2"/>
    <w:rsid w:val="00B57122"/>
    <w:rsid w:val="00B5717B"/>
    <w:rsid w:val="00B57333"/>
    <w:rsid w:val="00B57390"/>
    <w:rsid w:val="00B5747B"/>
    <w:rsid w:val="00B57526"/>
    <w:rsid w:val="00B57597"/>
    <w:rsid w:val="00B576D1"/>
    <w:rsid w:val="00B5771B"/>
    <w:rsid w:val="00B57731"/>
    <w:rsid w:val="00B57866"/>
    <w:rsid w:val="00B579B8"/>
    <w:rsid w:val="00B57A22"/>
    <w:rsid w:val="00B57A84"/>
    <w:rsid w:val="00B57D51"/>
    <w:rsid w:val="00B57F55"/>
    <w:rsid w:val="00B57F6E"/>
    <w:rsid w:val="00B60028"/>
    <w:rsid w:val="00B60043"/>
    <w:rsid w:val="00B60062"/>
    <w:rsid w:val="00B600FA"/>
    <w:rsid w:val="00B601D0"/>
    <w:rsid w:val="00B602CC"/>
    <w:rsid w:val="00B6031D"/>
    <w:rsid w:val="00B603A8"/>
    <w:rsid w:val="00B60421"/>
    <w:rsid w:val="00B60422"/>
    <w:rsid w:val="00B60597"/>
    <w:rsid w:val="00B60623"/>
    <w:rsid w:val="00B606F3"/>
    <w:rsid w:val="00B6084F"/>
    <w:rsid w:val="00B6099C"/>
    <w:rsid w:val="00B60A23"/>
    <w:rsid w:val="00B60A92"/>
    <w:rsid w:val="00B60AA6"/>
    <w:rsid w:val="00B60B03"/>
    <w:rsid w:val="00B60B21"/>
    <w:rsid w:val="00B60B26"/>
    <w:rsid w:val="00B60F43"/>
    <w:rsid w:val="00B60F70"/>
    <w:rsid w:val="00B610EA"/>
    <w:rsid w:val="00B61121"/>
    <w:rsid w:val="00B61150"/>
    <w:rsid w:val="00B612F1"/>
    <w:rsid w:val="00B6149F"/>
    <w:rsid w:val="00B614EE"/>
    <w:rsid w:val="00B614FE"/>
    <w:rsid w:val="00B61634"/>
    <w:rsid w:val="00B6178E"/>
    <w:rsid w:val="00B61973"/>
    <w:rsid w:val="00B61AA3"/>
    <w:rsid w:val="00B61AEF"/>
    <w:rsid w:val="00B61AF8"/>
    <w:rsid w:val="00B61B0F"/>
    <w:rsid w:val="00B61B68"/>
    <w:rsid w:val="00B61B9B"/>
    <w:rsid w:val="00B61C18"/>
    <w:rsid w:val="00B61CE5"/>
    <w:rsid w:val="00B61D78"/>
    <w:rsid w:val="00B61DF0"/>
    <w:rsid w:val="00B6201A"/>
    <w:rsid w:val="00B62025"/>
    <w:rsid w:val="00B6207F"/>
    <w:rsid w:val="00B62087"/>
    <w:rsid w:val="00B62094"/>
    <w:rsid w:val="00B62127"/>
    <w:rsid w:val="00B621DC"/>
    <w:rsid w:val="00B622C2"/>
    <w:rsid w:val="00B6237D"/>
    <w:rsid w:val="00B62526"/>
    <w:rsid w:val="00B62555"/>
    <w:rsid w:val="00B6260E"/>
    <w:rsid w:val="00B6264B"/>
    <w:rsid w:val="00B628A0"/>
    <w:rsid w:val="00B628F2"/>
    <w:rsid w:val="00B62A89"/>
    <w:rsid w:val="00B62B2A"/>
    <w:rsid w:val="00B62C3A"/>
    <w:rsid w:val="00B62CA1"/>
    <w:rsid w:val="00B62CCC"/>
    <w:rsid w:val="00B62DC4"/>
    <w:rsid w:val="00B6305D"/>
    <w:rsid w:val="00B630C2"/>
    <w:rsid w:val="00B631B4"/>
    <w:rsid w:val="00B63243"/>
    <w:rsid w:val="00B63265"/>
    <w:rsid w:val="00B6326C"/>
    <w:rsid w:val="00B632BE"/>
    <w:rsid w:val="00B63323"/>
    <w:rsid w:val="00B63485"/>
    <w:rsid w:val="00B634AF"/>
    <w:rsid w:val="00B634D3"/>
    <w:rsid w:val="00B63521"/>
    <w:rsid w:val="00B63644"/>
    <w:rsid w:val="00B63989"/>
    <w:rsid w:val="00B63AD4"/>
    <w:rsid w:val="00B63B04"/>
    <w:rsid w:val="00B63BCA"/>
    <w:rsid w:val="00B63D2E"/>
    <w:rsid w:val="00B63FB3"/>
    <w:rsid w:val="00B64054"/>
    <w:rsid w:val="00B640F5"/>
    <w:rsid w:val="00B6411E"/>
    <w:rsid w:val="00B64215"/>
    <w:rsid w:val="00B64359"/>
    <w:rsid w:val="00B643DA"/>
    <w:rsid w:val="00B644B3"/>
    <w:rsid w:val="00B644F2"/>
    <w:rsid w:val="00B644FD"/>
    <w:rsid w:val="00B645D3"/>
    <w:rsid w:val="00B647D2"/>
    <w:rsid w:val="00B6481E"/>
    <w:rsid w:val="00B64987"/>
    <w:rsid w:val="00B6499B"/>
    <w:rsid w:val="00B64A1A"/>
    <w:rsid w:val="00B64B59"/>
    <w:rsid w:val="00B64B82"/>
    <w:rsid w:val="00B64DD4"/>
    <w:rsid w:val="00B64E3F"/>
    <w:rsid w:val="00B64FBD"/>
    <w:rsid w:val="00B65093"/>
    <w:rsid w:val="00B6509C"/>
    <w:rsid w:val="00B651D1"/>
    <w:rsid w:val="00B652D9"/>
    <w:rsid w:val="00B653BB"/>
    <w:rsid w:val="00B653F9"/>
    <w:rsid w:val="00B6544F"/>
    <w:rsid w:val="00B6548B"/>
    <w:rsid w:val="00B655AA"/>
    <w:rsid w:val="00B65757"/>
    <w:rsid w:val="00B65776"/>
    <w:rsid w:val="00B65961"/>
    <w:rsid w:val="00B65A04"/>
    <w:rsid w:val="00B65B20"/>
    <w:rsid w:val="00B65D8D"/>
    <w:rsid w:val="00B65DC2"/>
    <w:rsid w:val="00B65EC7"/>
    <w:rsid w:val="00B65EEF"/>
    <w:rsid w:val="00B66006"/>
    <w:rsid w:val="00B660C5"/>
    <w:rsid w:val="00B66407"/>
    <w:rsid w:val="00B6643B"/>
    <w:rsid w:val="00B66442"/>
    <w:rsid w:val="00B664F4"/>
    <w:rsid w:val="00B66753"/>
    <w:rsid w:val="00B6675C"/>
    <w:rsid w:val="00B66934"/>
    <w:rsid w:val="00B66A2E"/>
    <w:rsid w:val="00B66BA7"/>
    <w:rsid w:val="00B66C91"/>
    <w:rsid w:val="00B66D91"/>
    <w:rsid w:val="00B66DF6"/>
    <w:rsid w:val="00B66FF1"/>
    <w:rsid w:val="00B67151"/>
    <w:rsid w:val="00B67388"/>
    <w:rsid w:val="00B6739A"/>
    <w:rsid w:val="00B67465"/>
    <w:rsid w:val="00B6756C"/>
    <w:rsid w:val="00B67686"/>
    <w:rsid w:val="00B67693"/>
    <w:rsid w:val="00B676B4"/>
    <w:rsid w:val="00B678CF"/>
    <w:rsid w:val="00B678F6"/>
    <w:rsid w:val="00B6796F"/>
    <w:rsid w:val="00B67992"/>
    <w:rsid w:val="00B679A8"/>
    <w:rsid w:val="00B67C29"/>
    <w:rsid w:val="00B67C35"/>
    <w:rsid w:val="00B67CC1"/>
    <w:rsid w:val="00B67CCA"/>
    <w:rsid w:val="00B67DAB"/>
    <w:rsid w:val="00B67F47"/>
    <w:rsid w:val="00B700D2"/>
    <w:rsid w:val="00B700E3"/>
    <w:rsid w:val="00B7016D"/>
    <w:rsid w:val="00B70180"/>
    <w:rsid w:val="00B7026B"/>
    <w:rsid w:val="00B703F3"/>
    <w:rsid w:val="00B70464"/>
    <w:rsid w:val="00B70857"/>
    <w:rsid w:val="00B709C9"/>
    <w:rsid w:val="00B70D1D"/>
    <w:rsid w:val="00B70D6F"/>
    <w:rsid w:val="00B70D97"/>
    <w:rsid w:val="00B70ECF"/>
    <w:rsid w:val="00B7121B"/>
    <w:rsid w:val="00B71249"/>
    <w:rsid w:val="00B712A3"/>
    <w:rsid w:val="00B712BE"/>
    <w:rsid w:val="00B713FF"/>
    <w:rsid w:val="00B71500"/>
    <w:rsid w:val="00B7151E"/>
    <w:rsid w:val="00B715E9"/>
    <w:rsid w:val="00B7176B"/>
    <w:rsid w:val="00B7199C"/>
    <w:rsid w:val="00B719D9"/>
    <w:rsid w:val="00B719F9"/>
    <w:rsid w:val="00B71A8E"/>
    <w:rsid w:val="00B71D9C"/>
    <w:rsid w:val="00B71E8A"/>
    <w:rsid w:val="00B721FB"/>
    <w:rsid w:val="00B723DB"/>
    <w:rsid w:val="00B7247D"/>
    <w:rsid w:val="00B725FB"/>
    <w:rsid w:val="00B726F0"/>
    <w:rsid w:val="00B7276E"/>
    <w:rsid w:val="00B72811"/>
    <w:rsid w:val="00B72865"/>
    <w:rsid w:val="00B728A0"/>
    <w:rsid w:val="00B728DE"/>
    <w:rsid w:val="00B72988"/>
    <w:rsid w:val="00B729A1"/>
    <w:rsid w:val="00B72AB7"/>
    <w:rsid w:val="00B72B85"/>
    <w:rsid w:val="00B72BB2"/>
    <w:rsid w:val="00B72BC0"/>
    <w:rsid w:val="00B72C23"/>
    <w:rsid w:val="00B72CE8"/>
    <w:rsid w:val="00B72D73"/>
    <w:rsid w:val="00B72D82"/>
    <w:rsid w:val="00B72EAF"/>
    <w:rsid w:val="00B72F5C"/>
    <w:rsid w:val="00B73094"/>
    <w:rsid w:val="00B730FC"/>
    <w:rsid w:val="00B734C4"/>
    <w:rsid w:val="00B735D4"/>
    <w:rsid w:val="00B73745"/>
    <w:rsid w:val="00B737C2"/>
    <w:rsid w:val="00B738FA"/>
    <w:rsid w:val="00B7393B"/>
    <w:rsid w:val="00B73993"/>
    <w:rsid w:val="00B739C1"/>
    <w:rsid w:val="00B73A03"/>
    <w:rsid w:val="00B73A10"/>
    <w:rsid w:val="00B73CB0"/>
    <w:rsid w:val="00B73CD0"/>
    <w:rsid w:val="00B73D27"/>
    <w:rsid w:val="00B73D36"/>
    <w:rsid w:val="00B73D74"/>
    <w:rsid w:val="00B73DE7"/>
    <w:rsid w:val="00B740D0"/>
    <w:rsid w:val="00B741F8"/>
    <w:rsid w:val="00B74277"/>
    <w:rsid w:val="00B742F4"/>
    <w:rsid w:val="00B7442B"/>
    <w:rsid w:val="00B74469"/>
    <w:rsid w:val="00B7451F"/>
    <w:rsid w:val="00B7459A"/>
    <w:rsid w:val="00B7465E"/>
    <w:rsid w:val="00B74668"/>
    <w:rsid w:val="00B7470F"/>
    <w:rsid w:val="00B747A8"/>
    <w:rsid w:val="00B74895"/>
    <w:rsid w:val="00B74A09"/>
    <w:rsid w:val="00B74C03"/>
    <w:rsid w:val="00B74E63"/>
    <w:rsid w:val="00B75082"/>
    <w:rsid w:val="00B750A5"/>
    <w:rsid w:val="00B75201"/>
    <w:rsid w:val="00B7553B"/>
    <w:rsid w:val="00B75597"/>
    <w:rsid w:val="00B755C0"/>
    <w:rsid w:val="00B755F2"/>
    <w:rsid w:val="00B7560B"/>
    <w:rsid w:val="00B75672"/>
    <w:rsid w:val="00B75699"/>
    <w:rsid w:val="00B75742"/>
    <w:rsid w:val="00B75792"/>
    <w:rsid w:val="00B75808"/>
    <w:rsid w:val="00B75891"/>
    <w:rsid w:val="00B758A4"/>
    <w:rsid w:val="00B759A6"/>
    <w:rsid w:val="00B75A35"/>
    <w:rsid w:val="00B75B0B"/>
    <w:rsid w:val="00B75B3E"/>
    <w:rsid w:val="00B75BD0"/>
    <w:rsid w:val="00B75D03"/>
    <w:rsid w:val="00B75D14"/>
    <w:rsid w:val="00B75D6C"/>
    <w:rsid w:val="00B760FF"/>
    <w:rsid w:val="00B762ED"/>
    <w:rsid w:val="00B763D7"/>
    <w:rsid w:val="00B76493"/>
    <w:rsid w:val="00B764A7"/>
    <w:rsid w:val="00B765A0"/>
    <w:rsid w:val="00B765BA"/>
    <w:rsid w:val="00B76860"/>
    <w:rsid w:val="00B768DA"/>
    <w:rsid w:val="00B7696C"/>
    <w:rsid w:val="00B76A13"/>
    <w:rsid w:val="00B76A95"/>
    <w:rsid w:val="00B76B44"/>
    <w:rsid w:val="00B76B6A"/>
    <w:rsid w:val="00B76C9E"/>
    <w:rsid w:val="00B76E55"/>
    <w:rsid w:val="00B76EA3"/>
    <w:rsid w:val="00B76F4E"/>
    <w:rsid w:val="00B7711C"/>
    <w:rsid w:val="00B771C7"/>
    <w:rsid w:val="00B77260"/>
    <w:rsid w:val="00B773BB"/>
    <w:rsid w:val="00B773E8"/>
    <w:rsid w:val="00B77461"/>
    <w:rsid w:val="00B77508"/>
    <w:rsid w:val="00B77620"/>
    <w:rsid w:val="00B777F0"/>
    <w:rsid w:val="00B7793C"/>
    <w:rsid w:val="00B77A71"/>
    <w:rsid w:val="00B77C01"/>
    <w:rsid w:val="00B77C46"/>
    <w:rsid w:val="00B77DAF"/>
    <w:rsid w:val="00B77E70"/>
    <w:rsid w:val="00B8011F"/>
    <w:rsid w:val="00B801BB"/>
    <w:rsid w:val="00B801E8"/>
    <w:rsid w:val="00B8025A"/>
    <w:rsid w:val="00B802B9"/>
    <w:rsid w:val="00B80387"/>
    <w:rsid w:val="00B804CF"/>
    <w:rsid w:val="00B8073E"/>
    <w:rsid w:val="00B80792"/>
    <w:rsid w:val="00B80821"/>
    <w:rsid w:val="00B808E4"/>
    <w:rsid w:val="00B8096A"/>
    <w:rsid w:val="00B80A7C"/>
    <w:rsid w:val="00B80B95"/>
    <w:rsid w:val="00B80DB8"/>
    <w:rsid w:val="00B80E67"/>
    <w:rsid w:val="00B80F5B"/>
    <w:rsid w:val="00B81088"/>
    <w:rsid w:val="00B8108E"/>
    <w:rsid w:val="00B81170"/>
    <w:rsid w:val="00B8126F"/>
    <w:rsid w:val="00B81304"/>
    <w:rsid w:val="00B8143B"/>
    <w:rsid w:val="00B81444"/>
    <w:rsid w:val="00B8156F"/>
    <w:rsid w:val="00B81633"/>
    <w:rsid w:val="00B81855"/>
    <w:rsid w:val="00B8189A"/>
    <w:rsid w:val="00B8193E"/>
    <w:rsid w:val="00B819DB"/>
    <w:rsid w:val="00B81AEE"/>
    <w:rsid w:val="00B81B61"/>
    <w:rsid w:val="00B81EB6"/>
    <w:rsid w:val="00B82140"/>
    <w:rsid w:val="00B82166"/>
    <w:rsid w:val="00B823E8"/>
    <w:rsid w:val="00B82462"/>
    <w:rsid w:val="00B82663"/>
    <w:rsid w:val="00B826E4"/>
    <w:rsid w:val="00B8273A"/>
    <w:rsid w:val="00B827BD"/>
    <w:rsid w:val="00B8298A"/>
    <w:rsid w:val="00B82C40"/>
    <w:rsid w:val="00B82C8A"/>
    <w:rsid w:val="00B82C9C"/>
    <w:rsid w:val="00B82CA2"/>
    <w:rsid w:val="00B82D68"/>
    <w:rsid w:val="00B82D77"/>
    <w:rsid w:val="00B82D96"/>
    <w:rsid w:val="00B82D98"/>
    <w:rsid w:val="00B82E05"/>
    <w:rsid w:val="00B82F2C"/>
    <w:rsid w:val="00B8347C"/>
    <w:rsid w:val="00B83494"/>
    <w:rsid w:val="00B834B5"/>
    <w:rsid w:val="00B83619"/>
    <w:rsid w:val="00B83686"/>
    <w:rsid w:val="00B83A9A"/>
    <w:rsid w:val="00B83B54"/>
    <w:rsid w:val="00B83B85"/>
    <w:rsid w:val="00B83BB5"/>
    <w:rsid w:val="00B83BE1"/>
    <w:rsid w:val="00B83E39"/>
    <w:rsid w:val="00B842C4"/>
    <w:rsid w:val="00B8436A"/>
    <w:rsid w:val="00B843DF"/>
    <w:rsid w:val="00B84480"/>
    <w:rsid w:val="00B844E2"/>
    <w:rsid w:val="00B844F8"/>
    <w:rsid w:val="00B8459F"/>
    <w:rsid w:val="00B84705"/>
    <w:rsid w:val="00B8474B"/>
    <w:rsid w:val="00B84774"/>
    <w:rsid w:val="00B847D3"/>
    <w:rsid w:val="00B84891"/>
    <w:rsid w:val="00B84A28"/>
    <w:rsid w:val="00B84BBB"/>
    <w:rsid w:val="00B84BC2"/>
    <w:rsid w:val="00B84C93"/>
    <w:rsid w:val="00B84CFF"/>
    <w:rsid w:val="00B84D1A"/>
    <w:rsid w:val="00B84DFE"/>
    <w:rsid w:val="00B84E1F"/>
    <w:rsid w:val="00B84EF1"/>
    <w:rsid w:val="00B84F2F"/>
    <w:rsid w:val="00B84F5C"/>
    <w:rsid w:val="00B84FDF"/>
    <w:rsid w:val="00B85043"/>
    <w:rsid w:val="00B850B3"/>
    <w:rsid w:val="00B85117"/>
    <w:rsid w:val="00B85266"/>
    <w:rsid w:val="00B85507"/>
    <w:rsid w:val="00B85598"/>
    <w:rsid w:val="00B855C4"/>
    <w:rsid w:val="00B855E8"/>
    <w:rsid w:val="00B856F5"/>
    <w:rsid w:val="00B85916"/>
    <w:rsid w:val="00B85A0E"/>
    <w:rsid w:val="00B85AFF"/>
    <w:rsid w:val="00B85D1D"/>
    <w:rsid w:val="00B85D4C"/>
    <w:rsid w:val="00B85D81"/>
    <w:rsid w:val="00B85DA5"/>
    <w:rsid w:val="00B85F93"/>
    <w:rsid w:val="00B85FA0"/>
    <w:rsid w:val="00B86041"/>
    <w:rsid w:val="00B860D5"/>
    <w:rsid w:val="00B8614F"/>
    <w:rsid w:val="00B861C1"/>
    <w:rsid w:val="00B861CE"/>
    <w:rsid w:val="00B86209"/>
    <w:rsid w:val="00B86297"/>
    <w:rsid w:val="00B86306"/>
    <w:rsid w:val="00B863C9"/>
    <w:rsid w:val="00B863DA"/>
    <w:rsid w:val="00B86428"/>
    <w:rsid w:val="00B86514"/>
    <w:rsid w:val="00B86575"/>
    <w:rsid w:val="00B866CE"/>
    <w:rsid w:val="00B8689C"/>
    <w:rsid w:val="00B868E5"/>
    <w:rsid w:val="00B86917"/>
    <w:rsid w:val="00B86A41"/>
    <w:rsid w:val="00B86B4D"/>
    <w:rsid w:val="00B86C4D"/>
    <w:rsid w:val="00B86E2E"/>
    <w:rsid w:val="00B86F61"/>
    <w:rsid w:val="00B86FB1"/>
    <w:rsid w:val="00B87075"/>
    <w:rsid w:val="00B8718E"/>
    <w:rsid w:val="00B872C9"/>
    <w:rsid w:val="00B872DC"/>
    <w:rsid w:val="00B87362"/>
    <w:rsid w:val="00B873A3"/>
    <w:rsid w:val="00B874C2"/>
    <w:rsid w:val="00B87504"/>
    <w:rsid w:val="00B8751C"/>
    <w:rsid w:val="00B8756D"/>
    <w:rsid w:val="00B87573"/>
    <w:rsid w:val="00B8771B"/>
    <w:rsid w:val="00B87755"/>
    <w:rsid w:val="00B877DB"/>
    <w:rsid w:val="00B87871"/>
    <w:rsid w:val="00B87959"/>
    <w:rsid w:val="00B87985"/>
    <w:rsid w:val="00B87A07"/>
    <w:rsid w:val="00B87BE3"/>
    <w:rsid w:val="00B87DE4"/>
    <w:rsid w:val="00B87E6C"/>
    <w:rsid w:val="00B87E94"/>
    <w:rsid w:val="00B87FE0"/>
    <w:rsid w:val="00B902A8"/>
    <w:rsid w:val="00B902AA"/>
    <w:rsid w:val="00B90341"/>
    <w:rsid w:val="00B9049E"/>
    <w:rsid w:val="00B90564"/>
    <w:rsid w:val="00B9076B"/>
    <w:rsid w:val="00B908BD"/>
    <w:rsid w:val="00B908D0"/>
    <w:rsid w:val="00B90CCB"/>
    <w:rsid w:val="00B90DE6"/>
    <w:rsid w:val="00B90E68"/>
    <w:rsid w:val="00B90E6C"/>
    <w:rsid w:val="00B90F3D"/>
    <w:rsid w:val="00B90F96"/>
    <w:rsid w:val="00B9120B"/>
    <w:rsid w:val="00B91433"/>
    <w:rsid w:val="00B9147E"/>
    <w:rsid w:val="00B91496"/>
    <w:rsid w:val="00B914DE"/>
    <w:rsid w:val="00B91945"/>
    <w:rsid w:val="00B91947"/>
    <w:rsid w:val="00B919EC"/>
    <w:rsid w:val="00B91AB1"/>
    <w:rsid w:val="00B91BBF"/>
    <w:rsid w:val="00B91D92"/>
    <w:rsid w:val="00B91F7C"/>
    <w:rsid w:val="00B92472"/>
    <w:rsid w:val="00B924D9"/>
    <w:rsid w:val="00B92615"/>
    <w:rsid w:val="00B926C9"/>
    <w:rsid w:val="00B92721"/>
    <w:rsid w:val="00B92893"/>
    <w:rsid w:val="00B92915"/>
    <w:rsid w:val="00B9296D"/>
    <w:rsid w:val="00B92B7E"/>
    <w:rsid w:val="00B92C92"/>
    <w:rsid w:val="00B92DDC"/>
    <w:rsid w:val="00B92EC2"/>
    <w:rsid w:val="00B92F18"/>
    <w:rsid w:val="00B92FB2"/>
    <w:rsid w:val="00B93126"/>
    <w:rsid w:val="00B9316F"/>
    <w:rsid w:val="00B931ED"/>
    <w:rsid w:val="00B93283"/>
    <w:rsid w:val="00B937A9"/>
    <w:rsid w:val="00B937B9"/>
    <w:rsid w:val="00B93803"/>
    <w:rsid w:val="00B93834"/>
    <w:rsid w:val="00B938F9"/>
    <w:rsid w:val="00B93AD2"/>
    <w:rsid w:val="00B93BA2"/>
    <w:rsid w:val="00B93D3A"/>
    <w:rsid w:val="00B94179"/>
    <w:rsid w:val="00B941A7"/>
    <w:rsid w:val="00B9421F"/>
    <w:rsid w:val="00B9426C"/>
    <w:rsid w:val="00B94272"/>
    <w:rsid w:val="00B942C8"/>
    <w:rsid w:val="00B94334"/>
    <w:rsid w:val="00B943D2"/>
    <w:rsid w:val="00B94548"/>
    <w:rsid w:val="00B946E0"/>
    <w:rsid w:val="00B9483A"/>
    <w:rsid w:val="00B94A04"/>
    <w:rsid w:val="00B94B3E"/>
    <w:rsid w:val="00B94B56"/>
    <w:rsid w:val="00B94BFB"/>
    <w:rsid w:val="00B94C50"/>
    <w:rsid w:val="00B94CDF"/>
    <w:rsid w:val="00B94DB2"/>
    <w:rsid w:val="00B94DDC"/>
    <w:rsid w:val="00B94EA8"/>
    <w:rsid w:val="00B94F78"/>
    <w:rsid w:val="00B951A2"/>
    <w:rsid w:val="00B95242"/>
    <w:rsid w:val="00B95350"/>
    <w:rsid w:val="00B9537F"/>
    <w:rsid w:val="00B9557F"/>
    <w:rsid w:val="00B9559A"/>
    <w:rsid w:val="00B955C0"/>
    <w:rsid w:val="00B95625"/>
    <w:rsid w:val="00B956F4"/>
    <w:rsid w:val="00B9575F"/>
    <w:rsid w:val="00B95840"/>
    <w:rsid w:val="00B958F1"/>
    <w:rsid w:val="00B95BD5"/>
    <w:rsid w:val="00B95CBB"/>
    <w:rsid w:val="00B95F1B"/>
    <w:rsid w:val="00B96013"/>
    <w:rsid w:val="00B9610D"/>
    <w:rsid w:val="00B961C6"/>
    <w:rsid w:val="00B96271"/>
    <w:rsid w:val="00B96308"/>
    <w:rsid w:val="00B96323"/>
    <w:rsid w:val="00B96546"/>
    <w:rsid w:val="00B9659B"/>
    <w:rsid w:val="00B96855"/>
    <w:rsid w:val="00B968A9"/>
    <w:rsid w:val="00B96B4E"/>
    <w:rsid w:val="00B96B87"/>
    <w:rsid w:val="00B96C4A"/>
    <w:rsid w:val="00B96CBD"/>
    <w:rsid w:val="00B96CF2"/>
    <w:rsid w:val="00B96EDE"/>
    <w:rsid w:val="00B97080"/>
    <w:rsid w:val="00B97222"/>
    <w:rsid w:val="00B97436"/>
    <w:rsid w:val="00B975CE"/>
    <w:rsid w:val="00B97618"/>
    <w:rsid w:val="00B97730"/>
    <w:rsid w:val="00B97ABD"/>
    <w:rsid w:val="00B97B40"/>
    <w:rsid w:val="00B97B69"/>
    <w:rsid w:val="00B97B9B"/>
    <w:rsid w:val="00B97C93"/>
    <w:rsid w:val="00B97E3F"/>
    <w:rsid w:val="00B97EA3"/>
    <w:rsid w:val="00B97F20"/>
    <w:rsid w:val="00B97FAD"/>
    <w:rsid w:val="00BA015A"/>
    <w:rsid w:val="00BA015F"/>
    <w:rsid w:val="00BA03D6"/>
    <w:rsid w:val="00BA0483"/>
    <w:rsid w:val="00BA0508"/>
    <w:rsid w:val="00BA0578"/>
    <w:rsid w:val="00BA05FA"/>
    <w:rsid w:val="00BA060B"/>
    <w:rsid w:val="00BA06D1"/>
    <w:rsid w:val="00BA0943"/>
    <w:rsid w:val="00BA09FF"/>
    <w:rsid w:val="00BA0B1F"/>
    <w:rsid w:val="00BA0BE3"/>
    <w:rsid w:val="00BA0C1C"/>
    <w:rsid w:val="00BA0C4B"/>
    <w:rsid w:val="00BA0FE0"/>
    <w:rsid w:val="00BA1060"/>
    <w:rsid w:val="00BA12B3"/>
    <w:rsid w:val="00BA14A8"/>
    <w:rsid w:val="00BA14C8"/>
    <w:rsid w:val="00BA15DF"/>
    <w:rsid w:val="00BA1601"/>
    <w:rsid w:val="00BA165D"/>
    <w:rsid w:val="00BA1712"/>
    <w:rsid w:val="00BA1887"/>
    <w:rsid w:val="00BA192A"/>
    <w:rsid w:val="00BA1A65"/>
    <w:rsid w:val="00BA1A87"/>
    <w:rsid w:val="00BA1AA3"/>
    <w:rsid w:val="00BA1B85"/>
    <w:rsid w:val="00BA1CDC"/>
    <w:rsid w:val="00BA1FA9"/>
    <w:rsid w:val="00BA223E"/>
    <w:rsid w:val="00BA2290"/>
    <w:rsid w:val="00BA2369"/>
    <w:rsid w:val="00BA239B"/>
    <w:rsid w:val="00BA23D9"/>
    <w:rsid w:val="00BA244A"/>
    <w:rsid w:val="00BA249B"/>
    <w:rsid w:val="00BA2551"/>
    <w:rsid w:val="00BA27E7"/>
    <w:rsid w:val="00BA2A45"/>
    <w:rsid w:val="00BA2B1A"/>
    <w:rsid w:val="00BA2D00"/>
    <w:rsid w:val="00BA2F91"/>
    <w:rsid w:val="00BA3605"/>
    <w:rsid w:val="00BA3693"/>
    <w:rsid w:val="00BA387D"/>
    <w:rsid w:val="00BA3B80"/>
    <w:rsid w:val="00BA3C2A"/>
    <w:rsid w:val="00BA3E40"/>
    <w:rsid w:val="00BA3EDD"/>
    <w:rsid w:val="00BA3F06"/>
    <w:rsid w:val="00BA3F3C"/>
    <w:rsid w:val="00BA3F6B"/>
    <w:rsid w:val="00BA3FB2"/>
    <w:rsid w:val="00BA3FEC"/>
    <w:rsid w:val="00BA4003"/>
    <w:rsid w:val="00BA40DB"/>
    <w:rsid w:val="00BA41BB"/>
    <w:rsid w:val="00BA4231"/>
    <w:rsid w:val="00BA429B"/>
    <w:rsid w:val="00BA42AC"/>
    <w:rsid w:val="00BA42BF"/>
    <w:rsid w:val="00BA4338"/>
    <w:rsid w:val="00BA443F"/>
    <w:rsid w:val="00BA4451"/>
    <w:rsid w:val="00BA44BF"/>
    <w:rsid w:val="00BA44EA"/>
    <w:rsid w:val="00BA4563"/>
    <w:rsid w:val="00BA463A"/>
    <w:rsid w:val="00BA47C5"/>
    <w:rsid w:val="00BA4869"/>
    <w:rsid w:val="00BA48C4"/>
    <w:rsid w:val="00BA492C"/>
    <w:rsid w:val="00BA49EC"/>
    <w:rsid w:val="00BA4AA2"/>
    <w:rsid w:val="00BA4B1C"/>
    <w:rsid w:val="00BA4BA0"/>
    <w:rsid w:val="00BA4BF9"/>
    <w:rsid w:val="00BA4ED3"/>
    <w:rsid w:val="00BA4F21"/>
    <w:rsid w:val="00BA4F8F"/>
    <w:rsid w:val="00BA4F91"/>
    <w:rsid w:val="00BA5086"/>
    <w:rsid w:val="00BA5252"/>
    <w:rsid w:val="00BA52B2"/>
    <w:rsid w:val="00BA5361"/>
    <w:rsid w:val="00BA5672"/>
    <w:rsid w:val="00BA5692"/>
    <w:rsid w:val="00BA5723"/>
    <w:rsid w:val="00BA57B7"/>
    <w:rsid w:val="00BA58E3"/>
    <w:rsid w:val="00BA5966"/>
    <w:rsid w:val="00BA5B67"/>
    <w:rsid w:val="00BA5B82"/>
    <w:rsid w:val="00BA5C3B"/>
    <w:rsid w:val="00BA5C54"/>
    <w:rsid w:val="00BA5C85"/>
    <w:rsid w:val="00BA5FCC"/>
    <w:rsid w:val="00BA60EC"/>
    <w:rsid w:val="00BA63C1"/>
    <w:rsid w:val="00BA64F7"/>
    <w:rsid w:val="00BA65D2"/>
    <w:rsid w:val="00BA66A2"/>
    <w:rsid w:val="00BA66C9"/>
    <w:rsid w:val="00BA67A1"/>
    <w:rsid w:val="00BA67A8"/>
    <w:rsid w:val="00BA681A"/>
    <w:rsid w:val="00BA6861"/>
    <w:rsid w:val="00BA692D"/>
    <w:rsid w:val="00BA6A1F"/>
    <w:rsid w:val="00BA6BC7"/>
    <w:rsid w:val="00BA6C88"/>
    <w:rsid w:val="00BA6DD4"/>
    <w:rsid w:val="00BA6DFB"/>
    <w:rsid w:val="00BA6F53"/>
    <w:rsid w:val="00BA70E2"/>
    <w:rsid w:val="00BA7358"/>
    <w:rsid w:val="00BA74BF"/>
    <w:rsid w:val="00BA7724"/>
    <w:rsid w:val="00BA7747"/>
    <w:rsid w:val="00BA79A1"/>
    <w:rsid w:val="00BA79A6"/>
    <w:rsid w:val="00BA7A39"/>
    <w:rsid w:val="00BA7B07"/>
    <w:rsid w:val="00BA7BBA"/>
    <w:rsid w:val="00BA7BE7"/>
    <w:rsid w:val="00BA7CD9"/>
    <w:rsid w:val="00BA7DD0"/>
    <w:rsid w:val="00BA7DD9"/>
    <w:rsid w:val="00BA7DF3"/>
    <w:rsid w:val="00BA7E1C"/>
    <w:rsid w:val="00BB002C"/>
    <w:rsid w:val="00BB022B"/>
    <w:rsid w:val="00BB0243"/>
    <w:rsid w:val="00BB040F"/>
    <w:rsid w:val="00BB04E0"/>
    <w:rsid w:val="00BB05CD"/>
    <w:rsid w:val="00BB06F2"/>
    <w:rsid w:val="00BB08AF"/>
    <w:rsid w:val="00BB09C6"/>
    <w:rsid w:val="00BB0A99"/>
    <w:rsid w:val="00BB0B87"/>
    <w:rsid w:val="00BB0DC5"/>
    <w:rsid w:val="00BB0E49"/>
    <w:rsid w:val="00BB0ED4"/>
    <w:rsid w:val="00BB0F5D"/>
    <w:rsid w:val="00BB1098"/>
    <w:rsid w:val="00BB14CF"/>
    <w:rsid w:val="00BB1623"/>
    <w:rsid w:val="00BB16F4"/>
    <w:rsid w:val="00BB18B9"/>
    <w:rsid w:val="00BB1917"/>
    <w:rsid w:val="00BB193F"/>
    <w:rsid w:val="00BB1993"/>
    <w:rsid w:val="00BB1B3D"/>
    <w:rsid w:val="00BB1B93"/>
    <w:rsid w:val="00BB1BD9"/>
    <w:rsid w:val="00BB1CE5"/>
    <w:rsid w:val="00BB1CE8"/>
    <w:rsid w:val="00BB1D69"/>
    <w:rsid w:val="00BB1E6C"/>
    <w:rsid w:val="00BB1E99"/>
    <w:rsid w:val="00BB1F48"/>
    <w:rsid w:val="00BB1F8B"/>
    <w:rsid w:val="00BB1FA5"/>
    <w:rsid w:val="00BB21A2"/>
    <w:rsid w:val="00BB23D5"/>
    <w:rsid w:val="00BB26AC"/>
    <w:rsid w:val="00BB2770"/>
    <w:rsid w:val="00BB2795"/>
    <w:rsid w:val="00BB283E"/>
    <w:rsid w:val="00BB2875"/>
    <w:rsid w:val="00BB2896"/>
    <w:rsid w:val="00BB2899"/>
    <w:rsid w:val="00BB29EF"/>
    <w:rsid w:val="00BB2A1F"/>
    <w:rsid w:val="00BB2A72"/>
    <w:rsid w:val="00BB2AE7"/>
    <w:rsid w:val="00BB2B08"/>
    <w:rsid w:val="00BB2B3C"/>
    <w:rsid w:val="00BB2CAE"/>
    <w:rsid w:val="00BB2CD6"/>
    <w:rsid w:val="00BB2FA8"/>
    <w:rsid w:val="00BB3045"/>
    <w:rsid w:val="00BB30B1"/>
    <w:rsid w:val="00BB30CB"/>
    <w:rsid w:val="00BB30FD"/>
    <w:rsid w:val="00BB31A8"/>
    <w:rsid w:val="00BB31C8"/>
    <w:rsid w:val="00BB335B"/>
    <w:rsid w:val="00BB3423"/>
    <w:rsid w:val="00BB3462"/>
    <w:rsid w:val="00BB357F"/>
    <w:rsid w:val="00BB35F4"/>
    <w:rsid w:val="00BB3722"/>
    <w:rsid w:val="00BB374F"/>
    <w:rsid w:val="00BB3806"/>
    <w:rsid w:val="00BB3846"/>
    <w:rsid w:val="00BB39EE"/>
    <w:rsid w:val="00BB3A16"/>
    <w:rsid w:val="00BB3A58"/>
    <w:rsid w:val="00BB3AC5"/>
    <w:rsid w:val="00BB3EE8"/>
    <w:rsid w:val="00BB3F15"/>
    <w:rsid w:val="00BB4065"/>
    <w:rsid w:val="00BB4390"/>
    <w:rsid w:val="00BB44BC"/>
    <w:rsid w:val="00BB44EE"/>
    <w:rsid w:val="00BB452F"/>
    <w:rsid w:val="00BB45BA"/>
    <w:rsid w:val="00BB46C9"/>
    <w:rsid w:val="00BB4964"/>
    <w:rsid w:val="00BB49DD"/>
    <w:rsid w:val="00BB4AD5"/>
    <w:rsid w:val="00BB4BBD"/>
    <w:rsid w:val="00BB4BE6"/>
    <w:rsid w:val="00BB4DEB"/>
    <w:rsid w:val="00BB4E0F"/>
    <w:rsid w:val="00BB4E11"/>
    <w:rsid w:val="00BB4E3E"/>
    <w:rsid w:val="00BB4F90"/>
    <w:rsid w:val="00BB508F"/>
    <w:rsid w:val="00BB50D3"/>
    <w:rsid w:val="00BB50E8"/>
    <w:rsid w:val="00BB5253"/>
    <w:rsid w:val="00BB54CF"/>
    <w:rsid w:val="00BB5540"/>
    <w:rsid w:val="00BB5626"/>
    <w:rsid w:val="00BB563F"/>
    <w:rsid w:val="00BB56FF"/>
    <w:rsid w:val="00BB574B"/>
    <w:rsid w:val="00BB57E5"/>
    <w:rsid w:val="00BB57EF"/>
    <w:rsid w:val="00BB589C"/>
    <w:rsid w:val="00BB5986"/>
    <w:rsid w:val="00BB5D04"/>
    <w:rsid w:val="00BB5D59"/>
    <w:rsid w:val="00BB5DC7"/>
    <w:rsid w:val="00BB5E57"/>
    <w:rsid w:val="00BB5E98"/>
    <w:rsid w:val="00BB5EB5"/>
    <w:rsid w:val="00BB62EF"/>
    <w:rsid w:val="00BB6355"/>
    <w:rsid w:val="00BB6380"/>
    <w:rsid w:val="00BB63B7"/>
    <w:rsid w:val="00BB642D"/>
    <w:rsid w:val="00BB652D"/>
    <w:rsid w:val="00BB653C"/>
    <w:rsid w:val="00BB65D1"/>
    <w:rsid w:val="00BB667B"/>
    <w:rsid w:val="00BB669D"/>
    <w:rsid w:val="00BB6758"/>
    <w:rsid w:val="00BB6891"/>
    <w:rsid w:val="00BB6950"/>
    <w:rsid w:val="00BB6A54"/>
    <w:rsid w:val="00BB6AC1"/>
    <w:rsid w:val="00BB6C0B"/>
    <w:rsid w:val="00BB6D1E"/>
    <w:rsid w:val="00BB6D90"/>
    <w:rsid w:val="00BB6DBD"/>
    <w:rsid w:val="00BB6F9F"/>
    <w:rsid w:val="00BB7015"/>
    <w:rsid w:val="00BB7215"/>
    <w:rsid w:val="00BB7476"/>
    <w:rsid w:val="00BB75A9"/>
    <w:rsid w:val="00BB75B2"/>
    <w:rsid w:val="00BB77DA"/>
    <w:rsid w:val="00BB7801"/>
    <w:rsid w:val="00BB780C"/>
    <w:rsid w:val="00BB7844"/>
    <w:rsid w:val="00BB7A34"/>
    <w:rsid w:val="00BB7A51"/>
    <w:rsid w:val="00BB7B92"/>
    <w:rsid w:val="00BB7C40"/>
    <w:rsid w:val="00BB7CF8"/>
    <w:rsid w:val="00BB7E6F"/>
    <w:rsid w:val="00BB7E93"/>
    <w:rsid w:val="00BB7EFB"/>
    <w:rsid w:val="00BB7F44"/>
    <w:rsid w:val="00BC00B1"/>
    <w:rsid w:val="00BC01B2"/>
    <w:rsid w:val="00BC023E"/>
    <w:rsid w:val="00BC035A"/>
    <w:rsid w:val="00BC03A6"/>
    <w:rsid w:val="00BC06E6"/>
    <w:rsid w:val="00BC073C"/>
    <w:rsid w:val="00BC0B7E"/>
    <w:rsid w:val="00BC0BEE"/>
    <w:rsid w:val="00BC0C74"/>
    <w:rsid w:val="00BC0CB7"/>
    <w:rsid w:val="00BC0CCF"/>
    <w:rsid w:val="00BC0D54"/>
    <w:rsid w:val="00BC0DC4"/>
    <w:rsid w:val="00BC0DEF"/>
    <w:rsid w:val="00BC0F26"/>
    <w:rsid w:val="00BC0F61"/>
    <w:rsid w:val="00BC0F81"/>
    <w:rsid w:val="00BC119C"/>
    <w:rsid w:val="00BC1204"/>
    <w:rsid w:val="00BC1261"/>
    <w:rsid w:val="00BC1484"/>
    <w:rsid w:val="00BC1490"/>
    <w:rsid w:val="00BC16E4"/>
    <w:rsid w:val="00BC1876"/>
    <w:rsid w:val="00BC1A2F"/>
    <w:rsid w:val="00BC1AC2"/>
    <w:rsid w:val="00BC1CE2"/>
    <w:rsid w:val="00BC1E44"/>
    <w:rsid w:val="00BC1EB0"/>
    <w:rsid w:val="00BC1F20"/>
    <w:rsid w:val="00BC1F25"/>
    <w:rsid w:val="00BC1FE3"/>
    <w:rsid w:val="00BC2100"/>
    <w:rsid w:val="00BC2222"/>
    <w:rsid w:val="00BC22B2"/>
    <w:rsid w:val="00BC22D6"/>
    <w:rsid w:val="00BC24F8"/>
    <w:rsid w:val="00BC26BB"/>
    <w:rsid w:val="00BC280F"/>
    <w:rsid w:val="00BC2914"/>
    <w:rsid w:val="00BC29EB"/>
    <w:rsid w:val="00BC2AA6"/>
    <w:rsid w:val="00BC2CE9"/>
    <w:rsid w:val="00BC2D64"/>
    <w:rsid w:val="00BC31AB"/>
    <w:rsid w:val="00BC3296"/>
    <w:rsid w:val="00BC32B6"/>
    <w:rsid w:val="00BC332F"/>
    <w:rsid w:val="00BC34A8"/>
    <w:rsid w:val="00BC3708"/>
    <w:rsid w:val="00BC3815"/>
    <w:rsid w:val="00BC3826"/>
    <w:rsid w:val="00BC3837"/>
    <w:rsid w:val="00BC394C"/>
    <w:rsid w:val="00BC3B73"/>
    <w:rsid w:val="00BC3BD5"/>
    <w:rsid w:val="00BC3C16"/>
    <w:rsid w:val="00BC3EB0"/>
    <w:rsid w:val="00BC3EE8"/>
    <w:rsid w:val="00BC415A"/>
    <w:rsid w:val="00BC4208"/>
    <w:rsid w:val="00BC4294"/>
    <w:rsid w:val="00BC43C3"/>
    <w:rsid w:val="00BC44DB"/>
    <w:rsid w:val="00BC4512"/>
    <w:rsid w:val="00BC45FE"/>
    <w:rsid w:val="00BC47B4"/>
    <w:rsid w:val="00BC4869"/>
    <w:rsid w:val="00BC48F5"/>
    <w:rsid w:val="00BC493E"/>
    <w:rsid w:val="00BC4CE8"/>
    <w:rsid w:val="00BC4EBD"/>
    <w:rsid w:val="00BC4EC2"/>
    <w:rsid w:val="00BC4F16"/>
    <w:rsid w:val="00BC4FDB"/>
    <w:rsid w:val="00BC5110"/>
    <w:rsid w:val="00BC515F"/>
    <w:rsid w:val="00BC541B"/>
    <w:rsid w:val="00BC546D"/>
    <w:rsid w:val="00BC548F"/>
    <w:rsid w:val="00BC54FA"/>
    <w:rsid w:val="00BC554E"/>
    <w:rsid w:val="00BC5709"/>
    <w:rsid w:val="00BC583D"/>
    <w:rsid w:val="00BC5851"/>
    <w:rsid w:val="00BC5A53"/>
    <w:rsid w:val="00BC5B5A"/>
    <w:rsid w:val="00BC5B95"/>
    <w:rsid w:val="00BC5C1B"/>
    <w:rsid w:val="00BC5CE7"/>
    <w:rsid w:val="00BC5DE5"/>
    <w:rsid w:val="00BC5E00"/>
    <w:rsid w:val="00BC5E7A"/>
    <w:rsid w:val="00BC5F2D"/>
    <w:rsid w:val="00BC5FDE"/>
    <w:rsid w:val="00BC6199"/>
    <w:rsid w:val="00BC61A8"/>
    <w:rsid w:val="00BC6210"/>
    <w:rsid w:val="00BC6245"/>
    <w:rsid w:val="00BC62A7"/>
    <w:rsid w:val="00BC6436"/>
    <w:rsid w:val="00BC647A"/>
    <w:rsid w:val="00BC64F4"/>
    <w:rsid w:val="00BC6673"/>
    <w:rsid w:val="00BC68D9"/>
    <w:rsid w:val="00BC69AE"/>
    <w:rsid w:val="00BC6A1F"/>
    <w:rsid w:val="00BC6ABD"/>
    <w:rsid w:val="00BC6B19"/>
    <w:rsid w:val="00BC6C31"/>
    <w:rsid w:val="00BC6D25"/>
    <w:rsid w:val="00BC6D47"/>
    <w:rsid w:val="00BC6DF0"/>
    <w:rsid w:val="00BC6E48"/>
    <w:rsid w:val="00BC7137"/>
    <w:rsid w:val="00BC71E6"/>
    <w:rsid w:val="00BC7223"/>
    <w:rsid w:val="00BC7461"/>
    <w:rsid w:val="00BC74BD"/>
    <w:rsid w:val="00BC75EB"/>
    <w:rsid w:val="00BC7650"/>
    <w:rsid w:val="00BC766F"/>
    <w:rsid w:val="00BC772B"/>
    <w:rsid w:val="00BC7814"/>
    <w:rsid w:val="00BC787A"/>
    <w:rsid w:val="00BC7989"/>
    <w:rsid w:val="00BC798B"/>
    <w:rsid w:val="00BC7B7B"/>
    <w:rsid w:val="00BC7E73"/>
    <w:rsid w:val="00BC7E92"/>
    <w:rsid w:val="00BC7F60"/>
    <w:rsid w:val="00BD0064"/>
    <w:rsid w:val="00BD0105"/>
    <w:rsid w:val="00BD011C"/>
    <w:rsid w:val="00BD029D"/>
    <w:rsid w:val="00BD02DF"/>
    <w:rsid w:val="00BD02FC"/>
    <w:rsid w:val="00BD0667"/>
    <w:rsid w:val="00BD0809"/>
    <w:rsid w:val="00BD0881"/>
    <w:rsid w:val="00BD0885"/>
    <w:rsid w:val="00BD0954"/>
    <w:rsid w:val="00BD0A7C"/>
    <w:rsid w:val="00BD0AAB"/>
    <w:rsid w:val="00BD0B70"/>
    <w:rsid w:val="00BD0BEB"/>
    <w:rsid w:val="00BD0C39"/>
    <w:rsid w:val="00BD0D16"/>
    <w:rsid w:val="00BD0FC8"/>
    <w:rsid w:val="00BD1012"/>
    <w:rsid w:val="00BD10C8"/>
    <w:rsid w:val="00BD116D"/>
    <w:rsid w:val="00BD12DB"/>
    <w:rsid w:val="00BD137A"/>
    <w:rsid w:val="00BD13BE"/>
    <w:rsid w:val="00BD13C4"/>
    <w:rsid w:val="00BD14DE"/>
    <w:rsid w:val="00BD151B"/>
    <w:rsid w:val="00BD1642"/>
    <w:rsid w:val="00BD165A"/>
    <w:rsid w:val="00BD1722"/>
    <w:rsid w:val="00BD18D4"/>
    <w:rsid w:val="00BD19DE"/>
    <w:rsid w:val="00BD1A6A"/>
    <w:rsid w:val="00BD1AB3"/>
    <w:rsid w:val="00BD1AD3"/>
    <w:rsid w:val="00BD1BA6"/>
    <w:rsid w:val="00BD1BC4"/>
    <w:rsid w:val="00BD1C88"/>
    <w:rsid w:val="00BD1D8C"/>
    <w:rsid w:val="00BD1FBD"/>
    <w:rsid w:val="00BD20F1"/>
    <w:rsid w:val="00BD2138"/>
    <w:rsid w:val="00BD2147"/>
    <w:rsid w:val="00BD2228"/>
    <w:rsid w:val="00BD232A"/>
    <w:rsid w:val="00BD2412"/>
    <w:rsid w:val="00BD24E9"/>
    <w:rsid w:val="00BD250E"/>
    <w:rsid w:val="00BD253B"/>
    <w:rsid w:val="00BD257E"/>
    <w:rsid w:val="00BD25EC"/>
    <w:rsid w:val="00BD2735"/>
    <w:rsid w:val="00BD2788"/>
    <w:rsid w:val="00BD27BB"/>
    <w:rsid w:val="00BD27D2"/>
    <w:rsid w:val="00BD2895"/>
    <w:rsid w:val="00BD289A"/>
    <w:rsid w:val="00BD28A5"/>
    <w:rsid w:val="00BD29A0"/>
    <w:rsid w:val="00BD29CB"/>
    <w:rsid w:val="00BD2AB8"/>
    <w:rsid w:val="00BD2CB5"/>
    <w:rsid w:val="00BD2DBE"/>
    <w:rsid w:val="00BD2FC6"/>
    <w:rsid w:val="00BD2FD1"/>
    <w:rsid w:val="00BD30C0"/>
    <w:rsid w:val="00BD31CA"/>
    <w:rsid w:val="00BD3284"/>
    <w:rsid w:val="00BD328C"/>
    <w:rsid w:val="00BD32CE"/>
    <w:rsid w:val="00BD3384"/>
    <w:rsid w:val="00BD3518"/>
    <w:rsid w:val="00BD392B"/>
    <w:rsid w:val="00BD39A1"/>
    <w:rsid w:val="00BD3A26"/>
    <w:rsid w:val="00BD3C68"/>
    <w:rsid w:val="00BD3CFA"/>
    <w:rsid w:val="00BD3D82"/>
    <w:rsid w:val="00BD3DF2"/>
    <w:rsid w:val="00BD3ED3"/>
    <w:rsid w:val="00BD3F35"/>
    <w:rsid w:val="00BD3F6D"/>
    <w:rsid w:val="00BD3FC9"/>
    <w:rsid w:val="00BD4059"/>
    <w:rsid w:val="00BD41DB"/>
    <w:rsid w:val="00BD421E"/>
    <w:rsid w:val="00BD423F"/>
    <w:rsid w:val="00BD4250"/>
    <w:rsid w:val="00BD425D"/>
    <w:rsid w:val="00BD4315"/>
    <w:rsid w:val="00BD456D"/>
    <w:rsid w:val="00BD4650"/>
    <w:rsid w:val="00BD4678"/>
    <w:rsid w:val="00BD4711"/>
    <w:rsid w:val="00BD4754"/>
    <w:rsid w:val="00BD47FB"/>
    <w:rsid w:val="00BD4908"/>
    <w:rsid w:val="00BD4A52"/>
    <w:rsid w:val="00BD4ACF"/>
    <w:rsid w:val="00BD4B2E"/>
    <w:rsid w:val="00BD4B8F"/>
    <w:rsid w:val="00BD4C03"/>
    <w:rsid w:val="00BD4EDC"/>
    <w:rsid w:val="00BD4F28"/>
    <w:rsid w:val="00BD4F3F"/>
    <w:rsid w:val="00BD4FDA"/>
    <w:rsid w:val="00BD50A8"/>
    <w:rsid w:val="00BD511F"/>
    <w:rsid w:val="00BD51AE"/>
    <w:rsid w:val="00BD51E2"/>
    <w:rsid w:val="00BD52E0"/>
    <w:rsid w:val="00BD5493"/>
    <w:rsid w:val="00BD551C"/>
    <w:rsid w:val="00BD55A5"/>
    <w:rsid w:val="00BD5A25"/>
    <w:rsid w:val="00BD5BE7"/>
    <w:rsid w:val="00BD5DCF"/>
    <w:rsid w:val="00BD5DD2"/>
    <w:rsid w:val="00BD6044"/>
    <w:rsid w:val="00BD60F3"/>
    <w:rsid w:val="00BD616E"/>
    <w:rsid w:val="00BD61E9"/>
    <w:rsid w:val="00BD64BF"/>
    <w:rsid w:val="00BD65A2"/>
    <w:rsid w:val="00BD65E3"/>
    <w:rsid w:val="00BD6621"/>
    <w:rsid w:val="00BD6741"/>
    <w:rsid w:val="00BD67A6"/>
    <w:rsid w:val="00BD6835"/>
    <w:rsid w:val="00BD684D"/>
    <w:rsid w:val="00BD68A3"/>
    <w:rsid w:val="00BD6ACD"/>
    <w:rsid w:val="00BD6BFB"/>
    <w:rsid w:val="00BD6C5E"/>
    <w:rsid w:val="00BD6CDF"/>
    <w:rsid w:val="00BD6CF8"/>
    <w:rsid w:val="00BD6D2E"/>
    <w:rsid w:val="00BD6DB4"/>
    <w:rsid w:val="00BD6E76"/>
    <w:rsid w:val="00BD6FDF"/>
    <w:rsid w:val="00BD7057"/>
    <w:rsid w:val="00BD70C2"/>
    <w:rsid w:val="00BD70D2"/>
    <w:rsid w:val="00BD723A"/>
    <w:rsid w:val="00BD724C"/>
    <w:rsid w:val="00BD725F"/>
    <w:rsid w:val="00BD72D6"/>
    <w:rsid w:val="00BD76AE"/>
    <w:rsid w:val="00BD76DC"/>
    <w:rsid w:val="00BD771E"/>
    <w:rsid w:val="00BD7832"/>
    <w:rsid w:val="00BD7900"/>
    <w:rsid w:val="00BD796B"/>
    <w:rsid w:val="00BD79A6"/>
    <w:rsid w:val="00BD7AB3"/>
    <w:rsid w:val="00BD7B4A"/>
    <w:rsid w:val="00BD7B59"/>
    <w:rsid w:val="00BD7BD3"/>
    <w:rsid w:val="00BD7C8F"/>
    <w:rsid w:val="00BD7C92"/>
    <w:rsid w:val="00BD7D6C"/>
    <w:rsid w:val="00BD7DF8"/>
    <w:rsid w:val="00BD7E17"/>
    <w:rsid w:val="00BD7E2E"/>
    <w:rsid w:val="00BD7E45"/>
    <w:rsid w:val="00BD7ECE"/>
    <w:rsid w:val="00BD7FC7"/>
    <w:rsid w:val="00BE022C"/>
    <w:rsid w:val="00BE0403"/>
    <w:rsid w:val="00BE04B0"/>
    <w:rsid w:val="00BE05B4"/>
    <w:rsid w:val="00BE05ED"/>
    <w:rsid w:val="00BE08A9"/>
    <w:rsid w:val="00BE0A83"/>
    <w:rsid w:val="00BE0C5B"/>
    <w:rsid w:val="00BE0D21"/>
    <w:rsid w:val="00BE0DDA"/>
    <w:rsid w:val="00BE0DF5"/>
    <w:rsid w:val="00BE0E7C"/>
    <w:rsid w:val="00BE0EE5"/>
    <w:rsid w:val="00BE0EFD"/>
    <w:rsid w:val="00BE0FE2"/>
    <w:rsid w:val="00BE0FEB"/>
    <w:rsid w:val="00BE1114"/>
    <w:rsid w:val="00BE115D"/>
    <w:rsid w:val="00BE1283"/>
    <w:rsid w:val="00BE1329"/>
    <w:rsid w:val="00BE1403"/>
    <w:rsid w:val="00BE1445"/>
    <w:rsid w:val="00BE1459"/>
    <w:rsid w:val="00BE14E5"/>
    <w:rsid w:val="00BE14F7"/>
    <w:rsid w:val="00BE184E"/>
    <w:rsid w:val="00BE1AAF"/>
    <w:rsid w:val="00BE1B0D"/>
    <w:rsid w:val="00BE1B57"/>
    <w:rsid w:val="00BE1C7F"/>
    <w:rsid w:val="00BE1C9C"/>
    <w:rsid w:val="00BE1CAF"/>
    <w:rsid w:val="00BE1D3B"/>
    <w:rsid w:val="00BE1D4F"/>
    <w:rsid w:val="00BE1D9C"/>
    <w:rsid w:val="00BE2042"/>
    <w:rsid w:val="00BE20BD"/>
    <w:rsid w:val="00BE213B"/>
    <w:rsid w:val="00BE21DE"/>
    <w:rsid w:val="00BE2200"/>
    <w:rsid w:val="00BE2238"/>
    <w:rsid w:val="00BE226F"/>
    <w:rsid w:val="00BE22B6"/>
    <w:rsid w:val="00BE2422"/>
    <w:rsid w:val="00BE2478"/>
    <w:rsid w:val="00BE24AD"/>
    <w:rsid w:val="00BE2514"/>
    <w:rsid w:val="00BE25DA"/>
    <w:rsid w:val="00BE268B"/>
    <w:rsid w:val="00BE26AB"/>
    <w:rsid w:val="00BE26DB"/>
    <w:rsid w:val="00BE2895"/>
    <w:rsid w:val="00BE28CB"/>
    <w:rsid w:val="00BE28CD"/>
    <w:rsid w:val="00BE2C7C"/>
    <w:rsid w:val="00BE2C94"/>
    <w:rsid w:val="00BE2D1A"/>
    <w:rsid w:val="00BE2DEA"/>
    <w:rsid w:val="00BE2EC6"/>
    <w:rsid w:val="00BE3035"/>
    <w:rsid w:val="00BE3267"/>
    <w:rsid w:val="00BE32C9"/>
    <w:rsid w:val="00BE3428"/>
    <w:rsid w:val="00BE351F"/>
    <w:rsid w:val="00BE37CD"/>
    <w:rsid w:val="00BE3854"/>
    <w:rsid w:val="00BE3901"/>
    <w:rsid w:val="00BE3A79"/>
    <w:rsid w:val="00BE3D2D"/>
    <w:rsid w:val="00BE3D80"/>
    <w:rsid w:val="00BE3E94"/>
    <w:rsid w:val="00BE409D"/>
    <w:rsid w:val="00BE422E"/>
    <w:rsid w:val="00BE42BD"/>
    <w:rsid w:val="00BE433A"/>
    <w:rsid w:val="00BE43C4"/>
    <w:rsid w:val="00BE458D"/>
    <w:rsid w:val="00BE47E0"/>
    <w:rsid w:val="00BE4860"/>
    <w:rsid w:val="00BE4940"/>
    <w:rsid w:val="00BE4A32"/>
    <w:rsid w:val="00BE4AB0"/>
    <w:rsid w:val="00BE4D95"/>
    <w:rsid w:val="00BE4DE4"/>
    <w:rsid w:val="00BE4F8F"/>
    <w:rsid w:val="00BE5033"/>
    <w:rsid w:val="00BE504F"/>
    <w:rsid w:val="00BE5133"/>
    <w:rsid w:val="00BE513B"/>
    <w:rsid w:val="00BE5148"/>
    <w:rsid w:val="00BE52A7"/>
    <w:rsid w:val="00BE52BC"/>
    <w:rsid w:val="00BE531B"/>
    <w:rsid w:val="00BE5726"/>
    <w:rsid w:val="00BE588B"/>
    <w:rsid w:val="00BE58FA"/>
    <w:rsid w:val="00BE59BE"/>
    <w:rsid w:val="00BE5A0D"/>
    <w:rsid w:val="00BE5C2C"/>
    <w:rsid w:val="00BE5D36"/>
    <w:rsid w:val="00BE5D4E"/>
    <w:rsid w:val="00BE5EB6"/>
    <w:rsid w:val="00BE5FCA"/>
    <w:rsid w:val="00BE6099"/>
    <w:rsid w:val="00BE60AB"/>
    <w:rsid w:val="00BE60AD"/>
    <w:rsid w:val="00BE6128"/>
    <w:rsid w:val="00BE636E"/>
    <w:rsid w:val="00BE6550"/>
    <w:rsid w:val="00BE6752"/>
    <w:rsid w:val="00BE6875"/>
    <w:rsid w:val="00BE688F"/>
    <w:rsid w:val="00BE68D9"/>
    <w:rsid w:val="00BE692F"/>
    <w:rsid w:val="00BE69EB"/>
    <w:rsid w:val="00BE6AEA"/>
    <w:rsid w:val="00BE6AFE"/>
    <w:rsid w:val="00BE6C4C"/>
    <w:rsid w:val="00BE6CA2"/>
    <w:rsid w:val="00BE6F07"/>
    <w:rsid w:val="00BE6F1D"/>
    <w:rsid w:val="00BE6F50"/>
    <w:rsid w:val="00BE6FE6"/>
    <w:rsid w:val="00BE717B"/>
    <w:rsid w:val="00BE71D1"/>
    <w:rsid w:val="00BE75B2"/>
    <w:rsid w:val="00BE76B0"/>
    <w:rsid w:val="00BE77F3"/>
    <w:rsid w:val="00BE7818"/>
    <w:rsid w:val="00BE78FE"/>
    <w:rsid w:val="00BE7985"/>
    <w:rsid w:val="00BE7B74"/>
    <w:rsid w:val="00BE7C07"/>
    <w:rsid w:val="00BE7CE1"/>
    <w:rsid w:val="00BE7D97"/>
    <w:rsid w:val="00BE7DD2"/>
    <w:rsid w:val="00BF0096"/>
    <w:rsid w:val="00BF0178"/>
    <w:rsid w:val="00BF02C1"/>
    <w:rsid w:val="00BF0352"/>
    <w:rsid w:val="00BF035E"/>
    <w:rsid w:val="00BF0368"/>
    <w:rsid w:val="00BF04B0"/>
    <w:rsid w:val="00BF0508"/>
    <w:rsid w:val="00BF0528"/>
    <w:rsid w:val="00BF07AB"/>
    <w:rsid w:val="00BF080C"/>
    <w:rsid w:val="00BF083A"/>
    <w:rsid w:val="00BF0972"/>
    <w:rsid w:val="00BF0A9C"/>
    <w:rsid w:val="00BF0EA2"/>
    <w:rsid w:val="00BF114F"/>
    <w:rsid w:val="00BF116C"/>
    <w:rsid w:val="00BF1207"/>
    <w:rsid w:val="00BF1247"/>
    <w:rsid w:val="00BF12E5"/>
    <w:rsid w:val="00BF12F9"/>
    <w:rsid w:val="00BF1363"/>
    <w:rsid w:val="00BF1446"/>
    <w:rsid w:val="00BF1522"/>
    <w:rsid w:val="00BF167E"/>
    <w:rsid w:val="00BF179C"/>
    <w:rsid w:val="00BF180B"/>
    <w:rsid w:val="00BF1870"/>
    <w:rsid w:val="00BF187D"/>
    <w:rsid w:val="00BF18C5"/>
    <w:rsid w:val="00BF1930"/>
    <w:rsid w:val="00BF1AD0"/>
    <w:rsid w:val="00BF1C73"/>
    <w:rsid w:val="00BF1D58"/>
    <w:rsid w:val="00BF1DE0"/>
    <w:rsid w:val="00BF1EDC"/>
    <w:rsid w:val="00BF1F74"/>
    <w:rsid w:val="00BF20DB"/>
    <w:rsid w:val="00BF20E7"/>
    <w:rsid w:val="00BF2109"/>
    <w:rsid w:val="00BF216F"/>
    <w:rsid w:val="00BF21C2"/>
    <w:rsid w:val="00BF2442"/>
    <w:rsid w:val="00BF2519"/>
    <w:rsid w:val="00BF259D"/>
    <w:rsid w:val="00BF2678"/>
    <w:rsid w:val="00BF27A9"/>
    <w:rsid w:val="00BF27CB"/>
    <w:rsid w:val="00BF285D"/>
    <w:rsid w:val="00BF28C7"/>
    <w:rsid w:val="00BF28DF"/>
    <w:rsid w:val="00BF28FF"/>
    <w:rsid w:val="00BF293E"/>
    <w:rsid w:val="00BF2A17"/>
    <w:rsid w:val="00BF2ACA"/>
    <w:rsid w:val="00BF2D51"/>
    <w:rsid w:val="00BF2D77"/>
    <w:rsid w:val="00BF2D82"/>
    <w:rsid w:val="00BF2DC6"/>
    <w:rsid w:val="00BF2E99"/>
    <w:rsid w:val="00BF2F43"/>
    <w:rsid w:val="00BF2F68"/>
    <w:rsid w:val="00BF301E"/>
    <w:rsid w:val="00BF3090"/>
    <w:rsid w:val="00BF3298"/>
    <w:rsid w:val="00BF34E3"/>
    <w:rsid w:val="00BF34F2"/>
    <w:rsid w:val="00BF3519"/>
    <w:rsid w:val="00BF3573"/>
    <w:rsid w:val="00BF360B"/>
    <w:rsid w:val="00BF3622"/>
    <w:rsid w:val="00BF3678"/>
    <w:rsid w:val="00BF3921"/>
    <w:rsid w:val="00BF3A1D"/>
    <w:rsid w:val="00BF3BD1"/>
    <w:rsid w:val="00BF3CC8"/>
    <w:rsid w:val="00BF3FFA"/>
    <w:rsid w:val="00BF40BF"/>
    <w:rsid w:val="00BF41C6"/>
    <w:rsid w:val="00BF41E6"/>
    <w:rsid w:val="00BF42A5"/>
    <w:rsid w:val="00BF42D7"/>
    <w:rsid w:val="00BF4486"/>
    <w:rsid w:val="00BF44A0"/>
    <w:rsid w:val="00BF44DA"/>
    <w:rsid w:val="00BF4704"/>
    <w:rsid w:val="00BF48A9"/>
    <w:rsid w:val="00BF49E1"/>
    <w:rsid w:val="00BF4A86"/>
    <w:rsid w:val="00BF4BD2"/>
    <w:rsid w:val="00BF4C1F"/>
    <w:rsid w:val="00BF4C21"/>
    <w:rsid w:val="00BF4CBD"/>
    <w:rsid w:val="00BF4DFF"/>
    <w:rsid w:val="00BF4F83"/>
    <w:rsid w:val="00BF5234"/>
    <w:rsid w:val="00BF532A"/>
    <w:rsid w:val="00BF5388"/>
    <w:rsid w:val="00BF538C"/>
    <w:rsid w:val="00BF5435"/>
    <w:rsid w:val="00BF54EB"/>
    <w:rsid w:val="00BF55EE"/>
    <w:rsid w:val="00BF5963"/>
    <w:rsid w:val="00BF59A7"/>
    <w:rsid w:val="00BF5A8C"/>
    <w:rsid w:val="00BF5AFA"/>
    <w:rsid w:val="00BF5D33"/>
    <w:rsid w:val="00BF5F3A"/>
    <w:rsid w:val="00BF5F5F"/>
    <w:rsid w:val="00BF60F5"/>
    <w:rsid w:val="00BF62BB"/>
    <w:rsid w:val="00BF662D"/>
    <w:rsid w:val="00BF6731"/>
    <w:rsid w:val="00BF6758"/>
    <w:rsid w:val="00BF67DF"/>
    <w:rsid w:val="00BF6838"/>
    <w:rsid w:val="00BF6882"/>
    <w:rsid w:val="00BF68BA"/>
    <w:rsid w:val="00BF692B"/>
    <w:rsid w:val="00BF69E9"/>
    <w:rsid w:val="00BF6B7C"/>
    <w:rsid w:val="00BF6BE2"/>
    <w:rsid w:val="00BF6C0C"/>
    <w:rsid w:val="00BF6C18"/>
    <w:rsid w:val="00BF6C70"/>
    <w:rsid w:val="00BF6C89"/>
    <w:rsid w:val="00BF6CE0"/>
    <w:rsid w:val="00BF6CF3"/>
    <w:rsid w:val="00BF6E3F"/>
    <w:rsid w:val="00BF6E45"/>
    <w:rsid w:val="00BF6FBD"/>
    <w:rsid w:val="00BF705C"/>
    <w:rsid w:val="00BF713B"/>
    <w:rsid w:val="00BF71C3"/>
    <w:rsid w:val="00BF71F6"/>
    <w:rsid w:val="00BF7284"/>
    <w:rsid w:val="00BF76CF"/>
    <w:rsid w:val="00BF7714"/>
    <w:rsid w:val="00BF7888"/>
    <w:rsid w:val="00BF78BA"/>
    <w:rsid w:val="00BF7908"/>
    <w:rsid w:val="00BF7A2F"/>
    <w:rsid w:val="00BF7A5A"/>
    <w:rsid w:val="00BF7A7C"/>
    <w:rsid w:val="00BF7AD9"/>
    <w:rsid w:val="00BF7B12"/>
    <w:rsid w:val="00BF7D89"/>
    <w:rsid w:val="00BF7DDA"/>
    <w:rsid w:val="00BF7E9D"/>
    <w:rsid w:val="00C0000F"/>
    <w:rsid w:val="00C0003D"/>
    <w:rsid w:val="00C00062"/>
    <w:rsid w:val="00C0015C"/>
    <w:rsid w:val="00C003E2"/>
    <w:rsid w:val="00C003E9"/>
    <w:rsid w:val="00C0040F"/>
    <w:rsid w:val="00C00556"/>
    <w:rsid w:val="00C00621"/>
    <w:rsid w:val="00C0071D"/>
    <w:rsid w:val="00C00849"/>
    <w:rsid w:val="00C0094F"/>
    <w:rsid w:val="00C009CB"/>
    <w:rsid w:val="00C009E2"/>
    <w:rsid w:val="00C01010"/>
    <w:rsid w:val="00C010BE"/>
    <w:rsid w:val="00C0120C"/>
    <w:rsid w:val="00C01258"/>
    <w:rsid w:val="00C012A8"/>
    <w:rsid w:val="00C012CA"/>
    <w:rsid w:val="00C01343"/>
    <w:rsid w:val="00C01377"/>
    <w:rsid w:val="00C01513"/>
    <w:rsid w:val="00C01556"/>
    <w:rsid w:val="00C0166F"/>
    <w:rsid w:val="00C01671"/>
    <w:rsid w:val="00C0167D"/>
    <w:rsid w:val="00C016BF"/>
    <w:rsid w:val="00C0179B"/>
    <w:rsid w:val="00C0188E"/>
    <w:rsid w:val="00C01A1B"/>
    <w:rsid w:val="00C01A7C"/>
    <w:rsid w:val="00C01C13"/>
    <w:rsid w:val="00C01CDF"/>
    <w:rsid w:val="00C01D1A"/>
    <w:rsid w:val="00C01E19"/>
    <w:rsid w:val="00C01EBA"/>
    <w:rsid w:val="00C01ECB"/>
    <w:rsid w:val="00C020BD"/>
    <w:rsid w:val="00C021D0"/>
    <w:rsid w:val="00C0225B"/>
    <w:rsid w:val="00C022ED"/>
    <w:rsid w:val="00C023D5"/>
    <w:rsid w:val="00C0251A"/>
    <w:rsid w:val="00C0252F"/>
    <w:rsid w:val="00C025A2"/>
    <w:rsid w:val="00C026A4"/>
    <w:rsid w:val="00C026D4"/>
    <w:rsid w:val="00C027F5"/>
    <w:rsid w:val="00C029A4"/>
    <w:rsid w:val="00C02AFC"/>
    <w:rsid w:val="00C02BD8"/>
    <w:rsid w:val="00C02C52"/>
    <w:rsid w:val="00C02CFB"/>
    <w:rsid w:val="00C02D83"/>
    <w:rsid w:val="00C02D8D"/>
    <w:rsid w:val="00C02DB7"/>
    <w:rsid w:val="00C02FA9"/>
    <w:rsid w:val="00C0308C"/>
    <w:rsid w:val="00C030AC"/>
    <w:rsid w:val="00C032BD"/>
    <w:rsid w:val="00C032FF"/>
    <w:rsid w:val="00C0343C"/>
    <w:rsid w:val="00C03614"/>
    <w:rsid w:val="00C03650"/>
    <w:rsid w:val="00C03715"/>
    <w:rsid w:val="00C03748"/>
    <w:rsid w:val="00C03796"/>
    <w:rsid w:val="00C0379E"/>
    <w:rsid w:val="00C03804"/>
    <w:rsid w:val="00C03A6C"/>
    <w:rsid w:val="00C03B93"/>
    <w:rsid w:val="00C03BEF"/>
    <w:rsid w:val="00C03BF8"/>
    <w:rsid w:val="00C03D13"/>
    <w:rsid w:val="00C03D9D"/>
    <w:rsid w:val="00C03EF3"/>
    <w:rsid w:val="00C03EF4"/>
    <w:rsid w:val="00C03F55"/>
    <w:rsid w:val="00C03FA2"/>
    <w:rsid w:val="00C04136"/>
    <w:rsid w:val="00C04196"/>
    <w:rsid w:val="00C041C9"/>
    <w:rsid w:val="00C04267"/>
    <w:rsid w:val="00C04335"/>
    <w:rsid w:val="00C043CC"/>
    <w:rsid w:val="00C043E0"/>
    <w:rsid w:val="00C043EB"/>
    <w:rsid w:val="00C043ED"/>
    <w:rsid w:val="00C0453F"/>
    <w:rsid w:val="00C045F7"/>
    <w:rsid w:val="00C046FD"/>
    <w:rsid w:val="00C047A7"/>
    <w:rsid w:val="00C04985"/>
    <w:rsid w:val="00C04B84"/>
    <w:rsid w:val="00C04B85"/>
    <w:rsid w:val="00C04C57"/>
    <w:rsid w:val="00C04CCA"/>
    <w:rsid w:val="00C04DA7"/>
    <w:rsid w:val="00C04ED5"/>
    <w:rsid w:val="00C04F86"/>
    <w:rsid w:val="00C04F90"/>
    <w:rsid w:val="00C04FCF"/>
    <w:rsid w:val="00C04FE2"/>
    <w:rsid w:val="00C05099"/>
    <w:rsid w:val="00C051E0"/>
    <w:rsid w:val="00C05270"/>
    <w:rsid w:val="00C052EE"/>
    <w:rsid w:val="00C0534E"/>
    <w:rsid w:val="00C0539D"/>
    <w:rsid w:val="00C05432"/>
    <w:rsid w:val="00C05451"/>
    <w:rsid w:val="00C0549A"/>
    <w:rsid w:val="00C05511"/>
    <w:rsid w:val="00C0567E"/>
    <w:rsid w:val="00C056B9"/>
    <w:rsid w:val="00C05777"/>
    <w:rsid w:val="00C05792"/>
    <w:rsid w:val="00C058AF"/>
    <w:rsid w:val="00C058E6"/>
    <w:rsid w:val="00C058E9"/>
    <w:rsid w:val="00C05A41"/>
    <w:rsid w:val="00C05AC6"/>
    <w:rsid w:val="00C05D22"/>
    <w:rsid w:val="00C05D8D"/>
    <w:rsid w:val="00C05DBD"/>
    <w:rsid w:val="00C05E5C"/>
    <w:rsid w:val="00C05EFA"/>
    <w:rsid w:val="00C05F5B"/>
    <w:rsid w:val="00C05FD9"/>
    <w:rsid w:val="00C06252"/>
    <w:rsid w:val="00C06431"/>
    <w:rsid w:val="00C06810"/>
    <w:rsid w:val="00C06A19"/>
    <w:rsid w:val="00C06A7D"/>
    <w:rsid w:val="00C06B0B"/>
    <w:rsid w:val="00C06C8B"/>
    <w:rsid w:val="00C06E23"/>
    <w:rsid w:val="00C06F87"/>
    <w:rsid w:val="00C0711E"/>
    <w:rsid w:val="00C07222"/>
    <w:rsid w:val="00C07263"/>
    <w:rsid w:val="00C0731E"/>
    <w:rsid w:val="00C0753D"/>
    <w:rsid w:val="00C07611"/>
    <w:rsid w:val="00C077CD"/>
    <w:rsid w:val="00C07A8A"/>
    <w:rsid w:val="00C07A8E"/>
    <w:rsid w:val="00C07D81"/>
    <w:rsid w:val="00C07DAB"/>
    <w:rsid w:val="00C07F26"/>
    <w:rsid w:val="00C07F9D"/>
    <w:rsid w:val="00C07FE5"/>
    <w:rsid w:val="00C100A5"/>
    <w:rsid w:val="00C1035C"/>
    <w:rsid w:val="00C10495"/>
    <w:rsid w:val="00C104DC"/>
    <w:rsid w:val="00C105AE"/>
    <w:rsid w:val="00C10704"/>
    <w:rsid w:val="00C107FB"/>
    <w:rsid w:val="00C1084D"/>
    <w:rsid w:val="00C108FB"/>
    <w:rsid w:val="00C10AE0"/>
    <w:rsid w:val="00C10B5F"/>
    <w:rsid w:val="00C10BA8"/>
    <w:rsid w:val="00C10BAE"/>
    <w:rsid w:val="00C10BD4"/>
    <w:rsid w:val="00C10BD8"/>
    <w:rsid w:val="00C10C71"/>
    <w:rsid w:val="00C10D46"/>
    <w:rsid w:val="00C10D60"/>
    <w:rsid w:val="00C10EB1"/>
    <w:rsid w:val="00C11042"/>
    <w:rsid w:val="00C11049"/>
    <w:rsid w:val="00C11145"/>
    <w:rsid w:val="00C111EB"/>
    <w:rsid w:val="00C11215"/>
    <w:rsid w:val="00C11245"/>
    <w:rsid w:val="00C11391"/>
    <w:rsid w:val="00C113E8"/>
    <w:rsid w:val="00C1158F"/>
    <w:rsid w:val="00C115A3"/>
    <w:rsid w:val="00C115CD"/>
    <w:rsid w:val="00C116D3"/>
    <w:rsid w:val="00C116E2"/>
    <w:rsid w:val="00C11738"/>
    <w:rsid w:val="00C117DC"/>
    <w:rsid w:val="00C118A1"/>
    <w:rsid w:val="00C1190E"/>
    <w:rsid w:val="00C1192E"/>
    <w:rsid w:val="00C119E9"/>
    <w:rsid w:val="00C11B2E"/>
    <w:rsid w:val="00C11B71"/>
    <w:rsid w:val="00C12027"/>
    <w:rsid w:val="00C1219C"/>
    <w:rsid w:val="00C121CA"/>
    <w:rsid w:val="00C12275"/>
    <w:rsid w:val="00C1236E"/>
    <w:rsid w:val="00C1237B"/>
    <w:rsid w:val="00C1239C"/>
    <w:rsid w:val="00C12441"/>
    <w:rsid w:val="00C1269E"/>
    <w:rsid w:val="00C1276C"/>
    <w:rsid w:val="00C127EF"/>
    <w:rsid w:val="00C129B2"/>
    <w:rsid w:val="00C129BF"/>
    <w:rsid w:val="00C12A38"/>
    <w:rsid w:val="00C12C3F"/>
    <w:rsid w:val="00C12D98"/>
    <w:rsid w:val="00C12E62"/>
    <w:rsid w:val="00C12E71"/>
    <w:rsid w:val="00C12FC2"/>
    <w:rsid w:val="00C1302F"/>
    <w:rsid w:val="00C131ED"/>
    <w:rsid w:val="00C136D2"/>
    <w:rsid w:val="00C136D9"/>
    <w:rsid w:val="00C13710"/>
    <w:rsid w:val="00C13777"/>
    <w:rsid w:val="00C138D2"/>
    <w:rsid w:val="00C138F9"/>
    <w:rsid w:val="00C13994"/>
    <w:rsid w:val="00C139A7"/>
    <w:rsid w:val="00C13C10"/>
    <w:rsid w:val="00C13C60"/>
    <w:rsid w:val="00C13E4E"/>
    <w:rsid w:val="00C13E94"/>
    <w:rsid w:val="00C13FE2"/>
    <w:rsid w:val="00C14101"/>
    <w:rsid w:val="00C142A2"/>
    <w:rsid w:val="00C1446B"/>
    <w:rsid w:val="00C144DC"/>
    <w:rsid w:val="00C14542"/>
    <w:rsid w:val="00C14734"/>
    <w:rsid w:val="00C14813"/>
    <w:rsid w:val="00C14866"/>
    <w:rsid w:val="00C14922"/>
    <w:rsid w:val="00C149C3"/>
    <w:rsid w:val="00C149DF"/>
    <w:rsid w:val="00C14BEB"/>
    <w:rsid w:val="00C14D20"/>
    <w:rsid w:val="00C14DC9"/>
    <w:rsid w:val="00C14DD2"/>
    <w:rsid w:val="00C14E6E"/>
    <w:rsid w:val="00C14F71"/>
    <w:rsid w:val="00C14FD2"/>
    <w:rsid w:val="00C15272"/>
    <w:rsid w:val="00C15575"/>
    <w:rsid w:val="00C1569A"/>
    <w:rsid w:val="00C157C1"/>
    <w:rsid w:val="00C1586C"/>
    <w:rsid w:val="00C15871"/>
    <w:rsid w:val="00C158A6"/>
    <w:rsid w:val="00C1595A"/>
    <w:rsid w:val="00C159D2"/>
    <w:rsid w:val="00C15A87"/>
    <w:rsid w:val="00C15A8B"/>
    <w:rsid w:val="00C15BA5"/>
    <w:rsid w:val="00C15D0D"/>
    <w:rsid w:val="00C15D9C"/>
    <w:rsid w:val="00C15E1A"/>
    <w:rsid w:val="00C15E6C"/>
    <w:rsid w:val="00C15F83"/>
    <w:rsid w:val="00C15FB8"/>
    <w:rsid w:val="00C15FD5"/>
    <w:rsid w:val="00C15FE8"/>
    <w:rsid w:val="00C15FFC"/>
    <w:rsid w:val="00C160EC"/>
    <w:rsid w:val="00C1614D"/>
    <w:rsid w:val="00C1614F"/>
    <w:rsid w:val="00C161FF"/>
    <w:rsid w:val="00C16204"/>
    <w:rsid w:val="00C16206"/>
    <w:rsid w:val="00C16302"/>
    <w:rsid w:val="00C16701"/>
    <w:rsid w:val="00C167A1"/>
    <w:rsid w:val="00C167AB"/>
    <w:rsid w:val="00C167F3"/>
    <w:rsid w:val="00C16A96"/>
    <w:rsid w:val="00C16AB2"/>
    <w:rsid w:val="00C16CE9"/>
    <w:rsid w:val="00C16D07"/>
    <w:rsid w:val="00C16D5B"/>
    <w:rsid w:val="00C16D88"/>
    <w:rsid w:val="00C16E8B"/>
    <w:rsid w:val="00C170C1"/>
    <w:rsid w:val="00C1717F"/>
    <w:rsid w:val="00C171BF"/>
    <w:rsid w:val="00C173F2"/>
    <w:rsid w:val="00C1740C"/>
    <w:rsid w:val="00C17538"/>
    <w:rsid w:val="00C17980"/>
    <w:rsid w:val="00C17AC8"/>
    <w:rsid w:val="00C17E7A"/>
    <w:rsid w:val="00C17EDC"/>
    <w:rsid w:val="00C17EF6"/>
    <w:rsid w:val="00C2014E"/>
    <w:rsid w:val="00C202F0"/>
    <w:rsid w:val="00C2033E"/>
    <w:rsid w:val="00C20477"/>
    <w:rsid w:val="00C20486"/>
    <w:rsid w:val="00C204D6"/>
    <w:rsid w:val="00C205F3"/>
    <w:rsid w:val="00C20664"/>
    <w:rsid w:val="00C20696"/>
    <w:rsid w:val="00C2071B"/>
    <w:rsid w:val="00C20867"/>
    <w:rsid w:val="00C2086B"/>
    <w:rsid w:val="00C208EF"/>
    <w:rsid w:val="00C20958"/>
    <w:rsid w:val="00C20B11"/>
    <w:rsid w:val="00C20BE1"/>
    <w:rsid w:val="00C20C2A"/>
    <w:rsid w:val="00C20CB4"/>
    <w:rsid w:val="00C20CF2"/>
    <w:rsid w:val="00C20D74"/>
    <w:rsid w:val="00C20D80"/>
    <w:rsid w:val="00C20D9A"/>
    <w:rsid w:val="00C20DD0"/>
    <w:rsid w:val="00C20E05"/>
    <w:rsid w:val="00C20E47"/>
    <w:rsid w:val="00C20E68"/>
    <w:rsid w:val="00C21002"/>
    <w:rsid w:val="00C21140"/>
    <w:rsid w:val="00C21191"/>
    <w:rsid w:val="00C211C3"/>
    <w:rsid w:val="00C2121B"/>
    <w:rsid w:val="00C21227"/>
    <w:rsid w:val="00C213FA"/>
    <w:rsid w:val="00C21433"/>
    <w:rsid w:val="00C21461"/>
    <w:rsid w:val="00C21491"/>
    <w:rsid w:val="00C214B0"/>
    <w:rsid w:val="00C21557"/>
    <w:rsid w:val="00C215B3"/>
    <w:rsid w:val="00C216C8"/>
    <w:rsid w:val="00C216E5"/>
    <w:rsid w:val="00C21842"/>
    <w:rsid w:val="00C2186B"/>
    <w:rsid w:val="00C2196E"/>
    <w:rsid w:val="00C2198D"/>
    <w:rsid w:val="00C219DC"/>
    <w:rsid w:val="00C21AE7"/>
    <w:rsid w:val="00C21AEE"/>
    <w:rsid w:val="00C21B08"/>
    <w:rsid w:val="00C21B86"/>
    <w:rsid w:val="00C21D6F"/>
    <w:rsid w:val="00C21DCB"/>
    <w:rsid w:val="00C21ECB"/>
    <w:rsid w:val="00C21F81"/>
    <w:rsid w:val="00C2204D"/>
    <w:rsid w:val="00C22186"/>
    <w:rsid w:val="00C2219C"/>
    <w:rsid w:val="00C22204"/>
    <w:rsid w:val="00C2230F"/>
    <w:rsid w:val="00C22527"/>
    <w:rsid w:val="00C225FA"/>
    <w:rsid w:val="00C22730"/>
    <w:rsid w:val="00C2280A"/>
    <w:rsid w:val="00C22845"/>
    <w:rsid w:val="00C22852"/>
    <w:rsid w:val="00C22889"/>
    <w:rsid w:val="00C22961"/>
    <w:rsid w:val="00C22A04"/>
    <w:rsid w:val="00C22AB8"/>
    <w:rsid w:val="00C22AC9"/>
    <w:rsid w:val="00C22C31"/>
    <w:rsid w:val="00C22C46"/>
    <w:rsid w:val="00C22D18"/>
    <w:rsid w:val="00C22EE1"/>
    <w:rsid w:val="00C22F64"/>
    <w:rsid w:val="00C22FBE"/>
    <w:rsid w:val="00C2301A"/>
    <w:rsid w:val="00C23091"/>
    <w:rsid w:val="00C230F2"/>
    <w:rsid w:val="00C231C0"/>
    <w:rsid w:val="00C232E6"/>
    <w:rsid w:val="00C23367"/>
    <w:rsid w:val="00C2358A"/>
    <w:rsid w:val="00C2358C"/>
    <w:rsid w:val="00C235E3"/>
    <w:rsid w:val="00C236B7"/>
    <w:rsid w:val="00C23748"/>
    <w:rsid w:val="00C238A1"/>
    <w:rsid w:val="00C2398E"/>
    <w:rsid w:val="00C23A68"/>
    <w:rsid w:val="00C23F1F"/>
    <w:rsid w:val="00C23FC4"/>
    <w:rsid w:val="00C240A4"/>
    <w:rsid w:val="00C241B9"/>
    <w:rsid w:val="00C241EC"/>
    <w:rsid w:val="00C2443C"/>
    <w:rsid w:val="00C24565"/>
    <w:rsid w:val="00C24574"/>
    <w:rsid w:val="00C246C5"/>
    <w:rsid w:val="00C24757"/>
    <w:rsid w:val="00C24923"/>
    <w:rsid w:val="00C24A08"/>
    <w:rsid w:val="00C24D1F"/>
    <w:rsid w:val="00C24EE7"/>
    <w:rsid w:val="00C24F9E"/>
    <w:rsid w:val="00C251D1"/>
    <w:rsid w:val="00C251E6"/>
    <w:rsid w:val="00C25231"/>
    <w:rsid w:val="00C2524C"/>
    <w:rsid w:val="00C254AA"/>
    <w:rsid w:val="00C2554A"/>
    <w:rsid w:val="00C255E8"/>
    <w:rsid w:val="00C255EE"/>
    <w:rsid w:val="00C2564B"/>
    <w:rsid w:val="00C25679"/>
    <w:rsid w:val="00C258AF"/>
    <w:rsid w:val="00C258CA"/>
    <w:rsid w:val="00C25A0D"/>
    <w:rsid w:val="00C25BC0"/>
    <w:rsid w:val="00C25D60"/>
    <w:rsid w:val="00C25D92"/>
    <w:rsid w:val="00C25DC5"/>
    <w:rsid w:val="00C25E6D"/>
    <w:rsid w:val="00C26063"/>
    <w:rsid w:val="00C2607B"/>
    <w:rsid w:val="00C26094"/>
    <w:rsid w:val="00C26177"/>
    <w:rsid w:val="00C26189"/>
    <w:rsid w:val="00C261C3"/>
    <w:rsid w:val="00C26357"/>
    <w:rsid w:val="00C264D9"/>
    <w:rsid w:val="00C26AEE"/>
    <w:rsid w:val="00C26BED"/>
    <w:rsid w:val="00C26CFE"/>
    <w:rsid w:val="00C26DEA"/>
    <w:rsid w:val="00C26E05"/>
    <w:rsid w:val="00C26EBB"/>
    <w:rsid w:val="00C271A9"/>
    <w:rsid w:val="00C271C6"/>
    <w:rsid w:val="00C2726C"/>
    <w:rsid w:val="00C2735A"/>
    <w:rsid w:val="00C2749A"/>
    <w:rsid w:val="00C27529"/>
    <w:rsid w:val="00C27661"/>
    <w:rsid w:val="00C277C0"/>
    <w:rsid w:val="00C278FA"/>
    <w:rsid w:val="00C27A9C"/>
    <w:rsid w:val="00C27ADA"/>
    <w:rsid w:val="00C27BC1"/>
    <w:rsid w:val="00C27C20"/>
    <w:rsid w:val="00C27DA0"/>
    <w:rsid w:val="00C27DE6"/>
    <w:rsid w:val="00C27F77"/>
    <w:rsid w:val="00C3003C"/>
    <w:rsid w:val="00C301F5"/>
    <w:rsid w:val="00C303FE"/>
    <w:rsid w:val="00C30430"/>
    <w:rsid w:val="00C304B5"/>
    <w:rsid w:val="00C305C8"/>
    <w:rsid w:val="00C3069D"/>
    <w:rsid w:val="00C306DC"/>
    <w:rsid w:val="00C30728"/>
    <w:rsid w:val="00C307AF"/>
    <w:rsid w:val="00C307E8"/>
    <w:rsid w:val="00C30810"/>
    <w:rsid w:val="00C30956"/>
    <w:rsid w:val="00C30A41"/>
    <w:rsid w:val="00C30B22"/>
    <w:rsid w:val="00C30B23"/>
    <w:rsid w:val="00C30BD0"/>
    <w:rsid w:val="00C30C03"/>
    <w:rsid w:val="00C30CA5"/>
    <w:rsid w:val="00C30DC8"/>
    <w:rsid w:val="00C30F6B"/>
    <w:rsid w:val="00C31003"/>
    <w:rsid w:val="00C31067"/>
    <w:rsid w:val="00C3108B"/>
    <w:rsid w:val="00C310E4"/>
    <w:rsid w:val="00C3130A"/>
    <w:rsid w:val="00C31321"/>
    <w:rsid w:val="00C31323"/>
    <w:rsid w:val="00C31331"/>
    <w:rsid w:val="00C31545"/>
    <w:rsid w:val="00C31561"/>
    <w:rsid w:val="00C315B1"/>
    <w:rsid w:val="00C315D2"/>
    <w:rsid w:val="00C3171B"/>
    <w:rsid w:val="00C3173F"/>
    <w:rsid w:val="00C3188A"/>
    <w:rsid w:val="00C31978"/>
    <w:rsid w:val="00C31A65"/>
    <w:rsid w:val="00C31A73"/>
    <w:rsid w:val="00C31A78"/>
    <w:rsid w:val="00C31B6E"/>
    <w:rsid w:val="00C31C3B"/>
    <w:rsid w:val="00C31C7A"/>
    <w:rsid w:val="00C31DD0"/>
    <w:rsid w:val="00C31ED7"/>
    <w:rsid w:val="00C320C0"/>
    <w:rsid w:val="00C3215D"/>
    <w:rsid w:val="00C32208"/>
    <w:rsid w:val="00C32383"/>
    <w:rsid w:val="00C3241E"/>
    <w:rsid w:val="00C325C4"/>
    <w:rsid w:val="00C3267C"/>
    <w:rsid w:val="00C32768"/>
    <w:rsid w:val="00C3279A"/>
    <w:rsid w:val="00C328D5"/>
    <w:rsid w:val="00C328F7"/>
    <w:rsid w:val="00C3291B"/>
    <w:rsid w:val="00C32950"/>
    <w:rsid w:val="00C329DA"/>
    <w:rsid w:val="00C32A25"/>
    <w:rsid w:val="00C32AE4"/>
    <w:rsid w:val="00C32B56"/>
    <w:rsid w:val="00C32E39"/>
    <w:rsid w:val="00C32EFE"/>
    <w:rsid w:val="00C32F81"/>
    <w:rsid w:val="00C32FA2"/>
    <w:rsid w:val="00C3302A"/>
    <w:rsid w:val="00C33128"/>
    <w:rsid w:val="00C3316A"/>
    <w:rsid w:val="00C3325E"/>
    <w:rsid w:val="00C3343E"/>
    <w:rsid w:val="00C33469"/>
    <w:rsid w:val="00C3359D"/>
    <w:rsid w:val="00C335C8"/>
    <w:rsid w:val="00C33650"/>
    <w:rsid w:val="00C33715"/>
    <w:rsid w:val="00C33769"/>
    <w:rsid w:val="00C33791"/>
    <w:rsid w:val="00C33816"/>
    <w:rsid w:val="00C33B4F"/>
    <w:rsid w:val="00C33BCF"/>
    <w:rsid w:val="00C33D17"/>
    <w:rsid w:val="00C33E57"/>
    <w:rsid w:val="00C33F5F"/>
    <w:rsid w:val="00C33F62"/>
    <w:rsid w:val="00C34047"/>
    <w:rsid w:val="00C34065"/>
    <w:rsid w:val="00C34115"/>
    <w:rsid w:val="00C34124"/>
    <w:rsid w:val="00C3418B"/>
    <w:rsid w:val="00C341EC"/>
    <w:rsid w:val="00C3424F"/>
    <w:rsid w:val="00C342A6"/>
    <w:rsid w:val="00C342BE"/>
    <w:rsid w:val="00C342D0"/>
    <w:rsid w:val="00C3435E"/>
    <w:rsid w:val="00C34493"/>
    <w:rsid w:val="00C3453F"/>
    <w:rsid w:val="00C346D8"/>
    <w:rsid w:val="00C3489A"/>
    <w:rsid w:val="00C34B29"/>
    <w:rsid w:val="00C34B9D"/>
    <w:rsid w:val="00C34ED1"/>
    <w:rsid w:val="00C34FF4"/>
    <w:rsid w:val="00C35381"/>
    <w:rsid w:val="00C35525"/>
    <w:rsid w:val="00C355D8"/>
    <w:rsid w:val="00C35696"/>
    <w:rsid w:val="00C356C3"/>
    <w:rsid w:val="00C3585B"/>
    <w:rsid w:val="00C358D1"/>
    <w:rsid w:val="00C358F6"/>
    <w:rsid w:val="00C35956"/>
    <w:rsid w:val="00C35988"/>
    <w:rsid w:val="00C35B56"/>
    <w:rsid w:val="00C35CD1"/>
    <w:rsid w:val="00C35D04"/>
    <w:rsid w:val="00C35DDB"/>
    <w:rsid w:val="00C35DF8"/>
    <w:rsid w:val="00C35F36"/>
    <w:rsid w:val="00C35F5A"/>
    <w:rsid w:val="00C36107"/>
    <w:rsid w:val="00C36181"/>
    <w:rsid w:val="00C3634B"/>
    <w:rsid w:val="00C3634F"/>
    <w:rsid w:val="00C36358"/>
    <w:rsid w:val="00C363B2"/>
    <w:rsid w:val="00C36648"/>
    <w:rsid w:val="00C3682F"/>
    <w:rsid w:val="00C36833"/>
    <w:rsid w:val="00C3694C"/>
    <w:rsid w:val="00C36A57"/>
    <w:rsid w:val="00C36C3C"/>
    <w:rsid w:val="00C36DB5"/>
    <w:rsid w:val="00C36E17"/>
    <w:rsid w:val="00C36FC6"/>
    <w:rsid w:val="00C37097"/>
    <w:rsid w:val="00C37324"/>
    <w:rsid w:val="00C37346"/>
    <w:rsid w:val="00C37355"/>
    <w:rsid w:val="00C37688"/>
    <w:rsid w:val="00C376F7"/>
    <w:rsid w:val="00C377BD"/>
    <w:rsid w:val="00C3792B"/>
    <w:rsid w:val="00C37B0B"/>
    <w:rsid w:val="00C37C1C"/>
    <w:rsid w:val="00C37C32"/>
    <w:rsid w:val="00C37C6D"/>
    <w:rsid w:val="00C37CAA"/>
    <w:rsid w:val="00C37D12"/>
    <w:rsid w:val="00C37D25"/>
    <w:rsid w:val="00C37EC6"/>
    <w:rsid w:val="00C37FEA"/>
    <w:rsid w:val="00C40041"/>
    <w:rsid w:val="00C40045"/>
    <w:rsid w:val="00C40162"/>
    <w:rsid w:val="00C402A5"/>
    <w:rsid w:val="00C404A4"/>
    <w:rsid w:val="00C407DB"/>
    <w:rsid w:val="00C40841"/>
    <w:rsid w:val="00C4091A"/>
    <w:rsid w:val="00C409BD"/>
    <w:rsid w:val="00C40A65"/>
    <w:rsid w:val="00C40ADB"/>
    <w:rsid w:val="00C40B59"/>
    <w:rsid w:val="00C40ECD"/>
    <w:rsid w:val="00C40FAE"/>
    <w:rsid w:val="00C4102E"/>
    <w:rsid w:val="00C41035"/>
    <w:rsid w:val="00C41201"/>
    <w:rsid w:val="00C4135F"/>
    <w:rsid w:val="00C413A1"/>
    <w:rsid w:val="00C413D5"/>
    <w:rsid w:val="00C41529"/>
    <w:rsid w:val="00C4163E"/>
    <w:rsid w:val="00C41708"/>
    <w:rsid w:val="00C4174B"/>
    <w:rsid w:val="00C41B7F"/>
    <w:rsid w:val="00C41B82"/>
    <w:rsid w:val="00C41E07"/>
    <w:rsid w:val="00C41FF2"/>
    <w:rsid w:val="00C42078"/>
    <w:rsid w:val="00C4209F"/>
    <w:rsid w:val="00C420AC"/>
    <w:rsid w:val="00C42145"/>
    <w:rsid w:val="00C4214E"/>
    <w:rsid w:val="00C4239F"/>
    <w:rsid w:val="00C423BD"/>
    <w:rsid w:val="00C42548"/>
    <w:rsid w:val="00C425B0"/>
    <w:rsid w:val="00C425EC"/>
    <w:rsid w:val="00C426D2"/>
    <w:rsid w:val="00C42878"/>
    <w:rsid w:val="00C42A00"/>
    <w:rsid w:val="00C42CEF"/>
    <w:rsid w:val="00C42D29"/>
    <w:rsid w:val="00C42DD1"/>
    <w:rsid w:val="00C42EF7"/>
    <w:rsid w:val="00C4306E"/>
    <w:rsid w:val="00C43105"/>
    <w:rsid w:val="00C43129"/>
    <w:rsid w:val="00C431F9"/>
    <w:rsid w:val="00C435A8"/>
    <w:rsid w:val="00C4369F"/>
    <w:rsid w:val="00C43713"/>
    <w:rsid w:val="00C437AA"/>
    <w:rsid w:val="00C43826"/>
    <w:rsid w:val="00C4395C"/>
    <w:rsid w:val="00C439A1"/>
    <w:rsid w:val="00C43D78"/>
    <w:rsid w:val="00C43FC1"/>
    <w:rsid w:val="00C43FD0"/>
    <w:rsid w:val="00C440E5"/>
    <w:rsid w:val="00C441CD"/>
    <w:rsid w:val="00C44343"/>
    <w:rsid w:val="00C443B7"/>
    <w:rsid w:val="00C4440C"/>
    <w:rsid w:val="00C445C8"/>
    <w:rsid w:val="00C44681"/>
    <w:rsid w:val="00C4483A"/>
    <w:rsid w:val="00C448A5"/>
    <w:rsid w:val="00C44A9D"/>
    <w:rsid w:val="00C44CF1"/>
    <w:rsid w:val="00C44D56"/>
    <w:rsid w:val="00C44DD0"/>
    <w:rsid w:val="00C44E24"/>
    <w:rsid w:val="00C44E4A"/>
    <w:rsid w:val="00C44E87"/>
    <w:rsid w:val="00C450B9"/>
    <w:rsid w:val="00C45166"/>
    <w:rsid w:val="00C451BA"/>
    <w:rsid w:val="00C45200"/>
    <w:rsid w:val="00C4542A"/>
    <w:rsid w:val="00C45456"/>
    <w:rsid w:val="00C4554F"/>
    <w:rsid w:val="00C4573A"/>
    <w:rsid w:val="00C45951"/>
    <w:rsid w:val="00C45B28"/>
    <w:rsid w:val="00C45D5E"/>
    <w:rsid w:val="00C46163"/>
    <w:rsid w:val="00C46390"/>
    <w:rsid w:val="00C46474"/>
    <w:rsid w:val="00C464B9"/>
    <w:rsid w:val="00C46537"/>
    <w:rsid w:val="00C46542"/>
    <w:rsid w:val="00C466EF"/>
    <w:rsid w:val="00C469BF"/>
    <w:rsid w:val="00C46A90"/>
    <w:rsid w:val="00C46B38"/>
    <w:rsid w:val="00C46C22"/>
    <w:rsid w:val="00C46C4A"/>
    <w:rsid w:val="00C46CE3"/>
    <w:rsid w:val="00C46D2C"/>
    <w:rsid w:val="00C46E81"/>
    <w:rsid w:val="00C46EE8"/>
    <w:rsid w:val="00C470F7"/>
    <w:rsid w:val="00C47229"/>
    <w:rsid w:val="00C4728A"/>
    <w:rsid w:val="00C4747D"/>
    <w:rsid w:val="00C4757A"/>
    <w:rsid w:val="00C476D9"/>
    <w:rsid w:val="00C4777E"/>
    <w:rsid w:val="00C478A3"/>
    <w:rsid w:val="00C478B6"/>
    <w:rsid w:val="00C47905"/>
    <w:rsid w:val="00C47A10"/>
    <w:rsid w:val="00C47C8E"/>
    <w:rsid w:val="00C47E70"/>
    <w:rsid w:val="00C501FD"/>
    <w:rsid w:val="00C5033A"/>
    <w:rsid w:val="00C50366"/>
    <w:rsid w:val="00C504D2"/>
    <w:rsid w:val="00C50519"/>
    <w:rsid w:val="00C505C2"/>
    <w:rsid w:val="00C5060B"/>
    <w:rsid w:val="00C50629"/>
    <w:rsid w:val="00C5069B"/>
    <w:rsid w:val="00C508D0"/>
    <w:rsid w:val="00C50BE5"/>
    <w:rsid w:val="00C50BFB"/>
    <w:rsid w:val="00C50C00"/>
    <w:rsid w:val="00C50E8B"/>
    <w:rsid w:val="00C50F1D"/>
    <w:rsid w:val="00C51013"/>
    <w:rsid w:val="00C5101B"/>
    <w:rsid w:val="00C5120A"/>
    <w:rsid w:val="00C513FE"/>
    <w:rsid w:val="00C51526"/>
    <w:rsid w:val="00C5161C"/>
    <w:rsid w:val="00C51813"/>
    <w:rsid w:val="00C518D6"/>
    <w:rsid w:val="00C51914"/>
    <w:rsid w:val="00C51947"/>
    <w:rsid w:val="00C519F8"/>
    <w:rsid w:val="00C51A10"/>
    <w:rsid w:val="00C51A14"/>
    <w:rsid w:val="00C51B9D"/>
    <w:rsid w:val="00C51C96"/>
    <w:rsid w:val="00C51DD9"/>
    <w:rsid w:val="00C51DF5"/>
    <w:rsid w:val="00C51EAC"/>
    <w:rsid w:val="00C51EDF"/>
    <w:rsid w:val="00C51F58"/>
    <w:rsid w:val="00C51F63"/>
    <w:rsid w:val="00C52047"/>
    <w:rsid w:val="00C5229E"/>
    <w:rsid w:val="00C52453"/>
    <w:rsid w:val="00C52479"/>
    <w:rsid w:val="00C52615"/>
    <w:rsid w:val="00C5265B"/>
    <w:rsid w:val="00C52829"/>
    <w:rsid w:val="00C5284B"/>
    <w:rsid w:val="00C528B1"/>
    <w:rsid w:val="00C529C2"/>
    <w:rsid w:val="00C52C6F"/>
    <w:rsid w:val="00C52C76"/>
    <w:rsid w:val="00C52D33"/>
    <w:rsid w:val="00C52E00"/>
    <w:rsid w:val="00C52E4E"/>
    <w:rsid w:val="00C52F71"/>
    <w:rsid w:val="00C52F7F"/>
    <w:rsid w:val="00C53029"/>
    <w:rsid w:val="00C5307F"/>
    <w:rsid w:val="00C530DC"/>
    <w:rsid w:val="00C5317B"/>
    <w:rsid w:val="00C53199"/>
    <w:rsid w:val="00C5328B"/>
    <w:rsid w:val="00C53297"/>
    <w:rsid w:val="00C5346C"/>
    <w:rsid w:val="00C536E5"/>
    <w:rsid w:val="00C53853"/>
    <w:rsid w:val="00C53AB4"/>
    <w:rsid w:val="00C53ABD"/>
    <w:rsid w:val="00C53B62"/>
    <w:rsid w:val="00C53BDE"/>
    <w:rsid w:val="00C53BE6"/>
    <w:rsid w:val="00C53D13"/>
    <w:rsid w:val="00C53D60"/>
    <w:rsid w:val="00C53E83"/>
    <w:rsid w:val="00C53EF4"/>
    <w:rsid w:val="00C54017"/>
    <w:rsid w:val="00C54085"/>
    <w:rsid w:val="00C541D2"/>
    <w:rsid w:val="00C5446A"/>
    <w:rsid w:val="00C544AF"/>
    <w:rsid w:val="00C544DA"/>
    <w:rsid w:val="00C5450A"/>
    <w:rsid w:val="00C545C3"/>
    <w:rsid w:val="00C546CF"/>
    <w:rsid w:val="00C54734"/>
    <w:rsid w:val="00C5480A"/>
    <w:rsid w:val="00C5488E"/>
    <w:rsid w:val="00C549B5"/>
    <w:rsid w:val="00C54A5A"/>
    <w:rsid w:val="00C54CEB"/>
    <w:rsid w:val="00C54D4A"/>
    <w:rsid w:val="00C54E1A"/>
    <w:rsid w:val="00C54E9B"/>
    <w:rsid w:val="00C54F1B"/>
    <w:rsid w:val="00C54FE6"/>
    <w:rsid w:val="00C5504F"/>
    <w:rsid w:val="00C55098"/>
    <w:rsid w:val="00C550A4"/>
    <w:rsid w:val="00C55247"/>
    <w:rsid w:val="00C5525A"/>
    <w:rsid w:val="00C552E2"/>
    <w:rsid w:val="00C55358"/>
    <w:rsid w:val="00C55480"/>
    <w:rsid w:val="00C55609"/>
    <w:rsid w:val="00C55639"/>
    <w:rsid w:val="00C5563D"/>
    <w:rsid w:val="00C55817"/>
    <w:rsid w:val="00C55859"/>
    <w:rsid w:val="00C558AF"/>
    <w:rsid w:val="00C55909"/>
    <w:rsid w:val="00C55A45"/>
    <w:rsid w:val="00C55A46"/>
    <w:rsid w:val="00C55AA5"/>
    <w:rsid w:val="00C55B73"/>
    <w:rsid w:val="00C55B82"/>
    <w:rsid w:val="00C55BCB"/>
    <w:rsid w:val="00C55C44"/>
    <w:rsid w:val="00C55D89"/>
    <w:rsid w:val="00C55EA0"/>
    <w:rsid w:val="00C56126"/>
    <w:rsid w:val="00C563DD"/>
    <w:rsid w:val="00C56440"/>
    <w:rsid w:val="00C5646D"/>
    <w:rsid w:val="00C5646E"/>
    <w:rsid w:val="00C5648F"/>
    <w:rsid w:val="00C56846"/>
    <w:rsid w:val="00C56848"/>
    <w:rsid w:val="00C56910"/>
    <w:rsid w:val="00C56988"/>
    <w:rsid w:val="00C56A78"/>
    <w:rsid w:val="00C56C41"/>
    <w:rsid w:val="00C56D38"/>
    <w:rsid w:val="00C56EBC"/>
    <w:rsid w:val="00C56EDB"/>
    <w:rsid w:val="00C56F66"/>
    <w:rsid w:val="00C570C1"/>
    <w:rsid w:val="00C5711A"/>
    <w:rsid w:val="00C571B8"/>
    <w:rsid w:val="00C571EC"/>
    <w:rsid w:val="00C574FF"/>
    <w:rsid w:val="00C576B5"/>
    <w:rsid w:val="00C57717"/>
    <w:rsid w:val="00C57765"/>
    <w:rsid w:val="00C577A5"/>
    <w:rsid w:val="00C578B7"/>
    <w:rsid w:val="00C57AF3"/>
    <w:rsid w:val="00C57CDC"/>
    <w:rsid w:val="00C57CF8"/>
    <w:rsid w:val="00C57DF0"/>
    <w:rsid w:val="00C57E7F"/>
    <w:rsid w:val="00C57EA4"/>
    <w:rsid w:val="00C57F5D"/>
    <w:rsid w:val="00C57F8C"/>
    <w:rsid w:val="00C608FE"/>
    <w:rsid w:val="00C6094A"/>
    <w:rsid w:val="00C60A92"/>
    <w:rsid w:val="00C60AED"/>
    <w:rsid w:val="00C60B8E"/>
    <w:rsid w:val="00C60CBD"/>
    <w:rsid w:val="00C61060"/>
    <w:rsid w:val="00C610DE"/>
    <w:rsid w:val="00C61151"/>
    <w:rsid w:val="00C61295"/>
    <w:rsid w:val="00C612AC"/>
    <w:rsid w:val="00C613C5"/>
    <w:rsid w:val="00C614F9"/>
    <w:rsid w:val="00C61501"/>
    <w:rsid w:val="00C6159F"/>
    <w:rsid w:val="00C61726"/>
    <w:rsid w:val="00C61785"/>
    <w:rsid w:val="00C61998"/>
    <w:rsid w:val="00C61B24"/>
    <w:rsid w:val="00C61B3B"/>
    <w:rsid w:val="00C61D46"/>
    <w:rsid w:val="00C61D84"/>
    <w:rsid w:val="00C61E0E"/>
    <w:rsid w:val="00C61EC7"/>
    <w:rsid w:val="00C61F05"/>
    <w:rsid w:val="00C62050"/>
    <w:rsid w:val="00C6216C"/>
    <w:rsid w:val="00C6221C"/>
    <w:rsid w:val="00C62495"/>
    <w:rsid w:val="00C6250E"/>
    <w:rsid w:val="00C62569"/>
    <w:rsid w:val="00C625DB"/>
    <w:rsid w:val="00C626BF"/>
    <w:rsid w:val="00C62858"/>
    <w:rsid w:val="00C628AF"/>
    <w:rsid w:val="00C628D9"/>
    <w:rsid w:val="00C62998"/>
    <w:rsid w:val="00C629A8"/>
    <w:rsid w:val="00C62AEF"/>
    <w:rsid w:val="00C62C66"/>
    <w:rsid w:val="00C62CDC"/>
    <w:rsid w:val="00C62E51"/>
    <w:rsid w:val="00C62E52"/>
    <w:rsid w:val="00C63030"/>
    <w:rsid w:val="00C6325F"/>
    <w:rsid w:val="00C6337F"/>
    <w:rsid w:val="00C63683"/>
    <w:rsid w:val="00C636CA"/>
    <w:rsid w:val="00C636CD"/>
    <w:rsid w:val="00C6371F"/>
    <w:rsid w:val="00C63751"/>
    <w:rsid w:val="00C637D0"/>
    <w:rsid w:val="00C637D3"/>
    <w:rsid w:val="00C637DE"/>
    <w:rsid w:val="00C63A22"/>
    <w:rsid w:val="00C63D05"/>
    <w:rsid w:val="00C63DE9"/>
    <w:rsid w:val="00C63E39"/>
    <w:rsid w:val="00C63E5C"/>
    <w:rsid w:val="00C63E91"/>
    <w:rsid w:val="00C63EC2"/>
    <w:rsid w:val="00C6415D"/>
    <w:rsid w:val="00C6423C"/>
    <w:rsid w:val="00C643F1"/>
    <w:rsid w:val="00C64479"/>
    <w:rsid w:val="00C645E9"/>
    <w:rsid w:val="00C6473F"/>
    <w:rsid w:val="00C647C6"/>
    <w:rsid w:val="00C647F5"/>
    <w:rsid w:val="00C64866"/>
    <w:rsid w:val="00C6491A"/>
    <w:rsid w:val="00C64A29"/>
    <w:rsid w:val="00C64B33"/>
    <w:rsid w:val="00C64C27"/>
    <w:rsid w:val="00C64D46"/>
    <w:rsid w:val="00C64DA8"/>
    <w:rsid w:val="00C64E13"/>
    <w:rsid w:val="00C64FCC"/>
    <w:rsid w:val="00C64FD9"/>
    <w:rsid w:val="00C64FDF"/>
    <w:rsid w:val="00C65083"/>
    <w:rsid w:val="00C650D2"/>
    <w:rsid w:val="00C651F7"/>
    <w:rsid w:val="00C65242"/>
    <w:rsid w:val="00C65244"/>
    <w:rsid w:val="00C652D6"/>
    <w:rsid w:val="00C6533D"/>
    <w:rsid w:val="00C654A9"/>
    <w:rsid w:val="00C65583"/>
    <w:rsid w:val="00C6558B"/>
    <w:rsid w:val="00C657FC"/>
    <w:rsid w:val="00C65A56"/>
    <w:rsid w:val="00C65A9C"/>
    <w:rsid w:val="00C65BBD"/>
    <w:rsid w:val="00C65BC9"/>
    <w:rsid w:val="00C65BE4"/>
    <w:rsid w:val="00C65D04"/>
    <w:rsid w:val="00C65D2A"/>
    <w:rsid w:val="00C65D9E"/>
    <w:rsid w:val="00C65EE1"/>
    <w:rsid w:val="00C65F3C"/>
    <w:rsid w:val="00C66024"/>
    <w:rsid w:val="00C6621E"/>
    <w:rsid w:val="00C662AF"/>
    <w:rsid w:val="00C6634B"/>
    <w:rsid w:val="00C663E5"/>
    <w:rsid w:val="00C6641F"/>
    <w:rsid w:val="00C665D3"/>
    <w:rsid w:val="00C66662"/>
    <w:rsid w:val="00C666C9"/>
    <w:rsid w:val="00C66710"/>
    <w:rsid w:val="00C66714"/>
    <w:rsid w:val="00C667B4"/>
    <w:rsid w:val="00C66821"/>
    <w:rsid w:val="00C6682F"/>
    <w:rsid w:val="00C669A6"/>
    <w:rsid w:val="00C66B07"/>
    <w:rsid w:val="00C66BD7"/>
    <w:rsid w:val="00C66C7C"/>
    <w:rsid w:val="00C66CDF"/>
    <w:rsid w:val="00C66CF2"/>
    <w:rsid w:val="00C67215"/>
    <w:rsid w:val="00C672D2"/>
    <w:rsid w:val="00C6735C"/>
    <w:rsid w:val="00C67368"/>
    <w:rsid w:val="00C673E4"/>
    <w:rsid w:val="00C6746B"/>
    <w:rsid w:val="00C67484"/>
    <w:rsid w:val="00C675E1"/>
    <w:rsid w:val="00C676B8"/>
    <w:rsid w:val="00C676E3"/>
    <w:rsid w:val="00C677B0"/>
    <w:rsid w:val="00C677F4"/>
    <w:rsid w:val="00C67801"/>
    <w:rsid w:val="00C6782C"/>
    <w:rsid w:val="00C67859"/>
    <w:rsid w:val="00C67864"/>
    <w:rsid w:val="00C679BB"/>
    <w:rsid w:val="00C67B20"/>
    <w:rsid w:val="00C67C39"/>
    <w:rsid w:val="00C67C7C"/>
    <w:rsid w:val="00C67D7B"/>
    <w:rsid w:val="00C67DFF"/>
    <w:rsid w:val="00C67E08"/>
    <w:rsid w:val="00C67F88"/>
    <w:rsid w:val="00C6E00C"/>
    <w:rsid w:val="00C7036C"/>
    <w:rsid w:val="00C7036D"/>
    <w:rsid w:val="00C705C9"/>
    <w:rsid w:val="00C70615"/>
    <w:rsid w:val="00C70659"/>
    <w:rsid w:val="00C70761"/>
    <w:rsid w:val="00C7096A"/>
    <w:rsid w:val="00C70C03"/>
    <w:rsid w:val="00C70CA1"/>
    <w:rsid w:val="00C70CFD"/>
    <w:rsid w:val="00C70D9E"/>
    <w:rsid w:val="00C70E7F"/>
    <w:rsid w:val="00C70F4D"/>
    <w:rsid w:val="00C70FD6"/>
    <w:rsid w:val="00C7108E"/>
    <w:rsid w:val="00C71137"/>
    <w:rsid w:val="00C711EA"/>
    <w:rsid w:val="00C712CF"/>
    <w:rsid w:val="00C71330"/>
    <w:rsid w:val="00C71508"/>
    <w:rsid w:val="00C71571"/>
    <w:rsid w:val="00C717E0"/>
    <w:rsid w:val="00C7192C"/>
    <w:rsid w:val="00C7193C"/>
    <w:rsid w:val="00C71A7C"/>
    <w:rsid w:val="00C71AC3"/>
    <w:rsid w:val="00C71BD2"/>
    <w:rsid w:val="00C71C61"/>
    <w:rsid w:val="00C71C84"/>
    <w:rsid w:val="00C71D03"/>
    <w:rsid w:val="00C71D1A"/>
    <w:rsid w:val="00C71E66"/>
    <w:rsid w:val="00C71ED8"/>
    <w:rsid w:val="00C72135"/>
    <w:rsid w:val="00C72313"/>
    <w:rsid w:val="00C72374"/>
    <w:rsid w:val="00C724CD"/>
    <w:rsid w:val="00C7260A"/>
    <w:rsid w:val="00C7279D"/>
    <w:rsid w:val="00C729D9"/>
    <w:rsid w:val="00C729E0"/>
    <w:rsid w:val="00C72D1E"/>
    <w:rsid w:val="00C72F83"/>
    <w:rsid w:val="00C733AC"/>
    <w:rsid w:val="00C733C9"/>
    <w:rsid w:val="00C734DD"/>
    <w:rsid w:val="00C73634"/>
    <w:rsid w:val="00C73675"/>
    <w:rsid w:val="00C7372A"/>
    <w:rsid w:val="00C7372C"/>
    <w:rsid w:val="00C73756"/>
    <w:rsid w:val="00C73843"/>
    <w:rsid w:val="00C738E6"/>
    <w:rsid w:val="00C73CA2"/>
    <w:rsid w:val="00C73E4A"/>
    <w:rsid w:val="00C73EB2"/>
    <w:rsid w:val="00C74023"/>
    <w:rsid w:val="00C74177"/>
    <w:rsid w:val="00C742BD"/>
    <w:rsid w:val="00C7431A"/>
    <w:rsid w:val="00C74525"/>
    <w:rsid w:val="00C74589"/>
    <w:rsid w:val="00C74592"/>
    <w:rsid w:val="00C7459D"/>
    <w:rsid w:val="00C74600"/>
    <w:rsid w:val="00C74669"/>
    <w:rsid w:val="00C74820"/>
    <w:rsid w:val="00C748EC"/>
    <w:rsid w:val="00C7494F"/>
    <w:rsid w:val="00C74986"/>
    <w:rsid w:val="00C74996"/>
    <w:rsid w:val="00C74B9C"/>
    <w:rsid w:val="00C74BCA"/>
    <w:rsid w:val="00C74D07"/>
    <w:rsid w:val="00C74D36"/>
    <w:rsid w:val="00C74DF2"/>
    <w:rsid w:val="00C74E92"/>
    <w:rsid w:val="00C74FCA"/>
    <w:rsid w:val="00C751A2"/>
    <w:rsid w:val="00C7522C"/>
    <w:rsid w:val="00C7529D"/>
    <w:rsid w:val="00C753C9"/>
    <w:rsid w:val="00C7551B"/>
    <w:rsid w:val="00C75761"/>
    <w:rsid w:val="00C7589E"/>
    <w:rsid w:val="00C759C0"/>
    <w:rsid w:val="00C75ACF"/>
    <w:rsid w:val="00C75C27"/>
    <w:rsid w:val="00C75DF3"/>
    <w:rsid w:val="00C760DD"/>
    <w:rsid w:val="00C76206"/>
    <w:rsid w:val="00C76251"/>
    <w:rsid w:val="00C7629D"/>
    <w:rsid w:val="00C76334"/>
    <w:rsid w:val="00C765EF"/>
    <w:rsid w:val="00C7682E"/>
    <w:rsid w:val="00C7688A"/>
    <w:rsid w:val="00C769E2"/>
    <w:rsid w:val="00C76B98"/>
    <w:rsid w:val="00C76CC5"/>
    <w:rsid w:val="00C76E34"/>
    <w:rsid w:val="00C76E9A"/>
    <w:rsid w:val="00C76F68"/>
    <w:rsid w:val="00C76F83"/>
    <w:rsid w:val="00C76FD9"/>
    <w:rsid w:val="00C77126"/>
    <w:rsid w:val="00C77455"/>
    <w:rsid w:val="00C776CE"/>
    <w:rsid w:val="00C7772D"/>
    <w:rsid w:val="00C77A88"/>
    <w:rsid w:val="00C77B51"/>
    <w:rsid w:val="00C77B8F"/>
    <w:rsid w:val="00C77CEF"/>
    <w:rsid w:val="00C77DA3"/>
    <w:rsid w:val="00C77DF9"/>
    <w:rsid w:val="00C77F75"/>
    <w:rsid w:val="00C80033"/>
    <w:rsid w:val="00C8007A"/>
    <w:rsid w:val="00C801AE"/>
    <w:rsid w:val="00C803D9"/>
    <w:rsid w:val="00C8054D"/>
    <w:rsid w:val="00C805D1"/>
    <w:rsid w:val="00C8084F"/>
    <w:rsid w:val="00C80891"/>
    <w:rsid w:val="00C809A9"/>
    <w:rsid w:val="00C80AF6"/>
    <w:rsid w:val="00C80C9B"/>
    <w:rsid w:val="00C80CF3"/>
    <w:rsid w:val="00C80E55"/>
    <w:rsid w:val="00C80E6D"/>
    <w:rsid w:val="00C80FD8"/>
    <w:rsid w:val="00C8115D"/>
    <w:rsid w:val="00C8126C"/>
    <w:rsid w:val="00C812A8"/>
    <w:rsid w:val="00C8138F"/>
    <w:rsid w:val="00C81456"/>
    <w:rsid w:val="00C815B5"/>
    <w:rsid w:val="00C8162B"/>
    <w:rsid w:val="00C8173C"/>
    <w:rsid w:val="00C817AA"/>
    <w:rsid w:val="00C817AB"/>
    <w:rsid w:val="00C81806"/>
    <w:rsid w:val="00C8184F"/>
    <w:rsid w:val="00C818A3"/>
    <w:rsid w:val="00C81C29"/>
    <w:rsid w:val="00C81CF1"/>
    <w:rsid w:val="00C81E19"/>
    <w:rsid w:val="00C820ED"/>
    <w:rsid w:val="00C8210C"/>
    <w:rsid w:val="00C823DA"/>
    <w:rsid w:val="00C82443"/>
    <w:rsid w:val="00C824BE"/>
    <w:rsid w:val="00C825F1"/>
    <w:rsid w:val="00C82618"/>
    <w:rsid w:val="00C8270F"/>
    <w:rsid w:val="00C82859"/>
    <w:rsid w:val="00C82A58"/>
    <w:rsid w:val="00C82A5F"/>
    <w:rsid w:val="00C82AB4"/>
    <w:rsid w:val="00C82B5D"/>
    <w:rsid w:val="00C82C64"/>
    <w:rsid w:val="00C82F1F"/>
    <w:rsid w:val="00C83100"/>
    <w:rsid w:val="00C83144"/>
    <w:rsid w:val="00C831A3"/>
    <w:rsid w:val="00C83262"/>
    <w:rsid w:val="00C832CA"/>
    <w:rsid w:val="00C833B9"/>
    <w:rsid w:val="00C833D7"/>
    <w:rsid w:val="00C834D1"/>
    <w:rsid w:val="00C83515"/>
    <w:rsid w:val="00C83628"/>
    <w:rsid w:val="00C83636"/>
    <w:rsid w:val="00C83718"/>
    <w:rsid w:val="00C839AC"/>
    <w:rsid w:val="00C839E7"/>
    <w:rsid w:val="00C83BC8"/>
    <w:rsid w:val="00C83BE4"/>
    <w:rsid w:val="00C83CB2"/>
    <w:rsid w:val="00C83D3E"/>
    <w:rsid w:val="00C83D61"/>
    <w:rsid w:val="00C83FE6"/>
    <w:rsid w:val="00C840DF"/>
    <w:rsid w:val="00C84313"/>
    <w:rsid w:val="00C843C4"/>
    <w:rsid w:val="00C843E3"/>
    <w:rsid w:val="00C846FB"/>
    <w:rsid w:val="00C84D27"/>
    <w:rsid w:val="00C84D54"/>
    <w:rsid w:val="00C84F5B"/>
    <w:rsid w:val="00C85115"/>
    <w:rsid w:val="00C85164"/>
    <w:rsid w:val="00C8543D"/>
    <w:rsid w:val="00C8558E"/>
    <w:rsid w:val="00C856BC"/>
    <w:rsid w:val="00C85749"/>
    <w:rsid w:val="00C8580E"/>
    <w:rsid w:val="00C858FE"/>
    <w:rsid w:val="00C85A14"/>
    <w:rsid w:val="00C85B05"/>
    <w:rsid w:val="00C85C6A"/>
    <w:rsid w:val="00C85D5F"/>
    <w:rsid w:val="00C85D93"/>
    <w:rsid w:val="00C85DF2"/>
    <w:rsid w:val="00C85DFA"/>
    <w:rsid w:val="00C85EF4"/>
    <w:rsid w:val="00C85EF7"/>
    <w:rsid w:val="00C85F1E"/>
    <w:rsid w:val="00C85FA9"/>
    <w:rsid w:val="00C85FB4"/>
    <w:rsid w:val="00C8609C"/>
    <w:rsid w:val="00C861C2"/>
    <w:rsid w:val="00C86271"/>
    <w:rsid w:val="00C86441"/>
    <w:rsid w:val="00C86573"/>
    <w:rsid w:val="00C865CA"/>
    <w:rsid w:val="00C866C2"/>
    <w:rsid w:val="00C86786"/>
    <w:rsid w:val="00C8699B"/>
    <w:rsid w:val="00C86A71"/>
    <w:rsid w:val="00C86A9A"/>
    <w:rsid w:val="00C86B2F"/>
    <w:rsid w:val="00C86B8C"/>
    <w:rsid w:val="00C86C64"/>
    <w:rsid w:val="00C86CF0"/>
    <w:rsid w:val="00C86D84"/>
    <w:rsid w:val="00C86ECC"/>
    <w:rsid w:val="00C86F1F"/>
    <w:rsid w:val="00C86F72"/>
    <w:rsid w:val="00C86FF2"/>
    <w:rsid w:val="00C8716C"/>
    <w:rsid w:val="00C87252"/>
    <w:rsid w:val="00C873D5"/>
    <w:rsid w:val="00C8746F"/>
    <w:rsid w:val="00C877E3"/>
    <w:rsid w:val="00C87891"/>
    <w:rsid w:val="00C878D5"/>
    <w:rsid w:val="00C87916"/>
    <w:rsid w:val="00C8791A"/>
    <w:rsid w:val="00C87934"/>
    <w:rsid w:val="00C87A63"/>
    <w:rsid w:val="00C87C77"/>
    <w:rsid w:val="00C87F85"/>
    <w:rsid w:val="00C900BA"/>
    <w:rsid w:val="00C9017A"/>
    <w:rsid w:val="00C9033B"/>
    <w:rsid w:val="00C903CD"/>
    <w:rsid w:val="00C9040D"/>
    <w:rsid w:val="00C904AE"/>
    <w:rsid w:val="00C90659"/>
    <w:rsid w:val="00C906F5"/>
    <w:rsid w:val="00C90793"/>
    <w:rsid w:val="00C908D9"/>
    <w:rsid w:val="00C90B2D"/>
    <w:rsid w:val="00C90C9C"/>
    <w:rsid w:val="00C90CB6"/>
    <w:rsid w:val="00C90EA9"/>
    <w:rsid w:val="00C90EF9"/>
    <w:rsid w:val="00C9104B"/>
    <w:rsid w:val="00C910AF"/>
    <w:rsid w:val="00C91159"/>
    <w:rsid w:val="00C91204"/>
    <w:rsid w:val="00C9132F"/>
    <w:rsid w:val="00C913A1"/>
    <w:rsid w:val="00C9144E"/>
    <w:rsid w:val="00C9145B"/>
    <w:rsid w:val="00C9148D"/>
    <w:rsid w:val="00C91655"/>
    <w:rsid w:val="00C9168A"/>
    <w:rsid w:val="00C91693"/>
    <w:rsid w:val="00C9179A"/>
    <w:rsid w:val="00C917A6"/>
    <w:rsid w:val="00C9186F"/>
    <w:rsid w:val="00C9192D"/>
    <w:rsid w:val="00C9194A"/>
    <w:rsid w:val="00C9196F"/>
    <w:rsid w:val="00C919F5"/>
    <w:rsid w:val="00C91A20"/>
    <w:rsid w:val="00C91A9B"/>
    <w:rsid w:val="00C91D12"/>
    <w:rsid w:val="00C91D4A"/>
    <w:rsid w:val="00C91D4C"/>
    <w:rsid w:val="00C91E42"/>
    <w:rsid w:val="00C91E48"/>
    <w:rsid w:val="00C920B0"/>
    <w:rsid w:val="00C920BD"/>
    <w:rsid w:val="00C92249"/>
    <w:rsid w:val="00C9229B"/>
    <w:rsid w:val="00C92300"/>
    <w:rsid w:val="00C92396"/>
    <w:rsid w:val="00C9268A"/>
    <w:rsid w:val="00C9270A"/>
    <w:rsid w:val="00C929C0"/>
    <w:rsid w:val="00C929FF"/>
    <w:rsid w:val="00C92A18"/>
    <w:rsid w:val="00C92AD7"/>
    <w:rsid w:val="00C92B58"/>
    <w:rsid w:val="00C92B63"/>
    <w:rsid w:val="00C92C96"/>
    <w:rsid w:val="00C92D99"/>
    <w:rsid w:val="00C932F3"/>
    <w:rsid w:val="00C93320"/>
    <w:rsid w:val="00C934C6"/>
    <w:rsid w:val="00C93546"/>
    <w:rsid w:val="00C93631"/>
    <w:rsid w:val="00C938B8"/>
    <w:rsid w:val="00C938D5"/>
    <w:rsid w:val="00C939FC"/>
    <w:rsid w:val="00C93B90"/>
    <w:rsid w:val="00C93D65"/>
    <w:rsid w:val="00C93E06"/>
    <w:rsid w:val="00C94038"/>
    <w:rsid w:val="00C94150"/>
    <w:rsid w:val="00C94200"/>
    <w:rsid w:val="00C94222"/>
    <w:rsid w:val="00C94392"/>
    <w:rsid w:val="00C94538"/>
    <w:rsid w:val="00C9454B"/>
    <w:rsid w:val="00C945EA"/>
    <w:rsid w:val="00C94636"/>
    <w:rsid w:val="00C946AE"/>
    <w:rsid w:val="00C946D2"/>
    <w:rsid w:val="00C9476D"/>
    <w:rsid w:val="00C94829"/>
    <w:rsid w:val="00C94857"/>
    <w:rsid w:val="00C9486A"/>
    <w:rsid w:val="00C948F6"/>
    <w:rsid w:val="00C94973"/>
    <w:rsid w:val="00C94995"/>
    <w:rsid w:val="00C94A09"/>
    <w:rsid w:val="00C94C63"/>
    <w:rsid w:val="00C94CD6"/>
    <w:rsid w:val="00C94D8D"/>
    <w:rsid w:val="00C94DDB"/>
    <w:rsid w:val="00C94ECC"/>
    <w:rsid w:val="00C94FE2"/>
    <w:rsid w:val="00C95032"/>
    <w:rsid w:val="00C95047"/>
    <w:rsid w:val="00C950B2"/>
    <w:rsid w:val="00C9519A"/>
    <w:rsid w:val="00C95223"/>
    <w:rsid w:val="00C9531B"/>
    <w:rsid w:val="00C954A1"/>
    <w:rsid w:val="00C955FD"/>
    <w:rsid w:val="00C957D2"/>
    <w:rsid w:val="00C95A9F"/>
    <w:rsid w:val="00C95DBC"/>
    <w:rsid w:val="00C95DDD"/>
    <w:rsid w:val="00C95E38"/>
    <w:rsid w:val="00C961BE"/>
    <w:rsid w:val="00C9662D"/>
    <w:rsid w:val="00C966A1"/>
    <w:rsid w:val="00C966BE"/>
    <w:rsid w:val="00C966CE"/>
    <w:rsid w:val="00C96847"/>
    <w:rsid w:val="00C96881"/>
    <w:rsid w:val="00C968FC"/>
    <w:rsid w:val="00C96973"/>
    <w:rsid w:val="00C969AC"/>
    <w:rsid w:val="00C969F9"/>
    <w:rsid w:val="00C96AC9"/>
    <w:rsid w:val="00C96C2D"/>
    <w:rsid w:val="00C96CDC"/>
    <w:rsid w:val="00C96D07"/>
    <w:rsid w:val="00C96D08"/>
    <w:rsid w:val="00C96F7D"/>
    <w:rsid w:val="00C970C6"/>
    <w:rsid w:val="00C9718C"/>
    <w:rsid w:val="00C971C8"/>
    <w:rsid w:val="00C971FF"/>
    <w:rsid w:val="00C97206"/>
    <w:rsid w:val="00C97314"/>
    <w:rsid w:val="00C974A7"/>
    <w:rsid w:val="00C975B5"/>
    <w:rsid w:val="00C97652"/>
    <w:rsid w:val="00C97773"/>
    <w:rsid w:val="00C9780E"/>
    <w:rsid w:val="00C97A44"/>
    <w:rsid w:val="00C97B31"/>
    <w:rsid w:val="00C97B68"/>
    <w:rsid w:val="00C97C18"/>
    <w:rsid w:val="00C97C32"/>
    <w:rsid w:val="00C97C5C"/>
    <w:rsid w:val="00C97C65"/>
    <w:rsid w:val="00C97D81"/>
    <w:rsid w:val="00C97D8B"/>
    <w:rsid w:val="00C97F53"/>
    <w:rsid w:val="00C97F8B"/>
    <w:rsid w:val="00C97FCB"/>
    <w:rsid w:val="00C98DB6"/>
    <w:rsid w:val="00CA0108"/>
    <w:rsid w:val="00CA0139"/>
    <w:rsid w:val="00CA02C9"/>
    <w:rsid w:val="00CA0304"/>
    <w:rsid w:val="00CA033A"/>
    <w:rsid w:val="00CA057F"/>
    <w:rsid w:val="00CA0657"/>
    <w:rsid w:val="00CA0791"/>
    <w:rsid w:val="00CA0831"/>
    <w:rsid w:val="00CA095E"/>
    <w:rsid w:val="00CA0AB5"/>
    <w:rsid w:val="00CA0BB1"/>
    <w:rsid w:val="00CA0BC5"/>
    <w:rsid w:val="00CA0CC1"/>
    <w:rsid w:val="00CA0CCC"/>
    <w:rsid w:val="00CA0CDA"/>
    <w:rsid w:val="00CA0CE4"/>
    <w:rsid w:val="00CA0DB4"/>
    <w:rsid w:val="00CA0E75"/>
    <w:rsid w:val="00CA0F12"/>
    <w:rsid w:val="00CA0F2C"/>
    <w:rsid w:val="00CA1066"/>
    <w:rsid w:val="00CA120E"/>
    <w:rsid w:val="00CA1390"/>
    <w:rsid w:val="00CA13AE"/>
    <w:rsid w:val="00CA1428"/>
    <w:rsid w:val="00CA1596"/>
    <w:rsid w:val="00CA15C1"/>
    <w:rsid w:val="00CA15DE"/>
    <w:rsid w:val="00CA1628"/>
    <w:rsid w:val="00CA1647"/>
    <w:rsid w:val="00CA1686"/>
    <w:rsid w:val="00CA16D0"/>
    <w:rsid w:val="00CA1827"/>
    <w:rsid w:val="00CA183C"/>
    <w:rsid w:val="00CA1845"/>
    <w:rsid w:val="00CA198B"/>
    <w:rsid w:val="00CA1A4A"/>
    <w:rsid w:val="00CA1A63"/>
    <w:rsid w:val="00CA1B0D"/>
    <w:rsid w:val="00CA1CB1"/>
    <w:rsid w:val="00CA1D20"/>
    <w:rsid w:val="00CA1D5A"/>
    <w:rsid w:val="00CA1D78"/>
    <w:rsid w:val="00CA1E0E"/>
    <w:rsid w:val="00CA1EB0"/>
    <w:rsid w:val="00CA1FFB"/>
    <w:rsid w:val="00CA203A"/>
    <w:rsid w:val="00CA2097"/>
    <w:rsid w:val="00CA22F8"/>
    <w:rsid w:val="00CA2344"/>
    <w:rsid w:val="00CA2448"/>
    <w:rsid w:val="00CA2487"/>
    <w:rsid w:val="00CA2545"/>
    <w:rsid w:val="00CA2549"/>
    <w:rsid w:val="00CA275E"/>
    <w:rsid w:val="00CA2794"/>
    <w:rsid w:val="00CA281E"/>
    <w:rsid w:val="00CA2A0E"/>
    <w:rsid w:val="00CA2A5F"/>
    <w:rsid w:val="00CA2AB9"/>
    <w:rsid w:val="00CA2BFC"/>
    <w:rsid w:val="00CA2C2D"/>
    <w:rsid w:val="00CA2C88"/>
    <w:rsid w:val="00CA2CA5"/>
    <w:rsid w:val="00CA2CFB"/>
    <w:rsid w:val="00CA2D33"/>
    <w:rsid w:val="00CA2D50"/>
    <w:rsid w:val="00CA2E72"/>
    <w:rsid w:val="00CA2EC4"/>
    <w:rsid w:val="00CA2F26"/>
    <w:rsid w:val="00CA3176"/>
    <w:rsid w:val="00CA3199"/>
    <w:rsid w:val="00CA319E"/>
    <w:rsid w:val="00CA31D1"/>
    <w:rsid w:val="00CA31E9"/>
    <w:rsid w:val="00CA3226"/>
    <w:rsid w:val="00CA342A"/>
    <w:rsid w:val="00CA3578"/>
    <w:rsid w:val="00CA35AC"/>
    <w:rsid w:val="00CA3770"/>
    <w:rsid w:val="00CA3B05"/>
    <w:rsid w:val="00CA3B12"/>
    <w:rsid w:val="00CA3B16"/>
    <w:rsid w:val="00CA3B56"/>
    <w:rsid w:val="00CA3C6D"/>
    <w:rsid w:val="00CA3F67"/>
    <w:rsid w:val="00CA3FAA"/>
    <w:rsid w:val="00CA4068"/>
    <w:rsid w:val="00CA4069"/>
    <w:rsid w:val="00CA4107"/>
    <w:rsid w:val="00CA41B4"/>
    <w:rsid w:val="00CA446A"/>
    <w:rsid w:val="00CA44B3"/>
    <w:rsid w:val="00CA46BE"/>
    <w:rsid w:val="00CA470D"/>
    <w:rsid w:val="00CA4788"/>
    <w:rsid w:val="00CA482E"/>
    <w:rsid w:val="00CA4ACD"/>
    <w:rsid w:val="00CA4B24"/>
    <w:rsid w:val="00CA4CB0"/>
    <w:rsid w:val="00CA4CBA"/>
    <w:rsid w:val="00CA4DAF"/>
    <w:rsid w:val="00CA4E1A"/>
    <w:rsid w:val="00CA4E29"/>
    <w:rsid w:val="00CA4E4C"/>
    <w:rsid w:val="00CA4E63"/>
    <w:rsid w:val="00CA4EA4"/>
    <w:rsid w:val="00CA4EEA"/>
    <w:rsid w:val="00CA4FD7"/>
    <w:rsid w:val="00CA5239"/>
    <w:rsid w:val="00CA55E7"/>
    <w:rsid w:val="00CA561C"/>
    <w:rsid w:val="00CA579C"/>
    <w:rsid w:val="00CA5954"/>
    <w:rsid w:val="00CA5983"/>
    <w:rsid w:val="00CA5CEB"/>
    <w:rsid w:val="00CA5DDC"/>
    <w:rsid w:val="00CA5EFB"/>
    <w:rsid w:val="00CA601E"/>
    <w:rsid w:val="00CA60DD"/>
    <w:rsid w:val="00CA6174"/>
    <w:rsid w:val="00CA629E"/>
    <w:rsid w:val="00CA62FC"/>
    <w:rsid w:val="00CA6484"/>
    <w:rsid w:val="00CA65C1"/>
    <w:rsid w:val="00CA678D"/>
    <w:rsid w:val="00CA6853"/>
    <w:rsid w:val="00CA68FA"/>
    <w:rsid w:val="00CA6939"/>
    <w:rsid w:val="00CA6CD1"/>
    <w:rsid w:val="00CA6DE3"/>
    <w:rsid w:val="00CA6E01"/>
    <w:rsid w:val="00CA6E22"/>
    <w:rsid w:val="00CA7085"/>
    <w:rsid w:val="00CA70CC"/>
    <w:rsid w:val="00CA727C"/>
    <w:rsid w:val="00CA734F"/>
    <w:rsid w:val="00CA7421"/>
    <w:rsid w:val="00CA7434"/>
    <w:rsid w:val="00CA7471"/>
    <w:rsid w:val="00CA7480"/>
    <w:rsid w:val="00CA766B"/>
    <w:rsid w:val="00CA76BC"/>
    <w:rsid w:val="00CA77F1"/>
    <w:rsid w:val="00CA787E"/>
    <w:rsid w:val="00CA78EE"/>
    <w:rsid w:val="00CA79BB"/>
    <w:rsid w:val="00CA79D4"/>
    <w:rsid w:val="00CA79F2"/>
    <w:rsid w:val="00CA7A33"/>
    <w:rsid w:val="00CA7A4F"/>
    <w:rsid w:val="00CA7B49"/>
    <w:rsid w:val="00CA7DBB"/>
    <w:rsid w:val="00CA7FAD"/>
    <w:rsid w:val="00CB0078"/>
    <w:rsid w:val="00CB01C4"/>
    <w:rsid w:val="00CB01F0"/>
    <w:rsid w:val="00CB0336"/>
    <w:rsid w:val="00CB05B8"/>
    <w:rsid w:val="00CB05EC"/>
    <w:rsid w:val="00CB07A3"/>
    <w:rsid w:val="00CB07AB"/>
    <w:rsid w:val="00CB07BB"/>
    <w:rsid w:val="00CB0813"/>
    <w:rsid w:val="00CB0867"/>
    <w:rsid w:val="00CB0968"/>
    <w:rsid w:val="00CB0986"/>
    <w:rsid w:val="00CB0990"/>
    <w:rsid w:val="00CB0A76"/>
    <w:rsid w:val="00CB0AA1"/>
    <w:rsid w:val="00CB0AA9"/>
    <w:rsid w:val="00CB0B2C"/>
    <w:rsid w:val="00CB0BAB"/>
    <w:rsid w:val="00CB0C12"/>
    <w:rsid w:val="00CB0C97"/>
    <w:rsid w:val="00CB0CA1"/>
    <w:rsid w:val="00CB0DED"/>
    <w:rsid w:val="00CB0F9E"/>
    <w:rsid w:val="00CB0FC3"/>
    <w:rsid w:val="00CB10D7"/>
    <w:rsid w:val="00CB116E"/>
    <w:rsid w:val="00CB119E"/>
    <w:rsid w:val="00CB12FF"/>
    <w:rsid w:val="00CB158A"/>
    <w:rsid w:val="00CB168B"/>
    <w:rsid w:val="00CB1713"/>
    <w:rsid w:val="00CB18A5"/>
    <w:rsid w:val="00CB18C3"/>
    <w:rsid w:val="00CB18FC"/>
    <w:rsid w:val="00CB1D49"/>
    <w:rsid w:val="00CB1EC8"/>
    <w:rsid w:val="00CB1F5A"/>
    <w:rsid w:val="00CB2148"/>
    <w:rsid w:val="00CB21B1"/>
    <w:rsid w:val="00CB21E3"/>
    <w:rsid w:val="00CB21ED"/>
    <w:rsid w:val="00CB226B"/>
    <w:rsid w:val="00CB229D"/>
    <w:rsid w:val="00CB22AA"/>
    <w:rsid w:val="00CB2457"/>
    <w:rsid w:val="00CB24D3"/>
    <w:rsid w:val="00CB25FD"/>
    <w:rsid w:val="00CB2657"/>
    <w:rsid w:val="00CB269C"/>
    <w:rsid w:val="00CB293D"/>
    <w:rsid w:val="00CB2A30"/>
    <w:rsid w:val="00CB2AC9"/>
    <w:rsid w:val="00CB2B09"/>
    <w:rsid w:val="00CB2B46"/>
    <w:rsid w:val="00CB2ED3"/>
    <w:rsid w:val="00CB2F23"/>
    <w:rsid w:val="00CB2F38"/>
    <w:rsid w:val="00CB2F74"/>
    <w:rsid w:val="00CB2F93"/>
    <w:rsid w:val="00CB2FCC"/>
    <w:rsid w:val="00CB30D3"/>
    <w:rsid w:val="00CB30E6"/>
    <w:rsid w:val="00CB30F6"/>
    <w:rsid w:val="00CB3118"/>
    <w:rsid w:val="00CB340C"/>
    <w:rsid w:val="00CB346A"/>
    <w:rsid w:val="00CB34A3"/>
    <w:rsid w:val="00CB34FC"/>
    <w:rsid w:val="00CB35D7"/>
    <w:rsid w:val="00CB36E9"/>
    <w:rsid w:val="00CB3789"/>
    <w:rsid w:val="00CB3AD1"/>
    <w:rsid w:val="00CB3CE6"/>
    <w:rsid w:val="00CB3CF7"/>
    <w:rsid w:val="00CB3D5A"/>
    <w:rsid w:val="00CB3F14"/>
    <w:rsid w:val="00CB3F49"/>
    <w:rsid w:val="00CB3FED"/>
    <w:rsid w:val="00CB404C"/>
    <w:rsid w:val="00CB42A3"/>
    <w:rsid w:val="00CB43D6"/>
    <w:rsid w:val="00CB442C"/>
    <w:rsid w:val="00CB447F"/>
    <w:rsid w:val="00CB4493"/>
    <w:rsid w:val="00CB44E5"/>
    <w:rsid w:val="00CB4599"/>
    <w:rsid w:val="00CB45A5"/>
    <w:rsid w:val="00CB4611"/>
    <w:rsid w:val="00CB462F"/>
    <w:rsid w:val="00CB46D9"/>
    <w:rsid w:val="00CB47FB"/>
    <w:rsid w:val="00CB48CC"/>
    <w:rsid w:val="00CB48CE"/>
    <w:rsid w:val="00CB4A1B"/>
    <w:rsid w:val="00CB4C15"/>
    <w:rsid w:val="00CB4DF1"/>
    <w:rsid w:val="00CB4DF5"/>
    <w:rsid w:val="00CB4E31"/>
    <w:rsid w:val="00CB4E92"/>
    <w:rsid w:val="00CB503A"/>
    <w:rsid w:val="00CB513C"/>
    <w:rsid w:val="00CB52D9"/>
    <w:rsid w:val="00CB5393"/>
    <w:rsid w:val="00CB53D0"/>
    <w:rsid w:val="00CB5550"/>
    <w:rsid w:val="00CB562C"/>
    <w:rsid w:val="00CB5700"/>
    <w:rsid w:val="00CB5718"/>
    <w:rsid w:val="00CB58CB"/>
    <w:rsid w:val="00CB5914"/>
    <w:rsid w:val="00CB59C6"/>
    <w:rsid w:val="00CB5D53"/>
    <w:rsid w:val="00CB5DCD"/>
    <w:rsid w:val="00CB5F14"/>
    <w:rsid w:val="00CB5F2B"/>
    <w:rsid w:val="00CB5FA7"/>
    <w:rsid w:val="00CB5FF7"/>
    <w:rsid w:val="00CB61A0"/>
    <w:rsid w:val="00CB675E"/>
    <w:rsid w:val="00CB6894"/>
    <w:rsid w:val="00CB69C5"/>
    <w:rsid w:val="00CB6A2A"/>
    <w:rsid w:val="00CB6A6F"/>
    <w:rsid w:val="00CB6AF7"/>
    <w:rsid w:val="00CB6B39"/>
    <w:rsid w:val="00CB6C14"/>
    <w:rsid w:val="00CB6D7E"/>
    <w:rsid w:val="00CB6E6E"/>
    <w:rsid w:val="00CB6EE1"/>
    <w:rsid w:val="00CB7114"/>
    <w:rsid w:val="00CB72E5"/>
    <w:rsid w:val="00CB7302"/>
    <w:rsid w:val="00CB7369"/>
    <w:rsid w:val="00CB7374"/>
    <w:rsid w:val="00CB7403"/>
    <w:rsid w:val="00CB7484"/>
    <w:rsid w:val="00CB7525"/>
    <w:rsid w:val="00CB7656"/>
    <w:rsid w:val="00CB76DB"/>
    <w:rsid w:val="00CB77AF"/>
    <w:rsid w:val="00CB7939"/>
    <w:rsid w:val="00CB7B2F"/>
    <w:rsid w:val="00CB7C30"/>
    <w:rsid w:val="00CB7CAD"/>
    <w:rsid w:val="00CC009F"/>
    <w:rsid w:val="00CC0293"/>
    <w:rsid w:val="00CC030B"/>
    <w:rsid w:val="00CC035E"/>
    <w:rsid w:val="00CC0412"/>
    <w:rsid w:val="00CC049A"/>
    <w:rsid w:val="00CC054B"/>
    <w:rsid w:val="00CC0591"/>
    <w:rsid w:val="00CC05D9"/>
    <w:rsid w:val="00CC05FC"/>
    <w:rsid w:val="00CC086D"/>
    <w:rsid w:val="00CC0960"/>
    <w:rsid w:val="00CC0997"/>
    <w:rsid w:val="00CC0A36"/>
    <w:rsid w:val="00CC0B2C"/>
    <w:rsid w:val="00CC0CB7"/>
    <w:rsid w:val="00CC0D18"/>
    <w:rsid w:val="00CC0D7B"/>
    <w:rsid w:val="00CC0D81"/>
    <w:rsid w:val="00CC1002"/>
    <w:rsid w:val="00CC10D0"/>
    <w:rsid w:val="00CC1108"/>
    <w:rsid w:val="00CC1424"/>
    <w:rsid w:val="00CC1505"/>
    <w:rsid w:val="00CC15A9"/>
    <w:rsid w:val="00CC1792"/>
    <w:rsid w:val="00CC17A0"/>
    <w:rsid w:val="00CC17B2"/>
    <w:rsid w:val="00CC17B6"/>
    <w:rsid w:val="00CC17FD"/>
    <w:rsid w:val="00CC1C53"/>
    <w:rsid w:val="00CC1E7C"/>
    <w:rsid w:val="00CC2133"/>
    <w:rsid w:val="00CC2158"/>
    <w:rsid w:val="00CC219D"/>
    <w:rsid w:val="00CC226E"/>
    <w:rsid w:val="00CC22FD"/>
    <w:rsid w:val="00CC230C"/>
    <w:rsid w:val="00CC24E0"/>
    <w:rsid w:val="00CC254D"/>
    <w:rsid w:val="00CC26F4"/>
    <w:rsid w:val="00CC285F"/>
    <w:rsid w:val="00CC28C0"/>
    <w:rsid w:val="00CC2942"/>
    <w:rsid w:val="00CC2A02"/>
    <w:rsid w:val="00CC2B1B"/>
    <w:rsid w:val="00CC2BF6"/>
    <w:rsid w:val="00CC2C5E"/>
    <w:rsid w:val="00CC2CB7"/>
    <w:rsid w:val="00CC2D17"/>
    <w:rsid w:val="00CC3023"/>
    <w:rsid w:val="00CC3105"/>
    <w:rsid w:val="00CC315E"/>
    <w:rsid w:val="00CC324C"/>
    <w:rsid w:val="00CC3308"/>
    <w:rsid w:val="00CC3547"/>
    <w:rsid w:val="00CC358D"/>
    <w:rsid w:val="00CC3646"/>
    <w:rsid w:val="00CC3660"/>
    <w:rsid w:val="00CC3720"/>
    <w:rsid w:val="00CC379F"/>
    <w:rsid w:val="00CC38F6"/>
    <w:rsid w:val="00CC38F8"/>
    <w:rsid w:val="00CC3ADC"/>
    <w:rsid w:val="00CC3B98"/>
    <w:rsid w:val="00CC3CD5"/>
    <w:rsid w:val="00CC3D7B"/>
    <w:rsid w:val="00CC3E5F"/>
    <w:rsid w:val="00CC3F98"/>
    <w:rsid w:val="00CC400C"/>
    <w:rsid w:val="00CC40D3"/>
    <w:rsid w:val="00CC4100"/>
    <w:rsid w:val="00CC422A"/>
    <w:rsid w:val="00CC43B0"/>
    <w:rsid w:val="00CC4500"/>
    <w:rsid w:val="00CC45EB"/>
    <w:rsid w:val="00CC4646"/>
    <w:rsid w:val="00CC46E6"/>
    <w:rsid w:val="00CC47AE"/>
    <w:rsid w:val="00CC488D"/>
    <w:rsid w:val="00CC48A9"/>
    <w:rsid w:val="00CC49EB"/>
    <w:rsid w:val="00CC4A8B"/>
    <w:rsid w:val="00CC4B31"/>
    <w:rsid w:val="00CC4B97"/>
    <w:rsid w:val="00CC4D47"/>
    <w:rsid w:val="00CC4EA7"/>
    <w:rsid w:val="00CC50D1"/>
    <w:rsid w:val="00CC51D6"/>
    <w:rsid w:val="00CC5222"/>
    <w:rsid w:val="00CC526A"/>
    <w:rsid w:val="00CC5460"/>
    <w:rsid w:val="00CC56F4"/>
    <w:rsid w:val="00CC5750"/>
    <w:rsid w:val="00CC5A6A"/>
    <w:rsid w:val="00CC5A8B"/>
    <w:rsid w:val="00CC5AE1"/>
    <w:rsid w:val="00CC5B1C"/>
    <w:rsid w:val="00CC5B2C"/>
    <w:rsid w:val="00CC5BFD"/>
    <w:rsid w:val="00CC5C69"/>
    <w:rsid w:val="00CC5CC5"/>
    <w:rsid w:val="00CC5D07"/>
    <w:rsid w:val="00CC5D66"/>
    <w:rsid w:val="00CC5D88"/>
    <w:rsid w:val="00CC5DC7"/>
    <w:rsid w:val="00CC5DF2"/>
    <w:rsid w:val="00CC5E4D"/>
    <w:rsid w:val="00CC5F16"/>
    <w:rsid w:val="00CC5F74"/>
    <w:rsid w:val="00CC6091"/>
    <w:rsid w:val="00CC62B2"/>
    <w:rsid w:val="00CC6315"/>
    <w:rsid w:val="00CC645A"/>
    <w:rsid w:val="00CC64E6"/>
    <w:rsid w:val="00CC6659"/>
    <w:rsid w:val="00CC6809"/>
    <w:rsid w:val="00CC69C4"/>
    <w:rsid w:val="00CC6A99"/>
    <w:rsid w:val="00CC6B17"/>
    <w:rsid w:val="00CC6B94"/>
    <w:rsid w:val="00CC6BCF"/>
    <w:rsid w:val="00CC6C10"/>
    <w:rsid w:val="00CC6CA3"/>
    <w:rsid w:val="00CC6D84"/>
    <w:rsid w:val="00CC6DBB"/>
    <w:rsid w:val="00CC6E17"/>
    <w:rsid w:val="00CC6ED2"/>
    <w:rsid w:val="00CC7027"/>
    <w:rsid w:val="00CC7035"/>
    <w:rsid w:val="00CC70C9"/>
    <w:rsid w:val="00CC725B"/>
    <w:rsid w:val="00CC75CB"/>
    <w:rsid w:val="00CC75E1"/>
    <w:rsid w:val="00CC769B"/>
    <w:rsid w:val="00CC7708"/>
    <w:rsid w:val="00CC7744"/>
    <w:rsid w:val="00CC7809"/>
    <w:rsid w:val="00CC781F"/>
    <w:rsid w:val="00CC7860"/>
    <w:rsid w:val="00CC7AFA"/>
    <w:rsid w:val="00CC7AFC"/>
    <w:rsid w:val="00CC7B9C"/>
    <w:rsid w:val="00CC7CFE"/>
    <w:rsid w:val="00CD016D"/>
    <w:rsid w:val="00CD01A5"/>
    <w:rsid w:val="00CD0283"/>
    <w:rsid w:val="00CD02D9"/>
    <w:rsid w:val="00CD035E"/>
    <w:rsid w:val="00CD046F"/>
    <w:rsid w:val="00CD047E"/>
    <w:rsid w:val="00CD050C"/>
    <w:rsid w:val="00CD059C"/>
    <w:rsid w:val="00CD066F"/>
    <w:rsid w:val="00CD0812"/>
    <w:rsid w:val="00CD093E"/>
    <w:rsid w:val="00CD094E"/>
    <w:rsid w:val="00CD0AE3"/>
    <w:rsid w:val="00CD0D2A"/>
    <w:rsid w:val="00CD0D97"/>
    <w:rsid w:val="00CD0E30"/>
    <w:rsid w:val="00CD0FF4"/>
    <w:rsid w:val="00CD113E"/>
    <w:rsid w:val="00CD12B9"/>
    <w:rsid w:val="00CD131B"/>
    <w:rsid w:val="00CD14DC"/>
    <w:rsid w:val="00CD14E5"/>
    <w:rsid w:val="00CD15F7"/>
    <w:rsid w:val="00CD1675"/>
    <w:rsid w:val="00CD1685"/>
    <w:rsid w:val="00CD17BC"/>
    <w:rsid w:val="00CD17DC"/>
    <w:rsid w:val="00CD1B07"/>
    <w:rsid w:val="00CD1B8A"/>
    <w:rsid w:val="00CD1B96"/>
    <w:rsid w:val="00CD1C39"/>
    <w:rsid w:val="00CD1CA6"/>
    <w:rsid w:val="00CD1EF1"/>
    <w:rsid w:val="00CD20DA"/>
    <w:rsid w:val="00CD2219"/>
    <w:rsid w:val="00CD222F"/>
    <w:rsid w:val="00CD2364"/>
    <w:rsid w:val="00CD236E"/>
    <w:rsid w:val="00CD24A2"/>
    <w:rsid w:val="00CD2607"/>
    <w:rsid w:val="00CD2718"/>
    <w:rsid w:val="00CD27C2"/>
    <w:rsid w:val="00CD2812"/>
    <w:rsid w:val="00CD2865"/>
    <w:rsid w:val="00CD2975"/>
    <w:rsid w:val="00CD2CA1"/>
    <w:rsid w:val="00CD2FCD"/>
    <w:rsid w:val="00CD3017"/>
    <w:rsid w:val="00CD318F"/>
    <w:rsid w:val="00CD31A8"/>
    <w:rsid w:val="00CD31B8"/>
    <w:rsid w:val="00CD3493"/>
    <w:rsid w:val="00CD354E"/>
    <w:rsid w:val="00CD356F"/>
    <w:rsid w:val="00CD3728"/>
    <w:rsid w:val="00CD378C"/>
    <w:rsid w:val="00CD3860"/>
    <w:rsid w:val="00CD38B0"/>
    <w:rsid w:val="00CD38D9"/>
    <w:rsid w:val="00CD38E2"/>
    <w:rsid w:val="00CD3934"/>
    <w:rsid w:val="00CD39AA"/>
    <w:rsid w:val="00CD3A1C"/>
    <w:rsid w:val="00CD3AB4"/>
    <w:rsid w:val="00CD3ABF"/>
    <w:rsid w:val="00CD3B52"/>
    <w:rsid w:val="00CD3C0F"/>
    <w:rsid w:val="00CD3C68"/>
    <w:rsid w:val="00CD3F54"/>
    <w:rsid w:val="00CD42F0"/>
    <w:rsid w:val="00CD4413"/>
    <w:rsid w:val="00CD441E"/>
    <w:rsid w:val="00CD468F"/>
    <w:rsid w:val="00CD4707"/>
    <w:rsid w:val="00CD47A6"/>
    <w:rsid w:val="00CD4875"/>
    <w:rsid w:val="00CD48F2"/>
    <w:rsid w:val="00CD4995"/>
    <w:rsid w:val="00CD49E8"/>
    <w:rsid w:val="00CD4A4A"/>
    <w:rsid w:val="00CD4AAC"/>
    <w:rsid w:val="00CD4B25"/>
    <w:rsid w:val="00CD4B7B"/>
    <w:rsid w:val="00CD4BB7"/>
    <w:rsid w:val="00CD4BD0"/>
    <w:rsid w:val="00CD4CD2"/>
    <w:rsid w:val="00CD4CF6"/>
    <w:rsid w:val="00CD4DA9"/>
    <w:rsid w:val="00CD5008"/>
    <w:rsid w:val="00CD5107"/>
    <w:rsid w:val="00CD5184"/>
    <w:rsid w:val="00CD52D4"/>
    <w:rsid w:val="00CD5359"/>
    <w:rsid w:val="00CD53D9"/>
    <w:rsid w:val="00CD541B"/>
    <w:rsid w:val="00CD54FA"/>
    <w:rsid w:val="00CD550A"/>
    <w:rsid w:val="00CD555B"/>
    <w:rsid w:val="00CD55C8"/>
    <w:rsid w:val="00CD55E2"/>
    <w:rsid w:val="00CD565C"/>
    <w:rsid w:val="00CD57DA"/>
    <w:rsid w:val="00CD587E"/>
    <w:rsid w:val="00CD58BE"/>
    <w:rsid w:val="00CD59B3"/>
    <w:rsid w:val="00CD5A0C"/>
    <w:rsid w:val="00CD5A2E"/>
    <w:rsid w:val="00CD5AD8"/>
    <w:rsid w:val="00CD5C8C"/>
    <w:rsid w:val="00CD5C8F"/>
    <w:rsid w:val="00CD5D86"/>
    <w:rsid w:val="00CD5DAF"/>
    <w:rsid w:val="00CD5EEC"/>
    <w:rsid w:val="00CD63F4"/>
    <w:rsid w:val="00CD64B0"/>
    <w:rsid w:val="00CD6569"/>
    <w:rsid w:val="00CD66EF"/>
    <w:rsid w:val="00CD6725"/>
    <w:rsid w:val="00CD691B"/>
    <w:rsid w:val="00CD6A68"/>
    <w:rsid w:val="00CD6A72"/>
    <w:rsid w:val="00CD6AFE"/>
    <w:rsid w:val="00CD6CCE"/>
    <w:rsid w:val="00CD6CE6"/>
    <w:rsid w:val="00CD6DED"/>
    <w:rsid w:val="00CD6EE0"/>
    <w:rsid w:val="00CD6F49"/>
    <w:rsid w:val="00CD7072"/>
    <w:rsid w:val="00CD70EA"/>
    <w:rsid w:val="00CD70F2"/>
    <w:rsid w:val="00CD71C1"/>
    <w:rsid w:val="00CD71FD"/>
    <w:rsid w:val="00CD72A1"/>
    <w:rsid w:val="00CD7498"/>
    <w:rsid w:val="00CD7660"/>
    <w:rsid w:val="00CD779D"/>
    <w:rsid w:val="00CD77DD"/>
    <w:rsid w:val="00CD7834"/>
    <w:rsid w:val="00CD7836"/>
    <w:rsid w:val="00CD798D"/>
    <w:rsid w:val="00CD7A33"/>
    <w:rsid w:val="00CD7A90"/>
    <w:rsid w:val="00CD7C47"/>
    <w:rsid w:val="00CD7C52"/>
    <w:rsid w:val="00CD7D64"/>
    <w:rsid w:val="00CD7E50"/>
    <w:rsid w:val="00CE0191"/>
    <w:rsid w:val="00CE0193"/>
    <w:rsid w:val="00CE01A6"/>
    <w:rsid w:val="00CE01FC"/>
    <w:rsid w:val="00CE037C"/>
    <w:rsid w:val="00CE0390"/>
    <w:rsid w:val="00CE0395"/>
    <w:rsid w:val="00CE03A2"/>
    <w:rsid w:val="00CE03AA"/>
    <w:rsid w:val="00CE0440"/>
    <w:rsid w:val="00CE04B8"/>
    <w:rsid w:val="00CE04BD"/>
    <w:rsid w:val="00CE06FF"/>
    <w:rsid w:val="00CE0765"/>
    <w:rsid w:val="00CE08B6"/>
    <w:rsid w:val="00CE0948"/>
    <w:rsid w:val="00CE097F"/>
    <w:rsid w:val="00CE0A2C"/>
    <w:rsid w:val="00CE0ABD"/>
    <w:rsid w:val="00CE11E7"/>
    <w:rsid w:val="00CE123C"/>
    <w:rsid w:val="00CE12ED"/>
    <w:rsid w:val="00CE13EC"/>
    <w:rsid w:val="00CE1448"/>
    <w:rsid w:val="00CE1528"/>
    <w:rsid w:val="00CE1602"/>
    <w:rsid w:val="00CE1615"/>
    <w:rsid w:val="00CE18FC"/>
    <w:rsid w:val="00CE196E"/>
    <w:rsid w:val="00CE1A4A"/>
    <w:rsid w:val="00CE1B90"/>
    <w:rsid w:val="00CE1BEB"/>
    <w:rsid w:val="00CE1CD1"/>
    <w:rsid w:val="00CE1D0B"/>
    <w:rsid w:val="00CE1D47"/>
    <w:rsid w:val="00CE1F04"/>
    <w:rsid w:val="00CE200A"/>
    <w:rsid w:val="00CE2122"/>
    <w:rsid w:val="00CE22AA"/>
    <w:rsid w:val="00CE23D5"/>
    <w:rsid w:val="00CE2566"/>
    <w:rsid w:val="00CE2648"/>
    <w:rsid w:val="00CE26C6"/>
    <w:rsid w:val="00CE2725"/>
    <w:rsid w:val="00CE27C3"/>
    <w:rsid w:val="00CE27D0"/>
    <w:rsid w:val="00CE287E"/>
    <w:rsid w:val="00CE299A"/>
    <w:rsid w:val="00CE2AEE"/>
    <w:rsid w:val="00CE2BB6"/>
    <w:rsid w:val="00CE2D70"/>
    <w:rsid w:val="00CE2E74"/>
    <w:rsid w:val="00CE2F33"/>
    <w:rsid w:val="00CE309F"/>
    <w:rsid w:val="00CE32B8"/>
    <w:rsid w:val="00CE33B7"/>
    <w:rsid w:val="00CE3527"/>
    <w:rsid w:val="00CE36A5"/>
    <w:rsid w:val="00CE36E6"/>
    <w:rsid w:val="00CE3751"/>
    <w:rsid w:val="00CE377A"/>
    <w:rsid w:val="00CE3795"/>
    <w:rsid w:val="00CE386A"/>
    <w:rsid w:val="00CE3947"/>
    <w:rsid w:val="00CE397D"/>
    <w:rsid w:val="00CE3A36"/>
    <w:rsid w:val="00CE3AD8"/>
    <w:rsid w:val="00CE3BAB"/>
    <w:rsid w:val="00CE3BBD"/>
    <w:rsid w:val="00CE3BDF"/>
    <w:rsid w:val="00CE3BEE"/>
    <w:rsid w:val="00CE3CBE"/>
    <w:rsid w:val="00CE3ECF"/>
    <w:rsid w:val="00CE3F16"/>
    <w:rsid w:val="00CE3F8C"/>
    <w:rsid w:val="00CE403A"/>
    <w:rsid w:val="00CE404D"/>
    <w:rsid w:val="00CE4087"/>
    <w:rsid w:val="00CE408D"/>
    <w:rsid w:val="00CE40FB"/>
    <w:rsid w:val="00CE4176"/>
    <w:rsid w:val="00CE4341"/>
    <w:rsid w:val="00CE43CE"/>
    <w:rsid w:val="00CE43F1"/>
    <w:rsid w:val="00CE441F"/>
    <w:rsid w:val="00CE4482"/>
    <w:rsid w:val="00CE455A"/>
    <w:rsid w:val="00CE457E"/>
    <w:rsid w:val="00CE45B0"/>
    <w:rsid w:val="00CE4767"/>
    <w:rsid w:val="00CE4813"/>
    <w:rsid w:val="00CE4879"/>
    <w:rsid w:val="00CE49D2"/>
    <w:rsid w:val="00CE4A21"/>
    <w:rsid w:val="00CE4B18"/>
    <w:rsid w:val="00CE4E0D"/>
    <w:rsid w:val="00CE4E69"/>
    <w:rsid w:val="00CE5030"/>
    <w:rsid w:val="00CE506C"/>
    <w:rsid w:val="00CE5203"/>
    <w:rsid w:val="00CE522E"/>
    <w:rsid w:val="00CE52AD"/>
    <w:rsid w:val="00CE543A"/>
    <w:rsid w:val="00CE58C5"/>
    <w:rsid w:val="00CE5AA4"/>
    <w:rsid w:val="00CE5AAB"/>
    <w:rsid w:val="00CE5C38"/>
    <w:rsid w:val="00CE5CBD"/>
    <w:rsid w:val="00CE5D2C"/>
    <w:rsid w:val="00CE5E47"/>
    <w:rsid w:val="00CE5F5D"/>
    <w:rsid w:val="00CE5F6D"/>
    <w:rsid w:val="00CE6088"/>
    <w:rsid w:val="00CE639E"/>
    <w:rsid w:val="00CE6457"/>
    <w:rsid w:val="00CE6575"/>
    <w:rsid w:val="00CE65A2"/>
    <w:rsid w:val="00CE6640"/>
    <w:rsid w:val="00CE66BF"/>
    <w:rsid w:val="00CE68C4"/>
    <w:rsid w:val="00CE69AC"/>
    <w:rsid w:val="00CE69C1"/>
    <w:rsid w:val="00CE6A0D"/>
    <w:rsid w:val="00CE6A39"/>
    <w:rsid w:val="00CE6AC1"/>
    <w:rsid w:val="00CE6AEE"/>
    <w:rsid w:val="00CE6B37"/>
    <w:rsid w:val="00CE6B46"/>
    <w:rsid w:val="00CE6B61"/>
    <w:rsid w:val="00CE6C4B"/>
    <w:rsid w:val="00CE6C95"/>
    <w:rsid w:val="00CE6DEF"/>
    <w:rsid w:val="00CE6E3B"/>
    <w:rsid w:val="00CE70D9"/>
    <w:rsid w:val="00CE7148"/>
    <w:rsid w:val="00CE747D"/>
    <w:rsid w:val="00CE7556"/>
    <w:rsid w:val="00CE7565"/>
    <w:rsid w:val="00CE76BF"/>
    <w:rsid w:val="00CE76EB"/>
    <w:rsid w:val="00CE7720"/>
    <w:rsid w:val="00CE77B9"/>
    <w:rsid w:val="00CE77EC"/>
    <w:rsid w:val="00CE77F1"/>
    <w:rsid w:val="00CE780F"/>
    <w:rsid w:val="00CE78AA"/>
    <w:rsid w:val="00CE7A93"/>
    <w:rsid w:val="00CE7B6A"/>
    <w:rsid w:val="00CE7BE1"/>
    <w:rsid w:val="00CE7BE6"/>
    <w:rsid w:val="00CE7C06"/>
    <w:rsid w:val="00CE7C3C"/>
    <w:rsid w:val="00CE7C62"/>
    <w:rsid w:val="00CE7E3D"/>
    <w:rsid w:val="00CE7EBD"/>
    <w:rsid w:val="00CE7EF1"/>
    <w:rsid w:val="00CF00FB"/>
    <w:rsid w:val="00CF0304"/>
    <w:rsid w:val="00CF03ED"/>
    <w:rsid w:val="00CF0432"/>
    <w:rsid w:val="00CF05D3"/>
    <w:rsid w:val="00CF064C"/>
    <w:rsid w:val="00CF06F8"/>
    <w:rsid w:val="00CF07B6"/>
    <w:rsid w:val="00CF0813"/>
    <w:rsid w:val="00CF0833"/>
    <w:rsid w:val="00CF0861"/>
    <w:rsid w:val="00CF0911"/>
    <w:rsid w:val="00CF0ADB"/>
    <w:rsid w:val="00CF0BA4"/>
    <w:rsid w:val="00CF0C59"/>
    <w:rsid w:val="00CF0D45"/>
    <w:rsid w:val="00CF0D98"/>
    <w:rsid w:val="00CF0E31"/>
    <w:rsid w:val="00CF0E9D"/>
    <w:rsid w:val="00CF12D3"/>
    <w:rsid w:val="00CF152E"/>
    <w:rsid w:val="00CF15CC"/>
    <w:rsid w:val="00CF15FB"/>
    <w:rsid w:val="00CF1645"/>
    <w:rsid w:val="00CF1681"/>
    <w:rsid w:val="00CF1A10"/>
    <w:rsid w:val="00CF1BF2"/>
    <w:rsid w:val="00CF1C4F"/>
    <w:rsid w:val="00CF1CC3"/>
    <w:rsid w:val="00CF1DCC"/>
    <w:rsid w:val="00CF203C"/>
    <w:rsid w:val="00CF205E"/>
    <w:rsid w:val="00CF2154"/>
    <w:rsid w:val="00CF215D"/>
    <w:rsid w:val="00CF226F"/>
    <w:rsid w:val="00CF22A5"/>
    <w:rsid w:val="00CF234F"/>
    <w:rsid w:val="00CF23CF"/>
    <w:rsid w:val="00CF23DA"/>
    <w:rsid w:val="00CF23EA"/>
    <w:rsid w:val="00CF24D2"/>
    <w:rsid w:val="00CF2578"/>
    <w:rsid w:val="00CF25A1"/>
    <w:rsid w:val="00CF25C9"/>
    <w:rsid w:val="00CF285B"/>
    <w:rsid w:val="00CF285F"/>
    <w:rsid w:val="00CF2B2F"/>
    <w:rsid w:val="00CF2B46"/>
    <w:rsid w:val="00CF2BC0"/>
    <w:rsid w:val="00CF2C85"/>
    <w:rsid w:val="00CF2CAD"/>
    <w:rsid w:val="00CF2EEC"/>
    <w:rsid w:val="00CF31FC"/>
    <w:rsid w:val="00CF3240"/>
    <w:rsid w:val="00CF324A"/>
    <w:rsid w:val="00CF3290"/>
    <w:rsid w:val="00CF32CE"/>
    <w:rsid w:val="00CF3323"/>
    <w:rsid w:val="00CF336D"/>
    <w:rsid w:val="00CF34C6"/>
    <w:rsid w:val="00CF3583"/>
    <w:rsid w:val="00CF35D2"/>
    <w:rsid w:val="00CF36BF"/>
    <w:rsid w:val="00CF374B"/>
    <w:rsid w:val="00CF39E0"/>
    <w:rsid w:val="00CF39F6"/>
    <w:rsid w:val="00CF3A54"/>
    <w:rsid w:val="00CF3B5A"/>
    <w:rsid w:val="00CF3DDF"/>
    <w:rsid w:val="00CF3F24"/>
    <w:rsid w:val="00CF3FE9"/>
    <w:rsid w:val="00CF3FF3"/>
    <w:rsid w:val="00CF40B3"/>
    <w:rsid w:val="00CF4106"/>
    <w:rsid w:val="00CF42B3"/>
    <w:rsid w:val="00CF42E1"/>
    <w:rsid w:val="00CF4411"/>
    <w:rsid w:val="00CF44C7"/>
    <w:rsid w:val="00CF45C0"/>
    <w:rsid w:val="00CF45F2"/>
    <w:rsid w:val="00CF4607"/>
    <w:rsid w:val="00CF466A"/>
    <w:rsid w:val="00CF46AB"/>
    <w:rsid w:val="00CF47A5"/>
    <w:rsid w:val="00CF47CD"/>
    <w:rsid w:val="00CF49E4"/>
    <w:rsid w:val="00CF4E7C"/>
    <w:rsid w:val="00CF4EC1"/>
    <w:rsid w:val="00CF4F2A"/>
    <w:rsid w:val="00CF4F4D"/>
    <w:rsid w:val="00CF4F64"/>
    <w:rsid w:val="00CF4FD4"/>
    <w:rsid w:val="00CF5028"/>
    <w:rsid w:val="00CF51C7"/>
    <w:rsid w:val="00CF5332"/>
    <w:rsid w:val="00CF543A"/>
    <w:rsid w:val="00CF563F"/>
    <w:rsid w:val="00CF5700"/>
    <w:rsid w:val="00CF5D70"/>
    <w:rsid w:val="00CF5F9B"/>
    <w:rsid w:val="00CF60E9"/>
    <w:rsid w:val="00CF6167"/>
    <w:rsid w:val="00CF61B5"/>
    <w:rsid w:val="00CF62AE"/>
    <w:rsid w:val="00CF640D"/>
    <w:rsid w:val="00CF64C6"/>
    <w:rsid w:val="00CF65A9"/>
    <w:rsid w:val="00CF674D"/>
    <w:rsid w:val="00CF676E"/>
    <w:rsid w:val="00CF6778"/>
    <w:rsid w:val="00CF696F"/>
    <w:rsid w:val="00CF6B68"/>
    <w:rsid w:val="00CF6D40"/>
    <w:rsid w:val="00CF6E02"/>
    <w:rsid w:val="00CF70C1"/>
    <w:rsid w:val="00CF74BE"/>
    <w:rsid w:val="00CF75CF"/>
    <w:rsid w:val="00CF76B4"/>
    <w:rsid w:val="00CF76EB"/>
    <w:rsid w:val="00CF77FE"/>
    <w:rsid w:val="00CF7819"/>
    <w:rsid w:val="00CF794E"/>
    <w:rsid w:val="00CF7968"/>
    <w:rsid w:val="00CF79A3"/>
    <w:rsid w:val="00CF7ACB"/>
    <w:rsid w:val="00CF7BDA"/>
    <w:rsid w:val="00CF7CE4"/>
    <w:rsid w:val="00CF7D01"/>
    <w:rsid w:val="00CF7FB5"/>
    <w:rsid w:val="00D00015"/>
    <w:rsid w:val="00D000B2"/>
    <w:rsid w:val="00D0055C"/>
    <w:rsid w:val="00D00566"/>
    <w:rsid w:val="00D006D4"/>
    <w:rsid w:val="00D00721"/>
    <w:rsid w:val="00D0076C"/>
    <w:rsid w:val="00D009AF"/>
    <w:rsid w:val="00D00A1E"/>
    <w:rsid w:val="00D00A58"/>
    <w:rsid w:val="00D00A93"/>
    <w:rsid w:val="00D00AA3"/>
    <w:rsid w:val="00D00B78"/>
    <w:rsid w:val="00D00C1A"/>
    <w:rsid w:val="00D00C45"/>
    <w:rsid w:val="00D00C7E"/>
    <w:rsid w:val="00D00E0D"/>
    <w:rsid w:val="00D00F28"/>
    <w:rsid w:val="00D01013"/>
    <w:rsid w:val="00D011D5"/>
    <w:rsid w:val="00D012C0"/>
    <w:rsid w:val="00D01744"/>
    <w:rsid w:val="00D018CA"/>
    <w:rsid w:val="00D01DF6"/>
    <w:rsid w:val="00D01E77"/>
    <w:rsid w:val="00D02268"/>
    <w:rsid w:val="00D0231B"/>
    <w:rsid w:val="00D0231F"/>
    <w:rsid w:val="00D0260E"/>
    <w:rsid w:val="00D0263D"/>
    <w:rsid w:val="00D0278F"/>
    <w:rsid w:val="00D027D7"/>
    <w:rsid w:val="00D02843"/>
    <w:rsid w:val="00D02A86"/>
    <w:rsid w:val="00D02AAB"/>
    <w:rsid w:val="00D02BE9"/>
    <w:rsid w:val="00D02FAF"/>
    <w:rsid w:val="00D0302E"/>
    <w:rsid w:val="00D0307F"/>
    <w:rsid w:val="00D03096"/>
    <w:rsid w:val="00D031B1"/>
    <w:rsid w:val="00D032EF"/>
    <w:rsid w:val="00D0330B"/>
    <w:rsid w:val="00D03357"/>
    <w:rsid w:val="00D0357D"/>
    <w:rsid w:val="00D036B9"/>
    <w:rsid w:val="00D03751"/>
    <w:rsid w:val="00D0385A"/>
    <w:rsid w:val="00D038D8"/>
    <w:rsid w:val="00D0390B"/>
    <w:rsid w:val="00D03968"/>
    <w:rsid w:val="00D03BC6"/>
    <w:rsid w:val="00D03CE6"/>
    <w:rsid w:val="00D03CFB"/>
    <w:rsid w:val="00D03E79"/>
    <w:rsid w:val="00D03F62"/>
    <w:rsid w:val="00D04087"/>
    <w:rsid w:val="00D040B8"/>
    <w:rsid w:val="00D040CD"/>
    <w:rsid w:val="00D040E2"/>
    <w:rsid w:val="00D0414A"/>
    <w:rsid w:val="00D0419D"/>
    <w:rsid w:val="00D041A0"/>
    <w:rsid w:val="00D04205"/>
    <w:rsid w:val="00D04232"/>
    <w:rsid w:val="00D04344"/>
    <w:rsid w:val="00D046C4"/>
    <w:rsid w:val="00D04779"/>
    <w:rsid w:val="00D047BD"/>
    <w:rsid w:val="00D04A08"/>
    <w:rsid w:val="00D04B6A"/>
    <w:rsid w:val="00D04D82"/>
    <w:rsid w:val="00D04DAA"/>
    <w:rsid w:val="00D0504E"/>
    <w:rsid w:val="00D05226"/>
    <w:rsid w:val="00D0548D"/>
    <w:rsid w:val="00D05552"/>
    <w:rsid w:val="00D05592"/>
    <w:rsid w:val="00D05598"/>
    <w:rsid w:val="00D056FD"/>
    <w:rsid w:val="00D0573D"/>
    <w:rsid w:val="00D05826"/>
    <w:rsid w:val="00D05836"/>
    <w:rsid w:val="00D05879"/>
    <w:rsid w:val="00D058B3"/>
    <w:rsid w:val="00D05B6A"/>
    <w:rsid w:val="00D05DD9"/>
    <w:rsid w:val="00D05DFB"/>
    <w:rsid w:val="00D05E79"/>
    <w:rsid w:val="00D05E8F"/>
    <w:rsid w:val="00D05E9D"/>
    <w:rsid w:val="00D05F17"/>
    <w:rsid w:val="00D05F1E"/>
    <w:rsid w:val="00D060BE"/>
    <w:rsid w:val="00D06233"/>
    <w:rsid w:val="00D0624F"/>
    <w:rsid w:val="00D06341"/>
    <w:rsid w:val="00D0637A"/>
    <w:rsid w:val="00D063B4"/>
    <w:rsid w:val="00D0653F"/>
    <w:rsid w:val="00D0664A"/>
    <w:rsid w:val="00D067EF"/>
    <w:rsid w:val="00D067FE"/>
    <w:rsid w:val="00D06831"/>
    <w:rsid w:val="00D069B5"/>
    <w:rsid w:val="00D06B51"/>
    <w:rsid w:val="00D06BF9"/>
    <w:rsid w:val="00D06E71"/>
    <w:rsid w:val="00D06F02"/>
    <w:rsid w:val="00D06F21"/>
    <w:rsid w:val="00D06F45"/>
    <w:rsid w:val="00D06F67"/>
    <w:rsid w:val="00D07247"/>
    <w:rsid w:val="00D07279"/>
    <w:rsid w:val="00D0729B"/>
    <w:rsid w:val="00D072DC"/>
    <w:rsid w:val="00D07438"/>
    <w:rsid w:val="00D0752B"/>
    <w:rsid w:val="00D075E0"/>
    <w:rsid w:val="00D0784E"/>
    <w:rsid w:val="00D07907"/>
    <w:rsid w:val="00D0792E"/>
    <w:rsid w:val="00D07981"/>
    <w:rsid w:val="00D07C0F"/>
    <w:rsid w:val="00D07C6B"/>
    <w:rsid w:val="00D07D13"/>
    <w:rsid w:val="00D07D2D"/>
    <w:rsid w:val="00D07F73"/>
    <w:rsid w:val="00D07F9E"/>
    <w:rsid w:val="00D07FA9"/>
    <w:rsid w:val="00D07FD7"/>
    <w:rsid w:val="00D10040"/>
    <w:rsid w:val="00D10067"/>
    <w:rsid w:val="00D100F0"/>
    <w:rsid w:val="00D100FB"/>
    <w:rsid w:val="00D10149"/>
    <w:rsid w:val="00D10264"/>
    <w:rsid w:val="00D1034E"/>
    <w:rsid w:val="00D10518"/>
    <w:rsid w:val="00D10650"/>
    <w:rsid w:val="00D106E4"/>
    <w:rsid w:val="00D1076A"/>
    <w:rsid w:val="00D107AB"/>
    <w:rsid w:val="00D10894"/>
    <w:rsid w:val="00D108A6"/>
    <w:rsid w:val="00D10B0D"/>
    <w:rsid w:val="00D10B1E"/>
    <w:rsid w:val="00D10B66"/>
    <w:rsid w:val="00D10B84"/>
    <w:rsid w:val="00D10B98"/>
    <w:rsid w:val="00D10D35"/>
    <w:rsid w:val="00D10F35"/>
    <w:rsid w:val="00D10FF9"/>
    <w:rsid w:val="00D1125F"/>
    <w:rsid w:val="00D113AA"/>
    <w:rsid w:val="00D114A0"/>
    <w:rsid w:val="00D1151B"/>
    <w:rsid w:val="00D11565"/>
    <w:rsid w:val="00D1169E"/>
    <w:rsid w:val="00D118DB"/>
    <w:rsid w:val="00D11E47"/>
    <w:rsid w:val="00D12191"/>
    <w:rsid w:val="00D121DC"/>
    <w:rsid w:val="00D12411"/>
    <w:rsid w:val="00D1246D"/>
    <w:rsid w:val="00D1248E"/>
    <w:rsid w:val="00D124D9"/>
    <w:rsid w:val="00D125A0"/>
    <w:rsid w:val="00D1269A"/>
    <w:rsid w:val="00D12846"/>
    <w:rsid w:val="00D1288D"/>
    <w:rsid w:val="00D12944"/>
    <w:rsid w:val="00D12BEE"/>
    <w:rsid w:val="00D12C70"/>
    <w:rsid w:val="00D12D4F"/>
    <w:rsid w:val="00D12E14"/>
    <w:rsid w:val="00D12F4C"/>
    <w:rsid w:val="00D1300A"/>
    <w:rsid w:val="00D1323C"/>
    <w:rsid w:val="00D132A7"/>
    <w:rsid w:val="00D133F6"/>
    <w:rsid w:val="00D13481"/>
    <w:rsid w:val="00D13608"/>
    <w:rsid w:val="00D136CA"/>
    <w:rsid w:val="00D13839"/>
    <w:rsid w:val="00D1398D"/>
    <w:rsid w:val="00D13997"/>
    <w:rsid w:val="00D139B7"/>
    <w:rsid w:val="00D13A45"/>
    <w:rsid w:val="00D13AE3"/>
    <w:rsid w:val="00D13B17"/>
    <w:rsid w:val="00D13B8C"/>
    <w:rsid w:val="00D13B96"/>
    <w:rsid w:val="00D13C2B"/>
    <w:rsid w:val="00D13DE8"/>
    <w:rsid w:val="00D13EA8"/>
    <w:rsid w:val="00D13FE5"/>
    <w:rsid w:val="00D1404C"/>
    <w:rsid w:val="00D140DA"/>
    <w:rsid w:val="00D141ED"/>
    <w:rsid w:val="00D14264"/>
    <w:rsid w:val="00D14277"/>
    <w:rsid w:val="00D14279"/>
    <w:rsid w:val="00D143C0"/>
    <w:rsid w:val="00D14421"/>
    <w:rsid w:val="00D14494"/>
    <w:rsid w:val="00D1460B"/>
    <w:rsid w:val="00D14782"/>
    <w:rsid w:val="00D1479F"/>
    <w:rsid w:val="00D14844"/>
    <w:rsid w:val="00D14A64"/>
    <w:rsid w:val="00D14AD8"/>
    <w:rsid w:val="00D14C64"/>
    <w:rsid w:val="00D14CB6"/>
    <w:rsid w:val="00D14CDF"/>
    <w:rsid w:val="00D14D8B"/>
    <w:rsid w:val="00D14E58"/>
    <w:rsid w:val="00D14E5A"/>
    <w:rsid w:val="00D14F86"/>
    <w:rsid w:val="00D14FF3"/>
    <w:rsid w:val="00D150B1"/>
    <w:rsid w:val="00D15309"/>
    <w:rsid w:val="00D1540F"/>
    <w:rsid w:val="00D154C0"/>
    <w:rsid w:val="00D154FF"/>
    <w:rsid w:val="00D156F5"/>
    <w:rsid w:val="00D15837"/>
    <w:rsid w:val="00D158F2"/>
    <w:rsid w:val="00D159B6"/>
    <w:rsid w:val="00D15C80"/>
    <w:rsid w:val="00D15D5A"/>
    <w:rsid w:val="00D15DA0"/>
    <w:rsid w:val="00D15DBD"/>
    <w:rsid w:val="00D1608F"/>
    <w:rsid w:val="00D161F5"/>
    <w:rsid w:val="00D1625E"/>
    <w:rsid w:val="00D1626B"/>
    <w:rsid w:val="00D16296"/>
    <w:rsid w:val="00D16396"/>
    <w:rsid w:val="00D1656D"/>
    <w:rsid w:val="00D166EA"/>
    <w:rsid w:val="00D1671F"/>
    <w:rsid w:val="00D16948"/>
    <w:rsid w:val="00D1696F"/>
    <w:rsid w:val="00D16C57"/>
    <w:rsid w:val="00D16E0E"/>
    <w:rsid w:val="00D16E45"/>
    <w:rsid w:val="00D16EEC"/>
    <w:rsid w:val="00D16F8A"/>
    <w:rsid w:val="00D16FF1"/>
    <w:rsid w:val="00D170A9"/>
    <w:rsid w:val="00D1741C"/>
    <w:rsid w:val="00D17554"/>
    <w:rsid w:val="00D175C2"/>
    <w:rsid w:val="00D175EC"/>
    <w:rsid w:val="00D17610"/>
    <w:rsid w:val="00D1794C"/>
    <w:rsid w:val="00D17A31"/>
    <w:rsid w:val="00D17A4F"/>
    <w:rsid w:val="00D17B53"/>
    <w:rsid w:val="00D17BD4"/>
    <w:rsid w:val="00D17C4D"/>
    <w:rsid w:val="00D17C95"/>
    <w:rsid w:val="00D17D09"/>
    <w:rsid w:val="00D17D5B"/>
    <w:rsid w:val="00D17E2F"/>
    <w:rsid w:val="00D17EAC"/>
    <w:rsid w:val="00D20056"/>
    <w:rsid w:val="00D20076"/>
    <w:rsid w:val="00D2011C"/>
    <w:rsid w:val="00D20361"/>
    <w:rsid w:val="00D2041C"/>
    <w:rsid w:val="00D204C2"/>
    <w:rsid w:val="00D209BC"/>
    <w:rsid w:val="00D209FC"/>
    <w:rsid w:val="00D20A95"/>
    <w:rsid w:val="00D20D59"/>
    <w:rsid w:val="00D20DB1"/>
    <w:rsid w:val="00D20DDC"/>
    <w:rsid w:val="00D20E8E"/>
    <w:rsid w:val="00D20F81"/>
    <w:rsid w:val="00D21076"/>
    <w:rsid w:val="00D211BD"/>
    <w:rsid w:val="00D211CF"/>
    <w:rsid w:val="00D21208"/>
    <w:rsid w:val="00D2137D"/>
    <w:rsid w:val="00D215F9"/>
    <w:rsid w:val="00D216ED"/>
    <w:rsid w:val="00D218C3"/>
    <w:rsid w:val="00D21909"/>
    <w:rsid w:val="00D21A4A"/>
    <w:rsid w:val="00D21D42"/>
    <w:rsid w:val="00D21D99"/>
    <w:rsid w:val="00D21DA1"/>
    <w:rsid w:val="00D22248"/>
    <w:rsid w:val="00D22506"/>
    <w:rsid w:val="00D225AD"/>
    <w:rsid w:val="00D226F4"/>
    <w:rsid w:val="00D2274C"/>
    <w:rsid w:val="00D22751"/>
    <w:rsid w:val="00D2279E"/>
    <w:rsid w:val="00D22853"/>
    <w:rsid w:val="00D22890"/>
    <w:rsid w:val="00D22897"/>
    <w:rsid w:val="00D228DA"/>
    <w:rsid w:val="00D229DF"/>
    <w:rsid w:val="00D229F8"/>
    <w:rsid w:val="00D22B57"/>
    <w:rsid w:val="00D22BC4"/>
    <w:rsid w:val="00D22C27"/>
    <w:rsid w:val="00D22CB0"/>
    <w:rsid w:val="00D22E04"/>
    <w:rsid w:val="00D22EA1"/>
    <w:rsid w:val="00D22F25"/>
    <w:rsid w:val="00D22F48"/>
    <w:rsid w:val="00D22FCB"/>
    <w:rsid w:val="00D232BC"/>
    <w:rsid w:val="00D23373"/>
    <w:rsid w:val="00D2337D"/>
    <w:rsid w:val="00D23391"/>
    <w:rsid w:val="00D23430"/>
    <w:rsid w:val="00D234E8"/>
    <w:rsid w:val="00D236EA"/>
    <w:rsid w:val="00D2375F"/>
    <w:rsid w:val="00D2386E"/>
    <w:rsid w:val="00D23879"/>
    <w:rsid w:val="00D238D0"/>
    <w:rsid w:val="00D23919"/>
    <w:rsid w:val="00D23A43"/>
    <w:rsid w:val="00D23AEC"/>
    <w:rsid w:val="00D23DCB"/>
    <w:rsid w:val="00D23DF6"/>
    <w:rsid w:val="00D23E6B"/>
    <w:rsid w:val="00D23E8D"/>
    <w:rsid w:val="00D23F85"/>
    <w:rsid w:val="00D24006"/>
    <w:rsid w:val="00D241F9"/>
    <w:rsid w:val="00D243ED"/>
    <w:rsid w:val="00D244B0"/>
    <w:rsid w:val="00D245A6"/>
    <w:rsid w:val="00D245C5"/>
    <w:rsid w:val="00D2480D"/>
    <w:rsid w:val="00D2496B"/>
    <w:rsid w:val="00D24B51"/>
    <w:rsid w:val="00D24C06"/>
    <w:rsid w:val="00D24C0A"/>
    <w:rsid w:val="00D24CB9"/>
    <w:rsid w:val="00D2510E"/>
    <w:rsid w:val="00D25207"/>
    <w:rsid w:val="00D25221"/>
    <w:rsid w:val="00D252D7"/>
    <w:rsid w:val="00D254C4"/>
    <w:rsid w:val="00D254F5"/>
    <w:rsid w:val="00D256B9"/>
    <w:rsid w:val="00D256EC"/>
    <w:rsid w:val="00D25815"/>
    <w:rsid w:val="00D259A0"/>
    <w:rsid w:val="00D259AE"/>
    <w:rsid w:val="00D259E8"/>
    <w:rsid w:val="00D25A9B"/>
    <w:rsid w:val="00D25ADE"/>
    <w:rsid w:val="00D25AF0"/>
    <w:rsid w:val="00D25C6E"/>
    <w:rsid w:val="00D25CF3"/>
    <w:rsid w:val="00D25D8D"/>
    <w:rsid w:val="00D26059"/>
    <w:rsid w:val="00D260B3"/>
    <w:rsid w:val="00D26190"/>
    <w:rsid w:val="00D261A5"/>
    <w:rsid w:val="00D261D1"/>
    <w:rsid w:val="00D262EF"/>
    <w:rsid w:val="00D26377"/>
    <w:rsid w:val="00D263D8"/>
    <w:rsid w:val="00D265E0"/>
    <w:rsid w:val="00D265F0"/>
    <w:rsid w:val="00D2660A"/>
    <w:rsid w:val="00D2675B"/>
    <w:rsid w:val="00D2688D"/>
    <w:rsid w:val="00D26A75"/>
    <w:rsid w:val="00D26BC7"/>
    <w:rsid w:val="00D26D86"/>
    <w:rsid w:val="00D26E67"/>
    <w:rsid w:val="00D26F40"/>
    <w:rsid w:val="00D26FCE"/>
    <w:rsid w:val="00D2703E"/>
    <w:rsid w:val="00D2703F"/>
    <w:rsid w:val="00D27268"/>
    <w:rsid w:val="00D272AF"/>
    <w:rsid w:val="00D27322"/>
    <w:rsid w:val="00D2735E"/>
    <w:rsid w:val="00D27362"/>
    <w:rsid w:val="00D27412"/>
    <w:rsid w:val="00D2747D"/>
    <w:rsid w:val="00D274B7"/>
    <w:rsid w:val="00D275D5"/>
    <w:rsid w:val="00D276CC"/>
    <w:rsid w:val="00D277AF"/>
    <w:rsid w:val="00D277BD"/>
    <w:rsid w:val="00D277F8"/>
    <w:rsid w:val="00D2782A"/>
    <w:rsid w:val="00D27875"/>
    <w:rsid w:val="00D278DF"/>
    <w:rsid w:val="00D27A24"/>
    <w:rsid w:val="00D27A3F"/>
    <w:rsid w:val="00D27AE3"/>
    <w:rsid w:val="00D27DD6"/>
    <w:rsid w:val="00D27E49"/>
    <w:rsid w:val="00D27EA5"/>
    <w:rsid w:val="00D27F5E"/>
    <w:rsid w:val="00D27F96"/>
    <w:rsid w:val="00D27FF1"/>
    <w:rsid w:val="00D30237"/>
    <w:rsid w:val="00D30406"/>
    <w:rsid w:val="00D30579"/>
    <w:rsid w:val="00D30620"/>
    <w:rsid w:val="00D3063E"/>
    <w:rsid w:val="00D30673"/>
    <w:rsid w:val="00D30750"/>
    <w:rsid w:val="00D3078B"/>
    <w:rsid w:val="00D30820"/>
    <w:rsid w:val="00D308C4"/>
    <w:rsid w:val="00D309FB"/>
    <w:rsid w:val="00D30B19"/>
    <w:rsid w:val="00D30C29"/>
    <w:rsid w:val="00D30C54"/>
    <w:rsid w:val="00D30C9E"/>
    <w:rsid w:val="00D30E45"/>
    <w:rsid w:val="00D30F28"/>
    <w:rsid w:val="00D3102B"/>
    <w:rsid w:val="00D3108A"/>
    <w:rsid w:val="00D310DD"/>
    <w:rsid w:val="00D3123F"/>
    <w:rsid w:val="00D312F0"/>
    <w:rsid w:val="00D313D1"/>
    <w:rsid w:val="00D313EB"/>
    <w:rsid w:val="00D314AB"/>
    <w:rsid w:val="00D315A1"/>
    <w:rsid w:val="00D31630"/>
    <w:rsid w:val="00D316A7"/>
    <w:rsid w:val="00D31797"/>
    <w:rsid w:val="00D3186C"/>
    <w:rsid w:val="00D318B7"/>
    <w:rsid w:val="00D31904"/>
    <w:rsid w:val="00D31ACE"/>
    <w:rsid w:val="00D31BFA"/>
    <w:rsid w:val="00D31D19"/>
    <w:rsid w:val="00D31D93"/>
    <w:rsid w:val="00D31F62"/>
    <w:rsid w:val="00D31F9F"/>
    <w:rsid w:val="00D31FB3"/>
    <w:rsid w:val="00D3211C"/>
    <w:rsid w:val="00D32196"/>
    <w:rsid w:val="00D322CC"/>
    <w:rsid w:val="00D32356"/>
    <w:rsid w:val="00D32391"/>
    <w:rsid w:val="00D3243D"/>
    <w:rsid w:val="00D324B1"/>
    <w:rsid w:val="00D32707"/>
    <w:rsid w:val="00D32883"/>
    <w:rsid w:val="00D329DE"/>
    <w:rsid w:val="00D32ACE"/>
    <w:rsid w:val="00D32AF0"/>
    <w:rsid w:val="00D32DA2"/>
    <w:rsid w:val="00D32DD0"/>
    <w:rsid w:val="00D32E91"/>
    <w:rsid w:val="00D32F1E"/>
    <w:rsid w:val="00D330D8"/>
    <w:rsid w:val="00D3311F"/>
    <w:rsid w:val="00D33130"/>
    <w:rsid w:val="00D33436"/>
    <w:rsid w:val="00D337A5"/>
    <w:rsid w:val="00D33894"/>
    <w:rsid w:val="00D338AC"/>
    <w:rsid w:val="00D338F1"/>
    <w:rsid w:val="00D339FD"/>
    <w:rsid w:val="00D33A62"/>
    <w:rsid w:val="00D33B6B"/>
    <w:rsid w:val="00D33C57"/>
    <w:rsid w:val="00D33D06"/>
    <w:rsid w:val="00D33D75"/>
    <w:rsid w:val="00D33DA7"/>
    <w:rsid w:val="00D33DEB"/>
    <w:rsid w:val="00D33E2E"/>
    <w:rsid w:val="00D33E78"/>
    <w:rsid w:val="00D33EB2"/>
    <w:rsid w:val="00D33F1D"/>
    <w:rsid w:val="00D3405D"/>
    <w:rsid w:val="00D34076"/>
    <w:rsid w:val="00D34077"/>
    <w:rsid w:val="00D340BC"/>
    <w:rsid w:val="00D34119"/>
    <w:rsid w:val="00D3416D"/>
    <w:rsid w:val="00D34239"/>
    <w:rsid w:val="00D34342"/>
    <w:rsid w:val="00D343BF"/>
    <w:rsid w:val="00D34477"/>
    <w:rsid w:val="00D34549"/>
    <w:rsid w:val="00D346BE"/>
    <w:rsid w:val="00D34773"/>
    <w:rsid w:val="00D348B0"/>
    <w:rsid w:val="00D3494A"/>
    <w:rsid w:val="00D34AC5"/>
    <w:rsid w:val="00D34CA2"/>
    <w:rsid w:val="00D34D6A"/>
    <w:rsid w:val="00D34D9B"/>
    <w:rsid w:val="00D34DE2"/>
    <w:rsid w:val="00D34EA9"/>
    <w:rsid w:val="00D35246"/>
    <w:rsid w:val="00D3543B"/>
    <w:rsid w:val="00D3554E"/>
    <w:rsid w:val="00D355AF"/>
    <w:rsid w:val="00D355EC"/>
    <w:rsid w:val="00D35675"/>
    <w:rsid w:val="00D356BB"/>
    <w:rsid w:val="00D3572E"/>
    <w:rsid w:val="00D35C77"/>
    <w:rsid w:val="00D35D5A"/>
    <w:rsid w:val="00D35E02"/>
    <w:rsid w:val="00D35E0C"/>
    <w:rsid w:val="00D35E3B"/>
    <w:rsid w:val="00D35EE9"/>
    <w:rsid w:val="00D35F70"/>
    <w:rsid w:val="00D35FFC"/>
    <w:rsid w:val="00D3609C"/>
    <w:rsid w:val="00D36232"/>
    <w:rsid w:val="00D3629E"/>
    <w:rsid w:val="00D362B9"/>
    <w:rsid w:val="00D36317"/>
    <w:rsid w:val="00D3636B"/>
    <w:rsid w:val="00D363C1"/>
    <w:rsid w:val="00D36439"/>
    <w:rsid w:val="00D365B6"/>
    <w:rsid w:val="00D366BE"/>
    <w:rsid w:val="00D367E5"/>
    <w:rsid w:val="00D36825"/>
    <w:rsid w:val="00D36908"/>
    <w:rsid w:val="00D3696E"/>
    <w:rsid w:val="00D369A3"/>
    <w:rsid w:val="00D369DE"/>
    <w:rsid w:val="00D36AA1"/>
    <w:rsid w:val="00D36AAC"/>
    <w:rsid w:val="00D36BB7"/>
    <w:rsid w:val="00D36BD6"/>
    <w:rsid w:val="00D36CEE"/>
    <w:rsid w:val="00D36D05"/>
    <w:rsid w:val="00D36EEA"/>
    <w:rsid w:val="00D36F7E"/>
    <w:rsid w:val="00D3701A"/>
    <w:rsid w:val="00D37216"/>
    <w:rsid w:val="00D37366"/>
    <w:rsid w:val="00D3746D"/>
    <w:rsid w:val="00D3758C"/>
    <w:rsid w:val="00D37592"/>
    <w:rsid w:val="00D375D0"/>
    <w:rsid w:val="00D376A1"/>
    <w:rsid w:val="00D376E1"/>
    <w:rsid w:val="00D377DC"/>
    <w:rsid w:val="00D378F6"/>
    <w:rsid w:val="00D37AEB"/>
    <w:rsid w:val="00D37B45"/>
    <w:rsid w:val="00D37B53"/>
    <w:rsid w:val="00D37B6E"/>
    <w:rsid w:val="00D37C7F"/>
    <w:rsid w:val="00D37CBE"/>
    <w:rsid w:val="00D37F83"/>
    <w:rsid w:val="00D37FA5"/>
    <w:rsid w:val="00D37FD3"/>
    <w:rsid w:val="00D400FF"/>
    <w:rsid w:val="00D4034C"/>
    <w:rsid w:val="00D403C1"/>
    <w:rsid w:val="00D4054C"/>
    <w:rsid w:val="00D40623"/>
    <w:rsid w:val="00D40633"/>
    <w:rsid w:val="00D407B1"/>
    <w:rsid w:val="00D40BAF"/>
    <w:rsid w:val="00D40C86"/>
    <w:rsid w:val="00D40D96"/>
    <w:rsid w:val="00D40E46"/>
    <w:rsid w:val="00D40F02"/>
    <w:rsid w:val="00D41246"/>
    <w:rsid w:val="00D4135C"/>
    <w:rsid w:val="00D413E8"/>
    <w:rsid w:val="00D41490"/>
    <w:rsid w:val="00D415A1"/>
    <w:rsid w:val="00D415CF"/>
    <w:rsid w:val="00D4166E"/>
    <w:rsid w:val="00D41956"/>
    <w:rsid w:val="00D41B97"/>
    <w:rsid w:val="00D41D1B"/>
    <w:rsid w:val="00D41D6B"/>
    <w:rsid w:val="00D41D87"/>
    <w:rsid w:val="00D41F23"/>
    <w:rsid w:val="00D4200C"/>
    <w:rsid w:val="00D42163"/>
    <w:rsid w:val="00D42172"/>
    <w:rsid w:val="00D42175"/>
    <w:rsid w:val="00D4268E"/>
    <w:rsid w:val="00D42773"/>
    <w:rsid w:val="00D42869"/>
    <w:rsid w:val="00D42975"/>
    <w:rsid w:val="00D429B6"/>
    <w:rsid w:val="00D429E3"/>
    <w:rsid w:val="00D42A5A"/>
    <w:rsid w:val="00D42CA9"/>
    <w:rsid w:val="00D42DB7"/>
    <w:rsid w:val="00D42E39"/>
    <w:rsid w:val="00D4308E"/>
    <w:rsid w:val="00D430D7"/>
    <w:rsid w:val="00D430DF"/>
    <w:rsid w:val="00D430EE"/>
    <w:rsid w:val="00D43187"/>
    <w:rsid w:val="00D431DF"/>
    <w:rsid w:val="00D4323C"/>
    <w:rsid w:val="00D4324B"/>
    <w:rsid w:val="00D43297"/>
    <w:rsid w:val="00D43498"/>
    <w:rsid w:val="00D4357A"/>
    <w:rsid w:val="00D435A7"/>
    <w:rsid w:val="00D435D2"/>
    <w:rsid w:val="00D43771"/>
    <w:rsid w:val="00D43895"/>
    <w:rsid w:val="00D43B18"/>
    <w:rsid w:val="00D43E1A"/>
    <w:rsid w:val="00D43E6F"/>
    <w:rsid w:val="00D43E8F"/>
    <w:rsid w:val="00D4408A"/>
    <w:rsid w:val="00D440B6"/>
    <w:rsid w:val="00D44395"/>
    <w:rsid w:val="00D443B5"/>
    <w:rsid w:val="00D443E1"/>
    <w:rsid w:val="00D444BF"/>
    <w:rsid w:val="00D4473A"/>
    <w:rsid w:val="00D44747"/>
    <w:rsid w:val="00D44B88"/>
    <w:rsid w:val="00D44CE2"/>
    <w:rsid w:val="00D44DB6"/>
    <w:rsid w:val="00D44DD6"/>
    <w:rsid w:val="00D450E4"/>
    <w:rsid w:val="00D45183"/>
    <w:rsid w:val="00D452ED"/>
    <w:rsid w:val="00D4533D"/>
    <w:rsid w:val="00D45421"/>
    <w:rsid w:val="00D4542A"/>
    <w:rsid w:val="00D455B8"/>
    <w:rsid w:val="00D455E6"/>
    <w:rsid w:val="00D456F6"/>
    <w:rsid w:val="00D45725"/>
    <w:rsid w:val="00D45AAC"/>
    <w:rsid w:val="00D45BC0"/>
    <w:rsid w:val="00D45BD2"/>
    <w:rsid w:val="00D45E52"/>
    <w:rsid w:val="00D45E8D"/>
    <w:rsid w:val="00D46001"/>
    <w:rsid w:val="00D460DE"/>
    <w:rsid w:val="00D46195"/>
    <w:rsid w:val="00D4619C"/>
    <w:rsid w:val="00D461D5"/>
    <w:rsid w:val="00D46201"/>
    <w:rsid w:val="00D46212"/>
    <w:rsid w:val="00D46311"/>
    <w:rsid w:val="00D467C1"/>
    <w:rsid w:val="00D46B5E"/>
    <w:rsid w:val="00D46D9A"/>
    <w:rsid w:val="00D46E7E"/>
    <w:rsid w:val="00D46F85"/>
    <w:rsid w:val="00D46FFB"/>
    <w:rsid w:val="00D4718A"/>
    <w:rsid w:val="00D47204"/>
    <w:rsid w:val="00D47347"/>
    <w:rsid w:val="00D47385"/>
    <w:rsid w:val="00D47387"/>
    <w:rsid w:val="00D47414"/>
    <w:rsid w:val="00D47456"/>
    <w:rsid w:val="00D474A6"/>
    <w:rsid w:val="00D4752B"/>
    <w:rsid w:val="00D477FA"/>
    <w:rsid w:val="00D479E0"/>
    <w:rsid w:val="00D47BBA"/>
    <w:rsid w:val="00D47C21"/>
    <w:rsid w:val="00D47F99"/>
    <w:rsid w:val="00D50119"/>
    <w:rsid w:val="00D501A5"/>
    <w:rsid w:val="00D502AA"/>
    <w:rsid w:val="00D5037F"/>
    <w:rsid w:val="00D5040A"/>
    <w:rsid w:val="00D504CB"/>
    <w:rsid w:val="00D5052C"/>
    <w:rsid w:val="00D505FF"/>
    <w:rsid w:val="00D506B6"/>
    <w:rsid w:val="00D5075C"/>
    <w:rsid w:val="00D5087F"/>
    <w:rsid w:val="00D50896"/>
    <w:rsid w:val="00D50BA4"/>
    <w:rsid w:val="00D50BC8"/>
    <w:rsid w:val="00D50D49"/>
    <w:rsid w:val="00D50DE8"/>
    <w:rsid w:val="00D50E7F"/>
    <w:rsid w:val="00D50EBC"/>
    <w:rsid w:val="00D50F71"/>
    <w:rsid w:val="00D51070"/>
    <w:rsid w:val="00D51123"/>
    <w:rsid w:val="00D51130"/>
    <w:rsid w:val="00D5114F"/>
    <w:rsid w:val="00D512D8"/>
    <w:rsid w:val="00D51493"/>
    <w:rsid w:val="00D51500"/>
    <w:rsid w:val="00D5150F"/>
    <w:rsid w:val="00D5157D"/>
    <w:rsid w:val="00D51688"/>
    <w:rsid w:val="00D516D0"/>
    <w:rsid w:val="00D516FF"/>
    <w:rsid w:val="00D519A7"/>
    <w:rsid w:val="00D51B1B"/>
    <w:rsid w:val="00D51D05"/>
    <w:rsid w:val="00D51E00"/>
    <w:rsid w:val="00D51E3A"/>
    <w:rsid w:val="00D51E50"/>
    <w:rsid w:val="00D51F7D"/>
    <w:rsid w:val="00D52005"/>
    <w:rsid w:val="00D52224"/>
    <w:rsid w:val="00D52385"/>
    <w:rsid w:val="00D525B5"/>
    <w:rsid w:val="00D5269E"/>
    <w:rsid w:val="00D526DE"/>
    <w:rsid w:val="00D526F6"/>
    <w:rsid w:val="00D5271C"/>
    <w:rsid w:val="00D52843"/>
    <w:rsid w:val="00D52BEC"/>
    <w:rsid w:val="00D52CDE"/>
    <w:rsid w:val="00D52D10"/>
    <w:rsid w:val="00D52D11"/>
    <w:rsid w:val="00D52DB1"/>
    <w:rsid w:val="00D52F2E"/>
    <w:rsid w:val="00D52F45"/>
    <w:rsid w:val="00D52F4A"/>
    <w:rsid w:val="00D5302D"/>
    <w:rsid w:val="00D53274"/>
    <w:rsid w:val="00D53343"/>
    <w:rsid w:val="00D534D9"/>
    <w:rsid w:val="00D534EC"/>
    <w:rsid w:val="00D53543"/>
    <w:rsid w:val="00D53630"/>
    <w:rsid w:val="00D53674"/>
    <w:rsid w:val="00D536F5"/>
    <w:rsid w:val="00D537B0"/>
    <w:rsid w:val="00D537B4"/>
    <w:rsid w:val="00D538D9"/>
    <w:rsid w:val="00D53945"/>
    <w:rsid w:val="00D53A86"/>
    <w:rsid w:val="00D53B65"/>
    <w:rsid w:val="00D53B7B"/>
    <w:rsid w:val="00D53D26"/>
    <w:rsid w:val="00D53D56"/>
    <w:rsid w:val="00D53DF4"/>
    <w:rsid w:val="00D53F16"/>
    <w:rsid w:val="00D53F1B"/>
    <w:rsid w:val="00D5419F"/>
    <w:rsid w:val="00D54775"/>
    <w:rsid w:val="00D5478B"/>
    <w:rsid w:val="00D54900"/>
    <w:rsid w:val="00D5492E"/>
    <w:rsid w:val="00D54999"/>
    <w:rsid w:val="00D549F4"/>
    <w:rsid w:val="00D54A07"/>
    <w:rsid w:val="00D54B1C"/>
    <w:rsid w:val="00D54BDF"/>
    <w:rsid w:val="00D54C19"/>
    <w:rsid w:val="00D54D73"/>
    <w:rsid w:val="00D54E02"/>
    <w:rsid w:val="00D54F94"/>
    <w:rsid w:val="00D550BA"/>
    <w:rsid w:val="00D55108"/>
    <w:rsid w:val="00D55173"/>
    <w:rsid w:val="00D55311"/>
    <w:rsid w:val="00D553A4"/>
    <w:rsid w:val="00D55610"/>
    <w:rsid w:val="00D55816"/>
    <w:rsid w:val="00D5582B"/>
    <w:rsid w:val="00D5583A"/>
    <w:rsid w:val="00D558A2"/>
    <w:rsid w:val="00D558C1"/>
    <w:rsid w:val="00D55A77"/>
    <w:rsid w:val="00D55B35"/>
    <w:rsid w:val="00D55B3E"/>
    <w:rsid w:val="00D55BBC"/>
    <w:rsid w:val="00D55BC2"/>
    <w:rsid w:val="00D55F99"/>
    <w:rsid w:val="00D56056"/>
    <w:rsid w:val="00D56190"/>
    <w:rsid w:val="00D561C9"/>
    <w:rsid w:val="00D561F7"/>
    <w:rsid w:val="00D562DE"/>
    <w:rsid w:val="00D564D7"/>
    <w:rsid w:val="00D56607"/>
    <w:rsid w:val="00D56668"/>
    <w:rsid w:val="00D566A5"/>
    <w:rsid w:val="00D5672F"/>
    <w:rsid w:val="00D56762"/>
    <w:rsid w:val="00D56A3A"/>
    <w:rsid w:val="00D56A7E"/>
    <w:rsid w:val="00D56B4B"/>
    <w:rsid w:val="00D56D5F"/>
    <w:rsid w:val="00D56D83"/>
    <w:rsid w:val="00D56E21"/>
    <w:rsid w:val="00D56F27"/>
    <w:rsid w:val="00D5712D"/>
    <w:rsid w:val="00D57153"/>
    <w:rsid w:val="00D571EE"/>
    <w:rsid w:val="00D5728B"/>
    <w:rsid w:val="00D572BD"/>
    <w:rsid w:val="00D573E2"/>
    <w:rsid w:val="00D5740F"/>
    <w:rsid w:val="00D575D2"/>
    <w:rsid w:val="00D5789C"/>
    <w:rsid w:val="00D57912"/>
    <w:rsid w:val="00D5797E"/>
    <w:rsid w:val="00D57C52"/>
    <w:rsid w:val="00D57CC4"/>
    <w:rsid w:val="00D57E3D"/>
    <w:rsid w:val="00D57E97"/>
    <w:rsid w:val="00D57FA8"/>
    <w:rsid w:val="00D5B54E"/>
    <w:rsid w:val="00D6027B"/>
    <w:rsid w:val="00D6040A"/>
    <w:rsid w:val="00D6051B"/>
    <w:rsid w:val="00D6063D"/>
    <w:rsid w:val="00D60666"/>
    <w:rsid w:val="00D60700"/>
    <w:rsid w:val="00D6088E"/>
    <w:rsid w:val="00D60896"/>
    <w:rsid w:val="00D60B5D"/>
    <w:rsid w:val="00D60CB3"/>
    <w:rsid w:val="00D60CF2"/>
    <w:rsid w:val="00D60D51"/>
    <w:rsid w:val="00D60E7D"/>
    <w:rsid w:val="00D60F0D"/>
    <w:rsid w:val="00D60FC7"/>
    <w:rsid w:val="00D60FCD"/>
    <w:rsid w:val="00D61134"/>
    <w:rsid w:val="00D611BA"/>
    <w:rsid w:val="00D6129C"/>
    <w:rsid w:val="00D612FC"/>
    <w:rsid w:val="00D613ED"/>
    <w:rsid w:val="00D613FD"/>
    <w:rsid w:val="00D614BB"/>
    <w:rsid w:val="00D616EA"/>
    <w:rsid w:val="00D61838"/>
    <w:rsid w:val="00D6184B"/>
    <w:rsid w:val="00D619F6"/>
    <w:rsid w:val="00D61A21"/>
    <w:rsid w:val="00D61A86"/>
    <w:rsid w:val="00D61ACA"/>
    <w:rsid w:val="00D61EF4"/>
    <w:rsid w:val="00D61FB8"/>
    <w:rsid w:val="00D62004"/>
    <w:rsid w:val="00D62046"/>
    <w:rsid w:val="00D6205C"/>
    <w:rsid w:val="00D6206D"/>
    <w:rsid w:val="00D62165"/>
    <w:rsid w:val="00D62397"/>
    <w:rsid w:val="00D62416"/>
    <w:rsid w:val="00D62442"/>
    <w:rsid w:val="00D62483"/>
    <w:rsid w:val="00D624A9"/>
    <w:rsid w:val="00D6271E"/>
    <w:rsid w:val="00D6288F"/>
    <w:rsid w:val="00D62AB9"/>
    <w:rsid w:val="00D62D7C"/>
    <w:rsid w:val="00D62E82"/>
    <w:rsid w:val="00D62F06"/>
    <w:rsid w:val="00D62F68"/>
    <w:rsid w:val="00D630D6"/>
    <w:rsid w:val="00D632BA"/>
    <w:rsid w:val="00D633B8"/>
    <w:rsid w:val="00D63512"/>
    <w:rsid w:val="00D63523"/>
    <w:rsid w:val="00D6352A"/>
    <w:rsid w:val="00D63829"/>
    <w:rsid w:val="00D639C1"/>
    <w:rsid w:val="00D63A17"/>
    <w:rsid w:val="00D63AC7"/>
    <w:rsid w:val="00D63C80"/>
    <w:rsid w:val="00D63E8D"/>
    <w:rsid w:val="00D63FF7"/>
    <w:rsid w:val="00D640AB"/>
    <w:rsid w:val="00D64564"/>
    <w:rsid w:val="00D6459B"/>
    <w:rsid w:val="00D64666"/>
    <w:rsid w:val="00D646AC"/>
    <w:rsid w:val="00D64873"/>
    <w:rsid w:val="00D648CC"/>
    <w:rsid w:val="00D6491C"/>
    <w:rsid w:val="00D6497D"/>
    <w:rsid w:val="00D6498F"/>
    <w:rsid w:val="00D649F6"/>
    <w:rsid w:val="00D64AAF"/>
    <w:rsid w:val="00D64B30"/>
    <w:rsid w:val="00D64D8F"/>
    <w:rsid w:val="00D64DB5"/>
    <w:rsid w:val="00D64E1C"/>
    <w:rsid w:val="00D64E37"/>
    <w:rsid w:val="00D64E54"/>
    <w:rsid w:val="00D65022"/>
    <w:rsid w:val="00D650FA"/>
    <w:rsid w:val="00D65230"/>
    <w:rsid w:val="00D65254"/>
    <w:rsid w:val="00D65293"/>
    <w:rsid w:val="00D6557C"/>
    <w:rsid w:val="00D65585"/>
    <w:rsid w:val="00D657AB"/>
    <w:rsid w:val="00D65A28"/>
    <w:rsid w:val="00D65AA3"/>
    <w:rsid w:val="00D65C35"/>
    <w:rsid w:val="00D65C55"/>
    <w:rsid w:val="00D65CD6"/>
    <w:rsid w:val="00D65D32"/>
    <w:rsid w:val="00D65D57"/>
    <w:rsid w:val="00D65F7D"/>
    <w:rsid w:val="00D65F9A"/>
    <w:rsid w:val="00D65FA6"/>
    <w:rsid w:val="00D65FB1"/>
    <w:rsid w:val="00D65FBE"/>
    <w:rsid w:val="00D65FD3"/>
    <w:rsid w:val="00D660DD"/>
    <w:rsid w:val="00D66236"/>
    <w:rsid w:val="00D66251"/>
    <w:rsid w:val="00D663F1"/>
    <w:rsid w:val="00D664F9"/>
    <w:rsid w:val="00D665EA"/>
    <w:rsid w:val="00D6670F"/>
    <w:rsid w:val="00D66755"/>
    <w:rsid w:val="00D66772"/>
    <w:rsid w:val="00D6685C"/>
    <w:rsid w:val="00D66862"/>
    <w:rsid w:val="00D66881"/>
    <w:rsid w:val="00D66887"/>
    <w:rsid w:val="00D66934"/>
    <w:rsid w:val="00D66986"/>
    <w:rsid w:val="00D66992"/>
    <w:rsid w:val="00D669C1"/>
    <w:rsid w:val="00D669F5"/>
    <w:rsid w:val="00D66A3A"/>
    <w:rsid w:val="00D66C44"/>
    <w:rsid w:val="00D66CE8"/>
    <w:rsid w:val="00D66D38"/>
    <w:rsid w:val="00D66D5D"/>
    <w:rsid w:val="00D66DAF"/>
    <w:rsid w:val="00D66EC9"/>
    <w:rsid w:val="00D671A3"/>
    <w:rsid w:val="00D671DC"/>
    <w:rsid w:val="00D672FA"/>
    <w:rsid w:val="00D6741D"/>
    <w:rsid w:val="00D67484"/>
    <w:rsid w:val="00D67989"/>
    <w:rsid w:val="00D6798F"/>
    <w:rsid w:val="00D679EA"/>
    <w:rsid w:val="00D67A77"/>
    <w:rsid w:val="00D67C0C"/>
    <w:rsid w:val="00D67C14"/>
    <w:rsid w:val="00D67CB3"/>
    <w:rsid w:val="00D67DC5"/>
    <w:rsid w:val="00D67DFB"/>
    <w:rsid w:val="00D67E9B"/>
    <w:rsid w:val="00D67F7C"/>
    <w:rsid w:val="00D67FA5"/>
    <w:rsid w:val="00D6E2D2"/>
    <w:rsid w:val="00D70070"/>
    <w:rsid w:val="00D702EB"/>
    <w:rsid w:val="00D7030E"/>
    <w:rsid w:val="00D70403"/>
    <w:rsid w:val="00D70503"/>
    <w:rsid w:val="00D7096D"/>
    <w:rsid w:val="00D70C6C"/>
    <w:rsid w:val="00D70F20"/>
    <w:rsid w:val="00D710F1"/>
    <w:rsid w:val="00D71161"/>
    <w:rsid w:val="00D711FE"/>
    <w:rsid w:val="00D71255"/>
    <w:rsid w:val="00D7149B"/>
    <w:rsid w:val="00D71508"/>
    <w:rsid w:val="00D71561"/>
    <w:rsid w:val="00D71593"/>
    <w:rsid w:val="00D71656"/>
    <w:rsid w:val="00D716CB"/>
    <w:rsid w:val="00D71724"/>
    <w:rsid w:val="00D718DF"/>
    <w:rsid w:val="00D71903"/>
    <w:rsid w:val="00D71986"/>
    <w:rsid w:val="00D71987"/>
    <w:rsid w:val="00D71AAC"/>
    <w:rsid w:val="00D71AB3"/>
    <w:rsid w:val="00D71ABD"/>
    <w:rsid w:val="00D71BA4"/>
    <w:rsid w:val="00D71DF6"/>
    <w:rsid w:val="00D72181"/>
    <w:rsid w:val="00D721EA"/>
    <w:rsid w:val="00D7226C"/>
    <w:rsid w:val="00D72355"/>
    <w:rsid w:val="00D724B7"/>
    <w:rsid w:val="00D724F4"/>
    <w:rsid w:val="00D72845"/>
    <w:rsid w:val="00D72880"/>
    <w:rsid w:val="00D728D9"/>
    <w:rsid w:val="00D72AAD"/>
    <w:rsid w:val="00D72D64"/>
    <w:rsid w:val="00D72DA0"/>
    <w:rsid w:val="00D7302A"/>
    <w:rsid w:val="00D7313E"/>
    <w:rsid w:val="00D73153"/>
    <w:rsid w:val="00D731F5"/>
    <w:rsid w:val="00D73341"/>
    <w:rsid w:val="00D73361"/>
    <w:rsid w:val="00D73567"/>
    <w:rsid w:val="00D735D3"/>
    <w:rsid w:val="00D73656"/>
    <w:rsid w:val="00D73841"/>
    <w:rsid w:val="00D73914"/>
    <w:rsid w:val="00D73AB2"/>
    <w:rsid w:val="00D73B1A"/>
    <w:rsid w:val="00D73D85"/>
    <w:rsid w:val="00D73D96"/>
    <w:rsid w:val="00D73E56"/>
    <w:rsid w:val="00D73E5D"/>
    <w:rsid w:val="00D740CF"/>
    <w:rsid w:val="00D741BF"/>
    <w:rsid w:val="00D741CA"/>
    <w:rsid w:val="00D74351"/>
    <w:rsid w:val="00D74366"/>
    <w:rsid w:val="00D74468"/>
    <w:rsid w:val="00D74515"/>
    <w:rsid w:val="00D74557"/>
    <w:rsid w:val="00D745F9"/>
    <w:rsid w:val="00D74761"/>
    <w:rsid w:val="00D748CC"/>
    <w:rsid w:val="00D74956"/>
    <w:rsid w:val="00D74996"/>
    <w:rsid w:val="00D7499F"/>
    <w:rsid w:val="00D749DB"/>
    <w:rsid w:val="00D74B9E"/>
    <w:rsid w:val="00D74DD7"/>
    <w:rsid w:val="00D74EB3"/>
    <w:rsid w:val="00D74EDC"/>
    <w:rsid w:val="00D74EF0"/>
    <w:rsid w:val="00D74F3D"/>
    <w:rsid w:val="00D74F94"/>
    <w:rsid w:val="00D74FF4"/>
    <w:rsid w:val="00D75042"/>
    <w:rsid w:val="00D750F3"/>
    <w:rsid w:val="00D75117"/>
    <w:rsid w:val="00D75120"/>
    <w:rsid w:val="00D751A5"/>
    <w:rsid w:val="00D75250"/>
    <w:rsid w:val="00D752D8"/>
    <w:rsid w:val="00D753DB"/>
    <w:rsid w:val="00D75523"/>
    <w:rsid w:val="00D756A9"/>
    <w:rsid w:val="00D75A6A"/>
    <w:rsid w:val="00D75B56"/>
    <w:rsid w:val="00D75BA4"/>
    <w:rsid w:val="00D75DDD"/>
    <w:rsid w:val="00D75E1C"/>
    <w:rsid w:val="00D75EF8"/>
    <w:rsid w:val="00D75FB5"/>
    <w:rsid w:val="00D7606E"/>
    <w:rsid w:val="00D76152"/>
    <w:rsid w:val="00D7616E"/>
    <w:rsid w:val="00D761C2"/>
    <w:rsid w:val="00D762E5"/>
    <w:rsid w:val="00D7638D"/>
    <w:rsid w:val="00D763D1"/>
    <w:rsid w:val="00D76483"/>
    <w:rsid w:val="00D76528"/>
    <w:rsid w:val="00D76681"/>
    <w:rsid w:val="00D76797"/>
    <w:rsid w:val="00D769F0"/>
    <w:rsid w:val="00D76B2F"/>
    <w:rsid w:val="00D76B69"/>
    <w:rsid w:val="00D76BDD"/>
    <w:rsid w:val="00D76C0C"/>
    <w:rsid w:val="00D76C4B"/>
    <w:rsid w:val="00D76CCE"/>
    <w:rsid w:val="00D76D7D"/>
    <w:rsid w:val="00D76E86"/>
    <w:rsid w:val="00D76EDC"/>
    <w:rsid w:val="00D76FD6"/>
    <w:rsid w:val="00D76FE9"/>
    <w:rsid w:val="00D77024"/>
    <w:rsid w:val="00D772D7"/>
    <w:rsid w:val="00D77493"/>
    <w:rsid w:val="00D776A0"/>
    <w:rsid w:val="00D776D8"/>
    <w:rsid w:val="00D778E5"/>
    <w:rsid w:val="00D77903"/>
    <w:rsid w:val="00D7793A"/>
    <w:rsid w:val="00D77A94"/>
    <w:rsid w:val="00D77AAA"/>
    <w:rsid w:val="00D77B93"/>
    <w:rsid w:val="00D77D39"/>
    <w:rsid w:val="00D77E2D"/>
    <w:rsid w:val="00D77E4F"/>
    <w:rsid w:val="00D77E77"/>
    <w:rsid w:val="00D77F5F"/>
    <w:rsid w:val="00D78433"/>
    <w:rsid w:val="00D8005F"/>
    <w:rsid w:val="00D80076"/>
    <w:rsid w:val="00D800A9"/>
    <w:rsid w:val="00D8014C"/>
    <w:rsid w:val="00D803B4"/>
    <w:rsid w:val="00D803D1"/>
    <w:rsid w:val="00D8043E"/>
    <w:rsid w:val="00D804AC"/>
    <w:rsid w:val="00D80533"/>
    <w:rsid w:val="00D80550"/>
    <w:rsid w:val="00D80692"/>
    <w:rsid w:val="00D80723"/>
    <w:rsid w:val="00D80755"/>
    <w:rsid w:val="00D80842"/>
    <w:rsid w:val="00D8099C"/>
    <w:rsid w:val="00D809A1"/>
    <w:rsid w:val="00D809EB"/>
    <w:rsid w:val="00D80A61"/>
    <w:rsid w:val="00D80C03"/>
    <w:rsid w:val="00D80C6C"/>
    <w:rsid w:val="00D80FE1"/>
    <w:rsid w:val="00D81004"/>
    <w:rsid w:val="00D810AF"/>
    <w:rsid w:val="00D8163B"/>
    <w:rsid w:val="00D81770"/>
    <w:rsid w:val="00D8182D"/>
    <w:rsid w:val="00D8185D"/>
    <w:rsid w:val="00D819A4"/>
    <w:rsid w:val="00D81ACE"/>
    <w:rsid w:val="00D81C03"/>
    <w:rsid w:val="00D81C6F"/>
    <w:rsid w:val="00D81D3F"/>
    <w:rsid w:val="00D81F9C"/>
    <w:rsid w:val="00D81FE5"/>
    <w:rsid w:val="00D8211A"/>
    <w:rsid w:val="00D82237"/>
    <w:rsid w:val="00D8226D"/>
    <w:rsid w:val="00D822D3"/>
    <w:rsid w:val="00D82331"/>
    <w:rsid w:val="00D82393"/>
    <w:rsid w:val="00D82466"/>
    <w:rsid w:val="00D8249E"/>
    <w:rsid w:val="00D824F1"/>
    <w:rsid w:val="00D825CF"/>
    <w:rsid w:val="00D82787"/>
    <w:rsid w:val="00D82801"/>
    <w:rsid w:val="00D8281D"/>
    <w:rsid w:val="00D8291E"/>
    <w:rsid w:val="00D82A43"/>
    <w:rsid w:val="00D82DEF"/>
    <w:rsid w:val="00D82E7A"/>
    <w:rsid w:val="00D83092"/>
    <w:rsid w:val="00D83169"/>
    <w:rsid w:val="00D8330D"/>
    <w:rsid w:val="00D83358"/>
    <w:rsid w:val="00D83493"/>
    <w:rsid w:val="00D834B6"/>
    <w:rsid w:val="00D834FB"/>
    <w:rsid w:val="00D8350A"/>
    <w:rsid w:val="00D83552"/>
    <w:rsid w:val="00D83648"/>
    <w:rsid w:val="00D8365C"/>
    <w:rsid w:val="00D83738"/>
    <w:rsid w:val="00D83775"/>
    <w:rsid w:val="00D837B8"/>
    <w:rsid w:val="00D83804"/>
    <w:rsid w:val="00D83858"/>
    <w:rsid w:val="00D8385B"/>
    <w:rsid w:val="00D83875"/>
    <w:rsid w:val="00D839C7"/>
    <w:rsid w:val="00D83A60"/>
    <w:rsid w:val="00D83B8A"/>
    <w:rsid w:val="00D83BE6"/>
    <w:rsid w:val="00D83DE1"/>
    <w:rsid w:val="00D841A8"/>
    <w:rsid w:val="00D841AA"/>
    <w:rsid w:val="00D84327"/>
    <w:rsid w:val="00D843AF"/>
    <w:rsid w:val="00D84559"/>
    <w:rsid w:val="00D845AB"/>
    <w:rsid w:val="00D846C0"/>
    <w:rsid w:val="00D847BA"/>
    <w:rsid w:val="00D8480D"/>
    <w:rsid w:val="00D8486A"/>
    <w:rsid w:val="00D84891"/>
    <w:rsid w:val="00D848EC"/>
    <w:rsid w:val="00D84B35"/>
    <w:rsid w:val="00D84BBD"/>
    <w:rsid w:val="00D84F1F"/>
    <w:rsid w:val="00D8505B"/>
    <w:rsid w:val="00D851AC"/>
    <w:rsid w:val="00D8523D"/>
    <w:rsid w:val="00D85417"/>
    <w:rsid w:val="00D85432"/>
    <w:rsid w:val="00D854D4"/>
    <w:rsid w:val="00D85729"/>
    <w:rsid w:val="00D8576D"/>
    <w:rsid w:val="00D85960"/>
    <w:rsid w:val="00D8596C"/>
    <w:rsid w:val="00D859AB"/>
    <w:rsid w:val="00D85B7C"/>
    <w:rsid w:val="00D85C84"/>
    <w:rsid w:val="00D85D98"/>
    <w:rsid w:val="00D85DD4"/>
    <w:rsid w:val="00D85DE1"/>
    <w:rsid w:val="00D85E04"/>
    <w:rsid w:val="00D85EF2"/>
    <w:rsid w:val="00D85F29"/>
    <w:rsid w:val="00D85F31"/>
    <w:rsid w:val="00D86399"/>
    <w:rsid w:val="00D863CD"/>
    <w:rsid w:val="00D8650D"/>
    <w:rsid w:val="00D86512"/>
    <w:rsid w:val="00D86565"/>
    <w:rsid w:val="00D865A2"/>
    <w:rsid w:val="00D867B2"/>
    <w:rsid w:val="00D8685A"/>
    <w:rsid w:val="00D86869"/>
    <w:rsid w:val="00D8696D"/>
    <w:rsid w:val="00D86987"/>
    <w:rsid w:val="00D869F7"/>
    <w:rsid w:val="00D86A0E"/>
    <w:rsid w:val="00D86BD3"/>
    <w:rsid w:val="00D86CA5"/>
    <w:rsid w:val="00D86E05"/>
    <w:rsid w:val="00D86FFE"/>
    <w:rsid w:val="00D8702E"/>
    <w:rsid w:val="00D870FE"/>
    <w:rsid w:val="00D8735F"/>
    <w:rsid w:val="00D8739C"/>
    <w:rsid w:val="00D8746C"/>
    <w:rsid w:val="00D87527"/>
    <w:rsid w:val="00D87574"/>
    <w:rsid w:val="00D87594"/>
    <w:rsid w:val="00D876DA"/>
    <w:rsid w:val="00D877E8"/>
    <w:rsid w:val="00D87809"/>
    <w:rsid w:val="00D878C7"/>
    <w:rsid w:val="00D878DC"/>
    <w:rsid w:val="00D87928"/>
    <w:rsid w:val="00D87A86"/>
    <w:rsid w:val="00D87B56"/>
    <w:rsid w:val="00D87C58"/>
    <w:rsid w:val="00D87C79"/>
    <w:rsid w:val="00D87D48"/>
    <w:rsid w:val="00D87DD1"/>
    <w:rsid w:val="00D87E60"/>
    <w:rsid w:val="00D87EE8"/>
    <w:rsid w:val="00D9021B"/>
    <w:rsid w:val="00D90396"/>
    <w:rsid w:val="00D903B8"/>
    <w:rsid w:val="00D90418"/>
    <w:rsid w:val="00D90499"/>
    <w:rsid w:val="00D9050F"/>
    <w:rsid w:val="00D90510"/>
    <w:rsid w:val="00D907F6"/>
    <w:rsid w:val="00D909C6"/>
    <w:rsid w:val="00D909DC"/>
    <w:rsid w:val="00D90AE5"/>
    <w:rsid w:val="00D90D7F"/>
    <w:rsid w:val="00D90E0C"/>
    <w:rsid w:val="00D91091"/>
    <w:rsid w:val="00D91244"/>
    <w:rsid w:val="00D91257"/>
    <w:rsid w:val="00D912C1"/>
    <w:rsid w:val="00D9139F"/>
    <w:rsid w:val="00D914BE"/>
    <w:rsid w:val="00D914E3"/>
    <w:rsid w:val="00D915B7"/>
    <w:rsid w:val="00D9161C"/>
    <w:rsid w:val="00D9177F"/>
    <w:rsid w:val="00D9181B"/>
    <w:rsid w:val="00D918DC"/>
    <w:rsid w:val="00D918E1"/>
    <w:rsid w:val="00D919BB"/>
    <w:rsid w:val="00D919D0"/>
    <w:rsid w:val="00D91ACD"/>
    <w:rsid w:val="00D91B2A"/>
    <w:rsid w:val="00D91BE0"/>
    <w:rsid w:val="00D91D7B"/>
    <w:rsid w:val="00D91DD1"/>
    <w:rsid w:val="00D91E17"/>
    <w:rsid w:val="00D920DE"/>
    <w:rsid w:val="00D921DE"/>
    <w:rsid w:val="00D922E0"/>
    <w:rsid w:val="00D922FF"/>
    <w:rsid w:val="00D92407"/>
    <w:rsid w:val="00D92411"/>
    <w:rsid w:val="00D9242A"/>
    <w:rsid w:val="00D9246A"/>
    <w:rsid w:val="00D924BE"/>
    <w:rsid w:val="00D924D1"/>
    <w:rsid w:val="00D92784"/>
    <w:rsid w:val="00D92945"/>
    <w:rsid w:val="00D92961"/>
    <w:rsid w:val="00D92B3A"/>
    <w:rsid w:val="00D92C95"/>
    <w:rsid w:val="00D92CF0"/>
    <w:rsid w:val="00D92DE3"/>
    <w:rsid w:val="00D92EDC"/>
    <w:rsid w:val="00D92F8D"/>
    <w:rsid w:val="00D93020"/>
    <w:rsid w:val="00D93116"/>
    <w:rsid w:val="00D9314A"/>
    <w:rsid w:val="00D93180"/>
    <w:rsid w:val="00D93208"/>
    <w:rsid w:val="00D93236"/>
    <w:rsid w:val="00D932DE"/>
    <w:rsid w:val="00D93367"/>
    <w:rsid w:val="00D93498"/>
    <w:rsid w:val="00D9372C"/>
    <w:rsid w:val="00D9372D"/>
    <w:rsid w:val="00D9376B"/>
    <w:rsid w:val="00D93800"/>
    <w:rsid w:val="00D938D1"/>
    <w:rsid w:val="00D939CE"/>
    <w:rsid w:val="00D93A66"/>
    <w:rsid w:val="00D93A97"/>
    <w:rsid w:val="00D93B8E"/>
    <w:rsid w:val="00D93C13"/>
    <w:rsid w:val="00D93C92"/>
    <w:rsid w:val="00D93CE8"/>
    <w:rsid w:val="00D93E3B"/>
    <w:rsid w:val="00D93E85"/>
    <w:rsid w:val="00D93E91"/>
    <w:rsid w:val="00D93E94"/>
    <w:rsid w:val="00D93F58"/>
    <w:rsid w:val="00D93FC2"/>
    <w:rsid w:val="00D94063"/>
    <w:rsid w:val="00D94244"/>
    <w:rsid w:val="00D94268"/>
    <w:rsid w:val="00D94306"/>
    <w:rsid w:val="00D9435F"/>
    <w:rsid w:val="00D94412"/>
    <w:rsid w:val="00D94684"/>
    <w:rsid w:val="00D9476C"/>
    <w:rsid w:val="00D94808"/>
    <w:rsid w:val="00D94968"/>
    <w:rsid w:val="00D94A71"/>
    <w:rsid w:val="00D94B86"/>
    <w:rsid w:val="00D94F05"/>
    <w:rsid w:val="00D94F86"/>
    <w:rsid w:val="00D94F98"/>
    <w:rsid w:val="00D951EC"/>
    <w:rsid w:val="00D9523A"/>
    <w:rsid w:val="00D95283"/>
    <w:rsid w:val="00D95316"/>
    <w:rsid w:val="00D9539D"/>
    <w:rsid w:val="00D953F0"/>
    <w:rsid w:val="00D95465"/>
    <w:rsid w:val="00D957D5"/>
    <w:rsid w:val="00D95804"/>
    <w:rsid w:val="00D95995"/>
    <w:rsid w:val="00D959C9"/>
    <w:rsid w:val="00D95A53"/>
    <w:rsid w:val="00D95B82"/>
    <w:rsid w:val="00D95BBF"/>
    <w:rsid w:val="00D95C3D"/>
    <w:rsid w:val="00D95C56"/>
    <w:rsid w:val="00D95D0D"/>
    <w:rsid w:val="00D95D9A"/>
    <w:rsid w:val="00D95DBF"/>
    <w:rsid w:val="00D95DD0"/>
    <w:rsid w:val="00D95F4D"/>
    <w:rsid w:val="00D9605C"/>
    <w:rsid w:val="00D96240"/>
    <w:rsid w:val="00D962A4"/>
    <w:rsid w:val="00D96374"/>
    <w:rsid w:val="00D96766"/>
    <w:rsid w:val="00D9682E"/>
    <w:rsid w:val="00D96861"/>
    <w:rsid w:val="00D96869"/>
    <w:rsid w:val="00D968B0"/>
    <w:rsid w:val="00D968F4"/>
    <w:rsid w:val="00D968F6"/>
    <w:rsid w:val="00D96AAA"/>
    <w:rsid w:val="00D96ACF"/>
    <w:rsid w:val="00D96BAE"/>
    <w:rsid w:val="00D96BF8"/>
    <w:rsid w:val="00D96C5D"/>
    <w:rsid w:val="00D96C99"/>
    <w:rsid w:val="00D97145"/>
    <w:rsid w:val="00D9716A"/>
    <w:rsid w:val="00D9717F"/>
    <w:rsid w:val="00D971FA"/>
    <w:rsid w:val="00D974D0"/>
    <w:rsid w:val="00D975DA"/>
    <w:rsid w:val="00D97657"/>
    <w:rsid w:val="00D976DE"/>
    <w:rsid w:val="00D9781E"/>
    <w:rsid w:val="00D97820"/>
    <w:rsid w:val="00D97858"/>
    <w:rsid w:val="00D97888"/>
    <w:rsid w:val="00D97A59"/>
    <w:rsid w:val="00D97B54"/>
    <w:rsid w:val="00D97C62"/>
    <w:rsid w:val="00D97DE4"/>
    <w:rsid w:val="00D97EEE"/>
    <w:rsid w:val="00D97F54"/>
    <w:rsid w:val="00DA0123"/>
    <w:rsid w:val="00DA0168"/>
    <w:rsid w:val="00DA01A2"/>
    <w:rsid w:val="00DA0235"/>
    <w:rsid w:val="00DA0362"/>
    <w:rsid w:val="00DA0390"/>
    <w:rsid w:val="00DA03AD"/>
    <w:rsid w:val="00DA0424"/>
    <w:rsid w:val="00DA044D"/>
    <w:rsid w:val="00DA0452"/>
    <w:rsid w:val="00DA063E"/>
    <w:rsid w:val="00DA065C"/>
    <w:rsid w:val="00DA08A8"/>
    <w:rsid w:val="00DA0932"/>
    <w:rsid w:val="00DA0959"/>
    <w:rsid w:val="00DA0A7A"/>
    <w:rsid w:val="00DA0B13"/>
    <w:rsid w:val="00DA0BF1"/>
    <w:rsid w:val="00DA0C8B"/>
    <w:rsid w:val="00DA0CA1"/>
    <w:rsid w:val="00DA0DC0"/>
    <w:rsid w:val="00DA0E2E"/>
    <w:rsid w:val="00DA0F7D"/>
    <w:rsid w:val="00DA0F85"/>
    <w:rsid w:val="00DA0F92"/>
    <w:rsid w:val="00DA100B"/>
    <w:rsid w:val="00DA1253"/>
    <w:rsid w:val="00DA12DD"/>
    <w:rsid w:val="00DA1441"/>
    <w:rsid w:val="00DA1455"/>
    <w:rsid w:val="00DA15F5"/>
    <w:rsid w:val="00DA16D3"/>
    <w:rsid w:val="00DA16F1"/>
    <w:rsid w:val="00DA1707"/>
    <w:rsid w:val="00DA187B"/>
    <w:rsid w:val="00DA1BF3"/>
    <w:rsid w:val="00DA1D6B"/>
    <w:rsid w:val="00DA1E44"/>
    <w:rsid w:val="00DA1E5F"/>
    <w:rsid w:val="00DA1E78"/>
    <w:rsid w:val="00DA2044"/>
    <w:rsid w:val="00DA2057"/>
    <w:rsid w:val="00DA22A5"/>
    <w:rsid w:val="00DA22B0"/>
    <w:rsid w:val="00DA22DF"/>
    <w:rsid w:val="00DA25E7"/>
    <w:rsid w:val="00DA25F0"/>
    <w:rsid w:val="00DA276A"/>
    <w:rsid w:val="00DA27EE"/>
    <w:rsid w:val="00DA29B1"/>
    <w:rsid w:val="00DA2B06"/>
    <w:rsid w:val="00DA2D1A"/>
    <w:rsid w:val="00DA30CB"/>
    <w:rsid w:val="00DA31B2"/>
    <w:rsid w:val="00DA32D4"/>
    <w:rsid w:val="00DA33AD"/>
    <w:rsid w:val="00DA33C9"/>
    <w:rsid w:val="00DA340F"/>
    <w:rsid w:val="00DA3465"/>
    <w:rsid w:val="00DA34BD"/>
    <w:rsid w:val="00DA3988"/>
    <w:rsid w:val="00DA3A37"/>
    <w:rsid w:val="00DA3B40"/>
    <w:rsid w:val="00DA3C16"/>
    <w:rsid w:val="00DA3C17"/>
    <w:rsid w:val="00DA408E"/>
    <w:rsid w:val="00DA4100"/>
    <w:rsid w:val="00DA4144"/>
    <w:rsid w:val="00DA423C"/>
    <w:rsid w:val="00DA4550"/>
    <w:rsid w:val="00DA4669"/>
    <w:rsid w:val="00DA4678"/>
    <w:rsid w:val="00DA4680"/>
    <w:rsid w:val="00DA47F7"/>
    <w:rsid w:val="00DA481B"/>
    <w:rsid w:val="00DA4826"/>
    <w:rsid w:val="00DA48DE"/>
    <w:rsid w:val="00DA4A53"/>
    <w:rsid w:val="00DA4B2D"/>
    <w:rsid w:val="00DA4D11"/>
    <w:rsid w:val="00DA4F2D"/>
    <w:rsid w:val="00DA5003"/>
    <w:rsid w:val="00DA54FB"/>
    <w:rsid w:val="00DA5760"/>
    <w:rsid w:val="00DA5798"/>
    <w:rsid w:val="00DA583E"/>
    <w:rsid w:val="00DA5897"/>
    <w:rsid w:val="00DA58C9"/>
    <w:rsid w:val="00DA5BA2"/>
    <w:rsid w:val="00DA5BB1"/>
    <w:rsid w:val="00DA5C5C"/>
    <w:rsid w:val="00DA5C6D"/>
    <w:rsid w:val="00DA5D00"/>
    <w:rsid w:val="00DA5D8B"/>
    <w:rsid w:val="00DA5DE1"/>
    <w:rsid w:val="00DA606B"/>
    <w:rsid w:val="00DA613F"/>
    <w:rsid w:val="00DA6192"/>
    <w:rsid w:val="00DA61C2"/>
    <w:rsid w:val="00DA61D3"/>
    <w:rsid w:val="00DA6265"/>
    <w:rsid w:val="00DA6303"/>
    <w:rsid w:val="00DA64BC"/>
    <w:rsid w:val="00DA654E"/>
    <w:rsid w:val="00DA65D9"/>
    <w:rsid w:val="00DA66FD"/>
    <w:rsid w:val="00DA67A2"/>
    <w:rsid w:val="00DA67D9"/>
    <w:rsid w:val="00DA6A74"/>
    <w:rsid w:val="00DA6B1B"/>
    <w:rsid w:val="00DA6BCB"/>
    <w:rsid w:val="00DA6DD3"/>
    <w:rsid w:val="00DA7122"/>
    <w:rsid w:val="00DA7160"/>
    <w:rsid w:val="00DA720B"/>
    <w:rsid w:val="00DA7625"/>
    <w:rsid w:val="00DA76EA"/>
    <w:rsid w:val="00DA774A"/>
    <w:rsid w:val="00DA774B"/>
    <w:rsid w:val="00DA77FB"/>
    <w:rsid w:val="00DA781E"/>
    <w:rsid w:val="00DA78F6"/>
    <w:rsid w:val="00DA7A00"/>
    <w:rsid w:val="00DA7A38"/>
    <w:rsid w:val="00DA7A3F"/>
    <w:rsid w:val="00DA7A9A"/>
    <w:rsid w:val="00DA7B3D"/>
    <w:rsid w:val="00DA7B5D"/>
    <w:rsid w:val="00DA7E74"/>
    <w:rsid w:val="00DA7ED0"/>
    <w:rsid w:val="00DA7F0B"/>
    <w:rsid w:val="00DA7FCA"/>
    <w:rsid w:val="00DB0096"/>
    <w:rsid w:val="00DB0114"/>
    <w:rsid w:val="00DB023E"/>
    <w:rsid w:val="00DB0252"/>
    <w:rsid w:val="00DB03DA"/>
    <w:rsid w:val="00DB044D"/>
    <w:rsid w:val="00DB0516"/>
    <w:rsid w:val="00DB05D8"/>
    <w:rsid w:val="00DB05ED"/>
    <w:rsid w:val="00DB0712"/>
    <w:rsid w:val="00DB0858"/>
    <w:rsid w:val="00DB08C7"/>
    <w:rsid w:val="00DB08DC"/>
    <w:rsid w:val="00DB0A45"/>
    <w:rsid w:val="00DB0A80"/>
    <w:rsid w:val="00DB0ACE"/>
    <w:rsid w:val="00DB0B3E"/>
    <w:rsid w:val="00DB0BA5"/>
    <w:rsid w:val="00DB0DBD"/>
    <w:rsid w:val="00DB0E45"/>
    <w:rsid w:val="00DB0EB4"/>
    <w:rsid w:val="00DB0F03"/>
    <w:rsid w:val="00DB111F"/>
    <w:rsid w:val="00DB133F"/>
    <w:rsid w:val="00DB13E9"/>
    <w:rsid w:val="00DB13F4"/>
    <w:rsid w:val="00DB1409"/>
    <w:rsid w:val="00DB1563"/>
    <w:rsid w:val="00DB1638"/>
    <w:rsid w:val="00DB16B0"/>
    <w:rsid w:val="00DB1818"/>
    <w:rsid w:val="00DB1A9F"/>
    <w:rsid w:val="00DB1B52"/>
    <w:rsid w:val="00DB1C5A"/>
    <w:rsid w:val="00DB2005"/>
    <w:rsid w:val="00DB2111"/>
    <w:rsid w:val="00DB2480"/>
    <w:rsid w:val="00DB2546"/>
    <w:rsid w:val="00DB26D8"/>
    <w:rsid w:val="00DB285E"/>
    <w:rsid w:val="00DB291C"/>
    <w:rsid w:val="00DB2A6C"/>
    <w:rsid w:val="00DB2AE3"/>
    <w:rsid w:val="00DB2BE3"/>
    <w:rsid w:val="00DB2C76"/>
    <w:rsid w:val="00DB2CAC"/>
    <w:rsid w:val="00DB2CE4"/>
    <w:rsid w:val="00DB2D52"/>
    <w:rsid w:val="00DB2E34"/>
    <w:rsid w:val="00DB2E39"/>
    <w:rsid w:val="00DB2F30"/>
    <w:rsid w:val="00DB2F81"/>
    <w:rsid w:val="00DB2FA5"/>
    <w:rsid w:val="00DB304A"/>
    <w:rsid w:val="00DB3251"/>
    <w:rsid w:val="00DB32E3"/>
    <w:rsid w:val="00DB3311"/>
    <w:rsid w:val="00DB3326"/>
    <w:rsid w:val="00DB33DF"/>
    <w:rsid w:val="00DB3401"/>
    <w:rsid w:val="00DB340B"/>
    <w:rsid w:val="00DB3476"/>
    <w:rsid w:val="00DB34B0"/>
    <w:rsid w:val="00DB36AC"/>
    <w:rsid w:val="00DB37DA"/>
    <w:rsid w:val="00DB39B8"/>
    <w:rsid w:val="00DB3A2D"/>
    <w:rsid w:val="00DB3A32"/>
    <w:rsid w:val="00DB3A75"/>
    <w:rsid w:val="00DB3FE5"/>
    <w:rsid w:val="00DB40F0"/>
    <w:rsid w:val="00DB413F"/>
    <w:rsid w:val="00DB4236"/>
    <w:rsid w:val="00DB4296"/>
    <w:rsid w:val="00DB4317"/>
    <w:rsid w:val="00DB43E0"/>
    <w:rsid w:val="00DB448E"/>
    <w:rsid w:val="00DB463F"/>
    <w:rsid w:val="00DB47FF"/>
    <w:rsid w:val="00DB48B2"/>
    <w:rsid w:val="00DB48B9"/>
    <w:rsid w:val="00DB49FF"/>
    <w:rsid w:val="00DB4DAB"/>
    <w:rsid w:val="00DB4DD4"/>
    <w:rsid w:val="00DB4E2B"/>
    <w:rsid w:val="00DB4E69"/>
    <w:rsid w:val="00DB4EB0"/>
    <w:rsid w:val="00DB4F6A"/>
    <w:rsid w:val="00DB50BE"/>
    <w:rsid w:val="00DB52A4"/>
    <w:rsid w:val="00DB53E6"/>
    <w:rsid w:val="00DB544B"/>
    <w:rsid w:val="00DB5612"/>
    <w:rsid w:val="00DB5749"/>
    <w:rsid w:val="00DB5823"/>
    <w:rsid w:val="00DB59BC"/>
    <w:rsid w:val="00DB59F3"/>
    <w:rsid w:val="00DB5A2D"/>
    <w:rsid w:val="00DB5B2D"/>
    <w:rsid w:val="00DB5B59"/>
    <w:rsid w:val="00DB5C8B"/>
    <w:rsid w:val="00DB5C98"/>
    <w:rsid w:val="00DB5CCF"/>
    <w:rsid w:val="00DB5DA7"/>
    <w:rsid w:val="00DB5DCD"/>
    <w:rsid w:val="00DB5E23"/>
    <w:rsid w:val="00DB5E94"/>
    <w:rsid w:val="00DB5F2E"/>
    <w:rsid w:val="00DB5FAD"/>
    <w:rsid w:val="00DB5FD3"/>
    <w:rsid w:val="00DB621E"/>
    <w:rsid w:val="00DB6306"/>
    <w:rsid w:val="00DB6456"/>
    <w:rsid w:val="00DB6464"/>
    <w:rsid w:val="00DB6556"/>
    <w:rsid w:val="00DB65AF"/>
    <w:rsid w:val="00DB6815"/>
    <w:rsid w:val="00DB69BC"/>
    <w:rsid w:val="00DB6C5B"/>
    <w:rsid w:val="00DB6D48"/>
    <w:rsid w:val="00DB6E58"/>
    <w:rsid w:val="00DB6E6B"/>
    <w:rsid w:val="00DB6F7A"/>
    <w:rsid w:val="00DB71F2"/>
    <w:rsid w:val="00DB7325"/>
    <w:rsid w:val="00DB7332"/>
    <w:rsid w:val="00DB7417"/>
    <w:rsid w:val="00DB747C"/>
    <w:rsid w:val="00DB7538"/>
    <w:rsid w:val="00DB76F4"/>
    <w:rsid w:val="00DB77E9"/>
    <w:rsid w:val="00DB78D2"/>
    <w:rsid w:val="00DB78E7"/>
    <w:rsid w:val="00DB795F"/>
    <w:rsid w:val="00DB7AA3"/>
    <w:rsid w:val="00DB7B01"/>
    <w:rsid w:val="00DB7B77"/>
    <w:rsid w:val="00DB7CCC"/>
    <w:rsid w:val="00DB7D0E"/>
    <w:rsid w:val="00DB7D96"/>
    <w:rsid w:val="00DB7E75"/>
    <w:rsid w:val="00DB7EB6"/>
    <w:rsid w:val="00DB7EE8"/>
    <w:rsid w:val="00DC0049"/>
    <w:rsid w:val="00DC014A"/>
    <w:rsid w:val="00DC0177"/>
    <w:rsid w:val="00DC018A"/>
    <w:rsid w:val="00DC0337"/>
    <w:rsid w:val="00DC03B5"/>
    <w:rsid w:val="00DC0472"/>
    <w:rsid w:val="00DC048A"/>
    <w:rsid w:val="00DC050E"/>
    <w:rsid w:val="00DC0525"/>
    <w:rsid w:val="00DC05D8"/>
    <w:rsid w:val="00DC05FC"/>
    <w:rsid w:val="00DC0639"/>
    <w:rsid w:val="00DC0673"/>
    <w:rsid w:val="00DC07A0"/>
    <w:rsid w:val="00DC07B6"/>
    <w:rsid w:val="00DC086A"/>
    <w:rsid w:val="00DC0937"/>
    <w:rsid w:val="00DC0AB8"/>
    <w:rsid w:val="00DC0BBA"/>
    <w:rsid w:val="00DC0CAE"/>
    <w:rsid w:val="00DC0CD3"/>
    <w:rsid w:val="00DC0DF4"/>
    <w:rsid w:val="00DC0EB0"/>
    <w:rsid w:val="00DC0FF7"/>
    <w:rsid w:val="00DC1033"/>
    <w:rsid w:val="00DC1091"/>
    <w:rsid w:val="00DC10AB"/>
    <w:rsid w:val="00DC10D8"/>
    <w:rsid w:val="00DC1139"/>
    <w:rsid w:val="00DC1184"/>
    <w:rsid w:val="00DC126B"/>
    <w:rsid w:val="00DC1309"/>
    <w:rsid w:val="00DC1387"/>
    <w:rsid w:val="00DC13B4"/>
    <w:rsid w:val="00DC151E"/>
    <w:rsid w:val="00DC1554"/>
    <w:rsid w:val="00DC162A"/>
    <w:rsid w:val="00DC1744"/>
    <w:rsid w:val="00DC17DC"/>
    <w:rsid w:val="00DC17F4"/>
    <w:rsid w:val="00DC1839"/>
    <w:rsid w:val="00DC1846"/>
    <w:rsid w:val="00DC184B"/>
    <w:rsid w:val="00DC1863"/>
    <w:rsid w:val="00DC1887"/>
    <w:rsid w:val="00DC1994"/>
    <w:rsid w:val="00DC1B26"/>
    <w:rsid w:val="00DC1B3C"/>
    <w:rsid w:val="00DC1B85"/>
    <w:rsid w:val="00DC1B9E"/>
    <w:rsid w:val="00DC1EDE"/>
    <w:rsid w:val="00DC1EDF"/>
    <w:rsid w:val="00DC2003"/>
    <w:rsid w:val="00DC21EB"/>
    <w:rsid w:val="00DC230E"/>
    <w:rsid w:val="00DC27E7"/>
    <w:rsid w:val="00DC2806"/>
    <w:rsid w:val="00DC2A87"/>
    <w:rsid w:val="00DC2AC4"/>
    <w:rsid w:val="00DC2C93"/>
    <w:rsid w:val="00DC2D71"/>
    <w:rsid w:val="00DC2E4F"/>
    <w:rsid w:val="00DC2F8C"/>
    <w:rsid w:val="00DC2FF2"/>
    <w:rsid w:val="00DC30EF"/>
    <w:rsid w:val="00DC319C"/>
    <w:rsid w:val="00DC320B"/>
    <w:rsid w:val="00DC3366"/>
    <w:rsid w:val="00DC3369"/>
    <w:rsid w:val="00DC3384"/>
    <w:rsid w:val="00DC3470"/>
    <w:rsid w:val="00DC35DE"/>
    <w:rsid w:val="00DC3633"/>
    <w:rsid w:val="00DC3663"/>
    <w:rsid w:val="00DC3666"/>
    <w:rsid w:val="00DC36BE"/>
    <w:rsid w:val="00DC380F"/>
    <w:rsid w:val="00DC38F4"/>
    <w:rsid w:val="00DC39A4"/>
    <w:rsid w:val="00DC39AA"/>
    <w:rsid w:val="00DC3AD3"/>
    <w:rsid w:val="00DC3B66"/>
    <w:rsid w:val="00DC3C9A"/>
    <w:rsid w:val="00DC3E63"/>
    <w:rsid w:val="00DC405D"/>
    <w:rsid w:val="00DC421F"/>
    <w:rsid w:val="00DC4427"/>
    <w:rsid w:val="00DC4445"/>
    <w:rsid w:val="00DC4575"/>
    <w:rsid w:val="00DC47D0"/>
    <w:rsid w:val="00DC4837"/>
    <w:rsid w:val="00DC48B0"/>
    <w:rsid w:val="00DC4922"/>
    <w:rsid w:val="00DC4A33"/>
    <w:rsid w:val="00DC4A72"/>
    <w:rsid w:val="00DC4B60"/>
    <w:rsid w:val="00DC4BED"/>
    <w:rsid w:val="00DC4CB9"/>
    <w:rsid w:val="00DC4CC2"/>
    <w:rsid w:val="00DC4EE9"/>
    <w:rsid w:val="00DC4F33"/>
    <w:rsid w:val="00DC4F78"/>
    <w:rsid w:val="00DC5019"/>
    <w:rsid w:val="00DC502B"/>
    <w:rsid w:val="00DC50DD"/>
    <w:rsid w:val="00DC51D2"/>
    <w:rsid w:val="00DC5208"/>
    <w:rsid w:val="00DC543A"/>
    <w:rsid w:val="00DC552B"/>
    <w:rsid w:val="00DC5663"/>
    <w:rsid w:val="00DC5669"/>
    <w:rsid w:val="00DC5CD3"/>
    <w:rsid w:val="00DC5D95"/>
    <w:rsid w:val="00DC5FC8"/>
    <w:rsid w:val="00DC6050"/>
    <w:rsid w:val="00DC62F6"/>
    <w:rsid w:val="00DC6393"/>
    <w:rsid w:val="00DC63B8"/>
    <w:rsid w:val="00DC63EF"/>
    <w:rsid w:val="00DC667B"/>
    <w:rsid w:val="00DC6815"/>
    <w:rsid w:val="00DC6D07"/>
    <w:rsid w:val="00DC6D0E"/>
    <w:rsid w:val="00DC6E38"/>
    <w:rsid w:val="00DC6E3B"/>
    <w:rsid w:val="00DC6FD2"/>
    <w:rsid w:val="00DC706F"/>
    <w:rsid w:val="00DC70BF"/>
    <w:rsid w:val="00DC7138"/>
    <w:rsid w:val="00DC729E"/>
    <w:rsid w:val="00DC74D1"/>
    <w:rsid w:val="00DC74E1"/>
    <w:rsid w:val="00DC774E"/>
    <w:rsid w:val="00DC77D8"/>
    <w:rsid w:val="00DC7884"/>
    <w:rsid w:val="00DC7A15"/>
    <w:rsid w:val="00DC7CE4"/>
    <w:rsid w:val="00DC7E22"/>
    <w:rsid w:val="00DC7F7B"/>
    <w:rsid w:val="00DD0009"/>
    <w:rsid w:val="00DD0039"/>
    <w:rsid w:val="00DD01BA"/>
    <w:rsid w:val="00DD0320"/>
    <w:rsid w:val="00DD034E"/>
    <w:rsid w:val="00DD0369"/>
    <w:rsid w:val="00DD03FB"/>
    <w:rsid w:val="00DD0428"/>
    <w:rsid w:val="00DD04E2"/>
    <w:rsid w:val="00DD055A"/>
    <w:rsid w:val="00DD06AB"/>
    <w:rsid w:val="00DD0896"/>
    <w:rsid w:val="00DD0963"/>
    <w:rsid w:val="00DD099A"/>
    <w:rsid w:val="00DD0B6D"/>
    <w:rsid w:val="00DD0C20"/>
    <w:rsid w:val="00DD0C27"/>
    <w:rsid w:val="00DD0D0B"/>
    <w:rsid w:val="00DD0D22"/>
    <w:rsid w:val="00DD0D93"/>
    <w:rsid w:val="00DD0E63"/>
    <w:rsid w:val="00DD0EC0"/>
    <w:rsid w:val="00DD0F0E"/>
    <w:rsid w:val="00DD0F12"/>
    <w:rsid w:val="00DD11A3"/>
    <w:rsid w:val="00DD1200"/>
    <w:rsid w:val="00DD1205"/>
    <w:rsid w:val="00DD1400"/>
    <w:rsid w:val="00DD1403"/>
    <w:rsid w:val="00DD144E"/>
    <w:rsid w:val="00DD1526"/>
    <w:rsid w:val="00DD1607"/>
    <w:rsid w:val="00DD1679"/>
    <w:rsid w:val="00DD16BC"/>
    <w:rsid w:val="00DD195D"/>
    <w:rsid w:val="00DD19B3"/>
    <w:rsid w:val="00DD1AC5"/>
    <w:rsid w:val="00DD1C12"/>
    <w:rsid w:val="00DD1DE5"/>
    <w:rsid w:val="00DD1EC8"/>
    <w:rsid w:val="00DD2270"/>
    <w:rsid w:val="00DD2295"/>
    <w:rsid w:val="00DD2389"/>
    <w:rsid w:val="00DD241F"/>
    <w:rsid w:val="00DD2560"/>
    <w:rsid w:val="00DD2695"/>
    <w:rsid w:val="00DD279E"/>
    <w:rsid w:val="00DD2937"/>
    <w:rsid w:val="00DD298D"/>
    <w:rsid w:val="00DD29DA"/>
    <w:rsid w:val="00DD2B61"/>
    <w:rsid w:val="00DD2BA4"/>
    <w:rsid w:val="00DD2C93"/>
    <w:rsid w:val="00DD2D32"/>
    <w:rsid w:val="00DD2DEB"/>
    <w:rsid w:val="00DD2E07"/>
    <w:rsid w:val="00DD2E1F"/>
    <w:rsid w:val="00DD2E3F"/>
    <w:rsid w:val="00DD2E85"/>
    <w:rsid w:val="00DD30BC"/>
    <w:rsid w:val="00DD31BC"/>
    <w:rsid w:val="00DD3208"/>
    <w:rsid w:val="00DD320E"/>
    <w:rsid w:val="00DD332A"/>
    <w:rsid w:val="00DD34C1"/>
    <w:rsid w:val="00DD3505"/>
    <w:rsid w:val="00DD3513"/>
    <w:rsid w:val="00DD3692"/>
    <w:rsid w:val="00DD36C1"/>
    <w:rsid w:val="00DD3767"/>
    <w:rsid w:val="00DD379F"/>
    <w:rsid w:val="00DD3ADA"/>
    <w:rsid w:val="00DD3B41"/>
    <w:rsid w:val="00DD3B4F"/>
    <w:rsid w:val="00DD3B92"/>
    <w:rsid w:val="00DD3C3C"/>
    <w:rsid w:val="00DD3D0D"/>
    <w:rsid w:val="00DD3D25"/>
    <w:rsid w:val="00DD3DC5"/>
    <w:rsid w:val="00DD3E57"/>
    <w:rsid w:val="00DD3E7D"/>
    <w:rsid w:val="00DD3ECA"/>
    <w:rsid w:val="00DD3FC4"/>
    <w:rsid w:val="00DD4224"/>
    <w:rsid w:val="00DD42C3"/>
    <w:rsid w:val="00DD440C"/>
    <w:rsid w:val="00DD45ED"/>
    <w:rsid w:val="00DD46CE"/>
    <w:rsid w:val="00DD4909"/>
    <w:rsid w:val="00DD49B3"/>
    <w:rsid w:val="00DD49BB"/>
    <w:rsid w:val="00DD49FA"/>
    <w:rsid w:val="00DD4BBE"/>
    <w:rsid w:val="00DD4BD6"/>
    <w:rsid w:val="00DD4EA0"/>
    <w:rsid w:val="00DD4F4C"/>
    <w:rsid w:val="00DD4FE3"/>
    <w:rsid w:val="00DD50B6"/>
    <w:rsid w:val="00DD50CC"/>
    <w:rsid w:val="00DD52BE"/>
    <w:rsid w:val="00DD530B"/>
    <w:rsid w:val="00DD54DB"/>
    <w:rsid w:val="00DD56AB"/>
    <w:rsid w:val="00DD56CC"/>
    <w:rsid w:val="00DD5703"/>
    <w:rsid w:val="00DD5778"/>
    <w:rsid w:val="00DD57AB"/>
    <w:rsid w:val="00DD58E4"/>
    <w:rsid w:val="00DD58F8"/>
    <w:rsid w:val="00DD58FB"/>
    <w:rsid w:val="00DD5A8C"/>
    <w:rsid w:val="00DD5F11"/>
    <w:rsid w:val="00DD5FA2"/>
    <w:rsid w:val="00DD6264"/>
    <w:rsid w:val="00DD6319"/>
    <w:rsid w:val="00DD639E"/>
    <w:rsid w:val="00DD63FE"/>
    <w:rsid w:val="00DD64B4"/>
    <w:rsid w:val="00DD6777"/>
    <w:rsid w:val="00DD6976"/>
    <w:rsid w:val="00DD6A4D"/>
    <w:rsid w:val="00DD6B0F"/>
    <w:rsid w:val="00DD6B2B"/>
    <w:rsid w:val="00DD6BCF"/>
    <w:rsid w:val="00DD6EA5"/>
    <w:rsid w:val="00DD6F6D"/>
    <w:rsid w:val="00DD71D2"/>
    <w:rsid w:val="00DD71DC"/>
    <w:rsid w:val="00DD7250"/>
    <w:rsid w:val="00DD7294"/>
    <w:rsid w:val="00DD752B"/>
    <w:rsid w:val="00DD75BA"/>
    <w:rsid w:val="00DD766F"/>
    <w:rsid w:val="00DD76B0"/>
    <w:rsid w:val="00DD76E0"/>
    <w:rsid w:val="00DD7757"/>
    <w:rsid w:val="00DD778E"/>
    <w:rsid w:val="00DD78E8"/>
    <w:rsid w:val="00DD791E"/>
    <w:rsid w:val="00DD79F7"/>
    <w:rsid w:val="00DD7A2C"/>
    <w:rsid w:val="00DD7B26"/>
    <w:rsid w:val="00DD7CF2"/>
    <w:rsid w:val="00DD7E63"/>
    <w:rsid w:val="00DD7F4A"/>
    <w:rsid w:val="00DE008C"/>
    <w:rsid w:val="00DE014A"/>
    <w:rsid w:val="00DE0467"/>
    <w:rsid w:val="00DE0474"/>
    <w:rsid w:val="00DE0510"/>
    <w:rsid w:val="00DE058B"/>
    <w:rsid w:val="00DE071C"/>
    <w:rsid w:val="00DE07ED"/>
    <w:rsid w:val="00DE0844"/>
    <w:rsid w:val="00DE08CA"/>
    <w:rsid w:val="00DE0929"/>
    <w:rsid w:val="00DE097D"/>
    <w:rsid w:val="00DE0A44"/>
    <w:rsid w:val="00DE0B1E"/>
    <w:rsid w:val="00DE0B5C"/>
    <w:rsid w:val="00DE0CF1"/>
    <w:rsid w:val="00DE0DE7"/>
    <w:rsid w:val="00DE0E34"/>
    <w:rsid w:val="00DE127E"/>
    <w:rsid w:val="00DE12A4"/>
    <w:rsid w:val="00DE12DC"/>
    <w:rsid w:val="00DE14A5"/>
    <w:rsid w:val="00DE152D"/>
    <w:rsid w:val="00DE1599"/>
    <w:rsid w:val="00DE1619"/>
    <w:rsid w:val="00DE161F"/>
    <w:rsid w:val="00DE16C4"/>
    <w:rsid w:val="00DE1714"/>
    <w:rsid w:val="00DE1737"/>
    <w:rsid w:val="00DE178C"/>
    <w:rsid w:val="00DE1941"/>
    <w:rsid w:val="00DE1ACB"/>
    <w:rsid w:val="00DE1C6D"/>
    <w:rsid w:val="00DE1D00"/>
    <w:rsid w:val="00DE1F2E"/>
    <w:rsid w:val="00DE2025"/>
    <w:rsid w:val="00DE2038"/>
    <w:rsid w:val="00DE203C"/>
    <w:rsid w:val="00DE2070"/>
    <w:rsid w:val="00DE20FF"/>
    <w:rsid w:val="00DE211A"/>
    <w:rsid w:val="00DE21B4"/>
    <w:rsid w:val="00DE222C"/>
    <w:rsid w:val="00DE2256"/>
    <w:rsid w:val="00DE23D4"/>
    <w:rsid w:val="00DE252F"/>
    <w:rsid w:val="00DE26C4"/>
    <w:rsid w:val="00DE2709"/>
    <w:rsid w:val="00DE27F1"/>
    <w:rsid w:val="00DE2D16"/>
    <w:rsid w:val="00DE2DB7"/>
    <w:rsid w:val="00DE2E62"/>
    <w:rsid w:val="00DE2F0A"/>
    <w:rsid w:val="00DE313A"/>
    <w:rsid w:val="00DE326D"/>
    <w:rsid w:val="00DE3283"/>
    <w:rsid w:val="00DE3307"/>
    <w:rsid w:val="00DE33CF"/>
    <w:rsid w:val="00DE351E"/>
    <w:rsid w:val="00DE3844"/>
    <w:rsid w:val="00DE38B7"/>
    <w:rsid w:val="00DE38C0"/>
    <w:rsid w:val="00DE3A4C"/>
    <w:rsid w:val="00DE3AFF"/>
    <w:rsid w:val="00DE3C16"/>
    <w:rsid w:val="00DE3C8B"/>
    <w:rsid w:val="00DE3D4A"/>
    <w:rsid w:val="00DE3DDC"/>
    <w:rsid w:val="00DE3FD2"/>
    <w:rsid w:val="00DE420E"/>
    <w:rsid w:val="00DE423F"/>
    <w:rsid w:val="00DE42CE"/>
    <w:rsid w:val="00DE4331"/>
    <w:rsid w:val="00DE4375"/>
    <w:rsid w:val="00DE43FB"/>
    <w:rsid w:val="00DE45AA"/>
    <w:rsid w:val="00DE45B4"/>
    <w:rsid w:val="00DE470D"/>
    <w:rsid w:val="00DE4959"/>
    <w:rsid w:val="00DE49EF"/>
    <w:rsid w:val="00DE4AF7"/>
    <w:rsid w:val="00DE4D2A"/>
    <w:rsid w:val="00DE4D7C"/>
    <w:rsid w:val="00DE4EA2"/>
    <w:rsid w:val="00DE4EF2"/>
    <w:rsid w:val="00DE509B"/>
    <w:rsid w:val="00DE52E8"/>
    <w:rsid w:val="00DE52F4"/>
    <w:rsid w:val="00DE5509"/>
    <w:rsid w:val="00DE566D"/>
    <w:rsid w:val="00DE56D9"/>
    <w:rsid w:val="00DE5869"/>
    <w:rsid w:val="00DE5A06"/>
    <w:rsid w:val="00DE5A2C"/>
    <w:rsid w:val="00DE5B7D"/>
    <w:rsid w:val="00DE5ECD"/>
    <w:rsid w:val="00DE60C8"/>
    <w:rsid w:val="00DE6123"/>
    <w:rsid w:val="00DE6134"/>
    <w:rsid w:val="00DE6351"/>
    <w:rsid w:val="00DE639A"/>
    <w:rsid w:val="00DE63A3"/>
    <w:rsid w:val="00DE6442"/>
    <w:rsid w:val="00DE6499"/>
    <w:rsid w:val="00DE64D9"/>
    <w:rsid w:val="00DE65C2"/>
    <w:rsid w:val="00DE65D3"/>
    <w:rsid w:val="00DE674C"/>
    <w:rsid w:val="00DE67F2"/>
    <w:rsid w:val="00DE6821"/>
    <w:rsid w:val="00DE6906"/>
    <w:rsid w:val="00DE6ACE"/>
    <w:rsid w:val="00DE6BBC"/>
    <w:rsid w:val="00DE6BCF"/>
    <w:rsid w:val="00DE6C6A"/>
    <w:rsid w:val="00DE6D2D"/>
    <w:rsid w:val="00DE6D89"/>
    <w:rsid w:val="00DE6DB4"/>
    <w:rsid w:val="00DE6EC3"/>
    <w:rsid w:val="00DE6F63"/>
    <w:rsid w:val="00DE7204"/>
    <w:rsid w:val="00DE7209"/>
    <w:rsid w:val="00DE742B"/>
    <w:rsid w:val="00DE7544"/>
    <w:rsid w:val="00DE75E0"/>
    <w:rsid w:val="00DE78BA"/>
    <w:rsid w:val="00DE794F"/>
    <w:rsid w:val="00DE7CE0"/>
    <w:rsid w:val="00DE7D22"/>
    <w:rsid w:val="00DE7D59"/>
    <w:rsid w:val="00DE7F17"/>
    <w:rsid w:val="00DF0050"/>
    <w:rsid w:val="00DF0132"/>
    <w:rsid w:val="00DF0478"/>
    <w:rsid w:val="00DF04BA"/>
    <w:rsid w:val="00DF055C"/>
    <w:rsid w:val="00DF0685"/>
    <w:rsid w:val="00DF0A0B"/>
    <w:rsid w:val="00DF0AB8"/>
    <w:rsid w:val="00DF0B46"/>
    <w:rsid w:val="00DF0B55"/>
    <w:rsid w:val="00DF0CD8"/>
    <w:rsid w:val="00DF0CF9"/>
    <w:rsid w:val="00DF0D28"/>
    <w:rsid w:val="00DF0FA3"/>
    <w:rsid w:val="00DF10A4"/>
    <w:rsid w:val="00DF1151"/>
    <w:rsid w:val="00DF1273"/>
    <w:rsid w:val="00DF1503"/>
    <w:rsid w:val="00DF1579"/>
    <w:rsid w:val="00DF16F3"/>
    <w:rsid w:val="00DF16F5"/>
    <w:rsid w:val="00DF18A8"/>
    <w:rsid w:val="00DF1A7E"/>
    <w:rsid w:val="00DF1B04"/>
    <w:rsid w:val="00DF1B3E"/>
    <w:rsid w:val="00DF1BA2"/>
    <w:rsid w:val="00DF1CDD"/>
    <w:rsid w:val="00DF1ED6"/>
    <w:rsid w:val="00DF1F0D"/>
    <w:rsid w:val="00DF1FA5"/>
    <w:rsid w:val="00DF205D"/>
    <w:rsid w:val="00DF20A0"/>
    <w:rsid w:val="00DF2136"/>
    <w:rsid w:val="00DF21F6"/>
    <w:rsid w:val="00DF2339"/>
    <w:rsid w:val="00DF24A0"/>
    <w:rsid w:val="00DF250C"/>
    <w:rsid w:val="00DF250F"/>
    <w:rsid w:val="00DF26C5"/>
    <w:rsid w:val="00DF2714"/>
    <w:rsid w:val="00DF2720"/>
    <w:rsid w:val="00DF2738"/>
    <w:rsid w:val="00DF27E7"/>
    <w:rsid w:val="00DF2807"/>
    <w:rsid w:val="00DF2817"/>
    <w:rsid w:val="00DF2A43"/>
    <w:rsid w:val="00DF2AA1"/>
    <w:rsid w:val="00DF2AFE"/>
    <w:rsid w:val="00DF2D6D"/>
    <w:rsid w:val="00DF2F44"/>
    <w:rsid w:val="00DF3083"/>
    <w:rsid w:val="00DF30B6"/>
    <w:rsid w:val="00DF30F4"/>
    <w:rsid w:val="00DF31B4"/>
    <w:rsid w:val="00DF321C"/>
    <w:rsid w:val="00DF322A"/>
    <w:rsid w:val="00DF3261"/>
    <w:rsid w:val="00DF3485"/>
    <w:rsid w:val="00DF34C8"/>
    <w:rsid w:val="00DF36FB"/>
    <w:rsid w:val="00DF3718"/>
    <w:rsid w:val="00DF3720"/>
    <w:rsid w:val="00DF37EE"/>
    <w:rsid w:val="00DF38A8"/>
    <w:rsid w:val="00DF39C2"/>
    <w:rsid w:val="00DF3A44"/>
    <w:rsid w:val="00DF3BDA"/>
    <w:rsid w:val="00DF3ED0"/>
    <w:rsid w:val="00DF3F01"/>
    <w:rsid w:val="00DF3F8B"/>
    <w:rsid w:val="00DF41E2"/>
    <w:rsid w:val="00DF4622"/>
    <w:rsid w:val="00DF494B"/>
    <w:rsid w:val="00DF4A39"/>
    <w:rsid w:val="00DF4AB1"/>
    <w:rsid w:val="00DF4B63"/>
    <w:rsid w:val="00DF4DC3"/>
    <w:rsid w:val="00DF4E1C"/>
    <w:rsid w:val="00DF4EAE"/>
    <w:rsid w:val="00DF5103"/>
    <w:rsid w:val="00DF51DA"/>
    <w:rsid w:val="00DF51EF"/>
    <w:rsid w:val="00DF523D"/>
    <w:rsid w:val="00DF5284"/>
    <w:rsid w:val="00DF54C0"/>
    <w:rsid w:val="00DF55A0"/>
    <w:rsid w:val="00DF5810"/>
    <w:rsid w:val="00DF58E7"/>
    <w:rsid w:val="00DF58E8"/>
    <w:rsid w:val="00DF59D5"/>
    <w:rsid w:val="00DF5A51"/>
    <w:rsid w:val="00DF5AA8"/>
    <w:rsid w:val="00DF5AB0"/>
    <w:rsid w:val="00DF5AC9"/>
    <w:rsid w:val="00DF5B2A"/>
    <w:rsid w:val="00DF5D40"/>
    <w:rsid w:val="00DF5D4A"/>
    <w:rsid w:val="00DF5DD2"/>
    <w:rsid w:val="00DF5E85"/>
    <w:rsid w:val="00DF5EA7"/>
    <w:rsid w:val="00DF609C"/>
    <w:rsid w:val="00DF6143"/>
    <w:rsid w:val="00DF61BA"/>
    <w:rsid w:val="00DF6297"/>
    <w:rsid w:val="00DF62E0"/>
    <w:rsid w:val="00DF645B"/>
    <w:rsid w:val="00DF6538"/>
    <w:rsid w:val="00DF69E5"/>
    <w:rsid w:val="00DF6B5C"/>
    <w:rsid w:val="00DF6D40"/>
    <w:rsid w:val="00DF6FBE"/>
    <w:rsid w:val="00DF6FE6"/>
    <w:rsid w:val="00DF7120"/>
    <w:rsid w:val="00DF7198"/>
    <w:rsid w:val="00DF71FA"/>
    <w:rsid w:val="00DF7487"/>
    <w:rsid w:val="00DF74A0"/>
    <w:rsid w:val="00DF759C"/>
    <w:rsid w:val="00DF7637"/>
    <w:rsid w:val="00DF7949"/>
    <w:rsid w:val="00DF7AE9"/>
    <w:rsid w:val="00DF7AF2"/>
    <w:rsid w:val="00DF7B6A"/>
    <w:rsid w:val="00DF7D05"/>
    <w:rsid w:val="00DF7D43"/>
    <w:rsid w:val="00DF7FE2"/>
    <w:rsid w:val="00E000F1"/>
    <w:rsid w:val="00E003D5"/>
    <w:rsid w:val="00E00453"/>
    <w:rsid w:val="00E004D0"/>
    <w:rsid w:val="00E0051E"/>
    <w:rsid w:val="00E00777"/>
    <w:rsid w:val="00E007BC"/>
    <w:rsid w:val="00E00820"/>
    <w:rsid w:val="00E00910"/>
    <w:rsid w:val="00E009AA"/>
    <w:rsid w:val="00E00BE2"/>
    <w:rsid w:val="00E00CAA"/>
    <w:rsid w:val="00E00ED8"/>
    <w:rsid w:val="00E0104D"/>
    <w:rsid w:val="00E010B1"/>
    <w:rsid w:val="00E011E9"/>
    <w:rsid w:val="00E01280"/>
    <w:rsid w:val="00E012DE"/>
    <w:rsid w:val="00E0136D"/>
    <w:rsid w:val="00E01611"/>
    <w:rsid w:val="00E0166F"/>
    <w:rsid w:val="00E0168F"/>
    <w:rsid w:val="00E016C3"/>
    <w:rsid w:val="00E01779"/>
    <w:rsid w:val="00E0189C"/>
    <w:rsid w:val="00E018DE"/>
    <w:rsid w:val="00E0190E"/>
    <w:rsid w:val="00E01948"/>
    <w:rsid w:val="00E01976"/>
    <w:rsid w:val="00E01977"/>
    <w:rsid w:val="00E01988"/>
    <w:rsid w:val="00E0199D"/>
    <w:rsid w:val="00E01A8B"/>
    <w:rsid w:val="00E01AEE"/>
    <w:rsid w:val="00E01B0B"/>
    <w:rsid w:val="00E01C8A"/>
    <w:rsid w:val="00E01D21"/>
    <w:rsid w:val="00E01D42"/>
    <w:rsid w:val="00E01FBE"/>
    <w:rsid w:val="00E02024"/>
    <w:rsid w:val="00E02076"/>
    <w:rsid w:val="00E0235B"/>
    <w:rsid w:val="00E0248B"/>
    <w:rsid w:val="00E024AA"/>
    <w:rsid w:val="00E02584"/>
    <w:rsid w:val="00E02636"/>
    <w:rsid w:val="00E0270A"/>
    <w:rsid w:val="00E028F9"/>
    <w:rsid w:val="00E0297C"/>
    <w:rsid w:val="00E02CA6"/>
    <w:rsid w:val="00E02CE3"/>
    <w:rsid w:val="00E02D31"/>
    <w:rsid w:val="00E02E95"/>
    <w:rsid w:val="00E02F59"/>
    <w:rsid w:val="00E0301C"/>
    <w:rsid w:val="00E031D3"/>
    <w:rsid w:val="00E03200"/>
    <w:rsid w:val="00E0329B"/>
    <w:rsid w:val="00E032B5"/>
    <w:rsid w:val="00E0334E"/>
    <w:rsid w:val="00E034BA"/>
    <w:rsid w:val="00E034BF"/>
    <w:rsid w:val="00E0358F"/>
    <w:rsid w:val="00E0360E"/>
    <w:rsid w:val="00E03663"/>
    <w:rsid w:val="00E036EF"/>
    <w:rsid w:val="00E0371A"/>
    <w:rsid w:val="00E03805"/>
    <w:rsid w:val="00E03861"/>
    <w:rsid w:val="00E0391E"/>
    <w:rsid w:val="00E0396F"/>
    <w:rsid w:val="00E03972"/>
    <w:rsid w:val="00E03A7A"/>
    <w:rsid w:val="00E03D82"/>
    <w:rsid w:val="00E03E15"/>
    <w:rsid w:val="00E03EA3"/>
    <w:rsid w:val="00E03F74"/>
    <w:rsid w:val="00E03F9D"/>
    <w:rsid w:val="00E04128"/>
    <w:rsid w:val="00E0425B"/>
    <w:rsid w:val="00E0425E"/>
    <w:rsid w:val="00E042E3"/>
    <w:rsid w:val="00E04337"/>
    <w:rsid w:val="00E04358"/>
    <w:rsid w:val="00E043D8"/>
    <w:rsid w:val="00E0454B"/>
    <w:rsid w:val="00E045FA"/>
    <w:rsid w:val="00E0476B"/>
    <w:rsid w:val="00E04825"/>
    <w:rsid w:val="00E0491E"/>
    <w:rsid w:val="00E04A2D"/>
    <w:rsid w:val="00E04A58"/>
    <w:rsid w:val="00E04AC5"/>
    <w:rsid w:val="00E04BD1"/>
    <w:rsid w:val="00E0507E"/>
    <w:rsid w:val="00E0512D"/>
    <w:rsid w:val="00E051D2"/>
    <w:rsid w:val="00E05221"/>
    <w:rsid w:val="00E05247"/>
    <w:rsid w:val="00E05254"/>
    <w:rsid w:val="00E05270"/>
    <w:rsid w:val="00E0527C"/>
    <w:rsid w:val="00E0529F"/>
    <w:rsid w:val="00E052A0"/>
    <w:rsid w:val="00E053A9"/>
    <w:rsid w:val="00E05411"/>
    <w:rsid w:val="00E054A6"/>
    <w:rsid w:val="00E05543"/>
    <w:rsid w:val="00E05601"/>
    <w:rsid w:val="00E05675"/>
    <w:rsid w:val="00E057F1"/>
    <w:rsid w:val="00E059EE"/>
    <w:rsid w:val="00E05C7B"/>
    <w:rsid w:val="00E05D5E"/>
    <w:rsid w:val="00E05E16"/>
    <w:rsid w:val="00E05EA6"/>
    <w:rsid w:val="00E05F8F"/>
    <w:rsid w:val="00E05FD8"/>
    <w:rsid w:val="00E05FEB"/>
    <w:rsid w:val="00E060E1"/>
    <w:rsid w:val="00E06141"/>
    <w:rsid w:val="00E0621B"/>
    <w:rsid w:val="00E062C6"/>
    <w:rsid w:val="00E06362"/>
    <w:rsid w:val="00E06398"/>
    <w:rsid w:val="00E064CA"/>
    <w:rsid w:val="00E065DE"/>
    <w:rsid w:val="00E066BC"/>
    <w:rsid w:val="00E06701"/>
    <w:rsid w:val="00E067AF"/>
    <w:rsid w:val="00E06896"/>
    <w:rsid w:val="00E068E1"/>
    <w:rsid w:val="00E0691C"/>
    <w:rsid w:val="00E069C6"/>
    <w:rsid w:val="00E06A06"/>
    <w:rsid w:val="00E06A65"/>
    <w:rsid w:val="00E06C6C"/>
    <w:rsid w:val="00E06C77"/>
    <w:rsid w:val="00E06CBC"/>
    <w:rsid w:val="00E06CE1"/>
    <w:rsid w:val="00E06EDE"/>
    <w:rsid w:val="00E06EE3"/>
    <w:rsid w:val="00E06FC9"/>
    <w:rsid w:val="00E07177"/>
    <w:rsid w:val="00E07287"/>
    <w:rsid w:val="00E073AF"/>
    <w:rsid w:val="00E073BB"/>
    <w:rsid w:val="00E073EE"/>
    <w:rsid w:val="00E07580"/>
    <w:rsid w:val="00E0758F"/>
    <w:rsid w:val="00E07600"/>
    <w:rsid w:val="00E076C9"/>
    <w:rsid w:val="00E07845"/>
    <w:rsid w:val="00E07857"/>
    <w:rsid w:val="00E07951"/>
    <w:rsid w:val="00E079D0"/>
    <w:rsid w:val="00E07A43"/>
    <w:rsid w:val="00E07B14"/>
    <w:rsid w:val="00E07D0B"/>
    <w:rsid w:val="00E07E19"/>
    <w:rsid w:val="00E07E70"/>
    <w:rsid w:val="00E07F55"/>
    <w:rsid w:val="00E10036"/>
    <w:rsid w:val="00E100CD"/>
    <w:rsid w:val="00E100D5"/>
    <w:rsid w:val="00E101BB"/>
    <w:rsid w:val="00E101D3"/>
    <w:rsid w:val="00E102F5"/>
    <w:rsid w:val="00E10448"/>
    <w:rsid w:val="00E1046C"/>
    <w:rsid w:val="00E105CB"/>
    <w:rsid w:val="00E10713"/>
    <w:rsid w:val="00E10726"/>
    <w:rsid w:val="00E1078C"/>
    <w:rsid w:val="00E107A3"/>
    <w:rsid w:val="00E108F7"/>
    <w:rsid w:val="00E1092A"/>
    <w:rsid w:val="00E10974"/>
    <w:rsid w:val="00E10A9F"/>
    <w:rsid w:val="00E10B10"/>
    <w:rsid w:val="00E10B34"/>
    <w:rsid w:val="00E10C74"/>
    <w:rsid w:val="00E10CBC"/>
    <w:rsid w:val="00E10E1D"/>
    <w:rsid w:val="00E10E70"/>
    <w:rsid w:val="00E11046"/>
    <w:rsid w:val="00E1108B"/>
    <w:rsid w:val="00E11278"/>
    <w:rsid w:val="00E113C6"/>
    <w:rsid w:val="00E113F5"/>
    <w:rsid w:val="00E113F9"/>
    <w:rsid w:val="00E1142A"/>
    <w:rsid w:val="00E1147A"/>
    <w:rsid w:val="00E11582"/>
    <w:rsid w:val="00E115A2"/>
    <w:rsid w:val="00E115B1"/>
    <w:rsid w:val="00E1175C"/>
    <w:rsid w:val="00E11876"/>
    <w:rsid w:val="00E11B60"/>
    <w:rsid w:val="00E11BDB"/>
    <w:rsid w:val="00E11DCF"/>
    <w:rsid w:val="00E11E85"/>
    <w:rsid w:val="00E12133"/>
    <w:rsid w:val="00E12172"/>
    <w:rsid w:val="00E1234E"/>
    <w:rsid w:val="00E12377"/>
    <w:rsid w:val="00E123F9"/>
    <w:rsid w:val="00E1240F"/>
    <w:rsid w:val="00E12569"/>
    <w:rsid w:val="00E125BB"/>
    <w:rsid w:val="00E126FD"/>
    <w:rsid w:val="00E12774"/>
    <w:rsid w:val="00E128F5"/>
    <w:rsid w:val="00E1293D"/>
    <w:rsid w:val="00E129C2"/>
    <w:rsid w:val="00E12A1A"/>
    <w:rsid w:val="00E12AD3"/>
    <w:rsid w:val="00E12B65"/>
    <w:rsid w:val="00E12BEB"/>
    <w:rsid w:val="00E12D5A"/>
    <w:rsid w:val="00E12D8C"/>
    <w:rsid w:val="00E12E9C"/>
    <w:rsid w:val="00E12EE1"/>
    <w:rsid w:val="00E13011"/>
    <w:rsid w:val="00E1308B"/>
    <w:rsid w:val="00E130A6"/>
    <w:rsid w:val="00E131D0"/>
    <w:rsid w:val="00E132EB"/>
    <w:rsid w:val="00E1340C"/>
    <w:rsid w:val="00E13421"/>
    <w:rsid w:val="00E1371E"/>
    <w:rsid w:val="00E139B8"/>
    <w:rsid w:val="00E13AA1"/>
    <w:rsid w:val="00E13ACC"/>
    <w:rsid w:val="00E13C31"/>
    <w:rsid w:val="00E13C43"/>
    <w:rsid w:val="00E13D8B"/>
    <w:rsid w:val="00E13E0B"/>
    <w:rsid w:val="00E13F11"/>
    <w:rsid w:val="00E1404E"/>
    <w:rsid w:val="00E142AA"/>
    <w:rsid w:val="00E143A6"/>
    <w:rsid w:val="00E143D0"/>
    <w:rsid w:val="00E1440D"/>
    <w:rsid w:val="00E1463E"/>
    <w:rsid w:val="00E14689"/>
    <w:rsid w:val="00E146F0"/>
    <w:rsid w:val="00E146F1"/>
    <w:rsid w:val="00E14833"/>
    <w:rsid w:val="00E1490E"/>
    <w:rsid w:val="00E14949"/>
    <w:rsid w:val="00E1498F"/>
    <w:rsid w:val="00E14A21"/>
    <w:rsid w:val="00E14BA7"/>
    <w:rsid w:val="00E14C34"/>
    <w:rsid w:val="00E14CFF"/>
    <w:rsid w:val="00E14D20"/>
    <w:rsid w:val="00E14D33"/>
    <w:rsid w:val="00E14E58"/>
    <w:rsid w:val="00E14EA1"/>
    <w:rsid w:val="00E14F57"/>
    <w:rsid w:val="00E14FA2"/>
    <w:rsid w:val="00E15167"/>
    <w:rsid w:val="00E152EA"/>
    <w:rsid w:val="00E15310"/>
    <w:rsid w:val="00E154F9"/>
    <w:rsid w:val="00E15963"/>
    <w:rsid w:val="00E159C8"/>
    <w:rsid w:val="00E159D5"/>
    <w:rsid w:val="00E15A2C"/>
    <w:rsid w:val="00E15D4D"/>
    <w:rsid w:val="00E15D53"/>
    <w:rsid w:val="00E15DD4"/>
    <w:rsid w:val="00E15EE9"/>
    <w:rsid w:val="00E15F81"/>
    <w:rsid w:val="00E1622D"/>
    <w:rsid w:val="00E1627D"/>
    <w:rsid w:val="00E162B9"/>
    <w:rsid w:val="00E16557"/>
    <w:rsid w:val="00E165FD"/>
    <w:rsid w:val="00E16646"/>
    <w:rsid w:val="00E167AD"/>
    <w:rsid w:val="00E16AB1"/>
    <w:rsid w:val="00E16B91"/>
    <w:rsid w:val="00E16CB6"/>
    <w:rsid w:val="00E16CF6"/>
    <w:rsid w:val="00E16D8F"/>
    <w:rsid w:val="00E16DA9"/>
    <w:rsid w:val="00E16E84"/>
    <w:rsid w:val="00E16F62"/>
    <w:rsid w:val="00E16F98"/>
    <w:rsid w:val="00E16F9D"/>
    <w:rsid w:val="00E170EB"/>
    <w:rsid w:val="00E17102"/>
    <w:rsid w:val="00E171F5"/>
    <w:rsid w:val="00E1733F"/>
    <w:rsid w:val="00E1760A"/>
    <w:rsid w:val="00E17676"/>
    <w:rsid w:val="00E178D7"/>
    <w:rsid w:val="00E179A2"/>
    <w:rsid w:val="00E17C0D"/>
    <w:rsid w:val="00E17CB5"/>
    <w:rsid w:val="00E17EF6"/>
    <w:rsid w:val="00E17F93"/>
    <w:rsid w:val="00E201D8"/>
    <w:rsid w:val="00E201EC"/>
    <w:rsid w:val="00E203DE"/>
    <w:rsid w:val="00E2046A"/>
    <w:rsid w:val="00E204DE"/>
    <w:rsid w:val="00E2052C"/>
    <w:rsid w:val="00E2061E"/>
    <w:rsid w:val="00E20779"/>
    <w:rsid w:val="00E207B5"/>
    <w:rsid w:val="00E20889"/>
    <w:rsid w:val="00E2089E"/>
    <w:rsid w:val="00E20A01"/>
    <w:rsid w:val="00E20B3D"/>
    <w:rsid w:val="00E20B5B"/>
    <w:rsid w:val="00E20BC6"/>
    <w:rsid w:val="00E20BD7"/>
    <w:rsid w:val="00E20EB4"/>
    <w:rsid w:val="00E20FE6"/>
    <w:rsid w:val="00E21112"/>
    <w:rsid w:val="00E21226"/>
    <w:rsid w:val="00E212C8"/>
    <w:rsid w:val="00E212E7"/>
    <w:rsid w:val="00E212FD"/>
    <w:rsid w:val="00E21318"/>
    <w:rsid w:val="00E213B9"/>
    <w:rsid w:val="00E214BB"/>
    <w:rsid w:val="00E214EC"/>
    <w:rsid w:val="00E21513"/>
    <w:rsid w:val="00E21723"/>
    <w:rsid w:val="00E2177A"/>
    <w:rsid w:val="00E2182A"/>
    <w:rsid w:val="00E21A04"/>
    <w:rsid w:val="00E21A5F"/>
    <w:rsid w:val="00E21B84"/>
    <w:rsid w:val="00E21BAF"/>
    <w:rsid w:val="00E21C98"/>
    <w:rsid w:val="00E21E7F"/>
    <w:rsid w:val="00E21F5C"/>
    <w:rsid w:val="00E21F60"/>
    <w:rsid w:val="00E21F97"/>
    <w:rsid w:val="00E22100"/>
    <w:rsid w:val="00E2220C"/>
    <w:rsid w:val="00E224B1"/>
    <w:rsid w:val="00E22519"/>
    <w:rsid w:val="00E22537"/>
    <w:rsid w:val="00E2255A"/>
    <w:rsid w:val="00E225D8"/>
    <w:rsid w:val="00E22633"/>
    <w:rsid w:val="00E226F4"/>
    <w:rsid w:val="00E22BC2"/>
    <w:rsid w:val="00E22C9A"/>
    <w:rsid w:val="00E22D4C"/>
    <w:rsid w:val="00E22D80"/>
    <w:rsid w:val="00E23065"/>
    <w:rsid w:val="00E230E8"/>
    <w:rsid w:val="00E2342B"/>
    <w:rsid w:val="00E234ED"/>
    <w:rsid w:val="00E23533"/>
    <w:rsid w:val="00E235AF"/>
    <w:rsid w:val="00E236B2"/>
    <w:rsid w:val="00E236D9"/>
    <w:rsid w:val="00E237A9"/>
    <w:rsid w:val="00E2399B"/>
    <w:rsid w:val="00E23A15"/>
    <w:rsid w:val="00E23A88"/>
    <w:rsid w:val="00E23B84"/>
    <w:rsid w:val="00E23BBC"/>
    <w:rsid w:val="00E23C2F"/>
    <w:rsid w:val="00E23C6A"/>
    <w:rsid w:val="00E23CBB"/>
    <w:rsid w:val="00E23D08"/>
    <w:rsid w:val="00E23E40"/>
    <w:rsid w:val="00E23E69"/>
    <w:rsid w:val="00E24092"/>
    <w:rsid w:val="00E241A9"/>
    <w:rsid w:val="00E2421E"/>
    <w:rsid w:val="00E243B9"/>
    <w:rsid w:val="00E24444"/>
    <w:rsid w:val="00E2449E"/>
    <w:rsid w:val="00E24683"/>
    <w:rsid w:val="00E247D4"/>
    <w:rsid w:val="00E247F9"/>
    <w:rsid w:val="00E2480B"/>
    <w:rsid w:val="00E249EE"/>
    <w:rsid w:val="00E24AAE"/>
    <w:rsid w:val="00E24ADC"/>
    <w:rsid w:val="00E24CEC"/>
    <w:rsid w:val="00E24E2A"/>
    <w:rsid w:val="00E24EF4"/>
    <w:rsid w:val="00E24F5E"/>
    <w:rsid w:val="00E24F7C"/>
    <w:rsid w:val="00E24FF9"/>
    <w:rsid w:val="00E25042"/>
    <w:rsid w:val="00E2516B"/>
    <w:rsid w:val="00E251EA"/>
    <w:rsid w:val="00E25268"/>
    <w:rsid w:val="00E25384"/>
    <w:rsid w:val="00E254E8"/>
    <w:rsid w:val="00E2566E"/>
    <w:rsid w:val="00E25773"/>
    <w:rsid w:val="00E2588D"/>
    <w:rsid w:val="00E25972"/>
    <w:rsid w:val="00E25AB5"/>
    <w:rsid w:val="00E25BDD"/>
    <w:rsid w:val="00E25ED9"/>
    <w:rsid w:val="00E25EDE"/>
    <w:rsid w:val="00E260EE"/>
    <w:rsid w:val="00E262DE"/>
    <w:rsid w:val="00E26371"/>
    <w:rsid w:val="00E26390"/>
    <w:rsid w:val="00E264C3"/>
    <w:rsid w:val="00E26738"/>
    <w:rsid w:val="00E267EC"/>
    <w:rsid w:val="00E26B44"/>
    <w:rsid w:val="00E26B6D"/>
    <w:rsid w:val="00E26C64"/>
    <w:rsid w:val="00E26CF5"/>
    <w:rsid w:val="00E26D79"/>
    <w:rsid w:val="00E26E86"/>
    <w:rsid w:val="00E26EA5"/>
    <w:rsid w:val="00E26FD1"/>
    <w:rsid w:val="00E26FE0"/>
    <w:rsid w:val="00E2709F"/>
    <w:rsid w:val="00E27248"/>
    <w:rsid w:val="00E2729D"/>
    <w:rsid w:val="00E2734F"/>
    <w:rsid w:val="00E274F5"/>
    <w:rsid w:val="00E275BA"/>
    <w:rsid w:val="00E27665"/>
    <w:rsid w:val="00E2774F"/>
    <w:rsid w:val="00E2787F"/>
    <w:rsid w:val="00E278A1"/>
    <w:rsid w:val="00E278AB"/>
    <w:rsid w:val="00E27B55"/>
    <w:rsid w:val="00E27B83"/>
    <w:rsid w:val="00E27BE5"/>
    <w:rsid w:val="00E27C1B"/>
    <w:rsid w:val="00E27C5D"/>
    <w:rsid w:val="00E27C61"/>
    <w:rsid w:val="00E27DE4"/>
    <w:rsid w:val="00E27DFC"/>
    <w:rsid w:val="00E27E3B"/>
    <w:rsid w:val="00E27EAC"/>
    <w:rsid w:val="00E27F24"/>
    <w:rsid w:val="00E27F33"/>
    <w:rsid w:val="00E27FDC"/>
    <w:rsid w:val="00E3004E"/>
    <w:rsid w:val="00E3010D"/>
    <w:rsid w:val="00E30125"/>
    <w:rsid w:val="00E30262"/>
    <w:rsid w:val="00E303EC"/>
    <w:rsid w:val="00E30498"/>
    <w:rsid w:val="00E30560"/>
    <w:rsid w:val="00E306D8"/>
    <w:rsid w:val="00E309E5"/>
    <w:rsid w:val="00E309EB"/>
    <w:rsid w:val="00E30A0A"/>
    <w:rsid w:val="00E30A2D"/>
    <w:rsid w:val="00E30B7C"/>
    <w:rsid w:val="00E30BCB"/>
    <w:rsid w:val="00E30E8E"/>
    <w:rsid w:val="00E30EDD"/>
    <w:rsid w:val="00E30EE7"/>
    <w:rsid w:val="00E31014"/>
    <w:rsid w:val="00E3106D"/>
    <w:rsid w:val="00E3127B"/>
    <w:rsid w:val="00E31349"/>
    <w:rsid w:val="00E31358"/>
    <w:rsid w:val="00E31498"/>
    <w:rsid w:val="00E315A1"/>
    <w:rsid w:val="00E3168B"/>
    <w:rsid w:val="00E3172C"/>
    <w:rsid w:val="00E31785"/>
    <w:rsid w:val="00E317DE"/>
    <w:rsid w:val="00E31A52"/>
    <w:rsid w:val="00E31BF6"/>
    <w:rsid w:val="00E31C0A"/>
    <w:rsid w:val="00E31C51"/>
    <w:rsid w:val="00E31C85"/>
    <w:rsid w:val="00E31CF6"/>
    <w:rsid w:val="00E31D28"/>
    <w:rsid w:val="00E31DDB"/>
    <w:rsid w:val="00E32066"/>
    <w:rsid w:val="00E32090"/>
    <w:rsid w:val="00E32099"/>
    <w:rsid w:val="00E321A7"/>
    <w:rsid w:val="00E32223"/>
    <w:rsid w:val="00E322E8"/>
    <w:rsid w:val="00E32341"/>
    <w:rsid w:val="00E32373"/>
    <w:rsid w:val="00E3239A"/>
    <w:rsid w:val="00E3249A"/>
    <w:rsid w:val="00E324C6"/>
    <w:rsid w:val="00E3262C"/>
    <w:rsid w:val="00E326BD"/>
    <w:rsid w:val="00E3273B"/>
    <w:rsid w:val="00E327EC"/>
    <w:rsid w:val="00E3296B"/>
    <w:rsid w:val="00E32AA9"/>
    <w:rsid w:val="00E32F2C"/>
    <w:rsid w:val="00E33144"/>
    <w:rsid w:val="00E331AA"/>
    <w:rsid w:val="00E33240"/>
    <w:rsid w:val="00E3334F"/>
    <w:rsid w:val="00E3338F"/>
    <w:rsid w:val="00E3341D"/>
    <w:rsid w:val="00E33446"/>
    <w:rsid w:val="00E3353B"/>
    <w:rsid w:val="00E335D6"/>
    <w:rsid w:val="00E33662"/>
    <w:rsid w:val="00E33762"/>
    <w:rsid w:val="00E33826"/>
    <w:rsid w:val="00E3392B"/>
    <w:rsid w:val="00E3392E"/>
    <w:rsid w:val="00E33987"/>
    <w:rsid w:val="00E339B6"/>
    <w:rsid w:val="00E33D7F"/>
    <w:rsid w:val="00E33D80"/>
    <w:rsid w:val="00E33DEE"/>
    <w:rsid w:val="00E33E38"/>
    <w:rsid w:val="00E33F55"/>
    <w:rsid w:val="00E33FD4"/>
    <w:rsid w:val="00E34569"/>
    <w:rsid w:val="00E3456D"/>
    <w:rsid w:val="00E34589"/>
    <w:rsid w:val="00E34756"/>
    <w:rsid w:val="00E3488C"/>
    <w:rsid w:val="00E348ED"/>
    <w:rsid w:val="00E34A37"/>
    <w:rsid w:val="00E34B1E"/>
    <w:rsid w:val="00E34C60"/>
    <w:rsid w:val="00E34C9D"/>
    <w:rsid w:val="00E34E10"/>
    <w:rsid w:val="00E34FE9"/>
    <w:rsid w:val="00E3524E"/>
    <w:rsid w:val="00E35412"/>
    <w:rsid w:val="00E3544E"/>
    <w:rsid w:val="00E35455"/>
    <w:rsid w:val="00E3546F"/>
    <w:rsid w:val="00E354DA"/>
    <w:rsid w:val="00E3554F"/>
    <w:rsid w:val="00E35575"/>
    <w:rsid w:val="00E35717"/>
    <w:rsid w:val="00E35827"/>
    <w:rsid w:val="00E358BC"/>
    <w:rsid w:val="00E35BC4"/>
    <w:rsid w:val="00E35C92"/>
    <w:rsid w:val="00E35CCC"/>
    <w:rsid w:val="00E35D16"/>
    <w:rsid w:val="00E35D29"/>
    <w:rsid w:val="00E35E70"/>
    <w:rsid w:val="00E35E7F"/>
    <w:rsid w:val="00E35EC2"/>
    <w:rsid w:val="00E35F7D"/>
    <w:rsid w:val="00E35F99"/>
    <w:rsid w:val="00E36028"/>
    <w:rsid w:val="00E36099"/>
    <w:rsid w:val="00E3611F"/>
    <w:rsid w:val="00E36258"/>
    <w:rsid w:val="00E362C3"/>
    <w:rsid w:val="00E362CC"/>
    <w:rsid w:val="00E36446"/>
    <w:rsid w:val="00E3646E"/>
    <w:rsid w:val="00E3646F"/>
    <w:rsid w:val="00E36790"/>
    <w:rsid w:val="00E36826"/>
    <w:rsid w:val="00E36841"/>
    <w:rsid w:val="00E3686D"/>
    <w:rsid w:val="00E368EF"/>
    <w:rsid w:val="00E3690B"/>
    <w:rsid w:val="00E36A35"/>
    <w:rsid w:val="00E36A95"/>
    <w:rsid w:val="00E36AB2"/>
    <w:rsid w:val="00E36AC3"/>
    <w:rsid w:val="00E36AD5"/>
    <w:rsid w:val="00E36B15"/>
    <w:rsid w:val="00E36BCB"/>
    <w:rsid w:val="00E36C2F"/>
    <w:rsid w:val="00E36CFC"/>
    <w:rsid w:val="00E36D70"/>
    <w:rsid w:val="00E36E59"/>
    <w:rsid w:val="00E36F41"/>
    <w:rsid w:val="00E36F42"/>
    <w:rsid w:val="00E3705E"/>
    <w:rsid w:val="00E370A4"/>
    <w:rsid w:val="00E370F9"/>
    <w:rsid w:val="00E37246"/>
    <w:rsid w:val="00E3732D"/>
    <w:rsid w:val="00E3733A"/>
    <w:rsid w:val="00E3749B"/>
    <w:rsid w:val="00E3755F"/>
    <w:rsid w:val="00E3760B"/>
    <w:rsid w:val="00E376A7"/>
    <w:rsid w:val="00E3778F"/>
    <w:rsid w:val="00E378A3"/>
    <w:rsid w:val="00E378B5"/>
    <w:rsid w:val="00E379E8"/>
    <w:rsid w:val="00E379FD"/>
    <w:rsid w:val="00E37AA1"/>
    <w:rsid w:val="00E37B59"/>
    <w:rsid w:val="00E37B6C"/>
    <w:rsid w:val="00E37BFB"/>
    <w:rsid w:val="00E37D05"/>
    <w:rsid w:val="00E37D39"/>
    <w:rsid w:val="00E37DA8"/>
    <w:rsid w:val="00E37DAD"/>
    <w:rsid w:val="00E37E22"/>
    <w:rsid w:val="00E37F09"/>
    <w:rsid w:val="00E40000"/>
    <w:rsid w:val="00E4002D"/>
    <w:rsid w:val="00E4004E"/>
    <w:rsid w:val="00E400DE"/>
    <w:rsid w:val="00E40619"/>
    <w:rsid w:val="00E40623"/>
    <w:rsid w:val="00E40630"/>
    <w:rsid w:val="00E40666"/>
    <w:rsid w:val="00E406BE"/>
    <w:rsid w:val="00E4078E"/>
    <w:rsid w:val="00E407E0"/>
    <w:rsid w:val="00E40836"/>
    <w:rsid w:val="00E40875"/>
    <w:rsid w:val="00E408AD"/>
    <w:rsid w:val="00E40915"/>
    <w:rsid w:val="00E40A30"/>
    <w:rsid w:val="00E40A3E"/>
    <w:rsid w:val="00E40AE2"/>
    <w:rsid w:val="00E40BCF"/>
    <w:rsid w:val="00E40C41"/>
    <w:rsid w:val="00E40C74"/>
    <w:rsid w:val="00E40DAD"/>
    <w:rsid w:val="00E40E96"/>
    <w:rsid w:val="00E40F1B"/>
    <w:rsid w:val="00E40F58"/>
    <w:rsid w:val="00E40F9B"/>
    <w:rsid w:val="00E40FBE"/>
    <w:rsid w:val="00E410D8"/>
    <w:rsid w:val="00E411B3"/>
    <w:rsid w:val="00E411D1"/>
    <w:rsid w:val="00E413B2"/>
    <w:rsid w:val="00E413ED"/>
    <w:rsid w:val="00E41442"/>
    <w:rsid w:val="00E41656"/>
    <w:rsid w:val="00E4169B"/>
    <w:rsid w:val="00E4170F"/>
    <w:rsid w:val="00E41B3B"/>
    <w:rsid w:val="00E41DE0"/>
    <w:rsid w:val="00E41E20"/>
    <w:rsid w:val="00E41EDE"/>
    <w:rsid w:val="00E42012"/>
    <w:rsid w:val="00E42080"/>
    <w:rsid w:val="00E420D5"/>
    <w:rsid w:val="00E420D7"/>
    <w:rsid w:val="00E420F4"/>
    <w:rsid w:val="00E42239"/>
    <w:rsid w:val="00E422F7"/>
    <w:rsid w:val="00E423BE"/>
    <w:rsid w:val="00E42408"/>
    <w:rsid w:val="00E424FB"/>
    <w:rsid w:val="00E42643"/>
    <w:rsid w:val="00E4264E"/>
    <w:rsid w:val="00E4268B"/>
    <w:rsid w:val="00E428EB"/>
    <w:rsid w:val="00E429EB"/>
    <w:rsid w:val="00E42A8A"/>
    <w:rsid w:val="00E42BCD"/>
    <w:rsid w:val="00E42C0E"/>
    <w:rsid w:val="00E42F2F"/>
    <w:rsid w:val="00E430D8"/>
    <w:rsid w:val="00E43342"/>
    <w:rsid w:val="00E4342C"/>
    <w:rsid w:val="00E434B8"/>
    <w:rsid w:val="00E43508"/>
    <w:rsid w:val="00E43873"/>
    <w:rsid w:val="00E43AB0"/>
    <w:rsid w:val="00E43C71"/>
    <w:rsid w:val="00E43EE0"/>
    <w:rsid w:val="00E43F2B"/>
    <w:rsid w:val="00E44005"/>
    <w:rsid w:val="00E44130"/>
    <w:rsid w:val="00E4421A"/>
    <w:rsid w:val="00E442A4"/>
    <w:rsid w:val="00E442A7"/>
    <w:rsid w:val="00E44480"/>
    <w:rsid w:val="00E44594"/>
    <w:rsid w:val="00E44605"/>
    <w:rsid w:val="00E44628"/>
    <w:rsid w:val="00E4468F"/>
    <w:rsid w:val="00E446B8"/>
    <w:rsid w:val="00E447E8"/>
    <w:rsid w:val="00E44BB2"/>
    <w:rsid w:val="00E44C78"/>
    <w:rsid w:val="00E44CAC"/>
    <w:rsid w:val="00E44E00"/>
    <w:rsid w:val="00E44E1B"/>
    <w:rsid w:val="00E44F65"/>
    <w:rsid w:val="00E45016"/>
    <w:rsid w:val="00E45065"/>
    <w:rsid w:val="00E45097"/>
    <w:rsid w:val="00E45189"/>
    <w:rsid w:val="00E4524C"/>
    <w:rsid w:val="00E4529E"/>
    <w:rsid w:val="00E45459"/>
    <w:rsid w:val="00E455CE"/>
    <w:rsid w:val="00E456BC"/>
    <w:rsid w:val="00E45752"/>
    <w:rsid w:val="00E45802"/>
    <w:rsid w:val="00E458D2"/>
    <w:rsid w:val="00E459A9"/>
    <w:rsid w:val="00E45BCC"/>
    <w:rsid w:val="00E45BF0"/>
    <w:rsid w:val="00E45BFC"/>
    <w:rsid w:val="00E45C66"/>
    <w:rsid w:val="00E45D7B"/>
    <w:rsid w:val="00E45E20"/>
    <w:rsid w:val="00E45E40"/>
    <w:rsid w:val="00E45F81"/>
    <w:rsid w:val="00E4615E"/>
    <w:rsid w:val="00E462B9"/>
    <w:rsid w:val="00E463B4"/>
    <w:rsid w:val="00E463F2"/>
    <w:rsid w:val="00E46479"/>
    <w:rsid w:val="00E4650A"/>
    <w:rsid w:val="00E465E9"/>
    <w:rsid w:val="00E46666"/>
    <w:rsid w:val="00E468B4"/>
    <w:rsid w:val="00E46A10"/>
    <w:rsid w:val="00E46AA9"/>
    <w:rsid w:val="00E46AD9"/>
    <w:rsid w:val="00E46BF7"/>
    <w:rsid w:val="00E46C71"/>
    <w:rsid w:val="00E47186"/>
    <w:rsid w:val="00E471A1"/>
    <w:rsid w:val="00E476D0"/>
    <w:rsid w:val="00E478A7"/>
    <w:rsid w:val="00E47930"/>
    <w:rsid w:val="00E4793C"/>
    <w:rsid w:val="00E47AD8"/>
    <w:rsid w:val="00E47BFF"/>
    <w:rsid w:val="00E47C39"/>
    <w:rsid w:val="00E47C3B"/>
    <w:rsid w:val="00E47D9D"/>
    <w:rsid w:val="00E47FF5"/>
    <w:rsid w:val="00E50031"/>
    <w:rsid w:val="00E50203"/>
    <w:rsid w:val="00E5034E"/>
    <w:rsid w:val="00E503F7"/>
    <w:rsid w:val="00E50411"/>
    <w:rsid w:val="00E505F8"/>
    <w:rsid w:val="00E506E6"/>
    <w:rsid w:val="00E50C44"/>
    <w:rsid w:val="00E50C68"/>
    <w:rsid w:val="00E50CB1"/>
    <w:rsid w:val="00E50CE2"/>
    <w:rsid w:val="00E50F44"/>
    <w:rsid w:val="00E50F5B"/>
    <w:rsid w:val="00E512AE"/>
    <w:rsid w:val="00E5151E"/>
    <w:rsid w:val="00E51522"/>
    <w:rsid w:val="00E51573"/>
    <w:rsid w:val="00E515F8"/>
    <w:rsid w:val="00E516A4"/>
    <w:rsid w:val="00E516E2"/>
    <w:rsid w:val="00E51782"/>
    <w:rsid w:val="00E517C3"/>
    <w:rsid w:val="00E51949"/>
    <w:rsid w:val="00E51A41"/>
    <w:rsid w:val="00E51A49"/>
    <w:rsid w:val="00E51A77"/>
    <w:rsid w:val="00E51BD9"/>
    <w:rsid w:val="00E51ECC"/>
    <w:rsid w:val="00E51EF4"/>
    <w:rsid w:val="00E51F89"/>
    <w:rsid w:val="00E521FC"/>
    <w:rsid w:val="00E52254"/>
    <w:rsid w:val="00E52271"/>
    <w:rsid w:val="00E523DA"/>
    <w:rsid w:val="00E5241C"/>
    <w:rsid w:val="00E525B2"/>
    <w:rsid w:val="00E527C8"/>
    <w:rsid w:val="00E52857"/>
    <w:rsid w:val="00E52A21"/>
    <w:rsid w:val="00E52CCB"/>
    <w:rsid w:val="00E52DC1"/>
    <w:rsid w:val="00E52E3D"/>
    <w:rsid w:val="00E52F3D"/>
    <w:rsid w:val="00E52F5D"/>
    <w:rsid w:val="00E5325A"/>
    <w:rsid w:val="00E5333E"/>
    <w:rsid w:val="00E5338C"/>
    <w:rsid w:val="00E53438"/>
    <w:rsid w:val="00E5349F"/>
    <w:rsid w:val="00E534EB"/>
    <w:rsid w:val="00E53816"/>
    <w:rsid w:val="00E53836"/>
    <w:rsid w:val="00E5386D"/>
    <w:rsid w:val="00E53895"/>
    <w:rsid w:val="00E53C06"/>
    <w:rsid w:val="00E54091"/>
    <w:rsid w:val="00E5413D"/>
    <w:rsid w:val="00E54208"/>
    <w:rsid w:val="00E54217"/>
    <w:rsid w:val="00E54434"/>
    <w:rsid w:val="00E54512"/>
    <w:rsid w:val="00E5454D"/>
    <w:rsid w:val="00E54671"/>
    <w:rsid w:val="00E546CA"/>
    <w:rsid w:val="00E546EF"/>
    <w:rsid w:val="00E54767"/>
    <w:rsid w:val="00E54843"/>
    <w:rsid w:val="00E54882"/>
    <w:rsid w:val="00E54903"/>
    <w:rsid w:val="00E54949"/>
    <w:rsid w:val="00E54967"/>
    <w:rsid w:val="00E54ABE"/>
    <w:rsid w:val="00E54B4B"/>
    <w:rsid w:val="00E54C02"/>
    <w:rsid w:val="00E54D26"/>
    <w:rsid w:val="00E54E3D"/>
    <w:rsid w:val="00E54F0D"/>
    <w:rsid w:val="00E54FAA"/>
    <w:rsid w:val="00E550A0"/>
    <w:rsid w:val="00E550FC"/>
    <w:rsid w:val="00E5512D"/>
    <w:rsid w:val="00E5513C"/>
    <w:rsid w:val="00E551AC"/>
    <w:rsid w:val="00E55294"/>
    <w:rsid w:val="00E552F5"/>
    <w:rsid w:val="00E55359"/>
    <w:rsid w:val="00E55654"/>
    <w:rsid w:val="00E5577A"/>
    <w:rsid w:val="00E55816"/>
    <w:rsid w:val="00E5582B"/>
    <w:rsid w:val="00E55874"/>
    <w:rsid w:val="00E55908"/>
    <w:rsid w:val="00E55CFE"/>
    <w:rsid w:val="00E55D0C"/>
    <w:rsid w:val="00E55DA3"/>
    <w:rsid w:val="00E55E00"/>
    <w:rsid w:val="00E55E25"/>
    <w:rsid w:val="00E55EE4"/>
    <w:rsid w:val="00E55F04"/>
    <w:rsid w:val="00E55F3D"/>
    <w:rsid w:val="00E55F73"/>
    <w:rsid w:val="00E55FDC"/>
    <w:rsid w:val="00E56050"/>
    <w:rsid w:val="00E5614E"/>
    <w:rsid w:val="00E562ED"/>
    <w:rsid w:val="00E56304"/>
    <w:rsid w:val="00E563B2"/>
    <w:rsid w:val="00E56421"/>
    <w:rsid w:val="00E56447"/>
    <w:rsid w:val="00E5670E"/>
    <w:rsid w:val="00E56882"/>
    <w:rsid w:val="00E568A2"/>
    <w:rsid w:val="00E56909"/>
    <w:rsid w:val="00E5694D"/>
    <w:rsid w:val="00E56BA9"/>
    <w:rsid w:val="00E56C5B"/>
    <w:rsid w:val="00E56CE5"/>
    <w:rsid w:val="00E56CEB"/>
    <w:rsid w:val="00E56D23"/>
    <w:rsid w:val="00E56DE1"/>
    <w:rsid w:val="00E56E28"/>
    <w:rsid w:val="00E56E96"/>
    <w:rsid w:val="00E56F2F"/>
    <w:rsid w:val="00E56F87"/>
    <w:rsid w:val="00E57074"/>
    <w:rsid w:val="00E570CA"/>
    <w:rsid w:val="00E57176"/>
    <w:rsid w:val="00E571BE"/>
    <w:rsid w:val="00E571DC"/>
    <w:rsid w:val="00E571E7"/>
    <w:rsid w:val="00E57350"/>
    <w:rsid w:val="00E57407"/>
    <w:rsid w:val="00E574BC"/>
    <w:rsid w:val="00E57587"/>
    <w:rsid w:val="00E5798D"/>
    <w:rsid w:val="00E57993"/>
    <w:rsid w:val="00E579A1"/>
    <w:rsid w:val="00E57A66"/>
    <w:rsid w:val="00E57BA6"/>
    <w:rsid w:val="00E57BF3"/>
    <w:rsid w:val="00E57D84"/>
    <w:rsid w:val="00E57DB6"/>
    <w:rsid w:val="00E57E11"/>
    <w:rsid w:val="00E60143"/>
    <w:rsid w:val="00E60182"/>
    <w:rsid w:val="00E601B9"/>
    <w:rsid w:val="00E60204"/>
    <w:rsid w:val="00E60285"/>
    <w:rsid w:val="00E60386"/>
    <w:rsid w:val="00E6040B"/>
    <w:rsid w:val="00E60481"/>
    <w:rsid w:val="00E60688"/>
    <w:rsid w:val="00E609A9"/>
    <w:rsid w:val="00E609B1"/>
    <w:rsid w:val="00E609E1"/>
    <w:rsid w:val="00E60D22"/>
    <w:rsid w:val="00E60DD4"/>
    <w:rsid w:val="00E60E85"/>
    <w:rsid w:val="00E60F20"/>
    <w:rsid w:val="00E60F2E"/>
    <w:rsid w:val="00E612A3"/>
    <w:rsid w:val="00E61356"/>
    <w:rsid w:val="00E61484"/>
    <w:rsid w:val="00E61681"/>
    <w:rsid w:val="00E61771"/>
    <w:rsid w:val="00E617DD"/>
    <w:rsid w:val="00E6183B"/>
    <w:rsid w:val="00E619EA"/>
    <w:rsid w:val="00E61A0E"/>
    <w:rsid w:val="00E61D6C"/>
    <w:rsid w:val="00E620D3"/>
    <w:rsid w:val="00E62166"/>
    <w:rsid w:val="00E6217E"/>
    <w:rsid w:val="00E6241D"/>
    <w:rsid w:val="00E62499"/>
    <w:rsid w:val="00E624A2"/>
    <w:rsid w:val="00E624E3"/>
    <w:rsid w:val="00E62510"/>
    <w:rsid w:val="00E626E5"/>
    <w:rsid w:val="00E6283E"/>
    <w:rsid w:val="00E628CA"/>
    <w:rsid w:val="00E629AB"/>
    <w:rsid w:val="00E62A38"/>
    <w:rsid w:val="00E62A48"/>
    <w:rsid w:val="00E62A55"/>
    <w:rsid w:val="00E62C96"/>
    <w:rsid w:val="00E62D23"/>
    <w:rsid w:val="00E630BC"/>
    <w:rsid w:val="00E631FA"/>
    <w:rsid w:val="00E63283"/>
    <w:rsid w:val="00E63318"/>
    <w:rsid w:val="00E63412"/>
    <w:rsid w:val="00E6345E"/>
    <w:rsid w:val="00E634F4"/>
    <w:rsid w:val="00E63601"/>
    <w:rsid w:val="00E63744"/>
    <w:rsid w:val="00E637A2"/>
    <w:rsid w:val="00E637B3"/>
    <w:rsid w:val="00E63845"/>
    <w:rsid w:val="00E638E1"/>
    <w:rsid w:val="00E63A2E"/>
    <w:rsid w:val="00E63D12"/>
    <w:rsid w:val="00E63DCA"/>
    <w:rsid w:val="00E63DF2"/>
    <w:rsid w:val="00E64133"/>
    <w:rsid w:val="00E6416D"/>
    <w:rsid w:val="00E6430F"/>
    <w:rsid w:val="00E643BD"/>
    <w:rsid w:val="00E645DB"/>
    <w:rsid w:val="00E64709"/>
    <w:rsid w:val="00E64879"/>
    <w:rsid w:val="00E648C8"/>
    <w:rsid w:val="00E64CC0"/>
    <w:rsid w:val="00E64CD0"/>
    <w:rsid w:val="00E64EA3"/>
    <w:rsid w:val="00E64F25"/>
    <w:rsid w:val="00E656B5"/>
    <w:rsid w:val="00E6586C"/>
    <w:rsid w:val="00E65958"/>
    <w:rsid w:val="00E6598C"/>
    <w:rsid w:val="00E65A89"/>
    <w:rsid w:val="00E65B2A"/>
    <w:rsid w:val="00E65CD9"/>
    <w:rsid w:val="00E65E2E"/>
    <w:rsid w:val="00E65ED6"/>
    <w:rsid w:val="00E65EF4"/>
    <w:rsid w:val="00E66063"/>
    <w:rsid w:val="00E6606E"/>
    <w:rsid w:val="00E660CE"/>
    <w:rsid w:val="00E66135"/>
    <w:rsid w:val="00E66138"/>
    <w:rsid w:val="00E66255"/>
    <w:rsid w:val="00E66268"/>
    <w:rsid w:val="00E662C0"/>
    <w:rsid w:val="00E66334"/>
    <w:rsid w:val="00E663D4"/>
    <w:rsid w:val="00E663EA"/>
    <w:rsid w:val="00E66475"/>
    <w:rsid w:val="00E6655E"/>
    <w:rsid w:val="00E665D0"/>
    <w:rsid w:val="00E666ED"/>
    <w:rsid w:val="00E66700"/>
    <w:rsid w:val="00E6673A"/>
    <w:rsid w:val="00E66777"/>
    <w:rsid w:val="00E667FF"/>
    <w:rsid w:val="00E66871"/>
    <w:rsid w:val="00E669CC"/>
    <w:rsid w:val="00E66A67"/>
    <w:rsid w:val="00E66C68"/>
    <w:rsid w:val="00E66CA2"/>
    <w:rsid w:val="00E66CCA"/>
    <w:rsid w:val="00E66CDA"/>
    <w:rsid w:val="00E66D08"/>
    <w:rsid w:val="00E67016"/>
    <w:rsid w:val="00E67041"/>
    <w:rsid w:val="00E6713A"/>
    <w:rsid w:val="00E67141"/>
    <w:rsid w:val="00E67271"/>
    <w:rsid w:val="00E67361"/>
    <w:rsid w:val="00E67399"/>
    <w:rsid w:val="00E6743B"/>
    <w:rsid w:val="00E67607"/>
    <w:rsid w:val="00E67682"/>
    <w:rsid w:val="00E676FD"/>
    <w:rsid w:val="00E67709"/>
    <w:rsid w:val="00E67CC9"/>
    <w:rsid w:val="00E67D60"/>
    <w:rsid w:val="00E67E4E"/>
    <w:rsid w:val="00E700FF"/>
    <w:rsid w:val="00E701EA"/>
    <w:rsid w:val="00E702D8"/>
    <w:rsid w:val="00E702E8"/>
    <w:rsid w:val="00E70396"/>
    <w:rsid w:val="00E703ED"/>
    <w:rsid w:val="00E70483"/>
    <w:rsid w:val="00E70491"/>
    <w:rsid w:val="00E705D9"/>
    <w:rsid w:val="00E706AA"/>
    <w:rsid w:val="00E70764"/>
    <w:rsid w:val="00E70795"/>
    <w:rsid w:val="00E70922"/>
    <w:rsid w:val="00E70975"/>
    <w:rsid w:val="00E70A18"/>
    <w:rsid w:val="00E70AEA"/>
    <w:rsid w:val="00E70B02"/>
    <w:rsid w:val="00E70B24"/>
    <w:rsid w:val="00E70B52"/>
    <w:rsid w:val="00E70B6A"/>
    <w:rsid w:val="00E70C19"/>
    <w:rsid w:val="00E70C59"/>
    <w:rsid w:val="00E70CFD"/>
    <w:rsid w:val="00E70D11"/>
    <w:rsid w:val="00E70DF4"/>
    <w:rsid w:val="00E70F46"/>
    <w:rsid w:val="00E70F7B"/>
    <w:rsid w:val="00E71053"/>
    <w:rsid w:val="00E710BC"/>
    <w:rsid w:val="00E71172"/>
    <w:rsid w:val="00E71180"/>
    <w:rsid w:val="00E711A5"/>
    <w:rsid w:val="00E712F7"/>
    <w:rsid w:val="00E7135F"/>
    <w:rsid w:val="00E71498"/>
    <w:rsid w:val="00E714E5"/>
    <w:rsid w:val="00E7172E"/>
    <w:rsid w:val="00E7173E"/>
    <w:rsid w:val="00E717EC"/>
    <w:rsid w:val="00E71880"/>
    <w:rsid w:val="00E7195E"/>
    <w:rsid w:val="00E7197A"/>
    <w:rsid w:val="00E71985"/>
    <w:rsid w:val="00E71A1C"/>
    <w:rsid w:val="00E71A2F"/>
    <w:rsid w:val="00E71B76"/>
    <w:rsid w:val="00E71C88"/>
    <w:rsid w:val="00E71CF5"/>
    <w:rsid w:val="00E71DF9"/>
    <w:rsid w:val="00E71E5F"/>
    <w:rsid w:val="00E71E9C"/>
    <w:rsid w:val="00E71FC1"/>
    <w:rsid w:val="00E72297"/>
    <w:rsid w:val="00E7244B"/>
    <w:rsid w:val="00E724A6"/>
    <w:rsid w:val="00E724B0"/>
    <w:rsid w:val="00E72547"/>
    <w:rsid w:val="00E7256C"/>
    <w:rsid w:val="00E725CB"/>
    <w:rsid w:val="00E725DA"/>
    <w:rsid w:val="00E725FC"/>
    <w:rsid w:val="00E7297F"/>
    <w:rsid w:val="00E72A6D"/>
    <w:rsid w:val="00E72B55"/>
    <w:rsid w:val="00E72BDF"/>
    <w:rsid w:val="00E72C43"/>
    <w:rsid w:val="00E72C59"/>
    <w:rsid w:val="00E72C5C"/>
    <w:rsid w:val="00E72E21"/>
    <w:rsid w:val="00E72E3B"/>
    <w:rsid w:val="00E72E68"/>
    <w:rsid w:val="00E72E79"/>
    <w:rsid w:val="00E72F3A"/>
    <w:rsid w:val="00E73038"/>
    <w:rsid w:val="00E73098"/>
    <w:rsid w:val="00E730EA"/>
    <w:rsid w:val="00E731A6"/>
    <w:rsid w:val="00E731DD"/>
    <w:rsid w:val="00E73485"/>
    <w:rsid w:val="00E7352C"/>
    <w:rsid w:val="00E73541"/>
    <w:rsid w:val="00E73624"/>
    <w:rsid w:val="00E7376C"/>
    <w:rsid w:val="00E73971"/>
    <w:rsid w:val="00E73983"/>
    <w:rsid w:val="00E73B17"/>
    <w:rsid w:val="00E73BCA"/>
    <w:rsid w:val="00E73C17"/>
    <w:rsid w:val="00E73C47"/>
    <w:rsid w:val="00E73C65"/>
    <w:rsid w:val="00E73E4B"/>
    <w:rsid w:val="00E73F10"/>
    <w:rsid w:val="00E73F30"/>
    <w:rsid w:val="00E73F79"/>
    <w:rsid w:val="00E74032"/>
    <w:rsid w:val="00E74174"/>
    <w:rsid w:val="00E7426C"/>
    <w:rsid w:val="00E743D5"/>
    <w:rsid w:val="00E74527"/>
    <w:rsid w:val="00E7454D"/>
    <w:rsid w:val="00E745B4"/>
    <w:rsid w:val="00E746F3"/>
    <w:rsid w:val="00E7475F"/>
    <w:rsid w:val="00E7482C"/>
    <w:rsid w:val="00E74A13"/>
    <w:rsid w:val="00E74C1D"/>
    <w:rsid w:val="00E74CCD"/>
    <w:rsid w:val="00E74CE1"/>
    <w:rsid w:val="00E74E8F"/>
    <w:rsid w:val="00E74F7A"/>
    <w:rsid w:val="00E74FC8"/>
    <w:rsid w:val="00E75090"/>
    <w:rsid w:val="00E75243"/>
    <w:rsid w:val="00E75340"/>
    <w:rsid w:val="00E75357"/>
    <w:rsid w:val="00E753DA"/>
    <w:rsid w:val="00E7542E"/>
    <w:rsid w:val="00E7549A"/>
    <w:rsid w:val="00E75589"/>
    <w:rsid w:val="00E7559B"/>
    <w:rsid w:val="00E755EC"/>
    <w:rsid w:val="00E756E3"/>
    <w:rsid w:val="00E75788"/>
    <w:rsid w:val="00E7582C"/>
    <w:rsid w:val="00E7599A"/>
    <w:rsid w:val="00E759DE"/>
    <w:rsid w:val="00E759FB"/>
    <w:rsid w:val="00E75AD4"/>
    <w:rsid w:val="00E75B18"/>
    <w:rsid w:val="00E761E4"/>
    <w:rsid w:val="00E762F5"/>
    <w:rsid w:val="00E76374"/>
    <w:rsid w:val="00E76386"/>
    <w:rsid w:val="00E76454"/>
    <w:rsid w:val="00E76461"/>
    <w:rsid w:val="00E7648A"/>
    <w:rsid w:val="00E766BF"/>
    <w:rsid w:val="00E76711"/>
    <w:rsid w:val="00E76A85"/>
    <w:rsid w:val="00E76BA4"/>
    <w:rsid w:val="00E76CA4"/>
    <w:rsid w:val="00E76D5F"/>
    <w:rsid w:val="00E76E18"/>
    <w:rsid w:val="00E76F43"/>
    <w:rsid w:val="00E76FC9"/>
    <w:rsid w:val="00E76FEB"/>
    <w:rsid w:val="00E770CA"/>
    <w:rsid w:val="00E7714E"/>
    <w:rsid w:val="00E771C2"/>
    <w:rsid w:val="00E7720A"/>
    <w:rsid w:val="00E77370"/>
    <w:rsid w:val="00E7755C"/>
    <w:rsid w:val="00E77572"/>
    <w:rsid w:val="00E7757C"/>
    <w:rsid w:val="00E7777D"/>
    <w:rsid w:val="00E7783A"/>
    <w:rsid w:val="00E77984"/>
    <w:rsid w:val="00E77A0F"/>
    <w:rsid w:val="00E77A16"/>
    <w:rsid w:val="00E77AE3"/>
    <w:rsid w:val="00E77D9B"/>
    <w:rsid w:val="00E77EF7"/>
    <w:rsid w:val="00E77FA2"/>
    <w:rsid w:val="00E7B188"/>
    <w:rsid w:val="00E80142"/>
    <w:rsid w:val="00E801BC"/>
    <w:rsid w:val="00E8022A"/>
    <w:rsid w:val="00E80251"/>
    <w:rsid w:val="00E802A9"/>
    <w:rsid w:val="00E803F2"/>
    <w:rsid w:val="00E804CB"/>
    <w:rsid w:val="00E8063B"/>
    <w:rsid w:val="00E8072F"/>
    <w:rsid w:val="00E807FB"/>
    <w:rsid w:val="00E80854"/>
    <w:rsid w:val="00E80941"/>
    <w:rsid w:val="00E80A17"/>
    <w:rsid w:val="00E80AC7"/>
    <w:rsid w:val="00E80BA3"/>
    <w:rsid w:val="00E80BCD"/>
    <w:rsid w:val="00E80F26"/>
    <w:rsid w:val="00E80F51"/>
    <w:rsid w:val="00E80FD0"/>
    <w:rsid w:val="00E80FE4"/>
    <w:rsid w:val="00E810AA"/>
    <w:rsid w:val="00E81108"/>
    <w:rsid w:val="00E811B0"/>
    <w:rsid w:val="00E811E9"/>
    <w:rsid w:val="00E81227"/>
    <w:rsid w:val="00E8134B"/>
    <w:rsid w:val="00E813AD"/>
    <w:rsid w:val="00E81515"/>
    <w:rsid w:val="00E81603"/>
    <w:rsid w:val="00E81702"/>
    <w:rsid w:val="00E818CB"/>
    <w:rsid w:val="00E81A5C"/>
    <w:rsid w:val="00E81B7F"/>
    <w:rsid w:val="00E81C6E"/>
    <w:rsid w:val="00E81C9D"/>
    <w:rsid w:val="00E81CA9"/>
    <w:rsid w:val="00E81CBB"/>
    <w:rsid w:val="00E81EE2"/>
    <w:rsid w:val="00E82039"/>
    <w:rsid w:val="00E820BB"/>
    <w:rsid w:val="00E822BA"/>
    <w:rsid w:val="00E82504"/>
    <w:rsid w:val="00E82529"/>
    <w:rsid w:val="00E82537"/>
    <w:rsid w:val="00E82593"/>
    <w:rsid w:val="00E82635"/>
    <w:rsid w:val="00E82663"/>
    <w:rsid w:val="00E826EE"/>
    <w:rsid w:val="00E8289B"/>
    <w:rsid w:val="00E828AF"/>
    <w:rsid w:val="00E82A31"/>
    <w:rsid w:val="00E82A82"/>
    <w:rsid w:val="00E82AE7"/>
    <w:rsid w:val="00E82BED"/>
    <w:rsid w:val="00E82C00"/>
    <w:rsid w:val="00E82CD5"/>
    <w:rsid w:val="00E82FBE"/>
    <w:rsid w:val="00E8323A"/>
    <w:rsid w:val="00E83272"/>
    <w:rsid w:val="00E832EA"/>
    <w:rsid w:val="00E83415"/>
    <w:rsid w:val="00E8350C"/>
    <w:rsid w:val="00E83536"/>
    <w:rsid w:val="00E8364A"/>
    <w:rsid w:val="00E836EE"/>
    <w:rsid w:val="00E83740"/>
    <w:rsid w:val="00E8392C"/>
    <w:rsid w:val="00E8398E"/>
    <w:rsid w:val="00E8398F"/>
    <w:rsid w:val="00E83C3E"/>
    <w:rsid w:val="00E83D59"/>
    <w:rsid w:val="00E83D84"/>
    <w:rsid w:val="00E83DC6"/>
    <w:rsid w:val="00E83F88"/>
    <w:rsid w:val="00E83FAB"/>
    <w:rsid w:val="00E84022"/>
    <w:rsid w:val="00E8404C"/>
    <w:rsid w:val="00E84051"/>
    <w:rsid w:val="00E84237"/>
    <w:rsid w:val="00E84280"/>
    <w:rsid w:val="00E844A1"/>
    <w:rsid w:val="00E847BE"/>
    <w:rsid w:val="00E8487B"/>
    <w:rsid w:val="00E8494D"/>
    <w:rsid w:val="00E84C76"/>
    <w:rsid w:val="00E84D02"/>
    <w:rsid w:val="00E84F5E"/>
    <w:rsid w:val="00E8500F"/>
    <w:rsid w:val="00E85197"/>
    <w:rsid w:val="00E852F9"/>
    <w:rsid w:val="00E85406"/>
    <w:rsid w:val="00E85408"/>
    <w:rsid w:val="00E854B2"/>
    <w:rsid w:val="00E85529"/>
    <w:rsid w:val="00E855DA"/>
    <w:rsid w:val="00E855EC"/>
    <w:rsid w:val="00E85632"/>
    <w:rsid w:val="00E856D5"/>
    <w:rsid w:val="00E856E3"/>
    <w:rsid w:val="00E856E9"/>
    <w:rsid w:val="00E85757"/>
    <w:rsid w:val="00E857CA"/>
    <w:rsid w:val="00E859AD"/>
    <w:rsid w:val="00E85A10"/>
    <w:rsid w:val="00E85A40"/>
    <w:rsid w:val="00E85A89"/>
    <w:rsid w:val="00E85C83"/>
    <w:rsid w:val="00E85E75"/>
    <w:rsid w:val="00E85F2C"/>
    <w:rsid w:val="00E8603A"/>
    <w:rsid w:val="00E86079"/>
    <w:rsid w:val="00E86168"/>
    <w:rsid w:val="00E8635C"/>
    <w:rsid w:val="00E863C2"/>
    <w:rsid w:val="00E8640B"/>
    <w:rsid w:val="00E86471"/>
    <w:rsid w:val="00E864A2"/>
    <w:rsid w:val="00E86591"/>
    <w:rsid w:val="00E866A9"/>
    <w:rsid w:val="00E8675E"/>
    <w:rsid w:val="00E867B5"/>
    <w:rsid w:val="00E86899"/>
    <w:rsid w:val="00E86911"/>
    <w:rsid w:val="00E86A28"/>
    <w:rsid w:val="00E86AD4"/>
    <w:rsid w:val="00E86C0C"/>
    <w:rsid w:val="00E86C37"/>
    <w:rsid w:val="00E86CDE"/>
    <w:rsid w:val="00E86D1F"/>
    <w:rsid w:val="00E86D3B"/>
    <w:rsid w:val="00E86EF2"/>
    <w:rsid w:val="00E86F5B"/>
    <w:rsid w:val="00E86F5E"/>
    <w:rsid w:val="00E86FC8"/>
    <w:rsid w:val="00E87048"/>
    <w:rsid w:val="00E870B8"/>
    <w:rsid w:val="00E870D1"/>
    <w:rsid w:val="00E870EC"/>
    <w:rsid w:val="00E871DD"/>
    <w:rsid w:val="00E87252"/>
    <w:rsid w:val="00E87296"/>
    <w:rsid w:val="00E873C3"/>
    <w:rsid w:val="00E8765F"/>
    <w:rsid w:val="00E87745"/>
    <w:rsid w:val="00E877AD"/>
    <w:rsid w:val="00E8794C"/>
    <w:rsid w:val="00E87BB0"/>
    <w:rsid w:val="00E87C82"/>
    <w:rsid w:val="00E87CB7"/>
    <w:rsid w:val="00E87D1E"/>
    <w:rsid w:val="00E87D5B"/>
    <w:rsid w:val="00E87E2C"/>
    <w:rsid w:val="00E87FF0"/>
    <w:rsid w:val="00E900B6"/>
    <w:rsid w:val="00E901A5"/>
    <w:rsid w:val="00E90320"/>
    <w:rsid w:val="00E90431"/>
    <w:rsid w:val="00E90456"/>
    <w:rsid w:val="00E90533"/>
    <w:rsid w:val="00E90593"/>
    <w:rsid w:val="00E9059C"/>
    <w:rsid w:val="00E9073F"/>
    <w:rsid w:val="00E907A2"/>
    <w:rsid w:val="00E90822"/>
    <w:rsid w:val="00E90827"/>
    <w:rsid w:val="00E908A8"/>
    <w:rsid w:val="00E908BF"/>
    <w:rsid w:val="00E909FD"/>
    <w:rsid w:val="00E90A3A"/>
    <w:rsid w:val="00E90CE5"/>
    <w:rsid w:val="00E90D62"/>
    <w:rsid w:val="00E90D85"/>
    <w:rsid w:val="00E90E6E"/>
    <w:rsid w:val="00E90E70"/>
    <w:rsid w:val="00E90F04"/>
    <w:rsid w:val="00E90F98"/>
    <w:rsid w:val="00E9104F"/>
    <w:rsid w:val="00E910EE"/>
    <w:rsid w:val="00E911D4"/>
    <w:rsid w:val="00E911D9"/>
    <w:rsid w:val="00E9125F"/>
    <w:rsid w:val="00E912BA"/>
    <w:rsid w:val="00E913C1"/>
    <w:rsid w:val="00E91636"/>
    <w:rsid w:val="00E91707"/>
    <w:rsid w:val="00E917B5"/>
    <w:rsid w:val="00E917C8"/>
    <w:rsid w:val="00E91812"/>
    <w:rsid w:val="00E91814"/>
    <w:rsid w:val="00E91815"/>
    <w:rsid w:val="00E9186A"/>
    <w:rsid w:val="00E91896"/>
    <w:rsid w:val="00E91897"/>
    <w:rsid w:val="00E919C6"/>
    <w:rsid w:val="00E91A4D"/>
    <w:rsid w:val="00E91B3E"/>
    <w:rsid w:val="00E91D87"/>
    <w:rsid w:val="00E91D93"/>
    <w:rsid w:val="00E91DF0"/>
    <w:rsid w:val="00E91EC2"/>
    <w:rsid w:val="00E92005"/>
    <w:rsid w:val="00E92046"/>
    <w:rsid w:val="00E9210A"/>
    <w:rsid w:val="00E9210C"/>
    <w:rsid w:val="00E92147"/>
    <w:rsid w:val="00E9214F"/>
    <w:rsid w:val="00E921CC"/>
    <w:rsid w:val="00E9221B"/>
    <w:rsid w:val="00E923B5"/>
    <w:rsid w:val="00E9255C"/>
    <w:rsid w:val="00E925C9"/>
    <w:rsid w:val="00E92638"/>
    <w:rsid w:val="00E92A54"/>
    <w:rsid w:val="00E92A5E"/>
    <w:rsid w:val="00E92A76"/>
    <w:rsid w:val="00E92A97"/>
    <w:rsid w:val="00E92DA4"/>
    <w:rsid w:val="00E92F55"/>
    <w:rsid w:val="00E92F8E"/>
    <w:rsid w:val="00E93067"/>
    <w:rsid w:val="00E93157"/>
    <w:rsid w:val="00E931E7"/>
    <w:rsid w:val="00E93203"/>
    <w:rsid w:val="00E93229"/>
    <w:rsid w:val="00E933CD"/>
    <w:rsid w:val="00E9345F"/>
    <w:rsid w:val="00E93500"/>
    <w:rsid w:val="00E935C2"/>
    <w:rsid w:val="00E936B3"/>
    <w:rsid w:val="00E93833"/>
    <w:rsid w:val="00E939A0"/>
    <w:rsid w:val="00E93E82"/>
    <w:rsid w:val="00E94087"/>
    <w:rsid w:val="00E9421C"/>
    <w:rsid w:val="00E94289"/>
    <w:rsid w:val="00E944FA"/>
    <w:rsid w:val="00E94641"/>
    <w:rsid w:val="00E947B6"/>
    <w:rsid w:val="00E947D6"/>
    <w:rsid w:val="00E94B17"/>
    <w:rsid w:val="00E94B29"/>
    <w:rsid w:val="00E94B42"/>
    <w:rsid w:val="00E94BD4"/>
    <w:rsid w:val="00E94C3C"/>
    <w:rsid w:val="00E94CB8"/>
    <w:rsid w:val="00E94CD6"/>
    <w:rsid w:val="00E94F04"/>
    <w:rsid w:val="00E950E7"/>
    <w:rsid w:val="00E9526E"/>
    <w:rsid w:val="00E95381"/>
    <w:rsid w:val="00E953D0"/>
    <w:rsid w:val="00E953DA"/>
    <w:rsid w:val="00E954FF"/>
    <w:rsid w:val="00E95508"/>
    <w:rsid w:val="00E958C4"/>
    <w:rsid w:val="00E958FA"/>
    <w:rsid w:val="00E9596D"/>
    <w:rsid w:val="00E959F9"/>
    <w:rsid w:val="00E959FC"/>
    <w:rsid w:val="00E95D25"/>
    <w:rsid w:val="00E95D95"/>
    <w:rsid w:val="00E95E56"/>
    <w:rsid w:val="00E95EA4"/>
    <w:rsid w:val="00E95EE9"/>
    <w:rsid w:val="00E95F68"/>
    <w:rsid w:val="00E95F78"/>
    <w:rsid w:val="00E95FF5"/>
    <w:rsid w:val="00E96041"/>
    <w:rsid w:val="00E960D5"/>
    <w:rsid w:val="00E961CF"/>
    <w:rsid w:val="00E964E2"/>
    <w:rsid w:val="00E96591"/>
    <w:rsid w:val="00E967F3"/>
    <w:rsid w:val="00E96909"/>
    <w:rsid w:val="00E96983"/>
    <w:rsid w:val="00E96B2A"/>
    <w:rsid w:val="00E96C0C"/>
    <w:rsid w:val="00E96C68"/>
    <w:rsid w:val="00E97075"/>
    <w:rsid w:val="00E9709C"/>
    <w:rsid w:val="00E97242"/>
    <w:rsid w:val="00E97280"/>
    <w:rsid w:val="00E9742B"/>
    <w:rsid w:val="00E9746C"/>
    <w:rsid w:val="00E974DB"/>
    <w:rsid w:val="00E974F8"/>
    <w:rsid w:val="00E97527"/>
    <w:rsid w:val="00E9760C"/>
    <w:rsid w:val="00E9769E"/>
    <w:rsid w:val="00E977F3"/>
    <w:rsid w:val="00E978CD"/>
    <w:rsid w:val="00E9794B"/>
    <w:rsid w:val="00E979C1"/>
    <w:rsid w:val="00E97A5D"/>
    <w:rsid w:val="00E97AFF"/>
    <w:rsid w:val="00E97BA0"/>
    <w:rsid w:val="00E97BB4"/>
    <w:rsid w:val="00E97BDF"/>
    <w:rsid w:val="00E97BFC"/>
    <w:rsid w:val="00E97BFF"/>
    <w:rsid w:val="00E97C05"/>
    <w:rsid w:val="00E97C0A"/>
    <w:rsid w:val="00E97EEE"/>
    <w:rsid w:val="00E97F66"/>
    <w:rsid w:val="00EA009E"/>
    <w:rsid w:val="00EA010A"/>
    <w:rsid w:val="00EA020E"/>
    <w:rsid w:val="00EA03CE"/>
    <w:rsid w:val="00EA0418"/>
    <w:rsid w:val="00EA08E8"/>
    <w:rsid w:val="00EA0A1A"/>
    <w:rsid w:val="00EA0A43"/>
    <w:rsid w:val="00EA0AC6"/>
    <w:rsid w:val="00EA0B1C"/>
    <w:rsid w:val="00EA0B3D"/>
    <w:rsid w:val="00EA0B9C"/>
    <w:rsid w:val="00EA0BAA"/>
    <w:rsid w:val="00EA0C77"/>
    <w:rsid w:val="00EA0D3C"/>
    <w:rsid w:val="00EA0DDB"/>
    <w:rsid w:val="00EA0DE1"/>
    <w:rsid w:val="00EA0F43"/>
    <w:rsid w:val="00EA0F5A"/>
    <w:rsid w:val="00EA11C0"/>
    <w:rsid w:val="00EA1207"/>
    <w:rsid w:val="00EA132E"/>
    <w:rsid w:val="00EA134B"/>
    <w:rsid w:val="00EA13C3"/>
    <w:rsid w:val="00EA1645"/>
    <w:rsid w:val="00EA1684"/>
    <w:rsid w:val="00EA16A1"/>
    <w:rsid w:val="00EA1708"/>
    <w:rsid w:val="00EA1887"/>
    <w:rsid w:val="00EA1AE7"/>
    <w:rsid w:val="00EA1B42"/>
    <w:rsid w:val="00EA1B50"/>
    <w:rsid w:val="00EA1C45"/>
    <w:rsid w:val="00EA1C9A"/>
    <w:rsid w:val="00EA1CC3"/>
    <w:rsid w:val="00EA1DA0"/>
    <w:rsid w:val="00EA1DC5"/>
    <w:rsid w:val="00EA1DD2"/>
    <w:rsid w:val="00EA1E0B"/>
    <w:rsid w:val="00EA1EE7"/>
    <w:rsid w:val="00EA1F37"/>
    <w:rsid w:val="00EA2048"/>
    <w:rsid w:val="00EA20F9"/>
    <w:rsid w:val="00EA2340"/>
    <w:rsid w:val="00EA2364"/>
    <w:rsid w:val="00EA23C8"/>
    <w:rsid w:val="00EA26BE"/>
    <w:rsid w:val="00EA2716"/>
    <w:rsid w:val="00EA295E"/>
    <w:rsid w:val="00EA2D49"/>
    <w:rsid w:val="00EA2DBD"/>
    <w:rsid w:val="00EA2F51"/>
    <w:rsid w:val="00EA2F86"/>
    <w:rsid w:val="00EA2FB6"/>
    <w:rsid w:val="00EA3100"/>
    <w:rsid w:val="00EA3156"/>
    <w:rsid w:val="00EA31E5"/>
    <w:rsid w:val="00EA31E7"/>
    <w:rsid w:val="00EA3206"/>
    <w:rsid w:val="00EA3330"/>
    <w:rsid w:val="00EA34DF"/>
    <w:rsid w:val="00EA3547"/>
    <w:rsid w:val="00EA364D"/>
    <w:rsid w:val="00EA36C6"/>
    <w:rsid w:val="00EA36CD"/>
    <w:rsid w:val="00EA37B1"/>
    <w:rsid w:val="00EA37CC"/>
    <w:rsid w:val="00EA3812"/>
    <w:rsid w:val="00EA39AD"/>
    <w:rsid w:val="00EA39B3"/>
    <w:rsid w:val="00EA39C5"/>
    <w:rsid w:val="00EA3DC3"/>
    <w:rsid w:val="00EA3DFE"/>
    <w:rsid w:val="00EA3E0B"/>
    <w:rsid w:val="00EA3F61"/>
    <w:rsid w:val="00EA40A8"/>
    <w:rsid w:val="00EA419B"/>
    <w:rsid w:val="00EA429C"/>
    <w:rsid w:val="00EA42AF"/>
    <w:rsid w:val="00EA4352"/>
    <w:rsid w:val="00EA440E"/>
    <w:rsid w:val="00EA44EA"/>
    <w:rsid w:val="00EA4578"/>
    <w:rsid w:val="00EA457B"/>
    <w:rsid w:val="00EA4608"/>
    <w:rsid w:val="00EA47F2"/>
    <w:rsid w:val="00EA482C"/>
    <w:rsid w:val="00EA4850"/>
    <w:rsid w:val="00EA492B"/>
    <w:rsid w:val="00EA4991"/>
    <w:rsid w:val="00EA4A09"/>
    <w:rsid w:val="00EA4A63"/>
    <w:rsid w:val="00EA4AB3"/>
    <w:rsid w:val="00EA4B93"/>
    <w:rsid w:val="00EA4CED"/>
    <w:rsid w:val="00EA4E57"/>
    <w:rsid w:val="00EA4FA0"/>
    <w:rsid w:val="00EA5202"/>
    <w:rsid w:val="00EA524D"/>
    <w:rsid w:val="00EA53A8"/>
    <w:rsid w:val="00EA54A8"/>
    <w:rsid w:val="00EA54C8"/>
    <w:rsid w:val="00EA54EC"/>
    <w:rsid w:val="00EA5536"/>
    <w:rsid w:val="00EA554A"/>
    <w:rsid w:val="00EA5631"/>
    <w:rsid w:val="00EA575F"/>
    <w:rsid w:val="00EA57CB"/>
    <w:rsid w:val="00EA5854"/>
    <w:rsid w:val="00EA5A4B"/>
    <w:rsid w:val="00EA5AE5"/>
    <w:rsid w:val="00EA5B96"/>
    <w:rsid w:val="00EA5CF8"/>
    <w:rsid w:val="00EA5D26"/>
    <w:rsid w:val="00EA5DBE"/>
    <w:rsid w:val="00EA5EB0"/>
    <w:rsid w:val="00EA6072"/>
    <w:rsid w:val="00EA617D"/>
    <w:rsid w:val="00EA6284"/>
    <w:rsid w:val="00EA62C4"/>
    <w:rsid w:val="00EA650A"/>
    <w:rsid w:val="00EA6675"/>
    <w:rsid w:val="00EA6811"/>
    <w:rsid w:val="00EA6885"/>
    <w:rsid w:val="00EA688D"/>
    <w:rsid w:val="00EA68AB"/>
    <w:rsid w:val="00EA68D9"/>
    <w:rsid w:val="00EA6A8E"/>
    <w:rsid w:val="00EA6B88"/>
    <w:rsid w:val="00EA6CB1"/>
    <w:rsid w:val="00EA6D42"/>
    <w:rsid w:val="00EA6D6A"/>
    <w:rsid w:val="00EA6D8F"/>
    <w:rsid w:val="00EA6E48"/>
    <w:rsid w:val="00EA6ED8"/>
    <w:rsid w:val="00EA6F52"/>
    <w:rsid w:val="00EA6FE6"/>
    <w:rsid w:val="00EA7016"/>
    <w:rsid w:val="00EA7101"/>
    <w:rsid w:val="00EA7123"/>
    <w:rsid w:val="00EA720E"/>
    <w:rsid w:val="00EA7230"/>
    <w:rsid w:val="00EA7529"/>
    <w:rsid w:val="00EA7562"/>
    <w:rsid w:val="00EA7834"/>
    <w:rsid w:val="00EA7858"/>
    <w:rsid w:val="00EA788F"/>
    <w:rsid w:val="00EA7969"/>
    <w:rsid w:val="00EA7A49"/>
    <w:rsid w:val="00EA7E44"/>
    <w:rsid w:val="00EA7F80"/>
    <w:rsid w:val="00EA7FE6"/>
    <w:rsid w:val="00EB025D"/>
    <w:rsid w:val="00EB034D"/>
    <w:rsid w:val="00EB0371"/>
    <w:rsid w:val="00EB03B2"/>
    <w:rsid w:val="00EB03D6"/>
    <w:rsid w:val="00EB0468"/>
    <w:rsid w:val="00EB04B0"/>
    <w:rsid w:val="00EB051B"/>
    <w:rsid w:val="00EB0582"/>
    <w:rsid w:val="00EB05AE"/>
    <w:rsid w:val="00EB0649"/>
    <w:rsid w:val="00EB0678"/>
    <w:rsid w:val="00EB08E9"/>
    <w:rsid w:val="00EB0B15"/>
    <w:rsid w:val="00EB0C3F"/>
    <w:rsid w:val="00EB0D0E"/>
    <w:rsid w:val="00EB0DBD"/>
    <w:rsid w:val="00EB0E68"/>
    <w:rsid w:val="00EB0EF7"/>
    <w:rsid w:val="00EB122C"/>
    <w:rsid w:val="00EB1429"/>
    <w:rsid w:val="00EB152A"/>
    <w:rsid w:val="00EB1604"/>
    <w:rsid w:val="00EB1635"/>
    <w:rsid w:val="00EB17E7"/>
    <w:rsid w:val="00EB17EB"/>
    <w:rsid w:val="00EB19DC"/>
    <w:rsid w:val="00EB1ACA"/>
    <w:rsid w:val="00EB1B11"/>
    <w:rsid w:val="00EB1B72"/>
    <w:rsid w:val="00EB1C37"/>
    <w:rsid w:val="00EB1D2D"/>
    <w:rsid w:val="00EB1E4F"/>
    <w:rsid w:val="00EB1F83"/>
    <w:rsid w:val="00EB1FDB"/>
    <w:rsid w:val="00EB20B4"/>
    <w:rsid w:val="00EB20DF"/>
    <w:rsid w:val="00EB210A"/>
    <w:rsid w:val="00EB21AD"/>
    <w:rsid w:val="00EB2465"/>
    <w:rsid w:val="00EB24F5"/>
    <w:rsid w:val="00EB250C"/>
    <w:rsid w:val="00EB25FD"/>
    <w:rsid w:val="00EB2677"/>
    <w:rsid w:val="00EB2818"/>
    <w:rsid w:val="00EB2A67"/>
    <w:rsid w:val="00EB2B22"/>
    <w:rsid w:val="00EB2BDD"/>
    <w:rsid w:val="00EB2BF4"/>
    <w:rsid w:val="00EB2C1A"/>
    <w:rsid w:val="00EB2CE4"/>
    <w:rsid w:val="00EB2E02"/>
    <w:rsid w:val="00EB2E14"/>
    <w:rsid w:val="00EB2FF9"/>
    <w:rsid w:val="00EB31E7"/>
    <w:rsid w:val="00EB332D"/>
    <w:rsid w:val="00EB36A9"/>
    <w:rsid w:val="00EB37C1"/>
    <w:rsid w:val="00EB388A"/>
    <w:rsid w:val="00EB39C6"/>
    <w:rsid w:val="00EB3A7E"/>
    <w:rsid w:val="00EB3C0B"/>
    <w:rsid w:val="00EB3C36"/>
    <w:rsid w:val="00EB3EAF"/>
    <w:rsid w:val="00EB3EF3"/>
    <w:rsid w:val="00EB3F7B"/>
    <w:rsid w:val="00EB3FA0"/>
    <w:rsid w:val="00EB4054"/>
    <w:rsid w:val="00EB40D7"/>
    <w:rsid w:val="00EB41FE"/>
    <w:rsid w:val="00EB423E"/>
    <w:rsid w:val="00EB424B"/>
    <w:rsid w:val="00EB42AC"/>
    <w:rsid w:val="00EB4370"/>
    <w:rsid w:val="00EB437E"/>
    <w:rsid w:val="00EB4465"/>
    <w:rsid w:val="00EB447F"/>
    <w:rsid w:val="00EB4536"/>
    <w:rsid w:val="00EB4645"/>
    <w:rsid w:val="00EB4650"/>
    <w:rsid w:val="00EB466A"/>
    <w:rsid w:val="00EB4685"/>
    <w:rsid w:val="00EB474A"/>
    <w:rsid w:val="00EB4769"/>
    <w:rsid w:val="00EB47CA"/>
    <w:rsid w:val="00EB4A28"/>
    <w:rsid w:val="00EB4B2C"/>
    <w:rsid w:val="00EB4C31"/>
    <w:rsid w:val="00EB4D73"/>
    <w:rsid w:val="00EB4D80"/>
    <w:rsid w:val="00EB4DD1"/>
    <w:rsid w:val="00EB4E4E"/>
    <w:rsid w:val="00EB4EC7"/>
    <w:rsid w:val="00EB4EE6"/>
    <w:rsid w:val="00EB5284"/>
    <w:rsid w:val="00EB53CC"/>
    <w:rsid w:val="00EB53ED"/>
    <w:rsid w:val="00EB551C"/>
    <w:rsid w:val="00EB55BF"/>
    <w:rsid w:val="00EB56CE"/>
    <w:rsid w:val="00EB5A1A"/>
    <w:rsid w:val="00EB5A25"/>
    <w:rsid w:val="00EB5C97"/>
    <w:rsid w:val="00EB5CE4"/>
    <w:rsid w:val="00EB5F9F"/>
    <w:rsid w:val="00EB60D4"/>
    <w:rsid w:val="00EB61EC"/>
    <w:rsid w:val="00EB625C"/>
    <w:rsid w:val="00EB6278"/>
    <w:rsid w:val="00EB63AE"/>
    <w:rsid w:val="00EB651A"/>
    <w:rsid w:val="00EB6553"/>
    <w:rsid w:val="00EB6556"/>
    <w:rsid w:val="00EB680A"/>
    <w:rsid w:val="00EB6A2D"/>
    <w:rsid w:val="00EB6AFB"/>
    <w:rsid w:val="00EB6BBD"/>
    <w:rsid w:val="00EB6C01"/>
    <w:rsid w:val="00EB6E4A"/>
    <w:rsid w:val="00EB7138"/>
    <w:rsid w:val="00EB71AA"/>
    <w:rsid w:val="00EB71BD"/>
    <w:rsid w:val="00EB7284"/>
    <w:rsid w:val="00EB74DA"/>
    <w:rsid w:val="00EB74EF"/>
    <w:rsid w:val="00EB75EC"/>
    <w:rsid w:val="00EB77B8"/>
    <w:rsid w:val="00EB77D0"/>
    <w:rsid w:val="00EB7818"/>
    <w:rsid w:val="00EB7A60"/>
    <w:rsid w:val="00EB7A70"/>
    <w:rsid w:val="00EB7B25"/>
    <w:rsid w:val="00EB7B41"/>
    <w:rsid w:val="00EB7C53"/>
    <w:rsid w:val="00EB7E63"/>
    <w:rsid w:val="00EB7EA4"/>
    <w:rsid w:val="00EB7EFA"/>
    <w:rsid w:val="00EB7F60"/>
    <w:rsid w:val="00EBE363"/>
    <w:rsid w:val="00EC00AE"/>
    <w:rsid w:val="00EC011E"/>
    <w:rsid w:val="00EC01EA"/>
    <w:rsid w:val="00EC02D5"/>
    <w:rsid w:val="00EC0353"/>
    <w:rsid w:val="00EC0355"/>
    <w:rsid w:val="00EC03A2"/>
    <w:rsid w:val="00EC069C"/>
    <w:rsid w:val="00EC0758"/>
    <w:rsid w:val="00EC0793"/>
    <w:rsid w:val="00EC07F4"/>
    <w:rsid w:val="00EC0839"/>
    <w:rsid w:val="00EC0875"/>
    <w:rsid w:val="00EC08CA"/>
    <w:rsid w:val="00EC0A27"/>
    <w:rsid w:val="00EC0A98"/>
    <w:rsid w:val="00EC0AEB"/>
    <w:rsid w:val="00EC0B3B"/>
    <w:rsid w:val="00EC1197"/>
    <w:rsid w:val="00EC11D3"/>
    <w:rsid w:val="00EC12CF"/>
    <w:rsid w:val="00EC146F"/>
    <w:rsid w:val="00EC1821"/>
    <w:rsid w:val="00EC1836"/>
    <w:rsid w:val="00EC1899"/>
    <w:rsid w:val="00EC18E5"/>
    <w:rsid w:val="00EC1906"/>
    <w:rsid w:val="00EC1907"/>
    <w:rsid w:val="00EC199A"/>
    <w:rsid w:val="00EC1A5D"/>
    <w:rsid w:val="00EC1AA5"/>
    <w:rsid w:val="00EC1AAE"/>
    <w:rsid w:val="00EC1B21"/>
    <w:rsid w:val="00EC1BF4"/>
    <w:rsid w:val="00EC1CB7"/>
    <w:rsid w:val="00EC1D22"/>
    <w:rsid w:val="00EC1E15"/>
    <w:rsid w:val="00EC1E89"/>
    <w:rsid w:val="00EC2096"/>
    <w:rsid w:val="00EC23AE"/>
    <w:rsid w:val="00EC243D"/>
    <w:rsid w:val="00EC2484"/>
    <w:rsid w:val="00EC24AB"/>
    <w:rsid w:val="00EC252F"/>
    <w:rsid w:val="00EC26B1"/>
    <w:rsid w:val="00EC27B2"/>
    <w:rsid w:val="00EC2809"/>
    <w:rsid w:val="00EC2835"/>
    <w:rsid w:val="00EC29A2"/>
    <w:rsid w:val="00EC2A21"/>
    <w:rsid w:val="00EC2BE9"/>
    <w:rsid w:val="00EC2C32"/>
    <w:rsid w:val="00EC2DC3"/>
    <w:rsid w:val="00EC2DDD"/>
    <w:rsid w:val="00EC2E13"/>
    <w:rsid w:val="00EC2E45"/>
    <w:rsid w:val="00EC2ED9"/>
    <w:rsid w:val="00EC2FC6"/>
    <w:rsid w:val="00EC30F9"/>
    <w:rsid w:val="00EC321E"/>
    <w:rsid w:val="00EC32F7"/>
    <w:rsid w:val="00EC357A"/>
    <w:rsid w:val="00EC370D"/>
    <w:rsid w:val="00EC3715"/>
    <w:rsid w:val="00EC37EB"/>
    <w:rsid w:val="00EC38D8"/>
    <w:rsid w:val="00EC3901"/>
    <w:rsid w:val="00EC3ABB"/>
    <w:rsid w:val="00EC3B70"/>
    <w:rsid w:val="00EC3B86"/>
    <w:rsid w:val="00EC3D53"/>
    <w:rsid w:val="00EC3D94"/>
    <w:rsid w:val="00EC3FCC"/>
    <w:rsid w:val="00EC409A"/>
    <w:rsid w:val="00EC40E5"/>
    <w:rsid w:val="00EC422F"/>
    <w:rsid w:val="00EC4268"/>
    <w:rsid w:val="00EC42B8"/>
    <w:rsid w:val="00EC4399"/>
    <w:rsid w:val="00EC43E0"/>
    <w:rsid w:val="00EC455E"/>
    <w:rsid w:val="00EC45A3"/>
    <w:rsid w:val="00EC45DF"/>
    <w:rsid w:val="00EC478F"/>
    <w:rsid w:val="00EC47FC"/>
    <w:rsid w:val="00EC4800"/>
    <w:rsid w:val="00EC489F"/>
    <w:rsid w:val="00EC48B0"/>
    <w:rsid w:val="00EC492A"/>
    <w:rsid w:val="00EC49F5"/>
    <w:rsid w:val="00EC4A04"/>
    <w:rsid w:val="00EC4A10"/>
    <w:rsid w:val="00EC4A1E"/>
    <w:rsid w:val="00EC4AC8"/>
    <w:rsid w:val="00EC4AE1"/>
    <w:rsid w:val="00EC4B74"/>
    <w:rsid w:val="00EC4BBA"/>
    <w:rsid w:val="00EC4BD4"/>
    <w:rsid w:val="00EC4C1F"/>
    <w:rsid w:val="00EC4DB9"/>
    <w:rsid w:val="00EC4E70"/>
    <w:rsid w:val="00EC5060"/>
    <w:rsid w:val="00EC51C9"/>
    <w:rsid w:val="00EC53D3"/>
    <w:rsid w:val="00EC555E"/>
    <w:rsid w:val="00EC5668"/>
    <w:rsid w:val="00EC584A"/>
    <w:rsid w:val="00EC5A66"/>
    <w:rsid w:val="00EC5A7E"/>
    <w:rsid w:val="00EC5ADC"/>
    <w:rsid w:val="00EC5B0B"/>
    <w:rsid w:val="00EC5B5B"/>
    <w:rsid w:val="00EC5BA0"/>
    <w:rsid w:val="00EC5C2C"/>
    <w:rsid w:val="00EC5C34"/>
    <w:rsid w:val="00EC5EC9"/>
    <w:rsid w:val="00EC5F23"/>
    <w:rsid w:val="00EC5F81"/>
    <w:rsid w:val="00EC6008"/>
    <w:rsid w:val="00EC603F"/>
    <w:rsid w:val="00EC63B6"/>
    <w:rsid w:val="00EC6524"/>
    <w:rsid w:val="00EC65A7"/>
    <w:rsid w:val="00EC6654"/>
    <w:rsid w:val="00EC6810"/>
    <w:rsid w:val="00EC68D5"/>
    <w:rsid w:val="00EC696D"/>
    <w:rsid w:val="00EC69A9"/>
    <w:rsid w:val="00EC69ED"/>
    <w:rsid w:val="00EC6E12"/>
    <w:rsid w:val="00EC6ECB"/>
    <w:rsid w:val="00EC708B"/>
    <w:rsid w:val="00EC7317"/>
    <w:rsid w:val="00EC739E"/>
    <w:rsid w:val="00EC73D2"/>
    <w:rsid w:val="00EC751C"/>
    <w:rsid w:val="00EC769F"/>
    <w:rsid w:val="00EC770D"/>
    <w:rsid w:val="00EC772A"/>
    <w:rsid w:val="00EC77A2"/>
    <w:rsid w:val="00EC7812"/>
    <w:rsid w:val="00EC79B2"/>
    <w:rsid w:val="00EC7A88"/>
    <w:rsid w:val="00EC7A8F"/>
    <w:rsid w:val="00EC7D33"/>
    <w:rsid w:val="00EC7D68"/>
    <w:rsid w:val="00EC7E3B"/>
    <w:rsid w:val="00ED0003"/>
    <w:rsid w:val="00ED00ED"/>
    <w:rsid w:val="00ED0250"/>
    <w:rsid w:val="00ED030C"/>
    <w:rsid w:val="00ED0405"/>
    <w:rsid w:val="00ED0462"/>
    <w:rsid w:val="00ED0605"/>
    <w:rsid w:val="00ED06AA"/>
    <w:rsid w:val="00ED06AC"/>
    <w:rsid w:val="00ED06CA"/>
    <w:rsid w:val="00ED075B"/>
    <w:rsid w:val="00ED0840"/>
    <w:rsid w:val="00ED0945"/>
    <w:rsid w:val="00ED099A"/>
    <w:rsid w:val="00ED0AB8"/>
    <w:rsid w:val="00ED0D2A"/>
    <w:rsid w:val="00ED0D38"/>
    <w:rsid w:val="00ED0D81"/>
    <w:rsid w:val="00ED0DFA"/>
    <w:rsid w:val="00ED0FA4"/>
    <w:rsid w:val="00ED10B9"/>
    <w:rsid w:val="00ED139C"/>
    <w:rsid w:val="00ED1469"/>
    <w:rsid w:val="00ED1470"/>
    <w:rsid w:val="00ED164E"/>
    <w:rsid w:val="00ED16D8"/>
    <w:rsid w:val="00ED16E4"/>
    <w:rsid w:val="00ED17C2"/>
    <w:rsid w:val="00ED1B2F"/>
    <w:rsid w:val="00ED1DB0"/>
    <w:rsid w:val="00ED1EF9"/>
    <w:rsid w:val="00ED2150"/>
    <w:rsid w:val="00ED21A3"/>
    <w:rsid w:val="00ED235F"/>
    <w:rsid w:val="00ED2667"/>
    <w:rsid w:val="00ED2779"/>
    <w:rsid w:val="00ED28F3"/>
    <w:rsid w:val="00ED29AC"/>
    <w:rsid w:val="00ED29F1"/>
    <w:rsid w:val="00ED2B0C"/>
    <w:rsid w:val="00ED2B57"/>
    <w:rsid w:val="00ED2FAF"/>
    <w:rsid w:val="00ED3076"/>
    <w:rsid w:val="00ED3146"/>
    <w:rsid w:val="00ED3237"/>
    <w:rsid w:val="00ED32B5"/>
    <w:rsid w:val="00ED33C8"/>
    <w:rsid w:val="00ED342B"/>
    <w:rsid w:val="00ED34AC"/>
    <w:rsid w:val="00ED3514"/>
    <w:rsid w:val="00ED3554"/>
    <w:rsid w:val="00ED3557"/>
    <w:rsid w:val="00ED3573"/>
    <w:rsid w:val="00ED35B1"/>
    <w:rsid w:val="00ED35E9"/>
    <w:rsid w:val="00ED38A8"/>
    <w:rsid w:val="00ED392E"/>
    <w:rsid w:val="00ED3987"/>
    <w:rsid w:val="00ED39C8"/>
    <w:rsid w:val="00ED39FB"/>
    <w:rsid w:val="00ED3AEB"/>
    <w:rsid w:val="00ED3B36"/>
    <w:rsid w:val="00ED3E97"/>
    <w:rsid w:val="00ED4087"/>
    <w:rsid w:val="00ED417B"/>
    <w:rsid w:val="00ED4225"/>
    <w:rsid w:val="00ED437C"/>
    <w:rsid w:val="00ED4680"/>
    <w:rsid w:val="00ED4720"/>
    <w:rsid w:val="00ED487B"/>
    <w:rsid w:val="00ED49E6"/>
    <w:rsid w:val="00ED49EF"/>
    <w:rsid w:val="00ED4A8C"/>
    <w:rsid w:val="00ED4B64"/>
    <w:rsid w:val="00ED4BDB"/>
    <w:rsid w:val="00ED4D3E"/>
    <w:rsid w:val="00ED4E02"/>
    <w:rsid w:val="00ED4E0E"/>
    <w:rsid w:val="00ED4EA9"/>
    <w:rsid w:val="00ED4F0D"/>
    <w:rsid w:val="00ED5013"/>
    <w:rsid w:val="00ED510F"/>
    <w:rsid w:val="00ED5196"/>
    <w:rsid w:val="00ED53BE"/>
    <w:rsid w:val="00ED53FA"/>
    <w:rsid w:val="00ED5427"/>
    <w:rsid w:val="00ED549E"/>
    <w:rsid w:val="00ED56EA"/>
    <w:rsid w:val="00ED5725"/>
    <w:rsid w:val="00ED5732"/>
    <w:rsid w:val="00ED5735"/>
    <w:rsid w:val="00ED57D6"/>
    <w:rsid w:val="00ED587B"/>
    <w:rsid w:val="00ED5908"/>
    <w:rsid w:val="00ED5A57"/>
    <w:rsid w:val="00ED5A89"/>
    <w:rsid w:val="00ED5BDF"/>
    <w:rsid w:val="00ED5C37"/>
    <w:rsid w:val="00ED5CF8"/>
    <w:rsid w:val="00ED5DE0"/>
    <w:rsid w:val="00ED5F5E"/>
    <w:rsid w:val="00ED605E"/>
    <w:rsid w:val="00ED6074"/>
    <w:rsid w:val="00ED608D"/>
    <w:rsid w:val="00ED60AE"/>
    <w:rsid w:val="00ED6199"/>
    <w:rsid w:val="00ED6318"/>
    <w:rsid w:val="00ED66ED"/>
    <w:rsid w:val="00ED676E"/>
    <w:rsid w:val="00ED6785"/>
    <w:rsid w:val="00ED68E4"/>
    <w:rsid w:val="00ED6999"/>
    <w:rsid w:val="00ED69E4"/>
    <w:rsid w:val="00ED6CAA"/>
    <w:rsid w:val="00ED6D3A"/>
    <w:rsid w:val="00ED7031"/>
    <w:rsid w:val="00ED70DA"/>
    <w:rsid w:val="00ED7238"/>
    <w:rsid w:val="00ED7252"/>
    <w:rsid w:val="00ED7299"/>
    <w:rsid w:val="00ED73D7"/>
    <w:rsid w:val="00ED774C"/>
    <w:rsid w:val="00ED783D"/>
    <w:rsid w:val="00ED785D"/>
    <w:rsid w:val="00ED7870"/>
    <w:rsid w:val="00ED7964"/>
    <w:rsid w:val="00ED79B6"/>
    <w:rsid w:val="00ED79BE"/>
    <w:rsid w:val="00ED79E7"/>
    <w:rsid w:val="00ED7B14"/>
    <w:rsid w:val="00ED7B1D"/>
    <w:rsid w:val="00ED7B53"/>
    <w:rsid w:val="00ED7D01"/>
    <w:rsid w:val="00EE01C4"/>
    <w:rsid w:val="00EE020A"/>
    <w:rsid w:val="00EE04B5"/>
    <w:rsid w:val="00EE0562"/>
    <w:rsid w:val="00EE05A9"/>
    <w:rsid w:val="00EE070B"/>
    <w:rsid w:val="00EE0730"/>
    <w:rsid w:val="00EE077F"/>
    <w:rsid w:val="00EE09B1"/>
    <w:rsid w:val="00EE09BE"/>
    <w:rsid w:val="00EE0B6C"/>
    <w:rsid w:val="00EE0B7C"/>
    <w:rsid w:val="00EE0CCE"/>
    <w:rsid w:val="00EE0E00"/>
    <w:rsid w:val="00EE0F0E"/>
    <w:rsid w:val="00EE0F31"/>
    <w:rsid w:val="00EE0F33"/>
    <w:rsid w:val="00EE0FCD"/>
    <w:rsid w:val="00EE111D"/>
    <w:rsid w:val="00EE1136"/>
    <w:rsid w:val="00EE1352"/>
    <w:rsid w:val="00EE13B8"/>
    <w:rsid w:val="00EE13DE"/>
    <w:rsid w:val="00EE146E"/>
    <w:rsid w:val="00EE16C6"/>
    <w:rsid w:val="00EE17B6"/>
    <w:rsid w:val="00EE17CE"/>
    <w:rsid w:val="00EE1A6B"/>
    <w:rsid w:val="00EE1AA8"/>
    <w:rsid w:val="00EE1ABD"/>
    <w:rsid w:val="00EE1BB6"/>
    <w:rsid w:val="00EE1D7C"/>
    <w:rsid w:val="00EE1F25"/>
    <w:rsid w:val="00EE1F28"/>
    <w:rsid w:val="00EE2022"/>
    <w:rsid w:val="00EE2193"/>
    <w:rsid w:val="00EE22CD"/>
    <w:rsid w:val="00EE2358"/>
    <w:rsid w:val="00EE236E"/>
    <w:rsid w:val="00EE23EA"/>
    <w:rsid w:val="00EE250B"/>
    <w:rsid w:val="00EE2562"/>
    <w:rsid w:val="00EE2A01"/>
    <w:rsid w:val="00EE2BDA"/>
    <w:rsid w:val="00EE2D47"/>
    <w:rsid w:val="00EE2D81"/>
    <w:rsid w:val="00EE2DF4"/>
    <w:rsid w:val="00EE3060"/>
    <w:rsid w:val="00EE312C"/>
    <w:rsid w:val="00EE33B1"/>
    <w:rsid w:val="00EE347F"/>
    <w:rsid w:val="00EE34CF"/>
    <w:rsid w:val="00EE34E7"/>
    <w:rsid w:val="00EE35BB"/>
    <w:rsid w:val="00EE3A30"/>
    <w:rsid w:val="00EE3A96"/>
    <w:rsid w:val="00EE3B4D"/>
    <w:rsid w:val="00EE3B64"/>
    <w:rsid w:val="00EE3BD0"/>
    <w:rsid w:val="00EE3C08"/>
    <w:rsid w:val="00EE3C83"/>
    <w:rsid w:val="00EE3DD6"/>
    <w:rsid w:val="00EE3DF5"/>
    <w:rsid w:val="00EE3EFA"/>
    <w:rsid w:val="00EE402A"/>
    <w:rsid w:val="00EE4053"/>
    <w:rsid w:val="00EE40BE"/>
    <w:rsid w:val="00EE40CD"/>
    <w:rsid w:val="00EE429B"/>
    <w:rsid w:val="00EE42A9"/>
    <w:rsid w:val="00EE4315"/>
    <w:rsid w:val="00EE4338"/>
    <w:rsid w:val="00EE4371"/>
    <w:rsid w:val="00EE4380"/>
    <w:rsid w:val="00EE456D"/>
    <w:rsid w:val="00EE497E"/>
    <w:rsid w:val="00EE4B73"/>
    <w:rsid w:val="00EE4C40"/>
    <w:rsid w:val="00EE4C45"/>
    <w:rsid w:val="00EE4C4C"/>
    <w:rsid w:val="00EE4CE2"/>
    <w:rsid w:val="00EE4EBD"/>
    <w:rsid w:val="00EE4EE4"/>
    <w:rsid w:val="00EE4F1E"/>
    <w:rsid w:val="00EE5007"/>
    <w:rsid w:val="00EE514C"/>
    <w:rsid w:val="00EE5215"/>
    <w:rsid w:val="00EE5288"/>
    <w:rsid w:val="00EE53A1"/>
    <w:rsid w:val="00EE53AC"/>
    <w:rsid w:val="00EE5439"/>
    <w:rsid w:val="00EE5465"/>
    <w:rsid w:val="00EE5507"/>
    <w:rsid w:val="00EE5626"/>
    <w:rsid w:val="00EE59C4"/>
    <w:rsid w:val="00EE5B29"/>
    <w:rsid w:val="00EE5BD9"/>
    <w:rsid w:val="00EE5BDB"/>
    <w:rsid w:val="00EE5C49"/>
    <w:rsid w:val="00EE5D2E"/>
    <w:rsid w:val="00EE5D65"/>
    <w:rsid w:val="00EE5F2D"/>
    <w:rsid w:val="00EE5F5B"/>
    <w:rsid w:val="00EE612C"/>
    <w:rsid w:val="00EE617C"/>
    <w:rsid w:val="00EE620A"/>
    <w:rsid w:val="00EE620F"/>
    <w:rsid w:val="00EE6310"/>
    <w:rsid w:val="00EE63CC"/>
    <w:rsid w:val="00EE6542"/>
    <w:rsid w:val="00EE65EE"/>
    <w:rsid w:val="00EE6669"/>
    <w:rsid w:val="00EE6765"/>
    <w:rsid w:val="00EE688C"/>
    <w:rsid w:val="00EE68B0"/>
    <w:rsid w:val="00EE692E"/>
    <w:rsid w:val="00EE697C"/>
    <w:rsid w:val="00EE6C96"/>
    <w:rsid w:val="00EE6D5A"/>
    <w:rsid w:val="00EE6D8A"/>
    <w:rsid w:val="00EE6E6A"/>
    <w:rsid w:val="00EE6E82"/>
    <w:rsid w:val="00EE7016"/>
    <w:rsid w:val="00EE704B"/>
    <w:rsid w:val="00EE70DE"/>
    <w:rsid w:val="00EE7337"/>
    <w:rsid w:val="00EE734C"/>
    <w:rsid w:val="00EE73B8"/>
    <w:rsid w:val="00EE73BB"/>
    <w:rsid w:val="00EE7695"/>
    <w:rsid w:val="00EE7808"/>
    <w:rsid w:val="00EE7912"/>
    <w:rsid w:val="00EE7AFE"/>
    <w:rsid w:val="00EE7AFF"/>
    <w:rsid w:val="00EE7C8E"/>
    <w:rsid w:val="00EE7CAB"/>
    <w:rsid w:val="00EE7D7B"/>
    <w:rsid w:val="00EE7EC9"/>
    <w:rsid w:val="00EE7FA6"/>
    <w:rsid w:val="00EE7FFC"/>
    <w:rsid w:val="00EF0051"/>
    <w:rsid w:val="00EF0119"/>
    <w:rsid w:val="00EF014D"/>
    <w:rsid w:val="00EF0239"/>
    <w:rsid w:val="00EF0334"/>
    <w:rsid w:val="00EF037B"/>
    <w:rsid w:val="00EF03F1"/>
    <w:rsid w:val="00EF053B"/>
    <w:rsid w:val="00EF05D4"/>
    <w:rsid w:val="00EF05D8"/>
    <w:rsid w:val="00EF0716"/>
    <w:rsid w:val="00EF0BE2"/>
    <w:rsid w:val="00EF0C46"/>
    <w:rsid w:val="00EF0D7B"/>
    <w:rsid w:val="00EF0DFF"/>
    <w:rsid w:val="00EF0E21"/>
    <w:rsid w:val="00EF0F62"/>
    <w:rsid w:val="00EF0FA7"/>
    <w:rsid w:val="00EF107A"/>
    <w:rsid w:val="00EF1139"/>
    <w:rsid w:val="00EF1279"/>
    <w:rsid w:val="00EF132C"/>
    <w:rsid w:val="00EF143F"/>
    <w:rsid w:val="00EF15B3"/>
    <w:rsid w:val="00EF15C3"/>
    <w:rsid w:val="00EF166E"/>
    <w:rsid w:val="00EF168C"/>
    <w:rsid w:val="00EF17A8"/>
    <w:rsid w:val="00EF198F"/>
    <w:rsid w:val="00EF1994"/>
    <w:rsid w:val="00EF1B53"/>
    <w:rsid w:val="00EF1B58"/>
    <w:rsid w:val="00EF1CE3"/>
    <w:rsid w:val="00EF1D2A"/>
    <w:rsid w:val="00EF1D3D"/>
    <w:rsid w:val="00EF2063"/>
    <w:rsid w:val="00EF213C"/>
    <w:rsid w:val="00EF233F"/>
    <w:rsid w:val="00EF250F"/>
    <w:rsid w:val="00EF2570"/>
    <w:rsid w:val="00EF25A8"/>
    <w:rsid w:val="00EF2772"/>
    <w:rsid w:val="00EF27DA"/>
    <w:rsid w:val="00EF28B3"/>
    <w:rsid w:val="00EF2A98"/>
    <w:rsid w:val="00EF2AE5"/>
    <w:rsid w:val="00EF2AEE"/>
    <w:rsid w:val="00EF2B06"/>
    <w:rsid w:val="00EF2C2E"/>
    <w:rsid w:val="00EF2DAB"/>
    <w:rsid w:val="00EF2DF6"/>
    <w:rsid w:val="00EF2F7A"/>
    <w:rsid w:val="00EF2F7C"/>
    <w:rsid w:val="00EF2FB5"/>
    <w:rsid w:val="00EF3048"/>
    <w:rsid w:val="00EF3082"/>
    <w:rsid w:val="00EF311F"/>
    <w:rsid w:val="00EF319B"/>
    <w:rsid w:val="00EF329B"/>
    <w:rsid w:val="00EF32E0"/>
    <w:rsid w:val="00EF3336"/>
    <w:rsid w:val="00EF33F4"/>
    <w:rsid w:val="00EF344C"/>
    <w:rsid w:val="00EF345C"/>
    <w:rsid w:val="00EF3486"/>
    <w:rsid w:val="00EF34F1"/>
    <w:rsid w:val="00EF360A"/>
    <w:rsid w:val="00EF3801"/>
    <w:rsid w:val="00EF394F"/>
    <w:rsid w:val="00EF39B5"/>
    <w:rsid w:val="00EF39EF"/>
    <w:rsid w:val="00EF3A31"/>
    <w:rsid w:val="00EF3C24"/>
    <w:rsid w:val="00EF3CC9"/>
    <w:rsid w:val="00EF3DA7"/>
    <w:rsid w:val="00EF4069"/>
    <w:rsid w:val="00EF41DF"/>
    <w:rsid w:val="00EF4378"/>
    <w:rsid w:val="00EF43E2"/>
    <w:rsid w:val="00EF44B4"/>
    <w:rsid w:val="00EF471D"/>
    <w:rsid w:val="00EF476B"/>
    <w:rsid w:val="00EF4999"/>
    <w:rsid w:val="00EF4A3A"/>
    <w:rsid w:val="00EF4AAB"/>
    <w:rsid w:val="00EF4AC4"/>
    <w:rsid w:val="00EF4B5B"/>
    <w:rsid w:val="00EF4BF2"/>
    <w:rsid w:val="00EF5086"/>
    <w:rsid w:val="00EF5147"/>
    <w:rsid w:val="00EF527B"/>
    <w:rsid w:val="00EF5287"/>
    <w:rsid w:val="00EF5446"/>
    <w:rsid w:val="00EF54FD"/>
    <w:rsid w:val="00EF55A2"/>
    <w:rsid w:val="00EF5952"/>
    <w:rsid w:val="00EF59E1"/>
    <w:rsid w:val="00EF5DF3"/>
    <w:rsid w:val="00EF5FE2"/>
    <w:rsid w:val="00EF603D"/>
    <w:rsid w:val="00EF6274"/>
    <w:rsid w:val="00EF6291"/>
    <w:rsid w:val="00EF62B7"/>
    <w:rsid w:val="00EF6302"/>
    <w:rsid w:val="00EF63B2"/>
    <w:rsid w:val="00EF63D9"/>
    <w:rsid w:val="00EF63EA"/>
    <w:rsid w:val="00EF6400"/>
    <w:rsid w:val="00EF6468"/>
    <w:rsid w:val="00EF64E6"/>
    <w:rsid w:val="00EF65EF"/>
    <w:rsid w:val="00EF66A9"/>
    <w:rsid w:val="00EF67AF"/>
    <w:rsid w:val="00EF6807"/>
    <w:rsid w:val="00EF6851"/>
    <w:rsid w:val="00EF6925"/>
    <w:rsid w:val="00EF6957"/>
    <w:rsid w:val="00EF69D1"/>
    <w:rsid w:val="00EF6A79"/>
    <w:rsid w:val="00EF6AD3"/>
    <w:rsid w:val="00EF6D30"/>
    <w:rsid w:val="00EF6D91"/>
    <w:rsid w:val="00EF6E77"/>
    <w:rsid w:val="00EF6F21"/>
    <w:rsid w:val="00EF706D"/>
    <w:rsid w:val="00EF70CC"/>
    <w:rsid w:val="00EF710F"/>
    <w:rsid w:val="00EF718C"/>
    <w:rsid w:val="00EF7219"/>
    <w:rsid w:val="00EF7259"/>
    <w:rsid w:val="00EF7298"/>
    <w:rsid w:val="00EF73CA"/>
    <w:rsid w:val="00EF75DA"/>
    <w:rsid w:val="00EF76D8"/>
    <w:rsid w:val="00EF77D3"/>
    <w:rsid w:val="00EF7860"/>
    <w:rsid w:val="00EF78D9"/>
    <w:rsid w:val="00EF7941"/>
    <w:rsid w:val="00EF7A8D"/>
    <w:rsid w:val="00EF7AE8"/>
    <w:rsid w:val="00EF7CC0"/>
    <w:rsid w:val="00EF7E13"/>
    <w:rsid w:val="00EF7F1E"/>
    <w:rsid w:val="00F00090"/>
    <w:rsid w:val="00F001AE"/>
    <w:rsid w:val="00F003B1"/>
    <w:rsid w:val="00F004D0"/>
    <w:rsid w:val="00F0072C"/>
    <w:rsid w:val="00F00814"/>
    <w:rsid w:val="00F008A8"/>
    <w:rsid w:val="00F008C4"/>
    <w:rsid w:val="00F009AA"/>
    <w:rsid w:val="00F00D9B"/>
    <w:rsid w:val="00F00DAA"/>
    <w:rsid w:val="00F00E4E"/>
    <w:rsid w:val="00F00F54"/>
    <w:rsid w:val="00F00FEA"/>
    <w:rsid w:val="00F01032"/>
    <w:rsid w:val="00F01089"/>
    <w:rsid w:val="00F0131D"/>
    <w:rsid w:val="00F0145C"/>
    <w:rsid w:val="00F0154D"/>
    <w:rsid w:val="00F01585"/>
    <w:rsid w:val="00F016AA"/>
    <w:rsid w:val="00F0175E"/>
    <w:rsid w:val="00F017A7"/>
    <w:rsid w:val="00F017A9"/>
    <w:rsid w:val="00F0191B"/>
    <w:rsid w:val="00F0198A"/>
    <w:rsid w:val="00F01A38"/>
    <w:rsid w:val="00F01EA4"/>
    <w:rsid w:val="00F01EE4"/>
    <w:rsid w:val="00F01FC3"/>
    <w:rsid w:val="00F021F4"/>
    <w:rsid w:val="00F02346"/>
    <w:rsid w:val="00F023BF"/>
    <w:rsid w:val="00F02554"/>
    <w:rsid w:val="00F0257F"/>
    <w:rsid w:val="00F0260B"/>
    <w:rsid w:val="00F026D9"/>
    <w:rsid w:val="00F0271E"/>
    <w:rsid w:val="00F028F4"/>
    <w:rsid w:val="00F0295D"/>
    <w:rsid w:val="00F029C4"/>
    <w:rsid w:val="00F02A25"/>
    <w:rsid w:val="00F02A86"/>
    <w:rsid w:val="00F02AAD"/>
    <w:rsid w:val="00F02AC7"/>
    <w:rsid w:val="00F02D14"/>
    <w:rsid w:val="00F02E0C"/>
    <w:rsid w:val="00F0302D"/>
    <w:rsid w:val="00F030A9"/>
    <w:rsid w:val="00F03296"/>
    <w:rsid w:val="00F0342B"/>
    <w:rsid w:val="00F0343C"/>
    <w:rsid w:val="00F0350C"/>
    <w:rsid w:val="00F0398D"/>
    <w:rsid w:val="00F03A54"/>
    <w:rsid w:val="00F03C76"/>
    <w:rsid w:val="00F03CC1"/>
    <w:rsid w:val="00F03CF2"/>
    <w:rsid w:val="00F03CF4"/>
    <w:rsid w:val="00F03F0B"/>
    <w:rsid w:val="00F03F50"/>
    <w:rsid w:val="00F03F81"/>
    <w:rsid w:val="00F0433E"/>
    <w:rsid w:val="00F0437A"/>
    <w:rsid w:val="00F0451B"/>
    <w:rsid w:val="00F04526"/>
    <w:rsid w:val="00F047D1"/>
    <w:rsid w:val="00F047FA"/>
    <w:rsid w:val="00F0487B"/>
    <w:rsid w:val="00F048B4"/>
    <w:rsid w:val="00F0497E"/>
    <w:rsid w:val="00F04996"/>
    <w:rsid w:val="00F04B61"/>
    <w:rsid w:val="00F04C9C"/>
    <w:rsid w:val="00F04CC7"/>
    <w:rsid w:val="00F04D5B"/>
    <w:rsid w:val="00F04E8C"/>
    <w:rsid w:val="00F05005"/>
    <w:rsid w:val="00F0500C"/>
    <w:rsid w:val="00F05556"/>
    <w:rsid w:val="00F05581"/>
    <w:rsid w:val="00F055EF"/>
    <w:rsid w:val="00F056A2"/>
    <w:rsid w:val="00F058ED"/>
    <w:rsid w:val="00F059E2"/>
    <w:rsid w:val="00F059F7"/>
    <w:rsid w:val="00F05A1F"/>
    <w:rsid w:val="00F05AE9"/>
    <w:rsid w:val="00F05B5A"/>
    <w:rsid w:val="00F05B63"/>
    <w:rsid w:val="00F05BFB"/>
    <w:rsid w:val="00F05C2E"/>
    <w:rsid w:val="00F05C36"/>
    <w:rsid w:val="00F05CCA"/>
    <w:rsid w:val="00F05D0A"/>
    <w:rsid w:val="00F05D10"/>
    <w:rsid w:val="00F05D16"/>
    <w:rsid w:val="00F05D3B"/>
    <w:rsid w:val="00F05D98"/>
    <w:rsid w:val="00F05E22"/>
    <w:rsid w:val="00F060C8"/>
    <w:rsid w:val="00F0617C"/>
    <w:rsid w:val="00F062B5"/>
    <w:rsid w:val="00F06655"/>
    <w:rsid w:val="00F06855"/>
    <w:rsid w:val="00F06A7C"/>
    <w:rsid w:val="00F06A96"/>
    <w:rsid w:val="00F06BCD"/>
    <w:rsid w:val="00F06CE2"/>
    <w:rsid w:val="00F06E3C"/>
    <w:rsid w:val="00F06EBD"/>
    <w:rsid w:val="00F06EED"/>
    <w:rsid w:val="00F06F05"/>
    <w:rsid w:val="00F071E8"/>
    <w:rsid w:val="00F071EE"/>
    <w:rsid w:val="00F0735C"/>
    <w:rsid w:val="00F073B0"/>
    <w:rsid w:val="00F07406"/>
    <w:rsid w:val="00F0775C"/>
    <w:rsid w:val="00F078E5"/>
    <w:rsid w:val="00F07A27"/>
    <w:rsid w:val="00F07B3F"/>
    <w:rsid w:val="00F07BD8"/>
    <w:rsid w:val="00F07C1B"/>
    <w:rsid w:val="00F07D49"/>
    <w:rsid w:val="00F07E3F"/>
    <w:rsid w:val="00F07EAC"/>
    <w:rsid w:val="00F07EAE"/>
    <w:rsid w:val="00F07F5A"/>
    <w:rsid w:val="00F100E8"/>
    <w:rsid w:val="00F1046C"/>
    <w:rsid w:val="00F109F7"/>
    <w:rsid w:val="00F10ACE"/>
    <w:rsid w:val="00F10BC4"/>
    <w:rsid w:val="00F10CFF"/>
    <w:rsid w:val="00F10D0F"/>
    <w:rsid w:val="00F10D63"/>
    <w:rsid w:val="00F10DDF"/>
    <w:rsid w:val="00F10E55"/>
    <w:rsid w:val="00F10EF4"/>
    <w:rsid w:val="00F1100D"/>
    <w:rsid w:val="00F11031"/>
    <w:rsid w:val="00F1114E"/>
    <w:rsid w:val="00F111CB"/>
    <w:rsid w:val="00F113C4"/>
    <w:rsid w:val="00F113F4"/>
    <w:rsid w:val="00F1148F"/>
    <w:rsid w:val="00F114AA"/>
    <w:rsid w:val="00F114E5"/>
    <w:rsid w:val="00F115AE"/>
    <w:rsid w:val="00F116B3"/>
    <w:rsid w:val="00F116E3"/>
    <w:rsid w:val="00F117E5"/>
    <w:rsid w:val="00F118BA"/>
    <w:rsid w:val="00F1195B"/>
    <w:rsid w:val="00F119F3"/>
    <w:rsid w:val="00F11A8F"/>
    <w:rsid w:val="00F11B5E"/>
    <w:rsid w:val="00F11C17"/>
    <w:rsid w:val="00F11C3F"/>
    <w:rsid w:val="00F11D44"/>
    <w:rsid w:val="00F11D7B"/>
    <w:rsid w:val="00F11DCB"/>
    <w:rsid w:val="00F11E7A"/>
    <w:rsid w:val="00F11EB2"/>
    <w:rsid w:val="00F12033"/>
    <w:rsid w:val="00F1255E"/>
    <w:rsid w:val="00F12615"/>
    <w:rsid w:val="00F12639"/>
    <w:rsid w:val="00F1265B"/>
    <w:rsid w:val="00F12728"/>
    <w:rsid w:val="00F1272E"/>
    <w:rsid w:val="00F12AFD"/>
    <w:rsid w:val="00F12BED"/>
    <w:rsid w:val="00F12CA0"/>
    <w:rsid w:val="00F12D9E"/>
    <w:rsid w:val="00F12EA7"/>
    <w:rsid w:val="00F12FDF"/>
    <w:rsid w:val="00F131B7"/>
    <w:rsid w:val="00F1339A"/>
    <w:rsid w:val="00F13414"/>
    <w:rsid w:val="00F1345C"/>
    <w:rsid w:val="00F1346B"/>
    <w:rsid w:val="00F134F8"/>
    <w:rsid w:val="00F1355F"/>
    <w:rsid w:val="00F135D0"/>
    <w:rsid w:val="00F135DD"/>
    <w:rsid w:val="00F138C4"/>
    <w:rsid w:val="00F1391C"/>
    <w:rsid w:val="00F13A94"/>
    <w:rsid w:val="00F13B24"/>
    <w:rsid w:val="00F13B84"/>
    <w:rsid w:val="00F13C5E"/>
    <w:rsid w:val="00F13D49"/>
    <w:rsid w:val="00F13E45"/>
    <w:rsid w:val="00F13EF3"/>
    <w:rsid w:val="00F14417"/>
    <w:rsid w:val="00F1498B"/>
    <w:rsid w:val="00F149D7"/>
    <w:rsid w:val="00F14B29"/>
    <w:rsid w:val="00F14B7A"/>
    <w:rsid w:val="00F14E66"/>
    <w:rsid w:val="00F14F48"/>
    <w:rsid w:val="00F14F5F"/>
    <w:rsid w:val="00F1508A"/>
    <w:rsid w:val="00F151BB"/>
    <w:rsid w:val="00F153A4"/>
    <w:rsid w:val="00F1541A"/>
    <w:rsid w:val="00F15462"/>
    <w:rsid w:val="00F1552C"/>
    <w:rsid w:val="00F15587"/>
    <w:rsid w:val="00F1561B"/>
    <w:rsid w:val="00F15842"/>
    <w:rsid w:val="00F158E3"/>
    <w:rsid w:val="00F159CF"/>
    <w:rsid w:val="00F15B38"/>
    <w:rsid w:val="00F15B55"/>
    <w:rsid w:val="00F15E2A"/>
    <w:rsid w:val="00F15E35"/>
    <w:rsid w:val="00F15EE0"/>
    <w:rsid w:val="00F15EEE"/>
    <w:rsid w:val="00F16061"/>
    <w:rsid w:val="00F1606F"/>
    <w:rsid w:val="00F1611A"/>
    <w:rsid w:val="00F1614B"/>
    <w:rsid w:val="00F161AE"/>
    <w:rsid w:val="00F162AB"/>
    <w:rsid w:val="00F1639F"/>
    <w:rsid w:val="00F16484"/>
    <w:rsid w:val="00F164DC"/>
    <w:rsid w:val="00F1654D"/>
    <w:rsid w:val="00F16573"/>
    <w:rsid w:val="00F16621"/>
    <w:rsid w:val="00F166CF"/>
    <w:rsid w:val="00F16760"/>
    <w:rsid w:val="00F16773"/>
    <w:rsid w:val="00F16786"/>
    <w:rsid w:val="00F167B8"/>
    <w:rsid w:val="00F168EF"/>
    <w:rsid w:val="00F16B8B"/>
    <w:rsid w:val="00F16BD4"/>
    <w:rsid w:val="00F16CBF"/>
    <w:rsid w:val="00F16E94"/>
    <w:rsid w:val="00F16EA2"/>
    <w:rsid w:val="00F16F62"/>
    <w:rsid w:val="00F1702B"/>
    <w:rsid w:val="00F17052"/>
    <w:rsid w:val="00F1705F"/>
    <w:rsid w:val="00F170EB"/>
    <w:rsid w:val="00F17133"/>
    <w:rsid w:val="00F171AF"/>
    <w:rsid w:val="00F1720A"/>
    <w:rsid w:val="00F172DD"/>
    <w:rsid w:val="00F17324"/>
    <w:rsid w:val="00F173A7"/>
    <w:rsid w:val="00F173E4"/>
    <w:rsid w:val="00F1740D"/>
    <w:rsid w:val="00F1749D"/>
    <w:rsid w:val="00F1750B"/>
    <w:rsid w:val="00F1762B"/>
    <w:rsid w:val="00F17669"/>
    <w:rsid w:val="00F1771E"/>
    <w:rsid w:val="00F1787C"/>
    <w:rsid w:val="00F17A98"/>
    <w:rsid w:val="00F17AF7"/>
    <w:rsid w:val="00F17B24"/>
    <w:rsid w:val="00F17BC1"/>
    <w:rsid w:val="00F17DDE"/>
    <w:rsid w:val="00F17DF2"/>
    <w:rsid w:val="00F203D9"/>
    <w:rsid w:val="00F20405"/>
    <w:rsid w:val="00F2040E"/>
    <w:rsid w:val="00F20417"/>
    <w:rsid w:val="00F20452"/>
    <w:rsid w:val="00F204A9"/>
    <w:rsid w:val="00F20617"/>
    <w:rsid w:val="00F20810"/>
    <w:rsid w:val="00F20856"/>
    <w:rsid w:val="00F20AE9"/>
    <w:rsid w:val="00F20BD6"/>
    <w:rsid w:val="00F20BDB"/>
    <w:rsid w:val="00F20C4A"/>
    <w:rsid w:val="00F20C86"/>
    <w:rsid w:val="00F20E57"/>
    <w:rsid w:val="00F20FD2"/>
    <w:rsid w:val="00F20FDD"/>
    <w:rsid w:val="00F21018"/>
    <w:rsid w:val="00F214DF"/>
    <w:rsid w:val="00F214E4"/>
    <w:rsid w:val="00F215D4"/>
    <w:rsid w:val="00F2163D"/>
    <w:rsid w:val="00F2165F"/>
    <w:rsid w:val="00F216A6"/>
    <w:rsid w:val="00F217F4"/>
    <w:rsid w:val="00F2181E"/>
    <w:rsid w:val="00F218A0"/>
    <w:rsid w:val="00F219DE"/>
    <w:rsid w:val="00F21A1C"/>
    <w:rsid w:val="00F21A92"/>
    <w:rsid w:val="00F21B77"/>
    <w:rsid w:val="00F21C4A"/>
    <w:rsid w:val="00F21D62"/>
    <w:rsid w:val="00F21D6F"/>
    <w:rsid w:val="00F21E4B"/>
    <w:rsid w:val="00F21F0A"/>
    <w:rsid w:val="00F21F14"/>
    <w:rsid w:val="00F21F2A"/>
    <w:rsid w:val="00F21F4F"/>
    <w:rsid w:val="00F21FDA"/>
    <w:rsid w:val="00F220DD"/>
    <w:rsid w:val="00F2212C"/>
    <w:rsid w:val="00F22136"/>
    <w:rsid w:val="00F221E8"/>
    <w:rsid w:val="00F22361"/>
    <w:rsid w:val="00F223B7"/>
    <w:rsid w:val="00F2245F"/>
    <w:rsid w:val="00F2266C"/>
    <w:rsid w:val="00F2270B"/>
    <w:rsid w:val="00F2288D"/>
    <w:rsid w:val="00F22A77"/>
    <w:rsid w:val="00F22B80"/>
    <w:rsid w:val="00F22BAA"/>
    <w:rsid w:val="00F22BC3"/>
    <w:rsid w:val="00F22DAA"/>
    <w:rsid w:val="00F22DEB"/>
    <w:rsid w:val="00F22E76"/>
    <w:rsid w:val="00F230A3"/>
    <w:rsid w:val="00F230CB"/>
    <w:rsid w:val="00F2318B"/>
    <w:rsid w:val="00F23459"/>
    <w:rsid w:val="00F235F3"/>
    <w:rsid w:val="00F23658"/>
    <w:rsid w:val="00F2375C"/>
    <w:rsid w:val="00F23827"/>
    <w:rsid w:val="00F2389B"/>
    <w:rsid w:val="00F238B9"/>
    <w:rsid w:val="00F239C0"/>
    <w:rsid w:val="00F23BA5"/>
    <w:rsid w:val="00F23C4A"/>
    <w:rsid w:val="00F23D4D"/>
    <w:rsid w:val="00F23D95"/>
    <w:rsid w:val="00F23E3E"/>
    <w:rsid w:val="00F23FC3"/>
    <w:rsid w:val="00F2426C"/>
    <w:rsid w:val="00F24294"/>
    <w:rsid w:val="00F242FD"/>
    <w:rsid w:val="00F24347"/>
    <w:rsid w:val="00F243C8"/>
    <w:rsid w:val="00F2496C"/>
    <w:rsid w:val="00F24AC6"/>
    <w:rsid w:val="00F24B65"/>
    <w:rsid w:val="00F24BFB"/>
    <w:rsid w:val="00F24CB2"/>
    <w:rsid w:val="00F24E44"/>
    <w:rsid w:val="00F24E7D"/>
    <w:rsid w:val="00F24EA5"/>
    <w:rsid w:val="00F25093"/>
    <w:rsid w:val="00F2558D"/>
    <w:rsid w:val="00F255E9"/>
    <w:rsid w:val="00F255FD"/>
    <w:rsid w:val="00F2560F"/>
    <w:rsid w:val="00F25715"/>
    <w:rsid w:val="00F257A1"/>
    <w:rsid w:val="00F257FD"/>
    <w:rsid w:val="00F25936"/>
    <w:rsid w:val="00F25B89"/>
    <w:rsid w:val="00F25BE0"/>
    <w:rsid w:val="00F25D56"/>
    <w:rsid w:val="00F25DB1"/>
    <w:rsid w:val="00F25E8A"/>
    <w:rsid w:val="00F25F17"/>
    <w:rsid w:val="00F26113"/>
    <w:rsid w:val="00F2618A"/>
    <w:rsid w:val="00F26374"/>
    <w:rsid w:val="00F263A7"/>
    <w:rsid w:val="00F2641B"/>
    <w:rsid w:val="00F26527"/>
    <w:rsid w:val="00F265D4"/>
    <w:rsid w:val="00F266B5"/>
    <w:rsid w:val="00F266DE"/>
    <w:rsid w:val="00F26958"/>
    <w:rsid w:val="00F26B4A"/>
    <w:rsid w:val="00F26BA9"/>
    <w:rsid w:val="00F26C39"/>
    <w:rsid w:val="00F26ED3"/>
    <w:rsid w:val="00F26FCC"/>
    <w:rsid w:val="00F27316"/>
    <w:rsid w:val="00F27376"/>
    <w:rsid w:val="00F274F2"/>
    <w:rsid w:val="00F2754B"/>
    <w:rsid w:val="00F275CD"/>
    <w:rsid w:val="00F275E5"/>
    <w:rsid w:val="00F27674"/>
    <w:rsid w:val="00F276BE"/>
    <w:rsid w:val="00F276F6"/>
    <w:rsid w:val="00F27776"/>
    <w:rsid w:val="00F2790D"/>
    <w:rsid w:val="00F27CCD"/>
    <w:rsid w:val="00F27D4E"/>
    <w:rsid w:val="00F27E01"/>
    <w:rsid w:val="00F27ED1"/>
    <w:rsid w:val="00F27F00"/>
    <w:rsid w:val="00F27F36"/>
    <w:rsid w:val="00F27FD2"/>
    <w:rsid w:val="00F30015"/>
    <w:rsid w:val="00F30021"/>
    <w:rsid w:val="00F30258"/>
    <w:rsid w:val="00F303DA"/>
    <w:rsid w:val="00F3059C"/>
    <w:rsid w:val="00F30689"/>
    <w:rsid w:val="00F30724"/>
    <w:rsid w:val="00F307E9"/>
    <w:rsid w:val="00F30872"/>
    <w:rsid w:val="00F3091D"/>
    <w:rsid w:val="00F3098F"/>
    <w:rsid w:val="00F309A2"/>
    <w:rsid w:val="00F30B06"/>
    <w:rsid w:val="00F30B2E"/>
    <w:rsid w:val="00F30B6E"/>
    <w:rsid w:val="00F30B85"/>
    <w:rsid w:val="00F30C68"/>
    <w:rsid w:val="00F30D23"/>
    <w:rsid w:val="00F30DD9"/>
    <w:rsid w:val="00F30E16"/>
    <w:rsid w:val="00F30E9F"/>
    <w:rsid w:val="00F31042"/>
    <w:rsid w:val="00F310D2"/>
    <w:rsid w:val="00F31161"/>
    <w:rsid w:val="00F31236"/>
    <w:rsid w:val="00F313A9"/>
    <w:rsid w:val="00F3167E"/>
    <w:rsid w:val="00F31751"/>
    <w:rsid w:val="00F317DD"/>
    <w:rsid w:val="00F3188A"/>
    <w:rsid w:val="00F31A56"/>
    <w:rsid w:val="00F31AD3"/>
    <w:rsid w:val="00F31D02"/>
    <w:rsid w:val="00F31EFA"/>
    <w:rsid w:val="00F31EFC"/>
    <w:rsid w:val="00F31F30"/>
    <w:rsid w:val="00F31F33"/>
    <w:rsid w:val="00F320CB"/>
    <w:rsid w:val="00F3212D"/>
    <w:rsid w:val="00F3215D"/>
    <w:rsid w:val="00F3216C"/>
    <w:rsid w:val="00F321A7"/>
    <w:rsid w:val="00F3226F"/>
    <w:rsid w:val="00F322B7"/>
    <w:rsid w:val="00F32444"/>
    <w:rsid w:val="00F3249D"/>
    <w:rsid w:val="00F327A5"/>
    <w:rsid w:val="00F327B9"/>
    <w:rsid w:val="00F327F9"/>
    <w:rsid w:val="00F32AFF"/>
    <w:rsid w:val="00F32CC0"/>
    <w:rsid w:val="00F32F33"/>
    <w:rsid w:val="00F33051"/>
    <w:rsid w:val="00F33093"/>
    <w:rsid w:val="00F3317F"/>
    <w:rsid w:val="00F332B8"/>
    <w:rsid w:val="00F3386D"/>
    <w:rsid w:val="00F33A2A"/>
    <w:rsid w:val="00F33AF2"/>
    <w:rsid w:val="00F33C0A"/>
    <w:rsid w:val="00F33E0F"/>
    <w:rsid w:val="00F34101"/>
    <w:rsid w:val="00F342E2"/>
    <w:rsid w:val="00F34323"/>
    <w:rsid w:val="00F345C5"/>
    <w:rsid w:val="00F34665"/>
    <w:rsid w:val="00F3483E"/>
    <w:rsid w:val="00F34879"/>
    <w:rsid w:val="00F348CD"/>
    <w:rsid w:val="00F349AD"/>
    <w:rsid w:val="00F34B6B"/>
    <w:rsid w:val="00F34BF6"/>
    <w:rsid w:val="00F34D10"/>
    <w:rsid w:val="00F34F68"/>
    <w:rsid w:val="00F34F76"/>
    <w:rsid w:val="00F3512F"/>
    <w:rsid w:val="00F35260"/>
    <w:rsid w:val="00F3526C"/>
    <w:rsid w:val="00F35377"/>
    <w:rsid w:val="00F353A4"/>
    <w:rsid w:val="00F353FD"/>
    <w:rsid w:val="00F354D1"/>
    <w:rsid w:val="00F35520"/>
    <w:rsid w:val="00F3582A"/>
    <w:rsid w:val="00F35A4E"/>
    <w:rsid w:val="00F35B84"/>
    <w:rsid w:val="00F35BD5"/>
    <w:rsid w:val="00F35BE4"/>
    <w:rsid w:val="00F35BF0"/>
    <w:rsid w:val="00F35C9C"/>
    <w:rsid w:val="00F35D0F"/>
    <w:rsid w:val="00F35D1E"/>
    <w:rsid w:val="00F35EAC"/>
    <w:rsid w:val="00F35F3B"/>
    <w:rsid w:val="00F3604B"/>
    <w:rsid w:val="00F360CA"/>
    <w:rsid w:val="00F36152"/>
    <w:rsid w:val="00F361C6"/>
    <w:rsid w:val="00F362A8"/>
    <w:rsid w:val="00F36321"/>
    <w:rsid w:val="00F36333"/>
    <w:rsid w:val="00F363C1"/>
    <w:rsid w:val="00F3644E"/>
    <w:rsid w:val="00F365D6"/>
    <w:rsid w:val="00F3662C"/>
    <w:rsid w:val="00F36782"/>
    <w:rsid w:val="00F36813"/>
    <w:rsid w:val="00F368E7"/>
    <w:rsid w:val="00F36C85"/>
    <w:rsid w:val="00F36C86"/>
    <w:rsid w:val="00F36CCD"/>
    <w:rsid w:val="00F36DEC"/>
    <w:rsid w:val="00F36E10"/>
    <w:rsid w:val="00F36FC2"/>
    <w:rsid w:val="00F37195"/>
    <w:rsid w:val="00F3724F"/>
    <w:rsid w:val="00F372BB"/>
    <w:rsid w:val="00F37355"/>
    <w:rsid w:val="00F37450"/>
    <w:rsid w:val="00F3752B"/>
    <w:rsid w:val="00F3754E"/>
    <w:rsid w:val="00F37569"/>
    <w:rsid w:val="00F37637"/>
    <w:rsid w:val="00F37715"/>
    <w:rsid w:val="00F377E1"/>
    <w:rsid w:val="00F377F3"/>
    <w:rsid w:val="00F37817"/>
    <w:rsid w:val="00F37882"/>
    <w:rsid w:val="00F37960"/>
    <w:rsid w:val="00F379D3"/>
    <w:rsid w:val="00F37C44"/>
    <w:rsid w:val="00F37C74"/>
    <w:rsid w:val="00F37D14"/>
    <w:rsid w:val="00F37E9F"/>
    <w:rsid w:val="00F37F50"/>
    <w:rsid w:val="00F37F57"/>
    <w:rsid w:val="00F397A2"/>
    <w:rsid w:val="00F40009"/>
    <w:rsid w:val="00F40013"/>
    <w:rsid w:val="00F40124"/>
    <w:rsid w:val="00F40207"/>
    <w:rsid w:val="00F40459"/>
    <w:rsid w:val="00F4063A"/>
    <w:rsid w:val="00F40798"/>
    <w:rsid w:val="00F40828"/>
    <w:rsid w:val="00F4088B"/>
    <w:rsid w:val="00F408FC"/>
    <w:rsid w:val="00F40952"/>
    <w:rsid w:val="00F40AAA"/>
    <w:rsid w:val="00F40ACE"/>
    <w:rsid w:val="00F40C0F"/>
    <w:rsid w:val="00F40F64"/>
    <w:rsid w:val="00F410B5"/>
    <w:rsid w:val="00F4124B"/>
    <w:rsid w:val="00F41267"/>
    <w:rsid w:val="00F41414"/>
    <w:rsid w:val="00F4146D"/>
    <w:rsid w:val="00F41482"/>
    <w:rsid w:val="00F414D9"/>
    <w:rsid w:val="00F4155E"/>
    <w:rsid w:val="00F4163E"/>
    <w:rsid w:val="00F41677"/>
    <w:rsid w:val="00F41689"/>
    <w:rsid w:val="00F416EA"/>
    <w:rsid w:val="00F417A2"/>
    <w:rsid w:val="00F417AE"/>
    <w:rsid w:val="00F417CE"/>
    <w:rsid w:val="00F418BE"/>
    <w:rsid w:val="00F418D2"/>
    <w:rsid w:val="00F4198C"/>
    <w:rsid w:val="00F41B3A"/>
    <w:rsid w:val="00F41E1C"/>
    <w:rsid w:val="00F41EA5"/>
    <w:rsid w:val="00F41F8F"/>
    <w:rsid w:val="00F4212F"/>
    <w:rsid w:val="00F421C1"/>
    <w:rsid w:val="00F42208"/>
    <w:rsid w:val="00F426FD"/>
    <w:rsid w:val="00F4281A"/>
    <w:rsid w:val="00F4282D"/>
    <w:rsid w:val="00F42C48"/>
    <w:rsid w:val="00F42D0C"/>
    <w:rsid w:val="00F42D64"/>
    <w:rsid w:val="00F42DFD"/>
    <w:rsid w:val="00F42FC4"/>
    <w:rsid w:val="00F430DD"/>
    <w:rsid w:val="00F433B2"/>
    <w:rsid w:val="00F434BD"/>
    <w:rsid w:val="00F434D4"/>
    <w:rsid w:val="00F43692"/>
    <w:rsid w:val="00F4384A"/>
    <w:rsid w:val="00F43A72"/>
    <w:rsid w:val="00F43B48"/>
    <w:rsid w:val="00F43C18"/>
    <w:rsid w:val="00F43CA3"/>
    <w:rsid w:val="00F43CAB"/>
    <w:rsid w:val="00F43D27"/>
    <w:rsid w:val="00F43DB1"/>
    <w:rsid w:val="00F43E9A"/>
    <w:rsid w:val="00F43F1F"/>
    <w:rsid w:val="00F44160"/>
    <w:rsid w:val="00F44169"/>
    <w:rsid w:val="00F4442A"/>
    <w:rsid w:val="00F445CB"/>
    <w:rsid w:val="00F44614"/>
    <w:rsid w:val="00F4469F"/>
    <w:rsid w:val="00F44724"/>
    <w:rsid w:val="00F44A04"/>
    <w:rsid w:val="00F44AD5"/>
    <w:rsid w:val="00F44B26"/>
    <w:rsid w:val="00F44B95"/>
    <w:rsid w:val="00F44C49"/>
    <w:rsid w:val="00F44C6C"/>
    <w:rsid w:val="00F44CC0"/>
    <w:rsid w:val="00F44CEA"/>
    <w:rsid w:val="00F44E4A"/>
    <w:rsid w:val="00F4510D"/>
    <w:rsid w:val="00F45394"/>
    <w:rsid w:val="00F45416"/>
    <w:rsid w:val="00F4551A"/>
    <w:rsid w:val="00F4557E"/>
    <w:rsid w:val="00F4561D"/>
    <w:rsid w:val="00F45644"/>
    <w:rsid w:val="00F456F3"/>
    <w:rsid w:val="00F45789"/>
    <w:rsid w:val="00F458A4"/>
    <w:rsid w:val="00F45A32"/>
    <w:rsid w:val="00F45A96"/>
    <w:rsid w:val="00F45B75"/>
    <w:rsid w:val="00F45C03"/>
    <w:rsid w:val="00F45C76"/>
    <w:rsid w:val="00F45DFB"/>
    <w:rsid w:val="00F45E2F"/>
    <w:rsid w:val="00F45EE4"/>
    <w:rsid w:val="00F45F91"/>
    <w:rsid w:val="00F460C6"/>
    <w:rsid w:val="00F460E2"/>
    <w:rsid w:val="00F46214"/>
    <w:rsid w:val="00F4631A"/>
    <w:rsid w:val="00F4636E"/>
    <w:rsid w:val="00F4637A"/>
    <w:rsid w:val="00F46426"/>
    <w:rsid w:val="00F46460"/>
    <w:rsid w:val="00F46632"/>
    <w:rsid w:val="00F46676"/>
    <w:rsid w:val="00F46758"/>
    <w:rsid w:val="00F4687D"/>
    <w:rsid w:val="00F4690A"/>
    <w:rsid w:val="00F469BB"/>
    <w:rsid w:val="00F46A80"/>
    <w:rsid w:val="00F46B10"/>
    <w:rsid w:val="00F46E0D"/>
    <w:rsid w:val="00F4725B"/>
    <w:rsid w:val="00F472C8"/>
    <w:rsid w:val="00F47345"/>
    <w:rsid w:val="00F47394"/>
    <w:rsid w:val="00F47452"/>
    <w:rsid w:val="00F47486"/>
    <w:rsid w:val="00F475DA"/>
    <w:rsid w:val="00F475FE"/>
    <w:rsid w:val="00F475FF"/>
    <w:rsid w:val="00F4778A"/>
    <w:rsid w:val="00F47798"/>
    <w:rsid w:val="00F47A10"/>
    <w:rsid w:val="00F47A69"/>
    <w:rsid w:val="00F47AB4"/>
    <w:rsid w:val="00F47C01"/>
    <w:rsid w:val="00F47C37"/>
    <w:rsid w:val="00F47DF4"/>
    <w:rsid w:val="00F47E65"/>
    <w:rsid w:val="00F47FDD"/>
    <w:rsid w:val="00F5001F"/>
    <w:rsid w:val="00F50313"/>
    <w:rsid w:val="00F503EA"/>
    <w:rsid w:val="00F50490"/>
    <w:rsid w:val="00F5058C"/>
    <w:rsid w:val="00F50610"/>
    <w:rsid w:val="00F508AE"/>
    <w:rsid w:val="00F5091D"/>
    <w:rsid w:val="00F509B0"/>
    <w:rsid w:val="00F50D97"/>
    <w:rsid w:val="00F50EDA"/>
    <w:rsid w:val="00F51085"/>
    <w:rsid w:val="00F51158"/>
    <w:rsid w:val="00F511D3"/>
    <w:rsid w:val="00F51299"/>
    <w:rsid w:val="00F513B7"/>
    <w:rsid w:val="00F513DB"/>
    <w:rsid w:val="00F513F7"/>
    <w:rsid w:val="00F513FA"/>
    <w:rsid w:val="00F515C5"/>
    <w:rsid w:val="00F515D4"/>
    <w:rsid w:val="00F51668"/>
    <w:rsid w:val="00F517C7"/>
    <w:rsid w:val="00F51ACF"/>
    <w:rsid w:val="00F51B34"/>
    <w:rsid w:val="00F51B7D"/>
    <w:rsid w:val="00F51BD3"/>
    <w:rsid w:val="00F51D81"/>
    <w:rsid w:val="00F51DB8"/>
    <w:rsid w:val="00F51F4D"/>
    <w:rsid w:val="00F52045"/>
    <w:rsid w:val="00F5205D"/>
    <w:rsid w:val="00F52126"/>
    <w:rsid w:val="00F52146"/>
    <w:rsid w:val="00F5222B"/>
    <w:rsid w:val="00F52231"/>
    <w:rsid w:val="00F52292"/>
    <w:rsid w:val="00F522C6"/>
    <w:rsid w:val="00F522CC"/>
    <w:rsid w:val="00F522EA"/>
    <w:rsid w:val="00F52300"/>
    <w:rsid w:val="00F523C4"/>
    <w:rsid w:val="00F524E3"/>
    <w:rsid w:val="00F525E8"/>
    <w:rsid w:val="00F525FE"/>
    <w:rsid w:val="00F526F8"/>
    <w:rsid w:val="00F52888"/>
    <w:rsid w:val="00F52AD0"/>
    <w:rsid w:val="00F52D99"/>
    <w:rsid w:val="00F52E0F"/>
    <w:rsid w:val="00F52E41"/>
    <w:rsid w:val="00F52E5B"/>
    <w:rsid w:val="00F52EE0"/>
    <w:rsid w:val="00F5312E"/>
    <w:rsid w:val="00F532FD"/>
    <w:rsid w:val="00F53390"/>
    <w:rsid w:val="00F53525"/>
    <w:rsid w:val="00F5361B"/>
    <w:rsid w:val="00F53690"/>
    <w:rsid w:val="00F53828"/>
    <w:rsid w:val="00F538A1"/>
    <w:rsid w:val="00F538C4"/>
    <w:rsid w:val="00F539F7"/>
    <w:rsid w:val="00F53B5D"/>
    <w:rsid w:val="00F53BAF"/>
    <w:rsid w:val="00F53C0F"/>
    <w:rsid w:val="00F53C41"/>
    <w:rsid w:val="00F53C9D"/>
    <w:rsid w:val="00F53D9C"/>
    <w:rsid w:val="00F53DA4"/>
    <w:rsid w:val="00F53E52"/>
    <w:rsid w:val="00F53FA4"/>
    <w:rsid w:val="00F53FDA"/>
    <w:rsid w:val="00F540A5"/>
    <w:rsid w:val="00F54152"/>
    <w:rsid w:val="00F5420A"/>
    <w:rsid w:val="00F5427A"/>
    <w:rsid w:val="00F543DF"/>
    <w:rsid w:val="00F5440A"/>
    <w:rsid w:val="00F5453D"/>
    <w:rsid w:val="00F545E1"/>
    <w:rsid w:val="00F545F8"/>
    <w:rsid w:val="00F54665"/>
    <w:rsid w:val="00F547A0"/>
    <w:rsid w:val="00F5492C"/>
    <w:rsid w:val="00F54A0E"/>
    <w:rsid w:val="00F54A2C"/>
    <w:rsid w:val="00F54AF1"/>
    <w:rsid w:val="00F54BDE"/>
    <w:rsid w:val="00F54D0F"/>
    <w:rsid w:val="00F54D8B"/>
    <w:rsid w:val="00F54DA3"/>
    <w:rsid w:val="00F54E01"/>
    <w:rsid w:val="00F54E11"/>
    <w:rsid w:val="00F54E89"/>
    <w:rsid w:val="00F552A5"/>
    <w:rsid w:val="00F55330"/>
    <w:rsid w:val="00F55394"/>
    <w:rsid w:val="00F55505"/>
    <w:rsid w:val="00F55529"/>
    <w:rsid w:val="00F5565E"/>
    <w:rsid w:val="00F55712"/>
    <w:rsid w:val="00F5575E"/>
    <w:rsid w:val="00F557B9"/>
    <w:rsid w:val="00F5584A"/>
    <w:rsid w:val="00F5596A"/>
    <w:rsid w:val="00F559ED"/>
    <w:rsid w:val="00F55A2C"/>
    <w:rsid w:val="00F55AF8"/>
    <w:rsid w:val="00F55D5F"/>
    <w:rsid w:val="00F55E9C"/>
    <w:rsid w:val="00F561E2"/>
    <w:rsid w:val="00F5648F"/>
    <w:rsid w:val="00F56515"/>
    <w:rsid w:val="00F56525"/>
    <w:rsid w:val="00F565B7"/>
    <w:rsid w:val="00F566A5"/>
    <w:rsid w:val="00F56803"/>
    <w:rsid w:val="00F5697A"/>
    <w:rsid w:val="00F56A24"/>
    <w:rsid w:val="00F56A47"/>
    <w:rsid w:val="00F56AF1"/>
    <w:rsid w:val="00F56D04"/>
    <w:rsid w:val="00F5702A"/>
    <w:rsid w:val="00F57052"/>
    <w:rsid w:val="00F57228"/>
    <w:rsid w:val="00F5736B"/>
    <w:rsid w:val="00F573D1"/>
    <w:rsid w:val="00F574B6"/>
    <w:rsid w:val="00F577E4"/>
    <w:rsid w:val="00F5789D"/>
    <w:rsid w:val="00F578F5"/>
    <w:rsid w:val="00F57A78"/>
    <w:rsid w:val="00F57A7D"/>
    <w:rsid w:val="00F57AD7"/>
    <w:rsid w:val="00F57B5A"/>
    <w:rsid w:val="00F57CBA"/>
    <w:rsid w:val="00F57CBC"/>
    <w:rsid w:val="00F57DAA"/>
    <w:rsid w:val="00F57DB5"/>
    <w:rsid w:val="00F57E95"/>
    <w:rsid w:val="00F57F03"/>
    <w:rsid w:val="00F57F5C"/>
    <w:rsid w:val="00F60034"/>
    <w:rsid w:val="00F60142"/>
    <w:rsid w:val="00F6024F"/>
    <w:rsid w:val="00F604ED"/>
    <w:rsid w:val="00F605DC"/>
    <w:rsid w:val="00F606EA"/>
    <w:rsid w:val="00F607D4"/>
    <w:rsid w:val="00F6082A"/>
    <w:rsid w:val="00F6086F"/>
    <w:rsid w:val="00F6088A"/>
    <w:rsid w:val="00F60920"/>
    <w:rsid w:val="00F609FA"/>
    <w:rsid w:val="00F60D46"/>
    <w:rsid w:val="00F60D62"/>
    <w:rsid w:val="00F60DC9"/>
    <w:rsid w:val="00F61141"/>
    <w:rsid w:val="00F61231"/>
    <w:rsid w:val="00F61268"/>
    <w:rsid w:val="00F612EE"/>
    <w:rsid w:val="00F614BF"/>
    <w:rsid w:val="00F6163F"/>
    <w:rsid w:val="00F618EB"/>
    <w:rsid w:val="00F61971"/>
    <w:rsid w:val="00F619D4"/>
    <w:rsid w:val="00F61A36"/>
    <w:rsid w:val="00F61AA3"/>
    <w:rsid w:val="00F61CD5"/>
    <w:rsid w:val="00F61D46"/>
    <w:rsid w:val="00F61D93"/>
    <w:rsid w:val="00F61E18"/>
    <w:rsid w:val="00F62182"/>
    <w:rsid w:val="00F62245"/>
    <w:rsid w:val="00F62565"/>
    <w:rsid w:val="00F625B5"/>
    <w:rsid w:val="00F6271C"/>
    <w:rsid w:val="00F6274D"/>
    <w:rsid w:val="00F6275C"/>
    <w:rsid w:val="00F627DB"/>
    <w:rsid w:val="00F62822"/>
    <w:rsid w:val="00F628BA"/>
    <w:rsid w:val="00F628F7"/>
    <w:rsid w:val="00F628FA"/>
    <w:rsid w:val="00F6290D"/>
    <w:rsid w:val="00F62956"/>
    <w:rsid w:val="00F62A19"/>
    <w:rsid w:val="00F62A6C"/>
    <w:rsid w:val="00F62A71"/>
    <w:rsid w:val="00F62B49"/>
    <w:rsid w:val="00F62B7A"/>
    <w:rsid w:val="00F62D66"/>
    <w:rsid w:val="00F62E3F"/>
    <w:rsid w:val="00F62EEE"/>
    <w:rsid w:val="00F6328B"/>
    <w:rsid w:val="00F632BB"/>
    <w:rsid w:val="00F63427"/>
    <w:rsid w:val="00F637F2"/>
    <w:rsid w:val="00F63826"/>
    <w:rsid w:val="00F63964"/>
    <w:rsid w:val="00F6397D"/>
    <w:rsid w:val="00F63B65"/>
    <w:rsid w:val="00F63EBD"/>
    <w:rsid w:val="00F640A3"/>
    <w:rsid w:val="00F6424A"/>
    <w:rsid w:val="00F643FF"/>
    <w:rsid w:val="00F6440B"/>
    <w:rsid w:val="00F645EA"/>
    <w:rsid w:val="00F6464F"/>
    <w:rsid w:val="00F646A7"/>
    <w:rsid w:val="00F64754"/>
    <w:rsid w:val="00F648DF"/>
    <w:rsid w:val="00F64B72"/>
    <w:rsid w:val="00F64C4E"/>
    <w:rsid w:val="00F64D3A"/>
    <w:rsid w:val="00F64F0B"/>
    <w:rsid w:val="00F64F7C"/>
    <w:rsid w:val="00F6529E"/>
    <w:rsid w:val="00F652DE"/>
    <w:rsid w:val="00F653C3"/>
    <w:rsid w:val="00F653E4"/>
    <w:rsid w:val="00F6540E"/>
    <w:rsid w:val="00F654CA"/>
    <w:rsid w:val="00F6554C"/>
    <w:rsid w:val="00F6559F"/>
    <w:rsid w:val="00F655DC"/>
    <w:rsid w:val="00F656DE"/>
    <w:rsid w:val="00F657A4"/>
    <w:rsid w:val="00F657E0"/>
    <w:rsid w:val="00F65872"/>
    <w:rsid w:val="00F658AE"/>
    <w:rsid w:val="00F658CB"/>
    <w:rsid w:val="00F6596D"/>
    <w:rsid w:val="00F65B54"/>
    <w:rsid w:val="00F65CC2"/>
    <w:rsid w:val="00F65D27"/>
    <w:rsid w:val="00F65ED8"/>
    <w:rsid w:val="00F65F1B"/>
    <w:rsid w:val="00F66055"/>
    <w:rsid w:val="00F660F4"/>
    <w:rsid w:val="00F662DB"/>
    <w:rsid w:val="00F663BE"/>
    <w:rsid w:val="00F66441"/>
    <w:rsid w:val="00F664BF"/>
    <w:rsid w:val="00F664FD"/>
    <w:rsid w:val="00F6657F"/>
    <w:rsid w:val="00F665A6"/>
    <w:rsid w:val="00F668D3"/>
    <w:rsid w:val="00F668D4"/>
    <w:rsid w:val="00F669B2"/>
    <w:rsid w:val="00F66A93"/>
    <w:rsid w:val="00F66BFE"/>
    <w:rsid w:val="00F66D54"/>
    <w:rsid w:val="00F66E46"/>
    <w:rsid w:val="00F66EFB"/>
    <w:rsid w:val="00F67028"/>
    <w:rsid w:val="00F670A4"/>
    <w:rsid w:val="00F6714B"/>
    <w:rsid w:val="00F6716F"/>
    <w:rsid w:val="00F671BF"/>
    <w:rsid w:val="00F673A8"/>
    <w:rsid w:val="00F673EF"/>
    <w:rsid w:val="00F6748A"/>
    <w:rsid w:val="00F67698"/>
    <w:rsid w:val="00F67807"/>
    <w:rsid w:val="00F67868"/>
    <w:rsid w:val="00F67A55"/>
    <w:rsid w:val="00F67B74"/>
    <w:rsid w:val="00F67C13"/>
    <w:rsid w:val="00F67C5D"/>
    <w:rsid w:val="00F67C6C"/>
    <w:rsid w:val="00F67C97"/>
    <w:rsid w:val="00F67CEC"/>
    <w:rsid w:val="00F67F35"/>
    <w:rsid w:val="00F67FEB"/>
    <w:rsid w:val="00F7006D"/>
    <w:rsid w:val="00F700A9"/>
    <w:rsid w:val="00F700D0"/>
    <w:rsid w:val="00F70107"/>
    <w:rsid w:val="00F702B6"/>
    <w:rsid w:val="00F70379"/>
    <w:rsid w:val="00F7044A"/>
    <w:rsid w:val="00F70463"/>
    <w:rsid w:val="00F704F5"/>
    <w:rsid w:val="00F705F9"/>
    <w:rsid w:val="00F7088D"/>
    <w:rsid w:val="00F708DF"/>
    <w:rsid w:val="00F70B0A"/>
    <w:rsid w:val="00F70BE6"/>
    <w:rsid w:val="00F70C3A"/>
    <w:rsid w:val="00F70CDA"/>
    <w:rsid w:val="00F70FB3"/>
    <w:rsid w:val="00F70FE1"/>
    <w:rsid w:val="00F70FF1"/>
    <w:rsid w:val="00F71031"/>
    <w:rsid w:val="00F712BA"/>
    <w:rsid w:val="00F713B6"/>
    <w:rsid w:val="00F71515"/>
    <w:rsid w:val="00F715F0"/>
    <w:rsid w:val="00F71685"/>
    <w:rsid w:val="00F71697"/>
    <w:rsid w:val="00F71764"/>
    <w:rsid w:val="00F71790"/>
    <w:rsid w:val="00F717B7"/>
    <w:rsid w:val="00F717FE"/>
    <w:rsid w:val="00F71993"/>
    <w:rsid w:val="00F71C2F"/>
    <w:rsid w:val="00F71F9E"/>
    <w:rsid w:val="00F7204B"/>
    <w:rsid w:val="00F72093"/>
    <w:rsid w:val="00F7234C"/>
    <w:rsid w:val="00F72376"/>
    <w:rsid w:val="00F7240C"/>
    <w:rsid w:val="00F724A6"/>
    <w:rsid w:val="00F724AE"/>
    <w:rsid w:val="00F7251C"/>
    <w:rsid w:val="00F72523"/>
    <w:rsid w:val="00F725B6"/>
    <w:rsid w:val="00F72634"/>
    <w:rsid w:val="00F726C7"/>
    <w:rsid w:val="00F72753"/>
    <w:rsid w:val="00F72777"/>
    <w:rsid w:val="00F7277F"/>
    <w:rsid w:val="00F72780"/>
    <w:rsid w:val="00F72785"/>
    <w:rsid w:val="00F7281B"/>
    <w:rsid w:val="00F7293E"/>
    <w:rsid w:val="00F72993"/>
    <w:rsid w:val="00F72A32"/>
    <w:rsid w:val="00F72B3B"/>
    <w:rsid w:val="00F72B71"/>
    <w:rsid w:val="00F72CA6"/>
    <w:rsid w:val="00F72D2C"/>
    <w:rsid w:val="00F72D72"/>
    <w:rsid w:val="00F72E35"/>
    <w:rsid w:val="00F72E5A"/>
    <w:rsid w:val="00F72F4F"/>
    <w:rsid w:val="00F72FEE"/>
    <w:rsid w:val="00F730A3"/>
    <w:rsid w:val="00F73170"/>
    <w:rsid w:val="00F734F5"/>
    <w:rsid w:val="00F735B0"/>
    <w:rsid w:val="00F735CB"/>
    <w:rsid w:val="00F736DC"/>
    <w:rsid w:val="00F73940"/>
    <w:rsid w:val="00F7396E"/>
    <w:rsid w:val="00F7396F"/>
    <w:rsid w:val="00F73A28"/>
    <w:rsid w:val="00F73BEA"/>
    <w:rsid w:val="00F73D52"/>
    <w:rsid w:val="00F73E50"/>
    <w:rsid w:val="00F73EA3"/>
    <w:rsid w:val="00F73FA0"/>
    <w:rsid w:val="00F73FA5"/>
    <w:rsid w:val="00F73FDA"/>
    <w:rsid w:val="00F7412F"/>
    <w:rsid w:val="00F741C2"/>
    <w:rsid w:val="00F74228"/>
    <w:rsid w:val="00F7423E"/>
    <w:rsid w:val="00F742C0"/>
    <w:rsid w:val="00F7437D"/>
    <w:rsid w:val="00F743F5"/>
    <w:rsid w:val="00F74456"/>
    <w:rsid w:val="00F744ED"/>
    <w:rsid w:val="00F7466B"/>
    <w:rsid w:val="00F748C1"/>
    <w:rsid w:val="00F748D6"/>
    <w:rsid w:val="00F7498A"/>
    <w:rsid w:val="00F749EC"/>
    <w:rsid w:val="00F74A52"/>
    <w:rsid w:val="00F74B74"/>
    <w:rsid w:val="00F74B77"/>
    <w:rsid w:val="00F74CAD"/>
    <w:rsid w:val="00F751AF"/>
    <w:rsid w:val="00F7535B"/>
    <w:rsid w:val="00F753E6"/>
    <w:rsid w:val="00F754A7"/>
    <w:rsid w:val="00F756D3"/>
    <w:rsid w:val="00F756E3"/>
    <w:rsid w:val="00F756F5"/>
    <w:rsid w:val="00F75857"/>
    <w:rsid w:val="00F758DD"/>
    <w:rsid w:val="00F75990"/>
    <w:rsid w:val="00F75A11"/>
    <w:rsid w:val="00F75A6B"/>
    <w:rsid w:val="00F75AF9"/>
    <w:rsid w:val="00F75B26"/>
    <w:rsid w:val="00F75B6B"/>
    <w:rsid w:val="00F75BBC"/>
    <w:rsid w:val="00F75C57"/>
    <w:rsid w:val="00F75C8A"/>
    <w:rsid w:val="00F75D44"/>
    <w:rsid w:val="00F75E29"/>
    <w:rsid w:val="00F75E81"/>
    <w:rsid w:val="00F75EF7"/>
    <w:rsid w:val="00F76082"/>
    <w:rsid w:val="00F76183"/>
    <w:rsid w:val="00F762BA"/>
    <w:rsid w:val="00F763B0"/>
    <w:rsid w:val="00F76516"/>
    <w:rsid w:val="00F76542"/>
    <w:rsid w:val="00F76545"/>
    <w:rsid w:val="00F76650"/>
    <w:rsid w:val="00F766BE"/>
    <w:rsid w:val="00F7699A"/>
    <w:rsid w:val="00F76B84"/>
    <w:rsid w:val="00F76BF4"/>
    <w:rsid w:val="00F76EAF"/>
    <w:rsid w:val="00F76F50"/>
    <w:rsid w:val="00F76F80"/>
    <w:rsid w:val="00F7706F"/>
    <w:rsid w:val="00F773F7"/>
    <w:rsid w:val="00F77426"/>
    <w:rsid w:val="00F77449"/>
    <w:rsid w:val="00F774A2"/>
    <w:rsid w:val="00F774BB"/>
    <w:rsid w:val="00F7757B"/>
    <w:rsid w:val="00F7778A"/>
    <w:rsid w:val="00F777E4"/>
    <w:rsid w:val="00F778A1"/>
    <w:rsid w:val="00F779D8"/>
    <w:rsid w:val="00F77B89"/>
    <w:rsid w:val="00F77C09"/>
    <w:rsid w:val="00F77C6C"/>
    <w:rsid w:val="00F77CC9"/>
    <w:rsid w:val="00F77CF7"/>
    <w:rsid w:val="00F80067"/>
    <w:rsid w:val="00F8008C"/>
    <w:rsid w:val="00F8011B"/>
    <w:rsid w:val="00F8028F"/>
    <w:rsid w:val="00F80674"/>
    <w:rsid w:val="00F80784"/>
    <w:rsid w:val="00F807FA"/>
    <w:rsid w:val="00F80AA2"/>
    <w:rsid w:val="00F80B3A"/>
    <w:rsid w:val="00F80BCE"/>
    <w:rsid w:val="00F80BFF"/>
    <w:rsid w:val="00F80CAA"/>
    <w:rsid w:val="00F80D48"/>
    <w:rsid w:val="00F80DD3"/>
    <w:rsid w:val="00F80E3B"/>
    <w:rsid w:val="00F8107D"/>
    <w:rsid w:val="00F81197"/>
    <w:rsid w:val="00F81281"/>
    <w:rsid w:val="00F81401"/>
    <w:rsid w:val="00F814DB"/>
    <w:rsid w:val="00F815B3"/>
    <w:rsid w:val="00F81711"/>
    <w:rsid w:val="00F81748"/>
    <w:rsid w:val="00F817FF"/>
    <w:rsid w:val="00F81922"/>
    <w:rsid w:val="00F81A03"/>
    <w:rsid w:val="00F81A67"/>
    <w:rsid w:val="00F81AF2"/>
    <w:rsid w:val="00F81E29"/>
    <w:rsid w:val="00F81F7A"/>
    <w:rsid w:val="00F81FA4"/>
    <w:rsid w:val="00F81FBC"/>
    <w:rsid w:val="00F82140"/>
    <w:rsid w:val="00F82281"/>
    <w:rsid w:val="00F82434"/>
    <w:rsid w:val="00F82497"/>
    <w:rsid w:val="00F8256D"/>
    <w:rsid w:val="00F82739"/>
    <w:rsid w:val="00F827D0"/>
    <w:rsid w:val="00F8299E"/>
    <w:rsid w:val="00F829D6"/>
    <w:rsid w:val="00F82A86"/>
    <w:rsid w:val="00F82B32"/>
    <w:rsid w:val="00F82CBA"/>
    <w:rsid w:val="00F82D81"/>
    <w:rsid w:val="00F82D9B"/>
    <w:rsid w:val="00F82DB3"/>
    <w:rsid w:val="00F8304F"/>
    <w:rsid w:val="00F83131"/>
    <w:rsid w:val="00F83181"/>
    <w:rsid w:val="00F83182"/>
    <w:rsid w:val="00F8321B"/>
    <w:rsid w:val="00F83363"/>
    <w:rsid w:val="00F8340C"/>
    <w:rsid w:val="00F83421"/>
    <w:rsid w:val="00F835FF"/>
    <w:rsid w:val="00F836F4"/>
    <w:rsid w:val="00F83711"/>
    <w:rsid w:val="00F83830"/>
    <w:rsid w:val="00F838DD"/>
    <w:rsid w:val="00F83C3A"/>
    <w:rsid w:val="00F83CD2"/>
    <w:rsid w:val="00F83D35"/>
    <w:rsid w:val="00F83DEC"/>
    <w:rsid w:val="00F83E96"/>
    <w:rsid w:val="00F83ED3"/>
    <w:rsid w:val="00F83F43"/>
    <w:rsid w:val="00F8402C"/>
    <w:rsid w:val="00F840AB"/>
    <w:rsid w:val="00F840D8"/>
    <w:rsid w:val="00F8439E"/>
    <w:rsid w:val="00F843FB"/>
    <w:rsid w:val="00F84667"/>
    <w:rsid w:val="00F846A1"/>
    <w:rsid w:val="00F846A5"/>
    <w:rsid w:val="00F846FF"/>
    <w:rsid w:val="00F84755"/>
    <w:rsid w:val="00F847A2"/>
    <w:rsid w:val="00F849DC"/>
    <w:rsid w:val="00F84BA2"/>
    <w:rsid w:val="00F84BC9"/>
    <w:rsid w:val="00F84CDE"/>
    <w:rsid w:val="00F84CF5"/>
    <w:rsid w:val="00F84DF1"/>
    <w:rsid w:val="00F84FD5"/>
    <w:rsid w:val="00F85172"/>
    <w:rsid w:val="00F851B0"/>
    <w:rsid w:val="00F851DE"/>
    <w:rsid w:val="00F85370"/>
    <w:rsid w:val="00F85409"/>
    <w:rsid w:val="00F855C1"/>
    <w:rsid w:val="00F8578E"/>
    <w:rsid w:val="00F8583B"/>
    <w:rsid w:val="00F8583D"/>
    <w:rsid w:val="00F85869"/>
    <w:rsid w:val="00F85876"/>
    <w:rsid w:val="00F85A79"/>
    <w:rsid w:val="00F85B78"/>
    <w:rsid w:val="00F85B92"/>
    <w:rsid w:val="00F85E7B"/>
    <w:rsid w:val="00F85EED"/>
    <w:rsid w:val="00F85F99"/>
    <w:rsid w:val="00F85FE4"/>
    <w:rsid w:val="00F8605C"/>
    <w:rsid w:val="00F860DE"/>
    <w:rsid w:val="00F86173"/>
    <w:rsid w:val="00F861FE"/>
    <w:rsid w:val="00F862FE"/>
    <w:rsid w:val="00F86453"/>
    <w:rsid w:val="00F8649A"/>
    <w:rsid w:val="00F8656A"/>
    <w:rsid w:val="00F86644"/>
    <w:rsid w:val="00F8671A"/>
    <w:rsid w:val="00F8676D"/>
    <w:rsid w:val="00F86780"/>
    <w:rsid w:val="00F8690E"/>
    <w:rsid w:val="00F86961"/>
    <w:rsid w:val="00F86B38"/>
    <w:rsid w:val="00F86BCC"/>
    <w:rsid w:val="00F86BE9"/>
    <w:rsid w:val="00F86CD5"/>
    <w:rsid w:val="00F86E3E"/>
    <w:rsid w:val="00F86FCB"/>
    <w:rsid w:val="00F86FF4"/>
    <w:rsid w:val="00F8701D"/>
    <w:rsid w:val="00F87163"/>
    <w:rsid w:val="00F8746C"/>
    <w:rsid w:val="00F87473"/>
    <w:rsid w:val="00F87571"/>
    <w:rsid w:val="00F87742"/>
    <w:rsid w:val="00F87761"/>
    <w:rsid w:val="00F87781"/>
    <w:rsid w:val="00F878A3"/>
    <w:rsid w:val="00F8793C"/>
    <w:rsid w:val="00F8794D"/>
    <w:rsid w:val="00F87D0B"/>
    <w:rsid w:val="00F87F33"/>
    <w:rsid w:val="00F87FED"/>
    <w:rsid w:val="00F9005B"/>
    <w:rsid w:val="00F9021B"/>
    <w:rsid w:val="00F90271"/>
    <w:rsid w:val="00F90340"/>
    <w:rsid w:val="00F9037E"/>
    <w:rsid w:val="00F9043C"/>
    <w:rsid w:val="00F90467"/>
    <w:rsid w:val="00F904E2"/>
    <w:rsid w:val="00F9051C"/>
    <w:rsid w:val="00F90642"/>
    <w:rsid w:val="00F90645"/>
    <w:rsid w:val="00F90649"/>
    <w:rsid w:val="00F906AB"/>
    <w:rsid w:val="00F906B9"/>
    <w:rsid w:val="00F907B1"/>
    <w:rsid w:val="00F90840"/>
    <w:rsid w:val="00F90958"/>
    <w:rsid w:val="00F90A11"/>
    <w:rsid w:val="00F90A71"/>
    <w:rsid w:val="00F90CE1"/>
    <w:rsid w:val="00F90D77"/>
    <w:rsid w:val="00F90EA0"/>
    <w:rsid w:val="00F90F21"/>
    <w:rsid w:val="00F910DD"/>
    <w:rsid w:val="00F910EF"/>
    <w:rsid w:val="00F912D1"/>
    <w:rsid w:val="00F91350"/>
    <w:rsid w:val="00F91372"/>
    <w:rsid w:val="00F91449"/>
    <w:rsid w:val="00F91486"/>
    <w:rsid w:val="00F914CC"/>
    <w:rsid w:val="00F915C8"/>
    <w:rsid w:val="00F9167C"/>
    <w:rsid w:val="00F9174D"/>
    <w:rsid w:val="00F91815"/>
    <w:rsid w:val="00F9181A"/>
    <w:rsid w:val="00F9187B"/>
    <w:rsid w:val="00F9190F"/>
    <w:rsid w:val="00F9194C"/>
    <w:rsid w:val="00F919D1"/>
    <w:rsid w:val="00F91C4F"/>
    <w:rsid w:val="00F91D32"/>
    <w:rsid w:val="00F91E9C"/>
    <w:rsid w:val="00F9204B"/>
    <w:rsid w:val="00F921A7"/>
    <w:rsid w:val="00F921B7"/>
    <w:rsid w:val="00F92385"/>
    <w:rsid w:val="00F92390"/>
    <w:rsid w:val="00F923A5"/>
    <w:rsid w:val="00F924A4"/>
    <w:rsid w:val="00F926DD"/>
    <w:rsid w:val="00F9273A"/>
    <w:rsid w:val="00F927B8"/>
    <w:rsid w:val="00F92A6E"/>
    <w:rsid w:val="00F92A9D"/>
    <w:rsid w:val="00F92AAB"/>
    <w:rsid w:val="00F92BC5"/>
    <w:rsid w:val="00F92CE3"/>
    <w:rsid w:val="00F92E30"/>
    <w:rsid w:val="00F92F43"/>
    <w:rsid w:val="00F92FD1"/>
    <w:rsid w:val="00F93169"/>
    <w:rsid w:val="00F931F8"/>
    <w:rsid w:val="00F93334"/>
    <w:rsid w:val="00F9333E"/>
    <w:rsid w:val="00F933C6"/>
    <w:rsid w:val="00F93454"/>
    <w:rsid w:val="00F93493"/>
    <w:rsid w:val="00F93544"/>
    <w:rsid w:val="00F935A0"/>
    <w:rsid w:val="00F935FE"/>
    <w:rsid w:val="00F937B6"/>
    <w:rsid w:val="00F93971"/>
    <w:rsid w:val="00F93999"/>
    <w:rsid w:val="00F93A18"/>
    <w:rsid w:val="00F93A57"/>
    <w:rsid w:val="00F93D59"/>
    <w:rsid w:val="00F93D95"/>
    <w:rsid w:val="00F93E0F"/>
    <w:rsid w:val="00F93E95"/>
    <w:rsid w:val="00F93EF1"/>
    <w:rsid w:val="00F93F9B"/>
    <w:rsid w:val="00F94138"/>
    <w:rsid w:val="00F94171"/>
    <w:rsid w:val="00F9418A"/>
    <w:rsid w:val="00F941D1"/>
    <w:rsid w:val="00F94288"/>
    <w:rsid w:val="00F9437F"/>
    <w:rsid w:val="00F94514"/>
    <w:rsid w:val="00F94517"/>
    <w:rsid w:val="00F9451C"/>
    <w:rsid w:val="00F94591"/>
    <w:rsid w:val="00F945A0"/>
    <w:rsid w:val="00F9478A"/>
    <w:rsid w:val="00F948EA"/>
    <w:rsid w:val="00F949DB"/>
    <w:rsid w:val="00F94AA7"/>
    <w:rsid w:val="00F94BB6"/>
    <w:rsid w:val="00F94BCA"/>
    <w:rsid w:val="00F94C00"/>
    <w:rsid w:val="00F94C3D"/>
    <w:rsid w:val="00F94CD2"/>
    <w:rsid w:val="00F94E3D"/>
    <w:rsid w:val="00F94E5D"/>
    <w:rsid w:val="00F94F4A"/>
    <w:rsid w:val="00F94F6F"/>
    <w:rsid w:val="00F95366"/>
    <w:rsid w:val="00F953DC"/>
    <w:rsid w:val="00F953F5"/>
    <w:rsid w:val="00F95432"/>
    <w:rsid w:val="00F95520"/>
    <w:rsid w:val="00F957BC"/>
    <w:rsid w:val="00F9580E"/>
    <w:rsid w:val="00F9585B"/>
    <w:rsid w:val="00F958AE"/>
    <w:rsid w:val="00F95A4B"/>
    <w:rsid w:val="00F95AF0"/>
    <w:rsid w:val="00F95C32"/>
    <w:rsid w:val="00F95C40"/>
    <w:rsid w:val="00F95C4E"/>
    <w:rsid w:val="00F95C5A"/>
    <w:rsid w:val="00F95EA9"/>
    <w:rsid w:val="00F95FF8"/>
    <w:rsid w:val="00F961CC"/>
    <w:rsid w:val="00F96245"/>
    <w:rsid w:val="00F965A1"/>
    <w:rsid w:val="00F966B7"/>
    <w:rsid w:val="00F966ED"/>
    <w:rsid w:val="00F96B68"/>
    <w:rsid w:val="00F96C22"/>
    <w:rsid w:val="00F96DA4"/>
    <w:rsid w:val="00F96F04"/>
    <w:rsid w:val="00F96F0C"/>
    <w:rsid w:val="00F9722C"/>
    <w:rsid w:val="00F97469"/>
    <w:rsid w:val="00F974B9"/>
    <w:rsid w:val="00F974ED"/>
    <w:rsid w:val="00F97569"/>
    <w:rsid w:val="00F975AA"/>
    <w:rsid w:val="00F975EA"/>
    <w:rsid w:val="00F976C9"/>
    <w:rsid w:val="00F978A0"/>
    <w:rsid w:val="00F979C3"/>
    <w:rsid w:val="00F97A21"/>
    <w:rsid w:val="00F97B0F"/>
    <w:rsid w:val="00F97C62"/>
    <w:rsid w:val="00F97D03"/>
    <w:rsid w:val="00F97DF1"/>
    <w:rsid w:val="00F97E0D"/>
    <w:rsid w:val="00F97E4C"/>
    <w:rsid w:val="00F97FC9"/>
    <w:rsid w:val="00F97FCC"/>
    <w:rsid w:val="00FA004D"/>
    <w:rsid w:val="00FA0133"/>
    <w:rsid w:val="00FA0192"/>
    <w:rsid w:val="00FA01FC"/>
    <w:rsid w:val="00FA0217"/>
    <w:rsid w:val="00FA0259"/>
    <w:rsid w:val="00FA02A4"/>
    <w:rsid w:val="00FA0349"/>
    <w:rsid w:val="00FA03A8"/>
    <w:rsid w:val="00FA0433"/>
    <w:rsid w:val="00FA0570"/>
    <w:rsid w:val="00FA066A"/>
    <w:rsid w:val="00FA06CC"/>
    <w:rsid w:val="00FA073E"/>
    <w:rsid w:val="00FA093B"/>
    <w:rsid w:val="00FA098E"/>
    <w:rsid w:val="00FA09FA"/>
    <w:rsid w:val="00FA0A8B"/>
    <w:rsid w:val="00FA0CC6"/>
    <w:rsid w:val="00FA0EC4"/>
    <w:rsid w:val="00FA0F04"/>
    <w:rsid w:val="00FA1116"/>
    <w:rsid w:val="00FA13C7"/>
    <w:rsid w:val="00FA14E7"/>
    <w:rsid w:val="00FA159A"/>
    <w:rsid w:val="00FA17FA"/>
    <w:rsid w:val="00FA189C"/>
    <w:rsid w:val="00FA18D4"/>
    <w:rsid w:val="00FA18F6"/>
    <w:rsid w:val="00FA193C"/>
    <w:rsid w:val="00FA196A"/>
    <w:rsid w:val="00FA19A9"/>
    <w:rsid w:val="00FA1A47"/>
    <w:rsid w:val="00FA1B4F"/>
    <w:rsid w:val="00FA1D1B"/>
    <w:rsid w:val="00FA1DD7"/>
    <w:rsid w:val="00FA1E76"/>
    <w:rsid w:val="00FA1E9C"/>
    <w:rsid w:val="00FA1E9D"/>
    <w:rsid w:val="00FA1F13"/>
    <w:rsid w:val="00FA1F40"/>
    <w:rsid w:val="00FA2009"/>
    <w:rsid w:val="00FA2059"/>
    <w:rsid w:val="00FA2096"/>
    <w:rsid w:val="00FA20EE"/>
    <w:rsid w:val="00FA2369"/>
    <w:rsid w:val="00FA23F5"/>
    <w:rsid w:val="00FA24D4"/>
    <w:rsid w:val="00FA266A"/>
    <w:rsid w:val="00FA26D6"/>
    <w:rsid w:val="00FA28DC"/>
    <w:rsid w:val="00FA28E4"/>
    <w:rsid w:val="00FA2C77"/>
    <w:rsid w:val="00FA2D0A"/>
    <w:rsid w:val="00FA2D8A"/>
    <w:rsid w:val="00FA2DDB"/>
    <w:rsid w:val="00FA3085"/>
    <w:rsid w:val="00FA3351"/>
    <w:rsid w:val="00FA33EE"/>
    <w:rsid w:val="00FA3414"/>
    <w:rsid w:val="00FA34DE"/>
    <w:rsid w:val="00FA3503"/>
    <w:rsid w:val="00FA361F"/>
    <w:rsid w:val="00FA38E3"/>
    <w:rsid w:val="00FA38F5"/>
    <w:rsid w:val="00FA3910"/>
    <w:rsid w:val="00FA3954"/>
    <w:rsid w:val="00FA399B"/>
    <w:rsid w:val="00FA3B04"/>
    <w:rsid w:val="00FA3BE1"/>
    <w:rsid w:val="00FA3BEC"/>
    <w:rsid w:val="00FA3BF9"/>
    <w:rsid w:val="00FA3E43"/>
    <w:rsid w:val="00FA3EA8"/>
    <w:rsid w:val="00FA3EF2"/>
    <w:rsid w:val="00FA3F93"/>
    <w:rsid w:val="00FA403D"/>
    <w:rsid w:val="00FA404B"/>
    <w:rsid w:val="00FA40A6"/>
    <w:rsid w:val="00FA40EF"/>
    <w:rsid w:val="00FA44DF"/>
    <w:rsid w:val="00FA453D"/>
    <w:rsid w:val="00FA4766"/>
    <w:rsid w:val="00FA47DC"/>
    <w:rsid w:val="00FA4882"/>
    <w:rsid w:val="00FA48BD"/>
    <w:rsid w:val="00FA48FD"/>
    <w:rsid w:val="00FA495B"/>
    <w:rsid w:val="00FA49C0"/>
    <w:rsid w:val="00FA4C00"/>
    <w:rsid w:val="00FA4C7D"/>
    <w:rsid w:val="00FA4CE5"/>
    <w:rsid w:val="00FA4CEF"/>
    <w:rsid w:val="00FA4D21"/>
    <w:rsid w:val="00FA4D57"/>
    <w:rsid w:val="00FA5043"/>
    <w:rsid w:val="00FA50C3"/>
    <w:rsid w:val="00FA511E"/>
    <w:rsid w:val="00FA51AC"/>
    <w:rsid w:val="00FA5215"/>
    <w:rsid w:val="00FA5252"/>
    <w:rsid w:val="00FA5264"/>
    <w:rsid w:val="00FA52BA"/>
    <w:rsid w:val="00FA5336"/>
    <w:rsid w:val="00FA568F"/>
    <w:rsid w:val="00FA5975"/>
    <w:rsid w:val="00FA5A72"/>
    <w:rsid w:val="00FA5A8E"/>
    <w:rsid w:val="00FA5AF8"/>
    <w:rsid w:val="00FA5B42"/>
    <w:rsid w:val="00FA5B4F"/>
    <w:rsid w:val="00FA5F62"/>
    <w:rsid w:val="00FA5FC5"/>
    <w:rsid w:val="00FA6090"/>
    <w:rsid w:val="00FA6093"/>
    <w:rsid w:val="00FA6235"/>
    <w:rsid w:val="00FA62F0"/>
    <w:rsid w:val="00FA6401"/>
    <w:rsid w:val="00FA65AF"/>
    <w:rsid w:val="00FA6623"/>
    <w:rsid w:val="00FA6667"/>
    <w:rsid w:val="00FA6822"/>
    <w:rsid w:val="00FA6852"/>
    <w:rsid w:val="00FA68CD"/>
    <w:rsid w:val="00FA69E3"/>
    <w:rsid w:val="00FA69E7"/>
    <w:rsid w:val="00FA6A84"/>
    <w:rsid w:val="00FA6AB4"/>
    <w:rsid w:val="00FA6E2C"/>
    <w:rsid w:val="00FA6EFA"/>
    <w:rsid w:val="00FA6F6C"/>
    <w:rsid w:val="00FA6FE2"/>
    <w:rsid w:val="00FA7075"/>
    <w:rsid w:val="00FA71A8"/>
    <w:rsid w:val="00FA71D4"/>
    <w:rsid w:val="00FA7249"/>
    <w:rsid w:val="00FA72B8"/>
    <w:rsid w:val="00FA7319"/>
    <w:rsid w:val="00FA7346"/>
    <w:rsid w:val="00FA73AA"/>
    <w:rsid w:val="00FA73C1"/>
    <w:rsid w:val="00FA73F2"/>
    <w:rsid w:val="00FA75AA"/>
    <w:rsid w:val="00FA77A3"/>
    <w:rsid w:val="00FA780C"/>
    <w:rsid w:val="00FA7880"/>
    <w:rsid w:val="00FA78B2"/>
    <w:rsid w:val="00FA78D5"/>
    <w:rsid w:val="00FA7B38"/>
    <w:rsid w:val="00FA7CA0"/>
    <w:rsid w:val="00FA7D5F"/>
    <w:rsid w:val="00FA7DB8"/>
    <w:rsid w:val="00FB00EC"/>
    <w:rsid w:val="00FB0162"/>
    <w:rsid w:val="00FB01BE"/>
    <w:rsid w:val="00FB01CC"/>
    <w:rsid w:val="00FB02BE"/>
    <w:rsid w:val="00FB02CA"/>
    <w:rsid w:val="00FB0540"/>
    <w:rsid w:val="00FB0707"/>
    <w:rsid w:val="00FB075F"/>
    <w:rsid w:val="00FB07DF"/>
    <w:rsid w:val="00FB0870"/>
    <w:rsid w:val="00FB0871"/>
    <w:rsid w:val="00FB0A0E"/>
    <w:rsid w:val="00FB0B2C"/>
    <w:rsid w:val="00FB0D03"/>
    <w:rsid w:val="00FB0D22"/>
    <w:rsid w:val="00FB0EF7"/>
    <w:rsid w:val="00FB0F8E"/>
    <w:rsid w:val="00FB1286"/>
    <w:rsid w:val="00FB12C1"/>
    <w:rsid w:val="00FB141B"/>
    <w:rsid w:val="00FB142E"/>
    <w:rsid w:val="00FB14ED"/>
    <w:rsid w:val="00FB165C"/>
    <w:rsid w:val="00FB1788"/>
    <w:rsid w:val="00FB17EB"/>
    <w:rsid w:val="00FB18E8"/>
    <w:rsid w:val="00FB1922"/>
    <w:rsid w:val="00FB1C44"/>
    <w:rsid w:val="00FB1C8C"/>
    <w:rsid w:val="00FB1D8D"/>
    <w:rsid w:val="00FB1DDD"/>
    <w:rsid w:val="00FB1F82"/>
    <w:rsid w:val="00FB20C8"/>
    <w:rsid w:val="00FB21F1"/>
    <w:rsid w:val="00FB226A"/>
    <w:rsid w:val="00FB2405"/>
    <w:rsid w:val="00FB2424"/>
    <w:rsid w:val="00FB2439"/>
    <w:rsid w:val="00FB262F"/>
    <w:rsid w:val="00FB2669"/>
    <w:rsid w:val="00FB2712"/>
    <w:rsid w:val="00FB272F"/>
    <w:rsid w:val="00FB275C"/>
    <w:rsid w:val="00FB2788"/>
    <w:rsid w:val="00FB290C"/>
    <w:rsid w:val="00FB2BB8"/>
    <w:rsid w:val="00FB2CB8"/>
    <w:rsid w:val="00FB2D3E"/>
    <w:rsid w:val="00FB2DF8"/>
    <w:rsid w:val="00FB2E5A"/>
    <w:rsid w:val="00FB2E97"/>
    <w:rsid w:val="00FB2F52"/>
    <w:rsid w:val="00FB2FD7"/>
    <w:rsid w:val="00FB2FE5"/>
    <w:rsid w:val="00FB2FEC"/>
    <w:rsid w:val="00FB302C"/>
    <w:rsid w:val="00FB3033"/>
    <w:rsid w:val="00FB3128"/>
    <w:rsid w:val="00FB3142"/>
    <w:rsid w:val="00FB345F"/>
    <w:rsid w:val="00FB3486"/>
    <w:rsid w:val="00FB353A"/>
    <w:rsid w:val="00FB3570"/>
    <w:rsid w:val="00FB3572"/>
    <w:rsid w:val="00FB3770"/>
    <w:rsid w:val="00FB381A"/>
    <w:rsid w:val="00FB399D"/>
    <w:rsid w:val="00FB3AFE"/>
    <w:rsid w:val="00FB3B9D"/>
    <w:rsid w:val="00FB3D95"/>
    <w:rsid w:val="00FB3EF7"/>
    <w:rsid w:val="00FB4085"/>
    <w:rsid w:val="00FB427E"/>
    <w:rsid w:val="00FB4358"/>
    <w:rsid w:val="00FB441C"/>
    <w:rsid w:val="00FB44A2"/>
    <w:rsid w:val="00FB450D"/>
    <w:rsid w:val="00FB4525"/>
    <w:rsid w:val="00FB4885"/>
    <w:rsid w:val="00FB4B6D"/>
    <w:rsid w:val="00FB4C3F"/>
    <w:rsid w:val="00FB4D19"/>
    <w:rsid w:val="00FB4DD2"/>
    <w:rsid w:val="00FB4F2B"/>
    <w:rsid w:val="00FB4FFA"/>
    <w:rsid w:val="00FB5101"/>
    <w:rsid w:val="00FB520E"/>
    <w:rsid w:val="00FB53A6"/>
    <w:rsid w:val="00FB543D"/>
    <w:rsid w:val="00FB5486"/>
    <w:rsid w:val="00FB5665"/>
    <w:rsid w:val="00FB5742"/>
    <w:rsid w:val="00FB5920"/>
    <w:rsid w:val="00FB5A05"/>
    <w:rsid w:val="00FB5A08"/>
    <w:rsid w:val="00FB5BBA"/>
    <w:rsid w:val="00FB5C74"/>
    <w:rsid w:val="00FB5D03"/>
    <w:rsid w:val="00FB5D2E"/>
    <w:rsid w:val="00FB5DCC"/>
    <w:rsid w:val="00FB5DDA"/>
    <w:rsid w:val="00FB5EC2"/>
    <w:rsid w:val="00FB5F19"/>
    <w:rsid w:val="00FB5F6E"/>
    <w:rsid w:val="00FB6024"/>
    <w:rsid w:val="00FB610F"/>
    <w:rsid w:val="00FB6115"/>
    <w:rsid w:val="00FB61DE"/>
    <w:rsid w:val="00FB61F9"/>
    <w:rsid w:val="00FB62DE"/>
    <w:rsid w:val="00FB630D"/>
    <w:rsid w:val="00FB6360"/>
    <w:rsid w:val="00FB658C"/>
    <w:rsid w:val="00FB65FC"/>
    <w:rsid w:val="00FB6776"/>
    <w:rsid w:val="00FB679A"/>
    <w:rsid w:val="00FB6842"/>
    <w:rsid w:val="00FB6944"/>
    <w:rsid w:val="00FB69D0"/>
    <w:rsid w:val="00FB6A59"/>
    <w:rsid w:val="00FB6AF0"/>
    <w:rsid w:val="00FB6BCD"/>
    <w:rsid w:val="00FB6C42"/>
    <w:rsid w:val="00FB6CB9"/>
    <w:rsid w:val="00FB6D4E"/>
    <w:rsid w:val="00FB70D8"/>
    <w:rsid w:val="00FB7102"/>
    <w:rsid w:val="00FB7167"/>
    <w:rsid w:val="00FB717F"/>
    <w:rsid w:val="00FB730B"/>
    <w:rsid w:val="00FB7384"/>
    <w:rsid w:val="00FB739C"/>
    <w:rsid w:val="00FB74A2"/>
    <w:rsid w:val="00FB7A04"/>
    <w:rsid w:val="00FB7A1B"/>
    <w:rsid w:val="00FB7A62"/>
    <w:rsid w:val="00FB7AF7"/>
    <w:rsid w:val="00FB7BD5"/>
    <w:rsid w:val="00FB7BFC"/>
    <w:rsid w:val="00FB7D0C"/>
    <w:rsid w:val="00FB7D1F"/>
    <w:rsid w:val="00FB7D4F"/>
    <w:rsid w:val="00FC0091"/>
    <w:rsid w:val="00FC022A"/>
    <w:rsid w:val="00FC02AD"/>
    <w:rsid w:val="00FC02CA"/>
    <w:rsid w:val="00FC038E"/>
    <w:rsid w:val="00FC0390"/>
    <w:rsid w:val="00FC03CB"/>
    <w:rsid w:val="00FC04E1"/>
    <w:rsid w:val="00FC04F4"/>
    <w:rsid w:val="00FC0659"/>
    <w:rsid w:val="00FC06BE"/>
    <w:rsid w:val="00FC082F"/>
    <w:rsid w:val="00FC0858"/>
    <w:rsid w:val="00FC08AB"/>
    <w:rsid w:val="00FC0920"/>
    <w:rsid w:val="00FC0954"/>
    <w:rsid w:val="00FC0CA7"/>
    <w:rsid w:val="00FC0F12"/>
    <w:rsid w:val="00FC1011"/>
    <w:rsid w:val="00FC1054"/>
    <w:rsid w:val="00FC1079"/>
    <w:rsid w:val="00FC115C"/>
    <w:rsid w:val="00FC11F2"/>
    <w:rsid w:val="00FC1299"/>
    <w:rsid w:val="00FC1328"/>
    <w:rsid w:val="00FC16A9"/>
    <w:rsid w:val="00FC1732"/>
    <w:rsid w:val="00FC1832"/>
    <w:rsid w:val="00FC1A81"/>
    <w:rsid w:val="00FC1BBC"/>
    <w:rsid w:val="00FC1CDA"/>
    <w:rsid w:val="00FC1D99"/>
    <w:rsid w:val="00FC1EAC"/>
    <w:rsid w:val="00FC1ED9"/>
    <w:rsid w:val="00FC1FA6"/>
    <w:rsid w:val="00FC1FAD"/>
    <w:rsid w:val="00FC22CE"/>
    <w:rsid w:val="00FC23A6"/>
    <w:rsid w:val="00FC2404"/>
    <w:rsid w:val="00FC24EB"/>
    <w:rsid w:val="00FC2526"/>
    <w:rsid w:val="00FC25DD"/>
    <w:rsid w:val="00FC266E"/>
    <w:rsid w:val="00FC26CA"/>
    <w:rsid w:val="00FC26E1"/>
    <w:rsid w:val="00FC275D"/>
    <w:rsid w:val="00FC27CE"/>
    <w:rsid w:val="00FC2B2C"/>
    <w:rsid w:val="00FC2B39"/>
    <w:rsid w:val="00FC2CF2"/>
    <w:rsid w:val="00FC2EDB"/>
    <w:rsid w:val="00FC2F54"/>
    <w:rsid w:val="00FC310A"/>
    <w:rsid w:val="00FC32D5"/>
    <w:rsid w:val="00FC32EC"/>
    <w:rsid w:val="00FC3356"/>
    <w:rsid w:val="00FC344F"/>
    <w:rsid w:val="00FC3512"/>
    <w:rsid w:val="00FC38BD"/>
    <w:rsid w:val="00FC3985"/>
    <w:rsid w:val="00FC3A3C"/>
    <w:rsid w:val="00FC3CA8"/>
    <w:rsid w:val="00FC3D75"/>
    <w:rsid w:val="00FC3DAA"/>
    <w:rsid w:val="00FC3F80"/>
    <w:rsid w:val="00FC4064"/>
    <w:rsid w:val="00FC40B3"/>
    <w:rsid w:val="00FC449B"/>
    <w:rsid w:val="00FC44FF"/>
    <w:rsid w:val="00FC456B"/>
    <w:rsid w:val="00FC466E"/>
    <w:rsid w:val="00FC468C"/>
    <w:rsid w:val="00FC47F9"/>
    <w:rsid w:val="00FC4808"/>
    <w:rsid w:val="00FC4867"/>
    <w:rsid w:val="00FC48C9"/>
    <w:rsid w:val="00FC493C"/>
    <w:rsid w:val="00FC4B3C"/>
    <w:rsid w:val="00FC4B4F"/>
    <w:rsid w:val="00FC4D98"/>
    <w:rsid w:val="00FC4E70"/>
    <w:rsid w:val="00FC547D"/>
    <w:rsid w:val="00FC5533"/>
    <w:rsid w:val="00FC553D"/>
    <w:rsid w:val="00FC55E2"/>
    <w:rsid w:val="00FC55E4"/>
    <w:rsid w:val="00FC56AB"/>
    <w:rsid w:val="00FC57B3"/>
    <w:rsid w:val="00FC57CA"/>
    <w:rsid w:val="00FC57CD"/>
    <w:rsid w:val="00FC58A9"/>
    <w:rsid w:val="00FC58CF"/>
    <w:rsid w:val="00FC5902"/>
    <w:rsid w:val="00FC5969"/>
    <w:rsid w:val="00FC5AE6"/>
    <w:rsid w:val="00FC5B9D"/>
    <w:rsid w:val="00FC5C17"/>
    <w:rsid w:val="00FC5DBF"/>
    <w:rsid w:val="00FC5E1C"/>
    <w:rsid w:val="00FC5E24"/>
    <w:rsid w:val="00FC5E50"/>
    <w:rsid w:val="00FC5EEB"/>
    <w:rsid w:val="00FC6023"/>
    <w:rsid w:val="00FC604B"/>
    <w:rsid w:val="00FC6078"/>
    <w:rsid w:val="00FC617D"/>
    <w:rsid w:val="00FC639D"/>
    <w:rsid w:val="00FC648C"/>
    <w:rsid w:val="00FC6533"/>
    <w:rsid w:val="00FC66EF"/>
    <w:rsid w:val="00FC6743"/>
    <w:rsid w:val="00FC688C"/>
    <w:rsid w:val="00FC6993"/>
    <w:rsid w:val="00FC6A94"/>
    <w:rsid w:val="00FC6B59"/>
    <w:rsid w:val="00FC6BDF"/>
    <w:rsid w:val="00FC6F34"/>
    <w:rsid w:val="00FC6FBC"/>
    <w:rsid w:val="00FC700D"/>
    <w:rsid w:val="00FC7180"/>
    <w:rsid w:val="00FC71B3"/>
    <w:rsid w:val="00FC7309"/>
    <w:rsid w:val="00FC7343"/>
    <w:rsid w:val="00FC7469"/>
    <w:rsid w:val="00FC74F7"/>
    <w:rsid w:val="00FC755F"/>
    <w:rsid w:val="00FC7728"/>
    <w:rsid w:val="00FC77E3"/>
    <w:rsid w:val="00FC781E"/>
    <w:rsid w:val="00FC78A1"/>
    <w:rsid w:val="00FC7978"/>
    <w:rsid w:val="00FC7AF0"/>
    <w:rsid w:val="00FC7C33"/>
    <w:rsid w:val="00FC7CE6"/>
    <w:rsid w:val="00FC7DDC"/>
    <w:rsid w:val="00FD0084"/>
    <w:rsid w:val="00FD00EA"/>
    <w:rsid w:val="00FD012C"/>
    <w:rsid w:val="00FD01C5"/>
    <w:rsid w:val="00FD01E5"/>
    <w:rsid w:val="00FD0209"/>
    <w:rsid w:val="00FD0284"/>
    <w:rsid w:val="00FD03EA"/>
    <w:rsid w:val="00FD0606"/>
    <w:rsid w:val="00FD0743"/>
    <w:rsid w:val="00FD0894"/>
    <w:rsid w:val="00FD08D3"/>
    <w:rsid w:val="00FD08FF"/>
    <w:rsid w:val="00FD09A8"/>
    <w:rsid w:val="00FD09DA"/>
    <w:rsid w:val="00FD0A91"/>
    <w:rsid w:val="00FD0DEC"/>
    <w:rsid w:val="00FD0FBA"/>
    <w:rsid w:val="00FD122D"/>
    <w:rsid w:val="00FD148E"/>
    <w:rsid w:val="00FD1544"/>
    <w:rsid w:val="00FD15F4"/>
    <w:rsid w:val="00FD16C4"/>
    <w:rsid w:val="00FD196C"/>
    <w:rsid w:val="00FD19F7"/>
    <w:rsid w:val="00FD1B20"/>
    <w:rsid w:val="00FD1BB1"/>
    <w:rsid w:val="00FD1BBB"/>
    <w:rsid w:val="00FD1BE0"/>
    <w:rsid w:val="00FD1C9C"/>
    <w:rsid w:val="00FD1CEF"/>
    <w:rsid w:val="00FD1CFC"/>
    <w:rsid w:val="00FD1D08"/>
    <w:rsid w:val="00FD1DB5"/>
    <w:rsid w:val="00FD1DEF"/>
    <w:rsid w:val="00FD1FB1"/>
    <w:rsid w:val="00FD20E3"/>
    <w:rsid w:val="00FD2119"/>
    <w:rsid w:val="00FD2136"/>
    <w:rsid w:val="00FD21C3"/>
    <w:rsid w:val="00FD2321"/>
    <w:rsid w:val="00FD2724"/>
    <w:rsid w:val="00FD276F"/>
    <w:rsid w:val="00FD283D"/>
    <w:rsid w:val="00FD2AD9"/>
    <w:rsid w:val="00FD2ADD"/>
    <w:rsid w:val="00FD2C5E"/>
    <w:rsid w:val="00FD2D80"/>
    <w:rsid w:val="00FD2E3D"/>
    <w:rsid w:val="00FD2E9B"/>
    <w:rsid w:val="00FD315E"/>
    <w:rsid w:val="00FD3210"/>
    <w:rsid w:val="00FD324E"/>
    <w:rsid w:val="00FD34AC"/>
    <w:rsid w:val="00FD34F7"/>
    <w:rsid w:val="00FD3788"/>
    <w:rsid w:val="00FD37E7"/>
    <w:rsid w:val="00FD386C"/>
    <w:rsid w:val="00FD397F"/>
    <w:rsid w:val="00FD3AA7"/>
    <w:rsid w:val="00FD3C55"/>
    <w:rsid w:val="00FD3D0F"/>
    <w:rsid w:val="00FD3EA7"/>
    <w:rsid w:val="00FD3EF0"/>
    <w:rsid w:val="00FD3F4B"/>
    <w:rsid w:val="00FD4075"/>
    <w:rsid w:val="00FD4238"/>
    <w:rsid w:val="00FD456E"/>
    <w:rsid w:val="00FD485A"/>
    <w:rsid w:val="00FD48D1"/>
    <w:rsid w:val="00FD49F7"/>
    <w:rsid w:val="00FD4A8F"/>
    <w:rsid w:val="00FD4AF7"/>
    <w:rsid w:val="00FD4B24"/>
    <w:rsid w:val="00FD4B65"/>
    <w:rsid w:val="00FD4BE7"/>
    <w:rsid w:val="00FD4E12"/>
    <w:rsid w:val="00FD4E4E"/>
    <w:rsid w:val="00FD4FBB"/>
    <w:rsid w:val="00FD5141"/>
    <w:rsid w:val="00FD51BE"/>
    <w:rsid w:val="00FD53DB"/>
    <w:rsid w:val="00FD5472"/>
    <w:rsid w:val="00FD55BF"/>
    <w:rsid w:val="00FD5625"/>
    <w:rsid w:val="00FD5706"/>
    <w:rsid w:val="00FD5799"/>
    <w:rsid w:val="00FD5823"/>
    <w:rsid w:val="00FD5834"/>
    <w:rsid w:val="00FD594C"/>
    <w:rsid w:val="00FD5CDC"/>
    <w:rsid w:val="00FD5DC4"/>
    <w:rsid w:val="00FD5E47"/>
    <w:rsid w:val="00FD5FAE"/>
    <w:rsid w:val="00FD61F8"/>
    <w:rsid w:val="00FD622F"/>
    <w:rsid w:val="00FD62FB"/>
    <w:rsid w:val="00FD6601"/>
    <w:rsid w:val="00FD66D9"/>
    <w:rsid w:val="00FD68C8"/>
    <w:rsid w:val="00FD6972"/>
    <w:rsid w:val="00FD697F"/>
    <w:rsid w:val="00FD69A1"/>
    <w:rsid w:val="00FD6AEB"/>
    <w:rsid w:val="00FD6AF2"/>
    <w:rsid w:val="00FD6B6B"/>
    <w:rsid w:val="00FD6BAC"/>
    <w:rsid w:val="00FD6BCC"/>
    <w:rsid w:val="00FD6C21"/>
    <w:rsid w:val="00FD6C50"/>
    <w:rsid w:val="00FD6C57"/>
    <w:rsid w:val="00FD6D95"/>
    <w:rsid w:val="00FD6E4C"/>
    <w:rsid w:val="00FD6E95"/>
    <w:rsid w:val="00FD7002"/>
    <w:rsid w:val="00FD711F"/>
    <w:rsid w:val="00FD71D4"/>
    <w:rsid w:val="00FD71F4"/>
    <w:rsid w:val="00FD7270"/>
    <w:rsid w:val="00FD72E7"/>
    <w:rsid w:val="00FD7322"/>
    <w:rsid w:val="00FD7334"/>
    <w:rsid w:val="00FD73E5"/>
    <w:rsid w:val="00FD75C7"/>
    <w:rsid w:val="00FD75E4"/>
    <w:rsid w:val="00FD75F6"/>
    <w:rsid w:val="00FD7658"/>
    <w:rsid w:val="00FD7762"/>
    <w:rsid w:val="00FD77C4"/>
    <w:rsid w:val="00FD7842"/>
    <w:rsid w:val="00FD7916"/>
    <w:rsid w:val="00FD7969"/>
    <w:rsid w:val="00FD7DF7"/>
    <w:rsid w:val="00FD7E67"/>
    <w:rsid w:val="00FD7E6F"/>
    <w:rsid w:val="00FE0022"/>
    <w:rsid w:val="00FE012C"/>
    <w:rsid w:val="00FE0361"/>
    <w:rsid w:val="00FE0555"/>
    <w:rsid w:val="00FE058F"/>
    <w:rsid w:val="00FE07CF"/>
    <w:rsid w:val="00FE0811"/>
    <w:rsid w:val="00FE08AF"/>
    <w:rsid w:val="00FE09F6"/>
    <w:rsid w:val="00FE0B53"/>
    <w:rsid w:val="00FE0C0A"/>
    <w:rsid w:val="00FE0C16"/>
    <w:rsid w:val="00FE0C60"/>
    <w:rsid w:val="00FE0F1B"/>
    <w:rsid w:val="00FE0F51"/>
    <w:rsid w:val="00FE0FA6"/>
    <w:rsid w:val="00FE1113"/>
    <w:rsid w:val="00FE1116"/>
    <w:rsid w:val="00FE113B"/>
    <w:rsid w:val="00FE11A3"/>
    <w:rsid w:val="00FE1267"/>
    <w:rsid w:val="00FE152D"/>
    <w:rsid w:val="00FE166F"/>
    <w:rsid w:val="00FE167B"/>
    <w:rsid w:val="00FE16F9"/>
    <w:rsid w:val="00FE1735"/>
    <w:rsid w:val="00FE1800"/>
    <w:rsid w:val="00FE180A"/>
    <w:rsid w:val="00FE18D8"/>
    <w:rsid w:val="00FE1BC0"/>
    <w:rsid w:val="00FE1C25"/>
    <w:rsid w:val="00FE1CB0"/>
    <w:rsid w:val="00FE1DCE"/>
    <w:rsid w:val="00FE1EC3"/>
    <w:rsid w:val="00FE1F40"/>
    <w:rsid w:val="00FE1F6B"/>
    <w:rsid w:val="00FE1F73"/>
    <w:rsid w:val="00FE1F81"/>
    <w:rsid w:val="00FE205E"/>
    <w:rsid w:val="00FE206C"/>
    <w:rsid w:val="00FE2102"/>
    <w:rsid w:val="00FE2128"/>
    <w:rsid w:val="00FE2229"/>
    <w:rsid w:val="00FE2304"/>
    <w:rsid w:val="00FE2351"/>
    <w:rsid w:val="00FE240E"/>
    <w:rsid w:val="00FE263D"/>
    <w:rsid w:val="00FE26F3"/>
    <w:rsid w:val="00FE29EC"/>
    <w:rsid w:val="00FE2B99"/>
    <w:rsid w:val="00FE2D15"/>
    <w:rsid w:val="00FE2DD3"/>
    <w:rsid w:val="00FE2DFC"/>
    <w:rsid w:val="00FE2E04"/>
    <w:rsid w:val="00FE2F89"/>
    <w:rsid w:val="00FE31E2"/>
    <w:rsid w:val="00FE323A"/>
    <w:rsid w:val="00FE3272"/>
    <w:rsid w:val="00FE337D"/>
    <w:rsid w:val="00FE3387"/>
    <w:rsid w:val="00FE3434"/>
    <w:rsid w:val="00FE34EA"/>
    <w:rsid w:val="00FE3613"/>
    <w:rsid w:val="00FE3662"/>
    <w:rsid w:val="00FE376B"/>
    <w:rsid w:val="00FE3873"/>
    <w:rsid w:val="00FE38DB"/>
    <w:rsid w:val="00FE3929"/>
    <w:rsid w:val="00FE392E"/>
    <w:rsid w:val="00FE3A67"/>
    <w:rsid w:val="00FE3E22"/>
    <w:rsid w:val="00FE3F9F"/>
    <w:rsid w:val="00FE40E7"/>
    <w:rsid w:val="00FE4158"/>
    <w:rsid w:val="00FE42B9"/>
    <w:rsid w:val="00FE4320"/>
    <w:rsid w:val="00FE43B4"/>
    <w:rsid w:val="00FE463C"/>
    <w:rsid w:val="00FE4677"/>
    <w:rsid w:val="00FE47BC"/>
    <w:rsid w:val="00FE4824"/>
    <w:rsid w:val="00FE484D"/>
    <w:rsid w:val="00FE4860"/>
    <w:rsid w:val="00FE48A1"/>
    <w:rsid w:val="00FE4A77"/>
    <w:rsid w:val="00FE4C14"/>
    <w:rsid w:val="00FE4CB3"/>
    <w:rsid w:val="00FE4CB7"/>
    <w:rsid w:val="00FE4E39"/>
    <w:rsid w:val="00FE4EDB"/>
    <w:rsid w:val="00FE4F79"/>
    <w:rsid w:val="00FE4FD5"/>
    <w:rsid w:val="00FE504B"/>
    <w:rsid w:val="00FE5146"/>
    <w:rsid w:val="00FE52DB"/>
    <w:rsid w:val="00FE54AB"/>
    <w:rsid w:val="00FE54C5"/>
    <w:rsid w:val="00FE5580"/>
    <w:rsid w:val="00FE55C3"/>
    <w:rsid w:val="00FE5685"/>
    <w:rsid w:val="00FE589F"/>
    <w:rsid w:val="00FE59C3"/>
    <w:rsid w:val="00FE60E5"/>
    <w:rsid w:val="00FE60FA"/>
    <w:rsid w:val="00FE63DD"/>
    <w:rsid w:val="00FE63E5"/>
    <w:rsid w:val="00FE656C"/>
    <w:rsid w:val="00FE6634"/>
    <w:rsid w:val="00FE66C3"/>
    <w:rsid w:val="00FE66FB"/>
    <w:rsid w:val="00FE67EA"/>
    <w:rsid w:val="00FE6807"/>
    <w:rsid w:val="00FE680D"/>
    <w:rsid w:val="00FE6871"/>
    <w:rsid w:val="00FE6878"/>
    <w:rsid w:val="00FE693C"/>
    <w:rsid w:val="00FE69E1"/>
    <w:rsid w:val="00FE6AB9"/>
    <w:rsid w:val="00FE6E29"/>
    <w:rsid w:val="00FE6E39"/>
    <w:rsid w:val="00FE7010"/>
    <w:rsid w:val="00FE7153"/>
    <w:rsid w:val="00FE71FD"/>
    <w:rsid w:val="00FE7215"/>
    <w:rsid w:val="00FE724A"/>
    <w:rsid w:val="00FE72B8"/>
    <w:rsid w:val="00FE73E0"/>
    <w:rsid w:val="00FE74C3"/>
    <w:rsid w:val="00FE7510"/>
    <w:rsid w:val="00FE764D"/>
    <w:rsid w:val="00FE7797"/>
    <w:rsid w:val="00FE77BD"/>
    <w:rsid w:val="00FE78E8"/>
    <w:rsid w:val="00FE7910"/>
    <w:rsid w:val="00FE7AAD"/>
    <w:rsid w:val="00FE7AB6"/>
    <w:rsid w:val="00FE7B39"/>
    <w:rsid w:val="00FE7B8A"/>
    <w:rsid w:val="00FE7C06"/>
    <w:rsid w:val="00FE7D80"/>
    <w:rsid w:val="00FE7E0D"/>
    <w:rsid w:val="00FE7E3D"/>
    <w:rsid w:val="00FE7F25"/>
    <w:rsid w:val="00FE7FB8"/>
    <w:rsid w:val="00FE7FDE"/>
    <w:rsid w:val="00FF005D"/>
    <w:rsid w:val="00FF00D2"/>
    <w:rsid w:val="00FF0265"/>
    <w:rsid w:val="00FF0318"/>
    <w:rsid w:val="00FF0321"/>
    <w:rsid w:val="00FF032F"/>
    <w:rsid w:val="00FF0339"/>
    <w:rsid w:val="00FF04FB"/>
    <w:rsid w:val="00FF077D"/>
    <w:rsid w:val="00FF07B4"/>
    <w:rsid w:val="00FF0831"/>
    <w:rsid w:val="00FF0AA3"/>
    <w:rsid w:val="00FF0BBF"/>
    <w:rsid w:val="00FF0C86"/>
    <w:rsid w:val="00FF0D61"/>
    <w:rsid w:val="00FF0E4F"/>
    <w:rsid w:val="00FF0F1C"/>
    <w:rsid w:val="00FF106B"/>
    <w:rsid w:val="00FF110C"/>
    <w:rsid w:val="00FF113B"/>
    <w:rsid w:val="00FF11E5"/>
    <w:rsid w:val="00FF127F"/>
    <w:rsid w:val="00FF14DA"/>
    <w:rsid w:val="00FF1546"/>
    <w:rsid w:val="00FF1675"/>
    <w:rsid w:val="00FF1A81"/>
    <w:rsid w:val="00FF1ACF"/>
    <w:rsid w:val="00FF1CB3"/>
    <w:rsid w:val="00FF1CEE"/>
    <w:rsid w:val="00FF1D34"/>
    <w:rsid w:val="00FF1D5A"/>
    <w:rsid w:val="00FF1D70"/>
    <w:rsid w:val="00FF1E54"/>
    <w:rsid w:val="00FF1EB1"/>
    <w:rsid w:val="00FF2073"/>
    <w:rsid w:val="00FF2121"/>
    <w:rsid w:val="00FF214C"/>
    <w:rsid w:val="00FF225A"/>
    <w:rsid w:val="00FF2275"/>
    <w:rsid w:val="00FF2346"/>
    <w:rsid w:val="00FF237B"/>
    <w:rsid w:val="00FF2493"/>
    <w:rsid w:val="00FF24CF"/>
    <w:rsid w:val="00FF2583"/>
    <w:rsid w:val="00FF2611"/>
    <w:rsid w:val="00FF26A3"/>
    <w:rsid w:val="00FF270D"/>
    <w:rsid w:val="00FF2833"/>
    <w:rsid w:val="00FF28BF"/>
    <w:rsid w:val="00FF28C1"/>
    <w:rsid w:val="00FF2904"/>
    <w:rsid w:val="00FF2B3B"/>
    <w:rsid w:val="00FF2BCD"/>
    <w:rsid w:val="00FF2BDC"/>
    <w:rsid w:val="00FF2D26"/>
    <w:rsid w:val="00FF2EA1"/>
    <w:rsid w:val="00FF302F"/>
    <w:rsid w:val="00FF308D"/>
    <w:rsid w:val="00FF3107"/>
    <w:rsid w:val="00FF31BE"/>
    <w:rsid w:val="00FF3227"/>
    <w:rsid w:val="00FF324D"/>
    <w:rsid w:val="00FF32EE"/>
    <w:rsid w:val="00FF32F4"/>
    <w:rsid w:val="00FF32F7"/>
    <w:rsid w:val="00FF348E"/>
    <w:rsid w:val="00FF34D3"/>
    <w:rsid w:val="00FF34FE"/>
    <w:rsid w:val="00FF3511"/>
    <w:rsid w:val="00FF364B"/>
    <w:rsid w:val="00FF38CC"/>
    <w:rsid w:val="00FF3CD3"/>
    <w:rsid w:val="00FF3D91"/>
    <w:rsid w:val="00FF3E44"/>
    <w:rsid w:val="00FF3EA3"/>
    <w:rsid w:val="00FF3EFA"/>
    <w:rsid w:val="00FF41B2"/>
    <w:rsid w:val="00FF4242"/>
    <w:rsid w:val="00FF44B6"/>
    <w:rsid w:val="00FF4516"/>
    <w:rsid w:val="00FF4540"/>
    <w:rsid w:val="00FF46F5"/>
    <w:rsid w:val="00FF487A"/>
    <w:rsid w:val="00FF4919"/>
    <w:rsid w:val="00FF49D2"/>
    <w:rsid w:val="00FF4A4D"/>
    <w:rsid w:val="00FF4AC2"/>
    <w:rsid w:val="00FF4C3A"/>
    <w:rsid w:val="00FF4C7A"/>
    <w:rsid w:val="00FF4C89"/>
    <w:rsid w:val="00FF4EA7"/>
    <w:rsid w:val="00FF4F6B"/>
    <w:rsid w:val="00FF4FCC"/>
    <w:rsid w:val="00FF5085"/>
    <w:rsid w:val="00FF50C8"/>
    <w:rsid w:val="00FF5315"/>
    <w:rsid w:val="00FF53F9"/>
    <w:rsid w:val="00FF5482"/>
    <w:rsid w:val="00FF5497"/>
    <w:rsid w:val="00FF5633"/>
    <w:rsid w:val="00FF58B6"/>
    <w:rsid w:val="00FF59D5"/>
    <w:rsid w:val="00FF5A18"/>
    <w:rsid w:val="00FF5B36"/>
    <w:rsid w:val="00FF5C9B"/>
    <w:rsid w:val="00FF5E4F"/>
    <w:rsid w:val="00FF5EEB"/>
    <w:rsid w:val="00FF5F0C"/>
    <w:rsid w:val="00FF5FEF"/>
    <w:rsid w:val="00FF6067"/>
    <w:rsid w:val="00FF61A2"/>
    <w:rsid w:val="00FF62EA"/>
    <w:rsid w:val="00FF630F"/>
    <w:rsid w:val="00FF63C7"/>
    <w:rsid w:val="00FF6486"/>
    <w:rsid w:val="00FF66CE"/>
    <w:rsid w:val="00FF6ACB"/>
    <w:rsid w:val="00FF6BEB"/>
    <w:rsid w:val="00FF6C2B"/>
    <w:rsid w:val="00FF6CE3"/>
    <w:rsid w:val="00FF6DF7"/>
    <w:rsid w:val="00FF6E26"/>
    <w:rsid w:val="00FF6E5C"/>
    <w:rsid w:val="00FF6F3F"/>
    <w:rsid w:val="00FF6F89"/>
    <w:rsid w:val="00FF7223"/>
    <w:rsid w:val="00FF7244"/>
    <w:rsid w:val="00FF72CB"/>
    <w:rsid w:val="00FF72CE"/>
    <w:rsid w:val="00FF7312"/>
    <w:rsid w:val="00FF73FC"/>
    <w:rsid w:val="00FF74D3"/>
    <w:rsid w:val="00FF75D0"/>
    <w:rsid w:val="00FF7654"/>
    <w:rsid w:val="00FF76D6"/>
    <w:rsid w:val="00FF7722"/>
    <w:rsid w:val="00FF7743"/>
    <w:rsid w:val="00FF7861"/>
    <w:rsid w:val="00FF795C"/>
    <w:rsid w:val="00FF797C"/>
    <w:rsid w:val="00FF798E"/>
    <w:rsid w:val="00FF79CD"/>
    <w:rsid w:val="00FF7A66"/>
    <w:rsid w:val="00FF7AB5"/>
    <w:rsid w:val="00FF7BD3"/>
    <w:rsid w:val="00FF7CC2"/>
    <w:rsid w:val="00FF7D4D"/>
    <w:rsid w:val="00FF7DF8"/>
    <w:rsid w:val="00FF7DFF"/>
    <w:rsid w:val="00FF7FF4"/>
    <w:rsid w:val="0101A82B"/>
    <w:rsid w:val="0102F81C"/>
    <w:rsid w:val="0103B2D8"/>
    <w:rsid w:val="01063364"/>
    <w:rsid w:val="010A0DB0"/>
    <w:rsid w:val="010C26DA"/>
    <w:rsid w:val="01214DA1"/>
    <w:rsid w:val="0123333C"/>
    <w:rsid w:val="0124CCBB"/>
    <w:rsid w:val="01274A3C"/>
    <w:rsid w:val="012BED21"/>
    <w:rsid w:val="012CFCA1"/>
    <w:rsid w:val="012F1C5E"/>
    <w:rsid w:val="013FDF49"/>
    <w:rsid w:val="014A513F"/>
    <w:rsid w:val="014BDFE0"/>
    <w:rsid w:val="0151BB00"/>
    <w:rsid w:val="0153021B"/>
    <w:rsid w:val="015B6758"/>
    <w:rsid w:val="01612107"/>
    <w:rsid w:val="01685F6E"/>
    <w:rsid w:val="016C1DB0"/>
    <w:rsid w:val="0175660B"/>
    <w:rsid w:val="017B4934"/>
    <w:rsid w:val="01803DAF"/>
    <w:rsid w:val="018386EA"/>
    <w:rsid w:val="01850520"/>
    <w:rsid w:val="01859D3E"/>
    <w:rsid w:val="01896F78"/>
    <w:rsid w:val="018EDC4A"/>
    <w:rsid w:val="019B111A"/>
    <w:rsid w:val="01A1E74F"/>
    <w:rsid w:val="01A46756"/>
    <w:rsid w:val="01A81427"/>
    <w:rsid w:val="01B15071"/>
    <w:rsid w:val="01BACEDC"/>
    <w:rsid w:val="01BB81D7"/>
    <w:rsid w:val="01C1EB4A"/>
    <w:rsid w:val="01C5CA19"/>
    <w:rsid w:val="01C6834A"/>
    <w:rsid w:val="01CA75A6"/>
    <w:rsid w:val="01CC1781"/>
    <w:rsid w:val="01D43C0F"/>
    <w:rsid w:val="01D464B5"/>
    <w:rsid w:val="01D63EFD"/>
    <w:rsid w:val="01D652B0"/>
    <w:rsid w:val="01D6CEDC"/>
    <w:rsid w:val="01DD245B"/>
    <w:rsid w:val="01E16D01"/>
    <w:rsid w:val="01E32860"/>
    <w:rsid w:val="01EA3C2C"/>
    <w:rsid w:val="01EEBFA9"/>
    <w:rsid w:val="01EF5212"/>
    <w:rsid w:val="01F2872B"/>
    <w:rsid w:val="01F92FF4"/>
    <w:rsid w:val="01FB0460"/>
    <w:rsid w:val="01FBC426"/>
    <w:rsid w:val="0202D94C"/>
    <w:rsid w:val="0205401E"/>
    <w:rsid w:val="02095B85"/>
    <w:rsid w:val="020B1398"/>
    <w:rsid w:val="020BF06B"/>
    <w:rsid w:val="020D14C5"/>
    <w:rsid w:val="020EFDFE"/>
    <w:rsid w:val="021012DE"/>
    <w:rsid w:val="02107D76"/>
    <w:rsid w:val="021259CE"/>
    <w:rsid w:val="0212AB54"/>
    <w:rsid w:val="021AC29D"/>
    <w:rsid w:val="02275E3C"/>
    <w:rsid w:val="02280FA0"/>
    <w:rsid w:val="022F0849"/>
    <w:rsid w:val="02392798"/>
    <w:rsid w:val="023B5877"/>
    <w:rsid w:val="023E9E41"/>
    <w:rsid w:val="02491174"/>
    <w:rsid w:val="024ABEB7"/>
    <w:rsid w:val="02506D4C"/>
    <w:rsid w:val="025825BB"/>
    <w:rsid w:val="025C21FF"/>
    <w:rsid w:val="026394A3"/>
    <w:rsid w:val="026F43DB"/>
    <w:rsid w:val="02739531"/>
    <w:rsid w:val="0273FE07"/>
    <w:rsid w:val="02846AF7"/>
    <w:rsid w:val="0285A6E5"/>
    <w:rsid w:val="028E8BA5"/>
    <w:rsid w:val="02903386"/>
    <w:rsid w:val="02929728"/>
    <w:rsid w:val="02988543"/>
    <w:rsid w:val="02994F97"/>
    <w:rsid w:val="02A083CA"/>
    <w:rsid w:val="02A12810"/>
    <w:rsid w:val="02A5E313"/>
    <w:rsid w:val="02A6B6E5"/>
    <w:rsid w:val="02A94977"/>
    <w:rsid w:val="02B05C9D"/>
    <w:rsid w:val="02B943C6"/>
    <w:rsid w:val="02BED208"/>
    <w:rsid w:val="02BEDA3C"/>
    <w:rsid w:val="02C1529D"/>
    <w:rsid w:val="02C31F8F"/>
    <w:rsid w:val="02C61C1A"/>
    <w:rsid w:val="02C8D1BA"/>
    <w:rsid w:val="02D37528"/>
    <w:rsid w:val="02D98176"/>
    <w:rsid w:val="02D9DA23"/>
    <w:rsid w:val="02DBAFAA"/>
    <w:rsid w:val="02DF3B90"/>
    <w:rsid w:val="02E0419C"/>
    <w:rsid w:val="02E2DF3A"/>
    <w:rsid w:val="02E69213"/>
    <w:rsid w:val="02E88538"/>
    <w:rsid w:val="02EB1D1C"/>
    <w:rsid w:val="02EC5723"/>
    <w:rsid w:val="02F03F04"/>
    <w:rsid w:val="02F2DF90"/>
    <w:rsid w:val="02F5B85D"/>
    <w:rsid w:val="02F939BF"/>
    <w:rsid w:val="02FF6536"/>
    <w:rsid w:val="030430CF"/>
    <w:rsid w:val="030A24C6"/>
    <w:rsid w:val="03130E7C"/>
    <w:rsid w:val="0313BFAB"/>
    <w:rsid w:val="0319502A"/>
    <w:rsid w:val="0319A746"/>
    <w:rsid w:val="031A49ED"/>
    <w:rsid w:val="031DDB99"/>
    <w:rsid w:val="03231A5C"/>
    <w:rsid w:val="03296B92"/>
    <w:rsid w:val="0329A71D"/>
    <w:rsid w:val="032AB0F5"/>
    <w:rsid w:val="032AB931"/>
    <w:rsid w:val="032BA373"/>
    <w:rsid w:val="032C05ED"/>
    <w:rsid w:val="032F3363"/>
    <w:rsid w:val="033095C3"/>
    <w:rsid w:val="0330E943"/>
    <w:rsid w:val="033C589D"/>
    <w:rsid w:val="033CF630"/>
    <w:rsid w:val="033D290E"/>
    <w:rsid w:val="03441FDC"/>
    <w:rsid w:val="034893B3"/>
    <w:rsid w:val="0349BCEC"/>
    <w:rsid w:val="034DBBCD"/>
    <w:rsid w:val="0351394F"/>
    <w:rsid w:val="03556ADE"/>
    <w:rsid w:val="0358184E"/>
    <w:rsid w:val="0359FFC6"/>
    <w:rsid w:val="035AB7ED"/>
    <w:rsid w:val="036615BA"/>
    <w:rsid w:val="036C258F"/>
    <w:rsid w:val="03741879"/>
    <w:rsid w:val="0375F19E"/>
    <w:rsid w:val="0378849D"/>
    <w:rsid w:val="037FD9EF"/>
    <w:rsid w:val="0383F2F6"/>
    <w:rsid w:val="0389FA7F"/>
    <w:rsid w:val="038CC975"/>
    <w:rsid w:val="038CD83C"/>
    <w:rsid w:val="038E7384"/>
    <w:rsid w:val="03915DCC"/>
    <w:rsid w:val="0394C2F8"/>
    <w:rsid w:val="039C9767"/>
    <w:rsid w:val="039D3427"/>
    <w:rsid w:val="039EBEA9"/>
    <w:rsid w:val="039EEF97"/>
    <w:rsid w:val="03A5E769"/>
    <w:rsid w:val="03A7C67D"/>
    <w:rsid w:val="03AAE54F"/>
    <w:rsid w:val="03AE6C7D"/>
    <w:rsid w:val="03AF98DD"/>
    <w:rsid w:val="03B46B5F"/>
    <w:rsid w:val="03B50E4C"/>
    <w:rsid w:val="03B82DA3"/>
    <w:rsid w:val="03BE5B25"/>
    <w:rsid w:val="03C465C5"/>
    <w:rsid w:val="03C90DBA"/>
    <w:rsid w:val="03CA86A9"/>
    <w:rsid w:val="03D0D24D"/>
    <w:rsid w:val="03D34280"/>
    <w:rsid w:val="03D7851B"/>
    <w:rsid w:val="03D9914F"/>
    <w:rsid w:val="03F5AE52"/>
    <w:rsid w:val="03F77229"/>
    <w:rsid w:val="03F9CA57"/>
    <w:rsid w:val="03FFF966"/>
    <w:rsid w:val="0402AE1B"/>
    <w:rsid w:val="040EC190"/>
    <w:rsid w:val="0411A9F5"/>
    <w:rsid w:val="0415B576"/>
    <w:rsid w:val="0417B230"/>
    <w:rsid w:val="041872FB"/>
    <w:rsid w:val="041B2430"/>
    <w:rsid w:val="041C3DD8"/>
    <w:rsid w:val="0423636D"/>
    <w:rsid w:val="04245DAC"/>
    <w:rsid w:val="04258B41"/>
    <w:rsid w:val="04270794"/>
    <w:rsid w:val="042C5656"/>
    <w:rsid w:val="043A94F5"/>
    <w:rsid w:val="0442A5DC"/>
    <w:rsid w:val="0445529A"/>
    <w:rsid w:val="044742E9"/>
    <w:rsid w:val="045357A9"/>
    <w:rsid w:val="04550C86"/>
    <w:rsid w:val="0458575A"/>
    <w:rsid w:val="0459EE41"/>
    <w:rsid w:val="045AB8BC"/>
    <w:rsid w:val="045D5EBE"/>
    <w:rsid w:val="045D7331"/>
    <w:rsid w:val="0466B2BE"/>
    <w:rsid w:val="0473288C"/>
    <w:rsid w:val="0473F17C"/>
    <w:rsid w:val="04760DEA"/>
    <w:rsid w:val="0479A874"/>
    <w:rsid w:val="047F7A03"/>
    <w:rsid w:val="04830D17"/>
    <w:rsid w:val="048316C4"/>
    <w:rsid w:val="048D3235"/>
    <w:rsid w:val="0493785E"/>
    <w:rsid w:val="04970D22"/>
    <w:rsid w:val="049D0BBF"/>
    <w:rsid w:val="04A178D0"/>
    <w:rsid w:val="04A92322"/>
    <w:rsid w:val="04AA3979"/>
    <w:rsid w:val="04AAB03A"/>
    <w:rsid w:val="04ACB3C9"/>
    <w:rsid w:val="04B2F5E6"/>
    <w:rsid w:val="04BEEABD"/>
    <w:rsid w:val="04C5443F"/>
    <w:rsid w:val="04CCCF18"/>
    <w:rsid w:val="04CE2790"/>
    <w:rsid w:val="04D90D7F"/>
    <w:rsid w:val="04DBF077"/>
    <w:rsid w:val="04DCC070"/>
    <w:rsid w:val="04E283F9"/>
    <w:rsid w:val="04E3A490"/>
    <w:rsid w:val="04E3AFBD"/>
    <w:rsid w:val="04E805C2"/>
    <w:rsid w:val="04EB8B02"/>
    <w:rsid w:val="04EC927C"/>
    <w:rsid w:val="04ED6219"/>
    <w:rsid w:val="04F2DF61"/>
    <w:rsid w:val="04F669D5"/>
    <w:rsid w:val="04F88611"/>
    <w:rsid w:val="04F93CB2"/>
    <w:rsid w:val="04FDEA49"/>
    <w:rsid w:val="04FE8FBC"/>
    <w:rsid w:val="050751AF"/>
    <w:rsid w:val="05100086"/>
    <w:rsid w:val="05112FEE"/>
    <w:rsid w:val="05116707"/>
    <w:rsid w:val="0511E920"/>
    <w:rsid w:val="0512E4FA"/>
    <w:rsid w:val="051C3132"/>
    <w:rsid w:val="05236482"/>
    <w:rsid w:val="0525EA28"/>
    <w:rsid w:val="05262836"/>
    <w:rsid w:val="05286E62"/>
    <w:rsid w:val="052B829B"/>
    <w:rsid w:val="05328FE7"/>
    <w:rsid w:val="0532DB20"/>
    <w:rsid w:val="05363E32"/>
    <w:rsid w:val="0536ED87"/>
    <w:rsid w:val="053AFE3A"/>
    <w:rsid w:val="053F58E8"/>
    <w:rsid w:val="054280C5"/>
    <w:rsid w:val="0542D263"/>
    <w:rsid w:val="0545D345"/>
    <w:rsid w:val="05474EA8"/>
    <w:rsid w:val="0556A617"/>
    <w:rsid w:val="0558E058"/>
    <w:rsid w:val="055BC882"/>
    <w:rsid w:val="055D1E30"/>
    <w:rsid w:val="055EB213"/>
    <w:rsid w:val="0569D9EC"/>
    <w:rsid w:val="056AFE5D"/>
    <w:rsid w:val="0570A6A0"/>
    <w:rsid w:val="05727D06"/>
    <w:rsid w:val="05748DC0"/>
    <w:rsid w:val="057D4744"/>
    <w:rsid w:val="058417D9"/>
    <w:rsid w:val="058525EB"/>
    <w:rsid w:val="058742F6"/>
    <w:rsid w:val="058BC879"/>
    <w:rsid w:val="058FA609"/>
    <w:rsid w:val="0592F0E4"/>
    <w:rsid w:val="05A12ABF"/>
    <w:rsid w:val="05A2E757"/>
    <w:rsid w:val="05A3B698"/>
    <w:rsid w:val="05A6A3D7"/>
    <w:rsid w:val="05A6F0CC"/>
    <w:rsid w:val="05B659B4"/>
    <w:rsid w:val="05B690F1"/>
    <w:rsid w:val="05BD1B17"/>
    <w:rsid w:val="05BD6AAA"/>
    <w:rsid w:val="05C334ED"/>
    <w:rsid w:val="05C47EE7"/>
    <w:rsid w:val="05CAB1B5"/>
    <w:rsid w:val="05CE3540"/>
    <w:rsid w:val="05D437FF"/>
    <w:rsid w:val="05D43D18"/>
    <w:rsid w:val="05D7B58B"/>
    <w:rsid w:val="05DE0DE6"/>
    <w:rsid w:val="05DE2741"/>
    <w:rsid w:val="05E6450B"/>
    <w:rsid w:val="05E6F3B8"/>
    <w:rsid w:val="05E9A181"/>
    <w:rsid w:val="05EBB7B5"/>
    <w:rsid w:val="05F4E218"/>
    <w:rsid w:val="05FC39EA"/>
    <w:rsid w:val="06033D6C"/>
    <w:rsid w:val="06033EF2"/>
    <w:rsid w:val="06090AA4"/>
    <w:rsid w:val="060A8B91"/>
    <w:rsid w:val="060CC878"/>
    <w:rsid w:val="061026A2"/>
    <w:rsid w:val="0610F273"/>
    <w:rsid w:val="06165D7E"/>
    <w:rsid w:val="061702C2"/>
    <w:rsid w:val="0618BAD8"/>
    <w:rsid w:val="061D4DA4"/>
    <w:rsid w:val="061DFA1E"/>
    <w:rsid w:val="0623BDCF"/>
    <w:rsid w:val="0623CABE"/>
    <w:rsid w:val="0624D5B5"/>
    <w:rsid w:val="0625F11B"/>
    <w:rsid w:val="0633D77F"/>
    <w:rsid w:val="063688C3"/>
    <w:rsid w:val="0636F526"/>
    <w:rsid w:val="063705F7"/>
    <w:rsid w:val="06376026"/>
    <w:rsid w:val="063C1AAF"/>
    <w:rsid w:val="063EA9A0"/>
    <w:rsid w:val="063F2EEB"/>
    <w:rsid w:val="06428E2F"/>
    <w:rsid w:val="0644EDCD"/>
    <w:rsid w:val="0646CD45"/>
    <w:rsid w:val="064A5A83"/>
    <w:rsid w:val="064C735C"/>
    <w:rsid w:val="065821EE"/>
    <w:rsid w:val="0658E174"/>
    <w:rsid w:val="06598042"/>
    <w:rsid w:val="0665B614"/>
    <w:rsid w:val="066E0C18"/>
    <w:rsid w:val="0676232E"/>
    <w:rsid w:val="0676DBEF"/>
    <w:rsid w:val="067B3443"/>
    <w:rsid w:val="06818D30"/>
    <w:rsid w:val="0686F619"/>
    <w:rsid w:val="06881F38"/>
    <w:rsid w:val="068A3B16"/>
    <w:rsid w:val="068ACF8A"/>
    <w:rsid w:val="068B313F"/>
    <w:rsid w:val="068EB860"/>
    <w:rsid w:val="0699FA76"/>
    <w:rsid w:val="069B556E"/>
    <w:rsid w:val="069BB15E"/>
    <w:rsid w:val="06AB4193"/>
    <w:rsid w:val="06AC7724"/>
    <w:rsid w:val="06AE666D"/>
    <w:rsid w:val="06B406C1"/>
    <w:rsid w:val="06B7A0DF"/>
    <w:rsid w:val="06B7D5B9"/>
    <w:rsid w:val="06BB87D5"/>
    <w:rsid w:val="06BFE720"/>
    <w:rsid w:val="06C517D2"/>
    <w:rsid w:val="06C71B16"/>
    <w:rsid w:val="06C933A7"/>
    <w:rsid w:val="06C9A5DC"/>
    <w:rsid w:val="06D0557C"/>
    <w:rsid w:val="06D8C3D0"/>
    <w:rsid w:val="06DB5F34"/>
    <w:rsid w:val="06DBEF22"/>
    <w:rsid w:val="06DED831"/>
    <w:rsid w:val="06E427AF"/>
    <w:rsid w:val="06E68E53"/>
    <w:rsid w:val="06E8C0E2"/>
    <w:rsid w:val="06ED3BD9"/>
    <w:rsid w:val="06F4CC07"/>
    <w:rsid w:val="06FE48B7"/>
    <w:rsid w:val="06FFCF7C"/>
    <w:rsid w:val="0700E86D"/>
    <w:rsid w:val="07076780"/>
    <w:rsid w:val="0708587D"/>
    <w:rsid w:val="07099AA6"/>
    <w:rsid w:val="070BF39D"/>
    <w:rsid w:val="0711C541"/>
    <w:rsid w:val="071E59C7"/>
    <w:rsid w:val="071F492F"/>
    <w:rsid w:val="0721AE4E"/>
    <w:rsid w:val="07238499"/>
    <w:rsid w:val="073491D4"/>
    <w:rsid w:val="07398BB0"/>
    <w:rsid w:val="073B8087"/>
    <w:rsid w:val="073E9F73"/>
    <w:rsid w:val="07514FF5"/>
    <w:rsid w:val="0754C57D"/>
    <w:rsid w:val="075951F1"/>
    <w:rsid w:val="075B342A"/>
    <w:rsid w:val="075BB064"/>
    <w:rsid w:val="075D8CE3"/>
    <w:rsid w:val="0769EEB4"/>
    <w:rsid w:val="076A2750"/>
    <w:rsid w:val="076B57FF"/>
    <w:rsid w:val="076BA05C"/>
    <w:rsid w:val="0770C086"/>
    <w:rsid w:val="07760A95"/>
    <w:rsid w:val="077D8463"/>
    <w:rsid w:val="0781C6F7"/>
    <w:rsid w:val="078334EB"/>
    <w:rsid w:val="0785D259"/>
    <w:rsid w:val="0786B656"/>
    <w:rsid w:val="0796F022"/>
    <w:rsid w:val="0798BF86"/>
    <w:rsid w:val="07A0AC11"/>
    <w:rsid w:val="07A484C6"/>
    <w:rsid w:val="07ABF954"/>
    <w:rsid w:val="07ACB605"/>
    <w:rsid w:val="07B7C05D"/>
    <w:rsid w:val="07BABE20"/>
    <w:rsid w:val="07BAD4D7"/>
    <w:rsid w:val="07BAFAAC"/>
    <w:rsid w:val="07BFAE53"/>
    <w:rsid w:val="07C3AD18"/>
    <w:rsid w:val="07C84F80"/>
    <w:rsid w:val="07D029C6"/>
    <w:rsid w:val="07D0DA33"/>
    <w:rsid w:val="07D0F21B"/>
    <w:rsid w:val="07D314AB"/>
    <w:rsid w:val="07D55B2B"/>
    <w:rsid w:val="07D65BB7"/>
    <w:rsid w:val="07DB3C7E"/>
    <w:rsid w:val="07DB6560"/>
    <w:rsid w:val="07E43B5F"/>
    <w:rsid w:val="07E9080E"/>
    <w:rsid w:val="07ECD3F8"/>
    <w:rsid w:val="07EF2267"/>
    <w:rsid w:val="07EFE957"/>
    <w:rsid w:val="07F68B7F"/>
    <w:rsid w:val="07FEED5F"/>
    <w:rsid w:val="080342F6"/>
    <w:rsid w:val="08077BEF"/>
    <w:rsid w:val="080D0CE1"/>
    <w:rsid w:val="08103B07"/>
    <w:rsid w:val="0810A0CB"/>
    <w:rsid w:val="0818C799"/>
    <w:rsid w:val="0819D019"/>
    <w:rsid w:val="081AEEFF"/>
    <w:rsid w:val="081D24A6"/>
    <w:rsid w:val="0828C3C1"/>
    <w:rsid w:val="0836B96E"/>
    <w:rsid w:val="083E0262"/>
    <w:rsid w:val="083FB180"/>
    <w:rsid w:val="083FB3FA"/>
    <w:rsid w:val="08442BB5"/>
    <w:rsid w:val="084C95CA"/>
    <w:rsid w:val="0858CFBA"/>
    <w:rsid w:val="08597F5D"/>
    <w:rsid w:val="085B0DE0"/>
    <w:rsid w:val="0869256C"/>
    <w:rsid w:val="0871F5D6"/>
    <w:rsid w:val="0872EF21"/>
    <w:rsid w:val="0873C3A8"/>
    <w:rsid w:val="08746FD3"/>
    <w:rsid w:val="0882D665"/>
    <w:rsid w:val="08868AD3"/>
    <w:rsid w:val="088C7682"/>
    <w:rsid w:val="0892A858"/>
    <w:rsid w:val="0893E849"/>
    <w:rsid w:val="08972B1E"/>
    <w:rsid w:val="08974CE3"/>
    <w:rsid w:val="08996409"/>
    <w:rsid w:val="089B0389"/>
    <w:rsid w:val="08A11FF7"/>
    <w:rsid w:val="08A33287"/>
    <w:rsid w:val="08A71F52"/>
    <w:rsid w:val="08AA3FCC"/>
    <w:rsid w:val="08AB56EE"/>
    <w:rsid w:val="08ADF44E"/>
    <w:rsid w:val="08B595AF"/>
    <w:rsid w:val="08BA49C2"/>
    <w:rsid w:val="08BB8334"/>
    <w:rsid w:val="08BE7296"/>
    <w:rsid w:val="08C328FE"/>
    <w:rsid w:val="08D4A72F"/>
    <w:rsid w:val="08DC2FC9"/>
    <w:rsid w:val="08E5F213"/>
    <w:rsid w:val="08E8EDB3"/>
    <w:rsid w:val="08E9CE7C"/>
    <w:rsid w:val="08F666A1"/>
    <w:rsid w:val="08F77FF8"/>
    <w:rsid w:val="08F9581F"/>
    <w:rsid w:val="08FC6317"/>
    <w:rsid w:val="08FDBF1B"/>
    <w:rsid w:val="09016A7E"/>
    <w:rsid w:val="09043D93"/>
    <w:rsid w:val="090AD30A"/>
    <w:rsid w:val="090DF743"/>
    <w:rsid w:val="090E87E1"/>
    <w:rsid w:val="090FA0D8"/>
    <w:rsid w:val="09138E4F"/>
    <w:rsid w:val="09159113"/>
    <w:rsid w:val="091E56F5"/>
    <w:rsid w:val="092262FB"/>
    <w:rsid w:val="0923800B"/>
    <w:rsid w:val="0924BFAF"/>
    <w:rsid w:val="0926B914"/>
    <w:rsid w:val="092A44CF"/>
    <w:rsid w:val="092AEFAA"/>
    <w:rsid w:val="092CE03C"/>
    <w:rsid w:val="09348FE7"/>
    <w:rsid w:val="093A79BF"/>
    <w:rsid w:val="094D2D0B"/>
    <w:rsid w:val="0950B478"/>
    <w:rsid w:val="0955252E"/>
    <w:rsid w:val="095D49B6"/>
    <w:rsid w:val="0966CEB9"/>
    <w:rsid w:val="0967FF11"/>
    <w:rsid w:val="096C5F45"/>
    <w:rsid w:val="097F87B3"/>
    <w:rsid w:val="0981EE33"/>
    <w:rsid w:val="09898E46"/>
    <w:rsid w:val="098B4F94"/>
    <w:rsid w:val="098C395A"/>
    <w:rsid w:val="09A804E4"/>
    <w:rsid w:val="09AD4239"/>
    <w:rsid w:val="09ADBBB0"/>
    <w:rsid w:val="09B8D168"/>
    <w:rsid w:val="09B9627A"/>
    <w:rsid w:val="09C559F6"/>
    <w:rsid w:val="09CE7C1E"/>
    <w:rsid w:val="09CEF615"/>
    <w:rsid w:val="09CF0A2E"/>
    <w:rsid w:val="09D122B6"/>
    <w:rsid w:val="09D73AF9"/>
    <w:rsid w:val="09DAA982"/>
    <w:rsid w:val="09DC90B3"/>
    <w:rsid w:val="09DE992B"/>
    <w:rsid w:val="09E35B6C"/>
    <w:rsid w:val="09E53A25"/>
    <w:rsid w:val="09E5A0FA"/>
    <w:rsid w:val="09E93F7E"/>
    <w:rsid w:val="09E95DBB"/>
    <w:rsid w:val="09F1FED6"/>
    <w:rsid w:val="09F9128C"/>
    <w:rsid w:val="09F9F266"/>
    <w:rsid w:val="0A00486A"/>
    <w:rsid w:val="0A0E6034"/>
    <w:rsid w:val="0A11D371"/>
    <w:rsid w:val="0A128B99"/>
    <w:rsid w:val="0A141A06"/>
    <w:rsid w:val="0A149BCE"/>
    <w:rsid w:val="0A1A249C"/>
    <w:rsid w:val="0A1DF7EB"/>
    <w:rsid w:val="0A245C22"/>
    <w:rsid w:val="0A39A89E"/>
    <w:rsid w:val="0A3A21F6"/>
    <w:rsid w:val="0A3FFD63"/>
    <w:rsid w:val="0A40AA17"/>
    <w:rsid w:val="0A4889B6"/>
    <w:rsid w:val="0A4941AE"/>
    <w:rsid w:val="0A4990F5"/>
    <w:rsid w:val="0A507EC6"/>
    <w:rsid w:val="0A52EC9B"/>
    <w:rsid w:val="0A535C33"/>
    <w:rsid w:val="0A552F06"/>
    <w:rsid w:val="0A5B8FCF"/>
    <w:rsid w:val="0A5F71A7"/>
    <w:rsid w:val="0A63F2DB"/>
    <w:rsid w:val="0A644491"/>
    <w:rsid w:val="0A645CE5"/>
    <w:rsid w:val="0A659F38"/>
    <w:rsid w:val="0A679935"/>
    <w:rsid w:val="0A6821F8"/>
    <w:rsid w:val="0A6A2ABB"/>
    <w:rsid w:val="0A6D9CDF"/>
    <w:rsid w:val="0A717030"/>
    <w:rsid w:val="0A759DB4"/>
    <w:rsid w:val="0A7C516F"/>
    <w:rsid w:val="0A83ABC3"/>
    <w:rsid w:val="0A882CA8"/>
    <w:rsid w:val="0A8BF14E"/>
    <w:rsid w:val="0A8CD3D8"/>
    <w:rsid w:val="0A8FB893"/>
    <w:rsid w:val="0A916BCD"/>
    <w:rsid w:val="0A91B415"/>
    <w:rsid w:val="0A923134"/>
    <w:rsid w:val="0A92EEDB"/>
    <w:rsid w:val="0A9B10CE"/>
    <w:rsid w:val="0A9F3800"/>
    <w:rsid w:val="0AA63A4A"/>
    <w:rsid w:val="0AA756C7"/>
    <w:rsid w:val="0AA8E024"/>
    <w:rsid w:val="0AACC699"/>
    <w:rsid w:val="0AB1C79D"/>
    <w:rsid w:val="0AB6F8DF"/>
    <w:rsid w:val="0AB6FC9B"/>
    <w:rsid w:val="0ABB8CA4"/>
    <w:rsid w:val="0ABD4B9A"/>
    <w:rsid w:val="0ABE61ED"/>
    <w:rsid w:val="0AC1CAC4"/>
    <w:rsid w:val="0AC79129"/>
    <w:rsid w:val="0ACAE23D"/>
    <w:rsid w:val="0AD16C5C"/>
    <w:rsid w:val="0AD263BF"/>
    <w:rsid w:val="0AD43AC4"/>
    <w:rsid w:val="0ADA5501"/>
    <w:rsid w:val="0ADB0F17"/>
    <w:rsid w:val="0ADDCFB6"/>
    <w:rsid w:val="0ADF6D19"/>
    <w:rsid w:val="0AE57846"/>
    <w:rsid w:val="0AE63465"/>
    <w:rsid w:val="0AEED384"/>
    <w:rsid w:val="0AEFC77E"/>
    <w:rsid w:val="0AF4859B"/>
    <w:rsid w:val="0AF53EA0"/>
    <w:rsid w:val="0AFC0BDA"/>
    <w:rsid w:val="0B022A45"/>
    <w:rsid w:val="0B099079"/>
    <w:rsid w:val="0B110EB5"/>
    <w:rsid w:val="0B16FB09"/>
    <w:rsid w:val="0B3321CA"/>
    <w:rsid w:val="0B3B14D6"/>
    <w:rsid w:val="0B3BD23D"/>
    <w:rsid w:val="0B3C91C1"/>
    <w:rsid w:val="0B3DD9E8"/>
    <w:rsid w:val="0B42153A"/>
    <w:rsid w:val="0B42D798"/>
    <w:rsid w:val="0B43546B"/>
    <w:rsid w:val="0B44535B"/>
    <w:rsid w:val="0B4D87CB"/>
    <w:rsid w:val="0B52B0DE"/>
    <w:rsid w:val="0B558385"/>
    <w:rsid w:val="0B5A4A2A"/>
    <w:rsid w:val="0B5A6E8B"/>
    <w:rsid w:val="0B5CAD83"/>
    <w:rsid w:val="0B74D6AF"/>
    <w:rsid w:val="0B75D64B"/>
    <w:rsid w:val="0B7724AB"/>
    <w:rsid w:val="0B78ADD1"/>
    <w:rsid w:val="0B8B5156"/>
    <w:rsid w:val="0B8B9364"/>
    <w:rsid w:val="0B8E680E"/>
    <w:rsid w:val="0B8EE4D9"/>
    <w:rsid w:val="0B916710"/>
    <w:rsid w:val="0B927EB5"/>
    <w:rsid w:val="0B929581"/>
    <w:rsid w:val="0B947DA5"/>
    <w:rsid w:val="0B9A2AEB"/>
    <w:rsid w:val="0BA74FEC"/>
    <w:rsid w:val="0BAC1750"/>
    <w:rsid w:val="0BB29974"/>
    <w:rsid w:val="0BBC1935"/>
    <w:rsid w:val="0BD12B6C"/>
    <w:rsid w:val="0BE17D14"/>
    <w:rsid w:val="0BE3CE42"/>
    <w:rsid w:val="0BE57003"/>
    <w:rsid w:val="0BEB3476"/>
    <w:rsid w:val="0BEE3FAD"/>
    <w:rsid w:val="0C0700EC"/>
    <w:rsid w:val="0C087FE6"/>
    <w:rsid w:val="0C0A75B3"/>
    <w:rsid w:val="0C0A8F12"/>
    <w:rsid w:val="0C0B8117"/>
    <w:rsid w:val="0C0CF86C"/>
    <w:rsid w:val="0C0F3649"/>
    <w:rsid w:val="0C11C146"/>
    <w:rsid w:val="0C1AF555"/>
    <w:rsid w:val="0C22DCB3"/>
    <w:rsid w:val="0C2BBF38"/>
    <w:rsid w:val="0C2C5B3E"/>
    <w:rsid w:val="0C2F545F"/>
    <w:rsid w:val="0C31324C"/>
    <w:rsid w:val="0C3790DC"/>
    <w:rsid w:val="0C3E5CEE"/>
    <w:rsid w:val="0C4CCD60"/>
    <w:rsid w:val="0C555D54"/>
    <w:rsid w:val="0C598298"/>
    <w:rsid w:val="0C69C595"/>
    <w:rsid w:val="0C6AE0C0"/>
    <w:rsid w:val="0C6BD930"/>
    <w:rsid w:val="0C6DAA47"/>
    <w:rsid w:val="0C6F0C32"/>
    <w:rsid w:val="0C704103"/>
    <w:rsid w:val="0C746C01"/>
    <w:rsid w:val="0C7869F6"/>
    <w:rsid w:val="0C787877"/>
    <w:rsid w:val="0C79709A"/>
    <w:rsid w:val="0C7D09B5"/>
    <w:rsid w:val="0C805A06"/>
    <w:rsid w:val="0C90D2A2"/>
    <w:rsid w:val="0C918ABD"/>
    <w:rsid w:val="0CA02535"/>
    <w:rsid w:val="0CA09356"/>
    <w:rsid w:val="0CA3F6CB"/>
    <w:rsid w:val="0CA6831F"/>
    <w:rsid w:val="0CA9C220"/>
    <w:rsid w:val="0CAA49A3"/>
    <w:rsid w:val="0CB14779"/>
    <w:rsid w:val="0CB15A23"/>
    <w:rsid w:val="0CB8E82C"/>
    <w:rsid w:val="0CB92F64"/>
    <w:rsid w:val="0CC06058"/>
    <w:rsid w:val="0CC0B13A"/>
    <w:rsid w:val="0CCB377E"/>
    <w:rsid w:val="0CCC5298"/>
    <w:rsid w:val="0CD14AAA"/>
    <w:rsid w:val="0CD34933"/>
    <w:rsid w:val="0CD67352"/>
    <w:rsid w:val="0CD6E537"/>
    <w:rsid w:val="0CDE5ECA"/>
    <w:rsid w:val="0CE0E1D9"/>
    <w:rsid w:val="0CE32A7A"/>
    <w:rsid w:val="0CE58E48"/>
    <w:rsid w:val="0CEED527"/>
    <w:rsid w:val="0CF1F0EB"/>
    <w:rsid w:val="0CF28607"/>
    <w:rsid w:val="0CFB886C"/>
    <w:rsid w:val="0CFBA03B"/>
    <w:rsid w:val="0CFBA7EF"/>
    <w:rsid w:val="0CFCD2FA"/>
    <w:rsid w:val="0D00E7BE"/>
    <w:rsid w:val="0D04294A"/>
    <w:rsid w:val="0D0F0AA0"/>
    <w:rsid w:val="0D0FF3A8"/>
    <w:rsid w:val="0D13DADF"/>
    <w:rsid w:val="0D14EE45"/>
    <w:rsid w:val="0D176C2D"/>
    <w:rsid w:val="0D1B5677"/>
    <w:rsid w:val="0D2BEDD1"/>
    <w:rsid w:val="0D2FA4E3"/>
    <w:rsid w:val="0D3E66FE"/>
    <w:rsid w:val="0D424259"/>
    <w:rsid w:val="0D44012B"/>
    <w:rsid w:val="0D46EBDF"/>
    <w:rsid w:val="0D498667"/>
    <w:rsid w:val="0D51115E"/>
    <w:rsid w:val="0D537E46"/>
    <w:rsid w:val="0D567927"/>
    <w:rsid w:val="0D5EF06E"/>
    <w:rsid w:val="0D6420FB"/>
    <w:rsid w:val="0D65681D"/>
    <w:rsid w:val="0D6BB52A"/>
    <w:rsid w:val="0D6CC859"/>
    <w:rsid w:val="0D723A03"/>
    <w:rsid w:val="0D77E3F0"/>
    <w:rsid w:val="0D7D276D"/>
    <w:rsid w:val="0D7E44C1"/>
    <w:rsid w:val="0D7F76CE"/>
    <w:rsid w:val="0D8005BF"/>
    <w:rsid w:val="0D89B0CD"/>
    <w:rsid w:val="0D8C13A7"/>
    <w:rsid w:val="0D8CA9A7"/>
    <w:rsid w:val="0D8E1087"/>
    <w:rsid w:val="0D923092"/>
    <w:rsid w:val="0D923B6A"/>
    <w:rsid w:val="0D95F247"/>
    <w:rsid w:val="0D9A988A"/>
    <w:rsid w:val="0D9DB0FE"/>
    <w:rsid w:val="0D9F0811"/>
    <w:rsid w:val="0DA1CAAE"/>
    <w:rsid w:val="0DA5D3E4"/>
    <w:rsid w:val="0DA7D043"/>
    <w:rsid w:val="0DA94FD4"/>
    <w:rsid w:val="0DAAF77C"/>
    <w:rsid w:val="0DAE2612"/>
    <w:rsid w:val="0DBE49A1"/>
    <w:rsid w:val="0DC3FD04"/>
    <w:rsid w:val="0DCABA8E"/>
    <w:rsid w:val="0DCD7B29"/>
    <w:rsid w:val="0DCF6436"/>
    <w:rsid w:val="0DCFC5F3"/>
    <w:rsid w:val="0DD61858"/>
    <w:rsid w:val="0DDB3D97"/>
    <w:rsid w:val="0DDE1007"/>
    <w:rsid w:val="0DEAE98C"/>
    <w:rsid w:val="0DF064DE"/>
    <w:rsid w:val="0DF5CB57"/>
    <w:rsid w:val="0DF7596A"/>
    <w:rsid w:val="0DF77198"/>
    <w:rsid w:val="0DF8862C"/>
    <w:rsid w:val="0DF8AD6F"/>
    <w:rsid w:val="0DFCCD3D"/>
    <w:rsid w:val="0E043827"/>
    <w:rsid w:val="0E0768F1"/>
    <w:rsid w:val="0E088139"/>
    <w:rsid w:val="0E0A0AC6"/>
    <w:rsid w:val="0E0D695C"/>
    <w:rsid w:val="0E118F77"/>
    <w:rsid w:val="0E144C92"/>
    <w:rsid w:val="0E1FFCCB"/>
    <w:rsid w:val="0E20C5AB"/>
    <w:rsid w:val="0E260DB0"/>
    <w:rsid w:val="0E315D7E"/>
    <w:rsid w:val="0E3EE915"/>
    <w:rsid w:val="0E41684F"/>
    <w:rsid w:val="0E424A2C"/>
    <w:rsid w:val="0E50D837"/>
    <w:rsid w:val="0E557BF3"/>
    <w:rsid w:val="0E5A3263"/>
    <w:rsid w:val="0E5A8148"/>
    <w:rsid w:val="0E66E462"/>
    <w:rsid w:val="0E681CF5"/>
    <w:rsid w:val="0E706AE8"/>
    <w:rsid w:val="0E72B598"/>
    <w:rsid w:val="0E8440A7"/>
    <w:rsid w:val="0E866F09"/>
    <w:rsid w:val="0E897E1C"/>
    <w:rsid w:val="0E927051"/>
    <w:rsid w:val="0E989BD4"/>
    <w:rsid w:val="0E9AB6FE"/>
    <w:rsid w:val="0E9D44BD"/>
    <w:rsid w:val="0EA30136"/>
    <w:rsid w:val="0EB4CA59"/>
    <w:rsid w:val="0EBC5F54"/>
    <w:rsid w:val="0EBD6EE4"/>
    <w:rsid w:val="0EBF8FBA"/>
    <w:rsid w:val="0EC393BC"/>
    <w:rsid w:val="0EC6E917"/>
    <w:rsid w:val="0ED83BB2"/>
    <w:rsid w:val="0ED9DD56"/>
    <w:rsid w:val="0EE6E767"/>
    <w:rsid w:val="0EE83960"/>
    <w:rsid w:val="0EEA0969"/>
    <w:rsid w:val="0EEC1ACF"/>
    <w:rsid w:val="0EEC3461"/>
    <w:rsid w:val="0EFB0A6D"/>
    <w:rsid w:val="0EFD7967"/>
    <w:rsid w:val="0EFF0B09"/>
    <w:rsid w:val="0F04CCE1"/>
    <w:rsid w:val="0F0A17C2"/>
    <w:rsid w:val="0F0F7B9F"/>
    <w:rsid w:val="0F0FDB10"/>
    <w:rsid w:val="0F141B3A"/>
    <w:rsid w:val="0F18B774"/>
    <w:rsid w:val="0F190FBA"/>
    <w:rsid w:val="0F201CA4"/>
    <w:rsid w:val="0F2260BB"/>
    <w:rsid w:val="0F28F37E"/>
    <w:rsid w:val="0F2B717C"/>
    <w:rsid w:val="0F2D4CF1"/>
    <w:rsid w:val="0F31D2A3"/>
    <w:rsid w:val="0F4914F5"/>
    <w:rsid w:val="0F4A34E7"/>
    <w:rsid w:val="0F4A3EC3"/>
    <w:rsid w:val="0F4C601C"/>
    <w:rsid w:val="0F4D364F"/>
    <w:rsid w:val="0F4FBD0F"/>
    <w:rsid w:val="0F5000AA"/>
    <w:rsid w:val="0F50D9D0"/>
    <w:rsid w:val="0F5293D9"/>
    <w:rsid w:val="0F543343"/>
    <w:rsid w:val="0F59EF08"/>
    <w:rsid w:val="0F5C1C85"/>
    <w:rsid w:val="0F5D247E"/>
    <w:rsid w:val="0F5ECFE7"/>
    <w:rsid w:val="0F67E3C9"/>
    <w:rsid w:val="0F6A4D31"/>
    <w:rsid w:val="0F74EA3D"/>
    <w:rsid w:val="0F79D356"/>
    <w:rsid w:val="0F7AB501"/>
    <w:rsid w:val="0F848D7D"/>
    <w:rsid w:val="0F86F60A"/>
    <w:rsid w:val="0F88ED2E"/>
    <w:rsid w:val="0F8D1AED"/>
    <w:rsid w:val="0F9032C3"/>
    <w:rsid w:val="0F99E7CB"/>
    <w:rsid w:val="0FAAABAD"/>
    <w:rsid w:val="0FADF308"/>
    <w:rsid w:val="0FAF7248"/>
    <w:rsid w:val="0FB0604B"/>
    <w:rsid w:val="0FB22D5B"/>
    <w:rsid w:val="0FB8D8F8"/>
    <w:rsid w:val="0FB93EEB"/>
    <w:rsid w:val="0FBAA60B"/>
    <w:rsid w:val="0FBD9AF1"/>
    <w:rsid w:val="0FC4D89D"/>
    <w:rsid w:val="0FD12B3A"/>
    <w:rsid w:val="0FD5DDD8"/>
    <w:rsid w:val="0FD7CA34"/>
    <w:rsid w:val="0FDB0F4E"/>
    <w:rsid w:val="0FE615E6"/>
    <w:rsid w:val="0FED0A0B"/>
    <w:rsid w:val="0FF313D2"/>
    <w:rsid w:val="0FFA7DF5"/>
    <w:rsid w:val="0FFAB63C"/>
    <w:rsid w:val="0FFEE600"/>
    <w:rsid w:val="0FFF8252"/>
    <w:rsid w:val="10005C34"/>
    <w:rsid w:val="100B5A9D"/>
    <w:rsid w:val="100EEC92"/>
    <w:rsid w:val="1012C161"/>
    <w:rsid w:val="1015CEF8"/>
    <w:rsid w:val="10177229"/>
    <w:rsid w:val="10186B55"/>
    <w:rsid w:val="101A2577"/>
    <w:rsid w:val="101D8B8D"/>
    <w:rsid w:val="10217624"/>
    <w:rsid w:val="1021C9DD"/>
    <w:rsid w:val="102C3E71"/>
    <w:rsid w:val="102C473F"/>
    <w:rsid w:val="1033A6BE"/>
    <w:rsid w:val="103520C0"/>
    <w:rsid w:val="103B89D7"/>
    <w:rsid w:val="10448EC0"/>
    <w:rsid w:val="10488609"/>
    <w:rsid w:val="104F4301"/>
    <w:rsid w:val="10502021"/>
    <w:rsid w:val="105A9D9D"/>
    <w:rsid w:val="105EB82E"/>
    <w:rsid w:val="105FA9FB"/>
    <w:rsid w:val="10666B32"/>
    <w:rsid w:val="106898F1"/>
    <w:rsid w:val="1068DA7C"/>
    <w:rsid w:val="106BB83A"/>
    <w:rsid w:val="1073AA02"/>
    <w:rsid w:val="1075FDE9"/>
    <w:rsid w:val="108E15E3"/>
    <w:rsid w:val="1092D7AF"/>
    <w:rsid w:val="1092ED8A"/>
    <w:rsid w:val="109BCDF7"/>
    <w:rsid w:val="10A12D71"/>
    <w:rsid w:val="10A8473E"/>
    <w:rsid w:val="10A8E129"/>
    <w:rsid w:val="10B0A8A8"/>
    <w:rsid w:val="10B3C092"/>
    <w:rsid w:val="10B472D4"/>
    <w:rsid w:val="10B4B221"/>
    <w:rsid w:val="10B5118B"/>
    <w:rsid w:val="10B7F0BB"/>
    <w:rsid w:val="10BA1EAB"/>
    <w:rsid w:val="10BE07AB"/>
    <w:rsid w:val="10C41943"/>
    <w:rsid w:val="10C6DC66"/>
    <w:rsid w:val="10C73660"/>
    <w:rsid w:val="10C862C6"/>
    <w:rsid w:val="10CF5334"/>
    <w:rsid w:val="10D04F82"/>
    <w:rsid w:val="10D7384B"/>
    <w:rsid w:val="10D777C4"/>
    <w:rsid w:val="10DE3F1B"/>
    <w:rsid w:val="10DF5D00"/>
    <w:rsid w:val="10EFD018"/>
    <w:rsid w:val="10F122FB"/>
    <w:rsid w:val="10F44F65"/>
    <w:rsid w:val="10F6261A"/>
    <w:rsid w:val="10F76562"/>
    <w:rsid w:val="11048591"/>
    <w:rsid w:val="11085701"/>
    <w:rsid w:val="110C8F80"/>
    <w:rsid w:val="1115FF30"/>
    <w:rsid w:val="111D6CB1"/>
    <w:rsid w:val="112723B3"/>
    <w:rsid w:val="112A757E"/>
    <w:rsid w:val="1132C22E"/>
    <w:rsid w:val="113AB2F5"/>
    <w:rsid w:val="113CDAB6"/>
    <w:rsid w:val="11416135"/>
    <w:rsid w:val="1141FEDD"/>
    <w:rsid w:val="114289C0"/>
    <w:rsid w:val="115F1C17"/>
    <w:rsid w:val="115FD61A"/>
    <w:rsid w:val="1162AFF7"/>
    <w:rsid w:val="116A7C1A"/>
    <w:rsid w:val="116CC7C8"/>
    <w:rsid w:val="11717CC0"/>
    <w:rsid w:val="11755707"/>
    <w:rsid w:val="117A8945"/>
    <w:rsid w:val="117E0F63"/>
    <w:rsid w:val="117FDB40"/>
    <w:rsid w:val="1182E955"/>
    <w:rsid w:val="11931BA3"/>
    <w:rsid w:val="1193B81B"/>
    <w:rsid w:val="11952005"/>
    <w:rsid w:val="1195E474"/>
    <w:rsid w:val="119621A2"/>
    <w:rsid w:val="119B3251"/>
    <w:rsid w:val="119D8B30"/>
    <w:rsid w:val="11A22F33"/>
    <w:rsid w:val="11A61F21"/>
    <w:rsid w:val="11A863FF"/>
    <w:rsid w:val="11A89EFA"/>
    <w:rsid w:val="11ACA77F"/>
    <w:rsid w:val="11AE67B3"/>
    <w:rsid w:val="11B4A279"/>
    <w:rsid w:val="11BA17DE"/>
    <w:rsid w:val="11BA9548"/>
    <w:rsid w:val="11BABEBD"/>
    <w:rsid w:val="11BFF52B"/>
    <w:rsid w:val="11C0833A"/>
    <w:rsid w:val="11C1101C"/>
    <w:rsid w:val="11C1543C"/>
    <w:rsid w:val="11C1F8AF"/>
    <w:rsid w:val="11C492D5"/>
    <w:rsid w:val="11C59FB4"/>
    <w:rsid w:val="11C8F7FB"/>
    <w:rsid w:val="11C9ACD5"/>
    <w:rsid w:val="11CDC295"/>
    <w:rsid w:val="11D0AE8B"/>
    <w:rsid w:val="11D1C400"/>
    <w:rsid w:val="11D4D851"/>
    <w:rsid w:val="11D4DE3A"/>
    <w:rsid w:val="11DAAEFB"/>
    <w:rsid w:val="11DBC31A"/>
    <w:rsid w:val="11E186B5"/>
    <w:rsid w:val="11E68BF9"/>
    <w:rsid w:val="11E74DCA"/>
    <w:rsid w:val="11EBE291"/>
    <w:rsid w:val="11EEFC71"/>
    <w:rsid w:val="11F6CC04"/>
    <w:rsid w:val="11F94558"/>
    <w:rsid w:val="11FBCAB4"/>
    <w:rsid w:val="11FEFFB8"/>
    <w:rsid w:val="1211F113"/>
    <w:rsid w:val="12149FE7"/>
    <w:rsid w:val="12150C85"/>
    <w:rsid w:val="12159564"/>
    <w:rsid w:val="12184CFE"/>
    <w:rsid w:val="121B4CFE"/>
    <w:rsid w:val="122083C2"/>
    <w:rsid w:val="122269FA"/>
    <w:rsid w:val="12228FF7"/>
    <w:rsid w:val="1239AACA"/>
    <w:rsid w:val="124BF740"/>
    <w:rsid w:val="12510E76"/>
    <w:rsid w:val="1256CEAF"/>
    <w:rsid w:val="12582299"/>
    <w:rsid w:val="125BC398"/>
    <w:rsid w:val="125F2ADE"/>
    <w:rsid w:val="12606487"/>
    <w:rsid w:val="1263D0C7"/>
    <w:rsid w:val="1267EE52"/>
    <w:rsid w:val="12695188"/>
    <w:rsid w:val="126AB0FA"/>
    <w:rsid w:val="12721686"/>
    <w:rsid w:val="1276ECA9"/>
    <w:rsid w:val="127AF9FD"/>
    <w:rsid w:val="1286B849"/>
    <w:rsid w:val="128C79B7"/>
    <w:rsid w:val="128D08E7"/>
    <w:rsid w:val="1297C375"/>
    <w:rsid w:val="12AE8FE3"/>
    <w:rsid w:val="12B13FAA"/>
    <w:rsid w:val="12C1B349"/>
    <w:rsid w:val="12C4BCDC"/>
    <w:rsid w:val="12D3B25E"/>
    <w:rsid w:val="12D91424"/>
    <w:rsid w:val="12D9F0E6"/>
    <w:rsid w:val="12DD95C6"/>
    <w:rsid w:val="12E248FF"/>
    <w:rsid w:val="12E506E7"/>
    <w:rsid w:val="12E88544"/>
    <w:rsid w:val="12EC9F0B"/>
    <w:rsid w:val="12F09AF1"/>
    <w:rsid w:val="12F2F092"/>
    <w:rsid w:val="12F888B3"/>
    <w:rsid w:val="12FB4699"/>
    <w:rsid w:val="130038D0"/>
    <w:rsid w:val="1300BDBB"/>
    <w:rsid w:val="13017CD9"/>
    <w:rsid w:val="1309F9D4"/>
    <w:rsid w:val="1313AA67"/>
    <w:rsid w:val="1319DCDD"/>
    <w:rsid w:val="1322A3D3"/>
    <w:rsid w:val="1333293D"/>
    <w:rsid w:val="133F3EFA"/>
    <w:rsid w:val="133FB64D"/>
    <w:rsid w:val="133FBD67"/>
    <w:rsid w:val="134219EE"/>
    <w:rsid w:val="13457BB8"/>
    <w:rsid w:val="134626BB"/>
    <w:rsid w:val="134BAD82"/>
    <w:rsid w:val="134CFF8D"/>
    <w:rsid w:val="1351E969"/>
    <w:rsid w:val="135544C9"/>
    <w:rsid w:val="13576E1C"/>
    <w:rsid w:val="13596523"/>
    <w:rsid w:val="136C41DB"/>
    <w:rsid w:val="136EC81E"/>
    <w:rsid w:val="13790462"/>
    <w:rsid w:val="13799108"/>
    <w:rsid w:val="138807F8"/>
    <w:rsid w:val="138974F7"/>
    <w:rsid w:val="138C1E00"/>
    <w:rsid w:val="138E098D"/>
    <w:rsid w:val="138EFA53"/>
    <w:rsid w:val="1391896D"/>
    <w:rsid w:val="1398F27B"/>
    <w:rsid w:val="1399CCDF"/>
    <w:rsid w:val="139C5830"/>
    <w:rsid w:val="139DF470"/>
    <w:rsid w:val="13A36F7B"/>
    <w:rsid w:val="13A685A7"/>
    <w:rsid w:val="13B28547"/>
    <w:rsid w:val="13B92F99"/>
    <w:rsid w:val="13C189DF"/>
    <w:rsid w:val="13C2ABC0"/>
    <w:rsid w:val="13D3962E"/>
    <w:rsid w:val="13D46917"/>
    <w:rsid w:val="13E28142"/>
    <w:rsid w:val="13EA5DC7"/>
    <w:rsid w:val="13EDE35D"/>
    <w:rsid w:val="13F3E468"/>
    <w:rsid w:val="13F4E1AA"/>
    <w:rsid w:val="14004AB5"/>
    <w:rsid w:val="14006E0F"/>
    <w:rsid w:val="14069056"/>
    <w:rsid w:val="140EADF2"/>
    <w:rsid w:val="1412DA34"/>
    <w:rsid w:val="14152343"/>
    <w:rsid w:val="141CD360"/>
    <w:rsid w:val="141D93E8"/>
    <w:rsid w:val="141E19A9"/>
    <w:rsid w:val="141E6E53"/>
    <w:rsid w:val="14206331"/>
    <w:rsid w:val="14210760"/>
    <w:rsid w:val="142DC6DA"/>
    <w:rsid w:val="143E6392"/>
    <w:rsid w:val="14467990"/>
    <w:rsid w:val="1448C102"/>
    <w:rsid w:val="144D5BB9"/>
    <w:rsid w:val="1452EAAE"/>
    <w:rsid w:val="1458961E"/>
    <w:rsid w:val="145B7CA3"/>
    <w:rsid w:val="14618983"/>
    <w:rsid w:val="1463E19B"/>
    <w:rsid w:val="1467434D"/>
    <w:rsid w:val="14690B6B"/>
    <w:rsid w:val="1476EF63"/>
    <w:rsid w:val="1478BC0A"/>
    <w:rsid w:val="147E9D52"/>
    <w:rsid w:val="14824E28"/>
    <w:rsid w:val="14948761"/>
    <w:rsid w:val="1499D146"/>
    <w:rsid w:val="149EAE49"/>
    <w:rsid w:val="14A27F9B"/>
    <w:rsid w:val="14A2A048"/>
    <w:rsid w:val="14A51E1F"/>
    <w:rsid w:val="14AFBC66"/>
    <w:rsid w:val="14B14F2F"/>
    <w:rsid w:val="14B208DF"/>
    <w:rsid w:val="14B209B2"/>
    <w:rsid w:val="14B296CE"/>
    <w:rsid w:val="14B77374"/>
    <w:rsid w:val="14C7CDD4"/>
    <w:rsid w:val="14D9C0D7"/>
    <w:rsid w:val="14DC3F24"/>
    <w:rsid w:val="14DDBDB8"/>
    <w:rsid w:val="14E0327A"/>
    <w:rsid w:val="14E49A9E"/>
    <w:rsid w:val="14EC8346"/>
    <w:rsid w:val="14EF0D84"/>
    <w:rsid w:val="14EF115E"/>
    <w:rsid w:val="14F2584D"/>
    <w:rsid w:val="14F95851"/>
    <w:rsid w:val="14FE9416"/>
    <w:rsid w:val="15093965"/>
    <w:rsid w:val="15103586"/>
    <w:rsid w:val="1516750B"/>
    <w:rsid w:val="15178524"/>
    <w:rsid w:val="151DD164"/>
    <w:rsid w:val="15200CA3"/>
    <w:rsid w:val="152198ED"/>
    <w:rsid w:val="15269792"/>
    <w:rsid w:val="1528749B"/>
    <w:rsid w:val="152CA281"/>
    <w:rsid w:val="1537280F"/>
    <w:rsid w:val="1537B072"/>
    <w:rsid w:val="153CEB5E"/>
    <w:rsid w:val="153FF94B"/>
    <w:rsid w:val="1541BFF6"/>
    <w:rsid w:val="15486C6D"/>
    <w:rsid w:val="154DDBF4"/>
    <w:rsid w:val="15529450"/>
    <w:rsid w:val="155AF361"/>
    <w:rsid w:val="155D5A40"/>
    <w:rsid w:val="1564271E"/>
    <w:rsid w:val="156D7170"/>
    <w:rsid w:val="1570453F"/>
    <w:rsid w:val="1570DEA7"/>
    <w:rsid w:val="1577D529"/>
    <w:rsid w:val="15781FAF"/>
    <w:rsid w:val="157A9087"/>
    <w:rsid w:val="157B217E"/>
    <w:rsid w:val="157B98FE"/>
    <w:rsid w:val="1586265C"/>
    <w:rsid w:val="1587F616"/>
    <w:rsid w:val="1588A15D"/>
    <w:rsid w:val="158B19AE"/>
    <w:rsid w:val="158DD909"/>
    <w:rsid w:val="15918EF9"/>
    <w:rsid w:val="15958321"/>
    <w:rsid w:val="1597F5D9"/>
    <w:rsid w:val="159B7E97"/>
    <w:rsid w:val="15A0AFFE"/>
    <w:rsid w:val="15A4EF65"/>
    <w:rsid w:val="15A50FFA"/>
    <w:rsid w:val="15ABF02D"/>
    <w:rsid w:val="15AED4A3"/>
    <w:rsid w:val="15B6EA6A"/>
    <w:rsid w:val="15B98BD0"/>
    <w:rsid w:val="15C1E74D"/>
    <w:rsid w:val="15C89949"/>
    <w:rsid w:val="15C943E6"/>
    <w:rsid w:val="15C9F7D3"/>
    <w:rsid w:val="15D88838"/>
    <w:rsid w:val="15DC1FE4"/>
    <w:rsid w:val="15E0C046"/>
    <w:rsid w:val="15E5BB5E"/>
    <w:rsid w:val="15EB7398"/>
    <w:rsid w:val="15EE8302"/>
    <w:rsid w:val="15F4667F"/>
    <w:rsid w:val="15F83BB9"/>
    <w:rsid w:val="15F9028F"/>
    <w:rsid w:val="15F99667"/>
    <w:rsid w:val="1602AF8D"/>
    <w:rsid w:val="160A0EF4"/>
    <w:rsid w:val="1612F368"/>
    <w:rsid w:val="161A49FC"/>
    <w:rsid w:val="16244D43"/>
    <w:rsid w:val="16348941"/>
    <w:rsid w:val="1634E80A"/>
    <w:rsid w:val="16385FE8"/>
    <w:rsid w:val="163E2722"/>
    <w:rsid w:val="16405126"/>
    <w:rsid w:val="164B1476"/>
    <w:rsid w:val="16512FCB"/>
    <w:rsid w:val="165DE7EC"/>
    <w:rsid w:val="166BBE37"/>
    <w:rsid w:val="166BE99A"/>
    <w:rsid w:val="1678CC6E"/>
    <w:rsid w:val="167E402B"/>
    <w:rsid w:val="16863CF0"/>
    <w:rsid w:val="1693C207"/>
    <w:rsid w:val="1697A2FD"/>
    <w:rsid w:val="16996C3C"/>
    <w:rsid w:val="169E1710"/>
    <w:rsid w:val="169FABA2"/>
    <w:rsid w:val="16A28E85"/>
    <w:rsid w:val="16A3467D"/>
    <w:rsid w:val="16C183CB"/>
    <w:rsid w:val="16C4046D"/>
    <w:rsid w:val="16C5F283"/>
    <w:rsid w:val="16C9C7CD"/>
    <w:rsid w:val="16C9FDA9"/>
    <w:rsid w:val="16CFCD23"/>
    <w:rsid w:val="16D74384"/>
    <w:rsid w:val="16DB6520"/>
    <w:rsid w:val="16DBF567"/>
    <w:rsid w:val="16E238FF"/>
    <w:rsid w:val="16E31A43"/>
    <w:rsid w:val="16EA839B"/>
    <w:rsid w:val="16EC1EB5"/>
    <w:rsid w:val="16F1B1B6"/>
    <w:rsid w:val="16FA75A9"/>
    <w:rsid w:val="16FBF9FE"/>
    <w:rsid w:val="17018DD5"/>
    <w:rsid w:val="1705A72E"/>
    <w:rsid w:val="170637BC"/>
    <w:rsid w:val="17095A9B"/>
    <w:rsid w:val="171380BF"/>
    <w:rsid w:val="17145622"/>
    <w:rsid w:val="1715B0F1"/>
    <w:rsid w:val="1717CAB5"/>
    <w:rsid w:val="171C9992"/>
    <w:rsid w:val="17238600"/>
    <w:rsid w:val="1732759B"/>
    <w:rsid w:val="17372050"/>
    <w:rsid w:val="173B0E5C"/>
    <w:rsid w:val="1740C7AC"/>
    <w:rsid w:val="1746C46D"/>
    <w:rsid w:val="1749066E"/>
    <w:rsid w:val="17528CD0"/>
    <w:rsid w:val="175CB526"/>
    <w:rsid w:val="175F3468"/>
    <w:rsid w:val="17709578"/>
    <w:rsid w:val="17766066"/>
    <w:rsid w:val="178A6E13"/>
    <w:rsid w:val="17903EA9"/>
    <w:rsid w:val="179109ED"/>
    <w:rsid w:val="1793894F"/>
    <w:rsid w:val="1794F535"/>
    <w:rsid w:val="17965997"/>
    <w:rsid w:val="1796ED33"/>
    <w:rsid w:val="17A1A241"/>
    <w:rsid w:val="17A557D9"/>
    <w:rsid w:val="17A7AF56"/>
    <w:rsid w:val="17AB4E64"/>
    <w:rsid w:val="17ACCBEB"/>
    <w:rsid w:val="17ACD15B"/>
    <w:rsid w:val="17ADE211"/>
    <w:rsid w:val="17AE51EC"/>
    <w:rsid w:val="17AEBDDC"/>
    <w:rsid w:val="17AEC3C9"/>
    <w:rsid w:val="17B35944"/>
    <w:rsid w:val="17BBF478"/>
    <w:rsid w:val="17BC4241"/>
    <w:rsid w:val="17BF234F"/>
    <w:rsid w:val="17C01435"/>
    <w:rsid w:val="17C1AB22"/>
    <w:rsid w:val="17C37E4E"/>
    <w:rsid w:val="17C72CEF"/>
    <w:rsid w:val="17CE44F8"/>
    <w:rsid w:val="17D1F649"/>
    <w:rsid w:val="17D25FB5"/>
    <w:rsid w:val="17D85C78"/>
    <w:rsid w:val="17DA2935"/>
    <w:rsid w:val="17DD5119"/>
    <w:rsid w:val="17DE0063"/>
    <w:rsid w:val="17E2C2D7"/>
    <w:rsid w:val="17E2E01F"/>
    <w:rsid w:val="17E43C25"/>
    <w:rsid w:val="17E517CB"/>
    <w:rsid w:val="17EA48B6"/>
    <w:rsid w:val="17EC0CEC"/>
    <w:rsid w:val="17EC1845"/>
    <w:rsid w:val="17FCCFF6"/>
    <w:rsid w:val="18042C78"/>
    <w:rsid w:val="1806E337"/>
    <w:rsid w:val="18102F7E"/>
    <w:rsid w:val="181229F5"/>
    <w:rsid w:val="18156FCE"/>
    <w:rsid w:val="18180880"/>
    <w:rsid w:val="181A5BBE"/>
    <w:rsid w:val="181ADA18"/>
    <w:rsid w:val="181EB75B"/>
    <w:rsid w:val="182013D4"/>
    <w:rsid w:val="18225F0D"/>
    <w:rsid w:val="182AC642"/>
    <w:rsid w:val="182DC32D"/>
    <w:rsid w:val="1830489C"/>
    <w:rsid w:val="1830F10B"/>
    <w:rsid w:val="1837FFD5"/>
    <w:rsid w:val="1838CC43"/>
    <w:rsid w:val="183F8826"/>
    <w:rsid w:val="183F8E7F"/>
    <w:rsid w:val="18440835"/>
    <w:rsid w:val="18524A95"/>
    <w:rsid w:val="1853CF2F"/>
    <w:rsid w:val="185B8257"/>
    <w:rsid w:val="185B91F9"/>
    <w:rsid w:val="185E42FF"/>
    <w:rsid w:val="185E8622"/>
    <w:rsid w:val="1865283C"/>
    <w:rsid w:val="1867A66F"/>
    <w:rsid w:val="186B22C1"/>
    <w:rsid w:val="1870739E"/>
    <w:rsid w:val="18722373"/>
    <w:rsid w:val="187354BF"/>
    <w:rsid w:val="18740F7D"/>
    <w:rsid w:val="1881874B"/>
    <w:rsid w:val="1888BA48"/>
    <w:rsid w:val="1892D9FC"/>
    <w:rsid w:val="18934F19"/>
    <w:rsid w:val="189A0D0A"/>
    <w:rsid w:val="189BEF0C"/>
    <w:rsid w:val="18A10146"/>
    <w:rsid w:val="18B05077"/>
    <w:rsid w:val="18B8BB0F"/>
    <w:rsid w:val="18C15A61"/>
    <w:rsid w:val="18C4BC6F"/>
    <w:rsid w:val="18CC9C1D"/>
    <w:rsid w:val="18D4F651"/>
    <w:rsid w:val="18D75645"/>
    <w:rsid w:val="18D91958"/>
    <w:rsid w:val="18D99460"/>
    <w:rsid w:val="18D9AB86"/>
    <w:rsid w:val="18DF0E58"/>
    <w:rsid w:val="18E54891"/>
    <w:rsid w:val="18E557D4"/>
    <w:rsid w:val="18E5EE74"/>
    <w:rsid w:val="18EA684F"/>
    <w:rsid w:val="18EE32F5"/>
    <w:rsid w:val="18F28BB5"/>
    <w:rsid w:val="18F7439C"/>
    <w:rsid w:val="18F86E28"/>
    <w:rsid w:val="18FCCFE0"/>
    <w:rsid w:val="1906FFF8"/>
    <w:rsid w:val="190BE5E9"/>
    <w:rsid w:val="190C59BF"/>
    <w:rsid w:val="19167A8F"/>
    <w:rsid w:val="1917FDC6"/>
    <w:rsid w:val="192063C7"/>
    <w:rsid w:val="1922DE99"/>
    <w:rsid w:val="192E9CAB"/>
    <w:rsid w:val="193367CD"/>
    <w:rsid w:val="1935E755"/>
    <w:rsid w:val="193F5098"/>
    <w:rsid w:val="19408077"/>
    <w:rsid w:val="194195D8"/>
    <w:rsid w:val="1949E291"/>
    <w:rsid w:val="194A4F9D"/>
    <w:rsid w:val="194FAB41"/>
    <w:rsid w:val="1952B8D1"/>
    <w:rsid w:val="19558D65"/>
    <w:rsid w:val="19567BB9"/>
    <w:rsid w:val="195A4247"/>
    <w:rsid w:val="195C0B23"/>
    <w:rsid w:val="195C5E47"/>
    <w:rsid w:val="1964894E"/>
    <w:rsid w:val="19694C04"/>
    <w:rsid w:val="196EC158"/>
    <w:rsid w:val="196F2B0F"/>
    <w:rsid w:val="197169E8"/>
    <w:rsid w:val="19736685"/>
    <w:rsid w:val="1977E114"/>
    <w:rsid w:val="197AFBA4"/>
    <w:rsid w:val="197BFEBF"/>
    <w:rsid w:val="197C7690"/>
    <w:rsid w:val="1982E9C0"/>
    <w:rsid w:val="1985461A"/>
    <w:rsid w:val="19864CBB"/>
    <w:rsid w:val="198775EC"/>
    <w:rsid w:val="19892476"/>
    <w:rsid w:val="198D2547"/>
    <w:rsid w:val="19959F9B"/>
    <w:rsid w:val="19984CB3"/>
    <w:rsid w:val="19A4AB5B"/>
    <w:rsid w:val="19A7303E"/>
    <w:rsid w:val="19A87256"/>
    <w:rsid w:val="19B42088"/>
    <w:rsid w:val="19B71150"/>
    <w:rsid w:val="19BCD114"/>
    <w:rsid w:val="19BE9375"/>
    <w:rsid w:val="19C20D0E"/>
    <w:rsid w:val="19C40DE9"/>
    <w:rsid w:val="19C531E7"/>
    <w:rsid w:val="19CA56A8"/>
    <w:rsid w:val="19CF43BF"/>
    <w:rsid w:val="19D3820A"/>
    <w:rsid w:val="19D41900"/>
    <w:rsid w:val="19E087CA"/>
    <w:rsid w:val="19E2455B"/>
    <w:rsid w:val="19E5DEFB"/>
    <w:rsid w:val="19E73FDE"/>
    <w:rsid w:val="19EF226B"/>
    <w:rsid w:val="19F1ADC0"/>
    <w:rsid w:val="19F31DEC"/>
    <w:rsid w:val="19FC1D27"/>
    <w:rsid w:val="1A042E86"/>
    <w:rsid w:val="1A07EFA2"/>
    <w:rsid w:val="1A0946C8"/>
    <w:rsid w:val="1A0D5F4B"/>
    <w:rsid w:val="1A17CF63"/>
    <w:rsid w:val="1A1BC5BC"/>
    <w:rsid w:val="1A1DA8AC"/>
    <w:rsid w:val="1A1E28C1"/>
    <w:rsid w:val="1A1EDCBB"/>
    <w:rsid w:val="1A2345AC"/>
    <w:rsid w:val="1A2917F7"/>
    <w:rsid w:val="1A2B86F7"/>
    <w:rsid w:val="1A303486"/>
    <w:rsid w:val="1A31C4D9"/>
    <w:rsid w:val="1A364B08"/>
    <w:rsid w:val="1A3BAEDB"/>
    <w:rsid w:val="1A3D71D1"/>
    <w:rsid w:val="1A480547"/>
    <w:rsid w:val="1A4BFB9D"/>
    <w:rsid w:val="1A4C1627"/>
    <w:rsid w:val="1A524617"/>
    <w:rsid w:val="1A575215"/>
    <w:rsid w:val="1A5B3380"/>
    <w:rsid w:val="1A5E1B7D"/>
    <w:rsid w:val="1A62EDC2"/>
    <w:rsid w:val="1A66A900"/>
    <w:rsid w:val="1A672E14"/>
    <w:rsid w:val="1A683F61"/>
    <w:rsid w:val="1A712AC6"/>
    <w:rsid w:val="1A75BAA3"/>
    <w:rsid w:val="1A790BC7"/>
    <w:rsid w:val="1A7B9D2B"/>
    <w:rsid w:val="1A7E27B1"/>
    <w:rsid w:val="1A7E3ABA"/>
    <w:rsid w:val="1A7E4121"/>
    <w:rsid w:val="1A7E8CB4"/>
    <w:rsid w:val="1A7FCB45"/>
    <w:rsid w:val="1A804758"/>
    <w:rsid w:val="1A861E8B"/>
    <w:rsid w:val="1A8679E8"/>
    <w:rsid w:val="1A87C76B"/>
    <w:rsid w:val="1A8E1620"/>
    <w:rsid w:val="1A8E814C"/>
    <w:rsid w:val="1A8F930E"/>
    <w:rsid w:val="1A8F9893"/>
    <w:rsid w:val="1A978540"/>
    <w:rsid w:val="1A9D9C2E"/>
    <w:rsid w:val="1AA4BCF6"/>
    <w:rsid w:val="1AAC1F13"/>
    <w:rsid w:val="1AAF28AE"/>
    <w:rsid w:val="1AB81C5E"/>
    <w:rsid w:val="1ABEEE77"/>
    <w:rsid w:val="1ABF5BE4"/>
    <w:rsid w:val="1AC36701"/>
    <w:rsid w:val="1ACD2561"/>
    <w:rsid w:val="1AD08A73"/>
    <w:rsid w:val="1AD11141"/>
    <w:rsid w:val="1AD365C2"/>
    <w:rsid w:val="1AD6E986"/>
    <w:rsid w:val="1AD742D5"/>
    <w:rsid w:val="1AD79EE6"/>
    <w:rsid w:val="1AD9379B"/>
    <w:rsid w:val="1ADA44FB"/>
    <w:rsid w:val="1ADDA010"/>
    <w:rsid w:val="1AE7B6D2"/>
    <w:rsid w:val="1AF289F5"/>
    <w:rsid w:val="1AF3AC8B"/>
    <w:rsid w:val="1AF4E3B3"/>
    <w:rsid w:val="1AF9ADCB"/>
    <w:rsid w:val="1B00D2B4"/>
    <w:rsid w:val="1B0437A0"/>
    <w:rsid w:val="1B0651F1"/>
    <w:rsid w:val="1B09ACEB"/>
    <w:rsid w:val="1B09FD90"/>
    <w:rsid w:val="1B1010B6"/>
    <w:rsid w:val="1B14DDA6"/>
    <w:rsid w:val="1B15C8A7"/>
    <w:rsid w:val="1B17A65C"/>
    <w:rsid w:val="1B1C6758"/>
    <w:rsid w:val="1B1E54A0"/>
    <w:rsid w:val="1B1FE03E"/>
    <w:rsid w:val="1B2279B8"/>
    <w:rsid w:val="1B22AE1A"/>
    <w:rsid w:val="1B256D50"/>
    <w:rsid w:val="1B25E66D"/>
    <w:rsid w:val="1B270123"/>
    <w:rsid w:val="1B298116"/>
    <w:rsid w:val="1B2D3A01"/>
    <w:rsid w:val="1B3C20FF"/>
    <w:rsid w:val="1B433C08"/>
    <w:rsid w:val="1B4AA5CC"/>
    <w:rsid w:val="1B4B7F6B"/>
    <w:rsid w:val="1B53DCFF"/>
    <w:rsid w:val="1B54A824"/>
    <w:rsid w:val="1B54DFF3"/>
    <w:rsid w:val="1B5561E9"/>
    <w:rsid w:val="1B593F50"/>
    <w:rsid w:val="1B67A9A6"/>
    <w:rsid w:val="1B6CCD2C"/>
    <w:rsid w:val="1B74288E"/>
    <w:rsid w:val="1B76B102"/>
    <w:rsid w:val="1B76D282"/>
    <w:rsid w:val="1B808BC0"/>
    <w:rsid w:val="1B84393A"/>
    <w:rsid w:val="1B86E9B8"/>
    <w:rsid w:val="1B8869A3"/>
    <w:rsid w:val="1B890C7C"/>
    <w:rsid w:val="1B91968F"/>
    <w:rsid w:val="1B9FCA93"/>
    <w:rsid w:val="1BAC357D"/>
    <w:rsid w:val="1BAD4688"/>
    <w:rsid w:val="1BBAB5CB"/>
    <w:rsid w:val="1BC40765"/>
    <w:rsid w:val="1BC80E7A"/>
    <w:rsid w:val="1BC81B55"/>
    <w:rsid w:val="1BC9E0E5"/>
    <w:rsid w:val="1BCA5D71"/>
    <w:rsid w:val="1BD85D97"/>
    <w:rsid w:val="1BD9A714"/>
    <w:rsid w:val="1BE193C8"/>
    <w:rsid w:val="1BEE83A7"/>
    <w:rsid w:val="1BF3CC1A"/>
    <w:rsid w:val="1BFF02A7"/>
    <w:rsid w:val="1BFFA458"/>
    <w:rsid w:val="1BFFFFE5"/>
    <w:rsid w:val="1C048824"/>
    <w:rsid w:val="1C0494D9"/>
    <w:rsid w:val="1C09338F"/>
    <w:rsid w:val="1C09EEF2"/>
    <w:rsid w:val="1C0DA29D"/>
    <w:rsid w:val="1C0EF580"/>
    <w:rsid w:val="1C1138A9"/>
    <w:rsid w:val="1C174B28"/>
    <w:rsid w:val="1C193615"/>
    <w:rsid w:val="1C194FA1"/>
    <w:rsid w:val="1C1D60DE"/>
    <w:rsid w:val="1C26AE39"/>
    <w:rsid w:val="1C28E42B"/>
    <w:rsid w:val="1C2A9BE9"/>
    <w:rsid w:val="1C2D4523"/>
    <w:rsid w:val="1C2F3495"/>
    <w:rsid w:val="1C308BBB"/>
    <w:rsid w:val="1C355C96"/>
    <w:rsid w:val="1C36C198"/>
    <w:rsid w:val="1C36CA98"/>
    <w:rsid w:val="1C3A3801"/>
    <w:rsid w:val="1C403598"/>
    <w:rsid w:val="1C5B9648"/>
    <w:rsid w:val="1C5C3A67"/>
    <w:rsid w:val="1C638F36"/>
    <w:rsid w:val="1C78E994"/>
    <w:rsid w:val="1C87EEEF"/>
    <w:rsid w:val="1C8977E2"/>
    <w:rsid w:val="1C8C58B3"/>
    <w:rsid w:val="1C9002B8"/>
    <w:rsid w:val="1C9A92FC"/>
    <w:rsid w:val="1C9E4EBF"/>
    <w:rsid w:val="1C9FF8D5"/>
    <w:rsid w:val="1CA3639B"/>
    <w:rsid w:val="1CA54B03"/>
    <w:rsid w:val="1CA55EE6"/>
    <w:rsid w:val="1CB19A06"/>
    <w:rsid w:val="1CB48DB2"/>
    <w:rsid w:val="1CB9BD0A"/>
    <w:rsid w:val="1CBE5BAA"/>
    <w:rsid w:val="1CBF4623"/>
    <w:rsid w:val="1CC17E82"/>
    <w:rsid w:val="1CC432F6"/>
    <w:rsid w:val="1CC7D949"/>
    <w:rsid w:val="1CC91930"/>
    <w:rsid w:val="1CD6AF89"/>
    <w:rsid w:val="1CDA010F"/>
    <w:rsid w:val="1CDA8791"/>
    <w:rsid w:val="1CDE6A92"/>
    <w:rsid w:val="1CE71462"/>
    <w:rsid w:val="1CE763BC"/>
    <w:rsid w:val="1CEAED46"/>
    <w:rsid w:val="1CFB6180"/>
    <w:rsid w:val="1CFCFEBD"/>
    <w:rsid w:val="1CFDAC60"/>
    <w:rsid w:val="1CFDF3EA"/>
    <w:rsid w:val="1CFFC226"/>
    <w:rsid w:val="1D036799"/>
    <w:rsid w:val="1D048AEA"/>
    <w:rsid w:val="1D07582F"/>
    <w:rsid w:val="1D0BF7F1"/>
    <w:rsid w:val="1D165310"/>
    <w:rsid w:val="1D18491A"/>
    <w:rsid w:val="1D1EA21D"/>
    <w:rsid w:val="1D1EDCF7"/>
    <w:rsid w:val="1D210808"/>
    <w:rsid w:val="1D225864"/>
    <w:rsid w:val="1D26FABA"/>
    <w:rsid w:val="1D289EDD"/>
    <w:rsid w:val="1D35F2BB"/>
    <w:rsid w:val="1D3F9255"/>
    <w:rsid w:val="1D41A9BB"/>
    <w:rsid w:val="1D4A1C46"/>
    <w:rsid w:val="1D4E9F08"/>
    <w:rsid w:val="1D4EE2B4"/>
    <w:rsid w:val="1D525C94"/>
    <w:rsid w:val="1D55FB80"/>
    <w:rsid w:val="1D56D3D3"/>
    <w:rsid w:val="1D6485D9"/>
    <w:rsid w:val="1D652C47"/>
    <w:rsid w:val="1D679AC3"/>
    <w:rsid w:val="1D6818C4"/>
    <w:rsid w:val="1D6D1F3B"/>
    <w:rsid w:val="1D6D7DB5"/>
    <w:rsid w:val="1D6FA8E5"/>
    <w:rsid w:val="1D7041A9"/>
    <w:rsid w:val="1D707B86"/>
    <w:rsid w:val="1D746F18"/>
    <w:rsid w:val="1D7AE881"/>
    <w:rsid w:val="1D7DFAB8"/>
    <w:rsid w:val="1D822D1E"/>
    <w:rsid w:val="1D84F1B4"/>
    <w:rsid w:val="1D884CD4"/>
    <w:rsid w:val="1D897E8E"/>
    <w:rsid w:val="1D89AC91"/>
    <w:rsid w:val="1D8C2AE4"/>
    <w:rsid w:val="1D8D6AF2"/>
    <w:rsid w:val="1D926729"/>
    <w:rsid w:val="1D951A78"/>
    <w:rsid w:val="1D982631"/>
    <w:rsid w:val="1D9B6F5C"/>
    <w:rsid w:val="1D9D9C77"/>
    <w:rsid w:val="1DAF493F"/>
    <w:rsid w:val="1DB0ECDE"/>
    <w:rsid w:val="1DBAD3A2"/>
    <w:rsid w:val="1DBC623D"/>
    <w:rsid w:val="1DC002D3"/>
    <w:rsid w:val="1DCC908F"/>
    <w:rsid w:val="1DCD08B2"/>
    <w:rsid w:val="1DCDD3BB"/>
    <w:rsid w:val="1DCE60B6"/>
    <w:rsid w:val="1DCF3FAB"/>
    <w:rsid w:val="1DD0758E"/>
    <w:rsid w:val="1DD1E7EC"/>
    <w:rsid w:val="1DE05179"/>
    <w:rsid w:val="1DE81FE6"/>
    <w:rsid w:val="1DEC5894"/>
    <w:rsid w:val="1DEC687F"/>
    <w:rsid w:val="1DED66BE"/>
    <w:rsid w:val="1DEFDCF1"/>
    <w:rsid w:val="1DF11C21"/>
    <w:rsid w:val="1DF2A8AE"/>
    <w:rsid w:val="1E051D57"/>
    <w:rsid w:val="1E078C15"/>
    <w:rsid w:val="1E086F7A"/>
    <w:rsid w:val="1E17A5ED"/>
    <w:rsid w:val="1E187AA3"/>
    <w:rsid w:val="1E1ACB64"/>
    <w:rsid w:val="1E1CC5F3"/>
    <w:rsid w:val="1E22C111"/>
    <w:rsid w:val="1E2C4D9D"/>
    <w:rsid w:val="1E343ECA"/>
    <w:rsid w:val="1E34C1E6"/>
    <w:rsid w:val="1E393B64"/>
    <w:rsid w:val="1E40DA1E"/>
    <w:rsid w:val="1E435473"/>
    <w:rsid w:val="1E448A75"/>
    <w:rsid w:val="1E4C46AD"/>
    <w:rsid w:val="1E621EE8"/>
    <w:rsid w:val="1E690939"/>
    <w:rsid w:val="1E6EA303"/>
    <w:rsid w:val="1E72C10A"/>
    <w:rsid w:val="1E80C3D0"/>
    <w:rsid w:val="1E827D04"/>
    <w:rsid w:val="1E82C16B"/>
    <w:rsid w:val="1E927CC3"/>
    <w:rsid w:val="1E94004A"/>
    <w:rsid w:val="1E9DAAEA"/>
    <w:rsid w:val="1EA8623E"/>
    <w:rsid w:val="1EA8B7E1"/>
    <w:rsid w:val="1EAEB8EA"/>
    <w:rsid w:val="1EAEF5E6"/>
    <w:rsid w:val="1EB32192"/>
    <w:rsid w:val="1EB76A34"/>
    <w:rsid w:val="1EB9F692"/>
    <w:rsid w:val="1EBBBBA8"/>
    <w:rsid w:val="1EC0986E"/>
    <w:rsid w:val="1EC354FB"/>
    <w:rsid w:val="1EC38DE6"/>
    <w:rsid w:val="1EC98840"/>
    <w:rsid w:val="1EC9D442"/>
    <w:rsid w:val="1ECFC76F"/>
    <w:rsid w:val="1ED51220"/>
    <w:rsid w:val="1ED69350"/>
    <w:rsid w:val="1ED93A29"/>
    <w:rsid w:val="1EDA845A"/>
    <w:rsid w:val="1EDF75E9"/>
    <w:rsid w:val="1EE36EFA"/>
    <w:rsid w:val="1EE46F48"/>
    <w:rsid w:val="1EE73FAB"/>
    <w:rsid w:val="1EF1DF75"/>
    <w:rsid w:val="1EF46F44"/>
    <w:rsid w:val="1EF4871B"/>
    <w:rsid w:val="1EFE5088"/>
    <w:rsid w:val="1F06CC3C"/>
    <w:rsid w:val="1F08D82F"/>
    <w:rsid w:val="1F0B41CA"/>
    <w:rsid w:val="1F0E99DE"/>
    <w:rsid w:val="1F11F9FA"/>
    <w:rsid w:val="1F122811"/>
    <w:rsid w:val="1F136D80"/>
    <w:rsid w:val="1F17179B"/>
    <w:rsid w:val="1F1C4965"/>
    <w:rsid w:val="1F1DC93D"/>
    <w:rsid w:val="1F28EEEA"/>
    <w:rsid w:val="1F2EFF66"/>
    <w:rsid w:val="1F32FEBB"/>
    <w:rsid w:val="1F42DE65"/>
    <w:rsid w:val="1F44C21A"/>
    <w:rsid w:val="1F47BCAC"/>
    <w:rsid w:val="1F4B22A0"/>
    <w:rsid w:val="1F588643"/>
    <w:rsid w:val="1F5C5023"/>
    <w:rsid w:val="1F61C521"/>
    <w:rsid w:val="1F6508D0"/>
    <w:rsid w:val="1F6812B6"/>
    <w:rsid w:val="1F6E80F3"/>
    <w:rsid w:val="1F703233"/>
    <w:rsid w:val="1F7F8004"/>
    <w:rsid w:val="1F8CA4F6"/>
    <w:rsid w:val="1F9666F4"/>
    <w:rsid w:val="1F976FEB"/>
    <w:rsid w:val="1F9F0A1A"/>
    <w:rsid w:val="1FA2B585"/>
    <w:rsid w:val="1FA49426"/>
    <w:rsid w:val="1FA52F82"/>
    <w:rsid w:val="1FA5D37F"/>
    <w:rsid w:val="1FA66447"/>
    <w:rsid w:val="1FA6875C"/>
    <w:rsid w:val="1FADCA13"/>
    <w:rsid w:val="1FB49D4F"/>
    <w:rsid w:val="1FB77746"/>
    <w:rsid w:val="1FB7DE00"/>
    <w:rsid w:val="1FB85C73"/>
    <w:rsid w:val="1FB99121"/>
    <w:rsid w:val="1FBA567A"/>
    <w:rsid w:val="1FBFD747"/>
    <w:rsid w:val="1FC0B0AD"/>
    <w:rsid w:val="1FC43C76"/>
    <w:rsid w:val="1FC9B084"/>
    <w:rsid w:val="1FCCFAE6"/>
    <w:rsid w:val="1FE16232"/>
    <w:rsid w:val="1FE374D3"/>
    <w:rsid w:val="1FEDA7A0"/>
    <w:rsid w:val="1FF6A312"/>
    <w:rsid w:val="1FF8EDD9"/>
    <w:rsid w:val="1FFF4830"/>
    <w:rsid w:val="2004D99A"/>
    <w:rsid w:val="200A0C3F"/>
    <w:rsid w:val="20130296"/>
    <w:rsid w:val="201A2B72"/>
    <w:rsid w:val="20255634"/>
    <w:rsid w:val="2025BF30"/>
    <w:rsid w:val="20263253"/>
    <w:rsid w:val="2027836F"/>
    <w:rsid w:val="2028F9DF"/>
    <w:rsid w:val="2029D0D4"/>
    <w:rsid w:val="203370DE"/>
    <w:rsid w:val="20342A93"/>
    <w:rsid w:val="20384C00"/>
    <w:rsid w:val="203A3C94"/>
    <w:rsid w:val="203C67D9"/>
    <w:rsid w:val="20441FA2"/>
    <w:rsid w:val="204C35FC"/>
    <w:rsid w:val="204DA0E9"/>
    <w:rsid w:val="205657E5"/>
    <w:rsid w:val="20592931"/>
    <w:rsid w:val="205D08CD"/>
    <w:rsid w:val="205E2F42"/>
    <w:rsid w:val="2062A167"/>
    <w:rsid w:val="20653DFA"/>
    <w:rsid w:val="206670E8"/>
    <w:rsid w:val="2077AF09"/>
    <w:rsid w:val="207E7EB2"/>
    <w:rsid w:val="20813E98"/>
    <w:rsid w:val="20878CF1"/>
    <w:rsid w:val="208C8466"/>
    <w:rsid w:val="208D3205"/>
    <w:rsid w:val="20AF1A15"/>
    <w:rsid w:val="20B16D43"/>
    <w:rsid w:val="20B25F5A"/>
    <w:rsid w:val="20B30F31"/>
    <w:rsid w:val="20BE50BD"/>
    <w:rsid w:val="20C667E0"/>
    <w:rsid w:val="20C9748E"/>
    <w:rsid w:val="20CAE309"/>
    <w:rsid w:val="20D17AB8"/>
    <w:rsid w:val="20D65EA6"/>
    <w:rsid w:val="20D6F6B4"/>
    <w:rsid w:val="20D89C57"/>
    <w:rsid w:val="20DD59DC"/>
    <w:rsid w:val="20E16FCD"/>
    <w:rsid w:val="21023B02"/>
    <w:rsid w:val="21032FE8"/>
    <w:rsid w:val="210406FF"/>
    <w:rsid w:val="2105D5A7"/>
    <w:rsid w:val="2106C72A"/>
    <w:rsid w:val="21083232"/>
    <w:rsid w:val="2108DF1C"/>
    <w:rsid w:val="210D5C92"/>
    <w:rsid w:val="211297F9"/>
    <w:rsid w:val="21197324"/>
    <w:rsid w:val="212871FC"/>
    <w:rsid w:val="213CB1C4"/>
    <w:rsid w:val="213E8518"/>
    <w:rsid w:val="213FE97F"/>
    <w:rsid w:val="214483E8"/>
    <w:rsid w:val="214B2CA3"/>
    <w:rsid w:val="214FE74D"/>
    <w:rsid w:val="2151C0F3"/>
    <w:rsid w:val="2154F476"/>
    <w:rsid w:val="21594A94"/>
    <w:rsid w:val="215A788E"/>
    <w:rsid w:val="215DF609"/>
    <w:rsid w:val="215F076C"/>
    <w:rsid w:val="216399CC"/>
    <w:rsid w:val="217EA24C"/>
    <w:rsid w:val="21819686"/>
    <w:rsid w:val="2181CB7B"/>
    <w:rsid w:val="2184F0C3"/>
    <w:rsid w:val="218632F5"/>
    <w:rsid w:val="218E6CF5"/>
    <w:rsid w:val="21912A5B"/>
    <w:rsid w:val="2191BD1F"/>
    <w:rsid w:val="219DAC6B"/>
    <w:rsid w:val="219F6C6C"/>
    <w:rsid w:val="21A1E6C0"/>
    <w:rsid w:val="21AF354A"/>
    <w:rsid w:val="21BA0841"/>
    <w:rsid w:val="21BA617F"/>
    <w:rsid w:val="21C5C4FC"/>
    <w:rsid w:val="21C7456B"/>
    <w:rsid w:val="21C7C7CB"/>
    <w:rsid w:val="21C8F5EC"/>
    <w:rsid w:val="21D1D8FE"/>
    <w:rsid w:val="21DD55FD"/>
    <w:rsid w:val="21E1E531"/>
    <w:rsid w:val="21E47263"/>
    <w:rsid w:val="21E58B4C"/>
    <w:rsid w:val="21EA5632"/>
    <w:rsid w:val="21FD9A57"/>
    <w:rsid w:val="21FF9D2D"/>
    <w:rsid w:val="2210AEF3"/>
    <w:rsid w:val="2214B033"/>
    <w:rsid w:val="221AA0A5"/>
    <w:rsid w:val="221B7B44"/>
    <w:rsid w:val="2222BEB0"/>
    <w:rsid w:val="222A0175"/>
    <w:rsid w:val="223228E0"/>
    <w:rsid w:val="22354109"/>
    <w:rsid w:val="2241D34B"/>
    <w:rsid w:val="22459524"/>
    <w:rsid w:val="224B5605"/>
    <w:rsid w:val="22586446"/>
    <w:rsid w:val="2259D057"/>
    <w:rsid w:val="225BCAC3"/>
    <w:rsid w:val="225D1C13"/>
    <w:rsid w:val="22627161"/>
    <w:rsid w:val="22663F7E"/>
    <w:rsid w:val="2266EC6A"/>
    <w:rsid w:val="22670966"/>
    <w:rsid w:val="226A3FED"/>
    <w:rsid w:val="226B2EF3"/>
    <w:rsid w:val="226BFEDB"/>
    <w:rsid w:val="226D6A54"/>
    <w:rsid w:val="2271C178"/>
    <w:rsid w:val="2273CDFD"/>
    <w:rsid w:val="2276AE85"/>
    <w:rsid w:val="228A86A0"/>
    <w:rsid w:val="228ADA61"/>
    <w:rsid w:val="22951C4D"/>
    <w:rsid w:val="22970F5E"/>
    <w:rsid w:val="229DE365"/>
    <w:rsid w:val="229FC942"/>
    <w:rsid w:val="22A1596A"/>
    <w:rsid w:val="22A22BE5"/>
    <w:rsid w:val="22A25662"/>
    <w:rsid w:val="22A9419E"/>
    <w:rsid w:val="22AAFF03"/>
    <w:rsid w:val="22AF4208"/>
    <w:rsid w:val="22B3176D"/>
    <w:rsid w:val="22B67D34"/>
    <w:rsid w:val="22B95F1B"/>
    <w:rsid w:val="22C7460D"/>
    <w:rsid w:val="22C88A46"/>
    <w:rsid w:val="22CBAF52"/>
    <w:rsid w:val="22D17867"/>
    <w:rsid w:val="22DF218F"/>
    <w:rsid w:val="22E2BDCF"/>
    <w:rsid w:val="22EF0030"/>
    <w:rsid w:val="22F40352"/>
    <w:rsid w:val="22F6C02C"/>
    <w:rsid w:val="23064AFF"/>
    <w:rsid w:val="2311A037"/>
    <w:rsid w:val="2319FF30"/>
    <w:rsid w:val="23278E96"/>
    <w:rsid w:val="232AD6C9"/>
    <w:rsid w:val="232DB251"/>
    <w:rsid w:val="23305219"/>
    <w:rsid w:val="23306392"/>
    <w:rsid w:val="2330914B"/>
    <w:rsid w:val="2330FDF4"/>
    <w:rsid w:val="2339DF88"/>
    <w:rsid w:val="233E191F"/>
    <w:rsid w:val="23418CF3"/>
    <w:rsid w:val="2341A4B7"/>
    <w:rsid w:val="2344E58D"/>
    <w:rsid w:val="2350432A"/>
    <w:rsid w:val="235476CF"/>
    <w:rsid w:val="23573AF8"/>
    <w:rsid w:val="23580DB8"/>
    <w:rsid w:val="235FD137"/>
    <w:rsid w:val="2365A8F4"/>
    <w:rsid w:val="236E639B"/>
    <w:rsid w:val="237BF6A2"/>
    <w:rsid w:val="23823CC3"/>
    <w:rsid w:val="238D6443"/>
    <w:rsid w:val="238FF8DC"/>
    <w:rsid w:val="2393A006"/>
    <w:rsid w:val="2395058B"/>
    <w:rsid w:val="239BB1B5"/>
    <w:rsid w:val="239F1227"/>
    <w:rsid w:val="23A1442B"/>
    <w:rsid w:val="23ADF36F"/>
    <w:rsid w:val="23B0C3FA"/>
    <w:rsid w:val="23B13BEC"/>
    <w:rsid w:val="23B294B9"/>
    <w:rsid w:val="23C51634"/>
    <w:rsid w:val="23C52EF8"/>
    <w:rsid w:val="23C8941B"/>
    <w:rsid w:val="23CDA00E"/>
    <w:rsid w:val="23DAA912"/>
    <w:rsid w:val="23E1359C"/>
    <w:rsid w:val="23E843E8"/>
    <w:rsid w:val="23EF8102"/>
    <w:rsid w:val="23F00C9B"/>
    <w:rsid w:val="23FDA835"/>
    <w:rsid w:val="24004B71"/>
    <w:rsid w:val="24023596"/>
    <w:rsid w:val="24026160"/>
    <w:rsid w:val="24053D0E"/>
    <w:rsid w:val="240AD661"/>
    <w:rsid w:val="241160F2"/>
    <w:rsid w:val="24128422"/>
    <w:rsid w:val="24128BA0"/>
    <w:rsid w:val="24146BF6"/>
    <w:rsid w:val="24157F20"/>
    <w:rsid w:val="241B9578"/>
    <w:rsid w:val="241D9CDD"/>
    <w:rsid w:val="2421F913"/>
    <w:rsid w:val="242D47F7"/>
    <w:rsid w:val="2431A6CB"/>
    <w:rsid w:val="2431DB94"/>
    <w:rsid w:val="24337E57"/>
    <w:rsid w:val="243E5470"/>
    <w:rsid w:val="24452E30"/>
    <w:rsid w:val="24494442"/>
    <w:rsid w:val="244A4BA4"/>
    <w:rsid w:val="244CB532"/>
    <w:rsid w:val="244F2F6A"/>
    <w:rsid w:val="24521949"/>
    <w:rsid w:val="245B310A"/>
    <w:rsid w:val="246B876C"/>
    <w:rsid w:val="246D0550"/>
    <w:rsid w:val="246E4190"/>
    <w:rsid w:val="24732118"/>
    <w:rsid w:val="2474C9B6"/>
    <w:rsid w:val="2477904B"/>
    <w:rsid w:val="247F280F"/>
    <w:rsid w:val="247F5673"/>
    <w:rsid w:val="2483EC16"/>
    <w:rsid w:val="248767B4"/>
    <w:rsid w:val="2488A448"/>
    <w:rsid w:val="248DB24E"/>
    <w:rsid w:val="248FEF22"/>
    <w:rsid w:val="2491062A"/>
    <w:rsid w:val="2494A1C7"/>
    <w:rsid w:val="249555E2"/>
    <w:rsid w:val="249FA43D"/>
    <w:rsid w:val="24A079A4"/>
    <w:rsid w:val="24A0DFAD"/>
    <w:rsid w:val="24A14CF6"/>
    <w:rsid w:val="24A1E01A"/>
    <w:rsid w:val="24A48849"/>
    <w:rsid w:val="24A6B078"/>
    <w:rsid w:val="24ACCD8E"/>
    <w:rsid w:val="24B17803"/>
    <w:rsid w:val="24BE54A0"/>
    <w:rsid w:val="24C49E69"/>
    <w:rsid w:val="24C7E8F0"/>
    <w:rsid w:val="24C7EC23"/>
    <w:rsid w:val="24CB9607"/>
    <w:rsid w:val="24CBE6B2"/>
    <w:rsid w:val="24CE2DEF"/>
    <w:rsid w:val="24D75C2A"/>
    <w:rsid w:val="24DCCEBC"/>
    <w:rsid w:val="24E3B885"/>
    <w:rsid w:val="24E8791F"/>
    <w:rsid w:val="24EBEAE0"/>
    <w:rsid w:val="24F5B7BB"/>
    <w:rsid w:val="24FA2777"/>
    <w:rsid w:val="24FA4D9D"/>
    <w:rsid w:val="24FAF18B"/>
    <w:rsid w:val="2501F653"/>
    <w:rsid w:val="250C47F8"/>
    <w:rsid w:val="250F7D83"/>
    <w:rsid w:val="251429A8"/>
    <w:rsid w:val="251478CA"/>
    <w:rsid w:val="2516E984"/>
    <w:rsid w:val="251B23DD"/>
    <w:rsid w:val="251BA858"/>
    <w:rsid w:val="25209F0F"/>
    <w:rsid w:val="2523FB42"/>
    <w:rsid w:val="252868E6"/>
    <w:rsid w:val="252AAFB9"/>
    <w:rsid w:val="252E1A9A"/>
    <w:rsid w:val="25367072"/>
    <w:rsid w:val="253709EB"/>
    <w:rsid w:val="25382FB1"/>
    <w:rsid w:val="2543CE6C"/>
    <w:rsid w:val="2545B5E7"/>
    <w:rsid w:val="2549688E"/>
    <w:rsid w:val="254B4ADD"/>
    <w:rsid w:val="254B5445"/>
    <w:rsid w:val="25512686"/>
    <w:rsid w:val="255923C6"/>
    <w:rsid w:val="25595F01"/>
    <w:rsid w:val="255BD3E2"/>
    <w:rsid w:val="255C4B16"/>
    <w:rsid w:val="255CCDF9"/>
    <w:rsid w:val="2564B268"/>
    <w:rsid w:val="256634AA"/>
    <w:rsid w:val="2569611F"/>
    <w:rsid w:val="256A4E9A"/>
    <w:rsid w:val="256AF3E3"/>
    <w:rsid w:val="256B3727"/>
    <w:rsid w:val="257A6D75"/>
    <w:rsid w:val="257BBE97"/>
    <w:rsid w:val="257D6A04"/>
    <w:rsid w:val="257F9297"/>
    <w:rsid w:val="2580454B"/>
    <w:rsid w:val="2589B949"/>
    <w:rsid w:val="2589F1B0"/>
    <w:rsid w:val="258A287A"/>
    <w:rsid w:val="2590C1DF"/>
    <w:rsid w:val="259390B6"/>
    <w:rsid w:val="2593A9D5"/>
    <w:rsid w:val="259E05F7"/>
    <w:rsid w:val="259E10C4"/>
    <w:rsid w:val="259FFB71"/>
    <w:rsid w:val="25A019DE"/>
    <w:rsid w:val="25A8DE03"/>
    <w:rsid w:val="25AE76D9"/>
    <w:rsid w:val="25B1D6AC"/>
    <w:rsid w:val="25B5C9FC"/>
    <w:rsid w:val="25B91764"/>
    <w:rsid w:val="25BAE1EA"/>
    <w:rsid w:val="25BEFF12"/>
    <w:rsid w:val="25C0663F"/>
    <w:rsid w:val="25C8E8E1"/>
    <w:rsid w:val="25CADA18"/>
    <w:rsid w:val="25CB475D"/>
    <w:rsid w:val="25D03B00"/>
    <w:rsid w:val="25D502C0"/>
    <w:rsid w:val="25D6B5DA"/>
    <w:rsid w:val="25DA49A1"/>
    <w:rsid w:val="25E7C9BE"/>
    <w:rsid w:val="25EAEA15"/>
    <w:rsid w:val="25F1A0F8"/>
    <w:rsid w:val="25F91844"/>
    <w:rsid w:val="25FDDD5D"/>
    <w:rsid w:val="2604AF95"/>
    <w:rsid w:val="26053D0C"/>
    <w:rsid w:val="260FC07A"/>
    <w:rsid w:val="261D6D50"/>
    <w:rsid w:val="2621B04B"/>
    <w:rsid w:val="26242C68"/>
    <w:rsid w:val="262F6805"/>
    <w:rsid w:val="26321661"/>
    <w:rsid w:val="2636DA92"/>
    <w:rsid w:val="26384EA7"/>
    <w:rsid w:val="263AFFA2"/>
    <w:rsid w:val="264062A3"/>
    <w:rsid w:val="26420B52"/>
    <w:rsid w:val="2645018A"/>
    <w:rsid w:val="264C61C1"/>
    <w:rsid w:val="264CF983"/>
    <w:rsid w:val="2650E78B"/>
    <w:rsid w:val="26514E40"/>
    <w:rsid w:val="26540A99"/>
    <w:rsid w:val="265B3C9B"/>
    <w:rsid w:val="2668480D"/>
    <w:rsid w:val="2668F6A3"/>
    <w:rsid w:val="266E317A"/>
    <w:rsid w:val="2670B39A"/>
    <w:rsid w:val="26715D80"/>
    <w:rsid w:val="26741764"/>
    <w:rsid w:val="2679CF9B"/>
    <w:rsid w:val="267D03DC"/>
    <w:rsid w:val="26824A37"/>
    <w:rsid w:val="2686BDE8"/>
    <w:rsid w:val="268A93E8"/>
    <w:rsid w:val="2695E5B5"/>
    <w:rsid w:val="26A05BD7"/>
    <w:rsid w:val="26A0AC96"/>
    <w:rsid w:val="26A0B0D9"/>
    <w:rsid w:val="26A14308"/>
    <w:rsid w:val="26A78229"/>
    <w:rsid w:val="26A89EB6"/>
    <w:rsid w:val="26C5DC35"/>
    <w:rsid w:val="26D1DCEC"/>
    <w:rsid w:val="26D1FCCE"/>
    <w:rsid w:val="26D280F1"/>
    <w:rsid w:val="26D42F73"/>
    <w:rsid w:val="26E35AD7"/>
    <w:rsid w:val="26E57545"/>
    <w:rsid w:val="26EB2C82"/>
    <w:rsid w:val="26EB5485"/>
    <w:rsid w:val="26F1E5B7"/>
    <w:rsid w:val="26F8A852"/>
    <w:rsid w:val="26FF3477"/>
    <w:rsid w:val="2702050B"/>
    <w:rsid w:val="27024A45"/>
    <w:rsid w:val="27172F2C"/>
    <w:rsid w:val="271AC69D"/>
    <w:rsid w:val="271D682A"/>
    <w:rsid w:val="272750C7"/>
    <w:rsid w:val="272A6563"/>
    <w:rsid w:val="272A8307"/>
    <w:rsid w:val="272C7C5B"/>
    <w:rsid w:val="2730532A"/>
    <w:rsid w:val="27311330"/>
    <w:rsid w:val="273B7876"/>
    <w:rsid w:val="27455B59"/>
    <w:rsid w:val="2746C2EC"/>
    <w:rsid w:val="274A097D"/>
    <w:rsid w:val="274F2B92"/>
    <w:rsid w:val="27512F9B"/>
    <w:rsid w:val="275A54A5"/>
    <w:rsid w:val="275D7D97"/>
    <w:rsid w:val="276B19A9"/>
    <w:rsid w:val="2771B5B8"/>
    <w:rsid w:val="27758224"/>
    <w:rsid w:val="277859E9"/>
    <w:rsid w:val="277A45B3"/>
    <w:rsid w:val="277F498A"/>
    <w:rsid w:val="27821301"/>
    <w:rsid w:val="278213FE"/>
    <w:rsid w:val="27889EB8"/>
    <w:rsid w:val="278A8965"/>
    <w:rsid w:val="278F113B"/>
    <w:rsid w:val="278F1B77"/>
    <w:rsid w:val="27913F16"/>
    <w:rsid w:val="2791E828"/>
    <w:rsid w:val="2796DB50"/>
    <w:rsid w:val="27A24BE0"/>
    <w:rsid w:val="27AE0BDB"/>
    <w:rsid w:val="27B28349"/>
    <w:rsid w:val="27B45C49"/>
    <w:rsid w:val="27BB4B80"/>
    <w:rsid w:val="27BE9C97"/>
    <w:rsid w:val="27C820A2"/>
    <w:rsid w:val="27CA1176"/>
    <w:rsid w:val="27CBB514"/>
    <w:rsid w:val="27D61F8B"/>
    <w:rsid w:val="27D63D0C"/>
    <w:rsid w:val="27D953F7"/>
    <w:rsid w:val="27DB14AD"/>
    <w:rsid w:val="27FE76CD"/>
    <w:rsid w:val="27FF8490"/>
    <w:rsid w:val="28026FFA"/>
    <w:rsid w:val="280E316C"/>
    <w:rsid w:val="2811D8CE"/>
    <w:rsid w:val="281CFD53"/>
    <w:rsid w:val="282A2A55"/>
    <w:rsid w:val="28394821"/>
    <w:rsid w:val="2842EFA7"/>
    <w:rsid w:val="284D9395"/>
    <w:rsid w:val="28507DEB"/>
    <w:rsid w:val="2853B609"/>
    <w:rsid w:val="2855E625"/>
    <w:rsid w:val="28560443"/>
    <w:rsid w:val="285881A7"/>
    <w:rsid w:val="285F76EC"/>
    <w:rsid w:val="2864381F"/>
    <w:rsid w:val="28668891"/>
    <w:rsid w:val="28685E4E"/>
    <w:rsid w:val="28720DE7"/>
    <w:rsid w:val="287446F2"/>
    <w:rsid w:val="28753354"/>
    <w:rsid w:val="287F2C82"/>
    <w:rsid w:val="288218A6"/>
    <w:rsid w:val="28836F61"/>
    <w:rsid w:val="288A7562"/>
    <w:rsid w:val="288E2BF8"/>
    <w:rsid w:val="28917B3A"/>
    <w:rsid w:val="289247F5"/>
    <w:rsid w:val="28933A54"/>
    <w:rsid w:val="28996E82"/>
    <w:rsid w:val="289A3BE0"/>
    <w:rsid w:val="289BA80A"/>
    <w:rsid w:val="289D3351"/>
    <w:rsid w:val="28A8B681"/>
    <w:rsid w:val="28ABDAFD"/>
    <w:rsid w:val="28ABF9B5"/>
    <w:rsid w:val="28AD6001"/>
    <w:rsid w:val="28ADFD42"/>
    <w:rsid w:val="28AE822C"/>
    <w:rsid w:val="28B29FB1"/>
    <w:rsid w:val="28B5195F"/>
    <w:rsid w:val="28B98E7E"/>
    <w:rsid w:val="28BF20C9"/>
    <w:rsid w:val="28C1A05B"/>
    <w:rsid w:val="28CC6E7F"/>
    <w:rsid w:val="28CD508B"/>
    <w:rsid w:val="28CD7DBB"/>
    <w:rsid w:val="28CF0C90"/>
    <w:rsid w:val="28E36F9D"/>
    <w:rsid w:val="28E51075"/>
    <w:rsid w:val="28E5D9DE"/>
    <w:rsid w:val="28E7DB96"/>
    <w:rsid w:val="28EF33F9"/>
    <w:rsid w:val="28F53C8E"/>
    <w:rsid w:val="28F56AF5"/>
    <w:rsid w:val="28F5B501"/>
    <w:rsid w:val="28FE4503"/>
    <w:rsid w:val="29038E6E"/>
    <w:rsid w:val="2909A5F8"/>
    <w:rsid w:val="290CC016"/>
    <w:rsid w:val="290F59A3"/>
    <w:rsid w:val="29108DFE"/>
    <w:rsid w:val="291CFBB9"/>
    <w:rsid w:val="291DFB45"/>
    <w:rsid w:val="292140FD"/>
    <w:rsid w:val="2922BE1D"/>
    <w:rsid w:val="292544B3"/>
    <w:rsid w:val="29256C0D"/>
    <w:rsid w:val="2926E50E"/>
    <w:rsid w:val="292A3F56"/>
    <w:rsid w:val="292A903C"/>
    <w:rsid w:val="292E058C"/>
    <w:rsid w:val="292EA0EB"/>
    <w:rsid w:val="29300143"/>
    <w:rsid w:val="2932F8E8"/>
    <w:rsid w:val="293D3B71"/>
    <w:rsid w:val="29406F3B"/>
    <w:rsid w:val="29435CD2"/>
    <w:rsid w:val="29447362"/>
    <w:rsid w:val="294538E4"/>
    <w:rsid w:val="294EE42F"/>
    <w:rsid w:val="295426BD"/>
    <w:rsid w:val="295A8F0E"/>
    <w:rsid w:val="295AD7E1"/>
    <w:rsid w:val="296F75F5"/>
    <w:rsid w:val="2976F5D6"/>
    <w:rsid w:val="298D6F12"/>
    <w:rsid w:val="298EA26E"/>
    <w:rsid w:val="299082AB"/>
    <w:rsid w:val="299246AD"/>
    <w:rsid w:val="2993CDEB"/>
    <w:rsid w:val="299BAD1D"/>
    <w:rsid w:val="29A1EF22"/>
    <w:rsid w:val="29AC7DD6"/>
    <w:rsid w:val="29AF0010"/>
    <w:rsid w:val="29B326A0"/>
    <w:rsid w:val="29B6A780"/>
    <w:rsid w:val="29BF84AE"/>
    <w:rsid w:val="29C721C8"/>
    <w:rsid w:val="29C9E77F"/>
    <w:rsid w:val="29CC14F0"/>
    <w:rsid w:val="29CDEAEB"/>
    <w:rsid w:val="29D271F7"/>
    <w:rsid w:val="29D9E6B0"/>
    <w:rsid w:val="29E18201"/>
    <w:rsid w:val="29E2A467"/>
    <w:rsid w:val="29E48A30"/>
    <w:rsid w:val="29E69630"/>
    <w:rsid w:val="29ECDD32"/>
    <w:rsid w:val="29F2BF9D"/>
    <w:rsid w:val="29F5CC1D"/>
    <w:rsid w:val="29F75EDA"/>
    <w:rsid w:val="29FD76D7"/>
    <w:rsid w:val="2A10AD2F"/>
    <w:rsid w:val="2A1576FE"/>
    <w:rsid w:val="2A1B0906"/>
    <w:rsid w:val="2A1CD9B1"/>
    <w:rsid w:val="2A2D9349"/>
    <w:rsid w:val="2A394F85"/>
    <w:rsid w:val="2A3A594C"/>
    <w:rsid w:val="2A3E325E"/>
    <w:rsid w:val="2A4523DC"/>
    <w:rsid w:val="2A519255"/>
    <w:rsid w:val="2A535D99"/>
    <w:rsid w:val="2A53B6E8"/>
    <w:rsid w:val="2A5BA1A1"/>
    <w:rsid w:val="2A5DBEE4"/>
    <w:rsid w:val="2A5FCF30"/>
    <w:rsid w:val="2A627EED"/>
    <w:rsid w:val="2A6493A2"/>
    <w:rsid w:val="2A660826"/>
    <w:rsid w:val="2A771AB4"/>
    <w:rsid w:val="2A7734B4"/>
    <w:rsid w:val="2A7E9F29"/>
    <w:rsid w:val="2A7FD075"/>
    <w:rsid w:val="2A8B53CB"/>
    <w:rsid w:val="2A8E25B7"/>
    <w:rsid w:val="2A92A82B"/>
    <w:rsid w:val="2A95128A"/>
    <w:rsid w:val="2A955B21"/>
    <w:rsid w:val="2A993561"/>
    <w:rsid w:val="2AA1428C"/>
    <w:rsid w:val="2AA1634D"/>
    <w:rsid w:val="2AA78D26"/>
    <w:rsid w:val="2AB692A5"/>
    <w:rsid w:val="2AB7419B"/>
    <w:rsid w:val="2ABD740C"/>
    <w:rsid w:val="2AC3D1C6"/>
    <w:rsid w:val="2AD7238F"/>
    <w:rsid w:val="2AE6403A"/>
    <w:rsid w:val="2AF8DE13"/>
    <w:rsid w:val="2AF93401"/>
    <w:rsid w:val="2B026F38"/>
    <w:rsid w:val="2B036F44"/>
    <w:rsid w:val="2B03F305"/>
    <w:rsid w:val="2B100563"/>
    <w:rsid w:val="2B1ECB2A"/>
    <w:rsid w:val="2B266889"/>
    <w:rsid w:val="2B2A81F6"/>
    <w:rsid w:val="2B2F0450"/>
    <w:rsid w:val="2B302F2F"/>
    <w:rsid w:val="2B33FAA8"/>
    <w:rsid w:val="2B36B25E"/>
    <w:rsid w:val="2B370102"/>
    <w:rsid w:val="2B460D16"/>
    <w:rsid w:val="2B466D91"/>
    <w:rsid w:val="2B4EABDC"/>
    <w:rsid w:val="2B550856"/>
    <w:rsid w:val="2B57FCAA"/>
    <w:rsid w:val="2B5CA2D4"/>
    <w:rsid w:val="2B5D1662"/>
    <w:rsid w:val="2B62C04D"/>
    <w:rsid w:val="2B632E53"/>
    <w:rsid w:val="2B640735"/>
    <w:rsid w:val="2B645DA6"/>
    <w:rsid w:val="2B685BA8"/>
    <w:rsid w:val="2B69EA34"/>
    <w:rsid w:val="2B6C4BFF"/>
    <w:rsid w:val="2B6D0F6B"/>
    <w:rsid w:val="2B7134AA"/>
    <w:rsid w:val="2B793691"/>
    <w:rsid w:val="2B79FD56"/>
    <w:rsid w:val="2B7FBD00"/>
    <w:rsid w:val="2B81E58D"/>
    <w:rsid w:val="2B822BFD"/>
    <w:rsid w:val="2B83843D"/>
    <w:rsid w:val="2B84E1CB"/>
    <w:rsid w:val="2B865950"/>
    <w:rsid w:val="2B8A00E4"/>
    <w:rsid w:val="2B8A630B"/>
    <w:rsid w:val="2B8B2753"/>
    <w:rsid w:val="2B96E166"/>
    <w:rsid w:val="2B978D08"/>
    <w:rsid w:val="2B9B1F16"/>
    <w:rsid w:val="2B9C592B"/>
    <w:rsid w:val="2BA3AA1F"/>
    <w:rsid w:val="2BA7E01E"/>
    <w:rsid w:val="2BA9A732"/>
    <w:rsid w:val="2BB08D33"/>
    <w:rsid w:val="2BB27CBE"/>
    <w:rsid w:val="2BB5D86D"/>
    <w:rsid w:val="2BB71027"/>
    <w:rsid w:val="2BB983D9"/>
    <w:rsid w:val="2BBEA476"/>
    <w:rsid w:val="2BC21624"/>
    <w:rsid w:val="2BC5627B"/>
    <w:rsid w:val="2BC94790"/>
    <w:rsid w:val="2BCA3E26"/>
    <w:rsid w:val="2BCC9399"/>
    <w:rsid w:val="2BCDCE4A"/>
    <w:rsid w:val="2BCEB461"/>
    <w:rsid w:val="2BCF4820"/>
    <w:rsid w:val="2BD034D1"/>
    <w:rsid w:val="2BD118FA"/>
    <w:rsid w:val="2BDCACCD"/>
    <w:rsid w:val="2BE0A6C1"/>
    <w:rsid w:val="2BE1AD75"/>
    <w:rsid w:val="2BED336D"/>
    <w:rsid w:val="2BEF8B67"/>
    <w:rsid w:val="2BFAA64E"/>
    <w:rsid w:val="2BFF2325"/>
    <w:rsid w:val="2C046C02"/>
    <w:rsid w:val="2C061668"/>
    <w:rsid w:val="2C07CF8B"/>
    <w:rsid w:val="2C0C3672"/>
    <w:rsid w:val="2C0E9E29"/>
    <w:rsid w:val="2C136B72"/>
    <w:rsid w:val="2C15BC17"/>
    <w:rsid w:val="2C19005E"/>
    <w:rsid w:val="2C1A914D"/>
    <w:rsid w:val="2C1AA1DA"/>
    <w:rsid w:val="2C1EAC38"/>
    <w:rsid w:val="2C201558"/>
    <w:rsid w:val="2C219555"/>
    <w:rsid w:val="2C2B18ED"/>
    <w:rsid w:val="2C2B5C08"/>
    <w:rsid w:val="2C36BE7B"/>
    <w:rsid w:val="2C398D0E"/>
    <w:rsid w:val="2C3AE01E"/>
    <w:rsid w:val="2C3CD89F"/>
    <w:rsid w:val="2C3DF929"/>
    <w:rsid w:val="2C45A341"/>
    <w:rsid w:val="2C526635"/>
    <w:rsid w:val="2C532B72"/>
    <w:rsid w:val="2C58657D"/>
    <w:rsid w:val="2C606115"/>
    <w:rsid w:val="2C63B448"/>
    <w:rsid w:val="2C6591EF"/>
    <w:rsid w:val="2C66EC1C"/>
    <w:rsid w:val="2C6BA573"/>
    <w:rsid w:val="2C6CCD3F"/>
    <w:rsid w:val="2C85E216"/>
    <w:rsid w:val="2C88DDEB"/>
    <w:rsid w:val="2C89A0A6"/>
    <w:rsid w:val="2C8A745A"/>
    <w:rsid w:val="2C8AFBAE"/>
    <w:rsid w:val="2C8BA610"/>
    <w:rsid w:val="2C90FABC"/>
    <w:rsid w:val="2C9D91C0"/>
    <w:rsid w:val="2CAE1F25"/>
    <w:rsid w:val="2CBDAEED"/>
    <w:rsid w:val="2CBEBE16"/>
    <w:rsid w:val="2CC82C0B"/>
    <w:rsid w:val="2CC9A1E7"/>
    <w:rsid w:val="2CCD1C78"/>
    <w:rsid w:val="2CD05383"/>
    <w:rsid w:val="2CD09B06"/>
    <w:rsid w:val="2CD1468E"/>
    <w:rsid w:val="2CD5C63E"/>
    <w:rsid w:val="2CE1A0B3"/>
    <w:rsid w:val="2CE46693"/>
    <w:rsid w:val="2CE87790"/>
    <w:rsid w:val="2CEA65E0"/>
    <w:rsid w:val="2CF029AF"/>
    <w:rsid w:val="2CF9D0C5"/>
    <w:rsid w:val="2D28BE0C"/>
    <w:rsid w:val="2D2CE9AA"/>
    <w:rsid w:val="2D2F7879"/>
    <w:rsid w:val="2D32095D"/>
    <w:rsid w:val="2D3442BD"/>
    <w:rsid w:val="2D3700F2"/>
    <w:rsid w:val="2D3F514F"/>
    <w:rsid w:val="2D46F887"/>
    <w:rsid w:val="2D48EAA4"/>
    <w:rsid w:val="2D49138D"/>
    <w:rsid w:val="2D50ECCD"/>
    <w:rsid w:val="2D547A73"/>
    <w:rsid w:val="2D581E32"/>
    <w:rsid w:val="2D5D34E7"/>
    <w:rsid w:val="2D67F28C"/>
    <w:rsid w:val="2D6D9BE3"/>
    <w:rsid w:val="2D6EE7AA"/>
    <w:rsid w:val="2D6FD1C6"/>
    <w:rsid w:val="2D754F1F"/>
    <w:rsid w:val="2D7912A0"/>
    <w:rsid w:val="2D7AE15B"/>
    <w:rsid w:val="2D7AF34D"/>
    <w:rsid w:val="2D852A45"/>
    <w:rsid w:val="2D85DC30"/>
    <w:rsid w:val="2D881750"/>
    <w:rsid w:val="2D90AB67"/>
    <w:rsid w:val="2D91BF2B"/>
    <w:rsid w:val="2D93D249"/>
    <w:rsid w:val="2D9C025A"/>
    <w:rsid w:val="2DBB2605"/>
    <w:rsid w:val="2DBDE319"/>
    <w:rsid w:val="2DC9B3EC"/>
    <w:rsid w:val="2DCAA755"/>
    <w:rsid w:val="2DD3E166"/>
    <w:rsid w:val="2DD54A3D"/>
    <w:rsid w:val="2DD65942"/>
    <w:rsid w:val="2DDE0755"/>
    <w:rsid w:val="2DF22CE2"/>
    <w:rsid w:val="2DF9BB4E"/>
    <w:rsid w:val="2DFD33AF"/>
    <w:rsid w:val="2E03F2D0"/>
    <w:rsid w:val="2E0D034B"/>
    <w:rsid w:val="2E1F1C50"/>
    <w:rsid w:val="2E1F208C"/>
    <w:rsid w:val="2E202687"/>
    <w:rsid w:val="2E2182BF"/>
    <w:rsid w:val="2E21C548"/>
    <w:rsid w:val="2E231304"/>
    <w:rsid w:val="2E30737A"/>
    <w:rsid w:val="2E3AF1D0"/>
    <w:rsid w:val="2E3BD0AD"/>
    <w:rsid w:val="2E3DB17E"/>
    <w:rsid w:val="2E3FC4B2"/>
    <w:rsid w:val="2E410A18"/>
    <w:rsid w:val="2E49F449"/>
    <w:rsid w:val="2E4A3F76"/>
    <w:rsid w:val="2E4B1972"/>
    <w:rsid w:val="2E4B3836"/>
    <w:rsid w:val="2E4E43B7"/>
    <w:rsid w:val="2E50C8A6"/>
    <w:rsid w:val="2E5121CF"/>
    <w:rsid w:val="2E513532"/>
    <w:rsid w:val="2E5205B9"/>
    <w:rsid w:val="2E55BBD4"/>
    <w:rsid w:val="2E5DC7F2"/>
    <w:rsid w:val="2E607209"/>
    <w:rsid w:val="2E67C7E4"/>
    <w:rsid w:val="2E67F793"/>
    <w:rsid w:val="2E6A55EE"/>
    <w:rsid w:val="2E7985B8"/>
    <w:rsid w:val="2E7DB6DB"/>
    <w:rsid w:val="2E8432DD"/>
    <w:rsid w:val="2E8F5054"/>
    <w:rsid w:val="2E991A9E"/>
    <w:rsid w:val="2E995793"/>
    <w:rsid w:val="2E9D1CE3"/>
    <w:rsid w:val="2E9FC12C"/>
    <w:rsid w:val="2E9FEF1F"/>
    <w:rsid w:val="2EA881BA"/>
    <w:rsid w:val="2EAD8919"/>
    <w:rsid w:val="2EAFCC3A"/>
    <w:rsid w:val="2EB03E99"/>
    <w:rsid w:val="2EB23072"/>
    <w:rsid w:val="2EB3B751"/>
    <w:rsid w:val="2EB777DF"/>
    <w:rsid w:val="2EB9EA18"/>
    <w:rsid w:val="2ECE9B68"/>
    <w:rsid w:val="2ED15FC8"/>
    <w:rsid w:val="2ED458A3"/>
    <w:rsid w:val="2ED5E844"/>
    <w:rsid w:val="2ED9D799"/>
    <w:rsid w:val="2EDFCD28"/>
    <w:rsid w:val="2EE5C03E"/>
    <w:rsid w:val="2EEDC5FB"/>
    <w:rsid w:val="2EFF5002"/>
    <w:rsid w:val="2F01DEF4"/>
    <w:rsid w:val="2F0FEC95"/>
    <w:rsid w:val="2F1A9650"/>
    <w:rsid w:val="2F1FA170"/>
    <w:rsid w:val="2F202FFF"/>
    <w:rsid w:val="2F323FA0"/>
    <w:rsid w:val="2F3C5768"/>
    <w:rsid w:val="2F5C195A"/>
    <w:rsid w:val="2F619F12"/>
    <w:rsid w:val="2F69452B"/>
    <w:rsid w:val="2F7229A3"/>
    <w:rsid w:val="2F7235D5"/>
    <w:rsid w:val="2F7D20DE"/>
    <w:rsid w:val="2F82E63E"/>
    <w:rsid w:val="2F8A6FA4"/>
    <w:rsid w:val="2F8C5374"/>
    <w:rsid w:val="2F908AAB"/>
    <w:rsid w:val="2F9805D6"/>
    <w:rsid w:val="2FA27F67"/>
    <w:rsid w:val="2FA2CA88"/>
    <w:rsid w:val="2FA417FC"/>
    <w:rsid w:val="2FA4F2DD"/>
    <w:rsid w:val="2FA5C915"/>
    <w:rsid w:val="2FAB8FFD"/>
    <w:rsid w:val="2FAD897E"/>
    <w:rsid w:val="2FB0452E"/>
    <w:rsid w:val="2FB1FB70"/>
    <w:rsid w:val="2FB80374"/>
    <w:rsid w:val="2FBEA6B9"/>
    <w:rsid w:val="2FC03FF4"/>
    <w:rsid w:val="2FC4098E"/>
    <w:rsid w:val="2FC63C93"/>
    <w:rsid w:val="2FC8DAB3"/>
    <w:rsid w:val="2FCAE8C8"/>
    <w:rsid w:val="2FCE7988"/>
    <w:rsid w:val="2FD223D0"/>
    <w:rsid w:val="2FDFA0AF"/>
    <w:rsid w:val="2FE3009D"/>
    <w:rsid w:val="2FE34EA9"/>
    <w:rsid w:val="2FE3D44E"/>
    <w:rsid w:val="2FEB3740"/>
    <w:rsid w:val="2FEBC6EA"/>
    <w:rsid w:val="2FEF00A1"/>
    <w:rsid w:val="2FF41C2E"/>
    <w:rsid w:val="2FF477F5"/>
    <w:rsid w:val="2FFAEBD4"/>
    <w:rsid w:val="30027F06"/>
    <w:rsid w:val="3003C6EA"/>
    <w:rsid w:val="3007414D"/>
    <w:rsid w:val="30079BC7"/>
    <w:rsid w:val="300EAB50"/>
    <w:rsid w:val="30171C4C"/>
    <w:rsid w:val="30239792"/>
    <w:rsid w:val="30275D2F"/>
    <w:rsid w:val="30295862"/>
    <w:rsid w:val="302C3B0F"/>
    <w:rsid w:val="302EC632"/>
    <w:rsid w:val="30350B59"/>
    <w:rsid w:val="3037FE05"/>
    <w:rsid w:val="303B8F68"/>
    <w:rsid w:val="3044C590"/>
    <w:rsid w:val="30546153"/>
    <w:rsid w:val="305533F9"/>
    <w:rsid w:val="3057B62F"/>
    <w:rsid w:val="305E4614"/>
    <w:rsid w:val="305E716A"/>
    <w:rsid w:val="3065F953"/>
    <w:rsid w:val="3068A2D8"/>
    <w:rsid w:val="30721AAB"/>
    <w:rsid w:val="30735FF0"/>
    <w:rsid w:val="30743F82"/>
    <w:rsid w:val="3076EC4E"/>
    <w:rsid w:val="30797F8E"/>
    <w:rsid w:val="307A30E0"/>
    <w:rsid w:val="307DB3B8"/>
    <w:rsid w:val="307F62BA"/>
    <w:rsid w:val="3080A617"/>
    <w:rsid w:val="308A6CDF"/>
    <w:rsid w:val="308E59ED"/>
    <w:rsid w:val="3091060A"/>
    <w:rsid w:val="30939304"/>
    <w:rsid w:val="3097DCE1"/>
    <w:rsid w:val="309D672A"/>
    <w:rsid w:val="30A8E62A"/>
    <w:rsid w:val="30AA4497"/>
    <w:rsid w:val="30ADEB9D"/>
    <w:rsid w:val="30BEF11F"/>
    <w:rsid w:val="30D7F91E"/>
    <w:rsid w:val="30DD16A8"/>
    <w:rsid w:val="30DDA4D9"/>
    <w:rsid w:val="30E5F78D"/>
    <w:rsid w:val="30EC32DC"/>
    <w:rsid w:val="30EF1E1E"/>
    <w:rsid w:val="30F8E5BD"/>
    <w:rsid w:val="31042A4C"/>
    <w:rsid w:val="310497B9"/>
    <w:rsid w:val="3123AA87"/>
    <w:rsid w:val="31320844"/>
    <w:rsid w:val="31322874"/>
    <w:rsid w:val="313628C5"/>
    <w:rsid w:val="313BC9B6"/>
    <w:rsid w:val="315517D8"/>
    <w:rsid w:val="315CBFD0"/>
    <w:rsid w:val="3162C9E5"/>
    <w:rsid w:val="3166A3C5"/>
    <w:rsid w:val="317062C9"/>
    <w:rsid w:val="31757A8C"/>
    <w:rsid w:val="317E2056"/>
    <w:rsid w:val="3188AC0E"/>
    <w:rsid w:val="318CE6BC"/>
    <w:rsid w:val="318ECDEB"/>
    <w:rsid w:val="3192E643"/>
    <w:rsid w:val="31936A24"/>
    <w:rsid w:val="3196F006"/>
    <w:rsid w:val="319AE642"/>
    <w:rsid w:val="31A18B9E"/>
    <w:rsid w:val="31A69E30"/>
    <w:rsid w:val="31B00413"/>
    <w:rsid w:val="31B5B8A4"/>
    <w:rsid w:val="31B5EBDB"/>
    <w:rsid w:val="31B6ED52"/>
    <w:rsid w:val="31B73DFE"/>
    <w:rsid w:val="31B80A34"/>
    <w:rsid w:val="31CF948D"/>
    <w:rsid w:val="31D0EDD4"/>
    <w:rsid w:val="31D3465D"/>
    <w:rsid w:val="31D52FF4"/>
    <w:rsid w:val="31D5573D"/>
    <w:rsid w:val="31D83CDD"/>
    <w:rsid w:val="31E2149E"/>
    <w:rsid w:val="31E73067"/>
    <w:rsid w:val="31E88669"/>
    <w:rsid w:val="31E9F199"/>
    <w:rsid w:val="31F4FCDC"/>
    <w:rsid w:val="31F7D2C1"/>
    <w:rsid w:val="31FA6727"/>
    <w:rsid w:val="320F4AC6"/>
    <w:rsid w:val="3215FCF4"/>
    <w:rsid w:val="321B27BD"/>
    <w:rsid w:val="3224DF2B"/>
    <w:rsid w:val="322694B2"/>
    <w:rsid w:val="32275EDF"/>
    <w:rsid w:val="322CF1F3"/>
    <w:rsid w:val="322FE38E"/>
    <w:rsid w:val="32378AF7"/>
    <w:rsid w:val="3237CF03"/>
    <w:rsid w:val="323BC951"/>
    <w:rsid w:val="3243278B"/>
    <w:rsid w:val="3246E012"/>
    <w:rsid w:val="32472FF6"/>
    <w:rsid w:val="3250172D"/>
    <w:rsid w:val="3255612A"/>
    <w:rsid w:val="3259E904"/>
    <w:rsid w:val="3262208D"/>
    <w:rsid w:val="32625F98"/>
    <w:rsid w:val="3279FD8E"/>
    <w:rsid w:val="327AB17E"/>
    <w:rsid w:val="327C985F"/>
    <w:rsid w:val="3287BC9A"/>
    <w:rsid w:val="3289B499"/>
    <w:rsid w:val="328C86B6"/>
    <w:rsid w:val="328DC355"/>
    <w:rsid w:val="3290059B"/>
    <w:rsid w:val="329245BF"/>
    <w:rsid w:val="32977F29"/>
    <w:rsid w:val="32995087"/>
    <w:rsid w:val="32996DA8"/>
    <w:rsid w:val="329D3698"/>
    <w:rsid w:val="32A21DE0"/>
    <w:rsid w:val="32A53129"/>
    <w:rsid w:val="32A86E7B"/>
    <w:rsid w:val="32A8D07C"/>
    <w:rsid w:val="32A9578F"/>
    <w:rsid w:val="32AA8EB9"/>
    <w:rsid w:val="32AC2D1C"/>
    <w:rsid w:val="32AEC2C4"/>
    <w:rsid w:val="32C33D9B"/>
    <w:rsid w:val="32CE9C85"/>
    <w:rsid w:val="32D8E497"/>
    <w:rsid w:val="32DBBF40"/>
    <w:rsid w:val="32E1B55D"/>
    <w:rsid w:val="32EADC76"/>
    <w:rsid w:val="32EB0095"/>
    <w:rsid w:val="32F67683"/>
    <w:rsid w:val="32FED67F"/>
    <w:rsid w:val="32FF756B"/>
    <w:rsid w:val="33017506"/>
    <w:rsid w:val="3304728C"/>
    <w:rsid w:val="3308FCDE"/>
    <w:rsid w:val="330A343F"/>
    <w:rsid w:val="330C23C8"/>
    <w:rsid w:val="330F3D7E"/>
    <w:rsid w:val="331703BA"/>
    <w:rsid w:val="331A44E1"/>
    <w:rsid w:val="331F23FB"/>
    <w:rsid w:val="33230AB2"/>
    <w:rsid w:val="33249939"/>
    <w:rsid w:val="3326EC81"/>
    <w:rsid w:val="33279036"/>
    <w:rsid w:val="332FD6F7"/>
    <w:rsid w:val="3331156C"/>
    <w:rsid w:val="33382997"/>
    <w:rsid w:val="333C46C7"/>
    <w:rsid w:val="333CD150"/>
    <w:rsid w:val="3346311D"/>
    <w:rsid w:val="33466F55"/>
    <w:rsid w:val="334D73EF"/>
    <w:rsid w:val="334DC99E"/>
    <w:rsid w:val="335ECA5E"/>
    <w:rsid w:val="335F8965"/>
    <w:rsid w:val="33652C55"/>
    <w:rsid w:val="336888E5"/>
    <w:rsid w:val="336C3E02"/>
    <w:rsid w:val="336D16F4"/>
    <w:rsid w:val="336E1780"/>
    <w:rsid w:val="33726E08"/>
    <w:rsid w:val="337AB441"/>
    <w:rsid w:val="337F984B"/>
    <w:rsid w:val="3384045F"/>
    <w:rsid w:val="33889F7E"/>
    <w:rsid w:val="338ABE31"/>
    <w:rsid w:val="3390F4EA"/>
    <w:rsid w:val="3391B43C"/>
    <w:rsid w:val="3392735F"/>
    <w:rsid w:val="3392DCF2"/>
    <w:rsid w:val="3394F383"/>
    <w:rsid w:val="339727B1"/>
    <w:rsid w:val="339B7C5A"/>
    <w:rsid w:val="339C1DBC"/>
    <w:rsid w:val="33A6C86D"/>
    <w:rsid w:val="33ABFF61"/>
    <w:rsid w:val="33ADEEC2"/>
    <w:rsid w:val="33B05BC6"/>
    <w:rsid w:val="33C00F5E"/>
    <w:rsid w:val="33C307CE"/>
    <w:rsid w:val="33C62090"/>
    <w:rsid w:val="33C93059"/>
    <w:rsid w:val="33CB8081"/>
    <w:rsid w:val="33CEB2C6"/>
    <w:rsid w:val="33D1C9AE"/>
    <w:rsid w:val="33D2DCA9"/>
    <w:rsid w:val="33D5D168"/>
    <w:rsid w:val="33D6116B"/>
    <w:rsid w:val="33D6B213"/>
    <w:rsid w:val="33D799B2"/>
    <w:rsid w:val="33D87E1D"/>
    <w:rsid w:val="33E1E7D3"/>
    <w:rsid w:val="33E7D5EE"/>
    <w:rsid w:val="33E8648A"/>
    <w:rsid w:val="33E885B8"/>
    <w:rsid w:val="33FB35EE"/>
    <w:rsid w:val="33FD75D0"/>
    <w:rsid w:val="33FF3103"/>
    <w:rsid w:val="340636CC"/>
    <w:rsid w:val="340B243F"/>
    <w:rsid w:val="340C867E"/>
    <w:rsid w:val="3411DBDA"/>
    <w:rsid w:val="3412525A"/>
    <w:rsid w:val="34269398"/>
    <w:rsid w:val="342A729C"/>
    <w:rsid w:val="34311E7D"/>
    <w:rsid w:val="3447B7E5"/>
    <w:rsid w:val="344B5947"/>
    <w:rsid w:val="344C69A7"/>
    <w:rsid w:val="3452B458"/>
    <w:rsid w:val="34539359"/>
    <w:rsid w:val="345A7B8B"/>
    <w:rsid w:val="345CF7C2"/>
    <w:rsid w:val="345D8628"/>
    <w:rsid w:val="3467BC95"/>
    <w:rsid w:val="346E8652"/>
    <w:rsid w:val="3472742E"/>
    <w:rsid w:val="347A41D5"/>
    <w:rsid w:val="347DD6CE"/>
    <w:rsid w:val="347F0324"/>
    <w:rsid w:val="347F2A56"/>
    <w:rsid w:val="348C4B8B"/>
    <w:rsid w:val="348E2CCD"/>
    <w:rsid w:val="34AC4D9F"/>
    <w:rsid w:val="34ADF1C8"/>
    <w:rsid w:val="34B1137F"/>
    <w:rsid w:val="34BA9A9F"/>
    <w:rsid w:val="34C33AC6"/>
    <w:rsid w:val="34C95761"/>
    <w:rsid w:val="34D45869"/>
    <w:rsid w:val="34D78C4F"/>
    <w:rsid w:val="34DB5E6E"/>
    <w:rsid w:val="34E6501B"/>
    <w:rsid w:val="34E788F7"/>
    <w:rsid w:val="34F1A444"/>
    <w:rsid w:val="34F20121"/>
    <w:rsid w:val="34F410EC"/>
    <w:rsid w:val="34F8D35B"/>
    <w:rsid w:val="3502CFF5"/>
    <w:rsid w:val="350940D3"/>
    <w:rsid w:val="3519F7B7"/>
    <w:rsid w:val="352DD216"/>
    <w:rsid w:val="35336774"/>
    <w:rsid w:val="3536F596"/>
    <w:rsid w:val="35395DB9"/>
    <w:rsid w:val="35395E47"/>
    <w:rsid w:val="353C7DAA"/>
    <w:rsid w:val="353C997C"/>
    <w:rsid w:val="353F1AB3"/>
    <w:rsid w:val="354B3C66"/>
    <w:rsid w:val="3559A031"/>
    <w:rsid w:val="3559D698"/>
    <w:rsid w:val="35612A72"/>
    <w:rsid w:val="35629182"/>
    <w:rsid w:val="35661F65"/>
    <w:rsid w:val="356D9344"/>
    <w:rsid w:val="35779F21"/>
    <w:rsid w:val="357F73EB"/>
    <w:rsid w:val="3581A59C"/>
    <w:rsid w:val="358427CE"/>
    <w:rsid w:val="35982756"/>
    <w:rsid w:val="359A2E13"/>
    <w:rsid w:val="35A64EBA"/>
    <w:rsid w:val="35AAF955"/>
    <w:rsid w:val="35ACF556"/>
    <w:rsid w:val="35AE4DC6"/>
    <w:rsid w:val="35B1F3E4"/>
    <w:rsid w:val="35B39226"/>
    <w:rsid w:val="35B3D291"/>
    <w:rsid w:val="35B56EF6"/>
    <w:rsid w:val="35B9FE99"/>
    <w:rsid w:val="35BBE249"/>
    <w:rsid w:val="35BFE397"/>
    <w:rsid w:val="35C61B5C"/>
    <w:rsid w:val="35C6D08A"/>
    <w:rsid w:val="35C8AE4C"/>
    <w:rsid w:val="35D349FC"/>
    <w:rsid w:val="35D95B7C"/>
    <w:rsid w:val="35DA476A"/>
    <w:rsid w:val="35DB945F"/>
    <w:rsid w:val="35DD6A9C"/>
    <w:rsid w:val="35E057F5"/>
    <w:rsid w:val="35E9C23B"/>
    <w:rsid w:val="35EE8CB5"/>
    <w:rsid w:val="35F6B0BF"/>
    <w:rsid w:val="35F88072"/>
    <w:rsid w:val="35FE5EC7"/>
    <w:rsid w:val="3604E76B"/>
    <w:rsid w:val="36050523"/>
    <w:rsid w:val="360665D5"/>
    <w:rsid w:val="3608E78E"/>
    <w:rsid w:val="360C66BE"/>
    <w:rsid w:val="360CC443"/>
    <w:rsid w:val="361123E8"/>
    <w:rsid w:val="36150A99"/>
    <w:rsid w:val="36183CDE"/>
    <w:rsid w:val="361A27A6"/>
    <w:rsid w:val="361CDC5D"/>
    <w:rsid w:val="36211536"/>
    <w:rsid w:val="362A193E"/>
    <w:rsid w:val="363310BD"/>
    <w:rsid w:val="3636B6F1"/>
    <w:rsid w:val="3639357E"/>
    <w:rsid w:val="363E6E13"/>
    <w:rsid w:val="363F422F"/>
    <w:rsid w:val="363FED92"/>
    <w:rsid w:val="3646A7F4"/>
    <w:rsid w:val="364D16CD"/>
    <w:rsid w:val="36525F2D"/>
    <w:rsid w:val="36549C67"/>
    <w:rsid w:val="365A1CE9"/>
    <w:rsid w:val="365B9F7F"/>
    <w:rsid w:val="365FF324"/>
    <w:rsid w:val="36694394"/>
    <w:rsid w:val="366B1E33"/>
    <w:rsid w:val="366CE052"/>
    <w:rsid w:val="3678694A"/>
    <w:rsid w:val="368986F8"/>
    <w:rsid w:val="368AC310"/>
    <w:rsid w:val="3691D2DE"/>
    <w:rsid w:val="36A0D3E8"/>
    <w:rsid w:val="36A25671"/>
    <w:rsid w:val="36A8E9D5"/>
    <w:rsid w:val="36B7A189"/>
    <w:rsid w:val="36BC2740"/>
    <w:rsid w:val="36C59CC4"/>
    <w:rsid w:val="36C68537"/>
    <w:rsid w:val="36CC0887"/>
    <w:rsid w:val="36CF6D10"/>
    <w:rsid w:val="36D9386E"/>
    <w:rsid w:val="36DF1259"/>
    <w:rsid w:val="36E23076"/>
    <w:rsid w:val="36E51EAA"/>
    <w:rsid w:val="36E65BD6"/>
    <w:rsid w:val="36EE3F98"/>
    <w:rsid w:val="36F410D1"/>
    <w:rsid w:val="36F46A2E"/>
    <w:rsid w:val="3708E631"/>
    <w:rsid w:val="370B8B4E"/>
    <w:rsid w:val="370D96AC"/>
    <w:rsid w:val="370FBED7"/>
    <w:rsid w:val="37119D79"/>
    <w:rsid w:val="3719D592"/>
    <w:rsid w:val="371A6707"/>
    <w:rsid w:val="37240A48"/>
    <w:rsid w:val="372BEAEB"/>
    <w:rsid w:val="372E8F14"/>
    <w:rsid w:val="373EF1CA"/>
    <w:rsid w:val="3741A1E5"/>
    <w:rsid w:val="374A3D1E"/>
    <w:rsid w:val="374B51D3"/>
    <w:rsid w:val="374CE08C"/>
    <w:rsid w:val="374E65EE"/>
    <w:rsid w:val="37654A8C"/>
    <w:rsid w:val="3766D606"/>
    <w:rsid w:val="376A9ABA"/>
    <w:rsid w:val="376AFD73"/>
    <w:rsid w:val="37764E91"/>
    <w:rsid w:val="3779920B"/>
    <w:rsid w:val="377B9F94"/>
    <w:rsid w:val="37814519"/>
    <w:rsid w:val="37851FCE"/>
    <w:rsid w:val="37875E07"/>
    <w:rsid w:val="3788FD95"/>
    <w:rsid w:val="378A07F9"/>
    <w:rsid w:val="378B2C75"/>
    <w:rsid w:val="378B4602"/>
    <w:rsid w:val="3790137F"/>
    <w:rsid w:val="3793291C"/>
    <w:rsid w:val="379A80AE"/>
    <w:rsid w:val="379E8527"/>
    <w:rsid w:val="37AD2274"/>
    <w:rsid w:val="37AD2538"/>
    <w:rsid w:val="37B28C6D"/>
    <w:rsid w:val="37B48D7B"/>
    <w:rsid w:val="37C2EA36"/>
    <w:rsid w:val="37C7A6C3"/>
    <w:rsid w:val="37CAE508"/>
    <w:rsid w:val="37D7CB7D"/>
    <w:rsid w:val="37DA7584"/>
    <w:rsid w:val="37E001A3"/>
    <w:rsid w:val="37E0CFBA"/>
    <w:rsid w:val="37E56752"/>
    <w:rsid w:val="37ECC41E"/>
    <w:rsid w:val="37F237AA"/>
    <w:rsid w:val="37F50F8D"/>
    <w:rsid w:val="3800DD65"/>
    <w:rsid w:val="3801E98B"/>
    <w:rsid w:val="380D4D45"/>
    <w:rsid w:val="380F26E5"/>
    <w:rsid w:val="380FE017"/>
    <w:rsid w:val="381007D3"/>
    <w:rsid w:val="38104662"/>
    <w:rsid w:val="381C3621"/>
    <w:rsid w:val="3822564A"/>
    <w:rsid w:val="38279312"/>
    <w:rsid w:val="382B1BAF"/>
    <w:rsid w:val="38329ABA"/>
    <w:rsid w:val="383331E1"/>
    <w:rsid w:val="3835D2B8"/>
    <w:rsid w:val="3837F026"/>
    <w:rsid w:val="384160D0"/>
    <w:rsid w:val="38486BEE"/>
    <w:rsid w:val="38541A96"/>
    <w:rsid w:val="385D3EEC"/>
    <w:rsid w:val="385F5BEF"/>
    <w:rsid w:val="386659F9"/>
    <w:rsid w:val="38686485"/>
    <w:rsid w:val="3868AFD1"/>
    <w:rsid w:val="386C9B96"/>
    <w:rsid w:val="3876F821"/>
    <w:rsid w:val="3878211D"/>
    <w:rsid w:val="387A3414"/>
    <w:rsid w:val="387B7872"/>
    <w:rsid w:val="38821288"/>
    <w:rsid w:val="38822EC7"/>
    <w:rsid w:val="38846793"/>
    <w:rsid w:val="38864C5D"/>
    <w:rsid w:val="38924149"/>
    <w:rsid w:val="389C3C98"/>
    <w:rsid w:val="389D3923"/>
    <w:rsid w:val="38A0992C"/>
    <w:rsid w:val="38A3E677"/>
    <w:rsid w:val="38AC133C"/>
    <w:rsid w:val="38AF244D"/>
    <w:rsid w:val="38B24CEA"/>
    <w:rsid w:val="38B32072"/>
    <w:rsid w:val="38B335C9"/>
    <w:rsid w:val="38B5C383"/>
    <w:rsid w:val="38BA8FAA"/>
    <w:rsid w:val="38BD0763"/>
    <w:rsid w:val="38C6B342"/>
    <w:rsid w:val="38C88B1B"/>
    <w:rsid w:val="38CC8AE9"/>
    <w:rsid w:val="38DF2D37"/>
    <w:rsid w:val="38E4E697"/>
    <w:rsid w:val="38E546CA"/>
    <w:rsid w:val="38F123E8"/>
    <w:rsid w:val="38F5CDDC"/>
    <w:rsid w:val="39017252"/>
    <w:rsid w:val="39020FF6"/>
    <w:rsid w:val="3903E781"/>
    <w:rsid w:val="3903EB2E"/>
    <w:rsid w:val="390E6C85"/>
    <w:rsid w:val="39100B32"/>
    <w:rsid w:val="391618A7"/>
    <w:rsid w:val="391B754E"/>
    <w:rsid w:val="391D7362"/>
    <w:rsid w:val="3922210D"/>
    <w:rsid w:val="39222A45"/>
    <w:rsid w:val="3923C52C"/>
    <w:rsid w:val="392BC9B0"/>
    <w:rsid w:val="393534A8"/>
    <w:rsid w:val="393C264E"/>
    <w:rsid w:val="393CD52C"/>
    <w:rsid w:val="393D3AFE"/>
    <w:rsid w:val="393D8529"/>
    <w:rsid w:val="3953A18A"/>
    <w:rsid w:val="395C248A"/>
    <w:rsid w:val="39638E68"/>
    <w:rsid w:val="39678B47"/>
    <w:rsid w:val="396838D9"/>
    <w:rsid w:val="3968DBA9"/>
    <w:rsid w:val="396BCFEC"/>
    <w:rsid w:val="3971A473"/>
    <w:rsid w:val="39722F32"/>
    <w:rsid w:val="39812CDB"/>
    <w:rsid w:val="3983FC22"/>
    <w:rsid w:val="398559CD"/>
    <w:rsid w:val="398BEFDF"/>
    <w:rsid w:val="39900D8A"/>
    <w:rsid w:val="3990E314"/>
    <w:rsid w:val="399426C9"/>
    <w:rsid w:val="39970960"/>
    <w:rsid w:val="399A3235"/>
    <w:rsid w:val="39A397C5"/>
    <w:rsid w:val="39A741CE"/>
    <w:rsid w:val="39AE14F5"/>
    <w:rsid w:val="39B84902"/>
    <w:rsid w:val="39BA53FE"/>
    <w:rsid w:val="39CB886A"/>
    <w:rsid w:val="39E0A655"/>
    <w:rsid w:val="39E45396"/>
    <w:rsid w:val="39EA752C"/>
    <w:rsid w:val="39EB966C"/>
    <w:rsid w:val="39F559D5"/>
    <w:rsid w:val="39F5F9AE"/>
    <w:rsid w:val="39F754F6"/>
    <w:rsid w:val="3A0908B4"/>
    <w:rsid w:val="3A09A57B"/>
    <w:rsid w:val="3A0B2538"/>
    <w:rsid w:val="3A1345CF"/>
    <w:rsid w:val="3A16CA00"/>
    <w:rsid w:val="3A182211"/>
    <w:rsid w:val="3A193320"/>
    <w:rsid w:val="3A197A2C"/>
    <w:rsid w:val="3A1A0AA1"/>
    <w:rsid w:val="3A1AD08A"/>
    <w:rsid w:val="3A1CA054"/>
    <w:rsid w:val="3A1F0B01"/>
    <w:rsid w:val="3A220EAC"/>
    <w:rsid w:val="3A28502C"/>
    <w:rsid w:val="3A29A202"/>
    <w:rsid w:val="3A38D881"/>
    <w:rsid w:val="3A3D9F8E"/>
    <w:rsid w:val="3A404FB7"/>
    <w:rsid w:val="3A4596C1"/>
    <w:rsid w:val="3A4D359C"/>
    <w:rsid w:val="3A523F10"/>
    <w:rsid w:val="3A54580E"/>
    <w:rsid w:val="3A5C7095"/>
    <w:rsid w:val="3A5E46D0"/>
    <w:rsid w:val="3A64F66E"/>
    <w:rsid w:val="3A667D28"/>
    <w:rsid w:val="3A6C53A3"/>
    <w:rsid w:val="3A7D4668"/>
    <w:rsid w:val="3A7FB4E1"/>
    <w:rsid w:val="3A82EA6A"/>
    <w:rsid w:val="3A84F9C2"/>
    <w:rsid w:val="3A8E66A2"/>
    <w:rsid w:val="3A905192"/>
    <w:rsid w:val="3A926A80"/>
    <w:rsid w:val="3A933C96"/>
    <w:rsid w:val="3A941176"/>
    <w:rsid w:val="3A95AA87"/>
    <w:rsid w:val="3A9C4D53"/>
    <w:rsid w:val="3A9E135B"/>
    <w:rsid w:val="3A9F4F03"/>
    <w:rsid w:val="3AA9BAE5"/>
    <w:rsid w:val="3AABD6B4"/>
    <w:rsid w:val="3AAD4A1C"/>
    <w:rsid w:val="3AAE2161"/>
    <w:rsid w:val="3AB75B9D"/>
    <w:rsid w:val="3AB813D9"/>
    <w:rsid w:val="3AC002B8"/>
    <w:rsid w:val="3AC218E1"/>
    <w:rsid w:val="3AC2CC74"/>
    <w:rsid w:val="3AC83882"/>
    <w:rsid w:val="3AC8F2D4"/>
    <w:rsid w:val="3AD36127"/>
    <w:rsid w:val="3ADD3529"/>
    <w:rsid w:val="3AE9D85E"/>
    <w:rsid w:val="3AECD551"/>
    <w:rsid w:val="3B0429DC"/>
    <w:rsid w:val="3B08336E"/>
    <w:rsid w:val="3B0BDA3F"/>
    <w:rsid w:val="3B17B692"/>
    <w:rsid w:val="3B1C1426"/>
    <w:rsid w:val="3B2226C5"/>
    <w:rsid w:val="3B2543F4"/>
    <w:rsid w:val="3B2755F1"/>
    <w:rsid w:val="3B28D9B7"/>
    <w:rsid w:val="3B2F64E1"/>
    <w:rsid w:val="3B3353AE"/>
    <w:rsid w:val="3B341CFC"/>
    <w:rsid w:val="3B3507A0"/>
    <w:rsid w:val="3B3CFB52"/>
    <w:rsid w:val="3B3DB933"/>
    <w:rsid w:val="3B47AA46"/>
    <w:rsid w:val="3B4876C6"/>
    <w:rsid w:val="3B4B3075"/>
    <w:rsid w:val="3B593986"/>
    <w:rsid w:val="3B605A5B"/>
    <w:rsid w:val="3B6340B0"/>
    <w:rsid w:val="3B638745"/>
    <w:rsid w:val="3B6A312E"/>
    <w:rsid w:val="3B6B6677"/>
    <w:rsid w:val="3B6D4072"/>
    <w:rsid w:val="3B751165"/>
    <w:rsid w:val="3B7725CF"/>
    <w:rsid w:val="3B777C3B"/>
    <w:rsid w:val="3B786353"/>
    <w:rsid w:val="3B79C241"/>
    <w:rsid w:val="3B7C1E89"/>
    <w:rsid w:val="3B80F566"/>
    <w:rsid w:val="3B820D8E"/>
    <w:rsid w:val="3B8CFAEB"/>
    <w:rsid w:val="3B976907"/>
    <w:rsid w:val="3B9F5DBB"/>
    <w:rsid w:val="3BA86510"/>
    <w:rsid w:val="3BB24072"/>
    <w:rsid w:val="3BB2D513"/>
    <w:rsid w:val="3BB33CBE"/>
    <w:rsid w:val="3BB5DBE0"/>
    <w:rsid w:val="3BB8C436"/>
    <w:rsid w:val="3BBE5E22"/>
    <w:rsid w:val="3BC0D39E"/>
    <w:rsid w:val="3BC14FE8"/>
    <w:rsid w:val="3BCAC70E"/>
    <w:rsid w:val="3BCC31EB"/>
    <w:rsid w:val="3BCCD9CB"/>
    <w:rsid w:val="3BD0EC8F"/>
    <w:rsid w:val="3BD6826A"/>
    <w:rsid w:val="3BD833A0"/>
    <w:rsid w:val="3BD839EE"/>
    <w:rsid w:val="3BDB4010"/>
    <w:rsid w:val="3BE8429D"/>
    <w:rsid w:val="3BEB86EC"/>
    <w:rsid w:val="3BEEE574"/>
    <w:rsid w:val="3BF16A6C"/>
    <w:rsid w:val="3BF90DD5"/>
    <w:rsid w:val="3BFA673A"/>
    <w:rsid w:val="3C185150"/>
    <w:rsid w:val="3C1AEAE7"/>
    <w:rsid w:val="3C1C6304"/>
    <w:rsid w:val="3C2CA9A5"/>
    <w:rsid w:val="3C308A52"/>
    <w:rsid w:val="3C324D19"/>
    <w:rsid w:val="3C3571F4"/>
    <w:rsid w:val="3C3F4E13"/>
    <w:rsid w:val="3C481A9A"/>
    <w:rsid w:val="3C4838D9"/>
    <w:rsid w:val="3C5288B4"/>
    <w:rsid w:val="3C52CD6B"/>
    <w:rsid w:val="3C57B86E"/>
    <w:rsid w:val="3C59D0F0"/>
    <w:rsid w:val="3C5B08A4"/>
    <w:rsid w:val="3C5DC298"/>
    <w:rsid w:val="3C603BEF"/>
    <w:rsid w:val="3C617467"/>
    <w:rsid w:val="3C6A61F6"/>
    <w:rsid w:val="3C6CF12E"/>
    <w:rsid w:val="3C6D874E"/>
    <w:rsid w:val="3C71A4A1"/>
    <w:rsid w:val="3C7FD2A8"/>
    <w:rsid w:val="3C8087C9"/>
    <w:rsid w:val="3C835EC1"/>
    <w:rsid w:val="3C8A7139"/>
    <w:rsid w:val="3C920F55"/>
    <w:rsid w:val="3CA120BB"/>
    <w:rsid w:val="3CA6EF42"/>
    <w:rsid w:val="3CAC9EDE"/>
    <w:rsid w:val="3CAF4E20"/>
    <w:rsid w:val="3CB1CE95"/>
    <w:rsid w:val="3CC465FC"/>
    <w:rsid w:val="3CCA6563"/>
    <w:rsid w:val="3CCB8D85"/>
    <w:rsid w:val="3CD0CA54"/>
    <w:rsid w:val="3CD4D122"/>
    <w:rsid w:val="3CD7DB46"/>
    <w:rsid w:val="3CDC81C2"/>
    <w:rsid w:val="3CDF9BDB"/>
    <w:rsid w:val="3CE25087"/>
    <w:rsid w:val="3CE4AFF9"/>
    <w:rsid w:val="3CE583CB"/>
    <w:rsid w:val="3CEA12D6"/>
    <w:rsid w:val="3CEAAD71"/>
    <w:rsid w:val="3D046FEF"/>
    <w:rsid w:val="3D0B7633"/>
    <w:rsid w:val="3D1C842E"/>
    <w:rsid w:val="3D23D0A8"/>
    <w:rsid w:val="3D2831D5"/>
    <w:rsid w:val="3D292FA6"/>
    <w:rsid w:val="3D2B4741"/>
    <w:rsid w:val="3D2DA799"/>
    <w:rsid w:val="3D3908C2"/>
    <w:rsid w:val="3D576473"/>
    <w:rsid w:val="3D632E72"/>
    <w:rsid w:val="3D643BD1"/>
    <w:rsid w:val="3D714DB5"/>
    <w:rsid w:val="3D740A4F"/>
    <w:rsid w:val="3D751C5A"/>
    <w:rsid w:val="3D7A8260"/>
    <w:rsid w:val="3D83ED34"/>
    <w:rsid w:val="3D84F49B"/>
    <w:rsid w:val="3D8A4A5C"/>
    <w:rsid w:val="3D957FDD"/>
    <w:rsid w:val="3D990F58"/>
    <w:rsid w:val="3DAAC798"/>
    <w:rsid w:val="3DAEB576"/>
    <w:rsid w:val="3DB26F26"/>
    <w:rsid w:val="3DB931E8"/>
    <w:rsid w:val="3DBADA8D"/>
    <w:rsid w:val="3DD5B103"/>
    <w:rsid w:val="3DD5C78B"/>
    <w:rsid w:val="3DD82C4E"/>
    <w:rsid w:val="3DDA8867"/>
    <w:rsid w:val="3DDFC6C2"/>
    <w:rsid w:val="3DE60AD2"/>
    <w:rsid w:val="3DEBC3AB"/>
    <w:rsid w:val="3DF21115"/>
    <w:rsid w:val="3DF8D473"/>
    <w:rsid w:val="3DFA3D8A"/>
    <w:rsid w:val="3DFA7826"/>
    <w:rsid w:val="3E03ED23"/>
    <w:rsid w:val="3E08967D"/>
    <w:rsid w:val="3E0AE454"/>
    <w:rsid w:val="3E11B76D"/>
    <w:rsid w:val="3E14BE5A"/>
    <w:rsid w:val="3E17DEC2"/>
    <w:rsid w:val="3E22BDD1"/>
    <w:rsid w:val="3E2735D2"/>
    <w:rsid w:val="3E2F6557"/>
    <w:rsid w:val="3E2FFEA5"/>
    <w:rsid w:val="3E354823"/>
    <w:rsid w:val="3E411BD7"/>
    <w:rsid w:val="3E437B01"/>
    <w:rsid w:val="3E4405D5"/>
    <w:rsid w:val="3E4B4F25"/>
    <w:rsid w:val="3E4E0EDC"/>
    <w:rsid w:val="3E5358DD"/>
    <w:rsid w:val="3E553567"/>
    <w:rsid w:val="3E57AEC1"/>
    <w:rsid w:val="3E5CDA81"/>
    <w:rsid w:val="3E616164"/>
    <w:rsid w:val="3E640B26"/>
    <w:rsid w:val="3E6B8FE2"/>
    <w:rsid w:val="3E6D0D6C"/>
    <w:rsid w:val="3E6EE759"/>
    <w:rsid w:val="3E6FE9AD"/>
    <w:rsid w:val="3E72DD3A"/>
    <w:rsid w:val="3E73CF96"/>
    <w:rsid w:val="3E7F2864"/>
    <w:rsid w:val="3E818C2F"/>
    <w:rsid w:val="3E8CE520"/>
    <w:rsid w:val="3E8E5519"/>
    <w:rsid w:val="3E910DC7"/>
    <w:rsid w:val="3EA731AA"/>
    <w:rsid w:val="3EBDC005"/>
    <w:rsid w:val="3EBE2CA2"/>
    <w:rsid w:val="3EC1EC29"/>
    <w:rsid w:val="3ECA5E53"/>
    <w:rsid w:val="3ECD14A5"/>
    <w:rsid w:val="3ECDF7DB"/>
    <w:rsid w:val="3ECE9DCD"/>
    <w:rsid w:val="3ED8B87B"/>
    <w:rsid w:val="3EDC8483"/>
    <w:rsid w:val="3EE00A68"/>
    <w:rsid w:val="3EE67AD6"/>
    <w:rsid w:val="3EE837BB"/>
    <w:rsid w:val="3EEB5B10"/>
    <w:rsid w:val="3EED25CF"/>
    <w:rsid w:val="3EF588D6"/>
    <w:rsid w:val="3EF9FEB3"/>
    <w:rsid w:val="3EFA0A53"/>
    <w:rsid w:val="3F068D58"/>
    <w:rsid w:val="3F0E3C81"/>
    <w:rsid w:val="3F0FDAB0"/>
    <w:rsid w:val="3F114511"/>
    <w:rsid w:val="3F12E700"/>
    <w:rsid w:val="3F200574"/>
    <w:rsid w:val="3F20A99D"/>
    <w:rsid w:val="3F21175C"/>
    <w:rsid w:val="3F335A61"/>
    <w:rsid w:val="3F33E95F"/>
    <w:rsid w:val="3F3CA038"/>
    <w:rsid w:val="3F3ED167"/>
    <w:rsid w:val="3F40EF52"/>
    <w:rsid w:val="3F443D48"/>
    <w:rsid w:val="3F486DD4"/>
    <w:rsid w:val="3F494B75"/>
    <w:rsid w:val="3F4B3E96"/>
    <w:rsid w:val="3F4D9371"/>
    <w:rsid w:val="3F53DB4B"/>
    <w:rsid w:val="3F5A5D46"/>
    <w:rsid w:val="3F6CCFEA"/>
    <w:rsid w:val="3F72DBC9"/>
    <w:rsid w:val="3F76BB43"/>
    <w:rsid w:val="3F777A49"/>
    <w:rsid w:val="3F7901C1"/>
    <w:rsid w:val="3F7E80B5"/>
    <w:rsid w:val="3F842B79"/>
    <w:rsid w:val="3F859672"/>
    <w:rsid w:val="3F85BAF3"/>
    <w:rsid w:val="3F877D4E"/>
    <w:rsid w:val="3F8D43ED"/>
    <w:rsid w:val="3F8FC16C"/>
    <w:rsid w:val="3F925287"/>
    <w:rsid w:val="3F9389FB"/>
    <w:rsid w:val="3F9A07C3"/>
    <w:rsid w:val="3F9CC999"/>
    <w:rsid w:val="3FA3EEA6"/>
    <w:rsid w:val="3FA5D035"/>
    <w:rsid w:val="3FA83F8C"/>
    <w:rsid w:val="3FA8EB40"/>
    <w:rsid w:val="3FAA998E"/>
    <w:rsid w:val="3FAB2FCD"/>
    <w:rsid w:val="3FB100F3"/>
    <w:rsid w:val="3FB3C646"/>
    <w:rsid w:val="3FBC62EF"/>
    <w:rsid w:val="3FBDCCC3"/>
    <w:rsid w:val="3FBFD2C3"/>
    <w:rsid w:val="3FC3A47A"/>
    <w:rsid w:val="3FC95077"/>
    <w:rsid w:val="3FCB3E24"/>
    <w:rsid w:val="3FCB451F"/>
    <w:rsid w:val="3FCD2BB5"/>
    <w:rsid w:val="3FD30FA1"/>
    <w:rsid w:val="3FD56E78"/>
    <w:rsid w:val="3FD7117E"/>
    <w:rsid w:val="3FDE21B7"/>
    <w:rsid w:val="3FE9E92F"/>
    <w:rsid w:val="3FF110A2"/>
    <w:rsid w:val="3FF7BB14"/>
    <w:rsid w:val="3FF8E94E"/>
    <w:rsid w:val="3FF98EF2"/>
    <w:rsid w:val="400B98EB"/>
    <w:rsid w:val="400EF777"/>
    <w:rsid w:val="4010625D"/>
    <w:rsid w:val="40133DEB"/>
    <w:rsid w:val="401AF5C7"/>
    <w:rsid w:val="40263E68"/>
    <w:rsid w:val="40267D6D"/>
    <w:rsid w:val="40290DFB"/>
    <w:rsid w:val="402A54B2"/>
    <w:rsid w:val="402D7039"/>
    <w:rsid w:val="40359C4A"/>
    <w:rsid w:val="4036663A"/>
    <w:rsid w:val="40378E6E"/>
    <w:rsid w:val="403A3DE7"/>
    <w:rsid w:val="403F663E"/>
    <w:rsid w:val="40411E4E"/>
    <w:rsid w:val="404660E1"/>
    <w:rsid w:val="405625C8"/>
    <w:rsid w:val="405A73DE"/>
    <w:rsid w:val="405C58C6"/>
    <w:rsid w:val="406EEBEE"/>
    <w:rsid w:val="4071C162"/>
    <w:rsid w:val="4072DAAA"/>
    <w:rsid w:val="4076C0A4"/>
    <w:rsid w:val="40797E67"/>
    <w:rsid w:val="407A9DE5"/>
    <w:rsid w:val="407D5F18"/>
    <w:rsid w:val="40861DA7"/>
    <w:rsid w:val="408C561F"/>
    <w:rsid w:val="40960463"/>
    <w:rsid w:val="40968775"/>
    <w:rsid w:val="40984313"/>
    <w:rsid w:val="4098EA16"/>
    <w:rsid w:val="40A585CD"/>
    <w:rsid w:val="40ABAB11"/>
    <w:rsid w:val="40AE6C0B"/>
    <w:rsid w:val="40B3D9C5"/>
    <w:rsid w:val="40B972CD"/>
    <w:rsid w:val="40B9DE27"/>
    <w:rsid w:val="40BBD5D5"/>
    <w:rsid w:val="40BF10C7"/>
    <w:rsid w:val="40C1C39A"/>
    <w:rsid w:val="40C5FDCF"/>
    <w:rsid w:val="40CB79DE"/>
    <w:rsid w:val="40D03AD0"/>
    <w:rsid w:val="40D23372"/>
    <w:rsid w:val="40D59276"/>
    <w:rsid w:val="40D9CBB1"/>
    <w:rsid w:val="40DA3046"/>
    <w:rsid w:val="40DAA056"/>
    <w:rsid w:val="40DC2241"/>
    <w:rsid w:val="40DD58E3"/>
    <w:rsid w:val="40F735DE"/>
    <w:rsid w:val="40F7E61B"/>
    <w:rsid w:val="40FB76DB"/>
    <w:rsid w:val="40FDF5C4"/>
    <w:rsid w:val="40FFB6F0"/>
    <w:rsid w:val="410173B0"/>
    <w:rsid w:val="41091B5C"/>
    <w:rsid w:val="41173183"/>
    <w:rsid w:val="411AA33C"/>
    <w:rsid w:val="411BCE82"/>
    <w:rsid w:val="411C3EBC"/>
    <w:rsid w:val="411DC774"/>
    <w:rsid w:val="41320967"/>
    <w:rsid w:val="4137599E"/>
    <w:rsid w:val="41388C59"/>
    <w:rsid w:val="413ADE0A"/>
    <w:rsid w:val="413BEA51"/>
    <w:rsid w:val="413F07B1"/>
    <w:rsid w:val="41461A2C"/>
    <w:rsid w:val="4146DF7F"/>
    <w:rsid w:val="414828BE"/>
    <w:rsid w:val="414ABDF7"/>
    <w:rsid w:val="41536667"/>
    <w:rsid w:val="4153C453"/>
    <w:rsid w:val="41557BA1"/>
    <w:rsid w:val="415B24B8"/>
    <w:rsid w:val="4163DD15"/>
    <w:rsid w:val="41641B4F"/>
    <w:rsid w:val="4167923B"/>
    <w:rsid w:val="4167FAA6"/>
    <w:rsid w:val="416D7019"/>
    <w:rsid w:val="4170CC62"/>
    <w:rsid w:val="41723DC1"/>
    <w:rsid w:val="41779549"/>
    <w:rsid w:val="4183DFAB"/>
    <w:rsid w:val="4184DE12"/>
    <w:rsid w:val="418C0DF1"/>
    <w:rsid w:val="418EEF87"/>
    <w:rsid w:val="4190C0D3"/>
    <w:rsid w:val="419EFF51"/>
    <w:rsid w:val="41A57EDC"/>
    <w:rsid w:val="41AECEA5"/>
    <w:rsid w:val="41AEE5F2"/>
    <w:rsid w:val="41AFECE5"/>
    <w:rsid w:val="41BD0874"/>
    <w:rsid w:val="41BDCC55"/>
    <w:rsid w:val="41C279B6"/>
    <w:rsid w:val="41C2F469"/>
    <w:rsid w:val="41C59B9B"/>
    <w:rsid w:val="41C60E07"/>
    <w:rsid w:val="41CD7940"/>
    <w:rsid w:val="41D2B333"/>
    <w:rsid w:val="41D700D5"/>
    <w:rsid w:val="41E8D041"/>
    <w:rsid w:val="41EA5506"/>
    <w:rsid w:val="41EAC7D0"/>
    <w:rsid w:val="41EC084D"/>
    <w:rsid w:val="41F7DDCF"/>
    <w:rsid w:val="41FEBA3C"/>
    <w:rsid w:val="4205C423"/>
    <w:rsid w:val="42073642"/>
    <w:rsid w:val="420BE305"/>
    <w:rsid w:val="420F85C1"/>
    <w:rsid w:val="42118025"/>
    <w:rsid w:val="4214D902"/>
    <w:rsid w:val="4221A00C"/>
    <w:rsid w:val="42238288"/>
    <w:rsid w:val="4223A62E"/>
    <w:rsid w:val="4227A0F3"/>
    <w:rsid w:val="423249AC"/>
    <w:rsid w:val="42472F25"/>
    <w:rsid w:val="42477B72"/>
    <w:rsid w:val="42482B5C"/>
    <w:rsid w:val="4249B274"/>
    <w:rsid w:val="424B624C"/>
    <w:rsid w:val="424DF591"/>
    <w:rsid w:val="424E06B2"/>
    <w:rsid w:val="424F126D"/>
    <w:rsid w:val="424F68F8"/>
    <w:rsid w:val="42516C60"/>
    <w:rsid w:val="4254D9CF"/>
    <w:rsid w:val="42555A9F"/>
    <w:rsid w:val="42589F72"/>
    <w:rsid w:val="425CF401"/>
    <w:rsid w:val="425EFA62"/>
    <w:rsid w:val="425F2A6B"/>
    <w:rsid w:val="42605522"/>
    <w:rsid w:val="42613B94"/>
    <w:rsid w:val="4264E5F0"/>
    <w:rsid w:val="4269947F"/>
    <w:rsid w:val="426B3E49"/>
    <w:rsid w:val="42792975"/>
    <w:rsid w:val="427CA960"/>
    <w:rsid w:val="427DCBE1"/>
    <w:rsid w:val="428C5083"/>
    <w:rsid w:val="4296A23B"/>
    <w:rsid w:val="429840DE"/>
    <w:rsid w:val="429E3724"/>
    <w:rsid w:val="42A044C0"/>
    <w:rsid w:val="42A747D6"/>
    <w:rsid w:val="42AA3F68"/>
    <w:rsid w:val="42AC8453"/>
    <w:rsid w:val="42B73DFD"/>
    <w:rsid w:val="42B8BAAE"/>
    <w:rsid w:val="42BE3C5A"/>
    <w:rsid w:val="42C2CB7F"/>
    <w:rsid w:val="42C98A92"/>
    <w:rsid w:val="42D61171"/>
    <w:rsid w:val="42D7FDED"/>
    <w:rsid w:val="42E7B12F"/>
    <w:rsid w:val="42EAF90B"/>
    <w:rsid w:val="42EBFB6C"/>
    <w:rsid w:val="42EC4052"/>
    <w:rsid w:val="42EE1F55"/>
    <w:rsid w:val="42F73441"/>
    <w:rsid w:val="42F745A1"/>
    <w:rsid w:val="42FAFBA7"/>
    <w:rsid w:val="42FD02FA"/>
    <w:rsid w:val="4306C5EC"/>
    <w:rsid w:val="43080380"/>
    <w:rsid w:val="430974AF"/>
    <w:rsid w:val="430B1A95"/>
    <w:rsid w:val="430D353A"/>
    <w:rsid w:val="43107E2C"/>
    <w:rsid w:val="4310F6C7"/>
    <w:rsid w:val="4311E807"/>
    <w:rsid w:val="4314A3AD"/>
    <w:rsid w:val="43158C2C"/>
    <w:rsid w:val="43176011"/>
    <w:rsid w:val="431C4DB5"/>
    <w:rsid w:val="43233891"/>
    <w:rsid w:val="432393E3"/>
    <w:rsid w:val="43293A77"/>
    <w:rsid w:val="432B51E1"/>
    <w:rsid w:val="432E14D8"/>
    <w:rsid w:val="432FA4E2"/>
    <w:rsid w:val="4333B5A0"/>
    <w:rsid w:val="43340BD1"/>
    <w:rsid w:val="433722CF"/>
    <w:rsid w:val="433978E6"/>
    <w:rsid w:val="433A3AB4"/>
    <w:rsid w:val="433B30B1"/>
    <w:rsid w:val="43409F2C"/>
    <w:rsid w:val="4344E725"/>
    <w:rsid w:val="43529309"/>
    <w:rsid w:val="43554742"/>
    <w:rsid w:val="43594F04"/>
    <w:rsid w:val="435C7893"/>
    <w:rsid w:val="436C37E0"/>
    <w:rsid w:val="43734296"/>
    <w:rsid w:val="43738ACB"/>
    <w:rsid w:val="4378F4D1"/>
    <w:rsid w:val="437936B4"/>
    <w:rsid w:val="43798668"/>
    <w:rsid w:val="437AA2CD"/>
    <w:rsid w:val="437B0F0B"/>
    <w:rsid w:val="438C91D1"/>
    <w:rsid w:val="4397101E"/>
    <w:rsid w:val="4397531E"/>
    <w:rsid w:val="43977FE1"/>
    <w:rsid w:val="4397FC71"/>
    <w:rsid w:val="4399A271"/>
    <w:rsid w:val="43A246CC"/>
    <w:rsid w:val="43ACA9C1"/>
    <w:rsid w:val="43B006CF"/>
    <w:rsid w:val="43BD54AA"/>
    <w:rsid w:val="43CE2837"/>
    <w:rsid w:val="43D12F75"/>
    <w:rsid w:val="43D8FE04"/>
    <w:rsid w:val="43D984E8"/>
    <w:rsid w:val="43DEE435"/>
    <w:rsid w:val="43E2F57F"/>
    <w:rsid w:val="43E34BD3"/>
    <w:rsid w:val="43E85776"/>
    <w:rsid w:val="43E873E7"/>
    <w:rsid w:val="43EB3959"/>
    <w:rsid w:val="43F1DC1C"/>
    <w:rsid w:val="43F1F58D"/>
    <w:rsid w:val="43F49D08"/>
    <w:rsid w:val="43F62707"/>
    <w:rsid w:val="43FA0E76"/>
    <w:rsid w:val="43FFD823"/>
    <w:rsid w:val="44021C18"/>
    <w:rsid w:val="440297D9"/>
    <w:rsid w:val="4403851E"/>
    <w:rsid w:val="44051ACA"/>
    <w:rsid w:val="44080292"/>
    <w:rsid w:val="441423AD"/>
    <w:rsid w:val="441BE340"/>
    <w:rsid w:val="4421F843"/>
    <w:rsid w:val="44231F88"/>
    <w:rsid w:val="4424F3D4"/>
    <w:rsid w:val="4428AEB8"/>
    <w:rsid w:val="442D90CB"/>
    <w:rsid w:val="4436377C"/>
    <w:rsid w:val="4436FC01"/>
    <w:rsid w:val="44370074"/>
    <w:rsid w:val="443E6907"/>
    <w:rsid w:val="444669C7"/>
    <w:rsid w:val="44521F8E"/>
    <w:rsid w:val="4453C2F3"/>
    <w:rsid w:val="446078BB"/>
    <w:rsid w:val="446336EF"/>
    <w:rsid w:val="44694356"/>
    <w:rsid w:val="4469C2B7"/>
    <w:rsid w:val="446EE5DC"/>
    <w:rsid w:val="4473B0F3"/>
    <w:rsid w:val="4475FDBF"/>
    <w:rsid w:val="4477EE74"/>
    <w:rsid w:val="44794D81"/>
    <w:rsid w:val="447F461D"/>
    <w:rsid w:val="4481FE28"/>
    <w:rsid w:val="4499EF3F"/>
    <w:rsid w:val="44A2A78E"/>
    <w:rsid w:val="44AEA158"/>
    <w:rsid w:val="44B276F0"/>
    <w:rsid w:val="44B7D394"/>
    <w:rsid w:val="44BBD44A"/>
    <w:rsid w:val="44BD83B1"/>
    <w:rsid w:val="44C07464"/>
    <w:rsid w:val="44C261BB"/>
    <w:rsid w:val="44C5C011"/>
    <w:rsid w:val="44D35CFF"/>
    <w:rsid w:val="44D9BA19"/>
    <w:rsid w:val="44DAAEF5"/>
    <w:rsid w:val="44DBD517"/>
    <w:rsid w:val="44E7116B"/>
    <w:rsid w:val="44E7B678"/>
    <w:rsid w:val="44E98DDF"/>
    <w:rsid w:val="44ECFC6D"/>
    <w:rsid w:val="44EF2470"/>
    <w:rsid w:val="44F02A11"/>
    <w:rsid w:val="44F6F2F8"/>
    <w:rsid w:val="4501950E"/>
    <w:rsid w:val="45066742"/>
    <w:rsid w:val="4509BEF3"/>
    <w:rsid w:val="4510B953"/>
    <w:rsid w:val="4510F80F"/>
    <w:rsid w:val="451454C9"/>
    <w:rsid w:val="4516F739"/>
    <w:rsid w:val="451DECDC"/>
    <w:rsid w:val="45202BAB"/>
    <w:rsid w:val="4522C713"/>
    <w:rsid w:val="45245BB1"/>
    <w:rsid w:val="452688A0"/>
    <w:rsid w:val="4533B5C9"/>
    <w:rsid w:val="4540DAF5"/>
    <w:rsid w:val="454B5AC9"/>
    <w:rsid w:val="4550D03B"/>
    <w:rsid w:val="45530298"/>
    <w:rsid w:val="4553668D"/>
    <w:rsid w:val="45562B20"/>
    <w:rsid w:val="4559D7E9"/>
    <w:rsid w:val="455BFCCF"/>
    <w:rsid w:val="45608BB8"/>
    <w:rsid w:val="4565C6D7"/>
    <w:rsid w:val="456F7CBE"/>
    <w:rsid w:val="4578C8B7"/>
    <w:rsid w:val="457F1C34"/>
    <w:rsid w:val="457FF0C8"/>
    <w:rsid w:val="4581DAF1"/>
    <w:rsid w:val="45841E42"/>
    <w:rsid w:val="4584C0B5"/>
    <w:rsid w:val="4585703C"/>
    <w:rsid w:val="45865A83"/>
    <w:rsid w:val="458709BA"/>
    <w:rsid w:val="4588B857"/>
    <w:rsid w:val="458BE036"/>
    <w:rsid w:val="4593AB1D"/>
    <w:rsid w:val="4595F10E"/>
    <w:rsid w:val="459710BA"/>
    <w:rsid w:val="4598F4E9"/>
    <w:rsid w:val="45A9D71E"/>
    <w:rsid w:val="45B5EDFD"/>
    <w:rsid w:val="45B7983B"/>
    <w:rsid w:val="45B814AB"/>
    <w:rsid w:val="45B850B2"/>
    <w:rsid w:val="45BDBC1B"/>
    <w:rsid w:val="45BF6737"/>
    <w:rsid w:val="45C85FE0"/>
    <w:rsid w:val="45C909D6"/>
    <w:rsid w:val="45C945D9"/>
    <w:rsid w:val="45CF470A"/>
    <w:rsid w:val="45D50043"/>
    <w:rsid w:val="45D5A2BB"/>
    <w:rsid w:val="45D5A4F2"/>
    <w:rsid w:val="45DFC9DA"/>
    <w:rsid w:val="45E1BC23"/>
    <w:rsid w:val="45E3E68E"/>
    <w:rsid w:val="45EA920C"/>
    <w:rsid w:val="45ED33B3"/>
    <w:rsid w:val="45EF56F6"/>
    <w:rsid w:val="45F2DDB3"/>
    <w:rsid w:val="45F80803"/>
    <w:rsid w:val="45FA5D3D"/>
    <w:rsid w:val="45FE77EE"/>
    <w:rsid w:val="45FE9E20"/>
    <w:rsid w:val="45FF4ECE"/>
    <w:rsid w:val="46074242"/>
    <w:rsid w:val="460D6C55"/>
    <w:rsid w:val="4610B277"/>
    <w:rsid w:val="461438E0"/>
    <w:rsid w:val="46198633"/>
    <w:rsid w:val="461FC7CC"/>
    <w:rsid w:val="4620C616"/>
    <w:rsid w:val="4622D61E"/>
    <w:rsid w:val="462413FD"/>
    <w:rsid w:val="462C2BFA"/>
    <w:rsid w:val="463816FF"/>
    <w:rsid w:val="4638B657"/>
    <w:rsid w:val="463956F3"/>
    <w:rsid w:val="463E191D"/>
    <w:rsid w:val="4640C2B9"/>
    <w:rsid w:val="4641CE24"/>
    <w:rsid w:val="46464969"/>
    <w:rsid w:val="46465078"/>
    <w:rsid w:val="4646889B"/>
    <w:rsid w:val="464837D1"/>
    <w:rsid w:val="464E603C"/>
    <w:rsid w:val="464F2082"/>
    <w:rsid w:val="465A9B97"/>
    <w:rsid w:val="46674C4D"/>
    <w:rsid w:val="466E7841"/>
    <w:rsid w:val="466EC391"/>
    <w:rsid w:val="467016BB"/>
    <w:rsid w:val="4677E093"/>
    <w:rsid w:val="467B4B85"/>
    <w:rsid w:val="467CC045"/>
    <w:rsid w:val="4681D253"/>
    <w:rsid w:val="46820CD1"/>
    <w:rsid w:val="468982A6"/>
    <w:rsid w:val="4689AFD7"/>
    <w:rsid w:val="46932220"/>
    <w:rsid w:val="46957BAB"/>
    <w:rsid w:val="4695AEFB"/>
    <w:rsid w:val="469D7EFE"/>
    <w:rsid w:val="469E61BD"/>
    <w:rsid w:val="469F928C"/>
    <w:rsid w:val="46A334BA"/>
    <w:rsid w:val="46A9D0F2"/>
    <w:rsid w:val="46ADE169"/>
    <w:rsid w:val="46C1EC32"/>
    <w:rsid w:val="46C21335"/>
    <w:rsid w:val="46C55DD0"/>
    <w:rsid w:val="46C61FEB"/>
    <w:rsid w:val="46CF7625"/>
    <w:rsid w:val="46D08C5D"/>
    <w:rsid w:val="46D4022E"/>
    <w:rsid w:val="46E1F04A"/>
    <w:rsid w:val="46E50740"/>
    <w:rsid w:val="46EAFF92"/>
    <w:rsid w:val="46EDD4F8"/>
    <w:rsid w:val="46FD52BA"/>
    <w:rsid w:val="470DD25B"/>
    <w:rsid w:val="470ED1F1"/>
    <w:rsid w:val="470F6113"/>
    <w:rsid w:val="4718421B"/>
    <w:rsid w:val="47188D2D"/>
    <w:rsid w:val="47192617"/>
    <w:rsid w:val="4722DA1B"/>
    <w:rsid w:val="4723F546"/>
    <w:rsid w:val="4726ED8B"/>
    <w:rsid w:val="4728963F"/>
    <w:rsid w:val="472A37C1"/>
    <w:rsid w:val="472B3225"/>
    <w:rsid w:val="472C7865"/>
    <w:rsid w:val="472CB4A7"/>
    <w:rsid w:val="47324F66"/>
    <w:rsid w:val="473AA82E"/>
    <w:rsid w:val="473B6E99"/>
    <w:rsid w:val="4746A10B"/>
    <w:rsid w:val="47490AE6"/>
    <w:rsid w:val="474A0B86"/>
    <w:rsid w:val="474ABB42"/>
    <w:rsid w:val="474DBFD8"/>
    <w:rsid w:val="474E2888"/>
    <w:rsid w:val="47502276"/>
    <w:rsid w:val="475DD403"/>
    <w:rsid w:val="4760096E"/>
    <w:rsid w:val="47664786"/>
    <w:rsid w:val="47679069"/>
    <w:rsid w:val="4772805D"/>
    <w:rsid w:val="477CDDA4"/>
    <w:rsid w:val="47826F09"/>
    <w:rsid w:val="4787EC5F"/>
    <w:rsid w:val="478A561B"/>
    <w:rsid w:val="478B28BC"/>
    <w:rsid w:val="478E8E88"/>
    <w:rsid w:val="47956C22"/>
    <w:rsid w:val="4798F547"/>
    <w:rsid w:val="47A3CFBA"/>
    <w:rsid w:val="47A813F8"/>
    <w:rsid w:val="47AF9C2A"/>
    <w:rsid w:val="47B3DA8F"/>
    <w:rsid w:val="47B59E84"/>
    <w:rsid w:val="47B9F8A1"/>
    <w:rsid w:val="47BBB017"/>
    <w:rsid w:val="47BD238E"/>
    <w:rsid w:val="47C2E97C"/>
    <w:rsid w:val="47C72D9F"/>
    <w:rsid w:val="47C958FD"/>
    <w:rsid w:val="47D2F2BC"/>
    <w:rsid w:val="47DC2333"/>
    <w:rsid w:val="47DE5DC1"/>
    <w:rsid w:val="47DE89C1"/>
    <w:rsid w:val="47E62BAC"/>
    <w:rsid w:val="47E69C13"/>
    <w:rsid w:val="47E92D4C"/>
    <w:rsid w:val="47FFF964"/>
    <w:rsid w:val="4802AE3D"/>
    <w:rsid w:val="480656D6"/>
    <w:rsid w:val="48164C4E"/>
    <w:rsid w:val="481EF46E"/>
    <w:rsid w:val="482376A9"/>
    <w:rsid w:val="4823A3C9"/>
    <w:rsid w:val="48273F32"/>
    <w:rsid w:val="48294B76"/>
    <w:rsid w:val="482B5825"/>
    <w:rsid w:val="482CAE95"/>
    <w:rsid w:val="482D0AC7"/>
    <w:rsid w:val="482E91C7"/>
    <w:rsid w:val="483C13C5"/>
    <w:rsid w:val="483C546E"/>
    <w:rsid w:val="4843D1C4"/>
    <w:rsid w:val="484A3E63"/>
    <w:rsid w:val="484FB752"/>
    <w:rsid w:val="48557892"/>
    <w:rsid w:val="4859FE5F"/>
    <w:rsid w:val="4861DE32"/>
    <w:rsid w:val="486CB5D8"/>
    <w:rsid w:val="486E6D5A"/>
    <w:rsid w:val="486EB559"/>
    <w:rsid w:val="4887EC9F"/>
    <w:rsid w:val="488870FD"/>
    <w:rsid w:val="488AD8BF"/>
    <w:rsid w:val="488CDAD4"/>
    <w:rsid w:val="48967920"/>
    <w:rsid w:val="489DFB60"/>
    <w:rsid w:val="48A17246"/>
    <w:rsid w:val="48A9E01E"/>
    <w:rsid w:val="48B15DA7"/>
    <w:rsid w:val="48B4D311"/>
    <w:rsid w:val="48B5D643"/>
    <w:rsid w:val="48B6C02A"/>
    <w:rsid w:val="48B73BAD"/>
    <w:rsid w:val="48BC222E"/>
    <w:rsid w:val="48BEAA7C"/>
    <w:rsid w:val="48BF68CA"/>
    <w:rsid w:val="48BFD82A"/>
    <w:rsid w:val="48C63661"/>
    <w:rsid w:val="48C9F037"/>
    <w:rsid w:val="48CB3D04"/>
    <w:rsid w:val="48CD39B6"/>
    <w:rsid w:val="48CD4234"/>
    <w:rsid w:val="48CE203F"/>
    <w:rsid w:val="48D0F483"/>
    <w:rsid w:val="48D5A6AE"/>
    <w:rsid w:val="48D99846"/>
    <w:rsid w:val="48DB804C"/>
    <w:rsid w:val="48DBC724"/>
    <w:rsid w:val="48E4150C"/>
    <w:rsid w:val="48E63F53"/>
    <w:rsid w:val="48E99039"/>
    <w:rsid w:val="48F0A091"/>
    <w:rsid w:val="48F5509B"/>
    <w:rsid w:val="48F77F51"/>
    <w:rsid w:val="48FB1948"/>
    <w:rsid w:val="48FB3F72"/>
    <w:rsid w:val="48FC2292"/>
    <w:rsid w:val="490591C0"/>
    <w:rsid w:val="490D786A"/>
    <w:rsid w:val="491587C0"/>
    <w:rsid w:val="49158A92"/>
    <w:rsid w:val="491AC354"/>
    <w:rsid w:val="491E3560"/>
    <w:rsid w:val="4924A806"/>
    <w:rsid w:val="4931C1DE"/>
    <w:rsid w:val="49330EFC"/>
    <w:rsid w:val="493FC9C7"/>
    <w:rsid w:val="49424C2B"/>
    <w:rsid w:val="494667D4"/>
    <w:rsid w:val="49487F0E"/>
    <w:rsid w:val="494F2EB7"/>
    <w:rsid w:val="494F8C39"/>
    <w:rsid w:val="4950E7A3"/>
    <w:rsid w:val="49517FE9"/>
    <w:rsid w:val="4955CE45"/>
    <w:rsid w:val="496504CC"/>
    <w:rsid w:val="49683826"/>
    <w:rsid w:val="49711F65"/>
    <w:rsid w:val="49734D5F"/>
    <w:rsid w:val="49781A17"/>
    <w:rsid w:val="497B35F8"/>
    <w:rsid w:val="497D6586"/>
    <w:rsid w:val="497EB953"/>
    <w:rsid w:val="49832BA4"/>
    <w:rsid w:val="49834FD9"/>
    <w:rsid w:val="498373E6"/>
    <w:rsid w:val="4987A691"/>
    <w:rsid w:val="498822D3"/>
    <w:rsid w:val="498889B5"/>
    <w:rsid w:val="4988A67B"/>
    <w:rsid w:val="4989BF2D"/>
    <w:rsid w:val="498AB0DD"/>
    <w:rsid w:val="49915031"/>
    <w:rsid w:val="4993A48E"/>
    <w:rsid w:val="49942F2D"/>
    <w:rsid w:val="499707F2"/>
    <w:rsid w:val="499BCC2A"/>
    <w:rsid w:val="49A0F05D"/>
    <w:rsid w:val="49A0F878"/>
    <w:rsid w:val="49A57175"/>
    <w:rsid w:val="49A7D618"/>
    <w:rsid w:val="49AD1351"/>
    <w:rsid w:val="49AF225F"/>
    <w:rsid w:val="49B04795"/>
    <w:rsid w:val="49B590EB"/>
    <w:rsid w:val="49B62EDD"/>
    <w:rsid w:val="49BA070B"/>
    <w:rsid w:val="49BE24A1"/>
    <w:rsid w:val="49BFB848"/>
    <w:rsid w:val="49C9A393"/>
    <w:rsid w:val="49CB4A7B"/>
    <w:rsid w:val="49CBA134"/>
    <w:rsid w:val="49CF6303"/>
    <w:rsid w:val="49D1EA63"/>
    <w:rsid w:val="49D2192B"/>
    <w:rsid w:val="49DC71EB"/>
    <w:rsid w:val="49DE1178"/>
    <w:rsid w:val="49E00348"/>
    <w:rsid w:val="49E353E0"/>
    <w:rsid w:val="49E51E0A"/>
    <w:rsid w:val="49F5471E"/>
    <w:rsid w:val="49F6A99B"/>
    <w:rsid w:val="49FAE6C0"/>
    <w:rsid w:val="49FBEB38"/>
    <w:rsid w:val="49FD264A"/>
    <w:rsid w:val="4A0077D6"/>
    <w:rsid w:val="4A0401A0"/>
    <w:rsid w:val="4A09CA49"/>
    <w:rsid w:val="4A0AC490"/>
    <w:rsid w:val="4A161345"/>
    <w:rsid w:val="4A27ED8D"/>
    <w:rsid w:val="4A28AAEA"/>
    <w:rsid w:val="4A309F6D"/>
    <w:rsid w:val="4A3347F0"/>
    <w:rsid w:val="4A375579"/>
    <w:rsid w:val="4A450147"/>
    <w:rsid w:val="4A4DA317"/>
    <w:rsid w:val="4A4E524D"/>
    <w:rsid w:val="4A623188"/>
    <w:rsid w:val="4A638FE4"/>
    <w:rsid w:val="4A64EC86"/>
    <w:rsid w:val="4A697E66"/>
    <w:rsid w:val="4A6A0A96"/>
    <w:rsid w:val="4A6ED60B"/>
    <w:rsid w:val="4A6FEFE9"/>
    <w:rsid w:val="4A72B5FB"/>
    <w:rsid w:val="4A7568A7"/>
    <w:rsid w:val="4A75D425"/>
    <w:rsid w:val="4A86522A"/>
    <w:rsid w:val="4A8B574A"/>
    <w:rsid w:val="4A8E55F2"/>
    <w:rsid w:val="4A92A713"/>
    <w:rsid w:val="4A99A998"/>
    <w:rsid w:val="4A99D5B7"/>
    <w:rsid w:val="4A99FDA0"/>
    <w:rsid w:val="4AA9DB22"/>
    <w:rsid w:val="4AAB31B0"/>
    <w:rsid w:val="4AAB42B9"/>
    <w:rsid w:val="4AAB8526"/>
    <w:rsid w:val="4AABB571"/>
    <w:rsid w:val="4AB75C92"/>
    <w:rsid w:val="4AB87218"/>
    <w:rsid w:val="4ABDBD23"/>
    <w:rsid w:val="4ABDF435"/>
    <w:rsid w:val="4ABF62BE"/>
    <w:rsid w:val="4AC1671F"/>
    <w:rsid w:val="4AC40A2F"/>
    <w:rsid w:val="4AC47EE7"/>
    <w:rsid w:val="4AD049F3"/>
    <w:rsid w:val="4AD0E036"/>
    <w:rsid w:val="4AD2E42F"/>
    <w:rsid w:val="4AD6BDB1"/>
    <w:rsid w:val="4AD7CD4D"/>
    <w:rsid w:val="4AD92C0C"/>
    <w:rsid w:val="4ADA31B0"/>
    <w:rsid w:val="4ADD10BF"/>
    <w:rsid w:val="4ADE7AC6"/>
    <w:rsid w:val="4ADF1102"/>
    <w:rsid w:val="4AE33FFE"/>
    <w:rsid w:val="4AE6CFFD"/>
    <w:rsid w:val="4AE98ACF"/>
    <w:rsid w:val="4AEB7037"/>
    <w:rsid w:val="4AEEBEBF"/>
    <w:rsid w:val="4AEF69EC"/>
    <w:rsid w:val="4AF43739"/>
    <w:rsid w:val="4AF783B7"/>
    <w:rsid w:val="4AF8ACAB"/>
    <w:rsid w:val="4B03436D"/>
    <w:rsid w:val="4B0662F8"/>
    <w:rsid w:val="4B0A937E"/>
    <w:rsid w:val="4B107CAE"/>
    <w:rsid w:val="4B13E9B7"/>
    <w:rsid w:val="4B1B2210"/>
    <w:rsid w:val="4B1CDD68"/>
    <w:rsid w:val="4B1F4C5F"/>
    <w:rsid w:val="4B22651E"/>
    <w:rsid w:val="4B230FA7"/>
    <w:rsid w:val="4B232F59"/>
    <w:rsid w:val="4B23D8B3"/>
    <w:rsid w:val="4B24F85B"/>
    <w:rsid w:val="4B2D7774"/>
    <w:rsid w:val="4B31C62C"/>
    <w:rsid w:val="4B407332"/>
    <w:rsid w:val="4B42D47D"/>
    <w:rsid w:val="4B488FDC"/>
    <w:rsid w:val="4B49E990"/>
    <w:rsid w:val="4B4A456E"/>
    <w:rsid w:val="4B4BC48B"/>
    <w:rsid w:val="4B51EE7D"/>
    <w:rsid w:val="4B5A1862"/>
    <w:rsid w:val="4B605381"/>
    <w:rsid w:val="4B64F91B"/>
    <w:rsid w:val="4B67F84E"/>
    <w:rsid w:val="4B7497D0"/>
    <w:rsid w:val="4B7D396A"/>
    <w:rsid w:val="4B7EDD73"/>
    <w:rsid w:val="4B7F1EF8"/>
    <w:rsid w:val="4B802E8A"/>
    <w:rsid w:val="4B818213"/>
    <w:rsid w:val="4B85ED69"/>
    <w:rsid w:val="4B891081"/>
    <w:rsid w:val="4B8B7A87"/>
    <w:rsid w:val="4B91364A"/>
    <w:rsid w:val="4B987753"/>
    <w:rsid w:val="4B98D720"/>
    <w:rsid w:val="4B9BD7C9"/>
    <w:rsid w:val="4BA5298A"/>
    <w:rsid w:val="4BAC9332"/>
    <w:rsid w:val="4BADD442"/>
    <w:rsid w:val="4BAF4E88"/>
    <w:rsid w:val="4BB1DB48"/>
    <w:rsid w:val="4BB4229D"/>
    <w:rsid w:val="4BB4F64F"/>
    <w:rsid w:val="4BB58C5A"/>
    <w:rsid w:val="4BC10846"/>
    <w:rsid w:val="4BC32321"/>
    <w:rsid w:val="4BCB7CDB"/>
    <w:rsid w:val="4BCF7238"/>
    <w:rsid w:val="4BD31591"/>
    <w:rsid w:val="4BD56FCF"/>
    <w:rsid w:val="4BD7A87B"/>
    <w:rsid w:val="4BDCAE70"/>
    <w:rsid w:val="4BDE384A"/>
    <w:rsid w:val="4BDF38FF"/>
    <w:rsid w:val="4BE0C48C"/>
    <w:rsid w:val="4BEA6DA2"/>
    <w:rsid w:val="4BEF153C"/>
    <w:rsid w:val="4BF40AB2"/>
    <w:rsid w:val="4BF64B3E"/>
    <w:rsid w:val="4BF8942F"/>
    <w:rsid w:val="4BFA5A7B"/>
    <w:rsid w:val="4BFBB158"/>
    <w:rsid w:val="4C00BCE7"/>
    <w:rsid w:val="4C012C4D"/>
    <w:rsid w:val="4C03DAB9"/>
    <w:rsid w:val="4C0578E8"/>
    <w:rsid w:val="4C063C7B"/>
    <w:rsid w:val="4C07D6B8"/>
    <w:rsid w:val="4C0A8718"/>
    <w:rsid w:val="4C0AA66C"/>
    <w:rsid w:val="4C0B634D"/>
    <w:rsid w:val="4C148598"/>
    <w:rsid w:val="4C170DD2"/>
    <w:rsid w:val="4C1B069F"/>
    <w:rsid w:val="4C24D0FB"/>
    <w:rsid w:val="4C24F3B7"/>
    <w:rsid w:val="4C28B18C"/>
    <w:rsid w:val="4C2D4A6D"/>
    <w:rsid w:val="4C376796"/>
    <w:rsid w:val="4C3AB656"/>
    <w:rsid w:val="4C3E8162"/>
    <w:rsid w:val="4C3F3EE3"/>
    <w:rsid w:val="4C4205E0"/>
    <w:rsid w:val="4C4C91E0"/>
    <w:rsid w:val="4C50FC62"/>
    <w:rsid w:val="4C5121AE"/>
    <w:rsid w:val="4C5677C8"/>
    <w:rsid w:val="4C5927B8"/>
    <w:rsid w:val="4C598131"/>
    <w:rsid w:val="4C5C28F0"/>
    <w:rsid w:val="4C5FD4B6"/>
    <w:rsid w:val="4C67FF0F"/>
    <w:rsid w:val="4C694502"/>
    <w:rsid w:val="4C6D0A17"/>
    <w:rsid w:val="4C6D90BC"/>
    <w:rsid w:val="4C6E0E7B"/>
    <w:rsid w:val="4C745E8E"/>
    <w:rsid w:val="4C77BFD9"/>
    <w:rsid w:val="4C77CC82"/>
    <w:rsid w:val="4C792C2E"/>
    <w:rsid w:val="4C84EBD8"/>
    <w:rsid w:val="4C86CF79"/>
    <w:rsid w:val="4C903CC0"/>
    <w:rsid w:val="4C911AF1"/>
    <w:rsid w:val="4C95D23B"/>
    <w:rsid w:val="4C9D0F53"/>
    <w:rsid w:val="4C9E9743"/>
    <w:rsid w:val="4CA1970D"/>
    <w:rsid w:val="4CA3154B"/>
    <w:rsid w:val="4CA5B08E"/>
    <w:rsid w:val="4CA8E8F9"/>
    <w:rsid w:val="4CB2A733"/>
    <w:rsid w:val="4CB2E654"/>
    <w:rsid w:val="4CB55ADD"/>
    <w:rsid w:val="4CB92D31"/>
    <w:rsid w:val="4CBA3CFC"/>
    <w:rsid w:val="4CBEE605"/>
    <w:rsid w:val="4CC43B3F"/>
    <w:rsid w:val="4CCAFFFD"/>
    <w:rsid w:val="4CCEDD07"/>
    <w:rsid w:val="4CDC8CAA"/>
    <w:rsid w:val="4CDF2356"/>
    <w:rsid w:val="4CE179C1"/>
    <w:rsid w:val="4CE6100E"/>
    <w:rsid w:val="4CF0F659"/>
    <w:rsid w:val="4CF26965"/>
    <w:rsid w:val="4CF36B01"/>
    <w:rsid w:val="4CFCCA15"/>
    <w:rsid w:val="4D0D701A"/>
    <w:rsid w:val="4D1B437B"/>
    <w:rsid w:val="4D23B659"/>
    <w:rsid w:val="4D250CC2"/>
    <w:rsid w:val="4D2970E0"/>
    <w:rsid w:val="4D2C38AB"/>
    <w:rsid w:val="4D2FE171"/>
    <w:rsid w:val="4D32F739"/>
    <w:rsid w:val="4D344F37"/>
    <w:rsid w:val="4D3AAC70"/>
    <w:rsid w:val="4D3BAF64"/>
    <w:rsid w:val="4D3F7CC1"/>
    <w:rsid w:val="4D434CA7"/>
    <w:rsid w:val="4D4AF984"/>
    <w:rsid w:val="4D4D5375"/>
    <w:rsid w:val="4D4FFEC1"/>
    <w:rsid w:val="4D533419"/>
    <w:rsid w:val="4D547785"/>
    <w:rsid w:val="4D59587F"/>
    <w:rsid w:val="4D5A4E89"/>
    <w:rsid w:val="4D5C890B"/>
    <w:rsid w:val="4D66AC20"/>
    <w:rsid w:val="4D67ED5A"/>
    <w:rsid w:val="4D6BA89C"/>
    <w:rsid w:val="4D729A93"/>
    <w:rsid w:val="4D7C8798"/>
    <w:rsid w:val="4D7D85CE"/>
    <w:rsid w:val="4D816FE0"/>
    <w:rsid w:val="4D82168E"/>
    <w:rsid w:val="4D8364B3"/>
    <w:rsid w:val="4D85AC75"/>
    <w:rsid w:val="4D876EA9"/>
    <w:rsid w:val="4D8ECFB8"/>
    <w:rsid w:val="4D98A071"/>
    <w:rsid w:val="4D9B5A20"/>
    <w:rsid w:val="4D9D0511"/>
    <w:rsid w:val="4DA676CD"/>
    <w:rsid w:val="4DA84D22"/>
    <w:rsid w:val="4DAD22DD"/>
    <w:rsid w:val="4DAF20D2"/>
    <w:rsid w:val="4DB2A774"/>
    <w:rsid w:val="4DB43EA0"/>
    <w:rsid w:val="4DB70939"/>
    <w:rsid w:val="4DBA9500"/>
    <w:rsid w:val="4DCDED59"/>
    <w:rsid w:val="4DD18990"/>
    <w:rsid w:val="4DDB8CE9"/>
    <w:rsid w:val="4DDF256D"/>
    <w:rsid w:val="4DDFA807"/>
    <w:rsid w:val="4DE2EE7E"/>
    <w:rsid w:val="4DE374E4"/>
    <w:rsid w:val="4DE3F3CA"/>
    <w:rsid w:val="4DE53036"/>
    <w:rsid w:val="4DE5E45C"/>
    <w:rsid w:val="4DE604AA"/>
    <w:rsid w:val="4DE6DBFD"/>
    <w:rsid w:val="4DF0A792"/>
    <w:rsid w:val="4DF4952A"/>
    <w:rsid w:val="4DF58F3D"/>
    <w:rsid w:val="4DF894DA"/>
    <w:rsid w:val="4DF8DE33"/>
    <w:rsid w:val="4DFB9020"/>
    <w:rsid w:val="4DFC1FA9"/>
    <w:rsid w:val="4DFFC8E2"/>
    <w:rsid w:val="4E022FD8"/>
    <w:rsid w:val="4E0D4B7E"/>
    <w:rsid w:val="4E10A94A"/>
    <w:rsid w:val="4E1AD230"/>
    <w:rsid w:val="4E21F237"/>
    <w:rsid w:val="4E26DD61"/>
    <w:rsid w:val="4E276124"/>
    <w:rsid w:val="4E2DB410"/>
    <w:rsid w:val="4E2F6EF0"/>
    <w:rsid w:val="4E362CAF"/>
    <w:rsid w:val="4E3CC288"/>
    <w:rsid w:val="4E3E21B6"/>
    <w:rsid w:val="4E4569AF"/>
    <w:rsid w:val="4E473D8D"/>
    <w:rsid w:val="4E47984C"/>
    <w:rsid w:val="4E4BD41E"/>
    <w:rsid w:val="4E4C7239"/>
    <w:rsid w:val="4E57043C"/>
    <w:rsid w:val="4E57DDBE"/>
    <w:rsid w:val="4E5CBA43"/>
    <w:rsid w:val="4E5DE1C2"/>
    <w:rsid w:val="4E64A73F"/>
    <w:rsid w:val="4E64C8AF"/>
    <w:rsid w:val="4E6648CA"/>
    <w:rsid w:val="4E6C17D8"/>
    <w:rsid w:val="4E6CC175"/>
    <w:rsid w:val="4E735600"/>
    <w:rsid w:val="4E7383F0"/>
    <w:rsid w:val="4E794432"/>
    <w:rsid w:val="4E88BE07"/>
    <w:rsid w:val="4E892B20"/>
    <w:rsid w:val="4E928B06"/>
    <w:rsid w:val="4E9405CA"/>
    <w:rsid w:val="4E9BE723"/>
    <w:rsid w:val="4E9D583A"/>
    <w:rsid w:val="4EA205D7"/>
    <w:rsid w:val="4EA6A18B"/>
    <w:rsid w:val="4EAA45A7"/>
    <w:rsid w:val="4EB9FF1C"/>
    <w:rsid w:val="4EC157FD"/>
    <w:rsid w:val="4EC22BDB"/>
    <w:rsid w:val="4EC7AFF4"/>
    <w:rsid w:val="4EC8FA04"/>
    <w:rsid w:val="4ED5DD74"/>
    <w:rsid w:val="4EDD92AF"/>
    <w:rsid w:val="4EDE85C3"/>
    <w:rsid w:val="4EE03A88"/>
    <w:rsid w:val="4EE2F529"/>
    <w:rsid w:val="4EE55949"/>
    <w:rsid w:val="4EED9040"/>
    <w:rsid w:val="4EF1ACFB"/>
    <w:rsid w:val="4EF3B305"/>
    <w:rsid w:val="4EFB1566"/>
    <w:rsid w:val="4EFBC2A1"/>
    <w:rsid w:val="4F0162B0"/>
    <w:rsid w:val="4F11DB66"/>
    <w:rsid w:val="4F16163B"/>
    <w:rsid w:val="4F17B2AD"/>
    <w:rsid w:val="4F1A13EF"/>
    <w:rsid w:val="4F1D43B3"/>
    <w:rsid w:val="4F20223F"/>
    <w:rsid w:val="4F242295"/>
    <w:rsid w:val="4F34E805"/>
    <w:rsid w:val="4F3E89F9"/>
    <w:rsid w:val="4F4009E5"/>
    <w:rsid w:val="4F4090C6"/>
    <w:rsid w:val="4F430B4C"/>
    <w:rsid w:val="4F44F5FB"/>
    <w:rsid w:val="4F5201D0"/>
    <w:rsid w:val="4F545D4A"/>
    <w:rsid w:val="4F555730"/>
    <w:rsid w:val="4F59E154"/>
    <w:rsid w:val="4F625600"/>
    <w:rsid w:val="4F649FCA"/>
    <w:rsid w:val="4F694E9E"/>
    <w:rsid w:val="4F6ABEAC"/>
    <w:rsid w:val="4F6B69F5"/>
    <w:rsid w:val="4F6BD00A"/>
    <w:rsid w:val="4F71388C"/>
    <w:rsid w:val="4F722C5B"/>
    <w:rsid w:val="4F782AE9"/>
    <w:rsid w:val="4F7C41A4"/>
    <w:rsid w:val="4F8FC7B2"/>
    <w:rsid w:val="4F906710"/>
    <w:rsid w:val="4FAD3607"/>
    <w:rsid w:val="4FB0E738"/>
    <w:rsid w:val="4FB4AC9B"/>
    <w:rsid w:val="4FB862CC"/>
    <w:rsid w:val="4FB9B399"/>
    <w:rsid w:val="4FC26EAD"/>
    <w:rsid w:val="4FC7A85C"/>
    <w:rsid w:val="4FCC4A4A"/>
    <w:rsid w:val="4FCE69F9"/>
    <w:rsid w:val="4FCECF24"/>
    <w:rsid w:val="4FD27574"/>
    <w:rsid w:val="4FD31B55"/>
    <w:rsid w:val="4FDDE249"/>
    <w:rsid w:val="4FE762F5"/>
    <w:rsid w:val="4FE792CD"/>
    <w:rsid w:val="4FE7A47F"/>
    <w:rsid w:val="4FE90245"/>
    <w:rsid w:val="4FFCBAB9"/>
    <w:rsid w:val="5003D837"/>
    <w:rsid w:val="50049DD1"/>
    <w:rsid w:val="500CBE0E"/>
    <w:rsid w:val="500EFADC"/>
    <w:rsid w:val="5011F345"/>
    <w:rsid w:val="5019FEBD"/>
    <w:rsid w:val="501BBB95"/>
    <w:rsid w:val="501BC63D"/>
    <w:rsid w:val="5020E801"/>
    <w:rsid w:val="502B70A6"/>
    <w:rsid w:val="503085AB"/>
    <w:rsid w:val="50342294"/>
    <w:rsid w:val="503471C5"/>
    <w:rsid w:val="5034BD58"/>
    <w:rsid w:val="50381E4F"/>
    <w:rsid w:val="503C04FD"/>
    <w:rsid w:val="5041913B"/>
    <w:rsid w:val="50461608"/>
    <w:rsid w:val="504B2A6D"/>
    <w:rsid w:val="505120D5"/>
    <w:rsid w:val="50550309"/>
    <w:rsid w:val="5058AFA4"/>
    <w:rsid w:val="505A4A0C"/>
    <w:rsid w:val="505AD116"/>
    <w:rsid w:val="505E86D7"/>
    <w:rsid w:val="50616025"/>
    <w:rsid w:val="5061D1B7"/>
    <w:rsid w:val="506445E4"/>
    <w:rsid w:val="506A1299"/>
    <w:rsid w:val="506E2091"/>
    <w:rsid w:val="507BD8EC"/>
    <w:rsid w:val="5088CD2A"/>
    <w:rsid w:val="509092CB"/>
    <w:rsid w:val="5093496F"/>
    <w:rsid w:val="509382E2"/>
    <w:rsid w:val="50977910"/>
    <w:rsid w:val="50987F3C"/>
    <w:rsid w:val="509CC680"/>
    <w:rsid w:val="509D9753"/>
    <w:rsid w:val="50A0C203"/>
    <w:rsid w:val="50A833AB"/>
    <w:rsid w:val="50B099D1"/>
    <w:rsid w:val="50B1891F"/>
    <w:rsid w:val="50BAA810"/>
    <w:rsid w:val="50C07554"/>
    <w:rsid w:val="50C5AAE6"/>
    <w:rsid w:val="50C5BA33"/>
    <w:rsid w:val="50CD794F"/>
    <w:rsid w:val="50D1A9CE"/>
    <w:rsid w:val="50D5379C"/>
    <w:rsid w:val="50D5E0F0"/>
    <w:rsid w:val="50DB0880"/>
    <w:rsid w:val="50E04B02"/>
    <w:rsid w:val="50EA05CD"/>
    <w:rsid w:val="50EC17B4"/>
    <w:rsid w:val="50ECDDB8"/>
    <w:rsid w:val="50F0DE6D"/>
    <w:rsid w:val="5107A9CF"/>
    <w:rsid w:val="510D9F10"/>
    <w:rsid w:val="51122BB1"/>
    <w:rsid w:val="511436F2"/>
    <w:rsid w:val="5119952F"/>
    <w:rsid w:val="5124861E"/>
    <w:rsid w:val="5124F660"/>
    <w:rsid w:val="5125ED7E"/>
    <w:rsid w:val="512A0F61"/>
    <w:rsid w:val="512A4C0E"/>
    <w:rsid w:val="512E0BAF"/>
    <w:rsid w:val="51336E9E"/>
    <w:rsid w:val="5137AF1B"/>
    <w:rsid w:val="51387343"/>
    <w:rsid w:val="513B210B"/>
    <w:rsid w:val="513B6CAC"/>
    <w:rsid w:val="513F630B"/>
    <w:rsid w:val="514001A8"/>
    <w:rsid w:val="514226F1"/>
    <w:rsid w:val="5142B7B2"/>
    <w:rsid w:val="5142F2F6"/>
    <w:rsid w:val="514D8B2A"/>
    <w:rsid w:val="514EE519"/>
    <w:rsid w:val="5150F48C"/>
    <w:rsid w:val="515EA905"/>
    <w:rsid w:val="51602A86"/>
    <w:rsid w:val="516304A9"/>
    <w:rsid w:val="51743CDF"/>
    <w:rsid w:val="51753A56"/>
    <w:rsid w:val="517FD0CB"/>
    <w:rsid w:val="51813694"/>
    <w:rsid w:val="5186C665"/>
    <w:rsid w:val="518E740C"/>
    <w:rsid w:val="518F28E9"/>
    <w:rsid w:val="51970336"/>
    <w:rsid w:val="519A2AE2"/>
    <w:rsid w:val="519BE0CB"/>
    <w:rsid w:val="519D355D"/>
    <w:rsid w:val="519D55F2"/>
    <w:rsid w:val="519DF30F"/>
    <w:rsid w:val="519EBBB2"/>
    <w:rsid w:val="51A33717"/>
    <w:rsid w:val="51AE1874"/>
    <w:rsid w:val="51B14BE4"/>
    <w:rsid w:val="51B1E3FF"/>
    <w:rsid w:val="51BFF5F9"/>
    <w:rsid w:val="51CB9268"/>
    <w:rsid w:val="51CE069B"/>
    <w:rsid w:val="51D3F36C"/>
    <w:rsid w:val="51D7BB47"/>
    <w:rsid w:val="51DBDE9B"/>
    <w:rsid w:val="51DEA1B7"/>
    <w:rsid w:val="51E0D1C3"/>
    <w:rsid w:val="51E785F3"/>
    <w:rsid w:val="51EEE256"/>
    <w:rsid w:val="51EEE90D"/>
    <w:rsid w:val="51F06A35"/>
    <w:rsid w:val="51F07C51"/>
    <w:rsid w:val="51F0F6A8"/>
    <w:rsid w:val="51F7CDBF"/>
    <w:rsid w:val="51F8C48A"/>
    <w:rsid w:val="51FF8873"/>
    <w:rsid w:val="51FFAF18"/>
    <w:rsid w:val="52092D90"/>
    <w:rsid w:val="5209C481"/>
    <w:rsid w:val="521236CA"/>
    <w:rsid w:val="5212E811"/>
    <w:rsid w:val="522C8A90"/>
    <w:rsid w:val="522FDC6B"/>
    <w:rsid w:val="5235FD75"/>
    <w:rsid w:val="52369E11"/>
    <w:rsid w:val="523B7885"/>
    <w:rsid w:val="52415A0D"/>
    <w:rsid w:val="52463C07"/>
    <w:rsid w:val="525586C1"/>
    <w:rsid w:val="525A85A0"/>
    <w:rsid w:val="52625F5E"/>
    <w:rsid w:val="526B1209"/>
    <w:rsid w:val="526CA91F"/>
    <w:rsid w:val="526EC416"/>
    <w:rsid w:val="5270E36D"/>
    <w:rsid w:val="52764CB3"/>
    <w:rsid w:val="527B5820"/>
    <w:rsid w:val="527C8623"/>
    <w:rsid w:val="527D857D"/>
    <w:rsid w:val="527E8C2C"/>
    <w:rsid w:val="5282CB31"/>
    <w:rsid w:val="528470D5"/>
    <w:rsid w:val="5284C9D8"/>
    <w:rsid w:val="5286A0AF"/>
    <w:rsid w:val="52950B75"/>
    <w:rsid w:val="5296A6FA"/>
    <w:rsid w:val="529C81EE"/>
    <w:rsid w:val="52A25E77"/>
    <w:rsid w:val="52AC8225"/>
    <w:rsid w:val="52B052E2"/>
    <w:rsid w:val="52B178F6"/>
    <w:rsid w:val="52B799CF"/>
    <w:rsid w:val="52BDD2F6"/>
    <w:rsid w:val="52C9911F"/>
    <w:rsid w:val="52CCA7B3"/>
    <w:rsid w:val="52CE8C09"/>
    <w:rsid w:val="52D27EAE"/>
    <w:rsid w:val="52D84B2D"/>
    <w:rsid w:val="52DC189E"/>
    <w:rsid w:val="52E08544"/>
    <w:rsid w:val="52E46995"/>
    <w:rsid w:val="52E808E9"/>
    <w:rsid w:val="52E99203"/>
    <w:rsid w:val="52ED35CE"/>
    <w:rsid w:val="52EF9639"/>
    <w:rsid w:val="52F057CA"/>
    <w:rsid w:val="52F24351"/>
    <w:rsid w:val="52F7DE8D"/>
    <w:rsid w:val="52F8A88F"/>
    <w:rsid w:val="52F8BE1F"/>
    <w:rsid w:val="52FB1058"/>
    <w:rsid w:val="52FE7C98"/>
    <w:rsid w:val="5301C7B8"/>
    <w:rsid w:val="5304BDF5"/>
    <w:rsid w:val="530EDFE2"/>
    <w:rsid w:val="530FC702"/>
    <w:rsid w:val="53121C3F"/>
    <w:rsid w:val="53173D40"/>
    <w:rsid w:val="5318689C"/>
    <w:rsid w:val="531D3359"/>
    <w:rsid w:val="531E3DF6"/>
    <w:rsid w:val="531FB1EF"/>
    <w:rsid w:val="532109A7"/>
    <w:rsid w:val="53213EE4"/>
    <w:rsid w:val="5321E8DA"/>
    <w:rsid w:val="532C8AFC"/>
    <w:rsid w:val="532CCC6B"/>
    <w:rsid w:val="53333A31"/>
    <w:rsid w:val="5333C93D"/>
    <w:rsid w:val="5335DA6F"/>
    <w:rsid w:val="533DF8E6"/>
    <w:rsid w:val="5340A492"/>
    <w:rsid w:val="53421BB7"/>
    <w:rsid w:val="5345B965"/>
    <w:rsid w:val="5348A50D"/>
    <w:rsid w:val="534C5A4E"/>
    <w:rsid w:val="5350D485"/>
    <w:rsid w:val="5350F045"/>
    <w:rsid w:val="53525948"/>
    <w:rsid w:val="535505EC"/>
    <w:rsid w:val="53556D01"/>
    <w:rsid w:val="53644953"/>
    <w:rsid w:val="5385F105"/>
    <w:rsid w:val="53912213"/>
    <w:rsid w:val="53940D63"/>
    <w:rsid w:val="5397A662"/>
    <w:rsid w:val="5397D859"/>
    <w:rsid w:val="539AAF1A"/>
    <w:rsid w:val="539B1440"/>
    <w:rsid w:val="539B563A"/>
    <w:rsid w:val="539BA1FF"/>
    <w:rsid w:val="539ED5E3"/>
    <w:rsid w:val="539FB4C5"/>
    <w:rsid w:val="53A19C02"/>
    <w:rsid w:val="53A22E2B"/>
    <w:rsid w:val="53A54C7D"/>
    <w:rsid w:val="53B44AAF"/>
    <w:rsid w:val="53B679AC"/>
    <w:rsid w:val="53BD8635"/>
    <w:rsid w:val="53C1A51E"/>
    <w:rsid w:val="53C3244E"/>
    <w:rsid w:val="53CCE1EE"/>
    <w:rsid w:val="53D1CDBD"/>
    <w:rsid w:val="53D2D928"/>
    <w:rsid w:val="53D871E2"/>
    <w:rsid w:val="53D8CD61"/>
    <w:rsid w:val="53D9BA54"/>
    <w:rsid w:val="53DC4A07"/>
    <w:rsid w:val="53DE211B"/>
    <w:rsid w:val="53E07E9F"/>
    <w:rsid w:val="53E25B02"/>
    <w:rsid w:val="53E55B98"/>
    <w:rsid w:val="53EC7B41"/>
    <w:rsid w:val="53F41BDE"/>
    <w:rsid w:val="53F75262"/>
    <w:rsid w:val="53F9AFA8"/>
    <w:rsid w:val="53FC7AD2"/>
    <w:rsid w:val="53FF12FE"/>
    <w:rsid w:val="5400ED40"/>
    <w:rsid w:val="540138E5"/>
    <w:rsid w:val="5401DB6A"/>
    <w:rsid w:val="5404F5DB"/>
    <w:rsid w:val="540A6785"/>
    <w:rsid w:val="54183ADA"/>
    <w:rsid w:val="541AA5E7"/>
    <w:rsid w:val="541ED386"/>
    <w:rsid w:val="542202FE"/>
    <w:rsid w:val="542572ED"/>
    <w:rsid w:val="542E6DF3"/>
    <w:rsid w:val="5434BBB4"/>
    <w:rsid w:val="5435DC3B"/>
    <w:rsid w:val="5446DF4F"/>
    <w:rsid w:val="544D1C81"/>
    <w:rsid w:val="544EF654"/>
    <w:rsid w:val="5451A99B"/>
    <w:rsid w:val="5453EFC0"/>
    <w:rsid w:val="54546DDD"/>
    <w:rsid w:val="5456A3AD"/>
    <w:rsid w:val="545C2AD1"/>
    <w:rsid w:val="545E4908"/>
    <w:rsid w:val="545E4B65"/>
    <w:rsid w:val="546B1011"/>
    <w:rsid w:val="546EF4A4"/>
    <w:rsid w:val="546F406D"/>
    <w:rsid w:val="5471D15D"/>
    <w:rsid w:val="547361A5"/>
    <w:rsid w:val="54787715"/>
    <w:rsid w:val="547894A7"/>
    <w:rsid w:val="5479214C"/>
    <w:rsid w:val="547D6CB8"/>
    <w:rsid w:val="5485420F"/>
    <w:rsid w:val="54892C68"/>
    <w:rsid w:val="549465FE"/>
    <w:rsid w:val="54995C3B"/>
    <w:rsid w:val="54AF7154"/>
    <w:rsid w:val="54B5C212"/>
    <w:rsid w:val="54BBA094"/>
    <w:rsid w:val="54C06108"/>
    <w:rsid w:val="54C48612"/>
    <w:rsid w:val="54C4F16D"/>
    <w:rsid w:val="54C57B85"/>
    <w:rsid w:val="54D0CD07"/>
    <w:rsid w:val="54D62F66"/>
    <w:rsid w:val="54DA2D2E"/>
    <w:rsid w:val="54DCE289"/>
    <w:rsid w:val="54E1AB8D"/>
    <w:rsid w:val="54E5621D"/>
    <w:rsid w:val="54E76FC3"/>
    <w:rsid w:val="54E816CE"/>
    <w:rsid w:val="54F209CC"/>
    <w:rsid w:val="54F7B1ED"/>
    <w:rsid w:val="54F92B95"/>
    <w:rsid w:val="54F993FA"/>
    <w:rsid w:val="54FD33A8"/>
    <w:rsid w:val="55007FAF"/>
    <w:rsid w:val="55022EC9"/>
    <w:rsid w:val="550414A5"/>
    <w:rsid w:val="55059649"/>
    <w:rsid w:val="55075E1C"/>
    <w:rsid w:val="5514046E"/>
    <w:rsid w:val="5514AE6D"/>
    <w:rsid w:val="5515892A"/>
    <w:rsid w:val="5516415C"/>
    <w:rsid w:val="55184A74"/>
    <w:rsid w:val="55186967"/>
    <w:rsid w:val="5525D9FD"/>
    <w:rsid w:val="5529FE22"/>
    <w:rsid w:val="552AAA9F"/>
    <w:rsid w:val="552C2BE7"/>
    <w:rsid w:val="55335681"/>
    <w:rsid w:val="5534A64A"/>
    <w:rsid w:val="5534D33B"/>
    <w:rsid w:val="5536745D"/>
    <w:rsid w:val="55391314"/>
    <w:rsid w:val="5539466E"/>
    <w:rsid w:val="5543CF45"/>
    <w:rsid w:val="554431DA"/>
    <w:rsid w:val="55460A11"/>
    <w:rsid w:val="554E4E5C"/>
    <w:rsid w:val="554EE0D4"/>
    <w:rsid w:val="5555B859"/>
    <w:rsid w:val="55588F9A"/>
    <w:rsid w:val="5559EA36"/>
    <w:rsid w:val="555B0F20"/>
    <w:rsid w:val="555B3E8C"/>
    <w:rsid w:val="555D632F"/>
    <w:rsid w:val="555F321B"/>
    <w:rsid w:val="555FE9B4"/>
    <w:rsid w:val="5561259F"/>
    <w:rsid w:val="55622C21"/>
    <w:rsid w:val="5566A550"/>
    <w:rsid w:val="55672941"/>
    <w:rsid w:val="5569E61B"/>
    <w:rsid w:val="556E2D01"/>
    <w:rsid w:val="55727DC7"/>
    <w:rsid w:val="557B10EA"/>
    <w:rsid w:val="5580D141"/>
    <w:rsid w:val="5581507A"/>
    <w:rsid w:val="5587612F"/>
    <w:rsid w:val="559FF6A6"/>
    <w:rsid w:val="55A626B4"/>
    <w:rsid w:val="55A74841"/>
    <w:rsid w:val="55A9A1A5"/>
    <w:rsid w:val="55AE7963"/>
    <w:rsid w:val="55B67648"/>
    <w:rsid w:val="55C505CD"/>
    <w:rsid w:val="55C59ACE"/>
    <w:rsid w:val="55CCF5AC"/>
    <w:rsid w:val="55CF93C9"/>
    <w:rsid w:val="55D8F431"/>
    <w:rsid w:val="55D979CD"/>
    <w:rsid w:val="55DF7DC3"/>
    <w:rsid w:val="55E3408B"/>
    <w:rsid w:val="55E415DA"/>
    <w:rsid w:val="55E4C547"/>
    <w:rsid w:val="55E6E8E0"/>
    <w:rsid w:val="55E887B3"/>
    <w:rsid w:val="55F36E86"/>
    <w:rsid w:val="55FBC894"/>
    <w:rsid w:val="55FDBFC5"/>
    <w:rsid w:val="5602380D"/>
    <w:rsid w:val="5613E829"/>
    <w:rsid w:val="561A96C1"/>
    <w:rsid w:val="56214A82"/>
    <w:rsid w:val="562A3E36"/>
    <w:rsid w:val="562ABBF4"/>
    <w:rsid w:val="563AB6FA"/>
    <w:rsid w:val="563B95FA"/>
    <w:rsid w:val="563C021B"/>
    <w:rsid w:val="563E84DD"/>
    <w:rsid w:val="56477A5C"/>
    <w:rsid w:val="5647C3A1"/>
    <w:rsid w:val="5647D92E"/>
    <w:rsid w:val="564AFB31"/>
    <w:rsid w:val="564E0462"/>
    <w:rsid w:val="564FF444"/>
    <w:rsid w:val="565B0F35"/>
    <w:rsid w:val="5662EE49"/>
    <w:rsid w:val="56717AA1"/>
    <w:rsid w:val="567617FB"/>
    <w:rsid w:val="56893F64"/>
    <w:rsid w:val="5689E86E"/>
    <w:rsid w:val="56915BCE"/>
    <w:rsid w:val="56915D17"/>
    <w:rsid w:val="569B4160"/>
    <w:rsid w:val="569B9A59"/>
    <w:rsid w:val="56A41606"/>
    <w:rsid w:val="56A5E381"/>
    <w:rsid w:val="56ABCFC4"/>
    <w:rsid w:val="56AF00F2"/>
    <w:rsid w:val="56B252DC"/>
    <w:rsid w:val="56B8514B"/>
    <w:rsid w:val="56B90A2E"/>
    <w:rsid w:val="56BFFFC3"/>
    <w:rsid w:val="56C28270"/>
    <w:rsid w:val="56CB7687"/>
    <w:rsid w:val="56D0D739"/>
    <w:rsid w:val="56D4A27D"/>
    <w:rsid w:val="56DC51EC"/>
    <w:rsid w:val="56DF625E"/>
    <w:rsid w:val="56E3B415"/>
    <w:rsid w:val="56E70E29"/>
    <w:rsid w:val="56EC518C"/>
    <w:rsid w:val="56EED61B"/>
    <w:rsid w:val="56F16BAD"/>
    <w:rsid w:val="56F23916"/>
    <w:rsid w:val="56F7A8F6"/>
    <w:rsid w:val="56F93361"/>
    <w:rsid w:val="56FA1D09"/>
    <w:rsid w:val="56FE0856"/>
    <w:rsid w:val="570054C9"/>
    <w:rsid w:val="570AB1EC"/>
    <w:rsid w:val="570C9366"/>
    <w:rsid w:val="57137FDA"/>
    <w:rsid w:val="57184E76"/>
    <w:rsid w:val="571CEBBA"/>
    <w:rsid w:val="571FD2A7"/>
    <w:rsid w:val="57237798"/>
    <w:rsid w:val="5726D285"/>
    <w:rsid w:val="572CB3A7"/>
    <w:rsid w:val="572FD79B"/>
    <w:rsid w:val="5731F214"/>
    <w:rsid w:val="5737F9D0"/>
    <w:rsid w:val="57395452"/>
    <w:rsid w:val="573C23B0"/>
    <w:rsid w:val="57450A30"/>
    <w:rsid w:val="5746E605"/>
    <w:rsid w:val="57535A7C"/>
    <w:rsid w:val="57580798"/>
    <w:rsid w:val="575D6AFF"/>
    <w:rsid w:val="575FE9FC"/>
    <w:rsid w:val="5762DC0E"/>
    <w:rsid w:val="57647759"/>
    <w:rsid w:val="5764971E"/>
    <w:rsid w:val="57697170"/>
    <w:rsid w:val="576D2902"/>
    <w:rsid w:val="5774C562"/>
    <w:rsid w:val="5779A7A4"/>
    <w:rsid w:val="578317B1"/>
    <w:rsid w:val="578B5E34"/>
    <w:rsid w:val="578DAB92"/>
    <w:rsid w:val="578E9FC1"/>
    <w:rsid w:val="579B44A6"/>
    <w:rsid w:val="579CC7F1"/>
    <w:rsid w:val="579F9E53"/>
    <w:rsid w:val="57A0341B"/>
    <w:rsid w:val="57A31526"/>
    <w:rsid w:val="57A5BCC9"/>
    <w:rsid w:val="57AB14C6"/>
    <w:rsid w:val="57B465A2"/>
    <w:rsid w:val="57BB1CF0"/>
    <w:rsid w:val="57C9B85C"/>
    <w:rsid w:val="57CD2A27"/>
    <w:rsid w:val="57DDE249"/>
    <w:rsid w:val="57E6680A"/>
    <w:rsid w:val="57ECC2D3"/>
    <w:rsid w:val="57EFBC4D"/>
    <w:rsid w:val="57F3C8BF"/>
    <w:rsid w:val="57F5C6FA"/>
    <w:rsid w:val="57F83C5D"/>
    <w:rsid w:val="57FD6F6E"/>
    <w:rsid w:val="5802A28A"/>
    <w:rsid w:val="5808B1EB"/>
    <w:rsid w:val="580F7C07"/>
    <w:rsid w:val="581118BE"/>
    <w:rsid w:val="58176FD7"/>
    <w:rsid w:val="58192241"/>
    <w:rsid w:val="581BBAFE"/>
    <w:rsid w:val="581F2021"/>
    <w:rsid w:val="581F63D2"/>
    <w:rsid w:val="5822632B"/>
    <w:rsid w:val="58259370"/>
    <w:rsid w:val="582D4B83"/>
    <w:rsid w:val="58310D5D"/>
    <w:rsid w:val="58329461"/>
    <w:rsid w:val="5836342C"/>
    <w:rsid w:val="58399AC4"/>
    <w:rsid w:val="583FC6BC"/>
    <w:rsid w:val="58451575"/>
    <w:rsid w:val="5847CBF7"/>
    <w:rsid w:val="5857320B"/>
    <w:rsid w:val="58602F13"/>
    <w:rsid w:val="586035D4"/>
    <w:rsid w:val="586B7299"/>
    <w:rsid w:val="58769438"/>
    <w:rsid w:val="5876BDA3"/>
    <w:rsid w:val="58811D8F"/>
    <w:rsid w:val="588841D3"/>
    <w:rsid w:val="58917F96"/>
    <w:rsid w:val="589AF95A"/>
    <w:rsid w:val="589D122F"/>
    <w:rsid w:val="589DD5EE"/>
    <w:rsid w:val="58A1C4F1"/>
    <w:rsid w:val="58A6F942"/>
    <w:rsid w:val="58A9CB4C"/>
    <w:rsid w:val="58B4D102"/>
    <w:rsid w:val="58B6FD3D"/>
    <w:rsid w:val="58B7A609"/>
    <w:rsid w:val="58BDFE8E"/>
    <w:rsid w:val="58C996C1"/>
    <w:rsid w:val="58CD0057"/>
    <w:rsid w:val="58CEDCB5"/>
    <w:rsid w:val="58D3C35C"/>
    <w:rsid w:val="58D5F355"/>
    <w:rsid w:val="58E11B88"/>
    <w:rsid w:val="58E84F0A"/>
    <w:rsid w:val="58EBDA2F"/>
    <w:rsid w:val="58F18C21"/>
    <w:rsid w:val="58F27977"/>
    <w:rsid w:val="58F4FCF6"/>
    <w:rsid w:val="58FF0B2F"/>
    <w:rsid w:val="59177E9A"/>
    <w:rsid w:val="59182E86"/>
    <w:rsid w:val="5919D6D0"/>
    <w:rsid w:val="591C6995"/>
    <w:rsid w:val="59209480"/>
    <w:rsid w:val="59209D76"/>
    <w:rsid w:val="59223B73"/>
    <w:rsid w:val="59242A38"/>
    <w:rsid w:val="59248AB6"/>
    <w:rsid w:val="592C483F"/>
    <w:rsid w:val="592CADA8"/>
    <w:rsid w:val="59311334"/>
    <w:rsid w:val="59330FB1"/>
    <w:rsid w:val="5936B82F"/>
    <w:rsid w:val="593E0FD5"/>
    <w:rsid w:val="59410059"/>
    <w:rsid w:val="5944A8AD"/>
    <w:rsid w:val="59476665"/>
    <w:rsid w:val="59516168"/>
    <w:rsid w:val="595E9964"/>
    <w:rsid w:val="5960CE09"/>
    <w:rsid w:val="59622820"/>
    <w:rsid w:val="5965B4C7"/>
    <w:rsid w:val="596A0504"/>
    <w:rsid w:val="596B9A5F"/>
    <w:rsid w:val="596C6CF5"/>
    <w:rsid w:val="596F9B2C"/>
    <w:rsid w:val="5984BC5E"/>
    <w:rsid w:val="5984FD69"/>
    <w:rsid w:val="5987977B"/>
    <w:rsid w:val="598B0C3D"/>
    <w:rsid w:val="59946FEE"/>
    <w:rsid w:val="5995D3BE"/>
    <w:rsid w:val="599C56FA"/>
    <w:rsid w:val="599CBD95"/>
    <w:rsid w:val="599DA65C"/>
    <w:rsid w:val="59A0B608"/>
    <w:rsid w:val="59A9A089"/>
    <w:rsid w:val="59AE01C3"/>
    <w:rsid w:val="59BB92D8"/>
    <w:rsid w:val="59BD9593"/>
    <w:rsid w:val="59BFB441"/>
    <w:rsid w:val="59BFEE45"/>
    <w:rsid w:val="59C088D7"/>
    <w:rsid w:val="59C11353"/>
    <w:rsid w:val="59C1D1BF"/>
    <w:rsid w:val="59C22376"/>
    <w:rsid w:val="59C622B8"/>
    <w:rsid w:val="59C74BFF"/>
    <w:rsid w:val="59C84B26"/>
    <w:rsid w:val="59C8EB3C"/>
    <w:rsid w:val="59C996CD"/>
    <w:rsid w:val="59D42CDB"/>
    <w:rsid w:val="59DAEB96"/>
    <w:rsid w:val="59DB7E34"/>
    <w:rsid w:val="59E13BD8"/>
    <w:rsid w:val="59E27D05"/>
    <w:rsid w:val="59E64B7B"/>
    <w:rsid w:val="59E68372"/>
    <w:rsid w:val="59EBD19C"/>
    <w:rsid w:val="59EC0693"/>
    <w:rsid w:val="59ED1555"/>
    <w:rsid w:val="59EED4A8"/>
    <w:rsid w:val="59F1D3F4"/>
    <w:rsid w:val="59F41A43"/>
    <w:rsid w:val="59F6C1A4"/>
    <w:rsid w:val="59F788FE"/>
    <w:rsid w:val="59F8564C"/>
    <w:rsid w:val="59F85D5E"/>
    <w:rsid w:val="59FDAA25"/>
    <w:rsid w:val="5A0C9E42"/>
    <w:rsid w:val="5A0D6FCF"/>
    <w:rsid w:val="5A139652"/>
    <w:rsid w:val="5A14EA8E"/>
    <w:rsid w:val="5A16215B"/>
    <w:rsid w:val="5A21C796"/>
    <w:rsid w:val="5A29C285"/>
    <w:rsid w:val="5A34F416"/>
    <w:rsid w:val="5A39CD1D"/>
    <w:rsid w:val="5A416C69"/>
    <w:rsid w:val="5A4E5664"/>
    <w:rsid w:val="5A5084E0"/>
    <w:rsid w:val="5A53F7F4"/>
    <w:rsid w:val="5A5437BF"/>
    <w:rsid w:val="5A56B4B3"/>
    <w:rsid w:val="5A57A9A4"/>
    <w:rsid w:val="5A6469E6"/>
    <w:rsid w:val="5A6505C5"/>
    <w:rsid w:val="5A6B2592"/>
    <w:rsid w:val="5A70E6F1"/>
    <w:rsid w:val="5A7EA363"/>
    <w:rsid w:val="5A7EB007"/>
    <w:rsid w:val="5A807C17"/>
    <w:rsid w:val="5A8F7A2D"/>
    <w:rsid w:val="5A951246"/>
    <w:rsid w:val="5A9F848B"/>
    <w:rsid w:val="5AA238C9"/>
    <w:rsid w:val="5AA5BE4B"/>
    <w:rsid w:val="5AA67D77"/>
    <w:rsid w:val="5AA84D55"/>
    <w:rsid w:val="5AAB3005"/>
    <w:rsid w:val="5AAB6A6C"/>
    <w:rsid w:val="5AB254BD"/>
    <w:rsid w:val="5AB3A50F"/>
    <w:rsid w:val="5AB4F4EF"/>
    <w:rsid w:val="5AC0F705"/>
    <w:rsid w:val="5AC8B354"/>
    <w:rsid w:val="5ACA2777"/>
    <w:rsid w:val="5ACCA771"/>
    <w:rsid w:val="5ACD8758"/>
    <w:rsid w:val="5ACE57B6"/>
    <w:rsid w:val="5AD6A8D4"/>
    <w:rsid w:val="5AD85F6A"/>
    <w:rsid w:val="5ADBBB67"/>
    <w:rsid w:val="5AE71CDA"/>
    <w:rsid w:val="5AEBC749"/>
    <w:rsid w:val="5AF0E231"/>
    <w:rsid w:val="5AF584D4"/>
    <w:rsid w:val="5AF7C5E3"/>
    <w:rsid w:val="5AFC1383"/>
    <w:rsid w:val="5B075984"/>
    <w:rsid w:val="5B0B0BC9"/>
    <w:rsid w:val="5B0C0DAA"/>
    <w:rsid w:val="5B0C6477"/>
    <w:rsid w:val="5B0EACE8"/>
    <w:rsid w:val="5B1F1B23"/>
    <w:rsid w:val="5B21B2B6"/>
    <w:rsid w:val="5B21C462"/>
    <w:rsid w:val="5B3040B4"/>
    <w:rsid w:val="5B345303"/>
    <w:rsid w:val="5B35B9DC"/>
    <w:rsid w:val="5B3B1AD8"/>
    <w:rsid w:val="5B3FC9EB"/>
    <w:rsid w:val="5B45EEC3"/>
    <w:rsid w:val="5B49F8F7"/>
    <w:rsid w:val="5B5883D0"/>
    <w:rsid w:val="5B643518"/>
    <w:rsid w:val="5B6FE3D6"/>
    <w:rsid w:val="5B72FD5A"/>
    <w:rsid w:val="5B7871FB"/>
    <w:rsid w:val="5B81B754"/>
    <w:rsid w:val="5B83E1F0"/>
    <w:rsid w:val="5B874D86"/>
    <w:rsid w:val="5B8B146E"/>
    <w:rsid w:val="5B8DF6F1"/>
    <w:rsid w:val="5B8E93CC"/>
    <w:rsid w:val="5B90427D"/>
    <w:rsid w:val="5B943139"/>
    <w:rsid w:val="5B95809A"/>
    <w:rsid w:val="5B973595"/>
    <w:rsid w:val="5B9D9124"/>
    <w:rsid w:val="5B9FDB00"/>
    <w:rsid w:val="5BA50CE9"/>
    <w:rsid w:val="5BA7416B"/>
    <w:rsid w:val="5BA87463"/>
    <w:rsid w:val="5BA93CF5"/>
    <w:rsid w:val="5BAFDA07"/>
    <w:rsid w:val="5BB1F1BC"/>
    <w:rsid w:val="5BB2F161"/>
    <w:rsid w:val="5BB3DF62"/>
    <w:rsid w:val="5BC56604"/>
    <w:rsid w:val="5BC657A3"/>
    <w:rsid w:val="5BC9ACCE"/>
    <w:rsid w:val="5BD063AB"/>
    <w:rsid w:val="5BD489E5"/>
    <w:rsid w:val="5BDDDECF"/>
    <w:rsid w:val="5BE02097"/>
    <w:rsid w:val="5BE080E7"/>
    <w:rsid w:val="5BE69E5D"/>
    <w:rsid w:val="5BE78BC0"/>
    <w:rsid w:val="5BF16408"/>
    <w:rsid w:val="5C00D626"/>
    <w:rsid w:val="5C040971"/>
    <w:rsid w:val="5C06C26B"/>
    <w:rsid w:val="5C0CB3C9"/>
    <w:rsid w:val="5C0CCBB0"/>
    <w:rsid w:val="5C0F9143"/>
    <w:rsid w:val="5C14C657"/>
    <w:rsid w:val="5C1C2BC6"/>
    <w:rsid w:val="5C22256D"/>
    <w:rsid w:val="5C260D9A"/>
    <w:rsid w:val="5C3FAFE1"/>
    <w:rsid w:val="5C402CC4"/>
    <w:rsid w:val="5C4EA610"/>
    <w:rsid w:val="5C5B6571"/>
    <w:rsid w:val="5C76AFAF"/>
    <w:rsid w:val="5C770EFE"/>
    <w:rsid w:val="5C77967B"/>
    <w:rsid w:val="5C79C91B"/>
    <w:rsid w:val="5C7A8BCD"/>
    <w:rsid w:val="5C7C1A8F"/>
    <w:rsid w:val="5C7E86C2"/>
    <w:rsid w:val="5C88A6BF"/>
    <w:rsid w:val="5C8E7CF5"/>
    <w:rsid w:val="5C948860"/>
    <w:rsid w:val="5C991D65"/>
    <w:rsid w:val="5C9F2A97"/>
    <w:rsid w:val="5CA3FDC5"/>
    <w:rsid w:val="5CA5B6F2"/>
    <w:rsid w:val="5CA8EEA3"/>
    <w:rsid w:val="5CAA52EB"/>
    <w:rsid w:val="5CB231E9"/>
    <w:rsid w:val="5CB5BCEF"/>
    <w:rsid w:val="5CBA0039"/>
    <w:rsid w:val="5CC35D21"/>
    <w:rsid w:val="5CC6EBE7"/>
    <w:rsid w:val="5CCAA945"/>
    <w:rsid w:val="5CCAF574"/>
    <w:rsid w:val="5CCDA9B3"/>
    <w:rsid w:val="5CD3F227"/>
    <w:rsid w:val="5CD4EE09"/>
    <w:rsid w:val="5CDA11EC"/>
    <w:rsid w:val="5CDC10AC"/>
    <w:rsid w:val="5CE128D2"/>
    <w:rsid w:val="5CE1486A"/>
    <w:rsid w:val="5CE37AFE"/>
    <w:rsid w:val="5CEAB542"/>
    <w:rsid w:val="5CEE072C"/>
    <w:rsid w:val="5CEEAD92"/>
    <w:rsid w:val="5CF75DFF"/>
    <w:rsid w:val="5CF7E2A3"/>
    <w:rsid w:val="5D011909"/>
    <w:rsid w:val="5D044044"/>
    <w:rsid w:val="5D04AA6F"/>
    <w:rsid w:val="5D05AEDA"/>
    <w:rsid w:val="5D070566"/>
    <w:rsid w:val="5D084044"/>
    <w:rsid w:val="5D085348"/>
    <w:rsid w:val="5D08840A"/>
    <w:rsid w:val="5D08BCA7"/>
    <w:rsid w:val="5D08C9BC"/>
    <w:rsid w:val="5D0CC38D"/>
    <w:rsid w:val="5D0DE62C"/>
    <w:rsid w:val="5D0F3AEC"/>
    <w:rsid w:val="5D170615"/>
    <w:rsid w:val="5D18552F"/>
    <w:rsid w:val="5D220BF2"/>
    <w:rsid w:val="5D226DEC"/>
    <w:rsid w:val="5D26C944"/>
    <w:rsid w:val="5D308E40"/>
    <w:rsid w:val="5D315812"/>
    <w:rsid w:val="5D31DB81"/>
    <w:rsid w:val="5D3BC796"/>
    <w:rsid w:val="5D3F20B7"/>
    <w:rsid w:val="5D3FB3F3"/>
    <w:rsid w:val="5D42A5A0"/>
    <w:rsid w:val="5D434EC2"/>
    <w:rsid w:val="5D437562"/>
    <w:rsid w:val="5D47DE23"/>
    <w:rsid w:val="5D59EE4D"/>
    <w:rsid w:val="5D67886B"/>
    <w:rsid w:val="5D684224"/>
    <w:rsid w:val="5D6B0CC7"/>
    <w:rsid w:val="5D702D0E"/>
    <w:rsid w:val="5D72E9AC"/>
    <w:rsid w:val="5D774818"/>
    <w:rsid w:val="5D7ACDBA"/>
    <w:rsid w:val="5D7D82D4"/>
    <w:rsid w:val="5D858D64"/>
    <w:rsid w:val="5D85FF6C"/>
    <w:rsid w:val="5D89DCFB"/>
    <w:rsid w:val="5D89F296"/>
    <w:rsid w:val="5D9083F5"/>
    <w:rsid w:val="5D917F13"/>
    <w:rsid w:val="5D96138D"/>
    <w:rsid w:val="5D9806A5"/>
    <w:rsid w:val="5DAB0D08"/>
    <w:rsid w:val="5DB2114D"/>
    <w:rsid w:val="5DB3F21B"/>
    <w:rsid w:val="5DC1DEBC"/>
    <w:rsid w:val="5DC3BBA8"/>
    <w:rsid w:val="5DC4554F"/>
    <w:rsid w:val="5DD56042"/>
    <w:rsid w:val="5DD84CD4"/>
    <w:rsid w:val="5DD9F2D6"/>
    <w:rsid w:val="5DDF865A"/>
    <w:rsid w:val="5DE545E2"/>
    <w:rsid w:val="5DECDC22"/>
    <w:rsid w:val="5DED79FA"/>
    <w:rsid w:val="5DEE635A"/>
    <w:rsid w:val="5DF119C1"/>
    <w:rsid w:val="5DF6DB42"/>
    <w:rsid w:val="5DFBC0F8"/>
    <w:rsid w:val="5E00ACDA"/>
    <w:rsid w:val="5E01072F"/>
    <w:rsid w:val="5E019E11"/>
    <w:rsid w:val="5E026466"/>
    <w:rsid w:val="5E0B061A"/>
    <w:rsid w:val="5E0CFD8B"/>
    <w:rsid w:val="5E10B642"/>
    <w:rsid w:val="5E110830"/>
    <w:rsid w:val="5E136B41"/>
    <w:rsid w:val="5E18862D"/>
    <w:rsid w:val="5E1C87AB"/>
    <w:rsid w:val="5E2DF89A"/>
    <w:rsid w:val="5E2FF085"/>
    <w:rsid w:val="5E31767A"/>
    <w:rsid w:val="5E31786E"/>
    <w:rsid w:val="5E3406DA"/>
    <w:rsid w:val="5E388769"/>
    <w:rsid w:val="5E3D43CC"/>
    <w:rsid w:val="5E3EF442"/>
    <w:rsid w:val="5E3F7936"/>
    <w:rsid w:val="5E431BD7"/>
    <w:rsid w:val="5E445541"/>
    <w:rsid w:val="5E452A3A"/>
    <w:rsid w:val="5E4720AB"/>
    <w:rsid w:val="5E47B62E"/>
    <w:rsid w:val="5E4D51DE"/>
    <w:rsid w:val="5E531684"/>
    <w:rsid w:val="5E59160D"/>
    <w:rsid w:val="5E5BCFC6"/>
    <w:rsid w:val="5E5C820B"/>
    <w:rsid w:val="5E6677CE"/>
    <w:rsid w:val="5E67107F"/>
    <w:rsid w:val="5E713788"/>
    <w:rsid w:val="5E736660"/>
    <w:rsid w:val="5E73E5CE"/>
    <w:rsid w:val="5E7529DA"/>
    <w:rsid w:val="5E7D6BD0"/>
    <w:rsid w:val="5E7E546E"/>
    <w:rsid w:val="5E856C9D"/>
    <w:rsid w:val="5E891244"/>
    <w:rsid w:val="5E8AD283"/>
    <w:rsid w:val="5E8DF2AF"/>
    <w:rsid w:val="5E961ED5"/>
    <w:rsid w:val="5E9A65B5"/>
    <w:rsid w:val="5E9E6C14"/>
    <w:rsid w:val="5EA161AB"/>
    <w:rsid w:val="5EA6C64F"/>
    <w:rsid w:val="5EAD66F0"/>
    <w:rsid w:val="5EBCAF2D"/>
    <w:rsid w:val="5EBE1038"/>
    <w:rsid w:val="5EBE5DE6"/>
    <w:rsid w:val="5EC55741"/>
    <w:rsid w:val="5EC7373F"/>
    <w:rsid w:val="5ECBAFA3"/>
    <w:rsid w:val="5ECC434F"/>
    <w:rsid w:val="5ECC4450"/>
    <w:rsid w:val="5ECFCBAB"/>
    <w:rsid w:val="5ECFFFC9"/>
    <w:rsid w:val="5ED2019F"/>
    <w:rsid w:val="5ED4A5C6"/>
    <w:rsid w:val="5ED54BD1"/>
    <w:rsid w:val="5ED59123"/>
    <w:rsid w:val="5ED71310"/>
    <w:rsid w:val="5EE24F5D"/>
    <w:rsid w:val="5EE55144"/>
    <w:rsid w:val="5EEDE682"/>
    <w:rsid w:val="5EEF71B2"/>
    <w:rsid w:val="5EF14807"/>
    <w:rsid w:val="5EF440E8"/>
    <w:rsid w:val="5EFCC257"/>
    <w:rsid w:val="5F025050"/>
    <w:rsid w:val="5F04A0E3"/>
    <w:rsid w:val="5F07E2FB"/>
    <w:rsid w:val="5F0B9989"/>
    <w:rsid w:val="5F1092F1"/>
    <w:rsid w:val="5F11FF6C"/>
    <w:rsid w:val="5F13BF22"/>
    <w:rsid w:val="5F150E21"/>
    <w:rsid w:val="5F1B5D7B"/>
    <w:rsid w:val="5F1C577B"/>
    <w:rsid w:val="5F235717"/>
    <w:rsid w:val="5F26DB9A"/>
    <w:rsid w:val="5F2836E0"/>
    <w:rsid w:val="5F2A2297"/>
    <w:rsid w:val="5F2B8B2F"/>
    <w:rsid w:val="5F2DA7A0"/>
    <w:rsid w:val="5F32D8B4"/>
    <w:rsid w:val="5F395BCB"/>
    <w:rsid w:val="5F39967A"/>
    <w:rsid w:val="5F4024F2"/>
    <w:rsid w:val="5F4D97E4"/>
    <w:rsid w:val="5F502F21"/>
    <w:rsid w:val="5F53B51C"/>
    <w:rsid w:val="5F554A5E"/>
    <w:rsid w:val="5F5929FF"/>
    <w:rsid w:val="5F613331"/>
    <w:rsid w:val="5F6F0B1E"/>
    <w:rsid w:val="5F6F38C0"/>
    <w:rsid w:val="5F728EC8"/>
    <w:rsid w:val="5F72B203"/>
    <w:rsid w:val="5F7BAE81"/>
    <w:rsid w:val="5F7F5F9D"/>
    <w:rsid w:val="5F7F8A04"/>
    <w:rsid w:val="5F8ADE89"/>
    <w:rsid w:val="5F93CEF5"/>
    <w:rsid w:val="5F989637"/>
    <w:rsid w:val="5FA4F06C"/>
    <w:rsid w:val="5FAA747A"/>
    <w:rsid w:val="5FAD6562"/>
    <w:rsid w:val="5FAE0BC4"/>
    <w:rsid w:val="5FB169DD"/>
    <w:rsid w:val="5FB2F0F4"/>
    <w:rsid w:val="5FB798DC"/>
    <w:rsid w:val="5FB7BBAD"/>
    <w:rsid w:val="5FBE14C2"/>
    <w:rsid w:val="5FC22810"/>
    <w:rsid w:val="5FCDDA53"/>
    <w:rsid w:val="5FCEBE70"/>
    <w:rsid w:val="5FD31924"/>
    <w:rsid w:val="5FD5ABC6"/>
    <w:rsid w:val="5FD95077"/>
    <w:rsid w:val="5FE42A23"/>
    <w:rsid w:val="5FEC89D8"/>
    <w:rsid w:val="5FF2D580"/>
    <w:rsid w:val="5FFCF6DA"/>
    <w:rsid w:val="5FFF15AA"/>
    <w:rsid w:val="60052146"/>
    <w:rsid w:val="6008DF75"/>
    <w:rsid w:val="60090415"/>
    <w:rsid w:val="600B2852"/>
    <w:rsid w:val="601A9571"/>
    <w:rsid w:val="601B7D5F"/>
    <w:rsid w:val="601E8A53"/>
    <w:rsid w:val="60250413"/>
    <w:rsid w:val="602582D6"/>
    <w:rsid w:val="6026E79E"/>
    <w:rsid w:val="6029A5CC"/>
    <w:rsid w:val="602F7FC0"/>
    <w:rsid w:val="602FCE03"/>
    <w:rsid w:val="6043E604"/>
    <w:rsid w:val="6046F5AB"/>
    <w:rsid w:val="6047B04F"/>
    <w:rsid w:val="604EF9BF"/>
    <w:rsid w:val="6055C35E"/>
    <w:rsid w:val="6055EC0F"/>
    <w:rsid w:val="605DA28C"/>
    <w:rsid w:val="605E10BF"/>
    <w:rsid w:val="605F53E0"/>
    <w:rsid w:val="6062A18C"/>
    <w:rsid w:val="606B0871"/>
    <w:rsid w:val="606DBB73"/>
    <w:rsid w:val="60703633"/>
    <w:rsid w:val="60712F12"/>
    <w:rsid w:val="6077D941"/>
    <w:rsid w:val="6078B16C"/>
    <w:rsid w:val="6078F2AB"/>
    <w:rsid w:val="60796AFB"/>
    <w:rsid w:val="607EE229"/>
    <w:rsid w:val="60820B36"/>
    <w:rsid w:val="6087B92A"/>
    <w:rsid w:val="608BD378"/>
    <w:rsid w:val="608CC474"/>
    <w:rsid w:val="608DC385"/>
    <w:rsid w:val="60956869"/>
    <w:rsid w:val="60A86699"/>
    <w:rsid w:val="60A99247"/>
    <w:rsid w:val="60AA01AA"/>
    <w:rsid w:val="60AC3392"/>
    <w:rsid w:val="60B07080"/>
    <w:rsid w:val="60B1A3C1"/>
    <w:rsid w:val="60B59424"/>
    <w:rsid w:val="60BC2BCE"/>
    <w:rsid w:val="60C0408F"/>
    <w:rsid w:val="60C299E0"/>
    <w:rsid w:val="60C7A25F"/>
    <w:rsid w:val="60CA2D99"/>
    <w:rsid w:val="60CD25E2"/>
    <w:rsid w:val="60D3FB97"/>
    <w:rsid w:val="60D5F42A"/>
    <w:rsid w:val="60D7F1D8"/>
    <w:rsid w:val="60D826D3"/>
    <w:rsid w:val="60E18808"/>
    <w:rsid w:val="60E498C2"/>
    <w:rsid w:val="60E83740"/>
    <w:rsid w:val="60E87EB1"/>
    <w:rsid w:val="60EA793F"/>
    <w:rsid w:val="60EB3D4F"/>
    <w:rsid w:val="60EBAC01"/>
    <w:rsid w:val="60EFE2C1"/>
    <w:rsid w:val="60F8BB76"/>
    <w:rsid w:val="60FAFD93"/>
    <w:rsid w:val="6101D206"/>
    <w:rsid w:val="61031B5E"/>
    <w:rsid w:val="61083897"/>
    <w:rsid w:val="610B7CCB"/>
    <w:rsid w:val="6114898F"/>
    <w:rsid w:val="61177A92"/>
    <w:rsid w:val="611E9B01"/>
    <w:rsid w:val="6122C18B"/>
    <w:rsid w:val="6125528B"/>
    <w:rsid w:val="6125778D"/>
    <w:rsid w:val="61276205"/>
    <w:rsid w:val="61279067"/>
    <w:rsid w:val="612C3DE3"/>
    <w:rsid w:val="612E048C"/>
    <w:rsid w:val="613147AE"/>
    <w:rsid w:val="61417F40"/>
    <w:rsid w:val="614B9942"/>
    <w:rsid w:val="614ED005"/>
    <w:rsid w:val="6152327F"/>
    <w:rsid w:val="615925F2"/>
    <w:rsid w:val="615EE747"/>
    <w:rsid w:val="616E6B2D"/>
    <w:rsid w:val="61713516"/>
    <w:rsid w:val="6174C816"/>
    <w:rsid w:val="61858326"/>
    <w:rsid w:val="61891218"/>
    <w:rsid w:val="6189ED09"/>
    <w:rsid w:val="618B733B"/>
    <w:rsid w:val="618DDBA6"/>
    <w:rsid w:val="6190E389"/>
    <w:rsid w:val="6197E652"/>
    <w:rsid w:val="619D0C5D"/>
    <w:rsid w:val="619EEC0C"/>
    <w:rsid w:val="61A18036"/>
    <w:rsid w:val="61A4C726"/>
    <w:rsid w:val="61B6EDE9"/>
    <w:rsid w:val="61B90274"/>
    <w:rsid w:val="61BF2CE6"/>
    <w:rsid w:val="61C1AB07"/>
    <w:rsid w:val="61C7720F"/>
    <w:rsid w:val="61CA5571"/>
    <w:rsid w:val="61CF5BCF"/>
    <w:rsid w:val="61D1BD8F"/>
    <w:rsid w:val="61D4BB84"/>
    <w:rsid w:val="61DB7FD5"/>
    <w:rsid w:val="61E11BA2"/>
    <w:rsid w:val="61E7E197"/>
    <w:rsid w:val="61EBAE56"/>
    <w:rsid w:val="61EFEA7E"/>
    <w:rsid w:val="61F199D0"/>
    <w:rsid w:val="61F443DC"/>
    <w:rsid w:val="61F7B0AD"/>
    <w:rsid w:val="620097FD"/>
    <w:rsid w:val="620547F2"/>
    <w:rsid w:val="6209C3D2"/>
    <w:rsid w:val="62130C3D"/>
    <w:rsid w:val="621BCDC2"/>
    <w:rsid w:val="621D67D3"/>
    <w:rsid w:val="622A76A2"/>
    <w:rsid w:val="62309B28"/>
    <w:rsid w:val="6230EC10"/>
    <w:rsid w:val="62354370"/>
    <w:rsid w:val="6240478D"/>
    <w:rsid w:val="62460E00"/>
    <w:rsid w:val="624BB3E4"/>
    <w:rsid w:val="62508D37"/>
    <w:rsid w:val="62561B4B"/>
    <w:rsid w:val="6256BA50"/>
    <w:rsid w:val="62608041"/>
    <w:rsid w:val="6261D227"/>
    <w:rsid w:val="6266F97D"/>
    <w:rsid w:val="626A9CAE"/>
    <w:rsid w:val="627E8C40"/>
    <w:rsid w:val="628248B8"/>
    <w:rsid w:val="6284531C"/>
    <w:rsid w:val="6289BE25"/>
    <w:rsid w:val="628F59CF"/>
    <w:rsid w:val="62907612"/>
    <w:rsid w:val="6291E35D"/>
    <w:rsid w:val="6292CF4C"/>
    <w:rsid w:val="629CB3EB"/>
    <w:rsid w:val="629DC1F9"/>
    <w:rsid w:val="62A0B07A"/>
    <w:rsid w:val="62A0C0B6"/>
    <w:rsid w:val="62A46209"/>
    <w:rsid w:val="62A54539"/>
    <w:rsid w:val="62A96BB3"/>
    <w:rsid w:val="62B64457"/>
    <w:rsid w:val="62BF9A7C"/>
    <w:rsid w:val="62BFA50E"/>
    <w:rsid w:val="62BFFC1D"/>
    <w:rsid w:val="62C06F1C"/>
    <w:rsid w:val="62CA34AC"/>
    <w:rsid w:val="62CCB5DC"/>
    <w:rsid w:val="62D0FE6B"/>
    <w:rsid w:val="62D55775"/>
    <w:rsid w:val="62DA4AB5"/>
    <w:rsid w:val="62DC12E6"/>
    <w:rsid w:val="62E18997"/>
    <w:rsid w:val="62E1DEFF"/>
    <w:rsid w:val="62F28F09"/>
    <w:rsid w:val="62F71A36"/>
    <w:rsid w:val="62F879E3"/>
    <w:rsid w:val="62F941A8"/>
    <w:rsid w:val="62FE6E44"/>
    <w:rsid w:val="6301D535"/>
    <w:rsid w:val="6303299C"/>
    <w:rsid w:val="630A36D7"/>
    <w:rsid w:val="630A7672"/>
    <w:rsid w:val="63104E05"/>
    <w:rsid w:val="6310964B"/>
    <w:rsid w:val="6319A578"/>
    <w:rsid w:val="631B3D7E"/>
    <w:rsid w:val="631E4229"/>
    <w:rsid w:val="632DF85D"/>
    <w:rsid w:val="632F6658"/>
    <w:rsid w:val="6331205D"/>
    <w:rsid w:val="63399543"/>
    <w:rsid w:val="633B5ACE"/>
    <w:rsid w:val="633FAC4C"/>
    <w:rsid w:val="634035B8"/>
    <w:rsid w:val="634199A8"/>
    <w:rsid w:val="63479B23"/>
    <w:rsid w:val="634CACCE"/>
    <w:rsid w:val="634FFDC7"/>
    <w:rsid w:val="6352C6E5"/>
    <w:rsid w:val="6357D2CF"/>
    <w:rsid w:val="6358064B"/>
    <w:rsid w:val="635DB34D"/>
    <w:rsid w:val="635EC700"/>
    <w:rsid w:val="636DF1AF"/>
    <w:rsid w:val="636DFBAF"/>
    <w:rsid w:val="636FFC7C"/>
    <w:rsid w:val="637124FD"/>
    <w:rsid w:val="6372BA6B"/>
    <w:rsid w:val="6372F9F2"/>
    <w:rsid w:val="63767E21"/>
    <w:rsid w:val="637A7A97"/>
    <w:rsid w:val="637E6EC4"/>
    <w:rsid w:val="6380C67A"/>
    <w:rsid w:val="63858426"/>
    <w:rsid w:val="638EDBF1"/>
    <w:rsid w:val="63943FA6"/>
    <w:rsid w:val="639BA3B4"/>
    <w:rsid w:val="63A99DFF"/>
    <w:rsid w:val="63B29C2F"/>
    <w:rsid w:val="63BA5BBA"/>
    <w:rsid w:val="63BC84D1"/>
    <w:rsid w:val="63BD38CE"/>
    <w:rsid w:val="63BD7867"/>
    <w:rsid w:val="63C2371D"/>
    <w:rsid w:val="63C37AB6"/>
    <w:rsid w:val="63CA25D0"/>
    <w:rsid w:val="63CBAE9C"/>
    <w:rsid w:val="63D283CB"/>
    <w:rsid w:val="63D2B2B5"/>
    <w:rsid w:val="63D7F3B3"/>
    <w:rsid w:val="63DEEED4"/>
    <w:rsid w:val="63EA97EE"/>
    <w:rsid w:val="63F2CBB0"/>
    <w:rsid w:val="63F3ACE9"/>
    <w:rsid w:val="63FAF96E"/>
    <w:rsid w:val="63FE1A04"/>
    <w:rsid w:val="6408F84A"/>
    <w:rsid w:val="640FD967"/>
    <w:rsid w:val="64101A23"/>
    <w:rsid w:val="64166713"/>
    <w:rsid w:val="6417B80B"/>
    <w:rsid w:val="6417F236"/>
    <w:rsid w:val="643B8E73"/>
    <w:rsid w:val="644D381F"/>
    <w:rsid w:val="644F5724"/>
    <w:rsid w:val="64500586"/>
    <w:rsid w:val="6453DDF9"/>
    <w:rsid w:val="64585503"/>
    <w:rsid w:val="6458A89D"/>
    <w:rsid w:val="645E1A01"/>
    <w:rsid w:val="64604E90"/>
    <w:rsid w:val="6463208F"/>
    <w:rsid w:val="6463CD9A"/>
    <w:rsid w:val="647D12D4"/>
    <w:rsid w:val="647F028A"/>
    <w:rsid w:val="648121E0"/>
    <w:rsid w:val="6485DB67"/>
    <w:rsid w:val="6487286E"/>
    <w:rsid w:val="6489727D"/>
    <w:rsid w:val="649F072B"/>
    <w:rsid w:val="649F34F4"/>
    <w:rsid w:val="64A1A575"/>
    <w:rsid w:val="64A72970"/>
    <w:rsid w:val="64AAC6B2"/>
    <w:rsid w:val="64AB8C64"/>
    <w:rsid w:val="64AC75A4"/>
    <w:rsid w:val="64B5BB50"/>
    <w:rsid w:val="64BB2203"/>
    <w:rsid w:val="64C0E879"/>
    <w:rsid w:val="64CA63D5"/>
    <w:rsid w:val="64CB6E71"/>
    <w:rsid w:val="64CEF773"/>
    <w:rsid w:val="64CF8714"/>
    <w:rsid w:val="64D42C6F"/>
    <w:rsid w:val="64D5A73E"/>
    <w:rsid w:val="64E9BAF0"/>
    <w:rsid w:val="64EA597B"/>
    <w:rsid w:val="64EBFFFE"/>
    <w:rsid w:val="64EC93A3"/>
    <w:rsid w:val="64F01D39"/>
    <w:rsid w:val="64F068F4"/>
    <w:rsid w:val="64F4DC5F"/>
    <w:rsid w:val="64FBB44C"/>
    <w:rsid w:val="64FCC8D8"/>
    <w:rsid w:val="65022A7A"/>
    <w:rsid w:val="650AB763"/>
    <w:rsid w:val="650CBF2C"/>
    <w:rsid w:val="650F0376"/>
    <w:rsid w:val="6513C03C"/>
    <w:rsid w:val="6517D7CA"/>
    <w:rsid w:val="6521248F"/>
    <w:rsid w:val="6522401A"/>
    <w:rsid w:val="6526178F"/>
    <w:rsid w:val="652AAC0E"/>
    <w:rsid w:val="652BF970"/>
    <w:rsid w:val="652D5D89"/>
    <w:rsid w:val="65304D1B"/>
    <w:rsid w:val="6538425B"/>
    <w:rsid w:val="653DC83F"/>
    <w:rsid w:val="6540C689"/>
    <w:rsid w:val="654150B4"/>
    <w:rsid w:val="6541FCEB"/>
    <w:rsid w:val="654756F4"/>
    <w:rsid w:val="654B24CE"/>
    <w:rsid w:val="654FA7BE"/>
    <w:rsid w:val="65503B92"/>
    <w:rsid w:val="6554A2B3"/>
    <w:rsid w:val="6554CE49"/>
    <w:rsid w:val="6557F6A5"/>
    <w:rsid w:val="655DA560"/>
    <w:rsid w:val="6565B768"/>
    <w:rsid w:val="656A5222"/>
    <w:rsid w:val="6581F047"/>
    <w:rsid w:val="6583F13A"/>
    <w:rsid w:val="6586494E"/>
    <w:rsid w:val="658AFD94"/>
    <w:rsid w:val="6591A228"/>
    <w:rsid w:val="659875D3"/>
    <w:rsid w:val="6599424E"/>
    <w:rsid w:val="659D0892"/>
    <w:rsid w:val="65A1DCCF"/>
    <w:rsid w:val="65A24481"/>
    <w:rsid w:val="65A34DB4"/>
    <w:rsid w:val="65ADFA8E"/>
    <w:rsid w:val="65AE012F"/>
    <w:rsid w:val="65B59FA4"/>
    <w:rsid w:val="65BB0440"/>
    <w:rsid w:val="65CF3228"/>
    <w:rsid w:val="65D4EDFF"/>
    <w:rsid w:val="65DB29C9"/>
    <w:rsid w:val="65DC62EA"/>
    <w:rsid w:val="65DE1E4B"/>
    <w:rsid w:val="65E23484"/>
    <w:rsid w:val="65E7E673"/>
    <w:rsid w:val="65E8C54C"/>
    <w:rsid w:val="65EBC157"/>
    <w:rsid w:val="65ED421C"/>
    <w:rsid w:val="65ED6D50"/>
    <w:rsid w:val="65F3F577"/>
    <w:rsid w:val="65FDA44E"/>
    <w:rsid w:val="6600B79A"/>
    <w:rsid w:val="6603DE2F"/>
    <w:rsid w:val="6606A0C3"/>
    <w:rsid w:val="66090C37"/>
    <w:rsid w:val="6610BCE4"/>
    <w:rsid w:val="661BCAC8"/>
    <w:rsid w:val="661CE403"/>
    <w:rsid w:val="66302162"/>
    <w:rsid w:val="66316381"/>
    <w:rsid w:val="6631ED0F"/>
    <w:rsid w:val="6632490E"/>
    <w:rsid w:val="66429606"/>
    <w:rsid w:val="6644B951"/>
    <w:rsid w:val="66493F55"/>
    <w:rsid w:val="6657866B"/>
    <w:rsid w:val="665B770E"/>
    <w:rsid w:val="665EC29E"/>
    <w:rsid w:val="665FC1A6"/>
    <w:rsid w:val="6660CCB0"/>
    <w:rsid w:val="66653188"/>
    <w:rsid w:val="66653BF6"/>
    <w:rsid w:val="666B3BFA"/>
    <w:rsid w:val="666FAAEA"/>
    <w:rsid w:val="66717874"/>
    <w:rsid w:val="6676A3A1"/>
    <w:rsid w:val="667B5B74"/>
    <w:rsid w:val="668040D0"/>
    <w:rsid w:val="66810AB4"/>
    <w:rsid w:val="6682E38D"/>
    <w:rsid w:val="6687D7A1"/>
    <w:rsid w:val="6691115C"/>
    <w:rsid w:val="6695B551"/>
    <w:rsid w:val="66981FD2"/>
    <w:rsid w:val="66A13984"/>
    <w:rsid w:val="66A5BC50"/>
    <w:rsid w:val="66C9DE21"/>
    <w:rsid w:val="66E7EF3A"/>
    <w:rsid w:val="66E85643"/>
    <w:rsid w:val="66E89D08"/>
    <w:rsid w:val="66EACA13"/>
    <w:rsid w:val="66F55386"/>
    <w:rsid w:val="6708A931"/>
    <w:rsid w:val="670E7FE3"/>
    <w:rsid w:val="6712B443"/>
    <w:rsid w:val="67137A6F"/>
    <w:rsid w:val="6714573D"/>
    <w:rsid w:val="67156FB7"/>
    <w:rsid w:val="671769D7"/>
    <w:rsid w:val="671F41EE"/>
    <w:rsid w:val="6727A840"/>
    <w:rsid w:val="67287881"/>
    <w:rsid w:val="672DEC52"/>
    <w:rsid w:val="673057C2"/>
    <w:rsid w:val="673433CD"/>
    <w:rsid w:val="673CA17D"/>
    <w:rsid w:val="673EC5A5"/>
    <w:rsid w:val="674A14C2"/>
    <w:rsid w:val="674AEC1C"/>
    <w:rsid w:val="675114EB"/>
    <w:rsid w:val="675A1632"/>
    <w:rsid w:val="675C1205"/>
    <w:rsid w:val="675E196E"/>
    <w:rsid w:val="675F80B5"/>
    <w:rsid w:val="67658C7A"/>
    <w:rsid w:val="67715CE2"/>
    <w:rsid w:val="6775AB5A"/>
    <w:rsid w:val="6776CB53"/>
    <w:rsid w:val="67778043"/>
    <w:rsid w:val="677FDABF"/>
    <w:rsid w:val="6786A7C4"/>
    <w:rsid w:val="6787E878"/>
    <w:rsid w:val="6787EB3B"/>
    <w:rsid w:val="678D82A8"/>
    <w:rsid w:val="6790BADF"/>
    <w:rsid w:val="67975B19"/>
    <w:rsid w:val="6797FABC"/>
    <w:rsid w:val="679E968B"/>
    <w:rsid w:val="67A69A48"/>
    <w:rsid w:val="67ADDCEA"/>
    <w:rsid w:val="67AF9232"/>
    <w:rsid w:val="67B72A0E"/>
    <w:rsid w:val="67B8A7A9"/>
    <w:rsid w:val="67BF258C"/>
    <w:rsid w:val="67C1133F"/>
    <w:rsid w:val="67C2DFA9"/>
    <w:rsid w:val="67C7907F"/>
    <w:rsid w:val="67C863E1"/>
    <w:rsid w:val="67EC6745"/>
    <w:rsid w:val="67ECB542"/>
    <w:rsid w:val="67F1FC18"/>
    <w:rsid w:val="67F5B65C"/>
    <w:rsid w:val="67FA9D29"/>
    <w:rsid w:val="67FC40D3"/>
    <w:rsid w:val="67FE0C62"/>
    <w:rsid w:val="67FE753B"/>
    <w:rsid w:val="67FFE2E2"/>
    <w:rsid w:val="6800D5A4"/>
    <w:rsid w:val="6800EF76"/>
    <w:rsid w:val="6805C692"/>
    <w:rsid w:val="681085FF"/>
    <w:rsid w:val="6810993E"/>
    <w:rsid w:val="6812C190"/>
    <w:rsid w:val="68148DEB"/>
    <w:rsid w:val="68151E2A"/>
    <w:rsid w:val="681B71B2"/>
    <w:rsid w:val="6829BC45"/>
    <w:rsid w:val="683133DD"/>
    <w:rsid w:val="6831A1EE"/>
    <w:rsid w:val="6839603B"/>
    <w:rsid w:val="68409646"/>
    <w:rsid w:val="68570496"/>
    <w:rsid w:val="68641B9E"/>
    <w:rsid w:val="686EB181"/>
    <w:rsid w:val="6875E75B"/>
    <w:rsid w:val="68809B14"/>
    <w:rsid w:val="688B4A59"/>
    <w:rsid w:val="68901B22"/>
    <w:rsid w:val="68947FC5"/>
    <w:rsid w:val="68994E68"/>
    <w:rsid w:val="689AA475"/>
    <w:rsid w:val="689D95C6"/>
    <w:rsid w:val="68A4529B"/>
    <w:rsid w:val="68BF677C"/>
    <w:rsid w:val="68C8F308"/>
    <w:rsid w:val="68CA91E0"/>
    <w:rsid w:val="68D1BAAB"/>
    <w:rsid w:val="68DD4268"/>
    <w:rsid w:val="68DDC44A"/>
    <w:rsid w:val="68E22955"/>
    <w:rsid w:val="68E58E02"/>
    <w:rsid w:val="68EFC0EE"/>
    <w:rsid w:val="68F1C005"/>
    <w:rsid w:val="68F7D84F"/>
    <w:rsid w:val="6909863E"/>
    <w:rsid w:val="690D1BCB"/>
    <w:rsid w:val="690E9835"/>
    <w:rsid w:val="6916742D"/>
    <w:rsid w:val="691BE217"/>
    <w:rsid w:val="691C48AA"/>
    <w:rsid w:val="692D14D9"/>
    <w:rsid w:val="692E5521"/>
    <w:rsid w:val="6930561B"/>
    <w:rsid w:val="6935DB40"/>
    <w:rsid w:val="693BADF5"/>
    <w:rsid w:val="693CA510"/>
    <w:rsid w:val="693F3B74"/>
    <w:rsid w:val="694823D2"/>
    <w:rsid w:val="694914F7"/>
    <w:rsid w:val="694B348A"/>
    <w:rsid w:val="6950D695"/>
    <w:rsid w:val="6960ED0C"/>
    <w:rsid w:val="69668FBF"/>
    <w:rsid w:val="69698DD1"/>
    <w:rsid w:val="696E2B64"/>
    <w:rsid w:val="6979874E"/>
    <w:rsid w:val="69816EA1"/>
    <w:rsid w:val="6982F94B"/>
    <w:rsid w:val="69836AD6"/>
    <w:rsid w:val="69883169"/>
    <w:rsid w:val="6988B1C5"/>
    <w:rsid w:val="698F2E1B"/>
    <w:rsid w:val="69923A0D"/>
    <w:rsid w:val="699B6255"/>
    <w:rsid w:val="699DFD4E"/>
    <w:rsid w:val="69A09001"/>
    <w:rsid w:val="69A12A1A"/>
    <w:rsid w:val="69A894FC"/>
    <w:rsid w:val="69B4991E"/>
    <w:rsid w:val="69B7B3F0"/>
    <w:rsid w:val="69BB42C7"/>
    <w:rsid w:val="69BB5E6F"/>
    <w:rsid w:val="69BB822F"/>
    <w:rsid w:val="69BE6A59"/>
    <w:rsid w:val="69BFEDF8"/>
    <w:rsid w:val="69C2D83D"/>
    <w:rsid w:val="69C36A14"/>
    <w:rsid w:val="69C493A5"/>
    <w:rsid w:val="69C8E5B8"/>
    <w:rsid w:val="69C9CBD5"/>
    <w:rsid w:val="69C9D44F"/>
    <w:rsid w:val="69CA9FE1"/>
    <w:rsid w:val="69D61F56"/>
    <w:rsid w:val="69DB6BA5"/>
    <w:rsid w:val="69DBD383"/>
    <w:rsid w:val="69E4E11A"/>
    <w:rsid w:val="69E5EAF7"/>
    <w:rsid w:val="69E711BC"/>
    <w:rsid w:val="69E90AA8"/>
    <w:rsid w:val="69EFE5EB"/>
    <w:rsid w:val="69F2D11F"/>
    <w:rsid w:val="69FE772F"/>
    <w:rsid w:val="6A034074"/>
    <w:rsid w:val="6A04631F"/>
    <w:rsid w:val="6A09827F"/>
    <w:rsid w:val="6A0A56E1"/>
    <w:rsid w:val="6A0ED238"/>
    <w:rsid w:val="6A164B1C"/>
    <w:rsid w:val="6A1F4299"/>
    <w:rsid w:val="6A257C73"/>
    <w:rsid w:val="6A293D87"/>
    <w:rsid w:val="6A2B2D57"/>
    <w:rsid w:val="6A2C44A7"/>
    <w:rsid w:val="6A30B24F"/>
    <w:rsid w:val="6A32C59C"/>
    <w:rsid w:val="6A3445E8"/>
    <w:rsid w:val="6A3C0E1C"/>
    <w:rsid w:val="6A4704B7"/>
    <w:rsid w:val="6A480D27"/>
    <w:rsid w:val="6A4E2104"/>
    <w:rsid w:val="6A587678"/>
    <w:rsid w:val="6A5C2B9D"/>
    <w:rsid w:val="6A5CB839"/>
    <w:rsid w:val="6A6126C7"/>
    <w:rsid w:val="6A68FCE5"/>
    <w:rsid w:val="6A699565"/>
    <w:rsid w:val="6A6FF491"/>
    <w:rsid w:val="6A7B0A20"/>
    <w:rsid w:val="6A7E298E"/>
    <w:rsid w:val="6A80283E"/>
    <w:rsid w:val="6A8AB610"/>
    <w:rsid w:val="6A8C0397"/>
    <w:rsid w:val="6A8C1554"/>
    <w:rsid w:val="6A8CBFF8"/>
    <w:rsid w:val="6A9D1382"/>
    <w:rsid w:val="6AA1C73D"/>
    <w:rsid w:val="6AA4CEEC"/>
    <w:rsid w:val="6AA78B66"/>
    <w:rsid w:val="6AA7DCC3"/>
    <w:rsid w:val="6AAC5B43"/>
    <w:rsid w:val="6AB48D1D"/>
    <w:rsid w:val="6ABE1617"/>
    <w:rsid w:val="6AC44F08"/>
    <w:rsid w:val="6AC96943"/>
    <w:rsid w:val="6ACD55B0"/>
    <w:rsid w:val="6ACE54D4"/>
    <w:rsid w:val="6AD4DCD0"/>
    <w:rsid w:val="6AD8B925"/>
    <w:rsid w:val="6ADDB6AE"/>
    <w:rsid w:val="6AE6A619"/>
    <w:rsid w:val="6AE8DC59"/>
    <w:rsid w:val="6AEBF97A"/>
    <w:rsid w:val="6AF0772C"/>
    <w:rsid w:val="6AF8B401"/>
    <w:rsid w:val="6AFFEF3F"/>
    <w:rsid w:val="6B11CB7F"/>
    <w:rsid w:val="6B131FA9"/>
    <w:rsid w:val="6B153D00"/>
    <w:rsid w:val="6B1AA673"/>
    <w:rsid w:val="6B290626"/>
    <w:rsid w:val="6B2ECCF6"/>
    <w:rsid w:val="6B335D68"/>
    <w:rsid w:val="6B438541"/>
    <w:rsid w:val="6B43EA18"/>
    <w:rsid w:val="6B465339"/>
    <w:rsid w:val="6B61BB55"/>
    <w:rsid w:val="6B6EEB7A"/>
    <w:rsid w:val="6B726665"/>
    <w:rsid w:val="6B74A007"/>
    <w:rsid w:val="6B753594"/>
    <w:rsid w:val="6B7AA5CB"/>
    <w:rsid w:val="6B7BAFC5"/>
    <w:rsid w:val="6B8DC8DC"/>
    <w:rsid w:val="6B95278A"/>
    <w:rsid w:val="6B953910"/>
    <w:rsid w:val="6B96F865"/>
    <w:rsid w:val="6B970602"/>
    <w:rsid w:val="6B974C94"/>
    <w:rsid w:val="6B98B674"/>
    <w:rsid w:val="6BA666DD"/>
    <w:rsid w:val="6BA7F6CA"/>
    <w:rsid w:val="6BACFA23"/>
    <w:rsid w:val="6BBA6E0A"/>
    <w:rsid w:val="6BBA6E5B"/>
    <w:rsid w:val="6BBB67A5"/>
    <w:rsid w:val="6BC22132"/>
    <w:rsid w:val="6BC2BFCB"/>
    <w:rsid w:val="6BCAB38D"/>
    <w:rsid w:val="6BCDDBC4"/>
    <w:rsid w:val="6BCE023D"/>
    <w:rsid w:val="6BD65B79"/>
    <w:rsid w:val="6BDEC644"/>
    <w:rsid w:val="6BE27FD7"/>
    <w:rsid w:val="6BE2C0B5"/>
    <w:rsid w:val="6BEC4516"/>
    <w:rsid w:val="6BEC5ADA"/>
    <w:rsid w:val="6BFFC075"/>
    <w:rsid w:val="6C04FC17"/>
    <w:rsid w:val="6C098647"/>
    <w:rsid w:val="6C11C799"/>
    <w:rsid w:val="6C174AC4"/>
    <w:rsid w:val="6C19EC84"/>
    <w:rsid w:val="6C1CE3F3"/>
    <w:rsid w:val="6C20427B"/>
    <w:rsid w:val="6C2289E1"/>
    <w:rsid w:val="6C248B6C"/>
    <w:rsid w:val="6C2C8183"/>
    <w:rsid w:val="6C2D9656"/>
    <w:rsid w:val="6C30E0B3"/>
    <w:rsid w:val="6C33882A"/>
    <w:rsid w:val="6C34CA5A"/>
    <w:rsid w:val="6C362F4A"/>
    <w:rsid w:val="6C3C94FE"/>
    <w:rsid w:val="6C4179F9"/>
    <w:rsid w:val="6C4641B0"/>
    <w:rsid w:val="6C511DA7"/>
    <w:rsid w:val="6C526A96"/>
    <w:rsid w:val="6C581514"/>
    <w:rsid w:val="6C5ED8FB"/>
    <w:rsid w:val="6C5F91A3"/>
    <w:rsid w:val="6C69B4C7"/>
    <w:rsid w:val="6C710263"/>
    <w:rsid w:val="6C71EB82"/>
    <w:rsid w:val="6C777D2E"/>
    <w:rsid w:val="6C80246F"/>
    <w:rsid w:val="6C805332"/>
    <w:rsid w:val="6C81020F"/>
    <w:rsid w:val="6C8A22E8"/>
    <w:rsid w:val="6C8B6F98"/>
    <w:rsid w:val="6C910AB4"/>
    <w:rsid w:val="6C93B808"/>
    <w:rsid w:val="6C9C6BF4"/>
    <w:rsid w:val="6C9DF06D"/>
    <w:rsid w:val="6CA516F6"/>
    <w:rsid w:val="6CA671B6"/>
    <w:rsid w:val="6CA732D7"/>
    <w:rsid w:val="6CAC4927"/>
    <w:rsid w:val="6CB17F0F"/>
    <w:rsid w:val="6CB63B2B"/>
    <w:rsid w:val="6CBA05E1"/>
    <w:rsid w:val="6CBA14D0"/>
    <w:rsid w:val="6CBBB5C2"/>
    <w:rsid w:val="6CBFB266"/>
    <w:rsid w:val="6CC3B71F"/>
    <w:rsid w:val="6CC5B0E3"/>
    <w:rsid w:val="6CCB73E1"/>
    <w:rsid w:val="6CCBEE86"/>
    <w:rsid w:val="6CD1C464"/>
    <w:rsid w:val="6CD4953C"/>
    <w:rsid w:val="6CD5FA28"/>
    <w:rsid w:val="6CD94127"/>
    <w:rsid w:val="6CDE74F4"/>
    <w:rsid w:val="6CE16A83"/>
    <w:rsid w:val="6CE476CD"/>
    <w:rsid w:val="6CEDDF22"/>
    <w:rsid w:val="6CEF4642"/>
    <w:rsid w:val="6CF2B156"/>
    <w:rsid w:val="6CF2FBB3"/>
    <w:rsid w:val="6D09C4C4"/>
    <w:rsid w:val="6D10490D"/>
    <w:rsid w:val="6D17F0C7"/>
    <w:rsid w:val="6D182025"/>
    <w:rsid w:val="6D1DA771"/>
    <w:rsid w:val="6D1E5580"/>
    <w:rsid w:val="6D29FB58"/>
    <w:rsid w:val="6D2B1CF3"/>
    <w:rsid w:val="6D2D870E"/>
    <w:rsid w:val="6D338E5B"/>
    <w:rsid w:val="6D36E91D"/>
    <w:rsid w:val="6D3931D0"/>
    <w:rsid w:val="6D399379"/>
    <w:rsid w:val="6D43823D"/>
    <w:rsid w:val="6D45635D"/>
    <w:rsid w:val="6D49FFDF"/>
    <w:rsid w:val="6D4F7134"/>
    <w:rsid w:val="6D53D77F"/>
    <w:rsid w:val="6D54014F"/>
    <w:rsid w:val="6D55386A"/>
    <w:rsid w:val="6D568C2B"/>
    <w:rsid w:val="6D56EA18"/>
    <w:rsid w:val="6D57DE8C"/>
    <w:rsid w:val="6D58FB03"/>
    <w:rsid w:val="6D60F108"/>
    <w:rsid w:val="6D62C206"/>
    <w:rsid w:val="6D6AFC00"/>
    <w:rsid w:val="6D6B3D8C"/>
    <w:rsid w:val="6D72C632"/>
    <w:rsid w:val="6D7431E4"/>
    <w:rsid w:val="6D7DE953"/>
    <w:rsid w:val="6D80708D"/>
    <w:rsid w:val="6D841AF1"/>
    <w:rsid w:val="6D878ADA"/>
    <w:rsid w:val="6D885DA5"/>
    <w:rsid w:val="6D8A2118"/>
    <w:rsid w:val="6D8E01CD"/>
    <w:rsid w:val="6D9304F4"/>
    <w:rsid w:val="6D97C680"/>
    <w:rsid w:val="6D9A2B72"/>
    <w:rsid w:val="6DA3E896"/>
    <w:rsid w:val="6DA5A1E5"/>
    <w:rsid w:val="6DADCB01"/>
    <w:rsid w:val="6DAF9610"/>
    <w:rsid w:val="6DAFAD44"/>
    <w:rsid w:val="6DBCA719"/>
    <w:rsid w:val="6DBE5AB3"/>
    <w:rsid w:val="6DC52A65"/>
    <w:rsid w:val="6DD7C7FE"/>
    <w:rsid w:val="6DDC1A2C"/>
    <w:rsid w:val="6DE76E13"/>
    <w:rsid w:val="6DE87436"/>
    <w:rsid w:val="6DEB0A1C"/>
    <w:rsid w:val="6DF9487F"/>
    <w:rsid w:val="6DFA4CD7"/>
    <w:rsid w:val="6E0307CA"/>
    <w:rsid w:val="6E071B1F"/>
    <w:rsid w:val="6E08BD84"/>
    <w:rsid w:val="6E0BC548"/>
    <w:rsid w:val="6E14F4A0"/>
    <w:rsid w:val="6E16B57F"/>
    <w:rsid w:val="6E1777FC"/>
    <w:rsid w:val="6E1B18A7"/>
    <w:rsid w:val="6E1F61A5"/>
    <w:rsid w:val="6E1FB48B"/>
    <w:rsid w:val="6E203480"/>
    <w:rsid w:val="6E29CD71"/>
    <w:rsid w:val="6E2C4368"/>
    <w:rsid w:val="6E3342A5"/>
    <w:rsid w:val="6E381CDE"/>
    <w:rsid w:val="6E429DDA"/>
    <w:rsid w:val="6E460B53"/>
    <w:rsid w:val="6E49AC11"/>
    <w:rsid w:val="6E4BFA1B"/>
    <w:rsid w:val="6E5852C1"/>
    <w:rsid w:val="6E6458C2"/>
    <w:rsid w:val="6E661E31"/>
    <w:rsid w:val="6E750963"/>
    <w:rsid w:val="6E77DDDD"/>
    <w:rsid w:val="6E7C9ED1"/>
    <w:rsid w:val="6E84FFEE"/>
    <w:rsid w:val="6E8C966D"/>
    <w:rsid w:val="6E8D64E7"/>
    <w:rsid w:val="6E94E233"/>
    <w:rsid w:val="6EA0AC6F"/>
    <w:rsid w:val="6EA11820"/>
    <w:rsid w:val="6EA8D308"/>
    <w:rsid w:val="6EACD725"/>
    <w:rsid w:val="6EB72C42"/>
    <w:rsid w:val="6EB9E6E9"/>
    <w:rsid w:val="6EC10635"/>
    <w:rsid w:val="6EC9C9DB"/>
    <w:rsid w:val="6ED7CF1D"/>
    <w:rsid w:val="6ED8BAE6"/>
    <w:rsid w:val="6EDAD451"/>
    <w:rsid w:val="6EDC14B8"/>
    <w:rsid w:val="6EE0AD11"/>
    <w:rsid w:val="6EE157CA"/>
    <w:rsid w:val="6EEA4D8C"/>
    <w:rsid w:val="6EEE4B50"/>
    <w:rsid w:val="6EEFA660"/>
    <w:rsid w:val="6EF3843A"/>
    <w:rsid w:val="6EFB1D00"/>
    <w:rsid w:val="6EFE06AA"/>
    <w:rsid w:val="6F0082CD"/>
    <w:rsid w:val="6F08D108"/>
    <w:rsid w:val="6F0CD74A"/>
    <w:rsid w:val="6F0DEC69"/>
    <w:rsid w:val="6F10D879"/>
    <w:rsid w:val="6F14A714"/>
    <w:rsid w:val="6F1D31A9"/>
    <w:rsid w:val="6F25AAA1"/>
    <w:rsid w:val="6F277007"/>
    <w:rsid w:val="6F287CE0"/>
    <w:rsid w:val="6F36C34A"/>
    <w:rsid w:val="6F3BD8A1"/>
    <w:rsid w:val="6F3D4F26"/>
    <w:rsid w:val="6F46259B"/>
    <w:rsid w:val="6F54D6BC"/>
    <w:rsid w:val="6F5C7491"/>
    <w:rsid w:val="6F5E9310"/>
    <w:rsid w:val="6F603825"/>
    <w:rsid w:val="6F624181"/>
    <w:rsid w:val="6F627306"/>
    <w:rsid w:val="6F659985"/>
    <w:rsid w:val="6F65F91D"/>
    <w:rsid w:val="6F68DCC7"/>
    <w:rsid w:val="6F6DD00C"/>
    <w:rsid w:val="6F6EFCA6"/>
    <w:rsid w:val="6F76BF8D"/>
    <w:rsid w:val="6F77E646"/>
    <w:rsid w:val="6F7D232B"/>
    <w:rsid w:val="6F7EEF87"/>
    <w:rsid w:val="6F7F65D4"/>
    <w:rsid w:val="6F7FD620"/>
    <w:rsid w:val="6F84D606"/>
    <w:rsid w:val="6F88EA26"/>
    <w:rsid w:val="6F89A9F1"/>
    <w:rsid w:val="6F8DEDF5"/>
    <w:rsid w:val="6F9261EE"/>
    <w:rsid w:val="6F98134D"/>
    <w:rsid w:val="6F9A89EA"/>
    <w:rsid w:val="6F9BD91E"/>
    <w:rsid w:val="6FA391C7"/>
    <w:rsid w:val="6FB1D040"/>
    <w:rsid w:val="6FB2FEC4"/>
    <w:rsid w:val="6FB325F4"/>
    <w:rsid w:val="6FB78E5C"/>
    <w:rsid w:val="6FB7EE4C"/>
    <w:rsid w:val="6FBC9702"/>
    <w:rsid w:val="6FBEEAE5"/>
    <w:rsid w:val="6FBF1F6D"/>
    <w:rsid w:val="6FC02FD6"/>
    <w:rsid w:val="6FC81CF2"/>
    <w:rsid w:val="6FCF6115"/>
    <w:rsid w:val="6FD0C620"/>
    <w:rsid w:val="6FD12436"/>
    <w:rsid w:val="6FD7FB50"/>
    <w:rsid w:val="6FD8718A"/>
    <w:rsid w:val="6FDBC2F1"/>
    <w:rsid w:val="6FDE9C0E"/>
    <w:rsid w:val="6FE7821C"/>
    <w:rsid w:val="6FE7B1B1"/>
    <w:rsid w:val="6FE8A39B"/>
    <w:rsid w:val="6FEBC035"/>
    <w:rsid w:val="6FEC0B1C"/>
    <w:rsid w:val="6FEF1C3F"/>
    <w:rsid w:val="6FF2D71A"/>
    <w:rsid w:val="6FFD5826"/>
    <w:rsid w:val="6FFDED47"/>
    <w:rsid w:val="6FFFC027"/>
    <w:rsid w:val="700A0A9B"/>
    <w:rsid w:val="700A88F6"/>
    <w:rsid w:val="700E1B37"/>
    <w:rsid w:val="7013A015"/>
    <w:rsid w:val="7015A22C"/>
    <w:rsid w:val="701D9841"/>
    <w:rsid w:val="701F5135"/>
    <w:rsid w:val="7023F225"/>
    <w:rsid w:val="7025FD3C"/>
    <w:rsid w:val="702963DC"/>
    <w:rsid w:val="702B2BEB"/>
    <w:rsid w:val="70407DA1"/>
    <w:rsid w:val="7044A507"/>
    <w:rsid w:val="7046A5C3"/>
    <w:rsid w:val="704D365A"/>
    <w:rsid w:val="704F20E8"/>
    <w:rsid w:val="70504A91"/>
    <w:rsid w:val="70519D11"/>
    <w:rsid w:val="7052A795"/>
    <w:rsid w:val="705F423C"/>
    <w:rsid w:val="7063B520"/>
    <w:rsid w:val="7064713C"/>
    <w:rsid w:val="70662929"/>
    <w:rsid w:val="706D2FF7"/>
    <w:rsid w:val="7076C1D8"/>
    <w:rsid w:val="707770EF"/>
    <w:rsid w:val="707C0D91"/>
    <w:rsid w:val="707C8FC6"/>
    <w:rsid w:val="7082601B"/>
    <w:rsid w:val="708466AA"/>
    <w:rsid w:val="708B66F0"/>
    <w:rsid w:val="708E7FBC"/>
    <w:rsid w:val="7093A8BC"/>
    <w:rsid w:val="7096B752"/>
    <w:rsid w:val="709836CA"/>
    <w:rsid w:val="70A2C138"/>
    <w:rsid w:val="70A7933F"/>
    <w:rsid w:val="70AC2820"/>
    <w:rsid w:val="70B4382A"/>
    <w:rsid w:val="70B803A4"/>
    <w:rsid w:val="70BA3D8C"/>
    <w:rsid w:val="70BF4476"/>
    <w:rsid w:val="70C15F8A"/>
    <w:rsid w:val="70C1AE92"/>
    <w:rsid w:val="70C22EC6"/>
    <w:rsid w:val="70C3D470"/>
    <w:rsid w:val="70C6C77E"/>
    <w:rsid w:val="70C9C578"/>
    <w:rsid w:val="70CC032B"/>
    <w:rsid w:val="70CC30B0"/>
    <w:rsid w:val="70CEE1EA"/>
    <w:rsid w:val="70CF1528"/>
    <w:rsid w:val="70D9AE09"/>
    <w:rsid w:val="70DAC141"/>
    <w:rsid w:val="70F3D20F"/>
    <w:rsid w:val="70FE11E2"/>
    <w:rsid w:val="70FF4E6A"/>
    <w:rsid w:val="7100DA13"/>
    <w:rsid w:val="71055466"/>
    <w:rsid w:val="7106A24F"/>
    <w:rsid w:val="7109255A"/>
    <w:rsid w:val="710AA385"/>
    <w:rsid w:val="710C751D"/>
    <w:rsid w:val="7115103A"/>
    <w:rsid w:val="711B0260"/>
    <w:rsid w:val="711D275C"/>
    <w:rsid w:val="711DAFFB"/>
    <w:rsid w:val="7127089F"/>
    <w:rsid w:val="712771F6"/>
    <w:rsid w:val="71287994"/>
    <w:rsid w:val="713481FF"/>
    <w:rsid w:val="7134A21E"/>
    <w:rsid w:val="713637C5"/>
    <w:rsid w:val="713855B3"/>
    <w:rsid w:val="713AA88C"/>
    <w:rsid w:val="714A290F"/>
    <w:rsid w:val="7150D1BC"/>
    <w:rsid w:val="71521BE1"/>
    <w:rsid w:val="715832F1"/>
    <w:rsid w:val="71587318"/>
    <w:rsid w:val="7158F69D"/>
    <w:rsid w:val="715CDEAE"/>
    <w:rsid w:val="7164BCDB"/>
    <w:rsid w:val="716DEC80"/>
    <w:rsid w:val="717110A7"/>
    <w:rsid w:val="71732526"/>
    <w:rsid w:val="71739C8F"/>
    <w:rsid w:val="71783901"/>
    <w:rsid w:val="717B8874"/>
    <w:rsid w:val="717D871E"/>
    <w:rsid w:val="7189648C"/>
    <w:rsid w:val="71975B84"/>
    <w:rsid w:val="7197A419"/>
    <w:rsid w:val="7197CCD3"/>
    <w:rsid w:val="719B8AE5"/>
    <w:rsid w:val="719CF738"/>
    <w:rsid w:val="719FF2F4"/>
    <w:rsid w:val="71A25292"/>
    <w:rsid w:val="71A3571D"/>
    <w:rsid w:val="71A3BFB1"/>
    <w:rsid w:val="71A5050C"/>
    <w:rsid w:val="71A52695"/>
    <w:rsid w:val="71AD086F"/>
    <w:rsid w:val="71B11D2A"/>
    <w:rsid w:val="71B12B58"/>
    <w:rsid w:val="71BB60CE"/>
    <w:rsid w:val="71BF2AA7"/>
    <w:rsid w:val="71C33521"/>
    <w:rsid w:val="71C48363"/>
    <w:rsid w:val="71C505A9"/>
    <w:rsid w:val="71C56299"/>
    <w:rsid w:val="71C9CCDE"/>
    <w:rsid w:val="71CFB2AD"/>
    <w:rsid w:val="71DB4C90"/>
    <w:rsid w:val="71DFD76E"/>
    <w:rsid w:val="71EEBDC2"/>
    <w:rsid w:val="71F0192E"/>
    <w:rsid w:val="71F0E7BA"/>
    <w:rsid w:val="71F3C669"/>
    <w:rsid w:val="71F49560"/>
    <w:rsid w:val="71FE148F"/>
    <w:rsid w:val="720089B7"/>
    <w:rsid w:val="72074EBB"/>
    <w:rsid w:val="72080749"/>
    <w:rsid w:val="720C9489"/>
    <w:rsid w:val="721134C4"/>
    <w:rsid w:val="7221603C"/>
    <w:rsid w:val="7221EE4E"/>
    <w:rsid w:val="722B4FAF"/>
    <w:rsid w:val="72323AE8"/>
    <w:rsid w:val="72384C83"/>
    <w:rsid w:val="723B3E76"/>
    <w:rsid w:val="723D658F"/>
    <w:rsid w:val="72460F86"/>
    <w:rsid w:val="724A22D7"/>
    <w:rsid w:val="724BCFB5"/>
    <w:rsid w:val="724CB157"/>
    <w:rsid w:val="7252C0EA"/>
    <w:rsid w:val="7257891D"/>
    <w:rsid w:val="725D5A6A"/>
    <w:rsid w:val="7262C402"/>
    <w:rsid w:val="7267C42F"/>
    <w:rsid w:val="7267DC16"/>
    <w:rsid w:val="72681564"/>
    <w:rsid w:val="726BBD6A"/>
    <w:rsid w:val="726E1326"/>
    <w:rsid w:val="726EF9CA"/>
    <w:rsid w:val="727D6D99"/>
    <w:rsid w:val="728038AB"/>
    <w:rsid w:val="7280FE76"/>
    <w:rsid w:val="72823230"/>
    <w:rsid w:val="728CB09C"/>
    <w:rsid w:val="72943A10"/>
    <w:rsid w:val="7296CF4B"/>
    <w:rsid w:val="729E38C0"/>
    <w:rsid w:val="729F1043"/>
    <w:rsid w:val="72B2F0E7"/>
    <w:rsid w:val="72B4DD66"/>
    <w:rsid w:val="72BA3A61"/>
    <w:rsid w:val="72BAC6BD"/>
    <w:rsid w:val="72CE095F"/>
    <w:rsid w:val="72D74E3B"/>
    <w:rsid w:val="72D9D6DD"/>
    <w:rsid w:val="72E02469"/>
    <w:rsid w:val="72E02D8B"/>
    <w:rsid w:val="72E3EF09"/>
    <w:rsid w:val="72E7AE1A"/>
    <w:rsid w:val="72EF746B"/>
    <w:rsid w:val="72F083E3"/>
    <w:rsid w:val="72F15DF1"/>
    <w:rsid w:val="72F2E253"/>
    <w:rsid w:val="72F504C1"/>
    <w:rsid w:val="72F6BF81"/>
    <w:rsid w:val="72FB9BE4"/>
    <w:rsid w:val="7302FEA7"/>
    <w:rsid w:val="7305B66D"/>
    <w:rsid w:val="7306159F"/>
    <w:rsid w:val="73085453"/>
    <w:rsid w:val="730A8381"/>
    <w:rsid w:val="730FD057"/>
    <w:rsid w:val="73102383"/>
    <w:rsid w:val="7315351F"/>
    <w:rsid w:val="731B7916"/>
    <w:rsid w:val="731E8CE6"/>
    <w:rsid w:val="731FED01"/>
    <w:rsid w:val="73219535"/>
    <w:rsid w:val="7321DCDD"/>
    <w:rsid w:val="73260A27"/>
    <w:rsid w:val="7327073F"/>
    <w:rsid w:val="7327C264"/>
    <w:rsid w:val="732EF838"/>
    <w:rsid w:val="7331DC71"/>
    <w:rsid w:val="73328E92"/>
    <w:rsid w:val="733B268D"/>
    <w:rsid w:val="733D7170"/>
    <w:rsid w:val="733DD88F"/>
    <w:rsid w:val="734454AC"/>
    <w:rsid w:val="734549ED"/>
    <w:rsid w:val="734CC084"/>
    <w:rsid w:val="73558F80"/>
    <w:rsid w:val="73569283"/>
    <w:rsid w:val="73599070"/>
    <w:rsid w:val="735A5000"/>
    <w:rsid w:val="736132FA"/>
    <w:rsid w:val="73634A5E"/>
    <w:rsid w:val="736B1769"/>
    <w:rsid w:val="736DD263"/>
    <w:rsid w:val="737237F3"/>
    <w:rsid w:val="73736422"/>
    <w:rsid w:val="73765A8D"/>
    <w:rsid w:val="737CBF8F"/>
    <w:rsid w:val="7381DAD8"/>
    <w:rsid w:val="7386C1AA"/>
    <w:rsid w:val="738792AD"/>
    <w:rsid w:val="738ED8F0"/>
    <w:rsid w:val="738F806B"/>
    <w:rsid w:val="73907D06"/>
    <w:rsid w:val="73979212"/>
    <w:rsid w:val="739A571F"/>
    <w:rsid w:val="73A2E14E"/>
    <w:rsid w:val="73B43B55"/>
    <w:rsid w:val="73B71305"/>
    <w:rsid w:val="73B9BB00"/>
    <w:rsid w:val="73BDC666"/>
    <w:rsid w:val="73BEDAC1"/>
    <w:rsid w:val="73C0D280"/>
    <w:rsid w:val="73CE7AC4"/>
    <w:rsid w:val="73D6D017"/>
    <w:rsid w:val="73DC8D28"/>
    <w:rsid w:val="73E1D324"/>
    <w:rsid w:val="73E3C092"/>
    <w:rsid w:val="73E55884"/>
    <w:rsid w:val="73E60CB1"/>
    <w:rsid w:val="73F00E67"/>
    <w:rsid w:val="73F1566E"/>
    <w:rsid w:val="73FC083D"/>
    <w:rsid w:val="73FC8260"/>
    <w:rsid w:val="73FD2B5E"/>
    <w:rsid w:val="74031FA7"/>
    <w:rsid w:val="7404BFC2"/>
    <w:rsid w:val="74065A93"/>
    <w:rsid w:val="740D3A8A"/>
    <w:rsid w:val="740EC194"/>
    <w:rsid w:val="7415D3F5"/>
    <w:rsid w:val="741BCD12"/>
    <w:rsid w:val="741E4F60"/>
    <w:rsid w:val="74224E4C"/>
    <w:rsid w:val="74253071"/>
    <w:rsid w:val="74281A5A"/>
    <w:rsid w:val="74298703"/>
    <w:rsid w:val="742A18B7"/>
    <w:rsid w:val="742E02FC"/>
    <w:rsid w:val="7430B4C2"/>
    <w:rsid w:val="743276F8"/>
    <w:rsid w:val="74328741"/>
    <w:rsid w:val="7434FEBE"/>
    <w:rsid w:val="74378D72"/>
    <w:rsid w:val="743895E9"/>
    <w:rsid w:val="743F4B69"/>
    <w:rsid w:val="7443293B"/>
    <w:rsid w:val="7444405F"/>
    <w:rsid w:val="74504D9B"/>
    <w:rsid w:val="745138BE"/>
    <w:rsid w:val="7451FF79"/>
    <w:rsid w:val="74565A3C"/>
    <w:rsid w:val="745AF121"/>
    <w:rsid w:val="745ECBCD"/>
    <w:rsid w:val="74648893"/>
    <w:rsid w:val="7466D02A"/>
    <w:rsid w:val="7473ED86"/>
    <w:rsid w:val="7479127C"/>
    <w:rsid w:val="747B7B31"/>
    <w:rsid w:val="748042AD"/>
    <w:rsid w:val="74890EFF"/>
    <w:rsid w:val="748F421B"/>
    <w:rsid w:val="74A12947"/>
    <w:rsid w:val="74A23EEE"/>
    <w:rsid w:val="74A7DBD1"/>
    <w:rsid w:val="74AA0E32"/>
    <w:rsid w:val="74AA4DFF"/>
    <w:rsid w:val="74B82B96"/>
    <w:rsid w:val="74C00B55"/>
    <w:rsid w:val="74C07162"/>
    <w:rsid w:val="74C32D08"/>
    <w:rsid w:val="74C7023F"/>
    <w:rsid w:val="74C94881"/>
    <w:rsid w:val="74C9F487"/>
    <w:rsid w:val="74CA3A8C"/>
    <w:rsid w:val="74CAB8B2"/>
    <w:rsid w:val="74CB7F2C"/>
    <w:rsid w:val="74D85928"/>
    <w:rsid w:val="74D8E8EB"/>
    <w:rsid w:val="74DFA5B9"/>
    <w:rsid w:val="74E14399"/>
    <w:rsid w:val="74E52DA6"/>
    <w:rsid w:val="74ECF184"/>
    <w:rsid w:val="74F50269"/>
    <w:rsid w:val="74FF2E01"/>
    <w:rsid w:val="750A2943"/>
    <w:rsid w:val="7516287D"/>
    <w:rsid w:val="752300E2"/>
    <w:rsid w:val="75233A9E"/>
    <w:rsid w:val="7524F941"/>
    <w:rsid w:val="7527E3A4"/>
    <w:rsid w:val="752BB345"/>
    <w:rsid w:val="75302171"/>
    <w:rsid w:val="7533C0A9"/>
    <w:rsid w:val="754375AB"/>
    <w:rsid w:val="754C4D9D"/>
    <w:rsid w:val="7554170C"/>
    <w:rsid w:val="755566D2"/>
    <w:rsid w:val="7555A073"/>
    <w:rsid w:val="7556829A"/>
    <w:rsid w:val="755B28E0"/>
    <w:rsid w:val="755DBCF5"/>
    <w:rsid w:val="75620037"/>
    <w:rsid w:val="75675941"/>
    <w:rsid w:val="75695108"/>
    <w:rsid w:val="756B4F0C"/>
    <w:rsid w:val="756FEAFD"/>
    <w:rsid w:val="75720EDC"/>
    <w:rsid w:val="75737356"/>
    <w:rsid w:val="7577725F"/>
    <w:rsid w:val="757C18CE"/>
    <w:rsid w:val="75828491"/>
    <w:rsid w:val="7585C7FE"/>
    <w:rsid w:val="758DB25A"/>
    <w:rsid w:val="758FB7B4"/>
    <w:rsid w:val="7590A4EA"/>
    <w:rsid w:val="7592774D"/>
    <w:rsid w:val="759874D2"/>
    <w:rsid w:val="759E7A32"/>
    <w:rsid w:val="759ECCD6"/>
    <w:rsid w:val="759F375B"/>
    <w:rsid w:val="75A854B0"/>
    <w:rsid w:val="75B22447"/>
    <w:rsid w:val="75B4D79B"/>
    <w:rsid w:val="75BBA841"/>
    <w:rsid w:val="75BCCDDE"/>
    <w:rsid w:val="75BD1859"/>
    <w:rsid w:val="75C8C35E"/>
    <w:rsid w:val="75CCFAEA"/>
    <w:rsid w:val="75D3827A"/>
    <w:rsid w:val="75DA4F8C"/>
    <w:rsid w:val="75DD1190"/>
    <w:rsid w:val="75DE9BE9"/>
    <w:rsid w:val="75E93215"/>
    <w:rsid w:val="75EE89CE"/>
    <w:rsid w:val="75F2DCF4"/>
    <w:rsid w:val="75F4A210"/>
    <w:rsid w:val="75F551D2"/>
    <w:rsid w:val="75F68AD7"/>
    <w:rsid w:val="75F72EFE"/>
    <w:rsid w:val="75F767ED"/>
    <w:rsid w:val="75F84D7D"/>
    <w:rsid w:val="75FA42B0"/>
    <w:rsid w:val="760725BD"/>
    <w:rsid w:val="7613AD8C"/>
    <w:rsid w:val="7619ED87"/>
    <w:rsid w:val="7621E4A2"/>
    <w:rsid w:val="762B7264"/>
    <w:rsid w:val="762E56D2"/>
    <w:rsid w:val="762EE025"/>
    <w:rsid w:val="7638C38F"/>
    <w:rsid w:val="7638EE0F"/>
    <w:rsid w:val="764667C7"/>
    <w:rsid w:val="7649AC88"/>
    <w:rsid w:val="764BACA5"/>
    <w:rsid w:val="764C7594"/>
    <w:rsid w:val="764F1A10"/>
    <w:rsid w:val="7650FCCB"/>
    <w:rsid w:val="76552489"/>
    <w:rsid w:val="765873FA"/>
    <w:rsid w:val="765A3AFD"/>
    <w:rsid w:val="7660799B"/>
    <w:rsid w:val="76677EE2"/>
    <w:rsid w:val="7669CA19"/>
    <w:rsid w:val="766DDCE3"/>
    <w:rsid w:val="767BFD02"/>
    <w:rsid w:val="7685E20E"/>
    <w:rsid w:val="768EA467"/>
    <w:rsid w:val="76905BD0"/>
    <w:rsid w:val="7692A838"/>
    <w:rsid w:val="7693E387"/>
    <w:rsid w:val="769A0046"/>
    <w:rsid w:val="769B92AB"/>
    <w:rsid w:val="76A88F0E"/>
    <w:rsid w:val="76AADC10"/>
    <w:rsid w:val="76B5AE39"/>
    <w:rsid w:val="76CA2814"/>
    <w:rsid w:val="76CDEFC1"/>
    <w:rsid w:val="76D71D77"/>
    <w:rsid w:val="76DD7929"/>
    <w:rsid w:val="76DDA4A1"/>
    <w:rsid w:val="76DFDC09"/>
    <w:rsid w:val="76E5C46A"/>
    <w:rsid w:val="76E5EAC7"/>
    <w:rsid w:val="76E88EDF"/>
    <w:rsid w:val="76EAF804"/>
    <w:rsid w:val="76F5E7EC"/>
    <w:rsid w:val="76F895F8"/>
    <w:rsid w:val="76F951B2"/>
    <w:rsid w:val="76FC6358"/>
    <w:rsid w:val="76FDD9F6"/>
    <w:rsid w:val="7702219C"/>
    <w:rsid w:val="770309B5"/>
    <w:rsid w:val="77130E2C"/>
    <w:rsid w:val="7713A7EA"/>
    <w:rsid w:val="77140089"/>
    <w:rsid w:val="771479EA"/>
    <w:rsid w:val="771A499F"/>
    <w:rsid w:val="771E6945"/>
    <w:rsid w:val="77206723"/>
    <w:rsid w:val="77299D0A"/>
    <w:rsid w:val="772A1279"/>
    <w:rsid w:val="772EA6CE"/>
    <w:rsid w:val="77327D00"/>
    <w:rsid w:val="7732AEFB"/>
    <w:rsid w:val="77392E1C"/>
    <w:rsid w:val="773B95A0"/>
    <w:rsid w:val="773EA432"/>
    <w:rsid w:val="774013C1"/>
    <w:rsid w:val="77466366"/>
    <w:rsid w:val="77487462"/>
    <w:rsid w:val="774E1467"/>
    <w:rsid w:val="77505BD6"/>
    <w:rsid w:val="7751CD82"/>
    <w:rsid w:val="7757696F"/>
    <w:rsid w:val="77597477"/>
    <w:rsid w:val="775CFA80"/>
    <w:rsid w:val="775E1BCE"/>
    <w:rsid w:val="776A55FE"/>
    <w:rsid w:val="776C75F1"/>
    <w:rsid w:val="776D5366"/>
    <w:rsid w:val="777AD83C"/>
    <w:rsid w:val="777EA2CC"/>
    <w:rsid w:val="7782CEA7"/>
    <w:rsid w:val="7784A4CE"/>
    <w:rsid w:val="7785E7C2"/>
    <w:rsid w:val="778D2836"/>
    <w:rsid w:val="778DD17B"/>
    <w:rsid w:val="77938896"/>
    <w:rsid w:val="779A5504"/>
    <w:rsid w:val="77A25CD3"/>
    <w:rsid w:val="77B1F486"/>
    <w:rsid w:val="77BF4385"/>
    <w:rsid w:val="77C681E8"/>
    <w:rsid w:val="77C6B4EA"/>
    <w:rsid w:val="77C7CCC2"/>
    <w:rsid w:val="77C80C81"/>
    <w:rsid w:val="77C85A6B"/>
    <w:rsid w:val="77D4B840"/>
    <w:rsid w:val="77D94195"/>
    <w:rsid w:val="77E4D9F6"/>
    <w:rsid w:val="77E5B211"/>
    <w:rsid w:val="77E73C85"/>
    <w:rsid w:val="77E79F12"/>
    <w:rsid w:val="77EF2B36"/>
    <w:rsid w:val="77F26A0D"/>
    <w:rsid w:val="7802D06C"/>
    <w:rsid w:val="780AD023"/>
    <w:rsid w:val="780AFC60"/>
    <w:rsid w:val="78119416"/>
    <w:rsid w:val="78154491"/>
    <w:rsid w:val="78166BD5"/>
    <w:rsid w:val="781E56D5"/>
    <w:rsid w:val="78205420"/>
    <w:rsid w:val="7823BCB7"/>
    <w:rsid w:val="78265804"/>
    <w:rsid w:val="78318C58"/>
    <w:rsid w:val="783304A8"/>
    <w:rsid w:val="783B6B16"/>
    <w:rsid w:val="784C77D1"/>
    <w:rsid w:val="784D2CDD"/>
    <w:rsid w:val="7853864C"/>
    <w:rsid w:val="7859062D"/>
    <w:rsid w:val="78592375"/>
    <w:rsid w:val="7860D742"/>
    <w:rsid w:val="7866DDFC"/>
    <w:rsid w:val="7866F85C"/>
    <w:rsid w:val="7869F829"/>
    <w:rsid w:val="786B0335"/>
    <w:rsid w:val="78717619"/>
    <w:rsid w:val="7871E8B6"/>
    <w:rsid w:val="787AD600"/>
    <w:rsid w:val="78808C17"/>
    <w:rsid w:val="78824B60"/>
    <w:rsid w:val="788C37B7"/>
    <w:rsid w:val="7896DB23"/>
    <w:rsid w:val="7898D7C0"/>
    <w:rsid w:val="78A559A2"/>
    <w:rsid w:val="78AECB76"/>
    <w:rsid w:val="78C24BC9"/>
    <w:rsid w:val="78CB694D"/>
    <w:rsid w:val="78CBC865"/>
    <w:rsid w:val="78D2DAFB"/>
    <w:rsid w:val="78DBC917"/>
    <w:rsid w:val="78E0E162"/>
    <w:rsid w:val="78EDB02D"/>
    <w:rsid w:val="78EF0ECC"/>
    <w:rsid w:val="78FB70BB"/>
    <w:rsid w:val="78FF4DBB"/>
    <w:rsid w:val="7903D72D"/>
    <w:rsid w:val="790923C7"/>
    <w:rsid w:val="790A120C"/>
    <w:rsid w:val="7919D4F9"/>
    <w:rsid w:val="791B70F6"/>
    <w:rsid w:val="792D2C94"/>
    <w:rsid w:val="792E3D4D"/>
    <w:rsid w:val="792E977B"/>
    <w:rsid w:val="792F876C"/>
    <w:rsid w:val="79349ED3"/>
    <w:rsid w:val="7936CD61"/>
    <w:rsid w:val="79376FC8"/>
    <w:rsid w:val="79403EEF"/>
    <w:rsid w:val="79458C9A"/>
    <w:rsid w:val="794F30C8"/>
    <w:rsid w:val="79514DCE"/>
    <w:rsid w:val="7957152C"/>
    <w:rsid w:val="7958B895"/>
    <w:rsid w:val="795AB3C5"/>
    <w:rsid w:val="795EE2CC"/>
    <w:rsid w:val="7961A850"/>
    <w:rsid w:val="7961B5F7"/>
    <w:rsid w:val="79633401"/>
    <w:rsid w:val="796883C8"/>
    <w:rsid w:val="7973FF01"/>
    <w:rsid w:val="7979CF67"/>
    <w:rsid w:val="797AE49E"/>
    <w:rsid w:val="797CE3D3"/>
    <w:rsid w:val="797DEF82"/>
    <w:rsid w:val="79827038"/>
    <w:rsid w:val="798CC775"/>
    <w:rsid w:val="798D88CD"/>
    <w:rsid w:val="79A03B47"/>
    <w:rsid w:val="79A14C7B"/>
    <w:rsid w:val="79A7619E"/>
    <w:rsid w:val="79AD9049"/>
    <w:rsid w:val="79AF566F"/>
    <w:rsid w:val="79B3F5DE"/>
    <w:rsid w:val="79B58A72"/>
    <w:rsid w:val="79B9C115"/>
    <w:rsid w:val="79C273FD"/>
    <w:rsid w:val="79CCDC1C"/>
    <w:rsid w:val="79D97D15"/>
    <w:rsid w:val="79DACB9D"/>
    <w:rsid w:val="79EC61FB"/>
    <w:rsid w:val="79ECE116"/>
    <w:rsid w:val="79FA8465"/>
    <w:rsid w:val="79FEE252"/>
    <w:rsid w:val="7A004D6B"/>
    <w:rsid w:val="7A0162DD"/>
    <w:rsid w:val="7A0AD846"/>
    <w:rsid w:val="7A0B238D"/>
    <w:rsid w:val="7A0D55A1"/>
    <w:rsid w:val="7A0EA5E2"/>
    <w:rsid w:val="7A10D76C"/>
    <w:rsid w:val="7A11668F"/>
    <w:rsid w:val="7A127C92"/>
    <w:rsid w:val="7A13CE54"/>
    <w:rsid w:val="7A183996"/>
    <w:rsid w:val="7A1C2339"/>
    <w:rsid w:val="7A2665E6"/>
    <w:rsid w:val="7A273E2F"/>
    <w:rsid w:val="7A279C41"/>
    <w:rsid w:val="7A2A050F"/>
    <w:rsid w:val="7A2FB46D"/>
    <w:rsid w:val="7A351B1B"/>
    <w:rsid w:val="7A385E33"/>
    <w:rsid w:val="7A3BC510"/>
    <w:rsid w:val="7A3D8359"/>
    <w:rsid w:val="7A3EE27C"/>
    <w:rsid w:val="7A44C703"/>
    <w:rsid w:val="7A4A64FB"/>
    <w:rsid w:val="7A63D3AB"/>
    <w:rsid w:val="7A6431F5"/>
    <w:rsid w:val="7A673F6C"/>
    <w:rsid w:val="7A68ED9B"/>
    <w:rsid w:val="7A74AC28"/>
    <w:rsid w:val="7A753C57"/>
    <w:rsid w:val="7A7EB5D8"/>
    <w:rsid w:val="7A802F62"/>
    <w:rsid w:val="7A82E093"/>
    <w:rsid w:val="7A951B64"/>
    <w:rsid w:val="7A99E7E4"/>
    <w:rsid w:val="7A9E114D"/>
    <w:rsid w:val="7A9FA230"/>
    <w:rsid w:val="7AA12C5B"/>
    <w:rsid w:val="7AA141B3"/>
    <w:rsid w:val="7AA407EA"/>
    <w:rsid w:val="7AA4F428"/>
    <w:rsid w:val="7AA51455"/>
    <w:rsid w:val="7AA55876"/>
    <w:rsid w:val="7AA6A44E"/>
    <w:rsid w:val="7AB16162"/>
    <w:rsid w:val="7AB1AEAF"/>
    <w:rsid w:val="7AB65D53"/>
    <w:rsid w:val="7AB6B32D"/>
    <w:rsid w:val="7AB98C06"/>
    <w:rsid w:val="7AB9C453"/>
    <w:rsid w:val="7ABA1E77"/>
    <w:rsid w:val="7AC380F5"/>
    <w:rsid w:val="7AD42592"/>
    <w:rsid w:val="7AD968B1"/>
    <w:rsid w:val="7AF5EE6A"/>
    <w:rsid w:val="7AFA7BBF"/>
    <w:rsid w:val="7AFABB25"/>
    <w:rsid w:val="7AFCA48A"/>
    <w:rsid w:val="7B018EB2"/>
    <w:rsid w:val="7B051A5C"/>
    <w:rsid w:val="7B09BEB0"/>
    <w:rsid w:val="7B0AB458"/>
    <w:rsid w:val="7B1097A4"/>
    <w:rsid w:val="7B193C61"/>
    <w:rsid w:val="7B1A465E"/>
    <w:rsid w:val="7B1A94FF"/>
    <w:rsid w:val="7B21FADD"/>
    <w:rsid w:val="7B2833D7"/>
    <w:rsid w:val="7B2EE01A"/>
    <w:rsid w:val="7B312F42"/>
    <w:rsid w:val="7B352FF1"/>
    <w:rsid w:val="7B36AE40"/>
    <w:rsid w:val="7B3CA620"/>
    <w:rsid w:val="7B3F93B6"/>
    <w:rsid w:val="7B467EA2"/>
    <w:rsid w:val="7B46AD69"/>
    <w:rsid w:val="7B484E79"/>
    <w:rsid w:val="7B4DFD53"/>
    <w:rsid w:val="7B510A8F"/>
    <w:rsid w:val="7B53488E"/>
    <w:rsid w:val="7B5D624D"/>
    <w:rsid w:val="7B608EC8"/>
    <w:rsid w:val="7B6543F7"/>
    <w:rsid w:val="7B6641EA"/>
    <w:rsid w:val="7B67F894"/>
    <w:rsid w:val="7B696301"/>
    <w:rsid w:val="7B6E8338"/>
    <w:rsid w:val="7B71E4AF"/>
    <w:rsid w:val="7B772BFF"/>
    <w:rsid w:val="7B777751"/>
    <w:rsid w:val="7B7D947C"/>
    <w:rsid w:val="7B8095EE"/>
    <w:rsid w:val="7B825E79"/>
    <w:rsid w:val="7B83BA5B"/>
    <w:rsid w:val="7B879DE6"/>
    <w:rsid w:val="7B8D3F2E"/>
    <w:rsid w:val="7B8FD95E"/>
    <w:rsid w:val="7B9010BB"/>
    <w:rsid w:val="7BA0FE6F"/>
    <w:rsid w:val="7BA10A7F"/>
    <w:rsid w:val="7BA30063"/>
    <w:rsid w:val="7BB02749"/>
    <w:rsid w:val="7BBA868F"/>
    <w:rsid w:val="7BC4562E"/>
    <w:rsid w:val="7BCB595E"/>
    <w:rsid w:val="7BCE7BE5"/>
    <w:rsid w:val="7BD10EC5"/>
    <w:rsid w:val="7BDACF79"/>
    <w:rsid w:val="7BDF89AD"/>
    <w:rsid w:val="7BE302D2"/>
    <w:rsid w:val="7BEBE9D3"/>
    <w:rsid w:val="7BEC1DB6"/>
    <w:rsid w:val="7BF366BE"/>
    <w:rsid w:val="7BF8611C"/>
    <w:rsid w:val="7BF998FF"/>
    <w:rsid w:val="7BFCD710"/>
    <w:rsid w:val="7BFEB62A"/>
    <w:rsid w:val="7BFED974"/>
    <w:rsid w:val="7C03CB6E"/>
    <w:rsid w:val="7C05C7BA"/>
    <w:rsid w:val="7C09B939"/>
    <w:rsid w:val="7C0C36B4"/>
    <w:rsid w:val="7C0DB723"/>
    <w:rsid w:val="7C0DFBFA"/>
    <w:rsid w:val="7C0E7287"/>
    <w:rsid w:val="7C0EC666"/>
    <w:rsid w:val="7C117F06"/>
    <w:rsid w:val="7C123497"/>
    <w:rsid w:val="7C1372DB"/>
    <w:rsid w:val="7C18D18A"/>
    <w:rsid w:val="7C1C55F0"/>
    <w:rsid w:val="7C1E2F27"/>
    <w:rsid w:val="7C201FF5"/>
    <w:rsid w:val="7C22D68B"/>
    <w:rsid w:val="7C231CCB"/>
    <w:rsid w:val="7C24381A"/>
    <w:rsid w:val="7C2BCA08"/>
    <w:rsid w:val="7C30A981"/>
    <w:rsid w:val="7C326730"/>
    <w:rsid w:val="7C339A20"/>
    <w:rsid w:val="7C34B8DC"/>
    <w:rsid w:val="7C35A8F4"/>
    <w:rsid w:val="7C37225E"/>
    <w:rsid w:val="7C389272"/>
    <w:rsid w:val="7C38E29D"/>
    <w:rsid w:val="7C3A49DD"/>
    <w:rsid w:val="7C3E8CCB"/>
    <w:rsid w:val="7C40F628"/>
    <w:rsid w:val="7C41BEFF"/>
    <w:rsid w:val="7C41E83A"/>
    <w:rsid w:val="7C435F09"/>
    <w:rsid w:val="7C47557C"/>
    <w:rsid w:val="7C509038"/>
    <w:rsid w:val="7C51DC89"/>
    <w:rsid w:val="7C53723F"/>
    <w:rsid w:val="7C53FC69"/>
    <w:rsid w:val="7C585C21"/>
    <w:rsid w:val="7C5A3F8C"/>
    <w:rsid w:val="7C5A58A5"/>
    <w:rsid w:val="7C5BC01C"/>
    <w:rsid w:val="7C5F0236"/>
    <w:rsid w:val="7C64DE6E"/>
    <w:rsid w:val="7C652D73"/>
    <w:rsid w:val="7C6D9491"/>
    <w:rsid w:val="7C7679FE"/>
    <w:rsid w:val="7C856BCD"/>
    <w:rsid w:val="7C895D0D"/>
    <w:rsid w:val="7C8A1CC5"/>
    <w:rsid w:val="7CA0B391"/>
    <w:rsid w:val="7CA12C24"/>
    <w:rsid w:val="7CA63456"/>
    <w:rsid w:val="7CB04B77"/>
    <w:rsid w:val="7CB7DAE7"/>
    <w:rsid w:val="7CBA0AC2"/>
    <w:rsid w:val="7CBBBBCC"/>
    <w:rsid w:val="7CBEAA47"/>
    <w:rsid w:val="7CC52E16"/>
    <w:rsid w:val="7CC5ABDD"/>
    <w:rsid w:val="7CC92314"/>
    <w:rsid w:val="7CD3CDD3"/>
    <w:rsid w:val="7CD7DE5E"/>
    <w:rsid w:val="7CDCFDD8"/>
    <w:rsid w:val="7CEDB97A"/>
    <w:rsid w:val="7CF1FE2E"/>
    <w:rsid w:val="7CF4B5E2"/>
    <w:rsid w:val="7CFE8CD7"/>
    <w:rsid w:val="7CFEE7FA"/>
    <w:rsid w:val="7D00B7FB"/>
    <w:rsid w:val="7D04B491"/>
    <w:rsid w:val="7D0BEEA4"/>
    <w:rsid w:val="7D0C4456"/>
    <w:rsid w:val="7D108023"/>
    <w:rsid w:val="7D175D79"/>
    <w:rsid w:val="7D1E2273"/>
    <w:rsid w:val="7D29C4D2"/>
    <w:rsid w:val="7D2A6C62"/>
    <w:rsid w:val="7D36DBFD"/>
    <w:rsid w:val="7D36FA1A"/>
    <w:rsid w:val="7D39F02C"/>
    <w:rsid w:val="7D3C03CD"/>
    <w:rsid w:val="7D3F102B"/>
    <w:rsid w:val="7D4552D7"/>
    <w:rsid w:val="7D456C21"/>
    <w:rsid w:val="7D51FCAE"/>
    <w:rsid w:val="7D5F18A3"/>
    <w:rsid w:val="7D6186C6"/>
    <w:rsid w:val="7D7BF109"/>
    <w:rsid w:val="7D87F73D"/>
    <w:rsid w:val="7D8EF8E6"/>
    <w:rsid w:val="7D91E472"/>
    <w:rsid w:val="7D92F9B6"/>
    <w:rsid w:val="7D969520"/>
    <w:rsid w:val="7D96B8A9"/>
    <w:rsid w:val="7D9707A9"/>
    <w:rsid w:val="7D979C6F"/>
    <w:rsid w:val="7D9D21DF"/>
    <w:rsid w:val="7DA5D46B"/>
    <w:rsid w:val="7DA72ECB"/>
    <w:rsid w:val="7DA9BDB8"/>
    <w:rsid w:val="7DAD8A3B"/>
    <w:rsid w:val="7DB46EAD"/>
    <w:rsid w:val="7DB894E3"/>
    <w:rsid w:val="7DC1E93C"/>
    <w:rsid w:val="7DCAFA37"/>
    <w:rsid w:val="7DD359DC"/>
    <w:rsid w:val="7DD445AA"/>
    <w:rsid w:val="7DDA387A"/>
    <w:rsid w:val="7DDAA1EA"/>
    <w:rsid w:val="7DDB111E"/>
    <w:rsid w:val="7DDC1AAA"/>
    <w:rsid w:val="7DE36AC2"/>
    <w:rsid w:val="7DE3DDF5"/>
    <w:rsid w:val="7DE7E83F"/>
    <w:rsid w:val="7DE8D491"/>
    <w:rsid w:val="7DE9D032"/>
    <w:rsid w:val="7DF24093"/>
    <w:rsid w:val="7DF5802A"/>
    <w:rsid w:val="7DF8F5DD"/>
    <w:rsid w:val="7DFD50E0"/>
    <w:rsid w:val="7E0564A0"/>
    <w:rsid w:val="7E06CC65"/>
    <w:rsid w:val="7E138A50"/>
    <w:rsid w:val="7E212778"/>
    <w:rsid w:val="7E21C85A"/>
    <w:rsid w:val="7E21F803"/>
    <w:rsid w:val="7E245A6D"/>
    <w:rsid w:val="7E3533DF"/>
    <w:rsid w:val="7E3755BF"/>
    <w:rsid w:val="7E45585E"/>
    <w:rsid w:val="7E49B413"/>
    <w:rsid w:val="7E4A252A"/>
    <w:rsid w:val="7E4B6065"/>
    <w:rsid w:val="7E508097"/>
    <w:rsid w:val="7E50AC96"/>
    <w:rsid w:val="7E50DF05"/>
    <w:rsid w:val="7E587E33"/>
    <w:rsid w:val="7E5C2F5B"/>
    <w:rsid w:val="7E5DE2ED"/>
    <w:rsid w:val="7E5E228D"/>
    <w:rsid w:val="7E629F42"/>
    <w:rsid w:val="7E69815C"/>
    <w:rsid w:val="7E6A410F"/>
    <w:rsid w:val="7E6BE648"/>
    <w:rsid w:val="7E763BB8"/>
    <w:rsid w:val="7E779D58"/>
    <w:rsid w:val="7E7A3F6B"/>
    <w:rsid w:val="7E7BE256"/>
    <w:rsid w:val="7E7D6D6A"/>
    <w:rsid w:val="7E7DFA59"/>
    <w:rsid w:val="7E887E7A"/>
    <w:rsid w:val="7E8D9D72"/>
    <w:rsid w:val="7E92B821"/>
    <w:rsid w:val="7E93A3AE"/>
    <w:rsid w:val="7E94EED8"/>
    <w:rsid w:val="7E95FC1D"/>
    <w:rsid w:val="7E9CF5A1"/>
    <w:rsid w:val="7EA3C7E6"/>
    <w:rsid w:val="7EA56049"/>
    <w:rsid w:val="7EABBA52"/>
    <w:rsid w:val="7EAD0F51"/>
    <w:rsid w:val="7EBADCC7"/>
    <w:rsid w:val="7EC63CC3"/>
    <w:rsid w:val="7EC72A68"/>
    <w:rsid w:val="7ECC2E9D"/>
    <w:rsid w:val="7ECD24BA"/>
    <w:rsid w:val="7ECE21A9"/>
    <w:rsid w:val="7ED0148E"/>
    <w:rsid w:val="7ED542D6"/>
    <w:rsid w:val="7ED7D526"/>
    <w:rsid w:val="7ED9BFFE"/>
    <w:rsid w:val="7EDBC710"/>
    <w:rsid w:val="7EE8D271"/>
    <w:rsid w:val="7EEF5B43"/>
    <w:rsid w:val="7EFDB0D0"/>
    <w:rsid w:val="7F072B0F"/>
    <w:rsid w:val="7F079708"/>
    <w:rsid w:val="7F09B4A5"/>
    <w:rsid w:val="7F11B034"/>
    <w:rsid w:val="7F11C03D"/>
    <w:rsid w:val="7F185D3B"/>
    <w:rsid w:val="7F194128"/>
    <w:rsid w:val="7F19530E"/>
    <w:rsid w:val="7F1DBACC"/>
    <w:rsid w:val="7F1F8B58"/>
    <w:rsid w:val="7F21447F"/>
    <w:rsid w:val="7F3139F9"/>
    <w:rsid w:val="7F38447C"/>
    <w:rsid w:val="7F396FAF"/>
    <w:rsid w:val="7F425449"/>
    <w:rsid w:val="7F4E9352"/>
    <w:rsid w:val="7F504059"/>
    <w:rsid w:val="7F5C3EB7"/>
    <w:rsid w:val="7F5EF85F"/>
    <w:rsid w:val="7F6AEE7D"/>
    <w:rsid w:val="7F7208CD"/>
    <w:rsid w:val="7F78BBDA"/>
    <w:rsid w:val="7F7F4EEA"/>
    <w:rsid w:val="7F8FADAC"/>
    <w:rsid w:val="7F929C49"/>
    <w:rsid w:val="7FA3FDA9"/>
    <w:rsid w:val="7FA53C41"/>
    <w:rsid w:val="7FAB37D2"/>
    <w:rsid w:val="7FBD919E"/>
    <w:rsid w:val="7FC6F687"/>
    <w:rsid w:val="7FCDBA57"/>
    <w:rsid w:val="7FCFB20E"/>
    <w:rsid w:val="7FD541FC"/>
    <w:rsid w:val="7FD609A1"/>
    <w:rsid w:val="7FDA0E50"/>
    <w:rsid w:val="7FDF7303"/>
    <w:rsid w:val="7FE16971"/>
    <w:rsid w:val="7FE1AE5E"/>
    <w:rsid w:val="7FE44760"/>
    <w:rsid w:val="7FE5ECFC"/>
    <w:rsid w:val="7FEF7828"/>
    <w:rsid w:val="7FFB0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33890"/>
  <w15:chartTrackingRefBased/>
  <w15:docId w15:val="{83A58B42-95D7-470F-B9A2-CA1CAE54ADA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302C71"/>
    <w:pPr>
      <w:numPr>
        <w:numId w:val="10"/>
      </w:numPr>
      <w:ind w:right="2160"/>
    </w:pPr>
    <w:rPr>
      <w:rFonts w:eastAsiaTheme="majorEastAsia" w:cstheme="majorBidi"/>
      <w:szCs w:val="32"/>
    </w:rPr>
  </w:style>
  <w:style w:type="paragraph" w:styleId="Heading2">
    <w:name w:val="heading 2"/>
    <w:basedOn w:val="Dummy"/>
    <w:next w:val="Standard"/>
    <w:link w:val="Heading2Char"/>
    <w:uiPriority w:val="4"/>
    <w:qFormat/>
    <w:rsid w:val="00302C71"/>
    <w:pPr>
      <w:numPr>
        <w:ilvl w:val="1"/>
        <w:numId w:val="10"/>
      </w:numPr>
      <w:ind w:right="2160"/>
      <w:outlineLvl w:val="1"/>
    </w:pPr>
  </w:style>
  <w:style w:type="paragraph" w:styleId="Heading3">
    <w:name w:val="heading 3"/>
    <w:basedOn w:val="Dummy"/>
    <w:next w:val="Standard"/>
    <w:link w:val="Heading3Char"/>
    <w:uiPriority w:val="4"/>
    <w:qFormat/>
    <w:rsid w:val="00302C71"/>
    <w:pPr>
      <w:numPr>
        <w:ilvl w:val="2"/>
        <w:numId w:val="10"/>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302C71"/>
    <w:pPr>
      <w:numPr>
        <w:ilvl w:val="3"/>
        <w:numId w:val="10"/>
      </w:numPr>
      <w:ind w:right="2160"/>
      <w:outlineLvl w:val="3"/>
    </w:pPr>
    <w:rPr>
      <w:rFonts w:eastAsiaTheme="majorEastAsia" w:cstheme="majorBidi"/>
      <w:iCs/>
    </w:rPr>
  </w:style>
  <w:style w:type="paragraph" w:styleId="Heading5">
    <w:name w:val="heading 5"/>
    <w:basedOn w:val="Dummy"/>
    <w:next w:val="Standard"/>
    <w:link w:val="Heading5Char"/>
    <w:uiPriority w:val="4"/>
    <w:rsid w:val="00302C71"/>
    <w:pPr>
      <w:numPr>
        <w:ilvl w:val="4"/>
        <w:numId w:val="10"/>
      </w:numPr>
      <w:ind w:right="2160"/>
      <w:outlineLvl w:val="4"/>
    </w:pPr>
    <w:rPr>
      <w:rFonts w:eastAsiaTheme="majorEastAsia" w:cstheme="majorBidi"/>
    </w:rPr>
  </w:style>
  <w:style w:type="paragraph" w:styleId="Heading6">
    <w:name w:val="heading 6"/>
    <w:basedOn w:val="Dummy"/>
    <w:next w:val="Standard"/>
    <w:link w:val="Heading6Char"/>
    <w:uiPriority w:val="4"/>
    <w:rsid w:val="00302C71"/>
    <w:pPr>
      <w:numPr>
        <w:ilvl w:val="5"/>
        <w:numId w:val="10"/>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02C71"/>
    <w:rPr>
      <w:rFonts w:ascii="Arial" w:eastAsiaTheme="majorEastAsia" w:hAnsi="Arial" w:cstheme="majorBidi"/>
      <w:b/>
      <w:sz w:val="26"/>
      <w:szCs w:val="32"/>
    </w:rPr>
  </w:style>
  <w:style w:type="paragraph" w:styleId="TOCHeading">
    <w:name w:val="TOC Heading"/>
    <w:next w:val="Normal"/>
    <w:uiPriority w:val="39"/>
    <w:unhideWhenUsed/>
    <w:rsid w:val="00302C71"/>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302C71"/>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02C71"/>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302C71"/>
    <w:rPr>
      <w:rFonts w:ascii="Arial" w:hAnsi="Arial" w:cs="Arial"/>
      <w:b/>
      <w:sz w:val="26"/>
      <w:szCs w:val="26"/>
    </w:rPr>
  </w:style>
  <w:style w:type="character" w:customStyle="1" w:styleId="Heading3Char">
    <w:name w:val="Heading 3 Char"/>
    <w:basedOn w:val="DefaultParagraphFont"/>
    <w:link w:val="Heading3"/>
    <w:uiPriority w:val="4"/>
    <w:rsid w:val="00302C71"/>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302C71"/>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302C71"/>
    <w:rPr>
      <w:rFonts w:ascii="Arial" w:eastAsiaTheme="majorEastAsia" w:hAnsi="Arial" w:cstheme="majorBidi"/>
      <w:b/>
      <w:sz w:val="26"/>
      <w:szCs w:val="26"/>
    </w:rPr>
  </w:style>
  <w:style w:type="paragraph" w:customStyle="1" w:styleId="Main">
    <w:name w:val="Main"/>
    <w:next w:val="Normal"/>
    <w:uiPriority w:val="19"/>
    <w:rsid w:val="00302C71"/>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302C71"/>
    <w:pPr>
      <w:keepNext/>
      <w:spacing w:before="180" w:line="360" w:lineRule="auto"/>
      <w:outlineLvl w:val="0"/>
    </w:pPr>
    <w:rPr>
      <w:spacing w:val="120"/>
    </w:rPr>
  </w:style>
  <w:style w:type="paragraph" w:styleId="TOC2">
    <w:name w:val="toc 2"/>
    <w:basedOn w:val="Normal"/>
    <w:next w:val="Normal"/>
    <w:uiPriority w:val="39"/>
    <w:unhideWhenUsed/>
    <w:rsid w:val="00302C71"/>
    <w:pPr>
      <w:spacing w:line="240" w:lineRule="auto"/>
      <w:ind w:left="864" w:right="720" w:hanging="648"/>
    </w:pPr>
    <w:rPr>
      <w:rFonts w:eastAsiaTheme="minorEastAsia" w:cs="Times New Roman"/>
    </w:rPr>
  </w:style>
  <w:style w:type="paragraph" w:styleId="TOC1">
    <w:name w:val="toc 1"/>
    <w:basedOn w:val="Normal"/>
    <w:next w:val="Normal"/>
    <w:uiPriority w:val="39"/>
    <w:unhideWhenUsed/>
    <w:rsid w:val="00302C71"/>
    <w:pPr>
      <w:spacing w:line="240" w:lineRule="auto"/>
      <w:ind w:left="432" w:right="720" w:hanging="432"/>
    </w:pPr>
    <w:rPr>
      <w:rFonts w:eastAsiaTheme="minorEastAsia" w:cs="Times New Roman"/>
    </w:rPr>
  </w:style>
  <w:style w:type="paragraph" w:styleId="TOC3">
    <w:name w:val="toc 3"/>
    <w:basedOn w:val="Normal"/>
    <w:next w:val="Normal"/>
    <w:uiPriority w:val="39"/>
    <w:unhideWhenUsed/>
    <w:rsid w:val="00302C71"/>
    <w:pPr>
      <w:spacing w:line="240" w:lineRule="auto"/>
      <w:ind w:left="1296"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semiHidden/>
    <w:unhideWhenUsed/>
    <w:rsid w:val="00302C71"/>
    <w:pPr>
      <w:spacing w:after="100"/>
      <w:ind w:left="2080"/>
    </w:pPr>
  </w:style>
  <w:style w:type="paragraph" w:styleId="Header">
    <w:name w:val="header"/>
    <w:basedOn w:val="Normal"/>
    <w:link w:val="HeaderChar"/>
    <w:uiPriority w:val="99"/>
    <w:semiHidden/>
    <w:rsid w:val="00302C7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02C71"/>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302C71"/>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unhideWhenUsed/>
    <w:rsid w:val="005F14F6"/>
    <w:rPr>
      <w:vertAlign w:val="superscript"/>
    </w:rPr>
  </w:style>
  <w:style w:type="paragraph" w:customStyle="1" w:styleId="FoF">
    <w:name w:val="FoF"/>
    <w:basedOn w:val="Standard"/>
    <w:uiPriority w:val="6"/>
    <w:qFormat/>
    <w:rsid w:val="00302C71"/>
    <w:pPr>
      <w:ind w:firstLine="540"/>
    </w:pPr>
  </w:style>
  <w:style w:type="paragraph" w:customStyle="1" w:styleId="CoL">
    <w:name w:val="CoL"/>
    <w:basedOn w:val="Standard"/>
    <w:uiPriority w:val="7"/>
    <w:qFormat/>
    <w:rsid w:val="00302C71"/>
    <w:pPr>
      <w:numPr>
        <w:numId w:val="9"/>
      </w:numPr>
    </w:pPr>
  </w:style>
  <w:style w:type="paragraph" w:styleId="NoSpacing">
    <w:name w:val="No Spacing"/>
    <w:basedOn w:val="Standard"/>
    <w:uiPriority w:val="1"/>
    <w:qFormat/>
    <w:rsid w:val="00287BC5"/>
    <w:pPr>
      <w:spacing w:after="120" w:line="240" w:lineRule="auto"/>
      <w:ind w:firstLine="0"/>
      <w:contextualSpacing/>
    </w:pPr>
  </w:style>
  <w:style w:type="paragraph" w:customStyle="1" w:styleId="OP">
    <w:name w:val="OP"/>
    <w:basedOn w:val="Standard"/>
    <w:uiPriority w:val="8"/>
    <w:qFormat/>
    <w:rsid w:val="00302C71"/>
    <w:pPr>
      <w:numPr>
        <w:numId w:val="11"/>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2"/>
      </w:numPr>
    </w:pPr>
  </w:style>
  <w:style w:type="paragraph" w:customStyle="1" w:styleId="Standard">
    <w:name w:val="Standard"/>
    <w:basedOn w:val="Normal"/>
    <w:link w:val="StandardChar"/>
    <w:qFormat/>
    <w:rsid w:val="00302C71"/>
  </w:style>
  <w:style w:type="paragraph" w:customStyle="1" w:styleId="ListAlpha">
    <w:name w:val="List Alpha"/>
    <w:basedOn w:val="Standard"/>
    <w:link w:val="ListAlphaChar"/>
    <w:uiPriority w:val="4"/>
    <w:qFormat/>
    <w:rsid w:val="007C4F7D"/>
    <w:pPr>
      <w:numPr>
        <w:ilvl w:val="7"/>
        <w:numId w:val="10"/>
      </w:numPr>
      <w:spacing w:after="120" w:line="240" w:lineRule="auto"/>
      <w:ind w:right="1440"/>
    </w:pPr>
  </w:style>
  <w:style w:type="paragraph" w:styleId="ListBullet">
    <w:name w:val="List Bullet"/>
    <w:basedOn w:val="Standard"/>
    <w:uiPriority w:val="4"/>
    <w:qFormat/>
    <w:rsid w:val="002E58D8"/>
    <w:pPr>
      <w:numPr>
        <w:numId w:val="12"/>
      </w:numPr>
      <w:spacing w:after="120" w:line="240" w:lineRule="auto"/>
      <w:ind w:right="1440"/>
    </w:pPr>
  </w:style>
  <w:style w:type="character" w:customStyle="1" w:styleId="Heading6Char">
    <w:name w:val="Heading 6 Char"/>
    <w:basedOn w:val="DefaultParagraphFont"/>
    <w:link w:val="Heading6"/>
    <w:uiPriority w:val="4"/>
    <w:rsid w:val="00302C71"/>
    <w:rPr>
      <w:rFonts w:ascii="Arial" w:eastAsiaTheme="majorEastAsia" w:hAnsi="Arial" w:cstheme="majorBidi"/>
      <w:b/>
      <w:sz w:val="26"/>
      <w:szCs w:val="26"/>
    </w:rPr>
  </w:style>
  <w:style w:type="paragraph" w:styleId="TOC4">
    <w:name w:val="toc 4"/>
    <w:basedOn w:val="Normal"/>
    <w:next w:val="Normal"/>
    <w:autoRedefine/>
    <w:uiPriority w:val="39"/>
    <w:unhideWhenUsed/>
    <w:rsid w:val="00302C71"/>
    <w:pPr>
      <w:spacing w:line="240" w:lineRule="auto"/>
      <w:ind w:left="1728" w:right="720" w:hanging="1080"/>
    </w:pPr>
  </w:style>
  <w:style w:type="paragraph" w:styleId="TOC5">
    <w:name w:val="toc 5"/>
    <w:basedOn w:val="Normal"/>
    <w:next w:val="Normal"/>
    <w:autoRedefine/>
    <w:uiPriority w:val="39"/>
    <w:unhideWhenUsed/>
    <w:rsid w:val="00302C71"/>
    <w:pPr>
      <w:spacing w:line="240" w:lineRule="auto"/>
      <w:ind w:left="2160" w:right="720" w:hanging="1296"/>
    </w:pPr>
  </w:style>
  <w:style w:type="paragraph" w:styleId="TOC6">
    <w:name w:val="toc 6"/>
    <w:basedOn w:val="Normal"/>
    <w:next w:val="Normal"/>
    <w:autoRedefine/>
    <w:uiPriority w:val="39"/>
    <w:unhideWhenUsed/>
    <w:rsid w:val="00302C71"/>
    <w:pPr>
      <w:spacing w:line="240" w:lineRule="auto"/>
      <w:ind w:left="2592" w:right="720"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link w:val="ListNumChar"/>
    <w:uiPriority w:val="4"/>
    <w:rsid w:val="00302C71"/>
    <w:pPr>
      <w:numPr>
        <w:ilvl w:val="6"/>
        <w:numId w:val="10"/>
      </w:numPr>
      <w:spacing w:after="120" w:line="240" w:lineRule="auto"/>
      <w:ind w:right="1440"/>
    </w:pPr>
  </w:style>
  <w:style w:type="paragraph" w:styleId="ListParagraph">
    <w:name w:val="List Paragraph"/>
    <w:basedOn w:val="Normal"/>
    <w:link w:val="ListParagraphChar"/>
    <w:uiPriority w:val="34"/>
    <w:qFormat/>
    <w:rsid w:val="005D079E"/>
    <w:pPr>
      <w:ind w:left="720"/>
      <w:contextualSpacing/>
    </w:pPr>
  </w:style>
  <w:style w:type="character" w:styleId="CommentReference">
    <w:name w:val="annotation reference"/>
    <w:basedOn w:val="DefaultParagraphFont"/>
    <w:uiPriority w:val="99"/>
    <w:semiHidden/>
    <w:unhideWhenUsed/>
    <w:rsid w:val="0084569D"/>
    <w:rPr>
      <w:sz w:val="16"/>
      <w:szCs w:val="16"/>
    </w:rPr>
  </w:style>
  <w:style w:type="paragraph" w:styleId="CommentText">
    <w:name w:val="annotation text"/>
    <w:basedOn w:val="Normal"/>
    <w:link w:val="CommentTextChar"/>
    <w:uiPriority w:val="99"/>
    <w:unhideWhenUsed/>
    <w:rsid w:val="0084569D"/>
    <w:pPr>
      <w:spacing w:line="240" w:lineRule="auto"/>
    </w:pPr>
    <w:rPr>
      <w:sz w:val="20"/>
      <w:szCs w:val="20"/>
    </w:rPr>
  </w:style>
  <w:style w:type="character" w:customStyle="1" w:styleId="CommentTextChar">
    <w:name w:val="Comment Text Char"/>
    <w:basedOn w:val="DefaultParagraphFont"/>
    <w:link w:val="CommentText"/>
    <w:uiPriority w:val="99"/>
    <w:rsid w:val="0084569D"/>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84569D"/>
    <w:rPr>
      <w:b/>
      <w:bCs/>
    </w:rPr>
  </w:style>
  <w:style w:type="character" w:customStyle="1" w:styleId="CommentSubjectChar">
    <w:name w:val="Comment Subject Char"/>
    <w:basedOn w:val="CommentTextChar"/>
    <w:link w:val="CommentSubject"/>
    <w:uiPriority w:val="99"/>
    <w:semiHidden/>
    <w:rsid w:val="0084569D"/>
    <w:rPr>
      <w:rFonts w:ascii="Book Antiqua" w:hAnsi="Book Antiqua"/>
      <w:b/>
      <w:bCs/>
      <w:sz w:val="20"/>
      <w:szCs w:val="20"/>
    </w:rPr>
  </w:style>
  <w:style w:type="paragraph" w:styleId="Revision">
    <w:name w:val="Revision"/>
    <w:hidden/>
    <w:uiPriority w:val="99"/>
    <w:semiHidden/>
    <w:rsid w:val="00B72F5C"/>
    <w:pPr>
      <w:spacing w:after="0" w:line="240" w:lineRule="auto"/>
    </w:pPr>
    <w:rPr>
      <w:rFonts w:ascii="Book Antiqua" w:hAnsi="Book Antiqua"/>
      <w:sz w:val="26"/>
    </w:rPr>
  </w:style>
  <w:style w:type="character" w:styleId="UnresolvedMention">
    <w:name w:val="Unresolved Mention"/>
    <w:basedOn w:val="DefaultParagraphFont"/>
    <w:uiPriority w:val="99"/>
    <w:semiHidden/>
    <w:unhideWhenUsed/>
    <w:rsid w:val="00567CF9"/>
    <w:rPr>
      <w:color w:val="605E5C"/>
      <w:shd w:val="clear" w:color="auto" w:fill="E1DFDD"/>
    </w:rPr>
  </w:style>
  <w:style w:type="character" w:styleId="Mention">
    <w:name w:val="Mention"/>
    <w:basedOn w:val="DefaultParagraphFont"/>
    <w:uiPriority w:val="99"/>
    <w:unhideWhenUsed/>
    <w:rsid w:val="002F74FC"/>
    <w:rPr>
      <w:color w:val="2B579A"/>
      <w:shd w:val="clear" w:color="auto" w:fill="E1DFDD"/>
    </w:rPr>
  </w:style>
  <w:style w:type="paragraph" w:styleId="NormalWeb">
    <w:name w:val="Normal (Web)"/>
    <w:basedOn w:val="Normal"/>
    <w:uiPriority w:val="99"/>
    <w:unhideWhenUsed/>
    <w:rsid w:val="00B05AFE"/>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BB30CB"/>
    <w:rPr>
      <w:i/>
      <w:iCs/>
    </w:rPr>
  </w:style>
  <w:style w:type="paragraph" w:customStyle="1" w:styleId="BlockQuoteH033">
    <w:name w:val="BlockQuoteH033"/>
    <w:basedOn w:val="Normal"/>
    <w:qFormat/>
    <w:rsid w:val="003015D1"/>
    <w:pPr>
      <w:spacing w:after="120" w:line="240" w:lineRule="auto"/>
      <w:ind w:left="1195" w:right="1440" w:hanging="475"/>
    </w:pPr>
  </w:style>
  <w:style w:type="paragraph" w:customStyle="1" w:styleId="StandardTableSub">
    <w:name w:val="StandardTableSub"/>
    <w:basedOn w:val="Standard"/>
    <w:rsid w:val="003015D1"/>
    <w:pPr>
      <w:spacing w:before="180"/>
    </w:pPr>
  </w:style>
  <w:style w:type="paragraph" w:customStyle="1" w:styleId="Section">
    <w:name w:val="Section"/>
    <w:basedOn w:val="Standard"/>
    <w:rsid w:val="00124609"/>
    <w:pPr>
      <w:spacing w:after="120" w:line="240" w:lineRule="auto"/>
    </w:pPr>
    <w:rPr>
      <w:u w:val="single"/>
    </w:rPr>
  </w:style>
  <w:style w:type="paragraph" w:customStyle="1" w:styleId="BlockQuote0">
    <w:name w:val="BlockQuote"/>
    <w:basedOn w:val="Normal"/>
    <w:qFormat/>
    <w:rsid w:val="00B645D3"/>
    <w:pPr>
      <w:spacing w:after="120" w:line="240" w:lineRule="auto"/>
      <w:ind w:left="720" w:right="1440" w:firstLine="0"/>
    </w:pPr>
  </w:style>
  <w:style w:type="paragraph" w:customStyle="1" w:styleId="BlockQuoteH025">
    <w:name w:val="BlockQuoteH025"/>
    <w:basedOn w:val="BlockQuoteH033"/>
    <w:qFormat/>
    <w:rsid w:val="00FD6BAC"/>
    <w:pPr>
      <w:ind w:left="1080" w:hanging="360"/>
    </w:pPr>
  </w:style>
  <w:style w:type="paragraph" w:styleId="BodyText">
    <w:name w:val="Body Text"/>
    <w:basedOn w:val="Normal"/>
    <w:link w:val="BodyTextChar"/>
    <w:unhideWhenUsed/>
    <w:rsid w:val="00C26357"/>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26357"/>
    <w:rPr>
      <w:rFonts w:ascii="Times New Roman" w:eastAsia="Times New Roman" w:hAnsi="Times New Roman" w:cs="Times New Roman"/>
      <w:sz w:val="24"/>
      <w:szCs w:val="20"/>
    </w:rPr>
  </w:style>
  <w:style w:type="paragraph" w:customStyle="1" w:styleId="Note1">
    <w:name w:val="Note1"/>
    <w:basedOn w:val="Normal"/>
    <w:qFormat/>
    <w:rsid w:val="00C26357"/>
    <w:pPr>
      <w:spacing w:line="240" w:lineRule="auto"/>
      <w:ind w:left="533" w:hanging="533"/>
    </w:pPr>
    <w:rPr>
      <w:rFonts w:ascii="Times New Roman" w:hAnsi="Times New Roman"/>
      <w:iCs/>
      <w:sz w:val="20"/>
    </w:rPr>
  </w:style>
  <w:style w:type="character" w:customStyle="1" w:styleId="normaltextrun">
    <w:name w:val="normaltextrun"/>
    <w:basedOn w:val="DefaultParagraphFont"/>
    <w:rsid w:val="00A02920"/>
  </w:style>
  <w:style w:type="character" w:customStyle="1" w:styleId="eop">
    <w:name w:val="eop"/>
    <w:basedOn w:val="DefaultParagraphFont"/>
    <w:rsid w:val="00A852B4"/>
  </w:style>
  <w:style w:type="character" w:customStyle="1" w:styleId="superscript">
    <w:name w:val="superscript"/>
    <w:basedOn w:val="DefaultParagraphFont"/>
    <w:rsid w:val="0082141A"/>
  </w:style>
  <w:style w:type="paragraph" w:customStyle="1" w:styleId="SigBlockBA-Cmr">
    <w:name w:val="SigBlockBA-Cmr"/>
    <w:basedOn w:val="Normal"/>
    <w:qFormat/>
    <w:rsid w:val="00C65A56"/>
    <w:pPr>
      <w:keepNext/>
      <w:autoSpaceDE w:val="0"/>
      <w:autoSpaceDN w:val="0"/>
      <w:adjustRightInd w:val="0"/>
      <w:spacing w:line="240" w:lineRule="auto"/>
      <w:ind w:left="4320" w:firstLine="0"/>
      <w:jc w:val="both"/>
    </w:pPr>
    <w:rPr>
      <w:rFonts w:eastAsia="Times New Roman" w:cs="Times New Roman"/>
      <w:szCs w:val="20"/>
    </w:rPr>
  </w:style>
  <w:style w:type="paragraph" w:customStyle="1" w:styleId="SigBlockBA-Title">
    <w:name w:val="SigBlockBA-Title"/>
    <w:basedOn w:val="Normal"/>
    <w:qFormat/>
    <w:rsid w:val="00C65A56"/>
    <w:pPr>
      <w:keepNext/>
      <w:autoSpaceDE w:val="0"/>
      <w:autoSpaceDN w:val="0"/>
      <w:adjustRightInd w:val="0"/>
      <w:spacing w:line="240" w:lineRule="auto"/>
      <w:ind w:left="5400" w:firstLine="0"/>
      <w:jc w:val="both"/>
    </w:pPr>
    <w:rPr>
      <w:rFonts w:eastAsia="Times New Roman" w:cs="Times New Roman"/>
      <w:szCs w:val="20"/>
    </w:rPr>
  </w:style>
  <w:style w:type="paragraph" w:customStyle="1" w:styleId="SigSpaceBA">
    <w:name w:val="SigSpaceBA"/>
    <w:basedOn w:val="Normal"/>
    <w:qFormat/>
    <w:rsid w:val="00C65A56"/>
    <w:pPr>
      <w:keepNext/>
      <w:autoSpaceDE w:val="0"/>
      <w:autoSpaceDN w:val="0"/>
      <w:adjustRightInd w:val="0"/>
      <w:ind w:left="4320" w:firstLine="0"/>
      <w:jc w:val="both"/>
    </w:pPr>
    <w:rPr>
      <w:rFonts w:eastAsia="Times New Roman" w:cs="Times New Roman"/>
      <w:szCs w:val="20"/>
    </w:rPr>
  </w:style>
  <w:style w:type="character" w:styleId="FollowedHyperlink">
    <w:name w:val="FollowedHyperlink"/>
    <w:basedOn w:val="DefaultParagraphFont"/>
    <w:uiPriority w:val="99"/>
    <w:semiHidden/>
    <w:unhideWhenUsed/>
    <w:rsid w:val="00A516A6"/>
    <w:rPr>
      <w:color w:val="954F72" w:themeColor="followedHyperlink"/>
      <w:u w:val="single"/>
    </w:rPr>
  </w:style>
  <w:style w:type="paragraph" w:styleId="List2">
    <w:name w:val="List 2"/>
    <w:basedOn w:val="Normal"/>
    <w:uiPriority w:val="99"/>
    <w:unhideWhenUsed/>
    <w:rsid w:val="00302C71"/>
    <w:pPr>
      <w:numPr>
        <w:ilvl w:val="1"/>
        <w:numId w:val="14"/>
      </w:numPr>
      <w:spacing w:after="120" w:line="240" w:lineRule="auto"/>
      <w:ind w:right="1440"/>
    </w:pPr>
  </w:style>
  <w:style w:type="paragraph" w:styleId="List3">
    <w:name w:val="List 3"/>
    <w:basedOn w:val="Normal"/>
    <w:uiPriority w:val="99"/>
    <w:unhideWhenUsed/>
    <w:rsid w:val="00302C71"/>
    <w:pPr>
      <w:numPr>
        <w:ilvl w:val="2"/>
        <w:numId w:val="14"/>
      </w:numPr>
      <w:spacing w:after="120" w:line="240" w:lineRule="auto"/>
      <w:ind w:right="1440"/>
    </w:pPr>
  </w:style>
  <w:style w:type="paragraph" w:styleId="ListNumber">
    <w:name w:val="List Number"/>
    <w:basedOn w:val="Normal"/>
    <w:uiPriority w:val="99"/>
    <w:unhideWhenUsed/>
    <w:rsid w:val="00302C71"/>
    <w:pPr>
      <w:numPr>
        <w:numId w:val="14"/>
      </w:numPr>
      <w:tabs>
        <w:tab w:val="left" w:pos="360"/>
      </w:tabs>
      <w:spacing w:after="120" w:line="240" w:lineRule="auto"/>
      <w:ind w:right="1440"/>
    </w:pPr>
  </w:style>
  <w:style w:type="numbering" w:customStyle="1" w:styleId="Rules">
    <w:name w:val="Rules"/>
    <w:uiPriority w:val="99"/>
    <w:rsid w:val="00302C71"/>
    <w:pPr>
      <w:numPr>
        <w:numId w:val="23"/>
      </w:numPr>
    </w:pPr>
  </w:style>
  <w:style w:type="paragraph" w:customStyle="1" w:styleId="Subject">
    <w:name w:val="Subject"/>
    <w:basedOn w:val="Standard"/>
    <w:link w:val="SubjectChar"/>
    <w:qFormat/>
    <w:rsid w:val="00CD6569"/>
    <w:pPr>
      <w:keepNext/>
      <w:spacing w:after="120" w:line="240" w:lineRule="auto"/>
      <w:ind w:firstLine="0"/>
    </w:pPr>
    <w:rPr>
      <w:b/>
      <w:bCs/>
      <w:i/>
      <w:iCs/>
    </w:rPr>
  </w:style>
  <w:style w:type="character" w:customStyle="1" w:styleId="StandardChar">
    <w:name w:val="Standard Char"/>
    <w:basedOn w:val="DefaultParagraphFont"/>
    <w:link w:val="Standard"/>
    <w:rsid w:val="00CD6569"/>
    <w:rPr>
      <w:rFonts w:ascii="Book Antiqua" w:hAnsi="Book Antiqua"/>
      <w:sz w:val="26"/>
    </w:rPr>
  </w:style>
  <w:style w:type="character" w:customStyle="1" w:styleId="SubjectChar">
    <w:name w:val="Subject Char"/>
    <w:basedOn w:val="StandardChar"/>
    <w:link w:val="Subject"/>
    <w:rsid w:val="00CD6569"/>
    <w:rPr>
      <w:rFonts w:ascii="Book Antiqua" w:hAnsi="Book Antiqua"/>
      <w:b/>
      <w:bCs/>
      <w:i/>
      <w:iCs/>
      <w:sz w:val="26"/>
    </w:rPr>
  </w:style>
  <w:style w:type="paragraph" w:customStyle="1" w:styleId="SubjectNumeric">
    <w:name w:val="Subject Numeric"/>
    <w:basedOn w:val="ListNum"/>
    <w:link w:val="SubjectNumericChar"/>
    <w:qFormat/>
    <w:rsid w:val="00CD6569"/>
  </w:style>
  <w:style w:type="character" w:customStyle="1" w:styleId="ListNumChar">
    <w:name w:val="List Num Char"/>
    <w:basedOn w:val="StandardChar"/>
    <w:link w:val="ListNum"/>
    <w:uiPriority w:val="4"/>
    <w:rsid w:val="00CD6569"/>
    <w:rPr>
      <w:rFonts w:ascii="Book Antiqua" w:hAnsi="Book Antiqua"/>
      <w:sz w:val="26"/>
    </w:rPr>
  </w:style>
  <w:style w:type="character" w:customStyle="1" w:styleId="SubjectNumericChar">
    <w:name w:val="Subject Numeric Char"/>
    <w:basedOn w:val="ListNumChar"/>
    <w:link w:val="SubjectNumeric"/>
    <w:rsid w:val="00CD6569"/>
    <w:rPr>
      <w:rFonts w:ascii="Book Antiqua" w:hAnsi="Book Antiqua"/>
      <w:sz w:val="26"/>
    </w:rPr>
  </w:style>
  <w:style w:type="paragraph" w:customStyle="1" w:styleId="SubjectAlpha">
    <w:name w:val="Subject Alpha"/>
    <w:basedOn w:val="Standard"/>
    <w:link w:val="SubjectAlphaChar"/>
    <w:qFormat/>
    <w:rsid w:val="00CD6569"/>
    <w:pPr>
      <w:numPr>
        <w:ilvl w:val="1"/>
        <w:numId w:val="5"/>
      </w:numPr>
      <w:spacing w:after="120" w:line="240" w:lineRule="auto"/>
      <w:ind w:left="1440" w:right="1440"/>
    </w:pPr>
  </w:style>
  <w:style w:type="character" w:customStyle="1" w:styleId="SubjectAlphaChar">
    <w:name w:val="Subject Alpha Char"/>
    <w:basedOn w:val="StandardChar"/>
    <w:link w:val="SubjectAlpha"/>
    <w:rsid w:val="00CD6569"/>
    <w:rPr>
      <w:rFonts w:ascii="Book Antiqua" w:hAnsi="Book Antiqua"/>
      <w:sz w:val="26"/>
    </w:rPr>
  </w:style>
  <w:style w:type="paragraph" w:customStyle="1" w:styleId="ListAlpha2">
    <w:name w:val="List Alpha 2"/>
    <w:basedOn w:val="ListAlpha"/>
    <w:link w:val="ListAlpha2Char"/>
    <w:qFormat/>
    <w:rsid w:val="00656A29"/>
  </w:style>
  <w:style w:type="character" w:customStyle="1" w:styleId="ListAlphaChar">
    <w:name w:val="List Alpha Char"/>
    <w:basedOn w:val="StandardChar"/>
    <w:link w:val="ListAlpha"/>
    <w:uiPriority w:val="4"/>
    <w:rsid w:val="007C4F7D"/>
    <w:rPr>
      <w:rFonts w:ascii="Book Antiqua" w:hAnsi="Book Antiqua"/>
      <w:sz w:val="26"/>
    </w:rPr>
  </w:style>
  <w:style w:type="character" w:customStyle="1" w:styleId="ListAlpha2Char">
    <w:name w:val="List Alpha 2 Char"/>
    <w:basedOn w:val="ListAlphaChar"/>
    <w:link w:val="ListAlpha2"/>
    <w:rsid w:val="00656A29"/>
    <w:rPr>
      <w:rFonts w:ascii="Book Antiqua" w:hAnsi="Book Antiqua"/>
      <w:sz w:val="26"/>
    </w:rPr>
  </w:style>
  <w:style w:type="paragraph" w:customStyle="1" w:styleId="ListBullet2">
    <w:name w:val="List Bullet2"/>
    <w:basedOn w:val="Standard"/>
    <w:link w:val="ListBullet2Char"/>
    <w:qFormat/>
    <w:rsid w:val="00F26C39"/>
    <w:pPr>
      <w:numPr>
        <w:ilvl w:val="1"/>
        <w:numId w:val="4"/>
      </w:numPr>
      <w:spacing w:after="120" w:line="240" w:lineRule="auto"/>
      <w:ind w:right="1440"/>
    </w:pPr>
  </w:style>
  <w:style w:type="character" w:customStyle="1" w:styleId="ListBullet2Char">
    <w:name w:val="List Bullet2 Char"/>
    <w:basedOn w:val="StandardChar"/>
    <w:link w:val="ListBullet2"/>
    <w:rsid w:val="00F26C39"/>
    <w:rPr>
      <w:rFonts w:ascii="Book Antiqua" w:hAnsi="Book Antiqua"/>
      <w:sz w:val="26"/>
    </w:rPr>
  </w:style>
  <w:style w:type="paragraph" w:customStyle="1" w:styleId="ListRoman3">
    <w:name w:val="List Roman 3"/>
    <w:basedOn w:val="List3"/>
    <w:rsid w:val="001B0405"/>
    <w:pPr>
      <w:numPr>
        <w:ilvl w:val="0"/>
        <w:numId w:val="15"/>
      </w:numPr>
      <w:ind w:left="1980" w:hanging="180"/>
    </w:pPr>
  </w:style>
  <w:style w:type="paragraph" w:customStyle="1" w:styleId="1ListNumber1">
    <w:name w:val="(1) List Number1"/>
    <w:basedOn w:val="ListParagraph"/>
    <w:link w:val="1ListNumber1Char"/>
    <w:qFormat/>
    <w:rsid w:val="00991BC2"/>
    <w:pPr>
      <w:numPr>
        <w:numId w:val="6"/>
      </w:numPr>
      <w:spacing w:after="120" w:line="240" w:lineRule="auto"/>
      <w:ind w:right="1440"/>
      <w:contextualSpacing w:val="0"/>
    </w:pPr>
    <w:rPr>
      <w:rFonts w:cstheme="minorHAnsi"/>
      <w:szCs w:val="26"/>
    </w:rPr>
  </w:style>
  <w:style w:type="character" w:customStyle="1" w:styleId="ListParagraphChar">
    <w:name w:val="List Paragraph Char"/>
    <w:basedOn w:val="DefaultParagraphFont"/>
    <w:link w:val="ListParagraph"/>
    <w:uiPriority w:val="34"/>
    <w:rsid w:val="00991BC2"/>
    <w:rPr>
      <w:rFonts w:ascii="Book Antiqua" w:hAnsi="Book Antiqua"/>
      <w:sz w:val="26"/>
    </w:rPr>
  </w:style>
  <w:style w:type="character" w:customStyle="1" w:styleId="1ListNumber1Char">
    <w:name w:val="(1) List Number1 Char"/>
    <w:basedOn w:val="ListParagraphChar"/>
    <w:link w:val="1ListNumber1"/>
    <w:rsid w:val="00991BC2"/>
    <w:rPr>
      <w:rFonts w:ascii="Book Antiqua" w:hAnsi="Book Antiqua" w:cstheme="minorHAnsi"/>
      <w:sz w:val="26"/>
      <w:szCs w:val="26"/>
    </w:rPr>
  </w:style>
  <w:style w:type="paragraph" w:customStyle="1" w:styleId="OPListAlpha">
    <w:name w:val="OP List Alpha"/>
    <w:basedOn w:val="ListParagraph"/>
    <w:link w:val="OPListAlphaChar"/>
    <w:qFormat/>
    <w:rsid w:val="00843141"/>
    <w:pPr>
      <w:numPr>
        <w:numId w:val="8"/>
      </w:numPr>
      <w:ind w:right="720"/>
      <w:contextualSpacing w:val="0"/>
    </w:pPr>
    <w:rPr>
      <w:rFonts w:eastAsia="Times New Roman" w:cs="Times New Roman"/>
      <w:szCs w:val="26"/>
    </w:rPr>
  </w:style>
  <w:style w:type="character" w:customStyle="1" w:styleId="OPListAlphaChar">
    <w:name w:val="OP List Alpha Char"/>
    <w:basedOn w:val="ListParagraphChar"/>
    <w:link w:val="OPListAlpha"/>
    <w:rsid w:val="00843141"/>
    <w:rPr>
      <w:rFonts w:ascii="Book Antiqua" w:eastAsia="Times New Roman" w:hAnsi="Book Antiqua" w:cs="Times New Roman"/>
      <w:sz w:val="26"/>
      <w:szCs w:val="26"/>
    </w:rPr>
  </w:style>
  <w:style w:type="paragraph" w:customStyle="1" w:styleId="OPListRomanNumeral">
    <w:name w:val="OP List RomanNumeral"/>
    <w:basedOn w:val="Normal"/>
    <w:link w:val="OPListRomanNumeralChar"/>
    <w:qFormat/>
    <w:rsid w:val="004A5401"/>
    <w:pPr>
      <w:numPr>
        <w:numId w:val="22"/>
      </w:numPr>
      <w:ind w:right="720"/>
    </w:pPr>
    <w:rPr>
      <w:szCs w:val="26"/>
    </w:rPr>
  </w:style>
  <w:style w:type="character" w:customStyle="1" w:styleId="OPListRomanNumeralChar">
    <w:name w:val="OP List RomanNumeral Char"/>
    <w:basedOn w:val="OPListAlphaChar"/>
    <w:link w:val="OPListRomanNumeral"/>
    <w:rsid w:val="004A5401"/>
    <w:rPr>
      <w:rFonts w:ascii="Book Antiqua" w:eastAsia="Times New Roman" w:hAnsi="Book Antiqua" w:cs="Times New Roman"/>
      <w:sz w:val="26"/>
      <w:szCs w:val="26"/>
    </w:rPr>
  </w:style>
  <w:style w:type="character" w:customStyle="1" w:styleId="cf11">
    <w:name w:val="cf11"/>
    <w:basedOn w:val="DefaultParagraphFont"/>
    <w:rsid w:val="005F3B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9724">
      <w:bodyDiv w:val="1"/>
      <w:marLeft w:val="0"/>
      <w:marRight w:val="0"/>
      <w:marTop w:val="0"/>
      <w:marBottom w:val="0"/>
      <w:divBdr>
        <w:top w:val="none" w:sz="0" w:space="0" w:color="auto"/>
        <w:left w:val="none" w:sz="0" w:space="0" w:color="auto"/>
        <w:bottom w:val="none" w:sz="0" w:space="0" w:color="auto"/>
        <w:right w:val="none" w:sz="0" w:space="0" w:color="auto"/>
      </w:divBdr>
    </w:div>
    <w:div w:id="156775244">
      <w:bodyDiv w:val="1"/>
      <w:marLeft w:val="0"/>
      <w:marRight w:val="0"/>
      <w:marTop w:val="0"/>
      <w:marBottom w:val="0"/>
      <w:divBdr>
        <w:top w:val="none" w:sz="0" w:space="0" w:color="auto"/>
        <w:left w:val="none" w:sz="0" w:space="0" w:color="auto"/>
        <w:bottom w:val="none" w:sz="0" w:space="0" w:color="auto"/>
        <w:right w:val="none" w:sz="0" w:space="0" w:color="auto"/>
      </w:divBdr>
    </w:div>
    <w:div w:id="168444303">
      <w:bodyDiv w:val="1"/>
      <w:marLeft w:val="0"/>
      <w:marRight w:val="0"/>
      <w:marTop w:val="0"/>
      <w:marBottom w:val="0"/>
      <w:divBdr>
        <w:top w:val="none" w:sz="0" w:space="0" w:color="auto"/>
        <w:left w:val="none" w:sz="0" w:space="0" w:color="auto"/>
        <w:bottom w:val="none" w:sz="0" w:space="0" w:color="auto"/>
        <w:right w:val="none" w:sz="0" w:space="0" w:color="auto"/>
      </w:divBdr>
    </w:div>
    <w:div w:id="173887100">
      <w:bodyDiv w:val="1"/>
      <w:marLeft w:val="0"/>
      <w:marRight w:val="0"/>
      <w:marTop w:val="0"/>
      <w:marBottom w:val="0"/>
      <w:divBdr>
        <w:top w:val="none" w:sz="0" w:space="0" w:color="auto"/>
        <w:left w:val="none" w:sz="0" w:space="0" w:color="auto"/>
        <w:bottom w:val="none" w:sz="0" w:space="0" w:color="auto"/>
        <w:right w:val="none" w:sz="0" w:space="0" w:color="auto"/>
      </w:divBdr>
    </w:div>
    <w:div w:id="183058905">
      <w:bodyDiv w:val="1"/>
      <w:marLeft w:val="0"/>
      <w:marRight w:val="0"/>
      <w:marTop w:val="0"/>
      <w:marBottom w:val="0"/>
      <w:divBdr>
        <w:top w:val="none" w:sz="0" w:space="0" w:color="auto"/>
        <w:left w:val="none" w:sz="0" w:space="0" w:color="auto"/>
        <w:bottom w:val="none" w:sz="0" w:space="0" w:color="auto"/>
        <w:right w:val="none" w:sz="0" w:space="0" w:color="auto"/>
      </w:divBdr>
    </w:div>
    <w:div w:id="190267102">
      <w:bodyDiv w:val="1"/>
      <w:marLeft w:val="0"/>
      <w:marRight w:val="0"/>
      <w:marTop w:val="0"/>
      <w:marBottom w:val="0"/>
      <w:divBdr>
        <w:top w:val="none" w:sz="0" w:space="0" w:color="auto"/>
        <w:left w:val="none" w:sz="0" w:space="0" w:color="auto"/>
        <w:bottom w:val="none" w:sz="0" w:space="0" w:color="auto"/>
        <w:right w:val="none" w:sz="0" w:space="0" w:color="auto"/>
      </w:divBdr>
    </w:div>
    <w:div w:id="204176559">
      <w:bodyDiv w:val="1"/>
      <w:marLeft w:val="0"/>
      <w:marRight w:val="0"/>
      <w:marTop w:val="0"/>
      <w:marBottom w:val="0"/>
      <w:divBdr>
        <w:top w:val="none" w:sz="0" w:space="0" w:color="auto"/>
        <w:left w:val="none" w:sz="0" w:space="0" w:color="auto"/>
        <w:bottom w:val="none" w:sz="0" w:space="0" w:color="auto"/>
        <w:right w:val="none" w:sz="0" w:space="0" w:color="auto"/>
      </w:divBdr>
    </w:div>
    <w:div w:id="250823392">
      <w:bodyDiv w:val="1"/>
      <w:marLeft w:val="0"/>
      <w:marRight w:val="0"/>
      <w:marTop w:val="0"/>
      <w:marBottom w:val="0"/>
      <w:divBdr>
        <w:top w:val="none" w:sz="0" w:space="0" w:color="auto"/>
        <w:left w:val="none" w:sz="0" w:space="0" w:color="auto"/>
        <w:bottom w:val="none" w:sz="0" w:space="0" w:color="auto"/>
        <w:right w:val="none" w:sz="0" w:space="0" w:color="auto"/>
      </w:divBdr>
    </w:div>
    <w:div w:id="322662098">
      <w:bodyDiv w:val="1"/>
      <w:marLeft w:val="0"/>
      <w:marRight w:val="0"/>
      <w:marTop w:val="0"/>
      <w:marBottom w:val="0"/>
      <w:divBdr>
        <w:top w:val="none" w:sz="0" w:space="0" w:color="auto"/>
        <w:left w:val="none" w:sz="0" w:space="0" w:color="auto"/>
        <w:bottom w:val="none" w:sz="0" w:space="0" w:color="auto"/>
        <w:right w:val="none" w:sz="0" w:space="0" w:color="auto"/>
      </w:divBdr>
    </w:div>
    <w:div w:id="411976717">
      <w:bodyDiv w:val="1"/>
      <w:marLeft w:val="0"/>
      <w:marRight w:val="0"/>
      <w:marTop w:val="0"/>
      <w:marBottom w:val="0"/>
      <w:divBdr>
        <w:top w:val="none" w:sz="0" w:space="0" w:color="auto"/>
        <w:left w:val="none" w:sz="0" w:space="0" w:color="auto"/>
        <w:bottom w:val="none" w:sz="0" w:space="0" w:color="auto"/>
        <w:right w:val="none" w:sz="0" w:space="0" w:color="auto"/>
      </w:divBdr>
    </w:div>
    <w:div w:id="427122405">
      <w:bodyDiv w:val="1"/>
      <w:marLeft w:val="0"/>
      <w:marRight w:val="0"/>
      <w:marTop w:val="0"/>
      <w:marBottom w:val="0"/>
      <w:divBdr>
        <w:top w:val="none" w:sz="0" w:space="0" w:color="auto"/>
        <w:left w:val="none" w:sz="0" w:space="0" w:color="auto"/>
        <w:bottom w:val="none" w:sz="0" w:space="0" w:color="auto"/>
        <w:right w:val="none" w:sz="0" w:space="0" w:color="auto"/>
      </w:divBdr>
    </w:div>
    <w:div w:id="473832387">
      <w:bodyDiv w:val="1"/>
      <w:marLeft w:val="0"/>
      <w:marRight w:val="0"/>
      <w:marTop w:val="0"/>
      <w:marBottom w:val="0"/>
      <w:divBdr>
        <w:top w:val="none" w:sz="0" w:space="0" w:color="auto"/>
        <w:left w:val="none" w:sz="0" w:space="0" w:color="auto"/>
        <w:bottom w:val="none" w:sz="0" w:space="0" w:color="auto"/>
        <w:right w:val="none" w:sz="0" w:space="0" w:color="auto"/>
      </w:divBdr>
    </w:div>
    <w:div w:id="483592647">
      <w:bodyDiv w:val="1"/>
      <w:marLeft w:val="0"/>
      <w:marRight w:val="0"/>
      <w:marTop w:val="0"/>
      <w:marBottom w:val="0"/>
      <w:divBdr>
        <w:top w:val="none" w:sz="0" w:space="0" w:color="auto"/>
        <w:left w:val="none" w:sz="0" w:space="0" w:color="auto"/>
        <w:bottom w:val="none" w:sz="0" w:space="0" w:color="auto"/>
        <w:right w:val="none" w:sz="0" w:space="0" w:color="auto"/>
      </w:divBdr>
    </w:div>
    <w:div w:id="502476394">
      <w:bodyDiv w:val="1"/>
      <w:marLeft w:val="0"/>
      <w:marRight w:val="0"/>
      <w:marTop w:val="0"/>
      <w:marBottom w:val="0"/>
      <w:divBdr>
        <w:top w:val="none" w:sz="0" w:space="0" w:color="auto"/>
        <w:left w:val="none" w:sz="0" w:space="0" w:color="auto"/>
        <w:bottom w:val="none" w:sz="0" w:space="0" w:color="auto"/>
        <w:right w:val="none" w:sz="0" w:space="0" w:color="auto"/>
      </w:divBdr>
    </w:div>
    <w:div w:id="542641964">
      <w:bodyDiv w:val="1"/>
      <w:marLeft w:val="0"/>
      <w:marRight w:val="0"/>
      <w:marTop w:val="0"/>
      <w:marBottom w:val="0"/>
      <w:divBdr>
        <w:top w:val="none" w:sz="0" w:space="0" w:color="auto"/>
        <w:left w:val="none" w:sz="0" w:space="0" w:color="auto"/>
        <w:bottom w:val="none" w:sz="0" w:space="0" w:color="auto"/>
        <w:right w:val="none" w:sz="0" w:space="0" w:color="auto"/>
      </w:divBdr>
    </w:div>
    <w:div w:id="553465216">
      <w:bodyDiv w:val="1"/>
      <w:marLeft w:val="0"/>
      <w:marRight w:val="0"/>
      <w:marTop w:val="0"/>
      <w:marBottom w:val="0"/>
      <w:divBdr>
        <w:top w:val="none" w:sz="0" w:space="0" w:color="auto"/>
        <w:left w:val="none" w:sz="0" w:space="0" w:color="auto"/>
        <w:bottom w:val="none" w:sz="0" w:space="0" w:color="auto"/>
        <w:right w:val="none" w:sz="0" w:space="0" w:color="auto"/>
      </w:divBdr>
    </w:div>
    <w:div w:id="562910460">
      <w:bodyDiv w:val="1"/>
      <w:marLeft w:val="0"/>
      <w:marRight w:val="0"/>
      <w:marTop w:val="0"/>
      <w:marBottom w:val="0"/>
      <w:divBdr>
        <w:top w:val="none" w:sz="0" w:space="0" w:color="auto"/>
        <w:left w:val="none" w:sz="0" w:space="0" w:color="auto"/>
        <w:bottom w:val="none" w:sz="0" w:space="0" w:color="auto"/>
        <w:right w:val="none" w:sz="0" w:space="0" w:color="auto"/>
      </w:divBdr>
    </w:div>
    <w:div w:id="625696934">
      <w:bodyDiv w:val="1"/>
      <w:marLeft w:val="0"/>
      <w:marRight w:val="0"/>
      <w:marTop w:val="0"/>
      <w:marBottom w:val="0"/>
      <w:divBdr>
        <w:top w:val="none" w:sz="0" w:space="0" w:color="auto"/>
        <w:left w:val="none" w:sz="0" w:space="0" w:color="auto"/>
        <w:bottom w:val="none" w:sz="0" w:space="0" w:color="auto"/>
        <w:right w:val="none" w:sz="0" w:space="0" w:color="auto"/>
      </w:divBdr>
    </w:div>
    <w:div w:id="630988190">
      <w:bodyDiv w:val="1"/>
      <w:marLeft w:val="0"/>
      <w:marRight w:val="0"/>
      <w:marTop w:val="0"/>
      <w:marBottom w:val="0"/>
      <w:divBdr>
        <w:top w:val="none" w:sz="0" w:space="0" w:color="auto"/>
        <w:left w:val="none" w:sz="0" w:space="0" w:color="auto"/>
        <w:bottom w:val="none" w:sz="0" w:space="0" w:color="auto"/>
        <w:right w:val="none" w:sz="0" w:space="0" w:color="auto"/>
      </w:divBdr>
    </w:div>
    <w:div w:id="645743686">
      <w:bodyDiv w:val="1"/>
      <w:marLeft w:val="0"/>
      <w:marRight w:val="0"/>
      <w:marTop w:val="0"/>
      <w:marBottom w:val="0"/>
      <w:divBdr>
        <w:top w:val="none" w:sz="0" w:space="0" w:color="auto"/>
        <w:left w:val="none" w:sz="0" w:space="0" w:color="auto"/>
        <w:bottom w:val="none" w:sz="0" w:space="0" w:color="auto"/>
        <w:right w:val="none" w:sz="0" w:space="0" w:color="auto"/>
      </w:divBdr>
    </w:div>
    <w:div w:id="648945367">
      <w:bodyDiv w:val="1"/>
      <w:marLeft w:val="0"/>
      <w:marRight w:val="0"/>
      <w:marTop w:val="0"/>
      <w:marBottom w:val="0"/>
      <w:divBdr>
        <w:top w:val="none" w:sz="0" w:space="0" w:color="auto"/>
        <w:left w:val="none" w:sz="0" w:space="0" w:color="auto"/>
        <w:bottom w:val="none" w:sz="0" w:space="0" w:color="auto"/>
        <w:right w:val="none" w:sz="0" w:space="0" w:color="auto"/>
      </w:divBdr>
    </w:div>
    <w:div w:id="660237605">
      <w:bodyDiv w:val="1"/>
      <w:marLeft w:val="0"/>
      <w:marRight w:val="0"/>
      <w:marTop w:val="0"/>
      <w:marBottom w:val="0"/>
      <w:divBdr>
        <w:top w:val="none" w:sz="0" w:space="0" w:color="auto"/>
        <w:left w:val="none" w:sz="0" w:space="0" w:color="auto"/>
        <w:bottom w:val="none" w:sz="0" w:space="0" w:color="auto"/>
        <w:right w:val="none" w:sz="0" w:space="0" w:color="auto"/>
      </w:divBdr>
    </w:div>
    <w:div w:id="702099228">
      <w:bodyDiv w:val="1"/>
      <w:marLeft w:val="0"/>
      <w:marRight w:val="0"/>
      <w:marTop w:val="0"/>
      <w:marBottom w:val="0"/>
      <w:divBdr>
        <w:top w:val="none" w:sz="0" w:space="0" w:color="auto"/>
        <w:left w:val="none" w:sz="0" w:space="0" w:color="auto"/>
        <w:bottom w:val="none" w:sz="0" w:space="0" w:color="auto"/>
        <w:right w:val="none" w:sz="0" w:space="0" w:color="auto"/>
      </w:divBdr>
    </w:div>
    <w:div w:id="714699680">
      <w:bodyDiv w:val="1"/>
      <w:marLeft w:val="0"/>
      <w:marRight w:val="0"/>
      <w:marTop w:val="0"/>
      <w:marBottom w:val="0"/>
      <w:divBdr>
        <w:top w:val="none" w:sz="0" w:space="0" w:color="auto"/>
        <w:left w:val="none" w:sz="0" w:space="0" w:color="auto"/>
        <w:bottom w:val="none" w:sz="0" w:space="0" w:color="auto"/>
        <w:right w:val="none" w:sz="0" w:space="0" w:color="auto"/>
      </w:divBdr>
    </w:div>
    <w:div w:id="732393129">
      <w:bodyDiv w:val="1"/>
      <w:marLeft w:val="0"/>
      <w:marRight w:val="0"/>
      <w:marTop w:val="0"/>
      <w:marBottom w:val="0"/>
      <w:divBdr>
        <w:top w:val="none" w:sz="0" w:space="0" w:color="auto"/>
        <w:left w:val="none" w:sz="0" w:space="0" w:color="auto"/>
        <w:bottom w:val="none" w:sz="0" w:space="0" w:color="auto"/>
        <w:right w:val="none" w:sz="0" w:space="0" w:color="auto"/>
      </w:divBdr>
    </w:div>
    <w:div w:id="732579178">
      <w:bodyDiv w:val="1"/>
      <w:marLeft w:val="0"/>
      <w:marRight w:val="0"/>
      <w:marTop w:val="0"/>
      <w:marBottom w:val="0"/>
      <w:divBdr>
        <w:top w:val="none" w:sz="0" w:space="0" w:color="auto"/>
        <w:left w:val="none" w:sz="0" w:space="0" w:color="auto"/>
        <w:bottom w:val="none" w:sz="0" w:space="0" w:color="auto"/>
        <w:right w:val="none" w:sz="0" w:space="0" w:color="auto"/>
      </w:divBdr>
    </w:div>
    <w:div w:id="745344090">
      <w:bodyDiv w:val="1"/>
      <w:marLeft w:val="0"/>
      <w:marRight w:val="0"/>
      <w:marTop w:val="0"/>
      <w:marBottom w:val="0"/>
      <w:divBdr>
        <w:top w:val="none" w:sz="0" w:space="0" w:color="auto"/>
        <w:left w:val="none" w:sz="0" w:space="0" w:color="auto"/>
        <w:bottom w:val="none" w:sz="0" w:space="0" w:color="auto"/>
        <w:right w:val="none" w:sz="0" w:space="0" w:color="auto"/>
      </w:divBdr>
    </w:div>
    <w:div w:id="793838228">
      <w:bodyDiv w:val="1"/>
      <w:marLeft w:val="0"/>
      <w:marRight w:val="0"/>
      <w:marTop w:val="0"/>
      <w:marBottom w:val="0"/>
      <w:divBdr>
        <w:top w:val="none" w:sz="0" w:space="0" w:color="auto"/>
        <w:left w:val="none" w:sz="0" w:space="0" w:color="auto"/>
        <w:bottom w:val="none" w:sz="0" w:space="0" w:color="auto"/>
        <w:right w:val="none" w:sz="0" w:space="0" w:color="auto"/>
      </w:divBdr>
    </w:div>
    <w:div w:id="823089729">
      <w:bodyDiv w:val="1"/>
      <w:marLeft w:val="0"/>
      <w:marRight w:val="0"/>
      <w:marTop w:val="0"/>
      <w:marBottom w:val="0"/>
      <w:divBdr>
        <w:top w:val="none" w:sz="0" w:space="0" w:color="auto"/>
        <w:left w:val="none" w:sz="0" w:space="0" w:color="auto"/>
        <w:bottom w:val="none" w:sz="0" w:space="0" w:color="auto"/>
        <w:right w:val="none" w:sz="0" w:space="0" w:color="auto"/>
      </w:divBdr>
      <w:divsChild>
        <w:div w:id="594561871">
          <w:marLeft w:val="360"/>
          <w:marRight w:val="0"/>
          <w:marTop w:val="0"/>
          <w:marBottom w:val="0"/>
          <w:divBdr>
            <w:top w:val="none" w:sz="0" w:space="0" w:color="auto"/>
            <w:left w:val="none" w:sz="0" w:space="0" w:color="auto"/>
            <w:bottom w:val="none" w:sz="0" w:space="0" w:color="auto"/>
            <w:right w:val="none" w:sz="0" w:space="0" w:color="auto"/>
          </w:divBdr>
        </w:div>
      </w:divsChild>
    </w:div>
    <w:div w:id="883099534">
      <w:bodyDiv w:val="1"/>
      <w:marLeft w:val="0"/>
      <w:marRight w:val="0"/>
      <w:marTop w:val="0"/>
      <w:marBottom w:val="0"/>
      <w:divBdr>
        <w:top w:val="none" w:sz="0" w:space="0" w:color="auto"/>
        <w:left w:val="none" w:sz="0" w:space="0" w:color="auto"/>
        <w:bottom w:val="none" w:sz="0" w:space="0" w:color="auto"/>
        <w:right w:val="none" w:sz="0" w:space="0" w:color="auto"/>
      </w:divBdr>
    </w:div>
    <w:div w:id="899366178">
      <w:bodyDiv w:val="1"/>
      <w:marLeft w:val="0"/>
      <w:marRight w:val="0"/>
      <w:marTop w:val="0"/>
      <w:marBottom w:val="0"/>
      <w:divBdr>
        <w:top w:val="none" w:sz="0" w:space="0" w:color="auto"/>
        <w:left w:val="none" w:sz="0" w:space="0" w:color="auto"/>
        <w:bottom w:val="none" w:sz="0" w:space="0" w:color="auto"/>
        <w:right w:val="none" w:sz="0" w:space="0" w:color="auto"/>
      </w:divBdr>
    </w:div>
    <w:div w:id="948051071">
      <w:bodyDiv w:val="1"/>
      <w:marLeft w:val="0"/>
      <w:marRight w:val="0"/>
      <w:marTop w:val="0"/>
      <w:marBottom w:val="0"/>
      <w:divBdr>
        <w:top w:val="none" w:sz="0" w:space="0" w:color="auto"/>
        <w:left w:val="none" w:sz="0" w:space="0" w:color="auto"/>
        <w:bottom w:val="none" w:sz="0" w:space="0" w:color="auto"/>
        <w:right w:val="none" w:sz="0" w:space="0" w:color="auto"/>
      </w:divBdr>
    </w:div>
    <w:div w:id="968364873">
      <w:bodyDiv w:val="1"/>
      <w:marLeft w:val="0"/>
      <w:marRight w:val="0"/>
      <w:marTop w:val="0"/>
      <w:marBottom w:val="0"/>
      <w:divBdr>
        <w:top w:val="none" w:sz="0" w:space="0" w:color="auto"/>
        <w:left w:val="none" w:sz="0" w:space="0" w:color="auto"/>
        <w:bottom w:val="none" w:sz="0" w:space="0" w:color="auto"/>
        <w:right w:val="none" w:sz="0" w:space="0" w:color="auto"/>
      </w:divBdr>
    </w:div>
    <w:div w:id="983119216">
      <w:bodyDiv w:val="1"/>
      <w:marLeft w:val="0"/>
      <w:marRight w:val="0"/>
      <w:marTop w:val="0"/>
      <w:marBottom w:val="0"/>
      <w:divBdr>
        <w:top w:val="none" w:sz="0" w:space="0" w:color="auto"/>
        <w:left w:val="none" w:sz="0" w:space="0" w:color="auto"/>
        <w:bottom w:val="none" w:sz="0" w:space="0" w:color="auto"/>
        <w:right w:val="none" w:sz="0" w:space="0" w:color="auto"/>
      </w:divBdr>
    </w:div>
    <w:div w:id="1008869838">
      <w:bodyDiv w:val="1"/>
      <w:marLeft w:val="0"/>
      <w:marRight w:val="0"/>
      <w:marTop w:val="0"/>
      <w:marBottom w:val="0"/>
      <w:divBdr>
        <w:top w:val="none" w:sz="0" w:space="0" w:color="auto"/>
        <w:left w:val="none" w:sz="0" w:space="0" w:color="auto"/>
        <w:bottom w:val="none" w:sz="0" w:space="0" w:color="auto"/>
        <w:right w:val="none" w:sz="0" w:space="0" w:color="auto"/>
      </w:divBdr>
    </w:div>
    <w:div w:id="1041900106">
      <w:bodyDiv w:val="1"/>
      <w:marLeft w:val="0"/>
      <w:marRight w:val="0"/>
      <w:marTop w:val="0"/>
      <w:marBottom w:val="0"/>
      <w:divBdr>
        <w:top w:val="none" w:sz="0" w:space="0" w:color="auto"/>
        <w:left w:val="none" w:sz="0" w:space="0" w:color="auto"/>
        <w:bottom w:val="none" w:sz="0" w:space="0" w:color="auto"/>
        <w:right w:val="none" w:sz="0" w:space="0" w:color="auto"/>
      </w:divBdr>
    </w:div>
    <w:div w:id="1088161290">
      <w:bodyDiv w:val="1"/>
      <w:marLeft w:val="0"/>
      <w:marRight w:val="0"/>
      <w:marTop w:val="0"/>
      <w:marBottom w:val="0"/>
      <w:divBdr>
        <w:top w:val="none" w:sz="0" w:space="0" w:color="auto"/>
        <w:left w:val="none" w:sz="0" w:space="0" w:color="auto"/>
        <w:bottom w:val="none" w:sz="0" w:space="0" w:color="auto"/>
        <w:right w:val="none" w:sz="0" w:space="0" w:color="auto"/>
      </w:divBdr>
    </w:div>
    <w:div w:id="1100755693">
      <w:bodyDiv w:val="1"/>
      <w:marLeft w:val="0"/>
      <w:marRight w:val="0"/>
      <w:marTop w:val="0"/>
      <w:marBottom w:val="0"/>
      <w:divBdr>
        <w:top w:val="none" w:sz="0" w:space="0" w:color="auto"/>
        <w:left w:val="none" w:sz="0" w:space="0" w:color="auto"/>
        <w:bottom w:val="none" w:sz="0" w:space="0" w:color="auto"/>
        <w:right w:val="none" w:sz="0" w:space="0" w:color="auto"/>
      </w:divBdr>
    </w:div>
    <w:div w:id="1104156861">
      <w:bodyDiv w:val="1"/>
      <w:marLeft w:val="0"/>
      <w:marRight w:val="0"/>
      <w:marTop w:val="0"/>
      <w:marBottom w:val="0"/>
      <w:divBdr>
        <w:top w:val="none" w:sz="0" w:space="0" w:color="auto"/>
        <w:left w:val="none" w:sz="0" w:space="0" w:color="auto"/>
        <w:bottom w:val="none" w:sz="0" w:space="0" w:color="auto"/>
        <w:right w:val="none" w:sz="0" w:space="0" w:color="auto"/>
      </w:divBdr>
    </w:div>
    <w:div w:id="1115371370">
      <w:bodyDiv w:val="1"/>
      <w:marLeft w:val="0"/>
      <w:marRight w:val="0"/>
      <w:marTop w:val="0"/>
      <w:marBottom w:val="0"/>
      <w:divBdr>
        <w:top w:val="none" w:sz="0" w:space="0" w:color="auto"/>
        <w:left w:val="none" w:sz="0" w:space="0" w:color="auto"/>
        <w:bottom w:val="none" w:sz="0" w:space="0" w:color="auto"/>
        <w:right w:val="none" w:sz="0" w:space="0" w:color="auto"/>
      </w:divBdr>
    </w:div>
    <w:div w:id="1145849896">
      <w:bodyDiv w:val="1"/>
      <w:marLeft w:val="0"/>
      <w:marRight w:val="0"/>
      <w:marTop w:val="0"/>
      <w:marBottom w:val="0"/>
      <w:divBdr>
        <w:top w:val="none" w:sz="0" w:space="0" w:color="auto"/>
        <w:left w:val="none" w:sz="0" w:space="0" w:color="auto"/>
        <w:bottom w:val="none" w:sz="0" w:space="0" w:color="auto"/>
        <w:right w:val="none" w:sz="0" w:space="0" w:color="auto"/>
      </w:divBdr>
    </w:div>
    <w:div w:id="1185945818">
      <w:bodyDiv w:val="1"/>
      <w:marLeft w:val="0"/>
      <w:marRight w:val="0"/>
      <w:marTop w:val="0"/>
      <w:marBottom w:val="0"/>
      <w:divBdr>
        <w:top w:val="none" w:sz="0" w:space="0" w:color="auto"/>
        <w:left w:val="none" w:sz="0" w:space="0" w:color="auto"/>
        <w:bottom w:val="none" w:sz="0" w:space="0" w:color="auto"/>
        <w:right w:val="none" w:sz="0" w:space="0" w:color="auto"/>
      </w:divBdr>
    </w:div>
    <w:div w:id="1368526977">
      <w:bodyDiv w:val="1"/>
      <w:marLeft w:val="0"/>
      <w:marRight w:val="0"/>
      <w:marTop w:val="0"/>
      <w:marBottom w:val="0"/>
      <w:divBdr>
        <w:top w:val="none" w:sz="0" w:space="0" w:color="auto"/>
        <w:left w:val="none" w:sz="0" w:space="0" w:color="auto"/>
        <w:bottom w:val="none" w:sz="0" w:space="0" w:color="auto"/>
        <w:right w:val="none" w:sz="0" w:space="0" w:color="auto"/>
      </w:divBdr>
    </w:div>
    <w:div w:id="1385564019">
      <w:bodyDiv w:val="1"/>
      <w:marLeft w:val="0"/>
      <w:marRight w:val="0"/>
      <w:marTop w:val="0"/>
      <w:marBottom w:val="0"/>
      <w:divBdr>
        <w:top w:val="none" w:sz="0" w:space="0" w:color="auto"/>
        <w:left w:val="none" w:sz="0" w:space="0" w:color="auto"/>
        <w:bottom w:val="none" w:sz="0" w:space="0" w:color="auto"/>
        <w:right w:val="none" w:sz="0" w:space="0" w:color="auto"/>
      </w:divBdr>
    </w:div>
    <w:div w:id="1412778165">
      <w:bodyDiv w:val="1"/>
      <w:marLeft w:val="0"/>
      <w:marRight w:val="0"/>
      <w:marTop w:val="0"/>
      <w:marBottom w:val="0"/>
      <w:divBdr>
        <w:top w:val="none" w:sz="0" w:space="0" w:color="auto"/>
        <w:left w:val="none" w:sz="0" w:space="0" w:color="auto"/>
        <w:bottom w:val="none" w:sz="0" w:space="0" w:color="auto"/>
        <w:right w:val="none" w:sz="0" w:space="0" w:color="auto"/>
      </w:divBdr>
    </w:div>
    <w:div w:id="1472482023">
      <w:bodyDiv w:val="1"/>
      <w:marLeft w:val="0"/>
      <w:marRight w:val="0"/>
      <w:marTop w:val="0"/>
      <w:marBottom w:val="0"/>
      <w:divBdr>
        <w:top w:val="none" w:sz="0" w:space="0" w:color="auto"/>
        <w:left w:val="none" w:sz="0" w:space="0" w:color="auto"/>
        <w:bottom w:val="none" w:sz="0" w:space="0" w:color="auto"/>
        <w:right w:val="none" w:sz="0" w:space="0" w:color="auto"/>
      </w:divBdr>
    </w:div>
    <w:div w:id="1473595586">
      <w:bodyDiv w:val="1"/>
      <w:marLeft w:val="0"/>
      <w:marRight w:val="0"/>
      <w:marTop w:val="0"/>
      <w:marBottom w:val="0"/>
      <w:divBdr>
        <w:top w:val="none" w:sz="0" w:space="0" w:color="auto"/>
        <w:left w:val="none" w:sz="0" w:space="0" w:color="auto"/>
        <w:bottom w:val="none" w:sz="0" w:space="0" w:color="auto"/>
        <w:right w:val="none" w:sz="0" w:space="0" w:color="auto"/>
      </w:divBdr>
    </w:div>
    <w:div w:id="1488865675">
      <w:bodyDiv w:val="1"/>
      <w:marLeft w:val="0"/>
      <w:marRight w:val="0"/>
      <w:marTop w:val="0"/>
      <w:marBottom w:val="0"/>
      <w:divBdr>
        <w:top w:val="none" w:sz="0" w:space="0" w:color="auto"/>
        <w:left w:val="none" w:sz="0" w:space="0" w:color="auto"/>
        <w:bottom w:val="none" w:sz="0" w:space="0" w:color="auto"/>
        <w:right w:val="none" w:sz="0" w:space="0" w:color="auto"/>
      </w:divBdr>
    </w:div>
    <w:div w:id="1579904916">
      <w:bodyDiv w:val="1"/>
      <w:marLeft w:val="0"/>
      <w:marRight w:val="0"/>
      <w:marTop w:val="0"/>
      <w:marBottom w:val="0"/>
      <w:divBdr>
        <w:top w:val="none" w:sz="0" w:space="0" w:color="auto"/>
        <w:left w:val="none" w:sz="0" w:space="0" w:color="auto"/>
        <w:bottom w:val="none" w:sz="0" w:space="0" w:color="auto"/>
        <w:right w:val="none" w:sz="0" w:space="0" w:color="auto"/>
      </w:divBdr>
    </w:div>
    <w:div w:id="1631210003">
      <w:bodyDiv w:val="1"/>
      <w:marLeft w:val="0"/>
      <w:marRight w:val="0"/>
      <w:marTop w:val="0"/>
      <w:marBottom w:val="0"/>
      <w:divBdr>
        <w:top w:val="none" w:sz="0" w:space="0" w:color="auto"/>
        <w:left w:val="none" w:sz="0" w:space="0" w:color="auto"/>
        <w:bottom w:val="none" w:sz="0" w:space="0" w:color="auto"/>
        <w:right w:val="none" w:sz="0" w:space="0" w:color="auto"/>
      </w:divBdr>
    </w:div>
    <w:div w:id="1631326776">
      <w:bodyDiv w:val="1"/>
      <w:marLeft w:val="0"/>
      <w:marRight w:val="0"/>
      <w:marTop w:val="0"/>
      <w:marBottom w:val="0"/>
      <w:divBdr>
        <w:top w:val="none" w:sz="0" w:space="0" w:color="auto"/>
        <w:left w:val="none" w:sz="0" w:space="0" w:color="auto"/>
        <w:bottom w:val="none" w:sz="0" w:space="0" w:color="auto"/>
        <w:right w:val="none" w:sz="0" w:space="0" w:color="auto"/>
      </w:divBdr>
    </w:div>
    <w:div w:id="1673793579">
      <w:bodyDiv w:val="1"/>
      <w:marLeft w:val="0"/>
      <w:marRight w:val="0"/>
      <w:marTop w:val="0"/>
      <w:marBottom w:val="0"/>
      <w:divBdr>
        <w:top w:val="none" w:sz="0" w:space="0" w:color="auto"/>
        <w:left w:val="none" w:sz="0" w:space="0" w:color="auto"/>
        <w:bottom w:val="none" w:sz="0" w:space="0" w:color="auto"/>
        <w:right w:val="none" w:sz="0" w:space="0" w:color="auto"/>
      </w:divBdr>
    </w:div>
    <w:div w:id="1718116226">
      <w:bodyDiv w:val="1"/>
      <w:marLeft w:val="0"/>
      <w:marRight w:val="0"/>
      <w:marTop w:val="0"/>
      <w:marBottom w:val="0"/>
      <w:divBdr>
        <w:top w:val="none" w:sz="0" w:space="0" w:color="auto"/>
        <w:left w:val="none" w:sz="0" w:space="0" w:color="auto"/>
        <w:bottom w:val="none" w:sz="0" w:space="0" w:color="auto"/>
        <w:right w:val="none" w:sz="0" w:space="0" w:color="auto"/>
      </w:divBdr>
    </w:div>
    <w:div w:id="1757361558">
      <w:bodyDiv w:val="1"/>
      <w:marLeft w:val="0"/>
      <w:marRight w:val="0"/>
      <w:marTop w:val="0"/>
      <w:marBottom w:val="0"/>
      <w:divBdr>
        <w:top w:val="none" w:sz="0" w:space="0" w:color="auto"/>
        <w:left w:val="none" w:sz="0" w:space="0" w:color="auto"/>
        <w:bottom w:val="none" w:sz="0" w:space="0" w:color="auto"/>
        <w:right w:val="none" w:sz="0" w:space="0" w:color="auto"/>
      </w:divBdr>
    </w:div>
    <w:div w:id="1809853472">
      <w:bodyDiv w:val="1"/>
      <w:marLeft w:val="0"/>
      <w:marRight w:val="0"/>
      <w:marTop w:val="0"/>
      <w:marBottom w:val="0"/>
      <w:divBdr>
        <w:top w:val="none" w:sz="0" w:space="0" w:color="auto"/>
        <w:left w:val="none" w:sz="0" w:space="0" w:color="auto"/>
        <w:bottom w:val="none" w:sz="0" w:space="0" w:color="auto"/>
        <w:right w:val="none" w:sz="0" w:space="0" w:color="auto"/>
      </w:divBdr>
    </w:div>
    <w:div w:id="1819952678">
      <w:bodyDiv w:val="1"/>
      <w:marLeft w:val="0"/>
      <w:marRight w:val="0"/>
      <w:marTop w:val="0"/>
      <w:marBottom w:val="0"/>
      <w:divBdr>
        <w:top w:val="none" w:sz="0" w:space="0" w:color="auto"/>
        <w:left w:val="none" w:sz="0" w:space="0" w:color="auto"/>
        <w:bottom w:val="none" w:sz="0" w:space="0" w:color="auto"/>
        <w:right w:val="none" w:sz="0" w:space="0" w:color="auto"/>
      </w:divBdr>
    </w:div>
    <w:div w:id="1823810785">
      <w:bodyDiv w:val="1"/>
      <w:marLeft w:val="0"/>
      <w:marRight w:val="0"/>
      <w:marTop w:val="0"/>
      <w:marBottom w:val="0"/>
      <w:divBdr>
        <w:top w:val="none" w:sz="0" w:space="0" w:color="auto"/>
        <w:left w:val="none" w:sz="0" w:space="0" w:color="auto"/>
        <w:bottom w:val="none" w:sz="0" w:space="0" w:color="auto"/>
        <w:right w:val="none" w:sz="0" w:space="0" w:color="auto"/>
      </w:divBdr>
    </w:div>
    <w:div w:id="1835298865">
      <w:bodyDiv w:val="1"/>
      <w:marLeft w:val="0"/>
      <w:marRight w:val="0"/>
      <w:marTop w:val="0"/>
      <w:marBottom w:val="0"/>
      <w:divBdr>
        <w:top w:val="none" w:sz="0" w:space="0" w:color="auto"/>
        <w:left w:val="none" w:sz="0" w:space="0" w:color="auto"/>
        <w:bottom w:val="none" w:sz="0" w:space="0" w:color="auto"/>
        <w:right w:val="none" w:sz="0" w:space="0" w:color="auto"/>
      </w:divBdr>
    </w:div>
    <w:div w:id="1939678769">
      <w:bodyDiv w:val="1"/>
      <w:marLeft w:val="0"/>
      <w:marRight w:val="0"/>
      <w:marTop w:val="0"/>
      <w:marBottom w:val="0"/>
      <w:divBdr>
        <w:top w:val="none" w:sz="0" w:space="0" w:color="auto"/>
        <w:left w:val="none" w:sz="0" w:space="0" w:color="auto"/>
        <w:bottom w:val="none" w:sz="0" w:space="0" w:color="auto"/>
        <w:right w:val="none" w:sz="0" w:space="0" w:color="auto"/>
      </w:divBdr>
    </w:div>
    <w:div w:id="1977293912">
      <w:bodyDiv w:val="1"/>
      <w:marLeft w:val="0"/>
      <w:marRight w:val="0"/>
      <w:marTop w:val="0"/>
      <w:marBottom w:val="0"/>
      <w:divBdr>
        <w:top w:val="none" w:sz="0" w:space="0" w:color="auto"/>
        <w:left w:val="none" w:sz="0" w:space="0" w:color="auto"/>
        <w:bottom w:val="none" w:sz="0" w:space="0" w:color="auto"/>
        <w:right w:val="none" w:sz="0" w:space="0" w:color="auto"/>
      </w:divBdr>
    </w:div>
    <w:div w:id="1989362830">
      <w:bodyDiv w:val="1"/>
      <w:marLeft w:val="0"/>
      <w:marRight w:val="0"/>
      <w:marTop w:val="0"/>
      <w:marBottom w:val="0"/>
      <w:divBdr>
        <w:top w:val="none" w:sz="0" w:space="0" w:color="auto"/>
        <w:left w:val="none" w:sz="0" w:space="0" w:color="auto"/>
        <w:bottom w:val="none" w:sz="0" w:space="0" w:color="auto"/>
        <w:right w:val="none" w:sz="0" w:space="0" w:color="auto"/>
      </w:divBdr>
    </w:div>
    <w:div w:id="2022048613">
      <w:bodyDiv w:val="1"/>
      <w:marLeft w:val="0"/>
      <w:marRight w:val="0"/>
      <w:marTop w:val="0"/>
      <w:marBottom w:val="0"/>
      <w:divBdr>
        <w:top w:val="none" w:sz="0" w:space="0" w:color="auto"/>
        <w:left w:val="none" w:sz="0" w:space="0" w:color="auto"/>
        <w:bottom w:val="none" w:sz="0" w:space="0" w:color="auto"/>
        <w:right w:val="none" w:sz="0" w:space="0" w:color="auto"/>
      </w:divBdr>
    </w:div>
    <w:div w:id="2037851020">
      <w:bodyDiv w:val="1"/>
      <w:marLeft w:val="0"/>
      <w:marRight w:val="0"/>
      <w:marTop w:val="0"/>
      <w:marBottom w:val="0"/>
      <w:divBdr>
        <w:top w:val="none" w:sz="0" w:space="0" w:color="auto"/>
        <w:left w:val="none" w:sz="0" w:space="0" w:color="auto"/>
        <w:bottom w:val="none" w:sz="0" w:space="0" w:color="auto"/>
        <w:right w:val="none" w:sz="0" w:space="0" w:color="auto"/>
      </w:divBdr>
    </w:div>
    <w:div w:id="2072268981">
      <w:bodyDiv w:val="1"/>
      <w:marLeft w:val="0"/>
      <w:marRight w:val="0"/>
      <w:marTop w:val="0"/>
      <w:marBottom w:val="0"/>
      <w:divBdr>
        <w:top w:val="none" w:sz="0" w:space="0" w:color="auto"/>
        <w:left w:val="none" w:sz="0" w:space="0" w:color="auto"/>
        <w:bottom w:val="none" w:sz="0" w:space="0" w:color="auto"/>
        <w:right w:val="none" w:sz="0" w:space="0" w:color="auto"/>
      </w:divBdr>
    </w:div>
    <w:div w:id="212129893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4.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hyperlink" Target="https://docs.cpuc.ca.gov/PublishedDocs/Published/G000/M569/K136/569136245.docx" TargetMode="External" Id="R4897a289d0174743" /><Relationship Type="http://schemas.openxmlformats.org/officeDocument/2006/relationships/hyperlink" Target="https://docs.cpuc.ca.gov/PublishedDocs/Published/G000/M569/K146/569146933.docx" TargetMode="External" Id="R64b560e5f67446b8" /><Relationship Type="http://schemas.openxmlformats.org/officeDocument/2006/relationships/hyperlink" Target="https://docs.cpuc.ca.gov/PublishedDocs/Published/G000/M569/K156/569156442.pdf" TargetMode="External" Id="Rc1012dc61f694543" /><Relationship Type="http://schemas.openxmlformats.org/officeDocument/2006/relationships/hyperlink" Target="https://docs.cpuc.ca.gov/PublishedDocs/Published/G000/M569/K162/569162359.pdf" TargetMode="External" Id="Rd4d092ba33d949d6" /><Relationship Type="http://schemas.openxmlformats.org/officeDocument/2006/relationships/hyperlink" Target="https://docs.cpuc.ca.gov/PublishedDocs/Published/G000/M569/K146/569146934.pdf" TargetMode="External" Id="R9484a922a314496e" /></Relationships>
</file>

<file path=word/documenttasks/documenttasks1.xml><?xml version="1.0" encoding="utf-8"?>
<t:Tasks xmlns:t="http://schemas.microsoft.com/office/tasks/2019/documenttasks" xmlns:oel="http://schemas.microsoft.com/office/2019/extlst">
  <t:Task id="{0A474325-B8DF-4F81-A1BD-BF17A48701B2}">
    <t:Anchor>
      <t:Comment id="1396188907"/>
    </t:Anchor>
    <t:History>
      <t:Event id="{AA283948-007D-4BBF-85DD-89A3ECB542E4}" time="2025-01-09T23:00:53.999Z">
        <t:Attribution userId="S::caryn.mandelbaum@cpuc.ca.gov::4811a53d-858d-4dce-9e02-6018e6131b3b" userProvider="AD" userName="Mandelbaum, Caryn L."/>
        <t:Anchor>
          <t:Comment id="1475267869"/>
        </t:Anchor>
        <t:Create/>
      </t:Event>
      <t:Event id="{54287556-0E58-4450-9C03-3B448E90FAAF}" time="2025-01-09T23:00:53.999Z">
        <t:Attribution userId="S::caryn.mandelbaum@cpuc.ca.gov::4811a53d-858d-4dce-9e02-6018e6131b3b" userProvider="AD" userName="Mandelbaum, Caryn L."/>
        <t:Anchor>
          <t:Comment id="1475267869"/>
        </t:Anchor>
        <t:Assign userId="S::Karen.Douglas@cpuc.ca.gov::1c445fe1-8087-463b-8c7c-cc50e295ab13" userProvider="AD" userName="Douglas, Karen"/>
      </t:Event>
      <t:Event id="{76FB8122-E79F-4995-AF7A-E94F72964E03}" time="2025-01-09T23:00:53.999Z">
        <t:Attribution userId="S::caryn.mandelbaum@cpuc.ca.gov::4811a53d-858d-4dce-9e02-6018e6131b3b" userProvider="AD" userName="Mandelbaum, Caryn L."/>
        <t:Anchor>
          <t:Comment id="1475267869"/>
        </t:Anchor>
        <t:SetTitle title="@Douglas, Karen they don't use this language.  p.5-6 Exe Summary - discusses prevent... actions that are costly to individual customers and ratepayers... minimizing costs to the rate base... reducing overall cost of building decarb measures and cost …"/>
      </t:Event>
    </t:History>
  </t:Task>
  <t:Task id="{FFD17E2F-9B46-4282-8455-76CFFB83989B}">
    <t:Anchor>
      <t:Comment id="2100930553"/>
    </t:Anchor>
    <t:History>
      <t:Event id="{54CB9DE4-ADA9-4274-A3D5-A425D0791399}" time="2025-05-21T03:36:26.927Z">
        <t:Attribution userId="S::nick.zanjani@cpuc.ca.gov::d06ec055-dbd9-4522-9fc5-ff475f24c117" userProvider="AD" userName="Zanjani, Nick"/>
        <t:Anchor>
          <t:Comment id="2100930553"/>
        </t:Anchor>
        <t:Create/>
      </t:Event>
      <t:Event id="{908A060B-A650-471C-912F-541B06BBC6CD}" time="2025-05-21T03:36:26.927Z">
        <t:Attribution userId="S::nick.zanjani@cpuc.ca.gov::d06ec055-dbd9-4522-9fc5-ff475f24c117" userProvider="AD" userName="Zanjani, Nick"/>
        <t:Anchor>
          <t:Comment id="2100930553"/>
        </t:Anchor>
        <t:Assign userId="S::Abhilasha.Wadhwa@cpuc.ca.gov::ca2d0544-3280-4d65-8c5b-f5767b5c2f0a" userProvider="AD" userName="Wadhwa, Abhilasha"/>
      </t:Event>
      <t:Event id="{425A2C55-568C-4AA8-B975-0E71DDC7B3E3}" time="2025-05-21T03:36:26.927Z">
        <t:Attribution userId="S::nick.zanjani@cpuc.ca.gov::d06ec055-dbd9-4522-9fc5-ff475f24c117" userProvider="AD" userName="Zanjani, Nick"/>
        <t:Anchor>
          <t:Comment id="2100930553"/>
        </t:Anchor>
        <t:SetTitle title="@Wadhwa, Abhilasha Note that Commissioner Houck appears to want a “compliance filing” in lieu of an Advice Letter while AC Kim wants an Advice Letter that is referred to as a “compliance filing.” I prefer AC Kim’s recommendation, but I must admit to not…"/>
      </t:Event>
      <t:Event id="{1CDE0EAF-8FBB-47EE-8693-B805A10B5F44}" time="2025-05-22T04:21:22.327Z">
        <t:Attribution userId="S::Abhilasha.Wadhwa@cpuc.ca.gov::ca2d0544-3280-4d65-8c5b-f5767b5c2f0a" userProvider="AD" userName="Wadhwa, Abhilasha"/>
        <t:Progress percentComplete="100"/>
      </t:Event>
    </t:History>
  </t:Task>
  <t:Task id="{983212C1-2E15-4B7D-B40A-96F6294F4AC0}">
    <t:Anchor>
      <t:Comment id="1176694522"/>
    </t:Anchor>
    <t:History>
      <t:Event id="{7A831993-73F3-4C57-9EAB-6AB94C9E99B8}" time="2025-01-10T00:31:46.071Z">
        <t:Attribution userId="S::caryn.mandelbaum@cpuc.ca.gov::4811a53d-858d-4dce-9e02-6018e6131b3b" userProvider="AD" userName="Mandelbaum, Caryn L."/>
        <t:Anchor>
          <t:Comment id="1176694522"/>
        </t:Anchor>
        <t:Create/>
      </t:Event>
      <t:Event id="{20155B49-A69F-4F14-93CB-91146A4A5FB5}" time="2025-01-10T00:31:46.071Z">
        <t:Attribution userId="S::caryn.mandelbaum@cpuc.ca.gov::4811a53d-858d-4dce-9e02-6018e6131b3b" userProvider="AD" userName="Mandelbaum, Caryn L."/>
        <t:Anchor>
          <t:Comment id="1176694522"/>
        </t:Anchor>
        <t:Assign userId="S::Karen.Douglas@cpuc.ca.gov::1c445fe1-8087-463b-8c7c-cc50e295ab13" userProvider="AD" userName="Douglas, Karen"/>
      </t:Event>
      <t:Event id="{5A8E0680-0BE0-4EBB-B2C3-4B777027A51D}" time="2025-01-10T00:31:46.071Z">
        <t:Attribution userId="S::caryn.mandelbaum@cpuc.ca.gov::4811a53d-858d-4dce-9e02-6018e6131b3b" userProvider="AD" userName="Mandelbaum, Caryn L."/>
        <t:Anchor>
          <t:Comment id="1176694522"/>
        </t:Anchor>
        <t:SetTitle title="@Douglas, Karen Consider rephrasing: While electric rates have been climbing, the Commission is attempting to hold down the cost of electrification by scaling building decarbonization in ways that reduce unnecessary spending and make cost-effective …"/>
      </t:Event>
    </t:History>
  </t:Task>
  <t:Task id="{EBA93C58-77D1-4712-BD2C-7355451B6262}">
    <t:Anchor>
      <t:Comment id="749841698"/>
    </t:Anchor>
    <t:History>
      <t:Event id="{FF5AD557-94C8-4506-AD14-835B3F3B2601}" time="2025-03-05T23:50:41.406Z">
        <t:Attribution userId="S::kimberly.kim@cpuc.ca.gov::0de2e1e5-8384-491e-9e59-6a04b8406c11" userProvider="AD" userName="Kim, Kimberly"/>
        <t:Anchor>
          <t:Comment id="749841698"/>
        </t:Anchor>
        <t:Create/>
      </t:Event>
      <t:Event id="{E1BABDA6-D3A5-428C-877B-E134204E052C}" time="2025-03-05T23:50:41.406Z">
        <t:Attribution userId="S::kimberly.kim@cpuc.ca.gov::0de2e1e5-8384-491e-9e59-6a04b8406c11" userProvider="AD" userName="Kim, Kimberly"/>
        <t:Anchor>
          <t:Comment id="749841698"/>
        </t:Anchor>
        <t:Assign userId="S::Alberto.Rosas@cpuc.ca.gov::049111eb-a240-47cd-aa7d-f20f3f736a14" userProvider="AD" userName="Rosas, Alberto"/>
      </t:Event>
      <t:Event id="{42CE28BD-DDCB-4B21-A43E-6FA958B78F14}" time="2025-03-05T23:50:41.406Z">
        <t:Attribution userId="S::kimberly.kim@cpuc.ca.gov::0de2e1e5-8384-491e-9e59-6a04b8406c11" userProvider="AD" userName="Kim, Kimberly"/>
        <t:Anchor>
          <t:Comment id="749841698"/>
        </t:Anchor>
        <t:SetTitle title="@Rosas, Alberto please identify appendices "/>
      </t:Event>
    </t:History>
  </t:Task>
  <t:Task id="{720FAA25-DD49-41F7-8A73-97A5CAE2924A}">
    <t:Anchor>
      <t:Comment id="1236760013"/>
    </t:Anchor>
    <t:History>
      <t:Event id="{0A908190-CB98-4B87-82CC-55F7D4DA3C95}" time="2025-05-21T02:29:15.592Z">
        <t:Attribution userId="S::nick.zanjani@cpuc.ca.gov::d06ec055-dbd9-4522-9fc5-ff475f24c117" userProvider="AD" userName="Zanjani, Nick"/>
        <t:Anchor>
          <t:Comment id="1236760013"/>
        </t:Anchor>
        <t:Create/>
      </t:Event>
      <t:Event id="{286E626A-11CF-4702-9C93-BA701BA3BA9A}" time="2025-05-21T02:29:15.592Z">
        <t:Attribution userId="S::nick.zanjani@cpuc.ca.gov::d06ec055-dbd9-4522-9fc5-ff475f24c117" userProvider="AD" userName="Zanjani, Nick"/>
        <t:Anchor>
          <t:Comment id="1236760013"/>
        </t:Anchor>
        <t:Assign userId="S::Abhilasha.Wadhwa@cpuc.ca.gov::ca2d0544-3280-4d65-8c5b-f5767b5c2f0a" userProvider="AD" userName="Wadhwa, Abhilasha"/>
      </t:Event>
      <t:Event id="{CB4131BC-1C3C-42BE-BDF1-DFA82A386246}" time="2025-05-21T02:29:15.592Z">
        <t:Attribution userId="S::nick.zanjani@cpuc.ca.gov::d06ec055-dbd9-4522-9fc5-ff475f24c117" userProvider="AD" userName="Zanjani, Nick"/>
        <t:Anchor>
          <t:Comment id="1236760013"/>
        </t:Anchor>
        <t:SetTitle title="@Wadhwa, Abhilasha Please clean this text up, make the necessary citations, and ensure that relevant information is included."/>
      </t:Event>
      <t:Event id="{742FC106-593E-41EB-93B7-D9786A4F1EBA}" time="2025-05-22T00:04:00.818Z">
        <t:Attribution userId="S::Abhilasha.Wadhwa@cpuc.ca.gov::ca2d0544-3280-4d65-8c5b-f5767b5c2f0a" userProvider="AD" userName="Wadhwa, Abhilasha"/>
        <t:Progress percentComplete="100"/>
      </t:Event>
    </t:History>
  </t:Task>
  <t:Task id="{A3B549C2-4DB7-465F-B765-D009D2FFA5D4}">
    <t:Anchor>
      <t:Comment id="1073272790"/>
    </t:Anchor>
    <t:History>
      <t:Event id="{65A87FFE-37B3-44EE-9A83-5D46D541CD7F}" time="2025-05-07T17:14:03.262Z">
        <t:Attribution userId="S::nick.zanjani@cpuc.ca.gov::d06ec055-dbd9-4522-9fc5-ff475f24c117" userProvider="AD" userName="Zanjani, Nick"/>
        <t:Anchor>
          <t:Comment id="1073272790"/>
        </t:Anchor>
        <t:Create/>
      </t:Event>
      <t:Event id="{2BDD867F-34D0-4807-84C6-5160E0862291}" time="2025-05-07T17:14:03.262Z">
        <t:Attribution userId="S::nick.zanjani@cpuc.ca.gov::d06ec055-dbd9-4522-9fc5-ff475f24c117" userProvider="AD" userName="Zanjani, Nick"/>
        <t:Anchor>
          <t:Comment id="1073272790"/>
        </t:Anchor>
        <t:Assign userId="S::Abhilasha.Wadhwa@cpuc.ca.gov::ca2d0544-3280-4d65-8c5b-f5767b5c2f0a" userProvider="AD" userName="Wadhwa, Abhilasha"/>
      </t:Event>
      <t:Event id="{96578208-443F-43C8-828B-BFD12498F29B}" time="2025-05-07T17:14:03.262Z">
        <t:Attribution userId="S::nick.zanjani@cpuc.ca.gov::d06ec055-dbd9-4522-9fc5-ff475f24c117" userProvider="AD" userName="Zanjani, Nick"/>
        <t:Anchor>
          <t:Comment id="1073272790"/>
        </t:Anchor>
        <t:SetTitle title="@Wadhwa, Abhilasha I don’t know what this means..."/>
      </t:Event>
      <t:Event id="{14F0D062-5434-42F7-9D29-B11CA4390729}" time="2025-05-08T01:06:30.271Z">
        <t:Attribution userId="S::Abhilasha.Wadhwa@cpuc.ca.gov::ca2d0544-3280-4d65-8c5b-f5767b5c2f0a" userProvider="AD" userName="Wadhwa, Abhilasha"/>
        <t:Anchor>
          <t:Comment id="347269304"/>
        </t:Anchor>
        <t:UnassignAll/>
      </t:Event>
      <t:Event id="{B3415298-82A1-41D6-A162-B2B2194798B6}" time="2025-05-08T01:06:30.271Z">
        <t:Attribution userId="S::Abhilasha.Wadhwa@cpuc.ca.gov::ca2d0544-3280-4d65-8c5b-f5767b5c2f0a" userProvider="AD" userName="Wadhwa, Abhilasha"/>
        <t:Anchor>
          <t:Comment id="347269304"/>
        </t:Anchor>
        <t:Assign userId="S::nick.zanjani@cpuc.ca.gov::d06ec055-dbd9-4522-9fc5-ff475f24c117" userProvider="AD" userName="Zanjani, Nick"/>
      </t:Event>
    </t:History>
  </t:Task>
  <t:Task id="{3B19B71E-054B-4415-A205-1629A2932029}">
    <t:Anchor>
      <t:Comment id="235642181"/>
    </t:Anchor>
    <t:History>
      <t:Event id="{C8D7BF53-7C79-4531-9D36-220EA6B47175}" time="2025-05-21T03:35:10.701Z">
        <t:Attribution userId="S::nick.zanjani@cpuc.ca.gov::d06ec055-dbd9-4522-9fc5-ff475f24c117" userProvider="AD" userName="Zanjani, Nick"/>
        <t:Anchor>
          <t:Comment id="235642181"/>
        </t:Anchor>
        <t:Create/>
      </t:Event>
      <t:Event id="{EAE65F41-E66E-4646-ADED-2F5F815A0FD5}" time="2025-05-21T03:35:10.701Z">
        <t:Attribution userId="S::nick.zanjani@cpuc.ca.gov::d06ec055-dbd9-4522-9fc5-ff475f24c117" userProvider="AD" userName="Zanjani, Nick"/>
        <t:Anchor>
          <t:Comment id="235642181"/>
        </t:Anchor>
        <t:Assign userId="S::Abhilasha.Wadhwa@cpuc.ca.gov::ca2d0544-3280-4d65-8c5b-f5767b5c2f0a" userProvider="AD" userName="Wadhwa, Abhilasha"/>
      </t:Event>
      <t:Event id="{2B5D8627-DF23-4B6E-8D27-F40CD8B00C90}" time="2025-05-21T03:35:10.701Z">
        <t:Attribution userId="S::nick.zanjani@cpuc.ca.gov::d06ec055-dbd9-4522-9fc5-ff475f24c117" userProvider="AD" userName="Zanjani, Nick"/>
        <t:Anchor>
          <t:Comment id="235642181"/>
        </t:Anchor>
        <t:SetTitle title="@Wadhwa, Abhilasha By whom? The party responding or the IOU? This could be clarified."/>
      </t:Event>
      <t:Event id="{16C1A3D9-2E8F-4888-83EE-FD2FFF6C3EE1}" time="2025-05-22T04:22:02.094Z">
        <t:Attribution userId="S::Abhilasha.Wadhwa@cpuc.ca.gov::ca2d0544-3280-4d65-8c5b-f5767b5c2f0a" userProvider="AD" userName="Wadhwa, Abhilash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0E906CBED44985C5A72295AC4046" ma:contentTypeVersion="18" ma:contentTypeDescription="Create a new document." ma:contentTypeScope="" ma:versionID="09a63651bc4897ec2e987b5b98e9af2d">
  <xsd:schema xmlns:xsd="http://www.w3.org/2001/XMLSchema" xmlns:xs="http://www.w3.org/2001/XMLSchema" xmlns:p="http://schemas.microsoft.com/office/2006/metadata/properties" xmlns:ns2="82a1d857-699d-4ad8-8df6-a48f95e96d3b" xmlns:ns3="c84948d9-b961-49fe-a95b-0e14a4ad714f" targetNamespace="http://schemas.microsoft.com/office/2006/metadata/properties" ma:root="true" ma:fieldsID="4b65538bd401db7116bb96f8047e730d" ns2:_="" ns3:_="">
    <xsd:import namespace="82a1d857-699d-4ad8-8df6-a48f95e96d3b"/>
    <xsd:import namespace="c84948d9-b961-49fe-a95b-0e14a4ad71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1d857-699d-4ad8-8df6-a48f95e96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948d9-b961-49fe-a95b-0e14a4ad71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9481d-6fc9-492a-9464-01cb5eeb989d}" ma:internalName="TaxCatchAll" ma:showField="CatchAllData" ma:web="c84948d9-b961-49fe-a95b-0e14a4ad7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84948d9-b961-49fe-a95b-0e14a4ad714f">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SharedWithUsers>
    <lcf76f155ced4ddcb4097134ff3c332f xmlns="82a1d857-699d-4ad8-8df6-a48f95e96d3b">
      <Terms xmlns="http://schemas.microsoft.com/office/infopath/2007/PartnerControls"/>
    </lcf76f155ced4ddcb4097134ff3c332f>
    <TaxCatchAll xmlns="c84948d9-b961-49fe-a95b-0e14a4ad714f" xsi:nil="true"/>
  </documentManagement>
</p:properties>
</file>

<file path=customXml/itemProps1.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2.xml><?xml version="1.0" encoding="utf-8"?>
<ds:datastoreItem xmlns:ds="http://schemas.openxmlformats.org/officeDocument/2006/customXml" ds:itemID="{30A1336B-D517-4D31-A332-AE3EE43D8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1d857-699d-4ad8-8df6-a48f95e96d3b"/>
    <ds:schemaRef ds:uri="c84948d9-b961-49fe-a95b-0e14a4ad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4.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c84948d9-b961-49fe-a95b-0e14a4ad714f"/>
    <ds:schemaRef ds:uri="82a1d857-699d-4ad8-8df6-a48f95e96d3b"/>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143</ap:Pages>
  <ap:Words>34153</ap:Words>
  <ap:Characters>194673</ap:Characters>
  <ap:Application>Microsoft Office Word</ap:Application>
  <ap:DocSecurity>0</ap:DocSecurity>
  <ap:Lines>1622</ap:Lines>
  <ap:Paragraphs>456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228370</ap:CharactersWithSpaces>
  <ap:SharedDoc>false</ap:SharedDoc>
  <ap:HLinks>
    <vt:vector baseType="variant" size="342">
      <vt:variant>
        <vt:i4>1376306</vt:i4>
      </vt:variant>
      <vt:variant>
        <vt:i4>338</vt:i4>
      </vt:variant>
      <vt:variant>
        <vt:i4>0</vt:i4>
      </vt:variant>
      <vt:variant>
        <vt:i4>5</vt:i4>
      </vt:variant>
      <vt:variant>
        <vt:lpwstr/>
      </vt:variant>
      <vt:variant>
        <vt:lpwstr>_Toc200360614</vt:lpwstr>
      </vt:variant>
      <vt:variant>
        <vt:i4>1376306</vt:i4>
      </vt:variant>
      <vt:variant>
        <vt:i4>332</vt:i4>
      </vt:variant>
      <vt:variant>
        <vt:i4>0</vt:i4>
      </vt:variant>
      <vt:variant>
        <vt:i4>5</vt:i4>
      </vt:variant>
      <vt:variant>
        <vt:lpwstr/>
      </vt:variant>
      <vt:variant>
        <vt:lpwstr>_Toc200360613</vt:lpwstr>
      </vt:variant>
      <vt:variant>
        <vt:i4>1376306</vt:i4>
      </vt:variant>
      <vt:variant>
        <vt:i4>326</vt:i4>
      </vt:variant>
      <vt:variant>
        <vt:i4>0</vt:i4>
      </vt:variant>
      <vt:variant>
        <vt:i4>5</vt:i4>
      </vt:variant>
      <vt:variant>
        <vt:lpwstr/>
      </vt:variant>
      <vt:variant>
        <vt:lpwstr>_Toc200360612</vt:lpwstr>
      </vt:variant>
      <vt:variant>
        <vt:i4>1376306</vt:i4>
      </vt:variant>
      <vt:variant>
        <vt:i4>320</vt:i4>
      </vt:variant>
      <vt:variant>
        <vt:i4>0</vt:i4>
      </vt:variant>
      <vt:variant>
        <vt:i4>5</vt:i4>
      </vt:variant>
      <vt:variant>
        <vt:lpwstr/>
      </vt:variant>
      <vt:variant>
        <vt:lpwstr>_Toc200360611</vt:lpwstr>
      </vt:variant>
      <vt:variant>
        <vt:i4>1245233</vt:i4>
      </vt:variant>
      <vt:variant>
        <vt:i4>314</vt:i4>
      </vt:variant>
      <vt:variant>
        <vt:i4>0</vt:i4>
      </vt:variant>
      <vt:variant>
        <vt:i4>5</vt:i4>
      </vt:variant>
      <vt:variant>
        <vt:lpwstr/>
      </vt:variant>
      <vt:variant>
        <vt:lpwstr>_Toc200360576</vt:lpwstr>
      </vt:variant>
      <vt:variant>
        <vt:i4>1245233</vt:i4>
      </vt:variant>
      <vt:variant>
        <vt:i4>308</vt:i4>
      </vt:variant>
      <vt:variant>
        <vt:i4>0</vt:i4>
      </vt:variant>
      <vt:variant>
        <vt:i4>5</vt:i4>
      </vt:variant>
      <vt:variant>
        <vt:lpwstr/>
      </vt:variant>
      <vt:variant>
        <vt:lpwstr>_Toc200360575</vt:lpwstr>
      </vt:variant>
      <vt:variant>
        <vt:i4>1245233</vt:i4>
      </vt:variant>
      <vt:variant>
        <vt:i4>302</vt:i4>
      </vt:variant>
      <vt:variant>
        <vt:i4>0</vt:i4>
      </vt:variant>
      <vt:variant>
        <vt:i4>5</vt:i4>
      </vt:variant>
      <vt:variant>
        <vt:lpwstr/>
      </vt:variant>
      <vt:variant>
        <vt:lpwstr>_Toc200360574</vt:lpwstr>
      </vt:variant>
      <vt:variant>
        <vt:i4>1245233</vt:i4>
      </vt:variant>
      <vt:variant>
        <vt:i4>296</vt:i4>
      </vt:variant>
      <vt:variant>
        <vt:i4>0</vt:i4>
      </vt:variant>
      <vt:variant>
        <vt:i4>5</vt:i4>
      </vt:variant>
      <vt:variant>
        <vt:lpwstr/>
      </vt:variant>
      <vt:variant>
        <vt:lpwstr>_Toc200360573</vt:lpwstr>
      </vt:variant>
      <vt:variant>
        <vt:i4>1245233</vt:i4>
      </vt:variant>
      <vt:variant>
        <vt:i4>290</vt:i4>
      </vt:variant>
      <vt:variant>
        <vt:i4>0</vt:i4>
      </vt:variant>
      <vt:variant>
        <vt:i4>5</vt:i4>
      </vt:variant>
      <vt:variant>
        <vt:lpwstr/>
      </vt:variant>
      <vt:variant>
        <vt:lpwstr>_Toc200360572</vt:lpwstr>
      </vt:variant>
      <vt:variant>
        <vt:i4>1245233</vt:i4>
      </vt:variant>
      <vt:variant>
        <vt:i4>284</vt:i4>
      </vt:variant>
      <vt:variant>
        <vt:i4>0</vt:i4>
      </vt:variant>
      <vt:variant>
        <vt:i4>5</vt:i4>
      </vt:variant>
      <vt:variant>
        <vt:lpwstr/>
      </vt:variant>
      <vt:variant>
        <vt:lpwstr>_Toc200360571</vt:lpwstr>
      </vt:variant>
      <vt:variant>
        <vt:i4>1245233</vt:i4>
      </vt:variant>
      <vt:variant>
        <vt:i4>278</vt:i4>
      </vt:variant>
      <vt:variant>
        <vt:i4>0</vt:i4>
      </vt:variant>
      <vt:variant>
        <vt:i4>5</vt:i4>
      </vt:variant>
      <vt:variant>
        <vt:lpwstr/>
      </vt:variant>
      <vt:variant>
        <vt:lpwstr>_Toc200360570</vt:lpwstr>
      </vt:variant>
      <vt:variant>
        <vt:i4>1179697</vt:i4>
      </vt:variant>
      <vt:variant>
        <vt:i4>272</vt:i4>
      </vt:variant>
      <vt:variant>
        <vt:i4>0</vt:i4>
      </vt:variant>
      <vt:variant>
        <vt:i4>5</vt:i4>
      </vt:variant>
      <vt:variant>
        <vt:lpwstr/>
      </vt:variant>
      <vt:variant>
        <vt:lpwstr>_Toc200360569</vt:lpwstr>
      </vt:variant>
      <vt:variant>
        <vt:i4>1179697</vt:i4>
      </vt:variant>
      <vt:variant>
        <vt:i4>266</vt:i4>
      </vt:variant>
      <vt:variant>
        <vt:i4>0</vt:i4>
      </vt:variant>
      <vt:variant>
        <vt:i4>5</vt:i4>
      </vt:variant>
      <vt:variant>
        <vt:lpwstr/>
      </vt:variant>
      <vt:variant>
        <vt:lpwstr>_Toc200360568</vt:lpwstr>
      </vt:variant>
      <vt:variant>
        <vt:i4>1179697</vt:i4>
      </vt:variant>
      <vt:variant>
        <vt:i4>260</vt:i4>
      </vt:variant>
      <vt:variant>
        <vt:i4>0</vt:i4>
      </vt:variant>
      <vt:variant>
        <vt:i4>5</vt:i4>
      </vt:variant>
      <vt:variant>
        <vt:lpwstr/>
      </vt:variant>
      <vt:variant>
        <vt:lpwstr>_Toc200360567</vt:lpwstr>
      </vt:variant>
      <vt:variant>
        <vt:i4>1179697</vt:i4>
      </vt:variant>
      <vt:variant>
        <vt:i4>254</vt:i4>
      </vt:variant>
      <vt:variant>
        <vt:i4>0</vt:i4>
      </vt:variant>
      <vt:variant>
        <vt:i4>5</vt:i4>
      </vt:variant>
      <vt:variant>
        <vt:lpwstr/>
      </vt:variant>
      <vt:variant>
        <vt:lpwstr>_Toc200360566</vt:lpwstr>
      </vt:variant>
      <vt:variant>
        <vt:i4>1179697</vt:i4>
      </vt:variant>
      <vt:variant>
        <vt:i4>248</vt:i4>
      </vt:variant>
      <vt:variant>
        <vt:i4>0</vt:i4>
      </vt:variant>
      <vt:variant>
        <vt:i4>5</vt:i4>
      </vt:variant>
      <vt:variant>
        <vt:lpwstr/>
      </vt:variant>
      <vt:variant>
        <vt:lpwstr>_Toc200360565</vt:lpwstr>
      </vt:variant>
      <vt:variant>
        <vt:i4>1179697</vt:i4>
      </vt:variant>
      <vt:variant>
        <vt:i4>242</vt:i4>
      </vt:variant>
      <vt:variant>
        <vt:i4>0</vt:i4>
      </vt:variant>
      <vt:variant>
        <vt:i4>5</vt:i4>
      </vt:variant>
      <vt:variant>
        <vt:lpwstr/>
      </vt:variant>
      <vt:variant>
        <vt:lpwstr>_Toc200360564</vt:lpwstr>
      </vt:variant>
      <vt:variant>
        <vt:i4>1179697</vt:i4>
      </vt:variant>
      <vt:variant>
        <vt:i4>236</vt:i4>
      </vt:variant>
      <vt:variant>
        <vt:i4>0</vt:i4>
      </vt:variant>
      <vt:variant>
        <vt:i4>5</vt:i4>
      </vt:variant>
      <vt:variant>
        <vt:lpwstr/>
      </vt:variant>
      <vt:variant>
        <vt:lpwstr>_Toc200360563</vt:lpwstr>
      </vt:variant>
      <vt:variant>
        <vt:i4>1179697</vt:i4>
      </vt:variant>
      <vt:variant>
        <vt:i4>230</vt:i4>
      </vt:variant>
      <vt:variant>
        <vt:i4>0</vt:i4>
      </vt:variant>
      <vt:variant>
        <vt:i4>5</vt:i4>
      </vt:variant>
      <vt:variant>
        <vt:lpwstr/>
      </vt:variant>
      <vt:variant>
        <vt:lpwstr>_Toc200360562</vt:lpwstr>
      </vt:variant>
      <vt:variant>
        <vt:i4>1179697</vt:i4>
      </vt:variant>
      <vt:variant>
        <vt:i4>224</vt:i4>
      </vt:variant>
      <vt:variant>
        <vt:i4>0</vt:i4>
      </vt:variant>
      <vt:variant>
        <vt:i4>5</vt:i4>
      </vt:variant>
      <vt:variant>
        <vt:lpwstr/>
      </vt:variant>
      <vt:variant>
        <vt:lpwstr>_Toc200360561</vt:lpwstr>
      </vt:variant>
      <vt:variant>
        <vt:i4>1179697</vt:i4>
      </vt:variant>
      <vt:variant>
        <vt:i4>218</vt:i4>
      </vt:variant>
      <vt:variant>
        <vt:i4>0</vt:i4>
      </vt:variant>
      <vt:variant>
        <vt:i4>5</vt:i4>
      </vt:variant>
      <vt:variant>
        <vt:lpwstr/>
      </vt:variant>
      <vt:variant>
        <vt:lpwstr>_Toc200360560</vt:lpwstr>
      </vt:variant>
      <vt:variant>
        <vt:i4>1114161</vt:i4>
      </vt:variant>
      <vt:variant>
        <vt:i4>212</vt:i4>
      </vt:variant>
      <vt:variant>
        <vt:i4>0</vt:i4>
      </vt:variant>
      <vt:variant>
        <vt:i4>5</vt:i4>
      </vt:variant>
      <vt:variant>
        <vt:lpwstr/>
      </vt:variant>
      <vt:variant>
        <vt:lpwstr>_Toc200360559</vt:lpwstr>
      </vt:variant>
      <vt:variant>
        <vt:i4>1114161</vt:i4>
      </vt:variant>
      <vt:variant>
        <vt:i4>206</vt:i4>
      </vt:variant>
      <vt:variant>
        <vt:i4>0</vt:i4>
      </vt:variant>
      <vt:variant>
        <vt:i4>5</vt:i4>
      </vt:variant>
      <vt:variant>
        <vt:lpwstr/>
      </vt:variant>
      <vt:variant>
        <vt:lpwstr>_Toc200360558</vt:lpwstr>
      </vt:variant>
      <vt:variant>
        <vt:i4>1114161</vt:i4>
      </vt:variant>
      <vt:variant>
        <vt:i4>200</vt:i4>
      </vt:variant>
      <vt:variant>
        <vt:i4>0</vt:i4>
      </vt:variant>
      <vt:variant>
        <vt:i4>5</vt:i4>
      </vt:variant>
      <vt:variant>
        <vt:lpwstr/>
      </vt:variant>
      <vt:variant>
        <vt:lpwstr>_Toc200360557</vt:lpwstr>
      </vt:variant>
      <vt:variant>
        <vt:i4>1114161</vt:i4>
      </vt:variant>
      <vt:variant>
        <vt:i4>194</vt:i4>
      </vt:variant>
      <vt:variant>
        <vt:i4>0</vt:i4>
      </vt:variant>
      <vt:variant>
        <vt:i4>5</vt:i4>
      </vt:variant>
      <vt:variant>
        <vt:lpwstr/>
      </vt:variant>
      <vt:variant>
        <vt:lpwstr>_Toc200360556</vt:lpwstr>
      </vt:variant>
      <vt:variant>
        <vt:i4>1114161</vt:i4>
      </vt:variant>
      <vt:variant>
        <vt:i4>188</vt:i4>
      </vt:variant>
      <vt:variant>
        <vt:i4>0</vt:i4>
      </vt:variant>
      <vt:variant>
        <vt:i4>5</vt:i4>
      </vt:variant>
      <vt:variant>
        <vt:lpwstr/>
      </vt:variant>
      <vt:variant>
        <vt:lpwstr>_Toc200360555</vt:lpwstr>
      </vt:variant>
      <vt:variant>
        <vt:i4>1114161</vt:i4>
      </vt:variant>
      <vt:variant>
        <vt:i4>182</vt:i4>
      </vt:variant>
      <vt:variant>
        <vt:i4>0</vt:i4>
      </vt:variant>
      <vt:variant>
        <vt:i4>5</vt:i4>
      </vt:variant>
      <vt:variant>
        <vt:lpwstr/>
      </vt:variant>
      <vt:variant>
        <vt:lpwstr>_Toc200360554</vt:lpwstr>
      </vt:variant>
      <vt:variant>
        <vt:i4>1114161</vt:i4>
      </vt:variant>
      <vt:variant>
        <vt:i4>176</vt:i4>
      </vt:variant>
      <vt:variant>
        <vt:i4>0</vt:i4>
      </vt:variant>
      <vt:variant>
        <vt:i4>5</vt:i4>
      </vt:variant>
      <vt:variant>
        <vt:lpwstr/>
      </vt:variant>
      <vt:variant>
        <vt:lpwstr>_Toc200360553</vt:lpwstr>
      </vt:variant>
      <vt:variant>
        <vt:i4>1114161</vt:i4>
      </vt:variant>
      <vt:variant>
        <vt:i4>170</vt:i4>
      </vt:variant>
      <vt:variant>
        <vt:i4>0</vt:i4>
      </vt:variant>
      <vt:variant>
        <vt:i4>5</vt:i4>
      </vt:variant>
      <vt:variant>
        <vt:lpwstr/>
      </vt:variant>
      <vt:variant>
        <vt:lpwstr>_Toc200360552</vt:lpwstr>
      </vt:variant>
      <vt:variant>
        <vt:i4>1114161</vt:i4>
      </vt:variant>
      <vt:variant>
        <vt:i4>164</vt:i4>
      </vt:variant>
      <vt:variant>
        <vt:i4>0</vt:i4>
      </vt:variant>
      <vt:variant>
        <vt:i4>5</vt:i4>
      </vt:variant>
      <vt:variant>
        <vt:lpwstr/>
      </vt:variant>
      <vt:variant>
        <vt:lpwstr>_Toc200360551</vt:lpwstr>
      </vt:variant>
      <vt:variant>
        <vt:i4>1114161</vt:i4>
      </vt:variant>
      <vt:variant>
        <vt:i4>158</vt:i4>
      </vt:variant>
      <vt:variant>
        <vt:i4>0</vt:i4>
      </vt:variant>
      <vt:variant>
        <vt:i4>5</vt:i4>
      </vt:variant>
      <vt:variant>
        <vt:lpwstr/>
      </vt:variant>
      <vt:variant>
        <vt:lpwstr>_Toc200360550</vt:lpwstr>
      </vt:variant>
      <vt:variant>
        <vt:i4>1048625</vt:i4>
      </vt:variant>
      <vt:variant>
        <vt:i4>152</vt:i4>
      </vt:variant>
      <vt:variant>
        <vt:i4>0</vt:i4>
      </vt:variant>
      <vt:variant>
        <vt:i4>5</vt:i4>
      </vt:variant>
      <vt:variant>
        <vt:lpwstr/>
      </vt:variant>
      <vt:variant>
        <vt:lpwstr>_Toc200360549</vt:lpwstr>
      </vt:variant>
      <vt:variant>
        <vt:i4>1048625</vt:i4>
      </vt:variant>
      <vt:variant>
        <vt:i4>146</vt:i4>
      </vt:variant>
      <vt:variant>
        <vt:i4>0</vt:i4>
      </vt:variant>
      <vt:variant>
        <vt:i4>5</vt:i4>
      </vt:variant>
      <vt:variant>
        <vt:lpwstr/>
      </vt:variant>
      <vt:variant>
        <vt:lpwstr>_Toc200360548</vt:lpwstr>
      </vt:variant>
      <vt:variant>
        <vt:i4>1048625</vt:i4>
      </vt:variant>
      <vt:variant>
        <vt:i4>140</vt:i4>
      </vt:variant>
      <vt:variant>
        <vt:i4>0</vt:i4>
      </vt:variant>
      <vt:variant>
        <vt:i4>5</vt:i4>
      </vt:variant>
      <vt:variant>
        <vt:lpwstr/>
      </vt:variant>
      <vt:variant>
        <vt:lpwstr>_Toc200360547</vt:lpwstr>
      </vt:variant>
      <vt:variant>
        <vt:i4>1048625</vt:i4>
      </vt:variant>
      <vt:variant>
        <vt:i4>134</vt:i4>
      </vt:variant>
      <vt:variant>
        <vt:i4>0</vt:i4>
      </vt:variant>
      <vt:variant>
        <vt:i4>5</vt:i4>
      </vt:variant>
      <vt:variant>
        <vt:lpwstr/>
      </vt:variant>
      <vt:variant>
        <vt:lpwstr>_Toc200360546</vt:lpwstr>
      </vt:variant>
      <vt:variant>
        <vt:i4>1048625</vt:i4>
      </vt:variant>
      <vt:variant>
        <vt:i4>128</vt:i4>
      </vt:variant>
      <vt:variant>
        <vt:i4>0</vt:i4>
      </vt:variant>
      <vt:variant>
        <vt:i4>5</vt:i4>
      </vt:variant>
      <vt:variant>
        <vt:lpwstr/>
      </vt:variant>
      <vt:variant>
        <vt:lpwstr>_Toc200360545</vt:lpwstr>
      </vt:variant>
      <vt:variant>
        <vt:i4>1048625</vt:i4>
      </vt:variant>
      <vt:variant>
        <vt:i4>122</vt:i4>
      </vt:variant>
      <vt:variant>
        <vt:i4>0</vt:i4>
      </vt:variant>
      <vt:variant>
        <vt:i4>5</vt:i4>
      </vt:variant>
      <vt:variant>
        <vt:lpwstr/>
      </vt:variant>
      <vt:variant>
        <vt:lpwstr>_Toc200360544</vt:lpwstr>
      </vt:variant>
      <vt:variant>
        <vt:i4>1048625</vt:i4>
      </vt:variant>
      <vt:variant>
        <vt:i4>116</vt:i4>
      </vt:variant>
      <vt:variant>
        <vt:i4>0</vt:i4>
      </vt:variant>
      <vt:variant>
        <vt:i4>5</vt:i4>
      </vt:variant>
      <vt:variant>
        <vt:lpwstr/>
      </vt:variant>
      <vt:variant>
        <vt:lpwstr>_Toc200360543</vt:lpwstr>
      </vt:variant>
      <vt:variant>
        <vt:i4>1048625</vt:i4>
      </vt:variant>
      <vt:variant>
        <vt:i4>110</vt:i4>
      </vt:variant>
      <vt:variant>
        <vt:i4>0</vt:i4>
      </vt:variant>
      <vt:variant>
        <vt:i4>5</vt:i4>
      </vt:variant>
      <vt:variant>
        <vt:lpwstr/>
      </vt:variant>
      <vt:variant>
        <vt:lpwstr>_Toc200360542</vt:lpwstr>
      </vt:variant>
      <vt:variant>
        <vt:i4>1048625</vt:i4>
      </vt:variant>
      <vt:variant>
        <vt:i4>104</vt:i4>
      </vt:variant>
      <vt:variant>
        <vt:i4>0</vt:i4>
      </vt:variant>
      <vt:variant>
        <vt:i4>5</vt:i4>
      </vt:variant>
      <vt:variant>
        <vt:lpwstr/>
      </vt:variant>
      <vt:variant>
        <vt:lpwstr>_Toc200360541</vt:lpwstr>
      </vt:variant>
      <vt:variant>
        <vt:i4>1048625</vt:i4>
      </vt:variant>
      <vt:variant>
        <vt:i4>98</vt:i4>
      </vt:variant>
      <vt:variant>
        <vt:i4>0</vt:i4>
      </vt:variant>
      <vt:variant>
        <vt:i4>5</vt:i4>
      </vt:variant>
      <vt:variant>
        <vt:lpwstr/>
      </vt:variant>
      <vt:variant>
        <vt:lpwstr>_Toc200360540</vt:lpwstr>
      </vt:variant>
      <vt:variant>
        <vt:i4>1507377</vt:i4>
      </vt:variant>
      <vt:variant>
        <vt:i4>92</vt:i4>
      </vt:variant>
      <vt:variant>
        <vt:i4>0</vt:i4>
      </vt:variant>
      <vt:variant>
        <vt:i4>5</vt:i4>
      </vt:variant>
      <vt:variant>
        <vt:lpwstr/>
      </vt:variant>
      <vt:variant>
        <vt:lpwstr>_Toc200360539</vt:lpwstr>
      </vt:variant>
      <vt:variant>
        <vt:i4>1507377</vt:i4>
      </vt:variant>
      <vt:variant>
        <vt:i4>86</vt:i4>
      </vt:variant>
      <vt:variant>
        <vt:i4>0</vt:i4>
      </vt:variant>
      <vt:variant>
        <vt:i4>5</vt:i4>
      </vt:variant>
      <vt:variant>
        <vt:lpwstr/>
      </vt:variant>
      <vt:variant>
        <vt:lpwstr>_Toc200360538</vt:lpwstr>
      </vt:variant>
      <vt:variant>
        <vt:i4>1507377</vt:i4>
      </vt:variant>
      <vt:variant>
        <vt:i4>80</vt:i4>
      </vt:variant>
      <vt:variant>
        <vt:i4>0</vt:i4>
      </vt:variant>
      <vt:variant>
        <vt:i4>5</vt:i4>
      </vt:variant>
      <vt:variant>
        <vt:lpwstr/>
      </vt:variant>
      <vt:variant>
        <vt:lpwstr>_Toc200360537</vt:lpwstr>
      </vt:variant>
      <vt:variant>
        <vt:i4>1507377</vt:i4>
      </vt:variant>
      <vt:variant>
        <vt:i4>74</vt:i4>
      </vt:variant>
      <vt:variant>
        <vt:i4>0</vt:i4>
      </vt:variant>
      <vt:variant>
        <vt:i4>5</vt:i4>
      </vt:variant>
      <vt:variant>
        <vt:lpwstr/>
      </vt:variant>
      <vt:variant>
        <vt:lpwstr>_Toc200360536</vt:lpwstr>
      </vt:variant>
      <vt:variant>
        <vt:i4>1507377</vt:i4>
      </vt:variant>
      <vt:variant>
        <vt:i4>68</vt:i4>
      </vt:variant>
      <vt:variant>
        <vt:i4>0</vt:i4>
      </vt:variant>
      <vt:variant>
        <vt:i4>5</vt:i4>
      </vt:variant>
      <vt:variant>
        <vt:lpwstr/>
      </vt:variant>
      <vt:variant>
        <vt:lpwstr>_Toc200360533</vt:lpwstr>
      </vt:variant>
      <vt:variant>
        <vt:i4>1507377</vt:i4>
      </vt:variant>
      <vt:variant>
        <vt:i4>62</vt:i4>
      </vt:variant>
      <vt:variant>
        <vt:i4>0</vt:i4>
      </vt:variant>
      <vt:variant>
        <vt:i4>5</vt:i4>
      </vt:variant>
      <vt:variant>
        <vt:lpwstr/>
      </vt:variant>
      <vt:variant>
        <vt:lpwstr>_Toc200360532</vt:lpwstr>
      </vt:variant>
      <vt:variant>
        <vt:i4>1507377</vt:i4>
      </vt:variant>
      <vt:variant>
        <vt:i4>56</vt:i4>
      </vt:variant>
      <vt:variant>
        <vt:i4>0</vt:i4>
      </vt:variant>
      <vt:variant>
        <vt:i4>5</vt:i4>
      </vt:variant>
      <vt:variant>
        <vt:lpwstr/>
      </vt:variant>
      <vt:variant>
        <vt:lpwstr>_Toc200360531</vt:lpwstr>
      </vt:variant>
      <vt:variant>
        <vt:i4>1507377</vt:i4>
      </vt:variant>
      <vt:variant>
        <vt:i4>50</vt:i4>
      </vt:variant>
      <vt:variant>
        <vt:i4>0</vt:i4>
      </vt:variant>
      <vt:variant>
        <vt:i4>5</vt:i4>
      </vt:variant>
      <vt:variant>
        <vt:lpwstr/>
      </vt:variant>
      <vt:variant>
        <vt:lpwstr>_Toc200360530</vt:lpwstr>
      </vt:variant>
      <vt:variant>
        <vt:i4>1441841</vt:i4>
      </vt:variant>
      <vt:variant>
        <vt:i4>44</vt:i4>
      </vt:variant>
      <vt:variant>
        <vt:i4>0</vt:i4>
      </vt:variant>
      <vt:variant>
        <vt:i4>5</vt:i4>
      </vt:variant>
      <vt:variant>
        <vt:lpwstr/>
      </vt:variant>
      <vt:variant>
        <vt:lpwstr>_Toc200360529</vt:lpwstr>
      </vt:variant>
      <vt:variant>
        <vt:i4>1441841</vt:i4>
      </vt:variant>
      <vt:variant>
        <vt:i4>38</vt:i4>
      </vt:variant>
      <vt:variant>
        <vt:i4>0</vt:i4>
      </vt:variant>
      <vt:variant>
        <vt:i4>5</vt:i4>
      </vt:variant>
      <vt:variant>
        <vt:lpwstr/>
      </vt:variant>
      <vt:variant>
        <vt:lpwstr>_Toc200360528</vt:lpwstr>
      </vt:variant>
      <vt:variant>
        <vt:i4>1441841</vt:i4>
      </vt:variant>
      <vt:variant>
        <vt:i4>32</vt:i4>
      </vt:variant>
      <vt:variant>
        <vt:i4>0</vt:i4>
      </vt:variant>
      <vt:variant>
        <vt:i4>5</vt:i4>
      </vt:variant>
      <vt:variant>
        <vt:lpwstr/>
      </vt:variant>
      <vt:variant>
        <vt:lpwstr>_Toc200360527</vt:lpwstr>
      </vt:variant>
      <vt:variant>
        <vt:i4>1441841</vt:i4>
      </vt:variant>
      <vt:variant>
        <vt:i4>26</vt:i4>
      </vt:variant>
      <vt:variant>
        <vt:i4>0</vt:i4>
      </vt:variant>
      <vt:variant>
        <vt:i4>5</vt:i4>
      </vt:variant>
      <vt:variant>
        <vt:lpwstr/>
      </vt:variant>
      <vt:variant>
        <vt:lpwstr>_Toc200360526</vt:lpwstr>
      </vt:variant>
      <vt:variant>
        <vt:i4>1441841</vt:i4>
      </vt:variant>
      <vt:variant>
        <vt:i4>20</vt:i4>
      </vt:variant>
      <vt:variant>
        <vt:i4>0</vt:i4>
      </vt:variant>
      <vt:variant>
        <vt:i4>5</vt:i4>
      </vt:variant>
      <vt:variant>
        <vt:lpwstr/>
      </vt:variant>
      <vt:variant>
        <vt:lpwstr>_Toc200360525</vt:lpwstr>
      </vt:variant>
      <vt:variant>
        <vt:i4>1441841</vt:i4>
      </vt:variant>
      <vt:variant>
        <vt:i4>14</vt:i4>
      </vt:variant>
      <vt:variant>
        <vt:i4>0</vt:i4>
      </vt:variant>
      <vt:variant>
        <vt:i4>5</vt:i4>
      </vt:variant>
      <vt:variant>
        <vt:lpwstr/>
      </vt:variant>
      <vt:variant>
        <vt:lpwstr>_Toc200360524</vt:lpwstr>
      </vt:variant>
      <vt:variant>
        <vt:i4>1441841</vt:i4>
      </vt:variant>
      <vt:variant>
        <vt:i4>8</vt:i4>
      </vt:variant>
      <vt:variant>
        <vt:i4>0</vt:i4>
      </vt:variant>
      <vt:variant>
        <vt:i4>5</vt:i4>
      </vt:variant>
      <vt:variant>
        <vt:lpwstr/>
      </vt:variant>
      <vt:variant>
        <vt:lpwstr>_Toc200360523</vt:lpwstr>
      </vt:variant>
      <vt:variant>
        <vt:i4>1441841</vt:i4>
      </vt:variant>
      <vt:variant>
        <vt:i4>2</vt:i4>
      </vt:variant>
      <vt:variant>
        <vt:i4>0</vt:i4>
      </vt:variant>
      <vt:variant>
        <vt:i4>5</vt:i4>
      </vt:variant>
      <vt:variant>
        <vt:lpwstr/>
      </vt:variant>
      <vt:variant>
        <vt:lpwstr>_Toc200360522</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2025-06-09T21:23:00Z</cp:lastPrinted>
  <dcterms:created xsi:type="dcterms:W3CDTF">2025-06-10T08:34:32Z</dcterms:created>
  <dcterms:modified xsi:type="dcterms:W3CDTF">2025-06-10T08:34:32Z</dcterms:modified>
</cp:coreProperties>
</file>