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7E0FEE" w:rsidRDefault="00E82C20" w14:paraId="70B02BD6" w14:textId="3726E239">
      <w:pPr>
        <w:tabs>
          <w:tab w:val="center" w:pos="4680"/>
          <w:tab w:val="right" w:pos="9360"/>
        </w:tabs>
        <w:spacing w:line="240" w:lineRule="auto"/>
        <w:ind w:firstLine="0"/>
      </w:pPr>
      <w:r>
        <w:t>ALJ/AN4/</w:t>
      </w:r>
      <w:r w:rsidR="00164F4A">
        <w:t>asf</w:t>
      </w:r>
      <w:r w:rsidR="007E0FEE">
        <w:tab/>
      </w:r>
      <w:r w:rsidR="00DA7B5D">
        <w:rPr>
          <w:rFonts w:ascii="Arial" w:hAnsi="Arial" w:cs="Arial"/>
          <w:b/>
          <w:sz w:val="32"/>
          <w:szCs w:val="32"/>
        </w:rPr>
        <w:t>PROPOSED DECISION</w:t>
      </w:r>
      <w:r w:rsidR="00DA7B5D">
        <w:tab/>
      </w:r>
      <w:r w:rsidRPr="00EE4315" w:rsidR="00DA7B5D">
        <w:rPr>
          <w:b/>
        </w:rPr>
        <w:t>Agenda ID #</w:t>
      </w:r>
      <w:r w:rsidR="008E004B">
        <w:rPr>
          <w:b/>
        </w:rPr>
        <w:t>23608</w:t>
      </w:r>
    </w:p>
    <w:p w:rsidR="00DA7B5D" w:rsidP="00632207" w:rsidRDefault="00E82C20" w14:paraId="318E9718" w14:textId="103CC2B4">
      <w:pPr>
        <w:spacing w:line="240" w:lineRule="auto"/>
        <w:jc w:val="right"/>
        <w:rPr>
          <w:b/>
        </w:rPr>
      </w:pPr>
      <w:r w:rsidRPr="006D1197">
        <w:rPr>
          <w:b/>
        </w:rPr>
        <w:t>Ratesetting</w:t>
      </w:r>
    </w:p>
    <w:p w:rsidRPr="006D1197" w:rsidR="006D1197" w:rsidP="00632207" w:rsidRDefault="006D1197" w14:paraId="2A29033A" w14:textId="77777777">
      <w:pPr>
        <w:spacing w:line="240" w:lineRule="auto"/>
        <w:jc w:val="right"/>
        <w:rPr>
          <w:b/>
        </w:rPr>
      </w:pPr>
    </w:p>
    <w:p w:rsidRPr="00BD1911" w:rsidR="00DA7B5D" w:rsidP="006D1197" w:rsidRDefault="00DA7B5D" w14:paraId="625E7E27" w14:textId="7C1482AF">
      <w:pPr>
        <w:spacing w:line="240" w:lineRule="auto"/>
        <w:ind w:left="1080" w:hanging="1080"/>
        <w:rPr>
          <w:b/>
          <w:bCs/>
          <w:u w:val="single"/>
        </w:rPr>
      </w:pPr>
      <w:r>
        <w:t xml:space="preserve">Decision </w:t>
      </w:r>
      <w:r w:rsidR="00BD1911">
        <w:rPr>
          <w:u w:val="single"/>
        </w:rPr>
        <w:tab/>
      </w:r>
      <w:r w:rsidR="00BD1911">
        <w:rPr>
          <w:u w:val="single"/>
        </w:rPr>
        <w:tab/>
      </w:r>
      <w:r w:rsidR="00BD1911">
        <w:rPr>
          <w:u w:val="single"/>
        </w:rPr>
        <w:tab/>
      </w:r>
      <w:r w:rsidR="00BD1911">
        <w:rPr>
          <w:u w:val="single"/>
        </w:rPr>
        <w:tab/>
      </w:r>
    </w:p>
    <w:p w:rsidR="006D1197" w:rsidP="006D1197" w:rsidRDefault="006D1197" w14:paraId="5F8E3191" w14:textId="77777777">
      <w:pPr>
        <w:spacing w:line="240" w:lineRule="auto"/>
        <w:ind w:left="1080" w:hanging="1080"/>
        <w:rPr>
          <w:b/>
          <w:bCs/>
        </w:rPr>
      </w:pPr>
    </w:p>
    <w:p w:rsidR="006E74A2" w:rsidP="006D1197" w:rsidRDefault="006E74A2" w14:paraId="4A1DC6C8" w14:textId="77777777">
      <w:pPr>
        <w:spacing w:line="240" w:lineRule="auto"/>
        <w:ind w:left="1080" w:hanging="1080"/>
        <w:rPr>
          <w:b/>
          <w:bCs/>
        </w:rPr>
      </w:pPr>
    </w:p>
    <w:p w:rsidR="00DA7B5D" w:rsidP="00BB0243" w:rsidRDefault="00DA7B5D" w14:paraId="5E1A845E" w14:textId="5A3D00FB">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A55010F" w14:textId="77777777">
      <w:pPr>
        <w:spacing w:line="240" w:lineRule="auto"/>
        <w:ind w:firstLine="0"/>
        <w:rPr>
          <w:rFonts w:ascii="Arial" w:hAnsi="Arial" w:cs="Arial"/>
          <w:sz w:val="24"/>
          <w:szCs w:val="24"/>
        </w:rPr>
      </w:pPr>
    </w:p>
    <w:p w:rsidR="006E74A2" w:rsidP="008F0116" w:rsidRDefault="006E74A2" w14:paraId="3C31D0C2"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770"/>
        <w:gridCol w:w="4590"/>
      </w:tblGrid>
      <w:tr w:rsidR="00DA7B5D" w:rsidTr="006E74A2" w14:paraId="1123E638" w14:textId="77777777">
        <w:trPr>
          <w:jc w:val="center"/>
        </w:trPr>
        <w:tc>
          <w:tcPr>
            <w:tcW w:w="4770" w:type="dxa"/>
            <w:tcBorders>
              <w:top w:val="nil"/>
              <w:left w:val="nil"/>
              <w:bottom w:val="single" w:color="auto" w:sz="4" w:space="0"/>
              <w:right w:val="single" w:color="auto" w:sz="4" w:space="0"/>
            </w:tcBorders>
            <w:vAlign w:val="center"/>
          </w:tcPr>
          <w:p w:rsidR="00252D45" w:rsidP="00C10B5F" w:rsidRDefault="00896E5E" w14:paraId="3DAF7629" w14:textId="3B1083E0">
            <w:pPr>
              <w:spacing w:line="240" w:lineRule="auto"/>
              <w:ind w:firstLine="0"/>
              <w:rPr>
                <w:rFonts w:cs="Arial"/>
                <w:szCs w:val="26"/>
              </w:rPr>
            </w:pPr>
            <w:r w:rsidRPr="00896E5E">
              <w:rPr>
                <w:rFonts w:cs="Arial"/>
                <w:szCs w:val="26"/>
              </w:rPr>
              <w:t>Application of the GOLDEN STATE WATER COMPANY (U 133 W) for an order (1) authorizing it to increase rates for water service by $87,060,700 or 22.95% in 2025; (2) authorizing it to increase rates by $20,699,200 or 4.42% in 2026, and increase rates by $22,408,200 or 4.57% in 2027 in accordance with the Rate Case Plan; and (3) adopting other related rulings and relief necessary to implement the Commission’s ratemaking policies</w:t>
            </w:r>
            <w:r>
              <w:rPr>
                <w:rFonts w:cs="Arial"/>
                <w:szCs w:val="26"/>
              </w:rPr>
              <w:t>.</w:t>
            </w:r>
            <w:r w:rsidRPr="00E82C20" w:rsidR="00E82C20">
              <w:rPr>
                <w:rFonts w:cs="Arial"/>
                <w:szCs w:val="26"/>
              </w:rPr>
              <w:t xml:space="preserve"> </w:t>
            </w:r>
          </w:p>
          <w:p w:rsidRPr="00DA7B5D" w:rsidR="00E82C20" w:rsidP="00C10B5F" w:rsidRDefault="00E82C20" w14:paraId="6A168067" w14:textId="459B7F1F">
            <w:pPr>
              <w:spacing w:line="240" w:lineRule="auto"/>
              <w:ind w:firstLine="0"/>
              <w:rPr>
                <w:rFonts w:cs="Arial"/>
                <w:szCs w:val="26"/>
              </w:rPr>
            </w:pPr>
          </w:p>
        </w:tc>
        <w:tc>
          <w:tcPr>
            <w:tcW w:w="4590" w:type="dxa"/>
            <w:tcBorders>
              <w:top w:val="nil"/>
              <w:left w:val="single" w:color="auto" w:sz="4" w:space="0"/>
              <w:bottom w:val="nil"/>
              <w:right w:val="nil"/>
            </w:tcBorders>
            <w:vAlign w:val="center"/>
          </w:tcPr>
          <w:p w:rsidRPr="00DA7B5D" w:rsidR="00DA7B5D" w:rsidP="00412C83" w:rsidRDefault="00252D45" w14:paraId="7C48D518" w14:textId="78B5D2CD">
            <w:pPr>
              <w:spacing w:line="240" w:lineRule="auto"/>
              <w:ind w:firstLine="0"/>
              <w:jc w:val="center"/>
              <w:rPr>
                <w:rFonts w:cs="Arial"/>
                <w:szCs w:val="26"/>
              </w:rPr>
            </w:pPr>
            <w:r>
              <w:rPr>
                <w:rFonts w:cs="Arial"/>
                <w:szCs w:val="26"/>
              </w:rPr>
              <w:t>A</w:t>
            </w:r>
            <w:r w:rsidR="00E82C20">
              <w:rPr>
                <w:rFonts w:cs="Arial"/>
                <w:szCs w:val="26"/>
              </w:rPr>
              <w:t>pplication 2</w:t>
            </w:r>
            <w:r w:rsidR="00896E5E">
              <w:rPr>
                <w:rFonts w:cs="Arial"/>
                <w:szCs w:val="26"/>
              </w:rPr>
              <w:t>3-08-010</w:t>
            </w:r>
          </w:p>
        </w:tc>
      </w:tr>
    </w:tbl>
    <w:p w:rsidR="00DA7B5D" w:rsidP="008F0116" w:rsidRDefault="00DA7B5D" w14:paraId="2943A66C" w14:textId="77777777">
      <w:pPr>
        <w:spacing w:line="240" w:lineRule="auto"/>
        <w:ind w:firstLine="0"/>
        <w:rPr>
          <w:rFonts w:ascii="Arial" w:hAnsi="Arial" w:cs="Arial"/>
          <w:sz w:val="24"/>
          <w:szCs w:val="24"/>
        </w:rPr>
      </w:pPr>
    </w:p>
    <w:p w:rsidR="00DA7B5D" w:rsidP="008F0116" w:rsidRDefault="00DA7B5D" w14:paraId="235439EE" w14:textId="2035B54C">
      <w:pPr>
        <w:spacing w:line="240" w:lineRule="auto"/>
        <w:ind w:firstLine="0"/>
        <w:rPr>
          <w:rFonts w:ascii="Arial" w:hAnsi="Arial" w:cs="Arial"/>
          <w:sz w:val="24"/>
          <w:szCs w:val="24"/>
        </w:rPr>
      </w:pPr>
    </w:p>
    <w:p w:rsidR="00164F4A" w:rsidP="00164F4A" w:rsidRDefault="00252D45" w14:paraId="3D421AAA" w14:textId="77777777">
      <w:pPr>
        <w:pStyle w:val="Dummy"/>
        <w:jc w:val="center"/>
      </w:pPr>
      <w:bookmarkStart w:name="_Toc173927473" w:id="0"/>
      <w:r>
        <w:t xml:space="preserve">DECISION </w:t>
      </w:r>
      <w:r w:rsidR="00F9376A">
        <w:t>GRANTING PETITION TO MODIFY DECISION</w:t>
      </w:r>
      <w:r w:rsidR="001C68CC">
        <w:t xml:space="preserve"> 2</w:t>
      </w:r>
      <w:bookmarkEnd w:id="0"/>
      <w:r w:rsidR="00896E5E">
        <w:t>5-01-03</w:t>
      </w:r>
      <w:bookmarkStart w:name="_Toc8123714" w:id="1"/>
      <w:bookmarkStart w:name="_Toc173927474" w:id="2"/>
    </w:p>
    <w:p w:rsidR="00164F4A" w:rsidP="00164F4A" w:rsidRDefault="00164F4A" w14:paraId="73B6D90C" w14:textId="77777777">
      <w:pPr>
        <w:pStyle w:val="Dummy"/>
      </w:pPr>
    </w:p>
    <w:p w:rsidR="005A148C" w:rsidP="00164F4A" w:rsidRDefault="005A148C" w14:paraId="5454C54B" w14:textId="2C05C081">
      <w:pPr>
        <w:pStyle w:val="Dummy"/>
      </w:pPr>
      <w:r>
        <w:t>Summary</w:t>
      </w:r>
      <w:bookmarkEnd w:id="1"/>
      <w:bookmarkEnd w:id="2"/>
    </w:p>
    <w:p w:rsidR="00EB6E2B" w:rsidP="00014417" w:rsidRDefault="00115AC3" w14:paraId="5EB95E4D" w14:textId="1FFD70C4">
      <w:pPr>
        <w:pStyle w:val="Standard"/>
      </w:pPr>
      <w:r>
        <w:t xml:space="preserve">This decision </w:t>
      </w:r>
      <w:r w:rsidR="007D4D27">
        <w:t xml:space="preserve">grants the petition to modify Decision </w:t>
      </w:r>
      <w:r w:rsidR="00EB6E2B">
        <w:t xml:space="preserve">(D.) </w:t>
      </w:r>
      <w:r w:rsidR="007D4D27">
        <w:t>2</w:t>
      </w:r>
      <w:r w:rsidR="00896E5E">
        <w:t>5-01-036</w:t>
      </w:r>
      <w:r w:rsidR="00DF5F2E">
        <w:t xml:space="preserve">, filed by </w:t>
      </w:r>
      <w:r w:rsidR="00896E5E">
        <w:t xml:space="preserve">Golden State Water Company (GSW). </w:t>
      </w:r>
      <w:r w:rsidR="00EB6E2B">
        <w:t>Accordingly, O</w:t>
      </w:r>
      <w:r w:rsidR="00864581">
        <w:t xml:space="preserve">rdering </w:t>
      </w:r>
      <w:r w:rsidR="00EB6E2B">
        <w:t>P</w:t>
      </w:r>
      <w:r w:rsidR="00864581">
        <w:t>aragraph</w:t>
      </w:r>
      <w:r w:rsidR="00EB6E2B">
        <w:t xml:space="preserve"> 11 of D.25-01-036 is </w:t>
      </w:r>
      <w:r w:rsidR="00EA3B35">
        <w:t>modified to</w:t>
      </w:r>
      <w:r w:rsidR="00F14A79">
        <w:t xml:space="preserve"> exclude the Drinking Water Fees </w:t>
      </w:r>
      <w:r w:rsidR="00344FA8">
        <w:t>Balancing</w:t>
      </w:r>
      <w:r w:rsidR="00F14A79">
        <w:t xml:space="preserve"> Account (DW</w:t>
      </w:r>
      <w:r w:rsidR="00344FA8">
        <w:t>FB</w:t>
      </w:r>
      <w:r w:rsidR="00F14A79">
        <w:t>A) from the list of accounts to be closed</w:t>
      </w:r>
      <w:r w:rsidR="00014417">
        <w:t xml:space="preserve"> after amortization of its balance. </w:t>
      </w:r>
    </w:p>
    <w:p w:rsidR="00115AC3" w:rsidP="00115AC3" w:rsidRDefault="00B734A3" w14:paraId="5A6D9E20" w14:textId="67291393">
      <w:pPr>
        <w:pStyle w:val="Standard"/>
      </w:pPr>
      <w:r>
        <w:t>This decision closes the proceeding.</w:t>
      </w:r>
      <w:r w:rsidR="00115AC3">
        <w:t xml:space="preserve"> </w:t>
      </w:r>
    </w:p>
    <w:p w:rsidR="00252D45" w:rsidP="00A55ACD" w:rsidRDefault="00252D45" w14:paraId="73FB3AD7" w14:textId="70D946EE">
      <w:pPr>
        <w:pStyle w:val="Heading1"/>
        <w:numPr>
          <w:ilvl w:val="0"/>
          <w:numId w:val="1"/>
        </w:numPr>
      </w:pPr>
      <w:bookmarkStart w:name="_Toc173927475" w:id="3"/>
      <w:bookmarkStart w:name="_Toc8123715" w:id="4"/>
      <w:r>
        <w:t>Procedural History</w:t>
      </w:r>
      <w:bookmarkEnd w:id="3"/>
    </w:p>
    <w:p w:rsidR="005A562D" w:rsidP="00252D45" w:rsidRDefault="00650920" w14:paraId="5E74A329" w14:textId="2EB7F982">
      <w:pPr>
        <w:pStyle w:val="Standard"/>
      </w:pPr>
      <w:r>
        <w:t xml:space="preserve">On August 14, 2023, Golden State Water Company (GSW) (U133W) filed Application (A.) 23-08-010 for an order (1) authorizing it to increase rates for </w:t>
      </w:r>
      <w:r>
        <w:lastRenderedPageBreak/>
        <w:t>water service by $87,060,700 or 22.95% in 2025; (2) authorizing it to increase rates by $20,699,200 or 4.42% in 2026, and increase rates by $22,408,200 or 4.57% in 2027 in accordance with the Rate Case Plan; and (3) adopting other related rulings and relief necessary to implement the California Public Utilities Commission's (Commission) ratemaking policies</w:t>
      </w:r>
    </w:p>
    <w:p w:rsidR="005A562D" w:rsidP="00252D45" w:rsidRDefault="00454F60" w14:paraId="495E6E01" w14:textId="5747CC74">
      <w:pPr>
        <w:pStyle w:val="Standard"/>
      </w:pPr>
      <w:r>
        <w:t>On July 12, 2024, GSW and the Public Advocates Office filed a</w:t>
      </w:r>
      <w:r w:rsidR="00EA298A">
        <w:t xml:space="preserve"> Joint Motion for Adoption of Settlement Agreement. </w:t>
      </w:r>
      <w:r w:rsidR="00D8566B">
        <w:t xml:space="preserve">On January 30, 2025, the Commission adopted Decision (D.)25-01-036, </w:t>
      </w:r>
      <w:r w:rsidR="006A58B7">
        <w:t xml:space="preserve">approving the settlement agreement, resolving the remaining issues, and authorizing a general rate increase for GSW for 2025 through 2027. </w:t>
      </w:r>
    </w:p>
    <w:p w:rsidR="00F62674" w:rsidP="005C55E4" w:rsidRDefault="006A58B7" w14:paraId="56E89663" w14:textId="2BB1CFCD">
      <w:pPr>
        <w:pStyle w:val="Standard"/>
      </w:pPr>
      <w:r>
        <w:t xml:space="preserve">On May 1, 2025, GSW filed Petition for Modification </w:t>
      </w:r>
      <w:r w:rsidR="006D177E">
        <w:t xml:space="preserve">(PFM) </w:t>
      </w:r>
      <w:r>
        <w:t>of D.25-01-036</w:t>
      </w:r>
      <w:r w:rsidR="005C55E4">
        <w:t xml:space="preserve">, seeking to exclude the Drinking Water Fees </w:t>
      </w:r>
      <w:r w:rsidR="00344FA8">
        <w:t>Balancing</w:t>
      </w:r>
      <w:r w:rsidR="005C55E4">
        <w:t xml:space="preserve"> Account (DWF</w:t>
      </w:r>
      <w:r w:rsidR="00344FA8">
        <w:t>BA</w:t>
      </w:r>
      <w:r w:rsidR="005C55E4">
        <w:t xml:space="preserve">) from the list of accounts to be closed after amortization of balance. GSW notes </w:t>
      </w:r>
      <w:r w:rsidR="006D177E">
        <w:t xml:space="preserve">in the PFM </w:t>
      </w:r>
      <w:r w:rsidR="005C55E4">
        <w:t xml:space="preserve">that the Public Advocates Office does not oppose </w:t>
      </w:r>
      <w:r w:rsidR="006D177E">
        <w:t>the</w:t>
      </w:r>
      <w:r w:rsidR="005C55E4">
        <w:t xml:space="preserve"> request</w:t>
      </w:r>
      <w:r w:rsidR="00F22864">
        <w:t>.</w:t>
      </w:r>
    </w:p>
    <w:p w:rsidR="00F22864" w:rsidP="00E41998" w:rsidRDefault="00E41998" w14:paraId="12DE25E5" w14:textId="3BCF4B41">
      <w:pPr>
        <w:pStyle w:val="Heading1"/>
        <w:numPr>
          <w:ilvl w:val="0"/>
          <w:numId w:val="1"/>
        </w:numPr>
      </w:pPr>
      <w:bookmarkStart w:name="_Toc173927476" w:id="5"/>
      <w:r>
        <w:t>Petition to Modify Decision 2</w:t>
      </w:r>
      <w:bookmarkEnd w:id="5"/>
      <w:r w:rsidR="00FB700F">
        <w:t>5-01-036</w:t>
      </w:r>
    </w:p>
    <w:p w:rsidR="00F22864" w:rsidP="002D0A05" w:rsidRDefault="006957DD" w14:paraId="7CD8F996" w14:textId="3414E15B">
      <w:pPr>
        <w:pStyle w:val="Standard"/>
      </w:pPr>
      <w:r>
        <w:t xml:space="preserve">Pursuant to </w:t>
      </w:r>
      <w:r w:rsidR="00E41998">
        <w:t>Rule 16.4(b) of the Commission’s Rules of Practice and Procedure</w:t>
      </w:r>
      <w:r>
        <w:t xml:space="preserve">, </w:t>
      </w:r>
      <w:r w:rsidR="00E41998">
        <w:t xml:space="preserve">a petition for modification must </w:t>
      </w:r>
      <w:r>
        <w:t xml:space="preserve">concisely state the justification for the requested relief and must propose </w:t>
      </w:r>
      <w:r w:rsidR="00984518">
        <w:t xml:space="preserve">specific wording to carry out all requested modifications to the decision. </w:t>
      </w:r>
    </w:p>
    <w:p w:rsidR="000D3BFE" w:rsidP="002D0A05" w:rsidRDefault="008659B3" w14:paraId="0FEBBBE7" w14:textId="64728444">
      <w:pPr>
        <w:pStyle w:val="Standard"/>
      </w:pPr>
      <w:r>
        <w:t xml:space="preserve">The </w:t>
      </w:r>
      <w:r w:rsidR="006C6C08">
        <w:t>decision resolving this proceeding adopts the Settlement Agreement, which resolves many of the issues of this proceeding. As part of that Settlement Agreement, GSW and the Public Advocates Office (the Parties)</w:t>
      </w:r>
      <w:r w:rsidR="00135756">
        <w:t xml:space="preserve"> proposed that GSW’s Drinking Water Fees Memorandum Account (DWFMA), which tracks all drinking water fees charged by the State Water Resources Control Board (SWRCB)</w:t>
      </w:r>
      <w:r w:rsidR="00873757">
        <w:t xml:space="preserve">. GSW notes in its PFM that the memorandum account for this </w:t>
      </w:r>
      <w:proofErr w:type="gramStart"/>
      <w:r w:rsidR="00873757">
        <w:t>particular mechanism</w:t>
      </w:r>
      <w:proofErr w:type="gramEnd"/>
      <w:r w:rsidR="00873757">
        <w:t xml:space="preserve"> appears to have changed </w:t>
      </w:r>
      <w:r w:rsidR="00991862">
        <w:t xml:space="preserve">from the Drinking Water Fees </w:t>
      </w:r>
      <w:r w:rsidR="00991862">
        <w:lastRenderedPageBreak/>
        <w:t>Memorandum Account to the Drinking Water Fees Balancing Account</w:t>
      </w:r>
      <w:r w:rsidR="008B4404">
        <w:t xml:space="preserve"> (DWFBA)</w:t>
      </w:r>
      <w:r w:rsidR="00CF512C">
        <w:t>.</w:t>
      </w:r>
      <w:r w:rsidR="00CF512C">
        <w:rPr>
          <w:rStyle w:val="FootnoteReference"/>
        </w:rPr>
        <w:footnoteReference w:id="2"/>
      </w:r>
      <w:r w:rsidR="00991862">
        <w:t xml:space="preserve"> </w:t>
      </w:r>
      <w:r w:rsidR="00CF512C">
        <w:t xml:space="preserve">The Applicant goes on to state that while it did close the former, it did not intend to close the latter. </w:t>
      </w:r>
      <w:r w:rsidR="008B4404">
        <w:t xml:space="preserve">In other words, GSW “inadvertently requested to close the DWFBA when </w:t>
      </w:r>
      <w:r w:rsidR="00215B99">
        <w:t>that account should remain open.”</w:t>
      </w:r>
      <w:r w:rsidR="00215B99">
        <w:rPr>
          <w:rStyle w:val="FootnoteReference"/>
        </w:rPr>
        <w:footnoteReference w:id="3"/>
      </w:r>
    </w:p>
    <w:p w:rsidR="00341253" w:rsidP="00734D3D" w:rsidRDefault="00585DAF" w14:paraId="06216807" w14:textId="7A0860DD">
      <w:pPr>
        <w:pStyle w:val="Standard"/>
      </w:pPr>
      <w:r>
        <w:t xml:space="preserve">GSW’s specific changes to Ordering Paragraph 11 of D.25-01-036 entail striking “(6) Drinking Water Fees Balancing Account” from the list of </w:t>
      </w:r>
      <w:r w:rsidR="005223A2">
        <w:t xml:space="preserve">balancing accounts to be closed when amortization </w:t>
      </w:r>
      <w:r w:rsidR="00864581">
        <w:t>is complete</w:t>
      </w:r>
      <w:r w:rsidR="005223A2">
        <w:t>.</w:t>
      </w:r>
    </w:p>
    <w:p w:rsidRPr="00680091" w:rsidR="00C32DD9" w:rsidP="00DB6B39" w:rsidRDefault="00C32DD9" w14:paraId="35CEEF89" w14:textId="056FFEDC">
      <w:pPr>
        <w:pStyle w:val="Standard"/>
        <w:numPr>
          <w:ilvl w:val="0"/>
          <w:numId w:val="1"/>
        </w:numPr>
      </w:pPr>
      <w:r w:rsidRPr="00DB6B39">
        <w:rPr>
          <w:rFonts w:ascii="Arial" w:hAnsi="Arial" w:eastAsiaTheme="majorEastAsia" w:cstheme="majorBidi"/>
          <w:b/>
          <w:szCs w:val="32"/>
        </w:rPr>
        <w:t>Discussion</w:t>
      </w:r>
    </w:p>
    <w:p w:rsidRPr="007C2054" w:rsidR="00680091" w:rsidP="00680091" w:rsidRDefault="00680091" w14:paraId="63977238" w14:textId="7634DF88">
      <w:pPr>
        <w:pStyle w:val="Standard"/>
        <w:numPr>
          <w:ilvl w:val="1"/>
          <w:numId w:val="1"/>
        </w:numPr>
      </w:pPr>
      <w:r>
        <w:rPr>
          <w:rFonts w:ascii="Arial" w:hAnsi="Arial" w:eastAsiaTheme="majorEastAsia" w:cstheme="majorBidi"/>
          <w:b/>
          <w:szCs w:val="32"/>
        </w:rPr>
        <w:t>Timeliness of the Petition</w:t>
      </w:r>
    </w:p>
    <w:p w:rsidRPr="00680091" w:rsidR="007C2054" w:rsidP="00801AEA" w:rsidRDefault="007C2054" w14:paraId="449E08A6" w14:textId="3299E058">
      <w:pPr>
        <w:pStyle w:val="Standard"/>
      </w:pPr>
      <w:r>
        <w:t xml:space="preserve">Rule 16.4(d) of the </w:t>
      </w:r>
      <w:r w:rsidR="008E29DA">
        <w:t xml:space="preserve">Commission’s Rules of Practice and Procedure, petitions for modification must be </w:t>
      </w:r>
      <w:r w:rsidR="00302FD7">
        <w:t xml:space="preserve">filed and served within one year of the effective date of the decision proposed to be modified. </w:t>
      </w:r>
      <w:r w:rsidR="00190C44">
        <w:t xml:space="preserve">In this case, </w:t>
      </w:r>
      <w:r w:rsidR="00996AC9">
        <w:t xml:space="preserve">the </w:t>
      </w:r>
      <w:r w:rsidR="00AC3FA6">
        <w:t>PFM</w:t>
      </w:r>
      <w:r w:rsidR="00996AC9">
        <w:t xml:space="preserve"> was filed on </w:t>
      </w:r>
      <w:r w:rsidR="00AC3FA6">
        <w:t>May 1, 2025</w:t>
      </w:r>
      <w:r w:rsidR="00996AC9">
        <w:t xml:space="preserve">, whilst the decision it seeks to modify has an effective date of </w:t>
      </w:r>
      <w:r w:rsidR="00AC3FA6">
        <w:t>January 30, 2025</w:t>
      </w:r>
      <w:r w:rsidR="003D3D54">
        <w:t xml:space="preserve">. </w:t>
      </w:r>
      <w:r w:rsidR="00801AEA">
        <w:t>Accordingly, we</w:t>
      </w:r>
      <w:r w:rsidR="003D3D54">
        <w:t xml:space="preserve"> find that </w:t>
      </w:r>
      <w:r w:rsidR="00AC3FA6">
        <w:t>GSW</w:t>
      </w:r>
      <w:r w:rsidR="003D3D54">
        <w:t xml:space="preserve"> has satisfied the timeliness </w:t>
      </w:r>
      <w:r w:rsidR="00801AEA">
        <w:t>requirement of Rule 16.4(d).</w:t>
      </w:r>
    </w:p>
    <w:p w:rsidRPr="00801AEA" w:rsidR="00680091" w:rsidP="00680091" w:rsidRDefault="00680091" w14:paraId="75135743" w14:textId="51FFDC18">
      <w:pPr>
        <w:pStyle w:val="Standard"/>
        <w:numPr>
          <w:ilvl w:val="1"/>
          <w:numId w:val="1"/>
        </w:numPr>
      </w:pPr>
      <w:r>
        <w:rPr>
          <w:rFonts w:ascii="Arial" w:hAnsi="Arial" w:eastAsiaTheme="majorEastAsia" w:cstheme="majorBidi"/>
          <w:b/>
          <w:szCs w:val="32"/>
        </w:rPr>
        <w:t>Relief Requested</w:t>
      </w:r>
    </w:p>
    <w:p w:rsidR="00FE104A" w:rsidP="00FE104A" w:rsidRDefault="00801AEA" w14:paraId="5758F5DD" w14:textId="25A11413">
      <w:pPr>
        <w:pStyle w:val="Standard"/>
      </w:pPr>
      <w:r>
        <w:t xml:space="preserve">Upon review of the Petition for Modification, the Commission finds the relief requested by </w:t>
      </w:r>
      <w:r w:rsidR="002F744E">
        <w:t>GSW</w:t>
      </w:r>
      <w:r>
        <w:t xml:space="preserve"> to be reasonable and grants </w:t>
      </w:r>
      <w:r w:rsidR="000C23FE">
        <w:t>the petition to modify D.2</w:t>
      </w:r>
      <w:r w:rsidR="00AC3FA6">
        <w:t>5-01-</w:t>
      </w:r>
      <w:proofErr w:type="gramStart"/>
      <w:r w:rsidR="00AC3FA6">
        <w:t>036, and</w:t>
      </w:r>
      <w:proofErr w:type="gramEnd"/>
      <w:r w:rsidR="00AC3FA6">
        <w:t xml:space="preserve"> modifies Ordering Para</w:t>
      </w:r>
      <w:r w:rsidR="00FD1D75">
        <w:t>graph 11 to remove the DWFBA from the list of those to be closed upon expiration of amortization</w:t>
      </w:r>
      <w:r w:rsidR="00C26606">
        <w:t>.</w:t>
      </w:r>
      <w:r w:rsidR="00FE104A">
        <w:t xml:space="preserve"> Ordering Paragraph 11 of D.25-01-036 is modified as follows: </w:t>
      </w:r>
    </w:p>
    <w:p w:rsidRPr="00680091" w:rsidR="000C23FE" w:rsidP="00BD1911" w:rsidRDefault="00D34210" w14:paraId="24E7DB40" w14:textId="08F125D8">
      <w:pPr>
        <w:pStyle w:val="BlockQuote"/>
      </w:pPr>
      <w:r w:rsidRPr="00D34210">
        <w:t>11. When the amortization expires, Golden State Water Company shall</w:t>
      </w:r>
      <w:r w:rsidR="00164F4A">
        <w:t xml:space="preserve"> </w:t>
      </w:r>
      <w:r w:rsidRPr="00D34210">
        <w:t>transfer any residual balance in the following</w:t>
      </w:r>
      <w:r w:rsidR="00164F4A">
        <w:t xml:space="preserve"> </w:t>
      </w:r>
      <w:r w:rsidRPr="00D34210">
        <w:t>accounts to its General</w:t>
      </w:r>
      <w:r>
        <w:t xml:space="preserve"> </w:t>
      </w:r>
      <w:r w:rsidRPr="00D34210">
        <w:t>Ratemaking</w:t>
      </w:r>
      <w:r>
        <w:t xml:space="preserve"> </w:t>
      </w:r>
      <w:r w:rsidRPr="00D34210">
        <w:t>Area Balancing Account, close the following accounts, and remove reference to</w:t>
      </w:r>
      <w:r>
        <w:t xml:space="preserve"> </w:t>
      </w:r>
      <w:r w:rsidRPr="00D34210">
        <w:t xml:space="preserve">them from Golden State Water </w:t>
      </w:r>
      <w:r w:rsidRPr="00D34210">
        <w:lastRenderedPageBreak/>
        <w:t>Company’s Preliminary Statement: (1)</w:t>
      </w:r>
      <w:r>
        <w:t xml:space="preserve"> </w:t>
      </w:r>
      <w:r w:rsidRPr="00D34210">
        <w:t>Catastrophic Event Memorandum Account – COVID-19; (2) Aerojet Water</w:t>
      </w:r>
      <w:r>
        <w:t xml:space="preserve"> </w:t>
      </w:r>
      <w:r w:rsidRPr="00D34210">
        <w:t>Litigation Memorandum Account; (3) Clearlake Supply Expense Balancing</w:t>
      </w:r>
      <w:r w:rsidR="00C26606">
        <w:t xml:space="preserve"> </w:t>
      </w:r>
      <w:r w:rsidR="00C06671">
        <w:t>Account; (4)</w:t>
      </w:r>
      <w:r w:rsidR="00CB0BAD">
        <w:t xml:space="preserve"> </w:t>
      </w:r>
      <w:r w:rsidR="00C06671">
        <w:t>Catastrophic Event Memorandum Account – Extreme Heat Event; (5) Water Conservation Memorandum Account</w:t>
      </w:r>
      <w:r w:rsidRPr="00C06671" w:rsidR="00C06671">
        <w:rPr>
          <w:strike/>
        </w:rPr>
        <w:t>; (6) Drinking Water Fees Balancing Account</w:t>
      </w:r>
      <w:r w:rsidRPr="00C06671" w:rsidR="00C06671">
        <w:t>.</w:t>
      </w:r>
    </w:p>
    <w:p w:rsidR="00BE53A0" w:rsidP="00BE53A0" w:rsidRDefault="00BE53A0" w14:paraId="25E758E4" w14:textId="75D83669">
      <w:pPr>
        <w:pStyle w:val="Heading1"/>
        <w:numPr>
          <w:ilvl w:val="0"/>
          <w:numId w:val="1"/>
        </w:numPr>
      </w:pPr>
      <w:bookmarkStart w:name="_Toc173927477" w:id="6"/>
      <w:r>
        <w:t>Summary of Public Comment</w:t>
      </w:r>
      <w:bookmarkEnd w:id="6"/>
    </w:p>
    <w:p w:rsidR="00AC1B23" w:rsidP="00AC1B23" w:rsidRDefault="00AC1B23" w14:paraId="7A52C943" w14:textId="28C38321">
      <w:pPr>
        <w:pStyle w:val="Standard"/>
      </w:pPr>
      <w:r w:rsidRPr="00AC1B23">
        <w:t xml:space="preserve">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 No relevant public comments regarding </w:t>
      </w:r>
      <w:r w:rsidR="00AB5049">
        <w:t>the PFM</w:t>
      </w:r>
      <w:r w:rsidRPr="00AC1B23">
        <w:t xml:space="preserve"> were submitted to the Docket Card of this proceeding.</w:t>
      </w:r>
    </w:p>
    <w:p w:rsidRPr="0096286E" w:rsidR="0096286E" w:rsidP="0096286E" w:rsidRDefault="0096286E" w14:paraId="20D7E8D6" w14:textId="77777777">
      <w:pPr>
        <w:keepNext/>
        <w:keepLines/>
        <w:numPr>
          <w:ilvl w:val="0"/>
          <w:numId w:val="51"/>
        </w:numPr>
        <w:spacing w:after="120" w:line="240" w:lineRule="auto"/>
        <w:ind w:right="2160"/>
        <w:outlineLvl w:val="0"/>
        <w:rPr>
          <w:rFonts w:ascii="Arial" w:hAnsi="Arial" w:eastAsiaTheme="majorEastAsia" w:cstheme="majorBidi"/>
          <w:b/>
          <w:szCs w:val="32"/>
        </w:rPr>
      </w:pPr>
      <w:bookmarkStart w:name="_Toc191291981" w:id="7"/>
      <w:r w:rsidRPr="0096286E">
        <w:rPr>
          <w:rFonts w:ascii="Arial" w:hAnsi="Arial" w:eastAsiaTheme="majorEastAsia" w:cstheme="majorBidi"/>
          <w:b/>
          <w:szCs w:val="32"/>
        </w:rPr>
        <w:t>Comments on Proposed Decision</w:t>
      </w:r>
      <w:bookmarkEnd w:id="7"/>
    </w:p>
    <w:p w:rsidRPr="00AC1B23" w:rsidR="0096286E" w:rsidP="0096286E" w:rsidRDefault="0096286E" w14:paraId="3D71CA78" w14:textId="60A0AF46">
      <w:r w:rsidRPr="0096286E">
        <w:t>This is an uncontested matter in which the decision grants the relief requested.  Accordingly, pursuant to Section 311(g)(2) of the Pub. Util. Code and Rule 14.6(c)(2), the otherwise applicable 30-day period for public review and comment is waived.</w:t>
      </w:r>
      <w:r w:rsidRPr="0096286E">
        <w:rPr>
          <w:vertAlign w:val="superscript"/>
        </w:rPr>
        <w:footnoteReference w:id="4"/>
      </w:r>
    </w:p>
    <w:p w:rsidR="00B91F12" w:rsidP="00A55ACD" w:rsidRDefault="00B91F12" w14:paraId="2D9927DA" w14:textId="0C23C581">
      <w:pPr>
        <w:pStyle w:val="Heading1"/>
        <w:numPr>
          <w:ilvl w:val="0"/>
          <w:numId w:val="1"/>
        </w:numPr>
      </w:pPr>
      <w:bookmarkStart w:name="_Toc173927479" w:id="8"/>
      <w:r>
        <w:t>Assignment of Proceeding</w:t>
      </w:r>
      <w:bookmarkEnd w:id="8"/>
    </w:p>
    <w:p w:rsidRPr="00AC0043" w:rsidR="00AC0043" w:rsidP="00AC0043" w:rsidRDefault="00AC0043" w14:paraId="4CC9F600" w14:textId="1BC813C3">
      <w:pPr>
        <w:pStyle w:val="Standard"/>
      </w:pPr>
      <w:r>
        <w:t xml:space="preserve">Darcie L. Houck is the assigned Commissioner and Amin Nojan is the assigned Administrative Law Judge in this proceeding. </w:t>
      </w:r>
    </w:p>
    <w:p w:rsidR="005939A5" w:rsidP="005939A5" w:rsidRDefault="005939A5" w14:paraId="2A406DAB" w14:textId="77777777">
      <w:pPr>
        <w:pStyle w:val="Dummy"/>
      </w:pPr>
      <w:bookmarkStart w:name="_Toc8123725" w:id="9"/>
      <w:bookmarkStart w:name="_Toc173927480" w:id="10"/>
      <w:bookmarkEnd w:id="4"/>
      <w:r>
        <w:t>Findings of Fact</w:t>
      </w:r>
      <w:bookmarkEnd w:id="9"/>
      <w:bookmarkEnd w:id="10"/>
    </w:p>
    <w:p w:rsidR="00753B0D" w:rsidP="00EB6886" w:rsidRDefault="008B15B5" w14:paraId="627A7D65" w14:textId="08D192C6">
      <w:pPr>
        <w:pStyle w:val="OP"/>
        <w:numPr>
          <w:ilvl w:val="0"/>
          <w:numId w:val="48"/>
        </w:numPr>
      </w:pPr>
      <w:r>
        <w:t>GSW</w:t>
      </w:r>
      <w:r w:rsidR="00D97E41">
        <w:t xml:space="preserve"> filed a petition to modify less than a year after the effective date of D.</w:t>
      </w:r>
      <w:r w:rsidR="000E678B">
        <w:t>2</w:t>
      </w:r>
      <w:r>
        <w:t>5-01-036</w:t>
      </w:r>
      <w:r w:rsidR="000E678B">
        <w:t xml:space="preserve">. </w:t>
      </w:r>
    </w:p>
    <w:p w:rsidR="008B15B5" w:rsidP="00AB504B" w:rsidRDefault="008B15B5" w14:paraId="55A5FB53" w14:textId="0F40222F">
      <w:pPr>
        <w:pStyle w:val="OP"/>
      </w:pPr>
      <w:r>
        <w:t>No party opposes GSW’s Petition for Modification of D.25-01-036.</w:t>
      </w:r>
    </w:p>
    <w:p w:rsidRPr="001E2A62" w:rsidR="0042405C" w:rsidP="00AB504B" w:rsidRDefault="00CB007D" w14:paraId="382D6C5B" w14:textId="46067699">
      <w:pPr>
        <w:pStyle w:val="OP"/>
      </w:pPr>
      <w:r>
        <w:lastRenderedPageBreak/>
        <w:t>GSW states that the inclusion of the Drinking Water Fees Balancing Account in the list of those to be closed upon expiration of amortization was inadvertent and mistaken</w:t>
      </w:r>
      <w:r w:rsidR="0042405C">
        <w:t>.</w:t>
      </w:r>
    </w:p>
    <w:p w:rsidR="005939A5" w:rsidP="005939A5" w:rsidRDefault="005939A5" w14:paraId="52DDE036" w14:textId="77777777">
      <w:pPr>
        <w:pStyle w:val="Dummy"/>
      </w:pPr>
      <w:bookmarkStart w:name="_Toc8123726" w:id="11"/>
      <w:bookmarkStart w:name="_Toc173927481" w:id="12"/>
      <w:r>
        <w:t>Conclusions of Law</w:t>
      </w:r>
      <w:bookmarkEnd w:id="11"/>
      <w:bookmarkEnd w:id="12"/>
    </w:p>
    <w:p w:rsidR="00AA0D64" w:rsidP="00BD1911" w:rsidRDefault="00522027" w14:paraId="67C9C5BE" w14:textId="5EEECAC0">
      <w:pPr>
        <w:pStyle w:val="FoF"/>
      </w:pPr>
      <w:r>
        <w:t>The Petition satisfies the requirements of Rule 16.4.</w:t>
      </w:r>
    </w:p>
    <w:p w:rsidR="008F143D" w:rsidP="00BD1911" w:rsidRDefault="00AF1097" w14:paraId="572355F0" w14:textId="043814E8">
      <w:pPr>
        <w:pStyle w:val="FoF"/>
      </w:pPr>
      <w:r>
        <w:t xml:space="preserve">GSW’s </w:t>
      </w:r>
      <w:r w:rsidR="007D585D">
        <w:t>Petition should be granted.</w:t>
      </w:r>
    </w:p>
    <w:p w:rsidRPr="001E2A62" w:rsidR="0016230D" w:rsidP="00BD1911" w:rsidRDefault="0016230D" w14:paraId="55772D24" w14:textId="1AA2BA55">
      <w:pPr>
        <w:pStyle w:val="FoF"/>
      </w:pPr>
      <w:r>
        <w:t xml:space="preserve">This Application should be closed. </w:t>
      </w:r>
    </w:p>
    <w:p w:rsidR="00BB0243" w:rsidP="00662703" w:rsidRDefault="005939A5" w14:paraId="01A4C8A9" w14:textId="77777777">
      <w:pPr>
        <w:pStyle w:val="Mainex"/>
        <w:spacing w:before="120" w:after="120" w:line="240" w:lineRule="auto"/>
      </w:pPr>
      <w:bookmarkStart w:name="_Toc173927482" w:id="13"/>
      <w:r>
        <w:t>O</w:t>
      </w:r>
      <w:r w:rsidR="00722850">
        <w:t>RDER</w:t>
      </w:r>
      <w:bookmarkEnd w:id="13"/>
    </w:p>
    <w:p w:rsidR="00BB0243" w:rsidP="000A6E05" w:rsidRDefault="00BB0243" w14:paraId="29B2A129" w14:textId="77777777">
      <w:pPr>
        <w:keepNext/>
      </w:pPr>
      <w:r w:rsidRPr="00BB0243">
        <w:rPr>
          <w:b/>
        </w:rPr>
        <w:t>IT IS ORDERED</w:t>
      </w:r>
      <w:r>
        <w:t xml:space="preserve"> that:</w:t>
      </w:r>
    </w:p>
    <w:p w:rsidR="00C16AB9" w:rsidP="00965E7F" w:rsidRDefault="00992CFC" w14:paraId="7323F29D" w14:textId="1C6E8BC9">
      <w:pPr>
        <w:pStyle w:val="OP"/>
        <w:numPr>
          <w:ilvl w:val="0"/>
          <w:numId w:val="50"/>
        </w:numPr>
      </w:pPr>
      <w:r>
        <w:t xml:space="preserve">The Petition for Modification of Decision </w:t>
      </w:r>
      <w:r w:rsidR="00D27FF2">
        <w:t>25-01-036</w:t>
      </w:r>
      <w:r>
        <w:t xml:space="preserve">, filed by </w:t>
      </w:r>
      <w:r w:rsidR="00D27FF2">
        <w:t xml:space="preserve">Golden State Water </w:t>
      </w:r>
      <w:r>
        <w:t>Company</w:t>
      </w:r>
      <w:r w:rsidR="00F564E6">
        <w:t xml:space="preserve"> on </w:t>
      </w:r>
      <w:r w:rsidR="00D27FF2">
        <w:t xml:space="preserve">May </w:t>
      </w:r>
      <w:r w:rsidR="00F564E6">
        <w:t>1, 202</w:t>
      </w:r>
      <w:r w:rsidR="00D27FF2">
        <w:t>5</w:t>
      </w:r>
      <w:r w:rsidR="00F564E6">
        <w:t>, is granted.</w:t>
      </w:r>
    </w:p>
    <w:p w:rsidR="002F744E" w:rsidP="00164F4A" w:rsidRDefault="002F744E" w14:paraId="4D133C64" w14:textId="77777777">
      <w:pPr>
        <w:pStyle w:val="OP"/>
        <w:numPr>
          <w:ilvl w:val="0"/>
          <w:numId w:val="50"/>
        </w:numPr>
      </w:pPr>
      <w:r>
        <w:t xml:space="preserve">Ordering Paragraph 11 of D.25-01-036 is modified as follows: </w:t>
      </w:r>
    </w:p>
    <w:p w:rsidRPr="00BD1911" w:rsidR="0096286E" w:rsidP="00405EA4" w:rsidRDefault="002F744E" w14:paraId="4C449934" w14:textId="2B5D63DC">
      <w:pPr>
        <w:pStyle w:val="BlockQuote"/>
      </w:pPr>
      <w:r w:rsidRPr="00BD1911">
        <w:t>11. When the amortization expires, Golden State Water Company shall</w:t>
      </w:r>
      <w:r w:rsidRPr="00BD1911" w:rsidR="00864581">
        <w:t xml:space="preserve"> </w:t>
      </w:r>
      <w:r w:rsidRPr="00BD1911">
        <w:t>transfer any residual balance in the following accounts to its General Ratemaking Area Balancing Account, close the following accounts, and remove reference to them from Golden State Water Company’s Preliminary Statement: (1) Catastrophic Event Memorandum Account – COVID-19; (2) Aerojet Water Litigation Memorandum Account; (3) Clearlake Supply Expense Balancing Account; (4) Catastrophic Event Memorandum Account – Extreme Heat Event; (5) Water Conservation Memorandum Account; (6) Drinking Water Fees Balancing Account.</w:t>
      </w:r>
    </w:p>
    <w:p w:rsidR="002F744E" w:rsidP="00241EA7" w:rsidRDefault="00241EA7" w14:paraId="11939AB6" w14:textId="423BB999">
      <w:pPr>
        <w:pStyle w:val="OP"/>
        <w:numPr>
          <w:ilvl w:val="0"/>
          <w:numId w:val="50"/>
        </w:numPr>
      </w:pPr>
      <w:r>
        <w:t xml:space="preserve">This proceeding is closed. </w:t>
      </w:r>
    </w:p>
    <w:p w:rsidR="008F0116" w:rsidP="0071296B" w:rsidRDefault="008F0116" w14:paraId="7B41C4F5" w14:textId="77777777">
      <w:pPr>
        <w:keepNext/>
      </w:pPr>
      <w:r>
        <w:t>This order is effective today.</w:t>
      </w:r>
    </w:p>
    <w:p w:rsidR="00714CF2" w:rsidP="0071296B" w:rsidRDefault="008F0116" w14:paraId="252DE583" w14:textId="08AA061E">
      <w:pPr>
        <w:keepNext/>
      </w:pPr>
      <w:r>
        <w:t xml:space="preserve">Dated </w:t>
      </w:r>
      <w:r>
        <w:rPr>
          <w:u w:val="single"/>
        </w:rPr>
        <w:tab/>
      </w:r>
      <w:r>
        <w:t xml:space="preserve">, at </w:t>
      </w:r>
      <w:r w:rsidR="006E74A2">
        <w:t>Sacramento</w:t>
      </w:r>
      <w:r w:rsidRPr="006E74A2">
        <w:t>,</w:t>
      </w:r>
      <w:r>
        <w:t xml:space="preserve"> California</w:t>
      </w:r>
      <w:r w:rsidR="008511A2">
        <w:t>.</w:t>
      </w:r>
    </w:p>
    <w:p w:rsidR="0071296B" w:rsidP="0071296B" w:rsidRDefault="0071296B" w14:paraId="7AEB15BA" w14:textId="77777777">
      <w:pPr>
        <w:keepNext/>
      </w:pPr>
    </w:p>
    <w:p w:rsidR="008511A2" w:rsidP="0071296B" w:rsidRDefault="008511A2" w14:paraId="02A34301" w14:textId="77777777">
      <w:pPr>
        <w:keepNext/>
      </w:pPr>
    </w:p>
    <w:p w:rsidR="008511A2" w:rsidP="0071296B" w:rsidRDefault="008511A2" w14:paraId="6BDA5AA0" w14:textId="77777777">
      <w:pPr>
        <w:keepNext/>
      </w:pPr>
    </w:p>
    <w:p w:rsidRPr="008511A2" w:rsidR="008511A2" w:rsidP="00DB2262" w:rsidRDefault="008511A2" w14:paraId="7CCC0CBD" w14:textId="3D6C2696">
      <w:pPr>
        <w:spacing w:line="240" w:lineRule="auto"/>
        <w:ind w:firstLine="0"/>
        <w:rPr>
          <w:sz w:val="40"/>
          <w:szCs w:val="40"/>
        </w:rPr>
      </w:pPr>
    </w:p>
    <w:sectPr w:rsidRPr="008511A2" w:rsidR="008511A2" w:rsidSect="004F1039">
      <w:headerReference w:type="default" r:id="rId11"/>
      <w:footerReference w:type="default" r:id="rId12"/>
      <w:footerReference w:type="first" r:id="rId13"/>
      <w:pgSz w:w="12240" w:h="15840"/>
      <w:pgMar w:top="1728"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E8642" w14:textId="77777777" w:rsidR="00B7754A" w:rsidRDefault="00B7754A" w:rsidP="0098138E">
      <w:pPr>
        <w:spacing w:line="240" w:lineRule="auto"/>
      </w:pPr>
      <w:r>
        <w:separator/>
      </w:r>
    </w:p>
  </w:endnote>
  <w:endnote w:type="continuationSeparator" w:id="0">
    <w:p w14:paraId="5E8CDA31" w14:textId="77777777" w:rsidR="00B7754A" w:rsidRDefault="00B7754A" w:rsidP="0098138E">
      <w:pPr>
        <w:spacing w:line="240" w:lineRule="auto"/>
      </w:pPr>
      <w:r>
        <w:continuationSeparator/>
      </w:r>
    </w:p>
  </w:endnote>
  <w:endnote w:type="continuationNotice" w:id="1">
    <w:p w14:paraId="5055DBBB" w14:textId="77777777" w:rsidR="00B7754A" w:rsidRDefault="00B775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094578"/>
      <w:docPartObj>
        <w:docPartGallery w:val="Page Numbers (Bottom of Page)"/>
        <w:docPartUnique/>
      </w:docPartObj>
    </w:sdtPr>
    <w:sdtEndPr>
      <w:rPr>
        <w:noProof/>
      </w:rPr>
    </w:sdtEndPr>
    <w:sdtContent>
      <w:p w14:paraId="60BFC262" w14:textId="3D768A9D" w:rsidR="00222B9C" w:rsidRDefault="00222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4ECC4" w14:textId="35EBE742" w:rsidR="0071296B" w:rsidRPr="0071296B" w:rsidRDefault="0071296B" w:rsidP="0071296B">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59963"/>
      <w:docPartObj>
        <w:docPartGallery w:val="Page Numbers (Bottom of Page)"/>
        <w:docPartUnique/>
      </w:docPartObj>
    </w:sdtPr>
    <w:sdtEndPr>
      <w:rPr>
        <w:noProof/>
      </w:rPr>
    </w:sdtEndPr>
    <w:sdtContent>
      <w:p w14:paraId="01C72082" w14:textId="7384D303" w:rsidR="004F1039" w:rsidRDefault="00690B0B" w:rsidP="00690B0B">
        <w:pPr>
          <w:pStyle w:val="Footer"/>
          <w:ind w:firstLine="0"/>
        </w:pPr>
        <w:r w:rsidRPr="00690B0B">
          <w:rPr>
            <w:sz w:val="16"/>
            <w:szCs w:val="16"/>
          </w:rPr>
          <w:t>569140726</w:t>
        </w:r>
        <w:r>
          <w:tab/>
        </w:r>
        <w:r w:rsidR="004F1039">
          <w:fldChar w:fldCharType="begin"/>
        </w:r>
        <w:r w:rsidR="004F1039">
          <w:instrText xml:space="preserve"> PAGE   \* MERGEFORMAT </w:instrText>
        </w:r>
        <w:r w:rsidR="004F1039">
          <w:fldChar w:fldCharType="separate"/>
        </w:r>
        <w:r w:rsidR="004F1039">
          <w:rPr>
            <w:noProof/>
          </w:rPr>
          <w:t>2</w:t>
        </w:r>
        <w:r w:rsidR="004F1039">
          <w:rPr>
            <w:noProof/>
          </w:rPr>
          <w:fldChar w:fldCharType="end"/>
        </w:r>
      </w:p>
    </w:sdtContent>
  </w:sdt>
  <w:p w14:paraId="44010C37" w14:textId="77777777" w:rsidR="004F1039" w:rsidRDefault="004F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D5501" w14:textId="77777777" w:rsidR="00B7754A" w:rsidRDefault="00B7754A" w:rsidP="00DF58E7">
      <w:pPr>
        <w:spacing w:line="240" w:lineRule="auto"/>
        <w:ind w:firstLine="0"/>
      </w:pPr>
      <w:r>
        <w:separator/>
      </w:r>
    </w:p>
  </w:footnote>
  <w:footnote w:type="continuationSeparator" w:id="0">
    <w:p w14:paraId="78109E25" w14:textId="77777777" w:rsidR="00B7754A" w:rsidRDefault="00B7754A" w:rsidP="00DF58E7">
      <w:pPr>
        <w:spacing w:line="240" w:lineRule="auto"/>
        <w:ind w:firstLine="0"/>
      </w:pPr>
      <w:r>
        <w:continuationSeparator/>
      </w:r>
    </w:p>
  </w:footnote>
  <w:footnote w:type="continuationNotice" w:id="1">
    <w:p w14:paraId="1BCEC8EE" w14:textId="77777777" w:rsidR="00B7754A" w:rsidRPr="00DF58E7" w:rsidRDefault="00B7754A"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48996764" w14:textId="59AF9831" w:rsidR="00CF512C" w:rsidRPr="00CF512C" w:rsidRDefault="00CF512C">
      <w:pPr>
        <w:pStyle w:val="FootnoteText"/>
      </w:pPr>
      <w:r>
        <w:rPr>
          <w:rStyle w:val="FootnoteReference"/>
        </w:rPr>
        <w:footnoteRef/>
      </w:r>
      <w:r>
        <w:t xml:space="preserve"> </w:t>
      </w:r>
      <w:r>
        <w:rPr>
          <w:i/>
          <w:iCs/>
        </w:rPr>
        <w:t>See</w:t>
      </w:r>
      <w:r>
        <w:t xml:space="preserve"> PFM at 2. </w:t>
      </w:r>
    </w:p>
  </w:footnote>
  <w:footnote w:id="3">
    <w:p w14:paraId="184916F9" w14:textId="13F2587A" w:rsidR="00215B99" w:rsidRPr="00215B99" w:rsidRDefault="00215B99">
      <w:pPr>
        <w:pStyle w:val="FootnoteText"/>
      </w:pPr>
      <w:r>
        <w:rPr>
          <w:rStyle w:val="FootnoteReference"/>
        </w:rPr>
        <w:footnoteRef/>
      </w:r>
      <w:r>
        <w:t xml:space="preserve"> </w:t>
      </w:r>
      <w:r>
        <w:rPr>
          <w:i/>
          <w:iCs/>
        </w:rPr>
        <w:t xml:space="preserve">See </w:t>
      </w:r>
      <w:r>
        <w:t xml:space="preserve">PFM at 3. </w:t>
      </w:r>
    </w:p>
  </w:footnote>
  <w:footnote w:id="4">
    <w:p w14:paraId="6BDEDB6A" w14:textId="77777777" w:rsidR="0096286E" w:rsidRDefault="0096286E" w:rsidP="0096286E">
      <w:pPr>
        <w:pStyle w:val="FootnoteText"/>
      </w:pPr>
      <w:r>
        <w:rPr>
          <w:rStyle w:val="FootnoteReference"/>
        </w:rPr>
        <w:footnoteRef/>
      </w:r>
      <w:r>
        <w:t xml:space="preserve"> Transcript at 19, ln 12-17:  Applicant waives comment period.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7873" w14:textId="77777777" w:rsidR="00222B9C" w:rsidRPr="00164F4A" w:rsidRDefault="00222B9C" w:rsidP="00222B9C">
    <w:pPr>
      <w:pStyle w:val="Header"/>
      <w:ind w:firstLine="0"/>
      <w:jc w:val="right"/>
      <w:rPr>
        <w:b/>
        <w:bCs/>
        <w:iCs/>
      </w:rPr>
    </w:pPr>
    <w:r>
      <w:rPr>
        <w:iCs/>
      </w:rPr>
      <w:t>A.23-08-</w:t>
    </w:r>
    <w:proofErr w:type="gramStart"/>
    <w:r>
      <w:rPr>
        <w:iCs/>
      </w:rPr>
      <w:t>010  ALJ</w:t>
    </w:r>
    <w:proofErr w:type="gramEnd"/>
    <w:r>
      <w:rPr>
        <w:iCs/>
      </w:rPr>
      <w:t>/AN4/asf</w:t>
    </w:r>
    <w:r>
      <w:rPr>
        <w:iCs/>
      </w:rPr>
      <w:tab/>
    </w:r>
    <w:r>
      <w:rPr>
        <w:iCs/>
      </w:rPr>
      <w:tab/>
    </w:r>
    <w:r>
      <w:rPr>
        <w:b/>
        <w:bCs/>
        <w:iCs/>
      </w:rPr>
      <w:t>PROPOSED DECISION</w:t>
    </w:r>
  </w:p>
  <w:p w14:paraId="14F8BA44" w14:textId="77777777" w:rsidR="00222B9C" w:rsidRDefault="00222B9C" w:rsidP="00164F4A">
    <w:pPr>
      <w:pStyle w:val="Header"/>
      <w:ind w:firstLine="0"/>
      <w:rPr>
        <w:i/>
        <w:color w:val="FF0000"/>
      </w:rPr>
    </w:pPr>
  </w:p>
  <w:p w14:paraId="250E865E" w14:textId="77777777" w:rsidR="00222B9C" w:rsidRDefault="00222B9C" w:rsidP="00164F4A">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7AAF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6CB7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 w15:restartNumberingAfterBreak="0">
    <w:nsid w:val="15F056CB"/>
    <w:multiLevelType w:val="multilevel"/>
    <w:tmpl w:val="18F4A5AC"/>
    <w:numStyleLink w:val="FoFCoLOP"/>
  </w:abstractNum>
  <w:abstractNum w:abstractNumId="5" w15:restartNumberingAfterBreak="0">
    <w:nsid w:val="1C615E36"/>
    <w:multiLevelType w:val="hybridMultilevel"/>
    <w:tmpl w:val="0A2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70038F"/>
    <w:multiLevelType w:val="multilevel"/>
    <w:tmpl w:val="3C526EDE"/>
    <w:numStyleLink w:val="Headings"/>
  </w:abstractNum>
  <w:abstractNum w:abstractNumId="8" w15:restartNumberingAfterBreak="0">
    <w:nsid w:val="1E2242C9"/>
    <w:multiLevelType w:val="multilevel"/>
    <w:tmpl w:val="3C526EDE"/>
    <w:numStyleLink w:val="Headings"/>
  </w:abstractNum>
  <w:abstractNum w:abstractNumId="9" w15:restartNumberingAfterBreak="0">
    <w:nsid w:val="21FB58FE"/>
    <w:multiLevelType w:val="multilevel"/>
    <w:tmpl w:val="3C526EDE"/>
    <w:numStyleLink w:val="Headings"/>
  </w:abstractNum>
  <w:abstractNum w:abstractNumId="10" w15:restartNumberingAfterBreak="0">
    <w:nsid w:val="243663A0"/>
    <w:multiLevelType w:val="multilevel"/>
    <w:tmpl w:val="3C526EDE"/>
    <w:numStyleLink w:val="Headings"/>
  </w:abstractNum>
  <w:abstractNum w:abstractNumId="11" w15:restartNumberingAfterBreak="0">
    <w:nsid w:val="2B8124D7"/>
    <w:multiLevelType w:val="multilevel"/>
    <w:tmpl w:val="3C526EDE"/>
    <w:numStyleLink w:val="Headings"/>
  </w:abstractNum>
  <w:abstractNum w:abstractNumId="12"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3" w15:restartNumberingAfterBreak="0">
    <w:nsid w:val="3D5812F4"/>
    <w:multiLevelType w:val="hybridMultilevel"/>
    <w:tmpl w:val="BF9C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9D042D7"/>
    <w:multiLevelType w:val="multilevel"/>
    <w:tmpl w:val="18F4A5AC"/>
    <w:numStyleLink w:val="FoFCoLOP"/>
  </w:abstractNum>
  <w:abstractNum w:abstractNumId="15" w15:restartNumberingAfterBreak="0">
    <w:nsid w:val="5A9E2171"/>
    <w:multiLevelType w:val="multilevel"/>
    <w:tmpl w:val="3C526EDE"/>
    <w:numStyleLink w:val="Headings"/>
  </w:abstractNum>
  <w:abstractNum w:abstractNumId="16" w15:restartNumberingAfterBreak="0">
    <w:nsid w:val="5DAC65A3"/>
    <w:multiLevelType w:val="hybridMultilevel"/>
    <w:tmpl w:val="787A56EC"/>
    <w:lvl w:ilvl="0" w:tplc="04090001">
      <w:start w:val="1"/>
      <w:numFmt w:val="bullet"/>
      <w:lvlText w:val=""/>
      <w:lvlJc w:val="left"/>
      <w:pPr>
        <w:ind w:left="720" w:hanging="360"/>
      </w:pPr>
      <w:rPr>
        <w:rFonts w:ascii="Symbol" w:hAnsi="Symbol" w:hint="default"/>
      </w:rPr>
    </w:lvl>
    <w:lvl w:ilvl="1" w:tplc="28FEF1A6">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25780"/>
    <w:multiLevelType w:val="multilevel"/>
    <w:tmpl w:val="3C526EDE"/>
    <w:numStyleLink w:val="Headings"/>
  </w:abstractNum>
  <w:abstractNum w:abstractNumId="18"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B03805"/>
    <w:multiLevelType w:val="hybridMultilevel"/>
    <w:tmpl w:val="BF9C594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789A0AFE"/>
    <w:multiLevelType w:val="multilevel"/>
    <w:tmpl w:val="18F4A5AC"/>
    <w:numStyleLink w:val="FoFCoLOP"/>
  </w:abstractNum>
  <w:num w:numId="1" w16cid:durableId="567765260">
    <w:abstractNumId w:val="15"/>
  </w:num>
  <w:num w:numId="2" w16cid:durableId="124155531">
    <w:abstractNumId w:val="3"/>
  </w:num>
  <w:num w:numId="3" w16cid:durableId="1780250148">
    <w:abstractNumId w:val="14"/>
  </w:num>
  <w:num w:numId="4" w16cid:durableId="1668047561">
    <w:abstractNumId w:val="4"/>
  </w:num>
  <w:num w:numId="5" w16cid:durableId="296028253">
    <w:abstractNumId w:val="20"/>
  </w:num>
  <w:num w:numId="6" w16cid:durableId="2140569294">
    <w:abstractNumId w:val="12"/>
  </w:num>
  <w:num w:numId="7" w16cid:durableId="1946494586">
    <w:abstractNumId w:val="8"/>
  </w:num>
  <w:num w:numId="8" w16cid:durableId="826747488">
    <w:abstractNumId w:val="18"/>
  </w:num>
  <w:num w:numId="9" w16cid:durableId="91165708">
    <w:abstractNumId w:val="2"/>
  </w:num>
  <w:num w:numId="10" w16cid:durableId="463037588">
    <w:abstractNumId w:val="7"/>
  </w:num>
  <w:num w:numId="11" w16cid:durableId="1029455335">
    <w:abstractNumId w:val="9"/>
  </w:num>
  <w:num w:numId="12" w16cid:durableId="2124574448">
    <w:abstractNumId w:val="6"/>
  </w:num>
  <w:num w:numId="13" w16cid:durableId="433020231">
    <w:abstractNumId w:val="10"/>
  </w:num>
  <w:num w:numId="14" w16cid:durableId="833181649">
    <w:abstractNumId w:val="11"/>
  </w:num>
  <w:num w:numId="15" w16cid:durableId="1037969065">
    <w:abstractNumId w:val="17"/>
  </w:num>
  <w:num w:numId="16" w16cid:durableId="3666085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1844572">
    <w:abstractNumId w:val="0"/>
  </w:num>
  <w:num w:numId="18" w16cid:durableId="1718579348">
    <w:abstractNumId w:val="1"/>
  </w:num>
  <w:num w:numId="19" w16cid:durableId="2092114448">
    <w:abstractNumId w:val="17"/>
  </w:num>
  <w:num w:numId="20" w16cid:durableId="1157845900">
    <w:abstractNumId w:val="17"/>
  </w:num>
  <w:num w:numId="21" w16cid:durableId="1647709992">
    <w:abstractNumId w:val="17"/>
  </w:num>
  <w:num w:numId="22" w16cid:durableId="1375235284">
    <w:abstractNumId w:val="17"/>
  </w:num>
  <w:num w:numId="23" w16cid:durableId="583955905">
    <w:abstractNumId w:val="17"/>
  </w:num>
  <w:num w:numId="24" w16cid:durableId="509177481">
    <w:abstractNumId w:val="16"/>
  </w:num>
  <w:num w:numId="25" w16cid:durableId="1827084674">
    <w:abstractNumId w:val="17"/>
  </w:num>
  <w:num w:numId="26" w16cid:durableId="2031105053">
    <w:abstractNumId w:val="17"/>
  </w:num>
  <w:num w:numId="27" w16cid:durableId="968441895">
    <w:abstractNumId w:val="17"/>
  </w:num>
  <w:num w:numId="28" w16cid:durableId="25764524">
    <w:abstractNumId w:val="17"/>
  </w:num>
  <w:num w:numId="29" w16cid:durableId="833227360">
    <w:abstractNumId w:val="17"/>
  </w:num>
  <w:num w:numId="30" w16cid:durableId="1420560257">
    <w:abstractNumId w:val="17"/>
  </w:num>
  <w:num w:numId="31" w16cid:durableId="131736">
    <w:abstractNumId w:val="17"/>
  </w:num>
  <w:num w:numId="32" w16cid:durableId="2002811775">
    <w:abstractNumId w:val="5"/>
  </w:num>
  <w:num w:numId="33" w16cid:durableId="1269509306">
    <w:abstractNumId w:val="17"/>
  </w:num>
  <w:num w:numId="34" w16cid:durableId="277025265">
    <w:abstractNumId w:val="17"/>
  </w:num>
  <w:num w:numId="35" w16cid:durableId="2056854648">
    <w:abstractNumId w:val="17"/>
  </w:num>
  <w:num w:numId="36" w16cid:durableId="2124693189">
    <w:abstractNumId w:val="17"/>
  </w:num>
  <w:num w:numId="37" w16cid:durableId="247352958">
    <w:abstractNumId w:val="17"/>
  </w:num>
  <w:num w:numId="38" w16cid:durableId="379331210">
    <w:abstractNumId w:val="17"/>
  </w:num>
  <w:num w:numId="39" w16cid:durableId="1170218278">
    <w:abstractNumId w:val="17"/>
  </w:num>
  <w:num w:numId="40" w16cid:durableId="1115293778">
    <w:abstractNumId w:val="17"/>
  </w:num>
  <w:num w:numId="41" w16cid:durableId="1882008372">
    <w:abstractNumId w:val="17"/>
  </w:num>
  <w:num w:numId="42" w16cid:durableId="337391054">
    <w:abstractNumId w:val="17"/>
  </w:num>
  <w:num w:numId="43" w16cid:durableId="1175849625">
    <w:abstractNumId w:val="17"/>
  </w:num>
  <w:num w:numId="44" w16cid:durableId="1686901780">
    <w:abstractNumId w:val="17"/>
  </w:num>
  <w:num w:numId="45" w16cid:durableId="1066536176">
    <w:abstractNumId w:val="17"/>
  </w:num>
  <w:num w:numId="46" w16cid:durableId="1602177872">
    <w:abstractNumId w:val="19"/>
  </w:num>
  <w:num w:numId="47" w16cid:durableId="1451125744">
    <w:abstractNumId w:val="4"/>
  </w:num>
  <w:num w:numId="48" w16cid:durableId="1074013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8153707">
    <w:abstractNumId w:val="13"/>
  </w:num>
  <w:num w:numId="50" w16cid:durableId="12151216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54526949">
    <w:abstractNumId w:val="15"/>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A4"/>
    <w:rsid w:val="00000A18"/>
    <w:rsid w:val="00000F6A"/>
    <w:rsid w:val="0000412F"/>
    <w:rsid w:val="00011ED7"/>
    <w:rsid w:val="00014417"/>
    <w:rsid w:val="000158E8"/>
    <w:rsid w:val="00023EB3"/>
    <w:rsid w:val="0002506B"/>
    <w:rsid w:val="00026D1A"/>
    <w:rsid w:val="00034AF0"/>
    <w:rsid w:val="00036EAA"/>
    <w:rsid w:val="00037ED9"/>
    <w:rsid w:val="000545CF"/>
    <w:rsid w:val="000570E0"/>
    <w:rsid w:val="00065510"/>
    <w:rsid w:val="0007115A"/>
    <w:rsid w:val="00077B02"/>
    <w:rsid w:val="000816AC"/>
    <w:rsid w:val="00083D27"/>
    <w:rsid w:val="0008621D"/>
    <w:rsid w:val="00086CE3"/>
    <w:rsid w:val="000904C0"/>
    <w:rsid w:val="00093489"/>
    <w:rsid w:val="00096473"/>
    <w:rsid w:val="000973C8"/>
    <w:rsid w:val="000A2AA9"/>
    <w:rsid w:val="000A334A"/>
    <w:rsid w:val="000A56F2"/>
    <w:rsid w:val="000A6E05"/>
    <w:rsid w:val="000B12FA"/>
    <w:rsid w:val="000B1CB6"/>
    <w:rsid w:val="000B5C35"/>
    <w:rsid w:val="000C08BF"/>
    <w:rsid w:val="000C23FE"/>
    <w:rsid w:val="000C3B9A"/>
    <w:rsid w:val="000C3D21"/>
    <w:rsid w:val="000D25A8"/>
    <w:rsid w:val="000D36A8"/>
    <w:rsid w:val="000D3BFE"/>
    <w:rsid w:val="000E270A"/>
    <w:rsid w:val="000E4C53"/>
    <w:rsid w:val="000E5183"/>
    <w:rsid w:val="000E678B"/>
    <w:rsid w:val="000E71CD"/>
    <w:rsid w:val="000F54DB"/>
    <w:rsid w:val="00115AC3"/>
    <w:rsid w:val="00121089"/>
    <w:rsid w:val="001232B5"/>
    <w:rsid w:val="00123F20"/>
    <w:rsid w:val="00123FB9"/>
    <w:rsid w:val="00127A65"/>
    <w:rsid w:val="00135756"/>
    <w:rsid w:val="001406A6"/>
    <w:rsid w:val="00142CA5"/>
    <w:rsid w:val="00162202"/>
    <w:rsid w:val="0016228F"/>
    <w:rsid w:val="0016230D"/>
    <w:rsid w:val="00164F4A"/>
    <w:rsid w:val="00165803"/>
    <w:rsid w:val="00170AD8"/>
    <w:rsid w:val="00172387"/>
    <w:rsid w:val="00186D1C"/>
    <w:rsid w:val="0018754C"/>
    <w:rsid w:val="00190934"/>
    <w:rsid w:val="00190C44"/>
    <w:rsid w:val="00190EA0"/>
    <w:rsid w:val="00194F28"/>
    <w:rsid w:val="001B153B"/>
    <w:rsid w:val="001B2105"/>
    <w:rsid w:val="001B38B7"/>
    <w:rsid w:val="001B78B9"/>
    <w:rsid w:val="001C270B"/>
    <w:rsid w:val="001C363F"/>
    <w:rsid w:val="001C68CC"/>
    <w:rsid w:val="001D3BC9"/>
    <w:rsid w:val="001E2A62"/>
    <w:rsid w:val="001E4A1A"/>
    <w:rsid w:val="001F2819"/>
    <w:rsid w:val="001F3832"/>
    <w:rsid w:val="0020193C"/>
    <w:rsid w:val="002043EC"/>
    <w:rsid w:val="002123EB"/>
    <w:rsid w:val="00215B99"/>
    <w:rsid w:val="00216181"/>
    <w:rsid w:val="00220E24"/>
    <w:rsid w:val="00222B9C"/>
    <w:rsid w:val="00231A54"/>
    <w:rsid w:val="002342E8"/>
    <w:rsid w:val="002374F8"/>
    <w:rsid w:val="00241EA7"/>
    <w:rsid w:val="00243DC0"/>
    <w:rsid w:val="0024740E"/>
    <w:rsid w:val="00247477"/>
    <w:rsid w:val="00251E11"/>
    <w:rsid w:val="00252D45"/>
    <w:rsid w:val="00266E2F"/>
    <w:rsid w:val="00270440"/>
    <w:rsid w:val="00271B5C"/>
    <w:rsid w:val="0027280A"/>
    <w:rsid w:val="00287BC5"/>
    <w:rsid w:val="00293DEE"/>
    <w:rsid w:val="002A0B5D"/>
    <w:rsid w:val="002A622A"/>
    <w:rsid w:val="002B09A4"/>
    <w:rsid w:val="002B310D"/>
    <w:rsid w:val="002C0519"/>
    <w:rsid w:val="002C0996"/>
    <w:rsid w:val="002C4CBB"/>
    <w:rsid w:val="002C54E3"/>
    <w:rsid w:val="002C7FE9"/>
    <w:rsid w:val="002D0348"/>
    <w:rsid w:val="002D04B1"/>
    <w:rsid w:val="002D0A05"/>
    <w:rsid w:val="002D0DC5"/>
    <w:rsid w:val="002D4EFD"/>
    <w:rsid w:val="002E142D"/>
    <w:rsid w:val="002E3FBD"/>
    <w:rsid w:val="002F744E"/>
    <w:rsid w:val="0030245D"/>
    <w:rsid w:val="00302FD7"/>
    <w:rsid w:val="00307099"/>
    <w:rsid w:val="003132A3"/>
    <w:rsid w:val="00315171"/>
    <w:rsid w:val="00315A97"/>
    <w:rsid w:val="00316071"/>
    <w:rsid w:val="0032144F"/>
    <w:rsid w:val="003220F1"/>
    <w:rsid w:val="00331252"/>
    <w:rsid w:val="0034047C"/>
    <w:rsid w:val="003406A5"/>
    <w:rsid w:val="00341253"/>
    <w:rsid w:val="003412A3"/>
    <w:rsid w:val="00342602"/>
    <w:rsid w:val="00343E5C"/>
    <w:rsid w:val="00344FA8"/>
    <w:rsid w:val="00344FB8"/>
    <w:rsid w:val="00347824"/>
    <w:rsid w:val="00352615"/>
    <w:rsid w:val="00353E61"/>
    <w:rsid w:val="0036017B"/>
    <w:rsid w:val="00362755"/>
    <w:rsid w:val="00373B93"/>
    <w:rsid w:val="00380CD1"/>
    <w:rsid w:val="00383B06"/>
    <w:rsid w:val="00383DBA"/>
    <w:rsid w:val="00392965"/>
    <w:rsid w:val="00393FC0"/>
    <w:rsid w:val="003A38F0"/>
    <w:rsid w:val="003A6A7E"/>
    <w:rsid w:val="003B53F4"/>
    <w:rsid w:val="003B6645"/>
    <w:rsid w:val="003C404E"/>
    <w:rsid w:val="003C7603"/>
    <w:rsid w:val="003D0E79"/>
    <w:rsid w:val="003D3D54"/>
    <w:rsid w:val="003E4597"/>
    <w:rsid w:val="003F069A"/>
    <w:rsid w:val="003F3F2A"/>
    <w:rsid w:val="003F4329"/>
    <w:rsid w:val="003F4EAD"/>
    <w:rsid w:val="004058A5"/>
    <w:rsid w:val="00405E11"/>
    <w:rsid w:val="00405EA4"/>
    <w:rsid w:val="00410451"/>
    <w:rsid w:val="00410CAE"/>
    <w:rsid w:val="004114D3"/>
    <w:rsid w:val="00412534"/>
    <w:rsid w:val="00412C83"/>
    <w:rsid w:val="004130E7"/>
    <w:rsid w:val="00421DC5"/>
    <w:rsid w:val="00423C9F"/>
    <w:rsid w:val="0042405C"/>
    <w:rsid w:val="00426014"/>
    <w:rsid w:val="00444E9E"/>
    <w:rsid w:val="0044617E"/>
    <w:rsid w:val="00454A67"/>
    <w:rsid w:val="00454F60"/>
    <w:rsid w:val="004563DF"/>
    <w:rsid w:val="00460B7D"/>
    <w:rsid w:val="00466503"/>
    <w:rsid w:val="00472ABA"/>
    <w:rsid w:val="00475E6A"/>
    <w:rsid w:val="00480CB0"/>
    <w:rsid w:val="00482B26"/>
    <w:rsid w:val="004831D3"/>
    <w:rsid w:val="004862BB"/>
    <w:rsid w:val="00490DB9"/>
    <w:rsid w:val="0049636C"/>
    <w:rsid w:val="00497B2F"/>
    <w:rsid w:val="004A16A7"/>
    <w:rsid w:val="004A180F"/>
    <w:rsid w:val="004A5F32"/>
    <w:rsid w:val="004B11AC"/>
    <w:rsid w:val="004B34EA"/>
    <w:rsid w:val="004B51E9"/>
    <w:rsid w:val="004B5494"/>
    <w:rsid w:val="004B5F3B"/>
    <w:rsid w:val="004B6871"/>
    <w:rsid w:val="004C47E1"/>
    <w:rsid w:val="004C60EB"/>
    <w:rsid w:val="004C63CD"/>
    <w:rsid w:val="004C68E3"/>
    <w:rsid w:val="004C700D"/>
    <w:rsid w:val="004C7A2B"/>
    <w:rsid w:val="004C7D3A"/>
    <w:rsid w:val="004D29CB"/>
    <w:rsid w:val="004D5665"/>
    <w:rsid w:val="004E10F8"/>
    <w:rsid w:val="004E5B1E"/>
    <w:rsid w:val="004F1039"/>
    <w:rsid w:val="004F79EC"/>
    <w:rsid w:val="00500FD8"/>
    <w:rsid w:val="005018A8"/>
    <w:rsid w:val="00505A39"/>
    <w:rsid w:val="0051130C"/>
    <w:rsid w:val="00522027"/>
    <w:rsid w:val="005223A2"/>
    <w:rsid w:val="00523489"/>
    <w:rsid w:val="005240BF"/>
    <w:rsid w:val="00525645"/>
    <w:rsid w:val="005269DA"/>
    <w:rsid w:val="005278D2"/>
    <w:rsid w:val="005312DD"/>
    <w:rsid w:val="005438CE"/>
    <w:rsid w:val="00547747"/>
    <w:rsid w:val="005501ED"/>
    <w:rsid w:val="0056585F"/>
    <w:rsid w:val="00566950"/>
    <w:rsid w:val="005720F7"/>
    <w:rsid w:val="005745C8"/>
    <w:rsid w:val="00576535"/>
    <w:rsid w:val="00585390"/>
    <w:rsid w:val="00585DAF"/>
    <w:rsid w:val="00590807"/>
    <w:rsid w:val="00591E53"/>
    <w:rsid w:val="00592263"/>
    <w:rsid w:val="005929A1"/>
    <w:rsid w:val="005939A5"/>
    <w:rsid w:val="00596A2C"/>
    <w:rsid w:val="005A0061"/>
    <w:rsid w:val="005A0C39"/>
    <w:rsid w:val="005A148C"/>
    <w:rsid w:val="005A562D"/>
    <w:rsid w:val="005C4830"/>
    <w:rsid w:val="005C55E4"/>
    <w:rsid w:val="005C58FA"/>
    <w:rsid w:val="005D1922"/>
    <w:rsid w:val="005E1B03"/>
    <w:rsid w:val="005E4861"/>
    <w:rsid w:val="005E6078"/>
    <w:rsid w:val="005F28F6"/>
    <w:rsid w:val="0060488A"/>
    <w:rsid w:val="00606218"/>
    <w:rsid w:val="0060689E"/>
    <w:rsid w:val="006124CA"/>
    <w:rsid w:val="006159BE"/>
    <w:rsid w:val="00617E39"/>
    <w:rsid w:val="0062346F"/>
    <w:rsid w:val="00626743"/>
    <w:rsid w:val="00630DA7"/>
    <w:rsid w:val="006312EA"/>
    <w:rsid w:val="00632207"/>
    <w:rsid w:val="0063491C"/>
    <w:rsid w:val="006412D8"/>
    <w:rsid w:val="006463FE"/>
    <w:rsid w:val="00650920"/>
    <w:rsid w:val="00660A55"/>
    <w:rsid w:val="00661AFE"/>
    <w:rsid w:val="00662703"/>
    <w:rsid w:val="00670694"/>
    <w:rsid w:val="00670D75"/>
    <w:rsid w:val="006715FA"/>
    <w:rsid w:val="00672D1B"/>
    <w:rsid w:val="006773EF"/>
    <w:rsid w:val="00680091"/>
    <w:rsid w:val="00680F19"/>
    <w:rsid w:val="00681622"/>
    <w:rsid w:val="0068363A"/>
    <w:rsid w:val="00690B0B"/>
    <w:rsid w:val="006957DD"/>
    <w:rsid w:val="006A2BDC"/>
    <w:rsid w:val="006A58B7"/>
    <w:rsid w:val="006B1B1C"/>
    <w:rsid w:val="006B593C"/>
    <w:rsid w:val="006C134C"/>
    <w:rsid w:val="006C1F10"/>
    <w:rsid w:val="006C2E49"/>
    <w:rsid w:val="006C4A13"/>
    <w:rsid w:val="006C5146"/>
    <w:rsid w:val="006C6C08"/>
    <w:rsid w:val="006D1197"/>
    <w:rsid w:val="006D177E"/>
    <w:rsid w:val="006E024E"/>
    <w:rsid w:val="006E5E28"/>
    <w:rsid w:val="006E6574"/>
    <w:rsid w:val="006E74A2"/>
    <w:rsid w:val="006F2AC1"/>
    <w:rsid w:val="006F34B7"/>
    <w:rsid w:val="006F3F62"/>
    <w:rsid w:val="006F7068"/>
    <w:rsid w:val="00701645"/>
    <w:rsid w:val="007031C7"/>
    <w:rsid w:val="00703D61"/>
    <w:rsid w:val="00704397"/>
    <w:rsid w:val="0070510E"/>
    <w:rsid w:val="0071296B"/>
    <w:rsid w:val="00714CF2"/>
    <w:rsid w:val="007156B9"/>
    <w:rsid w:val="00720817"/>
    <w:rsid w:val="00722751"/>
    <w:rsid w:val="00722850"/>
    <w:rsid w:val="00723CC7"/>
    <w:rsid w:val="0073242F"/>
    <w:rsid w:val="0073353F"/>
    <w:rsid w:val="00734D3D"/>
    <w:rsid w:val="00735A91"/>
    <w:rsid w:val="00742AF2"/>
    <w:rsid w:val="00742E45"/>
    <w:rsid w:val="007431C4"/>
    <w:rsid w:val="007447AF"/>
    <w:rsid w:val="00747133"/>
    <w:rsid w:val="00750816"/>
    <w:rsid w:val="00753B0D"/>
    <w:rsid w:val="007575C4"/>
    <w:rsid w:val="0076431C"/>
    <w:rsid w:val="007657C1"/>
    <w:rsid w:val="0076741B"/>
    <w:rsid w:val="0077035C"/>
    <w:rsid w:val="0077467D"/>
    <w:rsid w:val="007768C1"/>
    <w:rsid w:val="0077755F"/>
    <w:rsid w:val="0078228E"/>
    <w:rsid w:val="00782616"/>
    <w:rsid w:val="007854BC"/>
    <w:rsid w:val="00785D5F"/>
    <w:rsid w:val="00785F16"/>
    <w:rsid w:val="00786A35"/>
    <w:rsid w:val="00794A1F"/>
    <w:rsid w:val="007953BE"/>
    <w:rsid w:val="00795520"/>
    <w:rsid w:val="00796238"/>
    <w:rsid w:val="0079736F"/>
    <w:rsid w:val="0079785B"/>
    <w:rsid w:val="007A406D"/>
    <w:rsid w:val="007A52C0"/>
    <w:rsid w:val="007A62B0"/>
    <w:rsid w:val="007B54D8"/>
    <w:rsid w:val="007B5A02"/>
    <w:rsid w:val="007C0D3F"/>
    <w:rsid w:val="007C2054"/>
    <w:rsid w:val="007C4ECC"/>
    <w:rsid w:val="007C5A0C"/>
    <w:rsid w:val="007C6CEE"/>
    <w:rsid w:val="007C7C56"/>
    <w:rsid w:val="007D4D27"/>
    <w:rsid w:val="007D4E60"/>
    <w:rsid w:val="007D585D"/>
    <w:rsid w:val="007D6CD8"/>
    <w:rsid w:val="007E0FEE"/>
    <w:rsid w:val="007E3FDA"/>
    <w:rsid w:val="007F2017"/>
    <w:rsid w:val="007F4F4E"/>
    <w:rsid w:val="00801AEA"/>
    <w:rsid w:val="00801DAD"/>
    <w:rsid w:val="00804E19"/>
    <w:rsid w:val="00804F00"/>
    <w:rsid w:val="008159CF"/>
    <w:rsid w:val="00816E05"/>
    <w:rsid w:val="008170D0"/>
    <w:rsid w:val="008339BB"/>
    <w:rsid w:val="00841E05"/>
    <w:rsid w:val="008444CB"/>
    <w:rsid w:val="00850B89"/>
    <w:rsid w:val="00851197"/>
    <w:rsid w:val="008511A2"/>
    <w:rsid w:val="0085141B"/>
    <w:rsid w:val="00853BF1"/>
    <w:rsid w:val="00857EAD"/>
    <w:rsid w:val="0086419A"/>
    <w:rsid w:val="00864581"/>
    <w:rsid w:val="00865193"/>
    <w:rsid w:val="008659B3"/>
    <w:rsid w:val="00865C2D"/>
    <w:rsid w:val="0087023B"/>
    <w:rsid w:val="00873757"/>
    <w:rsid w:val="00874B37"/>
    <w:rsid w:val="008757DE"/>
    <w:rsid w:val="0088332C"/>
    <w:rsid w:val="008833EE"/>
    <w:rsid w:val="00896E5E"/>
    <w:rsid w:val="008A179F"/>
    <w:rsid w:val="008A3776"/>
    <w:rsid w:val="008A5900"/>
    <w:rsid w:val="008B0864"/>
    <w:rsid w:val="008B15B5"/>
    <w:rsid w:val="008B4404"/>
    <w:rsid w:val="008C4CB7"/>
    <w:rsid w:val="008C7413"/>
    <w:rsid w:val="008D16B7"/>
    <w:rsid w:val="008D6524"/>
    <w:rsid w:val="008E004B"/>
    <w:rsid w:val="008E0BA9"/>
    <w:rsid w:val="008E29DA"/>
    <w:rsid w:val="008E36C4"/>
    <w:rsid w:val="008E6AE6"/>
    <w:rsid w:val="008F0116"/>
    <w:rsid w:val="008F127D"/>
    <w:rsid w:val="008F143D"/>
    <w:rsid w:val="0092032C"/>
    <w:rsid w:val="00921EE8"/>
    <w:rsid w:val="00932865"/>
    <w:rsid w:val="00935D90"/>
    <w:rsid w:val="0095032E"/>
    <w:rsid w:val="00950A67"/>
    <w:rsid w:val="0096286E"/>
    <w:rsid w:val="00965E7F"/>
    <w:rsid w:val="00967773"/>
    <w:rsid w:val="00971D2A"/>
    <w:rsid w:val="0097568A"/>
    <w:rsid w:val="0098138E"/>
    <w:rsid w:val="00981D6C"/>
    <w:rsid w:val="00984518"/>
    <w:rsid w:val="0098655A"/>
    <w:rsid w:val="00991862"/>
    <w:rsid w:val="00992CFC"/>
    <w:rsid w:val="00996AC9"/>
    <w:rsid w:val="00997352"/>
    <w:rsid w:val="009A20A0"/>
    <w:rsid w:val="009A2FC2"/>
    <w:rsid w:val="009A6E36"/>
    <w:rsid w:val="009D2492"/>
    <w:rsid w:val="009D391A"/>
    <w:rsid w:val="009D5742"/>
    <w:rsid w:val="009D720B"/>
    <w:rsid w:val="009E6052"/>
    <w:rsid w:val="009E7C7F"/>
    <w:rsid w:val="009F6B7F"/>
    <w:rsid w:val="00A00FB3"/>
    <w:rsid w:val="00A02AB4"/>
    <w:rsid w:val="00A04A98"/>
    <w:rsid w:val="00A137AC"/>
    <w:rsid w:val="00A176A9"/>
    <w:rsid w:val="00A17CE0"/>
    <w:rsid w:val="00A21363"/>
    <w:rsid w:val="00A23D48"/>
    <w:rsid w:val="00A260D9"/>
    <w:rsid w:val="00A27A69"/>
    <w:rsid w:val="00A34E26"/>
    <w:rsid w:val="00A42306"/>
    <w:rsid w:val="00A44E8D"/>
    <w:rsid w:val="00A46D58"/>
    <w:rsid w:val="00A46EA8"/>
    <w:rsid w:val="00A542F6"/>
    <w:rsid w:val="00A55ACD"/>
    <w:rsid w:val="00A71AAA"/>
    <w:rsid w:val="00A735EB"/>
    <w:rsid w:val="00A743F3"/>
    <w:rsid w:val="00A77344"/>
    <w:rsid w:val="00A83E2B"/>
    <w:rsid w:val="00A85D27"/>
    <w:rsid w:val="00A85F16"/>
    <w:rsid w:val="00A91090"/>
    <w:rsid w:val="00A927B0"/>
    <w:rsid w:val="00A94041"/>
    <w:rsid w:val="00AA0D64"/>
    <w:rsid w:val="00AA529F"/>
    <w:rsid w:val="00AB3116"/>
    <w:rsid w:val="00AB5049"/>
    <w:rsid w:val="00AB504B"/>
    <w:rsid w:val="00AB7875"/>
    <w:rsid w:val="00AC0043"/>
    <w:rsid w:val="00AC09B9"/>
    <w:rsid w:val="00AC1B23"/>
    <w:rsid w:val="00AC3FA6"/>
    <w:rsid w:val="00AC68EE"/>
    <w:rsid w:val="00AD7692"/>
    <w:rsid w:val="00AF1097"/>
    <w:rsid w:val="00AF3FC1"/>
    <w:rsid w:val="00AF48AF"/>
    <w:rsid w:val="00B01F7E"/>
    <w:rsid w:val="00B03C4E"/>
    <w:rsid w:val="00B04E25"/>
    <w:rsid w:val="00B142C1"/>
    <w:rsid w:val="00B16C2A"/>
    <w:rsid w:val="00B2049B"/>
    <w:rsid w:val="00B20CBF"/>
    <w:rsid w:val="00B3003A"/>
    <w:rsid w:val="00B3087D"/>
    <w:rsid w:val="00B34794"/>
    <w:rsid w:val="00B34F16"/>
    <w:rsid w:val="00B407C1"/>
    <w:rsid w:val="00B40A71"/>
    <w:rsid w:val="00B4359E"/>
    <w:rsid w:val="00B50ECE"/>
    <w:rsid w:val="00B60421"/>
    <w:rsid w:val="00B62605"/>
    <w:rsid w:val="00B65CD6"/>
    <w:rsid w:val="00B70CA4"/>
    <w:rsid w:val="00B734A3"/>
    <w:rsid w:val="00B7754A"/>
    <w:rsid w:val="00B811CC"/>
    <w:rsid w:val="00B81EB6"/>
    <w:rsid w:val="00B822B9"/>
    <w:rsid w:val="00B82654"/>
    <w:rsid w:val="00B82CA3"/>
    <w:rsid w:val="00B84396"/>
    <w:rsid w:val="00B86735"/>
    <w:rsid w:val="00B87801"/>
    <w:rsid w:val="00B91F12"/>
    <w:rsid w:val="00B92F26"/>
    <w:rsid w:val="00B95141"/>
    <w:rsid w:val="00BA6387"/>
    <w:rsid w:val="00BA6F69"/>
    <w:rsid w:val="00BB0243"/>
    <w:rsid w:val="00BC154D"/>
    <w:rsid w:val="00BD12FF"/>
    <w:rsid w:val="00BD1911"/>
    <w:rsid w:val="00BD3C8C"/>
    <w:rsid w:val="00BE25BE"/>
    <w:rsid w:val="00BE53A0"/>
    <w:rsid w:val="00C0155D"/>
    <w:rsid w:val="00C06671"/>
    <w:rsid w:val="00C07FD5"/>
    <w:rsid w:val="00C10B5F"/>
    <w:rsid w:val="00C1118F"/>
    <w:rsid w:val="00C16AB9"/>
    <w:rsid w:val="00C16BCA"/>
    <w:rsid w:val="00C21851"/>
    <w:rsid w:val="00C24F1F"/>
    <w:rsid w:val="00C24F60"/>
    <w:rsid w:val="00C26606"/>
    <w:rsid w:val="00C30252"/>
    <w:rsid w:val="00C32DD9"/>
    <w:rsid w:val="00C331E0"/>
    <w:rsid w:val="00C41511"/>
    <w:rsid w:val="00C526CB"/>
    <w:rsid w:val="00C600F6"/>
    <w:rsid w:val="00C63EF7"/>
    <w:rsid w:val="00C6648E"/>
    <w:rsid w:val="00C70365"/>
    <w:rsid w:val="00C71124"/>
    <w:rsid w:val="00C72FA2"/>
    <w:rsid w:val="00C756B2"/>
    <w:rsid w:val="00C878D5"/>
    <w:rsid w:val="00C9033B"/>
    <w:rsid w:val="00C913A1"/>
    <w:rsid w:val="00C91B95"/>
    <w:rsid w:val="00C92EE4"/>
    <w:rsid w:val="00C9322A"/>
    <w:rsid w:val="00C960BD"/>
    <w:rsid w:val="00CA3881"/>
    <w:rsid w:val="00CB007D"/>
    <w:rsid w:val="00CB0BAD"/>
    <w:rsid w:val="00CC6A99"/>
    <w:rsid w:val="00CC6ABF"/>
    <w:rsid w:val="00CD28BA"/>
    <w:rsid w:val="00CD312A"/>
    <w:rsid w:val="00CD6CB0"/>
    <w:rsid w:val="00CE2841"/>
    <w:rsid w:val="00CE3C25"/>
    <w:rsid w:val="00CE4ADD"/>
    <w:rsid w:val="00CF16C1"/>
    <w:rsid w:val="00CF512C"/>
    <w:rsid w:val="00D00AA3"/>
    <w:rsid w:val="00D0504E"/>
    <w:rsid w:val="00D07F73"/>
    <w:rsid w:val="00D14844"/>
    <w:rsid w:val="00D176F9"/>
    <w:rsid w:val="00D2041C"/>
    <w:rsid w:val="00D25ADE"/>
    <w:rsid w:val="00D27FF2"/>
    <w:rsid w:val="00D34210"/>
    <w:rsid w:val="00D36F2F"/>
    <w:rsid w:val="00D43297"/>
    <w:rsid w:val="00D4482B"/>
    <w:rsid w:val="00D44DB6"/>
    <w:rsid w:val="00D46390"/>
    <w:rsid w:val="00D50119"/>
    <w:rsid w:val="00D5185D"/>
    <w:rsid w:val="00D519C7"/>
    <w:rsid w:val="00D53278"/>
    <w:rsid w:val="00D61086"/>
    <w:rsid w:val="00D74545"/>
    <w:rsid w:val="00D7539D"/>
    <w:rsid w:val="00D76342"/>
    <w:rsid w:val="00D76983"/>
    <w:rsid w:val="00D82A43"/>
    <w:rsid w:val="00D8566B"/>
    <w:rsid w:val="00D9395C"/>
    <w:rsid w:val="00D94510"/>
    <w:rsid w:val="00D97E41"/>
    <w:rsid w:val="00DA1705"/>
    <w:rsid w:val="00DA4798"/>
    <w:rsid w:val="00DA7B5D"/>
    <w:rsid w:val="00DB179A"/>
    <w:rsid w:val="00DB20F7"/>
    <w:rsid w:val="00DB2262"/>
    <w:rsid w:val="00DB2E02"/>
    <w:rsid w:val="00DB6B39"/>
    <w:rsid w:val="00DC4E84"/>
    <w:rsid w:val="00DC5992"/>
    <w:rsid w:val="00DD470A"/>
    <w:rsid w:val="00DD664A"/>
    <w:rsid w:val="00DE0472"/>
    <w:rsid w:val="00DE1FFF"/>
    <w:rsid w:val="00DE4047"/>
    <w:rsid w:val="00DE53F0"/>
    <w:rsid w:val="00DE57AB"/>
    <w:rsid w:val="00DF58E7"/>
    <w:rsid w:val="00DF5F2E"/>
    <w:rsid w:val="00E0224D"/>
    <w:rsid w:val="00E03172"/>
    <w:rsid w:val="00E03664"/>
    <w:rsid w:val="00E03BD7"/>
    <w:rsid w:val="00E050D3"/>
    <w:rsid w:val="00E10CF8"/>
    <w:rsid w:val="00E11876"/>
    <w:rsid w:val="00E21E7E"/>
    <w:rsid w:val="00E22788"/>
    <w:rsid w:val="00E23CBB"/>
    <w:rsid w:val="00E248C3"/>
    <w:rsid w:val="00E37B59"/>
    <w:rsid w:val="00E41998"/>
    <w:rsid w:val="00E47FF5"/>
    <w:rsid w:val="00E5082D"/>
    <w:rsid w:val="00E53438"/>
    <w:rsid w:val="00E565AA"/>
    <w:rsid w:val="00E63347"/>
    <w:rsid w:val="00E725FC"/>
    <w:rsid w:val="00E72C71"/>
    <w:rsid w:val="00E816F5"/>
    <w:rsid w:val="00E82C20"/>
    <w:rsid w:val="00E95697"/>
    <w:rsid w:val="00E97C13"/>
    <w:rsid w:val="00EA1A04"/>
    <w:rsid w:val="00EA298A"/>
    <w:rsid w:val="00EA36C6"/>
    <w:rsid w:val="00EA3B35"/>
    <w:rsid w:val="00EA48A8"/>
    <w:rsid w:val="00EB2A2C"/>
    <w:rsid w:val="00EB2F38"/>
    <w:rsid w:val="00EB3A12"/>
    <w:rsid w:val="00EB6886"/>
    <w:rsid w:val="00EB6E2B"/>
    <w:rsid w:val="00EC1EF2"/>
    <w:rsid w:val="00EC30F9"/>
    <w:rsid w:val="00ED0260"/>
    <w:rsid w:val="00ED462E"/>
    <w:rsid w:val="00ED5725"/>
    <w:rsid w:val="00ED7031"/>
    <w:rsid w:val="00EE3060"/>
    <w:rsid w:val="00EE3AEC"/>
    <w:rsid w:val="00EE4315"/>
    <w:rsid w:val="00EF6925"/>
    <w:rsid w:val="00EF7C9D"/>
    <w:rsid w:val="00F04B68"/>
    <w:rsid w:val="00F0685D"/>
    <w:rsid w:val="00F14A79"/>
    <w:rsid w:val="00F17592"/>
    <w:rsid w:val="00F22864"/>
    <w:rsid w:val="00F24B07"/>
    <w:rsid w:val="00F2626B"/>
    <w:rsid w:val="00F26ED3"/>
    <w:rsid w:val="00F316CC"/>
    <w:rsid w:val="00F36BE3"/>
    <w:rsid w:val="00F40D32"/>
    <w:rsid w:val="00F4163C"/>
    <w:rsid w:val="00F41877"/>
    <w:rsid w:val="00F433C9"/>
    <w:rsid w:val="00F4656E"/>
    <w:rsid w:val="00F46968"/>
    <w:rsid w:val="00F54EDC"/>
    <w:rsid w:val="00F564E6"/>
    <w:rsid w:val="00F6064C"/>
    <w:rsid w:val="00F6211D"/>
    <w:rsid w:val="00F62674"/>
    <w:rsid w:val="00F62B7A"/>
    <w:rsid w:val="00F634EE"/>
    <w:rsid w:val="00F6397D"/>
    <w:rsid w:val="00F7293E"/>
    <w:rsid w:val="00F76650"/>
    <w:rsid w:val="00F9038A"/>
    <w:rsid w:val="00F9187B"/>
    <w:rsid w:val="00F92385"/>
    <w:rsid w:val="00F9376A"/>
    <w:rsid w:val="00F94991"/>
    <w:rsid w:val="00FA1B4F"/>
    <w:rsid w:val="00FA54CC"/>
    <w:rsid w:val="00FA5AFC"/>
    <w:rsid w:val="00FA6ED5"/>
    <w:rsid w:val="00FB3262"/>
    <w:rsid w:val="00FB700F"/>
    <w:rsid w:val="00FC20EF"/>
    <w:rsid w:val="00FC3987"/>
    <w:rsid w:val="00FC47F9"/>
    <w:rsid w:val="00FC621C"/>
    <w:rsid w:val="00FD1D75"/>
    <w:rsid w:val="00FD488E"/>
    <w:rsid w:val="00FD6349"/>
    <w:rsid w:val="00FE0D3C"/>
    <w:rsid w:val="00FE104A"/>
    <w:rsid w:val="00FE1285"/>
    <w:rsid w:val="00FE2351"/>
    <w:rsid w:val="00FE337D"/>
    <w:rsid w:val="00FE4428"/>
    <w:rsid w:val="00FE5580"/>
    <w:rsid w:val="00F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0C66"/>
  <w15:docId w15:val="{24A87260-FEC5-49D5-970E-AB9D65EF8E5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4"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right="2160"/>
    </w:pPr>
    <w:rPr>
      <w:rFonts w:eastAsiaTheme="majorEastAsia" w:cstheme="majorBidi"/>
      <w:szCs w:val="32"/>
    </w:rPr>
  </w:style>
  <w:style w:type="paragraph" w:styleId="Heading2">
    <w:name w:val="heading 2"/>
    <w:basedOn w:val="Dummy"/>
    <w:next w:val="Standard"/>
    <w:link w:val="Heading2Char"/>
    <w:uiPriority w:val="4"/>
    <w:qFormat/>
    <w:rsid w:val="00E03664"/>
    <w:pPr>
      <w:numPr>
        <w:ilvl w:val="1"/>
        <w:numId w:val="15"/>
      </w:numPr>
      <w:ind w:right="2160"/>
      <w:outlineLvl w:val="1"/>
    </w:pPr>
  </w:style>
  <w:style w:type="paragraph" w:styleId="Heading3">
    <w:name w:val="heading 3"/>
    <w:basedOn w:val="Dummy"/>
    <w:next w:val="Standard"/>
    <w:link w:val="Heading3Char"/>
    <w:uiPriority w:val="4"/>
    <w:qFormat/>
    <w:rsid w:val="000E270A"/>
    <w:p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ind w:right="2160"/>
      <w:outlineLvl w:val="4"/>
    </w:pPr>
    <w:rPr>
      <w:rFonts w:eastAsiaTheme="majorEastAsia" w:cstheme="majorBidi"/>
    </w:rPr>
  </w:style>
  <w:style w:type="paragraph" w:styleId="Heading6">
    <w:name w:val="heading 6"/>
    <w:basedOn w:val="Dummy"/>
    <w:next w:val="Standard"/>
    <w:link w:val="Heading6Char"/>
    <w:uiPriority w:val="4"/>
    <w:rsid w:val="000E270A"/>
    <w:p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E03664"/>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 Char,TBG Style Char Char Char,Footnote Text Char2,TBG Style Char Char,Footnote Text Char3 Char,Footnote Text Char Char Char,Footnote Text Char1 Char Char Char,Footnote Text Char3,fn"/>
    <w:basedOn w:val="Normal"/>
    <w:link w:val="FootnoteTextChar"/>
    <w:rsid w:val="00B01F7E"/>
    <w:pPr>
      <w:spacing w:after="120" w:line="240" w:lineRule="auto"/>
      <w:ind w:firstLine="0"/>
    </w:pPr>
    <w:rPr>
      <w:sz w:val="22"/>
      <w:szCs w:val="20"/>
    </w:rPr>
  </w:style>
  <w:style w:type="character" w:customStyle="1" w:styleId="FootnoteTextChar">
    <w:name w:val="Footnote Text Char"/>
    <w:aliases w:val="Footnote Text Char1 Char Char,TBG Style Char Char Char Char,Footnote Text Char2 Char,TBG Style Char Char Char1,Footnote Text Char3 Char Char,Footnote Text Char Char Char Char,Footnote Text Char1 Char Char Char Char,fn Char"/>
    <w:basedOn w:val="DefaultParagraphFont"/>
    <w:link w:val="FootnoteText"/>
    <w:rsid w:val="007657C1"/>
    <w:rPr>
      <w:rFonts w:ascii="Book Antiqua" w:hAnsi="Book Antiqua"/>
      <w:szCs w:val="20"/>
    </w:rPr>
  </w:style>
  <w:style w:type="character" w:styleId="FootnoteReference">
    <w:name w:val="footnote reference"/>
    <w:aliases w:val="o,fr,o1,o2,o3,o4,o5,o6,o11,o21,o7"/>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47"/>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firstLine="0"/>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spacing w:after="120" w:line="240" w:lineRule="auto"/>
      <w:ind w:firstLine="0"/>
    </w:pPr>
  </w:style>
  <w:style w:type="paragraph" w:styleId="ListParagraph">
    <w:name w:val="List Paragraph"/>
    <w:basedOn w:val="Normal"/>
    <w:uiPriority w:val="34"/>
    <w:rsid w:val="00252D45"/>
    <w:pPr>
      <w:ind w:left="720"/>
      <w:contextualSpacing/>
    </w:pPr>
  </w:style>
  <w:style w:type="paragraph" w:customStyle="1" w:styleId="Default">
    <w:name w:val="Default"/>
    <w:rsid w:val="00252D45"/>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AB3116"/>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123F20"/>
    <w:rPr>
      <w:sz w:val="16"/>
      <w:szCs w:val="16"/>
    </w:rPr>
  </w:style>
  <w:style w:type="paragraph" w:styleId="CommentText">
    <w:name w:val="annotation text"/>
    <w:basedOn w:val="Normal"/>
    <w:link w:val="CommentTextChar"/>
    <w:uiPriority w:val="99"/>
    <w:unhideWhenUsed/>
    <w:rsid w:val="00123F20"/>
    <w:pPr>
      <w:spacing w:line="240" w:lineRule="auto"/>
    </w:pPr>
    <w:rPr>
      <w:sz w:val="20"/>
      <w:szCs w:val="20"/>
    </w:rPr>
  </w:style>
  <w:style w:type="character" w:customStyle="1" w:styleId="CommentTextChar">
    <w:name w:val="Comment Text Char"/>
    <w:basedOn w:val="DefaultParagraphFont"/>
    <w:link w:val="CommentText"/>
    <w:uiPriority w:val="99"/>
    <w:rsid w:val="00123F2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23F20"/>
    <w:rPr>
      <w:b/>
      <w:bCs/>
    </w:rPr>
  </w:style>
  <w:style w:type="character" w:customStyle="1" w:styleId="CommentSubjectChar">
    <w:name w:val="Comment Subject Char"/>
    <w:basedOn w:val="CommentTextChar"/>
    <w:link w:val="CommentSubject"/>
    <w:uiPriority w:val="99"/>
    <w:semiHidden/>
    <w:rsid w:val="00123F20"/>
    <w:rPr>
      <w:rFonts w:ascii="Book Antiqua" w:hAnsi="Book Antiqua"/>
      <w:b/>
      <w:bCs/>
      <w:sz w:val="20"/>
      <w:szCs w:val="20"/>
    </w:rPr>
  </w:style>
  <w:style w:type="character" w:styleId="Emphasis">
    <w:name w:val="Emphasis"/>
    <w:basedOn w:val="DefaultParagraphFont"/>
    <w:uiPriority w:val="20"/>
    <w:qFormat/>
    <w:rsid w:val="0092032C"/>
    <w:rPr>
      <w:i/>
      <w:iCs/>
    </w:rPr>
  </w:style>
  <w:style w:type="numbering" w:customStyle="1" w:styleId="Headings1">
    <w:name w:val="Headings1"/>
    <w:uiPriority w:val="99"/>
    <w:rsid w:val="0096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463343">
      <w:bodyDiv w:val="1"/>
      <w:marLeft w:val="0"/>
      <w:marRight w:val="0"/>
      <w:marTop w:val="0"/>
      <w:marBottom w:val="0"/>
      <w:divBdr>
        <w:top w:val="none" w:sz="0" w:space="0" w:color="auto"/>
        <w:left w:val="none" w:sz="0" w:space="0" w:color="auto"/>
        <w:bottom w:val="none" w:sz="0" w:space="0" w:color="auto"/>
        <w:right w:val="none" w:sz="0" w:space="0" w:color="auto"/>
      </w:divBdr>
    </w:div>
    <w:div w:id="1129204251">
      <w:bodyDiv w:val="1"/>
      <w:marLeft w:val="0"/>
      <w:marRight w:val="0"/>
      <w:marTop w:val="0"/>
      <w:marBottom w:val="0"/>
      <w:divBdr>
        <w:top w:val="none" w:sz="0" w:space="0" w:color="auto"/>
        <w:left w:val="none" w:sz="0" w:space="0" w:color="auto"/>
        <w:bottom w:val="none" w:sz="0" w:space="0" w:color="auto"/>
        <w:right w:val="none" w:sz="0" w:space="0" w:color="auto"/>
      </w:divBdr>
    </w:div>
    <w:div w:id="1344043317">
      <w:bodyDiv w:val="1"/>
      <w:marLeft w:val="0"/>
      <w:marRight w:val="0"/>
      <w:marTop w:val="0"/>
      <w:marBottom w:val="0"/>
      <w:divBdr>
        <w:top w:val="none" w:sz="0" w:space="0" w:color="auto"/>
        <w:left w:val="none" w:sz="0" w:space="0" w:color="auto"/>
        <w:bottom w:val="none" w:sz="0" w:space="0" w:color="auto"/>
        <w:right w:val="none" w:sz="0" w:space="0" w:color="auto"/>
      </w:divBdr>
    </w:div>
    <w:div w:id="1398556784">
      <w:bodyDiv w:val="1"/>
      <w:marLeft w:val="0"/>
      <w:marRight w:val="0"/>
      <w:marTop w:val="0"/>
      <w:marBottom w:val="0"/>
      <w:divBdr>
        <w:top w:val="none" w:sz="0" w:space="0" w:color="auto"/>
        <w:left w:val="none" w:sz="0" w:space="0" w:color="auto"/>
        <w:bottom w:val="none" w:sz="0" w:space="0" w:color="auto"/>
        <w:right w:val="none" w:sz="0" w:space="0" w:color="auto"/>
      </w:divBdr>
    </w:div>
    <w:div w:id="1609199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584c501-4907-45a6-a5fc-3e0757d7aab9">
      <UserInfo>
        <DisplayName>Doherty, Patrick</DisplayName>
        <AccountId>53</AccountId>
        <AccountType/>
      </UserInfo>
      <UserInfo>
        <DisplayName>McKinney, Jeanne</DisplayName>
        <AccountId>29</AccountId>
        <AccountType/>
      </UserInfo>
    </SharedWithUsers>
    <TaxCatchAll xmlns="e584c501-4907-45a6-a5fc-3e0757d7aab9" xsi:nil="true"/>
    <lcf76f155ced4ddcb4097134ff3c332f xmlns="0498a0be-db2a-4749-93ec-e3fb091cf5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customXml/itemProps2.xml><?xml version="1.0" encoding="utf-8"?>
<ds:datastoreItem xmlns:ds="http://schemas.openxmlformats.org/officeDocument/2006/customXml" ds:itemID="{B62D2605-0B3D-4277-91FD-801B9D43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1028</ap:Words>
  <ap:Characters>6110</ap:Characters>
  <ap:Application>Microsoft Office Word</ap:Application>
  <ap:DocSecurity>0</ap:DocSecurity>
  <ap:Lines>145</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7089</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2025-07-03T16:10:18Z</dcterms:created>
  <dcterms:modified xsi:type="dcterms:W3CDTF">2025-07-03T16:10:18Z</dcterms:modified>
</cp:coreProperties>
</file>