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39BA" w:rsidR="00CD39BA" w:rsidP="00CD39BA" w:rsidRDefault="00CD39BA" w14:paraId="08F8745D" w14:textId="77777777">
      <w:pPr>
        <w:pStyle w:val="Standard"/>
        <w:spacing w:line="240" w:lineRule="auto"/>
        <w:ind w:firstLine="0"/>
        <w:rPr>
          <w:szCs w:val="26"/>
        </w:rPr>
      </w:pPr>
      <w:bookmarkStart w:name="_Toc190701976" w:id="0"/>
      <w:bookmarkStart w:name="_Toc185579418" w:id="1"/>
    </w:p>
    <w:p w:rsidRPr="00CD39BA" w:rsidR="00CD39BA" w:rsidP="00CD39BA" w:rsidRDefault="00CD39BA" w14:paraId="3E94C2D7" w14:textId="77777777">
      <w:pPr>
        <w:pStyle w:val="Standard"/>
        <w:spacing w:line="240" w:lineRule="auto"/>
        <w:ind w:firstLine="0"/>
        <w:rPr>
          <w:szCs w:val="26"/>
        </w:rPr>
      </w:pPr>
    </w:p>
    <w:p w:rsidRPr="00EA447C" w:rsidR="00CD39BA" w:rsidP="00CD39BA" w:rsidRDefault="00CD39BA" w14:paraId="78EE1597" w14:textId="36D3FD8C">
      <w:pPr>
        <w:pStyle w:val="Standard"/>
        <w:spacing w:line="240" w:lineRule="auto"/>
        <w:ind w:firstLine="0"/>
        <w:jc w:val="center"/>
        <w:rPr>
          <w:szCs w:val="26"/>
        </w:rPr>
      </w:pPr>
      <w:r w:rsidRPr="00EA447C">
        <w:rPr>
          <w:b/>
          <w:bCs/>
          <w:szCs w:val="26"/>
        </w:rPr>
        <w:t>APPENDIX A</w:t>
      </w:r>
      <w:r w:rsidRPr="00EA447C">
        <w:rPr>
          <w:b/>
          <w:bCs/>
          <w:szCs w:val="26"/>
        </w:rPr>
        <w:br/>
      </w:r>
      <w:r w:rsidRPr="00EA447C" w:rsidR="00B12612">
        <w:rPr>
          <w:szCs w:val="26"/>
        </w:rPr>
        <w:t>Electric Utilities</w:t>
      </w:r>
      <w:r w:rsidRPr="00EA447C">
        <w:rPr>
          <w:szCs w:val="26"/>
        </w:rPr>
        <w:t xml:space="preserve"> New Reporting Requirements Established by D.XX</w:t>
      </w:r>
      <w:r w:rsidRPr="00EA447C">
        <w:rPr>
          <w:szCs w:val="26"/>
        </w:rPr>
        <w:noBreakHyphen/>
        <w:t>XX</w:t>
      </w:r>
      <w:r w:rsidRPr="00EA447C">
        <w:rPr>
          <w:szCs w:val="26"/>
        </w:rPr>
        <w:noBreakHyphen/>
        <w:t>XXX</w:t>
      </w:r>
    </w:p>
    <w:p w:rsidRPr="00EA447C" w:rsidR="00CD39BA" w:rsidP="00CD39BA" w:rsidRDefault="00CD39BA" w14:paraId="23AF52B3" w14:textId="77777777"/>
    <w:p w:rsidRPr="00EA447C" w:rsidR="00CD39BA" w:rsidP="00CD39BA" w:rsidRDefault="00CD39BA" w14:paraId="28AF5875" w14:textId="77777777">
      <w:pPr>
        <w:sectPr w:rsidRPr="00EA447C" w:rsidR="00CD39BA" w:rsidSect="000F29B9">
          <w:headerReference w:type="default" r:id="rId9"/>
          <w:footerReference w:type="default" r:id="rId10"/>
          <w:pgSz w:w="12240" w:h="15840"/>
          <w:pgMar w:top="1728" w:right="1440" w:bottom="1440" w:left="1440" w:header="720" w:footer="720" w:gutter="0"/>
          <w:pgNumType w:fmt="numberInDash" w:start="1" w:chapStyle="1"/>
          <w:cols w:space="720"/>
          <w:docGrid w:linePitch="360"/>
        </w:sectPr>
      </w:pPr>
    </w:p>
    <w:p w:rsidRPr="00EA447C" w:rsidR="000F29B9" w:rsidP="00CD39BA" w:rsidRDefault="000F29B9" w14:paraId="31968F20" w14:textId="77777777">
      <w:pPr>
        <w:pStyle w:val="Mainex"/>
        <w:spacing w:line="240" w:lineRule="auto"/>
      </w:pPr>
      <w:r w:rsidRPr="00EA447C">
        <w:lastRenderedPageBreak/>
        <w:t>Appendix A</w:t>
      </w:r>
      <w:bookmarkEnd w:id="0"/>
      <w:bookmarkEnd w:id="1"/>
    </w:p>
    <w:p w:rsidRPr="00EA447C" w:rsidR="000F29B9" w:rsidP="00CD39BA" w:rsidRDefault="000F29B9" w14:paraId="77FD849B" w14:textId="77777777">
      <w:pPr>
        <w:keepNext/>
        <w:spacing w:line="240" w:lineRule="auto"/>
      </w:pPr>
    </w:p>
    <w:p w:rsidRPr="00EA447C" w:rsidR="000F29B9" w:rsidP="00CD39BA" w:rsidRDefault="00B12612" w14:paraId="53D5212C" w14:textId="2F3FA3D8">
      <w:pPr>
        <w:keepNext/>
        <w:spacing w:line="240" w:lineRule="auto"/>
        <w:ind w:firstLine="0"/>
        <w:jc w:val="center"/>
        <w:rPr>
          <w:b/>
          <w:bCs/>
        </w:rPr>
      </w:pPr>
      <w:r w:rsidRPr="00EA447C">
        <w:rPr>
          <w:b/>
          <w:bCs/>
          <w:szCs w:val="26"/>
        </w:rPr>
        <w:t>Electric Utilities</w:t>
      </w:r>
      <w:r w:rsidRPr="00EA447C" w:rsidR="000F29B9">
        <w:rPr>
          <w:b/>
          <w:bCs/>
        </w:rPr>
        <w:t xml:space="preserve"> New Reporting Requirements Established by this Decision</w:t>
      </w:r>
    </w:p>
    <w:p w:rsidRPr="00EA447C" w:rsidR="000F29B9" w:rsidP="00CD39BA" w:rsidRDefault="000F29B9" w14:paraId="70332F9E" w14:textId="77777777">
      <w:pPr>
        <w:keepNext/>
        <w:spacing w:line="240" w:lineRule="auto"/>
        <w:ind w:firstLine="0"/>
        <w:jc w:val="center"/>
        <w:rPr>
          <w:b/>
          <w:bCs/>
        </w:rPr>
      </w:pPr>
    </w:p>
    <w:tbl>
      <w:tblPr>
        <w:tblStyle w:val="TableGrid"/>
        <w:tblW w:w="0" w:type="auto"/>
        <w:tblCellMar>
          <w:top w:w="58" w:type="dxa"/>
          <w:bottom w:w="58" w:type="dxa"/>
        </w:tblCellMar>
        <w:tblLook w:val="04A0" w:firstRow="1" w:lastRow="0" w:firstColumn="1" w:lastColumn="0" w:noHBand="0" w:noVBand="1"/>
      </w:tblPr>
      <w:tblGrid>
        <w:gridCol w:w="780"/>
        <w:gridCol w:w="1957"/>
        <w:gridCol w:w="1393"/>
        <w:gridCol w:w="1384"/>
        <w:gridCol w:w="3836"/>
      </w:tblGrid>
      <w:tr w:rsidRPr="00EA447C" w:rsidR="006B695C" w:rsidTr="00551DD2" w14:paraId="21570810" w14:textId="77777777">
        <w:trPr>
          <w:tblHeader/>
        </w:trPr>
        <w:tc>
          <w:tcPr>
            <w:tcW w:w="767" w:type="dxa"/>
          </w:tcPr>
          <w:p w:rsidRPr="00EA447C" w:rsidR="006B695C" w:rsidP="00CD39BA" w:rsidRDefault="006B695C" w14:paraId="55C32ED1" w14:textId="77777777">
            <w:pPr>
              <w:keepNext/>
              <w:spacing w:line="240" w:lineRule="auto"/>
              <w:ind w:firstLine="0"/>
              <w:jc w:val="center"/>
              <w:rPr>
                <w:b/>
                <w:bCs/>
                <w:sz w:val="24"/>
                <w:szCs w:val="24"/>
              </w:rPr>
            </w:pPr>
          </w:p>
        </w:tc>
        <w:tc>
          <w:tcPr>
            <w:tcW w:w="8583" w:type="dxa"/>
            <w:gridSpan w:val="4"/>
          </w:tcPr>
          <w:p w:rsidRPr="00EA447C" w:rsidR="006B695C" w:rsidP="00CD39BA" w:rsidRDefault="006B695C" w14:paraId="3266805C" w14:textId="6CEDEDD9">
            <w:pPr>
              <w:keepNext/>
              <w:spacing w:line="240" w:lineRule="auto"/>
              <w:ind w:firstLine="0"/>
              <w:jc w:val="center"/>
              <w:rPr>
                <w:b/>
                <w:bCs/>
                <w:sz w:val="24"/>
                <w:szCs w:val="24"/>
              </w:rPr>
            </w:pPr>
            <w:r w:rsidRPr="00EA447C">
              <w:rPr>
                <w:b/>
                <w:bCs/>
                <w:sz w:val="24"/>
                <w:szCs w:val="24"/>
              </w:rPr>
              <w:t>Reporting Requirements per Section 5</w:t>
            </w:r>
          </w:p>
        </w:tc>
      </w:tr>
      <w:tr w:rsidRPr="00EA447C" w:rsidR="006B695C" w:rsidTr="00551DD2" w14:paraId="0A75EEFF" w14:textId="77777777">
        <w:trPr>
          <w:tblHeader/>
        </w:trPr>
        <w:tc>
          <w:tcPr>
            <w:tcW w:w="767" w:type="dxa"/>
          </w:tcPr>
          <w:p w:rsidRPr="00EA447C" w:rsidR="006B695C" w:rsidP="00CD39BA" w:rsidRDefault="006B695C" w14:paraId="673DB373" w14:textId="7EFF14A4">
            <w:pPr>
              <w:keepNext/>
              <w:spacing w:line="240" w:lineRule="auto"/>
              <w:ind w:firstLine="0"/>
              <w:jc w:val="center"/>
              <w:rPr>
                <w:b/>
                <w:bCs/>
                <w:sz w:val="24"/>
                <w:szCs w:val="24"/>
              </w:rPr>
            </w:pPr>
            <w:r w:rsidRPr="00EA447C">
              <w:rPr>
                <w:b/>
                <w:bCs/>
                <w:sz w:val="24"/>
                <w:szCs w:val="24"/>
              </w:rPr>
              <w:t>Row#</w:t>
            </w:r>
          </w:p>
        </w:tc>
        <w:tc>
          <w:tcPr>
            <w:tcW w:w="1911" w:type="dxa"/>
          </w:tcPr>
          <w:p w:rsidRPr="00EA447C" w:rsidR="006B695C" w:rsidP="00CD39BA" w:rsidRDefault="006B695C" w14:paraId="22DD21F6" w14:textId="3DE3CD09">
            <w:pPr>
              <w:keepNext/>
              <w:spacing w:line="240" w:lineRule="auto"/>
              <w:ind w:firstLine="0"/>
              <w:jc w:val="center"/>
              <w:rPr>
                <w:b/>
                <w:bCs/>
                <w:sz w:val="24"/>
                <w:szCs w:val="24"/>
              </w:rPr>
            </w:pPr>
            <w:r w:rsidRPr="00EA447C">
              <w:rPr>
                <w:b/>
                <w:bCs/>
                <w:sz w:val="24"/>
                <w:szCs w:val="24"/>
              </w:rPr>
              <w:t>Reporting Requirement</w:t>
            </w:r>
          </w:p>
        </w:tc>
        <w:tc>
          <w:tcPr>
            <w:tcW w:w="1578" w:type="dxa"/>
          </w:tcPr>
          <w:p w:rsidRPr="00EA447C" w:rsidR="006B695C" w:rsidP="00CD39BA" w:rsidRDefault="006B695C" w14:paraId="186C8D2C" w14:textId="77777777">
            <w:pPr>
              <w:keepNext/>
              <w:spacing w:line="240" w:lineRule="auto"/>
              <w:ind w:firstLine="0"/>
              <w:jc w:val="center"/>
              <w:rPr>
                <w:b/>
                <w:bCs/>
                <w:sz w:val="24"/>
                <w:szCs w:val="24"/>
              </w:rPr>
            </w:pPr>
            <w:r w:rsidRPr="00EA447C">
              <w:rPr>
                <w:b/>
                <w:bCs/>
                <w:sz w:val="24"/>
                <w:szCs w:val="24"/>
              </w:rPr>
              <w:t>Entities Responsible</w:t>
            </w:r>
          </w:p>
        </w:tc>
        <w:tc>
          <w:tcPr>
            <w:tcW w:w="1353" w:type="dxa"/>
          </w:tcPr>
          <w:p w:rsidRPr="00EA447C" w:rsidR="006B695C" w:rsidP="00CD39BA" w:rsidRDefault="006B695C" w14:paraId="17708A4F" w14:textId="77777777">
            <w:pPr>
              <w:keepNext/>
              <w:spacing w:line="240" w:lineRule="auto"/>
              <w:ind w:firstLine="0"/>
              <w:jc w:val="center"/>
              <w:rPr>
                <w:b/>
                <w:bCs/>
                <w:sz w:val="24"/>
                <w:szCs w:val="24"/>
              </w:rPr>
            </w:pPr>
            <w:r w:rsidRPr="00EA447C">
              <w:rPr>
                <w:b/>
                <w:bCs/>
                <w:sz w:val="24"/>
                <w:szCs w:val="24"/>
              </w:rPr>
              <w:t>Reporting Deadline</w:t>
            </w:r>
          </w:p>
        </w:tc>
        <w:tc>
          <w:tcPr>
            <w:tcW w:w="3741" w:type="dxa"/>
          </w:tcPr>
          <w:p w:rsidRPr="00EA447C" w:rsidR="006B695C" w:rsidP="00CD39BA" w:rsidRDefault="006B695C" w14:paraId="5376AA73" w14:textId="77777777">
            <w:pPr>
              <w:keepNext/>
              <w:spacing w:line="240" w:lineRule="auto"/>
              <w:ind w:firstLine="0"/>
              <w:jc w:val="center"/>
              <w:rPr>
                <w:b/>
                <w:bCs/>
                <w:sz w:val="24"/>
                <w:szCs w:val="24"/>
              </w:rPr>
            </w:pPr>
            <w:r w:rsidRPr="00EA447C">
              <w:rPr>
                <w:b/>
                <w:bCs/>
                <w:sz w:val="24"/>
                <w:szCs w:val="24"/>
              </w:rPr>
              <w:t>Reporting Format</w:t>
            </w:r>
          </w:p>
        </w:tc>
      </w:tr>
      <w:tr w:rsidRPr="00EA447C" w:rsidR="006B695C" w:rsidTr="00551DD2" w14:paraId="5EE5A6DD" w14:textId="77777777">
        <w:tc>
          <w:tcPr>
            <w:tcW w:w="767" w:type="dxa"/>
          </w:tcPr>
          <w:p w:rsidRPr="00EA447C" w:rsidR="006B695C" w:rsidDel="00F70429" w:rsidP="00CD39BA" w:rsidRDefault="006B695C" w14:paraId="74FF87B7" w14:textId="57E0EBFC">
            <w:pPr>
              <w:spacing w:line="240" w:lineRule="auto"/>
              <w:ind w:firstLine="0"/>
              <w:rPr>
                <w:sz w:val="24"/>
                <w:szCs w:val="24"/>
              </w:rPr>
            </w:pPr>
            <w:r w:rsidRPr="00EA447C">
              <w:rPr>
                <w:sz w:val="24"/>
                <w:szCs w:val="24"/>
              </w:rPr>
              <w:t>1</w:t>
            </w:r>
          </w:p>
        </w:tc>
        <w:tc>
          <w:tcPr>
            <w:tcW w:w="1911" w:type="dxa"/>
          </w:tcPr>
          <w:p w:rsidRPr="00EA447C" w:rsidR="006B695C" w:rsidP="006B21AD" w:rsidRDefault="006B695C" w14:paraId="695E71B8" w14:textId="3B9F6DBA">
            <w:pPr>
              <w:spacing w:line="240" w:lineRule="auto"/>
              <w:ind w:firstLine="0"/>
              <w:rPr>
                <w:sz w:val="24"/>
                <w:szCs w:val="24"/>
              </w:rPr>
            </w:pPr>
            <w:r w:rsidRPr="00EA447C">
              <w:rPr>
                <w:sz w:val="24"/>
                <w:szCs w:val="24"/>
              </w:rPr>
              <w:t>Final device/technology evaluation report, when a utility (1) terminates the evaluation process for an isolating or non-isolating device or technology without approving the device or technology for deployment, or (2) when a product has been in the evaluation process for more than six months and both the utility and the supplier have agreed that progress toward completing the evaluation has ceased.</w:t>
            </w:r>
          </w:p>
        </w:tc>
        <w:tc>
          <w:tcPr>
            <w:tcW w:w="1578" w:type="dxa"/>
          </w:tcPr>
          <w:p w:rsidRPr="00EA447C" w:rsidR="006B695C" w:rsidP="00CD39BA" w:rsidRDefault="006B695C" w14:paraId="673D8BD0" w14:textId="5B201686">
            <w:pPr>
              <w:spacing w:line="240" w:lineRule="auto"/>
              <w:ind w:firstLine="0"/>
              <w:rPr>
                <w:sz w:val="24"/>
                <w:szCs w:val="24"/>
              </w:rPr>
            </w:pPr>
            <w:r w:rsidRPr="00EA447C">
              <w:rPr>
                <w:sz w:val="24"/>
                <w:szCs w:val="24"/>
              </w:rPr>
              <w:t>PG&amp;E, SCE, and SDG&amp;E</w:t>
            </w:r>
          </w:p>
        </w:tc>
        <w:tc>
          <w:tcPr>
            <w:tcW w:w="1353" w:type="dxa"/>
          </w:tcPr>
          <w:p w:rsidRPr="00EA447C" w:rsidR="006B695C" w:rsidP="00CD39BA" w:rsidRDefault="006B695C" w14:paraId="3F29A0F3" w14:textId="7F5C01AD">
            <w:pPr>
              <w:spacing w:line="240" w:lineRule="auto"/>
              <w:ind w:firstLine="0"/>
              <w:rPr>
                <w:sz w:val="24"/>
                <w:szCs w:val="24"/>
              </w:rPr>
            </w:pPr>
          </w:p>
        </w:tc>
        <w:tc>
          <w:tcPr>
            <w:tcW w:w="3741" w:type="dxa"/>
          </w:tcPr>
          <w:p w:rsidRPr="00EA447C" w:rsidR="006B695C" w:rsidP="00334D43" w:rsidRDefault="006B695C" w14:paraId="3E4B6A1C" w14:textId="68BCB917">
            <w:pPr>
              <w:spacing w:line="240" w:lineRule="auto"/>
              <w:ind w:firstLine="0"/>
            </w:pPr>
          </w:p>
          <w:p w:rsidRPr="00EA447C" w:rsidR="006B695C" w:rsidP="00334D43" w:rsidRDefault="006B695C" w14:paraId="7ED22516" w14:textId="7C6E3646">
            <w:pPr>
              <w:spacing w:line="240" w:lineRule="auto"/>
              <w:ind w:firstLine="0"/>
              <w:rPr>
                <w:sz w:val="24"/>
                <w:szCs w:val="24"/>
              </w:rPr>
            </w:pPr>
            <w:r w:rsidRPr="00EA447C">
              <w:rPr>
                <w:sz w:val="24"/>
                <w:szCs w:val="24"/>
              </w:rPr>
              <w:t xml:space="preserve">Informational report filed to docket card and service lists of R.19-01-011 and R.19-09-009, and sent to Energy Division Staff at </w:t>
            </w:r>
            <w:hyperlink w:history="1" r:id="rId11">
              <w:r w:rsidRPr="00EA447C" w:rsidR="00F3509E">
                <w:rPr>
                  <w:rStyle w:val="Hyperlink"/>
                  <w:sz w:val="24"/>
                  <w:szCs w:val="24"/>
                </w:rPr>
                <w:t>energydivisioncentralfiles@cpuc.ca.gov</w:t>
              </w:r>
            </w:hyperlink>
            <w:r w:rsidRPr="00EA447C">
              <w:rPr>
                <w:sz w:val="24"/>
                <w:szCs w:val="24"/>
              </w:rPr>
              <w:t xml:space="preserve"> and </w:t>
            </w:r>
            <w:hyperlink w:history="1" r:id="rId12">
              <w:r w:rsidRPr="00EA447C" w:rsidR="00F3509E">
                <w:rPr>
                  <w:rStyle w:val="Hyperlink"/>
                  <w:sz w:val="24"/>
                  <w:szCs w:val="24"/>
                </w:rPr>
                <w:t>buildingdecarb@cpuc.ca.gov</w:t>
              </w:r>
            </w:hyperlink>
          </w:p>
        </w:tc>
      </w:tr>
      <w:tr w:rsidRPr="00EA447C" w:rsidR="006B695C" w:rsidTr="00551DD2" w14:paraId="57DEC3D7" w14:textId="77777777">
        <w:tc>
          <w:tcPr>
            <w:tcW w:w="767" w:type="dxa"/>
          </w:tcPr>
          <w:p w:rsidRPr="00EA447C" w:rsidR="006B695C" w:rsidP="00FB4EDA" w:rsidRDefault="00422D6A" w14:paraId="1B1B19C4" w14:textId="5C4899D1">
            <w:pPr>
              <w:spacing w:line="240" w:lineRule="auto"/>
              <w:ind w:firstLine="0"/>
              <w:rPr>
                <w:sz w:val="24"/>
                <w:szCs w:val="24"/>
              </w:rPr>
            </w:pPr>
            <w:r w:rsidRPr="00EA447C">
              <w:rPr>
                <w:sz w:val="24"/>
                <w:szCs w:val="24"/>
              </w:rPr>
              <w:lastRenderedPageBreak/>
              <w:t>2</w:t>
            </w:r>
          </w:p>
        </w:tc>
        <w:tc>
          <w:tcPr>
            <w:tcW w:w="1911" w:type="dxa"/>
            <w:shd w:val="clear" w:color="auto" w:fill="auto"/>
          </w:tcPr>
          <w:p w:rsidRPr="00EA447C" w:rsidR="006B695C" w:rsidP="00FB4EDA" w:rsidRDefault="006B695C" w14:paraId="17DAA659" w14:textId="482DAB8D">
            <w:pPr>
              <w:spacing w:line="240" w:lineRule="auto"/>
              <w:ind w:firstLine="0"/>
              <w:rPr>
                <w:sz w:val="24"/>
                <w:szCs w:val="24"/>
              </w:rPr>
            </w:pPr>
            <w:r w:rsidRPr="00EA447C">
              <w:rPr>
                <w:sz w:val="24"/>
                <w:szCs w:val="24"/>
              </w:rPr>
              <w:t>Notification that a device or technology has received approval for deployment, or a change in approval status, and that the utility has updated their website to include this newly approved device and change in approval status.</w:t>
            </w:r>
          </w:p>
        </w:tc>
        <w:tc>
          <w:tcPr>
            <w:tcW w:w="1578" w:type="dxa"/>
            <w:shd w:val="clear" w:color="auto" w:fill="auto"/>
          </w:tcPr>
          <w:p w:rsidRPr="00EA447C" w:rsidR="006B695C" w:rsidP="00FB4EDA" w:rsidRDefault="006B695C" w14:paraId="3A2C72DC" w14:textId="4F40A3FF">
            <w:pPr>
              <w:spacing w:line="240" w:lineRule="auto"/>
              <w:ind w:firstLine="0"/>
              <w:rPr>
                <w:sz w:val="24"/>
                <w:szCs w:val="24"/>
              </w:rPr>
            </w:pPr>
            <w:r w:rsidRPr="00EA447C">
              <w:rPr>
                <w:sz w:val="24"/>
                <w:szCs w:val="24"/>
              </w:rPr>
              <w:t>PG&amp;E, SCE, and SDG&amp;E</w:t>
            </w:r>
          </w:p>
        </w:tc>
        <w:tc>
          <w:tcPr>
            <w:tcW w:w="1353" w:type="dxa"/>
            <w:shd w:val="clear" w:color="auto" w:fill="auto"/>
          </w:tcPr>
          <w:p w:rsidRPr="00EA447C" w:rsidR="006B695C" w:rsidP="00FB4EDA" w:rsidRDefault="006B695C" w14:paraId="563F232F" w14:textId="44582961">
            <w:pPr>
              <w:spacing w:line="240" w:lineRule="auto"/>
              <w:ind w:firstLine="0"/>
              <w:rPr>
                <w:sz w:val="24"/>
                <w:szCs w:val="24"/>
              </w:rPr>
            </w:pPr>
            <w:r w:rsidRPr="00EA447C">
              <w:rPr>
                <w:sz w:val="24"/>
                <w:szCs w:val="24"/>
              </w:rPr>
              <w:t>Within 10 business days of the device or technology approval</w:t>
            </w:r>
          </w:p>
        </w:tc>
        <w:tc>
          <w:tcPr>
            <w:tcW w:w="3741" w:type="dxa"/>
            <w:shd w:val="clear" w:color="auto" w:fill="auto"/>
          </w:tcPr>
          <w:p w:rsidRPr="00EA447C" w:rsidR="006B695C" w:rsidP="00FB4EDA" w:rsidRDefault="006B695C" w14:paraId="4F35A3EE" w14:textId="053843E3">
            <w:pPr>
              <w:spacing w:line="240" w:lineRule="auto"/>
              <w:ind w:firstLine="0"/>
              <w:rPr>
                <w:sz w:val="24"/>
                <w:szCs w:val="24"/>
              </w:rPr>
            </w:pPr>
            <w:r w:rsidRPr="00EA447C">
              <w:rPr>
                <w:sz w:val="24"/>
                <w:szCs w:val="24"/>
              </w:rPr>
              <w:t xml:space="preserve">Send to Energy Division at </w:t>
            </w:r>
            <w:hyperlink w:history="1" r:id="rId13">
              <w:r w:rsidRPr="00EA447C" w:rsidR="00BA72F6">
                <w:rPr>
                  <w:rStyle w:val="Hyperlink"/>
                  <w:sz w:val="24"/>
                  <w:szCs w:val="24"/>
                </w:rPr>
                <w:t>energydivisioncentralfiles@cpuc.ca.gov</w:t>
              </w:r>
            </w:hyperlink>
            <w:r w:rsidRPr="00EA447C" w:rsidR="00BA72F6">
              <w:rPr>
                <w:sz w:val="24"/>
                <w:szCs w:val="24"/>
              </w:rPr>
              <w:t xml:space="preserve"> </w:t>
            </w:r>
            <w:r w:rsidRPr="00EA447C">
              <w:rPr>
                <w:sz w:val="24"/>
                <w:szCs w:val="24"/>
              </w:rPr>
              <w:t xml:space="preserve">and </w:t>
            </w:r>
            <w:hyperlink w:history="1" r:id="rId14">
              <w:r w:rsidRPr="00EA447C" w:rsidR="00BA72F6">
                <w:rPr>
                  <w:rStyle w:val="Hyperlink"/>
                  <w:sz w:val="24"/>
                  <w:szCs w:val="24"/>
                </w:rPr>
                <w:t>buildingdecarb@cpuc.ca.gov</w:t>
              </w:r>
            </w:hyperlink>
          </w:p>
        </w:tc>
      </w:tr>
      <w:tr w:rsidRPr="00EA447C" w:rsidR="006B695C" w:rsidTr="00551DD2" w14:paraId="4E89E804" w14:textId="77777777">
        <w:tc>
          <w:tcPr>
            <w:tcW w:w="767" w:type="dxa"/>
          </w:tcPr>
          <w:p w:rsidRPr="00EA447C" w:rsidR="006B695C" w:rsidP="00FB4EDA" w:rsidRDefault="00422D6A" w14:paraId="58708827" w14:textId="599F1505">
            <w:pPr>
              <w:spacing w:line="240" w:lineRule="auto"/>
              <w:ind w:firstLine="0"/>
              <w:rPr>
                <w:sz w:val="24"/>
                <w:szCs w:val="24"/>
              </w:rPr>
            </w:pPr>
            <w:r w:rsidRPr="00EA447C">
              <w:rPr>
                <w:sz w:val="24"/>
                <w:szCs w:val="24"/>
              </w:rPr>
              <w:t>3</w:t>
            </w:r>
          </w:p>
        </w:tc>
        <w:tc>
          <w:tcPr>
            <w:tcW w:w="1911" w:type="dxa"/>
            <w:shd w:val="clear" w:color="auto" w:fill="auto"/>
          </w:tcPr>
          <w:p w:rsidRPr="00EA447C" w:rsidR="006B695C" w:rsidP="00FB4EDA" w:rsidRDefault="006B695C" w14:paraId="53DCAA7C" w14:textId="380FFD2D">
            <w:pPr>
              <w:spacing w:line="240" w:lineRule="auto"/>
              <w:ind w:firstLine="0"/>
              <w:rPr>
                <w:sz w:val="24"/>
                <w:szCs w:val="24"/>
              </w:rPr>
            </w:pPr>
            <w:r w:rsidRPr="00EA447C">
              <w:rPr>
                <w:sz w:val="24"/>
                <w:szCs w:val="24"/>
              </w:rPr>
              <w:t>Timelines for meter socket adapter installations (see below for specific reporting criteria)</w:t>
            </w:r>
          </w:p>
        </w:tc>
        <w:tc>
          <w:tcPr>
            <w:tcW w:w="1578" w:type="dxa"/>
            <w:shd w:val="clear" w:color="auto" w:fill="auto"/>
          </w:tcPr>
          <w:p w:rsidRPr="00EA447C" w:rsidR="006B695C" w:rsidP="00FB4EDA" w:rsidRDefault="006B695C" w14:paraId="53853947" w14:textId="5391F041">
            <w:pPr>
              <w:spacing w:line="240" w:lineRule="auto"/>
              <w:ind w:firstLine="0"/>
              <w:rPr>
                <w:sz w:val="24"/>
                <w:szCs w:val="24"/>
              </w:rPr>
            </w:pPr>
            <w:r w:rsidRPr="00EA447C">
              <w:rPr>
                <w:sz w:val="24"/>
                <w:szCs w:val="24"/>
              </w:rPr>
              <w:t>PGE, SCE, and SDG&amp;E</w:t>
            </w:r>
          </w:p>
        </w:tc>
        <w:tc>
          <w:tcPr>
            <w:tcW w:w="1353" w:type="dxa"/>
            <w:shd w:val="clear" w:color="auto" w:fill="auto"/>
          </w:tcPr>
          <w:p w:rsidRPr="00EA447C" w:rsidR="006B695C" w:rsidP="00FB4EDA" w:rsidRDefault="006B695C" w14:paraId="38F3431E" w14:textId="20BAD3BE">
            <w:pPr>
              <w:spacing w:line="240" w:lineRule="auto"/>
              <w:ind w:firstLine="0"/>
              <w:rPr>
                <w:sz w:val="24"/>
                <w:szCs w:val="24"/>
              </w:rPr>
            </w:pPr>
            <w:r w:rsidRPr="00EA447C">
              <w:rPr>
                <w:sz w:val="24"/>
                <w:szCs w:val="24"/>
              </w:rPr>
              <w:t xml:space="preserve">Annually, beginning April 15, 2026, reporting on the previous year’s installations. </w:t>
            </w:r>
          </w:p>
        </w:tc>
        <w:tc>
          <w:tcPr>
            <w:tcW w:w="3741" w:type="dxa"/>
            <w:shd w:val="clear" w:color="auto" w:fill="auto"/>
          </w:tcPr>
          <w:p w:rsidRPr="00EA447C" w:rsidR="006B695C" w:rsidP="00FB4EDA" w:rsidRDefault="006B695C" w14:paraId="6762A612" w14:textId="3A59E99B">
            <w:pPr>
              <w:spacing w:line="240" w:lineRule="auto"/>
              <w:ind w:firstLine="0"/>
              <w:rPr>
                <w:sz w:val="24"/>
                <w:szCs w:val="24"/>
              </w:rPr>
            </w:pPr>
            <w:r w:rsidRPr="00EA447C">
              <w:rPr>
                <w:sz w:val="24"/>
                <w:szCs w:val="24"/>
              </w:rPr>
              <w:t>Tier 1 Advice Letter</w:t>
            </w:r>
          </w:p>
        </w:tc>
      </w:tr>
      <w:tr w:rsidRPr="00EA447C" w:rsidR="006B695C" w:rsidTr="00551DD2" w14:paraId="6DF2F209" w14:textId="77777777">
        <w:tc>
          <w:tcPr>
            <w:tcW w:w="767" w:type="dxa"/>
          </w:tcPr>
          <w:p w:rsidRPr="00EA447C" w:rsidR="006B695C" w:rsidP="00CD39BA" w:rsidRDefault="00422D6A" w14:paraId="3E9C13F2" w14:textId="06F7E940">
            <w:pPr>
              <w:spacing w:line="240" w:lineRule="auto"/>
              <w:ind w:firstLine="0"/>
              <w:rPr>
                <w:sz w:val="24"/>
                <w:szCs w:val="24"/>
              </w:rPr>
            </w:pPr>
            <w:r w:rsidRPr="00EA447C">
              <w:rPr>
                <w:sz w:val="24"/>
                <w:szCs w:val="24"/>
              </w:rPr>
              <w:t>4</w:t>
            </w:r>
          </w:p>
        </w:tc>
        <w:tc>
          <w:tcPr>
            <w:tcW w:w="1911" w:type="dxa"/>
          </w:tcPr>
          <w:p w:rsidRPr="00EA447C" w:rsidR="006B695C" w:rsidP="00CD39BA" w:rsidRDefault="006B695C" w14:paraId="3E009594" w14:textId="6296648B">
            <w:pPr>
              <w:spacing w:line="240" w:lineRule="auto"/>
              <w:ind w:firstLine="0"/>
              <w:rPr>
                <w:sz w:val="24"/>
                <w:szCs w:val="24"/>
              </w:rPr>
            </w:pPr>
            <w:r w:rsidRPr="00EA447C">
              <w:rPr>
                <w:sz w:val="24"/>
                <w:szCs w:val="24"/>
              </w:rPr>
              <w:t>Response to the questions posed in Section 5.2.3 about peak demand data.</w:t>
            </w:r>
          </w:p>
        </w:tc>
        <w:tc>
          <w:tcPr>
            <w:tcW w:w="1578" w:type="dxa"/>
          </w:tcPr>
          <w:p w:rsidRPr="00EA447C" w:rsidR="006B695C" w:rsidP="00CD39BA" w:rsidRDefault="006B695C" w14:paraId="37771E0A" w14:textId="5A91002E">
            <w:pPr>
              <w:spacing w:line="240" w:lineRule="auto"/>
              <w:ind w:firstLine="0"/>
              <w:rPr>
                <w:sz w:val="24"/>
                <w:szCs w:val="24"/>
              </w:rPr>
            </w:pPr>
            <w:r w:rsidRPr="00EA447C">
              <w:rPr>
                <w:sz w:val="24"/>
                <w:szCs w:val="24"/>
              </w:rPr>
              <w:t>All electric utilities</w:t>
            </w:r>
          </w:p>
        </w:tc>
        <w:tc>
          <w:tcPr>
            <w:tcW w:w="1353" w:type="dxa"/>
          </w:tcPr>
          <w:p w:rsidRPr="00EA447C" w:rsidR="006B695C" w:rsidP="00CD39BA" w:rsidRDefault="006B695C" w14:paraId="6FC84636" w14:textId="07C0BEB4">
            <w:pPr>
              <w:spacing w:line="240" w:lineRule="auto"/>
              <w:ind w:firstLine="0"/>
              <w:rPr>
                <w:sz w:val="24"/>
                <w:szCs w:val="24"/>
              </w:rPr>
            </w:pPr>
            <w:r w:rsidRPr="00EA447C">
              <w:rPr>
                <w:sz w:val="24"/>
                <w:szCs w:val="24"/>
              </w:rPr>
              <w:t>Within 90 days of the issuance of this decision</w:t>
            </w:r>
          </w:p>
        </w:tc>
        <w:tc>
          <w:tcPr>
            <w:tcW w:w="3741" w:type="dxa"/>
          </w:tcPr>
          <w:p w:rsidRPr="00EA447C" w:rsidR="006B695C" w:rsidP="00CD39BA" w:rsidRDefault="006B695C" w14:paraId="713A8AFD" w14:textId="77777777">
            <w:pPr>
              <w:spacing w:line="240" w:lineRule="auto"/>
              <w:ind w:firstLine="0"/>
              <w:rPr>
                <w:sz w:val="24"/>
                <w:szCs w:val="24"/>
              </w:rPr>
            </w:pPr>
            <w:r w:rsidRPr="00EA447C">
              <w:rPr>
                <w:sz w:val="24"/>
                <w:szCs w:val="24"/>
              </w:rPr>
              <w:t>Tier 1 Advice Letter</w:t>
            </w:r>
          </w:p>
        </w:tc>
      </w:tr>
    </w:tbl>
    <w:p w:rsidRPr="00EA447C" w:rsidR="000F29B9" w:rsidP="000F29B9" w:rsidRDefault="000F29B9" w14:paraId="1C3C334A" w14:textId="77777777">
      <w:pPr>
        <w:spacing w:line="240" w:lineRule="auto"/>
        <w:ind w:firstLine="0"/>
        <w:rPr>
          <w:b/>
          <w:bCs/>
        </w:rPr>
      </w:pPr>
    </w:p>
    <w:p w:rsidRPr="00EA447C" w:rsidR="000F29B9" w:rsidP="000F29B9" w:rsidRDefault="000F29B9" w14:paraId="27D6635E" w14:textId="0860B8A4">
      <w:pPr>
        <w:spacing w:line="240" w:lineRule="auto"/>
        <w:ind w:firstLine="0"/>
        <w:rPr>
          <w:sz w:val="24"/>
          <w:szCs w:val="24"/>
        </w:rPr>
      </w:pPr>
      <w:r w:rsidRPr="00EA447C">
        <w:rPr>
          <w:sz w:val="24"/>
          <w:szCs w:val="24"/>
        </w:rPr>
        <w:t>The following information is added to Resolution E-5105 reporting requirements, all of which shall be submitted via an informational Tier 1 Advice Letter by April</w:t>
      </w:r>
      <w:r w:rsidRPr="00EA447C" w:rsidR="00CD39BA">
        <w:rPr>
          <w:sz w:val="24"/>
          <w:szCs w:val="24"/>
        </w:rPr>
        <w:t> </w:t>
      </w:r>
      <w:r w:rsidRPr="00EA447C">
        <w:rPr>
          <w:sz w:val="24"/>
          <w:szCs w:val="24"/>
        </w:rPr>
        <w:t xml:space="preserve">15, 2026, </w:t>
      </w:r>
      <w:r w:rsidRPr="00EA447C">
        <w:rPr>
          <w:sz w:val="24"/>
          <w:szCs w:val="24"/>
        </w:rPr>
        <w:lastRenderedPageBreak/>
        <w:t xml:space="preserve">and annually each April 15 thereafter. </w:t>
      </w:r>
      <w:r w:rsidRPr="00EA447C" w:rsidR="00486D88">
        <w:rPr>
          <w:sz w:val="24"/>
          <w:szCs w:val="24"/>
        </w:rPr>
        <w:t>For applications receiving common facility cost treatment, t</w:t>
      </w:r>
      <w:r w:rsidRPr="00EA447C">
        <w:rPr>
          <w:sz w:val="24"/>
          <w:szCs w:val="24"/>
        </w:rPr>
        <w:t xml:space="preserve">his reporting requirement shall automatically sunset after the last report following exhaustion of the authorized funds for service line upsizing. </w:t>
      </w:r>
      <w:r w:rsidRPr="00EA447C" w:rsidR="000660C3">
        <w:rPr>
          <w:sz w:val="24"/>
          <w:szCs w:val="24"/>
        </w:rPr>
        <w:t xml:space="preserve">However, this reporting requirement shall continue for all other new service line installations and existing service line upsizing or replacement projects. </w:t>
      </w:r>
      <w:r w:rsidRPr="00EA447C">
        <w:rPr>
          <w:sz w:val="24"/>
          <w:szCs w:val="24"/>
        </w:rPr>
        <w:t xml:space="preserve">Electric utilities may request a copy of the </w:t>
      </w:r>
      <w:r w:rsidRPr="00EA447C" w:rsidR="008E237B">
        <w:rPr>
          <w:sz w:val="24"/>
          <w:szCs w:val="24"/>
        </w:rPr>
        <w:t>reporting requirement below</w:t>
      </w:r>
      <w:r w:rsidRPr="00EA447C">
        <w:rPr>
          <w:sz w:val="24"/>
          <w:szCs w:val="24"/>
        </w:rPr>
        <w:t xml:space="preserve"> in csv format from Energy Division staff</w:t>
      </w:r>
      <w:r w:rsidRPr="00EA447C" w:rsidR="00377174">
        <w:rPr>
          <w:sz w:val="24"/>
          <w:szCs w:val="24"/>
        </w:rPr>
        <w:t>.</w:t>
      </w:r>
    </w:p>
    <w:p w:rsidRPr="00EA447C" w:rsidR="00996C59" w:rsidP="000F29B9" w:rsidRDefault="00996C59" w14:paraId="2F96EB07" w14:textId="77777777">
      <w:pPr>
        <w:spacing w:line="240" w:lineRule="auto"/>
        <w:ind w:firstLine="11"/>
        <w:sectPr w:rsidRPr="00EA447C" w:rsidR="00996C59" w:rsidSect="00CD39BA">
          <w:footerReference w:type="default" r:id="rId15"/>
          <w:pgSz w:w="12240" w:h="15840"/>
          <w:pgMar w:top="1728" w:right="1440" w:bottom="1440" w:left="1440" w:header="720" w:footer="720" w:gutter="0"/>
          <w:pgNumType w:start="1" w:chapStyle="1"/>
          <w:cols w:space="720"/>
          <w:docGrid w:linePitch="360"/>
        </w:sectPr>
      </w:pPr>
    </w:p>
    <w:tbl>
      <w:tblPr>
        <w:tblStyle w:val="TableGrid"/>
        <w:tblW w:w="0" w:type="auto"/>
        <w:tblCellMar>
          <w:top w:w="58" w:type="dxa"/>
          <w:bottom w:w="58" w:type="dxa"/>
        </w:tblCellMar>
        <w:tblLook w:val="04A0" w:firstRow="1" w:lastRow="0" w:firstColumn="1" w:lastColumn="0" w:noHBand="0" w:noVBand="1"/>
      </w:tblPr>
      <w:tblGrid>
        <w:gridCol w:w="2065"/>
        <w:gridCol w:w="2673"/>
        <w:gridCol w:w="4612"/>
      </w:tblGrid>
      <w:tr w:rsidRPr="00EA447C" w:rsidR="000F29B9" w:rsidTr="00CD39BA" w14:paraId="5BE3ABFB" w14:textId="77777777">
        <w:trPr>
          <w:cantSplit/>
          <w:trHeight w:val="382"/>
          <w:tblHeader/>
        </w:trPr>
        <w:tc>
          <w:tcPr>
            <w:tcW w:w="9350" w:type="dxa"/>
            <w:gridSpan w:val="3"/>
          </w:tcPr>
          <w:p w:rsidRPr="00EA447C" w:rsidR="000F29B9" w:rsidP="00CD39BA" w:rsidRDefault="000F29B9" w14:paraId="66AED30E" w14:textId="7BB1F7B3">
            <w:pPr>
              <w:spacing w:line="276" w:lineRule="auto"/>
              <w:ind w:firstLine="11"/>
              <w:jc w:val="center"/>
              <w:rPr>
                <w:b/>
                <w:bCs/>
                <w:sz w:val="24"/>
                <w:szCs w:val="24"/>
              </w:rPr>
            </w:pPr>
            <w:r w:rsidRPr="00EA447C">
              <w:rPr>
                <w:b/>
                <w:bCs/>
                <w:sz w:val="24"/>
                <w:szCs w:val="24"/>
              </w:rPr>
              <w:lastRenderedPageBreak/>
              <w:t>Reporting Requirements per Section 4.</w:t>
            </w:r>
            <w:r w:rsidRPr="00EA447C" w:rsidR="00200802">
              <w:rPr>
                <w:b/>
                <w:bCs/>
                <w:sz w:val="24"/>
                <w:szCs w:val="24"/>
              </w:rPr>
              <w:t>2</w:t>
            </w:r>
            <w:r w:rsidRPr="00EA447C" w:rsidR="00CD39BA">
              <w:rPr>
                <w:b/>
                <w:bCs/>
                <w:sz w:val="24"/>
                <w:szCs w:val="24"/>
              </w:rPr>
              <w:br/>
            </w:r>
          </w:p>
        </w:tc>
      </w:tr>
      <w:tr w:rsidRPr="00EA447C" w:rsidR="000F29B9" w:rsidTr="00CD39BA" w14:paraId="4D49109B" w14:textId="77777777">
        <w:trPr>
          <w:cantSplit/>
          <w:trHeight w:val="40"/>
          <w:tblHeader/>
        </w:trPr>
        <w:tc>
          <w:tcPr>
            <w:tcW w:w="9350" w:type="dxa"/>
            <w:gridSpan w:val="3"/>
          </w:tcPr>
          <w:p w:rsidRPr="00EA447C" w:rsidR="000F29B9" w:rsidP="00CD39BA" w:rsidRDefault="000F29B9" w14:paraId="4849AB9A" w14:textId="2DC9F59D">
            <w:pPr>
              <w:spacing w:line="240" w:lineRule="auto"/>
              <w:ind w:firstLine="11"/>
              <w:rPr>
                <w:sz w:val="24"/>
                <w:szCs w:val="24"/>
              </w:rPr>
            </w:pPr>
            <w:r w:rsidRPr="00EA447C">
              <w:rPr>
                <w:b/>
                <w:bCs/>
                <w:sz w:val="24"/>
                <w:szCs w:val="24"/>
              </w:rPr>
              <w:t>Instructions and Definitions:</w:t>
            </w:r>
          </w:p>
        </w:tc>
      </w:tr>
      <w:tr w:rsidRPr="00EA447C" w:rsidR="000F29B9" w:rsidTr="00CD39BA" w14:paraId="08767DDF" w14:textId="77777777">
        <w:trPr>
          <w:cantSplit/>
          <w:trHeight w:val="2700"/>
        </w:trPr>
        <w:tc>
          <w:tcPr>
            <w:tcW w:w="2065" w:type="dxa"/>
            <w:hideMark/>
          </w:tcPr>
          <w:p w:rsidRPr="00EA447C" w:rsidR="000F29B9" w:rsidP="00CD39BA" w:rsidRDefault="000F29B9" w14:paraId="070EE619" w14:textId="77777777">
            <w:pPr>
              <w:spacing w:line="240" w:lineRule="auto"/>
              <w:ind w:firstLine="0"/>
              <w:rPr>
                <w:b/>
                <w:bCs/>
                <w:sz w:val="24"/>
                <w:szCs w:val="24"/>
              </w:rPr>
            </w:pPr>
            <w:r w:rsidRPr="00EA447C">
              <w:rPr>
                <w:b/>
                <w:bCs/>
                <w:sz w:val="24"/>
                <w:szCs w:val="24"/>
              </w:rPr>
              <w:t>General Notes</w:t>
            </w:r>
          </w:p>
        </w:tc>
        <w:tc>
          <w:tcPr>
            <w:tcW w:w="7285" w:type="dxa"/>
            <w:gridSpan w:val="2"/>
            <w:hideMark/>
          </w:tcPr>
          <w:p w:rsidRPr="00EA447C" w:rsidR="000F29B9" w:rsidP="00CD39BA" w:rsidRDefault="000F29B9" w14:paraId="2E997B37" w14:textId="6DB8F994">
            <w:pPr>
              <w:spacing w:line="240" w:lineRule="auto"/>
              <w:ind w:firstLine="11"/>
              <w:rPr>
                <w:sz w:val="24"/>
                <w:szCs w:val="24"/>
              </w:rPr>
            </w:pPr>
            <w:r w:rsidRPr="00EA447C">
              <w:rPr>
                <w:sz w:val="24"/>
                <w:szCs w:val="24"/>
              </w:rPr>
              <w:t xml:space="preserve">The </w:t>
            </w:r>
            <w:r w:rsidRPr="00EA447C" w:rsidR="000660C3">
              <w:rPr>
                <w:sz w:val="24"/>
                <w:szCs w:val="24"/>
              </w:rPr>
              <w:t xml:space="preserve">data </w:t>
            </w:r>
            <w:r w:rsidRPr="00EA447C">
              <w:rPr>
                <w:sz w:val="24"/>
                <w:szCs w:val="24"/>
              </w:rPr>
              <w:t>required in this spreadsheet shall be included with the reporting requirements established under Resolution E-5105 of the same proceeding</w:t>
            </w:r>
            <w:r w:rsidRPr="00EA447C" w:rsidR="00702F6A">
              <w:rPr>
                <w:sz w:val="24"/>
                <w:szCs w:val="24"/>
              </w:rPr>
              <w:t>, and shall be reported by all electric IOUs, including SMJUs</w:t>
            </w:r>
            <w:r w:rsidRPr="00EA447C">
              <w:rPr>
                <w:sz w:val="24"/>
                <w:szCs w:val="24"/>
              </w:rPr>
              <w:t xml:space="preserve">. </w:t>
            </w:r>
            <w:r w:rsidRPr="00EA447C" w:rsidR="00F6323A">
              <w:rPr>
                <w:sz w:val="24"/>
                <w:szCs w:val="24"/>
              </w:rPr>
              <w:t>R</w:t>
            </w:r>
            <w:r w:rsidRPr="00EA447C" w:rsidR="009C4B97">
              <w:rPr>
                <w:sz w:val="24"/>
                <w:szCs w:val="24"/>
              </w:rPr>
              <w:t xml:space="preserve">eporting fields related to common facility cost treatment </w:t>
            </w:r>
            <w:r w:rsidRPr="00EA447C" w:rsidR="00CA0ADA">
              <w:rPr>
                <w:sz w:val="24"/>
                <w:szCs w:val="24"/>
              </w:rPr>
              <w:t xml:space="preserve">are only applicable to large electric IOUs, and </w:t>
            </w:r>
            <w:r w:rsidRPr="00EA447C">
              <w:rPr>
                <w:sz w:val="24"/>
                <w:szCs w:val="24"/>
              </w:rPr>
              <w:t>shall automatically sunset after the last report following exhaustion of the authorized funds for service line upsizing</w:t>
            </w:r>
            <w:r w:rsidRPr="00EA447C" w:rsidR="008C7B1E">
              <w:rPr>
                <w:sz w:val="24"/>
                <w:szCs w:val="24"/>
              </w:rPr>
              <w:t xml:space="preserve"> or </w:t>
            </w:r>
            <w:r w:rsidRPr="00EA447C" w:rsidR="00DB1409">
              <w:rPr>
                <w:sz w:val="24"/>
                <w:szCs w:val="24"/>
              </w:rPr>
              <w:t>after the fourth report on April 15, 2030, whichever comes first</w:t>
            </w:r>
            <w:r w:rsidRPr="00EA447C">
              <w:rPr>
                <w:sz w:val="24"/>
                <w:szCs w:val="24"/>
              </w:rPr>
              <w:t xml:space="preserve">. </w:t>
            </w:r>
            <w:r w:rsidRPr="00EA447C" w:rsidR="009B7732">
              <w:rPr>
                <w:sz w:val="24"/>
                <w:szCs w:val="24"/>
              </w:rPr>
              <w:t>However, this reporting requirement shall continue for all other new service line installations and existing service line upsizing or replacement projects.</w:t>
            </w:r>
          </w:p>
          <w:p w:rsidRPr="00EA447C" w:rsidR="003F241C" w:rsidP="00CD39BA" w:rsidRDefault="007F0F92" w14:paraId="619E141D" w14:textId="059F964A">
            <w:pPr>
              <w:spacing w:line="240" w:lineRule="auto"/>
              <w:ind w:firstLine="11"/>
              <w:rPr>
                <w:sz w:val="24"/>
                <w:szCs w:val="24"/>
                <w:u w:val="double"/>
              </w:rPr>
            </w:pPr>
            <w:r w:rsidRPr="00EA447C">
              <w:rPr>
                <w:sz w:val="24"/>
                <w:szCs w:val="24"/>
                <w:u w:val="double"/>
              </w:rPr>
              <w:t xml:space="preserve">CPUC attorneys and </w:t>
            </w:r>
            <w:r w:rsidRPr="00EA447C" w:rsidR="009379C1">
              <w:rPr>
                <w:sz w:val="24"/>
                <w:szCs w:val="24"/>
                <w:u w:val="double"/>
              </w:rPr>
              <w:t>Energy Division staff shall be the final authority in determining confidentiality status of any required data, as governed by existing laws and regulations.</w:t>
            </w:r>
          </w:p>
        </w:tc>
      </w:tr>
      <w:tr w:rsidRPr="00EA447C" w:rsidR="000F29B9" w:rsidTr="00CD39BA" w14:paraId="457FB3F9" w14:textId="77777777">
        <w:trPr>
          <w:cantSplit/>
          <w:trHeight w:val="1880"/>
        </w:trPr>
        <w:tc>
          <w:tcPr>
            <w:tcW w:w="2065" w:type="dxa"/>
            <w:hideMark/>
          </w:tcPr>
          <w:p w:rsidRPr="00EA447C" w:rsidR="000F29B9" w:rsidP="00CD39BA" w:rsidRDefault="000F29B9" w14:paraId="44C7859D" w14:textId="77777777">
            <w:pPr>
              <w:spacing w:line="240" w:lineRule="auto"/>
              <w:ind w:firstLine="0"/>
              <w:rPr>
                <w:b/>
                <w:bCs/>
                <w:sz w:val="24"/>
                <w:szCs w:val="24"/>
              </w:rPr>
            </w:pPr>
            <w:r w:rsidRPr="00EA447C">
              <w:rPr>
                <w:b/>
                <w:bCs/>
                <w:sz w:val="24"/>
                <w:szCs w:val="24"/>
              </w:rPr>
              <w:t>Definitions</w:t>
            </w:r>
          </w:p>
        </w:tc>
        <w:tc>
          <w:tcPr>
            <w:tcW w:w="2673" w:type="dxa"/>
            <w:hideMark/>
          </w:tcPr>
          <w:p w:rsidRPr="00EA447C" w:rsidR="000F29B9" w:rsidP="00CD39BA" w:rsidRDefault="000F29B9" w14:paraId="355DBB51" w14:textId="77777777">
            <w:pPr>
              <w:spacing w:line="240" w:lineRule="auto"/>
              <w:ind w:firstLine="11"/>
              <w:rPr>
                <w:sz w:val="24"/>
                <w:szCs w:val="24"/>
              </w:rPr>
            </w:pPr>
            <w:r w:rsidRPr="00EA447C">
              <w:rPr>
                <w:sz w:val="24"/>
                <w:szCs w:val="24"/>
              </w:rPr>
              <w:t>Under-resourced customer</w:t>
            </w:r>
          </w:p>
        </w:tc>
        <w:tc>
          <w:tcPr>
            <w:tcW w:w="4612" w:type="dxa"/>
            <w:hideMark/>
          </w:tcPr>
          <w:p w:rsidRPr="00EA447C" w:rsidR="000F29B9" w:rsidP="00CD39BA" w:rsidRDefault="000F29B9" w14:paraId="67E7DFC0" w14:textId="6C4B830C">
            <w:pPr>
              <w:spacing w:line="240" w:lineRule="auto"/>
              <w:ind w:firstLine="0"/>
              <w:rPr>
                <w:sz w:val="24"/>
                <w:szCs w:val="24"/>
              </w:rPr>
            </w:pPr>
            <w:r w:rsidRPr="00EA447C">
              <w:rPr>
                <w:sz w:val="24"/>
                <w:szCs w:val="24"/>
              </w:rPr>
              <w:t xml:space="preserve">The definition of an under-resourced customer shall be by reference to the program that the customer is participating in, and will thus differ from program to program. If a customer is a participant of any under-resourced, low income, or equity-based program, or combination of programs, </w:t>
            </w:r>
            <w:proofErr w:type="gramStart"/>
            <w:r w:rsidRPr="00EA447C">
              <w:rPr>
                <w:sz w:val="24"/>
                <w:szCs w:val="24"/>
              </w:rPr>
              <w:t>as a result of</w:t>
            </w:r>
            <w:proofErr w:type="gramEnd"/>
            <w:r w:rsidRPr="00EA447C">
              <w:rPr>
                <w:sz w:val="24"/>
                <w:szCs w:val="24"/>
              </w:rPr>
              <w:t xml:space="preserve"> which the customer's premise undergoes full electrification and capping of prior gas service, then that customer shall be considered an under-resourced customer. These programs may include, but are not limited to The Equitable Building Decarbonization program, the HEEHRA program, the TECH Initiative, the ESA program, etc. Please refer to Section 4.</w:t>
            </w:r>
            <w:r w:rsidRPr="00EA447C" w:rsidR="00200802">
              <w:rPr>
                <w:sz w:val="24"/>
                <w:szCs w:val="24"/>
              </w:rPr>
              <w:t xml:space="preserve">2 </w:t>
            </w:r>
            <w:r w:rsidRPr="00EA447C">
              <w:rPr>
                <w:sz w:val="24"/>
                <w:szCs w:val="24"/>
              </w:rPr>
              <w:t xml:space="preserve">of </w:t>
            </w:r>
            <w:r w:rsidRPr="00EA447C" w:rsidR="002F202D">
              <w:rPr>
                <w:sz w:val="24"/>
                <w:szCs w:val="24"/>
              </w:rPr>
              <w:t>today’s d</w:t>
            </w:r>
            <w:r w:rsidRPr="00EA447C">
              <w:rPr>
                <w:sz w:val="24"/>
                <w:szCs w:val="24"/>
              </w:rPr>
              <w:t>ecision for full context.</w:t>
            </w:r>
          </w:p>
        </w:tc>
      </w:tr>
      <w:tr w:rsidRPr="00EA447C" w:rsidR="00D65244" w:rsidTr="00CD39BA" w14:paraId="4C440B1D" w14:textId="77777777">
        <w:trPr>
          <w:cantSplit/>
          <w:trHeight w:val="600"/>
        </w:trPr>
        <w:tc>
          <w:tcPr>
            <w:tcW w:w="2065" w:type="dxa"/>
          </w:tcPr>
          <w:p w:rsidRPr="00EA447C" w:rsidR="00D65244" w:rsidP="00CD39BA" w:rsidRDefault="00D65244" w14:paraId="278F949A" w14:textId="77777777">
            <w:pPr>
              <w:spacing w:line="240" w:lineRule="auto"/>
              <w:ind w:firstLine="0"/>
              <w:rPr>
                <w:sz w:val="24"/>
                <w:szCs w:val="24"/>
              </w:rPr>
            </w:pPr>
          </w:p>
        </w:tc>
        <w:tc>
          <w:tcPr>
            <w:tcW w:w="2673" w:type="dxa"/>
          </w:tcPr>
          <w:p w:rsidRPr="00EA447C" w:rsidR="00D65244" w:rsidP="00CD39BA" w:rsidRDefault="00D65244" w14:paraId="4A4494B6" w14:textId="5E3454D0">
            <w:pPr>
              <w:spacing w:line="240" w:lineRule="auto"/>
              <w:ind w:firstLine="11"/>
              <w:rPr>
                <w:sz w:val="24"/>
                <w:szCs w:val="24"/>
              </w:rPr>
            </w:pPr>
            <w:r w:rsidRPr="00EA447C">
              <w:rPr>
                <w:sz w:val="24"/>
                <w:szCs w:val="24"/>
              </w:rPr>
              <w:t>Program</w:t>
            </w:r>
          </w:p>
        </w:tc>
        <w:tc>
          <w:tcPr>
            <w:tcW w:w="4612" w:type="dxa"/>
          </w:tcPr>
          <w:p w:rsidRPr="00EA447C" w:rsidR="00D65244" w:rsidP="00CD39BA" w:rsidRDefault="00F72D4D" w14:paraId="4409EFDF" w14:textId="64B51BB6">
            <w:pPr>
              <w:spacing w:line="240" w:lineRule="auto"/>
              <w:ind w:firstLine="0"/>
              <w:rPr>
                <w:sz w:val="24"/>
                <w:szCs w:val="24"/>
              </w:rPr>
            </w:pPr>
            <w:r w:rsidRPr="00EA447C">
              <w:rPr>
                <w:sz w:val="24"/>
                <w:szCs w:val="24"/>
              </w:rPr>
              <w:t>A Program means any collective public service initiative including but not limited to those overseen, managed, or led by utilities, Community Choice Aggregators (CCAs), local governments, Regional Energy Networks (RENs), state or federal agencies, non-profit organizations, or community-based organizations, with the general purpose of making a positive impact towards reducing climate change caused from building energy use. These would typically include, but are not limited to, initiatives that support building electrification or fuel substitution, distributed renewable generation and onsite storage, and building electric efficiency. Gas efficiency programs do not qualify as an eligible Program under this definition.</w:t>
            </w:r>
          </w:p>
        </w:tc>
      </w:tr>
      <w:tr w:rsidRPr="00EA447C" w:rsidR="000F29B9" w:rsidTr="00CD39BA" w14:paraId="0015FA96" w14:textId="77777777">
        <w:trPr>
          <w:cantSplit/>
          <w:trHeight w:val="600"/>
        </w:trPr>
        <w:tc>
          <w:tcPr>
            <w:tcW w:w="2065" w:type="dxa"/>
            <w:hideMark/>
          </w:tcPr>
          <w:p w:rsidRPr="00EA447C" w:rsidR="000F29B9" w:rsidP="00CD39BA" w:rsidRDefault="000F29B9" w14:paraId="4F282E86" w14:textId="77777777">
            <w:pPr>
              <w:spacing w:line="240" w:lineRule="auto"/>
              <w:ind w:firstLine="0"/>
              <w:rPr>
                <w:sz w:val="24"/>
                <w:szCs w:val="24"/>
              </w:rPr>
            </w:pPr>
            <w:r w:rsidRPr="00EA447C">
              <w:rPr>
                <w:sz w:val="24"/>
                <w:szCs w:val="24"/>
              </w:rPr>
              <w:t> </w:t>
            </w:r>
          </w:p>
        </w:tc>
        <w:tc>
          <w:tcPr>
            <w:tcW w:w="2673" w:type="dxa"/>
            <w:hideMark/>
          </w:tcPr>
          <w:p w:rsidRPr="00EA447C" w:rsidR="000F29B9" w:rsidP="00CD39BA" w:rsidRDefault="000F29B9" w14:paraId="538DA711" w14:textId="5A48F9A4">
            <w:pPr>
              <w:spacing w:line="240" w:lineRule="auto"/>
              <w:ind w:firstLine="11"/>
              <w:rPr>
                <w:sz w:val="24"/>
                <w:szCs w:val="24"/>
              </w:rPr>
            </w:pPr>
            <w:r w:rsidRPr="00EA447C">
              <w:rPr>
                <w:sz w:val="24"/>
                <w:szCs w:val="24"/>
              </w:rPr>
              <w:t>Multi</w:t>
            </w:r>
            <w:r w:rsidRPr="00EA447C" w:rsidR="00BA72F6">
              <w:rPr>
                <w:sz w:val="24"/>
                <w:szCs w:val="24"/>
              </w:rPr>
              <w:t>-</w:t>
            </w:r>
            <w:r w:rsidRPr="00EA447C">
              <w:rPr>
                <w:sz w:val="24"/>
                <w:szCs w:val="24"/>
              </w:rPr>
              <w:t>family</w:t>
            </w:r>
          </w:p>
        </w:tc>
        <w:tc>
          <w:tcPr>
            <w:tcW w:w="4612" w:type="dxa"/>
            <w:hideMark/>
          </w:tcPr>
          <w:p w:rsidRPr="00EA447C" w:rsidR="000F29B9" w:rsidP="00CD39BA" w:rsidRDefault="000F29B9" w14:paraId="7C4F0F96" w14:textId="77777777">
            <w:pPr>
              <w:spacing w:line="240" w:lineRule="auto"/>
              <w:ind w:firstLine="0"/>
              <w:rPr>
                <w:sz w:val="24"/>
                <w:szCs w:val="24"/>
              </w:rPr>
            </w:pPr>
            <w:r w:rsidRPr="00EA447C">
              <w:rPr>
                <w:sz w:val="24"/>
                <w:szCs w:val="24"/>
              </w:rPr>
              <w:t xml:space="preserve">Any premise </w:t>
            </w:r>
            <w:r w:rsidRPr="00EA447C">
              <w:rPr>
                <w:b/>
                <w:bCs/>
                <w:sz w:val="24"/>
                <w:szCs w:val="24"/>
              </w:rPr>
              <w:t>with two or more</w:t>
            </w:r>
            <w:r w:rsidRPr="00EA447C">
              <w:rPr>
                <w:sz w:val="24"/>
                <w:szCs w:val="24"/>
              </w:rPr>
              <w:t xml:space="preserve"> dwelling units shall be considered multifamily for this reporting</w:t>
            </w:r>
          </w:p>
        </w:tc>
      </w:tr>
      <w:tr w:rsidRPr="00EA447C" w:rsidR="000F29B9" w:rsidTr="00CD39BA" w14:paraId="3D862727" w14:textId="77777777">
        <w:trPr>
          <w:cantSplit/>
          <w:trHeight w:val="600"/>
        </w:trPr>
        <w:tc>
          <w:tcPr>
            <w:tcW w:w="2065" w:type="dxa"/>
            <w:hideMark/>
          </w:tcPr>
          <w:p w:rsidRPr="00EA447C" w:rsidR="000F29B9" w:rsidP="00CD39BA" w:rsidRDefault="000F29B9" w14:paraId="663B012A" w14:textId="77777777">
            <w:pPr>
              <w:spacing w:line="240" w:lineRule="auto"/>
              <w:ind w:firstLine="0"/>
              <w:rPr>
                <w:sz w:val="24"/>
                <w:szCs w:val="24"/>
              </w:rPr>
            </w:pPr>
            <w:r w:rsidRPr="00EA447C">
              <w:rPr>
                <w:sz w:val="24"/>
                <w:szCs w:val="24"/>
              </w:rPr>
              <w:lastRenderedPageBreak/>
              <w:t> </w:t>
            </w:r>
          </w:p>
        </w:tc>
        <w:tc>
          <w:tcPr>
            <w:tcW w:w="2673" w:type="dxa"/>
            <w:hideMark/>
          </w:tcPr>
          <w:p w:rsidRPr="00EA447C" w:rsidR="000F29B9" w:rsidP="00CD39BA" w:rsidRDefault="000F29B9" w14:paraId="00A89CB4" w14:textId="27EF4CEF">
            <w:pPr>
              <w:spacing w:line="240" w:lineRule="auto"/>
              <w:ind w:firstLine="11"/>
              <w:rPr>
                <w:sz w:val="24"/>
                <w:szCs w:val="24"/>
              </w:rPr>
            </w:pPr>
            <w:r w:rsidRPr="00EA447C">
              <w:rPr>
                <w:sz w:val="24"/>
                <w:szCs w:val="24"/>
              </w:rPr>
              <w:t xml:space="preserve">Small </w:t>
            </w:r>
            <w:r w:rsidRPr="00EA447C" w:rsidR="00BA72F6">
              <w:rPr>
                <w:sz w:val="24"/>
                <w:szCs w:val="24"/>
              </w:rPr>
              <w:t>Business</w:t>
            </w:r>
          </w:p>
        </w:tc>
        <w:tc>
          <w:tcPr>
            <w:tcW w:w="4612" w:type="dxa"/>
            <w:hideMark/>
          </w:tcPr>
          <w:p w:rsidRPr="00EA447C" w:rsidR="000F29B9" w:rsidP="002D2FAB" w:rsidRDefault="000F29B9" w14:paraId="67845EDD" w14:textId="2267441E">
            <w:pPr>
              <w:spacing w:line="240" w:lineRule="auto"/>
              <w:ind w:firstLine="0"/>
              <w:rPr>
                <w:sz w:val="24"/>
                <w:szCs w:val="24"/>
              </w:rPr>
            </w:pPr>
          </w:p>
          <w:p w:rsidRPr="00EA447C" w:rsidR="002D2FAB" w:rsidP="00551DD2" w:rsidRDefault="002D2FAB" w14:paraId="5F904A7B" w14:textId="6EACFDD3">
            <w:pPr>
              <w:pStyle w:val="Standard"/>
              <w:spacing w:line="240" w:lineRule="auto"/>
              <w:ind w:firstLine="0"/>
              <w:rPr>
                <w:sz w:val="24"/>
                <w:szCs w:val="24"/>
              </w:rPr>
            </w:pPr>
            <w:r w:rsidRPr="00EA447C">
              <w:rPr>
                <w:sz w:val="24"/>
                <w:szCs w:val="24"/>
              </w:rPr>
              <w:t>A non-residential metered service customer who (1) has an annual electricity usage equal to or less than 40,000 kilowatt-hours (kWh), or whose demand is</w:t>
            </w:r>
            <w:r w:rsidRPr="00EA447C" w:rsidDel="00267613">
              <w:rPr>
                <w:sz w:val="24"/>
                <w:szCs w:val="24"/>
              </w:rPr>
              <w:t xml:space="preserve"> </w:t>
            </w:r>
            <w:r w:rsidRPr="00EA447C">
              <w:rPr>
                <w:sz w:val="24"/>
                <w:szCs w:val="24"/>
              </w:rPr>
              <w:t>equal to or less than 20kW, or (2) is a self-certified “Microbusiness” as per California Government Code Section 14837(d)(2)</w:t>
            </w:r>
            <w:r w:rsidRPr="00EA447C" w:rsidR="00652396">
              <w:rPr>
                <w:sz w:val="24"/>
                <w:szCs w:val="24"/>
              </w:rPr>
              <w:t xml:space="preserve">, which </w:t>
            </w:r>
            <w:r w:rsidRPr="00EA447C" w:rsidR="001F1793">
              <w:rPr>
                <w:sz w:val="24"/>
                <w:szCs w:val="24"/>
              </w:rPr>
              <w:t>defines “Microbusiness” as a small business which, together with affiliates, has average annual gross receipts of five million dollars ($5,000,000) or less over the previous three years, or is a manufacturer, as defined in subdivision (c), with 25 or fewer employees.</w:t>
            </w:r>
          </w:p>
        </w:tc>
      </w:tr>
      <w:tr w:rsidRPr="00EA447C" w:rsidR="000F29B9" w:rsidTr="00CD39BA" w14:paraId="480F0384" w14:textId="77777777">
        <w:trPr>
          <w:cantSplit/>
          <w:trHeight w:val="600"/>
        </w:trPr>
        <w:tc>
          <w:tcPr>
            <w:tcW w:w="2065" w:type="dxa"/>
            <w:hideMark/>
          </w:tcPr>
          <w:p w:rsidRPr="00EA447C" w:rsidR="000F29B9" w:rsidP="00CD39BA" w:rsidRDefault="000F29B9" w14:paraId="5E98D9A2" w14:textId="77777777">
            <w:pPr>
              <w:spacing w:line="240" w:lineRule="auto"/>
              <w:ind w:firstLine="0"/>
              <w:rPr>
                <w:sz w:val="24"/>
                <w:szCs w:val="24"/>
              </w:rPr>
            </w:pPr>
            <w:r w:rsidRPr="00EA447C">
              <w:rPr>
                <w:sz w:val="24"/>
                <w:szCs w:val="24"/>
              </w:rPr>
              <w:t> </w:t>
            </w:r>
          </w:p>
        </w:tc>
        <w:tc>
          <w:tcPr>
            <w:tcW w:w="2673" w:type="dxa"/>
            <w:hideMark/>
          </w:tcPr>
          <w:p w:rsidRPr="00EA447C" w:rsidR="000F29B9" w:rsidP="00CD39BA" w:rsidRDefault="000F29B9" w14:paraId="28E20D38" w14:textId="77777777">
            <w:pPr>
              <w:spacing w:line="240" w:lineRule="auto"/>
              <w:ind w:firstLine="11"/>
              <w:rPr>
                <w:sz w:val="24"/>
                <w:szCs w:val="24"/>
              </w:rPr>
            </w:pPr>
            <w:r w:rsidRPr="00EA447C">
              <w:rPr>
                <w:sz w:val="24"/>
                <w:szCs w:val="24"/>
              </w:rPr>
              <w:t>Service Point Climate Zone</w:t>
            </w:r>
          </w:p>
        </w:tc>
        <w:tc>
          <w:tcPr>
            <w:tcW w:w="4612" w:type="dxa"/>
            <w:hideMark/>
          </w:tcPr>
          <w:p w:rsidRPr="00EA447C" w:rsidR="000F29B9" w:rsidP="00CD39BA" w:rsidRDefault="000F29B9" w14:paraId="0321F05E" w14:textId="77777777">
            <w:pPr>
              <w:spacing w:line="240" w:lineRule="auto"/>
              <w:ind w:firstLine="0"/>
              <w:rPr>
                <w:sz w:val="24"/>
                <w:szCs w:val="24"/>
              </w:rPr>
            </w:pPr>
            <w:r w:rsidRPr="00EA447C">
              <w:rPr>
                <w:sz w:val="24"/>
                <w:szCs w:val="24"/>
              </w:rPr>
              <w:t xml:space="preserve">Use </w:t>
            </w:r>
            <w:r w:rsidRPr="00EA447C">
              <w:rPr>
                <w:b/>
                <w:bCs/>
                <w:sz w:val="24"/>
                <w:szCs w:val="24"/>
              </w:rPr>
              <w:t>CEC Climate Zones</w:t>
            </w:r>
            <w:r w:rsidRPr="00EA447C">
              <w:rPr>
                <w:sz w:val="24"/>
                <w:szCs w:val="24"/>
              </w:rPr>
              <w:t>, same as what was required in Resolution E-5105 reporting</w:t>
            </w:r>
          </w:p>
        </w:tc>
      </w:tr>
      <w:tr w:rsidRPr="00EA447C" w:rsidR="000F29B9" w:rsidTr="00CD39BA" w14:paraId="285D9A78" w14:textId="77777777">
        <w:trPr>
          <w:cantSplit/>
          <w:trHeight w:val="900"/>
        </w:trPr>
        <w:tc>
          <w:tcPr>
            <w:tcW w:w="2065" w:type="dxa"/>
            <w:hideMark/>
          </w:tcPr>
          <w:p w:rsidRPr="00EA447C" w:rsidR="000F29B9" w:rsidP="00CD39BA" w:rsidRDefault="000F29B9" w14:paraId="0306AFBB" w14:textId="77777777">
            <w:pPr>
              <w:spacing w:line="240" w:lineRule="auto"/>
              <w:ind w:firstLine="0"/>
              <w:rPr>
                <w:sz w:val="24"/>
                <w:szCs w:val="24"/>
              </w:rPr>
            </w:pPr>
            <w:r w:rsidRPr="00EA447C">
              <w:rPr>
                <w:sz w:val="24"/>
                <w:szCs w:val="24"/>
              </w:rPr>
              <w:t> </w:t>
            </w:r>
          </w:p>
        </w:tc>
        <w:tc>
          <w:tcPr>
            <w:tcW w:w="2673" w:type="dxa"/>
            <w:hideMark/>
          </w:tcPr>
          <w:p w:rsidRPr="00EA447C" w:rsidR="000F29B9" w:rsidP="00CD39BA" w:rsidRDefault="000F29B9" w14:paraId="32905C12" w14:textId="77777777">
            <w:pPr>
              <w:spacing w:line="240" w:lineRule="auto"/>
              <w:ind w:firstLine="11"/>
              <w:rPr>
                <w:sz w:val="24"/>
                <w:szCs w:val="24"/>
              </w:rPr>
            </w:pPr>
            <w:r w:rsidRPr="00EA447C">
              <w:rPr>
                <w:sz w:val="24"/>
                <w:szCs w:val="24"/>
              </w:rPr>
              <w:t>USPS-standardized Service Address</w:t>
            </w:r>
          </w:p>
        </w:tc>
        <w:tc>
          <w:tcPr>
            <w:tcW w:w="4612" w:type="dxa"/>
            <w:hideMark/>
          </w:tcPr>
          <w:p w:rsidRPr="00EA447C" w:rsidR="000F29B9" w:rsidP="00CD39BA" w:rsidRDefault="000F29B9" w14:paraId="6728EECA" w14:textId="44CA69E8">
            <w:pPr>
              <w:spacing w:line="240" w:lineRule="auto"/>
              <w:ind w:firstLine="0"/>
              <w:rPr>
                <w:sz w:val="24"/>
                <w:szCs w:val="24"/>
              </w:rPr>
            </w:pPr>
            <w:r w:rsidRPr="00EA447C">
              <w:rPr>
                <w:sz w:val="24"/>
                <w:szCs w:val="24"/>
              </w:rPr>
              <w:t xml:space="preserve">An address that has been standardized to United States Postal Service address format. See </w:t>
            </w:r>
            <w:hyperlink w:history="1" r:id="rId16">
              <w:r w:rsidRPr="00EA447C" w:rsidR="009A476A">
                <w:rPr>
                  <w:rStyle w:val="Hyperlink"/>
                  <w:sz w:val="24"/>
                  <w:szCs w:val="24"/>
                </w:rPr>
                <w:t>https://postalpro.usps.com/</w:t>
              </w:r>
            </w:hyperlink>
            <w:r w:rsidRPr="00EA447C" w:rsidR="009A476A">
              <w:rPr>
                <w:sz w:val="24"/>
                <w:szCs w:val="24"/>
              </w:rPr>
              <w:t xml:space="preserve"> </w:t>
            </w:r>
            <w:r w:rsidRPr="00EA447C">
              <w:rPr>
                <w:sz w:val="24"/>
                <w:szCs w:val="24"/>
              </w:rPr>
              <w:t xml:space="preserve">address-quality </w:t>
            </w:r>
          </w:p>
        </w:tc>
      </w:tr>
      <w:tr w:rsidRPr="00EA447C" w:rsidR="000F29B9" w:rsidTr="00CD39BA" w14:paraId="275FF511" w14:textId="77777777">
        <w:trPr>
          <w:cantSplit/>
          <w:trHeight w:val="600"/>
        </w:trPr>
        <w:tc>
          <w:tcPr>
            <w:tcW w:w="2065" w:type="dxa"/>
            <w:hideMark/>
          </w:tcPr>
          <w:p w:rsidRPr="00EA447C" w:rsidR="000F29B9" w:rsidP="00CD39BA" w:rsidRDefault="000F29B9" w14:paraId="29FBB454" w14:textId="77777777">
            <w:pPr>
              <w:spacing w:line="240" w:lineRule="auto"/>
              <w:ind w:firstLine="0"/>
              <w:rPr>
                <w:sz w:val="24"/>
                <w:szCs w:val="24"/>
              </w:rPr>
            </w:pPr>
            <w:r w:rsidRPr="00EA447C">
              <w:rPr>
                <w:sz w:val="24"/>
                <w:szCs w:val="24"/>
              </w:rPr>
              <w:t> </w:t>
            </w:r>
          </w:p>
        </w:tc>
        <w:tc>
          <w:tcPr>
            <w:tcW w:w="2673" w:type="dxa"/>
            <w:hideMark/>
          </w:tcPr>
          <w:p w:rsidRPr="00EA447C" w:rsidR="000F29B9" w:rsidP="00CD39BA" w:rsidRDefault="000F29B9" w14:paraId="3841BFFA" w14:textId="77777777">
            <w:pPr>
              <w:spacing w:line="240" w:lineRule="auto"/>
              <w:ind w:firstLine="11"/>
              <w:rPr>
                <w:sz w:val="24"/>
                <w:szCs w:val="24"/>
              </w:rPr>
            </w:pPr>
            <w:r w:rsidRPr="00EA447C">
              <w:rPr>
                <w:sz w:val="24"/>
                <w:szCs w:val="24"/>
              </w:rPr>
              <w:t>Project Identifier (project ID #)</w:t>
            </w:r>
          </w:p>
        </w:tc>
        <w:tc>
          <w:tcPr>
            <w:tcW w:w="4612" w:type="dxa"/>
            <w:hideMark/>
          </w:tcPr>
          <w:p w:rsidRPr="00EA447C" w:rsidR="000F29B9" w:rsidP="00CD39BA" w:rsidRDefault="000F29B9" w14:paraId="4D6E9BE8" w14:textId="77777777">
            <w:pPr>
              <w:spacing w:line="240" w:lineRule="auto"/>
              <w:ind w:firstLine="0"/>
              <w:rPr>
                <w:sz w:val="24"/>
                <w:szCs w:val="24"/>
              </w:rPr>
            </w:pPr>
            <w:r w:rsidRPr="00EA447C">
              <w:rPr>
                <w:sz w:val="24"/>
                <w:szCs w:val="24"/>
              </w:rPr>
              <w:t>As reported in compliance reporting required under CPUC Energization proceeding: R.24-01-018</w:t>
            </w:r>
          </w:p>
        </w:tc>
      </w:tr>
      <w:tr w:rsidRPr="00EA447C" w:rsidR="000F29B9" w:rsidTr="00CD39BA" w14:paraId="38058B1F" w14:textId="77777777">
        <w:trPr>
          <w:cantSplit/>
          <w:trHeight w:val="900"/>
        </w:trPr>
        <w:tc>
          <w:tcPr>
            <w:tcW w:w="2065" w:type="dxa"/>
            <w:hideMark/>
          </w:tcPr>
          <w:p w:rsidRPr="00EA447C" w:rsidR="000F29B9" w:rsidP="00CD39BA" w:rsidRDefault="000F29B9" w14:paraId="2749423A" w14:textId="77777777">
            <w:pPr>
              <w:spacing w:line="240" w:lineRule="auto"/>
              <w:ind w:firstLine="0"/>
              <w:rPr>
                <w:sz w:val="24"/>
                <w:szCs w:val="24"/>
              </w:rPr>
            </w:pPr>
            <w:r w:rsidRPr="00EA447C">
              <w:rPr>
                <w:sz w:val="24"/>
                <w:szCs w:val="24"/>
              </w:rPr>
              <w:t> </w:t>
            </w:r>
          </w:p>
        </w:tc>
        <w:tc>
          <w:tcPr>
            <w:tcW w:w="2673" w:type="dxa"/>
            <w:hideMark/>
          </w:tcPr>
          <w:p w:rsidRPr="00EA447C" w:rsidR="000F29B9" w:rsidP="00CD39BA" w:rsidRDefault="000F29B9" w14:paraId="407E75A0" w14:textId="77777777">
            <w:pPr>
              <w:spacing w:line="240" w:lineRule="auto"/>
              <w:ind w:firstLine="11"/>
              <w:rPr>
                <w:sz w:val="24"/>
                <w:szCs w:val="24"/>
              </w:rPr>
            </w:pPr>
            <w:r w:rsidRPr="00EA447C">
              <w:rPr>
                <w:sz w:val="24"/>
                <w:szCs w:val="24"/>
              </w:rPr>
              <w:t>Meter ID#</w:t>
            </w:r>
          </w:p>
        </w:tc>
        <w:tc>
          <w:tcPr>
            <w:tcW w:w="4612" w:type="dxa"/>
            <w:hideMark/>
          </w:tcPr>
          <w:p w:rsidRPr="00EA447C" w:rsidR="000F29B9" w:rsidP="00CD39BA" w:rsidRDefault="000F29B9" w14:paraId="4E734AB3" w14:textId="77777777">
            <w:pPr>
              <w:spacing w:line="240" w:lineRule="auto"/>
              <w:ind w:firstLine="0"/>
              <w:rPr>
                <w:sz w:val="24"/>
                <w:szCs w:val="24"/>
              </w:rPr>
            </w:pPr>
            <w:r w:rsidRPr="00EA447C">
              <w:rPr>
                <w:sz w:val="24"/>
                <w:szCs w:val="24"/>
              </w:rPr>
              <w:t>Unique number assigned to every utility meter. This field shall only be reported in the confidential version sent to CPUC staff via secure file transfer</w:t>
            </w:r>
          </w:p>
        </w:tc>
      </w:tr>
    </w:tbl>
    <w:p w:rsidRPr="00EA447C" w:rsidR="00C239EA" w:rsidP="000F29B9" w:rsidRDefault="00C239EA" w14:paraId="5CE66C97" w14:textId="77777777">
      <w:pPr>
        <w:spacing w:line="240" w:lineRule="auto"/>
        <w:ind w:firstLine="0"/>
      </w:pPr>
    </w:p>
    <w:tbl>
      <w:tblPr>
        <w:tblStyle w:val="TableGrid"/>
        <w:tblW w:w="0" w:type="auto"/>
        <w:tblCellMar>
          <w:top w:w="58" w:type="dxa"/>
          <w:bottom w:w="58" w:type="dxa"/>
        </w:tblCellMar>
        <w:tblLook w:val="04A0" w:firstRow="1" w:lastRow="0" w:firstColumn="1" w:lastColumn="0" w:noHBand="0" w:noVBand="1"/>
      </w:tblPr>
      <w:tblGrid>
        <w:gridCol w:w="6025"/>
        <w:gridCol w:w="1108"/>
        <w:gridCol w:w="1137"/>
        <w:gridCol w:w="1080"/>
      </w:tblGrid>
      <w:tr w:rsidRPr="00EA447C" w:rsidR="00C239EA" w14:paraId="3AD7F467" w14:textId="77777777">
        <w:trPr>
          <w:trHeight w:val="300"/>
          <w:tblHeader/>
        </w:trPr>
        <w:tc>
          <w:tcPr>
            <w:tcW w:w="9350" w:type="dxa"/>
            <w:gridSpan w:val="4"/>
            <w:noWrap/>
          </w:tcPr>
          <w:p w:rsidRPr="00EA447C" w:rsidR="00C239EA" w:rsidRDefault="00C239EA" w14:paraId="286EB9BB" w14:textId="7D927A10">
            <w:pPr>
              <w:spacing w:line="240" w:lineRule="auto"/>
              <w:ind w:firstLine="0"/>
              <w:jc w:val="center"/>
              <w:rPr>
                <w:b/>
                <w:bCs/>
                <w:sz w:val="24"/>
                <w:szCs w:val="24"/>
              </w:rPr>
            </w:pPr>
            <w:r w:rsidRPr="00EA447C">
              <w:rPr>
                <w:b/>
                <w:bCs/>
                <w:sz w:val="24"/>
                <w:szCs w:val="24"/>
              </w:rPr>
              <w:lastRenderedPageBreak/>
              <w:t>Reporting Requirements per Section 4.</w:t>
            </w:r>
            <w:r w:rsidRPr="00EA447C" w:rsidR="00200802">
              <w:rPr>
                <w:b/>
                <w:bCs/>
                <w:sz w:val="24"/>
                <w:szCs w:val="24"/>
              </w:rPr>
              <w:t>2</w:t>
            </w:r>
          </w:p>
        </w:tc>
      </w:tr>
      <w:tr w:rsidRPr="00EA447C" w:rsidR="00C239EA" w14:paraId="57BA5991" w14:textId="77777777">
        <w:trPr>
          <w:trHeight w:val="300"/>
          <w:tblHeader/>
        </w:trPr>
        <w:tc>
          <w:tcPr>
            <w:tcW w:w="9350" w:type="dxa"/>
            <w:gridSpan w:val="4"/>
            <w:noWrap/>
          </w:tcPr>
          <w:p w:rsidRPr="00EA447C" w:rsidR="00C239EA" w:rsidRDefault="00C239EA" w14:paraId="09C7F979" w14:textId="433F33BE">
            <w:pPr>
              <w:spacing w:line="240" w:lineRule="auto"/>
              <w:ind w:firstLine="0"/>
              <w:rPr>
                <w:b/>
                <w:bCs/>
                <w:sz w:val="24"/>
                <w:szCs w:val="24"/>
              </w:rPr>
            </w:pPr>
            <w:r w:rsidRPr="00EA447C">
              <w:rPr>
                <w:b/>
                <w:bCs/>
                <w:sz w:val="24"/>
                <w:szCs w:val="24"/>
              </w:rPr>
              <w:t xml:space="preserve">Common Facility Cost Treatment </w:t>
            </w:r>
            <w:r w:rsidRPr="00EA447C">
              <w:rPr>
                <w:b/>
                <w:bCs/>
                <w:strike/>
                <w:sz w:val="24"/>
                <w:szCs w:val="24"/>
              </w:rPr>
              <w:t>and Service Upsize Reporting</w:t>
            </w:r>
            <w:r w:rsidRPr="00EA447C" w:rsidR="00193A77">
              <w:rPr>
                <w:b/>
                <w:bCs/>
                <w:strike/>
                <w:sz w:val="24"/>
                <w:szCs w:val="24"/>
              </w:rPr>
              <w:t xml:space="preserve"> </w:t>
            </w:r>
            <w:r w:rsidRPr="00EA447C" w:rsidR="00193A77">
              <w:rPr>
                <w:b/>
                <w:bCs/>
                <w:sz w:val="24"/>
                <w:szCs w:val="24"/>
              </w:rPr>
              <w:t>(Service Territory</w:t>
            </w:r>
            <w:r w:rsidRPr="00EA447C" w:rsidR="00EF5E84">
              <w:rPr>
                <w:b/>
                <w:bCs/>
                <w:sz w:val="24"/>
                <w:szCs w:val="24"/>
              </w:rPr>
              <w:t>/ [Large Electric IOUs only]</w:t>
            </w:r>
            <w:r w:rsidRPr="00EA447C" w:rsidR="004E0BDE">
              <w:rPr>
                <w:b/>
                <w:bCs/>
                <w:sz w:val="24"/>
                <w:szCs w:val="24"/>
              </w:rPr>
              <w:t>)</w:t>
            </w:r>
          </w:p>
        </w:tc>
      </w:tr>
      <w:tr w:rsidRPr="00EA447C" w:rsidR="00C239EA" w:rsidTr="00551DD2" w14:paraId="3EABB0BA" w14:textId="77777777">
        <w:trPr>
          <w:trHeight w:val="300"/>
          <w:tblHeader/>
        </w:trPr>
        <w:tc>
          <w:tcPr>
            <w:tcW w:w="6025" w:type="dxa"/>
            <w:noWrap/>
            <w:hideMark/>
          </w:tcPr>
          <w:p w:rsidRPr="00EA447C" w:rsidR="00C239EA" w:rsidRDefault="00024207" w14:paraId="230AFBE0" w14:textId="111D9F68">
            <w:pPr>
              <w:spacing w:line="240" w:lineRule="auto"/>
              <w:ind w:firstLine="0"/>
              <w:rPr>
                <w:b/>
                <w:bCs/>
                <w:sz w:val="24"/>
                <w:szCs w:val="24"/>
              </w:rPr>
            </w:pPr>
            <w:r w:rsidRPr="00EA447C">
              <w:rPr>
                <w:b/>
                <w:bCs/>
                <w:sz w:val="24"/>
                <w:szCs w:val="24"/>
              </w:rPr>
              <w:t>R</w:t>
            </w:r>
            <w:r w:rsidRPr="00EA447C" w:rsidR="00212FDA">
              <w:rPr>
                <w:b/>
                <w:bCs/>
                <w:sz w:val="24"/>
                <w:szCs w:val="24"/>
              </w:rPr>
              <w:t xml:space="preserve">eporting </w:t>
            </w:r>
            <w:r w:rsidRPr="00EA447C" w:rsidR="007D52DE">
              <w:rPr>
                <w:b/>
                <w:bCs/>
                <w:sz w:val="24"/>
                <w:szCs w:val="24"/>
              </w:rPr>
              <w:t xml:space="preserve">for </w:t>
            </w:r>
            <w:r w:rsidRPr="00EA447C">
              <w:rPr>
                <w:b/>
                <w:bCs/>
                <w:sz w:val="24"/>
                <w:szCs w:val="24"/>
              </w:rPr>
              <w:t>C</w:t>
            </w:r>
            <w:r w:rsidRPr="00EA447C" w:rsidR="00212FDA">
              <w:rPr>
                <w:b/>
                <w:bCs/>
                <w:sz w:val="24"/>
                <w:szCs w:val="24"/>
              </w:rPr>
              <w:t xml:space="preserve">alendar </w:t>
            </w:r>
            <w:r w:rsidRPr="00EA447C">
              <w:rPr>
                <w:b/>
                <w:bCs/>
                <w:sz w:val="24"/>
                <w:szCs w:val="24"/>
              </w:rPr>
              <w:t>Y</w:t>
            </w:r>
            <w:r w:rsidRPr="00EA447C" w:rsidR="00212FDA">
              <w:rPr>
                <w:b/>
                <w:bCs/>
                <w:sz w:val="24"/>
                <w:szCs w:val="24"/>
              </w:rPr>
              <w:t>ear</w:t>
            </w:r>
            <w:r w:rsidRPr="00EA447C" w:rsidR="008559BD">
              <w:rPr>
                <w:b/>
                <w:bCs/>
                <w:sz w:val="24"/>
                <w:szCs w:val="24"/>
              </w:rPr>
              <w:t xml:space="preserve">: </w:t>
            </w:r>
            <w:r w:rsidRPr="00EA447C" w:rsidR="007D52DE">
              <w:rPr>
                <w:b/>
                <w:bCs/>
                <w:sz w:val="24"/>
                <w:szCs w:val="24"/>
              </w:rPr>
              <w:t xml:space="preserve">20xx </w:t>
            </w:r>
          </w:p>
        </w:tc>
        <w:tc>
          <w:tcPr>
            <w:tcW w:w="3325" w:type="dxa"/>
            <w:gridSpan w:val="3"/>
            <w:noWrap/>
            <w:hideMark/>
          </w:tcPr>
          <w:p w:rsidRPr="00EA447C" w:rsidR="00C239EA" w:rsidRDefault="000A08C2" w14:paraId="776D7EF0" w14:textId="30A114FA">
            <w:pPr>
              <w:spacing w:line="240" w:lineRule="auto"/>
              <w:ind w:firstLine="0"/>
              <w:rPr>
                <w:b/>
                <w:bCs/>
                <w:sz w:val="24"/>
                <w:szCs w:val="24"/>
              </w:rPr>
            </w:pPr>
            <w:r w:rsidRPr="00EA447C">
              <w:rPr>
                <w:b/>
                <w:bCs/>
                <w:sz w:val="24"/>
                <w:szCs w:val="24"/>
              </w:rPr>
              <w:t>Amount ($</w:t>
            </w:r>
            <w:r w:rsidRPr="00EA447C" w:rsidR="00C74264">
              <w:rPr>
                <w:b/>
                <w:bCs/>
                <w:sz w:val="24"/>
                <w:szCs w:val="24"/>
              </w:rPr>
              <w:t>)</w:t>
            </w:r>
          </w:p>
        </w:tc>
      </w:tr>
      <w:tr w:rsidRPr="00EA447C" w:rsidR="0014158E" w:rsidTr="00EE5292" w14:paraId="2F214B48" w14:textId="77777777">
        <w:trPr>
          <w:trHeight w:val="600"/>
        </w:trPr>
        <w:tc>
          <w:tcPr>
            <w:tcW w:w="6025" w:type="dxa"/>
          </w:tcPr>
          <w:p w:rsidRPr="00EA447C" w:rsidR="0014158E" w:rsidRDefault="0014158E" w14:paraId="78510BD7" w14:textId="266D67E4">
            <w:pPr>
              <w:spacing w:line="240" w:lineRule="auto"/>
              <w:ind w:firstLine="0"/>
              <w:rPr>
                <w:sz w:val="24"/>
                <w:szCs w:val="24"/>
              </w:rPr>
            </w:pPr>
            <w:r w:rsidRPr="00EA447C">
              <w:rPr>
                <w:sz w:val="24"/>
                <w:szCs w:val="24"/>
              </w:rPr>
              <w:t xml:space="preserve">Total Funds remaining </w:t>
            </w:r>
            <w:r w:rsidRPr="00EA447C" w:rsidR="000F0F7C">
              <w:rPr>
                <w:sz w:val="24"/>
                <w:szCs w:val="24"/>
              </w:rPr>
              <w:t>(including prior year rollover, if any)</w:t>
            </w:r>
          </w:p>
        </w:tc>
        <w:tc>
          <w:tcPr>
            <w:tcW w:w="3325" w:type="dxa"/>
            <w:gridSpan w:val="3"/>
          </w:tcPr>
          <w:p w:rsidRPr="00EA447C" w:rsidR="0014158E" w:rsidRDefault="00CC2E06" w14:paraId="5840203B" w14:textId="387923A3">
            <w:pPr>
              <w:spacing w:line="240" w:lineRule="auto"/>
              <w:ind w:firstLine="0"/>
              <w:rPr>
                <w:sz w:val="24"/>
                <w:szCs w:val="24"/>
              </w:rPr>
            </w:pPr>
            <w:r w:rsidRPr="00EA447C">
              <w:rPr>
                <w:sz w:val="24"/>
                <w:szCs w:val="24"/>
              </w:rPr>
              <w:t>$</w:t>
            </w:r>
          </w:p>
        </w:tc>
      </w:tr>
      <w:tr w:rsidRPr="00EA447C" w:rsidR="00C239EA" w:rsidTr="00551DD2" w14:paraId="3415F011" w14:textId="77777777">
        <w:trPr>
          <w:trHeight w:val="600"/>
        </w:trPr>
        <w:tc>
          <w:tcPr>
            <w:tcW w:w="6025" w:type="dxa"/>
            <w:hideMark/>
          </w:tcPr>
          <w:p w:rsidRPr="00EA447C" w:rsidR="00C239EA" w:rsidRDefault="00894D71" w14:paraId="5BA7AD01" w14:textId="311DF0CA">
            <w:pPr>
              <w:spacing w:line="240" w:lineRule="auto"/>
              <w:ind w:firstLine="0"/>
              <w:rPr>
                <w:sz w:val="24"/>
                <w:szCs w:val="24"/>
              </w:rPr>
            </w:pPr>
            <w:r w:rsidRPr="00EA447C">
              <w:rPr>
                <w:sz w:val="24"/>
                <w:szCs w:val="24"/>
              </w:rPr>
              <w:t>Prior year rollover</w:t>
            </w:r>
            <w:r w:rsidRPr="00EA447C" w:rsidR="00AE364C">
              <w:rPr>
                <w:sz w:val="24"/>
                <w:szCs w:val="24"/>
              </w:rPr>
              <w:t xml:space="preserve">, </w:t>
            </w:r>
            <w:r w:rsidRPr="00EA447C">
              <w:rPr>
                <w:sz w:val="24"/>
                <w:szCs w:val="24"/>
              </w:rPr>
              <w:t>if any</w:t>
            </w:r>
          </w:p>
        </w:tc>
        <w:tc>
          <w:tcPr>
            <w:tcW w:w="3325" w:type="dxa"/>
            <w:gridSpan w:val="3"/>
            <w:hideMark/>
          </w:tcPr>
          <w:p w:rsidRPr="00EA447C" w:rsidR="00C239EA" w:rsidRDefault="00CC2E06" w14:paraId="4AA4EC9C" w14:textId="1A58E94D">
            <w:pPr>
              <w:spacing w:line="240" w:lineRule="auto"/>
              <w:ind w:firstLine="0"/>
              <w:rPr>
                <w:sz w:val="24"/>
                <w:szCs w:val="24"/>
              </w:rPr>
            </w:pPr>
            <w:r w:rsidRPr="00EA447C">
              <w:rPr>
                <w:sz w:val="24"/>
                <w:szCs w:val="24"/>
              </w:rPr>
              <w:t>$</w:t>
            </w:r>
          </w:p>
        </w:tc>
      </w:tr>
      <w:tr w:rsidRPr="00EA447C" w:rsidR="00EE5292" w:rsidTr="00551DD2" w14:paraId="283316C5" w14:textId="77777777">
        <w:trPr>
          <w:trHeight w:val="600"/>
        </w:trPr>
        <w:tc>
          <w:tcPr>
            <w:tcW w:w="6025" w:type="dxa"/>
          </w:tcPr>
          <w:p w:rsidRPr="00EA447C" w:rsidR="00EE5292" w:rsidRDefault="00EE5292" w14:paraId="629086D3" w14:textId="152A02B2">
            <w:pPr>
              <w:spacing w:line="240" w:lineRule="auto"/>
              <w:ind w:firstLine="0"/>
              <w:rPr>
                <w:sz w:val="24"/>
                <w:szCs w:val="24"/>
              </w:rPr>
            </w:pPr>
            <w:r w:rsidRPr="00EA447C">
              <w:rPr>
                <w:sz w:val="24"/>
                <w:szCs w:val="24"/>
              </w:rPr>
              <w:t xml:space="preserve">Funds allocated </w:t>
            </w:r>
            <w:r w:rsidRPr="00EA447C" w:rsidR="00D91DC8">
              <w:rPr>
                <w:sz w:val="24"/>
                <w:szCs w:val="24"/>
              </w:rPr>
              <w:t xml:space="preserve">by </w:t>
            </w:r>
            <w:r w:rsidRPr="00EA447C">
              <w:rPr>
                <w:sz w:val="24"/>
                <w:szCs w:val="24"/>
              </w:rPr>
              <w:t>end of reporting calendar year</w:t>
            </w:r>
          </w:p>
        </w:tc>
        <w:tc>
          <w:tcPr>
            <w:tcW w:w="1108" w:type="dxa"/>
          </w:tcPr>
          <w:p w:rsidRPr="00EA447C" w:rsidR="00EE5292" w:rsidRDefault="00EE5292" w14:paraId="1793F754" w14:textId="54ECBE45">
            <w:pPr>
              <w:spacing w:line="240" w:lineRule="auto"/>
              <w:ind w:firstLine="0"/>
              <w:rPr>
                <w:sz w:val="24"/>
                <w:szCs w:val="24"/>
              </w:rPr>
            </w:pPr>
            <w:r w:rsidRPr="00EA447C">
              <w:rPr>
                <w:sz w:val="24"/>
                <w:szCs w:val="24"/>
              </w:rPr>
              <w:t>Single-family</w:t>
            </w:r>
          </w:p>
        </w:tc>
        <w:tc>
          <w:tcPr>
            <w:tcW w:w="1137" w:type="dxa"/>
          </w:tcPr>
          <w:p w:rsidRPr="00EA447C" w:rsidR="00EE5292" w:rsidRDefault="00EE5292" w14:paraId="22841D0C" w14:textId="5F52D214">
            <w:pPr>
              <w:spacing w:line="240" w:lineRule="auto"/>
              <w:ind w:firstLine="0"/>
              <w:rPr>
                <w:sz w:val="24"/>
                <w:szCs w:val="24"/>
              </w:rPr>
            </w:pPr>
            <w:r w:rsidRPr="00EA447C">
              <w:rPr>
                <w:sz w:val="24"/>
                <w:szCs w:val="24"/>
              </w:rPr>
              <w:t>Small Business</w:t>
            </w:r>
          </w:p>
        </w:tc>
        <w:tc>
          <w:tcPr>
            <w:tcW w:w="1080" w:type="dxa"/>
          </w:tcPr>
          <w:p w:rsidRPr="00EA447C" w:rsidR="00EE5292" w:rsidRDefault="00EE5292" w14:paraId="5D913F37" w14:textId="7B039567">
            <w:pPr>
              <w:spacing w:line="240" w:lineRule="auto"/>
              <w:ind w:firstLine="0"/>
              <w:rPr>
                <w:sz w:val="24"/>
                <w:szCs w:val="24"/>
              </w:rPr>
            </w:pPr>
            <w:r w:rsidRPr="00EA447C">
              <w:rPr>
                <w:sz w:val="24"/>
                <w:szCs w:val="24"/>
              </w:rPr>
              <w:t>Multi-family</w:t>
            </w:r>
          </w:p>
        </w:tc>
      </w:tr>
      <w:tr w:rsidRPr="00EA447C" w:rsidR="00EE5292" w:rsidTr="00551DD2" w14:paraId="18FC16F4" w14:textId="77777777">
        <w:trPr>
          <w:trHeight w:val="600"/>
        </w:trPr>
        <w:tc>
          <w:tcPr>
            <w:tcW w:w="6025" w:type="dxa"/>
          </w:tcPr>
          <w:p w:rsidRPr="00EA447C" w:rsidR="00EE5292" w:rsidP="00EE5292" w:rsidRDefault="00EE5292" w14:paraId="66034A00" w14:textId="3C67A42C">
            <w:pPr>
              <w:spacing w:line="240" w:lineRule="auto"/>
              <w:ind w:firstLine="0"/>
              <w:rPr>
                <w:sz w:val="24"/>
                <w:szCs w:val="24"/>
              </w:rPr>
            </w:pPr>
            <w:r w:rsidRPr="00EA447C">
              <w:rPr>
                <w:sz w:val="24"/>
                <w:szCs w:val="24"/>
              </w:rPr>
              <w:t>Funds disbursed</w:t>
            </w:r>
            <w:r w:rsidRPr="00EA447C" w:rsidR="00D91DC8">
              <w:rPr>
                <w:sz w:val="24"/>
                <w:szCs w:val="24"/>
              </w:rPr>
              <w:t xml:space="preserve"> by end of reporting calendar year</w:t>
            </w:r>
          </w:p>
        </w:tc>
        <w:tc>
          <w:tcPr>
            <w:tcW w:w="1108" w:type="dxa"/>
          </w:tcPr>
          <w:p w:rsidRPr="00EA447C" w:rsidR="00EE5292" w:rsidP="00EE5292" w:rsidRDefault="00EE5292" w14:paraId="7BF57A27" w14:textId="0C0D27C5">
            <w:pPr>
              <w:spacing w:line="240" w:lineRule="auto"/>
              <w:ind w:firstLine="0"/>
              <w:rPr>
                <w:sz w:val="24"/>
                <w:szCs w:val="24"/>
              </w:rPr>
            </w:pPr>
            <w:r w:rsidRPr="00EA447C">
              <w:rPr>
                <w:sz w:val="24"/>
                <w:szCs w:val="24"/>
              </w:rPr>
              <w:t>Single-family</w:t>
            </w:r>
          </w:p>
        </w:tc>
        <w:tc>
          <w:tcPr>
            <w:tcW w:w="1137" w:type="dxa"/>
          </w:tcPr>
          <w:p w:rsidRPr="00EA447C" w:rsidR="00EE5292" w:rsidP="00EE5292" w:rsidRDefault="00EE5292" w14:paraId="135C2BA6" w14:textId="6FBB5DD2">
            <w:pPr>
              <w:spacing w:line="240" w:lineRule="auto"/>
              <w:ind w:firstLine="0"/>
              <w:rPr>
                <w:sz w:val="24"/>
                <w:szCs w:val="24"/>
              </w:rPr>
            </w:pPr>
            <w:r w:rsidRPr="00EA447C">
              <w:rPr>
                <w:sz w:val="24"/>
                <w:szCs w:val="24"/>
              </w:rPr>
              <w:t>Small Business</w:t>
            </w:r>
          </w:p>
        </w:tc>
        <w:tc>
          <w:tcPr>
            <w:tcW w:w="1080" w:type="dxa"/>
          </w:tcPr>
          <w:p w:rsidRPr="00EA447C" w:rsidR="00EE5292" w:rsidP="00EE5292" w:rsidRDefault="00EE5292" w14:paraId="273AE1FB" w14:textId="020B3668">
            <w:pPr>
              <w:spacing w:line="240" w:lineRule="auto"/>
              <w:ind w:firstLine="0"/>
              <w:rPr>
                <w:sz w:val="24"/>
                <w:szCs w:val="24"/>
              </w:rPr>
            </w:pPr>
            <w:r w:rsidRPr="00EA447C">
              <w:rPr>
                <w:sz w:val="24"/>
                <w:szCs w:val="24"/>
              </w:rPr>
              <w:t>Multi-family</w:t>
            </w:r>
          </w:p>
        </w:tc>
      </w:tr>
    </w:tbl>
    <w:p w:rsidRPr="00EA447C" w:rsidR="000F29B9" w:rsidP="000F29B9" w:rsidRDefault="000F29B9" w14:paraId="47B6F2C9" w14:textId="7B85F3C9">
      <w:pPr>
        <w:spacing w:line="240" w:lineRule="auto"/>
        <w:ind w:firstLine="0"/>
      </w:pPr>
      <w:r w:rsidRPr="00EA447C">
        <w:br w:type="page"/>
      </w:r>
    </w:p>
    <w:tbl>
      <w:tblPr>
        <w:tblStyle w:val="TableGrid"/>
        <w:tblW w:w="0" w:type="auto"/>
        <w:tblCellMar>
          <w:top w:w="58" w:type="dxa"/>
          <w:bottom w:w="58" w:type="dxa"/>
        </w:tblCellMar>
        <w:tblLook w:val="04A0" w:firstRow="1" w:lastRow="0" w:firstColumn="1" w:lastColumn="0" w:noHBand="0" w:noVBand="1"/>
      </w:tblPr>
      <w:tblGrid>
        <w:gridCol w:w="6565"/>
        <w:gridCol w:w="2785"/>
      </w:tblGrid>
      <w:tr w:rsidRPr="00EA447C" w:rsidR="00A9744A" w:rsidTr="00CD39BA" w14:paraId="7E44AC0C" w14:textId="77777777">
        <w:trPr>
          <w:trHeight w:val="300"/>
          <w:tblHeader/>
        </w:trPr>
        <w:tc>
          <w:tcPr>
            <w:tcW w:w="9350" w:type="dxa"/>
            <w:gridSpan w:val="2"/>
            <w:noWrap/>
          </w:tcPr>
          <w:p w:rsidRPr="00EA447C" w:rsidR="00A9744A" w:rsidP="00561CF0" w:rsidRDefault="00CF62BE" w14:paraId="4F229F43" w14:textId="5FFAF494">
            <w:pPr>
              <w:spacing w:line="240" w:lineRule="auto"/>
              <w:ind w:firstLine="0"/>
              <w:jc w:val="center"/>
              <w:rPr>
                <w:b/>
                <w:bCs/>
                <w:sz w:val="24"/>
                <w:szCs w:val="24"/>
              </w:rPr>
            </w:pPr>
            <w:r w:rsidRPr="00EA447C">
              <w:rPr>
                <w:b/>
                <w:bCs/>
                <w:sz w:val="24"/>
                <w:szCs w:val="24"/>
              </w:rPr>
              <w:lastRenderedPageBreak/>
              <w:t>Reporting Requirements per Section 4.</w:t>
            </w:r>
            <w:r w:rsidRPr="00EA447C" w:rsidR="00200802">
              <w:rPr>
                <w:b/>
                <w:bCs/>
                <w:sz w:val="24"/>
                <w:szCs w:val="24"/>
              </w:rPr>
              <w:t>2</w:t>
            </w:r>
          </w:p>
        </w:tc>
      </w:tr>
      <w:tr w:rsidRPr="00EA447C" w:rsidR="000F29B9" w:rsidTr="00CD39BA" w14:paraId="49F8CBCC" w14:textId="77777777">
        <w:trPr>
          <w:trHeight w:val="300"/>
          <w:tblHeader/>
        </w:trPr>
        <w:tc>
          <w:tcPr>
            <w:tcW w:w="9350" w:type="dxa"/>
            <w:gridSpan w:val="2"/>
            <w:noWrap/>
          </w:tcPr>
          <w:p w:rsidRPr="00EA447C" w:rsidR="000F29B9" w:rsidP="00C03384" w:rsidRDefault="002A1F25" w14:paraId="508CF0A5" w14:textId="5DEA50EA">
            <w:pPr>
              <w:spacing w:line="240" w:lineRule="auto"/>
              <w:ind w:firstLine="0"/>
              <w:rPr>
                <w:b/>
                <w:bCs/>
                <w:sz w:val="24"/>
                <w:szCs w:val="24"/>
              </w:rPr>
            </w:pPr>
            <w:r w:rsidRPr="00EA447C">
              <w:rPr>
                <w:b/>
                <w:bCs/>
                <w:sz w:val="24"/>
                <w:szCs w:val="24"/>
              </w:rPr>
              <w:t xml:space="preserve">Common Facility Cost Treatment </w:t>
            </w:r>
            <w:r w:rsidRPr="00EA447C" w:rsidR="00126B62">
              <w:rPr>
                <w:b/>
                <w:bCs/>
                <w:sz w:val="24"/>
                <w:szCs w:val="24"/>
              </w:rPr>
              <w:t xml:space="preserve">and Service Upsize </w:t>
            </w:r>
            <w:r w:rsidRPr="00EA447C" w:rsidR="00B93DD4">
              <w:rPr>
                <w:b/>
                <w:bCs/>
                <w:sz w:val="24"/>
                <w:szCs w:val="24"/>
              </w:rPr>
              <w:t>Reporting</w:t>
            </w:r>
            <w:r w:rsidRPr="00EA447C" w:rsidR="00611278">
              <w:rPr>
                <w:b/>
                <w:bCs/>
                <w:sz w:val="24"/>
                <w:szCs w:val="24"/>
              </w:rPr>
              <w:t xml:space="preserve"> (Project</w:t>
            </w:r>
            <w:r w:rsidRPr="00EA447C" w:rsidR="00193A77">
              <w:rPr>
                <w:b/>
                <w:bCs/>
                <w:sz w:val="24"/>
                <w:szCs w:val="24"/>
              </w:rPr>
              <w:t>-level)</w:t>
            </w:r>
          </w:p>
        </w:tc>
      </w:tr>
      <w:tr w:rsidRPr="00EA447C" w:rsidR="000F29B9" w:rsidTr="00CD39BA" w14:paraId="3FBAD434" w14:textId="77777777">
        <w:trPr>
          <w:trHeight w:val="300"/>
          <w:tblHeader/>
        </w:trPr>
        <w:tc>
          <w:tcPr>
            <w:tcW w:w="6565" w:type="dxa"/>
            <w:noWrap/>
            <w:hideMark/>
          </w:tcPr>
          <w:p w:rsidRPr="00EA447C" w:rsidR="000F29B9" w:rsidP="00C03384" w:rsidRDefault="000F29B9" w14:paraId="68AF337D" w14:textId="77777777">
            <w:pPr>
              <w:spacing w:line="240" w:lineRule="auto"/>
              <w:ind w:firstLine="0"/>
              <w:rPr>
                <w:b/>
                <w:bCs/>
                <w:sz w:val="24"/>
                <w:szCs w:val="24"/>
              </w:rPr>
            </w:pPr>
            <w:r w:rsidRPr="00EA447C">
              <w:rPr>
                <w:b/>
                <w:bCs/>
                <w:sz w:val="24"/>
                <w:szCs w:val="24"/>
              </w:rPr>
              <w:t>Reporting Field</w:t>
            </w:r>
          </w:p>
        </w:tc>
        <w:tc>
          <w:tcPr>
            <w:tcW w:w="2785" w:type="dxa"/>
            <w:noWrap/>
            <w:hideMark/>
          </w:tcPr>
          <w:p w:rsidRPr="00EA447C" w:rsidR="000F29B9" w:rsidP="00C03384" w:rsidRDefault="000F29B9" w14:paraId="24572F35" w14:textId="77777777">
            <w:pPr>
              <w:spacing w:line="240" w:lineRule="auto"/>
              <w:ind w:firstLine="0"/>
              <w:rPr>
                <w:b/>
                <w:bCs/>
                <w:sz w:val="24"/>
                <w:szCs w:val="24"/>
              </w:rPr>
            </w:pPr>
            <w:r w:rsidRPr="00EA447C">
              <w:rPr>
                <w:b/>
                <w:bCs/>
                <w:sz w:val="24"/>
                <w:szCs w:val="24"/>
              </w:rPr>
              <w:t>Example Text</w:t>
            </w:r>
          </w:p>
        </w:tc>
      </w:tr>
      <w:tr w:rsidRPr="00EA447C" w:rsidR="000F29B9" w:rsidTr="00CD39BA" w14:paraId="0CC4F762" w14:textId="77777777">
        <w:trPr>
          <w:trHeight w:val="600"/>
        </w:trPr>
        <w:tc>
          <w:tcPr>
            <w:tcW w:w="6565" w:type="dxa"/>
            <w:hideMark/>
          </w:tcPr>
          <w:p w:rsidRPr="00EA447C" w:rsidR="000F29B9" w:rsidP="00CD39BA" w:rsidRDefault="000F29B9" w14:paraId="7D6BA175" w14:textId="77777777">
            <w:pPr>
              <w:spacing w:line="240" w:lineRule="auto"/>
              <w:ind w:firstLine="0"/>
              <w:rPr>
                <w:sz w:val="24"/>
                <w:szCs w:val="24"/>
              </w:rPr>
            </w:pPr>
            <w:r w:rsidRPr="00EA447C">
              <w:rPr>
                <w:sz w:val="24"/>
                <w:szCs w:val="24"/>
              </w:rPr>
              <w:t>USPS-Standardized Service Address</w:t>
            </w:r>
          </w:p>
        </w:tc>
        <w:tc>
          <w:tcPr>
            <w:tcW w:w="2785" w:type="dxa"/>
            <w:hideMark/>
          </w:tcPr>
          <w:p w:rsidRPr="00EA447C" w:rsidR="000F29B9" w:rsidP="00CD39BA" w:rsidRDefault="000F29B9" w14:paraId="251E0C27" w14:textId="77777777">
            <w:pPr>
              <w:spacing w:line="240" w:lineRule="auto"/>
              <w:ind w:firstLine="0"/>
              <w:rPr>
                <w:sz w:val="24"/>
                <w:szCs w:val="24"/>
              </w:rPr>
            </w:pPr>
            <w:r w:rsidRPr="00EA447C">
              <w:rPr>
                <w:sz w:val="24"/>
                <w:szCs w:val="24"/>
              </w:rPr>
              <w:t>1234 JEFFERSON CT</w:t>
            </w:r>
            <w:r w:rsidRPr="00EA447C">
              <w:rPr>
                <w:sz w:val="24"/>
                <w:szCs w:val="24"/>
              </w:rPr>
              <w:br/>
              <w:t>SACRAMENTO CA 95691-4882</w:t>
            </w:r>
          </w:p>
        </w:tc>
      </w:tr>
      <w:tr w:rsidRPr="00EA447C" w:rsidR="000F29B9" w:rsidTr="00CD39BA" w14:paraId="4897747A" w14:textId="77777777">
        <w:trPr>
          <w:trHeight w:val="300"/>
        </w:trPr>
        <w:tc>
          <w:tcPr>
            <w:tcW w:w="6565" w:type="dxa"/>
            <w:hideMark/>
          </w:tcPr>
          <w:p w:rsidRPr="00EA447C" w:rsidR="000F29B9" w:rsidP="00CD39BA" w:rsidRDefault="000F29B9" w14:paraId="7B531B74" w14:textId="77777777">
            <w:pPr>
              <w:spacing w:line="240" w:lineRule="auto"/>
              <w:ind w:firstLine="0"/>
              <w:rPr>
                <w:sz w:val="24"/>
                <w:szCs w:val="24"/>
              </w:rPr>
            </w:pPr>
            <w:r w:rsidRPr="00EA447C">
              <w:rPr>
                <w:sz w:val="24"/>
                <w:szCs w:val="24"/>
              </w:rPr>
              <w:t>Meter ID# (Confidential version only)</w:t>
            </w:r>
          </w:p>
        </w:tc>
        <w:tc>
          <w:tcPr>
            <w:tcW w:w="2785" w:type="dxa"/>
            <w:hideMark/>
          </w:tcPr>
          <w:p w:rsidRPr="00EA447C" w:rsidR="000F29B9" w:rsidP="00CD39BA" w:rsidRDefault="00AC383C" w14:paraId="3E511B77" w14:textId="012F0AE3">
            <w:pPr>
              <w:spacing w:line="240" w:lineRule="auto"/>
              <w:ind w:firstLine="0"/>
              <w:rPr>
                <w:sz w:val="24"/>
                <w:szCs w:val="24"/>
              </w:rPr>
            </w:pPr>
            <w:r w:rsidRPr="00EA447C">
              <w:rPr>
                <w:sz w:val="24"/>
                <w:szCs w:val="24"/>
              </w:rPr>
              <w:t>[Meter ID]</w:t>
            </w:r>
          </w:p>
        </w:tc>
      </w:tr>
      <w:tr w:rsidRPr="00EA447C" w:rsidR="000F29B9" w:rsidTr="00CD39BA" w14:paraId="364EA813" w14:textId="77777777">
        <w:trPr>
          <w:trHeight w:val="300"/>
        </w:trPr>
        <w:tc>
          <w:tcPr>
            <w:tcW w:w="6565" w:type="dxa"/>
            <w:hideMark/>
          </w:tcPr>
          <w:p w:rsidRPr="00EA447C" w:rsidR="000F29B9" w:rsidP="00CD39BA" w:rsidRDefault="000F29B9" w14:paraId="755C5AC3" w14:textId="77777777">
            <w:pPr>
              <w:spacing w:line="240" w:lineRule="auto"/>
              <w:ind w:firstLine="0"/>
              <w:rPr>
                <w:sz w:val="24"/>
                <w:szCs w:val="24"/>
              </w:rPr>
            </w:pPr>
            <w:r w:rsidRPr="00EA447C">
              <w:rPr>
                <w:sz w:val="24"/>
                <w:szCs w:val="24"/>
              </w:rPr>
              <w:t>Project Identifier # (project ID #) (see instructions)</w:t>
            </w:r>
          </w:p>
        </w:tc>
        <w:tc>
          <w:tcPr>
            <w:tcW w:w="2785" w:type="dxa"/>
            <w:hideMark/>
          </w:tcPr>
          <w:p w:rsidRPr="00EA447C" w:rsidR="000F29B9" w:rsidP="00CD39BA" w:rsidRDefault="00AC383C" w14:paraId="7312E100" w14:textId="50932C8F">
            <w:pPr>
              <w:spacing w:line="240" w:lineRule="auto"/>
              <w:ind w:firstLine="0"/>
              <w:rPr>
                <w:sz w:val="24"/>
                <w:szCs w:val="24"/>
              </w:rPr>
            </w:pPr>
            <w:r w:rsidRPr="00EA447C">
              <w:rPr>
                <w:sz w:val="24"/>
                <w:szCs w:val="24"/>
              </w:rPr>
              <w:t>[Project ID assigned by IOU]</w:t>
            </w:r>
          </w:p>
        </w:tc>
      </w:tr>
      <w:tr w:rsidRPr="00EA447C" w:rsidR="000F29B9" w:rsidTr="00CD39BA" w14:paraId="17999E55" w14:textId="77777777">
        <w:trPr>
          <w:trHeight w:val="300"/>
        </w:trPr>
        <w:tc>
          <w:tcPr>
            <w:tcW w:w="6565" w:type="dxa"/>
            <w:hideMark/>
          </w:tcPr>
          <w:p w:rsidRPr="00EA447C" w:rsidR="000F29B9" w:rsidP="00CD39BA" w:rsidRDefault="000F29B9" w14:paraId="0292AA1D" w14:textId="77777777">
            <w:pPr>
              <w:spacing w:line="240" w:lineRule="auto"/>
              <w:ind w:firstLine="0"/>
              <w:rPr>
                <w:sz w:val="24"/>
                <w:szCs w:val="24"/>
              </w:rPr>
            </w:pPr>
            <w:r w:rsidRPr="00EA447C">
              <w:rPr>
                <w:sz w:val="24"/>
                <w:szCs w:val="24"/>
              </w:rPr>
              <w:t>Service Address Climate Zone</w:t>
            </w:r>
          </w:p>
        </w:tc>
        <w:tc>
          <w:tcPr>
            <w:tcW w:w="2785" w:type="dxa"/>
            <w:hideMark/>
          </w:tcPr>
          <w:p w:rsidRPr="00EA447C" w:rsidR="000F29B9" w:rsidP="00CD39BA" w:rsidRDefault="000F29B9" w14:paraId="4F94B968" w14:textId="77777777">
            <w:pPr>
              <w:spacing w:line="240" w:lineRule="auto"/>
              <w:ind w:firstLine="0"/>
              <w:rPr>
                <w:sz w:val="24"/>
                <w:szCs w:val="24"/>
              </w:rPr>
            </w:pPr>
            <w:r w:rsidRPr="00EA447C">
              <w:rPr>
                <w:sz w:val="24"/>
                <w:szCs w:val="24"/>
              </w:rPr>
              <w:t>12</w:t>
            </w:r>
          </w:p>
        </w:tc>
      </w:tr>
      <w:tr w:rsidRPr="00EA447C" w:rsidR="000F29B9" w:rsidTr="00CD39BA" w14:paraId="213D561C" w14:textId="77777777">
        <w:trPr>
          <w:trHeight w:val="300"/>
        </w:trPr>
        <w:tc>
          <w:tcPr>
            <w:tcW w:w="6565" w:type="dxa"/>
            <w:hideMark/>
          </w:tcPr>
          <w:p w:rsidRPr="00EA447C" w:rsidR="000F29B9" w:rsidP="00CD39BA" w:rsidRDefault="000F29B9" w14:paraId="7B5BDB4C" w14:textId="77777777">
            <w:pPr>
              <w:spacing w:line="240" w:lineRule="auto"/>
              <w:ind w:firstLine="0"/>
              <w:rPr>
                <w:sz w:val="24"/>
                <w:szCs w:val="24"/>
              </w:rPr>
            </w:pPr>
            <w:r w:rsidRPr="00EA447C">
              <w:rPr>
                <w:sz w:val="24"/>
                <w:szCs w:val="24"/>
              </w:rPr>
              <w:t>Initial Application Submittal Date</w:t>
            </w:r>
          </w:p>
        </w:tc>
        <w:tc>
          <w:tcPr>
            <w:tcW w:w="2785" w:type="dxa"/>
            <w:hideMark/>
          </w:tcPr>
          <w:p w:rsidRPr="00EA447C" w:rsidR="000F29B9" w:rsidP="00CD39BA" w:rsidRDefault="000F29B9" w14:paraId="0DF8EA33" w14:textId="77777777">
            <w:pPr>
              <w:spacing w:line="240" w:lineRule="auto"/>
              <w:ind w:firstLine="0"/>
              <w:rPr>
                <w:sz w:val="24"/>
                <w:szCs w:val="24"/>
              </w:rPr>
            </w:pPr>
            <w:r w:rsidRPr="00EA447C">
              <w:rPr>
                <w:sz w:val="24"/>
                <w:szCs w:val="24"/>
              </w:rPr>
              <w:t>3/14/2025</w:t>
            </w:r>
          </w:p>
        </w:tc>
      </w:tr>
      <w:tr w:rsidRPr="00EA447C" w:rsidR="000F29B9" w:rsidTr="00CD39BA" w14:paraId="7A037B13" w14:textId="77777777">
        <w:trPr>
          <w:trHeight w:val="300"/>
        </w:trPr>
        <w:tc>
          <w:tcPr>
            <w:tcW w:w="6565" w:type="dxa"/>
            <w:hideMark/>
          </w:tcPr>
          <w:p w:rsidRPr="00EA447C" w:rsidR="000F29B9" w:rsidP="00CD39BA" w:rsidRDefault="000F29B9" w14:paraId="491D30C3" w14:textId="77777777">
            <w:pPr>
              <w:spacing w:line="240" w:lineRule="auto"/>
              <w:ind w:firstLine="0"/>
              <w:rPr>
                <w:sz w:val="24"/>
                <w:szCs w:val="24"/>
              </w:rPr>
            </w:pPr>
            <w:r w:rsidRPr="00EA447C">
              <w:rPr>
                <w:sz w:val="24"/>
                <w:szCs w:val="24"/>
              </w:rPr>
              <w:t>Application Approval Date</w:t>
            </w:r>
          </w:p>
        </w:tc>
        <w:tc>
          <w:tcPr>
            <w:tcW w:w="2785" w:type="dxa"/>
            <w:hideMark/>
          </w:tcPr>
          <w:p w:rsidRPr="00EA447C" w:rsidR="000F29B9" w:rsidP="00CD39BA" w:rsidRDefault="000F29B9" w14:paraId="7FE47257" w14:textId="77777777">
            <w:pPr>
              <w:spacing w:line="240" w:lineRule="auto"/>
              <w:ind w:firstLine="0"/>
              <w:rPr>
                <w:sz w:val="24"/>
                <w:szCs w:val="24"/>
              </w:rPr>
            </w:pPr>
            <w:r w:rsidRPr="00EA447C">
              <w:rPr>
                <w:sz w:val="24"/>
                <w:szCs w:val="24"/>
              </w:rPr>
              <w:t>4/30/2025</w:t>
            </w:r>
          </w:p>
        </w:tc>
      </w:tr>
      <w:tr w:rsidRPr="00EA447C" w:rsidR="000F29B9" w:rsidTr="00CD39BA" w14:paraId="52427A42" w14:textId="77777777">
        <w:trPr>
          <w:trHeight w:val="300"/>
        </w:trPr>
        <w:tc>
          <w:tcPr>
            <w:tcW w:w="6565" w:type="dxa"/>
            <w:hideMark/>
          </w:tcPr>
          <w:p w:rsidRPr="00EA447C" w:rsidR="000F29B9" w:rsidP="00CD39BA" w:rsidRDefault="000F29B9" w14:paraId="72957153" w14:textId="77777777">
            <w:pPr>
              <w:spacing w:line="240" w:lineRule="auto"/>
              <w:ind w:firstLine="0"/>
              <w:rPr>
                <w:sz w:val="24"/>
                <w:szCs w:val="24"/>
              </w:rPr>
            </w:pPr>
            <w:r w:rsidRPr="00EA447C">
              <w:rPr>
                <w:sz w:val="24"/>
                <w:szCs w:val="24"/>
              </w:rPr>
              <w:t>Site work Completion date</w:t>
            </w:r>
          </w:p>
        </w:tc>
        <w:tc>
          <w:tcPr>
            <w:tcW w:w="2785" w:type="dxa"/>
            <w:noWrap/>
            <w:hideMark/>
          </w:tcPr>
          <w:p w:rsidRPr="00EA447C" w:rsidR="000F29B9" w:rsidP="00CD39BA" w:rsidRDefault="000F29B9" w14:paraId="6A296CDE" w14:textId="77777777">
            <w:pPr>
              <w:spacing w:line="240" w:lineRule="auto"/>
              <w:ind w:firstLine="0"/>
              <w:rPr>
                <w:sz w:val="24"/>
                <w:szCs w:val="24"/>
              </w:rPr>
            </w:pPr>
            <w:r w:rsidRPr="00EA447C">
              <w:rPr>
                <w:sz w:val="24"/>
                <w:szCs w:val="24"/>
              </w:rPr>
              <w:t>6/4/2025</w:t>
            </w:r>
          </w:p>
        </w:tc>
      </w:tr>
      <w:tr w:rsidRPr="00EA447C" w:rsidR="000F29B9" w:rsidTr="00CD39BA" w14:paraId="2F967E04" w14:textId="77777777">
        <w:trPr>
          <w:trHeight w:val="300"/>
        </w:trPr>
        <w:tc>
          <w:tcPr>
            <w:tcW w:w="6565" w:type="dxa"/>
            <w:hideMark/>
          </w:tcPr>
          <w:p w:rsidRPr="00EA447C" w:rsidR="000F29B9" w:rsidP="00CD39BA" w:rsidRDefault="000F29B9" w14:paraId="5B59083F" w14:textId="77777777">
            <w:pPr>
              <w:spacing w:line="240" w:lineRule="auto"/>
              <w:ind w:firstLine="0"/>
              <w:rPr>
                <w:sz w:val="24"/>
                <w:szCs w:val="24"/>
              </w:rPr>
            </w:pPr>
            <w:r w:rsidRPr="00EA447C">
              <w:rPr>
                <w:sz w:val="24"/>
                <w:szCs w:val="24"/>
              </w:rPr>
              <w:t>Service Restart date</w:t>
            </w:r>
          </w:p>
        </w:tc>
        <w:tc>
          <w:tcPr>
            <w:tcW w:w="2785" w:type="dxa"/>
            <w:noWrap/>
            <w:hideMark/>
          </w:tcPr>
          <w:p w:rsidRPr="00EA447C" w:rsidR="000F29B9" w:rsidP="00CD39BA" w:rsidRDefault="000F29B9" w14:paraId="019E43AA" w14:textId="77777777">
            <w:pPr>
              <w:spacing w:line="240" w:lineRule="auto"/>
              <w:ind w:firstLine="0"/>
              <w:rPr>
                <w:sz w:val="24"/>
                <w:szCs w:val="24"/>
              </w:rPr>
            </w:pPr>
            <w:r w:rsidRPr="00EA447C">
              <w:rPr>
                <w:sz w:val="24"/>
                <w:szCs w:val="24"/>
              </w:rPr>
              <w:t>6/20/2025</w:t>
            </w:r>
          </w:p>
        </w:tc>
      </w:tr>
      <w:tr w:rsidRPr="00EA447C" w:rsidR="000F29B9" w:rsidTr="00CD39BA" w14:paraId="18DBEC0E" w14:textId="77777777">
        <w:trPr>
          <w:trHeight w:val="600"/>
        </w:trPr>
        <w:tc>
          <w:tcPr>
            <w:tcW w:w="6565" w:type="dxa"/>
            <w:hideMark/>
          </w:tcPr>
          <w:p w:rsidRPr="00EA447C" w:rsidR="000F29B9" w:rsidP="00CD39BA" w:rsidRDefault="000F29B9" w14:paraId="3B6D2E34" w14:textId="77777777">
            <w:pPr>
              <w:spacing w:line="240" w:lineRule="auto"/>
              <w:ind w:firstLine="0"/>
              <w:rPr>
                <w:sz w:val="24"/>
                <w:szCs w:val="24"/>
              </w:rPr>
            </w:pPr>
            <w:r w:rsidRPr="00EA447C">
              <w:rPr>
                <w:sz w:val="24"/>
                <w:szCs w:val="24"/>
              </w:rPr>
              <w:t>Utility existing service capacity (at the time of initial application) (amp)</w:t>
            </w:r>
          </w:p>
        </w:tc>
        <w:tc>
          <w:tcPr>
            <w:tcW w:w="2785" w:type="dxa"/>
            <w:hideMark/>
          </w:tcPr>
          <w:p w:rsidRPr="00EA447C" w:rsidR="000F29B9" w:rsidP="00CD39BA" w:rsidRDefault="000F29B9" w14:paraId="6692628F" w14:textId="4BFA9F2A">
            <w:pPr>
              <w:spacing w:line="240" w:lineRule="auto"/>
              <w:ind w:firstLine="0"/>
              <w:rPr>
                <w:sz w:val="24"/>
                <w:szCs w:val="24"/>
              </w:rPr>
            </w:pPr>
            <w:r w:rsidRPr="00EA447C">
              <w:rPr>
                <w:sz w:val="24"/>
                <w:szCs w:val="24"/>
              </w:rPr>
              <w:t>60</w:t>
            </w:r>
            <w:r w:rsidRPr="00EA447C" w:rsidR="00BF0656">
              <w:rPr>
                <w:sz w:val="24"/>
                <w:szCs w:val="24"/>
              </w:rPr>
              <w:t xml:space="preserve"> or 40-60 amp</w:t>
            </w:r>
          </w:p>
        </w:tc>
      </w:tr>
      <w:tr w:rsidRPr="00EA447C" w:rsidR="000F29B9" w:rsidTr="00CD39BA" w14:paraId="70336052" w14:textId="77777777">
        <w:trPr>
          <w:trHeight w:val="600"/>
        </w:trPr>
        <w:tc>
          <w:tcPr>
            <w:tcW w:w="6565" w:type="dxa"/>
            <w:hideMark/>
          </w:tcPr>
          <w:p w:rsidRPr="00EA447C" w:rsidR="000F29B9" w:rsidP="00CD39BA" w:rsidRDefault="000F29B9" w14:paraId="47FBA256" w14:textId="04C14CD5">
            <w:pPr>
              <w:spacing w:line="240" w:lineRule="auto"/>
              <w:ind w:firstLine="0"/>
              <w:rPr>
                <w:sz w:val="24"/>
                <w:szCs w:val="24"/>
              </w:rPr>
            </w:pPr>
            <w:r w:rsidRPr="00EA447C">
              <w:rPr>
                <w:sz w:val="24"/>
                <w:szCs w:val="24"/>
              </w:rPr>
              <w:t>Customer existing electrical panel capacity (at the time of initial application)</w:t>
            </w:r>
            <w:r w:rsidRPr="00EA447C" w:rsidR="00BF0656">
              <w:rPr>
                <w:szCs w:val="24"/>
              </w:rPr>
              <w:t xml:space="preserve"> </w:t>
            </w:r>
            <w:r w:rsidRPr="00EA447C" w:rsidR="00BF0656">
              <w:rPr>
                <w:sz w:val="24"/>
                <w:szCs w:val="24"/>
              </w:rPr>
              <w:t xml:space="preserve">(for </w:t>
            </w:r>
            <w:r w:rsidRPr="00EA447C" w:rsidR="00F20882">
              <w:rPr>
                <w:sz w:val="24"/>
                <w:szCs w:val="24"/>
              </w:rPr>
              <w:t>M</w:t>
            </w:r>
            <w:r w:rsidRPr="00EA447C" w:rsidR="00BF0656">
              <w:rPr>
                <w:sz w:val="24"/>
                <w:szCs w:val="24"/>
              </w:rPr>
              <w:t>ulti-family, specify dwelling units’ subpanel capacity, or range, if more than one size)</w:t>
            </w:r>
          </w:p>
        </w:tc>
        <w:tc>
          <w:tcPr>
            <w:tcW w:w="2785" w:type="dxa"/>
            <w:hideMark/>
          </w:tcPr>
          <w:p w:rsidRPr="00EA447C" w:rsidR="000F29B9" w:rsidP="00CD39BA" w:rsidRDefault="000F29B9" w14:paraId="1B8FA180" w14:textId="77777777">
            <w:pPr>
              <w:spacing w:line="240" w:lineRule="auto"/>
              <w:ind w:firstLine="0"/>
              <w:rPr>
                <w:sz w:val="24"/>
                <w:szCs w:val="24"/>
              </w:rPr>
            </w:pPr>
            <w:r w:rsidRPr="00EA447C">
              <w:rPr>
                <w:sz w:val="24"/>
                <w:szCs w:val="24"/>
              </w:rPr>
              <w:t>60</w:t>
            </w:r>
          </w:p>
        </w:tc>
      </w:tr>
      <w:tr w:rsidRPr="00EA447C" w:rsidR="000F29B9" w:rsidTr="00CD39BA" w14:paraId="64CD0A35" w14:textId="77777777">
        <w:trPr>
          <w:trHeight w:val="300"/>
        </w:trPr>
        <w:tc>
          <w:tcPr>
            <w:tcW w:w="6565" w:type="dxa"/>
            <w:hideMark/>
          </w:tcPr>
          <w:p w:rsidRPr="00EA447C" w:rsidR="000F29B9" w:rsidP="00CD39BA" w:rsidRDefault="000F29B9" w14:paraId="7E032C29" w14:textId="77777777">
            <w:pPr>
              <w:spacing w:line="240" w:lineRule="auto"/>
              <w:ind w:firstLine="0"/>
              <w:rPr>
                <w:sz w:val="24"/>
                <w:szCs w:val="24"/>
              </w:rPr>
            </w:pPr>
            <w:r w:rsidRPr="00EA447C">
              <w:rPr>
                <w:sz w:val="24"/>
                <w:szCs w:val="24"/>
              </w:rPr>
              <w:t>Utility Installed Electrical Service Capacity</w:t>
            </w:r>
          </w:p>
        </w:tc>
        <w:tc>
          <w:tcPr>
            <w:tcW w:w="2785" w:type="dxa"/>
            <w:hideMark/>
          </w:tcPr>
          <w:p w:rsidRPr="00EA447C" w:rsidR="000F29B9" w:rsidP="00CD39BA" w:rsidRDefault="000F29B9" w14:paraId="5AC22332" w14:textId="77777777">
            <w:pPr>
              <w:spacing w:line="240" w:lineRule="auto"/>
              <w:ind w:firstLine="0"/>
              <w:rPr>
                <w:sz w:val="24"/>
                <w:szCs w:val="24"/>
              </w:rPr>
            </w:pPr>
            <w:r w:rsidRPr="00EA447C">
              <w:rPr>
                <w:sz w:val="24"/>
                <w:szCs w:val="24"/>
              </w:rPr>
              <w:t>200</w:t>
            </w:r>
          </w:p>
        </w:tc>
      </w:tr>
      <w:tr w:rsidRPr="00EA447C" w:rsidR="000F29B9" w:rsidTr="00CD39BA" w14:paraId="18A641A5" w14:textId="77777777">
        <w:trPr>
          <w:trHeight w:val="300"/>
        </w:trPr>
        <w:tc>
          <w:tcPr>
            <w:tcW w:w="6565" w:type="dxa"/>
            <w:hideMark/>
          </w:tcPr>
          <w:p w:rsidRPr="00EA447C" w:rsidR="000F29B9" w:rsidP="00CD39BA" w:rsidRDefault="000F29B9" w14:paraId="290D7350" w14:textId="77777777">
            <w:pPr>
              <w:spacing w:line="240" w:lineRule="auto"/>
              <w:ind w:firstLine="0"/>
              <w:rPr>
                <w:sz w:val="24"/>
                <w:szCs w:val="24"/>
              </w:rPr>
            </w:pPr>
            <w:r w:rsidRPr="00EA447C">
              <w:rPr>
                <w:sz w:val="24"/>
                <w:szCs w:val="24"/>
              </w:rPr>
              <w:t>Customer Installed electrical panel capacity</w:t>
            </w:r>
          </w:p>
        </w:tc>
        <w:tc>
          <w:tcPr>
            <w:tcW w:w="2785" w:type="dxa"/>
            <w:hideMark/>
          </w:tcPr>
          <w:p w:rsidRPr="00EA447C" w:rsidR="000F29B9" w:rsidP="00CD39BA" w:rsidRDefault="000F29B9" w14:paraId="040D98A9" w14:textId="77777777">
            <w:pPr>
              <w:spacing w:line="240" w:lineRule="auto"/>
              <w:ind w:firstLine="0"/>
              <w:rPr>
                <w:sz w:val="24"/>
                <w:szCs w:val="24"/>
              </w:rPr>
            </w:pPr>
            <w:r w:rsidRPr="00EA447C">
              <w:rPr>
                <w:sz w:val="24"/>
                <w:szCs w:val="24"/>
              </w:rPr>
              <w:t>200</w:t>
            </w:r>
          </w:p>
        </w:tc>
      </w:tr>
      <w:tr w:rsidRPr="00EA447C" w:rsidR="000F29B9" w:rsidTr="00CD39BA" w14:paraId="725F4575" w14:textId="77777777">
        <w:trPr>
          <w:trHeight w:val="300"/>
        </w:trPr>
        <w:tc>
          <w:tcPr>
            <w:tcW w:w="6565" w:type="dxa"/>
            <w:hideMark/>
          </w:tcPr>
          <w:p w:rsidRPr="00EA447C" w:rsidR="000F29B9" w:rsidP="00CD39BA" w:rsidRDefault="000F29B9" w14:paraId="3D311DE6" w14:textId="31684BDD">
            <w:pPr>
              <w:spacing w:line="240" w:lineRule="auto"/>
              <w:ind w:firstLine="0"/>
              <w:rPr>
                <w:sz w:val="24"/>
                <w:szCs w:val="24"/>
              </w:rPr>
            </w:pPr>
            <w:r w:rsidRPr="00EA447C">
              <w:rPr>
                <w:sz w:val="24"/>
                <w:szCs w:val="24"/>
              </w:rPr>
              <w:t xml:space="preserve">Were full utility costs </w:t>
            </w:r>
            <w:proofErr w:type="spellStart"/>
            <w:r w:rsidRPr="00EA447C">
              <w:rPr>
                <w:sz w:val="24"/>
                <w:szCs w:val="24"/>
              </w:rPr>
              <w:t>ratebased</w:t>
            </w:r>
            <w:proofErr w:type="spellEnd"/>
            <w:r w:rsidRPr="00EA447C">
              <w:rPr>
                <w:sz w:val="24"/>
                <w:szCs w:val="24"/>
              </w:rPr>
              <w:t xml:space="preserve">? </w:t>
            </w:r>
            <w:r w:rsidRPr="00EA447C" w:rsidR="00BE7380">
              <w:rPr>
                <w:sz w:val="24"/>
                <w:szCs w:val="24"/>
              </w:rPr>
              <w:t>(</w:t>
            </w:r>
            <w:r w:rsidRPr="00EA447C">
              <w:rPr>
                <w:sz w:val="24"/>
                <w:szCs w:val="24"/>
              </w:rPr>
              <w:t>Y/N</w:t>
            </w:r>
            <w:r w:rsidRPr="00EA447C" w:rsidR="00BE7380">
              <w:rPr>
                <w:sz w:val="24"/>
                <w:szCs w:val="24"/>
              </w:rPr>
              <w:t>)</w:t>
            </w:r>
          </w:p>
        </w:tc>
        <w:tc>
          <w:tcPr>
            <w:tcW w:w="2785" w:type="dxa"/>
            <w:hideMark/>
          </w:tcPr>
          <w:p w:rsidRPr="00EA447C" w:rsidR="000F29B9" w:rsidP="00CD39BA" w:rsidRDefault="000F29B9" w14:paraId="2054DAEC" w14:textId="77777777">
            <w:pPr>
              <w:spacing w:line="240" w:lineRule="auto"/>
              <w:ind w:firstLine="0"/>
              <w:rPr>
                <w:sz w:val="24"/>
                <w:szCs w:val="24"/>
              </w:rPr>
            </w:pPr>
            <w:r w:rsidRPr="00EA447C">
              <w:rPr>
                <w:sz w:val="24"/>
                <w:szCs w:val="24"/>
              </w:rPr>
              <w:t>Y</w:t>
            </w:r>
          </w:p>
        </w:tc>
      </w:tr>
      <w:tr w:rsidRPr="00EA447C" w:rsidR="000F29B9" w:rsidTr="00CD39BA" w14:paraId="4EFF21BD" w14:textId="77777777">
        <w:trPr>
          <w:trHeight w:val="600"/>
        </w:trPr>
        <w:tc>
          <w:tcPr>
            <w:tcW w:w="6565" w:type="dxa"/>
            <w:hideMark/>
          </w:tcPr>
          <w:p w:rsidRPr="00EA447C" w:rsidR="000F29B9" w:rsidP="00CD39BA" w:rsidRDefault="000F29B9" w14:paraId="4BF87C69" w14:textId="398625B9">
            <w:pPr>
              <w:spacing w:line="240" w:lineRule="auto"/>
              <w:ind w:firstLine="0"/>
              <w:rPr>
                <w:sz w:val="24"/>
                <w:szCs w:val="24"/>
              </w:rPr>
            </w:pPr>
            <w:r w:rsidRPr="00EA447C">
              <w:rPr>
                <w:sz w:val="24"/>
                <w:szCs w:val="24"/>
              </w:rPr>
              <w:t xml:space="preserve">Is customer a participant of any income-based electrification program? </w:t>
            </w:r>
            <w:r w:rsidRPr="00EA447C" w:rsidR="00BE7380">
              <w:rPr>
                <w:sz w:val="24"/>
                <w:szCs w:val="24"/>
              </w:rPr>
              <w:t>(</w:t>
            </w:r>
            <w:r w:rsidRPr="00EA447C">
              <w:rPr>
                <w:sz w:val="24"/>
                <w:szCs w:val="24"/>
              </w:rPr>
              <w:t>Y/N</w:t>
            </w:r>
            <w:r w:rsidRPr="00EA447C" w:rsidR="00BE7380">
              <w:rPr>
                <w:sz w:val="24"/>
                <w:szCs w:val="24"/>
              </w:rPr>
              <w:t>)</w:t>
            </w:r>
          </w:p>
        </w:tc>
        <w:tc>
          <w:tcPr>
            <w:tcW w:w="2785" w:type="dxa"/>
            <w:hideMark/>
          </w:tcPr>
          <w:p w:rsidRPr="00EA447C" w:rsidR="000F29B9" w:rsidP="00CD39BA" w:rsidRDefault="000F29B9" w14:paraId="16C998FF" w14:textId="77777777">
            <w:pPr>
              <w:spacing w:line="240" w:lineRule="auto"/>
              <w:ind w:firstLine="0"/>
              <w:rPr>
                <w:sz w:val="24"/>
                <w:szCs w:val="24"/>
              </w:rPr>
            </w:pPr>
            <w:r w:rsidRPr="00EA447C">
              <w:rPr>
                <w:sz w:val="24"/>
                <w:szCs w:val="24"/>
              </w:rPr>
              <w:t>Y</w:t>
            </w:r>
          </w:p>
        </w:tc>
      </w:tr>
      <w:tr w:rsidRPr="00EA447C" w:rsidR="000F29B9" w:rsidTr="00CD39BA" w14:paraId="1D38FD28" w14:textId="77777777">
        <w:trPr>
          <w:trHeight w:val="600"/>
        </w:trPr>
        <w:tc>
          <w:tcPr>
            <w:tcW w:w="6565" w:type="dxa"/>
            <w:hideMark/>
          </w:tcPr>
          <w:p w:rsidRPr="00EA447C" w:rsidR="000F29B9" w:rsidP="00CD39BA" w:rsidRDefault="000F29B9" w14:paraId="2CBE24DB" w14:textId="77777777">
            <w:pPr>
              <w:spacing w:line="240" w:lineRule="auto"/>
              <w:ind w:firstLine="0"/>
              <w:rPr>
                <w:sz w:val="24"/>
                <w:szCs w:val="24"/>
              </w:rPr>
            </w:pPr>
            <w:r w:rsidRPr="00EA447C">
              <w:rPr>
                <w:sz w:val="24"/>
                <w:szCs w:val="24"/>
              </w:rPr>
              <w:t>Name of Program/s that the customer has participated in for electrification</w:t>
            </w:r>
          </w:p>
        </w:tc>
        <w:tc>
          <w:tcPr>
            <w:tcW w:w="2785" w:type="dxa"/>
            <w:hideMark/>
          </w:tcPr>
          <w:p w:rsidRPr="00EA447C" w:rsidR="000F29B9" w:rsidP="00CD39BA" w:rsidRDefault="000F29B9" w14:paraId="1598AD31" w14:textId="77777777">
            <w:pPr>
              <w:spacing w:line="240" w:lineRule="auto"/>
              <w:ind w:firstLine="0"/>
              <w:rPr>
                <w:sz w:val="24"/>
                <w:szCs w:val="24"/>
              </w:rPr>
            </w:pPr>
            <w:r w:rsidRPr="00EA447C">
              <w:rPr>
                <w:sz w:val="24"/>
                <w:szCs w:val="24"/>
              </w:rPr>
              <w:t>Equitable Building Decarbonization Direct Install</w:t>
            </w:r>
          </w:p>
        </w:tc>
      </w:tr>
      <w:tr w:rsidRPr="00EA447C" w:rsidR="000F29B9" w:rsidTr="00CD39BA" w14:paraId="1C1E2C4F" w14:textId="77777777">
        <w:trPr>
          <w:trHeight w:val="600"/>
        </w:trPr>
        <w:tc>
          <w:tcPr>
            <w:tcW w:w="6565" w:type="dxa"/>
            <w:hideMark/>
          </w:tcPr>
          <w:p w:rsidRPr="00EA447C" w:rsidR="000F29B9" w:rsidP="00CD39BA" w:rsidRDefault="000F29B9" w14:paraId="2E549E88" w14:textId="77777777">
            <w:pPr>
              <w:spacing w:line="240" w:lineRule="auto"/>
              <w:ind w:firstLine="0"/>
              <w:rPr>
                <w:sz w:val="24"/>
                <w:szCs w:val="24"/>
              </w:rPr>
            </w:pPr>
            <w:r w:rsidRPr="00EA447C">
              <w:rPr>
                <w:sz w:val="24"/>
                <w:szCs w:val="24"/>
              </w:rPr>
              <w:t>Year the customer enrolled in program (if participant in more than one program, provide the last enrolled)</w:t>
            </w:r>
          </w:p>
        </w:tc>
        <w:tc>
          <w:tcPr>
            <w:tcW w:w="2785" w:type="dxa"/>
            <w:noWrap/>
            <w:hideMark/>
          </w:tcPr>
          <w:p w:rsidRPr="00EA447C" w:rsidR="000F29B9" w:rsidP="00CD39BA" w:rsidRDefault="000F29B9" w14:paraId="7F528751" w14:textId="77777777">
            <w:pPr>
              <w:spacing w:line="240" w:lineRule="auto"/>
              <w:ind w:firstLine="0"/>
              <w:rPr>
                <w:sz w:val="24"/>
                <w:szCs w:val="24"/>
              </w:rPr>
            </w:pPr>
            <w:r w:rsidRPr="00EA447C">
              <w:rPr>
                <w:sz w:val="24"/>
                <w:szCs w:val="24"/>
              </w:rPr>
              <w:t>2025</w:t>
            </w:r>
          </w:p>
        </w:tc>
      </w:tr>
      <w:tr w:rsidRPr="00EA447C" w:rsidR="000F29B9" w:rsidTr="00CD39BA" w14:paraId="0BA73676" w14:textId="77777777">
        <w:trPr>
          <w:trHeight w:val="300"/>
        </w:trPr>
        <w:tc>
          <w:tcPr>
            <w:tcW w:w="6565" w:type="dxa"/>
            <w:hideMark/>
          </w:tcPr>
          <w:p w:rsidRPr="00EA447C" w:rsidR="000F29B9" w:rsidP="00CD39BA" w:rsidRDefault="000F29B9" w14:paraId="4C968C2B" w14:textId="15D8E9C7">
            <w:pPr>
              <w:spacing w:line="240" w:lineRule="auto"/>
              <w:ind w:firstLine="0"/>
              <w:rPr>
                <w:sz w:val="24"/>
                <w:szCs w:val="24"/>
              </w:rPr>
            </w:pPr>
            <w:r w:rsidRPr="00EA447C">
              <w:rPr>
                <w:sz w:val="24"/>
                <w:szCs w:val="24"/>
              </w:rPr>
              <w:t xml:space="preserve">Has the premise fully electrified after service upsizing? </w:t>
            </w:r>
            <w:r w:rsidRPr="00EA447C" w:rsidR="00BE7380">
              <w:rPr>
                <w:sz w:val="24"/>
                <w:szCs w:val="24"/>
              </w:rPr>
              <w:t>(</w:t>
            </w:r>
            <w:r w:rsidRPr="00EA447C">
              <w:rPr>
                <w:sz w:val="24"/>
                <w:szCs w:val="24"/>
              </w:rPr>
              <w:t>Y/N</w:t>
            </w:r>
            <w:r w:rsidRPr="00EA447C" w:rsidR="00BE7380">
              <w:rPr>
                <w:sz w:val="24"/>
                <w:szCs w:val="24"/>
              </w:rPr>
              <w:t>)</w:t>
            </w:r>
          </w:p>
        </w:tc>
        <w:tc>
          <w:tcPr>
            <w:tcW w:w="2785" w:type="dxa"/>
            <w:hideMark/>
          </w:tcPr>
          <w:p w:rsidRPr="00EA447C" w:rsidR="000F29B9" w:rsidP="00CD39BA" w:rsidRDefault="000F29B9" w14:paraId="468C33AC" w14:textId="77777777">
            <w:pPr>
              <w:spacing w:line="240" w:lineRule="auto"/>
              <w:ind w:firstLine="0"/>
              <w:rPr>
                <w:sz w:val="24"/>
                <w:szCs w:val="24"/>
              </w:rPr>
            </w:pPr>
            <w:r w:rsidRPr="00EA447C">
              <w:rPr>
                <w:sz w:val="24"/>
                <w:szCs w:val="24"/>
              </w:rPr>
              <w:t>Y</w:t>
            </w:r>
          </w:p>
        </w:tc>
      </w:tr>
      <w:tr w:rsidRPr="00EA447C" w:rsidR="000F29B9" w:rsidTr="00CD39BA" w14:paraId="0ECA212F" w14:textId="77777777">
        <w:trPr>
          <w:trHeight w:val="300"/>
        </w:trPr>
        <w:tc>
          <w:tcPr>
            <w:tcW w:w="6565" w:type="dxa"/>
            <w:hideMark/>
          </w:tcPr>
          <w:p w:rsidRPr="00EA447C" w:rsidR="000F29B9" w:rsidP="00CD39BA" w:rsidRDefault="000F29B9" w14:paraId="28E112B4" w14:textId="06AD3ADC">
            <w:pPr>
              <w:spacing w:line="240" w:lineRule="auto"/>
              <w:ind w:firstLine="0"/>
              <w:rPr>
                <w:sz w:val="24"/>
                <w:szCs w:val="24"/>
              </w:rPr>
            </w:pPr>
            <w:r w:rsidRPr="00EA447C">
              <w:rPr>
                <w:sz w:val="24"/>
                <w:szCs w:val="24"/>
              </w:rPr>
              <w:t>Premise Type: Small Business, Single</w:t>
            </w:r>
            <w:r w:rsidRPr="00EA447C" w:rsidR="007B3CC2">
              <w:rPr>
                <w:sz w:val="24"/>
                <w:szCs w:val="24"/>
              </w:rPr>
              <w:t>-f</w:t>
            </w:r>
            <w:r w:rsidRPr="00EA447C">
              <w:rPr>
                <w:sz w:val="24"/>
                <w:szCs w:val="24"/>
              </w:rPr>
              <w:t>amily</w:t>
            </w:r>
            <w:r w:rsidRPr="00EA447C" w:rsidR="00BE7380">
              <w:rPr>
                <w:sz w:val="24"/>
                <w:szCs w:val="24"/>
              </w:rPr>
              <w:t>,</w:t>
            </w:r>
            <w:r w:rsidRPr="00EA447C">
              <w:rPr>
                <w:sz w:val="24"/>
                <w:szCs w:val="24"/>
              </w:rPr>
              <w:t xml:space="preserve"> or Multi</w:t>
            </w:r>
            <w:r w:rsidRPr="00EA447C" w:rsidR="007B3CC2">
              <w:rPr>
                <w:sz w:val="24"/>
                <w:szCs w:val="24"/>
              </w:rPr>
              <w:t>-</w:t>
            </w:r>
            <w:r w:rsidRPr="00EA447C">
              <w:rPr>
                <w:sz w:val="24"/>
                <w:szCs w:val="24"/>
              </w:rPr>
              <w:t>family</w:t>
            </w:r>
          </w:p>
        </w:tc>
        <w:tc>
          <w:tcPr>
            <w:tcW w:w="2785" w:type="dxa"/>
            <w:hideMark/>
          </w:tcPr>
          <w:p w:rsidRPr="00EA447C" w:rsidR="000F29B9" w:rsidP="00CD39BA" w:rsidRDefault="000F29B9" w14:paraId="5D9741F4" w14:textId="3EB7C0BA">
            <w:pPr>
              <w:spacing w:line="240" w:lineRule="auto"/>
              <w:ind w:firstLine="0"/>
              <w:rPr>
                <w:sz w:val="24"/>
                <w:szCs w:val="24"/>
              </w:rPr>
            </w:pPr>
            <w:r w:rsidRPr="00EA447C">
              <w:rPr>
                <w:sz w:val="24"/>
                <w:szCs w:val="24"/>
              </w:rPr>
              <w:t>Single</w:t>
            </w:r>
            <w:r w:rsidRPr="00EA447C" w:rsidR="007B3CC2">
              <w:rPr>
                <w:sz w:val="24"/>
                <w:szCs w:val="24"/>
              </w:rPr>
              <w:t>-f</w:t>
            </w:r>
            <w:r w:rsidRPr="00EA447C">
              <w:rPr>
                <w:sz w:val="24"/>
                <w:szCs w:val="24"/>
              </w:rPr>
              <w:t>amily</w:t>
            </w:r>
          </w:p>
        </w:tc>
      </w:tr>
      <w:tr w:rsidRPr="00EA447C" w:rsidR="006C5441" w:rsidTr="00CD39BA" w14:paraId="0304B2B6" w14:textId="77777777">
        <w:trPr>
          <w:trHeight w:val="300"/>
        </w:trPr>
        <w:tc>
          <w:tcPr>
            <w:tcW w:w="6565" w:type="dxa"/>
          </w:tcPr>
          <w:p w:rsidRPr="00EA447C" w:rsidR="006C5441" w:rsidP="00CD39BA" w:rsidRDefault="006C5441" w14:paraId="60442FFD" w14:textId="2C5FBF7D">
            <w:pPr>
              <w:spacing w:line="240" w:lineRule="auto"/>
              <w:ind w:firstLine="0"/>
              <w:rPr>
                <w:sz w:val="24"/>
                <w:szCs w:val="24"/>
              </w:rPr>
            </w:pPr>
            <w:r w:rsidRPr="00EA447C">
              <w:rPr>
                <w:sz w:val="24"/>
                <w:szCs w:val="24"/>
              </w:rPr>
              <w:lastRenderedPageBreak/>
              <w:t>Number of Interconnecting Service Lines (</w:t>
            </w:r>
            <w:r w:rsidRPr="00EA447C" w:rsidR="00067B9D">
              <w:rPr>
                <w:sz w:val="24"/>
                <w:szCs w:val="24"/>
              </w:rPr>
              <w:t>f</w:t>
            </w:r>
            <w:r w:rsidRPr="00EA447C">
              <w:rPr>
                <w:sz w:val="24"/>
                <w:szCs w:val="24"/>
              </w:rPr>
              <w:t xml:space="preserve">or </w:t>
            </w:r>
            <w:r w:rsidRPr="00EA447C" w:rsidR="007B3CC2">
              <w:rPr>
                <w:sz w:val="24"/>
                <w:szCs w:val="24"/>
              </w:rPr>
              <w:t>M</w:t>
            </w:r>
            <w:r w:rsidRPr="00EA447C">
              <w:rPr>
                <w:sz w:val="24"/>
                <w:szCs w:val="24"/>
              </w:rPr>
              <w:t>ulti</w:t>
            </w:r>
            <w:r w:rsidRPr="00EA447C" w:rsidR="00067B9D">
              <w:rPr>
                <w:sz w:val="24"/>
                <w:szCs w:val="24"/>
              </w:rPr>
              <w:t>-</w:t>
            </w:r>
            <w:r w:rsidRPr="00EA447C">
              <w:rPr>
                <w:sz w:val="24"/>
                <w:szCs w:val="24"/>
              </w:rPr>
              <w:t>family only) </w:t>
            </w:r>
          </w:p>
        </w:tc>
        <w:tc>
          <w:tcPr>
            <w:tcW w:w="2785" w:type="dxa"/>
          </w:tcPr>
          <w:p w:rsidRPr="00EA447C" w:rsidR="006C5441" w:rsidP="00CD39BA" w:rsidRDefault="00C260E6" w14:paraId="32F1D853" w14:textId="7041E930">
            <w:pPr>
              <w:spacing w:line="240" w:lineRule="auto"/>
              <w:ind w:firstLine="0"/>
              <w:rPr>
                <w:sz w:val="24"/>
                <w:szCs w:val="24"/>
              </w:rPr>
            </w:pPr>
            <w:r w:rsidRPr="00EA447C">
              <w:rPr>
                <w:sz w:val="24"/>
                <w:szCs w:val="24"/>
              </w:rPr>
              <w:t>E</w:t>
            </w:r>
            <w:r w:rsidRPr="00EA447C" w:rsidR="003F3350">
              <w:rPr>
                <w:sz w:val="24"/>
                <w:szCs w:val="24"/>
              </w:rPr>
              <w:t>.g.</w:t>
            </w:r>
            <w:r w:rsidRPr="00EA447C">
              <w:rPr>
                <w:sz w:val="24"/>
                <w:szCs w:val="24"/>
              </w:rPr>
              <w:t>,</w:t>
            </w:r>
            <w:r w:rsidRPr="00EA447C" w:rsidR="000826C8">
              <w:rPr>
                <w:sz w:val="24"/>
                <w:szCs w:val="24"/>
              </w:rPr>
              <w:t xml:space="preserve"> 2</w:t>
            </w:r>
          </w:p>
        </w:tc>
      </w:tr>
      <w:tr w:rsidRPr="00EA447C" w:rsidR="006C5441" w:rsidTr="00CD39BA" w14:paraId="6DB5B7AC" w14:textId="77777777">
        <w:trPr>
          <w:trHeight w:val="300"/>
        </w:trPr>
        <w:tc>
          <w:tcPr>
            <w:tcW w:w="6565" w:type="dxa"/>
          </w:tcPr>
          <w:p w:rsidRPr="00EA447C" w:rsidR="006C5441" w:rsidP="006C5441" w:rsidRDefault="006C5441" w14:paraId="284E6C15" w14:textId="105E932E">
            <w:pPr>
              <w:spacing w:line="240" w:lineRule="auto"/>
              <w:ind w:firstLine="0"/>
              <w:rPr>
                <w:sz w:val="24"/>
                <w:szCs w:val="24"/>
              </w:rPr>
            </w:pPr>
            <w:r w:rsidRPr="00EA447C">
              <w:rPr>
                <w:sz w:val="24"/>
                <w:szCs w:val="24"/>
              </w:rPr>
              <w:t>Number of dwelling units within property (</w:t>
            </w:r>
            <w:r w:rsidRPr="00EA447C" w:rsidR="00067B9D">
              <w:rPr>
                <w:sz w:val="24"/>
                <w:szCs w:val="24"/>
              </w:rPr>
              <w:t>f</w:t>
            </w:r>
            <w:r w:rsidRPr="00EA447C">
              <w:rPr>
                <w:sz w:val="24"/>
                <w:szCs w:val="24"/>
              </w:rPr>
              <w:t xml:space="preserve">or </w:t>
            </w:r>
            <w:r w:rsidRPr="00EA447C" w:rsidR="007B3CC2">
              <w:rPr>
                <w:sz w:val="24"/>
                <w:szCs w:val="24"/>
              </w:rPr>
              <w:t>M</w:t>
            </w:r>
            <w:r w:rsidRPr="00EA447C">
              <w:rPr>
                <w:sz w:val="24"/>
                <w:szCs w:val="24"/>
              </w:rPr>
              <w:t>ulti</w:t>
            </w:r>
            <w:r w:rsidRPr="00EA447C" w:rsidR="00067B9D">
              <w:rPr>
                <w:sz w:val="24"/>
                <w:szCs w:val="24"/>
              </w:rPr>
              <w:t>-</w:t>
            </w:r>
            <w:r w:rsidRPr="00EA447C">
              <w:rPr>
                <w:sz w:val="24"/>
                <w:szCs w:val="24"/>
              </w:rPr>
              <w:t>family only) </w:t>
            </w:r>
          </w:p>
        </w:tc>
        <w:tc>
          <w:tcPr>
            <w:tcW w:w="2785" w:type="dxa"/>
          </w:tcPr>
          <w:p w:rsidRPr="00EA447C" w:rsidR="006C5441" w:rsidP="00CD39BA" w:rsidRDefault="00C260E6" w14:paraId="63953240" w14:textId="1740FBF8">
            <w:pPr>
              <w:spacing w:line="240" w:lineRule="auto"/>
              <w:ind w:firstLine="0"/>
              <w:rPr>
                <w:sz w:val="24"/>
                <w:szCs w:val="24"/>
              </w:rPr>
            </w:pPr>
            <w:r w:rsidRPr="00EA447C">
              <w:rPr>
                <w:sz w:val="24"/>
                <w:szCs w:val="24"/>
              </w:rPr>
              <w:t>E</w:t>
            </w:r>
            <w:r w:rsidRPr="00EA447C" w:rsidR="00E42F8B">
              <w:rPr>
                <w:sz w:val="24"/>
                <w:szCs w:val="24"/>
              </w:rPr>
              <w:t>.g.</w:t>
            </w:r>
            <w:r w:rsidRPr="00EA447C">
              <w:rPr>
                <w:sz w:val="24"/>
                <w:szCs w:val="24"/>
              </w:rPr>
              <w:t>,</w:t>
            </w:r>
            <w:r w:rsidRPr="00EA447C" w:rsidR="00E42F8B">
              <w:rPr>
                <w:sz w:val="24"/>
                <w:szCs w:val="24"/>
              </w:rPr>
              <w:t xml:space="preserve"> </w:t>
            </w:r>
            <w:r w:rsidRPr="00EA447C" w:rsidR="00391924">
              <w:rPr>
                <w:sz w:val="24"/>
                <w:szCs w:val="24"/>
              </w:rPr>
              <w:t>120</w:t>
            </w:r>
          </w:p>
        </w:tc>
      </w:tr>
      <w:tr w:rsidRPr="00EA447C" w:rsidR="000F29B9" w:rsidTr="00CD39BA" w14:paraId="4F97EE8D" w14:textId="77777777">
        <w:trPr>
          <w:trHeight w:val="300"/>
        </w:trPr>
        <w:tc>
          <w:tcPr>
            <w:tcW w:w="6565" w:type="dxa"/>
            <w:hideMark/>
          </w:tcPr>
          <w:p w:rsidRPr="00EA447C" w:rsidR="000F29B9" w:rsidP="00CD39BA" w:rsidRDefault="006C5441" w14:paraId="7B67BEFE" w14:textId="330F0BAC">
            <w:pPr>
              <w:spacing w:line="240" w:lineRule="auto"/>
              <w:ind w:firstLine="0"/>
              <w:rPr>
                <w:sz w:val="24"/>
                <w:szCs w:val="24"/>
              </w:rPr>
            </w:pPr>
            <w:r w:rsidRPr="00EA447C">
              <w:rPr>
                <w:sz w:val="24"/>
                <w:szCs w:val="24"/>
              </w:rPr>
              <w:t xml:space="preserve">Subsidy received from Common facility cost treatment policy </w:t>
            </w:r>
            <w:r w:rsidRPr="00EA447C" w:rsidR="000F29B9">
              <w:rPr>
                <w:sz w:val="24"/>
                <w:szCs w:val="24"/>
              </w:rPr>
              <w:t>($s)</w:t>
            </w:r>
          </w:p>
        </w:tc>
        <w:tc>
          <w:tcPr>
            <w:tcW w:w="2785" w:type="dxa"/>
            <w:hideMark/>
          </w:tcPr>
          <w:p w:rsidRPr="00EA447C" w:rsidR="000F29B9" w:rsidP="00CD39BA" w:rsidRDefault="00D273EC" w14:paraId="56171BF2" w14:textId="633F9043">
            <w:pPr>
              <w:spacing w:line="240" w:lineRule="auto"/>
              <w:ind w:firstLine="0"/>
              <w:rPr>
                <w:sz w:val="24"/>
                <w:szCs w:val="24"/>
              </w:rPr>
            </w:pPr>
            <w:r w:rsidRPr="00EA447C">
              <w:rPr>
                <w:sz w:val="24"/>
                <w:szCs w:val="24"/>
              </w:rPr>
              <w:t>E</w:t>
            </w:r>
            <w:r w:rsidRPr="00EA447C" w:rsidR="00197AEB">
              <w:rPr>
                <w:sz w:val="24"/>
                <w:szCs w:val="24"/>
              </w:rPr>
              <w:t>.g.</w:t>
            </w:r>
            <w:r w:rsidRPr="00EA447C" w:rsidR="006C5441">
              <w:rPr>
                <w:sz w:val="24"/>
                <w:szCs w:val="24"/>
              </w:rPr>
              <w:t>,</w:t>
            </w:r>
            <w:r w:rsidRPr="00EA447C" w:rsidR="00197AEB">
              <w:rPr>
                <w:sz w:val="24"/>
                <w:szCs w:val="24"/>
              </w:rPr>
              <w:t xml:space="preserve"> </w:t>
            </w:r>
            <w:r w:rsidRPr="00EA447C" w:rsidR="000F29B9">
              <w:rPr>
                <w:sz w:val="24"/>
                <w:szCs w:val="24"/>
              </w:rPr>
              <w:t>$8,343.00</w:t>
            </w:r>
          </w:p>
        </w:tc>
      </w:tr>
      <w:tr w:rsidRPr="00EA447C" w:rsidR="006C5441" w:rsidTr="00CD39BA" w14:paraId="2597BA7C" w14:textId="77777777">
        <w:trPr>
          <w:trHeight w:val="300"/>
        </w:trPr>
        <w:tc>
          <w:tcPr>
            <w:tcW w:w="6565" w:type="dxa"/>
          </w:tcPr>
          <w:p w:rsidRPr="00EA447C" w:rsidR="006C5441" w:rsidDel="006C5441" w:rsidP="00CD39BA" w:rsidRDefault="006C5441" w14:paraId="4EA4FC21" w14:textId="6018757B">
            <w:pPr>
              <w:spacing w:line="240" w:lineRule="auto"/>
              <w:ind w:firstLine="0"/>
              <w:rPr>
                <w:sz w:val="24"/>
                <w:szCs w:val="24"/>
              </w:rPr>
            </w:pPr>
            <w:r w:rsidRPr="00EA447C">
              <w:rPr>
                <w:sz w:val="24"/>
                <w:szCs w:val="24"/>
              </w:rPr>
              <w:t>Rule 16 Allowance received ($s) </w:t>
            </w:r>
          </w:p>
        </w:tc>
        <w:tc>
          <w:tcPr>
            <w:tcW w:w="2785" w:type="dxa"/>
          </w:tcPr>
          <w:p w:rsidRPr="00EA447C" w:rsidR="006C5441" w:rsidP="00CD39BA" w:rsidRDefault="00D273EC" w14:paraId="2A6952BC" w14:textId="188E3ED2">
            <w:pPr>
              <w:spacing w:line="240" w:lineRule="auto"/>
              <w:ind w:firstLine="0"/>
              <w:rPr>
                <w:sz w:val="24"/>
                <w:szCs w:val="24"/>
              </w:rPr>
            </w:pPr>
            <w:r w:rsidRPr="00EA447C">
              <w:rPr>
                <w:sz w:val="24"/>
                <w:szCs w:val="24"/>
              </w:rPr>
              <w:t>E</w:t>
            </w:r>
            <w:r w:rsidRPr="00EA447C" w:rsidR="006C5441">
              <w:rPr>
                <w:sz w:val="24"/>
                <w:szCs w:val="24"/>
              </w:rPr>
              <w:t>.g., $2,500 </w:t>
            </w:r>
          </w:p>
        </w:tc>
      </w:tr>
      <w:tr w:rsidRPr="00EA447C" w:rsidR="000F29B9" w:rsidTr="00CD39BA" w14:paraId="1356283D" w14:textId="77777777">
        <w:trPr>
          <w:trHeight w:val="300"/>
        </w:trPr>
        <w:tc>
          <w:tcPr>
            <w:tcW w:w="6565" w:type="dxa"/>
            <w:hideMark/>
          </w:tcPr>
          <w:p w:rsidRPr="00EA447C" w:rsidR="000F29B9" w:rsidP="00CD39BA" w:rsidRDefault="000F29B9" w14:paraId="12A776AF" w14:textId="77777777">
            <w:pPr>
              <w:spacing w:line="240" w:lineRule="auto"/>
              <w:ind w:firstLine="0"/>
              <w:rPr>
                <w:sz w:val="24"/>
                <w:szCs w:val="24"/>
              </w:rPr>
            </w:pPr>
            <w:r w:rsidRPr="00EA447C">
              <w:rPr>
                <w:sz w:val="24"/>
                <w:szCs w:val="24"/>
              </w:rPr>
              <w:t>Customer-paid Utility Costs ($s)</w:t>
            </w:r>
          </w:p>
        </w:tc>
        <w:tc>
          <w:tcPr>
            <w:tcW w:w="2785" w:type="dxa"/>
            <w:hideMark/>
          </w:tcPr>
          <w:p w:rsidRPr="00EA447C" w:rsidR="000F29B9" w:rsidP="00CD39BA" w:rsidRDefault="00D273EC" w14:paraId="3D80DAC9" w14:textId="240CC805">
            <w:pPr>
              <w:spacing w:line="240" w:lineRule="auto"/>
              <w:ind w:firstLine="0"/>
              <w:rPr>
                <w:sz w:val="24"/>
                <w:szCs w:val="24"/>
              </w:rPr>
            </w:pPr>
            <w:r w:rsidRPr="00EA447C">
              <w:rPr>
                <w:sz w:val="24"/>
                <w:szCs w:val="24"/>
              </w:rPr>
              <w:t>E</w:t>
            </w:r>
            <w:r w:rsidRPr="00EA447C" w:rsidR="00E75ADA">
              <w:rPr>
                <w:sz w:val="24"/>
                <w:szCs w:val="24"/>
              </w:rPr>
              <w:t>.g</w:t>
            </w:r>
            <w:r w:rsidRPr="00EA447C" w:rsidR="00067B9D">
              <w:rPr>
                <w:sz w:val="24"/>
                <w:szCs w:val="24"/>
              </w:rPr>
              <w:t>.</w:t>
            </w:r>
            <w:r w:rsidRPr="00EA447C" w:rsidR="006C5441">
              <w:rPr>
                <w:sz w:val="24"/>
                <w:szCs w:val="24"/>
              </w:rPr>
              <w:t>,</w:t>
            </w:r>
            <w:r w:rsidRPr="00EA447C" w:rsidR="00E75ADA">
              <w:rPr>
                <w:sz w:val="24"/>
                <w:szCs w:val="24"/>
              </w:rPr>
              <w:t xml:space="preserve"> </w:t>
            </w:r>
            <w:r w:rsidRPr="00EA447C" w:rsidR="000F29B9">
              <w:rPr>
                <w:sz w:val="24"/>
                <w:szCs w:val="24"/>
              </w:rPr>
              <w:t>$0.00</w:t>
            </w:r>
          </w:p>
        </w:tc>
      </w:tr>
      <w:tr w:rsidRPr="00EA447C" w:rsidR="000F29B9" w:rsidTr="00CD39BA" w14:paraId="591E52BA" w14:textId="77777777">
        <w:trPr>
          <w:trHeight w:val="300"/>
        </w:trPr>
        <w:tc>
          <w:tcPr>
            <w:tcW w:w="6565" w:type="dxa"/>
            <w:hideMark/>
          </w:tcPr>
          <w:p w:rsidRPr="00EA447C" w:rsidR="000F29B9" w:rsidP="00CD39BA" w:rsidRDefault="000F29B9" w14:paraId="16741E23" w14:textId="77777777">
            <w:pPr>
              <w:spacing w:line="240" w:lineRule="auto"/>
              <w:ind w:firstLine="0"/>
              <w:rPr>
                <w:sz w:val="24"/>
                <w:szCs w:val="24"/>
              </w:rPr>
            </w:pPr>
            <w:r w:rsidRPr="00EA447C">
              <w:rPr>
                <w:sz w:val="24"/>
                <w:szCs w:val="24"/>
              </w:rPr>
              <w:t>Reason/s that made the project costs &gt; $10,000, if applicable</w:t>
            </w:r>
          </w:p>
        </w:tc>
        <w:tc>
          <w:tcPr>
            <w:tcW w:w="2785" w:type="dxa"/>
            <w:hideMark/>
          </w:tcPr>
          <w:p w:rsidRPr="00EA447C" w:rsidR="000F29B9" w:rsidP="00CD39BA" w:rsidRDefault="003D7A83" w14:paraId="7FB4E0BB" w14:textId="2075C7EB">
            <w:pPr>
              <w:spacing w:line="240" w:lineRule="auto"/>
              <w:ind w:firstLine="0"/>
              <w:rPr>
                <w:sz w:val="24"/>
                <w:szCs w:val="24"/>
              </w:rPr>
            </w:pPr>
            <w:r w:rsidRPr="00EA447C">
              <w:rPr>
                <w:sz w:val="24"/>
                <w:szCs w:val="24"/>
              </w:rPr>
              <w:t>E.g.</w:t>
            </w:r>
            <w:r w:rsidRPr="00EA447C" w:rsidR="00D273EC">
              <w:rPr>
                <w:sz w:val="24"/>
                <w:szCs w:val="24"/>
              </w:rPr>
              <w:t>,</w:t>
            </w:r>
            <w:r w:rsidRPr="00EA447C">
              <w:rPr>
                <w:sz w:val="24"/>
                <w:szCs w:val="24"/>
              </w:rPr>
              <w:t xml:space="preserve"> 1</w:t>
            </w:r>
            <w:r w:rsidRPr="00EA447C" w:rsidR="00D273EC">
              <w:rPr>
                <w:sz w:val="24"/>
                <w:szCs w:val="24"/>
              </w:rPr>
              <w:t xml:space="preserve"> </w:t>
            </w:r>
            <w:r w:rsidRPr="00EA447C" w:rsidR="000F29B9">
              <w:rPr>
                <w:sz w:val="24"/>
                <w:szCs w:val="24"/>
              </w:rPr>
              <w:t>NA</w:t>
            </w:r>
            <w:r w:rsidRPr="00EA447C" w:rsidR="00CA3EB0">
              <w:rPr>
                <w:sz w:val="24"/>
                <w:szCs w:val="24"/>
              </w:rPr>
              <w:br/>
            </w:r>
            <w:r w:rsidRPr="00EA447C">
              <w:rPr>
                <w:sz w:val="24"/>
                <w:szCs w:val="24"/>
              </w:rPr>
              <w:t>E.g.</w:t>
            </w:r>
            <w:r w:rsidRPr="00EA447C" w:rsidR="00D273EC">
              <w:rPr>
                <w:sz w:val="24"/>
                <w:szCs w:val="24"/>
              </w:rPr>
              <w:t>,</w:t>
            </w:r>
            <w:r w:rsidRPr="00EA447C">
              <w:rPr>
                <w:sz w:val="24"/>
                <w:szCs w:val="24"/>
              </w:rPr>
              <w:t xml:space="preserve"> 2</w:t>
            </w:r>
            <w:r w:rsidRPr="00EA447C" w:rsidR="00CA3EB0">
              <w:rPr>
                <w:sz w:val="24"/>
                <w:szCs w:val="24"/>
              </w:rPr>
              <w:t xml:space="preserve"> </w:t>
            </w:r>
            <w:r w:rsidRPr="00EA447C">
              <w:rPr>
                <w:sz w:val="24"/>
                <w:szCs w:val="24"/>
              </w:rPr>
              <w:t>Existing Overground lines were undergrounded</w:t>
            </w:r>
            <w:r w:rsidRPr="00EA447C">
              <w:rPr>
                <w:sz w:val="24"/>
                <w:szCs w:val="24"/>
              </w:rPr>
              <w:br/>
              <w:t>E.g.</w:t>
            </w:r>
            <w:r w:rsidRPr="00EA447C" w:rsidR="00D273EC">
              <w:rPr>
                <w:sz w:val="24"/>
                <w:szCs w:val="24"/>
              </w:rPr>
              <w:t>,</w:t>
            </w:r>
            <w:r w:rsidRPr="00EA447C">
              <w:rPr>
                <w:sz w:val="24"/>
                <w:szCs w:val="24"/>
              </w:rPr>
              <w:t xml:space="preserve"> 3</w:t>
            </w:r>
            <w:r w:rsidRPr="00EA447C" w:rsidR="00155B84">
              <w:rPr>
                <w:sz w:val="24"/>
                <w:szCs w:val="24"/>
              </w:rPr>
              <w:t xml:space="preserve"> </w:t>
            </w:r>
            <w:r w:rsidRPr="00EA447C" w:rsidR="00AB551E">
              <w:rPr>
                <w:sz w:val="24"/>
                <w:szCs w:val="24"/>
              </w:rPr>
              <w:t>Un</w:t>
            </w:r>
            <w:r w:rsidRPr="00EA447C" w:rsidR="00D70DF5">
              <w:rPr>
                <w:sz w:val="24"/>
                <w:szCs w:val="24"/>
              </w:rPr>
              <w:t>expected</w:t>
            </w:r>
            <w:r w:rsidRPr="00EA447C" w:rsidR="00AB551E">
              <w:rPr>
                <w:sz w:val="24"/>
                <w:szCs w:val="24"/>
              </w:rPr>
              <w:t xml:space="preserve"> trenching costs due to </w:t>
            </w:r>
            <w:r w:rsidRPr="00EA447C" w:rsidR="00155B84">
              <w:rPr>
                <w:sz w:val="24"/>
                <w:szCs w:val="24"/>
              </w:rPr>
              <w:t>Bedrock</w:t>
            </w:r>
            <w:r w:rsidRPr="00EA447C" w:rsidR="00AB551E">
              <w:rPr>
                <w:sz w:val="24"/>
                <w:szCs w:val="24"/>
              </w:rPr>
              <w:t>/soil condition/</w:t>
            </w:r>
            <w:r w:rsidRPr="00EA447C" w:rsidR="007E7C47">
              <w:rPr>
                <w:sz w:val="24"/>
                <w:szCs w:val="24"/>
              </w:rPr>
              <w:t>(</w:t>
            </w:r>
            <w:r w:rsidRPr="00EA447C" w:rsidR="009819DD">
              <w:rPr>
                <w:sz w:val="24"/>
                <w:szCs w:val="24"/>
              </w:rPr>
              <w:t>utilities can create categories for commonly occurring conditions in their territory</w:t>
            </w:r>
            <w:r w:rsidRPr="00EA447C" w:rsidR="007E7C47">
              <w:rPr>
                <w:sz w:val="24"/>
                <w:szCs w:val="24"/>
              </w:rPr>
              <w:t>)</w:t>
            </w:r>
          </w:p>
        </w:tc>
      </w:tr>
      <w:tr w:rsidRPr="00EA447C" w:rsidR="000F29B9" w:rsidTr="00CD39BA" w14:paraId="50346DEB" w14:textId="77777777">
        <w:trPr>
          <w:trHeight w:val="900"/>
        </w:trPr>
        <w:tc>
          <w:tcPr>
            <w:tcW w:w="6565" w:type="dxa"/>
            <w:hideMark/>
          </w:tcPr>
          <w:p w:rsidRPr="00EA447C" w:rsidR="000F29B9" w:rsidP="00CD39BA" w:rsidRDefault="000F29B9" w14:paraId="7B589FE1" w14:textId="46D72EB5">
            <w:pPr>
              <w:spacing w:line="240" w:lineRule="auto"/>
              <w:ind w:firstLine="0"/>
              <w:rPr>
                <w:sz w:val="24"/>
                <w:szCs w:val="24"/>
              </w:rPr>
            </w:pPr>
            <w:r w:rsidRPr="00EA447C">
              <w:rPr>
                <w:sz w:val="24"/>
                <w:szCs w:val="24"/>
              </w:rPr>
              <w:t>Measure1 that triggered the need for service upsizing, as noted in application (e.g.</w:t>
            </w:r>
            <w:r w:rsidRPr="00EA447C" w:rsidR="00D273EC">
              <w:rPr>
                <w:sz w:val="24"/>
                <w:szCs w:val="24"/>
              </w:rPr>
              <w:t>,</w:t>
            </w:r>
            <w:r w:rsidRPr="00EA447C">
              <w:rPr>
                <w:sz w:val="24"/>
                <w:szCs w:val="24"/>
              </w:rPr>
              <w:t xml:space="preserve"> solar, EV charger, HVAC, electric cooktop, water heater). List one measure per column. Add columns if needed.</w:t>
            </w:r>
          </w:p>
        </w:tc>
        <w:tc>
          <w:tcPr>
            <w:tcW w:w="2785" w:type="dxa"/>
            <w:hideMark/>
          </w:tcPr>
          <w:p w:rsidRPr="00EA447C" w:rsidR="000F29B9" w:rsidP="00CD39BA" w:rsidRDefault="000F29B9" w14:paraId="11FA73AD" w14:textId="77777777">
            <w:pPr>
              <w:spacing w:line="240" w:lineRule="auto"/>
              <w:ind w:firstLine="0"/>
              <w:rPr>
                <w:sz w:val="24"/>
                <w:szCs w:val="24"/>
              </w:rPr>
            </w:pPr>
            <w:r w:rsidRPr="00EA447C">
              <w:rPr>
                <w:sz w:val="24"/>
                <w:szCs w:val="24"/>
              </w:rPr>
              <w:t>HVAC</w:t>
            </w:r>
          </w:p>
        </w:tc>
      </w:tr>
      <w:tr w:rsidRPr="00EA447C" w:rsidR="000F29B9" w:rsidTr="00CD39BA" w14:paraId="0790AA12" w14:textId="77777777">
        <w:trPr>
          <w:trHeight w:val="900"/>
        </w:trPr>
        <w:tc>
          <w:tcPr>
            <w:tcW w:w="6565" w:type="dxa"/>
            <w:hideMark/>
          </w:tcPr>
          <w:p w:rsidRPr="00EA447C" w:rsidR="000F29B9" w:rsidP="00CD39BA" w:rsidRDefault="000F29B9" w14:paraId="0669A173" w14:textId="77A4A222">
            <w:pPr>
              <w:spacing w:line="240" w:lineRule="auto"/>
              <w:ind w:firstLine="0"/>
              <w:rPr>
                <w:sz w:val="24"/>
                <w:szCs w:val="24"/>
              </w:rPr>
            </w:pPr>
            <w:r w:rsidRPr="00EA447C">
              <w:rPr>
                <w:sz w:val="24"/>
                <w:szCs w:val="24"/>
              </w:rPr>
              <w:t>Measure2 that triggered the need for service upsizing, as noted in application (e.g.</w:t>
            </w:r>
            <w:r w:rsidRPr="00EA447C" w:rsidR="00D273EC">
              <w:rPr>
                <w:sz w:val="24"/>
                <w:szCs w:val="24"/>
              </w:rPr>
              <w:t>,</w:t>
            </w:r>
            <w:r w:rsidRPr="00EA447C">
              <w:rPr>
                <w:sz w:val="24"/>
                <w:szCs w:val="24"/>
              </w:rPr>
              <w:t xml:space="preserve"> solar, EV charger, HVAC, electric cooktop, water heater). List one measure per column. Add columns if needed.</w:t>
            </w:r>
          </w:p>
        </w:tc>
        <w:tc>
          <w:tcPr>
            <w:tcW w:w="2785" w:type="dxa"/>
            <w:hideMark/>
          </w:tcPr>
          <w:p w:rsidRPr="00EA447C" w:rsidR="000F29B9" w:rsidP="00CD39BA" w:rsidRDefault="000F29B9" w14:paraId="1D635A6C" w14:textId="77777777">
            <w:pPr>
              <w:spacing w:line="240" w:lineRule="auto"/>
              <w:ind w:firstLine="0"/>
              <w:rPr>
                <w:sz w:val="24"/>
                <w:szCs w:val="24"/>
              </w:rPr>
            </w:pPr>
            <w:r w:rsidRPr="00EA447C">
              <w:rPr>
                <w:sz w:val="24"/>
                <w:szCs w:val="24"/>
              </w:rPr>
              <w:t>Water Heater</w:t>
            </w:r>
          </w:p>
        </w:tc>
      </w:tr>
      <w:tr w:rsidRPr="00EA447C" w:rsidR="000F29B9" w:rsidTr="00CD39BA" w14:paraId="36259CF2" w14:textId="77777777">
        <w:trPr>
          <w:trHeight w:val="900"/>
        </w:trPr>
        <w:tc>
          <w:tcPr>
            <w:tcW w:w="6565" w:type="dxa"/>
            <w:hideMark/>
          </w:tcPr>
          <w:p w:rsidRPr="00EA447C" w:rsidR="000F29B9" w:rsidP="00CD39BA" w:rsidRDefault="000F29B9" w14:paraId="53D916EE" w14:textId="461585D8">
            <w:pPr>
              <w:spacing w:line="240" w:lineRule="auto"/>
              <w:ind w:firstLine="0"/>
              <w:rPr>
                <w:sz w:val="24"/>
                <w:szCs w:val="24"/>
              </w:rPr>
            </w:pPr>
            <w:r w:rsidRPr="00EA447C">
              <w:rPr>
                <w:sz w:val="24"/>
                <w:szCs w:val="24"/>
              </w:rPr>
              <w:t>Measure3 that triggered the need for service upsizing, as noted in application (e.g.</w:t>
            </w:r>
            <w:r w:rsidRPr="00EA447C" w:rsidR="00D273EC">
              <w:rPr>
                <w:sz w:val="24"/>
                <w:szCs w:val="24"/>
              </w:rPr>
              <w:t>,</w:t>
            </w:r>
            <w:r w:rsidRPr="00EA447C">
              <w:rPr>
                <w:sz w:val="24"/>
                <w:szCs w:val="24"/>
              </w:rPr>
              <w:t xml:space="preserve"> solar, EV charger, HVAC, electric cooktop, water heater). List one measure per column. Add columns if needed.</w:t>
            </w:r>
          </w:p>
        </w:tc>
        <w:tc>
          <w:tcPr>
            <w:tcW w:w="2785" w:type="dxa"/>
            <w:hideMark/>
          </w:tcPr>
          <w:p w:rsidRPr="00EA447C" w:rsidR="000F29B9" w:rsidP="00CD39BA" w:rsidRDefault="000F29B9" w14:paraId="4A51909C" w14:textId="77777777">
            <w:pPr>
              <w:spacing w:line="240" w:lineRule="auto"/>
              <w:ind w:firstLine="0"/>
              <w:rPr>
                <w:sz w:val="24"/>
                <w:szCs w:val="24"/>
              </w:rPr>
            </w:pPr>
            <w:r w:rsidRPr="00EA447C">
              <w:rPr>
                <w:sz w:val="24"/>
                <w:szCs w:val="24"/>
              </w:rPr>
              <w:t>Electric Cooktop</w:t>
            </w:r>
          </w:p>
        </w:tc>
      </w:tr>
      <w:tr w:rsidRPr="00EA447C" w:rsidR="000F29B9" w:rsidTr="00CD39BA" w14:paraId="326D5A0A" w14:textId="77777777">
        <w:trPr>
          <w:trHeight w:val="900"/>
        </w:trPr>
        <w:tc>
          <w:tcPr>
            <w:tcW w:w="6565" w:type="dxa"/>
            <w:hideMark/>
          </w:tcPr>
          <w:p w:rsidRPr="00EA447C" w:rsidR="000F29B9" w:rsidP="00CD39BA" w:rsidRDefault="000F29B9" w14:paraId="5C02B572" w14:textId="30EA7504">
            <w:pPr>
              <w:spacing w:line="240" w:lineRule="auto"/>
              <w:ind w:firstLine="0"/>
              <w:rPr>
                <w:sz w:val="24"/>
                <w:szCs w:val="24"/>
              </w:rPr>
            </w:pPr>
            <w:r w:rsidRPr="00EA447C">
              <w:rPr>
                <w:sz w:val="24"/>
                <w:szCs w:val="24"/>
              </w:rPr>
              <w:lastRenderedPageBreak/>
              <w:t>Measure4 that triggered the need for service upsizing, as noted in application (e.g.</w:t>
            </w:r>
            <w:r w:rsidRPr="00EA447C" w:rsidR="009110C3">
              <w:rPr>
                <w:sz w:val="24"/>
                <w:szCs w:val="24"/>
              </w:rPr>
              <w:t>,</w:t>
            </w:r>
            <w:r w:rsidRPr="00EA447C">
              <w:rPr>
                <w:sz w:val="24"/>
                <w:szCs w:val="24"/>
              </w:rPr>
              <w:t xml:space="preserve"> solar, EV charger, HVAC, electric cooktop, water heater). List one measure per column. Add columns if needed.</w:t>
            </w:r>
          </w:p>
        </w:tc>
        <w:tc>
          <w:tcPr>
            <w:tcW w:w="2785" w:type="dxa"/>
            <w:hideMark/>
          </w:tcPr>
          <w:p w:rsidRPr="00EA447C" w:rsidR="000F29B9" w:rsidP="00CD39BA" w:rsidRDefault="000F29B9" w14:paraId="6EF7C5D4" w14:textId="77777777">
            <w:pPr>
              <w:spacing w:line="240" w:lineRule="auto"/>
              <w:ind w:firstLine="0"/>
              <w:rPr>
                <w:sz w:val="24"/>
                <w:szCs w:val="24"/>
              </w:rPr>
            </w:pPr>
            <w:r w:rsidRPr="00EA447C">
              <w:rPr>
                <w:sz w:val="24"/>
                <w:szCs w:val="24"/>
              </w:rPr>
              <w:t>NA</w:t>
            </w:r>
          </w:p>
        </w:tc>
      </w:tr>
      <w:tr w:rsidRPr="00EA447C" w:rsidR="000F29B9" w:rsidTr="00CD39BA" w14:paraId="729478D0" w14:textId="77777777">
        <w:trPr>
          <w:trHeight w:val="900"/>
        </w:trPr>
        <w:tc>
          <w:tcPr>
            <w:tcW w:w="6565" w:type="dxa"/>
            <w:hideMark/>
          </w:tcPr>
          <w:p w:rsidRPr="00EA447C" w:rsidR="000F29B9" w:rsidP="00CD39BA" w:rsidRDefault="000F29B9" w14:paraId="28240D92" w14:textId="6D13B225">
            <w:pPr>
              <w:spacing w:line="240" w:lineRule="auto"/>
              <w:ind w:firstLine="0"/>
              <w:rPr>
                <w:sz w:val="24"/>
                <w:szCs w:val="24"/>
              </w:rPr>
            </w:pPr>
            <w:r w:rsidRPr="00EA447C">
              <w:rPr>
                <w:sz w:val="24"/>
                <w:szCs w:val="24"/>
              </w:rPr>
              <w:t>Measure5 that triggered the need for service upsizing, as noted in application (e.g.</w:t>
            </w:r>
            <w:r w:rsidRPr="00EA447C" w:rsidR="009110C3">
              <w:rPr>
                <w:sz w:val="24"/>
                <w:szCs w:val="24"/>
              </w:rPr>
              <w:t>,</w:t>
            </w:r>
            <w:r w:rsidRPr="00EA447C">
              <w:rPr>
                <w:sz w:val="24"/>
                <w:szCs w:val="24"/>
              </w:rPr>
              <w:t xml:space="preserve"> solar, EV charger, HVAC, electric cooktop, water heater). List one measure per column. Add columns if needed.</w:t>
            </w:r>
          </w:p>
        </w:tc>
        <w:tc>
          <w:tcPr>
            <w:tcW w:w="2785" w:type="dxa"/>
            <w:hideMark/>
          </w:tcPr>
          <w:p w:rsidRPr="00EA447C" w:rsidR="000F29B9" w:rsidP="00CD39BA" w:rsidRDefault="000F29B9" w14:paraId="0A296F03" w14:textId="77777777">
            <w:pPr>
              <w:spacing w:line="240" w:lineRule="auto"/>
              <w:ind w:firstLine="0"/>
              <w:rPr>
                <w:sz w:val="24"/>
                <w:szCs w:val="24"/>
              </w:rPr>
            </w:pPr>
            <w:r w:rsidRPr="00EA447C">
              <w:rPr>
                <w:sz w:val="24"/>
                <w:szCs w:val="24"/>
              </w:rPr>
              <w:t>NA</w:t>
            </w:r>
          </w:p>
        </w:tc>
      </w:tr>
      <w:tr w:rsidRPr="00EA447C" w:rsidR="000F29B9" w:rsidTr="00CD39BA" w14:paraId="6F94C167" w14:textId="77777777">
        <w:trPr>
          <w:trHeight w:val="900"/>
        </w:trPr>
        <w:tc>
          <w:tcPr>
            <w:tcW w:w="6565" w:type="dxa"/>
            <w:hideMark/>
          </w:tcPr>
          <w:p w:rsidRPr="00EA447C" w:rsidR="000F29B9" w:rsidP="00CD39BA" w:rsidRDefault="000F29B9" w14:paraId="44EBC2A4" w14:textId="13EF0491">
            <w:pPr>
              <w:spacing w:line="240" w:lineRule="auto"/>
              <w:ind w:firstLine="0"/>
              <w:rPr>
                <w:sz w:val="24"/>
                <w:szCs w:val="24"/>
              </w:rPr>
            </w:pPr>
            <w:r w:rsidRPr="00EA447C">
              <w:rPr>
                <w:sz w:val="24"/>
                <w:szCs w:val="24"/>
              </w:rPr>
              <w:t>Measure6 that triggered the need for service upsizing, as noted in application (e.g.</w:t>
            </w:r>
            <w:r w:rsidRPr="00EA447C" w:rsidR="009110C3">
              <w:rPr>
                <w:sz w:val="24"/>
                <w:szCs w:val="24"/>
              </w:rPr>
              <w:t>,</w:t>
            </w:r>
            <w:r w:rsidRPr="00EA447C">
              <w:rPr>
                <w:sz w:val="24"/>
                <w:szCs w:val="24"/>
              </w:rPr>
              <w:t xml:space="preserve"> solar, EV charger, HVAC, electric cooktop, water heater). List one measure per column. Add columns if needed.</w:t>
            </w:r>
          </w:p>
        </w:tc>
        <w:tc>
          <w:tcPr>
            <w:tcW w:w="2785" w:type="dxa"/>
            <w:hideMark/>
          </w:tcPr>
          <w:p w:rsidRPr="00EA447C" w:rsidR="000F29B9" w:rsidP="00CD39BA" w:rsidRDefault="000F29B9" w14:paraId="2396E9D1" w14:textId="77777777">
            <w:pPr>
              <w:spacing w:line="240" w:lineRule="auto"/>
              <w:ind w:firstLine="0"/>
              <w:rPr>
                <w:sz w:val="24"/>
                <w:szCs w:val="24"/>
              </w:rPr>
            </w:pPr>
            <w:r w:rsidRPr="00EA447C">
              <w:rPr>
                <w:sz w:val="24"/>
                <w:szCs w:val="24"/>
              </w:rPr>
              <w:t>NA</w:t>
            </w:r>
          </w:p>
        </w:tc>
      </w:tr>
      <w:tr w:rsidRPr="00EA447C" w:rsidR="000F29B9" w:rsidTr="00CD39BA" w14:paraId="64A115BB" w14:textId="77777777">
        <w:trPr>
          <w:trHeight w:val="900"/>
        </w:trPr>
        <w:tc>
          <w:tcPr>
            <w:tcW w:w="6565" w:type="dxa"/>
            <w:hideMark/>
          </w:tcPr>
          <w:p w:rsidRPr="00EA447C" w:rsidR="000F29B9" w:rsidP="00CD39BA" w:rsidRDefault="000F29B9" w14:paraId="38CC7B63" w14:textId="54BA5CED">
            <w:pPr>
              <w:spacing w:line="240" w:lineRule="auto"/>
              <w:ind w:firstLine="0"/>
              <w:rPr>
                <w:sz w:val="24"/>
                <w:szCs w:val="24"/>
              </w:rPr>
            </w:pPr>
            <w:r w:rsidRPr="00EA447C">
              <w:rPr>
                <w:sz w:val="24"/>
                <w:szCs w:val="24"/>
              </w:rPr>
              <w:t xml:space="preserve">Did the customer consider (self-attestation) alternates to service upsizing such as smart splitters, power control devices, Meter Socket Adapters, and alternative load calculation methods? </w:t>
            </w:r>
            <w:r w:rsidRPr="00EA447C" w:rsidR="00BE7380">
              <w:rPr>
                <w:sz w:val="24"/>
                <w:szCs w:val="24"/>
              </w:rPr>
              <w:t>(</w:t>
            </w:r>
            <w:r w:rsidRPr="00EA447C">
              <w:rPr>
                <w:sz w:val="24"/>
                <w:szCs w:val="24"/>
              </w:rPr>
              <w:t>Y/N</w:t>
            </w:r>
            <w:r w:rsidRPr="00EA447C" w:rsidR="00BE7380">
              <w:rPr>
                <w:sz w:val="24"/>
                <w:szCs w:val="24"/>
              </w:rPr>
              <w:t>)</w:t>
            </w:r>
          </w:p>
        </w:tc>
        <w:tc>
          <w:tcPr>
            <w:tcW w:w="2785" w:type="dxa"/>
            <w:hideMark/>
          </w:tcPr>
          <w:p w:rsidRPr="00EA447C" w:rsidR="000F29B9" w:rsidP="00CD39BA" w:rsidRDefault="000F29B9" w14:paraId="17A65F42" w14:textId="77777777">
            <w:pPr>
              <w:spacing w:line="240" w:lineRule="auto"/>
              <w:ind w:firstLine="0"/>
              <w:rPr>
                <w:sz w:val="24"/>
                <w:szCs w:val="24"/>
              </w:rPr>
            </w:pPr>
            <w:r w:rsidRPr="00EA447C">
              <w:rPr>
                <w:sz w:val="24"/>
                <w:szCs w:val="24"/>
              </w:rPr>
              <w:t>Y</w:t>
            </w:r>
          </w:p>
        </w:tc>
      </w:tr>
    </w:tbl>
    <w:p w:rsidRPr="00EA447C" w:rsidR="00CC4918" w:rsidP="000F29B9" w:rsidRDefault="00CC4918" w14:paraId="3F86B88B" w14:textId="77777777">
      <w:pPr>
        <w:spacing w:line="240" w:lineRule="auto"/>
        <w:jc w:val="center"/>
        <w:sectPr w:rsidRPr="00EA447C" w:rsidR="00CC4918" w:rsidSect="00CD39BA">
          <w:pgSz w:w="12240" w:h="15840"/>
          <w:pgMar w:top="1728" w:right="1440" w:bottom="1440" w:left="1440" w:header="720" w:footer="720" w:gutter="0"/>
          <w:pgNumType w:chapStyle="1"/>
          <w:cols w:space="720"/>
          <w:docGrid w:linePitch="360"/>
        </w:sectPr>
      </w:pPr>
    </w:p>
    <w:tbl>
      <w:tblPr>
        <w:tblStyle w:val="TableGrid"/>
        <w:tblW w:w="0" w:type="auto"/>
        <w:tblCellMar>
          <w:top w:w="58" w:type="dxa"/>
          <w:bottom w:w="58" w:type="dxa"/>
        </w:tblCellMar>
        <w:tblLook w:val="04A0" w:firstRow="1" w:lastRow="0" w:firstColumn="1" w:lastColumn="0" w:noHBand="0" w:noVBand="1"/>
      </w:tblPr>
      <w:tblGrid>
        <w:gridCol w:w="2065"/>
        <w:gridCol w:w="7285"/>
      </w:tblGrid>
      <w:tr w:rsidRPr="00EA447C" w:rsidR="00527D01" w:rsidTr="006B695C" w14:paraId="168796D7" w14:textId="77777777">
        <w:trPr>
          <w:cantSplit/>
          <w:trHeight w:val="382"/>
          <w:tblHeader/>
        </w:trPr>
        <w:tc>
          <w:tcPr>
            <w:tcW w:w="9350" w:type="dxa"/>
            <w:gridSpan w:val="2"/>
          </w:tcPr>
          <w:p w:rsidRPr="00EA447C" w:rsidR="00527D01" w:rsidP="006B695C" w:rsidRDefault="00527D01" w14:paraId="72B14A98" w14:textId="19623778">
            <w:pPr>
              <w:spacing w:line="276" w:lineRule="auto"/>
              <w:ind w:firstLine="11"/>
              <w:jc w:val="center"/>
              <w:rPr>
                <w:b/>
                <w:bCs/>
                <w:sz w:val="24"/>
                <w:szCs w:val="24"/>
              </w:rPr>
            </w:pPr>
            <w:r w:rsidRPr="00EA447C">
              <w:rPr>
                <w:b/>
                <w:bCs/>
                <w:sz w:val="24"/>
                <w:szCs w:val="24"/>
              </w:rPr>
              <w:lastRenderedPageBreak/>
              <w:t>Reporting Requirements per Section 5.3.</w:t>
            </w:r>
            <w:r w:rsidRPr="00EA447C" w:rsidR="007669D2">
              <w:rPr>
                <w:b/>
                <w:bCs/>
                <w:sz w:val="24"/>
                <w:szCs w:val="24"/>
              </w:rPr>
              <w:t>2</w:t>
            </w:r>
            <w:r w:rsidRPr="00EA447C">
              <w:rPr>
                <w:b/>
                <w:bCs/>
                <w:sz w:val="24"/>
                <w:szCs w:val="24"/>
              </w:rPr>
              <w:t>,</w:t>
            </w:r>
            <w:r w:rsidRPr="00EA447C">
              <w:rPr>
                <w:b/>
                <w:bCs/>
                <w:sz w:val="24"/>
                <w:szCs w:val="24"/>
              </w:rPr>
              <w:br/>
              <w:t>Meter Socket Adapter Installation Timelines</w:t>
            </w:r>
          </w:p>
        </w:tc>
      </w:tr>
      <w:tr w:rsidRPr="00EA447C" w:rsidR="00527D01" w:rsidTr="006B695C" w14:paraId="5DCD99A8" w14:textId="77777777">
        <w:trPr>
          <w:cantSplit/>
          <w:trHeight w:val="40"/>
          <w:tblHeader/>
        </w:trPr>
        <w:tc>
          <w:tcPr>
            <w:tcW w:w="9350" w:type="dxa"/>
            <w:gridSpan w:val="2"/>
          </w:tcPr>
          <w:p w:rsidRPr="00EA447C" w:rsidR="00527D01" w:rsidP="006B695C" w:rsidRDefault="00527D01" w14:paraId="6AB2860D" w14:textId="77777777">
            <w:pPr>
              <w:spacing w:line="240" w:lineRule="auto"/>
              <w:ind w:firstLine="11"/>
              <w:rPr>
                <w:sz w:val="24"/>
                <w:szCs w:val="24"/>
              </w:rPr>
            </w:pPr>
            <w:r w:rsidRPr="00EA447C">
              <w:rPr>
                <w:b/>
                <w:bCs/>
                <w:sz w:val="24"/>
                <w:szCs w:val="24"/>
              </w:rPr>
              <w:t>Instructions and Definitions Tab:</w:t>
            </w:r>
          </w:p>
        </w:tc>
      </w:tr>
      <w:tr w:rsidRPr="00EA447C" w:rsidR="00527D01" w:rsidTr="006B695C" w14:paraId="5057248F" w14:textId="77777777">
        <w:trPr>
          <w:cantSplit/>
          <w:trHeight w:val="1066"/>
        </w:trPr>
        <w:tc>
          <w:tcPr>
            <w:tcW w:w="2065" w:type="dxa"/>
            <w:hideMark/>
          </w:tcPr>
          <w:p w:rsidRPr="00EA447C" w:rsidR="00527D01" w:rsidP="006B695C" w:rsidRDefault="00527D01" w14:paraId="338CA251" w14:textId="77777777">
            <w:pPr>
              <w:spacing w:line="240" w:lineRule="auto"/>
              <w:ind w:firstLine="0"/>
              <w:rPr>
                <w:b/>
                <w:bCs/>
                <w:sz w:val="24"/>
                <w:szCs w:val="24"/>
              </w:rPr>
            </w:pPr>
            <w:r w:rsidRPr="00EA447C">
              <w:rPr>
                <w:b/>
                <w:bCs/>
                <w:sz w:val="24"/>
                <w:szCs w:val="24"/>
              </w:rPr>
              <w:t>General Notes</w:t>
            </w:r>
          </w:p>
        </w:tc>
        <w:tc>
          <w:tcPr>
            <w:tcW w:w="7285" w:type="dxa"/>
            <w:hideMark/>
          </w:tcPr>
          <w:p w:rsidRPr="00EA447C" w:rsidR="00527D01" w:rsidP="006B695C" w:rsidRDefault="00527D01" w14:paraId="353BC090" w14:textId="77777777">
            <w:pPr>
              <w:spacing w:line="240" w:lineRule="auto"/>
              <w:ind w:firstLine="11"/>
              <w:rPr>
                <w:b/>
                <w:bCs/>
                <w:sz w:val="24"/>
                <w:szCs w:val="24"/>
                <w:u w:val="double"/>
              </w:rPr>
            </w:pPr>
            <w:r w:rsidRPr="00EA447C">
              <w:rPr>
                <w:sz w:val="24"/>
                <w:szCs w:val="24"/>
              </w:rPr>
              <w:t xml:space="preserve">This annual reporting shall be submitted annually before April 15 and shall be included with the reporting requirements established under Resolution E-5105 of R.19-01-011.  </w:t>
            </w:r>
          </w:p>
        </w:tc>
      </w:tr>
    </w:tbl>
    <w:p w:rsidRPr="00EA447C" w:rsidR="00527D01" w:rsidP="00527D01" w:rsidRDefault="00527D01" w14:paraId="3A227065" w14:textId="77777777">
      <w:pPr>
        <w:spacing w:after="160" w:line="259" w:lineRule="auto"/>
        <w:ind w:firstLine="0"/>
        <w:rPr>
          <w:sz w:val="24"/>
          <w:szCs w:val="24"/>
        </w:rPr>
      </w:pPr>
    </w:p>
    <w:tbl>
      <w:tblPr>
        <w:tblStyle w:val="TableGrid"/>
        <w:tblW w:w="0" w:type="auto"/>
        <w:tblCellMar>
          <w:top w:w="58" w:type="dxa"/>
          <w:bottom w:w="58" w:type="dxa"/>
        </w:tblCellMar>
        <w:tblLook w:val="04A0" w:firstRow="1" w:lastRow="0" w:firstColumn="1" w:lastColumn="0" w:noHBand="0" w:noVBand="1"/>
      </w:tblPr>
      <w:tblGrid>
        <w:gridCol w:w="6565"/>
        <w:gridCol w:w="2785"/>
      </w:tblGrid>
      <w:tr w:rsidRPr="00EA447C" w:rsidR="00527D01" w:rsidTr="006B695C" w14:paraId="3BEC8069" w14:textId="77777777">
        <w:trPr>
          <w:trHeight w:val="300"/>
          <w:tblHeader/>
        </w:trPr>
        <w:tc>
          <w:tcPr>
            <w:tcW w:w="9350" w:type="dxa"/>
            <w:gridSpan w:val="2"/>
            <w:noWrap/>
          </w:tcPr>
          <w:p w:rsidRPr="00EA447C" w:rsidR="00527D01" w:rsidP="006B695C" w:rsidRDefault="00527D01" w14:paraId="563EA27D" w14:textId="67F6AD4A">
            <w:pPr>
              <w:spacing w:line="240" w:lineRule="auto"/>
              <w:ind w:firstLine="0"/>
              <w:jc w:val="center"/>
              <w:rPr>
                <w:b/>
                <w:bCs/>
                <w:sz w:val="24"/>
                <w:szCs w:val="24"/>
              </w:rPr>
            </w:pPr>
            <w:r w:rsidRPr="00EA447C">
              <w:rPr>
                <w:b/>
                <w:bCs/>
                <w:sz w:val="24"/>
                <w:szCs w:val="24"/>
              </w:rPr>
              <w:t>Reporting Requirements per Section 5.3.</w:t>
            </w:r>
            <w:r w:rsidRPr="00EA447C" w:rsidR="007669D2">
              <w:rPr>
                <w:b/>
                <w:bCs/>
                <w:sz w:val="24"/>
                <w:szCs w:val="24"/>
              </w:rPr>
              <w:t>2</w:t>
            </w:r>
            <w:r w:rsidRPr="00EA447C">
              <w:rPr>
                <w:b/>
                <w:bCs/>
                <w:sz w:val="24"/>
                <w:szCs w:val="24"/>
              </w:rPr>
              <w:t>,</w:t>
            </w:r>
            <w:r w:rsidRPr="00EA447C">
              <w:rPr>
                <w:b/>
                <w:bCs/>
                <w:sz w:val="24"/>
                <w:szCs w:val="24"/>
              </w:rPr>
              <w:br/>
              <w:t>Meter Socket Adapter Installation Timelines</w:t>
            </w:r>
          </w:p>
        </w:tc>
      </w:tr>
      <w:tr w:rsidRPr="00EA447C" w:rsidR="00527D01" w:rsidTr="006B695C" w14:paraId="5656DF16" w14:textId="77777777">
        <w:trPr>
          <w:trHeight w:val="300"/>
          <w:tblHeader/>
        </w:trPr>
        <w:tc>
          <w:tcPr>
            <w:tcW w:w="9350" w:type="dxa"/>
            <w:gridSpan w:val="2"/>
            <w:noWrap/>
          </w:tcPr>
          <w:p w:rsidRPr="00EA447C" w:rsidR="00527D01" w:rsidP="006B695C" w:rsidRDefault="00527D01" w14:paraId="7B06FE4E" w14:textId="77777777">
            <w:pPr>
              <w:spacing w:line="240" w:lineRule="auto"/>
              <w:ind w:firstLine="0"/>
              <w:rPr>
                <w:b/>
                <w:bCs/>
                <w:sz w:val="24"/>
                <w:szCs w:val="24"/>
              </w:rPr>
            </w:pPr>
            <w:r w:rsidRPr="00EA447C">
              <w:rPr>
                <w:b/>
                <w:bCs/>
                <w:sz w:val="24"/>
                <w:szCs w:val="24"/>
              </w:rPr>
              <w:t>Individual Premise Information</w:t>
            </w:r>
          </w:p>
        </w:tc>
      </w:tr>
      <w:tr w:rsidRPr="00EA447C" w:rsidR="00527D01" w:rsidTr="006B695C" w14:paraId="7678A09C" w14:textId="77777777">
        <w:trPr>
          <w:trHeight w:val="300"/>
          <w:tblHeader/>
        </w:trPr>
        <w:tc>
          <w:tcPr>
            <w:tcW w:w="6565" w:type="dxa"/>
            <w:noWrap/>
            <w:hideMark/>
          </w:tcPr>
          <w:p w:rsidRPr="00EA447C" w:rsidR="00527D01" w:rsidP="006B695C" w:rsidRDefault="00527D01" w14:paraId="5DB9266F" w14:textId="77777777">
            <w:pPr>
              <w:spacing w:line="240" w:lineRule="auto"/>
              <w:ind w:firstLine="0"/>
              <w:rPr>
                <w:b/>
                <w:bCs/>
                <w:sz w:val="24"/>
                <w:szCs w:val="24"/>
              </w:rPr>
            </w:pPr>
            <w:r w:rsidRPr="00EA447C">
              <w:rPr>
                <w:b/>
                <w:bCs/>
                <w:sz w:val="24"/>
                <w:szCs w:val="24"/>
              </w:rPr>
              <w:t>Reporting Field</w:t>
            </w:r>
          </w:p>
        </w:tc>
        <w:tc>
          <w:tcPr>
            <w:tcW w:w="2785" w:type="dxa"/>
            <w:noWrap/>
            <w:hideMark/>
          </w:tcPr>
          <w:p w:rsidRPr="00EA447C" w:rsidR="00527D01" w:rsidP="006B695C" w:rsidRDefault="00527D01" w14:paraId="23044931" w14:textId="77777777">
            <w:pPr>
              <w:spacing w:line="240" w:lineRule="auto"/>
              <w:ind w:firstLine="0"/>
              <w:rPr>
                <w:b/>
                <w:bCs/>
                <w:sz w:val="24"/>
                <w:szCs w:val="24"/>
              </w:rPr>
            </w:pPr>
            <w:r w:rsidRPr="00EA447C">
              <w:rPr>
                <w:b/>
                <w:bCs/>
                <w:sz w:val="24"/>
                <w:szCs w:val="24"/>
              </w:rPr>
              <w:t>Example Text</w:t>
            </w:r>
          </w:p>
        </w:tc>
      </w:tr>
      <w:tr w:rsidRPr="00EA447C" w:rsidR="00527D01" w:rsidTr="006B695C" w14:paraId="64C0D130" w14:textId="77777777">
        <w:trPr>
          <w:trHeight w:val="600"/>
        </w:trPr>
        <w:tc>
          <w:tcPr>
            <w:tcW w:w="6565" w:type="dxa"/>
            <w:hideMark/>
          </w:tcPr>
          <w:p w:rsidRPr="00EA447C" w:rsidR="00527D01" w:rsidP="006B695C" w:rsidRDefault="00527D01" w14:paraId="0CB66946" w14:textId="77777777">
            <w:pPr>
              <w:spacing w:line="240" w:lineRule="auto"/>
              <w:ind w:firstLine="0"/>
              <w:rPr>
                <w:sz w:val="24"/>
                <w:szCs w:val="24"/>
              </w:rPr>
            </w:pPr>
            <w:r w:rsidRPr="00EA447C">
              <w:rPr>
                <w:sz w:val="24"/>
                <w:szCs w:val="24"/>
              </w:rPr>
              <w:t>USPS-Standardized Service Address</w:t>
            </w:r>
          </w:p>
        </w:tc>
        <w:tc>
          <w:tcPr>
            <w:tcW w:w="2785" w:type="dxa"/>
            <w:hideMark/>
          </w:tcPr>
          <w:p w:rsidRPr="00EA447C" w:rsidR="00527D01" w:rsidP="006B695C" w:rsidRDefault="00527D01" w14:paraId="4CF16BC9" w14:textId="77777777">
            <w:pPr>
              <w:spacing w:line="240" w:lineRule="auto"/>
              <w:ind w:firstLine="0"/>
              <w:rPr>
                <w:sz w:val="24"/>
                <w:szCs w:val="24"/>
              </w:rPr>
            </w:pPr>
            <w:r w:rsidRPr="00EA447C">
              <w:rPr>
                <w:sz w:val="24"/>
                <w:szCs w:val="24"/>
              </w:rPr>
              <w:t>1234 JEFFERSON CT</w:t>
            </w:r>
            <w:r w:rsidRPr="00EA447C">
              <w:rPr>
                <w:sz w:val="24"/>
                <w:szCs w:val="24"/>
              </w:rPr>
              <w:br/>
              <w:t>SACRAMENTO CA 95691-4882</w:t>
            </w:r>
          </w:p>
        </w:tc>
      </w:tr>
      <w:tr w:rsidRPr="00EA447C" w:rsidR="00527D01" w:rsidTr="006B695C" w14:paraId="0B6170DB" w14:textId="77777777">
        <w:trPr>
          <w:trHeight w:val="300"/>
        </w:trPr>
        <w:tc>
          <w:tcPr>
            <w:tcW w:w="6565" w:type="dxa"/>
          </w:tcPr>
          <w:p w:rsidRPr="00EA447C" w:rsidR="00527D01" w:rsidP="006B695C" w:rsidRDefault="00527D01" w14:paraId="5426101A" w14:textId="77777777">
            <w:pPr>
              <w:spacing w:line="240" w:lineRule="auto"/>
              <w:ind w:firstLine="0"/>
              <w:rPr>
                <w:sz w:val="24"/>
                <w:szCs w:val="24"/>
              </w:rPr>
            </w:pPr>
            <w:r w:rsidRPr="00EA447C">
              <w:rPr>
                <w:sz w:val="24"/>
                <w:szCs w:val="24"/>
              </w:rPr>
              <w:t>MSA Type (Isolating or Non-Isolating)</w:t>
            </w:r>
          </w:p>
        </w:tc>
        <w:tc>
          <w:tcPr>
            <w:tcW w:w="2785" w:type="dxa"/>
          </w:tcPr>
          <w:p w:rsidRPr="00EA447C" w:rsidR="00527D01" w:rsidP="006B695C" w:rsidRDefault="00527D01" w14:paraId="5344A457" w14:textId="77777777">
            <w:pPr>
              <w:spacing w:line="240" w:lineRule="auto"/>
              <w:ind w:firstLine="0"/>
              <w:rPr>
                <w:sz w:val="24"/>
                <w:szCs w:val="24"/>
              </w:rPr>
            </w:pPr>
            <w:r w:rsidRPr="00EA447C">
              <w:rPr>
                <w:sz w:val="24"/>
                <w:szCs w:val="24"/>
              </w:rPr>
              <w:t xml:space="preserve">Non-Isolating </w:t>
            </w:r>
          </w:p>
        </w:tc>
      </w:tr>
      <w:tr w:rsidRPr="00EA447C" w:rsidR="00527D01" w:rsidTr="006B695C" w14:paraId="5D200EFB" w14:textId="77777777">
        <w:trPr>
          <w:trHeight w:val="300"/>
        </w:trPr>
        <w:tc>
          <w:tcPr>
            <w:tcW w:w="6565" w:type="dxa"/>
            <w:hideMark/>
          </w:tcPr>
          <w:p w:rsidRPr="00EA447C" w:rsidR="00527D01" w:rsidP="006B695C" w:rsidRDefault="00527D01" w14:paraId="34332D78" w14:textId="77777777">
            <w:pPr>
              <w:spacing w:line="240" w:lineRule="auto"/>
              <w:ind w:firstLine="0"/>
              <w:rPr>
                <w:sz w:val="24"/>
                <w:szCs w:val="24"/>
              </w:rPr>
            </w:pPr>
            <w:r w:rsidRPr="00EA447C">
              <w:rPr>
                <w:sz w:val="24"/>
                <w:szCs w:val="24"/>
              </w:rPr>
              <w:t>Initial Application for MSA Installation Submittal Date</w:t>
            </w:r>
          </w:p>
        </w:tc>
        <w:tc>
          <w:tcPr>
            <w:tcW w:w="2785" w:type="dxa"/>
            <w:hideMark/>
          </w:tcPr>
          <w:p w:rsidRPr="00EA447C" w:rsidR="00527D01" w:rsidP="006B695C" w:rsidRDefault="00527D01" w14:paraId="2A641901" w14:textId="77777777">
            <w:pPr>
              <w:spacing w:line="240" w:lineRule="auto"/>
              <w:ind w:firstLine="0"/>
              <w:rPr>
                <w:sz w:val="24"/>
                <w:szCs w:val="24"/>
              </w:rPr>
            </w:pPr>
            <w:r w:rsidRPr="00EA447C">
              <w:rPr>
                <w:sz w:val="24"/>
                <w:szCs w:val="24"/>
              </w:rPr>
              <w:t>3/14/2025</w:t>
            </w:r>
          </w:p>
        </w:tc>
      </w:tr>
      <w:tr w:rsidRPr="00EA447C" w:rsidR="00527D01" w:rsidTr="006B695C" w14:paraId="107C44CA" w14:textId="77777777">
        <w:trPr>
          <w:trHeight w:val="300"/>
        </w:trPr>
        <w:tc>
          <w:tcPr>
            <w:tcW w:w="6565" w:type="dxa"/>
            <w:hideMark/>
          </w:tcPr>
          <w:p w:rsidRPr="00EA447C" w:rsidR="00527D01" w:rsidP="006B695C" w:rsidRDefault="00527D01" w14:paraId="31EBA84C" w14:textId="77777777">
            <w:pPr>
              <w:spacing w:line="240" w:lineRule="auto"/>
              <w:ind w:firstLine="0"/>
              <w:rPr>
                <w:sz w:val="24"/>
                <w:szCs w:val="24"/>
              </w:rPr>
            </w:pPr>
            <w:r w:rsidRPr="00EA447C">
              <w:rPr>
                <w:sz w:val="24"/>
                <w:szCs w:val="24"/>
              </w:rPr>
              <w:t>MSA Installation Application Completion and Approval Date</w:t>
            </w:r>
          </w:p>
        </w:tc>
        <w:tc>
          <w:tcPr>
            <w:tcW w:w="2785" w:type="dxa"/>
            <w:hideMark/>
          </w:tcPr>
          <w:p w:rsidRPr="00EA447C" w:rsidR="00527D01" w:rsidP="006B695C" w:rsidRDefault="00527D01" w14:paraId="38A441C7" w14:textId="77777777">
            <w:pPr>
              <w:spacing w:line="240" w:lineRule="auto"/>
              <w:ind w:firstLine="0"/>
              <w:rPr>
                <w:sz w:val="24"/>
                <w:szCs w:val="24"/>
              </w:rPr>
            </w:pPr>
            <w:r w:rsidRPr="00EA447C">
              <w:rPr>
                <w:sz w:val="24"/>
                <w:szCs w:val="24"/>
              </w:rPr>
              <w:t>4/30/2025</w:t>
            </w:r>
          </w:p>
        </w:tc>
      </w:tr>
      <w:tr w:rsidRPr="00EA447C" w:rsidR="00527D01" w:rsidTr="006B695C" w14:paraId="61790D81" w14:textId="77777777">
        <w:trPr>
          <w:trHeight w:val="300"/>
        </w:trPr>
        <w:tc>
          <w:tcPr>
            <w:tcW w:w="6565" w:type="dxa"/>
            <w:hideMark/>
          </w:tcPr>
          <w:p w:rsidRPr="00EA447C" w:rsidR="00527D01" w:rsidP="006B695C" w:rsidRDefault="00527D01" w14:paraId="0A67B687" w14:textId="77777777">
            <w:pPr>
              <w:spacing w:line="240" w:lineRule="auto"/>
              <w:ind w:firstLine="0"/>
              <w:rPr>
                <w:sz w:val="24"/>
                <w:szCs w:val="24"/>
              </w:rPr>
            </w:pPr>
            <w:r w:rsidRPr="00EA447C">
              <w:rPr>
                <w:sz w:val="24"/>
                <w:szCs w:val="24"/>
              </w:rPr>
              <w:t>MSA Installation date</w:t>
            </w:r>
          </w:p>
        </w:tc>
        <w:tc>
          <w:tcPr>
            <w:tcW w:w="2785" w:type="dxa"/>
            <w:noWrap/>
            <w:hideMark/>
          </w:tcPr>
          <w:p w:rsidRPr="00EA447C" w:rsidR="00527D01" w:rsidP="006B695C" w:rsidRDefault="00527D01" w14:paraId="47D214E9" w14:textId="77777777">
            <w:pPr>
              <w:spacing w:line="240" w:lineRule="auto"/>
              <w:ind w:firstLine="0"/>
              <w:rPr>
                <w:sz w:val="24"/>
                <w:szCs w:val="24"/>
              </w:rPr>
            </w:pPr>
            <w:r w:rsidRPr="00EA447C">
              <w:rPr>
                <w:sz w:val="24"/>
                <w:szCs w:val="24"/>
              </w:rPr>
              <w:t>6/4/2025</w:t>
            </w:r>
          </w:p>
        </w:tc>
      </w:tr>
      <w:tr w:rsidRPr="00EA447C" w:rsidR="00527D01" w:rsidTr="006B695C" w14:paraId="7758439B" w14:textId="77777777">
        <w:trPr>
          <w:trHeight w:val="600"/>
        </w:trPr>
        <w:tc>
          <w:tcPr>
            <w:tcW w:w="6565" w:type="dxa"/>
            <w:hideMark/>
          </w:tcPr>
          <w:p w:rsidRPr="00EA447C" w:rsidR="00527D01" w:rsidP="006B695C" w:rsidRDefault="00527D01" w14:paraId="7C07E60D" w14:textId="77777777">
            <w:pPr>
              <w:spacing w:line="240" w:lineRule="auto"/>
              <w:ind w:firstLine="0"/>
              <w:rPr>
                <w:sz w:val="24"/>
                <w:szCs w:val="24"/>
              </w:rPr>
            </w:pPr>
            <w:r w:rsidRPr="00EA447C">
              <w:rPr>
                <w:sz w:val="24"/>
                <w:szCs w:val="24"/>
              </w:rPr>
              <w:t>Utility existing service capacity (amp)</w:t>
            </w:r>
          </w:p>
        </w:tc>
        <w:tc>
          <w:tcPr>
            <w:tcW w:w="2785" w:type="dxa"/>
            <w:hideMark/>
          </w:tcPr>
          <w:p w:rsidRPr="00EA447C" w:rsidR="00527D01" w:rsidP="006B695C" w:rsidRDefault="00527D01" w14:paraId="561178E8" w14:textId="77777777">
            <w:pPr>
              <w:spacing w:line="240" w:lineRule="auto"/>
              <w:ind w:firstLine="0"/>
              <w:rPr>
                <w:sz w:val="24"/>
                <w:szCs w:val="24"/>
              </w:rPr>
            </w:pPr>
            <w:r w:rsidRPr="00EA447C">
              <w:rPr>
                <w:sz w:val="24"/>
                <w:szCs w:val="24"/>
              </w:rPr>
              <w:t>60</w:t>
            </w:r>
          </w:p>
        </w:tc>
      </w:tr>
      <w:tr w:rsidRPr="00EA447C" w:rsidR="00527D01" w:rsidTr="006B695C" w14:paraId="7669A671" w14:textId="77777777">
        <w:trPr>
          <w:trHeight w:val="600"/>
        </w:trPr>
        <w:tc>
          <w:tcPr>
            <w:tcW w:w="6565" w:type="dxa"/>
            <w:hideMark/>
          </w:tcPr>
          <w:p w:rsidRPr="00EA447C" w:rsidR="00527D01" w:rsidP="006B695C" w:rsidRDefault="00527D01" w14:paraId="10267DA8" w14:textId="77777777">
            <w:pPr>
              <w:spacing w:line="240" w:lineRule="auto"/>
              <w:ind w:firstLine="0"/>
              <w:rPr>
                <w:sz w:val="24"/>
                <w:szCs w:val="24"/>
              </w:rPr>
            </w:pPr>
            <w:r w:rsidRPr="00EA447C">
              <w:rPr>
                <w:sz w:val="24"/>
                <w:szCs w:val="24"/>
              </w:rPr>
              <w:t>Customer existing electrical panel capacity (amp)</w:t>
            </w:r>
          </w:p>
        </w:tc>
        <w:tc>
          <w:tcPr>
            <w:tcW w:w="2785" w:type="dxa"/>
            <w:hideMark/>
          </w:tcPr>
          <w:p w:rsidRPr="00EA447C" w:rsidR="00527D01" w:rsidP="006B695C" w:rsidRDefault="00527D01" w14:paraId="2FAF62AF" w14:textId="77777777">
            <w:pPr>
              <w:spacing w:line="240" w:lineRule="auto"/>
              <w:ind w:firstLine="0"/>
              <w:rPr>
                <w:sz w:val="24"/>
                <w:szCs w:val="24"/>
              </w:rPr>
            </w:pPr>
            <w:r w:rsidRPr="00EA447C">
              <w:rPr>
                <w:sz w:val="24"/>
                <w:szCs w:val="24"/>
              </w:rPr>
              <w:t>60</w:t>
            </w:r>
          </w:p>
        </w:tc>
      </w:tr>
      <w:tr w:rsidRPr="00EA447C" w:rsidR="00527D01" w:rsidTr="006B695C" w14:paraId="69602BAF" w14:textId="77777777">
        <w:trPr>
          <w:trHeight w:val="300"/>
        </w:trPr>
        <w:tc>
          <w:tcPr>
            <w:tcW w:w="6565" w:type="dxa"/>
            <w:hideMark/>
          </w:tcPr>
          <w:p w:rsidRPr="00EA447C" w:rsidR="00527D01" w:rsidP="006B695C" w:rsidRDefault="00527D01" w14:paraId="4E233935" w14:textId="7D62E0A5">
            <w:pPr>
              <w:spacing w:line="240" w:lineRule="auto"/>
              <w:ind w:firstLine="0"/>
              <w:rPr>
                <w:sz w:val="24"/>
                <w:szCs w:val="24"/>
              </w:rPr>
            </w:pPr>
            <w:r w:rsidRPr="00EA447C">
              <w:rPr>
                <w:sz w:val="24"/>
                <w:szCs w:val="24"/>
              </w:rPr>
              <w:t>Premise Type: Small Business, Single</w:t>
            </w:r>
            <w:r w:rsidRPr="00EA447C" w:rsidR="00D273EC">
              <w:rPr>
                <w:sz w:val="24"/>
                <w:szCs w:val="24"/>
              </w:rPr>
              <w:t>-f</w:t>
            </w:r>
            <w:r w:rsidRPr="00EA447C">
              <w:rPr>
                <w:sz w:val="24"/>
                <w:szCs w:val="24"/>
              </w:rPr>
              <w:t>amily</w:t>
            </w:r>
            <w:r w:rsidRPr="00EA447C" w:rsidR="00BE7380">
              <w:rPr>
                <w:sz w:val="24"/>
                <w:szCs w:val="24"/>
              </w:rPr>
              <w:t>,</w:t>
            </w:r>
            <w:r w:rsidRPr="00EA447C">
              <w:rPr>
                <w:sz w:val="24"/>
                <w:szCs w:val="24"/>
              </w:rPr>
              <w:t xml:space="preserve"> or Multi</w:t>
            </w:r>
            <w:r w:rsidRPr="00EA447C" w:rsidR="00D273EC">
              <w:rPr>
                <w:sz w:val="24"/>
                <w:szCs w:val="24"/>
              </w:rPr>
              <w:t>-</w:t>
            </w:r>
            <w:r w:rsidRPr="00EA447C">
              <w:rPr>
                <w:sz w:val="24"/>
                <w:szCs w:val="24"/>
              </w:rPr>
              <w:t>family</w:t>
            </w:r>
          </w:p>
        </w:tc>
        <w:tc>
          <w:tcPr>
            <w:tcW w:w="2785" w:type="dxa"/>
            <w:hideMark/>
          </w:tcPr>
          <w:p w:rsidRPr="00EA447C" w:rsidR="00527D01" w:rsidP="006B695C" w:rsidRDefault="00527D01" w14:paraId="38567F58" w14:textId="5551284E">
            <w:pPr>
              <w:spacing w:line="240" w:lineRule="auto"/>
              <w:ind w:firstLine="0"/>
              <w:rPr>
                <w:sz w:val="24"/>
                <w:szCs w:val="24"/>
              </w:rPr>
            </w:pPr>
            <w:r w:rsidRPr="00EA447C">
              <w:rPr>
                <w:sz w:val="24"/>
                <w:szCs w:val="24"/>
              </w:rPr>
              <w:t>Single</w:t>
            </w:r>
            <w:r w:rsidRPr="00EA447C" w:rsidR="00D273EC">
              <w:rPr>
                <w:sz w:val="24"/>
                <w:szCs w:val="24"/>
              </w:rPr>
              <w:t>-f</w:t>
            </w:r>
            <w:r w:rsidRPr="00EA447C">
              <w:rPr>
                <w:sz w:val="24"/>
                <w:szCs w:val="24"/>
              </w:rPr>
              <w:t>amily</w:t>
            </w:r>
          </w:p>
        </w:tc>
      </w:tr>
    </w:tbl>
    <w:p w:rsidRPr="00EA447C" w:rsidR="003465AC" w:rsidP="000F29B9" w:rsidRDefault="003465AC" w14:paraId="618E9AD7" w14:textId="77777777">
      <w:pPr>
        <w:spacing w:line="240" w:lineRule="auto"/>
        <w:jc w:val="center"/>
      </w:pPr>
    </w:p>
    <w:p w:rsidRPr="00EA447C" w:rsidR="00CC4918" w:rsidP="00CC4918" w:rsidRDefault="00CC4918" w14:paraId="11C8FC73" w14:textId="77777777">
      <w:pPr>
        <w:spacing w:line="240" w:lineRule="auto"/>
        <w:ind w:firstLine="0"/>
        <w:jc w:val="center"/>
      </w:pPr>
    </w:p>
    <w:p w:rsidRPr="00CC4918" w:rsidR="00CC4918" w:rsidP="00CC4918" w:rsidRDefault="00CC4918" w14:paraId="7E610BD7" w14:textId="07D4E738">
      <w:pPr>
        <w:spacing w:line="240" w:lineRule="auto"/>
        <w:ind w:firstLine="0"/>
        <w:jc w:val="center"/>
        <w:rPr>
          <w:b/>
          <w:bCs/>
        </w:rPr>
      </w:pPr>
      <w:r w:rsidRPr="00EA447C">
        <w:rPr>
          <w:b/>
          <w:bCs/>
        </w:rPr>
        <w:t>(END OF APPENDIX A)</w:t>
      </w:r>
    </w:p>
    <w:sectPr w:rsidRPr="00CC4918" w:rsidR="00CC4918" w:rsidSect="00CD39BA">
      <w:pgSz w:w="12240" w:h="15840"/>
      <w:pgMar w:top="1728"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1389" w14:textId="77777777" w:rsidR="004E0D94" w:rsidRDefault="004E0D94">
      <w:pPr>
        <w:spacing w:line="240" w:lineRule="auto"/>
      </w:pPr>
      <w:r>
        <w:separator/>
      </w:r>
    </w:p>
  </w:endnote>
  <w:endnote w:type="continuationSeparator" w:id="0">
    <w:p w14:paraId="2F664EF7" w14:textId="77777777" w:rsidR="004E0D94" w:rsidRDefault="004E0D94">
      <w:pPr>
        <w:spacing w:line="240" w:lineRule="auto"/>
      </w:pPr>
      <w:r>
        <w:continuationSeparator/>
      </w:r>
    </w:p>
  </w:endnote>
  <w:endnote w:type="continuationNotice" w:id="1">
    <w:p w14:paraId="514B187D" w14:textId="77777777" w:rsidR="004E0D94" w:rsidRDefault="004E0D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A318" w14:textId="77777777" w:rsidR="006A1862" w:rsidRPr="009B079E" w:rsidRDefault="006A1862">
    <w:pPr>
      <w:spacing w:line="240" w:lineRule="auto"/>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0366" w14:textId="5370958F" w:rsidR="00CD39BA" w:rsidRPr="009B079E" w:rsidRDefault="00CD39BA" w:rsidP="00CD39BA">
    <w:pPr>
      <w:spacing w:line="240" w:lineRule="auto"/>
      <w:ind w:firstLine="0"/>
      <w:jc w:val="center"/>
    </w:pPr>
    <w:r>
      <w:t>A-</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40061" w14:textId="77777777" w:rsidR="004E0D94" w:rsidRDefault="004E0D94">
      <w:pPr>
        <w:spacing w:line="240" w:lineRule="auto"/>
      </w:pPr>
      <w:r>
        <w:separator/>
      </w:r>
    </w:p>
  </w:footnote>
  <w:footnote w:type="continuationSeparator" w:id="0">
    <w:p w14:paraId="51C5A7C0" w14:textId="77777777" w:rsidR="004E0D94" w:rsidRDefault="004E0D94">
      <w:pPr>
        <w:spacing w:line="240" w:lineRule="auto"/>
      </w:pPr>
      <w:r>
        <w:continuationSeparator/>
      </w:r>
    </w:p>
  </w:footnote>
  <w:footnote w:type="continuationNotice" w:id="1">
    <w:p w14:paraId="62B8B91C" w14:textId="77777777" w:rsidR="004E0D94" w:rsidRDefault="004E0D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0C34" w14:textId="2ACCD979" w:rsidR="00CD39BA" w:rsidRDefault="00CD39BA" w:rsidP="00CD39BA">
    <w:pPr>
      <w:pStyle w:val="Header"/>
      <w:ind w:firstLine="0"/>
    </w:pPr>
    <w:r>
      <w:t>R.19-01-011  COM/DH7/</w:t>
    </w:r>
    <w:proofErr w:type="spellStart"/>
    <w:r>
      <w:t>jnf</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B9"/>
    <w:rsid w:val="00000405"/>
    <w:rsid w:val="0000315A"/>
    <w:rsid w:val="00006B91"/>
    <w:rsid w:val="000171E9"/>
    <w:rsid w:val="00017F6C"/>
    <w:rsid w:val="000233B7"/>
    <w:rsid w:val="00024207"/>
    <w:rsid w:val="000301B8"/>
    <w:rsid w:val="00030201"/>
    <w:rsid w:val="00041209"/>
    <w:rsid w:val="00057B55"/>
    <w:rsid w:val="000628A5"/>
    <w:rsid w:val="000660C3"/>
    <w:rsid w:val="00067B9D"/>
    <w:rsid w:val="00073B29"/>
    <w:rsid w:val="000826C8"/>
    <w:rsid w:val="000A08C2"/>
    <w:rsid w:val="000A5494"/>
    <w:rsid w:val="000A5791"/>
    <w:rsid w:val="000F0F7C"/>
    <w:rsid w:val="000F29B9"/>
    <w:rsid w:val="00105B12"/>
    <w:rsid w:val="00121DC9"/>
    <w:rsid w:val="001230B9"/>
    <w:rsid w:val="00126B62"/>
    <w:rsid w:val="0014158E"/>
    <w:rsid w:val="001423A5"/>
    <w:rsid w:val="00147856"/>
    <w:rsid w:val="00150AA4"/>
    <w:rsid w:val="00155B84"/>
    <w:rsid w:val="00157ED3"/>
    <w:rsid w:val="00161CA9"/>
    <w:rsid w:val="00166BEB"/>
    <w:rsid w:val="00166F59"/>
    <w:rsid w:val="001813B7"/>
    <w:rsid w:val="0018688D"/>
    <w:rsid w:val="00193A77"/>
    <w:rsid w:val="00197AEB"/>
    <w:rsid w:val="001A3436"/>
    <w:rsid w:val="001B08FE"/>
    <w:rsid w:val="001B138F"/>
    <w:rsid w:val="001B63E1"/>
    <w:rsid w:val="001C27D5"/>
    <w:rsid w:val="001C7940"/>
    <w:rsid w:val="001F1793"/>
    <w:rsid w:val="001F4B76"/>
    <w:rsid w:val="001F7BB2"/>
    <w:rsid w:val="00200802"/>
    <w:rsid w:val="00212FDA"/>
    <w:rsid w:val="002222C6"/>
    <w:rsid w:val="002227E0"/>
    <w:rsid w:val="00241ED0"/>
    <w:rsid w:val="00264A8B"/>
    <w:rsid w:val="0027081F"/>
    <w:rsid w:val="00273F5E"/>
    <w:rsid w:val="002740FA"/>
    <w:rsid w:val="00277E72"/>
    <w:rsid w:val="00277F58"/>
    <w:rsid w:val="002870C4"/>
    <w:rsid w:val="0029111E"/>
    <w:rsid w:val="002A16BC"/>
    <w:rsid w:val="002A1F25"/>
    <w:rsid w:val="002B4ACD"/>
    <w:rsid w:val="002C4A04"/>
    <w:rsid w:val="002D0502"/>
    <w:rsid w:val="002D1140"/>
    <w:rsid w:val="002D2FAB"/>
    <w:rsid w:val="002D5669"/>
    <w:rsid w:val="002E3F64"/>
    <w:rsid w:val="002E4435"/>
    <w:rsid w:val="002F08B0"/>
    <w:rsid w:val="002F202D"/>
    <w:rsid w:val="003058E0"/>
    <w:rsid w:val="003268D1"/>
    <w:rsid w:val="00334D43"/>
    <w:rsid w:val="00337D53"/>
    <w:rsid w:val="003465AC"/>
    <w:rsid w:val="00355048"/>
    <w:rsid w:val="00355A57"/>
    <w:rsid w:val="003636D5"/>
    <w:rsid w:val="00375421"/>
    <w:rsid w:val="00377174"/>
    <w:rsid w:val="003774E6"/>
    <w:rsid w:val="00377B61"/>
    <w:rsid w:val="003855BF"/>
    <w:rsid w:val="00391924"/>
    <w:rsid w:val="003949DE"/>
    <w:rsid w:val="003D2361"/>
    <w:rsid w:val="003D7A83"/>
    <w:rsid w:val="003D7E65"/>
    <w:rsid w:val="003E004E"/>
    <w:rsid w:val="003F241C"/>
    <w:rsid w:val="003F3350"/>
    <w:rsid w:val="00417BB6"/>
    <w:rsid w:val="00422D6A"/>
    <w:rsid w:val="00431DED"/>
    <w:rsid w:val="00432521"/>
    <w:rsid w:val="00434844"/>
    <w:rsid w:val="0044033A"/>
    <w:rsid w:val="004420E2"/>
    <w:rsid w:val="00455292"/>
    <w:rsid w:val="004571AD"/>
    <w:rsid w:val="00457879"/>
    <w:rsid w:val="00465445"/>
    <w:rsid w:val="0048271D"/>
    <w:rsid w:val="00483F1E"/>
    <w:rsid w:val="0048533D"/>
    <w:rsid w:val="004855ED"/>
    <w:rsid w:val="00486D88"/>
    <w:rsid w:val="004B00F5"/>
    <w:rsid w:val="004B058C"/>
    <w:rsid w:val="004C55EF"/>
    <w:rsid w:val="004C5CB6"/>
    <w:rsid w:val="004D4A0F"/>
    <w:rsid w:val="004E0BDE"/>
    <w:rsid w:val="004E0D94"/>
    <w:rsid w:val="004E15ED"/>
    <w:rsid w:val="004E521F"/>
    <w:rsid w:val="004F306C"/>
    <w:rsid w:val="00500EFD"/>
    <w:rsid w:val="0050158A"/>
    <w:rsid w:val="005032CB"/>
    <w:rsid w:val="005039C2"/>
    <w:rsid w:val="00511A24"/>
    <w:rsid w:val="00522E2F"/>
    <w:rsid w:val="005231DE"/>
    <w:rsid w:val="00527D01"/>
    <w:rsid w:val="00540510"/>
    <w:rsid w:val="00545B9E"/>
    <w:rsid w:val="00551DD2"/>
    <w:rsid w:val="0055720B"/>
    <w:rsid w:val="00561CF0"/>
    <w:rsid w:val="005628D2"/>
    <w:rsid w:val="0056504B"/>
    <w:rsid w:val="005734A9"/>
    <w:rsid w:val="00576710"/>
    <w:rsid w:val="00582E80"/>
    <w:rsid w:val="00591EDD"/>
    <w:rsid w:val="005A18E7"/>
    <w:rsid w:val="005B3C81"/>
    <w:rsid w:val="005C2BD3"/>
    <w:rsid w:val="005C2C76"/>
    <w:rsid w:val="005C4341"/>
    <w:rsid w:val="005C505B"/>
    <w:rsid w:val="005E1A36"/>
    <w:rsid w:val="005E24AA"/>
    <w:rsid w:val="005E737C"/>
    <w:rsid w:val="005F26B8"/>
    <w:rsid w:val="005F7908"/>
    <w:rsid w:val="0060748E"/>
    <w:rsid w:val="00607B3B"/>
    <w:rsid w:val="00610578"/>
    <w:rsid w:val="00611278"/>
    <w:rsid w:val="00614AEC"/>
    <w:rsid w:val="00615290"/>
    <w:rsid w:val="006211D0"/>
    <w:rsid w:val="00622551"/>
    <w:rsid w:val="006231DD"/>
    <w:rsid w:val="00623511"/>
    <w:rsid w:val="00634F16"/>
    <w:rsid w:val="00635214"/>
    <w:rsid w:val="00636BD3"/>
    <w:rsid w:val="00650505"/>
    <w:rsid w:val="00652396"/>
    <w:rsid w:val="0065256A"/>
    <w:rsid w:val="00662B35"/>
    <w:rsid w:val="006668DA"/>
    <w:rsid w:val="00667707"/>
    <w:rsid w:val="0067287A"/>
    <w:rsid w:val="00687850"/>
    <w:rsid w:val="0069123F"/>
    <w:rsid w:val="00692B0E"/>
    <w:rsid w:val="00694FFE"/>
    <w:rsid w:val="006A1862"/>
    <w:rsid w:val="006A449C"/>
    <w:rsid w:val="006B055A"/>
    <w:rsid w:val="006B21AD"/>
    <w:rsid w:val="006B5F87"/>
    <w:rsid w:val="006B695C"/>
    <w:rsid w:val="006C023F"/>
    <w:rsid w:val="006C4090"/>
    <w:rsid w:val="006C42B8"/>
    <w:rsid w:val="006C5441"/>
    <w:rsid w:val="006D669C"/>
    <w:rsid w:val="006F4BEA"/>
    <w:rsid w:val="00702BB0"/>
    <w:rsid w:val="00702F6A"/>
    <w:rsid w:val="00715DDE"/>
    <w:rsid w:val="00716056"/>
    <w:rsid w:val="007172AD"/>
    <w:rsid w:val="00721283"/>
    <w:rsid w:val="00736597"/>
    <w:rsid w:val="00736BC9"/>
    <w:rsid w:val="00743CDE"/>
    <w:rsid w:val="00753D2E"/>
    <w:rsid w:val="00754366"/>
    <w:rsid w:val="00756F97"/>
    <w:rsid w:val="007669D2"/>
    <w:rsid w:val="00771356"/>
    <w:rsid w:val="007807C7"/>
    <w:rsid w:val="00786364"/>
    <w:rsid w:val="007B3CC2"/>
    <w:rsid w:val="007B5C81"/>
    <w:rsid w:val="007C0381"/>
    <w:rsid w:val="007D2951"/>
    <w:rsid w:val="007D4F90"/>
    <w:rsid w:val="007D52DE"/>
    <w:rsid w:val="007D5C98"/>
    <w:rsid w:val="007E3E1B"/>
    <w:rsid w:val="007E4788"/>
    <w:rsid w:val="007E7C47"/>
    <w:rsid w:val="007F0F92"/>
    <w:rsid w:val="007F49F4"/>
    <w:rsid w:val="007F7994"/>
    <w:rsid w:val="008069B1"/>
    <w:rsid w:val="00820C97"/>
    <w:rsid w:val="00821B2F"/>
    <w:rsid w:val="00826329"/>
    <w:rsid w:val="00833F02"/>
    <w:rsid w:val="00843F3D"/>
    <w:rsid w:val="0084651B"/>
    <w:rsid w:val="008559BD"/>
    <w:rsid w:val="00863D26"/>
    <w:rsid w:val="00867D08"/>
    <w:rsid w:val="00875FEB"/>
    <w:rsid w:val="0088777D"/>
    <w:rsid w:val="00891687"/>
    <w:rsid w:val="00894D71"/>
    <w:rsid w:val="008A16A9"/>
    <w:rsid w:val="008B092C"/>
    <w:rsid w:val="008C082A"/>
    <w:rsid w:val="008C2C9A"/>
    <w:rsid w:val="008C7436"/>
    <w:rsid w:val="008C7B1E"/>
    <w:rsid w:val="008D3DD5"/>
    <w:rsid w:val="008D47D8"/>
    <w:rsid w:val="008E237B"/>
    <w:rsid w:val="008F3061"/>
    <w:rsid w:val="009106B8"/>
    <w:rsid w:val="009110C3"/>
    <w:rsid w:val="009170BD"/>
    <w:rsid w:val="009374DA"/>
    <w:rsid w:val="009379C1"/>
    <w:rsid w:val="00942CD0"/>
    <w:rsid w:val="009524D6"/>
    <w:rsid w:val="0096458B"/>
    <w:rsid w:val="009772F5"/>
    <w:rsid w:val="009819DD"/>
    <w:rsid w:val="009932B4"/>
    <w:rsid w:val="00996C59"/>
    <w:rsid w:val="009A00E6"/>
    <w:rsid w:val="009A476A"/>
    <w:rsid w:val="009A7664"/>
    <w:rsid w:val="009A7B65"/>
    <w:rsid w:val="009B7732"/>
    <w:rsid w:val="009C0903"/>
    <w:rsid w:val="009C4B97"/>
    <w:rsid w:val="009F7FA3"/>
    <w:rsid w:val="00A05E12"/>
    <w:rsid w:val="00A13E20"/>
    <w:rsid w:val="00A407EB"/>
    <w:rsid w:val="00A4458A"/>
    <w:rsid w:val="00A511A7"/>
    <w:rsid w:val="00A55AB0"/>
    <w:rsid w:val="00A63F5B"/>
    <w:rsid w:val="00A71155"/>
    <w:rsid w:val="00A85BFC"/>
    <w:rsid w:val="00A94A3F"/>
    <w:rsid w:val="00A9744A"/>
    <w:rsid w:val="00A97CF6"/>
    <w:rsid w:val="00AA3F01"/>
    <w:rsid w:val="00AA7C7E"/>
    <w:rsid w:val="00AB551E"/>
    <w:rsid w:val="00AC239B"/>
    <w:rsid w:val="00AC2CF9"/>
    <w:rsid w:val="00AC383C"/>
    <w:rsid w:val="00AC5826"/>
    <w:rsid w:val="00AD6AF0"/>
    <w:rsid w:val="00AD6CC4"/>
    <w:rsid w:val="00AE364C"/>
    <w:rsid w:val="00AF6ECF"/>
    <w:rsid w:val="00B02DE0"/>
    <w:rsid w:val="00B04C6B"/>
    <w:rsid w:val="00B12416"/>
    <w:rsid w:val="00B12612"/>
    <w:rsid w:val="00B17478"/>
    <w:rsid w:val="00B238E4"/>
    <w:rsid w:val="00B336F5"/>
    <w:rsid w:val="00B339E9"/>
    <w:rsid w:val="00B6581B"/>
    <w:rsid w:val="00B73861"/>
    <w:rsid w:val="00B764C8"/>
    <w:rsid w:val="00B93DD4"/>
    <w:rsid w:val="00BA72F6"/>
    <w:rsid w:val="00BA7B91"/>
    <w:rsid w:val="00BB499C"/>
    <w:rsid w:val="00BB6852"/>
    <w:rsid w:val="00BD6AEC"/>
    <w:rsid w:val="00BE3585"/>
    <w:rsid w:val="00BE6459"/>
    <w:rsid w:val="00BE7380"/>
    <w:rsid w:val="00BF0656"/>
    <w:rsid w:val="00BF4202"/>
    <w:rsid w:val="00C03384"/>
    <w:rsid w:val="00C239EA"/>
    <w:rsid w:val="00C260E6"/>
    <w:rsid w:val="00C4061D"/>
    <w:rsid w:val="00C41259"/>
    <w:rsid w:val="00C4209F"/>
    <w:rsid w:val="00C42206"/>
    <w:rsid w:val="00C67C94"/>
    <w:rsid w:val="00C74237"/>
    <w:rsid w:val="00C74264"/>
    <w:rsid w:val="00C86B3A"/>
    <w:rsid w:val="00CA0ADA"/>
    <w:rsid w:val="00CA3EB0"/>
    <w:rsid w:val="00CA68FA"/>
    <w:rsid w:val="00CB37BB"/>
    <w:rsid w:val="00CC2E06"/>
    <w:rsid w:val="00CC3E54"/>
    <w:rsid w:val="00CC4918"/>
    <w:rsid w:val="00CD39BA"/>
    <w:rsid w:val="00CE0EAB"/>
    <w:rsid w:val="00CE21D9"/>
    <w:rsid w:val="00CF62BE"/>
    <w:rsid w:val="00CF6496"/>
    <w:rsid w:val="00D03AE3"/>
    <w:rsid w:val="00D2119E"/>
    <w:rsid w:val="00D272EC"/>
    <w:rsid w:val="00D273EC"/>
    <w:rsid w:val="00D27F1F"/>
    <w:rsid w:val="00D30F11"/>
    <w:rsid w:val="00D32697"/>
    <w:rsid w:val="00D33B6A"/>
    <w:rsid w:val="00D345A8"/>
    <w:rsid w:val="00D537AC"/>
    <w:rsid w:val="00D56A50"/>
    <w:rsid w:val="00D62BA5"/>
    <w:rsid w:val="00D65244"/>
    <w:rsid w:val="00D70DF5"/>
    <w:rsid w:val="00D7333F"/>
    <w:rsid w:val="00D7398D"/>
    <w:rsid w:val="00D74DE9"/>
    <w:rsid w:val="00D9050F"/>
    <w:rsid w:val="00D91DC8"/>
    <w:rsid w:val="00D95A53"/>
    <w:rsid w:val="00D96BB5"/>
    <w:rsid w:val="00DA7A79"/>
    <w:rsid w:val="00DB085B"/>
    <w:rsid w:val="00DB1409"/>
    <w:rsid w:val="00DB5CA8"/>
    <w:rsid w:val="00DC548C"/>
    <w:rsid w:val="00DD5B3A"/>
    <w:rsid w:val="00DF5580"/>
    <w:rsid w:val="00DF7675"/>
    <w:rsid w:val="00E071E8"/>
    <w:rsid w:val="00E11107"/>
    <w:rsid w:val="00E13A80"/>
    <w:rsid w:val="00E1532D"/>
    <w:rsid w:val="00E16E0F"/>
    <w:rsid w:val="00E32A62"/>
    <w:rsid w:val="00E42F8B"/>
    <w:rsid w:val="00E63106"/>
    <w:rsid w:val="00E71172"/>
    <w:rsid w:val="00E75ADA"/>
    <w:rsid w:val="00E80D9D"/>
    <w:rsid w:val="00E8179C"/>
    <w:rsid w:val="00E853C2"/>
    <w:rsid w:val="00EA447C"/>
    <w:rsid w:val="00EA75EE"/>
    <w:rsid w:val="00EB3879"/>
    <w:rsid w:val="00EC6BD0"/>
    <w:rsid w:val="00ED730A"/>
    <w:rsid w:val="00EE17C5"/>
    <w:rsid w:val="00EE1951"/>
    <w:rsid w:val="00EE5292"/>
    <w:rsid w:val="00EE7F6A"/>
    <w:rsid w:val="00EF5E84"/>
    <w:rsid w:val="00F018AF"/>
    <w:rsid w:val="00F02A14"/>
    <w:rsid w:val="00F20882"/>
    <w:rsid w:val="00F2357D"/>
    <w:rsid w:val="00F24D48"/>
    <w:rsid w:val="00F255A0"/>
    <w:rsid w:val="00F27F1E"/>
    <w:rsid w:val="00F3509E"/>
    <w:rsid w:val="00F40C5C"/>
    <w:rsid w:val="00F40D74"/>
    <w:rsid w:val="00F6291A"/>
    <w:rsid w:val="00F6323A"/>
    <w:rsid w:val="00F66120"/>
    <w:rsid w:val="00F703CD"/>
    <w:rsid w:val="00F70429"/>
    <w:rsid w:val="00F72D4D"/>
    <w:rsid w:val="00F8297B"/>
    <w:rsid w:val="00F8676D"/>
    <w:rsid w:val="00FA4247"/>
    <w:rsid w:val="00FA57EC"/>
    <w:rsid w:val="00FB4BCC"/>
    <w:rsid w:val="00FB4EDA"/>
    <w:rsid w:val="00FB70F8"/>
    <w:rsid w:val="00FE34F9"/>
    <w:rsid w:val="00FE7F31"/>
    <w:rsid w:val="00FF7878"/>
    <w:rsid w:val="09BE2AD5"/>
    <w:rsid w:val="0DFAF424"/>
    <w:rsid w:val="0F66875D"/>
    <w:rsid w:val="247A54FC"/>
    <w:rsid w:val="341A9209"/>
    <w:rsid w:val="54FE1925"/>
    <w:rsid w:val="580A4E04"/>
    <w:rsid w:val="7443690B"/>
    <w:rsid w:val="76F69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5923"/>
  <w15:chartTrackingRefBased/>
  <w15:docId w15:val="{73086505-18DF-48CF-9634-66809C21D85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29B9"/>
    <w:pPr>
      <w:spacing w:after="0" w:line="360" w:lineRule="auto"/>
      <w:ind w:firstLine="720"/>
    </w:pPr>
    <w:rPr>
      <w:rFonts w:ascii="Book Antiqua" w:hAnsi="Book Antiqua"/>
      <w:kern w:val="0"/>
      <w:sz w:val="26"/>
      <w14:ligatures w14:val="none"/>
    </w:rPr>
  </w:style>
  <w:style w:type="paragraph" w:styleId="Heading1">
    <w:name w:val="heading 1"/>
    <w:basedOn w:val="Normal"/>
    <w:next w:val="Normal"/>
    <w:link w:val="Heading1Char"/>
    <w:uiPriority w:val="9"/>
    <w:qFormat/>
    <w:rsid w:val="000F29B9"/>
    <w:pPr>
      <w:keepNext/>
      <w:keepLines/>
      <w:spacing w:before="360" w:after="80" w:line="259"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29B9"/>
    <w:pPr>
      <w:keepNext/>
      <w:keepLines/>
      <w:spacing w:before="160" w:after="80" w:line="259"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29B9"/>
    <w:pPr>
      <w:keepNext/>
      <w:keepLines/>
      <w:spacing w:before="160" w:after="80" w:line="259" w:lineRule="auto"/>
      <w:ind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29B9"/>
    <w:pPr>
      <w:keepNext/>
      <w:keepLines/>
      <w:spacing w:before="80" w:after="40" w:line="259" w:lineRule="auto"/>
      <w:ind w:firstLine="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0F29B9"/>
    <w:pPr>
      <w:keepNext/>
      <w:keepLines/>
      <w:spacing w:before="80" w:after="40" w:line="259" w:lineRule="auto"/>
      <w:ind w:firstLine="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0F29B9"/>
    <w:pPr>
      <w:keepNext/>
      <w:keepLines/>
      <w:spacing w:before="40" w:line="259" w:lineRule="auto"/>
      <w:ind w:firstLine="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0F29B9"/>
    <w:pPr>
      <w:keepNext/>
      <w:keepLines/>
      <w:spacing w:before="40" w:line="259" w:lineRule="auto"/>
      <w:ind w:firstLine="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0F29B9"/>
    <w:pPr>
      <w:keepNext/>
      <w:keepLines/>
      <w:spacing w:line="259" w:lineRule="auto"/>
      <w:ind w:firstLine="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0F29B9"/>
    <w:pPr>
      <w:keepNext/>
      <w:keepLines/>
      <w:spacing w:line="259" w:lineRule="auto"/>
      <w:ind w:firstLine="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9B9"/>
    <w:rPr>
      <w:rFonts w:eastAsiaTheme="majorEastAsia" w:cstheme="majorBidi"/>
      <w:color w:val="272727" w:themeColor="text1" w:themeTint="D8"/>
    </w:rPr>
  </w:style>
  <w:style w:type="paragraph" w:styleId="Title">
    <w:name w:val="Title"/>
    <w:basedOn w:val="Normal"/>
    <w:next w:val="Normal"/>
    <w:link w:val="TitleChar"/>
    <w:uiPriority w:val="10"/>
    <w:qFormat/>
    <w:rsid w:val="000F29B9"/>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9B9"/>
    <w:pPr>
      <w:numPr>
        <w:ilvl w:val="1"/>
      </w:numPr>
      <w:spacing w:after="160" w:line="259"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9B9"/>
    <w:pPr>
      <w:spacing w:before="160" w:after="160" w:line="259" w:lineRule="auto"/>
      <w:ind w:firstLine="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0F29B9"/>
    <w:rPr>
      <w:i/>
      <w:iCs/>
      <w:color w:val="404040" w:themeColor="text1" w:themeTint="BF"/>
    </w:rPr>
  </w:style>
  <w:style w:type="paragraph" w:styleId="ListParagraph">
    <w:name w:val="List Paragraph"/>
    <w:basedOn w:val="Normal"/>
    <w:uiPriority w:val="34"/>
    <w:qFormat/>
    <w:rsid w:val="000F29B9"/>
    <w:pPr>
      <w:spacing w:after="160" w:line="259" w:lineRule="auto"/>
      <w:ind w:left="720" w:firstLine="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0F29B9"/>
    <w:rPr>
      <w:i/>
      <w:iCs/>
      <w:color w:val="0F4761" w:themeColor="accent1" w:themeShade="BF"/>
    </w:rPr>
  </w:style>
  <w:style w:type="paragraph" w:styleId="IntenseQuote">
    <w:name w:val="Intense Quote"/>
    <w:basedOn w:val="Normal"/>
    <w:next w:val="Normal"/>
    <w:link w:val="IntenseQuoteChar"/>
    <w:uiPriority w:val="30"/>
    <w:qFormat/>
    <w:rsid w:val="000F29B9"/>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0F29B9"/>
    <w:rPr>
      <w:i/>
      <w:iCs/>
      <w:color w:val="0F4761" w:themeColor="accent1" w:themeShade="BF"/>
    </w:rPr>
  </w:style>
  <w:style w:type="character" w:styleId="IntenseReference">
    <w:name w:val="Intense Reference"/>
    <w:basedOn w:val="DefaultParagraphFont"/>
    <w:uiPriority w:val="32"/>
    <w:qFormat/>
    <w:rsid w:val="000F29B9"/>
    <w:rPr>
      <w:b/>
      <w:bCs/>
      <w:smallCaps/>
      <w:color w:val="0F4761" w:themeColor="accent1" w:themeShade="BF"/>
      <w:spacing w:val="5"/>
    </w:rPr>
  </w:style>
  <w:style w:type="table" w:styleId="TableGrid">
    <w:name w:val="Table Grid"/>
    <w:basedOn w:val="TableNormal"/>
    <w:uiPriority w:val="39"/>
    <w:rsid w:val="000F29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ex">
    <w:name w:val="Mainex"/>
    <w:basedOn w:val="Normal"/>
    <w:next w:val="Normal"/>
    <w:uiPriority w:val="19"/>
    <w:rsid w:val="000F29B9"/>
    <w:pPr>
      <w:keepNext/>
      <w:ind w:firstLine="0"/>
      <w:jc w:val="center"/>
      <w:outlineLvl w:val="0"/>
    </w:pPr>
    <w:rPr>
      <w:rFonts w:ascii="Arial" w:eastAsiaTheme="majorEastAsia" w:hAnsi="Arial" w:cstheme="majorBidi"/>
      <w:b/>
      <w:caps/>
      <w:spacing w:val="120"/>
      <w:szCs w:val="56"/>
    </w:rPr>
  </w:style>
  <w:style w:type="paragraph" w:styleId="Revision">
    <w:name w:val="Revision"/>
    <w:hidden/>
    <w:uiPriority w:val="99"/>
    <w:semiHidden/>
    <w:rsid w:val="00996C59"/>
    <w:pPr>
      <w:spacing w:after="0" w:line="240" w:lineRule="auto"/>
    </w:pPr>
    <w:rPr>
      <w:rFonts w:ascii="Book Antiqua" w:hAnsi="Book Antiqua"/>
      <w:kern w:val="0"/>
      <w:sz w:val="26"/>
      <w14:ligatures w14:val="none"/>
    </w:rPr>
  </w:style>
  <w:style w:type="paragraph" w:styleId="Header">
    <w:name w:val="header"/>
    <w:basedOn w:val="Normal"/>
    <w:link w:val="HeaderChar"/>
    <w:uiPriority w:val="99"/>
    <w:unhideWhenUsed/>
    <w:rsid w:val="00607B3B"/>
    <w:pPr>
      <w:tabs>
        <w:tab w:val="center" w:pos="4680"/>
        <w:tab w:val="right" w:pos="9360"/>
      </w:tabs>
      <w:spacing w:line="240" w:lineRule="auto"/>
    </w:pPr>
  </w:style>
  <w:style w:type="character" w:customStyle="1" w:styleId="HeaderChar">
    <w:name w:val="Header Char"/>
    <w:basedOn w:val="DefaultParagraphFont"/>
    <w:link w:val="Header"/>
    <w:uiPriority w:val="99"/>
    <w:rsid w:val="00607B3B"/>
    <w:rPr>
      <w:rFonts w:ascii="Book Antiqua" w:hAnsi="Book Antiqua"/>
      <w:kern w:val="0"/>
      <w:sz w:val="26"/>
      <w14:ligatures w14:val="none"/>
    </w:rPr>
  </w:style>
  <w:style w:type="paragraph" w:styleId="Footer">
    <w:name w:val="footer"/>
    <w:basedOn w:val="Normal"/>
    <w:link w:val="FooterChar"/>
    <w:uiPriority w:val="99"/>
    <w:unhideWhenUsed/>
    <w:rsid w:val="00607B3B"/>
    <w:pPr>
      <w:tabs>
        <w:tab w:val="center" w:pos="4680"/>
        <w:tab w:val="right" w:pos="9360"/>
      </w:tabs>
      <w:spacing w:line="240" w:lineRule="auto"/>
    </w:pPr>
  </w:style>
  <w:style w:type="character" w:customStyle="1" w:styleId="FooterChar">
    <w:name w:val="Footer Char"/>
    <w:basedOn w:val="DefaultParagraphFont"/>
    <w:link w:val="Footer"/>
    <w:uiPriority w:val="99"/>
    <w:rsid w:val="00607B3B"/>
    <w:rPr>
      <w:rFonts w:ascii="Book Antiqua" w:hAnsi="Book Antiqua"/>
      <w:kern w:val="0"/>
      <w:sz w:val="26"/>
      <w14:ligatures w14:val="none"/>
    </w:rPr>
  </w:style>
  <w:style w:type="paragraph" w:customStyle="1" w:styleId="Standard">
    <w:name w:val="Standard"/>
    <w:basedOn w:val="Normal"/>
    <w:link w:val="StandardChar"/>
    <w:qFormat/>
    <w:rsid w:val="00CD39BA"/>
  </w:style>
  <w:style w:type="character" w:customStyle="1" w:styleId="StandardChar">
    <w:name w:val="Standard Char"/>
    <w:basedOn w:val="DefaultParagraphFont"/>
    <w:link w:val="Standard"/>
    <w:rsid w:val="00CD39BA"/>
    <w:rPr>
      <w:rFonts w:ascii="Book Antiqua" w:hAnsi="Book Antiqua"/>
      <w:kern w:val="0"/>
      <w:sz w:val="26"/>
      <w14:ligatures w14:val="none"/>
    </w:rPr>
  </w:style>
  <w:style w:type="character" w:styleId="Hyperlink">
    <w:name w:val="Hyperlink"/>
    <w:basedOn w:val="DefaultParagraphFont"/>
    <w:uiPriority w:val="99"/>
    <w:unhideWhenUsed/>
    <w:rsid w:val="00CD39BA"/>
    <w:rPr>
      <w:color w:val="467886" w:themeColor="hyperlink"/>
      <w:u w:val="single"/>
    </w:rPr>
  </w:style>
  <w:style w:type="character" w:styleId="UnresolvedMention">
    <w:name w:val="Unresolved Mention"/>
    <w:basedOn w:val="DefaultParagraphFont"/>
    <w:uiPriority w:val="99"/>
    <w:semiHidden/>
    <w:unhideWhenUsed/>
    <w:rsid w:val="00CD39BA"/>
    <w:rPr>
      <w:color w:val="605E5C"/>
      <w:shd w:val="clear" w:color="auto" w:fill="E1DFDD"/>
    </w:rPr>
  </w:style>
  <w:style w:type="character" w:styleId="CommentReference">
    <w:name w:val="annotation reference"/>
    <w:basedOn w:val="DefaultParagraphFont"/>
    <w:uiPriority w:val="99"/>
    <w:semiHidden/>
    <w:unhideWhenUsed/>
    <w:rsid w:val="005C505B"/>
    <w:rPr>
      <w:sz w:val="16"/>
      <w:szCs w:val="16"/>
    </w:rPr>
  </w:style>
  <w:style w:type="paragraph" w:styleId="CommentText">
    <w:name w:val="annotation text"/>
    <w:basedOn w:val="Normal"/>
    <w:link w:val="CommentTextChar"/>
    <w:uiPriority w:val="99"/>
    <w:unhideWhenUsed/>
    <w:rsid w:val="005C505B"/>
    <w:pPr>
      <w:spacing w:line="240" w:lineRule="auto"/>
    </w:pPr>
    <w:rPr>
      <w:sz w:val="20"/>
      <w:szCs w:val="20"/>
    </w:rPr>
  </w:style>
  <w:style w:type="character" w:customStyle="1" w:styleId="CommentTextChar">
    <w:name w:val="Comment Text Char"/>
    <w:basedOn w:val="DefaultParagraphFont"/>
    <w:link w:val="CommentText"/>
    <w:uiPriority w:val="99"/>
    <w:rsid w:val="005C505B"/>
    <w:rPr>
      <w:rFonts w:ascii="Book Antiqua" w:hAnsi="Book Antiqu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505B"/>
    <w:rPr>
      <w:b/>
      <w:bCs/>
    </w:rPr>
  </w:style>
  <w:style w:type="character" w:customStyle="1" w:styleId="CommentSubjectChar">
    <w:name w:val="Comment Subject Char"/>
    <w:basedOn w:val="CommentTextChar"/>
    <w:link w:val="CommentSubject"/>
    <w:uiPriority w:val="99"/>
    <w:semiHidden/>
    <w:rsid w:val="005C505B"/>
    <w:rPr>
      <w:rFonts w:ascii="Book Antiqua" w:hAnsi="Book Antiqua"/>
      <w:b/>
      <w:bCs/>
      <w:kern w:val="0"/>
      <w:sz w:val="20"/>
      <w:szCs w:val="20"/>
      <w14:ligatures w14:val="none"/>
    </w:rPr>
  </w:style>
  <w:style w:type="character" w:styleId="Mention">
    <w:name w:val="Mention"/>
    <w:basedOn w:val="DefaultParagraphFont"/>
    <w:uiPriority w:val="99"/>
    <w:unhideWhenUsed/>
    <w:rsid w:val="005C505B"/>
    <w:rPr>
      <w:color w:val="2B579A"/>
      <w:shd w:val="clear" w:color="auto" w:fill="E1DFDD"/>
    </w:rPr>
  </w:style>
  <w:style w:type="paragraph" w:styleId="FootnoteText">
    <w:name w:val="footnote text"/>
    <w:basedOn w:val="Normal"/>
    <w:link w:val="FootnoteTextChar"/>
    <w:uiPriority w:val="40"/>
    <w:rsid w:val="002D2FAB"/>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2D2FAB"/>
    <w:rPr>
      <w:rFonts w:ascii="Book Antiqua" w:hAnsi="Book Antiqua"/>
      <w:kern w:val="0"/>
      <w:szCs w:val="20"/>
      <w14:ligatures w14:val="none"/>
    </w:rPr>
  </w:style>
  <w:style w:type="character" w:styleId="FootnoteReference">
    <w:name w:val="footnote reference"/>
    <w:basedOn w:val="DefaultParagraphFont"/>
    <w:uiPriority w:val="99"/>
    <w:unhideWhenUsed/>
    <w:rsid w:val="002D2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4685">
      <w:bodyDiv w:val="1"/>
      <w:marLeft w:val="0"/>
      <w:marRight w:val="0"/>
      <w:marTop w:val="0"/>
      <w:marBottom w:val="0"/>
      <w:divBdr>
        <w:top w:val="none" w:sz="0" w:space="0" w:color="auto"/>
        <w:left w:val="none" w:sz="0" w:space="0" w:color="auto"/>
        <w:bottom w:val="none" w:sz="0" w:space="0" w:color="auto"/>
        <w:right w:val="none" w:sz="0" w:space="0" w:color="auto"/>
      </w:divBdr>
    </w:div>
    <w:div w:id="476335926">
      <w:bodyDiv w:val="1"/>
      <w:marLeft w:val="0"/>
      <w:marRight w:val="0"/>
      <w:marTop w:val="0"/>
      <w:marBottom w:val="0"/>
      <w:divBdr>
        <w:top w:val="none" w:sz="0" w:space="0" w:color="auto"/>
        <w:left w:val="none" w:sz="0" w:space="0" w:color="auto"/>
        <w:bottom w:val="none" w:sz="0" w:space="0" w:color="auto"/>
        <w:right w:val="none" w:sz="0" w:space="0" w:color="auto"/>
      </w:divBdr>
    </w:div>
    <w:div w:id="555514399">
      <w:bodyDiv w:val="1"/>
      <w:marLeft w:val="0"/>
      <w:marRight w:val="0"/>
      <w:marTop w:val="0"/>
      <w:marBottom w:val="0"/>
      <w:divBdr>
        <w:top w:val="none" w:sz="0" w:space="0" w:color="auto"/>
        <w:left w:val="none" w:sz="0" w:space="0" w:color="auto"/>
        <w:bottom w:val="none" w:sz="0" w:space="0" w:color="auto"/>
        <w:right w:val="none" w:sz="0" w:space="0" w:color="auto"/>
      </w:divBdr>
    </w:div>
    <w:div w:id="910387293">
      <w:bodyDiv w:val="1"/>
      <w:marLeft w:val="0"/>
      <w:marRight w:val="0"/>
      <w:marTop w:val="0"/>
      <w:marBottom w:val="0"/>
      <w:divBdr>
        <w:top w:val="none" w:sz="0" w:space="0" w:color="auto"/>
        <w:left w:val="none" w:sz="0" w:space="0" w:color="auto"/>
        <w:bottom w:val="none" w:sz="0" w:space="0" w:color="auto"/>
        <w:right w:val="none" w:sz="0" w:space="0" w:color="auto"/>
      </w:divBdr>
    </w:div>
    <w:div w:id="1358190805">
      <w:bodyDiv w:val="1"/>
      <w:marLeft w:val="0"/>
      <w:marRight w:val="0"/>
      <w:marTop w:val="0"/>
      <w:marBottom w:val="0"/>
      <w:divBdr>
        <w:top w:val="none" w:sz="0" w:space="0" w:color="auto"/>
        <w:left w:val="none" w:sz="0" w:space="0" w:color="auto"/>
        <w:bottom w:val="none" w:sz="0" w:space="0" w:color="auto"/>
        <w:right w:val="none" w:sz="0" w:space="0" w:color="auto"/>
      </w:divBdr>
    </w:div>
    <w:div w:id="1478186112">
      <w:bodyDiv w:val="1"/>
      <w:marLeft w:val="0"/>
      <w:marRight w:val="0"/>
      <w:marTop w:val="0"/>
      <w:marBottom w:val="0"/>
      <w:divBdr>
        <w:top w:val="none" w:sz="0" w:space="0" w:color="auto"/>
        <w:left w:val="none" w:sz="0" w:space="0" w:color="auto"/>
        <w:bottom w:val="none" w:sz="0" w:space="0" w:color="auto"/>
        <w:right w:val="none" w:sz="0" w:space="0" w:color="auto"/>
      </w:divBdr>
    </w:div>
    <w:div w:id="18417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ergydivisioncentralfiles@cpuc.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buildingdecarb@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stalpro.usp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ergydivisioncentralfiles@cpuc.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buildingdecarb@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18" ma:contentTypeDescription="Create a new document." ma:contentTypeScope="" ma:versionID="09a63651bc4897ec2e987b5b98e9af2d">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4b65538bd401db7116bb96f8047e730d"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9481d-6fc9-492a-9464-01cb5eeb989d}" ma:internalName="TaxCatchAll" ma:showField="CatchAllData" ma:web="c84948d9-b961-49fe-a95b-0e14a4ad7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1d857-699d-4ad8-8df6-a48f95e96d3b">
      <Terms xmlns="http://schemas.microsoft.com/office/infopath/2007/PartnerControls"/>
    </lcf76f155ced4ddcb4097134ff3c332f>
    <TaxCatchAll xmlns="c84948d9-b961-49fe-a95b-0e14a4ad714f" xsi:nil="true"/>
  </documentManagement>
</p:properties>
</file>

<file path=customXml/itemProps1.xml><?xml version="1.0" encoding="utf-8"?>
<ds:datastoreItem xmlns:ds="http://schemas.openxmlformats.org/officeDocument/2006/customXml" ds:itemID="{14CBA1DF-50B1-46B0-8A53-01744C6C8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19B6C-3103-47A9-AA19-F0C98FD46631}">
  <ds:schemaRefs>
    <ds:schemaRef ds:uri="http://schemas.microsoft.com/sharepoint/v3/contenttype/forms"/>
  </ds:schemaRefs>
</ds:datastoreItem>
</file>

<file path=customXml/itemProps3.xml><?xml version="1.0" encoding="utf-8"?>
<ds:datastoreItem xmlns:ds="http://schemas.openxmlformats.org/officeDocument/2006/customXml" ds:itemID="{B522439D-FCEA-42C0-B24E-D040CBFB7236}">
  <ds:schemaRefs>
    <ds:schemaRef ds:uri="http://schemas.microsoft.com/office/2006/metadata/properties"/>
    <ds:schemaRef ds:uri="http://schemas.microsoft.com/office/infopath/2007/PartnerControls"/>
    <ds:schemaRef ds:uri="82a1d857-699d-4ad8-8df6-a48f95e96d3b"/>
    <ds:schemaRef ds:uri="c84948d9-b961-49fe-a95b-0e14a4ad714f"/>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1675</ap:Words>
  <ap:Characters>9551</ap:Characters>
  <ap:Application>Microsoft Office Word</ap:Application>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11204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2025-03-21T17:58:00Z</cp:lastPrinted>
  <dcterms:created xsi:type="dcterms:W3CDTF">2025-06-10T08:34:48Z</dcterms:created>
  <dcterms:modified xsi:type="dcterms:W3CDTF">2025-06-10T08:34:48Z</dcterms:modified>
</cp:coreProperties>
</file>