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5418D" w:rsidR="00CF17DE" w:rsidP="41BE7BBC" w:rsidRDefault="00CF17DE" w14:paraId="5E624470" w14:textId="03BC9603">
      <w:pPr>
        <w:pStyle w:val="titlebar"/>
        <w:rPr>
          <w:rFonts w:cs="Helvetica"/>
          <w:szCs w:val="26"/>
        </w:rPr>
      </w:pPr>
      <w:r w:rsidRPr="0075418D">
        <w:rPr>
          <w:rFonts w:cs="Helvetica"/>
          <w:szCs w:val="26"/>
        </w:rPr>
        <w:t>PUBLIC UTILITIES COMMISSION OF THE STATE OF CALIFORNIA</w:t>
      </w:r>
    </w:p>
    <w:p w:rsidRPr="0075418D" w:rsidR="006B16A5" w:rsidP="006B16A5" w:rsidRDefault="006B16A5" w14:paraId="57BC69F2" w14:textId="77777777">
      <w:pPr>
        <w:suppressAutoHyphens/>
        <w:rPr>
          <w:rFonts w:ascii="Palatino Linotype" w:hAnsi="Palatino Linotype"/>
          <w:sz w:val="24"/>
          <w:szCs w:val="24"/>
        </w:rPr>
      </w:pPr>
      <w:bookmarkStart w:name="_Ref404993683" w:id="0"/>
    </w:p>
    <w:p w:rsidRPr="0075418D" w:rsidR="0075418D" w:rsidP="00FD0C3C" w:rsidRDefault="00472C8F" w14:paraId="7C2B2E84" w14:textId="35901761">
      <w:pPr>
        <w:rPr>
          <w:rFonts w:ascii="Palatino Linotype" w:hAnsi="Palatino Linotype"/>
          <w:sz w:val="24"/>
          <w:szCs w:val="24"/>
        </w:rPr>
      </w:pPr>
      <w:r>
        <w:rPr>
          <w:rFonts w:ascii="Palatino Linotype" w:hAnsi="Palatino Linotype"/>
          <w:sz w:val="24"/>
          <w:szCs w:val="24"/>
        </w:rPr>
        <w:t xml:space="preserve">                                                                                                                    </w:t>
      </w:r>
      <w:r w:rsidRPr="00472C8F" w:rsidR="0075418D">
        <w:rPr>
          <w:rFonts w:ascii="Palatino Linotype" w:hAnsi="Palatino Linotype"/>
          <w:b/>
          <w:sz w:val="24"/>
          <w:szCs w:val="24"/>
        </w:rPr>
        <w:t>Agenda ID#</w:t>
      </w:r>
      <w:r w:rsidR="00FD0C3C">
        <w:rPr>
          <w:rFonts w:ascii="Palatino Linotype" w:hAnsi="Palatino Linotype"/>
          <w:b/>
          <w:sz w:val="24"/>
          <w:szCs w:val="24"/>
        </w:rPr>
        <w:t xml:space="preserve"> </w:t>
      </w:r>
      <w:r w:rsidRPr="00FD0C3C" w:rsidR="00FD0C3C">
        <w:rPr>
          <w:rFonts w:ascii="Palatino Linotype" w:hAnsi="Palatino Linotype"/>
          <w:b/>
          <w:bCs/>
          <w:sz w:val="24"/>
          <w:szCs w:val="24"/>
        </w:rPr>
        <w:t>23574</w:t>
      </w:r>
    </w:p>
    <w:p w:rsidRPr="0075418D" w:rsidR="006B16A5" w:rsidP="006B16A5" w:rsidRDefault="006B16A5" w14:paraId="7239594E" w14:textId="404D600A">
      <w:pPr>
        <w:rPr>
          <w:rFonts w:ascii="Palatino Linotype" w:hAnsi="Palatino Linotype"/>
          <w:b/>
          <w:sz w:val="24"/>
          <w:szCs w:val="24"/>
        </w:rPr>
      </w:pPr>
      <w:r w:rsidRPr="0075418D">
        <w:rPr>
          <w:rFonts w:ascii="Palatino Linotype" w:hAnsi="Palatino Linotype"/>
          <w:b/>
          <w:sz w:val="24"/>
          <w:szCs w:val="24"/>
        </w:rPr>
        <w:t>ENERGY DIVISION</w:t>
      </w:r>
      <w:r w:rsidRPr="0075418D">
        <w:rPr>
          <w:rFonts w:ascii="Palatino Linotype" w:hAnsi="Palatino Linotype"/>
          <w:b/>
          <w:sz w:val="24"/>
          <w:szCs w:val="24"/>
        </w:rPr>
        <w:tab/>
      </w:r>
      <w:r w:rsidRPr="0075418D">
        <w:rPr>
          <w:rFonts w:ascii="Palatino Linotype" w:hAnsi="Palatino Linotype"/>
          <w:b/>
          <w:sz w:val="24"/>
          <w:szCs w:val="24"/>
        </w:rPr>
        <w:tab/>
      </w:r>
      <w:r w:rsidRPr="0075418D">
        <w:rPr>
          <w:rFonts w:ascii="Palatino Linotype" w:hAnsi="Palatino Linotype"/>
          <w:b/>
          <w:sz w:val="24"/>
          <w:szCs w:val="24"/>
        </w:rPr>
        <w:tab/>
      </w:r>
      <w:r w:rsidRPr="0075418D">
        <w:rPr>
          <w:rFonts w:ascii="Palatino Linotype" w:hAnsi="Palatino Linotype"/>
          <w:b/>
          <w:sz w:val="24"/>
          <w:szCs w:val="24"/>
        </w:rPr>
        <w:tab/>
      </w:r>
      <w:r w:rsidRPr="0075418D">
        <w:rPr>
          <w:rFonts w:ascii="Palatino Linotype" w:hAnsi="Palatino Linotype"/>
          <w:b/>
          <w:sz w:val="24"/>
          <w:szCs w:val="24"/>
        </w:rPr>
        <w:tab/>
      </w:r>
      <w:r w:rsidRPr="0075418D">
        <w:rPr>
          <w:rFonts w:ascii="Palatino Linotype" w:hAnsi="Palatino Linotype"/>
          <w:b/>
          <w:sz w:val="24"/>
          <w:szCs w:val="24"/>
        </w:rPr>
        <w:tab/>
        <w:t>RESOLUTION G-3610</w:t>
      </w:r>
    </w:p>
    <w:p w:rsidRPr="0075418D" w:rsidR="006B16A5" w:rsidP="1972E185" w:rsidRDefault="006B16A5" w14:paraId="1D23F0DC" w14:textId="17731C62">
      <w:pPr>
        <w:rPr>
          <w:rFonts w:ascii="Palatino Linotype" w:hAnsi="Palatino Linotype"/>
          <w:b/>
          <w:bCs/>
          <w:sz w:val="24"/>
          <w:szCs w:val="24"/>
        </w:rPr>
      </w:pPr>
      <w:r w:rsidRPr="0075418D">
        <w:rPr>
          <w:rFonts w:ascii="Palatino Linotype" w:hAnsi="Palatino Linotype"/>
          <w:b/>
          <w:sz w:val="24"/>
          <w:szCs w:val="24"/>
        </w:rPr>
        <w:tab/>
      </w:r>
      <w:r w:rsidRPr="0075418D">
        <w:rPr>
          <w:rFonts w:ascii="Palatino Linotype" w:hAnsi="Palatino Linotype"/>
          <w:b/>
          <w:sz w:val="24"/>
          <w:szCs w:val="24"/>
        </w:rPr>
        <w:tab/>
      </w:r>
      <w:r w:rsidRPr="0075418D">
        <w:rPr>
          <w:rFonts w:ascii="Palatino Linotype" w:hAnsi="Palatino Linotype"/>
          <w:b/>
          <w:sz w:val="24"/>
          <w:szCs w:val="24"/>
        </w:rPr>
        <w:tab/>
      </w:r>
      <w:r w:rsidRPr="0075418D">
        <w:rPr>
          <w:rFonts w:ascii="Palatino Linotype" w:hAnsi="Palatino Linotype"/>
          <w:b/>
          <w:sz w:val="24"/>
          <w:szCs w:val="24"/>
        </w:rPr>
        <w:tab/>
      </w:r>
      <w:r w:rsidRPr="0075418D">
        <w:rPr>
          <w:rFonts w:ascii="Palatino Linotype" w:hAnsi="Palatino Linotype"/>
          <w:b/>
          <w:sz w:val="24"/>
          <w:szCs w:val="24"/>
        </w:rPr>
        <w:tab/>
      </w:r>
      <w:r w:rsidRPr="0075418D">
        <w:rPr>
          <w:rFonts w:ascii="Palatino Linotype" w:hAnsi="Palatino Linotype"/>
          <w:b/>
          <w:sz w:val="24"/>
          <w:szCs w:val="24"/>
        </w:rPr>
        <w:tab/>
      </w:r>
      <w:r w:rsidRPr="0075418D">
        <w:rPr>
          <w:rFonts w:ascii="Palatino Linotype" w:hAnsi="Palatino Linotype"/>
          <w:b/>
          <w:sz w:val="24"/>
          <w:szCs w:val="24"/>
        </w:rPr>
        <w:tab/>
      </w:r>
      <w:r w:rsidRPr="0075418D">
        <w:rPr>
          <w:rFonts w:ascii="Palatino Linotype" w:hAnsi="Palatino Linotype"/>
          <w:b/>
          <w:sz w:val="24"/>
          <w:szCs w:val="24"/>
        </w:rPr>
        <w:tab/>
      </w:r>
      <w:r w:rsidRPr="0075418D">
        <w:rPr>
          <w:rFonts w:ascii="Palatino Linotype" w:hAnsi="Palatino Linotype"/>
          <w:b/>
          <w:sz w:val="24"/>
          <w:szCs w:val="24"/>
        </w:rPr>
        <w:tab/>
      </w:r>
      <w:r w:rsidR="00472C8F">
        <w:rPr>
          <w:rFonts w:ascii="Palatino Linotype" w:hAnsi="Palatino Linotype"/>
          <w:b/>
          <w:sz w:val="24"/>
          <w:szCs w:val="24"/>
        </w:rPr>
        <w:t xml:space="preserve">                 </w:t>
      </w:r>
      <w:r w:rsidRPr="0075418D" w:rsidR="012754E9">
        <w:rPr>
          <w:rFonts w:ascii="Palatino Linotype" w:hAnsi="Palatino Linotype"/>
          <w:b/>
          <w:bCs/>
          <w:sz w:val="24"/>
          <w:szCs w:val="24"/>
        </w:rPr>
        <w:t xml:space="preserve"> </w:t>
      </w:r>
      <w:r w:rsidRPr="0075418D" w:rsidR="490DE58F">
        <w:rPr>
          <w:rFonts w:ascii="Palatino Linotype" w:hAnsi="Palatino Linotype"/>
          <w:b/>
          <w:bCs/>
          <w:sz w:val="24"/>
          <w:szCs w:val="24"/>
        </w:rPr>
        <w:t>July 24</w:t>
      </w:r>
      <w:r w:rsidRPr="0075418D">
        <w:rPr>
          <w:rFonts w:ascii="Palatino Linotype" w:hAnsi="Palatino Linotype"/>
          <w:b/>
          <w:bCs/>
          <w:sz w:val="24"/>
          <w:szCs w:val="24"/>
        </w:rPr>
        <w:t>, 2025</w:t>
      </w:r>
    </w:p>
    <w:p w:rsidRPr="0075418D" w:rsidR="0075418D" w:rsidP="1972E185" w:rsidRDefault="0075418D" w14:paraId="0160DAB3" w14:textId="77777777">
      <w:pPr>
        <w:rPr>
          <w:rFonts w:ascii="Palatino Linotype" w:hAnsi="Palatino Linotype"/>
          <w:b/>
          <w:bCs/>
          <w:sz w:val="24"/>
          <w:szCs w:val="24"/>
        </w:rPr>
      </w:pPr>
    </w:p>
    <w:p w:rsidRPr="0075418D" w:rsidR="006B16A5" w:rsidP="006B16A5" w:rsidRDefault="006B16A5" w14:paraId="06DBF494" w14:textId="77777777">
      <w:pPr>
        <w:tabs>
          <w:tab w:val="right" w:pos="8910"/>
        </w:tabs>
        <w:ind w:left="1440" w:firstLine="720"/>
        <w:rPr>
          <w:rFonts w:ascii="Palatino Linotype" w:hAnsi="Palatino Linotype"/>
          <w:b/>
          <w:sz w:val="24"/>
          <w:szCs w:val="24"/>
        </w:rPr>
      </w:pPr>
    </w:p>
    <w:p w:rsidRPr="0075418D" w:rsidR="00CF17DE" w:rsidP="41BE7BBC" w:rsidRDefault="00CF17DE" w14:paraId="63C93376" w14:textId="0BDC4973">
      <w:pPr>
        <w:pStyle w:val="mainex"/>
        <w:rPr>
          <w:rFonts w:cs="Helvetica"/>
          <w:szCs w:val="26"/>
          <w:u w:val="single"/>
        </w:rPr>
      </w:pPr>
      <w:r w:rsidRPr="0075418D">
        <w:rPr>
          <w:rFonts w:cs="Helvetica"/>
          <w:szCs w:val="26"/>
          <w:u w:val="single"/>
        </w:rPr>
        <w:t>RESOLUTION</w:t>
      </w:r>
    </w:p>
    <w:p w:rsidRPr="0075418D" w:rsidR="41BE7BBC" w:rsidP="41BE7BBC" w:rsidRDefault="41BE7BBC" w14:paraId="03D5E349" w14:textId="38904728">
      <w:pPr>
        <w:pStyle w:val="mainex"/>
        <w:rPr>
          <w:rFonts w:ascii="Palatino Linotype" w:hAnsi="Palatino Linotype"/>
          <w:sz w:val="24"/>
          <w:szCs w:val="24"/>
          <w:u w:val="single"/>
        </w:rPr>
      </w:pPr>
    </w:p>
    <w:p w:rsidRPr="0075418D" w:rsidR="00801D70" w:rsidP="006B16A5" w:rsidRDefault="00B927B5" w14:paraId="70E6A3B4" w14:textId="168077D6">
      <w:pPr>
        <w:pStyle w:val="Res-Caption"/>
        <w:rPr>
          <w:rFonts w:ascii="Palatino Linotype" w:hAnsi="Palatino Linotype"/>
          <w:sz w:val="24"/>
          <w:szCs w:val="24"/>
        </w:rPr>
      </w:pPr>
      <w:r w:rsidRPr="0075418D">
        <w:rPr>
          <w:rFonts w:ascii="Palatino Linotype" w:hAnsi="Palatino Linotype"/>
          <w:sz w:val="24"/>
          <w:szCs w:val="24"/>
        </w:rPr>
        <w:t xml:space="preserve">Resolution </w:t>
      </w:r>
      <w:r w:rsidRPr="0075418D" w:rsidR="006B16A5">
        <w:rPr>
          <w:rFonts w:ascii="Palatino Linotype" w:hAnsi="Palatino Linotype"/>
          <w:sz w:val="24"/>
          <w:szCs w:val="24"/>
        </w:rPr>
        <w:t>G-3610</w:t>
      </w:r>
      <w:r w:rsidRPr="0075418D">
        <w:rPr>
          <w:rFonts w:ascii="Palatino Linotype" w:hAnsi="Palatino Linotype"/>
          <w:sz w:val="24"/>
          <w:szCs w:val="24"/>
        </w:rPr>
        <w:t xml:space="preserve">.  </w:t>
      </w:r>
      <w:r w:rsidRPr="0075418D" w:rsidR="006B16A5">
        <w:rPr>
          <w:rFonts w:ascii="Palatino Linotype" w:hAnsi="Palatino Linotype"/>
          <w:sz w:val="24"/>
          <w:szCs w:val="24"/>
        </w:rPr>
        <w:t xml:space="preserve">Southern California </w:t>
      </w:r>
      <w:r w:rsidRPr="0075418D" w:rsidR="00A16999">
        <w:rPr>
          <w:rFonts w:ascii="Palatino Linotype" w:hAnsi="Palatino Linotype"/>
          <w:sz w:val="24"/>
          <w:szCs w:val="24"/>
        </w:rPr>
        <w:t xml:space="preserve">Gas Company’s </w:t>
      </w:r>
      <w:r w:rsidRPr="0075418D" w:rsidR="006B16A5">
        <w:rPr>
          <w:rFonts w:ascii="Palatino Linotype" w:hAnsi="Palatino Linotype"/>
          <w:sz w:val="24"/>
          <w:szCs w:val="24"/>
        </w:rPr>
        <w:t>request for recovery of the Distribution Integrity Management Program Balancing Account balance for September 1, 2019</w:t>
      </w:r>
      <w:r w:rsidRPr="0075418D" w:rsidR="6805FD13">
        <w:rPr>
          <w:rFonts w:ascii="Palatino Linotype" w:hAnsi="Palatino Linotype"/>
          <w:sz w:val="24"/>
          <w:szCs w:val="24"/>
        </w:rPr>
        <w:t>,</w:t>
      </w:r>
      <w:r w:rsidRPr="0075418D" w:rsidR="006B16A5">
        <w:rPr>
          <w:rFonts w:ascii="Palatino Linotype" w:hAnsi="Palatino Linotype"/>
          <w:sz w:val="24"/>
          <w:szCs w:val="24"/>
        </w:rPr>
        <w:t xml:space="preserve"> to January 1, 2023.</w:t>
      </w:r>
    </w:p>
    <w:p w:rsidRPr="0075418D" w:rsidR="006B16A5" w:rsidP="006B16A5" w:rsidRDefault="006B16A5" w14:paraId="5D9126A6" w14:textId="77777777">
      <w:pPr>
        <w:pStyle w:val="Res-Caption"/>
        <w:rPr>
          <w:rFonts w:ascii="Palatino Linotype" w:hAnsi="Palatino Linotype" w:eastAsia="Palatino Linotype"/>
          <w:sz w:val="24"/>
          <w:szCs w:val="24"/>
        </w:rPr>
      </w:pPr>
    </w:p>
    <w:p w:rsidRPr="0075418D" w:rsidR="00DF35CC" w:rsidP="4BA7214B" w:rsidRDefault="00801D70" w14:paraId="5B232953" w14:textId="77777777">
      <w:pPr>
        <w:pStyle w:val="Res-Caption"/>
        <w:rPr>
          <w:rFonts w:ascii="Palatino Linotype" w:hAnsi="Palatino Linotype" w:eastAsia="Palatino Linotype"/>
          <w:sz w:val="24"/>
          <w:szCs w:val="24"/>
        </w:rPr>
      </w:pPr>
      <w:r w:rsidRPr="0075418D">
        <w:rPr>
          <w:rFonts w:ascii="Palatino Linotype" w:hAnsi="Palatino Linotype" w:eastAsia="Palatino Linotype"/>
          <w:sz w:val="24"/>
          <w:szCs w:val="24"/>
        </w:rPr>
        <w:t>PROPOSED OUTCOME:</w:t>
      </w:r>
      <w:r w:rsidRPr="0075418D" w:rsidR="00142FB8">
        <w:rPr>
          <w:rFonts w:ascii="Palatino Linotype" w:hAnsi="Palatino Linotype" w:eastAsia="Palatino Linotype"/>
          <w:sz w:val="24"/>
          <w:szCs w:val="24"/>
        </w:rPr>
        <w:t xml:space="preserve"> </w:t>
      </w:r>
    </w:p>
    <w:p w:rsidRPr="0075418D" w:rsidR="00F51F8B" w:rsidP="41BE7BBC" w:rsidRDefault="006B16A5" w14:paraId="65BE5ED4" w14:textId="4354290A">
      <w:pPr>
        <w:pStyle w:val="Res-Caption"/>
        <w:numPr>
          <w:ilvl w:val="0"/>
          <w:numId w:val="11"/>
        </w:numPr>
        <w:rPr>
          <w:rFonts w:ascii="Palatino Linotype" w:hAnsi="Palatino Linotype"/>
          <w:sz w:val="24"/>
          <w:szCs w:val="24"/>
        </w:rPr>
      </w:pPr>
      <w:r w:rsidRPr="0075418D">
        <w:rPr>
          <w:rFonts w:ascii="Palatino Linotype" w:hAnsi="Palatino Linotype"/>
          <w:sz w:val="24"/>
          <w:szCs w:val="24"/>
        </w:rPr>
        <w:t xml:space="preserve">Southern California </w:t>
      </w:r>
      <w:r w:rsidRPr="0075418D" w:rsidR="00A16999">
        <w:rPr>
          <w:rFonts w:ascii="Palatino Linotype" w:hAnsi="Palatino Linotype"/>
          <w:sz w:val="24"/>
          <w:szCs w:val="24"/>
        </w:rPr>
        <w:t xml:space="preserve">Gas Company’s </w:t>
      </w:r>
      <w:r w:rsidRPr="0075418D">
        <w:rPr>
          <w:rFonts w:ascii="Palatino Linotype" w:hAnsi="Palatino Linotype"/>
          <w:sz w:val="24"/>
          <w:szCs w:val="24"/>
        </w:rPr>
        <w:t>request to recover its Distribution Integrity Management Program Balancing Account balance for September 1, 2019</w:t>
      </w:r>
      <w:r w:rsidRPr="0075418D" w:rsidR="0DE5B836">
        <w:rPr>
          <w:rFonts w:ascii="Palatino Linotype" w:hAnsi="Palatino Linotype"/>
          <w:sz w:val="24"/>
          <w:szCs w:val="24"/>
        </w:rPr>
        <w:t>,</w:t>
      </w:r>
      <w:r w:rsidRPr="0075418D">
        <w:rPr>
          <w:rFonts w:ascii="Palatino Linotype" w:hAnsi="Palatino Linotype"/>
          <w:sz w:val="24"/>
          <w:szCs w:val="24"/>
        </w:rPr>
        <w:t xml:space="preserve"> to January 1, 2023</w:t>
      </w:r>
      <w:r w:rsidRPr="0075418D" w:rsidR="43CFD643">
        <w:rPr>
          <w:rFonts w:ascii="Palatino Linotype" w:hAnsi="Palatino Linotype"/>
          <w:sz w:val="24"/>
          <w:szCs w:val="24"/>
        </w:rPr>
        <w:t>,</w:t>
      </w:r>
      <w:r w:rsidRPr="0075418D">
        <w:rPr>
          <w:rFonts w:ascii="Palatino Linotype" w:hAnsi="Palatino Linotype"/>
          <w:sz w:val="24"/>
          <w:szCs w:val="24"/>
        </w:rPr>
        <w:t xml:space="preserve"> is approved.</w:t>
      </w:r>
    </w:p>
    <w:p w:rsidRPr="0075418D" w:rsidR="41BE7BBC" w:rsidP="41BE7BBC" w:rsidRDefault="41BE7BBC" w14:paraId="0836ED01" w14:textId="08737A63">
      <w:pPr>
        <w:pStyle w:val="Res-Caption"/>
        <w:ind w:left="1440"/>
        <w:rPr>
          <w:rFonts w:ascii="Palatino Linotype" w:hAnsi="Palatino Linotype"/>
          <w:sz w:val="24"/>
          <w:szCs w:val="24"/>
        </w:rPr>
      </w:pPr>
    </w:p>
    <w:p w:rsidRPr="0075418D" w:rsidR="00F51F8B" w:rsidP="4BA7214B" w:rsidRDefault="00F51F8B" w14:paraId="5348E825" w14:textId="77777777">
      <w:pPr>
        <w:pStyle w:val="Res-Caption"/>
        <w:rPr>
          <w:rFonts w:ascii="Palatino Linotype" w:hAnsi="Palatino Linotype" w:eastAsia="Palatino Linotype"/>
          <w:sz w:val="24"/>
          <w:szCs w:val="24"/>
        </w:rPr>
      </w:pPr>
      <w:r w:rsidRPr="0075418D">
        <w:rPr>
          <w:rFonts w:ascii="Palatino Linotype" w:hAnsi="Palatino Linotype" w:eastAsia="Palatino Linotype"/>
          <w:sz w:val="24"/>
          <w:szCs w:val="24"/>
        </w:rPr>
        <w:t>SAFETY CONSIDERATIONS:</w:t>
      </w:r>
    </w:p>
    <w:p w:rsidRPr="0075418D" w:rsidR="000C50E3" w:rsidRDefault="00A16999" w14:paraId="0EFB369B" w14:textId="27A393F4">
      <w:pPr>
        <w:pStyle w:val="Res-Caption"/>
        <w:numPr>
          <w:ilvl w:val="0"/>
          <w:numId w:val="10"/>
        </w:numPr>
        <w:rPr>
          <w:rFonts w:ascii="Palatino Linotype" w:hAnsi="Palatino Linotype"/>
          <w:sz w:val="24"/>
          <w:szCs w:val="24"/>
        </w:rPr>
      </w:pPr>
      <w:r w:rsidRPr="0075418D">
        <w:rPr>
          <w:rFonts w:ascii="Palatino Linotype" w:hAnsi="Palatino Linotype"/>
          <w:sz w:val="24"/>
          <w:szCs w:val="24"/>
        </w:rPr>
        <w:t>Southern California Gas Company’s Distribution Integrity Management Program Balancing Account records costs associated with federal regulatory requirements in 49 CFR 192, Subpart P</w:t>
      </w:r>
      <w:r w:rsidRPr="0075418D" w:rsidR="003F6E5A">
        <w:rPr>
          <w:rFonts w:ascii="Palatino Linotype" w:hAnsi="Palatino Linotype"/>
          <w:sz w:val="24"/>
          <w:szCs w:val="24"/>
        </w:rPr>
        <w:t>.</w:t>
      </w:r>
    </w:p>
    <w:p w:rsidRPr="0075418D" w:rsidR="00F572F1" w:rsidRDefault="00F572F1" w14:paraId="664CBB61" w14:textId="77777777">
      <w:pPr>
        <w:pStyle w:val="Res-Caption"/>
        <w:rPr>
          <w:rFonts w:ascii="Palatino Linotype" w:hAnsi="Palatino Linotype" w:eastAsia="Palatino Linotype"/>
          <w:sz w:val="24"/>
          <w:szCs w:val="24"/>
        </w:rPr>
      </w:pPr>
    </w:p>
    <w:p w:rsidRPr="0075418D" w:rsidR="00801D70" w:rsidP="4BA7214B" w:rsidRDefault="00801D70" w14:paraId="28BD615D" w14:textId="77777777">
      <w:pPr>
        <w:pStyle w:val="Res-Caption"/>
        <w:rPr>
          <w:rFonts w:ascii="Palatino Linotype" w:hAnsi="Palatino Linotype" w:eastAsia="Palatino Linotype"/>
          <w:sz w:val="24"/>
          <w:szCs w:val="24"/>
        </w:rPr>
      </w:pPr>
      <w:r w:rsidRPr="0075418D">
        <w:rPr>
          <w:rFonts w:ascii="Palatino Linotype" w:hAnsi="Palatino Linotype" w:eastAsia="Palatino Linotype"/>
          <w:sz w:val="24"/>
          <w:szCs w:val="24"/>
        </w:rPr>
        <w:t xml:space="preserve">ESTIMATED COST:  </w:t>
      </w:r>
    </w:p>
    <w:p w:rsidRPr="0075418D" w:rsidR="000C50E3" w:rsidRDefault="00A16999" w14:paraId="7FD1037D" w14:textId="7FC738C3">
      <w:pPr>
        <w:pStyle w:val="Res-Caption"/>
        <w:numPr>
          <w:ilvl w:val="0"/>
          <w:numId w:val="10"/>
        </w:numPr>
        <w:rPr>
          <w:rFonts w:ascii="Palatino Linotype" w:hAnsi="Palatino Linotype"/>
          <w:sz w:val="24"/>
          <w:szCs w:val="24"/>
        </w:rPr>
      </w:pPr>
      <w:r w:rsidRPr="0075418D">
        <w:rPr>
          <w:rFonts w:ascii="Palatino Linotype" w:hAnsi="Palatino Linotype"/>
          <w:sz w:val="24"/>
          <w:szCs w:val="24"/>
        </w:rPr>
        <w:t>Approximately $81.4 million</w:t>
      </w:r>
      <w:r w:rsidRPr="0075418D" w:rsidR="18604499">
        <w:rPr>
          <w:rFonts w:ascii="Palatino Linotype" w:hAnsi="Palatino Linotype"/>
          <w:sz w:val="24"/>
          <w:szCs w:val="24"/>
        </w:rPr>
        <w:t xml:space="preserve"> in revenue requirement</w:t>
      </w:r>
      <w:r w:rsidRPr="0075418D">
        <w:rPr>
          <w:rFonts w:ascii="Palatino Linotype" w:hAnsi="Palatino Linotype"/>
          <w:sz w:val="24"/>
          <w:szCs w:val="24"/>
        </w:rPr>
        <w:t>.</w:t>
      </w:r>
    </w:p>
    <w:p w:rsidRPr="0075418D" w:rsidR="00CF17DE" w:rsidP="4BA7214B" w:rsidRDefault="00CF17DE" w14:paraId="414B5F5B" w14:textId="77777777">
      <w:pPr>
        <w:pStyle w:val="Res-Caption"/>
        <w:rPr>
          <w:rFonts w:ascii="Palatino Linotype" w:hAnsi="Palatino Linotype" w:eastAsia="Palatino Linotype"/>
          <w:sz w:val="24"/>
          <w:szCs w:val="24"/>
        </w:rPr>
      </w:pPr>
    </w:p>
    <w:p w:rsidRPr="0075418D" w:rsidR="00CF17DE" w:rsidP="4BA7214B" w:rsidRDefault="00CF17DE" w14:paraId="0395FC4E" w14:textId="0F3AC7DE">
      <w:pPr>
        <w:pStyle w:val="Res-Caption"/>
        <w:rPr>
          <w:rFonts w:ascii="Palatino Linotype" w:hAnsi="Palatino Linotype" w:eastAsia="Palatino Linotype"/>
          <w:sz w:val="24"/>
          <w:szCs w:val="24"/>
        </w:rPr>
      </w:pPr>
      <w:r w:rsidRPr="0075418D">
        <w:rPr>
          <w:rFonts w:ascii="Palatino Linotype" w:hAnsi="Palatino Linotype" w:eastAsia="Palatino Linotype"/>
          <w:sz w:val="24"/>
          <w:szCs w:val="24"/>
        </w:rPr>
        <w:t xml:space="preserve">By Advice Letter </w:t>
      </w:r>
      <w:r w:rsidRPr="0075418D" w:rsidR="00A16999">
        <w:rPr>
          <w:rFonts w:ascii="Palatino Linotype" w:hAnsi="Palatino Linotype" w:eastAsia="Palatino Linotype"/>
          <w:sz w:val="24"/>
          <w:szCs w:val="24"/>
        </w:rPr>
        <w:t>6224-G</w:t>
      </w:r>
      <w:r w:rsidRPr="0075418D" w:rsidR="44783017">
        <w:rPr>
          <w:rFonts w:ascii="Palatino Linotype" w:hAnsi="Palatino Linotype" w:eastAsia="Palatino Linotype"/>
          <w:sz w:val="24"/>
          <w:szCs w:val="24"/>
        </w:rPr>
        <w:t xml:space="preserve">, Filed on </w:t>
      </w:r>
      <w:r w:rsidRPr="0075418D" w:rsidR="00A16999">
        <w:rPr>
          <w:rFonts w:ascii="Palatino Linotype" w:hAnsi="Palatino Linotype" w:eastAsia="Palatino Linotype"/>
          <w:sz w:val="24"/>
          <w:szCs w:val="24"/>
        </w:rPr>
        <w:t>November 17, 2023</w:t>
      </w:r>
      <w:r w:rsidRPr="0075418D" w:rsidR="44783017">
        <w:rPr>
          <w:rFonts w:ascii="Palatino Linotype" w:hAnsi="Palatino Linotype" w:eastAsia="Palatino Linotype"/>
          <w:sz w:val="24"/>
          <w:szCs w:val="24"/>
        </w:rPr>
        <w:t>.</w:t>
      </w:r>
      <w:r w:rsidRPr="0075418D">
        <w:rPr>
          <w:rFonts w:ascii="Palatino Linotype" w:hAnsi="Palatino Linotype" w:eastAsia="Palatino Linotype"/>
          <w:sz w:val="24"/>
          <w:szCs w:val="24"/>
        </w:rPr>
        <w:t xml:space="preserve"> </w:t>
      </w:r>
    </w:p>
    <w:p w:rsidRPr="0075418D" w:rsidR="00CF17DE" w:rsidP="4BA7214B" w:rsidRDefault="00CF17DE" w14:paraId="2BFCF270" w14:textId="77777777">
      <w:pPr>
        <w:jc w:val="center"/>
        <w:rPr>
          <w:rFonts w:ascii="Palatino Linotype" w:hAnsi="Palatino Linotype" w:eastAsia="Palatino Linotype"/>
          <w:sz w:val="24"/>
          <w:szCs w:val="24"/>
        </w:rPr>
      </w:pPr>
      <w:r w:rsidRPr="0075418D">
        <w:rPr>
          <w:rFonts w:ascii="Palatino Linotype" w:hAnsi="Palatino Linotype" w:eastAsia="Palatino Linotype"/>
          <w:sz w:val="24"/>
          <w:szCs w:val="24"/>
        </w:rPr>
        <w:t>__________________________________________________________</w:t>
      </w:r>
    </w:p>
    <w:p w:rsidRPr="0075418D" w:rsidR="00CF17DE" w:rsidP="4BA7214B" w:rsidRDefault="00CF17DE" w14:paraId="21ED6BB6" w14:textId="77777777">
      <w:pPr>
        <w:rPr>
          <w:rFonts w:ascii="Palatino Linotype" w:hAnsi="Palatino Linotype" w:eastAsia="Palatino Linotype"/>
          <w:b/>
          <w:sz w:val="24"/>
          <w:szCs w:val="24"/>
        </w:rPr>
      </w:pPr>
    </w:p>
    <w:p w:rsidRPr="0075418D" w:rsidR="00CF17DE" w:rsidP="4BA7214B" w:rsidRDefault="00CF17DE" w14:paraId="2C49E15C" w14:textId="77777777">
      <w:pPr>
        <w:pStyle w:val="Heading1"/>
        <w:rPr>
          <w:rFonts w:ascii="Palatino Linotype" w:hAnsi="Palatino Linotype" w:eastAsia="Palatino Linotype"/>
          <w:sz w:val="24"/>
          <w:szCs w:val="24"/>
        </w:rPr>
      </w:pPr>
      <w:r w:rsidRPr="0075418D">
        <w:rPr>
          <w:rFonts w:ascii="Palatino Linotype" w:hAnsi="Palatino Linotype" w:eastAsia="Palatino Linotype"/>
          <w:sz w:val="24"/>
          <w:szCs w:val="24"/>
        </w:rPr>
        <w:t>Summary</w:t>
      </w:r>
      <w:bookmarkEnd w:id="0"/>
    </w:p>
    <w:p w:rsidRPr="0075418D" w:rsidR="00CF17DE" w:rsidP="1972E185" w:rsidRDefault="00A16999" w14:paraId="295761C3" w14:textId="2350238D">
      <w:pPr>
        <w:spacing w:line="259" w:lineRule="auto"/>
        <w:rPr>
          <w:rFonts w:ascii="Palatino Linotype" w:hAnsi="Palatino Linotype"/>
          <w:sz w:val="24"/>
          <w:szCs w:val="24"/>
        </w:rPr>
      </w:pPr>
      <w:r w:rsidRPr="0075418D">
        <w:rPr>
          <w:rFonts w:ascii="Palatino Linotype" w:hAnsi="Palatino Linotype"/>
          <w:sz w:val="24"/>
          <w:szCs w:val="24"/>
        </w:rPr>
        <w:t xml:space="preserve">Decision (D.)19-09-051 authorized Southern California Gas </w:t>
      </w:r>
      <w:bookmarkStart w:name="_Hlk178945623" w:id="1"/>
      <w:r w:rsidRPr="0075418D">
        <w:rPr>
          <w:rFonts w:ascii="Palatino Linotype" w:hAnsi="Palatino Linotype"/>
          <w:sz w:val="24"/>
          <w:szCs w:val="24"/>
        </w:rPr>
        <w:t xml:space="preserve">Company </w:t>
      </w:r>
      <w:bookmarkEnd w:id="1"/>
      <w:r w:rsidRPr="0075418D">
        <w:rPr>
          <w:rFonts w:ascii="Palatino Linotype" w:hAnsi="Palatino Linotype"/>
          <w:sz w:val="24"/>
          <w:szCs w:val="24"/>
        </w:rPr>
        <w:t>(SoCalGas) to spend $683 million in its Distribution Integrity Management Program (DIMP)</w:t>
      </w:r>
      <w:r w:rsidRPr="0075418D" w:rsidR="00492F2C">
        <w:rPr>
          <w:rStyle w:val="FootnoteReference"/>
          <w:rFonts w:ascii="Palatino Linotype" w:hAnsi="Palatino Linotype"/>
          <w:sz w:val="24"/>
          <w:szCs w:val="24"/>
        </w:rPr>
        <w:footnoteReference w:id="2"/>
      </w:r>
      <w:r w:rsidRPr="0075418D" w:rsidR="00492F2C">
        <w:rPr>
          <w:rFonts w:ascii="Palatino Linotype" w:hAnsi="Palatino Linotype"/>
          <w:sz w:val="24"/>
          <w:szCs w:val="24"/>
        </w:rPr>
        <w:t xml:space="preserve"> </w:t>
      </w:r>
      <w:r w:rsidRPr="0075418D">
        <w:rPr>
          <w:rFonts w:ascii="Palatino Linotype" w:hAnsi="Palatino Linotype"/>
          <w:sz w:val="24"/>
          <w:szCs w:val="24"/>
        </w:rPr>
        <w:t>and to establish a two-way balancing account to recover actual operations and maintenance (O&amp;M) and capital related costs.</w:t>
      </w:r>
      <w:r w:rsidRPr="0075418D" w:rsidR="00492F2C">
        <w:rPr>
          <w:rStyle w:val="FootnoteReference"/>
          <w:rFonts w:ascii="Palatino Linotype" w:hAnsi="Palatino Linotype"/>
          <w:sz w:val="24"/>
          <w:szCs w:val="24"/>
        </w:rPr>
        <w:footnoteReference w:id="3"/>
      </w:r>
      <w:r w:rsidRPr="0075418D">
        <w:rPr>
          <w:rFonts w:ascii="Palatino Linotype" w:hAnsi="Palatino Linotype"/>
          <w:sz w:val="24"/>
          <w:szCs w:val="24"/>
        </w:rPr>
        <w:t xml:space="preserve">  The decision </w:t>
      </w:r>
      <w:r w:rsidRPr="0075418D" w:rsidR="00A50494">
        <w:rPr>
          <w:rFonts w:ascii="Palatino Linotype" w:hAnsi="Palatino Linotype"/>
          <w:sz w:val="24"/>
          <w:szCs w:val="24"/>
        </w:rPr>
        <w:t xml:space="preserve">also </w:t>
      </w:r>
      <w:r w:rsidRPr="0075418D" w:rsidR="004E1F88">
        <w:rPr>
          <w:rFonts w:ascii="Palatino Linotype" w:hAnsi="Palatino Linotype"/>
          <w:sz w:val="24"/>
          <w:szCs w:val="24"/>
        </w:rPr>
        <w:t xml:space="preserve">authorized SoCalGas to submit a Tier 3 advice letter to seek recovery of any DIMP under-collections of revenue </w:t>
      </w:r>
      <w:r w:rsidRPr="0075418D" w:rsidR="004E1F88">
        <w:rPr>
          <w:rFonts w:ascii="Palatino Linotype" w:hAnsi="Palatino Linotype"/>
          <w:sz w:val="24"/>
          <w:szCs w:val="24"/>
        </w:rPr>
        <w:lastRenderedPageBreak/>
        <w:t>requirement when actual expenditures are overspent by up to 35% of the total authorized O&amp;M and capital expenditures for the entire cycle</w:t>
      </w:r>
      <w:r w:rsidRPr="0075418D" w:rsidR="1BF10ECD">
        <w:rPr>
          <w:rFonts w:ascii="Palatino Linotype" w:hAnsi="Palatino Linotype"/>
          <w:sz w:val="24"/>
          <w:szCs w:val="24"/>
        </w:rPr>
        <w:t xml:space="preserve"> </w:t>
      </w:r>
      <w:r w:rsidRPr="0075418D">
        <w:rPr>
          <w:rFonts w:ascii="Palatino Linotype" w:hAnsi="Palatino Linotype"/>
          <w:sz w:val="24"/>
          <w:szCs w:val="24"/>
        </w:rPr>
        <w:t xml:space="preserve">and stated that any amount above 35 percent is subject to a separate application </w:t>
      </w:r>
      <w:r w:rsidRPr="0075418D" w:rsidR="00DE4762">
        <w:rPr>
          <w:rStyle w:val="FootnoteReference"/>
          <w:rFonts w:ascii="Palatino Linotype" w:hAnsi="Palatino Linotype"/>
          <w:sz w:val="24"/>
          <w:szCs w:val="24"/>
        </w:rPr>
        <w:footnoteReference w:id="4"/>
      </w:r>
      <w:r w:rsidRPr="0075418D" w:rsidR="005F3FDC">
        <w:rPr>
          <w:rFonts w:ascii="Palatino Linotype" w:hAnsi="Palatino Linotype"/>
          <w:sz w:val="24"/>
          <w:szCs w:val="24"/>
        </w:rPr>
        <w:t xml:space="preserve"> SoCalGas filed AL 6224-G requesting recovery of $81.4 million in undercollected revenue requirement </w:t>
      </w:r>
      <w:r w:rsidRPr="0075418D" w:rsidR="40F3A1FD">
        <w:rPr>
          <w:rFonts w:ascii="Palatino Linotype" w:hAnsi="Palatino Linotype"/>
          <w:sz w:val="24"/>
          <w:szCs w:val="24"/>
        </w:rPr>
        <w:t xml:space="preserve">for </w:t>
      </w:r>
      <w:r w:rsidRPr="0075418D" w:rsidR="2BEE0F11">
        <w:rPr>
          <w:rFonts w:ascii="Palatino Linotype" w:hAnsi="Palatino Linotype"/>
          <w:sz w:val="24"/>
          <w:szCs w:val="24"/>
        </w:rPr>
        <w:t xml:space="preserve">actual </w:t>
      </w:r>
      <w:r w:rsidRPr="0075418D" w:rsidR="40F3A1FD">
        <w:rPr>
          <w:rFonts w:ascii="Palatino Linotype" w:hAnsi="Palatino Linotype"/>
          <w:sz w:val="24"/>
          <w:szCs w:val="24"/>
        </w:rPr>
        <w:t>operations and maintenance and capital expenditures</w:t>
      </w:r>
      <w:r w:rsidRPr="0075418D" w:rsidR="09BAB6BB">
        <w:rPr>
          <w:rFonts w:ascii="Palatino Linotype" w:hAnsi="Palatino Linotype"/>
          <w:sz w:val="24"/>
          <w:szCs w:val="24"/>
        </w:rPr>
        <w:t xml:space="preserve"> recorded in the DIMP Balancing Account (DIMPBA) through January </w:t>
      </w:r>
      <w:r w:rsidRPr="0075418D" w:rsidR="00E26A6A">
        <w:rPr>
          <w:rFonts w:ascii="Palatino Linotype" w:hAnsi="Palatino Linotype"/>
          <w:sz w:val="24"/>
          <w:szCs w:val="24"/>
        </w:rPr>
        <w:t xml:space="preserve">31, </w:t>
      </w:r>
      <w:r w:rsidRPr="0075418D" w:rsidR="09BAB6BB">
        <w:rPr>
          <w:rFonts w:ascii="Palatino Linotype" w:hAnsi="Palatino Linotype"/>
          <w:sz w:val="24"/>
          <w:szCs w:val="24"/>
        </w:rPr>
        <w:t>2023</w:t>
      </w:r>
      <w:r w:rsidRPr="0075418D" w:rsidR="352CCD3C">
        <w:rPr>
          <w:rFonts w:ascii="Palatino Linotype" w:hAnsi="Palatino Linotype"/>
          <w:sz w:val="24"/>
          <w:szCs w:val="24"/>
        </w:rPr>
        <w:t>.</w:t>
      </w:r>
    </w:p>
    <w:p w:rsidRPr="0075418D" w:rsidR="005F3FDC" w:rsidP="0886EF7A" w:rsidRDefault="005F3FDC" w14:paraId="321A9ED2" w14:textId="77777777">
      <w:pPr>
        <w:rPr>
          <w:rFonts w:ascii="Palatino Linotype" w:hAnsi="Palatino Linotype"/>
          <w:sz w:val="24"/>
          <w:szCs w:val="24"/>
        </w:rPr>
      </w:pPr>
    </w:p>
    <w:p w:rsidRPr="0075418D" w:rsidR="005F3FDC" w:rsidP="0886EF7A" w:rsidRDefault="005F3FDC" w14:paraId="69D5EA58" w14:textId="3242D29F">
      <w:pPr>
        <w:rPr>
          <w:rFonts w:ascii="Palatino Linotype" w:hAnsi="Palatino Linotype"/>
          <w:sz w:val="24"/>
          <w:szCs w:val="24"/>
        </w:rPr>
      </w:pPr>
      <w:r w:rsidRPr="0075418D">
        <w:rPr>
          <w:rFonts w:ascii="Palatino Linotype" w:hAnsi="Palatino Linotype" w:eastAsia="Palatino Linotype"/>
          <w:sz w:val="24"/>
          <w:szCs w:val="24"/>
        </w:rPr>
        <w:t xml:space="preserve">SoCalGas’ request to recover the undercollection recorded in its DIMPBA for </w:t>
      </w:r>
      <w:r w:rsidRPr="0075418D">
        <w:rPr>
          <w:rFonts w:ascii="Palatino Linotype" w:hAnsi="Palatino Linotype"/>
          <w:sz w:val="24"/>
          <w:szCs w:val="24"/>
        </w:rPr>
        <w:t>September 1, 2019</w:t>
      </w:r>
      <w:r w:rsidRPr="0075418D" w:rsidR="5F59E323">
        <w:rPr>
          <w:rFonts w:ascii="Palatino Linotype" w:hAnsi="Palatino Linotype"/>
          <w:sz w:val="24"/>
          <w:szCs w:val="24"/>
        </w:rPr>
        <w:t>,</w:t>
      </w:r>
      <w:r w:rsidRPr="0075418D">
        <w:rPr>
          <w:rFonts w:ascii="Palatino Linotype" w:hAnsi="Palatino Linotype"/>
          <w:sz w:val="24"/>
          <w:szCs w:val="24"/>
        </w:rPr>
        <w:t xml:space="preserve"> to January </w:t>
      </w:r>
      <w:r w:rsidRPr="0075418D" w:rsidR="00E26A6A">
        <w:rPr>
          <w:rFonts w:ascii="Palatino Linotype" w:hAnsi="Palatino Linotype"/>
          <w:sz w:val="24"/>
          <w:szCs w:val="24"/>
        </w:rPr>
        <w:t>3</w:t>
      </w:r>
      <w:r w:rsidRPr="0075418D">
        <w:rPr>
          <w:rFonts w:ascii="Palatino Linotype" w:hAnsi="Palatino Linotype"/>
          <w:sz w:val="24"/>
          <w:szCs w:val="24"/>
        </w:rPr>
        <w:t>1, 2023</w:t>
      </w:r>
      <w:r w:rsidRPr="0075418D" w:rsidR="37A7812D">
        <w:rPr>
          <w:rFonts w:ascii="Palatino Linotype" w:hAnsi="Palatino Linotype"/>
          <w:sz w:val="24"/>
          <w:szCs w:val="24"/>
        </w:rPr>
        <w:t>,</w:t>
      </w:r>
      <w:r w:rsidRPr="0075418D">
        <w:rPr>
          <w:rFonts w:ascii="Palatino Linotype" w:hAnsi="Palatino Linotype"/>
          <w:sz w:val="24"/>
          <w:szCs w:val="24"/>
        </w:rPr>
        <w:t xml:space="preserve"> is approved.</w:t>
      </w:r>
    </w:p>
    <w:p w:rsidRPr="0075418D" w:rsidR="005F3FDC" w:rsidP="0886EF7A" w:rsidRDefault="005F3FDC" w14:paraId="0731B10A" w14:textId="77777777">
      <w:pPr>
        <w:rPr>
          <w:rFonts w:ascii="Palatino Linotype" w:hAnsi="Palatino Linotype"/>
          <w:sz w:val="24"/>
          <w:szCs w:val="24"/>
        </w:rPr>
      </w:pPr>
    </w:p>
    <w:p w:rsidRPr="0075418D" w:rsidR="005F3FDC" w:rsidP="0886EF7A" w:rsidRDefault="005F3FDC" w14:paraId="708D978E" w14:textId="45423C33">
      <w:pPr>
        <w:rPr>
          <w:rFonts w:ascii="Palatino Linotype" w:hAnsi="Palatino Linotype" w:eastAsia="Palatino Linotype"/>
          <w:sz w:val="24"/>
          <w:szCs w:val="24"/>
        </w:rPr>
      </w:pPr>
      <w:r w:rsidRPr="0075418D">
        <w:rPr>
          <w:rFonts w:ascii="Palatino Linotype" w:hAnsi="Palatino Linotype" w:eastAsia="Palatino Linotype"/>
          <w:sz w:val="24"/>
          <w:szCs w:val="24"/>
        </w:rPr>
        <w:t xml:space="preserve">The DIMPBA amount will be amortized via the allocation methodology described in the decision from </w:t>
      </w:r>
      <w:r w:rsidRPr="0075418D" w:rsidR="43F7CF4A">
        <w:rPr>
          <w:rFonts w:ascii="Palatino Linotype" w:hAnsi="Palatino Linotype" w:eastAsia="Palatino Linotype"/>
          <w:sz w:val="24"/>
          <w:szCs w:val="24"/>
        </w:rPr>
        <w:t xml:space="preserve">the </w:t>
      </w:r>
      <w:r w:rsidRPr="0075418D">
        <w:rPr>
          <w:rFonts w:ascii="Palatino Linotype" w:hAnsi="Palatino Linotype" w:eastAsia="Palatino Linotype"/>
          <w:sz w:val="24"/>
          <w:szCs w:val="24"/>
        </w:rPr>
        <w:t>most recent Triennial Cost Allocation Proceeding (TCAP).</w:t>
      </w:r>
    </w:p>
    <w:p w:rsidRPr="0075418D" w:rsidR="00CF17DE" w:rsidP="4BA7214B" w:rsidRDefault="00CF17DE" w14:paraId="184E396E" w14:textId="77777777">
      <w:pPr>
        <w:rPr>
          <w:rFonts w:ascii="Palatino Linotype" w:hAnsi="Palatino Linotype" w:eastAsia="Palatino Linotype"/>
          <w:sz w:val="24"/>
          <w:szCs w:val="24"/>
        </w:rPr>
      </w:pPr>
    </w:p>
    <w:p w:rsidRPr="0075418D" w:rsidR="00CF17DE" w:rsidP="4BA7214B" w:rsidRDefault="00CF17DE" w14:paraId="0BFDDE4C" w14:textId="77777777">
      <w:pPr>
        <w:pStyle w:val="Heading1"/>
        <w:rPr>
          <w:rFonts w:ascii="Palatino Linotype" w:hAnsi="Palatino Linotype" w:eastAsia="Palatino Linotype"/>
          <w:sz w:val="24"/>
          <w:szCs w:val="24"/>
        </w:rPr>
      </w:pPr>
      <w:r w:rsidRPr="0075418D">
        <w:rPr>
          <w:rFonts w:ascii="Palatino Linotype" w:hAnsi="Palatino Linotype" w:eastAsia="Palatino Linotype"/>
          <w:sz w:val="24"/>
          <w:szCs w:val="24"/>
        </w:rPr>
        <w:t>Background</w:t>
      </w:r>
    </w:p>
    <w:p w:rsidRPr="0075418D" w:rsidR="002C0033" w:rsidRDefault="002C0033" w14:paraId="4D7DAD42" w14:textId="24B1C75C">
      <w:pPr>
        <w:rPr>
          <w:rFonts w:ascii="Palatino Linotype" w:hAnsi="Palatino Linotype"/>
          <w:sz w:val="24"/>
          <w:szCs w:val="24"/>
        </w:rPr>
      </w:pPr>
      <w:r w:rsidRPr="0075418D">
        <w:rPr>
          <w:rFonts w:ascii="Palatino Linotype" w:hAnsi="Palatino Linotype"/>
          <w:sz w:val="24"/>
          <w:szCs w:val="24"/>
        </w:rPr>
        <w:t xml:space="preserve">The SoCalGas DIMP was established </w:t>
      </w:r>
      <w:proofErr w:type="gramStart"/>
      <w:r w:rsidRPr="0075418D">
        <w:rPr>
          <w:rFonts w:ascii="Palatino Linotype" w:hAnsi="Palatino Linotype"/>
          <w:sz w:val="24"/>
          <w:szCs w:val="24"/>
        </w:rPr>
        <w:t>as a result of</w:t>
      </w:r>
      <w:proofErr w:type="gramEnd"/>
      <w:r w:rsidRPr="0075418D">
        <w:rPr>
          <w:rFonts w:ascii="Palatino Linotype" w:hAnsi="Palatino Linotype"/>
          <w:sz w:val="24"/>
          <w:szCs w:val="24"/>
        </w:rPr>
        <w:t xml:space="preserve"> </w:t>
      </w:r>
      <w:r w:rsidRPr="0075418D" w:rsidR="00DB5656">
        <w:rPr>
          <w:rFonts w:ascii="Palatino Linotype" w:hAnsi="Palatino Linotype"/>
          <w:sz w:val="24"/>
          <w:szCs w:val="24"/>
        </w:rPr>
        <w:t xml:space="preserve">the Pipeline Integrity, Protection, Enforcement and Safety Act of 2006 </w:t>
      </w:r>
      <w:r w:rsidRPr="0075418D">
        <w:rPr>
          <w:rFonts w:ascii="Palatino Linotype" w:hAnsi="Palatino Linotype"/>
          <w:sz w:val="24"/>
          <w:szCs w:val="24"/>
        </w:rPr>
        <w:t>and the enactment of 49 CFR Part 192 Subpart P (Subpart P).</w:t>
      </w:r>
    </w:p>
    <w:p w:rsidRPr="0075418D" w:rsidR="002C0033" w:rsidRDefault="002C0033" w14:paraId="08B42124" w14:textId="77777777">
      <w:pPr>
        <w:rPr>
          <w:rFonts w:ascii="Palatino Linotype" w:hAnsi="Palatino Linotype"/>
          <w:sz w:val="24"/>
          <w:szCs w:val="24"/>
        </w:rPr>
      </w:pPr>
    </w:p>
    <w:p w:rsidRPr="0075418D" w:rsidR="00DB5656" w:rsidP="00DB5656" w:rsidRDefault="002C0033" w14:paraId="6153423D" w14:textId="28F54A36">
      <w:pPr>
        <w:rPr>
          <w:rFonts w:ascii="Palatino Linotype" w:hAnsi="Palatino Linotype"/>
          <w:sz w:val="24"/>
          <w:szCs w:val="24"/>
        </w:rPr>
      </w:pPr>
      <w:r w:rsidRPr="0075418D">
        <w:rPr>
          <w:rFonts w:ascii="Palatino Linotype" w:hAnsi="Palatino Linotype"/>
          <w:sz w:val="24"/>
          <w:szCs w:val="24"/>
        </w:rPr>
        <w:t xml:space="preserve">Pursuant to Subpart P, operators of gas distribution pipelines are required to </w:t>
      </w:r>
      <w:r w:rsidRPr="0075418D" w:rsidR="00BD7FA8">
        <w:rPr>
          <w:rFonts w:ascii="Palatino Linotype" w:hAnsi="Palatino Linotype"/>
          <w:sz w:val="24"/>
          <w:szCs w:val="24"/>
        </w:rPr>
        <w:t>identify system threats</w:t>
      </w:r>
      <w:r w:rsidRPr="0075418D" w:rsidR="009303E7">
        <w:rPr>
          <w:rFonts w:ascii="Palatino Linotype" w:hAnsi="Palatino Linotype"/>
          <w:sz w:val="24"/>
          <w:szCs w:val="24"/>
        </w:rPr>
        <w:t xml:space="preserve"> and </w:t>
      </w:r>
      <w:r w:rsidRPr="0075418D" w:rsidR="00BD7FA8">
        <w:rPr>
          <w:rFonts w:ascii="Palatino Linotype" w:hAnsi="Palatino Linotype"/>
          <w:sz w:val="24"/>
          <w:szCs w:val="24"/>
        </w:rPr>
        <w:t>analyze the risk posed by th</w:t>
      </w:r>
      <w:r w:rsidRPr="0075418D" w:rsidR="009303E7">
        <w:rPr>
          <w:rFonts w:ascii="Palatino Linotype" w:hAnsi="Palatino Linotype"/>
          <w:sz w:val="24"/>
          <w:szCs w:val="24"/>
        </w:rPr>
        <w:t>o</w:t>
      </w:r>
      <w:r w:rsidRPr="0075418D" w:rsidR="00BD7FA8">
        <w:rPr>
          <w:rFonts w:ascii="Palatino Linotype" w:hAnsi="Palatino Linotype"/>
          <w:sz w:val="24"/>
          <w:szCs w:val="24"/>
        </w:rPr>
        <w:t>se threats</w:t>
      </w:r>
      <w:r w:rsidRPr="0075418D" w:rsidR="009303E7">
        <w:rPr>
          <w:rFonts w:ascii="Palatino Linotype" w:hAnsi="Palatino Linotype"/>
          <w:sz w:val="24"/>
          <w:szCs w:val="24"/>
        </w:rPr>
        <w:t xml:space="preserve">, </w:t>
      </w:r>
      <w:r w:rsidRPr="0075418D" w:rsidR="00DB5656">
        <w:rPr>
          <w:rFonts w:ascii="Palatino Linotype" w:hAnsi="Palatino Linotype"/>
          <w:sz w:val="24"/>
          <w:szCs w:val="24"/>
        </w:rPr>
        <w:t xml:space="preserve">collect information about </w:t>
      </w:r>
      <w:r w:rsidRPr="0075418D" w:rsidR="00BD7FA8">
        <w:rPr>
          <w:rFonts w:ascii="Palatino Linotype" w:hAnsi="Palatino Linotype"/>
          <w:sz w:val="24"/>
          <w:szCs w:val="24"/>
        </w:rPr>
        <w:t>their system</w:t>
      </w:r>
      <w:r w:rsidRPr="0075418D" w:rsidR="009303E7">
        <w:rPr>
          <w:rFonts w:ascii="Palatino Linotype" w:hAnsi="Palatino Linotype"/>
          <w:sz w:val="24"/>
          <w:szCs w:val="24"/>
        </w:rPr>
        <w:t xml:space="preserve">, </w:t>
      </w:r>
      <w:r w:rsidRPr="0075418D" w:rsidR="00DB5656">
        <w:rPr>
          <w:rFonts w:ascii="Palatino Linotype" w:hAnsi="Palatino Linotype"/>
          <w:sz w:val="24"/>
          <w:szCs w:val="24"/>
        </w:rPr>
        <w:t xml:space="preserve">identify </w:t>
      </w:r>
      <w:r w:rsidRPr="0075418D" w:rsidR="009303E7">
        <w:rPr>
          <w:rFonts w:ascii="Palatino Linotype" w:hAnsi="Palatino Linotype"/>
          <w:sz w:val="24"/>
          <w:szCs w:val="24"/>
        </w:rPr>
        <w:t xml:space="preserve">and plan for ongoing acquisition of </w:t>
      </w:r>
      <w:r w:rsidRPr="0075418D" w:rsidR="00AB269C">
        <w:rPr>
          <w:rFonts w:ascii="Palatino Linotype" w:hAnsi="Palatino Linotype"/>
          <w:sz w:val="24"/>
          <w:szCs w:val="24"/>
        </w:rPr>
        <w:t xml:space="preserve">needed </w:t>
      </w:r>
      <w:r w:rsidRPr="0075418D" w:rsidR="00DB5656">
        <w:rPr>
          <w:rFonts w:ascii="Palatino Linotype" w:hAnsi="Palatino Linotype"/>
          <w:sz w:val="24"/>
          <w:szCs w:val="24"/>
        </w:rPr>
        <w:t>information</w:t>
      </w:r>
      <w:r w:rsidRPr="0075418D" w:rsidR="009303E7">
        <w:rPr>
          <w:rFonts w:ascii="Palatino Linotype" w:hAnsi="Palatino Linotype"/>
          <w:sz w:val="24"/>
          <w:szCs w:val="24"/>
        </w:rPr>
        <w:t xml:space="preserve">, </w:t>
      </w:r>
      <w:r w:rsidRPr="0075418D" w:rsidR="00AB269C">
        <w:rPr>
          <w:rFonts w:ascii="Palatino Linotype" w:hAnsi="Palatino Linotype"/>
          <w:sz w:val="24"/>
          <w:szCs w:val="24"/>
        </w:rPr>
        <w:t xml:space="preserve">develop </w:t>
      </w:r>
      <w:r w:rsidRPr="0075418D" w:rsidR="009303E7">
        <w:rPr>
          <w:rFonts w:ascii="Palatino Linotype" w:hAnsi="Palatino Linotype"/>
          <w:sz w:val="24"/>
          <w:szCs w:val="24"/>
        </w:rPr>
        <w:t xml:space="preserve">and evaluate </w:t>
      </w:r>
      <w:r w:rsidRPr="0075418D" w:rsidR="00DB5656">
        <w:rPr>
          <w:rFonts w:ascii="Palatino Linotype" w:hAnsi="Palatino Linotype"/>
          <w:sz w:val="24"/>
          <w:szCs w:val="24"/>
        </w:rPr>
        <w:t>risk</w:t>
      </w:r>
      <w:r w:rsidRPr="0075418D" w:rsidR="00AB269C">
        <w:rPr>
          <w:rFonts w:ascii="Palatino Linotype" w:hAnsi="Palatino Linotype"/>
          <w:sz w:val="24"/>
          <w:szCs w:val="24"/>
        </w:rPr>
        <w:t xml:space="preserve"> </w:t>
      </w:r>
      <w:r w:rsidRPr="0075418D" w:rsidR="009303E7">
        <w:rPr>
          <w:rFonts w:ascii="Palatino Linotype" w:hAnsi="Palatino Linotype"/>
          <w:sz w:val="24"/>
          <w:szCs w:val="24"/>
        </w:rPr>
        <w:t xml:space="preserve">mitigations and establish a </w:t>
      </w:r>
      <w:r w:rsidRPr="0075418D" w:rsidR="00DB5656">
        <w:rPr>
          <w:rFonts w:ascii="Palatino Linotype" w:hAnsi="Palatino Linotype"/>
          <w:sz w:val="24"/>
          <w:szCs w:val="24"/>
        </w:rPr>
        <w:t>report</w:t>
      </w:r>
      <w:r w:rsidRPr="0075418D" w:rsidR="009303E7">
        <w:rPr>
          <w:rFonts w:ascii="Palatino Linotype" w:hAnsi="Palatino Linotype"/>
          <w:sz w:val="24"/>
          <w:szCs w:val="24"/>
        </w:rPr>
        <w:t>ing</w:t>
      </w:r>
      <w:r w:rsidRPr="0075418D" w:rsidR="00DB5656">
        <w:rPr>
          <w:rFonts w:ascii="Palatino Linotype" w:hAnsi="Palatino Linotype"/>
          <w:sz w:val="24"/>
          <w:szCs w:val="24"/>
        </w:rPr>
        <w:t xml:space="preserve"> </w:t>
      </w:r>
      <w:r w:rsidRPr="0075418D" w:rsidR="009303E7">
        <w:rPr>
          <w:rFonts w:ascii="Palatino Linotype" w:hAnsi="Palatino Linotype"/>
          <w:sz w:val="24"/>
          <w:szCs w:val="24"/>
        </w:rPr>
        <w:t xml:space="preserve">paradigm with state and federal </w:t>
      </w:r>
      <w:r w:rsidRPr="0075418D" w:rsidR="00DB5656">
        <w:rPr>
          <w:rFonts w:ascii="Palatino Linotype" w:hAnsi="Palatino Linotype"/>
          <w:sz w:val="24"/>
          <w:szCs w:val="24"/>
        </w:rPr>
        <w:t>regulators</w:t>
      </w:r>
      <w:r w:rsidRPr="0075418D" w:rsidR="009303E7">
        <w:rPr>
          <w:rFonts w:ascii="Palatino Linotype" w:hAnsi="Palatino Linotype"/>
          <w:sz w:val="24"/>
          <w:szCs w:val="24"/>
        </w:rPr>
        <w:t>.</w:t>
      </w:r>
    </w:p>
    <w:p w:rsidRPr="0075418D" w:rsidR="009303E7" w:rsidP="002C0033" w:rsidRDefault="009303E7" w14:paraId="47E6D549" w14:textId="77777777">
      <w:pPr>
        <w:rPr>
          <w:rFonts w:ascii="Palatino Linotype" w:hAnsi="Palatino Linotype"/>
          <w:sz w:val="24"/>
          <w:szCs w:val="24"/>
        </w:rPr>
      </w:pPr>
    </w:p>
    <w:p w:rsidRPr="0075418D" w:rsidR="002C0033" w:rsidP="002C0033" w:rsidRDefault="00DA6834" w14:paraId="7EA1D1D6" w14:textId="24E2E767">
      <w:pPr>
        <w:rPr>
          <w:rFonts w:ascii="Palatino Linotype" w:hAnsi="Palatino Linotype"/>
          <w:sz w:val="24"/>
          <w:szCs w:val="24"/>
        </w:rPr>
      </w:pPr>
      <w:r w:rsidRPr="0075418D">
        <w:rPr>
          <w:rFonts w:ascii="Palatino Linotype" w:hAnsi="Palatino Linotype"/>
          <w:sz w:val="24"/>
          <w:szCs w:val="24"/>
        </w:rPr>
        <w:t xml:space="preserve">The Pipeline and Hazardous Materials Safety Administration (PHMSA) based its integrity management requirements for distribution pipelines on the successes gained from requirements for gas transmission pipelines to address mandates found in the PIPES Act (2006). However, in contrast to transmission rules, PHMSA crafted DIMP rules to address issues specific to distribution </w:t>
      </w:r>
      <w:r w:rsidRPr="0075418D" w:rsidR="00D76B0B">
        <w:rPr>
          <w:rFonts w:ascii="Palatino Linotype" w:hAnsi="Palatino Linotype"/>
          <w:sz w:val="24"/>
          <w:szCs w:val="24"/>
        </w:rPr>
        <w:t>systems</w:t>
      </w:r>
      <w:r w:rsidRPr="0075418D">
        <w:rPr>
          <w:rFonts w:ascii="Palatino Linotype" w:hAnsi="Palatino Linotype"/>
          <w:sz w:val="24"/>
          <w:szCs w:val="24"/>
        </w:rPr>
        <w:t>.  For instance, operators are required to install excess flow valves (EFV) on all new and replaced residential service lines serving single residences, as required by the PIPES Act.</w:t>
      </w:r>
      <w:r w:rsidRPr="0075418D">
        <w:rPr>
          <w:rStyle w:val="FootnoteReference"/>
          <w:rFonts w:ascii="Palatino Linotype" w:hAnsi="Palatino Linotype"/>
          <w:sz w:val="24"/>
          <w:szCs w:val="24"/>
        </w:rPr>
        <w:footnoteReference w:id="5"/>
      </w:r>
    </w:p>
    <w:p w:rsidRPr="0075418D" w:rsidR="002C0033" w:rsidP="002C0033" w:rsidRDefault="002C0033" w14:paraId="004206B7" w14:textId="77777777">
      <w:pPr>
        <w:rPr>
          <w:rFonts w:ascii="Palatino Linotype" w:hAnsi="Palatino Linotype"/>
          <w:sz w:val="24"/>
          <w:szCs w:val="24"/>
        </w:rPr>
      </w:pPr>
    </w:p>
    <w:p w:rsidRPr="0075418D" w:rsidR="00DF2E7F" w:rsidP="1972E185" w:rsidRDefault="00DF2E7F" w14:paraId="54BEBA88" w14:textId="28479AE4">
      <w:pPr>
        <w:spacing w:line="259" w:lineRule="auto"/>
        <w:rPr>
          <w:rFonts w:ascii="Palatino Linotype" w:hAnsi="Palatino Linotype"/>
          <w:sz w:val="24"/>
          <w:szCs w:val="24"/>
        </w:rPr>
      </w:pPr>
      <w:r w:rsidRPr="0075418D">
        <w:rPr>
          <w:rFonts w:ascii="Palatino Linotype" w:hAnsi="Palatino Linotype"/>
          <w:sz w:val="24"/>
          <w:szCs w:val="24"/>
        </w:rPr>
        <w:lastRenderedPageBreak/>
        <w:t xml:space="preserve">The Commission authorized a recovery process for DIMP costs which has </w:t>
      </w:r>
      <w:r w:rsidRPr="0075418D" w:rsidR="00515A9B">
        <w:rPr>
          <w:rFonts w:ascii="Palatino Linotype" w:hAnsi="Palatino Linotype"/>
          <w:sz w:val="24"/>
          <w:szCs w:val="24"/>
        </w:rPr>
        <w:t>evolved</w:t>
      </w:r>
      <w:r w:rsidRPr="0075418D">
        <w:rPr>
          <w:rFonts w:ascii="Palatino Linotype" w:hAnsi="Palatino Linotype"/>
          <w:sz w:val="24"/>
          <w:szCs w:val="24"/>
        </w:rPr>
        <w:t xml:space="preserve"> over time. In D.13-05-</w:t>
      </w:r>
      <w:r w:rsidRPr="0075418D" w:rsidR="22B84D5E">
        <w:rPr>
          <w:rFonts w:ascii="Palatino Linotype" w:hAnsi="Palatino Linotype"/>
          <w:sz w:val="24"/>
          <w:szCs w:val="24"/>
        </w:rPr>
        <w:t>010</w:t>
      </w:r>
      <w:r w:rsidRPr="0075418D">
        <w:rPr>
          <w:rFonts w:ascii="Palatino Linotype" w:hAnsi="Palatino Linotype"/>
          <w:sz w:val="24"/>
          <w:szCs w:val="24"/>
        </w:rPr>
        <w:t>, the commission established that “</w:t>
      </w:r>
      <w:r w:rsidRPr="0075418D" w:rsidR="0035032A">
        <w:rPr>
          <w:rFonts w:ascii="Palatino Linotype" w:hAnsi="Palatino Linotype"/>
          <w:sz w:val="24"/>
          <w:szCs w:val="24"/>
        </w:rPr>
        <w:t xml:space="preserve">Any costs in excess of the O&amp;M costs authorized for these DIMP costs and capital expenditures shall be subject to recovery through a Tier 3 </w:t>
      </w:r>
      <w:r w:rsidRPr="0075418D" w:rsidR="52BD6C8B">
        <w:rPr>
          <w:rFonts w:ascii="Palatino Linotype" w:hAnsi="Palatino Linotype"/>
          <w:sz w:val="24"/>
          <w:szCs w:val="24"/>
        </w:rPr>
        <w:t>AL</w:t>
      </w:r>
      <w:r w:rsidRPr="0075418D" w:rsidR="0035032A">
        <w:rPr>
          <w:rFonts w:ascii="Palatino Linotype" w:hAnsi="Palatino Linotype"/>
          <w:sz w:val="24"/>
          <w:szCs w:val="24"/>
        </w:rPr>
        <w:t xml:space="preserve"> process.”</w:t>
      </w:r>
      <w:r w:rsidRPr="0075418D" w:rsidR="0035032A">
        <w:rPr>
          <w:rStyle w:val="FootnoteReference"/>
          <w:rFonts w:ascii="Palatino Linotype" w:hAnsi="Palatino Linotype"/>
          <w:sz w:val="24"/>
          <w:szCs w:val="24"/>
        </w:rPr>
        <w:footnoteReference w:id="6"/>
      </w:r>
    </w:p>
    <w:p w:rsidRPr="0075418D" w:rsidR="004A07D5" w:rsidP="002C0033" w:rsidRDefault="004A07D5" w14:paraId="2CD49976" w14:textId="77777777">
      <w:pPr>
        <w:rPr>
          <w:rFonts w:ascii="Palatino Linotype" w:hAnsi="Palatino Linotype"/>
          <w:sz w:val="24"/>
          <w:szCs w:val="24"/>
        </w:rPr>
      </w:pPr>
    </w:p>
    <w:p w:rsidRPr="0075418D" w:rsidR="004A07D5" w:rsidP="002C0033" w:rsidRDefault="004A07D5" w14:paraId="4BACA1CC" w14:textId="26C47BDF">
      <w:pPr>
        <w:rPr>
          <w:rFonts w:ascii="Palatino Linotype" w:hAnsi="Palatino Linotype"/>
          <w:sz w:val="24"/>
          <w:szCs w:val="24"/>
        </w:rPr>
      </w:pPr>
      <w:r w:rsidRPr="0075418D">
        <w:rPr>
          <w:rFonts w:ascii="Palatino Linotype" w:hAnsi="Palatino Linotype"/>
          <w:sz w:val="24"/>
          <w:szCs w:val="24"/>
        </w:rPr>
        <w:t>The Commission authorized SoCalGas to establish a two-way balancing account (BA) to recover actual DIMP compliance O&amp;M expenses and capital expenditures for the GRC cycle ending December 31, 2015.</w:t>
      </w:r>
      <w:r w:rsidRPr="0075418D">
        <w:rPr>
          <w:rStyle w:val="FootnoteReference"/>
          <w:rFonts w:ascii="Palatino Linotype" w:hAnsi="Palatino Linotype"/>
          <w:sz w:val="24"/>
          <w:szCs w:val="24"/>
        </w:rPr>
        <w:footnoteReference w:id="7"/>
      </w:r>
    </w:p>
    <w:p w:rsidRPr="0075418D" w:rsidR="00F426EE" w:rsidP="00F426EE" w:rsidRDefault="00F426EE" w14:paraId="5E451AB3" w14:textId="77777777">
      <w:pPr>
        <w:rPr>
          <w:rFonts w:ascii="Palatino Linotype" w:hAnsi="Palatino Linotype"/>
          <w:sz w:val="24"/>
          <w:szCs w:val="24"/>
        </w:rPr>
      </w:pPr>
    </w:p>
    <w:p w:rsidRPr="0075418D" w:rsidR="00F426EE" w:rsidP="00F426EE" w:rsidRDefault="00F426EE" w14:paraId="1C1E2FA7" w14:textId="7F84E93E">
      <w:pPr>
        <w:rPr>
          <w:rFonts w:ascii="Palatino Linotype" w:hAnsi="Palatino Linotype"/>
          <w:sz w:val="24"/>
          <w:szCs w:val="24"/>
        </w:rPr>
      </w:pPr>
      <w:r w:rsidRPr="0075418D">
        <w:rPr>
          <w:rFonts w:ascii="Palatino Linotype" w:hAnsi="Palatino Linotype"/>
          <w:sz w:val="24"/>
          <w:szCs w:val="24"/>
        </w:rPr>
        <w:t xml:space="preserve">The Commission subsequently reauthorized the </w:t>
      </w:r>
      <w:r w:rsidRPr="0075418D" w:rsidR="007A1DBA">
        <w:rPr>
          <w:rFonts w:ascii="Palatino Linotype" w:hAnsi="Palatino Linotype"/>
          <w:sz w:val="24"/>
          <w:szCs w:val="24"/>
        </w:rPr>
        <w:t>D</w:t>
      </w:r>
      <w:r w:rsidRPr="0075418D">
        <w:rPr>
          <w:rFonts w:ascii="Palatino Linotype" w:hAnsi="Palatino Linotype"/>
          <w:sz w:val="24"/>
          <w:szCs w:val="24"/>
        </w:rPr>
        <w:t>IMPBA for both the test year (TY) 2016 and TY 2019 cycles which end December 31, 2018</w:t>
      </w:r>
      <w:r w:rsidRPr="0075418D">
        <w:rPr>
          <w:rStyle w:val="FootnoteReference"/>
          <w:rFonts w:ascii="Palatino Linotype" w:hAnsi="Palatino Linotype"/>
          <w:sz w:val="24"/>
          <w:szCs w:val="24"/>
        </w:rPr>
        <w:footnoteReference w:id="8"/>
      </w:r>
      <w:r w:rsidRPr="0075418D">
        <w:rPr>
          <w:rFonts w:ascii="Palatino Linotype" w:hAnsi="Palatino Linotype"/>
          <w:sz w:val="24"/>
          <w:szCs w:val="24"/>
        </w:rPr>
        <w:t xml:space="preserve"> and December 31, 2023</w:t>
      </w:r>
      <w:r w:rsidRPr="0075418D">
        <w:rPr>
          <w:rStyle w:val="FootnoteReference"/>
          <w:rFonts w:ascii="Palatino Linotype" w:hAnsi="Palatino Linotype"/>
          <w:sz w:val="24"/>
          <w:szCs w:val="24"/>
        </w:rPr>
        <w:footnoteReference w:id="9"/>
      </w:r>
      <w:r w:rsidRPr="0075418D">
        <w:rPr>
          <w:rFonts w:ascii="Palatino Linotype" w:hAnsi="Palatino Linotype"/>
          <w:sz w:val="24"/>
          <w:szCs w:val="24"/>
        </w:rPr>
        <w:t xml:space="preserve"> respectively.  In D.16-06-054, the Commission approved a settlement agreement </w:t>
      </w:r>
      <w:r w:rsidRPr="0075418D" w:rsidR="456DA17B">
        <w:rPr>
          <w:rFonts w:ascii="Palatino Linotype" w:hAnsi="Palatino Linotype"/>
          <w:sz w:val="24"/>
          <w:szCs w:val="24"/>
        </w:rPr>
        <w:t>requiring</w:t>
      </w:r>
      <w:r w:rsidRPr="0075418D">
        <w:rPr>
          <w:rFonts w:ascii="Palatino Linotype" w:hAnsi="Palatino Linotype"/>
          <w:sz w:val="24"/>
          <w:szCs w:val="24"/>
        </w:rPr>
        <w:t xml:space="preserve"> the utility to maintain separate two-way balancing accounts for their </w:t>
      </w:r>
      <w:r w:rsidRPr="0075418D" w:rsidR="007A1DBA">
        <w:rPr>
          <w:rFonts w:ascii="Palatino Linotype" w:hAnsi="Palatino Linotype"/>
          <w:sz w:val="24"/>
          <w:szCs w:val="24"/>
        </w:rPr>
        <w:t>D</w:t>
      </w:r>
      <w:r w:rsidRPr="0075418D">
        <w:rPr>
          <w:rFonts w:ascii="Palatino Linotype" w:hAnsi="Palatino Linotype"/>
          <w:sz w:val="24"/>
          <w:szCs w:val="24"/>
        </w:rPr>
        <w:t xml:space="preserve">IMP and </w:t>
      </w:r>
      <w:r w:rsidRPr="0075418D" w:rsidR="007A1DBA">
        <w:rPr>
          <w:rFonts w:ascii="Palatino Linotype" w:hAnsi="Palatino Linotype"/>
          <w:sz w:val="24"/>
          <w:szCs w:val="24"/>
        </w:rPr>
        <w:t xml:space="preserve">Transmission </w:t>
      </w:r>
      <w:r w:rsidRPr="0075418D">
        <w:rPr>
          <w:rFonts w:ascii="Palatino Linotype" w:hAnsi="Palatino Linotype"/>
          <w:sz w:val="24"/>
          <w:szCs w:val="24"/>
        </w:rPr>
        <w:t>Integrity Management Program (</w:t>
      </w:r>
      <w:r w:rsidRPr="0075418D" w:rsidR="007A1DBA">
        <w:rPr>
          <w:rFonts w:ascii="Palatino Linotype" w:hAnsi="Palatino Linotype"/>
          <w:sz w:val="24"/>
          <w:szCs w:val="24"/>
        </w:rPr>
        <w:t>T</w:t>
      </w:r>
      <w:r w:rsidRPr="0075418D">
        <w:rPr>
          <w:rFonts w:ascii="Palatino Linotype" w:hAnsi="Palatino Linotype"/>
          <w:sz w:val="24"/>
          <w:szCs w:val="24"/>
        </w:rPr>
        <w:t xml:space="preserve">IMP) expenditures. The decision limited the Tier 3 </w:t>
      </w:r>
      <w:r w:rsidRPr="0075418D" w:rsidR="7A408A35">
        <w:rPr>
          <w:rFonts w:ascii="Palatino Linotype" w:hAnsi="Palatino Linotype"/>
          <w:sz w:val="24"/>
          <w:szCs w:val="24"/>
        </w:rPr>
        <w:t>AL</w:t>
      </w:r>
      <w:r w:rsidRPr="0075418D">
        <w:rPr>
          <w:rFonts w:ascii="Palatino Linotype" w:hAnsi="Palatino Linotype"/>
          <w:sz w:val="24"/>
          <w:szCs w:val="24"/>
        </w:rPr>
        <w:t xml:space="preserve"> process for recovery of any TIMP or DIMP undercollections up to 35 percent of the 2016 GRC cycle total revenue requirement for that program. Any </w:t>
      </w:r>
      <w:proofErr w:type="gramStart"/>
      <w:r w:rsidRPr="0075418D">
        <w:rPr>
          <w:rFonts w:ascii="Palatino Linotype" w:hAnsi="Palatino Linotype"/>
          <w:sz w:val="24"/>
          <w:szCs w:val="24"/>
        </w:rPr>
        <w:t>amounts</w:t>
      </w:r>
      <w:proofErr w:type="gramEnd"/>
      <w:r w:rsidRPr="0075418D">
        <w:rPr>
          <w:rFonts w:ascii="Palatino Linotype" w:hAnsi="Palatino Linotype"/>
          <w:sz w:val="24"/>
          <w:szCs w:val="24"/>
        </w:rPr>
        <w:t xml:space="preserve"> above 35 percent are subject to a separate application procedure.</w:t>
      </w:r>
    </w:p>
    <w:p w:rsidRPr="0075418D" w:rsidR="00F426EE" w:rsidP="00F426EE" w:rsidRDefault="00F426EE" w14:paraId="4D16DF5A" w14:textId="77777777">
      <w:pPr>
        <w:rPr>
          <w:rFonts w:ascii="Palatino Linotype" w:hAnsi="Palatino Linotype"/>
          <w:sz w:val="24"/>
          <w:szCs w:val="24"/>
        </w:rPr>
      </w:pPr>
    </w:p>
    <w:p w:rsidRPr="0075418D" w:rsidR="00F426EE" w:rsidP="00F426EE" w:rsidRDefault="00F426EE" w14:paraId="299F076B" w14:textId="7D7D3633">
      <w:pPr>
        <w:rPr>
          <w:rFonts w:ascii="Palatino Linotype" w:hAnsi="Palatino Linotype"/>
          <w:sz w:val="24"/>
          <w:szCs w:val="24"/>
        </w:rPr>
      </w:pPr>
      <w:r w:rsidRPr="0075418D">
        <w:rPr>
          <w:rFonts w:ascii="Palatino Linotype" w:hAnsi="Palatino Linotype"/>
          <w:sz w:val="24"/>
          <w:szCs w:val="24"/>
        </w:rPr>
        <w:t xml:space="preserve">Lastly, </w:t>
      </w:r>
      <w:proofErr w:type="gramStart"/>
      <w:r w:rsidRPr="0075418D">
        <w:rPr>
          <w:rFonts w:ascii="Palatino Linotype" w:hAnsi="Palatino Linotype"/>
          <w:sz w:val="24"/>
          <w:szCs w:val="24"/>
        </w:rPr>
        <w:t>in</w:t>
      </w:r>
      <w:proofErr w:type="gramEnd"/>
      <w:r w:rsidRPr="0075418D">
        <w:rPr>
          <w:rFonts w:ascii="Palatino Linotype" w:hAnsi="Palatino Linotype"/>
          <w:sz w:val="24"/>
          <w:szCs w:val="24"/>
        </w:rPr>
        <w:t xml:space="preserve"> D.19-09-051, the Commission modified this process to address a compounding effect because capital costs are balanced over the life of the asset and not on a year-to-year basis. This decision adopted SoCalGas’ proposal to change the method by which the percentage is calculated by applying it against the total authorized O&amp;M and capital expenditures.</w:t>
      </w:r>
      <w:r w:rsidRPr="0075418D" w:rsidR="3A693374">
        <w:rPr>
          <w:rFonts w:ascii="Palatino Linotype" w:hAnsi="Palatino Linotype"/>
          <w:sz w:val="24"/>
          <w:szCs w:val="24"/>
        </w:rPr>
        <w:t xml:space="preserve"> Pursuant to D.19-09-051, SoCalGas is authorized to submit a Tier 3 </w:t>
      </w:r>
      <w:r w:rsidRPr="0075418D" w:rsidR="64E500B2">
        <w:rPr>
          <w:rFonts w:ascii="Palatino Linotype" w:hAnsi="Palatino Linotype"/>
          <w:sz w:val="24"/>
          <w:szCs w:val="24"/>
        </w:rPr>
        <w:t xml:space="preserve">AL </w:t>
      </w:r>
      <w:r w:rsidRPr="0075418D" w:rsidR="3A693374">
        <w:rPr>
          <w:rFonts w:ascii="Palatino Linotype" w:hAnsi="Palatino Linotype"/>
          <w:sz w:val="24"/>
          <w:szCs w:val="24"/>
        </w:rPr>
        <w:t xml:space="preserve">to seek recovery of </w:t>
      </w:r>
      <w:r w:rsidRPr="0075418D" w:rsidR="283AC152">
        <w:rPr>
          <w:rFonts w:ascii="Palatino Linotype" w:hAnsi="Palatino Linotype"/>
          <w:sz w:val="24"/>
          <w:szCs w:val="24"/>
        </w:rPr>
        <w:t xml:space="preserve">undercollected revenue requirement when actual expenditures in O&amp;M and capital are overspent by up to 35 percent of </w:t>
      </w:r>
      <w:r w:rsidRPr="0075418D" w:rsidR="5453CC9A">
        <w:rPr>
          <w:rFonts w:ascii="Palatino Linotype" w:hAnsi="Palatino Linotype"/>
          <w:sz w:val="24"/>
          <w:szCs w:val="24"/>
        </w:rPr>
        <w:t xml:space="preserve">the total authorized O&amp;M and capital expenditures for the entire GRC cycle. </w:t>
      </w:r>
      <w:r w:rsidRPr="0075418D">
        <w:rPr>
          <w:rStyle w:val="FootnoteReference"/>
          <w:rFonts w:ascii="Palatino Linotype" w:hAnsi="Palatino Linotype"/>
          <w:sz w:val="24"/>
          <w:szCs w:val="24"/>
        </w:rPr>
        <w:footnoteReference w:id="10"/>
      </w:r>
    </w:p>
    <w:p w:rsidRPr="0075418D" w:rsidR="00F426EE" w:rsidP="00F426EE" w:rsidRDefault="00F426EE" w14:paraId="54EC55BB" w14:textId="77777777">
      <w:pPr>
        <w:rPr>
          <w:rFonts w:ascii="Palatino Linotype" w:hAnsi="Palatino Linotype"/>
          <w:sz w:val="24"/>
          <w:szCs w:val="24"/>
        </w:rPr>
      </w:pPr>
    </w:p>
    <w:p w:rsidRPr="0075418D" w:rsidR="00B672C5" w:rsidP="00B672C5" w:rsidRDefault="00B672C5" w14:paraId="40BF6C1C" w14:textId="1E126637">
      <w:pPr>
        <w:rPr>
          <w:rFonts w:ascii="Palatino Linotype" w:hAnsi="Palatino Linotype"/>
          <w:sz w:val="24"/>
          <w:szCs w:val="24"/>
        </w:rPr>
      </w:pPr>
      <w:r w:rsidRPr="0075418D">
        <w:rPr>
          <w:rFonts w:ascii="Palatino Linotype" w:hAnsi="Palatino Linotype"/>
          <w:sz w:val="24"/>
          <w:szCs w:val="24"/>
        </w:rPr>
        <w:t xml:space="preserve">DIMP year-end balances in the balancing account may be carried forward into the following year to ensure that SoCalGas has sufficient funds to carry out DIMP related work and ensure the safety and reliability of its gas transmission system.  The decision allowed SoCalGas to recover </w:t>
      </w:r>
      <w:r w:rsidRPr="0075418D" w:rsidR="3345EED4">
        <w:rPr>
          <w:rFonts w:ascii="Palatino Linotype" w:hAnsi="Palatino Linotype"/>
          <w:sz w:val="24"/>
          <w:szCs w:val="24"/>
        </w:rPr>
        <w:t xml:space="preserve">DIMP </w:t>
      </w:r>
      <w:r w:rsidRPr="0075418D" w:rsidR="422D78E1">
        <w:rPr>
          <w:rFonts w:ascii="Palatino Linotype" w:hAnsi="Palatino Linotype"/>
          <w:sz w:val="24"/>
          <w:szCs w:val="24"/>
        </w:rPr>
        <w:t xml:space="preserve">revenue </w:t>
      </w:r>
      <w:r w:rsidRPr="0075418D">
        <w:rPr>
          <w:rFonts w:ascii="Palatino Linotype" w:hAnsi="Palatino Linotype"/>
          <w:sz w:val="24"/>
          <w:szCs w:val="24"/>
        </w:rPr>
        <w:t xml:space="preserve">undercollections </w:t>
      </w:r>
      <w:r w:rsidRPr="0075418D" w:rsidR="560C37ED">
        <w:rPr>
          <w:rFonts w:ascii="Palatino Linotype" w:hAnsi="Palatino Linotype"/>
          <w:sz w:val="24"/>
          <w:szCs w:val="24"/>
        </w:rPr>
        <w:t xml:space="preserve">related to </w:t>
      </w:r>
      <w:r w:rsidRPr="0075418D">
        <w:rPr>
          <w:rFonts w:ascii="Palatino Linotype" w:hAnsi="Palatino Linotype"/>
          <w:sz w:val="24"/>
          <w:szCs w:val="24"/>
        </w:rPr>
        <w:t xml:space="preserve">up to 35 percent of the DIMP </w:t>
      </w:r>
      <w:r w:rsidRPr="0075418D" w:rsidR="21293FB2">
        <w:rPr>
          <w:rFonts w:ascii="Palatino Linotype" w:hAnsi="Palatino Linotype"/>
          <w:sz w:val="24"/>
          <w:szCs w:val="24"/>
        </w:rPr>
        <w:t xml:space="preserve">balance </w:t>
      </w:r>
      <w:proofErr w:type="gramStart"/>
      <w:r w:rsidRPr="0075418D" w:rsidR="21293FB2">
        <w:rPr>
          <w:rFonts w:ascii="Palatino Linotype" w:hAnsi="Palatino Linotype"/>
          <w:sz w:val="24"/>
          <w:szCs w:val="24"/>
        </w:rPr>
        <w:t>in excess of</w:t>
      </w:r>
      <w:proofErr w:type="gramEnd"/>
      <w:r w:rsidRPr="0075418D" w:rsidR="21293FB2">
        <w:rPr>
          <w:rFonts w:ascii="Palatino Linotype" w:hAnsi="Palatino Linotype"/>
          <w:sz w:val="24"/>
          <w:szCs w:val="24"/>
        </w:rPr>
        <w:t xml:space="preserve"> the authorized O&amp;M and capital expenditures</w:t>
      </w:r>
      <w:r w:rsidRPr="0075418D">
        <w:rPr>
          <w:rFonts w:ascii="Palatino Linotype" w:hAnsi="Palatino Linotype"/>
          <w:sz w:val="24"/>
          <w:szCs w:val="24"/>
        </w:rPr>
        <w:t xml:space="preserve"> via </w:t>
      </w:r>
      <w:r w:rsidRPr="0075418D" w:rsidR="54B8FF5B">
        <w:rPr>
          <w:rFonts w:ascii="Palatino Linotype" w:hAnsi="Palatino Linotype"/>
          <w:sz w:val="24"/>
          <w:szCs w:val="24"/>
        </w:rPr>
        <w:t>AL</w:t>
      </w:r>
      <w:r w:rsidRPr="0075418D">
        <w:rPr>
          <w:rFonts w:ascii="Palatino Linotype" w:hAnsi="Palatino Linotype"/>
          <w:sz w:val="24"/>
          <w:szCs w:val="24"/>
        </w:rPr>
        <w:t xml:space="preserve">; and undercollections above 35 percent could be recovered through a separate </w:t>
      </w:r>
      <w:r w:rsidRPr="0075418D">
        <w:rPr>
          <w:rFonts w:ascii="Palatino Linotype" w:hAnsi="Palatino Linotype"/>
          <w:sz w:val="24"/>
          <w:szCs w:val="24"/>
        </w:rPr>
        <w:lastRenderedPageBreak/>
        <w:t xml:space="preserve">proceeding.  The DIMPBA </w:t>
      </w:r>
      <w:r w:rsidRPr="0075418D" w:rsidR="649E7131">
        <w:rPr>
          <w:rFonts w:ascii="Palatino Linotype" w:hAnsi="Palatino Linotype"/>
          <w:sz w:val="24"/>
          <w:szCs w:val="24"/>
        </w:rPr>
        <w:t xml:space="preserve">recovery request </w:t>
      </w:r>
      <w:r w:rsidRPr="0075418D">
        <w:rPr>
          <w:rFonts w:ascii="Palatino Linotype" w:hAnsi="Palatino Linotype"/>
          <w:sz w:val="24"/>
          <w:szCs w:val="24"/>
        </w:rPr>
        <w:t xml:space="preserve">is effective for the GRC period </w:t>
      </w:r>
      <w:r w:rsidRPr="0075418D" w:rsidR="3AF4D09B">
        <w:rPr>
          <w:rFonts w:ascii="Palatino Linotype" w:hAnsi="Palatino Linotype"/>
          <w:sz w:val="24"/>
          <w:szCs w:val="24"/>
        </w:rPr>
        <w:t>January 1, 2019, through</w:t>
      </w:r>
      <w:r w:rsidRPr="0075418D">
        <w:rPr>
          <w:rFonts w:ascii="Palatino Linotype" w:hAnsi="Palatino Linotype"/>
          <w:sz w:val="24"/>
          <w:szCs w:val="24"/>
        </w:rPr>
        <w:t xml:space="preserve"> December 31, 2023.</w:t>
      </w:r>
    </w:p>
    <w:p w:rsidRPr="0075418D" w:rsidR="00B672C5" w:rsidP="00B672C5" w:rsidRDefault="00B672C5" w14:paraId="0AA335F5" w14:textId="77777777">
      <w:pPr>
        <w:rPr>
          <w:rFonts w:ascii="Palatino Linotype" w:hAnsi="Palatino Linotype"/>
          <w:sz w:val="24"/>
          <w:szCs w:val="24"/>
        </w:rPr>
      </w:pPr>
    </w:p>
    <w:p w:rsidRPr="0075418D" w:rsidR="00B672C5" w:rsidP="00B672C5" w:rsidRDefault="00B672C5" w14:paraId="3259ABEE" w14:textId="05C0AE9A">
      <w:pPr>
        <w:rPr>
          <w:rFonts w:ascii="Palatino Linotype" w:hAnsi="Palatino Linotype"/>
          <w:sz w:val="24"/>
          <w:szCs w:val="24"/>
        </w:rPr>
      </w:pPr>
      <w:r w:rsidRPr="0075418D">
        <w:rPr>
          <w:rFonts w:ascii="Palatino Linotype" w:hAnsi="Palatino Linotype"/>
          <w:sz w:val="24"/>
          <w:szCs w:val="24"/>
        </w:rPr>
        <w:t xml:space="preserve">SoCalGas did not </w:t>
      </w:r>
      <w:r w:rsidRPr="0075418D" w:rsidR="0F0FCDD8">
        <w:rPr>
          <w:rFonts w:ascii="Palatino Linotype" w:hAnsi="Palatino Linotype"/>
          <w:sz w:val="24"/>
          <w:szCs w:val="24"/>
        </w:rPr>
        <w:t>request</w:t>
      </w:r>
      <w:r w:rsidRPr="0075418D">
        <w:rPr>
          <w:rFonts w:ascii="Palatino Linotype" w:hAnsi="Palatino Linotype"/>
          <w:sz w:val="24"/>
          <w:szCs w:val="24"/>
        </w:rPr>
        <w:t xml:space="preserve"> to recover any accumulated DIMPBA balance for TY 2019 cycle</w:t>
      </w:r>
      <w:r w:rsidRPr="0075418D" w:rsidR="1FB48CAF">
        <w:rPr>
          <w:rFonts w:ascii="Palatino Linotype" w:hAnsi="Palatino Linotype"/>
          <w:sz w:val="24"/>
          <w:szCs w:val="24"/>
        </w:rPr>
        <w:t xml:space="preserve"> until </w:t>
      </w:r>
      <w:r w:rsidRPr="0075418D" w:rsidR="00E507B0">
        <w:rPr>
          <w:rFonts w:ascii="Palatino Linotype" w:hAnsi="Palatino Linotype"/>
          <w:sz w:val="24"/>
          <w:szCs w:val="24"/>
        </w:rPr>
        <w:t xml:space="preserve">they filed </w:t>
      </w:r>
      <w:r w:rsidRPr="0075418D" w:rsidR="00A00079">
        <w:rPr>
          <w:rFonts w:ascii="Palatino Linotype" w:hAnsi="Palatino Linotype"/>
          <w:sz w:val="24"/>
          <w:szCs w:val="24"/>
        </w:rPr>
        <w:t>AL</w:t>
      </w:r>
      <w:r w:rsidRPr="0075418D" w:rsidR="00E507B0">
        <w:rPr>
          <w:rFonts w:ascii="Palatino Linotype" w:hAnsi="Palatino Linotype"/>
          <w:sz w:val="24"/>
          <w:szCs w:val="24"/>
        </w:rPr>
        <w:t xml:space="preserve"> 6224-G</w:t>
      </w:r>
      <w:r w:rsidRPr="0075418D">
        <w:rPr>
          <w:rFonts w:ascii="Palatino Linotype" w:hAnsi="Palatino Linotype"/>
          <w:sz w:val="24"/>
          <w:szCs w:val="24"/>
        </w:rPr>
        <w:t xml:space="preserve">. </w:t>
      </w:r>
    </w:p>
    <w:p w:rsidRPr="0075418D" w:rsidR="00B672C5" w:rsidP="00B672C5" w:rsidRDefault="00B672C5" w14:paraId="35259E95" w14:textId="77777777">
      <w:pPr>
        <w:rPr>
          <w:rFonts w:ascii="Palatino Linotype" w:hAnsi="Palatino Linotype"/>
          <w:sz w:val="24"/>
          <w:szCs w:val="24"/>
        </w:rPr>
      </w:pPr>
    </w:p>
    <w:p w:rsidRPr="0075418D" w:rsidR="00B672C5" w:rsidP="00B672C5" w:rsidRDefault="00B672C5" w14:paraId="2C2CD77B" w14:textId="264504F4">
      <w:pPr>
        <w:rPr>
          <w:rFonts w:ascii="Palatino Linotype" w:hAnsi="Palatino Linotype"/>
          <w:sz w:val="24"/>
          <w:szCs w:val="24"/>
        </w:rPr>
      </w:pPr>
      <w:r w:rsidRPr="0075418D">
        <w:rPr>
          <w:rFonts w:ascii="Palatino Linotype" w:hAnsi="Palatino Linotype"/>
          <w:sz w:val="24"/>
          <w:szCs w:val="24"/>
        </w:rPr>
        <w:t>As of January 31, 2023</w:t>
      </w:r>
      <w:r w:rsidRPr="0075418D" w:rsidR="4362066D">
        <w:rPr>
          <w:rFonts w:ascii="Palatino Linotype" w:hAnsi="Palatino Linotype"/>
          <w:sz w:val="24"/>
          <w:szCs w:val="24"/>
        </w:rPr>
        <w:t>,</w:t>
      </w:r>
      <w:r w:rsidRPr="0075418D">
        <w:rPr>
          <w:rFonts w:ascii="Palatino Linotype" w:hAnsi="Palatino Linotype"/>
          <w:sz w:val="24"/>
          <w:szCs w:val="24"/>
        </w:rPr>
        <w:t xml:space="preserve"> the DIMPBA consists of actual expenses amounting to </w:t>
      </w:r>
      <w:r w:rsidR="0075418D">
        <w:rPr>
          <w:rFonts w:ascii="Palatino Linotype" w:hAnsi="Palatino Linotype"/>
          <w:sz w:val="24"/>
          <w:szCs w:val="24"/>
        </w:rPr>
        <w:br/>
      </w:r>
      <w:r w:rsidRPr="0075418D">
        <w:rPr>
          <w:rFonts w:ascii="Palatino Linotype" w:hAnsi="Palatino Linotype"/>
          <w:sz w:val="24"/>
          <w:szCs w:val="24"/>
        </w:rPr>
        <w:t>$</w:t>
      </w:r>
      <w:r w:rsidRPr="0075418D" w:rsidR="6282686D">
        <w:rPr>
          <w:rFonts w:ascii="Palatino Linotype" w:hAnsi="Palatino Linotype"/>
          <w:sz w:val="24"/>
          <w:szCs w:val="24"/>
        </w:rPr>
        <w:t>909.744</w:t>
      </w:r>
      <w:r w:rsidRPr="0075418D">
        <w:rPr>
          <w:rFonts w:ascii="Palatino Linotype" w:hAnsi="Palatino Linotype"/>
          <w:sz w:val="24"/>
          <w:szCs w:val="24"/>
        </w:rPr>
        <w:t xml:space="preserve"> million, which are offset by the authorized costs for the 2019 GRC cycle of $</w:t>
      </w:r>
      <w:r w:rsidRPr="0075418D" w:rsidR="6DF79B18">
        <w:rPr>
          <w:rFonts w:ascii="Palatino Linotype" w:hAnsi="Palatino Linotype"/>
          <w:sz w:val="24"/>
          <w:szCs w:val="24"/>
        </w:rPr>
        <w:t>682.983</w:t>
      </w:r>
      <w:r w:rsidRPr="0075418D">
        <w:rPr>
          <w:rFonts w:ascii="Palatino Linotype" w:hAnsi="Palatino Linotype"/>
          <w:sz w:val="24"/>
          <w:szCs w:val="24"/>
        </w:rPr>
        <w:t xml:space="preserve"> million.</w:t>
      </w:r>
      <w:r w:rsidRPr="0075418D">
        <w:rPr>
          <w:rFonts w:ascii="Palatino Linotype" w:hAnsi="Palatino Linotype"/>
          <w:sz w:val="24"/>
          <w:szCs w:val="24"/>
          <w:vertAlign w:val="superscript"/>
        </w:rPr>
        <w:footnoteReference w:id="11"/>
      </w:r>
      <w:r w:rsidRPr="0075418D">
        <w:rPr>
          <w:rFonts w:ascii="Palatino Linotype" w:hAnsi="Palatino Linotype"/>
          <w:sz w:val="24"/>
          <w:szCs w:val="24"/>
        </w:rPr>
        <w:t xml:space="preserve"> The </w:t>
      </w:r>
      <w:r w:rsidRPr="0075418D" w:rsidR="65380520">
        <w:rPr>
          <w:rFonts w:ascii="Palatino Linotype" w:hAnsi="Palatino Linotype"/>
          <w:sz w:val="24"/>
          <w:szCs w:val="24"/>
        </w:rPr>
        <w:t xml:space="preserve">difference of $226.761 million </w:t>
      </w:r>
      <w:r w:rsidRPr="0075418D" w:rsidR="6546039D">
        <w:rPr>
          <w:rFonts w:ascii="Palatino Linotype" w:hAnsi="Palatino Linotype"/>
          <w:sz w:val="24"/>
          <w:szCs w:val="24"/>
        </w:rPr>
        <w:t>is 33 percent over the authorized costs for the GRC period</w:t>
      </w:r>
      <w:r w:rsidRPr="0075418D" w:rsidR="017F8E69">
        <w:rPr>
          <w:rFonts w:ascii="Palatino Linotype" w:hAnsi="Palatino Linotype"/>
          <w:sz w:val="24"/>
          <w:szCs w:val="24"/>
        </w:rPr>
        <w:t xml:space="preserve">. The </w:t>
      </w:r>
      <w:r w:rsidRPr="0075418D">
        <w:rPr>
          <w:rFonts w:ascii="Palatino Linotype" w:hAnsi="Palatino Linotype"/>
          <w:sz w:val="24"/>
          <w:szCs w:val="24"/>
        </w:rPr>
        <w:t>associated revenue requirement for the undercollected costs is equal to $</w:t>
      </w:r>
      <w:r w:rsidRPr="0075418D" w:rsidR="007A1DBA">
        <w:rPr>
          <w:rFonts w:ascii="Palatino Linotype" w:hAnsi="Palatino Linotype"/>
          <w:sz w:val="24"/>
          <w:szCs w:val="24"/>
        </w:rPr>
        <w:t>81.4</w:t>
      </w:r>
      <w:r w:rsidRPr="0075418D" w:rsidR="7C0D09F8">
        <w:rPr>
          <w:rFonts w:ascii="Palatino Linotype" w:hAnsi="Palatino Linotype"/>
          <w:sz w:val="24"/>
          <w:szCs w:val="24"/>
        </w:rPr>
        <w:t>20 million</w:t>
      </w:r>
      <w:r w:rsidRPr="0075418D" w:rsidR="007A1DBA">
        <w:rPr>
          <w:rFonts w:ascii="Palatino Linotype" w:hAnsi="Palatino Linotype"/>
          <w:sz w:val="24"/>
          <w:szCs w:val="24"/>
        </w:rPr>
        <w:t>.</w:t>
      </w:r>
      <w:r w:rsidRPr="0075418D" w:rsidR="00850D12">
        <w:rPr>
          <w:rStyle w:val="FootnoteReference"/>
          <w:rFonts w:ascii="Palatino Linotype" w:hAnsi="Palatino Linotype"/>
          <w:sz w:val="24"/>
          <w:szCs w:val="24"/>
        </w:rPr>
        <w:footnoteReference w:id="12"/>
      </w:r>
    </w:p>
    <w:p w:rsidRPr="0075418D" w:rsidR="00B672C5" w:rsidP="00B672C5" w:rsidRDefault="00B672C5" w14:paraId="4F535B0E" w14:textId="77777777">
      <w:pPr>
        <w:rPr>
          <w:rFonts w:ascii="Palatino Linotype" w:hAnsi="Palatino Linotype"/>
          <w:sz w:val="24"/>
          <w:szCs w:val="24"/>
        </w:rPr>
      </w:pPr>
    </w:p>
    <w:p w:rsidRPr="0075418D" w:rsidR="00BA77CD" w:rsidP="00BA77CD" w:rsidRDefault="00BA77CD" w14:paraId="40ABEFB9" w14:textId="51F1E8B1">
      <w:pPr>
        <w:rPr>
          <w:rFonts w:ascii="Palatino Linotype" w:hAnsi="Palatino Linotype"/>
          <w:b/>
          <w:bCs/>
          <w:sz w:val="24"/>
          <w:szCs w:val="24"/>
        </w:rPr>
      </w:pPr>
      <w:r w:rsidRPr="0075418D">
        <w:rPr>
          <w:rFonts w:ascii="Palatino Linotype" w:hAnsi="Palatino Linotype"/>
          <w:sz w:val="24"/>
          <w:szCs w:val="24"/>
        </w:rPr>
        <w:t xml:space="preserve">SoCalGas proposes to amortize the DIMPBA amount in gas transportation rates based on the approved allocation methodology in SoCalGas’s most recent Cost Allocation Proceeding </w:t>
      </w:r>
      <w:r w:rsidRPr="0075418D" w:rsidR="002809CF">
        <w:rPr>
          <w:rFonts w:ascii="Palatino Linotype" w:hAnsi="Palatino Linotype"/>
          <w:sz w:val="24"/>
          <w:szCs w:val="24"/>
        </w:rPr>
        <w:t>Decision, D.24</w:t>
      </w:r>
      <w:r w:rsidRPr="0075418D" w:rsidR="362C1A56">
        <w:rPr>
          <w:rFonts w:ascii="Palatino Linotype" w:hAnsi="Palatino Linotype"/>
          <w:sz w:val="24"/>
          <w:szCs w:val="24"/>
        </w:rPr>
        <w:t>-07-009.</w:t>
      </w:r>
      <w:r w:rsidRPr="0075418D">
        <w:rPr>
          <w:rFonts w:ascii="Palatino Linotype" w:hAnsi="Palatino Linotype"/>
          <w:sz w:val="24"/>
          <w:szCs w:val="24"/>
        </w:rPr>
        <w:t xml:space="preserve"> </w:t>
      </w:r>
    </w:p>
    <w:p w:rsidRPr="0075418D" w:rsidR="004A07D5" w:rsidP="002C0033" w:rsidRDefault="004A07D5" w14:paraId="6FB16586" w14:textId="77777777">
      <w:pPr>
        <w:rPr>
          <w:rFonts w:ascii="Palatino Linotype" w:hAnsi="Palatino Linotype"/>
          <w:b/>
          <w:bCs/>
          <w:sz w:val="24"/>
          <w:szCs w:val="24"/>
        </w:rPr>
      </w:pPr>
    </w:p>
    <w:p w:rsidRPr="0075418D" w:rsidR="00A64517" w:rsidP="002C0033" w:rsidRDefault="00A64517" w14:paraId="236CE5AF" w14:textId="44A6A537">
      <w:pPr>
        <w:rPr>
          <w:rFonts w:ascii="Palatino Linotype" w:hAnsi="Palatino Linotype"/>
          <w:sz w:val="24"/>
          <w:szCs w:val="24"/>
        </w:rPr>
      </w:pPr>
      <w:r w:rsidRPr="0075418D">
        <w:rPr>
          <w:rFonts w:ascii="Palatino Linotype" w:hAnsi="Palatino Linotype"/>
          <w:sz w:val="24"/>
          <w:szCs w:val="24"/>
        </w:rPr>
        <w:t xml:space="preserve">In SoCalGas’ TY2024 GRC, D.24-12-074, the Commission converted the two-way </w:t>
      </w:r>
      <w:r w:rsidRPr="0075418D" w:rsidR="000969D8">
        <w:rPr>
          <w:rFonts w:ascii="Palatino Linotype" w:hAnsi="Palatino Linotype"/>
          <w:sz w:val="24"/>
          <w:szCs w:val="24"/>
        </w:rPr>
        <w:t xml:space="preserve">DIMP </w:t>
      </w:r>
      <w:r w:rsidRPr="0075418D">
        <w:rPr>
          <w:rFonts w:ascii="Palatino Linotype" w:hAnsi="Palatino Linotype"/>
          <w:sz w:val="24"/>
          <w:szCs w:val="24"/>
        </w:rPr>
        <w:t xml:space="preserve">balancing account to a one-way balancing account and requires any </w:t>
      </w:r>
      <w:r w:rsidRPr="0075418D" w:rsidR="00CB6E11">
        <w:rPr>
          <w:rFonts w:ascii="Palatino Linotype" w:hAnsi="Palatino Linotype"/>
          <w:sz w:val="24"/>
          <w:szCs w:val="24"/>
        </w:rPr>
        <w:t>D</w:t>
      </w:r>
      <w:r w:rsidRPr="0075418D">
        <w:rPr>
          <w:rFonts w:ascii="Palatino Linotype" w:hAnsi="Palatino Linotype"/>
          <w:sz w:val="24"/>
          <w:szCs w:val="24"/>
        </w:rPr>
        <w:t>IMP under-collections to be recorded to a memorandum account.</w:t>
      </w:r>
      <w:r w:rsidRPr="0075418D">
        <w:rPr>
          <w:rFonts w:ascii="Palatino Linotype" w:hAnsi="Palatino Linotype"/>
          <w:sz w:val="24"/>
          <w:szCs w:val="24"/>
          <w:vertAlign w:val="superscript"/>
        </w:rPr>
        <w:footnoteReference w:id="13"/>
      </w:r>
    </w:p>
    <w:p w:rsidRPr="0075418D" w:rsidR="00CF17DE" w:rsidP="4BA7214B" w:rsidRDefault="00394B3A" w14:paraId="66788129" w14:textId="77777777">
      <w:pPr>
        <w:pStyle w:val="Heading1"/>
        <w:rPr>
          <w:rFonts w:ascii="Palatino Linotype" w:hAnsi="Palatino Linotype" w:eastAsia="Palatino Linotype"/>
          <w:sz w:val="24"/>
          <w:szCs w:val="24"/>
        </w:rPr>
      </w:pPr>
      <w:r w:rsidRPr="0075418D">
        <w:rPr>
          <w:rFonts w:ascii="Palatino Linotype" w:hAnsi="Palatino Linotype" w:eastAsia="Palatino Linotype"/>
          <w:sz w:val="24"/>
          <w:szCs w:val="24"/>
        </w:rPr>
        <w:t>Notice</w:t>
      </w:r>
    </w:p>
    <w:p w:rsidRPr="0075418D" w:rsidR="007A58CB" w:rsidP="007A58CB" w:rsidRDefault="007A58CB" w14:paraId="3197D799" w14:textId="1E979BC9">
      <w:pPr>
        <w:rPr>
          <w:rFonts w:ascii="Palatino Linotype" w:hAnsi="Palatino Linotype"/>
          <w:sz w:val="24"/>
          <w:szCs w:val="24"/>
        </w:rPr>
      </w:pPr>
      <w:r w:rsidRPr="0075418D">
        <w:rPr>
          <w:rFonts w:ascii="Palatino Linotype" w:hAnsi="Palatino Linotype"/>
          <w:sz w:val="24"/>
          <w:szCs w:val="24"/>
        </w:rPr>
        <w:t>SoCalGas states that they served a copy of AL 6224-G to SoCalGas’s General Order (GO) 96-B service list and the Commission’s service list in A.17-10-008, SoCalGas’s TY 2019 GRC and A.22-05-015, SoCalGas’ TY 2024 GRC in accordance with GO 96-B.</w:t>
      </w:r>
    </w:p>
    <w:p w:rsidRPr="0075418D" w:rsidR="007A58CB" w:rsidP="4BA7214B" w:rsidRDefault="007A58CB" w14:paraId="5943B58C" w14:textId="77777777">
      <w:pPr>
        <w:rPr>
          <w:rFonts w:ascii="Palatino Linotype" w:hAnsi="Palatino Linotype" w:eastAsia="Palatino Linotype"/>
          <w:sz w:val="24"/>
          <w:szCs w:val="24"/>
        </w:rPr>
      </w:pPr>
    </w:p>
    <w:p w:rsidRPr="0075418D" w:rsidR="00CF17DE" w:rsidP="4BA7214B" w:rsidRDefault="00CF17DE" w14:paraId="7F509E4C" w14:textId="77777777">
      <w:pPr>
        <w:pStyle w:val="Heading1"/>
        <w:rPr>
          <w:rFonts w:ascii="Palatino Linotype" w:hAnsi="Palatino Linotype" w:eastAsia="Palatino Linotype"/>
          <w:sz w:val="24"/>
          <w:szCs w:val="24"/>
        </w:rPr>
      </w:pPr>
      <w:r w:rsidRPr="0075418D">
        <w:rPr>
          <w:rFonts w:ascii="Palatino Linotype" w:hAnsi="Palatino Linotype" w:eastAsia="Palatino Linotype"/>
          <w:sz w:val="24"/>
          <w:szCs w:val="24"/>
        </w:rPr>
        <w:t>Protests</w:t>
      </w:r>
    </w:p>
    <w:p w:rsidRPr="0075418D" w:rsidR="00CF17DE" w:rsidP="4BA7214B" w:rsidRDefault="007A58CB" w14:paraId="12325A79" w14:textId="194B938E">
      <w:pPr>
        <w:rPr>
          <w:rFonts w:ascii="Palatino Linotype" w:hAnsi="Palatino Linotype" w:eastAsia="Palatino Linotype"/>
          <w:sz w:val="24"/>
          <w:szCs w:val="24"/>
        </w:rPr>
      </w:pPr>
      <w:r w:rsidRPr="0075418D">
        <w:rPr>
          <w:rFonts w:ascii="Palatino Linotype" w:hAnsi="Palatino Linotype" w:eastAsia="Palatino Linotype"/>
          <w:sz w:val="24"/>
          <w:szCs w:val="24"/>
        </w:rPr>
        <w:t>SoCalGas AL 6224-G was not protested.</w:t>
      </w:r>
      <w:r w:rsidRPr="0075418D" w:rsidR="00A32525">
        <w:rPr>
          <w:rFonts w:ascii="Palatino Linotype" w:hAnsi="Palatino Linotype" w:eastAsia="Palatino Linotype"/>
          <w:sz w:val="24"/>
          <w:szCs w:val="24"/>
        </w:rPr>
        <w:t xml:space="preserve"> </w:t>
      </w:r>
    </w:p>
    <w:p w:rsidRPr="0075418D" w:rsidR="00CF17DE" w:rsidP="4BA7214B" w:rsidRDefault="00CF17DE" w14:paraId="30C5808A" w14:textId="77777777">
      <w:pPr>
        <w:rPr>
          <w:rFonts w:ascii="Palatino Linotype" w:hAnsi="Palatino Linotype" w:eastAsia="Palatino Linotype"/>
          <w:sz w:val="24"/>
          <w:szCs w:val="24"/>
        </w:rPr>
      </w:pPr>
    </w:p>
    <w:p w:rsidRPr="0075418D" w:rsidR="00CF17DE" w:rsidP="4BA7214B" w:rsidRDefault="00CF17DE" w14:paraId="23E10AE5" w14:textId="77777777">
      <w:pPr>
        <w:pStyle w:val="Heading1"/>
        <w:rPr>
          <w:rFonts w:ascii="Palatino Linotype" w:hAnsi="Palatino Linotype" w:eastAsia="Palatino Linotype"/>
          <w:sz w:val="24"/>
          <w:szCs w:val="24"/>
        </w:rPr>
      </w:pPr>
      <w:r w:rsidRPr="0075418D">
        <w:rPr>
          <w:rFonts w:ascii="Palatino Linotype" w:hAnsi="Palatino Linotype" w:eastAsia="Palatino Linotype"/>
          <w:sz w:val="24"/>
          <w:szCs w:val="24"/>
        </w:rPr>
        <w:t>Discussion</w:t>
      </w:r>
    </w:p>
    <w:p w:rsidRPr="0075418D" w:rsidR="007A58CB" w:rsidP="007A58CB" w:rsidRDefault="007A58CB" w14:paraId="529BFB81" w14:textId="5A4952CF">
      <w:pPr>
        <w:rPr>
          <w:rFonts w:ascii="Palatino Linotype" w:hAnsi="Palatino Linotype" w:eastAsia="Palatino Linotype"/>
          <w:sz w:val="24"/>
          <w:szCs w:val="24"/>
        </w:rPr>
      </w:pPr>
      <w:r w:rsidRPr="0075418D">
        <w:rPr>
          <w:rFonts w:ascii="Palatino Linotype" w:hAnsi="Palatino Linotype"/>
          <w:sz w:val="24"/>
          <w:szCs w:val="24"/>
        </w:rPr>
        <w:t>ED</w:t>
      </w:r>
      <w:r w:rsidRPr="0075418D">
        <w:rPr>
          <w:rFonts w:ascii="Palatino Linotype" w:hAnsi="Palatino Linotype" w:eastAsia="Palatino Linotype"/>
          <w:sz w:val="24"/>
          <w:szCs w:val="24"/>
        </w:rPr>
        <w:t xml:space="preserve"> staff reviewed SoCalGas’ costs for September 1, 2019, to January 31, 2023, recorded in the DIMPBA. Based on the information provided, staff found that the costs reviewed were appropriately recorded and incurred and should be approved.</w:t>
      </w:r>
    </w:p>
    <w:p w:rsidRPr="0075418D" w:rsidR="00D12DD7" w:rsidP="00D12DD7" w:rsidRDefault="00D12DD7" w14:paraId="1325E741" w14:textId="4C327A88">
      <w:pPr>
        <w:rPr>
          <w:rFonts w:ascii="Palatino Linotype" w:hAnsi="Palatino Linotype" w:eastAsia="Palatino Linotype"/>
          <w:sz w:val="24"/>
          <w:szCs w:val="24"/>
        </w:rPr>
      </w:pPr>
      <w:r w:rsidRPr="0075418D">
        <w:rPr>
          <w:rFonts w:ascii="Palatino Linotype" w:hAnsi="Palatino Linotype" w:eastAsia="Palatino Linotype"/>
          <w:sz w:val="24"/>
          <w:szCs w:val="24"/>
        </w:rPr>
        <w:lastRenderedPageBreak/>
        <w:t xml:space="preserve">SoCalGas provided </w:t>
      </w:r>
      <w:r w:rsidRPr="0075418D" w:rsidR="004247C0">
        <w:rPr>
          <w:rFonts w:ascii="Palatino Linotype" w:hAnsi="Palatino Linotype" w:eastAsia="Palatino Linotype"/>
          <w:sz w:val="24"/>
          <w:szCs w:val="24"/>
        </w:rPr>
        <w:t xml:space="preserve">explanatory </w:t>
      </w:r>
      <w:r w:rsidRPr="0075418D">
        <w:rPr>
          <w:rFonts w:ascii="Palatino Linotype" w:hAnsi="Palatino Linotype" w:eastAsia="Palatino Linotype"/>
          <w:sz w:val="24"/>
          <w:szCs w:val="24"/>
        </w:rPr>
        <w:t xml:space="preserve">responses to staff data requests </w:t>
      </w:r>
      <w:r w:rsidRPr="0075418D" w:rsidR="004247C0">
        <w:rPr>
          <w:rFonts w:ascii="Palatino Linotype" w:hAnsi="Palatino Linotype" w:eastAsia="Palatino Linotype"/>
          <w:sz w:val="24"/>
          <w:szCs w:val="24"/>
        </w:rPr>
        <w:t xml:space="preserve">regarding the </w:t>
      </w:r>
      <w:r w:rsidRPr="0075418D" w:rsidR="443AE388">
        <w:rPr>
          <w:rFonts w:ascii="Palatino Linotype" w:hAnsi="Palatino Linotype" w:eastAsia="Palatino Linotype"/>
          <w:sz w:val="24"/>
          <w:szCs w:val="24"/>
        </w:rPr>
        <w:t xml:space="preserve">AL </w:t>
      </w:r>
      <w:r w:rsidRPr="0075418D" w:rsidR="004247C0">
        <w:rPr>
          <w:rFonts w:ascii="Palatino Linotype" w:hAnsi="Palatino Linotype" w:eastAsia="Palatino Linotype"/>
          <w:sz w:val="24"/>
          <w:szCs w:val="24"/>
        </w:rPr>
        <w:t xml:space="preserve">covering </w:t>
      </w:r>
      <w:r w:rsidRPr="0075418D">
        <w:rPr>
          <w:rFonts w:ascii="Palatino Linotype" w:hAnsi="Palatino Linotype" w:eastAsia="Palatino Linotype"/>
          <w:sz w:val="24"/>
          <w:szCs w:val="24"/>
        </w:rPr>
        <w:t>cost</w:t>
      </w:r>
      <w:r w:rsidRPr="0075418D" w:rsidR="004247C0">
        <w:rPr>
          <w:rFonts w:ascii="Palatino Linotype" w:hAnsi="Palatino Linotype" w:eastAsia="Palatino Linotype"/>
          <w:sz w:val="24"/>
          <w:szCs w:val="24"/>
        </w:rPr>
        <w:t xml:space="preserve">s, accounting, procedure and </w:t>
      </w:r>
      <w:r w:rsidRPr="0075418D" w:rsidR="00FC2F90">
        <w:rPr>
          <w:rFonts w:ascii="Palatino Linotype" w:hAnsi="Palatino Linotype" w:eastAsia="Palatino Linotype"/>
          <w:sz w:val="24"/>
          <w:szCs w:val="24"/>
        </w:rPr>
        <w:t>operations</w:t>
      </w:r>
      <w:r w:rsidRPr="0075418D">
        <w:rPr>
          <w:rFonts w:ascii="Palatino Linotype" w:hAnsi="Palatino Linotype" w:eastAsia="Palatino Linotype"/>
          <w:sz w:val="24"/>
          <w:szCs w:val="24"/>
        </w:rPr>
        <w:t xml:space="preserve">.  Staff </w:t>
      </w:r>
      <w:r w:rsidRPr="0075418D" w:rsidR="00FC2F90">
        <w:rPr>
          <w:rFonts w:ascii="Palatino Linotype" w:hAnsi="Palatino Linotype" w:eastAsia="Palatino Linotype"/>
          <w:sz w:val="24"/>
          <w:szCs w:val="24"/>
        </w:rPr>
        <w:t xml:space="preserve">also </w:t>
      </w:r>
      <w:r w:rsidRPr="0075418D">
        <w:rPr>
          <w:rFonts w:ascii="Palatino Linotype" w:hAnsi="Palatino Linotype" w:eastAsia="Palatino Linotype"/>
          <w:sz w:val="24"/>
          <w:szCs w:val="24"/>
        </w:rPr>
        <w:t xml:space="preserve">made several </w:t>
      </w:r>
      <w:r w:rsidR="0075418D">
        <w:rPr>
          <w:rFonts w:ascii="Palatino Linotype" w:hAnsi="Palatino Linotype" w:eastAsia="Palatino Linotype"/>
          <w:sz w:val="24"/>
          <w:szCs w:val="24"/>
        </w:rPr>
        <w:br/>
      </w:r>
      <w:r w:rsidRPr="0075418D" w:rsidR="005E6464">
        <w:rPr>
          <w:rFonts w:ascii="Palatino Linotype" w:hAnsi="Palatino Linotype" w:eastAsia="Palatino Linotype"/>
          <w:sz w:val="24"/>
          <w:szCs w:val="24"/>
        </w:rPr>
        <w:t>follow-up</w:t>
      </w:r>
      <w:r w:rsidRPr="0075418D">
        <w:rPr>
          <w:rFonts w:ascii="Palatino Linotype" w:hAnsi="Palatino Linotype" w:eastAsia="Palatino Linotype"/>
          <w:sz w:val="24"/>
          <w:szCs w:val="24"/>
        </w:rPr>
        <w:t xml:space="preserve"> data requests for which SoCalGas provided responses.  SoCalGas demonstrated that the expenditures were appropriately incurred and necessary for vendor</w:t>
      </w:r>
      <w:r w:rsidRPr="0075418D" w:rsidR="61E98F8D">
        <w:rPr>
          <w:rFonts w:ascii="Palatino Linotype" w:hAnsi="Palatino Linotype" w:eastAsia="Palatino Linotype"/>
          <w:sz w:val="24"/>
          <w:szCs w:val="24"/>
        </w:rPr>
        <w:t>-</w:t>
      </w:r>
      <w:r w:rsidRPr="0075418D">
        <w:rPr>
          <w:rFonts w:ascii="Palatino Linotype" w:hAnsi="Palatino Linotype" w:eastAsia="Palatino Linotype"/>
          <w:sz w:val="24"/>
          <w:szCs w:val="24"/>
        </w:rPr>
        <w:t>related DIMP work.</w:t>
      </w:r>
    </w:p>
    <w:p w:rsidRPr="0075418D" w:rsidR="00D12DD7" w:rsidP="007A58CB" w:rsidRDefault="00D12DD7" w14:paraId="3067A4B1" w14:textId="77777777">
      <w:pPr>
        <w:rPr>
          <w:rFonts w:ascii="Palatino Linotype" w:hAnsi="Palatino Linotype" w:eastAsia="Palatino Linotype"/>
          <w:sz w:val="24"/>
          <w:szCs w:val="24"/>
        </w:rPr>
      </w:pPr>
    </w:p>
    <w:p w:rsidRPr="0075418D" w:rsidR="00D12DD7" w:rsidP="00D12DD7" w:rsidRDefault="00D12DD7" w14:paraId="341592A5" w14:textId="2B3EC783">
      <w:pPr>
        <w:rPr>
          <w:rFonts w:ascii="Palatino Linotype" w:hAnsi="Palatino Linotype" w:eastAsia="Palatino Linotype"/>
          <w:sz w:val="24"/>
          <w:szCs w:val="24"/>
        </w:rPr>
      </w:pPr>
      <w:r w:rsidRPr="0075418D">
        <w:rPr>
          <w:rFonts w:ascii="Palatino Linotype" w:hAnsi="Palatino Linotype" w:eastAsia="Palatino Linotype"/>
          <w:sz w:val="24"/>
          <w:szCs w:val="24"/>
        </w:rPr>
        <w:t xml:space="preserve">Responses included monthly costs for operations, maintenance and capital infrastructure.  They also covered distinct O&amp;M costs for materials and program management. SoCalGas affirmed that costs were not </w:t>
      </w:r>
      <w:proofErr w:type="gramStart"/>
      <w:r w:rsidRPr="0075418D">
        <w:rPr>
          <w:rFonts w:ascii="Palatino Linotype" w:hAnsi="Palatino Linotype" w:eastAsia="Palatino Linotype"/>
          <w:sz w:val="24"/>
          <w:szCs w:val="24"/>
        </w:rPr>
        <w:t>being recovered</w:t>
      </w:r>
      <w:proofErr w:type="gramEnd"/>
      <w:r w:rsidRPr="0075418D">
        <w:rPr>
          <w:rFonts w:ascii="Palatino Linotype" w:hAnsi="Palatino Linotype" w:eastAsia="Palatino Linotype"/>
          <w:sz w:val="24"/>
          <w:szCs w:val="24"/>
        </w:rPr>
        <w:t xml:space="preserve"> elsewhere.</w:t>
      </w:r>
    </w:p>
    <w:p w:rsidRPr="0075418D" w:rsidR="00D150CB" w:rsidP="00D12DD7" w:rsidRDefault="00D150CB" w14:paraId="2E4ABF49" w14:textId="77777777">
      <w:pPr>
        <w:rPr>
          <w:rFonts w:ascii="Palatino Linotype" w:hAnsi="Palatino Linotype" w:eastAsia="Palatino Linotype"/>
          <w:sz w:val="24"/>
          <w:szCs w:val="24"/>
        </w:rPr>
      </w:pPr>
    </w:p>
    <w:p w:rsidRPr="0075418D" w:rsidR="00D150CB" w:rsidP="00D12DD7" w:rsidRDefault="00D76A81" w14:paraId="57808A13" w14:textId="69ED57B8">
      <w:pPr>
        <w:rPr>
          <w:rFonts w:ascii="Palatino Linotype" w:hAnsi="Palatino Linotype" w:eastAsia="Palatino Linotype"/>
          <w:sz w:val="24"/>
          <w:szCs w:val="24"/>
        </w:rPr>
      </w:pPr>
      <w:r w:rsidRPr="0075418D">
        <w:rPr>
          <w:rFonts w:ascii="Palatino Linotype" w:hAnsi="Palatino Linotype" w:eastAsia="Palatino Linotype"/>
          <w:sz w:val="24"/>
          <w:szCs w:val="24"/>
        </w:rPr>
        <w:t xml:space="preserve">In sum, the main cost driver was additional capital expenditures (labor and non-labor) </w:t>
      </w:r>
      <w:r w:rsidRPr="0075418D" w:rsidR="006C13DE">
        <w:rPr>
          <w:rFonts w:ascii="Palatino Linotype" w:hAnsi="Palatino Linotype" w:eastAsia="Palatino Linotype"/>
          <w:sz w:val="24"/>
          <w:szCs w:val="24"/>
        </w:rPr>
        <w:t xml:space="preserve">to support replacement </w:t>
      </w:r>
      <w:r w:rsidRPr="0075418D" w:rsidR="00A77F9E">
        <w:rPr>
          <w:rFonts w:ascii="Palatino Linotype" w:hAnsi="Palatino Linotype" w:eastAsia="Palatino Linotype"/>
          <w:sz w:val="24"/>
          <w:szCs w:val="24"/>
        </w:rPr>
        <w:t xml:space="preserve">activities in its two largest DIMP programs: the </w:t>
      </w:r>
      <w:proofErr w:type="gramStart"/>
      <w:r w:rsidRPr="0075418D" w:rsidR="00E56E45">
        <w:rPr>
          <w:rFonts w:ascii="Palatino Linotype" w:hAnsi="Palatino Linotype" w:eastAsia="Palatino Linotype"/>
          <w:sz w:val="24"/>
          <w:szCs w:val="24"/>
        </w:rPr>
        <w:t>Vintage</w:t>
      </w:r>
      <w:r w:rsidRPr="0075418D" w:rsidR="00A77F9E">
        <w:rPr>
          <w:rFonts w:ascii="Palatino Linotype" w:hAnsi="Palatino Linotype" w:eastAsia="Palatino Linotype"/>
          <w:sz w:val="24"/>
          <w:szCs w:val="24"/>
        </w:rPr>
        <w:t xml:space="preserve"> </w:t>
      </w:r>
      <w:r w:rsidRPr="0075418D" w:rsidR="00171A6B">
        <w:rPr>
          <w:rFonts w:ascii="Palatino Linotype" w:hAnsi="Palatino Linotype" w:eastAsia="Palatino Linotype"/>
          <w:sz w:val="24"/>
          <w:szCs w:val="24"/>
        </w:rPr>
        <w:t>Integrity</w:t>
      </w:r>
      <w:proofErr w:type="gramEnd"/>
      <w:r w:rsidRPr="0075418D" w:rsidR="00171A6B">
        <w:rPr>
          <w:rFonts w:ascii="Palatino Linotype" w:hAnsi="Palatino Linotype" w:eastAsia="Palatino Linotype"/>
          <w:sz w:val="24"/>
          <w:szCs w:val="24"/>
        </w:rPr>
        <w:t xml:space="preserve"> </w:t>
      </w:r>
      <w:r w:rsidRPr="0075418D" w:rsidR="00A77F9E">
        <w:rPr>
          <w:rFonts w:ascii="Palatino Linotype" w:hAnsi="Palatino Linotype" w:eastAsia="Palatino Linotype"/>
          <w:sz w:val="24"/>
          <w:szCs w:val="24"/>
        </w:rPr>
        <w:t>Plastic P</w:t>
      </w:r>
      <w:r w:rsidRPr="0075418D" w:rsidR="00171A6B">
        <w:rPr>
          <w:rFonts w:ascii="Palatino Linotype" w:hAnsi="Palatino Linotype" w:eastAsia="Palatino Linotype"/>
          <w:sz w:val="24"/>
          <w:szCs w:val="24"/>
        </w:rPr>
        <w:t>lan</w:t>
      </w:r>
      <w:r w:rsidRPr="0075418D" w:rsidR="00A77F9E">
        <w:rPr>
          <w:rFonts w:ascii="Palatino Linotype" w:hAnsi="Palatino Linotype" w:eastAsia="Palatino Linotype"/>
          <w:sz w:val="24"/>
          <w:szCs w:val="24"/>
        </w:rPr>
        <w:t xml:space="preserve"> (VIPP) and </w:t>
      </w:r>
      <w:r w:rsidRPr="0075418D" w:rsidR="00532329">
        <w:rPr>
          <w:rFonts w:ascii="Palatino Linotype" w:hAnsi="Palatino Linotype" w:eastAsia="Palatino Linotype"/>
          <w:sz w:val="24"/>
          <w:szCs w:val="24"/>
        </w:rPr>
        <w:t xml:space="preserve">the </w:t>
      </w:r>
      <w:r w:rsidRPr="0075418D" w:rsidR="00A77F9E">
        <w:rPr>
          <w:rFonts w:ascii="Palatino Linotype" w:hAnsi="Palatino Linotype" w:eastAsia="Palatino Linotype"/>
          <w:sz w:val="24"/>
          <w:szCs w:val="24"/>
        </w:rPr>
        <w:t xml:space="preserve">Bare Steel Replacement Program (BSRP).  </w:t>
      </w:r>
      <w:r w:rsidRPr="0075418D" w:rsidR="00DF7070">
        <w:rPr>
          <w:rFonts w:ascii="Palatino Linotype" w:hAnsi="Palatino Linotype" w:eastAsia="Palatino Linotype"/>
          <w:sz w:val="24"/>
          <w:szCs w:val="24"/>
        </w:rPr>
        <w:t xml:space="preserve"> </w:t>
      </w:r>
      <w:r w:rsidRPr="0075418D" w:rsidR="00F815FF">
        <w:rPr>
          <w:rFonts w:ascii="Palatino Linotype" w:hAnsi="Palatino Linotype" w:eastAsia="Palatino Linotype"/>
          <w:sz w:val="24"/>
          <w:szCs w:val="24"/>
        </w:rPr>
        <w:t>In its 2019 GRC</w:t>
      </w:r>
      <w:r w:rsidRPr="0075418D" w:rsidR="007665E2">
        <w:rPr>
          <w:rFonts w:ascii="Palatino Linotype" w:hAnsi="Palatino Linotype" w:eastAsia="Palatino Linotype"/>
          <w:sz w:val="24"/>
          <w:szCs w:val="24"/>
        </w:rPr>
        <w:t xml:space="preserve"> (filed in 2017)</w:t>
      </w:r>
      <w:r w:rsidRPr="0075418D" w:rsidR="00EA4C98">
        <w:rPr>
          <w:rFonts w:ascii="Palatino Linotype" w:hAnsi="Palatino Linotype" w:eastAsia="Palatino Linotype"/>
          <w:sz w:val="24"/>
          <w:szCs w:val="24"/>
        </w:rPr>
        <w:t>,</w:t>
      </w:r>
      <w:r w:rsidRPr="0075418D" w:rsidR="00F815FF">
        <w:rPr>
          <w:rFonts w:ascii="Palatino Linotype" w:hAnsi="Palatino Linotype" w:eastAsia="Palatino Linotype"/>
          <w:sz w:val="24"/>
          <w:szCs w:val="24"/>
        </w:rPr>
        <w:t xml:space="preserve"> SoCalGas </w:t>
      </w:r>
      <w:proofErr w:type="gramStart"/>
      <w:r w:rsidRPr="0075418D" w:rsidR="00F815FF">
        <w:rPr>
          <w:rFonts w:ascii="Palatino Linotype" w:hAnsi="Palatino Linotype" w:eastAsia="Palatino Linotype"/>
          <w:sz w:val="24"/>
          <w:szCs w:val="24"/>
        </w:rPr>
        <w:t>forecast</w:t>
      </w:r>
      <w:proofErr w:type="gramEnd"/>
      <w:r w:rsidRPr="0075418D" w:rsidR="00F815FF">
        <w:rPr>
          <w:rFonts w:ascii="Palatino Linotype" w:hAnsi="Palatino Linotype" w:eastAsia="Palatino Linotype"/>
          <w:sz w:val="24"/>
          <w:szCs w:val="24"/>
        </w:rPr>
        <w:t xml:space="preserve"> its DIMP capital expenditures based on its system knowledge at the time.  </w:t>
      </w:r>
    </w:p>
    <w:p w:rsidRPr="0075418D" w:rsidR="00CF4EB9" w:rsidP="00D12DD7" w:rsidRDefault="00CF4EB9" w14:paraId="1513966E" w14:textId="77777777">
      <w:pPr>
        <w:rPr>
          <w:rFonts w:ascii="Palatino Linotype" w:hAnsi="Palatino Linotype" w:eastAsia="Palatino Linotype"/>
          <w:sz w:val="24"/>
          <w:szCs w:val="24"/>
        </w:rPr>
      </w:pPr>
    </w:p>
    <w:p w:rsidRPr="0075418D" w:rsidR="00CF4EB9" w:rsidP="00CF4EB9" w:rsidRDefault="00EA4C98" w14:paraId="39948BA7" w14:textId="136B4BE8">
      <w:pPr>
        <w:rPr>
          <w:rFonts w:ascii="Palatino Linotype" w:hAnsi="Palatino Linotype" w:eastAsia="Palatino Linotype"/>
          <w:sz w:val="24"/>
          <w:szCs w:val="24"/>
        </w:rPr>
      </w:pPr>
      <w:r w:rsidRPr="0075418D">
        <w:rPr>
          <w:rFonts w:ascii="Palatino Linotype" w:hAnsi="Palatino Linotype" w:eastAsia="Palatino Linotype"/>
          <w:sz w:val="24"/>
          <w:szCs w:val="24"/>
        </w:rPr>
        <w:t xml:space="preserve">Starting </w:t>
      </w:r>
      <w:r w:rsidRPr="0075418D" w:rsidR="00CF4EB9">
        <w:rPr>
          <w:rFonts w:ascii="Palatino Linotype" w:hAnsi="Palatino Linotype" w:eastAsia="Palatino Linotype"/>
          <w:sz w:val="24"/>
          <w:szCs w:val="24"/>
        </w:rPr>
        <w:t>in 20</w:t>
      </w:r>
      <w:r w:rsidRPr="0075418D" w:rsidR="0054203B">
        <w:rPr>
          <w:rFonts w:ascii="Palatino Linotype" w:hAnsi="Palatino Linotype" w:eastAsia="Palatino Linotype"/>
          <w:sz w:val="24"/>
          <w:szCs w:val="24"/>
        </w:rPr>
        <w:t>20</w:t>
      </w:r>
      <w:r w:rsidRPr="0075418D" w:rsidR="00CF4EB9">
        <w:rPr>
          <w:rFonts w:ascii="Palatino Linotype" w:hAnsi="Palatino Linotype" w:eastAsia="Palatino Linotype"/>
          <w:sz w:val="24"/>
          <w:szCs w:val="24"/>
        </w:rPr>
        <w:t xml:space="preserve">, </w:t>
      </w:r>
      <w:r w:rsidRPr="0075418D">
        <w:rPr>
          <w:rFonts w:ascii="Palatino Linotype" w:hAnsi="Palatino Linotype" w:eastAsia="Palatino Linotype"/>
          <w:sz w:val="24"/>
          <w:szCs w:val="24"/>
        </w:rPr>
        <w:t>SoCalGas began</w:t>
      </w:r>
      <w:r w:rsidRPr="0075418D" w:rsidR="00CF4EB9">
        <w:rPr>
          <w:rFonts w:ascii="Palatino Linotype" w:hAnsi="Palatino Linotype" w:eastAsia="Palatino Linotype"/>
          <w:sz w:val="24"/>
          <w:szCs w:val="24"/>
        </w:rPr>
        <w:t xml:space="preserve"> increasing </w:t>
      </w:r>
      <w:r w:rsidRPr="0075418D" w:rsidR="00AB3269">
        <w:rPr>
          <w:rFonts w:ascii="Palatino Linotype" w:hAnsi="Palatino Linotype" w:eastAsia="Palatino Linotype"/>
          <w:sz w:val="24"/>
          <w:szCs w:val="24"/>
        </w:rPr>
        <w:t xml:space="preserve">replacement </w:t>
      </w:r>
      <w:r w:rsidRPr="0075418D" w:rsidR="00CF4EB9">
        <w:rPr>
          <w:rFonts w:ascii="Palatino Linotype" w:hAnsi="Palatino Linotype" w:eastAsia="Palatino Linotype"/>
          <w:sz w:val="24"/>
          <w:szCs w:val="24"/>
        </w:rPr>
        <w:t xml:space="preserve">activity </w:t>
      </w:r>
      <w:r w:rsidRPr="0075418D" w:rsidR="00532329">
        <w:rPr>
          <w:rFonts w:ascii="Palatino Linotype" w:hAnsi="Palatino Linotype" w:eastAsia="Palatino Linotype"/>
          <w:sz w:val="24"/>
          <w:szCs w:val="24"/>
        </w:rPr>
        <w:t>for these programs</w:t>
      </w:r>
      <w:r w:rsidRPr="0075418D" w:rsidR="00CF4EB9">
        <w:rPr>
          <w:rFonts w:ascii="Palatino Linotype" w:hAnsi="Palatino Linotype" w:eastAsia="Palatino Linotype"/>
          <w:sz w:val="24"/>
          <w:szCs w:val="24"/>
        </w:rPr>
        <w:t xml:space="preserve"> using an existing internal risk analysis tool called the Distribution Risk Evaluation and Monitoring System (DREAMS), which follows risk reduction and safety enhancement guidelines in Subpart P.</w:t>
      </w:r>
    </w:p>
    <w:p w:rsidRPr="0075418D" w:rsidR="00CF4EB9" w:rsidP="00CF4EB9" w:rsidRDefault="00CF4EB9" w14:paraId="12BE6727" w14:textId="77777777">
      <w:pPr>
        <w:rPr>
          <w:rFonts w:ascii="Palatino Linotype" w:hAnsi="Palatino Linotype" w:eastAsia="Palatino Linotype"/>
          <w:sz w:val="24"/>
          <w:szCs w:val="24"/>
        </w:rPr>
      </w:pPr>
    </w:p>
    <w:p w:rsidRPr="0075418D" w:rsidR="00CF4EB9" w:rsidP="00CF4EB9" w:rsidRDefault="00CF4EB9" w14:paraId="2D8802B5" w14:textId="77777777">
      <w:pPr>
        <w:rPr>
          <w:rFonts w:ascii="Palatino Linotype" w:hAnsi="Palatino Linotype" w:eastAsia="Palatino Linotype"/>
          <w:sz w:val="24"/>
          <w:szCs w:val="24"/>
        </w:rPr>
      </w:pPr>
      <w:r w:rsidRPr="0075418D">
        <w:rPr>
          <w:rFonts w:ascii="Palatino Linotype" w:hAnsi="Palatino Linotype" w:eastAsia="Palatino Linotype"/>
          <w:sz w:val="24"/>
          <w:szCs w:val="24"/>
        </w:rPr>
        <w:t xml:space="preserve">DREAMS prioritizes pipe segments via relative risk analytics and dynamic </w:t>
      </w:r>
      <w:proofErr w:type="gramStart"/>
      <w:r w:rsidRPr="0075418D">
        <w:rPr>
          <w:rFonts w:ascii="Palatino Linotype" w:hAnsi="Palatino Linotype" w:eastAsia="Palatino Linotype"/>
          <w:sz w:val="24"/>
          <w:szCs w:val="24"/>
        </w:rPr>
        <w:t>segmentation  SoCalGas</w:t>
      </w:r>
      <w:proofErr w:type="gramEnd"/>
      <w:r w:rsidRPr="0075418D">
        <w:rPr>
          <w:rFonts w:ascii="Palatino Linotype" w:hAnsi="Palatino Linotype" w:eastAsia="Palatino Linotype"/>
          <w:sz w:val="24"/>
          <w:szCs w:val="24"/>
        </w:rPr>
        <w:t xml:space="preserve"> validates the results using existing documentation and adjusts the total project scope footage before project planning is initiated.</w:t>
      </w:r>
      <w:r w:rsidRPr="0075418D">
        <w:rPr>
          <w:rFonts w:ascii="Palatino Linotype" w:hAnsi="Palatino Linotype" w:eastAsia="Palatino Linotype"/>
          <w:sz w:val="24"/>
          <w:szCs w:val="24"/>
          <w:vertAlign w:val="superscript"/>
        </w:rPr>
        <w:footnoteReference w:id="14"/>
      </w:r>
      <w:r w:rsidRPr="0075418D">
        <w:rPr>
          <w:rFonts w:ascii="Palatino Linotype" w:hAnsi="Palatino Linotype" w:eastAsia="Palatino Linotype"/>
          <w:sz w:val="24"/>
          <w:szCs w:val="24"/>
        </w:rPr>
        <w:t xml:space="preserve">  The objective is to identify threats from plastic and bare steel pipe (for example corrosion and construction defects) and proactively increase replacement activity to reduce risk and enhance safety in keeping with the guidelines found in Subpart P.  DIMP also improved leak survey, reporting, testing and documentation for improved identification of threats from plastic and bare steel pipe, changes which SoCal Gas indicated changed the way the DIMP prioritized higher risk non-state-of-the-art pipes for replacement or remediation.</w:t>
      </w:r>
      <w:r w:rsidRPr="0075418D">
        <w:rPr>
          <w:rFonts w:ascii="Palatino Linotype" w:hAnsi="Palatino Linotype" w:eastAsia="Palatino Linotype"/>
          <w:sz w:val="24"/>
          <w:szCs w:val="24"/>
          <w:vertAlign w:val="superscript"/>
        </w:rPr>
        <w:footnoteReference w:id="15"/>
      </w:r>
    </w:p>
    <w:p w:rsidRPr="0075418D" w:rsidR="00CF4EB9" w:rsidP="00CF4EB9" w:rsidRDefault="00CF4EB9" w14:paraId="55DCB4CA" w14:textId="77777777">
      <w:pPr>
        <w:rPr>
          <w:rFonts w:ascii="Palatino Linotype" w:hAnsi="Palatino Linotype" w:eastAsia="Palatino Linotype"/>
          <w:sz w:val="24"/>
          <w:szCs w:val="24"/>
        </w:rPr>
      </w:pPr>
    </w:p>
    <w:p w:rsidRPr="0075418D" w:rsidR="00CF4EB9" w:rsidP="00CF4EB9" w:rsidRDefault="00CF4EB9" w14:paraId="41B4DA65" w14:textId="263677BA">
      <w:pPr>
        <w:rPr>
          <w:rFonts w:ascii="Palatino Linotype" w:hAnsi="Palatino Linotype" w:eastAsia="Palatino Linotype"/>
          <w:sz w:val="24"/>
          <w:szCs w:val="24"/>
        </w:rPr>
      </w:pPr>
      <w:r w:rsidRPr="0075418D">
        <w:rPr>
          <w:rFonts w:ascii="Palatino Linotype" w:hAnsi="Palatino Linotype" w:eastAsia="Palatino Linotype"/>
          <w:sz w:val="24"/>
          <w:szCs w:val="24"/>
        </w:rPr>
        <w:t>This resulted in higher levels of replacement mileage than what was forecasted in the GRC, which in turn increases costs.  SoCalGas completed more VIPP and BSRP mileage than originally forecasted in the TY 2019 GRC.</w:t>
      </w:r>
      <w:r w:rsidRPr="0075418D">
        <w:rPr>
          <w:rFonts w:ascii="Palatino Linotype" w:hAnsi="Palatino Linotype" w:eastAsia="Palatino Linotype"/>
          <w:sz w:val="24"/>
          <w:szCs w:val="24"/>
          <w:vertAlign w:val="superscript"/>
        </w:rPr>
        <w:footnoteReference w:id="16"/>
      </w:r>
      <w:r w:rsidRPr="0075418D">
        <w:rPr>
          <w:rFonts w:ascii="Palatino Linotype" w:hAnsi="Palatino Linotype" w:eastAsia="Palatino Linotype"/>
          <w:sz w:val="24"/>
          <w:szCs w:val="24"/>
        </w:rPr>
        <w:t xml:space="preserve">  While the company forecasted </w:t>
      </w:r>
      <w:r w:rsidRPr="0075418D">
        <w:rPr>
          <w:rFonts w:ascii="Palatino Linotype" w:hAnsi="Palatino Linotype" w:eastAsia="Palatino Linotype"/>
          <w:sz w:val="24"/>
          <w:szCs w:val="24"/>
        </w:rPr>
        <w:lastRenderedPageBreak/>
        <w:t>replacing 107 miles of mains and services annually</w:t>
      </w:r>
      <w:r w:rsidRPr="0075418D" w:rsidR="000A28FC">
        <w:rPr>
          <w:rFonts w:ascii="Palatino Linotype" w:hAnsi="Palatino Linotype" w:eastAsia="Palatino Linotype"/>
          <w:sz w:val="24"/>
          <w:szCs w:val="24"/>
        </w:rPr>
        <w:t xml:space="preserve"> for these two programs</w:t>
      </w:r>
      <w:r w:rsidRPr="0075418D">
        <w:rPr>
          <w:rFonts w:ascii="Palatino Linotype" w:hAnsi="Palatino Linotype" w:eastAsia="Palatino Linotype"/>
          <w:sz w:val="24"/>
          <w:szCs w:val="24"/>
        </w:rPr>
        <w:t>, actual activity averaged about 12</w:t>
      </w:r>
      <w:r w:rsidRPr="0075418D" w:rsidR="00C25720">
        <w:rPr>
          <w:rFonts w:ascii="Palatino Linotype" w:hAnsi="Palatino Linotype" w:eastAsia="Palatino Linotype"/>
          <w:sz w:val="24"/>
          <w:szCs w:val="24"/>
        </w:rPr>
        <w:t>1</w:t>
      </w:r>
      <w:r w:rsidRPr="0075418D">
        <w:rPr>
          <w:rFonts w:ascii="Palatino Linotype" w:hAnsi="Palatino Linotype" w:eastAsia="Palatino Linotype"/>
          <w:sz w:val="24"/>
          <w:szCs w:val="24"/>
        </w:rPr>
        <w:t xml:space="preserve"> miles annually, an approximate 1</w:t>
      </w:r>
      <w:r w:rsidRPr="0075418D" w:rsidR="00BC3FDF">
        <w:rPr>
          <w:rFonts w:ascii="Palatino Linotype" w:hAnsi="Palatino Linotype" w:eastAsia="Palatino Linotype"/>
          <w:sz w:val="24"/>
          <w:szCs w:val="24"/>
        </w:rPr>
        <w:t>4</w:t>
      </w:r>
      <w:r w:rsidRPr="0075418D">
        <w:rPr>
          <w:rFonts w:ascii="Palatino Linotype" w:hAnsi="Palatino Linotype" w:eastAsia="Palatino Linotype"/>
          <w:sz w:val="24"/>
          <w:szCs w:val="24"/>
        </w:rPr>
        <w:t>% average rise.</w:t>
      </w:r>
      <w:r w:rsidRPr="0075418D">
        <w:rPr>
          <w:rFonts w:ascii="Palatino Linotype" w:hAnsi="Palatino Linotype" w:eastAsia="Palatino Linotype"/>
          <w:sz w:val="24"/>
          <w:szCs w:val="24"/>
          <w:vertAlign w:val="superscript"/>
        </w:rPr>
        <w:footnoteReference w:id="17"/>
      </w:r>
    </w:p>
    <w:p w:rsidRPr="0075418D" w:rsidR="0044185D" w:rsidP="00FC2F90" w:rsidRDefault="0044185D" w14:paraId="74498E5F" w14:textId="77777777">
      <w:pPr>
        <w:rPr>
          <w:rFonts w:ascii="Palatino Linotype" w:hAnsi="Palatino Linotype" w:eastAsia="Palatino Linotype"/>
          <w:sz w:val="24"/>
          <w:szCs w:val="24"/>
        </w:rPr>
      </w:pPr>
    </w:p>
    <w:p w:rsidRPr="0075418D" w:rsidR="00D22246" w:rsidP="00FC2F90" w:rsidRDefault="00D22246" w14:paraId="62AD226D" w14:textId="2F5CF25C">
      <w:pPr>
        <w:rPr>
          <w:rFonts w:ascii="Palatino Linotype" w:hAnsi="Palatino Linotype" w:eastAsia="Palatino Linotype"/>
          <w:sz w:val="24"/>
          <w:szCs w:val="24"/>
        </w:rPr>
      </w:pPr>
      <w:r w:rsidRPr="0075418D">
        <w:rPr>
          <w:rFonts w:ascii="Palatino Linotype" w:hAnsi="Palatino Linotype" w:eastAsia="Palatino Linotype"/>
          <w:sz w:val="24"/>
          <w:szCs w:val="24"/>
        </w:rPr>
        <w:t>Other DIMP programs such as the Sewer Lateral Inspection Pro</w:t>
      </w:r>
      <w:r w:rsidRPr="0075418D" w:rsidR="00552EAA">
        <w:rPr>
          <w:rFonts w:ascii="Palatino Linotype" w:hAnsi="Palatino Linotype" w:eastAsia="Palatino Linotype"/>
          <w:sz w:val="24"/>
          <w:szCs w:val="24"/>
        </w:rPr>
        <w:t>ject</w:t>
      </w:r>
      <w:r w:rsidRPr="0075418D">
        <w:rPr>
          <w:rFonts w:ascii="Palatino Linotype" w:hAnsi="Palatino Linotype" w:eastAsia="Palatino Linotype"/>
          <w:sz w:val="24"/>
          <w:szCs w:val="24"/>
        </w:rPr>
        <w:t xml:space="preserve"> (SLIP) </w:t>
      </w:r>
      <w:r w:rsidRPr="0075418D" w:rsidR="00552EAA">
        <w:rPr>
          <w:rFonts w:ascii="Palatino Linotype" w:hAnsi="Palatino Linotype" w:eastAsia="Palatino Linotype"/>
          <w:sz w:val="24"/>
          <w:szCs w:val="24"/>
        </w:rPr>
        <w:t xml:space="preserve">also experienced higher than forecasted activity.   For example, the 2019 GRC forecasted 60,000 SLIP inspections </w:t>
      </w:r>
      <w:r w:rsidRPr="0075418D" w:rsidR="007519D8">
        <w:rPr>
          <w:rFonts w:ascii="Palatino Linotype" w:hAnsi="Palatino Linotype" w:eastAsia="Palatino Linotype"/>
          <w:sz w:val="24"/>
          <w:szCs w:val="24"/>
        </w:rPr>
        <w:t xml:space="preserve">in the TY 2019, but averaged </w:t>
      </w:r>
      <w:r w:rsidRPr="0075418D" w:rsidR="00020D43">
        <w:rPr>
          <w:rFonts w:ascii="Palatino Linotype" w:hAnsi="Palatino Linotype" w:eastAsia="Palatino Linotype"/>
          <w:sz w:val="24"/>
          <w:szCs w:val="24"/>
        </w:rPr>
        <w:t xml:space="preserve">63,500 inspections from 2020 through 2022.  </w:t>
      </w:r>
    </w:p>
    <w:p w:rsidRPr="0075418D" w:rsidR="00002960" w:rsidP="00FC2F90" w:rsidRDefault="00002960" w14:paraId="55F4320E" w14:textId="77777777">
      <w:pPr>
        <w:rPr>
          <w:rFonts w:ascii="Palatino Linotype" w:hAnsi="Palatino Linotype" w:eastAsia="Palatino Linotype"/>
          <w:sz w:val="24"/>
          <w:szCs w:val="24"/>
        </w:rPr>
      </w:pPr>
    </w:p>
    <w:p w:rsidRPr="0075418D" w:rsidR="00EB693D" w:rsidP="00400FB9" w:rsidRDefault="00E8790F" w14:paraId="23D99C95" w14:textId="2F0C0A36">
      <w:pPr>
        <w:rPr>
          <w:rFonts w:ascii="Palatino Linotype" w:hAnsi="Palatino Linotype" w:eastAsia="Palatino Linotype"/>
          <w:sz w:val="24"/>
          <w:szCs w:val="24"/>
        </w:rPr>
      </w:pPr>
      <w:r w:rsidRPr="0075418D">
        <w:rPr>
          <w:rFonts w:ascii="Palatino Linotype" w:hAnsi="Palatino Linotype" w:eastAsia="Palatino Linotype"/>
          <w:sz w:val="24"/>
          <w:szCs w:val="24"/>
        </w:rPr>
        <w:t xml:space="preserve">Another factor that drove higher costs </w:t>
      </w:r>
      <w:proofErr w:type="gramStart"/>
      <w:r w:rsidRPr="0075418D">
        <w:rPr>
          <w:rFonts w:ascii="Palatino Linotype" w:hAnsi="Palatino Linotype" w:eastAsia="Palatino Linotype"/>
          <w:sz w:val="24"/>
          <w:szCs w:val="24"/>
        </w:rPr>
        <w:t>were</w:t>
      </w:r>
      <w:proofErr w:type="gramEnd"/>
      <w:r w:rsidRPr="0075418D">
        <w:rPr>
          <w:rFonts w:ascii="Palatino Linotype" w:hAnsi="Palatino Linotype" w:eastAsia="Palatino Linotype"/>
          <w:sz w:val="24"/>
          <w:szCs w:val="24"/>
        </w:rPr>
        <w:t xml:space="preserve"> </w:t>
      </w:r>
      <w:r w:rsidRPr="0075418D" w:rsidR="0099355F">
        <w:rPr>
          <w:rFonts w:ascii="Palatino Linotype" w:hAnsi="Palatino Linotype" w:eastAsia="Palatino Linotype"/>
          <w:sz w:val="24"/>
          <w:szCs w:val="24"/>
        </w:rPr>
        <w:t>project scoping changes that ar</w:t>
      </w:r>
      <w:r w:rsidRPr="0075418D" w:rsidR="00360AF3">
        <w:rPr>
          <w:rFonts w:ascii="Palatino Linotype" w:hAnsi="Palatino Linotype" w:eastAsia="Palatino Linotype"/>
          <w:sz w:val="24"/>
          <w:szCs w:val="24"/>
        </w:rPr>
        <w:t>o</w:t>
      </w:r>
      <w:r w:rsidRPr="0075418D" w:rsidR="0099355F">
        <w:rPr>
          <w:rFonts w:ascii="Palatino Linotype" w:hAnsi="Palatino Linotype" w:eastAsia="Palatino Linotype"/>
          <w:sz w:val="24"/>
          <w:szCs w:val="24"/>
        </w:rPr>
        <w:t xml:space="preserve">se during the planning and construction process.  </w:t>
      </w:r>
      <w:r w:rsidRPr="0075418D" w:rsidR="00002960">
        <w:rPr>
          <w:rFonts w:ascii="Palatino Linotype" w:hAnsi="Palatino Linotype" w:eastAsia="Palatino Linotype"/>
          <w:sz w:val="24"/>
          <w:szCs w:val="24"/>
        </w:rPr>
        <w:t xml:space="preserve">In </w:t>
      </w:r>
      <w:r w:rsidRPr="0075418D" w:rsidR="00FC2F90">
        <w:rPr>
          <w:rFonts w:ascii="Palatino Linotype" w:hAnsi="Palatino Linotype" w:eastAsia="Palatino Linotype"/>
          <w:sz w:val="24"/>
          <w:szCs w:val="24"/>
        </w:rPr>
        <w:t xml:space="preserve">response to staff inquiries, SoCalGas </w:t>
      </w:r>
      <w:r w:rsidRPr="0075418D" w:rsidR="004247C0">
        <w:rPr>
          <w:rFonts w:ascii="Palatino Linotype" w:hAnsi="Palatino Linotype" w:eastAsia="Palatino Linotype"/>
          <w:sz w:val="24"/>
          <w:szCs w:val="24"/>
        </w:rPr>
        <w:t>provide</w:t>
      </w:r>
      <w:r w:rsidRPr="0075418D" w:rsidR="00FC2F90">
        <w:rPr>
          <w:rFonts w:ascii="Palatino Linotype" w:hAnsi="Palatino Linotype" w:eastAsia="Palatino Linotype"/>
          <w:sz w:val="24"/>
          <w:szCs w:val="24"/>
        </w:rPr>
        <w:t>d</w:t>
      </w:r>
      <w:r w:rsidRPr="0075418D" w:rsidR="004247C0">
        <w:rPr>
          <w:rFonts w:ascii="Palatino Linotype" w:hAnsi="Palatino Linotype" w:eastAsia="Palatino Linotype"/>
          <w:sz w:val="24"/>
          <w:szCs w:val="24"/>
        </w:rPr>
        <w:t xml:space="preserve"> </w:t>
      </w:r>
      <w:r w:rsidRPr="0075418D" w:rsidR="5C4CD6C6">
        <w:rPr>
          <w:rFonts w:ascii="Palatino Linotype" w:hAnsi="Palatino Linotype" w:eastAsia="Palatino Linotype"/>
          <w:sz w:val="24"/>
          <w:szCs w:val="24"/>
        </w:rPr>
        <w:t xml:space="preserve">several examples where they incurred actual project costs that were higher than initially forecasted and provided explanations for </w:t>
      </w:r>
      <w:r w:rsidRPr="0075418D" w:rsidR="00E549D7">
        <w:rPr>
          <w:rFonts w:ascii="Palatino Linotype" w:hAnsi="Palatino Linotype" w:eastAsia="Palatino Linotype"/>
          <w:sz w:val="24"/>
          <w:szCs w:val="24"/>
        </w:rPr>
        <w:t>these situations</w:t>
      </w:r>
      <w:r w:rsidRPr="0075418D" w:rsidR="004247C0">
        <w:rPr>
          <w:rFonts w:ascii="Palatino Linotype" w:hAnsi="Palatino Linotype" w:eastAsia="Palatino Linotype"/>
          <w:sz w:val="24"/>
          <w:szCs w:val="24"/>
        </w:rPr>
        <w:t>.</w:t>
      </w:r>
      <w:r w:rsidRPr="0075418D" w:rsidR="004F16FB">
        <w:rPr>
          <w:rFonts w:ascii="Palatino Linotype" w:hAnsi="Palatino Linotype" w:eastAsia="Palatino Linotype"/>
          <w:sz w:val="24"/>
          <w:szCs w:val="24"/>
        </w:rPr>
        <w:t xml:space="preserve">  </w:t>
      </w:r>
      <w:r w:rsidRPr="0075418D" w:rsidR="00EB693D">
        <w:rPr>
          <w:rFonts w:ascii="Palatino Linotype" w:hAnsi="Palatino Linotype" w:eastAsia="Palatino Linotype"/>
          <w:sz w:val="24"/>
          <w:szCs w:val="24"/>
        </w:rPr>
        <w:t>Many of the examples amounted to unforeseen circumstances, where the company’s work plan was held up by local permitting</w:t>
      </w:r>
      <w:r w:rsidRPr="0075418D" w:rsidR="005E2A14">
        <w:rPr>
          <w:rFonts w:ascii="Palatino Linotype" w:hAnsi="Palatino Linotype" w:eastAsia="Palatino Linotype"/>
          <w:sz w:val="24"/>
          <w:szCs w:val="24"/>
        </w:rPr>
        <w:t>,</w:t>
      </w:r>
      <w:r w:rsidRPr="0075418D" w:rsidR="00EB693D">
        <w:rPr>
          <w:rFonts w:ascii="Palatino Linotype" w:hAnsi="Palatino Linotype" w:eastAsia="Palatino Linotype"/>
          <w:sz w:val="24"/>
          <w:szCs w:val="24"/>
        </w:rPr>
        <w:t xml:space="preserve"> </w:t>
      </w:r>
      <w:r w:rsidRPr="0075418D" w:rsidR="005F176C">
        <w:rPr>
          <w:rFonts w:ascii="Palatino Linotype" w:hAnsi="Palatino Linotype" w:eastAsia="Palatino Linotype"/>
          <w:sz w:val="24"/>
          <w:szCs w:val="24"/>
        </w:rPr>
        <w:t>unknown (undocumented) substructures beneath</w:t>
      </w:r>
      <w:r w:rsidRPr="0075418D" w:rsidR="005E2A14">
        <w:rPr>
          <w:rFonts w:ascii="Palatino Linotype" w:hAnsi="Palatino Linotype" w:eastAsia="Palatino Linotype"/>
          <w:sz w:val="24"/>
          <w:szCs w:val="24"/>
        </w:rPr>
        <w:t xml:space="preserve"> </w:t>
      </w:r>
      <w:r w:rsidRPr="0075418D" w:rsidR="005F176C">
        <w:rPr>
          <w:rFonts w:ascii="Palatino Linotype" w:hAnsi="Palatino Linotype" w:eastAsia="Palatino Linotype"/>
          <w:sz w:val="24"/>
          <w:szCs w:val="24"/>
        </w:rPr>
        <w:t>street surfaces,</w:t>
      </w:r>
      <w:r w:rsidRPr="0075418D" w:rsidR="005E2A14">
        <w:rPr>
          <w:rFonts w:ascii="Palatino Linotype" w:hAnsi="Palatino Linotype" w:eastAsia="Palatino Linotype"/>
          <w:sz w:val="24"/>
          <w:szCs w:val="24"/>
        </w:rPr>
        <w:t xml:space="preserve"> and </w:t>
      </w:r>
      <w:r w:rsidRPr="0075418D" w:rsidR="005F176C">
        <w:rPr>
          <w:rFonts w:ascii="Palatino Linotype" w:hAnsi="Palatino Linotype" w:eastAsia="Palatino Linotype"/>
          <w:sz w:val="24"/>
          <w:szCs w:val="24"/>
        </w:rPr>
        <w:t>highly traveled roadways requiring extensive traffic control</w:t>
      </w:r>
      <w:r w:rsidRPr="0075418D" w:rsidR="00EB693D">
        <w:rPr>
          <w:rFonts w:ascii="Palatino Linotype" w:hAnsi="Palatino Linotype" w:eastAsia="Palatino Linotype"/>
          <w:sz w:val="24"/>
          <w:szCs w:val="24"/>
        </w:rPr>
        <w:t xml:space="preserve">.  </w:t>
      </w:r>
      <w:r w:rsidRPr="0075418D" w:rsidR="00400FB9">
        <w:rPr>
          <w:rFonts w:ascii="Palatino Linotype" w:hAnsi="Palatino Linotype" w:eastAsia="Palatino Linotype"/>
          <w:sz w:val="24"/>
          <w:szCs w:val="24"/>
        </w:rPr>
        <w:t>Last-minute restrictions</w:t>
      </w:r>
      <w:r w:rsidRPr="0075418D" w:rsidR="00406D3E">
        <w:rPr>
          <w:rFonts w:ascii="Palatino Linotype" w:hAnsi="Palatino Linotype" w:eastAsia="Palatino Linotype"/>
          <w:sz w:val="24"/>
          <w:szCs w:val="24"/>
        </w:rPr>
        <w:t xml:space="preserve"> </w:t>
      </w:r>
      <w:r w:rsidRPr="0075418D" w:rsidR="00400FB9">
        <w:rPr>
          <w:rFonts w:ascii="Palatino Linotype" w:hAnsi="Palatino Linotype" w:eastAsia="Palatino Linotype"/>
          <w:sz w:val="24"/>
          <w:szCs w:val="24"/>
        </w:rPr>
        <w:t>imposed on a project by an inspector from an external agency, such as limiting the work hours or project scope, may result in redesigning or increased costs.</w:t>
      </w:r>
      <w:r w:rsidRPr="0075418D" w:rsidR="00406D3E">
        <w:rPr>
          <w:rFonts w:ascii="Palatino Linotype" w:hAnsi="Palatino Linotype" w:eastAsia="Palatino Linotype"/>
          <w:sz w:val="24"/>
          <w:szCs w:val="24"/>
        </w:rPr>
        <w:t xml:space="preserve">  </w:t>
      </w:r>
      <w:r w:rsidRPr="0075418D" w:rsidR="00EB693D">
        <w:rPr>
          <w:rFonts w:ascii="Palatino Linotype" w:hAnsi="Palatino Linotype" w:eastAsia="Palatino Linotype"/>
          <w:sz w:val="24"/>
          <w:szCs w:val="24"/>
        </w:rPr>
        <w:t>The company also had to contend with restrictions related to the COVID-19 epidemic and the discovery of broken equipment, such as mains and valves, which had to be replaced.</w:t>
      </w:r>
    </w:p>
    <w:p w:rsidRPr="0075418D" w:rsidR="001235BB" w:rsidP="00D12DD7" w:rsidRDefault="001235BB" w14:paraId="4F89E1A8" w14:textId="77777777">
      <w:pPr>
        <w:rPr>
          <w:rFonts w:ascii="Palatino Linotype" w:hAnsi="Palatino Linotype" w:eastAsia="Palatino Linotype"/>
          <w:sz w:val="24"/>
          <w:szCs w:val="24"/>
        </w:rPr>
      </w:pPr>
    </w:p>
    <w:p w:rsidRPr="0075418D" w:rsidR="00F43A35" w:rsidP="00F43A35" w:rsidRDefault="00F43A35" w14:paraId="17E16354" w14:textId="5D9CF1DF">
      <w:pPr>
        <w:rPr>
          <w:rFonts w:ascii="Palatino Linotype" w:hAnsi="Palatino Linotype" w:eastAsia="Palatino Linotype"/>
          <w:sz w:val="24"/>
          <w:szCs w:val="24"/>
        </w:rPr>
      </w:pPr>
      <w:r w:rsidRPr="0075418D">
        <w:rPr>
          <w:rFonts w:ascii="Palatino Linotype" w:hAnsi="Palatino Linotype" w:eastAsia="Palatino Linotype"/>
          <w:sz w:val="24"/>
          <w:szCs w:val="24"/>
        </w:rPr>
        <w:t xml:space="preserve">Based on the information provided by SoCalGas, the Commission finds that the expenses and </w:t>
      </w:r>
      <w:proofErr w:type="gramStart"/>
      <w:r w:rsidRPr="0075418D">
        <w:rPr>
          <w:rFonts w:ascii="Palatino Linotype" w:hAnsi="Palatino Linotype" w:eastAsia="Palatino Linotype"/>
          <w:sz w:val="24"/>
          <w:szCs w:val="24"/>
        </w:rPr>
        <w:t>expenditures</w:t>
      </w:r>
      <w:proofErr w:type="gramEnd"/>
      <w:r w:rsidRPr="0075418D">
        <w:rPr>
          <w:rFonts w:ascii="Palatino Linotype" w:hAnsi="Palatino Linotype" w:eastAsia="Palatino Linotype"/>
          <w:sz w:val="24"/>
          <w:szCs w:val="24"/>
        </w:rPr>
        <w:t xml:space="preserve"> examined were appropriately recorded to the DIMPBA and reasonably incurred. Therefore, SoCalGas’s request to recover the undercollection recorded in its DIMPBA for September 1, 2019, to January 31, 2023, is approved.</w:t>
      </w:r>
    </w:p>
    <w:p w:rsidRPr="0075418D" w:rsidR="00F43A35" w:rsidP="00F43A35" w:rsidRDefault="00F43A35" w14:paraId="73B2A1C5" w14:textId="77777777">
      <w:pPr>
        <w:rPr>
          <w:rFonts w:ascii="Palatino Linotype" w:hAnsi="Palatino Linotype" w:eastAsia="Palatino Linotype"/>
          <w:sz w:val="24"/>
          <w:szCs w:val="24"/>
        </w:rPr>
      </w:pPr>
    </w:p>
    <w:p w:rsidRPr="0075418D" w:rsidR="00F43A35" w:rsidP="00F43A35" w:rsidRDefault="00F43A35" w14:paraId="0C83435B" w14:textId="46919157">
      <w:pPr>
        <w:rPr>
          <w:rFonts w:ascii="Palatino Linotype" w:hAnsi="Palatino Linotype"/>
          <w:b/>
          <w:bCs/>
          <w:sz w:val="24"/>
          <w:szCs w:val="24"/>
        </w:rPr>
      </w:pPr>
      <w:r w:rsidRPr="0075418D">
        <w:rPr>
          <w:rFonts w:ascii="Palatino Linotype" w:hAnsi="Palatino Linotype" w:eastAsia="Palatino Linotype"/>
          <w:sz w:val="24"/>
          <w:szCs w:val="24"/>
        </w:rPr>
        <w:t xml:space="preserve">The DIMPBA amount will be amortized in gas transportation rates based </w:t>
      </w:r>
      <w:r w:rsidRPr="0075418D">
        <w:rPr>
          <w:rFonts w:ascii="Palatino Linotype" w:hAnsi="Palatino Linotype"/>
          <w:sz w:val="24"/>
          <w:szCs w:val="24"/>
        </w:rPr>
        <w:t>on the approved allocation methodology in SoCalGas’s most recent Cost Allocation Proceeding</w:t>
      </w:r>
      <w:r w:rsidRPr="0075418D">
        <w:rPr>
          <w:rFonts w:ascii="Palatino Linotype" w:hAnsi="Palatino Linotype" w:eastAsia="Palatino Linotype"/>
          <w:sz w:val="24"/>
          <w:szCs w:val="24"/>
        </w:rPr>
        <w:t>, consistent with</w:t>
      </w:r>
      <w:r w:rsidRPr="0075418D">
        <w:rPr>
          <w:rFonts w:ascii="Palatino Linotype" w:hAnsi="Palatino Linotype"/>
          <w:sz w:val="24"/>
          <w:szCs w:val="24"/>
        </w:rPr>
        <w:t xml:space="preserve"> D.21-07-019. </w:t>
      </w:r>
    </w:p>
    <w:p w:rsidRPr="0075418D" w:rsidR="00CF17DE" w:rsidP="4BA7214B" w:rsidRDefault="00CF17DE" w14:paraId="40E7C61D" w14:textId="77777777">
      <w:pPr>
        <w:rPr>
          <w:rFonts w:ascii="Palatino Linotype" w:hAnsi="Palatino Linotype" w:eastAsia="Palatino Linotype"/>
          <w:sz w:val="24"/>
          <w:szCs w:val="24"/>
        </w:rPr>
      </w:pPr>
    </w:p>
    <w:p w:rsidRPr="0075418D" w:rsidR="00CF17DE" w:rsidP="4BA7214B" w:rsidRDefault="00CF17DE" w14:paraId="16A82360" w14:textId="77777777">
      <w:pPr>
        <w:pStyle w:val="Heading1"/>
        <w:rPr>
          <w:rFonts w:ascii="Palatino Linotype" w:hAnsi="Palatino Linotype" w:eastAsia="Palatino Linotype"/>
          <w:sz w:val="24"/>
          <w:szCs w:val="24"/>
        </w:rPr>
      </w:pPr>
      <w:r w:rsidRPr="0075418D">
        <w:rPr>
          <w:rFonts w:ascii="Palatino Linotype" w:hAnsi="Palatino Linotype" w:eastAsia="Palatino Linotype"/>
          <w:sz w:val="24"/>
          <w:szCs w:val="24"/>
        </w:rPr>
        <w:t>Comments</w:t>
      </w:r>
    </w:p>
    <w:p w:rsidRPr="0075418D" w:rsidR="00F43A35" w:rsidP="00F43A35" w:rsidRDefault="00F43A35" w14:paraId="33B1417A" w14:textId="77777777">
      <w:pPr>
        <w:pStyle w:val="paragraph"/>
        <w:spacing w:before="0" w:beforeAutospacing="0" w:after="0" w:afterAutospacing="0"/>
        <w:textAlignment w:val="baseline"/>
        <w:rPr>
          <w:rFonts w:ascii="Palatino Linotype" w:hAnsi="Palatino Linotype" w:cs="Segoe UI"/>
        </w:rPr>
      </w:pPr>
      <w:r w:rsidRPr="0075418D">
        <w:rPr>
          <w:rStyle w:val="normaltextrun"/>
          <w:rFonts w:ascii="Palatino Linotype" w:hAnsi="Palatino Linotype" w:cs="Segoe UI"/>
        </w:rPr>
        <w:t xml:space="preserve">Public Utilities Code section 311(g)(1) provides that this draft resolution must be served on all parties and subject to at least 30 days public review.  Any comments are due within 20 days of the date of its mailing and publication on the Commission’s website and in accordance with any instructions accompanying the notice. Section 311(g)(2) </w:t>
      </w:r>
      <w:r w:rsidRPr="0075418D">
        <w:rPr>
          <w:rStyle w:val="normaltextrun"/>
          <w:rFonts w:ascii="Palatino Linotype" w:hAnsi="Palatino Linotype" w:cs="Segoe UI"/>
        </w:rPr>
        <w:lastRenderedPageBreak/>
        <w:t>provides that this 30-day review period and 20-day comment period may be reduced or waived upon the stipulation of all parties in the proceeding.</w:t>
      </w:r>
      <w:r w:rsidRPr="0075418D">
        <w:rPr>
          <w:rStyle w:val="eop"/>
          <w:rFonts w:ascii="Palatino Linotype" w:hAnsi="Palatino Linotype" w:cs="Segoe UI"/>
        </w:rPr>
        <w:t> </w:t>
      </w:r>
    </w:p>
    <w:p w:rsidRPr="0075418D" w:rsidR="00F43A35" w:rsidP="00F43A35" w:rsidRDefault="00F43A35" w14:paraId="3229C4C8" w14:textId="77777777">
      <w:pPr>
        <w:pStyle w:val="paragraph"/>
        <w:spacing w:before="0" w:beforeAutospacing="0" w:after="0" w:afterAutospacing="0"/>
        <w:textAlignment w:val="baseline"/>
        <w:rPr>
          <w:rFonts w:ascii="Palatino Linotype" w:hAnsi="Palatino Linotype" w:cs="Segoe UI"/>
        </w:rPr>
      </w:pPr>
      <w:r w:rsidRPr="0075418D">
        <w:rPr>
          <w:rStyle w:val="eop"/>
          <w:rFonts w:ascii="Palatino Linotype" w:hAnsi="Palatino Linotype" w:cs="Segoe UI"/>
        </w:rPr>
        <w:t> </w:t>
      </w:r>
    </w:p>
    <w:p w:rsidRPr="0075418D" w:rsidR="00F43A35" w:rsidP="00F43A35" w:rsidRDefault="00F43A35" w14:paraId="076EEFDF" w14:textId="77777777">
      <w:pPr>
        <w:pStyle w:val="paragraph"/>
        <w:spacing w:before="0" w:beforeAutospacing="0" w:after="0" w:afterAutospacing="0"/>
        <w:textAlignment w:val="baseline"/>
        <w:rPr>
          <w:rFonts w:ascii="Palatino Linotype" w:hAnsi="Palatino Linotype" w:cs="Segoe UI"/>
        </w:rPr>
      </w:pPr>
      <w:r w:rsidRPr="0075418D">
        <w:rPr>
          <w:rStyle w:val="normaltextrun"/>
          <w:rFonts w:ascii="Palatino Linotype" w:hAnsi="Palatino Linotype" w:cs="Segoe UI"/>
        </w:rPr>
        <w:t>The 30-day review and 20-day comment period for the draft of this resolution was neither waived nor reduced.  Accordingly, this draft resolution was mailed to parties for comments and will be placed on the Commission's agenda no earlier than 30 days from today.</w:t>
      </w:r>
      <w:r w:rsidRPr="0075418D">
        <w:rPr>
          <w:rStyle w:val="eop"/>
          <w:rFonts w:ascii="Palatino Linotype" w:hAnsi="Palatino Linotype" w:cs="Segoe UI"/>
        </w:rPr>
        <w:t> </w:t>
      </w:r>
    </w:p>
    <w:p w:rsidRPr="0075418D" w:rsidR="00CF17DE" w:rsidP="4BA7214B" w:rsidRDefault="00CF17DE" w14:paraId="4B61CF60" w14:textId="085A170B">
      <w:pPr>
        <w:rPr>
          <w:rFonts w:ascii="Palatino Linotype" w:hAnsi="Palatino Linotype" w:eastAsia="Palatino Linotype"/>
          <w:bCs/>
          <w:smallCaps/>
          <w:sz w:val="24"/>
          <w:szCs w:val="24"/>
        </w:rPr>
      </w:pPr>
    </w:p>
    <w:p w:rsidRPr="0075418D" w:rsidR="00CF17DE" w:rsidP="4BA7214B" w:rsidRDefault="00CF17DE" w14:paraId="07618DBE" w14:textId="32B30916">
      <w:pPr>
        <w:pStyle w:val="Heading1"/>
        <w:rPr>
          <w:rFonts w:ascii="Palatino Linotype" w:hAnsi="Palatino Linotype" w:eastAsia="Palatino Linotype"/>
          <w:sz w:val="24"/>
          <w:szCs w:val="24"/>
        </w:rPr>
      </w:pPr>
      <w:r w:rsidRPr="0075418D">
        <w:rPr>
          <w:rFonts w:ascii="Palatino Linotype" w:hAnsi="Palatino Linotype" w:eastAsia="Palatino Linotype"/>
          <w:sz w:val="24"/>
          <w:szCs w:val="24"/>
        </w:rPr>
        <w:t>Findings</w:t>
      </w:r>
      <w:r w:rsidR="0075418D">
        <w:rPr>
          <w:rFonts w:ascii="Palatino Linotype" w:hAnsi="Palatino Linotype" w:eastAsia="Palatino Linotype"/>
          <w:sz w:val="24"/>
          <w:szCs w:val="24"/>
        </w:rPr>
        <w:t xml:space="preserve"> AND CONCLUSIONS</w:t>
      </w:r>
    </w:p>
    <w:p w:rsidRPr="0075418D" w:rsidR="008702B3" w:rsidP="008702B3" w:rsidRDefault="008702B3" w14:paraId="27B5FDB5" w14:textId="625E767C">
      <w:pPr>
        <w:numPr>
          <w:ilvl w:val="0"/>
          <w:numId w:val="8"/>
        </w:numPr>
        <w:rPr>
          <w:rFonts w:ascii="Palatino Linotype" w:hAnsi="Palatino Linotype" w:eastAsia="Palatino Linotype"/>
          <w:sz w:val="24"/>
          <w:szCs w:val="24"/>
        </w:rPr>
      </w:pPr>
      <w:r w:rsidRPr="0075418D">
        <w:rPr>
          <w:rFonts w:ascii="Palatino Linotype" w:hAnsi="Palatino Linotype" w:eastAsia="Palatino Linotype"/>
          <w:sz w:val="24"/>
          <w:szCs w:val="24"/>
        </w:rPr>
        <w:t xml:space="preserve">Commission Decision (D.) 13-05-010 authorized the </w:t>
      </w:r>
      <w:bookmarkStart w:name="_Hlk180062783" w:id="2"/>
      <w:r w:rsidRPr="0075418D">
        <w:rPr>
          <w:rFonts w:ascii="Palatino Linotype" w:hAnsi="Palatino Linotype" w:eastAsia="Palatino Linotype"/>
          <w:sz w:val="24"/>
          <w:szCs w:val="24"/>
        </w:rPr>
        <w:t xml:space="preserve">Distribution </w:t>
      </w:r>
      <w:bookmarkEnd w:id="2"/>
      <w:r w:rsidRPr="0075418D">
        <w:rPr>
          <w:rFonts w:ascii="Palatino Linotype" w:hAnsi="Palatino Linotype" w:eastAsia="Palatino Linotype"/>
          <w:sz w:val="24"/>
          <w:szCs w:val="24"/>
        </w:rPr>
        <w:t>Integrity Management Program Balancing Account.</w:t>
      </w:r>
    </w:p>
    <w:p w:rsidRPr="0075418D" w:rsidR="008702B3" w:rsidP="008702B3" w:rsidRDefault="008702B3" w14:paraId="5E8E971C" w14:textId="0B2BE395">
      <w:pPr>
        <w:numPr>
          <w:ilvl w:val="0"/>
          <w:numId w:val="8"/>
        </w:numPr>
        <w:rPr>
          <w:rFonts w:ascii="Palatino Linotype" w:hAnsi="Palatino Linotype" w:eastAsia="Palatino Linotype"/>
          <w:sz w:val="24"/>
          <w:szCs w:val="24"/>
        </w:rPr>
      </w:pPr>
      <w:r w:rsidRPr="0075418D">
        <w:rPr>
          <w:rFonts w:ascii="Palatino Linotype" w:hAnsi="Palatino Linotype" w:eastAsia="Palatino Linotype"/>
          <w:sz w:val="24"/>
          <w:szCs w:val="24"/>
        </w:rPr>
        <w:t>D.13-05-010 directed SoCalGas to file a Tier 3 Advice Letter to recover authorized Distribution Integrity Management Program-related Operations &amp;Maintenance and Capital Expenditures.</w:t>
      </w:r>
    </w:p>
    <w:p w:rsidRPr="0075418D" w:rsidR="008702B3" w:rsidP="008702B3" w:rsidRDefault="008702B3" w14:paraId="1F47F181" w14:textId="7DA972C9">
      <w:pPr>
        <w:numPr>
          <w:ilvl w:val="0"/>
          <w:numId w:val="8"/>
        </w:numPr>
        <w:rPr>
          <w:rFonts w:ascii="Palatino Linotype" w:hAnsi="Palatino Linotype" w:eastAsia="Palatino Linotype"/>
          <w:sz w:val="24"/>
          <w:szCs w:val="24"/>
        </w:rPr>
      </w:pPr>
      <w:r w:rsidRPr="0075418D">
        <w:rPr>
          <w:rFonts w:ascii="Palatino Linotype" w:hAnsi="Palatino Linotype" w:eastAsia="Palatino Linotype"/>
          <w:sz w:val="24"/>
          <w:szCs w:val="24"/>
        </w:rPr>
        <w:t xml:space="preserve">SoCalGas filed 6224-G November 17, 2023, to request recovery of the Distribution Integrity Management Program Balancing Account </w:t>
      </w:r>
      <w:bookmarkStart w:name="_Hlk180062870" w:id="3"/>
      <w:r w:rsidRPr="0075418D">
        <w:rPr>
          <w:rFonts w:ascii="Palatino Linotype" w:hAnsi="Palatino Linotype" w:eastAsia="Palatino Linotype"/>
          <w:sz w:val="24"/>
          <w:szCs w:val="24"/>
        </w:rPr>
        <w:t>$81,4</w:t>
      </w:r>
      <w:r w:rsidRPr="0075418D" w:rsidR="008751C8">
        <w:rPr>
          <w:rFonts w:ascii="Palatino Linotype" w:hAnsi="Palatino Linotype" w:eastAsia="Palatino Linotype"/>
          <w:sz w:val="24"/>
          <w:szCs w:val="24"/>
        </w:rPr>
        <w:t>2</w:t>
      </w:r>
      <w:r w:rsidRPr="0075418D">
        <w:rPr>
          <w:rFonts w:ascii="Palatino Linotype" w:hAnsi="Palatino Linotype" w:eastAsia="Palatino Linotype"/>
          <w:sz w:val="24"/>
          <w:szCs w:val="24"/>
        </w:rPr>
        <w:t>0,0</w:t>
      </w:r>
      <w:r w:rsidRPr="0075418D" w:rsidR="008751C8">
        <w:rPr>
          <w:rFonts w:ascii="Palatino Linotype" w:hAnsi="Palatino Linotype" w:eastAsia="Palatino Linotype"/>
          <w:sz w:val="24"/>
          <w:szCs w:val="24"/>
        </w:rPr>
        <w:t>12</w:t>
      </w:r>
      <w:r w:rsidRPr="0075418D">
        <w:rPr>
          <w:rFonts w:ascii="Palatino Linotype" w:hAnsi="Palatino Linotype" w:eastAsia="Palatino Linotype"/>
          <w:sz w:val="24"/>
          <w:szCs w:val="24"/>
        </w:rPr>
        <w:t xml:space="preserve"> </w:t>
      </w:r>
      <w:bookmarkEnd w:id="3"/>
      <w:r w:rsidRPr="0075418D">
        <w:rPr>
          <w:rFonts w:ascii="Palatino Linotype" w:hAnsi="Palatino Linotype" w:eastAsia="Palatino Linotype"/>
          <w:sz w:val="24"/>
          <w:szCs w:val="24"/>
        </w:rPr>
        <w:t>for the period of September 1, 2019, to January 31, 2023.</w:t>
      </w:r>
    </w:p>
    <w:p w:rsidRPr="0075418D" w:rsidR="008702B3" w:rsidP="008702B3" w:rsidRDefault="00F86F77" w14:paraId="6A15A53B" w14:textId="0DBDDFD6">
      <w:pPr>
        <w:numPr>
          <w:ilvl w:val="0"/>
          <w:numId w:val="8"/>
        </w:numPr>
        <w:rPr>
          <w:rFonts w:ascii="Palatino Linotype" w:hAnsi="Palatino Linotype" w:eastAsia="Palatino Linotype"/>
          <w:sz w:val="24"/>
          <w:szCs w:val="24"/>
        </w:rPr>
      </w:pPr>
      <w:r w:rsidRPr="0075418D">
        <w:rPr>
          <w:rFonts w:ascii="Palatino Linotype" w:hAnsi="Palatino Linotype" w:eastAsia="Palatino Linotype"/>
          <w:sz w:val="24"/>
          <w:szCs w:val="24"/>
        </w:rPr>
        <w:t>Distribution Integrity Management Program Balancing Account costs are incurred in response to mandated federal pipeline safety regulations including, but not limited to requirements associated with Subpart P, Gas Distribution Pipeline Integrity Management.</w:t>
      </w:r>
    </w:p>
    <w:p w:rsidRPr="0075418D" w:rsidR="00F86F77" w:rsidP="00F86F77" w:rsidRDefault="00F86F77" w14:paraId="7182A6E3" w14:textId="6F19C038">
      <w:pPr>
        <w:numPr>
          <w:ilvl w:val="0"/>
          <w:numId w:val="8"/>
        </w:numPr>
        <w:rPr>
          <w:rFonts w:ascii="Palatino Linotype" w:hAnsi="Palatino Linotype" w:eastAsia="Palatino Linotype"/>
          <w:sz w:val="24"/>
          <w:szCs w:val="24"/>
        </w:rPr>
      </w:pPr>
      <w:r w:rsidRPr="0075418D">
        <w:rPr>
          <w:rFonts w:ascii="Palatino Linotype" w:hAnsi="Palatino Linotype" w:eastAsia="Palatino Linotype"/>
          <w:sz w:val="24"/>
          <w:szCs w:val="24"/>
        </w:rPr>
        <w:t>Ordering Paragraph 20 of D.13-05-010 authorized SoCal Gas to establish a two-way balancing account to recover Distribution Integrity Management Program-related Operations &amp;</w:t>
      </w:r>
      <w:r w:rsidRPr="0075418D" w:rsidR="00236928">
        <w:rPr>
          <w:rFonts w:ascii="Palatino Linotype" w:hAnsi="Palatino Linotype" w:eastAsia="Palatino Linotype"/>
          <w:sz w:val="24"/>
          <w:szCs w:val="24"/>
        </w:rPr>
        <w:t xml:space="preserve"> </w:t>
      </w:r>
      <w:r w:rsidRPr="0075418D">
        <w:rPr>
          <w:rFonts w:ascii="Palatino Linotype" w:hAnsi="Palatino Linotype" w:eastAsia="Palatino Linotype"/>
          <w:sz w:val="24"/>
          <w:szCs w:val="24"/>
        </w:rPr>
        <w:t>Maintenance and capital costs.</w:t>
      </w:r>
    </w:p>
    <w:p w:rsidRPr="0075418D" w:rsidR="00261327" w:rsidP="00261327" w:rsidRDefault="00B6267D" w14:paraId="1CA42EAD" w14:textId="24F9C989">
      <w:pPr>
        <w:pStyle w:val="ListParagraph"/>
        <w:numPr>
          <w:ilvl w:val="0"/>
          <w:numId w:val="8"/>
        </w:numPr>
        <w:rPr>
          <w:rFonts w:ascii="Palatino Linotype" w:hAnsi="Palatino Linotype" w:eastAsia="Palatino Linotype"/>
          <w:sz w:val="24"/>
          <w:szCs w:val="24"/>
        </w:rPr>
      </w:pPr>
      <w:r w:rsidRPr="0075418D">
        <w:rPr>
          <w:rFonts w:ascii="Palatino Linotype" w:hAnsi="Palatino Linotype" w:eastAsia="Palatino Linotype"/>
          <w:sz w:val="24"/>
          <w:szCs w:val="24"/>
        </w:rPr>
        <w:t>Pursuant to D.19-09-051, SoCalGas is authorized to submit a Tier 3 advice letter to seek recovery of any DIMP under-collections of revenue requirement when actual expenditures are overspent by up to 35% of the total authorized O&amp;M and capital expenditures for the entire cycle</w:t>
      </w:r>
      <w:r w:rsidRPr="0075418D" w:rsidR="00261327">
        <w:rPr>
          <w:rFonts w:ascii="Palatino Linotype" w:hAnsi="Palatino Linotype" w:eastAsia="Palatino Linotype"/>
          <w:sz w:val="24"/>
          <w:szCs w:val="24"/>
        </w:rPr>
        <w:t xml:space="preserve">. </w:t>
      </w:r>
    </w:p>
    <w:p w:rsidRPr="0075418D" w:rsidR="00F86F77" w:rsidP="008465F7" w:rsidRDefault="004F16FB" w14:paraId="2386CBC7" w14:textId="387286A5">
      <w:pPr>
        <w:pStyle w:val="ListParagraph"/>
        <w:numPr>
          <w:ilvl w:val="0"/>
          <w:numId w:val="8"/>
        </w:numPr>
        <w:rPr>
          <w:rFonts w:ascii="Palatino Linotype" w:hAnsi="Palatino Linotype" w:eastAsia="Palatino Linotype"/>
          <w:sz w:val="24"/>
          <w:szCs w:val="24"/>
        </w:rPr>
      </w:pPr>
      <w:r w:rsidRPr="0075418D">
        <w:rPr>
          <w:rFonts w:ascii="Palatino Linotype" w:hAnsi="Palatino Linotype" w:eastAsia="Palatino Linotype"/>
          <w:sz w:val="24"/>
          <w:szCs w:val="24"/>
        </w:rPr>
        <w:t>Commission staff review</w:t>
      </w:r>
      <w:r w:rsidRPr="0075418D" w:rsidR="7761C8C9">
        <w:rPr>
          <w:rFonts w:ascii="Palatino Linotype" w:hAnsi="Palatino Linotype" w:eastAsia="Palatino Linotype"/>
          <w:sz w:val="24"/>
          <w:szCs w:val="24"/>
        </w:rPr>
        <w:t>ed</w:t>
      </w:r>
      <w:r w:rsidRPr="0075418D">
        <w:rPr>
          <w:rFonts w:ascii="Palatino Linotype" w:hAnsi="Palatino Linotype" w:eastAsia="Palatino Linotype"/>
          <w:sz w:val="24"/>
          <w:szCs w:val="24"/>
        </w:rPr>
        <w:t xml:space="preserve"> Distribution Integrity Management Program </w:t>
      </w:r>
      <w:r w:rsidRPr="0075418D" w:rsidR="70AB3E16">
        <w:rPr>
          <w:rFonts w:ascii="Palatino Linotype" w:hAnsi="Palatino Linotype" w:eastAsia="Palatino Linotype"/>
          <w:sz w:val="24"/>
          <w:szCs w:val="24"/>
        </w:rPr>
        <w:t>o</w:t>
      </w:r>
      <w:r w:rsidRPr="0075418D">
        <w:rPr>
          <w:rFonts w:ascii="Palatino Linotype" w:hAnsi="Palatino Linotype" w:eastAsia="Palatino Linotype"/>
          <w:sz w:val="24"/>
          <w:szCs w:val="24"/>
        </w:rPr>
        <w:t xml:space="preserve">perations &amp; </w:t>
      </w:r>
      <w:r w:rsidRPr="0075418D" w:rsidR="4C2FF09E">
        <w:rPr>
          <w:rFonts w:ascii="Palatino Linotype" w:hAnsi="Palatino Linotype" w:eastAsia="Palatino Linotype"/>
          <w:sz w:val="24"/>
          <w:szCs w:val="24"/>
        </w:rPr>
        <w:t>m</w:t>
      </w:r>
      <w:r w:rsidRPr="0075418D">
        <w:rPr>
          <w:rFonts w:ascii="Palatino Linotype" w:hAnsi="Palatino Linotype" w:eastAsia="Palatino Linotype"/>
          <w:sz w:val="24"/>
          <w:szCs w:val="24"/>
        </w:rPr>
        <w:t xml:space="preserve">anagement and capital expenditures included in the Distribution Integrity Management Program Balancing Account requested in </w:t>
      </w:r>
      <w:r w:rsidRPr="0075418D" w:rsidR="00AD2410">
        <w:rPr>
          <w:rFonts w:ascii="Palatino Linotype" w:hAnsi="Palatino Linotype" w:eastAsia="Palatino Linotype"/>
          <w:sz w:val="24"/>
          <w:szCs w:val="24"/>
        </w:rPr>
        <w:t xml:space="preserve">Advice Letter </w:t>
      </w:r>
      <w:r w:rsidRPr="0075418D">
        <w:rPr>
          <w:rFonts w:ascii="Palatino Linotype" w:hAnsi="Palatino Linotype" w:eastAsia="Palatino Linotype"/>
          <w:sz w:val="24"/>
          <w:szCs w:val="24"/>
        </w:rPr>
        <w:t>6224-G and found that the examined expenses and expenditures were appropriately recorded and reasonably incurred.</w:t>
      </w:r>
    </w:p>
    <w:p w:rsidRPr="0075418D" w:rsidR="004F16FB" w:rsidP="004F16FB" w:rsidRDefault="004F16FB" w14:paraId="73288BC3" w14:textId="47938381">
      <w:pPr>
        <w:pStyle w:val="ListParagraph"/>
        <w:numPr>
          <w:ilvl w:val="0"/>
          <w:numId w:val="8"/>
        </w:numPr>
        <w:rPr>
          <w:rFonts w:ascii="Palatino Linotype" w:hAnsi="Palatino Linotype" w:eastAsia="Palatino Linotype"/>
          <w:sz w:val="24"/>
          <w:szCs w:val="24"/>
        </w:rPr>
      </w:pPr>
      <w:r w:rsidRPr="0075418D">
        <w:rPr>
          <w:rFonts w:ascii="Palatino Linotype" w:hAnsi="Palatino Linotype" w:eastAsia="Palatino Linotype"/>
          <w:sz w:val="24"/>
          <w:szCs w:val="24"/>
        </w:rPr>
        <w:t xml:space="preserve">SoCalGas’s request to recover costs recorded in its Distribution Integrity Management Program Balancing Account for September 1, 2019, to </w:t>
      </w:r>
      <w:r w:rsidR="0075418D">
        <w:rPr>
          <w:rFonts w:ascii="Palatino Linotype" w:hAnsi="Palatino Linotype" w:eastAsia="Palatino Linotype"/>
          <w:sz w:val="24"/>
          <w:szCs w:val="24"/>
        </w:rPr>
        <w:br/>
      </w:r>
      <w:r w:rsidRPr="0075418D">
        <w:rPr>
          <w:rFonts w:ascii="Palatino Linotype" w:hAnsi="Palatino Linotype" w:eastAsia="Palatino Linotype"/>
          <w:sz w:val="24"/>
          <w:szCs w:val="24"/>
        </w:rPr>
        <w:t>January 31, 2023, is reasonable and should be approved.</w:t>
      </w:r>
    </w:p>
    <w:p w:rsidRPr="0075418D" w:rsidR="00F86F77" w:rsidP="00F86F77" w:rsidRDefault="004F16FB" w14:paraId="05444AB1" w14:textId="4B1E190B">
      <w:pPr>
        <w:numPr>
          <w:ilvl w:val="0"/>
          <w:numId w:val="8"/>
        </w:numPr>
        <w:rPr>
          <w:rFonts w:ascii="Palatino Linotype" w:hAnsi="Palatino Linotype" w:eastAsia="Palatino Linotype"/>
          <w:sz w:val="24"/>
          <w:szCs w:val="24"/>
        </w:rPr>
      </w:pPr>
      <w:r w:rsidRPr="0075418D">
        <w:rPr>
          <w:rFonts w:ascii="Palatino Linotype" w:hAnsi="Palatino Linotype" w:eastAsia="Palatino Linotype"/>
          <w:sz w:val="24"/>
          <w:szCs w:val="24"/>
        </w:rPr>
        <w:t>SoCalGas should use methods consistent with the latest Cost Allocation Decision, to allocate the Distribution Integrity Management Program Balancing Account</w:t>
      </w:r>
      <w:r w:rsidRPr="0075418D" w:rsidR="00F86F77">
        <w:rPr>
          <w:rFonts w:ascii="Palatino Linotype" w:hAnsi="Palatino Linotype" w:eastAsia="Palatino Linotype"/>
          <w:sz w:val="24"/>
          <w:szCs w:val="24"/>
        </w:rPr>
        <w:t>.</w:t>
      </w:r>
    </w:p>
    <w:p w:rsidRPr="0075418D" w:rsidR="00CF17DE" w:rsidP="4BA7214B" w:rsidRDefault="00CF17DE" w14:paraId="03EBB768" w14:textId="11A9FC82">
      <w:pPr>
        <w:pStyle w:val="Heading1"/>
        <w:rPr>
          <w:rFonts w:ascii="Palatino Linotype" w:hAnsi="Palatino Linotype" w:eastAsia="Palatino Linotype"/>
          <w:sz w:val="24"/>
          <w:szCs w:val="24"/>
        </w:rPr>
      </w:pPr>
      <w:r w:rsidRPr="0075418D">
        <w:rPr>
          <w:rFonts w:ascii="Palatino Linotype" w:hAnsi="Palatino Linotype" w:eastAsia="Palatino Linotype"/>
          <w:sz w:val="24"/>
          <w:szCs w:val="24"/>
        </w:rPr>
        <w:lastRenderedPageBreak/>
        <w:t>Therefore</w:t>
      </w:r>
      <w:r w:rsidRPr="0075418D" w:rsidR="30E902A0">
        <w:rPr>
          <w:rFonts w:ascii="Palatino Linotype" w:hAnsi="Palatino Linotype" w:eastAsia="Palatino Linotype"/>
          <w:sz w:val="24"/>
          <w:szCs w:val="24"/>
        </w:rPr>
        <w:t>,</w:t>
      </w:r>
      <w:r w:rsidRPr="0075418D">
        <w:rPr>
          <w:rFonts w:ascii="Palatino Linotype" w:hAnsi="Palatino Linotype" w:eastAsia="Palatino Linotype"/>
          <w:sz w:val="24"/>
          <w:szCs w:val="24"/>
        </w:rPr>
        <w:t xml:space="preserve"> it is ordered that:</w:t>
      </w:r>
    </w:p>
    <w:p w:rsidRPr="0075418D" w:rsidR="004F16FB" w:rsidP="1972E185" w:rsidRDefault="004F16FB" w14:paraId="6562C91E" w14:textId="1535308E">
      <w:pPr>
        <w:pStyle w:val="ListParagraph"/>
        <w:numPr>
          <w:ilvl w:val="0"/>
          <w:numId w:val="1"/>
        </w:numPr>
        <w:spacing w:line="259" w:lineRule="auto"/>
        <w:ind w:left="420" w:hanging="420"/>
        <w:rPr>
          <w:rFonts w:ascii="Palatino Linotype" w:hAnsi="Palatino Linotype" w:eastAsia="Palatino Linotype"/>
          <w:sz w:val="24"/>
          <w:szCs w:val="24"/>
        </w:rPr>
      </w:pPr>
      <w:r w:rsidRPr="0075418D">
        <w:rPr>
          <w:rFonts w:ascii="Palatino Linotype" w:hAnsi="Palatino Linotype" w:eastAsia="Palatino Linotype"/>
          <w:sz w:val="24"/>
          <w:szCs w:val="24"/>
        </w:rPr>
        <w:t xml:space="preserve">The request of Southern California Gas in </w:t>
      </w:r>
      <w:r w:rsidRPr="0075418D" w:rsidR="7C4C90B7">
        <w:rPr>
          <w:rFonts w:ascii="Palatino Linotype" w:hAnsi="Palatino Linotype" w:eastAsia="Palatino Linotype"/>
          <w:sz w:val="24"/>
          <w:szCs w:val="24"/>
        </w:rPr>
        <w:t xml:space="preserve">AL </w:t>
      </w:r>
      <w:r w:rsidRPr="0075418D">
        <w:rPr>
          <w:rFonts w:ascii="Palatino Linotype" w:hAnsi="Palatino Linotype" w:eastAsia="Palatino Linotype"/>
          <w:sz w:val="24"/>
          <w:szCs w:val="24"/>
        </w:rPr>
        <w:t xml:space="preserve">6224-G to recover its Distribution Integrity Management Program Balancing Account balance for </w:t>
      </w:r>
      <w:r w:rsidRPr="0075418D" w:rsidR="0075418D">
        <w:rPr>
          <w:rFonts w:ascii="Palatino Linotype" w:hAnsi="Palatino Linotype" w:eastAsia="Palatino Linotype"/>
          <w:sz w:val="24"/>
          <w:szCs w:val="24"/>
        </w:rPr>
        <w:t>September</w:t>
      </w:r>
      <w:r w:rsidRPr="0075418D">
        <w:rPr>
          <w:rFonts w:ascii="Palatino Linotype" w:hAnsi="Palatino Linotype" w:eastAsia="Palatino Linotype"/>
          <w:sz w:val="24"/>
          <w:szCs w:val="24"/>
        </w:rPr>
        <w:t xml:space="preserve"> 1, 2019, to January 31, 2023, is approved.</w:t>
      </w:r>
    </w:p>
    <w:p w:rsidRPr="0075418D" w:rsidR="004F16FB" w:rsidP="1972E185" w:rsidRDefault="004F16FB" w14:paraId="2EE47B72" w14:textId="0738F34D">
      <w:pPr>
        <w:pStyle w:val="ListParagraph"/>
        <w:numPr>
          <w:ilvl w:val="0"/>
          <w:numId w:val="1"/>
        </w:numPr>
        <w:spacing w:line="259" w:lineRule="auto"/>
        <w:ind w:left="420" w:hanging="420"/>
        <w:rPr>
          <w:rFonts w:ascii="Palatino Linotype" w:hAnsi="Palatino Linotype" w:eastAsia="Palatino Linotype"/>
          <w:sz w:val="24"/>
          <w:szCs w:val="24"/>
        </w:rPr>
      </w:pPr>
      <w:r w:rsidRPr="0075418D">
        <w:rPr>
          <w:rFonts w:ascii="Palatino Linotype" w:hAnsi="Palatino Linotype" w:eastAsia="Palatino Linotype"/>
          <w:sz w:val="24"/>
          <w:szCs w:val="24"/>
        </w:rPr>
        <w:t xml:space="preserve">Southern California Gas is authorized to recover from ratepayers $81,420,012 and shall implement the resulting revenue requirement over the twelve-month period beginning with the next available gas </w:t>
      </w:r>
      <w:r w:rsidRPr="0075418D" w:rsidR="5DCF8082">
        <w:rPr>
          <w:rFonts w:ascii="Palatino Linotype" w:hAnsi="Palatino Linotype" w:eastAsia="Palatino Linotype"/>
          <w:sz w:val="24"/>
          <w:szCs w:val="24"/>
        </w:rPr>
        <w:t xml:space="preserve">transportation </w:t>
      </w:r>
      <w:r w:rsidRPr="0075418D">
        <w:rPr>
          <w:rFonts w:ascii="Palatino Linotype" w:hAnsi="Palatino Linotype" w:eastAsia="Palatino Linotype"/>
          <w:sz w:val="24"/>
          <w:szCs w:val="24"/>
        </w:rPr>
        <w:t>revenue requirement rate change.</w:t>
      </w:r>
    </w:p>
    <w:p w:rsidRPr="0075418D" w:rsidR="004F16FB" w:rsidP="1972E185" w:rsidRDefault="004F16FB" w14:paraId="5154EBF9" w14:textId="38C459EF">
      <w:pPr>
        <w:pStyle w:val="ListParagraph"/>
        <w:numPr>
          <w:ilvl w:val="0"/>
          <w:numId w:val="1"/>
        </w:numPr>
        <w:spacing w:line="259" w:lineRule="auto"/>
        <w:ind w:left="420" w:hanging="420"/>
        <w:rPr>
          <w:rFonts w:ascii="Palatino Linotype" w:hAnsi="Palatino Linotype" w:eastAsia="Palatino Linotype"/>
          <w:sz w:val="24"/>
          <w:szCs w:val="24"/>
        </w:rPr>
      </w:pPr>
      <w:r w:rsidRPr="0075418D">
        <w:rPr>
          <w:rFonts w:ascii="Palatino Linotype" w:hAnsi="Palatino Linotype" w:eastAsia="Palatino Linotype"/>
          <w:sz w:val="24"/>
          <w:szCs w:val="24"/>
        </w:rPr>
        <w:t xml:space="preserve">At the conclusion of the twelve-month recovery period, Southern California Gas shall file a Tier 1 Advice Letter to remove the authorized </w:t>
      </w:r>
      <w:r w:rsidRPr="0075418D" w:rsidR="00FF3432">
        <w:rPr>
          <w:rFonts w:ascii="Palatino Linotype" w:hAnsi="Palatino Linotype" w:eastAsia="Palatino Linotype"/>
          <w:sz w:val="24"/>
          <w:szCs w:val="24"/>
        </w:rPr>
        <w:t xml:space="preserve">Distribution </w:t>
      </w:r>
      <w:r w:rsidRPr="0075418D">
        <w:rPr>
          <w:rFonts w:ascii="Palatino Linotype" w:hAnsi="Palatino Linotype" w:eastAsia="Palatino Linotype"/>
          <w:sz w:val="24"/>
          <w:szCs w:val="24"/>
        </w:rPr>
        <w:t>Integrity Management Program Balancing Account balance.</w:t>
      </w:r>
    </w:p>
    <w:p w:rsidRPr="0075418D" w:rsidR="004F16FB" w:rsidP="1972E185" w:rsidRDefault="004F16FB" w14:paraId="35331A25" w14:textId="25AEAC54">
      <w:pPr>
        <w:pStyle w:val="ListParagraph"/>
        <w:numPr>
          <w:ilvl w:val="0"/>
          <w:numId w:val="1"/>
        </w:numPr>
        <w:spacing w:line="259" w:lineRule="auto"/>
        <w:ind w:left="420" w:hanging="420"/>
        <w:rPr>
          <w:rFonts w:ascii="Palatino Linotype" w:hAnsi="Palatino Linotype" w:eastAsia="Palatino Linotype"/>
          <w:sz w:val="24"/>
          <w:szCs w:val="24"/>
        </w:rPr>
      </w:pPr>
      <w:r w:rsidRPr="0075418D">
        <w:rPr>
          <w:rFonts w:ascii="Palatino Linotype" w:hAnsi="Palatino Linotype" w:eastAsia="Palatino Linotype"/>
          <w:sz w:val="24"/>
          <w:szCs w:val="24"/>
        </w:rPr>
        <w:t>SoCalGas should use methods consistent with the latest Cost Allocation Decision, to allocate the Distribution Integrity Management Program Balancing Account.</w:t>
      </w:r>
    </w:p>
    <w:p w:rsidR="00CF17DE" w:rsidP="4BA7214B" w:rsidRDefault="00CF17DE" w14:paraId="4BCDF939" w14:textId="77777777">
      <w:pPr>
        <w:tabs>
          <w:tab w:val="left" w:pos="720"/>
          <w:tab w:val="left" w:pos="1296"/>
          <w:tab w:val="left" w:pos="2016"/>
          <w:tab w:val="left" w:pos="2736"/>
          <w:tab w:val="left" w:pos="3456"/>
          <w:tab w:val="left" w:pos="4176"/>
          <w:tab w:val="left" w:pos="5760"/>
        </w:tabs>
        <w:rPr>
          <w:rFonts w:ascii="Palatino Linotype" w:hAnsi="Palatino Linotype" w:eastAsia="Palatino Linotype"/>
          <w:sz w:val="24"/>
          <w:szCs w:val="24"/>
        </w:rPr>
      </w:pPr>
    </w:p>
    <w:p w:rsidRPr="0075418D" w:rsidR="00AC2C59" w:rsidP="4BA7214B" w:rsidRDefault="00AC2C59" w14:paraId="0A7ED03F" w14:textId="77777777">
      <w:pPr>
        <w:tabs>
          <w:tab w:val="left" w:pos="720"/>
          <w:tab w:val="left" w:pos="1296"/>
          <w:tab w:val="left" w:pos="2016"/>
          <w:tab w:val="left" w:pos="2736"/>
          <w:tab w:val="left" w:pos="3456"/>
          <w:tab w:val="left" w:pos="4176"/>
          <w:tab w:val="left" w:pos="5760"/>
        </w:tabs>
        <w:rPr>
          <w:rFonts w:ascii="Palatino Linotype" w:hAnsi="Palatino Linotype" w:eastAsia="Palatino Linotype"/>
          <w:sz w:val="24"/>
          <w:szCs w:val="24"/>
        </w:rPr>
      </w:pPr>
    </w:p>
    <w:p w:rsidRPr="00AC2C59" w:rsidR="00AC2C59" w:rsidP="00AC2C59" w:rsidRDefault="00AC2C59" w14:paraId="73A1A10B"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sz w:val="24"/>
          <w:szCs w:val="24"/>
        </w:rPr>
      </w:pPr>
      <w:r w:rsidRPr="00AC2C59">
        <w:rPr>
          <w:rFonts w:ascii="Palatino Linotype" w:hAnsi="Palatino Linotype" w:eastAsia="Palatino Linotype"/>
          <w:sz w:val="24"/>
          <w:szCs w:val="24"/>
        </w:rPr>
        <w:t>This Resolution is effective today.</w:t>
      </w:r>
    </w:p>
    <w:p w:rsidRPr="00AC2C59" w:rsidR="00AC2C59" w:rsidP="00AC2C59" w:rsidRDefault="00AC2C59" w14:paraId="1AAC1770"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sz w:val="24"/>
          <w:szCs w:val="24"/>
        </w:rPr>
      </w:pPr>
    </w:p>
    <w:p w:rsidRPr="00AC2C59" w:rsidR="00AC2C59" w:rsidP="00AC2C59" w:rsidRDefault="00AC2C59" w14:paraId="7DDCA5D2"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sz w:val="24"/>
          <w:szCs w:val="24"/>
        </w:rPr>
      </w:pPr>
    </w:p>
    <w:p w:rsidRPr="00AC2C59" w:rsidR="00AC2C59" w:rsidP="00AC2C59" w:rsidRDefault="00AC2C59" w14:paraId="14D2678C"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sz w:val="24"/>
          <w:szCs w:val="24"/>
        </w:rPr>
      </w:pPr>
      <w:r w:rsidRPr="00AC2C59">
        <w:rPr>
          <w:rFonts w:ascii="Palatino Linotype" w:hAnsi="Palatino Linotype" w:eastAsia="Palatino Linotype"/>
          <w:sz w:val="24"/>
          <w:szCs w:val="24"/>
        </w:rPr>
        <w:tab/>
      </w:r>
      <w:r w:rsidRPr="00AC2C59">
        <w:rPr>
          <w:rFonts w:ascii="Palatino Linotype" w:hAnsi="Palatino Linotype" w:eastAsia="Palatino Linotype"/>
          <w:sz w:val="24"/>
          <w:szCs w:val="24"/>
        </w:rPr>
        <w:tab/>
      </w:r>
      <w:r w:rsidRPr="00AC2C59">
        <w:rPr>
          <w:rFonts w:ascii="Palatino Linotype" w:hAnsi="Palatino Linotype" w:eastAsia="Palatino Linotype"/>
          <w:sz w:val="24"/>
          <w:szCs w:val="24"/>
        </w:rPr>
        <w:tab/>
      </w:r>
      <w:r w:rsidRPr="00AC2C59">
        <w:rPr>
          <w:rFonts w:ascii="Palatino Linotype" w:hAnsi="Palatino Linotype" w:eastAsia="Palatino Linotype"/>
          <w:sz w:val="24"/>
          <w:szCs w:val="24"/>
        </w:rPr>
        <w:tab/>
      </w:r>
      <w:r w:rsidRPr="00AC2C59">
        <w:rPr>
          <w:rFonts w:ascii="Palatino Linotype" w:hAnsi="Palatino Linotype" w:eastAsia="Palatino Linotype"/>
          <w:sz w:val="24"/>
          <w:szCs w:val="24"/>
        </w:rPr>
        <w:tab/>
      </w:r>
      <w:r w:rsidRPr="00AC2C59">
        <w:rPr>
          <w:rFonts w:ascii="Palatino Linotype" w:hAnsi="Palatino Linotype" w:eastAsia="Palatino Linotype"/>
          <w:sz w:val="24"/>
          <w:szCs w:val="24"/>
        </w:rPr>
        <w:tab/>
        <w:t xml:space="preserve">Commissioner Signature blocks to be added </w:t>
      </w:r>
    </w:p>
    <w:p w:rsidRPr="00AC2C59" w:rsidR="00AC2C59" w:rsidP="00AC2C59" w:rsidRDefault="00AC2C59" w14:paraId="66DB1BE1"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sz w:val="24"/>
          <w:szCs w:val="24"/>
        </w:rPr>
      </w:pPr>
      <w:r w:rsidRPr="00AC2C59">
        <w:rPr>
          <w:rFonts w:ascii="Palatino Linotype" w:hAnsi="Palatino Linotype" w:eastAsia="Palatino Linotype"/>
          <w:sz w:val="24"/>
          <w:szCs w:val="24"/>
        </w:rPr>
        <w:tab/>
      </w:r>
      <w:r w:rsidRPr="00AC2C59">
        <w:rPr>
          <w:rFonts w:ascii="Palatino Linotype" w:hAnsi="Palatino Linotype" w:eastAsia="Palatino Linotype"/>
          <w:sz w:val="24"/>
          <w:szCs w:val="24"/>
        </w:rPr>
        <w:tab/>
      </w:r>
      <w:r w:rsidRPr="00AC2C59">
        <w:rPr>
          <w:rFonts w:ascii="Palatino Linotype" w:hAnsi="Palatino Linotype" w:eastAsia="Palatino Linotype"/>
          <w:sz w:val="24"/>
          <w:szCs w:val="24"/>
        </w:rPr>
        <w:tab/>
      </w:r>
      <w:r w:rsidRPr="00AC2C59">
        <w:rPr>
          <w:rFonts w:ascii="Palatino Linotype" w:hAnsi="Palatino Linotype" w:eastAsia="Palatino Linotype"/>
          <w:sz w:val="24"/>
          <w:szCs w:val="24"/>
        </w:rPr>
        <w:tab/>
      </w:r>
      <w:r w:rsidRPr="00AC2C59">
        <w:rPr>
          <w:rFonts w:ascii="Palatino Linotype" w:hAnsi="Palatino Linotype" w:eastAsia="Palatino Linotype"/>
          <w:sz w:val="24"/>
          <w:szCs w:val="24"/>
        </w:rPr>
        <w:tab/>
      </w:r>
      <w:r w:rsidRPr="00AC2C59">
        <w:rPr>
          <w:rFonts w:ascii="Palatino Linotype" w:hAnsi="Palatino Linotype" w:eastAsia="Palatino Linotype"/>
          <w:sz w:val="24"/>
          <w:szCs w:val="24"/>
        </w:rPr>
        <w:tab/>
        <w:t xml:space="preserve">upon adoption of the resolution </w:t>
      </w:r>
    </w:p>
    <w:p w:rsidRPr="00AC2C59" w:rsidR="00AC2C59" w:rsidP="00AC2C59" w:rsidRDefault="00AC2C59" w14:paraId="7EC98583"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sz w:val="24"/>
          <w:szCs w:val="24"/>
        </w:rPr>
      </w:pPr>
    </w:p>
    <w:p w:rsidRPr="00AC2C59" w:rsidR="00AC2C59" w:rsidP="00AC2C59" w:rsidRDefault="00AC2C59" w14:paraId="1413FFAF"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sz w:val="24"/>
          <w:szCs w:val="24"/>
        </w:rPr>
      </w:pPr>
    </w:p>
    <w:p w:rsidRPr="00AC2C59" w:rsidR="00AC2C59" w:rsidP="00AC2C59" w:rsidRDefault="00AC2C59" w14:paraId="171CDE56"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sz w:val="24"/>
          <w:szCs w:val="24"/>
        </w:rPr>
      </w:pPr>
    </w:p>
    <w:p w:rsidR="00AC2C59" w:rsidP="00AC2C59" w:rsidRDefault="00AC2C59" w14:paraId="498A3719" w14:textId="1032A3BD">
      <w:pPr>
        <w:keepNext/>
        <w:tabs>
          <w:tab w:val="left" w:pos="720"/>
          <w:tab w:val="left" w:pos="1296"/>
          <w:tab w:val="left" w:pos="2016"/>
          <w:tab w:val="left" w:pos="2736"/>
          <w:tab w:val="left" w:pos="3456"/>
          <w:tab w:val="left" w:pos="4176"/>
          <w:tab w:val="left" w:pos="5760"/>
        </w:tabs>
        <w:rPr>
          <w:rFonts w:ascii="Palatino Linotype" w:hAnsi="Palatino Linotype" w:eastAsia="Palatino Linotype"/>
          <w:sz w:val="24"/>
          <w:szCs w:val="24"/>
        </w:rPr>
      </w:pPr>
      <w:r w:rsidRPr="00AC2C59">
        <w:rPr>
          <w:rFonts w:ascii="Palatino Linotype" w:hAnsi="Palatino Linotype" w:eastAsia="Palatino Linotype"/>
          <w:sz w:val="24"/>
          <w:szCs w:val="24"/>
        </w:rPr>
        <w:t xml:space="preserve">The foregoing resolution was duly introduced, passed and adopted at a conference of the Public Utilities Commission of the State of California held on </w:t>
      </w:r>
      <w:r>
        <w:rPr>
          <w:rFonts w:ascii="Palatino Linotype" w:hAnsi="Palatino Linotype" w:eastAsia="Palatino Linotype"/>
          <w:sz w:val="24"/>
          <w:szCs w:val="24"/>
        </w:rPr>
        <w:t>July</w:t>
      </w:r>
      <w:r w:rsidRPr="00AC2C59">
        <w:rPr>
          <w:rFonts w:ascii="Palatino Linotype" w:hAnsi="Palatino Linotype" w:eastAsia="Palatino Linotype"/>
          <w:sz w:val="24"/>
          <w:szCs w:val="24"/>
        </w:rPr>
        <w:t xml:space="preserve"> </w:t>
      </w:r>
      <w:r>
        <w:rPr>
          <w:rFonts w:ascii="Palatino Linotype" w:hAnsi="Palatino Linotype" w:eastAsia="Palatino Linotype"/>
          <w:sz w:val="24"/>
          <w:szCs w:val="24"/>
        </w:rPr>
        <w:t>24</w:t>
      </w:r>
      <w:r w:rsidRPr="00AC2C59">
        <w:rPr>
          <w:rFonts w:ascii="Palatino Linotype" w:hAnsi="Palatino Linotype" w:eastAsia="Palatino Linotype"/>
          <w:sz w:val="24"/>
          <w:szCs w:val="24"/>
        </w:rPr>
        <w:t>, 2025; the following Commissioners voting favorably thereon:</w:t>
      </w:r>
    </w:p>
    <w:p w:rsidRPr="00AC2C59" w:rsidR="00AC2C59" w:rsidP="00AC2C59" w:rsidRDefault="00AC2C59" w14:paraId="482C2AA1"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sz w:val="24"/>
          <w:szCs w:val="24"/>
        </w:rPr>
      </w:pPr>
    </w:p>
    <w:p w:rsidRPr="00AC2C59" w:rsidR="00AC2C59" w:rsidP="00AC2C59" w:rsidRDefault="00AC2C59" w14:paraId="56709A37"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sz w:val="24"/>
          <w:szCs w:val="24"/>
        </w:rPr>
      </w:pPr>
    </w:p>
    <w:p w:rsidRPr="0075418D" w:rsidR="00CF17DE" w:rsidP="00AC2C59" w:rsidRDefault="00AC2C59" w14:paraId="363F8E7E" w14:textId="0CD8E4AD">
      <w:pPr>
        <w:keepNext/>
        <w:tabs>
          <w:tab w:val="left" w:pos="720"/>
          <w:tab w:val="left" w:pos="1296"/>
          <w:tab w:val="left" w:pos="2016"/>
          <w:tab w:val="left" w:pos="2736"/>
          <w:tab w:val="left" w:pos="3456"/>
          <w:tab w:val="left" w:pos="4176"/>
          <w:tab w:val="left" w:pos="5760"/>
        </w:tabs>
        <w:rPr>
          <w:rFonts w:ascii="Palatino Linotype" w:hAnsi="Palatino Linotype" w:eastAsia="Palatino Linotype"/>
          <w:sz w:val="24"/>
          <w:szCs w:val="24"/>
        </w:rPr>
      </w:pPr>
      <w:r w:rsidRPr="00AC2C59">
        <w:rPr>
          <w:rFonts w:ascii="Palatino Linotype" w:hAnsi="Palatino Linotype" w:eastAsia="Palatino Linotype"/>
          <w:sz w:val="24"/>
          <w:szCs w:val="24"/>
        </w:rPr>
        <w:t xml:space="preserve">Dated </w:t>
      </w:r>
      <w:r>
        <w:rPr>
          <w:rFonts w:ascii="Palatino Linotype" w:hAnsi="Palatino Linotype" w:eastAsia="Palatino Linotype"/>
          <w:sz w:val="24"/>
          <w:szCs w:val="24"/>
        </w:rPr>
        <w:t>July</w:t>
      </w:r>
      <w:r w:rsidRPr="00AC2C59">
        <w:rPr>
          <w:rFonts w:ascii="Palatino Linotype" w:hAnsi="Palatino Linotype" w:eastAsia="Palatino Linotype"/>
          <w:sz w:val="24"/>
          <w:szCs w:val="24"/>
        </w:rPr>
        <w:t xml:space="preserve"> </w:t>
      </w:r>
      <w:r>
        <w:rPr>
          <w:rFonts w:ascii="Palatino Linotype" w:hAnsi="Palatino Linotype" w:eastAsia="Palatino Linotype"/>
          <w:sz w:val="24"/>
          <w:szCs w:val="24"/>
        </w:rPr>
        <w:t>24</w:t>
      </w:r>
      <w:r w:rsidRPr="00AC2C59">
        <w:rPr>
          <w:rFonts w:ascii="Palatino Linotype" w:hAnsi="Palatino Linotype" w:eastAsia="Palatino Linotype"/>
          <w:sz w:val="24"/>
          <w:szCs w:val="24"/>
        </w:rPr>
        <w:t xml:space="preserve">, 2025, at </w:t>
      </w:r>
      <w:r>
        <w:rPr>
          <w:rFonts w:ascii="Palatino Linotype" w:hAnsi="Palatino Linotype" w:eastAsia="Palatino Linotype"/>
          <w:sz w:val="24"/>
          <w:szCs w:val="24"/>
        </w:rPr>
        <w:t>San Francisco,</w:t>
      </w:r>
      <w:r w:rsidRPr="00AC2C59">
        <w:rPr>
          <w:rFonts w:ascii="Palatino Linotype" w:hAnsi="Palatino Linotype" w:eastAsia="Palatino Linotype"/>
          <w:sz w:val="24"/>
          <w:szCs w:val="24"/>
        </w:rPr>
        <w:t xml:space="preserve"> California</w:t>
      </w:r>
      <w:r w:rsidRPr="00AC2C59">
        <w:rPr>
          <w:rFonts w:ascii="Palatino Linotype" w:hAnsi="Palatino Linotype" w:eastAsia="Palatino Linotype"/>
          <w:sz w:val="24"/>
          <w:szCs w:val="24"/>
        </w:rPr>
        <w:tab/>
      </w:r>
    </w:p>
    <w:sectPr w:rsidRPr="0075418D" w:rsidR="00CF17DE">
      <w:headerReference w:type="default" r:id="rId11"/>
      <w:footerReference w:type="default" r:id="rId12"/>
      <w:headerReference w:type="first" r:id="rId13"/>
      <w:footerReference w:type="first" r:id="rId1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21954" w14:textId="77777777" w:rsidR="00470C19" w:rsidRDefault="00470C19">
      <w:r>
        <w:separator/>
      </w:r>
    </w:p>
  </w:endnote>
  <w:endnote w:type="continuationSeparator" w:id="0">
    <w:p w14:paraId="00F6A8C4" w14:textId="77777777" w:rsidR="00470C19" w:rsidRDefault="00470C19">
      <w:r>
        <w:continuationSeparator/>
      </w:r>
    </w:p>
  </w:endnote>
  <w:endnote w:type="continuationNotice" w:id="1">
    <w:p w14:paraId="6B6032CB" w14:textId="77777777" w:rsidR="00470C19" w:rsidRDefault="00470C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charset w:val="00"/>
    <w:family w:val="auto"/>
    <w:pitch w:val="variable"/>
    <w:sig w:usb0="20000A87" w:usb1="08000000" w:usb2="00000008" w:usb3="00000000" w:csb0="0000011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sz w:val="24"/>
        <w:szCs w:val="18"/>
      </w:rPr>
      <w:id w:val="-573816544"/>
      <w:docPartObj>
        <w:docPartGallery w:val="Page Numbers (Bottom of Page)"/>
        <w:docPartUnique/>
      </w:docPartObj>
    </w:sdtPr>
    <w:sdtEndPr>
      <w:rPr>
        <w:szCs w:val="24"/>
      </w:rPr>
    </w:sdtEndPr>
    <w:sdtContent>
      <w:p w14:paraId="3B45770E" w14:textId="1BF49253" w:rsidR="00B913F1" w:rsidRPr="00D865A9" w:rsidRDefault="00B913F1">
        <w:pPr>
          <w:pStyle w:val="Footer"/>
          <w:rPr>
            <w:rFonts w:ascii="Palatino Linotype" w:hAnsi="Palatino Linotype"/>
            <w:sz w:val="24"/>
            <w:szCs w:val="18"/>
          </w:rPr>
        </w:pPr>
        <w:r w:rsidRPr="00D865A9">
          <w:rPr>
            <w:rFonts w:ascii="Palatino Linotype" w:hAnsi="Palatino Linotype"/>
            <w:sz w:val="24"/>
            <w:szCs w:val="18"/>
          </w:rPr>
          <w:fldChar w:fldCharType="begin"/>
        </w:r>
        <w:r w:rsidRPr="00D865A9">
          <w:rPr>
            <w:rFonts w:ascii="Palatino Linotype" w:hAnsi="Palatino Linotype"/>
            <w:sz w:val="24"/>
            <w:szCs w:val="18"/>
          </w:rPr>
          <w:instrText xml:space="preserve"> PAGE   \* MERGEFORMAT </w:instrText>
        </w:r>
        <w:r w:rsidRPr="00D865A9">
          <w:rPr>
            <w:rFonts w:ascii="Palatino Linotype" w:hAnsi="Palatino Linotype"/>
            <w:sz w:val="24"/>
            <w:szCs w:val="18"/>
          </w:rPr>
          <w:fldChar w:fldCharType="separate"/>
        </w:r>
        <w:r w:rsidRPr="00D865A9">
          <w:rPr>
            <w:rFonts w:ascii="Palatino Linotype" w:hAnsi="Palatino Linotype"/>
            <w:sz w:val="24"/>
            <w:szCs w:val="18"/>
          </w:rPr>
          <w:t>2</w:t>
        </w:r>
        <w:r w:rsidRPr="00D865A9">
          <w:rPr>
            <w:rFonts w:ascii="Palatino Linotype" w:hAnsi="Palatino Linotype"/>
            <w:sz w:val="24"/>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43D63" w14:textId="6EAE91F4" w:rsidR="00CF17DE" w:rsidRPr="001A1DB2" w:rsidRDefault="00074A73" w:rsidP="00074A73">
    <w:pPr>
      <w:pStyle w:val="Footer"/>
      <w:tabs>
        <w:tab w:val="clear" w:pos="4320"/>
        <w:tab w:val="left" w:pos="795"/>
        <w:tab w:val="center" w:pos="4680"/>
      </w:tabs>
      <w:jc w:val="left"/>
      <w:rPr>
        <w:rFonts w:ascii="Palatino Linotype" w:hAnsi="Palatino Linotype"/>
        <w:sz w:val="24"/>
        <w:szCs w:val="18"/>
      </w:rPr>
    </w:pPr>
    <w:r w:rsidRPr="00074A73">
      <w:rPr>
        <w:rFonts w:ascii="Tahoma" w:hAnsi="Tahoma" w:cs="Tahoma"/>
        <w:sz w:val="20"/>
      </w:rPr>
      <w:t>570143804</w:t>
    </w:r>
    <w:r w:rsidRPr="00074A73">
      <w:rPr>
        <w:rFonts w:ascii="Palatino Linotype" w:hAnsi="Palatino Linotype"/>
        <w:sz w:val="24"/>
        <w:szCs w:val="18"/>
      </w:rPr>
      <w:t>  </w:t>
    </w:r>
    <w:r>
      <w:rPr>
        <w:rStyle w:val="PageNumber"/>
        <w:rFonts w:ascii="Palatino Linotype" w:hAnsi="Palatino Linotype"/>
        <w:sz w:val="24"/>
        <w:szCs w:val="18"/>
      </w:rPr>
      <w:t xml:space="preserve"> </w:t>
    </w:r>
    <w:r>
      <w:rPr>
        <w:rStyle w:val="PageNumber"/>
        <w:rFonts w:ascii="Palatino Linotype" w:hAnsi="Palatino Linotype"/>
        <w:sz w:val="24"/>
        <w:szCs w:val="18"/>
      </w:rPr>
      <w:tab/>
    </w:r>
    <w:r w:rsidR="00CF17DE" w:rsidRPr="001A1DB2">
      <w:rPr>
        <w:rStyle w:val="PageNumber"/>
        <w:rFonts w:ascii="Palatino Linotype" w:hAnsi="Palatino Linotype"/>
        <w:sz w:val="24"/>
        <w:szCs w:val="18"/>
      </w:rPr>
      <w:fldChar w:fldCharType="begin"/>
    </w:r>
    <w:r w:rsidR="00CF17DE" w:rsidRPr="001A1DB2">
      <w:rPr>
        <w:rStyle w:val="PageNumber"/>
        <w:rFonts w:ascii="Palatino Linotype" w:hAnsi="Palatino Linotype"/>
        <w:sz w:val="24"/>
        <w:szCs w:val="18"/>
      </w:rPr>
      <w:instrText xml:space="preserve"> PAGE </w:instrText>
    </w:r>
    <w:r w:rsidR="00CF17DE" w:rsidRPr="001A1DB2">
      <w:rPr>
        <w:rStyle w:val="PageNumber"/>
        <w:rFonts w:ascii="Palatino Linotype" w:hAnsi="Palatino Linotype"/>
        <w:sz w:val="24"/>
        <w:szCs w:val="18"/>
      </w:rPr>
      <w:fldChar w:fldCharType="separate"/>
    </w:r>
    <w:r w:rsidR="00946E2C" w:rsidRPr="001A1DB2">
      <w:rPr>
        <w:rStyle w:val="PageNumber"/>
        <w:rFonts w:ascii="Palatino Linotype" w:hAnsi="Palatino Linotype"/>
        <w:sz w:val="24"/>
        <w:szCs w:val="18"/>
      </w:rPr>
      <w:t>1</w:t>
    </w:r>
    <w:r w:rsidR="00CF17DE" w:rsidRPr="001A1DB2">
      <w:rPr>
        <w:rStyle w:val="PageNumber"/>
        <w:rFonts w:ascii="Palatino Linotype" w:hAnsi="Palatino Linotype"/>
        <w:sz w:val="24"/>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AF9BD" w14:textId="77777777" w:rsidR="00470C19" w:rsidRDefault="00470C19">
      <w:r>
        <w:separator/>
      </w:r>
    </w:p>
  </w:footnote>
  <w:footnote w:type="continuationSeparator" w:id="0">
    <w:p w14:paraId="2A371379" w14:textId="77777777" w:rsidR="00470C19" w:rsidRDefault="00470C19">
      <w:r>
        <w:continuationSeparator/>
      </w:r>
    </w:p>
  </w:footnote>
  <w:footnote w:type="continuationNotice" w:id="1">
    <w:p w14:paraId="098EE250" w14:textId="77777777" w:rsidR="00470C19" w:rsidRDefault="00470C19">
      <w:pPr>
        <w:rPr>
          <w:sz w:val="22"/>
        </w:rPr>
      </w:pPr>
    </w:p>
    <w:p w14:paraId="498CC0DF" w14:textId="77777777" w:rsidR="00470C19" w:rsidRDefault="00470C19">
      <w:pPr>
        <w:jc w:val="right"/>
        <w:rPr>
          <w:sz w:val="22"/>
        </w:rPr>
      </w:pPr>
      <w:r>
        <w:rPr>
          <w:i/>
          <w:sz w:val="22"/>
        </w:rPr>
        <w:t xml:space="preserve">Footnote </w:t>
      </w:r>
      <w:proofErr w:type="gramStart"/>
      <w:r>
        <w:rPr>
          <w:i/>
          <w:sz w:val="22"/>
        </w:rPr>
        <w:t>continued on</w:t>
      </w:r>
      <w:proofErr w:type="gramEnd"/>
      <w:r>
        <w:rPr>
          <w:i/>
          <w:sz w:val="22"/>
        </w:rPr>
        <w:t xml:space="preserve"> next page</w:t>
      </w:r>
    </w:p>
  </w:footnote>
  <w:footnote w:id="2">
    <w:p w14:paraId="28166847" w14:textId="57685FCF" w:rsidR="00492F2C" w:rsidRPr="0075418D" w:rsidRDefault="00492F2C" w:rsidP="0044185D">
      <w:pPr>
        <w:pStyle w:val="FootnoteText"/>
        <w:numPr>
          <w:ilvl w:val="0"/>
          <w:numId w:val="0"/>
        </w:numPr>
        <w:spacing w:after="0"/>
        <w:contextualSpacing/>
        <w:rPr>
          <w:rFonts w:ascii="Palatino Linotype" w:hAnsi="Palatino Linotype"/>
          <w:sz w:val="20"/>
        </w:rPr>
      </w:pPr>
      <w:r w:rsidRPr="0075418D">
        <w:rPr>
          <w:rStyle w:val="FootnoteReference"/>
          <w:rFonts w:ascii="Palatino Linotype" w:hAnsi="Palatino Linotype"/>
          <w:sz w:val="20"/>
        </w:rPr>
        <w:footnoteRef/>
      </w:r>
      <w:r w:rsidRPr="0075418D">
        <w:rPr>
          <w:rFonts w:ascii="Palatino Linotype" w:hAnsi="Palatino Linotype"/>
          <w:sz w:val="20"/>
        </w:rPr>
        <w:t xml:space="preserve"> Advice Letter 6</w:t>
      </w:r>
      <w:r w:rsidR="00AD450D" w:rsidRPr="0075418D">
        <w:rPr>
          <w:rFonts w:ascii="Palatino Linotype" w:hAnsi="Palatino Linotype"/>
          <w:sz w:val="20"/>
        </w:rPr>
        <w:t>224</w:t>
      </w:r>
      <w:r w:rsidRPr="0075418D">
        <w:rPr>
          <w:rFonts w:ascii="Palatino Linotype" w:hAnsi="Palatino Linotype"/>
          <w:sz w:val="20"/>
        </w:rPr>
        <w:t>-G.</w:t>
      </w:r>
    </w:p>
  </w:footnote>
  <w:footnote w:id="3">
    <w:p w14:paraId="4D45E88F" w14:textId="012E17F6" w:rsidR="00492F2C" w:rsidRPr="0075418D" w:rsidRDefault="00492F2C" w:rsidP="0044185D">
      <w:pPr>
        <w:pStyle w:val="FootnoteText"/>
        <w:numPr>
          <w:ilvl w:val="0"/>
          <w:numId w:val="0"/>
        </w:numPr>
        <w:spacing w:after="0"/>
        <w:contextualSpacing/>
        <w:rPr>
          <w:rFonts w:ascii="Palatino Linotype" w:hAnsi="Palatino Linotype"/>
          <w:sz w:val="20"/>
        </w:rPr>
      </w:pPr>
      <w:r w:rsidRPr="0075418D">
        <w:rPr>
          <w:rStyle w:val="FootnoteReference"/>
          <w:rFonts w:ascii="Palatino Linotype" w:hAnsi="Palatino Linotype"/>
          <w:sz w:val="20"/>
        </w:rPr>
        <w:footnoteRef/>
      </w:r>
      <w:r w:rsidRPr="0075418D">
        <w:rPr>
          <w:rFonts w:ascii="Palatino Linotype" w:hAnsi="Palatino Linotype"/>
          <w:sz w:val="20"/>
        </w:rPr>
        <w:t xml:space="preserve"> D.19-09-051</w:t>
      </w:r>
    </w:p>
  </w:footnote>
  <w:footnote w:id="4">
    <w:p w14:paraId="18ECE570" w14:textId="67E7C58D" w:rsidR="00DE4762" w:rsidRPr="0075418D" w:rsidRDefault="00DE4762" w:rsidP="00814292">
      <w:pPr>
        <w:pStyle w:val="FootnoteText"/>
        <w:numPr>
          <w:ilvl w:val="0"/>
          <w:numId w:val="0"/>
        </w:numPr>
        <w:spacing w:after="0"/>
        <w:contextualSpacing/>
        <w:rPr>
          <w:rFonts w:ascii="Palatino Linotype" w:hAnsi="Palatino Linotype"/>
          <w:sz w:val="20"/>
        </w:rPr>
      </w:pPr>
      <w:r w:rsidRPr="0075418D">
        <w:rPr>
          <w:rStyle w:val="FootnoteReference"/>
          <w:rFonts w:ascii="Palatino Linotype" w:hAnsi="Palatino Linotype"/>
          <w:sz w:val="20"/>
        </w:rPr>
        <w:footnoteRef/>
      </w:r>
      <w:r w:rsidRPr="0075418D">
        <w:rPr>
          <w:rFonts w:ascii="Palatino Linotype" w:hAnsi="Palatino Linotype"/>
          <w:sz w:val="20"/>
        </w:rPr>
        <w:t xml:space="preserve"> Ibid.</w:t>
      </w:r>
    </w:p>
  </w:footnote>
  <w:footnote w:id="5">
    <w:p w14:paraId="2B99B859" w14:textId="4B7CFFB3" w:rsidR="00DA6834" w:rsidRPr="0075418D" w:rsidRDefault="00DA6834" w:rsidP="00814292">
      <w:pPr>
        <w:pStyle w:val="FootnoteText"/>
        <w:numPr>
          <w:ilvl w:val="0"/>
          <w:numId w:val="0"/>
        </w:numPr>
        <w:spacing w:after="0"/>
        <w:contextualSpacing/>
        <w:rPr>
          <w:rFonts w:ascii="Palatino Linotype" w:hAnsi="Palatino Linotype"/>
          <w:sz w:val="20"/>
        </w:rPr>
      </w:pPr>
      <w:r w:rsidRPr="0075418D">
        <w:rPr>
          <w:rStyle w:val="FootnoteReference"/>
          <w:rFonts w:ascii="Palatino Linotype" w:hAnsi="Palatino Linotype"/>
          <w:sz w:val="20"/>
        </w:rPr>
        <w:footnoteRef/>
      </w:r>
      <w:r w:rsidRPr="0075418D">
        <w:rPr>
          <w:rFonts w:ascii="Palatino Linotype" w:hAnsi="Palatino Linotype"/>
          <w:sz w:val="20"/>
        </w:rPr>
        <w:t xml:space="preserve"> </w:t>
      </w:r>
      <w:r w:rsidR="0033669D" w:rsidRPr="0075418D">
        <w:rPr>
          <w:rFonts w:ascii="Palatino Linotype" w:hAnsi="Palatino Linotype"/>
          <w:sz w:val="20"/>
        </w:rPr>
        <w:t>S</w:t>
      </w:r>
      <w:r w:rsidRPr="0075418D">
        <w:rPr>
          <w:rFonts w:ascii="Palatino Linotype" w:hAnsi="Palatino Linotype"/>
          <w:sz w:val="20"/>
        </w:rPr>
        <w:t>ee: https://www.federalregister.gov/documents/2009/12/04/E9-28467/pipeline-safety-integrity-management-program-for-gas-distribution-pipelines</w:t>
      </w:r>
    </w:p>
  </w:footnote>
  <w:footnote w:id="6">
    <w:p w14:paraId="6C7B4DD0" w14:textId="3B6851F7" w:rsidR="0035032A" w:rsidRPr="0075418D" w:rsidRDefault="0035032A" w:rsidP="00814292">
      <w:pPr>
        <w:pStyle w:val="FootnoteText"/>
        <w:numPr>
          <w:ilvl w:val="0"/>
          <w:numId w:val="0"/>
        </w:numPr>
        <w:spacing w:after="0"/>
        <w:contextualSpacing/>
        <w:rPr>
          <w:rFonts w:ascii="Palatino Linotype" w:hAnsi="Palatino Linotype"/>
          <w:sz w:val="20"/>
        </w:rPr>
      </w:pPr>
      <w:r w:rsidRPr="0075418D">
        <w:rPr>
          <w:rStyle w:val="FootnoteReference"/>
          <w:rFonts w:ascii="Palatino Linotype" w:hAnsi="Palatino Linotype"/>
          <w:sz w:val="20"/>
        </w:rPr>
        <w:footnoteRef/>
      </w:r>
      <w:r w:rsidRPr="0075418D">
        <w:rPr>
          <w:rFonts w:ascii="Palatino Linotype" w:hAnsi="Palatino Linotype"/>
          <w:sz w:val="20"/>
        </w:rPr>
        <w:t xml:space="preserve"> D.13-05-010 at 421-422</w:t>
      </w:r>
    </w:p>
  </w:footnote>
  <w:footnote w:id="7">
    <w:p w14:paraId="06982DA3" w14:textId="1D94349B" w:rsidR="004A07D5" w:rsidRPr="0075418D" w:rsidRDefault="004A07D5" w:rsidP="00814292">
      <w:pPr>
        <w:pStyle w:val="FootnoteText"/>
        <w:numPr>
          <w:ilvl w:val="0"/>
          <w:numId w:val="0"/>
        </w:numPr>
        <w:spacing w:after="0"/>
        <w:contextualSpacing/>
        <w:rPr>
          <w:rFonts w:ascii="Palatino Linotype" w:hAnsi="Palatino Linotype"/>
          <w:sz w:val="20"/>
        </w:rPr>
      </w:pPr>
      <w:r w:rsidRPr="0075418D">
        <w:rPr>
          <w:rStyle w:val="FootnoteReference"/>
          <w:rFonts w:ascii="Palatino Linotype" w:hAnsi="Palatino Linotype"/>
          <w:sz w:val="20"/>
        </w:rPr>
        <w:footnoteRef/>
      </w:r>
      <w:r w:rsidR="41BE7BBC" w:rsidRPr="0075418D">
        <w:rPr>
          <w:rFonts w:ascii="Palatino Linotype" w:hAnsi="Palatino Linotype"/>
          <w:sz w:val="20"/>
        </w:rPr>
        <w:t xml:space="preserve"> D.13-05-010</w:t>
      </w:r>
    </w:p>
  </w:footnote>
  <w:footnote w:id="8">
    <w:p w14:paraId="018356B1" w14:textId="77777777" w:rsidR="00F426EE" w:rsidRPr="0075418D" w:rsidRDefault="00F426EE" w:rsidP="00F426EE">
      <w:pPr>
        <w:pStyle w:val="FootnoteText"/>
        <w:numPr>
          <w:ilvl w:val="0"/>
          <w:numId w:val="0"/>
        </w:numPr>
        <w:spacing w:after="0"/>
        <w:contextualSpacing/>
        <w:rPr>
          <w:rFonts w:ascii="Palatino Linotype" w:hAnsi="Palatino Linotype"/>
          <w:sz w:val="20"/>
        </w:rPr>
      </w:pPr>
      <w:r w:rsidRPr="0075418D">
        <w:rPr>
          <w:rStyle w:val="FootnoteReference"/>
          <w:rFonts w:ascii="Palatino Linotype" w:hAnsi="Palatino Linotype"/>
          <w:sz w:val="20"/>
        </w:rPr>
        <w:footnoteRef/>
      </w:r>
      <w:r w:rsidRPr="0075418D">
        <w:rPr>
          <w:rFonts w:ascii="Palatino Linotype" w:hAnsi="Palatino Linotype"/>
          <w:sz w:val="20"/>
        </w:rPr>
        <w:t xml:space="preserve"> D.16-06-054 O.P. 8</w:t>
      </w:r>
    </w:p>
  </w:footnote>
  <w:footnote w:id="9">
    <w:p w14:paraId="26A1735C" w14:textId="77777777" w:rsidR="00F426EE" w:rsidRPr="0075418D" w:rsidRDefault="00F426EE" w:rsidP="00F426EE">
      <w:pPr>
        <w:pStyle w:val="FootnoteText"/>
        <w:numPr>
          <w:ilvl w:val="0"/>
          <w:numId w:val="0"/>
        </w:numPr>
        <w:spacing w:after="0"/>
        <w:contextualSpacing/>
        <w:rPr>
          <w:rFonts w:ascii="Palatino Linotype" w:hAnsi="Palatino Linotype"/>
          <w:sz w:val="20"/>
        </w:rPr>
      </w:pPr>
      <w:r w:rsidRPr="0075418D">
        <w:rPr>
          <w:rStyle w:val="FootnoteReference"/>
          <w:rFonts w:ascii="Palatino Linotype" w:hAnsi="Palatino Linotype"/>
          <w:sz w:val="20"/>
        </w:rPr>
        <w:footnoteRef/>
      </w:r>
      <w:r w:rsidRPr="0075418D">
        <w:rPr>
          <w:rFonts w:ascii="Palatino Linotype" w:hAnsi="Palatino Linotype"/>
          <w:sz w:val="20"/>
        </w:rPr>
        <w:t xml:space="preserve"> D.19-09-051 O.P. 7</w:t>
      </w:r>
    </w:p>
  </w:footnote>
  <w:footnote w:id="10">
    <w:p w14:paraId="09A1DA2D" w14:textId="77777777" w:rsidR="00F426EE" w:rsidRPr="0075418D" w:rsidRDefault="00F426EE" w:rsidP="00F426EE">
      <w:pPr>
        <w:pStyle w:val="FootnoteText"/>
        <w:numPr>
          <w:ilvl w:val="0"/>
          <w:numId w:val="0"/>
        </w:numPr>
        <w:spacing w:after="0"/>
        <w:contextualSpacing/>
        <w:rPr>
          <w:rFonts w:ascii="Palatino Linotype" w:hAnsi="Palatino Linotype"/>
          <w:sz w:val="20"/>
        </w:rPr>
      </w:pPr>
      <w:r w:rsidRPr="0075418D">
        <w:rPr>
          <w:rStyle w:val="FootnoteReference"/>
          <w:rFonts w:ascii="Palatino Linotype" w:hAnsi="Palatino Linotype"/>
          <w:sz w:val="20"/>
        </w:rPr>
        <w:footnoteRef/>
      </w:r>
      <w:r w:rsidRPr="0075418D">
        <w:rPr>
          <w:rFonts w:ascii="Palatino Linotype" w:hAnsi="Palatino Linotype"/>
          <w:sz w:val="20"/>
        </w:rPr>
        <w:t xml:space="preserve"> D.19-09-051 at 694-695.</w:t>
      </w:r>
    </w:p>
  </w:footnote>
  <w:footnote w:id="11">
    <w:p w14:paraId="4009FC8B" w14:textId="77777777" w:rsidR="00B672C5" w:rsidRPr="0075418D" w:rsidRDefault="00B672C5" w:rsidP="00814292">
      <w:pPr>
        <w:pStyle w:val="FootnoteText"/>
        <w:numPr>
          <w:ilvl w:val="0"/>
          <w:numId w:val="0"/>
        </w:numPr>
        <w:spacing w:after="0"/>
        <w:contextualSpacing/>
        <w:rPr>
          <w:rFonts w:ascii="Palatino Linotype" w:hAnsi="Palatino Linotype"/>
          <w:sz w:val="20"/>
        </w:rPr>
      </w:pPr>
      <w:r w:rsidRPr="0075418D">
        <w:rPr>
          <w:rStyle w:val="FootnoteReference"/>
          <w:rFonts w:ascii="Palatino Linotype" w:hAnsi="Palatino Linotype"/>
          <w:sz w:val="20"/>
        </w:rPr>
        <w:footnoteRef/>
      </w:r>
      <w:r w:rsidRPr="0075418D">
        <w:rPr>
          <w:rFonts w:ascii="Palatino Linotype" w:hAnsi="Palatino Linotype"/>
          <w:sz w:val="20"/>
        </w:rPr>
        <w:t xml:space="preserve"> AL 6224-G, Table 1.</w:t>
      </w:r>
    </w:p>
  </w:footnote>
  <w:footnote w:id="12">
    <w:p w14:paraId="4DFE6B15" w14:textId="51509073" w:rsidR="00850D12" w:rsidRPr="0075418D" w:rsidRDefault="00850D12" w:rsidP="00814292">
      <w:pPr>
        <w:pStyle w:val="FootnoteText"/>
        <w:numPr>
          <w:ilvl w:val="0"/>
          <w:numId w:val="0"/>
        </w:numPr>
        <w:spacing w:after="0"/>
        <w:contextualSpacing/>
        <w:rPr>
          <w:rFonts w:ascii="Palatino Linotype" w:hAnsi="Palatino Linotype"/>
          <w:sz w:val="20"/>
        </w:rPr>
      </w:pPr>
      <w:r w:rsidRPr="0075418D">
        <w:rPr>
          <w:rStyle w:val="FootnoteReference"/>
          <w:rFonts w:ascii="Palatino Linotype" w:hAnsi="Palatino Linotype"/>
          <w:sz w:val="20"/>
        </w:rPr>
        <w:footnoteRef/>
      </w:r>
      <w:r w:rsidR="41BE7BBC" w:rsidRPr="0075418D">
        <w:rPr>
          <w:rFonts w:ascii="Palatino Linotype" w:hAnsi="Palatino Linotype"/>
          <w:sz w:val="20"/>
        </w:rPr>
        <w:t xml:space="preserve"> See AL 6224-G Table 7.</w:t>
      </w:r>
    </w:p>
  </w:footnote>
  <w:footnote w:id="13">
    <w:p w14:paraId="34145ED2" w14:textId="653508BC" w:rsidR="00A64517" w:rsidRPr="0075418D" w:rsidRDefault="00A64517" w:rsidP="00A64517">
      <w:pPr>
        <w:pStyle w:val="FootnoteText"/>
        <w:numPr>
          <w:ilvl w:val="0"/>
          <w:numId w:val="0"/>
        </w:numPr>
        <w:ind w:left="360" w:hanging="360"/>
        <w:rPr>
          <w:rFonts w:ascii="Palatino Linotype" w:hAnsi="Palatino Linotype"/>
          <w:sz w:val="20"/>
        </w:rPr>
      </w:pPr>
      <w:r w:rsidRPr="0075418D">
        <w:rPr>
          <w:rStyle w:val="FootnoteReference"/>
          <w:rFonts w:ascii="Palatino Linotype" w:hAnsi="Palatino Linotype"/>
          <w:sz w:val="20"/>
        </w:rPr>
        <w:footnoteRef/>
      </w:r>
      <w:r w:rsidRPr="0075418D">
        <w:rPr>
          <w:rFonts w:ascii="Palatino Linotype" w:hAnsi="Palatino Linotype"/>
          <w:sz w:val="20"/>
        </w:rPr>
        <w:t xml:space="preserve"> D.24-12-074, Findings of Fact No. </w:t>
      </w:r>
      <w:r w:rsidR="00E2616D" w:rsidRPr="0075418D">
        <w:rPr>
          <w:rFonts w:ascii="Palatino Linotype" w:hAnsi="Palatino Linotype"/>
          <w:sz w:val="20"/>
        </w:rPr>
        <w:t>74</w:t>
      </w:r>
      <w:r w:rsidRPr="0075418D">
        <w:rPr>
          <w:rFonts w:ascii="Palatino Linotype" w:hAnsi="Palatino Linotype"/>
          <w:sz w:val="20"/>
        </w:rPr>
        <w:t>, p. 97</w:t>
      </w:r>
      <w:r w:rsidR="0053609D" w:rsidRPr="0075418D">
        <w:rPr>
          <w:rFonts w:ascii="Palatino Linotype" w:hAnsi="Palatino Linotype"/>
          <w:sz w:val="20"/>
        </w:rPr>
        <w:t>1</w:t>
      </w:r>
      <w:r w:rsidRPr="0075418D">
        <w:rPr>
          <w:rFonts w:ascii="Palatino Linotype" w:hAnsi="Palatino Linotype"/>
          <w:sz w:val="20"/>
        </w:rPr>
        <w:t>.</w:t>
      </w:r>
    </w:p>
  </w:footnote>
  <w:footnote w:id="14">
    <w:p w14:paraId="39E64ECC" w14:textId="2395E001" w:rsidR="00CF4EB9" w:rsidRPr="0075418D" w:rsidRDefault="00CF4EB9" w:rsidP="00CF4EB9">
      <w:pPr>
        <w:pStyle w:val="FootnoteText"/>
        <w:numPr>
          <w:ilvl w:val="0"/>
          <w:numId w:val="0"/>
        </w:numPr>
        <w:spacing w:after="0"/>
        <w:contextualSpacing/>
        <w:rPr>
          <w:rFonts w:ascii="Palatino Linotype" w:hAnsi="Palatino Linotype"/>
          <w:sz w:val="20"/>
        </w:rPr>
      </w:pPr>
      <w:r w:rsidRPr="0075418D">
        <w:rPr>
          <w:rStyle w:val="FootnoteReference"/>
          <w:rFonts w:ascii="Palatino Linotype" w:hAnsi="Palatino Linotype"/>
          <w:sz w:val="20"/>
        </w:rPr>
        <w:footnoteRef/>
      </w:r>
      <w:r w:rsidRPr="0075418D">
        <w:rPr>
          <w:rFonts w:ascii="Palatino Linotype" w:hAnsi="Palatino Linotype"/>
          <w:sz w:val="20"/>
        </w:rPr>
        <w:t xml:space="preserve"> Attachment C p 25 </w:t>
      </w:r>
      <w:r w:rsidR="00E33C4A" w:rsidRPr="0075418D">
        <w:rPr>
          <w:rFonts w:ascii="Palatino Linotype" w:hAnsi="Palatino Linotype"/>
          <w:sz w:val="20"/>
        </w:rPr>
        <w:t>Advice Letter</w:t>
      </w:r>
      <w:r w:rsidRPr="0075418D">
        <w:rPr>
          <w:rFonts w:ascii="Palatino Linotype" w:hAnsi="Palatino Linotype"/>
          <w:sz w:val="20"/>
        </w:rPr>
        <w:t xml:space="preserve"> 6224-G</w:t>
      </w:r>
    </w:p>
  </w:footnote>
  <w:footnote w:id="15">
    <w:p w14:paraId="5369CB9D" w14:textId="6180F606" w:rsidR="00CF4EB9" w:rsidRPr="0075418D" w:rsidRDefault="00CF4EB9" w:rsidP="00CF4EB9">
      <w:pPr>
        <w:pStyle w:val="FootnoteText"/>
        <w:numPr>
          <w:ilvl w:val="0"/>
          <w:numId w:val="0"/>
        </w:numPr>
        <w:spacing w:after="0"/>
        <w:contextualSpacing/>
        <w:rPr>
          <w:rFonts w:ascii="Palatino Linotype" w:hAnsi="Palatino Linotype"/>
          <w:sz w:val="20"/>
        </w:rPr>
      </w:pPr>
      <w:r w:rsidRPr="0075418D">
        <w:rPr>
          <w:rStyle w:val="FootnoteReference"/>
          <w:rFonts w:ascii="Palatino Linotype" w:hAnsi="Palatino Linotype"/>
          <w:sz w:val="20"/>
        </w:rPr>
        <w:footnoteRef/>
      </w:r>
      <w:r w:rsidRPr="0075418D">
        <w:rPr>
          <w:rFonts w:ascii="Palatino Linotype" w:hAnsi="Palatino Linotype"/>
          <w:sz w:val="20"/>
        </w:rPr>
        <w:t xml:space="preserve"> </w:t>
      </w:r>
      <w:r w:rsidR="00850F08" w:rsidRPr="0075418D">
        <w:rPr>
          <w:rFonts w:ascii="Palatino Linotype" w:hAnsi="Palatino Linotype"/>
          <w:sz w:val="20"/>
        </w:rPr>
        <w:t xml:space="preserve">Advice Letter </w:t>
      </w:r>
      <w:r w:rsidRPr="0075418D">
        <w:rPr>
          <w:rFonts w:ascii="Palatino Linotype" w:hAnsi="Palatino Linotype"/>
          <w:sz w:val="20"/>
        </w:rPr>
        <w:t>6224-G p 8</w:t>
      </w:r>
    </w:p>
  </w:footnote>
  <w:footnote w:id="16">
    <w:p w14:paraId="1CB52845" w14:textId="77777777" w:rsidR="00CF4EB9" w:rsidRPr="0075418D" w:rsidRDefault="00CF4EB9" w:rsidP="00CF4EB9">
      <w:pPr>
        <w:pStyle w:val="FootnoteText"/>
        <w:numPr>
          <w:ilvl w:val="0"/>
          <w:numId w:val="0"/>
        </w:numPr>
        <w:spacing w:after="0"/>
        <w:contextualSpacing/>
        <w:rPr>
          <w:rFonts w:ascii="Palatino Linotype" w:hAnsi="Palatino Linotype"/>
          <w:sz w:val="20"/>
        </w:rPr>
      </w:pPr>
      <w:r w:rsidRPr="0075418D">
        <w:rPr>
          <w:rStyle w:val="FootnoteReference"/>
          <w:rFonts w:ascii="Palatino Linotype" w:hAnsi="Palatino Linotype"/>
          <w:sz w:val="20"/>
        </w:rPr>
        <w:footnoteRef/>
      </w:r>
      <w:r w:rsidRPr="0075418D">
        <w:rPr>
          <w:rFonts w:ascii="Palatino Linotype" w:hAnsi="Palatino Linotype"/>
          <w:sz w:val="20"/>
        </w:rPr>
        <w:t xml:space="preserve"> See direct testimony in A.17-10-008, Ex. SCG-14 at MTM-25 to MTM-26 (Oct. 6, 2017).</w:t>
      </w:r>
    </w:p>
  </w:footnote>
  <w:footnote w:id="17">
    <w:p w14:paraId="6CD6978F" w14:textId="77777777" w:rsidR="00CF4EB9" w:rsidRPr="0075418D" w:rsidRDefault="00CF4EB9" w:rsidP="00CF4EB9">
      <w:pPr>
        <w:pStyle w:val="FootnoteText"/>
        <w:numPr>
          <w:ilvl w:val="0"/>
          <w:numId w:val="0"/>
        </w:numPr>
        <w:spacing w:after="0"/>
        <w:contextualSpacing/>
        <w:rPr>
          <w:rFonts w:ascii="Palatino Linotype" w:hAnsi="Palatino Linotype"/>
          <w:sz w:val="20"/>
        </w:rPr>
      </w:pPr>
      <w:r w:rsidRPr="0075418D">
        <w:rPr>
          <w:rStyle w:val="FootnoteReference"/>
          <w:rFonts w:ascii="Palatino Linotype" w:hAnsi="Palatino Linotype"/>
          <w:sz w:val="20"/>
        </w:rPr>
        <w:footnoteRef/>
      </w:r>
      <w:r w:rsidRPr="0075418D">
        <w:rPr>
          <w:rFonts w:ascii="Palatino Linotype" w:hAnsi="Palatino Linotype"/>
          <w:sz w:val="20"/>
        </w:rPr>
        <w:t xml:space="preserve"> </w:t>
      </w:r>
      <w:r w:rsidRPr="0075418D">
        <w:rPr>
          <w:rFonts w:ascii="Palatino Linotype" w:eastAsia="Palatino Linotype" w:hAnsi="Palatino Linotype"/>
          <w:sz w:val="20"/>
        </w:rPr>
        <w:t>See table 5 page 9 in AL 6224-G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8D349" w14:textId="4C684901" w:rsidR="00CF17DE" w:rsidRPr="00D865A9" w:rsidRDefault="61C943AB">
    <w:pPr>
      <w:pStyle w:val="Header"/>
      <w:tabs>
        <w:tab w:val="clear" w:pos="4320"/>
        <w:tab w:val="clear" w:pos="8640"/>
        <w:tab w:val="center" w:pos="4680"/>
        <w:tab w:val="right" w:pos="9180"/>
      </w:tabs>
      <w:rPr>
        <w:rFonts w:ascii="Palatino Linotype" w:hAnsi="Palatino Linotype"/>
        <w:sz w:val="24"/>
        <w:szCs w:val="18"/>
      </w:rPr>
    </w:pPr>
    <w:r w:rsidRPr="00D865A9">
      <w:rPr>
        <w:rFonts w:ascii="Palatino Linotype" w:hAnsi="Palatino Linotype"/>
        <w:sz w:val="24"/>
        <w:szCs w:val="18"/>
      </w:rPr>
      <w:t xml:space="preserve">Resolution </w:t>
    </w:r>
    <w:r w:rsidR="00DE4762">
      <w:rPr>
        <w:rFonts w:ascii="Palatino Linotype" w:hAnsi="Palatino Linotype"/>
        <w:sz w:val="24"/>
        <w:szCs w:val="18"/>
      </w:rPr>
      <w:t>G-3610</w:t>
    </w:r>
    <w:r w:rsidR="00CF17DE" w:rsidRPr="00D865A9">
      <w:rPr>
        <w:rFonts w:ascii="Palatino Linotype" w:hAnsi="Palatino Linotype"/>
        <w:sz w:val="24"/>
        <w:szCs w:val="18"/>
      </w:rPr>
      <w:tab/>
    </w:r>
    <w:r w:rsidRPr="00D865A9">
      <w:rPr>
        <w:rFonts w:ascii="Palatino Linotype" w:hAnsi="Palatino Linotype"/>
        <w:sz w:val="24"/>
        <w:szCs w:val="18"/>
      </w:rPr>
      <w:t>DRAFT</w:t>
    </w:r>
    <w:r w:rsidR="00CF17DE" w:rsidRPr="00D865A9">
      <w:rPr>
        <w:rFonts w:ascii="Palatino Linotype" w:hAnsi="Palatino Linotype"/>
        <w:sz w:val="24"/>
        <w:szCs w:val="18"/>
      </w:rPr>
      <w:tab/>
    </w:r>
    <w:r w:rsidR="00E754B3">
      <w:rPr>
        <w:rFonts w:ascii="Palatino Linotype" w:hAnsi="Palatino Linotype"/>
        <w:sz w:val="24"/>
        <w:szCs w:val="18"/>
      </w:rPr>
      <w:t>July 24,</w:t>
    </w:r>
    <w:r w:rsidR="00AC5ECF">
      <w:rPr>
        <w:rFonts w:ascii="Palatino Linotype" w:hAnsi="Palatino Linotype"/>
        <w:sz w:val="24"/>
        <w:szCs w:val="18"/>
      </w:rPr>
      <w:t xml:space="preserve"> 2025</w:t>
    </w:r>
  </w:p>
  <w:p w14:paraId="4143421F" w14:textId="6D991EF1" w:rsidR="00DE4762" w:rsidRPr="00D865A9" w:rsidRDefault="0075418D" w:rsidP="00DE4762">
    <w:pPr>
      <w:pStyle w:val="Header"/>
      <w:tabs>
        <w:tab w:val="clear" w:pos="4320"/>
        <w:tab w:val="clear" w:pos="8640"/>
        <w:tab w:val="center" w:pos="4680"/>
        <w:tab w:val="right" w:pos="9180"/>
      </w:tabs>
      <w:rPr>
        <w:rFonts w:ascii="Palatino Linotype" w:hAnsi="Palatino Linotype"/>
        <w:sz w:val="24"/>
        <w:szCs w:val="18"/>
      </w:rPr>
    </w:pPr>
    <w:r>
      <w:rPr>
        <w:rFonts w:ascii="Palatino Linotype" w:hAnsi="Palatino Linotype"/>
        <w:sz w:val="24"/>
        <w:szCs w:val="18"/>
      </w:rPr>
      <w:t>SoCalGas</w:t>
    </w:r>
    <w:r w:rsidR="00DE4762">
      <w:rPr>
        <w:rFonts w:ascii="Palatino Linotype" w:hAnsi="Palatino Linotype"/>
        <w:sz w:val="24"/>
        <w:szCs w:val="18"/>
      </w:rPr>
      <w:t xml:space="preserve"> </w:t>
    </w:r>
    <w:r w:rsidR="00DE4762" w:rsidRPr="00D865A9">
      <w:rPr>
        <w:rFonts w:ascii="Palatino Linotype" w:hAnsi="Palatino Linotype"/>
        <w:sz w:val="24"/>
        <w:szCs w:val="18"/>
      </w:rPr>
      <w:t xml:space="preserve">AL </w:t>
    </w:r>
    <w:r w:rsidR="00DE4762">
      <w:rPr>
        <w:rFonts w:ascii="Palatino Linotype" w:hAnsi="Palatino Linotype"/>
        <w:sz w:val="24"/>
        <w:szCs w:val="18"/>
      </w:rPr>
      <w:t>6</w:t>
    </w:r>
    <w:r w:rsidR="00AC5ECF">
      <w:rPr>
        <w:rFonts w:ascii="Palatino Linotype" w:hAnsi="Palatino Linotype"/>
        <w:sz w:val="24"/>
        <w:szCs w:val="18"/>
      </w:rPr>
      <w:t>224</w:t>
    </w:r>
    <w:r w:rsidR="00DE4762">
      <w:rPr>
        <w:rFonts w:ascii="Palatino Linotype" w:hAnsi="Palatino Linotype"/>
        <w:sz w:val="24"/>
        <w:szCs w:val="18"/>
      </w:rPr>
      <w:t>-G</w:t>
    </w:r>
    <w:r w:rsidR="00DE4762" w:rsidRPr="00D865A9">
      <w:rPr>
        <w:rFonts w:ascii="Palatino Linotype" w:hAnsi="Palatino Linotype"/>
        <w:sz w:val="24"/>
        <w:szCs w:val="18"/>
      </w:rPr>
      <w:t>/</w:t>
    </w:r>
    <w:r w:rsidR="00DE4762">
      <w:rPr>
        <w:rFonts w:ascii="Palatino Linotype" w:hAnsi="Palatino Linotype"/>
        <w:sz w:val="24"/>
        <w:szCs w:val="18"/>
      </w:rPr>
      <w:t>KF4</w:t>
    </w:r>
  </w:p>
  <w:p w14:paraId="013F4CD4" w14:textId="77777777" w:rsidR="00CF17DE" w:rsidRPr="00D865A9" w:rsidRDefault="00CF17DE">
    <w:pPr>
      <w:pStyle w:val="Header"/>
      <w:rPr>
        <w:rFonts w:ascii="Palatino Linotype" w:hAnsi="Palatino Linotype"/>
        <w:sz w:val="24"/>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1F806" w14:textId="554E3760" w:rsidR="00CF17DE" w:rsidRPr="00F705C8" w:rsidRDefault="00CF17DE" w:rsidP="003F6E5A">
    <w:pPr>
      <w:pStyle w:val="Header"/>
      <w:jc w:val="center"/>
      <w:rPr>
        <w:rFonts w:ascii="Palatino Linotype" w:hAnsi="Palatino Linotype"/>
        <w:sz w:val="24"/>
        <w:szCs w:val="24"/>
      </w:rPr>
    </w:pPr>
    <w:r w:rsidRPr="70446A5D">
      <w:rPr>
        <w:rFonts w:ascii="Palatino Linotype" w:hAnsi="Palatino Linotype"/>
        <w:sz w:val="24"/>
        <w:szCs w:val="24"/>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04A7"/>
    <w:multiLevelType w:val="multilevel"/>
    <w:tmpl w:val="3E661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AE5E0A"/>
    <w:multiLevelType w:val="singleLevel"/>
    <w:tmpl w:val="81622C8A"/>
    <w:lvl w:ilvl="0">
      <w:start w:val="1"/>
      <w:numFmt w:val="upperLetter"/>
      <w:pStyle w:val="AListIndent"/>
      <w:lvlText w:val="%1. "/>
      <w:lvlJc w:val="left"/>
      <w:pPr>
        <w:tabs>
          <w:tab w:val="num" w:pos="1152"/>
        </w:tabs>
        <w:ind w:left="1152" w:hanging="432"/>
      </w:pPr>
      <w:rPr>
        <w:rFonts w:ascii="Courier" w:hAnsi="Courier" w:hint="default"/>
        <w:b w:val="0"/>
        <w:i w:val="0"/>
        <w:sz w:val="24"/>
      </w:rPr>
    </w:lvl>
  </w:abstractNum>
  <w:abstractNum w:abstractNumId="2"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0BE53B0F"/>
    <w:multiLevelType w:val="hybridMultilevel"/>
    <w:tmpl w:val="D6E21464"/>
    <w:lvl w:ilvl="0" w:tplc="B100DC54">
      <w:start w:val="1"/>
      <w:numFmt w:val="decimal"/>
      <w:lvlText w:val="%1."/>
      <w:lvlJc w:val="left"/>
      <w:pPr>
        <w:ind w:left="720" w:hanging="360"/>
      </w:pPr>
    </w:lvl>
    <w:lvl w:ilvl="1" w:tplc="4424760C">
      <w:start w:val="1"/>
      <w:numFmt w:val="lowerLetter"/>
      <w:lvlText w:val="%2."/>
      <w:lvlJc w:val="left"/>
      <w:pPr>
        <w:ind w:left="1440" w:hanging="360"/>
      </w:pPr>
    </w:lvl>
    <w:lvl w:ilvl="2" w:tplc="28744034">
      <w:start w:val="1"/>
      <w:numFmt w:val="lowerRoman"/>
      <w:lvlText w:val="%3."/>
      <w:lvlJc w:val="right"/>
      <w:pPr>
        <w:ind w:left="2160" w:hanging="180"/>
      </w:pPr>
    </w:lvl>
    <w:lvl w:ilvl="3" w:tplc="7860963E">
      <w:start w:val="1"/>
      <w:numFmt w:val="decimal"/>
      <w:lvlText w:val="%4."/>
      <w:lvlJc w:val="left"/>
      <w:pPr>
        <w:ind w:left="2880" w:hanging="360"/>
      </w:pPr>
    </w:lvl>
    <w:lvl w:ilvl="4" w:tplc="686A1114">
      <w:start w:val="1"/>
      <w:numFmt w:val="lowerLetter"/>
      <w:lvlText w:val="%5."/>
      <w:lvlJc w:val="left"/>
      <w:pPr>
        <w:ind w:left="3600" w:hanging="360"/>
      </w:pPr>
    </w:lvl>
    <w:lvl w:ilvl="5" w:tplc="7152C2B4">
      <w:start w:val="1"/>
      <w:numFmt w:val="lowerRoman"/>
      <w:lvlText w:val="%6."/>
      <w:lvlJc w:val="right"/>
      <w:pPr>
        <w:ind w:left="4320" w:hanging="180"/>
      </w:pPr>
    </w:lvl>
    <w:lvl w:ilvl="6" w:tplc="F41201F8">
      <w:start w:val="1"/>
      <w:numFmt w:val="decimal"/>
      <w:lvlText w:val="%7."/>
      <w:lvlJc w:val="left"/>
      <w:pPr>
        <w:ind w:left="5040" w:hanging="360"/>
      </w:pPr>
    </w:lvl>
    <w:lvl w:ilvl="7" w:tplc="E354CA72">
      <w:start w:val="1"/>
      <w:numFmt w:val="lowerLetter"/>
      <w:lvlText w:val="%8."/>
      <w:lvlJc w:val="left"/>
      <w:pPr>
        <w:ind w:left="5760" w:hanging="360"/>
      </w:pPr>
    </w:lvl>
    <w:lvl w:ilvl="8" w:tplc="2054B740">
      <w:start w:val="1"/>
      <w:numFmt w:val="lowerRoman"/>
      <w:lvlText w:val="%9."/>
      <w:lvlJc w:val="right"/>
      <w:pPr>
        <w:ind w:left="6480" w:hanging="180"/>
      </w:pPr>
    </w:lvl>
  </w:abstractNum>
  <w:abstractNum w:abstractNumId="4" w15:restartNumberingAfterBreak="0">
    <w:nsid w:val="19237998"/>
    <w:multiLevelType w:val="hybridMultilevel"/>
    <w:tmpl w:val="2F229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480B1D"/>
    <w:multiLevelType w:val="multilevel"/>
    <w:tmpl w:val="88443944"/>
    <w:lvl w:ilvl="0">
      <w:start w:val="1"/>
      <w:numFmt w:val="decimal"/>
      <w:pStyle w:val="FootnoteText"/>
      <w:lvlText w:val="%1."/>
      <w:lvlJc w:val="left"/>
      <w:pPr>
        <w:tabs>
          <w:tab w:val="num" w:pos="360"/>
        </w:tabs>
        <w:ind w:left="360" w:hanging="360"/>
      </w:pPr>
      <w:rPr>
        <w:rFonts w:hint="default"/>
      </w:rPr>
    </w:lvl>
    <w:lvl w:ilvl="1">
      <w:start w:val="1"/>
      <w:numFmt w:val="decimal"/>
      <w:pStyle w:val="Heading2"/>
      <w:isLgl/>
      <w:lvlText w:val="%1.%2"/>
      <w:lvlJc w:val="left"/>
      <w:pPr>
        <w:tabs>
          <w:tab w:val="num" w:pos="1215"/>
        </w:tabs>
        <w:ind w:left="1215" w:hanging="495"/>
      </w:pPr>
      <w:rPr>
        <w:rFonts w:hint="default"/>
      </w:rPr>
    </w:lvl>
    <w:lvl w:ilvl="2">
      <w:start w:val="1"/>
      <w:numFmt w:val="decimal"/>
      <w:isLgl/>
      <w:lvlText w:val="%1.%2.%3"/>
      <w:lvlJc w:val="left"/>
      <w:pPr>
        <w:tabs>
          <w:tab w:val="num" w:pos="2160"/>
        </w:tabs>
        <w:ind w:left="2160" w:hanging="720"/>
      </w:pPr>
      <w:rPr>
        <w:rFonts w:hint="default"/>
      </w:rPr>
    </w:lvl>
    <w:lvl w:ilvl="3">
      <w:start w:val="1"/>
      <w:numFmt w:val="decimalZero"/>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6" w15:restartNumberingAfterBreak="0">
    <w:nsid w:val="26F8414F"/>
    <w:multiLevelType w:val="hybridMultilevel"/>
    <w:tmpl w:val="2508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3B607BE"/>
    <w:multiLevelType w:val="hybridMultilevel"/>
    <w:tmpl w:val="772AE192"/>
    <w:lvl w:ilvl="0" w:tplc="1DF0C2B8">
      <w:start w:val="1"/>
      <w:numFmt w:val="bullet"/>
      <w:lvlText w:val="·"/>
      <w:lvlJc w:val="left"/>
      <w:pPr>
        <w:ind w:left="720" w:hanging="360"/>
      </w:pPr>
      <w:rPr>
        <w:rFonts w:ascii="Symbol" w:hAnsi="Symbol" w:hint="default"/>
      </w:rPr>
    </w:lvl>
    <w:lvl w:ilvl="1" w:tplc="82C07882">
      <w:start w:val="1"/>
      <w:numFmt w:val="bullet"/>
      <w:lvlText w:val="o"/>
      <w:lvlJc w:val="left"/>
      <w:pPr>
        <w:ind w:left="1440" w:hanging="360"/>
      </w:pPr>
      <w:rPr>
        <w:rFonts w:ascii="Courier New" w:hAnsi="Courier New" w:hint="default"/>
      </w:rPr>
    </w:lvl>
    <w:lvl w:ilvl="2" w:tplc="ABE01C7A">
      <w:start w:val="1"/>
      <w:numFmt w:val="bullet"/>
      <w:lvlText w:val=""/>
      <w:lvlJc w:val="left"/>
      <w:pPr>
        <w:ind w:left="2160" w:hanging="360"/>
      </w:pPr>
      <w:rPr>
        <w:rFonts w:ascii="Wingdings" w:hAnsi="Wingdings" w:hint="default"/>
      </w:rPr>
    </w:lvl>
    <w:lvl w:ilvl="3" w:tplc="E92E2906">
      <w:start w:val="1"/>
      <w:numFmt w:val="bullet"/>
      <w:lvlText w:val=""/>
      <w:lvlJc w:val="left"/>
      <w:pPr>
        <w:ind w:left="2880" w:hanging="360"/>
      </w:pPr>
      <w:rPr>
        <w:rFonts w:ascii="Symbol" w:hAnsi="Symbol" w:hint="default"/>
      </w:rPr>
    </w:lvl>
    <w:lvl w:ilvl="4" w:tplc="10AE2F64">
      <w:start w:val="1"/>
      <w:numFmt w:val="bullet"/>
      <w:lvlText w:val="o"/>
      <w:lvlJc w:val="left"/>
      <w:pPr>
        <w:ind w:left="3600" w:hanging="360"/>
      </w:pPr>
      <w:rPr>
        <w:rFonts w:ascii="Courier New" w:hAnsi="Courier New" w:hint="default"/>
      </w:rPr>
    </w:lvl>
    <w:lvl w:ilvl="5" w:tplc="798C6B34">
      <w:start w:val="1"/>
      <w:numFmt w:val="bullet"/>
      <w:lvlText w:val=""/>
      <w:lvlJc w:val="left"/>
      <w:pPr>
        <w:ind w:left="4320" w:hanging="360"/>
      </w:pPr>
      <w:rPr>
        <w:rFonts w:ascii="Wingdings" w:hAnsi="Wingdings" w:hint="default"/>
      </w:rPr>
    </w:lvl>
    <w:lvl w:ilvl="6" w:tplc="3B50EA0A">
      <w:start w:val="1"/>
      <w:numFmt w:val="bullet"/>
      <w:lvlText w:val=""/>
      <w:lvlJc w:val="left"/>
      <w:pPr>
        <w:ind w:left="5040" w:hanging="360"/>
      </w:pPr>
      <w:rPr>
        <w:rFonts w:ascii="Symbol" w:hAnsi="Symbol" w:hint="default"/>
      </w:rPr>
    </w:lvl>
    <w:lvl w:ilvl="7" w:tplc="44A276DE">
      <w:start w:val="1"/>
      <w:numFmt w:val="bullet"/>
      <w:lvlText w:val="o"/>
      <w:lvlJc w:val="left"/>
      <w:pPr>
        <w:ind w:left="5760" w:hanging="360"/>
      </w:pPr>
      <w:rPr>
        <w:rFonts w:ascii="Courier New" w:hAnsi="Courier New" w:hint="default"/>
      </w:rPr>
    </w:lvl>
    <w:lvl w:ilvl="8" w:tplc="7C682E76">
      <w:start w:val="1"/>
      <w:numFmt w:val="bullet"/>
      <w:lvlText w:val=""/>
      <w:lvlJc w:val="left"/>
      <w:pPr>
        <w:ind w:left="6480" w:hanging="360"/>
      </w:pPr>
      <w:rPr>
        <w:rFonts w:ascii="Wingdings" w:hAnsi="Wingdings" w:hint="default"/>
      </w:rPr>
    </w:lvl>
  </w:abstractNum>
  <w:abstractNum w:abstractNumId="8" w15:restartNumberingAfterBreak="0">
    <w:nsid w:val="3AA16231"/>
    <w:multiLevelType w:val="hybridMultilevel"/>
    <w:tmpl w:val="954AC3F0"/>
    <w:lvl w:ilvl="0" w:tplc="4A0C3290">
      <w:start w:val="1"/>
      <w:numFmt w:val="bullet"/>
      <w:lvlText w:val="·"/>
      <w:lvlJc w:val="left"/>
      <w:pPr>
        <w:ind w:left="720" w:hanging="360"/>
      </w:pPr>
      <w:rPr>
        <w:rFonts w:ascii="Symbol" w:hAnsi="Symbol" w:hint="default"/>
      </w:rPr>
    </w:lvl>
    <w:lvl w:ilvl="1" w:tplc="3CD0474A">
      <w:start w:val="1"/>
      <w:numFmt w:val="bullet"/>
      <w:lvlText w:val="o"/>
      <w:lvlJc w:val="left"/>
      <w:pPr>
        <w:ind w:left="1440" w:hanging="360"/>
      </w:pPr>
      <w:rPr>
        <w:rFonts w:ascii="Courier New" w:hAnsi="Courier New" w:hint="default"/>
      </w:rPr>
    </w:lvl>
    <w:lvl w:ilvl="2" w:tplc="3D681224">
      <w:start w:val="1"/>
      <w:numFmt w:val="bullet"/>
      <w:lvlText w:val=""/>
      <w:lvlJc w:val="left"/>
      <w:pPr>
        <w:ind w:left="2160" w:hanging="360"/>
      </w:pPr>
      <w:rPr>
        <w:rFonts w:ascii="Wingdings" w:hAnsi="Wingdings" w:hint="default"/>
      </w:rPr>
    </w:lvl>
    <w:lvl w:ilvl="3" w:tplc="46B61AA2">
      <w:start w:val="1"/>
      <w:numFmt w:val="bullet"/>
      <w:lvlText w:val=""/>
      <w:lvlJc w:val="left"/>
      <w:pPr>
        <w:ind w:left="2880" w:hanging="360"/>
      </w:pPr>
      <w:rPr>
        <w:rFonts w:ascii="Symbol" w:hAnsi="Symbol" w:hint="default"/>
      </w:rPr>
    </w:lvl>
    <w:lvl w:ilvl="4" w:tplc="061CBAA0">
      <w:start w:val="1"/>
      <w:numFmt w:val="bullet"/>
      <w:lvlText w:val="o"/>
      <w:lvlJc w:val="left"/>
      <w:pPr>
        <w:ind w:left="3600" w:hanging="360"/>
      </w:pPr>
      <w:rPr>
        <w:rFonts w:ascii="Courier New" w:hAnsi="Courier New" w:hint="default"/>
      </w:rPr>
    </w:lvl>
    <w:lvl w:ilvl="5" w:tplc="311210CA">
      <w:start w:val="1"/>
      <w:numFmt w:val="bullet"/>
      <w:lvlText w:val=""/>
      <w:lvlJc w:val="left"/>
      <w:pPr>
        <w:ind w:left="4320" w:hanging="360"/>
      </w:pPr>
      <w:rPr>
        <w:rFonts w:ascii="Wingdings" w:hAnsi="Wingdings" w:hint="default"/>
      </w:rPr>
    </w:lvl>
    <w:lvl w:ilvl="6" w:tplc="705C039A">
      <w:start w:val="1"/>
      <w:numFmt w:val="bullet"/>
      <w:lvlText w:val=""/>
      <w:lvlJc w:val="left"/>
      <w:pPr>
        <w:ind w:left="5040" w:hanging="360"/>
      </w:pPr>
      <w:rPr>
        <w:rFonts w:ascii="Symbol" w:hAnsi="Symbol" w:hint="default"/>
      </w:rPr>
    </w:lvl>
    <w:lvl w:ilvl="7" w:tplc="6C72A9A2">
      <w:start w:val="1"/>
      <w:numFmt w:val="bullet"/>
      <w:lvlText w:val="o"/>
      <w:lvlJc w:val="left"/>
      <w:pPr>
        <w:ind w:left="5760" w:hanging="360"/>
      </w:pPr>
      <w:rPr>
        <w:rFonts w:ascii="Courier New" w:hAnsi="Courier New" w:hint="default"/>
      </w:rPr>
    </w:lvl>
    <w:lvl w:ilvl="8" w:tplc="54801EA2">
      <w:start w:val="1"/>
      <w:numFmt w:val="bullet"/>
      <w:lvlText w:val=""/>
      <w:lvlJc w:val="left"/>
      <w:pPr>
        <w:ind w:left="6480" w:hanging="360"/>
      </w:pPr>
      <w:rPr>
        <w:rFonts w:ascii="Wingdings" w:hAnsi="Wingdings" w:hint="default"/>
      </w:rPr>
    </w:lvl>
  </w:abstractNum>
  <w:abstractNum w:abstractNumId="9" w15:restartNumberingAfterBreak="0">
    <w:nsid w:val="43D34417"/>
    <w:multiLevelType w:val="multilevel"/>
    <w:tmpl w:val="C28E5C40"/>
    <w:lvl w:ilvl="0">
      <w:start w:val="1"/>
      <w:numFmt w:val="decimal"/>
      <w:pStyle w:val="1ListInden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499D488D"/>
    <w:multiLevelType w:val="hybridMultilevel"/>
    <w:tmpl w:val="3B44ED38"/>
    <w:lvl w:ilvl="0" w:tplc="2BF49CE6">
      <w:start w:val="1"/>
      <w:numFmt w:val="bullet"/>
      <w:lvlText w:val="·"/>
      <w:lvlJc w:val="left"/>
      <w:pPr>
        <w:ind w:left="720" w:hanging="360"/>
      </w:pPr>
      <w:rPr>
        <w:rFonts w:ascii="Symbol" w:hAnsi="Symbol" w:hint="default"/>
      </w:rPr>
    </w:lvl>
    <w:lvl w:ilvl="1" w:tplc="8B1AF868">
      <w:start w:val="1"/>
      <w:numFmt w:val="bullet"/>
      <w:lvlText w:val="o"/>
      <w:lvlJc w:val="left"/>
      <w:pPr>
        <w:ind w:left="1440" w:hanging="360"/>
      </w:pPr>
      <w:rPr>
        <w:rFonts w:ascii="Courier New" w:hAnsi="Courier New" w:hint="default"/>
      </w:rPr>
    </w:lvl>
    <w:lvl w:ilvl="2" w:tplc="5AF26B70">
      <w:start w:val="1"/>
      <w:numFmt w:val="bullet"/>
      <w:lvlText w:val=""/>
      <w:lvlJc w:val="left"/>
      <w:pPr>
        <w:ind w:left="2160" w:hanging="360"/>
      </w:pPr>
      <w:rPr>
        <w:rFonts w:ascii="Wingdings" w:hAnsi="Wingdings" w:hint="default"/>
      </w:rPr>
    </w:lvl>
    <w:lvl w:ilvl="3" w:tplc="0F209156">
      <w:start w:val="1"/>
      <w:numFmt w:val="bullet"/>
      <w:lvlText w:val=""/>
      <w:lvlJc w:val="left"/>
      <w:pPr>
        <w:ind w:left="2880" w:hanging="360"/>
      </w:pPr>
      <w:rPr>
        <w:rFonts w:ascii="Symbol" w:hAnsi="Symbol" w:hint="default"/>
      </w:rPr>
    </w:lvl>
    <w:lvl w:ilvl="4" w:tplc="34563A3A">
      <w:start w:val="1"/>
      <w:numFmt w:val="bullet"/>
      <w:lvlText w:val="o"/>
      <w:lvlJc w:val="left"/>
      <w:pPr>
        <w:ind w:left="3600" w:hanging="360"/>
      </w:pPr>
      <w:rPr>
        <w:rFonts w:ascii="Courier New" w:hAnsi="Courier New" w:hint="default"/>
      </w:rPr>
    </w:lvl>
    <w:lvl w:ilvl="5" w:tplc="38DCAC46">
      <w:start w:val="1"/>
      <w:numFmt w:val="bullet"/>
      <w:lvlText w:val=""/>
      <w:lvlJc w:val="left"/>
      <w:pPr>
        <w:ind w:left="4320" w:hanging="360"/>
      </w:pPr>
      <w:rPr>
        <w:rFonts w:ascii="Wingdings" w:hAnsi="Wingdings" w:hint="default"/>
      </w:rPr>
    </w:lvl>
    <w:lvl w:ilvl="6" w:tplc="811EE2E2">
      <w:start w:val="1"/>
      <w:numFmt w:val="bullet"/>
      <w:lvlText w:val=""/>
      <w:lvlJc w:val="left"/>
      <w:pPr>
        <w:ind w:left="5040" w:hanging="360"/>
      </w:pPr>
      <w:rPr>
        <w:rFonts w:ascii="Symbol" w:hAnsi="Symbol" w:hint="default"/>
      </w:rPr>
    </w:lvl>
    <w:lvl w:ilvl="7" w:tplc="A8E27266">
      <w:start w:val="1"/>
      <w:numFmt w:val="bullet"/>
      <w:lvlText w:val="o"/>
      <w:lvlJc w:val="left"/>
      <w:pPr>
        <w:ind w:left="5760" w:hanging="360"/>
      </w:pPr>
      <w:rPr>
        <w:rFonts w:ascii="Courier New" w:hAnsi="Courier New" w:hint="default"/>
      </w:rPr>
    </w:lvl>
    <w:lvl w:ilvl="8" w:tplc="0F20B61C">
      <w:start w:val="1"/>
      <w:numFmt w:val="bullet"/>
      <w:lvlText w:val=""/>
      <w:lvlJc w:val="left"/>
      <w:pPr>
        <w:ind w:left="6480" w:hanging="360"/>
      </w:pPr>
      <w:rPr>
        <w:rFonts w:ascii="Wingdings" w:hAnsi="Wingdings" w:hint="default"/>
      </w:rPr>
    </w:lvl>
  </w:abstractNum>
  <w:abstractNum w:abstractNumId="11"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12"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1F248C"/>
    <w:multiLevelType w:val="multilevel"/>
    <w:tmpl w:val="80967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E56713E"/>
    <w:multiLevelType w:val="hybridMultilevel"/>
    <w:tmpl w:val="45566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70568015">
    <w:abstractNumId w:val="3"/>
  </w:num>
  <w:num w:numId="2" w16cid:durableId="2089422359">
    <w:abstractNumId w:val="10"/>
  </w:num>
  <w:num w:numId="3" w16cid:durableId="961425955">
    <w:abstractNumId w:val="8"/>
  </w:num>
  <w:num w:numId="4" w16cid:durableId="1705713582">
    <w:abstractNumId w:val="7"/>
  </w:num>
  <w:num w:numId="5" w16cid:durableId="963921878">
    <w:abstractNumId w:val="1"/>
  </w:num>
  <w:num w:numId="6" w16cid:durableId="1883705939">
    <w:abstractNumId w:val="9"/>
  </w:num>
  <w:num w:numId="7" w16cid:durableId="180945800">
    <w:abstractNumId w:val="5"/>
  </w:num>
  <w:num w:numId="8" w16cid:durableId="944842790">
    <w:abstractNumId w:val="11"/>
  </w:num>
  <w:num w:numId="9" w16cid:durableId="1991593136">
    <w:abstractNumId w:val="2"/>
  </w:num>
  <w:num w:numId="10" w16cid:durableId="1754620235">
    <w:abstractNumId w:val="6"/>
  </w:num>
  <w:num w:numId="11" w16cid:durableId="969365539">
    <w:abstractNumId w:val="14"/>
  </w:num>
  <w:num w:numId="12" w16cid:durableId="1671978658">
    <w:abstractNumId w:val="15"/>
  </w:num>
  <w:num w:numId="13" w16cid:durableId="1982611534">
    <w:abstractNumId w:val="4"/>
  </w:num>
  <w:num w:numId="14" w16cid:durableId="468133998">
    <w:abstractNumId w:val="12"/>
  </w:num>
  <w:num w:numId="15" w16cid:durableId="307590920">
    <w:abstractNumId w:val="0"/>
  </w:num>
  <w:num w:numId="16" w16cid:durableId="452137340">
    <w:abstractNumId w:val="13"/>
  </w:num>
  <w:num w:numId="17" w16cid:durableId="247963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52670244">
    <w:abstractNumId w:val="5"/>
  </w:num>
  <w:num w:numId="19" w16cid:durableId="1282495308">
    <w:abstractNumId w:val="5"/>
  </w:num>
  <w:num w:numId="20" w16cid:durableId="2101948689">
    <w:abstractNumId w:val="5"/>
  </w:num>
  <w:num w:numId="21" w16cid:durableId="1446000921">
    <w:abstractNumId w:val="5"/>
  </w:num>
  <w:num w:numId="22" w16cid:durableId="908878638">
    <w:abstractNumId w:val="5"/>
  </w:num>
  <w:num w:numId="23" w16cid:durableId="20397800">
    <w:abstractNumId w:val="5"/>
  </w:num>
  <w:num w:numId="24" w16cid:durableId="1844853870">
    <w:abstractNumId w:val="5"/>
  </w:num>
  <w:num w:numId="25" w16cid:durableId="1589340933">
    <w:abstractNumId w:val="5"/>
  </w:num>
  <w:num w:numId="26" w16cid:durableId="1549879213">
    <w:abstractNumId w:val="5"/>
  </w:num>
  <w:num w:numId="27" w16cid:durableId="1594163281">
    <w:abstractNumId w:val="5"/>
  </w:num>
  <w:num w:numId="28" w16cid:durableId="59524817">
    <w:abstractNumId w:val="5"/>
  </w:num>
  <w:num w:numId="29" w16cid:durableId="56243703">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lang="en-US" w:vendorID="8" w:dllVersion="513" w:checkStyle="1" w:appName="MSWord"/>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D70"/>
    <w:rsid w:val="00002960"/>
    <w:rsid w:val="00006BB0"/>
    <w:rsid w:val="00012685"/>
    <w:rsid w:val="00012D45"/>
    <w:rsid w:val="00020D43"/>
    <w:rsid w:val="00024C89"/>
    <w:rsid w:val="00025975"/>
    <w:rsid w:val="00034A6F"/>
    <w:rsid w:val="00035FAC"/>
    <w:rsid w:val="00045E44"/>
    <w:rsid w:val="00055467"/>
    <w:rsid w:val="0006008F"/>
    <w:rsid w:val="00060519"/>
    <w:rsid w:val="00060A47"/>
    <w:rsid w:val="000630FB"/>
    <w:rsid w:val="00064032"/>
    <w:rsid w:val="00074A73"/>
    <w:rsid w:val="00076CCA"/>
    <w:rsid w:val="000773A1"/>
    <w:rsid w:val="00081F4D"/>
    <w:rsid w:val="000870B1"/>
    <w:rsid w:val="0008737A"/>
    <w:rsid w:val="0008799A"/>
    <w:rsid w:val="00090457"/>
    <w:rsid w:val="000969D8"/>
    <w:rsid w:val="00097007"/>
    <w:rsid w:val="000A12AA"/>
    <w:rsid w:val="000A28FC"/>
    <w:rsid w:val="000A7627"/>
    <w:rsid w:val="000B5D11"/>
    <w:rsid w:val="000B6221"/>
    <w:rsid w:val="000C0F17"/>
    <w:rsid w:val="000C50E3"/>
    <w:rsid w:val="000C5EA7"/>
    <w:rsid w:val="000C6051"/>
    <w:rsid w:val="000D09F8"/>
    <w:rsid w:val="000D3A75"/>
    <w:rsid w:val="000E1AEB"/>
    <w:rsid w:val="000E1C4C"/>
    <w:rsid w:val="000E44C7"/>
    <w:rsid w:val="000F2B50"/>
    <w:rsid w:val="000F6ACE"/>
    <w:rsid w:val="00110CF1"/>
    <w:rsid w:val="00113C89"/>
    <w:rsid w:val="00115535"/>
    <w:rsid w:val="001235BB"/>
    <w:rsid w:val="00131343"/>
    <w:rsid w:val="00133FB1"/>
    <w:rsid w:val="001353A2"/>
    <w:rsid w:val="00141B88"/>
    <w:rsid w:val="00142FB8"/>
    <w:rsid w:val="00147BBE"/>
    <w:rsid w:val="00155A9F"/>
    <w:rsid w:val="00165280"/>
    <w:rsid w:val="00166DFF"/>
    <w:rsid w:val="00171A6B"/>
    <w:rsid w:val="00172666"/>
    <w:rsid w:val="00175B30"/>
    <w:rsid w:val="00180A51"/>
    <w:rsid w:val="00185274"/>
    <w:rsid w:val="00195394"/>
    <w:rsid w:val="001A1DB2"/>
    <w:rsid w:val="001C2297"/>
    <w:rsid w:val="001C2EC5"/>
    <w:rsid w:val="001C74D3"/>
    <w:rsid w:val="001E58A0"/>
    <w:rsid w:val="001E6E86"/>
    <w:rsid w:val="001E780F"/>
    <w:rsid w:val="001F5325"/>
    <w:rsid w:val="002001C1"/>
    <w:rsid w:val="0020108F"/>
    <w:rsid w:val="00202FAB"/>
    <w:rsid w:val="002178D7"/>
    <w:rsid w:val="002269A5"/>
    <w:rsid w:val="00231CD4"/>
    <w:rsid w:val="00232CFC"/>
    <w:rsid w:val="00233D57"/>
    <w:rsid w:val="00236928"/>
    <w:rsid w:val="002403CE"/>
    <w:rsid w:val="00242FF8"/>
    <w:rsid w:val="002431C4"/>
    <w:rsid w:val="0024459D"/>
    <w:rsid w:val="00256DD9"/>
    <w:rsid w:val="00261327"/>
    <w:rsid w:val="002632DA"/>
    <w:rsid w:val="00272F7D"/>
    <w:rsid w:val="00277C7D"/>
    <w:rsid w:val="002809CF"/>
    <w:rsid w:val="00282D87"/>
    <w:rsid w:val="00285657"/>
    <w:rsid w:val="00291755"/>
    <w:rsid w:val="002951B3"/>
    <w:rsid w:val="002B26DC"/>
    <w:rsid w:val="002B7114"/>
    <w:rsid w:val="002B7338"/>
    <w:rsid w:val="002C0033"/>
    <w:rsid w:val="002D48EA"/>
    <w:rsid w:val="002E3498"/>
    <w:rsid w:val="002F1104"/>
    <w:rsid w:val="002F3970"/>
    <w:rsid w:val="002F503D"/>
    <w:rsid w:val="003132AB"/>
    <w:rsid w:val="00316AAF"/>
    <w:rsid w:val="0033669D"/>
    <w:rsid w:val="00340C18"/>
    <w:rsid w:val="00340CC0"/>
    <w:rsid w:val="00347F67"/>
    <w:rsid w:val="0035032A"/>
    <w:rsid w:val="00354574"/>
    <w:rsid w:val="00355257"/>
    <w:rsid w:val="00360AF3"/>
    <w:rsid w:val="003657A4"/>
    <w:rsid w:val="00375EFF"/>
    <w:rsid w:val="003774F8"/>
    <w:rsid w:val="0039077C"/>
    <w:rsid w:val="00394929"/>
    <w:rsid w:val="00394B3A"/>
    <w:rsid w:val="003A4F8B"/>
    <w:rsid w:val="003A79F9"/>
    <w:rsid w:val="003B1839"/>
    <w:rsid w:val="003B22C1"/>
    <w:rsid w:val="003B28DC"/>
    <w:rsid w:val="003C1687"/>
    <w:rsid w:val="003C17E4"/>
    <w:rsid w:val="003C1E13"/>
    <w:rsid w:val="003D0299"/>
    <w:rsid w:val="003D7E7A"/>
    <w:rsid w:val="003F6E5A"/>
    <w:rsid w:val="00400187"/>
    <w:rsid w:val="00400F6B"/>
    <w:rsid w:val="00400FB9"/>
    <w:rsid w:val="00402017"/>
    <w:rsid w:val="00406D3E"/>
    <w:rsid w:val="00411D6C"/>
    <w:rsid w:val="00414270"/>
    <w:rsid w:val="0041587E"/>
    <w:rsid w:val="004247C0"/>
    <w:rsid w:val="004249C3"/>
    <w:rsid w:val="00426430"/>
    <w:rsid w:val="00431BF6"/>
    <w:rsid w:val="0043742B"/>
    <w:rsid w:val="00440AB7"/>
    <w:rsid w:val="0044185D"/>
    <w:rsid w:val="00453D64"/>
    <w:rsid w:val="0046367D"/>
    <w:rsid w:val="00467956"/>
    <w:rsid w:val="00470B9B"/>
    <w:rsid w:val="00470C19"/>
    <w:rsid w:val="00472C8F"/>
    <w:rsid w:val="00476ABC"/>
    <w:rsid w:val="004905D3"/>
    <w:rsid w:val="00492F2C"/>
    <w:rsid w:val="004A07D5"/>
    <w:rsid w:val="004A6FA2"/>
    <w:rsid w:val="004B65DF"/>
    <w:rsid w:val="004C4E1E"/>
    <w:rsid w:val="004D0A20"/>
    <w:rsid w:val="004D1508"/>
    <w:rsid w:val="004D1CDF"/>
    <w:rsid w:val="004D3212"/>
    <w:rsid w:val="004E1F88"/>
    <w:rsid w:val="004E2AAD"/>
    <w:rsid w:val="004E3FA0"/>
    <w:rsid w:val="004E7CE5"/>
    <w:rsid w:val="004F16FB"/>
    <w:rsid w:val="004F6EDA"/>
    <w:rsid w:val="00500443"/>
    <w:rsid w:val="00515A9B"/>
    <w:rsid w:val="005249DF"/>
    <w:rsid w:val="00531205"/>
    <w:rsid w:val="00532329"/>
    <w:rsid w:val="005347C5"/>
    <w:rsid w:val="0053609D"/>
    <w:rsid w:val="00536438"/>
    <w:rsid w:val="0054203B"/>
    <w:rsid w:val="00542053"/>
    <w:rsid w:val="00552EAA"/>
    <w:rsid w:val="005700D5"/>
    <w:rsid w:val="0057398B"/>
    <w:rsid w:val="005805BF"/>
    <w:rsid w:val="0059197C"/>
    <w:rsid w:val="00593807"/>
    <w:rsid w:val="005A2204"/>
    <w:rsid w:val="005C34A3"/>
    <w:rsid w:val="005C3BA0"/>
    <w:rsid w:val="005C6372"/>
    <w:rsid w:val="005C6433"/>
    <w:rsid w:val="005D02D9"/>
    <w:rsid w:val="005D11B8"/>
    <w:rsid w:val="005D53CA"/>
    <w:rsid w:val="005E2A14"/>
    <w:rsid w:val="005E5B23"/>
    <w:rsid w:val="005E6464"/>
    <w:rsid w:val="005F176C"/>
    <w:rsid w:val="005F1942"/>
    <w:rsid w:val="005F3FDC"/>
    <w:rsid w:val="00601C82"/>
    <w:rsid w:val="00604D94"/>
    <w:rsid w:val="00605FD5"/>
    <w:rsid w:val="00611576"/>
    <w:rsid w:val="00613C9A"/>
    <w:rsid w:val="00613E20"/>
    <w:rsid w:val="00613F8F"/>
    <w:rsid w:val="00616EA4"/>
    <w:rsid w:val="006207DC"/>
    <w:rsid w:val="00623B61"/>
    <w:rsid w:val="006313D4"/>
    <w:rsid w:val="006325B4"/>
    <w:rsid w:val="00633BC9"/>
    <w:rsid w:val="00636C02"/>
    <w:rsid w:val="00636C62"/>
    <w:rsid w:val="006528A1"/>
    <w:rsid w:val="006631F6"/>
    <w:rsid w:val="00663232"/>
    <w:rsid w:val="006653BE"/>
    <w:rsid w:val="00666586"/>
    <w:rsid w:val="0067717A"/>
    <w:rsid w:val="00680802"/>
    <w:rsid w:val="006815C3"/>
    <w:rsid w:val="00683957"/>
    <w:rsid w:val="00687856"/>
    <w:rsid w:val="0069631C"/>
    <w:rsid w:val="006B03CA"/>
    <w:rsid w:val="006B05EE"/>
    <w:rsid w:val="006B1608"/>
    <w:rsid w:val="006B16A5"/>
    <w:rsid w:val="006C13DE"/>
    <w:rsid w:val="006C7C15"/>
    <w:rsid w:val="006D0218"/>
    <w:rsid w:val="006D15B9"/>
    <w:rsid w:val="006E6BDF"/>
    <w:rsid w:val="006F48C1"/>
    <w:rsid w:val="006F4919"/>
    <w:rsid w:val="006F7438"/>
    <w:rsid w:val="00705269"/>
    <w:rsid w:val="00706609"/>
    <w:rsid w:val="00707A86"/>
    <w:rsid w:val="00716673"/>
    <w:rsid w:val="00720323"/>
    <w:rsid w:val="007270E1"/>
    <w:rsid w:val="007374F3"/>
    <w:rsid w:val="00742C74"/>
    <w:rsid w:val="00745FFA"/>
    <w:rsid w:val="007519D8"/>
    <w:rsid w:val="00753182"/>
    <w:rsid w:val="0075418D"/>
    <w:rsid w:val="007542AF"/>
    <w:rsid w:val="007647C6"/>
    <w:rsid w:val="007665E2"/>
    <w:rsid w:val="00766D11"/>
    <w:rsid w:val="00774D65"/>
    <w:rsid w:val="007757EB"/>
    <w:rsid w:val="00780AE3"/>
    <w:rsid w:val="007875ED"/>
    <w:rsid w:val="007944F1"/>
    <w:rsid w:val="0079627B"/>
    <w:rsid w:val="007963D3"/>
    <w:rsid w:val="007A1DBA"/>
    <w:rsid w:val="007A281A"/>
    <w:rsid w:val="007A38D5"/>
    <w:rsid w:val="007A54E0"/>
    <w:rsid w:val="007A58CB"/>
    <w:rsid w:val="007B1AEB"/>
    <w:rsid w:val="007C7E41"/>
    <w:rsid w:val="007D1D53"/>
    <w:rsid w:val="007D578F"/>
    <w:rsid w:val="007D67CA"/>
    <w:rsid w:val="007F28F7"/>
    <w:rsid w:val="007F4FB0"/>
    <w:rsid w:val="007F5778"/>
    <w:rsid w:val="007F7CF2"/>
    <w:rsid w:val="00801D70"/>
    <w:rsid w:val="00811FF0"/>
    <w:rsid w:val="008129AD"/>
    <w:rsid w:val="00814292"/>
    <w:rsid w:val="0081578D"/>
    <w:rsid w:val="00821896"/>
    <w:rsid w:val="00822061"/>
    <w:rsid w:val="008257CE"/>
    <w:rsid w:val="00825C88"/>
    <w:rsid w:val="008261F7"/>
    <w:rsid w:val="008263A5"/>
    <w:rsid w:val="008465F7"/>
    <w:rsid w:val="00850D12"/>
    <w:rsid w:val="00850F08"/>
    <w:rsid w:val="00863A48"/>
    <w:rsid w:val="00867DF0"/>
    <w:rsid w:val="008702B3"/>
    <w:rsid w:val="008751C8"/>
    <w:rsid w:val="00876D02"/>
    <w:rsid w:val="00880D96"/>
    <w:rsid w:val="00882F53"/>
    <w:rsid w:val="008858DB"/>
    <w:rsid w:val="0089475D"/>
    <w:rsid w:val="0089620E"/>
    <w:rsid w:val="008A2645"/>
    <w:rsid w:val="008A754E"/>
    <w:rsid w:val="008C5DBF"/>
    <w:rsid w:val="008E6797"/>
    <w:rsid w:val="008F071D"/>
    <w:rsid w:val="008F5192"/>
    <w:rsid w:val="00901F91"/>
    <w:rsid w:val="00915E92"/>
    <w:rsid w:val="009303E7"/>
    <w:rsid w:val="00946E2C"/>
    <w:rsid w:val="00950028"/>
    <w:rsid w:val="00951BA8"/>
    <w:rsid w:val="00955348"/>
    <w:rsid w:val="009569CA"/>
    <w:rsid w:val="00961B05"/>
    <w:rsid w:val="00961C36"/>
    <w:rsid w:val="00965782"/>
    <w:rsid w:val="00966821"/>
    <w:rsid w:val="00972834"/>
    <w:rsid w:val="0097383C"/>
    <w:rsid w:val="00975C24"/>
    <w:rsid w:val="009809B1"/>
    <w:rsid w:val="0099355F"/>
    <w:rsid w:val="009A24A8"/>
    <w:rsid w:val="009A2939"/>
    <w:rsid w:val="009A2A6C"/>
    <w:rsid w:val="009A50E0"/>
    <w:rsid w:val="009A7EE2"/>
    <w:rsid w:val="009B1849"/>
    <w:rsid w:val="009B3003"/>
    <w:rsid w:val="009B5CA7"/>
    <w:rsid w:val="009C60E5"/>
    <w:rsid w:val="009C7964"/>
    <w:rsid w:val="009CA00D"/>
    <w:rsid w:val="009D1FA5"/>
    <w:rsid w:val="009D272F"/>
    <w:rsid w:val="009D63EA"/>
    <w:rsid w:val="009D7160"/>
    <w:rsid w:val="009D7722"/>
    <w:rsid w:val="009E7964"/>
    <w:rsid w:val="009F5A6F"/>
    <w:rsid w:val="00A00079"/>
    <w:rsid w:val="00A106AD"/>
    <w:rsid w:val="00A137FF"/>
    <w:rsid w:val="00A1526C"/>
    <w:rsid w:val="00A16999"/>
    <w:rsid w:val="00A218B6"/>
    <w:rsid w:val="00A22F44"/>
    <w:rsid w:val="00A32525"/>
    <w:rsid w:val="00A45B85"/>
    <w:rsid w:val="00A50494"/>
    <w:rsid w:val="00A517F7"/>
    <w:rsid w:val="00A57700"/>
    <w:rsid w:val="00A60201"/>
    <w:rsid w:val="00A62CF6"/>
    <w:rsid w:val="00A64517"/>
    <w:rsid w:val="00A66247"/>
    <w:rsid w:val="00A77F9E"/>
    <w:rsid w:val="00AA1792"/>
    <w:rsid w:val="00AA7AD2"/>
    <w:rsid w:val="00AB269C"/>
    <w:rsid w:val="00AB3269"/>
    <w:rsid w:val="00AB5F74"/>
    <w:rsid w:val="00AC2C59"/>
    <w:rsid w:val="00AC5ECF"/>
    <w:rsid w:val="00AD2410"/>
    <w:rsid w:val="00AD450D"/>
    <w:rsid w:val="00AE42FE"/>
    <w:rsid w:val="00AE664C"/>
    <w:rsid w:val="00AF1DF6"/>
    <w:rsid w:val="00B061C7"/>
    <w:rsid w:val="00B15637"/>
    <w:rsid w:val="00B20AB3"/>
    <w:rsid w:val="00B2496F"/>
    <w:rsid w:val="00B26B72"/>
    <w:rsid w:val="00B37483"/>
    <w:rsid w:val="00B41453"/>
    <w:rsid w:val="00B41C18"/>
    <w:rsid w:val="00B53268"/>
    <w:rsid w:val="00B61034"/>
    <w:rsid w:val="00B6206A"/>
    <w:rsid w:val="00B6267D"/>
    <w:rsid w:val="00B62A12"/>
    <w:rsid w:val="00B64FC3"/>
    <w:rsid w:val="00B672C5"/>
    <w:rsid w:val="00B8365E"/>
    <w:rsid w:val="00B841C9"/>
    <w:rsid w:val="00B86B20"/>
    <w:rsid w:val="00B913F1"/>
    <w:rsid w:val="00B927B5"/>
    <w:rsid w:val="00B92EF5"/>
    <w:rsid w:val="00B94804"/>
    <w:rsid w:val="00BA4345"/>
    <w:rsid w:val="00BA77CD"/>
    <w:rsid w:val="00BB0893"/>
    <w:rsid w:val="00BB1DE1"/>
    <w:rsid w:val="00BB340B"/>
    <w:rsid w:val="00BC3FDF"/>
    <w:rsid w:val="00BC55C4"/>
    <w:rsid w:val="00BD1911"/>
    <w:rsid w:val="00BD2121"/>
    <w:rsid w:val="00BD6FF5"/>
    <w:rsid w:val="00BD7FA8"/>
    <w:rsid w:val="00BE0CB8"/>
    <w:rsid w:val="00BF2022"/>
    <w:rsid w:val="00BF594F"/>
    <w:rsid w:val="00BF7A75"/>
    <w:rsid w:val="00C0042D"/>
    <w:rsid w:val="00C00A75"/>
    <w:rsid w:val="00C034B7"/>
    <w:rsid w:val="00C15637"/>
    <w:rsid w:val="00C20CB4"/>
    <w:rsid w:val="00C21E10"/>
    <w:rsid w:val="00C22726"/>
    <w:rsid w:val="00C253EA"/>
    <w:rsid w:val="00C25720"/>
    <w:rsid w:val="00C26086"/>
    <w:rsid w:val="00C35E47"/>
    <w:rsid w:val="00C405D4"/>
    <w:rsid w:val="00C410A1"/>
    <w:rsid w:val="00C43874"/>
    <w:rsid w:val="00C45E78"/>
    <w:rsid w:val="00C46A05"/>
    <w:rsid w:val="00C56ACC"/>
    <w:rsid w:val="00C6284A"/>
    <w:rsid w:val="00C72CD0"/>
    <w:rsid w:val="00C77D76"/>
    <w:rsid w:val="00C8702F"/>
    <w:rsid w:val="00C90CF0"/>
    <w:rsid w:val="00C9273F"/>
    <w:rsid w:val="00CA133A"/>
    <w:rsid w:val="00CA25DC"/>
    <w:rsid w:val="00CA28A1"/>
    <w:rsid w:val="00CA4DC7"/>
    <w:rsid w:val="00CB42C3"/>
    <w:rsid w:val="00CB6E11"/>
    <w:rsid w:val="00CC01FA"/>
    <w:rsid w:val="00CD413F"/>
    <w:rsid w:val="00CD4375"/>
    <w:rsid w:val="00CF17DE"/>
    <w:rsid w:val="00CF341A"/>
    <w:rsid w:val="00CF421D"/>
    <w:rsid w:val="00CF4EB9"/>
    <w:rsid w:val="00CF57A8"/>
    <w:rsid w:val="00D02A2D"/>
    <w:rsid w:val="00D0484A"/>
    <w:rsid w:val="00D12DD7"/>
    <w:rsid w:val="00D137B9"/>
    <w:rsid w:val="00D150CB"/>
    <w:rsid w:val="00D20F6C"/>
    <w:rsid w:val="00D22246"/>
    <w:rsid w:val="00D250BE"/>
    <w:rsid w:val="00D33A61"/>
    <w:rsid w:val="00D340E3"/>
    <w:rsid w:val="00D35CD2"/>
    <w:rsid w:val="00D479E5"/>
    <w:rsid w:val="00D515F8"/>
    <w:rsid w:val="00D52F2C"/>
    <w:rsid w:val="00D532B7"/>
    <w:rsid w:val="00D70344"/>
    <w:rsid w:val="00D73665"/>
    <w:rsid w:val="00D76A81"/>
    <w:rsid w:val="00D76B0B"/>
    <w:rsid w:val="00D822FD"/>
    <w:rsid w:val="00D865A9"/>
    <w:rsid w:val="00D90DA0"/>
    <w:rsid w:val="00D9189E"/>
    <w:rsid w:val="00DA52F0"/>
    <w:rsid w:val="00DA6834"/>
    <w:rsid w:val="00DA6B3E"/>
    <w:rsid w:val="00DB08CE"/>
    <w:rsid w:val="00DB5656"/>
    <w:rsid w:val="00DB5D30"/>
    <w:rsid w:val="00DB619F"/>
    <w:rsid w:val="00DB6F2C"/>
    <w:rsid w:val="00DE42EB"/>
    <w:rsid w:val="00DE4762"/>
    <w:rsid w:val="00DE63DC"/>
    <w:rsid w:val="00DF2E7F"/>
    <w:rsid w:val="00DF35CC"/>
    <w:rsid w:val="00DF62F4"/>
    <w:rsid w:val="00DF7070"/>
    <w:rsid w:val="00DF7B00"/>
    <w:rsid w:val="00E02127"/>
    <w:rsid w:val="00E070FA"/>
    <w:rsid w:val="00E106E5"/>
    <w:rsid w:val="00E113D9"/>
    <w:rsid w:val="00E12330"/>
    <w:rsid w:val="00E2616D"/>
    <w:rsid w:val="00E26A6A"/>
    <w:rsid w:val="00E33C4A"/>
    <w:rsid w:val="00E423DB"/>
    <w:rsid w:val="00E46169"/>
    <w:rsid w:val="00E466A5"/>
    <w:rsid w:val="00E507B0"/>
    <w:rsid w:val="00E549D7"/>
    <w:rsid w:val="00E559D0"/>
    <w:rsid w:val="00E56E45"/>
    <w:rsid w:val="00E56EE2"/>
    <w:rsid w:val="00E61285"/>
    <w:rsid w:val="00E7464C"/>
    <w:rsid w:val="00E752A8"/>
    <w:rsid w:val="00E754B3"/>
    <w:rsid w:val="00E77CB0"/>
    <w:rsid w:val="00E8790F"/>
    <w:rsid w:val="00E928CF"/>
    <w:rsid w:val="00EA4C98"/>
    <w:rsid w:val="00EA5E89"/>
    <w:rsid w:val="00EA6073"/>
    <w:rsid w:val="00EA6690"/>
    <w:rsid w:val="00EB693D"/>
    <w:rsid w:val="00EB6EF0"/>
    <w:rsid w:val="00EE2CFE"/>
    <w:rsid w:val="00EE690F"/>
    <w:rsid w:val="00EF4A31"/>
    <w:rsid w:val="00F01389"/>
    <w:rsid w:val="00F026FA"/>
    <w:rsid w:val="00F07746"/>
    <w:rsid w:val="00F24996"/>
    <w:rsid w:val="00F426EE"/>
    <w:rsid w:val="00F43A35"/>
    <w:rsid w:val="00F50225"/>
    <w:rsid w:val="00F51F8B"/>
    <w:rsid w:val="00F572F1"/>
    <w:rsid w:val="00F648CD"/>
    <w:rsid w:val="00F67A6A"/>
    <w:rsid w:val="00F705C8"/>
    <w:rsid w:val="00F815FF"/>
    <w:rsid w:val="00F86F77"/>
    <w:rsid w:val="00F93731"/>
    <w:rsid w:val="00FA2A7C"/>
    <w:rsid w:val="00FA2E93"/>
    <w:rsid w:val="00FA4706"/>
    <w:rsid w:val="00FB2D51"/>
    <w:rsid w:val="00FB38CC"/>
    <w:rsid w:val="00FC0807"/>
    <w:rsid w:val="00FC2DE4"/>
    <w:rsid w:val="00FC2F90"/>
    <w:rsid w:val="00FC73A8"/>
    <w:rsid w:val="00FD0C3C"/>
    <w:rsid w:val="00FD2473"/>
    <w:rsid w:val="00FD436F"/>
    <w:rsid w:val="00FD57D3"/>
    <w:rsid w:val="00FD5A56"/>
    <w:rsid w:val="00FE462E"/>
    <w:rsid w:val="00FE6C44"/>
    <w:rsid w:val="00FE6CAC"/>
    <w:rsid w:val="00FF21DC"/>
    <w:rsid w:val="00FF3432"/>
    <w:rsid w:val="00FF4AFC"/>
    <w:rsid w:val="00FF4C0B"/>
    <w:rsid w:val="00FF7881"/>
    <w:rsid w:val="010E8E7A"/>
    <w:rsid w:val="012754E9"/>
    <w:rsid w:val="014AAC51"/>
    <w:rsid w:val="017F8E69"/>
    <w:rsid w:val="020E09F8"/>
    <w:rsid w:val="024C263E"/>
    <w:rsid w:val="02960000"/>
    <w:rsid w:val="03165388"/>
    <w:rsid w:val="053041A4"/>
    <w:rsid w:val="06072753"/>
    <w:rsid w:val="06687FA8"/>
    <w:rsid w:val="06921CB9"/>
    <w:rsid w:val="07ACA2B2"/>
    <w:rsid w:val="07D49145"/>
    <w:rsid w:val="0886EF7A"/>
    <w:rsid w:val="09591C41"/>
    <w:rsid w:val="09BAB6BB"/>
    <w:rsid w:val="0B8CE4B4"/>
    <w:rsid w:val="0C885000"/>
    <w:rsid w:val="0C8971D4"/>
    <w:rsid w:val="0CF528C6"/>
    <w:rsid w:val="0D9956DF"/>
    <w:rsid w:val="0DDD01D9"/>
    <w:rsid w:val="0DE5B836"/>
    <w:rsid w:val="0DEDA953"/>
    <w:rsid w:val="0EC266F2"/>
    <w:rsid w:val="0F069B70"/>
    <w:rsid w:val="0F0FCDD8"/>
    <w:rsid w:val="0F32CC08"/>
    <w:rsid w:val="12479285"/>
    <w:rsid w:val="12BF92A3"/>
    <w:rsid w:val="12DE0F95"/>
    <w:rsid w:val="12EE3726"/>
    <w:rsid w:val="13909D5C"/>
    <w:rsid w:val="140743A4"/>
    <w:rsid w:val="15F77AA7"/>
    <w:rsid w:val="17073297"/>
    <w:rsid w:val="170A6FC5"/>
    <w:rsid w:val="17A7F223"/>
    <w:rsid w:val="18604499"/>
    <w:rsid w:val="1972E185"/>
    <w:rsid w:val="1AB81898"/>
    <w:rsid w:val="1B79CB6F"/>
    <w:rsid w:val="1BA70D2A"/>
    <w:rsid w:val="1BF10ECD"/>
    <w:rsid w:val="1C1DF46E"/>
    <w:rsid w:val="1C50CEDC"/>
    <w:rsid w:val="1E9D4DCF"/>
    <w:rsid w:val="1EDC5FC2"/>
    <w:rsid w:val="1FB48CAF"/>
    <w:rsid w:val="1FDFF8BF"/>
    <w:rsid w:val="2046EF4C"/>
    <w:rsid w:val="2073E957"/>
    <w:rsid w:val="21293FB2"/>
    <w:rsid w:val="226F256A"/>
    <w:rsid w:val="22B84D5E"/>
    <w:rsid w:val="23B0321C"/>
    <w:rsid w:val="25C49776"/>
    <w:rsid w:val="25E16934"/>
    <w:rsid w:val="263836AA"/>
    <w:rsid w:val="26F4E6ED"/>
    <w:rsid w:val="283AC152"/>
    <w:rsid w:val="28AF47E1"/>
    <w:rsid w:val="28CC64BC"/>
    <w:rsid w:val="29C1B98A"/>
    <w:rsid w:val="2A55044C"/>
    <w:rsid w:val="2A62B934"/>
    <w:rsid w:val="2BEE0F11"/>
    <w:rsid w:val="2C2A7F72"/>
    <w:rsid w:val="2D2CB13B"/>
    <w:rsid w:val="2D3BEF37"/>
    <w:rsid w:val="2DF2ECE2"/>
    <w:rsid w:val="2E2C4076"/>
    <w:rsid w:val="2E2E0C10"/>
    <w:rsid w:val="2ECA3D4E"/>
    <w:rsid w:val="2ED70C2E"/>
    <w:rsid w:val="30E902A0"/>
    <w:rsid w:val="31030D5B"/>
    <w:rsid w:val="32BE8488"/>
    <w:rsid w:val="3345EED4"/>
    <w:rsid w:val="33FC2158"/>
    <w:rsid w:val="34BE6DAE"/>
    <w:rsid w:val="352CCD3C"/>
    <w:rsid w:val="362C1A56"/>
    <w:rsid w:val="37A7812D"/>
    <w:rsid w:val="37CE4DD2"/>
    <w:rsid w:val="397B6DD4"/>
    <w:rsid w:val="3A693374"/>
    <w:rsid w:val="3AD44ECD"/>
    <w:rsid w:val="3AF4D09B"/>
    <w:rsid w:val="3AFF16E8"/>
    <w:rsid w:val="3C9973F8"/>
    <w:rsid w:val="3D414842"/>
    <w:rsid w:val="3DC541DD"/>
    <w:rsid w:val="3EE098B0"/>
    <w:rsid w:val="40F3A1FD"/>
    <w:rsid w:val="413AE531"/>
    <w:rsid w:val="417A9443"/>
    <w:rsid w:val="41BE7BBC"/>
    <w:rsid w:val="422D78E1"/>
    <w:rsid w:val="42D6DF35"/>
    <w:rsid w:val="432DB8B1"/>
    <w:rsid w:val="4341D39E"/>
    <w:rsid w:val="4362066D"/>
    <w:rsid w:val="437CC362"/>
    <w:rsid w:val="43CFD643"/>
    <w:rsid w:val="43D9166B"/>
    <w:rsid w:val="43E3EEB9"/>
    <w:rsid w:val="43F7CF4A"/>
    <w:rsid w:val="44023DE9"/>
    <w:rsid w:val="443AE388"/>
    <w:rsid w:val="44783017"/>
    <w:rsid w:val="456DA17B"/>
    <w:rsid w:val="456FDB9A"/>
    <w:rsid w:val="490DE58F"/>
    <w:rsid w:val="49A1D020"/>
    <w:rsid w:val="4A2899F3"/>
    <w:rsid w:val="4BA7214B"/>
    <w:rsid w:val="4C2FF09E"/>
    <w:rsid w:val="4C3CA835"/>
    <w:rsid w:val="4E96D2AB"/>
    <w:rsid w:val="4EA21D4B"/>
    <w:rsid w:val="4EC6951A"/>
    <w:rsid w:val="503DEDAC"/>
    <w:rsid w:val="50611A79"/>
    <w:rsid w:val="5097580F"/>
    <w:rsid w:val="527F51DD"/>
    <w:rsid w:val="5288D8FA"/>
    <w:rsid w:val="52BD6C8B"/>
    <w:rsid w:val="52EA7529"/>
    <w:rsid w:val="5382F6AA"/>
    <w:rsid w:val="5453CC9A"/>
    <w:rsid w:val="54B8FF5B"/>
    <w:rsid w:val="560C37ED"/>
    <w:rsid w:val="56456DE9"/>
    <w:rsid w:val="576A4A34"/>
    <w:rsid w:val="5795FCC6"/>
    <w:rsid w:val="596525F0"/>
    <w:rsid w:val="5A404C2F"/>
    <w:rsid w:val="5AA0E0F5"/>
    <w:rsid w:val="5B322D3F"/>
    <w:rsid w:val="5B40B9FA"/>
    <w:rsid w:val="5B63C349"/>
    <w:rsid w:val="5C4CD6C6"/>
    <w:rsid w:val="5D72EE20"/>
    <w:rsid w:val="5D76A8DB"/>
    <w:rsid w:val="5DBD9531"/>
    <w:rsid w:val="5DCF8082"/>
    <w:rsid w:val="5E2C00AA"/>
    <w:rsid w:val="5E81920B"/>
    <w:rsid w:val="5E84F113"/>
    <w:rsid w:val="5F2B8189"/>
    <w:rsid w:val="5F59E323"/>
    <w:rsid w:val="5F6D169D"/>
    <w:rsid w:val="603D9DA0"/>
    <w:rsid w:val="61C943AB"/>
    <w:rsid w:val="61C9CAA9"/>
    <w:rsid w:val="61E98F8D"/>
    <w:rsid w:val="6219B87D"/>
    <w:rsid w:val="6282686D"/>
    <w:rsid w:val="62C181BE"/>
    <w:rsid w:val="6365140C"/>
    <w:rsid w:val="63990EF4"/>
    <w:rsid w:val="649E7131"/>
    <w:rsid w:val="64E500B2"/>
    <w:rsid w:val="65380520"/>
    <w:rsid w:val="6546039D"/>
    <w:rsid w:val="65E1B9F1"/>
    <w:rsid w:val="669CB4CE"/>
    <w:rsid w:val="67AF6C15"/>
    <w:rsid w:val="6805FD13"/>
    <w:rsid w:val="686273B3"/>
    <w:rsid w:val="6868EF56"/>
    <w:rsid w:val="6A2BCD10"/>
    <w:rsid w:val="6A3E44B2"/>
    <w:rsid w:val="6CE72EF5"/>
    <w:rsid w:val="6D2A3D1D"/>
    <w:rsid w:val="6DF79B18"/>
    <w:rsid w:val="6F6CB73E"/>
    <w:rsid w:val="6F740D13"/>
    <w:rsid w:val="70446A5D"/>
    <w:rsid w:val="70503FA3"/>
    <w:rsid w:val="70A213CE"/>
    <w:rsid w:val="70AB3E16"/>
    <w:rsid w:val="71E1A48A"/>
    <w:rsid w:val="72137946"/>
    <w:rsid w:val="72389423"/>
    <w:rsid w:val="73EE206C"/>
    <w:rsid w:val="76A4FC30"/>
    <w:rsid w:val="76F4C717"/>
    <w:rsid w:val="77400025"/>
    <w:rsid w:val="7761C8C9"/>
    <w:rsid w:val="78271753"/>
    <w:rsid w:val="7A408A35"/>
    <w:rsid w:val="7B2D152C"/>
    <w:rsid w:val="7C0D09F8"/>
    <w:rsid w:val="7C4C90B7"/>
    <w:rsid w:val="7CB1E401"/>
    <w:rsid w:val="7EAE7F2D"/>
    <w:rsid w:val="7F111FAE"/>
    <w:rsid w:val="7FABA8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D0C7BF"/>
  <w15:docId w15:val="{40CEA82F-90EA-4AF2-98DF-45932D9D76D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6"/>
    </w:rPr>
  </w:style>
  <w:style w:type="paragraph" w:styleId="Heading1">
    <w:name w:val="heading 1"/>
    <w:basedOn w:val="Normal"/>
    <w:next w:val="standard"/>
    <w:qFormat/>
    <w:rsid w:val="009E7964"/>
    <w:pPr>
      <w:keepNext/>
      <w:spacing w:before="120" w:after="240"/>
      <w:outlineLvl w:val="0"/>
    </w:pPr>
    <w:rPr>
      <w:rFonts w:ascii="Helvetica" w:hAnsi="Helvetica"/>
      <w:b/>
      <w:caps/>
      <w:kern w:val="28"/>
      <w:u w:val="single"/>
    </w:rPr>
  </w:style>
  <w:style w:type="paragraph" w:styleId="Heading2">
    <w:name w:val="heading 2"/>
    <w:basedOn w:val="Normal"/>
    <w:next w:val="sub1"/>
    <w:qFormat/>
    <w:pPr>
      <w:keepNext/>
      <w:numPr>
        <w:ilvl w:val="1"/>
        <w:numId w:val="7"/>
      </w:numPr>
      <w:tabs>
        <w:tab w:val="clear" w:pos="1215"/>
        <w:tab w:val="num" w:pos="360"/>
      </w:tabs>
      <w:spacing w:before="120" w:after="120"/>
      <w:ind w:left="0" w:firstLine="0"/>
      <w:outlineLvl w:val="1"/>
    </w:pPr>
    <w:rPr>
      <w:rFonts w:ascii="Helvetica" w:hAnsi="Helvetica"/>
      <w:b/>
      <w:i/>
    </w:rPr>
  </w:style>
  <w:style w:type="paragraph" w:styleId="Heading3">
    <w:name w:val="heading 3"/>
    <w:basedOn w:val="Normal"/>
    <w:next w:val="sub2"/>
    <w:qFormat/>
    <w:pPr>
      <w:keepNext/>
      <w:spacing w:before="120" w:after="120"/>
      <w:ind w:firstLine="2160"/>
      <w:outlineLvl w:val="2"/>
    </w:pPr>
    <w:rPr>
      <w:rFonts w:ascii="Helvetica" w:hAnsi="Helvetica"/>
      <w:b/>
    </w:rPr>
  </w:style>
  <w:style w:type="paragraph" w:styleId="Heading4">
    <w:name w:val="heading 4"/>
    <w:basedOn w:val="Normal"/>
    <w:next w:val="sub3"/>
    <w:qFormat/>
    <w:pPr>
      <w:keepNext/>
      <w:spacing w:before="120" w:after="120"/>
      <w:ind w:firstLine="2880"/>
      <w:outlineLvl w:val="3"/>
    </w:pPr>
    <w:rPr>
      <w:rFonts w:ascii="Helvetica" w:hAnsi="Helvetica"/>
      <w:b/>
      <w:i/>
    </w:rPr>
  </w:style>
  <w:style w:type="paragraph" w:styleId="Heading5">
    <w:name w:val="heading 5"/>
    <w:basedOn w:val="Normal"/>
    <w:next w:val="sub4"/>
    <w:qFormat/>
    <w:pPr>
      <w:spacing w:before="120" w:after="120"/>
      <w:ind w:firstLine="3600"/>
      <w:outlineLvl w:val="4"/>
    </w:pPr>
    <w:rPr>
      <w:rFonts w:ascii="Helvetica" w:hAnsi="Helvetica"/>
      <w:b/>
    </w:rPr>
  </w:style>
  <w:style w:type="paragraph" w:styleId="Heading6">
    <w:name w:val="heading 6"/>
    <w:basedOn w:val="Normal"/>
    <w:next w:val="Normal"/>
    <w:qFormat/>
    <w:pPr>
      <w:keepNext/>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pPr>
      <w:numPr>
        <w:numId w:val="7"/>
      </w:numPr>
      <w:spacing w:after="240"/>
    </w:pPr>
    <w:rPr>
      <w:sz w:val="24"/>
    </w:rPr>
  </w:style>
  <w:style w:type="paragraph" w:styleId="EndnoteText">
    <w:name w:val="endnote text"/>
    <w:basedOn w:val="Normal"/>
    <w:semiHidden/>
    <w:rPr>
      <w:sz w:val="20"/>
    </w:rPr>
  </w:style>
  <w:style w:type="paragraph" w:customStyle="1" w:styleId="standard">
    <w:name w:val="standard"/>
    <w:basedOn w:val="Normal"/>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Style1">
    <w:name w:val="Style1"/>
    <w:basedOn w:val="1ListIndent"/>
    <w:pPr>
      <w:numPr>
        <w:numId w:val="0"/>
      </w:numPr>
    </w:pPr>
  </w:style>
  <w:style w:type="paragraph" w:styleId="TOC4">
    <w:name w:val="toc 4"/>
    <w:basedOn w:val="Normal"/>
    <w:next w:val="Normal"/>
    <w:semiHidden/>
    <w:pPr>
      <w:tabs>
        <w:tab w:val="right" w:leader="dot" w:pos="9360"/>
      </w:tabs>
      <w:ind w:left="720"/>
    </w:pPr>
  </w:style>
  <w:style w:type="paragraph" w:customStyle="1" w:styleId="main">
    <w:name w:val="main"/>
    <w:basedOn w:val="Normal"/>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after="240"/>
    </w:pPr>
  </w:style>
  <w:style w:type="paragraph" w:styleId="Header">
    <w:name w:val="header"/>
    <w:basedOn w:val="Normal"/>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link w:val="FooterChar"/>
    <w:uiPriority w:val="99"/>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paragraph" w:customStyle="1" w:styleId="AListIndent">
    <w:name w:val="A. List Indent"/>
    <w:basedOn w:val="1ListIndent"/>
    <w:pPr>
      <w:numPr>
        <w:numId w:val="5"/>
      </w:numPr>
      <w:ind w:left="1440" w:hanging="720"/>
    </w:pPr>
  </w:style>
  <w:style w:type="character" w:styleId="EndnoteReference">
    <w:name w:val="endnote reference"/>
    <w:semiHidden/>
    <w:rPr>
      <w:vertAlign w:val="superscript"/>
    </w:rPr>
  </w:style>
  <w:style w:type="paragraph" w:customStyle="1" w:styleId="1ListIndent">
    <w:name w:val="1. List Indent"/>
    <w:basedOn w:val="num2"/>
    <w:pPr>
      <w:numPr>
        <w:numId w:val="6"/>
      </w:numPr>
      <w:ind w:left="1080"/>
    </w:pPr>
  </w:style>
  <w:style w:type="character" w:styleId="FootnoteReference">
    <w:name w:val="footnote reference"/>
    <w:semiHidden/>
    <w:rPr>
      <w:vertAlign w:val="superscript"/>
    </w:rPr>
  </w:style>
  <w:style w:type="paragraph" w:styleId="List">
    <w:name w:val="List"/>
    <w:basedOn w:val="Normal"/>
    <w:pPr>
      <w:ind w:left="360" w:hanging="360"/>
    </w:pPr>
    <w:rPr>
      <w:rFonts w:ascii="Times New Roman" w:hAnsi="Times New Roman"/>
      <w:sz w:val="24"/>
    </w:rPr>
  </w:style>
  <w:style w:type="paragraph" w:customStyle="1" w:styleId="Res-Caption">
    <w:name w:val="Res-Caption"/>
    <w:basedOn w:val="Normal"/>
    <w:pPr>
      <w:ind w:left="720" w:right="720"/>
    </w:pPr>
  </w:style>
  <w:style w:type="paragraph" w:customStyle="1" w:styleId="Res-TitleResolution">
    <w:name w:val="Res-Title (Resolution)"/>
    <w:basedOn w:val="main"/>
  </w:style>
  <w:style w:type="paragraph" w:customStyle="1" w:styleId="ALs">
    <w:name w:val="ALs"/>
    <w:basedOn w:val="Normal"/>
    <w:rPr>
      <w:rFonts w:ascii="Times New Roman" w:hAnsi="Times New Roman"/>
      <w:sz w:val="24"/>
    </w:rPr>
  </w:style>
  <w:style w:type="paragraph" w:styleId="ListParagraph">
    <w:name w:val="List Paragraph"/>
    <w:basedOn w:val="Normal"/>
    <w:uiPriority w:val="34"/>
    <w:qFormat/>
    <w:rsid w:val="003F6E5A"/>
    <w:pPr>
      <w:ind w:left="720"/>
      <w:contextualSpacing/>
    </w:pPr>
  </w:style>
  <w:style w:type="paragraph" w:styleId="BalloonText">
    <w:name w:val="Balloon Text"/>
    <w:basedOn w:val="Normal"/>
    <w:link w:val="BalloonTextChar"/>
    <w:rsid w:val="00D822FD"/>
    <w:rPr>
      <w:rFonts w:ascii="Segoe UI" w:hAnsi="Segoe UI" w:cs="Segoe UI"/>
      <w:sz w:val="18"/>
      <w:szCs w:val="18"/>
    </w:rPr>
  </w:style>
  <w:style w:type="character" w:customStyle="1" w:styleId="BalloonTextChar">
    <w:name w:val="Balloon Text Char"/>
    <w:basedOn w:val="DefaultParagraphFont"/>
    <w:link w:val="BalloonText"/>
    <w:rsid w:val="00D822FD"/>
    <w:rPr>
      <w:rFonts w:ascii="Segoe UI" w:hAnsi="Segoe UI" w:cs="Segoe UI"/>
      <w:sz w:val="18"/>
      <w:szCs w:val="18"/>
    </w:rPr>
  </w:style>
  <w:style w:type="character" w:styleId="Hyperlink">
    <w:name w:val="Hyperlink"/>
    <w:basedOn w:val="DefaultParagraphFont"/>
    <w:unhideWhenUsed/>
    <w:rsid w:val="009D63EA"/>
    <w:rPr>
      <w:color w:val="0000FF" w:themeColor="hyperlink"/>
      <w:u w:val="single"/>
    </w:rPr>
  </w:style>
  <w:style w:type="character" w:styleId="UnresolvedMention">
    <w:name w:val="Unresolved Mention"/>
    <w:basedOn w:val="DefaultParagraphFont"/>
    <w:uiPriority w:val="99"/>
    <w:semiHidden/>
    <w:unhideWhenUsed/>
    <w:rsid w:val="009D63EA"/>
    <w:rPr>
      <w:color w:val="605E5C"/>
      <w:shd w:val="clear" w:color="auto" w:fill="E1DFDD"/>
    </w:rPr>
  </w:style>
  <w:style w:type="character" w:styleId="FollowedHyperlink">
    <w:name w:val="FollowedHyperlink"/>
    <w:basedOn w:val="DefaultParagraphFont"/>
    <w:semiHidden/>
    <w:unhideWhenUsed/>
    <w:rsid w:val="00D515F8"/>
    <w:rPr>
      <w:color w:val="800080" w:themeColor="followedHyperlink"/>
      <w:u w:val="single"/>
    </w:rPr>
  </w:style>
  <w:style w:type="paragraph" w:customStyle="1" w:styleId="xres-caption">
    <w:name w:val="x_res-caption"/>
    <w:basedOn w:val="Normal"/>
    <w:rsid w:val="003B28DC"/>
    <w:pPr>
      <w:spacing w:before="100" w:beforeAutospacing="1" w:after="100" w:afterAutospacing="1"/>
    </w:pPr>
    <w:rPr>
      <w:rFonts w:ascii="Times New Roman" w:hAnsi="Times New Roman"/>
      <w:sz w:val="24"/>
      <w:szCs w:val="24"/>
    </w:rPr>
  </w:style>
  <w:style w:type="character" w:customStyle="1" w:styleId="FooterChar">
    <w:name w:val="Footer Char"/>
    <w:basedOn w:val="DefaultParagraphFont"/>
    <w:link w:val="Footer"/>
    <w:uiPriority w:val="99"/>
    <w:rsid w:val="00B913F1"/>
    <w:rPr>
      <w:rFonts w:ascii="Palatino" w:hAnsi="Palatino"/>
      <w:sz w:val="26"/>
    </w:rPr>
  </w:style>
  <w:style w:type="character" w:styleId="CommentReference">
    <w:name w:val="annotation reference"/>
    <w:basedOn w:val="DefaultParagraphFont"/>
    <w:semiHidden/>
    <w:unhideWhenUsed/>
    <w:rsid w:val="006B16A5"/>
    <w:rPr>
      <w:sz w:val="16"/>
      <w:szCs w:val="16"/>
    </w:rPr>
  </w:style>
  <w:style w:type="paragraph" w:styleId="CommentText">
    <w:name w:val="annotation text"/>
    <w:basedOn w:val="Normal"/>
    <w:link w:val="CommentTextChar"/>
    <w:unhideWhenUsed/>
    <w:rsid w:val="006B16A5"/>
    <w:rPr>
      <w:sz w:val="20"/>
    </w:rPr>
  </w:style>
  <w:style w:type="character" w:customStyle="1" w:styleId="CommentTextChar">
    <w:name w:val="Comment Text Char"/>
    <w:basedOn w:val="DefaultParagraphFont"/>
    <w:link w:val="CommentText"/>
    <w:rsid w:val="006B16A5"/>
    <w:rPr>
      <w:rFonts w:ascii="Palatino" w:hAnsi="Palatino"/>
    </w:rPr>
  </w:style>
  <w:style w:type="character" w:customStyle="1" w:styleId="FootnoteTextChar">
    <w:name w:val="Footnote Text Char"/>
    <w:basedOn w:val="DefaultParagraphFont"/>
    <w:link w:val="FootnoteText"/>
    <w:semiHidden/>
    <w:rsid w:val="00F426EE"/>
    <w:rPr>
      <w:rFonts w:ascii="Palatino" w:hAnsi="Palatino"/>
      <w:sz w:val="24"/>
    </w:rPr>
  </w:style>
  <w:style w:type="paragraph" w:customStyle="1" w:styleId="paragraph">
    <w:name w:val="paragraph"/>
    <w:basedOn w:val="Normal"/>
    <w:rsid w:val="00F43A35"/>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F43A35"/>
  </w:style>
  <w:style w:type="character" w:customStyle="1" w:styleId="eop">
    <w:name w:val="eop"/>
    <w:basedOn w:val="DefaultParagraphFont"/>
    <w:rsid w:val="00F43A35"/>
  </w:style>
  <w:style w:type="paragraph" w:styleId="Revision">
    <w:name w:val="Revision"/>
    <w:hidden/>
    <w:uiPriority w:val="99"/>
    <w:semiHidden/>
    <w:rsid w:val="00035FAC"/>
    <w:rPr>
      <w:rFonts w:ascii="Palatino" w:hAnsi="Palatino"/>
      <w:sz w:val="26"/>
    </w:rPr>
  </w:style>
  <w:style w:type="paragraph" w:styleId="CommentSubject">
    <w:name w:val="annotation subject"/>
    <w:basedOn w:val="CommentText"/>
    <w:next w:val="CommentText"/>
    <w:link w:val="CommentSubjectChar"/>
    <w:semiHidden/>
    <w:unhideWhenUsed/>
    <w:rsid w:val="006F7438"/>
    <w:rPr>
      <w:b/>
      <w:bCs/>
    </w:rPr>
  </w:style>
  <w:style w:type="character" w:customStyle="1" w:styleId="CommentSubjectChar">
    <w:name w:val="Comment Subject Char"/>
    <w:basedOn w:val="CommentTextChar"/>
    <w:link w:val="CommentSubject"/>
    <w:semiHidden/>
    <w:rsid w:val="006F7438"/>
    <w:rPr>
      <w:rFonts w:ascii="Palatino" w:hAnsi="Palatino"/>
      <w:b/>
      <w:bCs/>
    </w:rPr>
  </w:style>
  <w:style w:type="character" w:styleId="Mention">
    <w:name w:val="Mention"/>
    <w:basedOn w:val="DefaultParagraphFont"/>
    <w:uiPriority w:val="99"/>
    <w:unhideWhenUsed/>
    <w:rsid w:val="002632D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27587">
      <w:bodyDiv w:val="1"/>
      <w:marLeft w:val="0"/>
      <w:marRight w:val="0"/>
      <w:marTop w:val="0"/>
      <w:marBottom w:val="0"/>
      <w:divBdr>
        <w:top w:val="none" w:sz="0" w:space="0" w:color="auto"/>
        <w:left w:val="none" w:sz="0" w:space="0" w:color="auto"/>
        <w:bottom w:val="none" w:sz="0" w:space="0" w:color="auto"/>
        <w:right w:val="none" w:sz="0" w:space="0" w:color="auto"/>
      </w:divBdr>
    </w:div>
    <w:div w:id="296226529">
      <w:bodyDiv w:val="1"/>
      <w:marLeft w:val="0"/>
      <w:marRight w:val="0"/>
      <w:marTop w:val="0"/>
      <w:marBottom w:val="0"/>
      <w:divBdr>
        <w:top w:val="none" w:sz="0" w:space="0" w:color="auto"/>
        <w:left w:val="none" w:sz="0" w:space="0" w:color="auto"/>
        <w:bottom w:val="none" w:sz="0" w:space="0" w:color="auto"/>
        <w:right w:val="none" w:sz="0" w:space="0" w:color="auto"/>
      </w:divBdr>
      <w:divsChild>
        <w:div w:id="456483925">
          <w:marLeft w:val="0"/>
          <w:marRight w:val="0"/>
          <w:marTop w:val="0"/>
          <w:marBottom w:val="0"/>
          <w:divBdr>
            <w:top w:val="none" w:sz="0" w:space="0" w:color="auto"/>
            <w:left w:val="none" w:sz="0" w:space="0" w:color="auto"/>
            <w:bottom w:val="none" w:sz="0" w:space="0" w:color="auto"/>
            <w:right w:val="none" w:sz="0" w:space="0" w:color="auto"/>
          </w:divBdr>
        </w:div>
        <w:div w:id="718747435">
          <w:marLeft w:val="0"/>
          <w:marRight w:val="0"/>
          <w:marTop w:val="0"/>
          <w:marBottom w:val="0"/>
          <w:divBdr>
            <w:top w:val="none" w:sz="0" w:space="0" w:color="auto"/>
            <w:left w:val="none" w:sz="0" w:space="0" w:color="auto"/>
            <w:bottom w:val="none" w:sz="0" w:space="0" w:color="auto"/>
            <w:right w:val="none" w:sz="0" w:space="0" w:color="auto"/>
          </w:divBdr>
        </w:div>
        <w:div w:id="967589973">
          <w:marLeft w:val="0"/>
          <w:marRight w:val="0"/>
          <w:marTop w:val="0"/>
          <w:marBottom w:val="0"/>
          <w:divBdr>
            <w:top w:val="none" w:sz="0" w:space="0" w:color="auto"/>
            <w:left w:val="none" w:sz="0" w:space="0" w:color="auto"/>
            <w:bottom w:val="none" w:sz="0" w:space="0" w:color="auto"/>
            <w:right w:val="none" w:sz="0" w:space="0" w:color="auto"/>
          </w:divBdr>
        </w:div>
      </w:divsChild>
    </w:div>
    <w:div w:id="326174761">
      <w:bodyDiv w:val="1"/>
      <w:marLeft w:val="0"/>
      <w:marRight w:val="0"/>
      <w:marTop w:val="0"/>
      <w:marBottom w:val="0"/>
      <w:divBdr>
        <w:top w:val="none" w:sz="0" w:space="0" w:color="auto"/>
        <w:left w:val="none" w:sz="0" w:space="0" w:color="auto"/>
        <w:bottom w:val="none" w:sz="0" w:space="0" w:color="auto"/>
        <w:right w:val="none" w:sz="0" w:space="0" w:color="auto"/>
      </w:divBdr>
    </w:div>
    <w:div w:id="346491164">
      <w:bodyDiv w:val="1"/>
      <w:marLeft w:val="0"/>
      <w:marRight w:val="0"/>
      <w:marTop w:val="0"/>
      <w:marBottom w:val="0"/>
      <w:divBdr>
        <w:top w:val="none" w:sz="0" w:space="0" w:color="auto"/>
        <w:left w:val="none" w:sz="0" w:space="0" w:color="auto"/>
        <w:bottom w:val="none" w:sz="0" w:space="0" w:color="auto"/>
        <w:right w:val="none" w:sz="0" w:space="0" w:color="auto"/>
      </w:divBdr>
    </w:div>
    <w:div w:id="391581479">
      <w:bodyDiv w:val="1"/>
      <w:marLeft w:val="0"/>
      <w:marRight w:val="0"/>
      <w:marTop w:val="0"/>
      <w:marBottom w:val="0"/>
      <w:divBdr>
        <w:top w:val="none" w:sz="0" w:space="0" w:color="auto"/>
        <w:left w:val="none" w:sz="0" w:space="0" w:color="auto"/>
        <w:bottom w:val="none" w:sz="0" w:space="0" w:color="auto"/>
        <w:right w:val="none" w:sz="0" w:space="0" w:color="auto"/>
      </w:divBdr>
    </w:div>
    <w:div w:id="992178709">
      <w:bodyDiv w:val="1"/>
      <w:marLeft w:val="0"/>
      <w:marRight w:val="0"/>
      <w:marTop w:val="0"/>
      <w:marBottom w:val="0"/>
      <w:divBdr>
        <w:top w:val="none" w:sz="0" w:space="0" w:color="auto"/>
        <w:left w:val="none" w:sz="0" w:space="0" w:color="auto"/>
        <w:bottom w:val="none" w:sz="0" w:space="0" w:color="auto"/>
        <w:right w:val="none" w:sz="0" w:space="0" w:color="auto"/>
      </w:divBdr>
    </w:div>
    <w:div w:id="1442993138">
      <w:bodyDiv w:val="1"/>
      <w:marLeft w:val="0"/>
      <w:marRight w:val="0"/>
      <w:marTop w:val="0"/>
      <w:marBottom w:val="0"/>
      <w:divBdr>
        <w:top w:val="none" w:sz="0" w:space="0" w:color="auto"/>
        <w:left w:val="none" w:sz="0" w:space="0" w:color="auto"/>
        <w:bottom w:val="none" w:sz="0" w:space="0" w:color="auto"/>
        <w:right w:val="none" w:sz="0" w:space="0" w:color="auto"/>
      </w:divBdr>
    </w:div>
    <w:div w:id="1449929345">
      <w:bodyDiv w:val="1"/>
      <w:marLeft w:val="0"/>
      <w:marRight w:val="0"/>
      <w:marTop w:val="0"/>
      <w:marBottom w:val="0"/>
      <w:divBdr>
        <w:top w:val="none" w:sz="0" w:space="0" w:color="auto"/>
        <w:left w:val="none" w:sz="0" w:space="0" w:color="auto"/>
        <w:bottom w:val="none" w:sz="0" w:space="0" w:color="auto"/>
        <w:right w:val="none" w:sz="0" w:space="0" w:color="auto"/>
      </w:divBdr>
      <w:divsChild>
        <w:div w:id="1111899167">
          <w:marLeft w:val="0"/>
          <w:marRight w:val="0"/>
          <w:marTop w:val="0"/>
          <w:marBottom w:val="0"/>
          <w:divBdr>
            <w:top w:val="none" w:sz="0" w:space="0" w:color="auto"/>
            <w:left w:val="none" w:sz="0" w:space="0" w:color="auto"/>
            <w:bottom w:val="none" w:sz="0" w:space="0" w:color="auto"/>
            <w:right w:val="none" w:sz="0" w:space="0" w:color="auto"/>
          </w:divBdr>
        </w:div>
        <w:div w:id="1562132856">
          <w:marLeft w:val="0"/>
          <w:marRight w:val="0"/>
          <w:marTop w:val="0"/>
          <w:marBottom w:val="0"/>
          <w:divBdr>
            <w:top w:val="none" w:sz="0" w:space="0" w:color="auto"/>
            <w:left w:val="none" w:sz="0" w:space="0" w:color="auto"/>
            <w:bottom w:val="none" w:sz="0" w:space="0" w:color="auto"/>
            <w:right w:val="none" w:sz="0" w:space="0" w:color="auto"/>
          </w:divBdr>
        </w:div>
        <w:div w:id="2120370780">
          <w:marLeft w:val="0"/>
          <w:marRight w:val="0"/>
          <w:marTop w:val="0"/>
          <w:marBottom w:val="0"/>
          <w:divBdr>
            <w:top w:val="none" w:sz="0" w:space="0" w:color="auto"/>
            <w:left w:val="none" w:sz="0" w:space="0" w:color="auto"/>
            <w:bottom w:val="none" w:sz="0" w:space="0" w:color="auto"/>
            <w:right w:val="none" w:sz="0" w:space="0" w:color="auto"/>
          </w:divBdr>
        </w:div>
      </w:divsChild>
    </w:div>
    <w:div w:id="1486360339">
      <w:bodyDiv w:val="1"/>
      <w:marLeft w:val="0"/>
      <w:marRight w:val="0"/>
      <w:marTop w:val="0"/>
      <w:marBottom w:val="0"/>
      <w:divBdr>
        <w:top w:val="none" w:sz="0" w:space="0" w:color="auto"/>
        <w:left w:val="none" w:sz="0" w:space="0" w:color="auto"/>
        <w:bottom w:val="none" w:sz="0" w:space="0" w:color="auto"/>
        <w:right w:val="none" w:sz="0" w:space="0" w:color="auto"/>
      </w:divBdr>
      <w:divsChild>
        <w:div w:id="629362909">
          <w:marLeft w:val="0"/>
          <w:marRight w:val="0"/>
          <w:marTop w:val="0"/>
          <w:marBottom w:val="0"/>
          <w:divBdr>
            <w:top w:val="none" w:sz="0" w:space="0" w:color="auto"/>
            <w:left w:val="none" w:sz="0" w:space="0" w:color="auto"/>
            <w:bottom w:val="none" w:sz="0" w:space="0" w:color="auto"/>
            <w:right w:val="none" w:sz="0" w:space="0" w:color="auto"/>
          </w:divBdr>
        </w:div>
        <w:div w:id="1125729943">
          <w:marLeft w:val="0"/>
          <w:marRight w:val="0"/>
          <w:marTop w:val="0"/>
          <w:marBottom w:val="0"/>
          <w:divBdr>
            <w:top w:val="none" w:sz="0" w:space="0" w:color="auto"/>
            <w:left w:val="none" w:sz="0" w:space="0" w:color="auto"/>
            <w:bottom w:val="none" w:sz="0" w:space="0" w:color="auto"/>
            <w:right w:val="none" w:sz="0" w:space="0" w:color="auto"/>
          </w:divBdr>
        </w:div>
        <w:div w:id="16951847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1139800E2FCA47BD99D0E489540B64" ma:contentTypeVersion="13" ma:contentTypeDescription="Create a new document." ma:contentTypeScope="" ma:versionID="163bd65894b1d59760e2963286053b9c">
  <xsd:schema xmlns:xsd="http://www.w3.org/2001/XMLSchema" xmlns:xs="http://www.w3.org/2001/XMLSchema" xmlns:p="http://schemas.microsoft.com/office/2006/metadata/properties" xmlns:ns2="451c1104-596d-44de-9b41-cfbc08bc9a9b" xmlns:ns3="23f1323c-992c-4393-af78-5a55ab29d2ec" targetNamespace="http://schemas.microsoft.com/office/2006/metadata/properties" ma:root="true" ma:fieldsID="d0cb87bfaddea5dbdad5e60e9a4f1cd2" ns2:_="" ns3:_="">
    <xsd:import namespace="451c1104-596d-44de-9b41-cfbc08bc9a9b"/>
    <xsd:import namespace="23f1323c-992c-4393-af78-5a55ab29d2e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1c1104-596d-44de-9b41-cfbc08bc9a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f1323c-992c-4393-af78-5a55ab29d2e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0332cb2-96f5-4162-8fc8-f78b53b59440}" ma:internalName="TaxCatchAll" ma:showField="CatchAllData" ma:web="23f1323c-992c-4393-af78-5a55ab29d2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3f1323c-992c-4393-af78-5a55ab29d2ec" xsi:nil="true"/>
    <lcf76f155ced4ddcb4097134ff3c332f xmlns="451c1104-596d-44de-9b41-cfbc08bc9a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26743D-17D4-448F-A3A0-B2FCFCA611FF}">
  <ds:schemaRefs>
    <ds:schemaRef ds:uri="http://schemas.microsoft.com/sharepoint/v3/contenttype/forms"/>
  </ds:schemaRefs>
</ds:datastoreItem>
</file>

<file path=customXml/itemProps2.xml><?xml version="1.0" encoding="utf-8"?>
<ds:datastoreItem xmlns:ds="http://schemas.openxmlformats.org/officeDocument/2006/customXml" ds:itemID="{83BED1D7-779C-4115-ABBC-BAE9AB205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1c1104-596d-44de-9b41-cfbc08bc9a9b"/>
    <ds:schemaRef ds:uri="23f1323c-992c-4393-af78-5a55ab29d2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995425-280A-47AE-88D0-D9B292CD73F0}">
  <ds:schemaRefs>
    <ds:schemaRef ds:uri="http://schemas.openxmlformats.org/officeDocument/2006/bibliography"/>
  </ds:schemaRefs>
</ds:datastoreItem>
</file>

<file path=customXml/itemProps4.xml><?xml version="1.0" encoding="utf-8"?>
<ds:datastoreItem xmlns:ds="http://schemas.openxmlformats.org/officeDocument/2006/customXml" ds:itemID="{F0F54526-F973-479E-9E6C-9A17D746A63C}">
  <ds:schemaRefs>
    <ds:schemaRef ds:uri="http://schemas.microsoft.com/office/2006/metadata/properties"/>
    <ds:schemaRef ds:uri="http://schemas.microsoft.com/office/infopath/2007/PartnerControls"/>
    <ds:schemaRef ds:uri="23f1323c-992c-4393-af78-5a55ab29d2ec"/>
    <ds:schemaRef ds:uri="451c1104-596d-44de-9b41-cfbc08bc9a9b"/>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8</ap:Pages>
  <ap:Words>2277</ap:Words>
  <ap:Characters>12984</ap:Characters>
  <ap:Application>Microsoft Office Word</ap:Application>
  <ap:DocSecurity>0</ap:DocSecurity>
  <ap:Lines>108</ap:Lines>
  <ap:Paragraphs>30</ap:Paragraphs>
  <ap:ScaleCrop>false</ap:ScaleCrop>
  <ap:HeadingPairs>
    <vt:vector baseType="variant" size="2">
      <vt:variant>
        <vt:lpstr>Title</vt:lpstr>
      </vt:variant>
      <vt:variant>
        <vt:i4>1</vt:i4>
      </vt:variant>
    </vt:vector>
  </ap:HeadingPairs>
  <ap:TitlesOfParts>
    <vt:vector baseType="lpstr" size="1">
      <vt:lpstr>Resolution Template</vt:lpstr>
    </vt:vector>
  </ap:TitlesOfParts>
  <ap:Company/>
  <ap:LinksUpToDate>false</ap:LinksUpToDate>
  <ap:CharactersWithSpaces>15231</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2019-02-28T22:11:00Z</cp:lastPrinted>
  <dcterms:created xsi:type="dcterms:W3CDTF">2025-06-17T16:04:51Z</dcterms:created>
  <dcterms:modified xsi:type="dcterms:W3CDTF">2025-06-17T16:04:51Z</dcterms:modified>
</cp:coreProperties>
</file>