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48F0" w:rsidR="005B113F" w:rsidP="00FD3B90" w:rsidRDefault="00F04B30" w14:paraId="6F6E57ED" w14:textId="54951DB2">
      <w:pPr>
        <w:pStyle w:val="Header"/>
        <w:tabs>
          <w:tab w:val="clear" w:pos="8640"/>
          <w:tab w:val="left" w:pos="7110"/>
          <w:tab w:val="right" w:pos="9180"/>
        </w:tabs>
        <w:rPr>
          <w:rFonts w:ascii="Book Antiqua" w:hAnsi="Book Antiqua"/>
          <w:b/>
          <w:bCs/>
        </w:rPr>
      </w:pPr>
      <w:r w:rsidRPr="001648F0">
        <w:rPr>
          <w:rFonts w:ascii="Book Antiqua" w:hAnsi="Book Antiqua"/>
        </w:rPr>
        <w:t>ALJ/</w:t>
      </w:r>
      <w:r w:rsidRPr="001648F0" w:rsidR="00A14B76">
        <w:rPr>
          <w:rFonts w:ascii="Book Antiqua" w:hAnsi="Book Antiqua"/>
        </w:rPr>
        <w:t>jnf</w:t>
      </w:r>
      <w:r w:rsidRPr="001648F0">
        <w:rPr>
          <w:rFonts w:ascii="Book Antiqua" w:hAnsi="Book Antiqua"/>
        </w:rPr>
        <w:tab/>
      </w:r>
      <w:r w:rsidRPr="001648F0" w:rsidR="005D2F39">
        <w:rPr>
          <w:rFonts w:ascii="Book Antiqua" w:hAnsi="Book Antiqua"/>
          <w:b/>
        </w:rPr>
        <w:tab/>
      </w:r>
      <w:r w:rsidRPr="001648F0" w:rsidR="00043B8E">
        <w:rPr>
          <w:rFonts w:ascii="Book Antiqua" w:hAnsi="Book Antiqua"/>
          <w:b/>
        </w:rPr>
        <w:t xml:space="preserve"> </w:t>
      </w:r>
      <w:r w:rsidRPr="001648F0" w:rsidR="009B1A5B">
        <w:rPr>
          <w:rFonts w:ascii="Book Antiqua" w:hAnsi="Book Antiqua"/>
          <w:b/>
        </w:rPr>
        <w:tab/>
        <w:t>DRAFT</w:t>
      </w:r>
    </w:p>
    <w:p w:rsidRPr="001648F0" w:rsidR="00043B8E" w:rsidP="00043B8E" w:rsidRDefault="00043B8E" w14:paraId="5230D684" w14:textId="28BAE3E4">
      <w:pPr>
        <w:pStyle w:val="Header"/>
        <w:tabs>
          <w:tab w:val="clear" w:pos="8640"/>
          <w:tab w:val="left" w:pos="7110"/>
          <w:tab w:val="right" w:pos="9360"/>
        </w:tabs>
        <w:jc w:val="center"/>
        <w:rPr>
          <w:rFonts w:ascii="Book Antiqua" w:hAnsi="Book Antiqua"/>
          <w:bCs/>
          <w:u w:val="single"/>
        </w:rPr>
      </w:pPr>
      <w:r w:rsidRPr="001648F0">
        <w:rPr>
          <w:rFonts w:ascii="Book Antiqua" w:hAnsi="Book Antiqua"/>
          <w:bCs/>
        </w:rPr>
        <w:tab/>
      </w:r>
    </w:p>
    <w:p w:rsidRPr="001648F0" w:rsidR="005B113F" w:rsidRDefault="005B113F" w14:paraId="7730182E" w14:textId="77777777">
      <w:pPr>
        <w:pStyle w:val="Title"/>
        <w:rPr>
          <w:rFonts w:ascii="Book Antiqua" w:hAnsi="Book Antiqua"/>
          <w:b w:val="0"/>
        </w:rPr>
      </w:pPr>
    </w:p>
    <w:p w:rsidR="005B113F" w:rsidRDefault="00F04B30" w14:paraId="0B1C8AEF" w14:textId="77777777">
      <w:pPr>
        <w:pStyle w:val="Title"/>
      </w:pPr>
      <w:r>
        <w:t xml:space="preserve">PUBLIC UTILITIES COMMISSION OF THE STATE OF </w:t>
      </w:r>
      <w:smartTag w:uri="urn:schemas-microsoft-com:office:smarttags" w:element="State">
        <w:smartTag w:uri="urn:schemas-microsoft-com:office:smarttags" w:element="place">
          <w:r>
            <w:t>CALIFORNIA</w:t>
          </w:r>
        </w:smartTag>
      </w:smartTag>
    </w:p>
    <w:p w:rsidR="005B113F" w:rsidRDefault="005B113F" w14:paraId="610AADCB" w14:textId="77777777"/>
    <w:p w:rsidRPr="009755A5" w:rsidR="005B113F" w:rsidP="009755A5" w:rsidRDefault="00F04B30" w14:paraId="71BA1CB6" w14:textId="3C590A74">
      <w:pPr>
        <w:tabs>
          <w:tab w:val="left" w:pos="3600"/>
        </w:tabs>
        <w:rPr>
          <w:rFonts w:ascii="Book Antiqua" w:hAnsi="Book Antiqua"/>
          <w:szCs w:val="24"/>
        </w:rPr>
      </w:pPr>
      <w:r>
        <w:tab/>
      </w:r>
      <w:r w:rsidRPr="009755A5">
        <w:rPr>
          <w:rFonts w:ascii="Book Antiqua" w:hAnsi="Book Antiqua"/>
          <w:szCs w:val="24"/>
        </w:rPr>
        <w:t>Resolution ALJ 176-</w:t>
      </w:r>
      <w:r w:rsidR="008E6889">
        <w:rPr>
          <w:rFonts w:ascii="Book Antiqua" w:hAnsi="Book Antiqua"/>
          <w:szCs w:val="24"/>
        </w:rPr>
        <w:t>3565</w:t>
      </w:r>
    </w:p>
    <w:p w:rsidRPr="009755A5" w:rsidR="005B113F" w:rsidP="009755A5" w:rsidRDefault="00F04B30" w14:paraId="0BEC5567" w14:textId="40EF86A7">
      <w:pPr>
        <w:tabs>
          <w:tab w:val="left" w:pos="3600"/>
        </w:tabs>
        <w:rPr>
          <w:rFonts w:ascii="Book Antiqua" w:hAnsi="Book Antiqua"/>
          <w:szCs w:val="24"/>
        </w:rPr>
      </w:pPr>
      <w:r w:rsidRPr="009755A5">
        <w:rPr>
          <w:rFonts w:ascii="Book Antiqua" w:hAnsi="Book Antiqua"/>
          <w:szCs w:val="24"/>
        </w:rPr>
        <w:tab/>
        <w:t>Administrative Law Judge Division</w:t>
      </w:r>
    </w:p>
    <w:p w:rsidRPr="009755A5" w:rsidR="00BE1D69" w:rsidP="009755A5" w:rsidRDefault="00F04B30" w14:paraId="62AD9F6D" w14:textId="35F37A69">
      <w:pPr>
        <w:tabs>
          <w:tab w:val="left" w:pos="3600"/>
        </w:tabs>
        <w:rPr>
          <w:rFonts w:ascii="Book Antiqua" w:hAnsi="Book Antiqua"/>
          <w:szCs w:val="24"/>
        </w:rPr>
      </w:pPr>
      <w:r w:rsidRPr="009755A5">
        <w:rPr>
          <w:rFonts w:ascii="Book Antiqua" w:hAnsi="Book Antiqua"/>
          <w:szCs w:val="24"/>
        </w:rPr>
        <w:tab/>
      </w:r>
      <w:r w:rsidRPr="008E6889" w:rsidR="008E6889">
        <w:rPr>
          <w:rFonts w:ascii="Book Antiqua" w:hAnsi="Book Antiqua"/>
          <w:szCs w:val="24"/>
        </w:rPr>
        <w:t>June 26, 2025</w:t>
      </w:r>
    </w:p>
    <w:p w:rsidR="00B878E8" w:rsidRDefault="00B878E8" w14:paraId="0BB60DE9" w14:textId="77777777"/>
    <w:p w:rsidR="005B113F" w:rsidRDefault="00F04B30" w14:paraId="2664356A" w14:textId="77777777">
      <w:pPr>
        <w:jc w:val="center"/>
        <w:rPr>
          <w:rFonts w:ascii="Helvetica" w:hAnsi="Helvetica"/>
          <w:b/>
          <w:u w:val="single"/>
        </w:rPr>
      </w:pPr>
      <w:r>
        <w:rPr>
          <w:rFonts w:ascii="Helvetica" w:hAnsi="Helvetica"/>
          <w:b/>
          <w:u w:val="single"/>
        </w:rPr>
        <w:t>R</w:t>
      </w:r>
      <w:r>
        <w:rPr>
          <w:rFonts w:ascii="Helvetica" w:hAnsi="Helvetica"/>
          <w:b/>
        </w:rPr>
        <w:t xml:space="preserve"> </w:t>
      </w:r>
      <w:r>
        <w:rPr>
          <w:rFonts w:ascii="Helvetica" w:hAnsi="Helvetica"/>
          <w:b/>
          <w:u w:val="single"/>
        </w:rPr>
        <w:t>E</w:t>
      </w:r>
      <w:r>
        <w:rPr>
          <w:rFonts w:ascii="Helvetica" w:hAnsi="Helvetica"/>
          <w:b/>
        </w:rPr>
        <w:t xml:space="preserve"> </w:t>
      </w:r>
      <w:r>
        <w:rPr>
          <w:rFonts w:ascii="Helvetica" w:hAnsi="Helvetica"/>
          <w:b/>
          <w:u w:val="single"/>
        </w:rPr>
        <w:t>S</w:t>
      </w:r>
      <w:r>
        <w:rPr>
          <w:rFonts w:ascii="Helvetica" w:hAnsi="Helvetica"/>
          <w:b/>
        </w:rPr>
        <w:t xml:space="preserve"> </w:t>
      </w:r>
      <w:r>
        <w:rPr>
          <w:rFonts w:ascii="Helvetica" w:hAnsi="Helvetica"/>
          <w:b/>
          <w:u w:val="single"/>
        </w:rPr>
        <w:t>O</w:t>
      </w:r>
      <w:r>
        <w:rPr>
          <w:rFonts w:ascii="Helvetica" w:hAnsi="Helvetica"/>
          <w:b/>
        </w:rPr>
        <w:t xml:space="preserve"> </w:t>
      </w:r>
      <w:r>
        <w:rPr>
          <w:rFonts w:ascii="Helvetica" w:hAnsi="Helvetica"/>
          <w:b/>
          <w:u w:val="single"/>
        </w:rPr>
        <w:t>L</w:t>
      </w:r>
      <w:r>
        <w:rPr>
          <w:rFonts w:ascii="Helvetica" w:hAnsi="Helvetica"/>
          <w:b/>
        </w:rPr>
        <w:t xml:space="preserve"> </w:t>
      </w:r>
      <w:r>
        <w:rPr>
          <w:rFonts w:ascii="Helvetica" w:hAnsi="Helvetica"/>
          <w:b/>
          <w:u w:val="single"/>
        </w:rPr>
        <w:t>U</w:t>
      </w:r>
      <w:r>
        <w:rPr>
          <w:rFonts w:ascii="Helvetica" w:hAnsi="Helvetica"/>
          <w:b/>
        </w:rPr>
        <w:t xml:space="preserve"> </w:t>
      </w:r>
      <w:r>
        <w:rPr>
          <w:rFonts w:ascii="Helvetica" w:hAnsi="Helvetica"/>
          <w:b/>
          <w:u w:val="single"/>
        </w:rPr>
        <w:t>T</w:t>
      </w:r>
      <w:r>
        <w:rPr>
          <w:rFonts w:ascii="Helvetica" w:hAnsi="Helvetica"/>
          <w:b/>
        </w:rPr>
        <w:t xml:space="preserve"> </w:t>
      </w:r>
      <w:r>
        <w:rPr>
          <w:rFonts w:ascii="Helvetica" w:hAnsi="Helvetica"/>
          <w:b/>
          <w:u w:val="single"/>
        </w:rPr>
        <w:t>I</w:t>
      </w:r>
      <w:r>
        <w:rPr>
          <w:rFonts w:ascii="Helvetica" w:hAnsi="Helvetica"/>
          <w:b/>
        </w:rPr>
        <w:t xml:space="preserve"> </w:t>
      </w:r>
      <w:r>
        <w:rPr>
          <w:rFonts w:ascii="Helvetica" w:hAnsi="Helvetica"/>
          <w:b/>
          <w:u w:val="single"/>
        </w:rPr>
        <w:t>O</w:t>
      </w:r>
      <w:r>
        <w:rPr>
          <w:rFonts w:ascii="Helvetica" w:hAnsi="Helvetica"/>
          <w:b/>
        </w:rPr>
        <w:t xml:space="preserve"> </w:t>
      </w:r>
      <w:r>
        <w:rPr>
          <w:rFonts w:ascii="Helvetica" w:hAnsi="Helvetica"/>
          <w:b/>
          <w:u w:val="single"/>
        </w:rPr>
        <w:t>N</w:t>
      </w:r>
    </w:p>
    <w:p w:rsidR="005B113F" w:rsidRDefault="005B113F" w14:paraId="6D61F866" w14:textId="77777777">
      <w:pPr>
        <w:jc w:val="center"/>
      </w:pPr>
    </w:p>
    <w:p w:rsidR="005B113F" w:rsidRDefault="005B113F" w14:paraId="6283598A" w14:textId="77777777"/>
    <w:p w:rsidRPr="00A14B76" w:rsidR="005B113F" w:rsidRDefault="00F04B30" w14:paraId="640EDFF8" w14:textId="5A624562">
      <w:pPr>
        <w:pStyle w:val="BlockText"/>
        <w:rPr>
          <w:rFonts w:ascii="Book Antiqua" w:hAnsi="Book Antiqua"/>
        </w:rPr>
      </w:pPr>
      <w:r w:rsidRPr="00A14B76">
        <w:rPr>
          <w:rFonts w:ascii="Book Antiqua" w:hAnsi="Book Antiqua"/>
        </w:rPr>
        <w:t>RESOLUTION ALJ 176-</w:t>
      </w:r>
      <w:r w:rsidR="008E6889">
        <w:rPr>
          <w:rFonts w:ascii="Book Antiqua" w:hAnsi="Book Antiqua"/>
        </w:rPr>
        <w:t>3565</w:t>
      </w:r>
      <w:r w:rsidRPr="00A14B76">
        <w:rPr>
          <w:rFonts w:ascii="Book Antiqua" w:hAnsi="Book Antiqua"/>
        </w:rPr>
        <w:t>.  Preliminary determinations of category for proceedings initiated by application pursuant to Rule 7.1 of the Commission’s Rules of Practice and Procedure.</w:t>
      </w:r>
    </w:p>
    <w:p w:rsidR="005B113F" w:rsidRDefault="00F04B30" w14:paraId="546B6D01" w14:textId="77777777">
      <w:pPr>
        <w:tabs>
          <w:tab w:val="right" w:pos="8550"/>
        </w:tabs>
        <w:ind w:left="720" w:right="720"/>
      </w:pPr>
      <w:r>
        <w:rPr>
          <w:u w:val="single"/>
        </w:rPr>
        <w:tab/>
      </w:r>
    </w:p>
    <w:p w:rsidR="005B113F" w:rsidRDefault="005B113F" w14:paraId="38419C93" w14:textId="77777777"/>
    <w:p w:rsidR="005B113F" w:rsidRDefault="005B113F" w14:paraId="48208BBE" w14:textId="77777777"/>
    <w:p w:rsidRPr="00A14B76" w:rsidR="005B113F" w:rsidRDefault="00F04B30" w14:paraId="239DD7C9" w14:textId="27DB68FA">
      <w:pPr>
        <w:rPr>
          <w:rFonts w:ascii="Book Antiqua" w:hAnsi="Book Antiqua"/>
        </w:rPr>
      </w:pPr>
      <w:r w:rsidRPr="00A14B76">
        <w:rPr>
          <w:rFonts w:ascii="Book Antiqua" w:hAnsi="Book Antiqua"/>
        </w:rPr>
        <w:t xml:space="preserve">Senate Bill (SB) 960 (Leonard, </w:t>
      </w:r>
      <w:proofErr w:type="spellStart"/>
      <w:r w:rsidRPr="00A14B76">
        <w:rPr>
          <w:rFonts w:ascii="Book Antiqua" w:hAnsi="Book Antiqua"/>
        </w:rPr>
        <w:t>ch.</w:t>
      </w:r>
      <w:proofErr w:type="spellEnd"/>
      <w:r w:rsidRPr="00A14B76">
        <w:rPr>
          <w:rFonts w:ascii="Book Antiqua" w:hAnsi="Book Antiqua"/>
        </w:rPr>
        <w:t xml:space="preserve"> 96-0856) requires, among other things, that the Commission categorize proceedings for purposes of determining the applicable restrictions on ex parte communications and other applicable rules.  The rules implementing these requirements are found, for the most part, in Articles 7 and 8 of the Commission’s Rules of Practice and Procedure.</w:t>
      </w:r>
    </w:p>
    <w:p w:rsidRPr="00A14B76" w:rsidR="005B113F" w:rsidRDefault="005B113F" w14:paraId="796BF2BD" w14:textId="77777777">
      <w:pPr>
        <w:rPr>
          <w:rFonts w:ascii="Book Antiqua" w:hAnsi="Book Antiqua"/>
        </w:rPr>
      </w:pPr>
    </w:p>
    <w:p w:rsidRPr="00A14B76" w:rsidR="005B113F" w:rsidRDefault="00F04B30" w14:paraId="3D4C29C2" w14:textId="33CE0260">
      <w:pPr>
        <w:rPr>
          <w:rFonts w:ascii="Book Antiqua" w:hAnsi="Book Antiqua"/>
        </w:rPr>
      </w:pPr>
      <w:r w:rsidRPr="00A14B76">
        <w:rPr>
          <w:rFonts w:ascii="Book Antiqua" w:hAnsi="Book Antiqua"/>
        </w:rPr>
        <w:t>Rule 7.1 requires the Commission to preliminarily determine, for a proceeding initiated by application, the proceeding’s category</w:t>
      </w:r>
      <w:r w:rsidRPr="00A14B76" w:rsidR="001B116D">
        <w:rPr>
          <w:rFonts w:ascii="Book Antiqua" w:hAnsi="Book Antiqua"/>
        </w:rPr>
        <w:t>.</w:t>
      </w:r>
      <w:r w:rsidRPr="00A14B76">
        <w:rPr>
          <w:rFonts w:ascii="Book Antiqua" w:hAnsi="Book Antiqua"/>
        </w:rPr>
        <w:t xml:space="preserve">  The Commission has reviewed the initial pleading of the utility applicants and makes the preliminary determinations of category as shown in the attached Preliminary Determination Schedule, consistent with the requirements of Rule 7.1.</w:t>
      </w:r>
    </w:p>
    <w:p w:rsidRPr="00A14B76" w:rsidR="005B113F" w:rsidRDefault="005B113F" w14:paraId="2DEABCF0" w14:textId="77777777">
      <w:pPr>
        <w:rPr>
          <w:rFonts w:ascii="Book Antiqua" w:hAnsi="Book Antiqua"/>
        </w:rPr>
      </w:pPr>
    </w:p>
    <w:p w:rsidRPr="00A14B76" w:rsidR="005B113F" w:rsidRDefault="00F04B30" w14:paraId="215F0547" w14:textId="77777777">
      <w:pPr>
        <w:rPr>
          <w:rFonts w:ascii="Book Antiqua" w:hAnsi="Book Antiqua"/>
        </w:rPr>
      </w:pPr>
      <w:r w:rsidRPr="00A14B76">
        <w:rPr>
          <w:rFonts w:ascii="Book Antiqua" w:hAnsi="Book Antiqua"/>
        </w:rPr>
        <w:t>No public review or comment is required for this resolution pursuant to Rule 14.7.</w:t>
      </w:r>
    </w:p>
    <w:p w:rsidRPr="00A14B76" w:rsidR="005B113F" w:rsidRDefault="005B113F" w14:paraId="555A3036" w14:textId="77777777">
      <w:pPr>
        <w:rPr>
          <w:rFonts w:ascii="Book Antiqua" w:hAnsi="Book Antiqua"/>
        </w:rPr>
      </w:pPr>
    </w:p>
    <w:p w:rsidRPr="00A14B76" w:rsidR="005B113F" w:rsidRDefault="00F04B30" w14:paraId="7FF86307" w14:textId="77777777">
      <w:pPr>
        <w:rPr>
          <w:rFonts w:ascii="Book Antiqua" w:hAnsi="Book Antiqua"/>
        </w:rPr>
      </w:pPr>
      <w:r w:rsidRPr="00A14B76">
        <w:rPr>
          <w:rFonts w:ascii="Book Antiqua" w:hAnsi="Book Antiqua"/>
          <w:b/>
        </w:rPr>
        <w:t>IT IS ORDERED</w:t>
      </w:r>
      <w:r w:rsidRPr="00A14B76">
        <w:rPr>
          <w:rFonts w:ascii="Book Antiqua" w:hAnsi="Book Antiqua"/>
        </w:rPr>
        <w:t xml:space="preserve"> that:</w:t>
      </w:r>
    </w:p>
    <w:p w:rsidRPr="00A14B76" w:rsidR="005B113F" w:rsidRDefault="005B113F" w14:paraId="76FBF475" w14:textId="77777777">
      <w:pPr>
        <w:rPr>
          <w:rFonts w:ascii="Book Antiqua" w:hAnsi="Book Antiqua"/>
        </w:rPr>
      </w:pPr>
    </w:p>
    <w:p w:rsidRPr="00A14B76" w:rsidR="005B113F" w:rsidRDefault="00F04B30" w14:paraId="3ADE2284" w14:textId="013DE902">
      <w:pPr>
        <w:pStyle w:val="num1"/>
        <w:numPr>
          <w:ilvl w:val="0"/>
          <w:numId w:val="2"/>
        </w:numPr>
        <w:tabs>
          <w:tab w:val="left" w:pos="360"/>
        </w:tabs>
        <w:spacing w:after="120" w:line="240" w:lineRule="auto"/>
        <w:ind w:left="0" w:firstLine="0"/>
        <w:rPr>
          <w:rFonts w:ascii="Book Antiqua" w:hAnsi="Book Antiqua"/>
          <w:sz w:val="24"/>
          <w:szCs w:val="24"/>
        </w:rPr>
      </w:pPr>
      <w:r w:rsidRPr="00A14B76">
        <w:rPr>
          <w:rFonts w:ascii="Book Antiqua" w:hAnsi="Book Antiqua"/>
          <w:sz w:val="24"/>
          <w:szCs w:val="24"/>
        </w:rPr>
        <w:t>The category for each proceeding initiated by application listed in the attached Schedule of Preliminary Determinations are preliminarily determined, as noted.</w:t>
      </w:r>
    </w:p>
    <w:p w:rsidRPr="00A14B76" w:rsidR="005B113F" w:rsidRDefault="00F04B30" w14:paraId="76DEFF16" w14:textId="77777777">
      <w:pPr>
        <w:pStyle w:val="num1"/>
        <w:keepNext/>
        <w:numPr>
          <w:ilvl w:val="0"/>
          <w:numId w:val="2"/>
        </w:numPr>
        <w:tabs>
          <w:tab w:val="left" w:pos="360"/>
        </w:tabs>
        <w:spacing w:after="120" w:line="240" w:lineRule="auto"/>
        <w:ind w:left="0" w:firstLine="0"/>
        <w:rPr>
          <w:rFonts w:ascii="Book Antiqua" w:hAnsi="Book Antiqua"/>
          <w:sz w:val="24"/>
          <w:szCs w:val="24"/>
        </w:rPr>
      </w:pPr>
      <w:r w:rsidRPr="00A14B76">
        <w:rPr>
          <w:rFonts w:ascii="Book Antiqua" w:hAnsi="Book Antiqua"/>
          <w:sz w:val="24"/>
          <w:szCs w:val="24"/>
        </w:rPr>
        <w:lastRenderedPageBreak/>
        <w:t>This resolution is effective today.</w:t>
      </w:r>
    </w:p>
    <w:p w:rsidRPr="00A14B76" w:rsidR="005B113F" w:rsidRDefault="005B113F" w14:paraId="63ECE6BA" w14:textId="77777777">
      <w:pPr>
        <w:keepNext/>
        <w:rPr>
          <w:rFonts w:ascii="Book Antiqua" w:hAnsi="Book Antiqua"/>
        </w:rPr>
      </w:pPr>
    </w:p>
    <w:p w:rsidRPr="008C1693" w:rsidR="005B113F" w:rsidRDefault="00F04B30" w14:paraId="125C5174" w14:textId="530B03ED">
      <w:pPr>
        <w:keepNext/>
        <w:rPr>
          <w:rFonts w:ascii="Book Antiqua" w:hAnsi="Book Antiqua"/>
        </w:rPr>
      </w:pPr>
      <w:r w:rsidRPr="00A14B76">
        <w:rPr>
          <w:rFonts w:ascii="Book Antiqua" w:hAnsi="Book Antiqua"/>
        </w:rPr>
        <w:t xml:space="preserve">I </w:t>
      </w:r>
      <w:r w:rsidRPr="008C1693">
        <w:rPr>
          <w:rFonts w:ascii="Book Antiqua" w:hAnsi="Book Antiqua"/>
        </w:rPr>
        <w:t>certify that the foregoing resolution was duly introduced, passed, and adopted at a conference of the Pu</w:t>
      </w:r>
      <w:r w:rsidRPr="008E6889">
        <w:rPr>
          <w:rFonts w:ascii="Book Antiqua" w:hAnsi="Book Antiqua"/>
        </w:rPr>
        <w:t>blic Utilities Commission of the State of California held on</w:t>
      </w:r>
      <w:r w:rsidRPr="008C1693">
        <w:rPr>
          <w:rFonts w:ascii="Book Antiqua" w:hAnsi="Book Antiqua"/>
        </w:rPr>
        <w:t xml:space="preserve"> </w:t>
      </w:r>
      <w:r w:rsidRPr="008E6889" w:rsidR="008E6889">
        <w:rPr>
          <w:rFonts w:ascii="Book Antiqua" w:hAnsi="Book Antiqua"/>
        </w:rPr>
        <w:t>June 26, 2025</w:t>
      </w:r>
      <w:r w:rsidRPr="008E6889">
        <w:rPr>
          <w:rFonts w:ascii="Book Antiqua" w:hAnsi="Book Antiqua"/>
        </w:rPr>
        <w:t>, the following</w:t>
      </w:r>
      <w:r w:rsidRPr="008C1693">
        <w:rPr>
          <w:rFonts w:ascii="Book Antiqua" w:hAnsi="Book Antiqua"/>
        </w:rPr>
        <w:t xml:space="preserve"> Commissioners voting favorably thereon:</w:t>
      </w:r>
    </w:p>
    <w:p w:rsidRPr="008C1693" w:rsidR="005B113F" w:rsidP="008C1693" w:rsidRDefault="005B113F" w14:paraId="7AAD877C" w14:textId="77777777">
      <w:pPr>
        <w:keepNext/>
        <w:spacing w:line="360" w:lineRule="auto"/>
        <w:rPr>
          <w:rFonts w:ascii="Book Antiqua" w:hAnsi="Book Antiqua"/>
        </w:rPr>
      </w:pPr>
    </w:p>
    <w:p w:rsidRPr="008C1693" w:rsidR="005B113F" w:rsidP="008C1693" w:rsidRDefault="005B113F" w14:paraId="303975D0" w14:textId="77777777">
      <w:pPr>
        <w:keepNext/>
        <w:spacing w:line="360" w:lineRule="auto"/>
        <w:rPr>
          <w:rFonts w:ascii="Book Antiqua" w:hAnsi="Book Antiqua"/>
        </w:rPr>
      </w:pPr>
    </w:p>
    <w:tbl>
      <w:tblPr>
        <w:tblW w:w="0" w:type="auto"/>
        <w:tblInd w:w="4428" w:type="dxa"/>
        <w:tblLayout w:type="fixed"/>
        <w:tblLook w:val="0000" w:firstRow="0" w:lastRow="0" w:firstColumn="0" w:lastColumn="0" w:noHBand="0" w:noVBand="0"/>
      </w:tblPr>
      <w:tblGrid>
        <w:gridCol w:w="3780"/>
      </w:tblGrid>
      <w:tr w:rsidRPr="008C1693" w:rsidR="005B113F" w14:paraId="14D7A04B" w14:textId="77777777">
        <w:tc>
          <w:tcPr>
            <w:tcW w:w="3780" w:type="dxa"/>
            <w:tcBorders>
              <w:bottom w:val="single" w:color="auto" w:sz="6" w:space="0"/>
            </w:tcBorders>
          </w:tcPr>
          <w:p w:rsidRPr="008C1693" w:rsidR="005B113F" w:rsidP="008C1693" w:rsidRDefault="005B113F" w14:paraId="27697C70" w14:textId="32FEF72F">
            <w:pPr>
              <w:keepNext/>
              <w:jc w:val="center"/>
              <w:rPr>
                <w:rFonts w:ascii="Book Antiqua" w:hAnsi="Book Antiqua"/>
                <w:szCs w:val="24"/>
              </w:rPr>
            </w:pPr>
          </w:p>
        </w:tc>
      </w:tr>
      <w:tr w:rsidRPr="008C1693" w:rsidR="005B113F" w14:paraId="795E95B5" w14:textId="77777777">
        <w:tc>
          <w:tcPr>
            <w:tcW w:w="3780" w:type="dxa"/>
          </w:tcPr>
          <w:p w:rsidRPr="008C1693" w:rsidR="005B113F" w:rsidP="008C1693" w:rsidRDefault="008C1693" w14:paraId="2F2D1B4A" w14:textId="656557E8">
            <w:pPr>
              <w:keepNext/>
              <w:jc w:val="center"/>
              <w:rPr>
                <w:rFonts w:ascii="Book Antiqua" w:hAnsi="Book Antiqua"/>
                <w:szCs w:val="24"/>
              </w:rPr>
            </w:pPr>
            <w:r w:rsidRPr="008C1693">
              <w:rPr>
                <w:rFonts w:ascii="Book Antiqua" w:hAnsi="Book Antiqua"/>
                <w:szCs w:val="24"/>
              </w:rPr>
              <w:t>Rachel Peterson</w:t>
            </w:r>
          </w:p>
          <w:p w:rsidRPr="008C1693" w:rsidR="005B113F" w:rsidP="008C1693" w:rsidRDefault="00F04B30" w14:paraId="707CA8A4" w14:textId="61BB99D9">
            <w:pPr>
              <w:keepNext/>
              <w:jc w:val="center"/>
              <w:rPr>
                <w:rFonts w:ascii="Book Antiqua" w:hAnsi="Book Antiqua"/>
                <w:szCs w:val="24"/>
              </w:rPr>
            </w:pPr>
            <w:r w:rsidRPr="008C1693">
              <w:rPr>
                <w:rFonts w:ascii="Book Antiqua" w:hAnsi="Book Antiqua"/>
                <w:szCs w:val="24"/>
              </w:rPr>
              <w:t>Executive Director</w:t>
            </w:r>
          </w:p>
        </w:tc>
      </w:tr>
    </w:tbl>
    <w:p w:rsidRPr="008C1693" w:rsidR="00D041B0" w:rsidP="008C1693" w:rsidRDefault="00D041B0" w14:paraId="4234CF77" w14:textId="72FF8B7F">
      <w:pPr>
        <w:pStyle w:val="standard"/>
        <w:ind w:firstLine="0"/>
        <w:rPr>
          <w:rFonts w:ascii="Book Antiqua" w:hAnsi="Book Antiqua"/>
        </w:rPr>
      </w:pPr>
    </w:p>
    <w:p w:rsidRPr="008C1693" w:rsidR="00FD3B90" w:rsidP="008C1693" w:rsidRDefault="00FD3B90" w14:paraId="610A3B38" w14:textId="77777777">
      <w:pPr>
        <w:spacing w:line="360" w:lineRule="auto"/>
        <w:rPr>
          <w:rFonts w:ascii="Book Antiqua" w:hAnsi="Book Antiqua"/>
        </w:rPr>
      </w:pPr>
    </w:p>
    <w:p w:rsidRPr="008C1693" w:rsidR="00FD3B90" w:rsidP="00FD3B90" w:rsidRDefault="00FD3B90" w14:paraId="608EC83B" w14:textId="77777777">
      <w:pPr>
        <w:autoSpaceDE w:val="0"/>
        <w:autoSpaceDN w:val="0"/>
        <w:adjustRightInd w:val="0"/>
        <w:ind w:left="4410"/>
        <w:jc w:val="both"/>
        <w:rPr>
          <w:rFonts w:ascii="Book Antiqua" w:hAnsi="Book Antiqua" w:cs="Courier New"/>
          <w:sz w:val="26"/>
          <w:szCs w:val="26"/>
        </w:rPr>
      </w:pPr>
      <w:bookmarkStart w:name="_Hlk17215919" w:id="0"/>
      <w:r w:rsidRPr="008C1693">
        <w:rPr>
          <w:rFonts w:ascii="Book Antiqua" w:hAnsi="Book Antiqua" w:cs="Courier New"/>
          <w:sz w:val="26"/>
          <w:szCs w:val="26"/>
        </w:rPr>
        <w:t>ALICE REYNOLDS</w:t>
      </w:r>
    </w:p>
    <w:p w:rsidRPr="008C1693" w:rsidR="00FD3B90" w:rsidP="007E52E6" w:rsidRDefault="00FD3B90" w14:paraId="60A4670F" w14:textId="77777777">
      <w:pPr>
        <w:autoSpaceDE w:val="0"/>
        <w:autoSpaceDN w:val="0"/>
        <w:adjustRightInd w:val="0"/>
        <w:ind w:left="4410" w:firstLine="1350"/>
        <w:jc w:val="both"/>
        <w:rPr>
          <w:rFonts w:ascii="Book Antiqua" w:hAnsi="Book Antiqua" w:cs="Courier New"/>
          <w:sz w:val="26"/>
          <w:szCs w:val="26"/>
        </w:rPr>
      </w:pPr>
      <w:r w:rsidRPr="008C1693">
        <w:rPr>
          <w:rFonts w:ascii="Book Antiqua" w:hAnsi="Book Antiqua" w:cs="Courier New"/>
          <w:sz w:val="26"/>
          <w:szCs w:val="26"/>
        </w:rPr>
        <w:t>President</w:t>
      </w:r>
    </w:p>
    <w:p w:rsidRPr="008C1693" w:rsidR="00FD3B90" w:rsidP="00FD3B90" w:rsidRDefault="00FD3B90" w14:paraId="489D6EB7" w14:textId="77777777">
      <w:pPr>
        <w:autoSpaceDE w:val="0"/>
        <w:autoSpaceDN w:val="0"/>
        <w:adjustRightInd w:val="0"/>
        <w:ind w:left="4410"/>
        <w:jc w:val="both"/>
        <w:rPr>
          <w:rFonts w:ascii="Book Antiqua" w:hAnsi="Book Antiqua" w:cs="Courier New"/>
          <w:sz w:val="26"/>
          <w:szCs w:val="26"/>
        </w:rPr>
      </w:pPr>
      <w:r w:rsidRPr="008C1693">
        <w:rPr>
          <w:rFonts w:ascii="Book Antiqua" w:hAnsi="Book Antiqua" w:cs="Courier New"/>
          <w:sz w:val="26"/>
          <w:szCs w:val="26"/>
        </w:rPr>
        <w:t>DARCIE L. HOUCK</w:t>
      </w:r>
    </w:p>
    <w:p w:rsidRPr="008C1693" w:rsidR="00FD3B90" w:rsidP="00FD3B90" w:rsidRDefault="00FD3B90" w14:paraId="5AAD4F46" w14:textId="77777777">
      <w:pPr>
        <w:autoSpaceDE w:val="0"/>
        <w:autoSpaceDN w:val="0"/>
        <w:adjustRightInd w:val="0"/>
        <w:ind w:left="4410"/>
        <w:jc w:val="both"/>
        <w:rPr>
          <w:rFonts w:ascii="Book Antiqua" w:hAnsi="Book Antiqua" w:cs="Courier New"/>
          <w:sz w:val="26"/>
          <w:szCs w:val="26"/>
        </w:rPr>
      </w:pPr>
      <w:r w:rsidRPr="008C1693">
        <w:rPr>
          <w:rFonts w:ascii="Book Antiqua" w:hAnsi="Book Antiqua" w:cs="Courier New"/>
          <w:sz w:val="26"/>
          <w:szCs w:val="26"/>
        </w:rPr>
        <w:t>JOHN REYNOLDS</w:t>
      </w:r>
    </w:p>
    <w:p w:rsidR="00FD3B90" w:rsidP="00FD3B90" w:rsidRDefault="00FD3B90" w14:paraId="45C726BE" w14:textId="77777777">
      <w:pPr>
        <w:autoSpaceDE w:val="0"/>
        <w:autoSpaceDN w:val="0"/>
        <w:adjustRightInd w:val="0"/>
        <w:ind w:left="4410"/>
        <w:jc w:val="both"/>
        <w:rPr>
          <w:rFonts w:ascii="Book Antiqua" w:hAnsi="Book Antiqua" w:cs="Courier New"/>
          <w:sz w:val="26"/>
          <w:szCs w:val="26"/>
        </w:rPr>
      </w:pPr>
      <w:r w:rsidRPr="008C1693">
        <w:rPr>
          <w:rFonts w:ascii="Book Antiqua" w:hAnsi="Book Antiqua" w:cs="Courier New"/>
          <w:sz w:val="26"/>
          <w:szCs w:val="26"/>
        </w:rPr>
        <w:t>KAREN DOUGLAS</w:t>
      </w:r>
    </w:p>
    <w:p w:rsidRPr="008C1693" w:rsidR="007E52E6" w:rsidP="00FD3B90" w:rsidRDefault="007E52E6" w14:paraId="4EEB1EB8" w14:textId="74F9B58E">
      <w:pPr>
        <w:autoSpaceDE w:val="0"/>
        <w:autoSpaceDN w:val="0"/>
        <w:adjustRightInd w:val="0"/>
        <w:ind w:left="4410"/>
        <w:jc w:val="both"/>
        <w:rPr>
          <w:rFonts w:ascii="Book Antiqua" w:hAnsi="Book Antiqua" w:cs="Courier New"/>
          <w:sz w:val="26"/>
          <w:szCs w:val="26"/>
        </w:rPr>
      </w:pPr>
      <w:r>
        <w:rPr>
          <w:rFonts w:ascii="Book Antiqua" w:hAnsi="Book Antiqua" w:cs="Courier New"/>
          <w:sz w:val="26"/>
          <w:szCs w:val="26"/>
        </w:rPr>
        <w:t>MATTHEW BAKER</w:t>
      </w:r>
    </w:p>
    <w:p w:rsidRPr="008C1693" w:rsidR="00FD3B90" w:rsidP="007E52E6" w:rsidRDefault="00FD3B90" w14:paraId="04261999" w14:textId="77777777">
      <w:pPr>
        <w:autoSpaceDE w:val="0"/>
        <w:autoSpaceDN w:val="0"/>
        <w:adjustRightInd w:val="0"/>
        <w:ind w:left="4410" w:firstLine="720"/>
        <w:jc w:val="both"/>
        <w:rPr>
          <w:rFonts w:ascii="Book Antiqua" w:hAnsi="Book Antiqua" w:cs="Courier New"/>
          <w:sz w:val="26"/>
          <w:szCs w:val="26"/>
        </w:rPr>
      </w:pPr>
      <w:r w:rsidRPr="008C1693">
        <w:rPr>
          <w:rFonts w:ascii="Book Antiqua" w:hAnsi="Book Antiqua" w:cs="Courier New"/>
          <w:sz w:val="26"/>
          <w:szCs w:val="26"/>
        </w:rPr>
        <w:t>Commissioners</w:t>
      </w:r>
    </w:p>
    <w:bookmarkEnd w:id="0"/>
    <w:p w:rsidRPr="008C1693" w:rsidR="003417D7" w:rsidP="00FD3B90" w:rsidRDefault="003417D7" w14:paraId="560044A7" w14:textId="77777777">
      <w:pPr>
        <w:pStyle w:val="standard"/>
        <w:tabs>
          <w:tab w:val="left" w:pos="3510"/>
        </w:tabs>
        <w:spacing w:line="240" w:lineRule="auto"/>
        <w:ind w:left="4410" w:firstLine="0"/>
        <w:rPr>
          <w:rFonts w:ascii="Book Antiqua" w:hAnsi="Book Antiqua"/>
          <w:sz w:val="26"/>
          <w:szCs w:val="26"/>
        </w:rPr>
      </w:pPr>
    </w:p>
    <w:p w:rsidRPr="008C1693" w:rsidR="003E6E4C" w:rsidP="008C1693" w:rsidRDefault="003E6E4C" w14:paraId="338E8781" w14:textId="77777777">
      <w:pPr>
        <w:spacing w:line="360" w:lineRule="auto"/>
        <w:rPr>
          <w:rFonts w:ascii="Book Antiqua" w:hAnsi="Book Antiqua"/>
        </w:rPr>
      </w:pPr>
    </w:p>
    <w:p w:rsidRPr="00D041B0" w:rsidR="00EB4757" w:rsidP="00D041B0" w:rsidRDefault="00EB4757" w14:paraId="2CF54E3B" w14:textId="77777777">
      <w:pPr>
        <w:sectPr w:rsidRPr="00D041B0" w:rsidR="00EB4757" w:rsidSect="009755A5">
          <w:headerReference w:type="default" r:id="rId7"/>
          <w:footerReference w:type="default" r:id="rId8"/>
          <w:footerReference w:type="first" r:id="rId9"/>
          <w:type w:val="continuous"/>
          <w:pgSz w:w="12240" w:h="15840" w:code="1"/>
          <w:pgMar w:top="1440" w:right="1440" w:bottom="1440" w:left="1440" w:header="720" w:footer="720" w:gutter="0"/>
          <w:cols w:space="720"/>
          <w:titlePg/>
          <w:docGrid w:linePitch="326"/>
        </w:sectPr>
      </w:pPr>
    </w:p>
    <w:tbl>
      <w:tblPr>
        <w:tblW w:w="9180" w:type="dxa"/>
        <w:tblInd w:w="-8" w:type="dxa"/>
        <w:tblLayout w:type="fixed"/>
        <w:tblCellMar>
          <w:top w:w="58" w:type="dxa"/>
          <w:bottom w:w="58" w:type="dxa"/>
        </w:tblCellMar>
        <w:tblLook w:val="0000" w:firstRow="0" w:lastRow="0" w:firstColumn="0" w:lastColumn="0" w:noHBand="0" w:noVBand="0"/>
      </w:tblPr>
      <w:tblGrid>
        <w:gridCol w:w="4860"/>
        <w:gridCol w:w="2430"/>
        <w:gridCol w:w="1890"/>
      </w:tblGrid>
      <w:tr w:rsidRPr="00A904A4" w:rsidR="008E6889" w:rsidTr="008E6889" w14:paraId="59CC4DF3" w14:textId="77777777">
        <w:trPr>
          <w:cantSplit/>
        </w:trPr>
        <w:tc>
          <w:tcPr>
            <w:tcW w:w="4860" w:type="dxa"/>
            <w:tcBorders>
              <w:top w:val="single" w:color="auto" w:sz="6" w:space="0"/>
              <w:left w:val="single" w:color="auto" w:sz="6" w:space="0"/>
              <w:bottom w:val="single" w:color="auto" w:sz="6" w:space="0"/>
              <w:right w:val="single" w:color="auto" w:sz="6" w:space="0"/>
            </w:tcBorders>
          </w:tcPr>
          <w:p w:rsidRPr="00A904A4" w:rsidR="008E6889" w:rsidP="008E6889" w:rsidRDefault="008E6889" w14:paraId="7C65B3E5" w14:textId="77777777">
            <w:pPr>
              <w:rPr>
                <w:rFonts w:ascii="Book Antiqua" w:hAnsi="Book Antiqua"/>
                <w:sz w:val="26"/>
                <w:szCs w:val="26"/>
              </w:rPr>
            </w:pPr>
            <w:r w:rsidRPr="00A904A4">
              <w:rPr>
                <w:rFonts w:ascii="Book Antiqua" w:hAnsi="Book Antiqua"/>
                <w:b/>
                <w:bCs/>
                <w:sz w:val="26"/>
                <w:szCs w:val="26"/>
              </w:rPr>
              <w:lastRenderedPageBreak/>
              <w:t xml:space="preserve">A25-05-020 </w:t>
            </w:r>
            <w:r w:rsidRPr="00A904A4">
              <w:rPr>
                <w:rFonts w:ascii="Book Antiqua" w:hAnsi="Book Antiqua"/>
                <w:sz w:val="26"/>
                <w:szCs w:val="26"/>
              </w:rPr>
              <w:br/>
              <w:t>San Diego Gas &amp; Electric Company, Southern California Gas Company, Application of San Diego Gas &amp; Electric Company (U-902M) and Southern California Gas Company (U-904G) for an Exemption Pursuant to Section 853 of the Public Utilities Code with Respect to the Creation of an Intermediate Holding Company, or Alternatively, for an Order Finding that the Proposed Transaction Does Not Constitute an Activity Subject to Section 854.</w:t>
            </w:r>
          </w:p>
        </w:tc>
        <w:tc>
          <w:tcPr>
            <w:tcW w:w="2430" w:type="dxa"/>
            <w:tcBorders>
              <w:top w:val="single" w:color="auto" w:sz="6" w:space="0"/>
              <w:left w:val="single" w:color="auto" w:sz="6" w:space="0"/>
              <w:bottom w:val="single" w:color="auto" w:sz="6" w:space="0"/>
              <w:right w:val="single" w:color="auto" w:sz="6" w:space="0"/>
            </w:tcBorders>
          </w:tcPr>
          <w:p w:rsidRPr="00A904A4" w:rsidR="008E6889" w:rsidP="008E6889" w:rsidRDefault="008E6889" w14:paraId="64B35ACA" w14:textId="77777777">
            <w:pPr>
              <w:jc w:val="center"/>
              <w:rPr>
                <w:rFonts w:ascii="Book Antiqua" w:hAnsi="Book Antiqua"/>
                <w:sz w:val="26"/>
                <w:szCs w:val="26"/>
              </w:rPr>
            </w:pPr>
            <w:r w:rsidRPr="00A904A4">
              <w:rPr>
                <w:rFonts w:ascii="Book Antiqua" w:hAnsi="Book Antiqua"/>
                <w:sz w:val="26"/>
                <w:szCs w:val="26"/>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A904A4" w:rsidR="008E6889" w:rsidP="008E6889" w:rsidRDefault="008E6889" w14:paraId="4FAEE84D" w14:textId="77777777">
            <w:pPr>
              <w:jc w:val="center"/>
              <w:rPr>
                <w:rFonts w:ascii="Book Antiqua" w:hAnsi="Book Antiqua"/>
                <w:sz w:val="26"/>
                <w:szCs w:val="26"/>
              </w:rPr>
            </w:pPr>
            <w:r w:rsidRPr="00A904A4">
              <w:rPr>
                <w:rFonts w:ascii="Book Antiqua" w:hAnsi="Book Antiqua"/>
                <w:sz w:val="26"/>
                <w:szCs w:val="26"/>
              </w:rPr>
              <w:t>Ratesetting</w:t>
            </w:r>
          </w:p>
        </w:tc>
      </w:tr>
      <w:tr w:rsidRPr="00A904A4" w:rsidR="008E6889" w:rsidTr="008E6889" w14:paraId="205957F0" w14:textId="77777777">
        <w:trPr>
          <w:cantSplit/>
        </w:trPr>
        <w:tc>
          <w:tcPr>
            <w:tcW w:w="4860" w:type="dxa"/>
            <w:tcBorders>
              <w:top w:val="single" w:color="auto" w:sz="6" w:space="0"/>
              <w:left w:val="single" w:color="auto" w:sz="6" w:space="0"/>
              <w:bottom w:val="single" w:color="auto" w:sz="6" w:space="0"/>
              <w:right w:val="single" w:color="auto" w:sz="6" w:space="0"/>
            </w:tcBorders>
          </w:tcPr>
          <w:p w:rsidRPr="00A904A4" w:rsidR="008E6889" w:rsidP="008E6889" w:rsidRDefault="008E6889" w14:paraId="4CA001F5" w14:textId="77777777">
            <w:pPr>
              <w:rPr>
                <w:rFonts w:ascii="Book Antiqua" w:hAnsi="Book Antiqua"/>
                <w:sz w:val="26"/>
                <w:szCs w:val="26"/>
              </w:rPr>
            </w:pPr>
            <w:r w:rsidRPr="00A904A4">
              <w:rPr>
                <w:rFonts w:ascii="Book Antiqua" w:hAnsi="Book Antiqua"/>
                <w:b/>
                <w:bCs/>
                <w:sz w:val="26"/>
                <w:szCs w:val="26"/>
              </w:rPr>
              <w:t xml:space="preserve">A25-05-023 </w:t>
            </w:r>
            <w:r w:rsidRPr="00A904A4">
              <w:rPr>
                <w:rFonts w:ascii="Book Antiqua" w:hAnsi="Book Antiqua"/>
                <w:sz w:val="26"/>
                <w:szCs w:val="26"/>
              </w:rPr>
              <w:br/>
              <w:t xml:space="preserve">Catalyst Trade Inc,                                        dba </w:t>
            </w:r>
            <w:proofErr w:type="spellStart"/>
            <w:r w:rsidRPr="00A904A4">
              <w:rPr>
                <w:rFonts w:ascii="Book Antiqua" w:hAnsi="Book Antiqua"/>
                <w:sz w:val="26"/>
                <w:szCs w:val="26"/>
              </w:rPr>
              <w:t>haitao</w:t>
            </w:r>
            <w:proofErr w:type="spellEnd"/>
            <w:r w:rsidRPr="00A904A4">
              <w:rPr>
                <w:rFonts w:ascii="Book Antiqua" w:hAnsi="Book Antiqua"/>
                <w:sz w:val="26"/>
                <w:szCs w:val="26"/>
              </w:rPr>
              <w:t>, Application of Catalyst Trade Inc. to Operate as a Scheduled Passenger Stage Corporation between the Hilton San Gabriel Hotel and the Los Angeles International Airport (LAX), serving Communities in the San Gabriel Valley Area, including the Cities of San Gabriel, Rosemead, Alhambra, Monterey Park, and surrounding areas in Los Angeles County; and to establish a Zone of Rate Freedom.</w:t>
            </w:r>
          </w:p>
        </w:tc>
        <w:tc>
          <w:tcPr>
            <w:tcW w:w="2430" w:type="dxa"/>
            <w:tcBorders>
              <w:top w:val="single" w:color="auto" w:sz="6" w:space="0"/>
              <w:left w:val="single" w:color="auto" w:sz="6" w:space="0"/>
              <w:bottom w:val="single" w:color="auto" w:sz="6" w:space="0"/>
              <w:right w:val="single" w:color="auto" w:sz="6" w:space="0"/>
            </w:tcBorders>
          </w:tcPr>
          <w:p w:rsidRPr="00A904A4" w:rsidR="008E6889" w:rsidP="008E6889" w:rsidRDefault="008E6889" w14:paraId="3177F663" w14:textId="77777777">
            <w:pPr>
              <w:jc w:val="center"/>
              <w:rPr>
                <w:rFonts w:ascii="Book Antiqua" w:hAnsi="Book Antiqua"/>
                <w:sz w:val="26"/>
                <w:szCs w:val="26"/>
              </w:rPr>
            </w:pPr>
            <w:r w:rsidRPr="00A904A4">
              <w:rPr>
                <w:rFonts w:ascii="Book Antiqua" w:hAnsi="Book Antiqua"/>
                <w:sz w:val="26"/>
                <w:szCs w:val="26"/>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A904A4" w:rsidR="008E6889" w:rsidP="008E6889" w:rsidRDefault="008E6889" w14:paraId="6233FA65" w14:textId="77777777">
            <w:pPr>
              <w:jc w:val="center"/>
              <w:rPr>
                <w:rFonts w:ascii="Book Antiqua" w:hAnsi="Book Antiqua"/>
                <w:sz w:val="26"/>
                <w:szCs w:val="26"/>
              </w:rPr>
            </w:pPr>
            <w:r w:rsidRPr="00A904A4">
              <w:rPr>
                <w:rFonts w:ascii="Book Antiqua" w:hAnsi="Book Antiqua"/>
                <w:sz w:val="26"/>
                <w:szCs w:val="26"/>
              </w:rPr>
              <w:t>Ratesetting</w:t>
            </w:r>
          </w:p>
        </w:tc>
      </w:tr>
      <w:tr w:rsidRPr="00A904A4" w:rsidR="008E6889" w:rsidTr="008E6889" w14:paraId="0C2B53B8" w14:textId="77777777">
        <w:trPr>
          <w:cantSplit/>
        </w:trPr>
        <w:tc>
          <w:tcPr>
            <w:tcW w:w="4860" w:type="dxa"/>
            <w:tcBorders>
              <w:top w:val="single" w:color="auto" w:sz="6" w:space="0"/>
              <w:left w:val="single" w:color="auto" w:sz="6" w:space="0"/>
              <w:bottom w:val="single" w:color="auto" w:sz="6" w:space="0"/>
              <w:right w:val="single" w:color="auto" w:sz="6" w:space="0"/>
            </w:tcBorders>
          </w:tcPr>
          <w:p w:rsidRPr="00A904A4" w:rsidR="008E6889" w:rsidP="008E6889" w:rsidRDefault="008E6889" w14:paraId="4ECB27BA" w14:textId="484A8660">
            <w:pPr>
              <w:rPr>
                <w:rFonts w:ascii="Book Antiqua" w:hAnsi="Book Antiqua"/>
                <w:sz w:val="26"/>
                <w:szCs w:val="26"/>
              </w:rPr>
            </w:pPr>
            <w:r w:rsidRPr="00A904A4">
              <w:rPr>
                <w:rFonts w:ascii="Book Antiqua" w:hAnsi="Book Antiqua"/>
                <w:b/>
                <w:bCs/>
                <w:sz w:val="26"/>
                <w:szCs w:val="26"/>
              </w:rPr>
              <w:lastRenderedPageBreak/>
              <w:t xml:space="preserve">A25-06-001 </w:t>
            </w:r>
            <w:r w:rsidRPr="00A904A4">
              <w:rPr>
                <w:rFonts w:ascii="Book Antiqua" w:hAnsi="Book Antiqua"/>
                <w:sz w:val="26"/>
                <w:szCs w:val="26"/>
              </w:rPr>
              <w:br/>
              <w:t>California Water Service Company, In the Matter of the Application of California Water Service Company (U</w:t>
            </w:r>
            <w:r w:rsidRPr="00A904A4">
              <w:rPr>
                <w:rFonts w:ascii="Book Antiqua" w:hAnsi="Book Antiqua"/>
                <w:sz w:val="26"/>
                <w:szCs w:val="26"/>
              </w:rPr>
              <w:noBreakHyphen/>
              <w:t>60-W) for an order approving PFAS Compliance Program and adopting other related rulings and relief necessary to implement the Commission’s ratemaking policies.</w:t>
            </w:r>
          </w:p>
        </w:tc>
        <w:tc>
          <w:tcPr>
            <w:tcW w:w="2430" w:type="dxa"/>
            <w:tcBorders>
              <w:top w:val="single" w:color="auto" w:sz="6" w:space="0"/>
              <w:left w:val="single" w:color="auto" w:sz="6" w:space="0"/>
              <w:bottom w:val="single" w:color="auto" w:sz="6" w:space="0"/>
              <w:right w:val="single" w:color="auto" w:sz="6" w:space="0"/>
            </w:tcBorders>
          </w:tcPr>
          <w:p w:rsidRPr="00A904A4" w:rsidR="008E6889" w:rsidP="008E6889" w:rsidRDefault="008E6889" w14:paraId="62BFF9D6" w14:textId="77777777">
            <w:pPr>
              <w:jc w:val="center"/>
              <w:rPr>
                <w:rFonts w:ascii="Book Antiqua" w:hAnsi="Book Antiqua"/>
                <w:sz w:val="26"/>
                <w:szCs w:val="26"/>
              </w:rPr>
            </w:pPr>
            <w:r w:rsidRPr="00A904A4">
              <w:rPr>
                <w:rFonts w:ascii="Book Antiqua" w:hAnsi="Book Antiqua"/>
                <w:sz w:val="26"/>
                <w:szCs w:val="26"/>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A904A4" w:rsidR="008E6889" w:rsidP="008E6889" w:rsidRDefault="008E6889" w14:paraId="79E07CD3" w14:textId="77777777">
            <w:pPr>
              <w:jc w:val="center"/>
              <w:rPr>
                <w:rFonts w:ascii="Book Antiqua" w:hAnsi="Book Antiqua"/>
                <w:sz w:val="26"/>
                <w:szCs w:val="26"/>
              </w:rPr>
            </w:pPr>
            <w:r w:rsidRPr="00A904A4">
              <w:rPr>
                <w:rFonts w:ascii="Book Antiqua" w:hAnsi="Book Antiqua"/>
                <w:sz w:val="26"/>
                <w:szCs w:val="26"/>
              </w:rPr>
              <w:t>Ratesetting</w:t>
            </w:r>
          </w:p>
        </w:tc>
      </w:tr>
      <w:tr w:rsidRPr="00A904A4" w:rsidR="008E6889" w:rsidTr="008E6889" w14:paraId="4B12D39F" w14:textId="77777777">
        <w:trPr>
          <w:cantSplit/>
        </w:trPr>
        <w:tc>
          <w:tcPr>
            <w:tcW w:w="4860" w:type="dxa"/>
            <w:tcBorders>
              <w:top w:val="single" w:color="auto" w:sz="6" w:space="0"/>
              <w:left w:val="single" w:color="auto" w:sz="6" w:space="0"/>
              <w:bottom w:val="single" w:color="auto" w:sz="6" w:space="0"/>
              <w:right w:val="single" w:color="auto" w:sz="6" w:space="0"/>
            </w:tcBorders>
          </w:tcPr>
          <w:p w:rsidRPr="00A904A4" w:rsidR="008E6889" w:rsidP="008E6889" w:rsidRDefault="008E6889" w14:paraId="17A0DDDB" w14:textId="77777777">
            <w:pPr>
              <w:rPr>
                <w:rFonts w:ascii="Book Antiqua" w:hAnsi="Book Antiqua"/>
                <w:sz w:val="26"/>
                <w:szCs w:val="26"/>
              </w:rPr>
            </w:pPr>
            <w:r w:rsidRPr="00A904A4">
              <w:rPr>
                <w:rFonts w:ascii="Book Antiqua" w:hAnsi="Book Antiqua"/>
                <w:b/>
                <w:bCs/>
                <w:sz w:val="26"/>
                <w:szCs w:val="26"/>
              </w:rPr>
              <w:t xml:space="preserve">A25-06-002 </w:t>
            </w:r>
            <w:r w:rsidRPr="00A904A4">
              <w:rPr>
                <w:rFonts w:ascii="Book Antiqua" w:hAnsi="Book Antiqua"/>
                <w:sz w:val="26"/>
                <w:szCs w:val="26"/>
              </w:rPr>
              <w:br/>
              <w:t>San Diego Gas&amp; Electric Company, Application of San Diego Gas &amp; Electric Company (U 902-E) for Approval of:  (</w:t>
            </w:r>
            <w:proofErr w:type="spellStart"/>
            <w:r w:rsidRPr="00A904A4">
              <w:rPr>
                <w:rFonts w:ascii="Book Antiqua" w:hAnsi="Book Antiqua"/>
                <w:sz w:val="26"/>
                <w:szCs w:val="26"/>
              </w:rPr>
              <w:t>i</w:t>
            </w:r>
            <w:proofErr w:type="spellEnd"/>
            <w:r w:rsidRPr="00A904A4">
              <w:rPr>
                <w:rFonts w:ascii="Book Antiqua" w:hAnsi="Book Antiqua"/>
                <w:sz w:val="26"/>
                <w:szCs w:val="26"/>
              </w:rPr>
              <w:t>) Contract Administration, Least-Cost Dispatch and Power Procurement Activities in 2024, (ii) Costs Related to those Activities Recorded to the Energy Resource Recovery Account, Portfolio Allocation Balancing Account, Transition Cost Balancing Account, Local Generating Balancing Account, and Modified Cost Allocation Mechanism Balancing Account in 2024, and (iii) Costs Recorded in Related Regulatory Accounts in 2024.</w:t>
            </w:r>
          </w:p>
        </w:tc>
        <w:tc>
          <w:tcPr>
            <w:tcW w:w="2430" w:type="dxa"/>
            <w:tcBorders>
              <w:top w:val="single" w:color="auto" w:sz="6" w:space="0"/>
              <w:left w:val="single" w:color="auto" w:sz="6" w:space="0"/>
              <w:bottom w:val="single" w:color="auto" w:sz="6" w:space="0"/>
              <w:right w:val="single" w:color="auto" w:sz="6" w:space="0"/>
            </w:tcBorders>
          </w:tcPr>
          <w:p w:rsidRPr="00A904A4" w:rsidR="008E6889" w:rsidP="008E6889" w:rsidRDefault="008E6889" w14:paraId="116BDD79" w14:textId="77777777">
            <w:pPr>
              <w:jc w:val="center"/>
              <w:rPr>
                <w:rFonts w:ascii="Book Antiqua" w:hAnsi="Book Antiqua"/>
                <w:sz w:val="26"/>
                <w:szCs w:val="26"/>
              </w:rPr>
            </w:pPr>
            <w:r w:rsidRPr="00A904A4">
              <w:rPr>
                <w:rFonts w:ascii="Book Antiqua" w:hAnsi="Book Antiqua"/>
                <w:sz w:val="26"/>
                <w:szCs w:val="26"/>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A904A4" w:rsidR="008E6889" w:rsidP="008E6889" w:rsidRDefault="008E6889" w14:paraId="721C264C" w14:textId="77777777">
            <w:pPr>
              <w:jc w:val="center"/>
              <w:rPr>
                <w:rFonts w:ascii="Book Antiqua" w:hAnsi="Book Antiqua"/>
                <w:sz w:val="26"/>
                <w:szCs w:val="26"/>
              </w:rPr>
            </w:pPr>
            <w:r w:rsidRPr="00A904A4">
              <w:rPr>
                <w:rFonts w:ascii="Book Antiqua" w:hAnsi="Book Antiqua"/>
                <w:sz w:val="26"/>
                <w:szCs w:val="26"/>
              </w:rPr>
              <w:t>Ratesetting</w:t>
            </w:r>
          </w:p>
        </w:tc>
      </w:tr>
      <w:tr w:rsidRPr="00A904A4" w:rsidR="008E6889" w:rsidTr="008E6889" w14:paraId="712C6388" w14:textId="77777777">
        <w:trPr>
          <w:cantSplit/>
        </w:trPr>
        <w:tc>
          <w:tcPr>
            <w:tcW w:w="4860" w:type="dxa"/>
            <w:tcBorders>
              <w:top w:val="single" w:color="auto" w:sz="6" w:space="0"/>
              <w:left w:val="single" w:color="auto" w:sz="6" w:space="0"/>
              <w:bottom w:val="single" w:color="auto" w:sz="6" w:space="0"/>
              <w:right w:val="single" w:color="auto" w:sz="6" w:space="0"/>
            </w:tcBorders>
          </w:tcPr>
          <w:p w:rsidRPr="00A904A4" w:rsidR="008E6889" w:rsidP="008E6889" w:rsidRDefault="008E6889" w14:paraId="3B6D6725" w14:textId="77777777">
            <w:pPr>
              <w:rPr>
                <w:rFonts w:ascii="Book Antiqua" w:hAnsi="Book Antiqua"/>
                <w:sz w:val="26"/>
                <w:szCs w:val="26"/>
              </w:rPr>
            </w:pPr>
            <w:r w:rsidRPr="00A904A4">
              <w:rPr>
                <w:rFonts w:ascii="Book Antiqua" w:hAnsi="Book Antiqua"/>
                <w:b/>
                <w:bCs/>
                <w:sz w:val="26"/>
                <w:szCs w:val="26"/>
              </w:rPr>
              <w:lastRenderedPageBreak/>
              <w:t xml:space="preserve">A25-06-003 </w:t>
            </w:r>
            <w:r w:rsidRPr="00A904A4">
              <w:rPr>
                <w:rFonts w:ascii="Book Antiqua" w:hAnsi="Book Antiqua"/>
                <w:sz w:val="26"/>
                <w:szCs w:val="26"/>
              </w:rPr>
              <w:br/>
              <w:t>Consolidated Communications of California Company, LLC, Application of Consolidated Communications of California Company, LLC (U 1015 C) for an Order under Public Utilities Code Section 851 Authorizing Encumbrance in Connection with Debt Financing Arrangements.</w:t>
            </w:r>
          </w:p>
        </w:tc>
        <w:tc>
          <w:tcPr>
            <w:tcW w:w="2430" w:type="dxa"/>
            <w:tcBorders>
              <w:top w:val="single" w:color="auto" w:sz="6" w:space="0"/>
              <w:left w:val="single" w:color="auto" w:sz="6" w:space="0"/>
              <w:bottom w:val="single" w:color="auto" w:sz="6" w:space="0"/>
              <w:right w:val="single" w:color="auto" w:sz="6" w:space="0"/>
            </w:tcBorders>
          </w:tcPr>
          <w:p w:rsidRPr="00A904A4" w:rsidR="008E6889" w:rsidP="008E6889" w:rsidRDefault="008E6889" w14:paraId="6F1AD8AB" w14:textId="77777777">
            <w:pPr>
              <w:jc w:val="center"/>
              <w:rPr>
                <w:rFonts w:ascii="Book Antiqua" w:hAnsi="Book Antiqua"/>
                <w:sz w:val="26"/>
                <w:szCs w:val="26"/>
              </w:rPr>
            </w:pPr>
            <w:r w:rsidRPr="00A904A4">
              <w:rPr>
                <w:rFonts w:ascii="Book Antiqua" w:hAnsi="Book Antiqua"/>
                <w:sz w:val="26"/>
                <w:szCs w:val="26"/>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A904A4" w:rsidR="008E6889" w:rsidP="008E6889" w:rsidRDefault="008E6889" w14:paraId="73F71D57" w14:textId="77777777">
            <w:pPr>
              <w:jc w:val="center"/>
              <w:rPr>
                <w:rFonts w:ascii="Book Antiqua" w:hAnsi="Book Antiqua"/>
                <w:sz w:val="26"/>
                <w:szCs w:val="26"/>
              </w:rPr>
            </w:pPr>
            <w:r w:rsidRPr="00A904A4">
              <w:rPr>
                <w:rFonts w:ascii="Book Antiqua" w:hAnsi="Book Antiqua"/>
                <w:sz w:val="26"/>
                <w:szCs w:val="26"/>
              </w:rPr>
              <w:t>Ratesetting</w:t>
            </w:r>
          </w:p>
        </w:tc>
      </w:tr>
    </w:tbl>
    <w:p w:rsidR="008005AF" w:rsidP="008005AF" w:rsidRDefault="008005AF" w14:paraId="74F8971F" w14:textId="6EFCC36D">
      <w:pPr>
        <w:rPr>
          <w:rFonts w:ascii="Book Antiqua" w:hAnsi="Book Antiqua"/>
        </w:rPr>
      </w:pPr>
    </w:p>
    <w:p w:rsidR="001648F0" w:rsidP="001648F0" w:rsidRDefault="001648F0" w14:paraId="71E22E39" w14:textId="0D1423D7">
      <w:pPr>
        <w:rPr>
          <w:rFonts w:ascii="Book Antiqua" w:hAnsi="Book Antiqua"/>
        </w:rPr>
      </w:pPr>
    </w:p>
    <w:p w:rsidRPr="001648F0" w:rsidR="001648F0" w:rsidP="001648F0" w:rsidRDefault="001648F0" w14:paraId="58AFAE92" w14:textId="66C8EB1B">
      <w:pPr>
        <w:tabs>
          <w:tab w:val="left" w:pos="3585"/>
        </w:tabs>
      </w:pPr>
      <w:r>
        <w:tab/>
      </w:r>
    </w:p>
    <w:sectPr w:rsidRPr="001648F0" w:rsidR="001648F0" w:rsidSect="007E3378">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1D8A7" w14:textId="77777777" w:rsidR="000A46C7" w:rsidRDefault="000A46C7">
      <w:r>
        <w:separator/>
      </w:r>
    </w:p>
  </w:endnote>
  <w:endnote w:type="continuationSeparator" w:id="0">
    <w:p w14:paraId="710ABC0C" w14:textId="77777777" w:rsidR="000A46C7" w:rsidRDefault="000A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Cambri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A7ADC" w14:textId="170659D5" w:rsidR="00591E1E" w:rsidRPr="00591E1E" w:rsidRDefault="00591E1E" w:rsidP="00591E1E">
    <w:pPr>
      <w:pStyle w:val="Footer"/>
      <w:tabs>
        <w:tab w:val="clear" w:pos="4320"/>
        <w:tab w:val="center" w:pos="4680"/>
      </w:tabs>
      <w:jc w:val="center"/>
      <w:rPr>
        <w:rFonts w:ascii="Book Antiqua" w:hAnsi="Book Antiqua"/>
      </w:rPr>
    </w:pPr>
    <w:r w:rsidRPr="001648F0">
      <w:rPr>
        <w:rFonts w:ascii="Book Antiqua" w:hAnsi="Book Antiqua"/>
      </w:rPr>
      <w:t xml:space="preserve">- </w:t>
    </w:r>
    <w:r w:rsidRPr="001648F0">
      <w:rPr>
        <w:rStyle w:val="PageNumber"/>
        <w:rFonts w:ascii="Book Antiqua" w:hAnsi="Book Antiqua"/>
      </w:rPr>
      <w:fldChar w:fldCharType="begin"/>
    </w:r>
    <w:r w:rsidRPr="001648F0">
      <w:rPr>
        <w:rStyle w:val="PageNumber"/>
        <w:rFonts w:ascii="Book Antiqua" w:hAnsi="Book Antiqua"/>
      </w:rPr>
      <w:instrText xml:space="preserve"> PAGE </w:instrText>
    </w:r>
    <w:r w:rsidRPr="001648F0">
      <w:rPr>
        <w:rStyle w:val="PageNumber"/>
        <w:rFonts w:ascii="Book Antiqua" w:hAnsi="Book Antiqua"/>
      </w:rPr>
      <w:fldChar w:fldCharType="separate"/>
    </w:r>
    <w:r>
      <w:rPr>
        <w:rStyle w:val="PageNumber"/>
        <w:rFonts w:ascii="Book Antiqua" w:hAnsi="Book Antiqua"/>
      </w:rPr>
      <w:t>1</w:t>
    </w:r>
    <w:r w:rsidRPr="001648F0">
      <w:rPr>
        <w:rStyle w:val="PageNumber"/>
        <w:rFonts w:ascii="Book Antiqua" w:hAnsi="Book Antiqua"/>
      </w:rPr>
      <w:fldChar w:fldCharType="end"/>
    </w:r>
    <w:r w:rsidRPr="001648F0">
      <w:rPr>
        <w:rStyle w:val="PageNumber"/>
        <w:rFonts w:ascii="Book Antiqua" w:hAnsi="Book Antiqu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FC6C" w14:textId="60FE53CB" w:rsidR="00591E1E" w:rsidRPr="00591E1E" w:rsidRDefault="000A41D1" w:rsidP="000A41D1">
    <w:pPr>
      <w:pStyle w:val="Footer"/>
      <w:tabs>
        <w:tab w:val="clear" w:pos="4320"/>
        <w:tab w:val="center" w:pos="4680"/>
      </w:tabs>
      <w:rPr>
        <w:rFonts w:ascii="Book Antiqua" w:hAnsi="Book Antiqua"/>
      </w:rPr>
    </w:pPr>
    <w:r w:rsidRPr="000A41D1">
      <w:rPr>
        <w:rFonts w:ascii="Book Antiqua" w:hAnsi="Book Antiqua"/>
        <w:sz w:val="16"/>
        <w:szCs w:val="16"/>
      </w:rPr>
      <w:t>570917475</w:t>
    </w:r>
    <w:r w:rsidRPr="000A41D1">
      <w:rPr>
        <w:rFonts w:ascii="Book Antiqua" w:hAnsi="Book Antiqua"/>
      </w:rPr>
      <w:t>  </w:t>
    </w:r>
    <w:r>
      <w:rPr>
        <w:rFonts w:ascii="Book Antiqua" w:hAnsi="Book Antiqua"/>
      </w:rPr>
      <w:tab/>
    </w:r>
    <w:r w:rsidR="00591E1E" w:rsidRPr="001648F0">
      <w:rPr>
        <w:rFonts w:ascii="Book Antiqua" w:hAnsi="Book Antiqua"/>
      </w:rPr>
      <w:t xml:space="preserve">- </w:t>
    </w:r>
    <w:r w:rsidR="00591E1E" w:rsidRPr="001648F0">
      <w:rPr>
        <w:rStyle w:val="PageNumber"/>
        <w:rFonts w:ascii="Book Antiqua" w:hAnsi="Book Antiqua"/>
      </w:rPr>
      <w:fldChar w:fldCharType="begin"/>
    </w:r>
    <w:r w:rsidR="00591E1E" w:rsidRPr="001648F0">
      <w:rPr>
        <w:rStyle w:val="PageNumber"/>
        <w:rFonts w:ascii="Book Antiqua" w:hAnsi="Book Antiqua"/>
      </w:rPr>
      <w:instrText xml:space="preserve"> PAGE </w:instrText>
    </w:r>
    <w:r w:rsidR="00591E1E" w:rsidRPr="001648F0">
      <w:rPr>
        <w:rStyle w:val="PageNumber"/>
        <w:rFonts w:ascii="Book Antiqua" w:hAnsi="Book Antiqua"/>
      </w:rPr>
      <w:fldChar w:fldCharType="separate"/>
    </w:r>
    <w:r w:rsidR="00591E1E">
      <w:rPr>
        <w:rStyle w:val="PageNumber"/>
        <w:rFonts w:ascii="Book Antiqua" w:hAnsi="Book Antiqua"/>
      </w:rPr>
      <w:t>1</w:t>
    </w:r>
    <w:r w:rsidR="00591E1E" w:rsidRPr="001648F0">
      <w:rPr>
        <w:rStyle w:val="PageNumber"/>
        <w:rFonts w:ascii="Book Antiqua" w:hAnsi="Book Antiqua"/>
      </w:rPr>
      <w:fldChar w:fldCharType="end"/>
    </w:r>
    <w:r w:rsidR="00591E1E" w:rsidRPr="001648F0">
      <w:rPr>
        <w:rStyle w:val="PageNumber"/>
        <w:rFonts w:ascii="Book Antiqua" w:hAnsi="Book Antiqu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66FD" w14:textId="3825F0C4" w:rsidR="00445D10" w:rsidRPr="008C1693" w:rsidRDefault="007E3378" w:rsidP="00F86487">
    <w:pPr>
      <w:pStyle w:val="Footer"/>
      <w:jc w:val="center"/>
      <w:rPr>
        <w:rFonts w:ascii="Book Antiqua" w:hAnsi="Book Antiqua"/>
      </w:rPr>
    </w:pPr>
    <w:r w:rsidRPr="008C1693">
      <w:rPr>
        <w:rFonts w:ascii="Book Antiqua" w:hAnsi="Book Antiqua"/>
      </w:rPr>
      <w:t xml:space="preserve">- </w:t>
    </w:r>
    <w:r w:rsidRPr="008C1693">
      <w:rPr>
        <w:rFonts w:ascii="Book Antiqua" w:hAnsi="Book Antiqua"/>
      </w:rPr>
      <w:fldChar w:fldCharType="begin"/>
    </w:r>
    <w:r w:rsidRPr="008C1693">
      <w:rPr>
        <w:rFonts w:ascii="Book Antiqua" w:hAnsi="Book Antiqua"/>
      </w:rPr>
      <w:instrText xml:space="preserve"> PAGE   \* MERGEFORMAT </w:instrText>
    </w:r>
    <w:r w:rsidRPr="008C1693">
      <w:rPr>
        <w:rFonts w:ascii="Book Antiqua" w:hAnsi="Book Antiqua"/>
      </w:rPr>
      <w:fldChar w:fldCharType="separate"/>
    </w:r>
    <w:r w:rsidRPr="008C1693">
      <w:rPr>
        <w:rFonts w:ascii="Book Antiqua" w:hAnsi="Book Antiqua"/>
        <w:noProof/>
      </w:rPr>
      <w:t>1</w:t>
    </w:r>
    <w:r w:rsidRPr="008C1693">
      <w:rPr>
        <w:rFonts w:ascii="Book Antiqua" w:hAnsi="Book Antiqua"/>
        <w:noProof/>
      </w:rPr>
      <w:fldChar w:fldCharType="end"/>
    </w:r>
    <w:r w:rsidRPr="008C1693">
      <w:rPr>
        <w:rFonts w:ascii="Book Antiqua" w:hAnsi="Book Antiqua"/>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2B4B8" w14:textId="77777777" w:rsidR="000A46C7" w:rsidRDefault="000A46C7">
      <w:r>
        <w:separator/>
      </w:r>
    </w:p>
  </w:footnote>
  <w:footnote w:type="continuationSeparator" w:id="0">
    <w:p w14:paraId="412501F9" w14:textId="77777777" w:rsidR="000A46C7" w:rsidRDefault="000A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1902" w14:textId="5A59215D" w:rsidR="00C95FDE" w:rsidRPr="00FD3B90" w:rsidRDefault="00C95FDE" w:rsidP="00FD3B90">
    <w:pPr>
      <w:pStyle w:val="Header"/>
      <w:tabs>
        <w:tab w:val="clear" w:pos="4320"/>
        <w:tab w:val="clear" w:pos="8640"/>
        <w:tab w:val="right" w:pos="9180"/>
      </w:tabs>
      <w:rPr>
        <w:rFonts w:ascii="Book Antiqua" w:hAnsi="Book Antiqua"/>
        <w:b/>
      </w:rPr>
    </w:pPr>
    <w:r w:rsidRPr="00FD3B90">
      <w:rPr>
        <w:rFonts w:ascii="Book Antiqua" w:hAnsi="Book Antiqua"/>
      </w:rPr>
      <w:t>ALJ/</w:t>
    </w:r>
    <w:r w:rsidR="00FD3B90" w:rsidRPr="00FD3B90">
      <w:rPr>
        <w:rFonts w:ascii="Book Antiqua" w:hAnsi="Book Antiqua"/>
      </w:rPr>
      <w:t>jnf</w:t>
    </w:r>
    <w:r w:rsidR="00FD3B90" w:rsidRPr="00FD3B90">
      <w:rPr>
        <w:rFonts w:ascii="Book Antiqua" w:hAnsi="Book Antiqua"/>
      </w:rPr>
      <w:tab/>
    </w:r>
    <w:r w:rsidRPr="00FD3B90">
      <w:rPr>
        <w:rFonts w:ascii="Book Antiqua" w:hAnsi="Book Antiqua"/>
        <w:b/>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B5999" w14:textId="06B881BF" w:rsidR="008005AF" w:rsidRPr="008B3D79" w:rsidRDefault="008005AF" w:rsidP="00BF529C">
    <w:pPr>
      <w:pStyle w:val="Header"/>
      <w:tabs>
        <w:tab w:val="clear" w:pos="8640"/>
        <w:tab w:val="right" w:pos="9090"/>
      </w:tabs>
      <w:rPr>
        <w:rFonts w:ascii="Book Antiqua" w:hAnsi="Book Antiqua"/>
        <w:b/>
        <w:szCs w:val="24"/>
      </w:rPr>
    </w:pPr>
    <w:r w:rsidRPr="008B3D79">
      <w:rPr>
        <w:rFonts w:ascii="Book Antiqua" w:hAnsi="Book Antiqua"/>
        <w:szCs w:val="24"/>
      </w:rPr>
      <w:t>ALJ/</w:t>
    </w:r>
    <w:r w:rsidR="00BF529C" w:rsidRPr="008B3D79">
      <w:rPr>
        <w:rFonts w:ascii="Book Antiqua" w:hAnsi="Book Antiqua"/>
        <w:szCs w:val="24"/>
      </w:rPr>
      <w:t>jnf</w:t>
    </w:r>
    <w:r w:rsidRPr="008B3D79">
      <w:rPr>
        <w:rFonts w:ascii="Book Antiqua" w:hAnsi="Book Antiqua"/>
        <w:szCs w:val="24"/>
      </w:rPr>
      <w:tab/>
    </w:r>
    <w:r w:rsidRPr="008B3D79">
      <w:rPr>
        <w:rFonts w:ascii="Book Antiqua" w:hAnsi="Book Antiqua"/>
        <w:szCs w:val="24"/>
      </w:rPr>
      <w:tab/>
    </w:r>
    <w:r w:rsidR="009B1A5B" w:rsidRPr="008B3D79">
      <w:rPr>
        <w:rFonts w:ascii="Book Antiqua" w:hAnsi="Book Antiqua"/>
        <w:b/>
        <w:szCs w:val="24"/>
      </w:rPr>
      <w:t>DRAFT</w:t>
    </w:r>
  </w:p>
  <w:p w14:paraId="1438F397" w14:textId="77777777" w:rsidR="008005AF" w:rsidRPr="009755A5" w:rsidRDefault="008005AF">
    <w:pPr>
      <w:pStyle w:val="Header"/>
      <w:rPr>
        <w:sz w:val="28"/>
        <w:szCs w:val="28"/>
      </w:rPr>
    </w:pPr>
  </w:p>
  <w:p w14:paraId="67E59363" w14:textId="52C5A750" w:rsidR="008005AF" w:rsidRPr="009755A5" w:rsidRDefault="008005AF">
    <w:pPr>
      <w:pStyle w:val="Header"/>
      <w:rPr>
        <w:sz w:val="28"/>
        <w:szCs w:val="28"/>
      </w:rPr>
    </w:pPr>
  </w:p>
  <w:p w14:paraId="03B08534" w14:textId="743382D9" w:rsidR="008005AF" w:rsidRPr="009755A5" w:rsidRDefault="003F6A7F" w:rsidP="004D54D0">
    <w:pPr>
      <w:pStyle w:val="Header"/>
      <w:tabs>
        <w:tab w:val="center" w:pos="4680"/>
        <w:tab w:val="left" w:pos="8290"/>
      </w:tabs>
      <w:jc w:val="center"/>
      <w:rPr>
        <w:rFonts w:ascii="Book Antiqua" w:hAnsi="Book Antiqua"/>
        <w:sz w:val="28"/>
        <w:szCs w:val="28"/>
      </w:rPr>
    </w:pPr>
    <w:r w:rsidRPr="009755A5">
      <w:rPr>
        <w:rFonts w:ascii="Book Antiqua" w:hAnsi="Book Antiqua"/>
        <w:b/>
        <w:bCs/>
        <w:sz w:val="28"/>
        <w:szCs w:val="28"/>
      </w:rPr>
      <w:t>PRELIMINARY DETERMINATION</w:t>
    </w:r>
    <w:r w:rsidRPr="009755A5">
      <w:rPr>
        <w:rFonts w:ascii="Book Antiqua" w:hAnsi="Book Antiqua"/>
        <w:b/>
        <w:bCs/>
        <w:sz w:val="28"/>
        <w:szCs w:val="28"/>
      </w:rPr>
      <w:br/>
      <w:t xml:space="preserve">SCHEDULE </w:t>
    </w:r>
    <w:r w:rsidRPr="009755A5">
      <w:rPr>
        <w:rFonts w:ascii="Book Antiqua" w:hAnsi="Book Antiqua"/>
        <w:sz w:val="28"/>
        <w:szCs w:val="28"/>
      </w:rPr>
      <w:br/>
    </w:r>
    <w:r w:rsidRPr="009755A5">
      <w:rPr>
        <w:rFonts w:ascii="Book Antiqua" w:hAnsi="Book Antiqua"/>
        <w:sz w:val="28"/>
        <w:szCs w:val="28"/>
      </w:rPr>
      <w:br/>
      <w:t>Resolution ALJ 176-</w:t>
    </w:r>
    <w:r w:rsidR="008E6889">
      <w:rPr>
        <w:rFonts w:ascii="Book Antiqua" w:hAnsi="Book Antiqua"/>
        <w:sz w:val="28"/>
        <w:szCs w:val="28"/>
      </w:rPr>
      <w:t>3565</w:t>
    </w:r>
    <w:r w:rsidRPr="009755A5">
      <w:rPr>
        <w:rFonts w:ascii="Book Antiqua" w:hAnsi="Book Antiqua"/>
        <w:sz w:val="28"/>
        <w:szCs w:val="28"/>
      </w:rPr>
      <w:t xml:space="preserve"> (</w:t>
    </w:r>
    <w:r w:rsidR="008E6889">
      <w:rPr>
        <w:rFonts w:ascii="Book Antiqua" w:hAnsi="Book Antiqua"/>
        <w:sz w:val="28"/>
        <w:szCs w:val="28"/>
      </w:rPr>
      <w:t>6/26/2025</w:t>
    </w:r>
    <w:r w:rsidRPr="009755A5">
      <w:rPr>
        <w:rFonts w:ascii="Book Antiqua" w:hAnsi="Book Antiqua"/>
        <w:sz w:val="28"/>
        <w:szCs w:val="28"/>
      </w:rPr>
      <w:t>)</w:t>
    </w:r>
    <w:r w:rsidR="008005AF" w:rsidRPr="009755A5">
      <w:rPr>
        <w:rFonts w:ascii="Book Antiqua" w:hAnsi="Book Antiqua"/>
        <w:sz w:val="28"/>
        <w:szCs w:val="28"/>
      </w:rPr>
      <w:br/>
    </w:r>
  </w:p>
  <w:tbl>
    <w:tblPr>
      <w:tblW w:w="0" w:type="auto"/>
      <w:tblLayout w:type="fixed"/>
      <w:tblCellMar>
        <w:left w:w="115" w:type="dxa"/>
        <w:right w:w="115" w:type="dxa"/>
      </w:tblCellMar>
      <w:tblLook w:val="0000" w:firstRow="0" w:lastRow="0" w:firstColumn="0" w:lastColumn="0" w:noHBand="0" w:noVBand="0"/>
    </w:tblPr>
    <w:tblGrid>
      <w:gridCol w:w="4835"/>
      <w:gridCol w:w="2430"/>
      <w:gridCol w:w="1890"/>
    </w:tblGrid>
    <w:tr w:rsidR="00715CD0" w:rsidRPr="009755A5" w14:paraId="3C685637" w14:textId="77777777" w:rsidTr="00085B4C">
      <w:tc>
        <w:tcPr>
          <w:tcW w:w="4835" w:type="dxa"/>
          <w:tcBorders>
            <w:top w:val="single" w:sz="6" w:space="0" w:color="auto"/>
            <w:left w:val="single" w:sz="6" w:space="0" w:color="auto"/>
            <w:bottom w:val="single" w:sz="6" w:space="0" w:color="auto"/>
            <w:right w:val="single" w:sz="6" w:space="0" w:color="auto"/>
          </w:tcBorders>
          <w:shd w:val="pct10" w:color="auto" w:fill="auto"/>
        </w:tcPr>
        <w:p w14:paraId="42A1F4EC" w14:textId="77777777" w:rsidR="00715CD0" w:rsidRPr="009755A5" w:rsidRDefault="00715CD0" w:rsidP="00715CD0">
          <w:pPr>
            <w:rPr>
              <w:rFonts w:ascii="Book Antiqua" w:hAnsi="Book Antiqua"/>
              <w:szCs w:val="24"/>
            </w:rPr>
          </w:pPr>
          <w:r w:rsidRPr="009755A5">
            <w:rPr>
              <w:rFonts w:ascii="Book Antiqua" w:hAnsi="Book Antiqua"/>
              <w:b/>
              <w:bCs/>
              <w:szCs w:val="24"/>
            </w:rPr>
            <w:t xml:space="preserve">NUMBER </w:t>
          </w:r>
          <w:r w:rsidRPr="009755A5">
            <w:rPr>
              <w:rFonts w:ascii="Book Antiqua" w:hAnsi="Book Antiqua"/>
              <w:szCs w:val="24"/>
            </w:rPr>
            <w:br/>
          </w:r>
          <w:r w:rsidRPr="009755A5">
            <w:rPr>
              <w:rFonts w:ascii="Book Antiqua" w:hAnsi="Book Antiqua"/>
              <w:b/>
              <w:bCs/>
              <w:szCs w:val="24"/>
            </w:rPr>
            <w:t xml:space="preserve">TITLE </w:t>
          </w:r>
        </w:p>
      </w:tc>
      <w:tc>
        <w:tcPr>
          <w:tcW w:w="2430" w:type="dxa"/>
          <w:tcBorders>
            <w:top w:val="single" w:sz="6" w:space="0" w:color="auto"/>
            <w:left w:val="single" w:sz="6" w:space="0" w:color="auto"/>
            <w:bottom w:val="single" w:sz="6" w:space="0" w:color="auto"/>
            <w:right w:val="single" w:sz="6" w:space="0" w:color="auto"/>
          </w:tcBorders>
          <w:shd w:val="pct10" w:color="auto" w:fill="auto"/>
        </w:tcPr>
        <w:p w14:paraId="5A3DDCFF" w14:textId="77777777" w:rsidR="00715CD0" w:rsidRPr="009755A5" w:rsidRDefault="00715CD0" w:rsidP="00715CD0">
          <w:pPr>
            <w:jc w:val="center"/>
            <w:rPr>
              <w:rFonts w:ascii="Book Antiqua" w:hAnsi="Book Antiqua"/>
              <w:szCs w:val="24"/>
            </w:rPr>
          </w:pPr>
          <w:r w:rsidRPr="009755A5">
            <w:rPr>
              <w:rFonts w:ascii="Book Antiqua" w:hAnsi="Book Antiqua"/>
              <w:b/>
              <w:bCs/>
              <w:szCs w:val="24"/>
            </w:rPr>
            <w:t xml:space="preserve">PROPOSED CATEGORY </w:t>
          </w:r>
        </w:p>
      </w:tc>
      <w:tc>
        <w:tcPr>
          <w:tcW w:w="1890" w:type="dxa"/>
          <w:tcBorders>
            <w:top w:val="single" w:sz="6" w:space="0" w:color="auto"/>
            <w:left w:val="single" w:sz="6" w:space="0" w:color="auto"/>
            <w:bottom w:val="single" w:sz="6" w:space="0" w:color="auto"/>
            <w:right w:val="single" w:sz="6" w:space="0" w:color="auto"/>
          </w:tcBorders>
          <w:shd w:val="pct10" w:color="auto" w:fill="auto"/>
        </w:tcPr>
        <w:p w14:paraId="1254059F" w14:textId="77777777" w:rsidR="00715CD0" w:rsidRPr="009755A5" w:rsidRDefault="00715CD0" w:rsidP="00715CD0">
          <w:pPr>
            <w:jc w:val="center"/>
            <w:rPr>
              <w:rFonts w:ascii="Book Antiqua" w:hAnsi="Book Antiqua"/>
              <w:szCs w:val="24"/>
            </w:rPr>
          </w:pPr>
          <w:r w:rsidRPr="009755A5">
            <w:rPr>
              <w:rFonts w:ascii="Book Antiqua" w:hAnsi="Book Antiqua"/>
              <w:b/>
              <w:bCs/>
              <w:szCs w:val="24"/>
            </w:rPr>
            <w:t xml:space="preserve">PRELIM. CATEGORY </w:t>
          </w:r>
        </w:p>
      </w:tc>
    </w:tr>
  </w:tbl>
  <w:p w14:paraId="6D5436C2" w14:textId="77777777" w:rsidR="008005AF" w:rsidRPr="009755A5" w:rsidRDefault="008005AF" w:rsidP="009755A5">
    <w:pPr>
      <w:pStyle w:val="Header"/>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54DDE"/>
    <w:multiLevelType w:val="hybridMultilevel"/>
    <w:tmpl w:val="1EC8387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8E4F88"/>
    <w:multiLevelType w:val="hybridMultilevel"/>
    <w:tmpl w:val="92065E66"/>
    <w:lvl w:ilvl="0" w:tplc="E6AA93F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FD39E3"/>
    <w:multiLevelType w:val="hybridMultilevel"/>
    <w:tmpl w:val="7C1A6AAA"/>
    <w:lvl w:ilvl="0" w:tplc="12F251D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13AFA"/>
    <w:multiLevelType w:val="hybridMultilevel"/>
    <w:tmpl w:val="348E8EFC"/>
    <w:lvl w:ilvl="0" w:tplc="73A4D0A8">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36230E"/>
    <w:multiLevelType w:val="hybridMultilevel"/>
    <w:tmpl w:val="76D2D728"/>
    <w:lvl w:ilvl="0" w:tplc="2760FF36">
      <w:numFmt w:val="bullet"/>
      <w:lvlText w:val="-"/>
      <w:lvlJc w:val="left"/>
      <w:pPr>
        <w:ind w:left="1080" w:hanging="360"/>
      </w:pPr>
      <w:rPr>
        <w:rFonts w:ascii="Palatino" w:eastAsia="Times New Roman" w:hAnsi="Palatin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4487489">
    <w:abstractNumId w:val="1"/>
  </w:num>
  <w:num w:numId="2" w16cid:durableId="281810531">
    <w:abstractNumId w:val="0"/>
  </w:num>
  <w:num w:numId="3" w16cid:durableId="382603836">
    <w:abstractNumId w:val="3"/>
  </w:num>
  <w:num w:numId="4" w16cid:durableId="816385477">
    <w:abstractNumId w:val="4"/>
  </w:num>
  <w:num w:numId="5" w16cid:durableId="52657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1B"/>
    <w:rsid w:val="00011B96"/>
    <w:rsid w:val="000150E2"/>
    <w:rsid w:val="000231AF"/>
    <w:rsid w:val="00043B8E"/>
    <w:rsid w:val="00050DF2"/>
    <w:rsid w:val="00062F36"/>
    <w:rsid w:val="000667EB"/>
    <w:rsid w:val="00085B4C"/>
    <w:rsid w:val="000A1E1E"/>
    <w:rsid w:val="000A41D1"/>
    <w:rsid w:val="000A46C7"/>
    <w:rsid w:val="000B55B2"/>
    <w:rsid w:val="000E3F65"/>
    <w:rsid w:val="00126B14"/>
    <w:rsid w:val="001648F0"/>
    <w:rsid w:val="00165C26"/>
    <w:rsid w:val="00191D02"/>
    <w:rsid w:val="001A2BF6"/>
    <w:rsid w:val="001B116D"/>
    <w:rsid w:val="00201200"/>
    <w:rsid w:val="002074C4"/>
    <w:rsid w:val="002164F0"/>
    <w:rsid w:val="00243042"/>
    <w:rsid w:val="002558F3"/>
    <w:rsid w:val="00264FBC"/>
    <w:rsid w:val="002731E5"/>
    <w:rsid w:val="0029303E"/>
    <w:rsid w:val="002C2658"/>
    <w:rsid w:val="002C7E5A"/>
    <w:rsid w:val="003417D7"/>
    <w:rsid w:val="00342E16"/>
    <w:rsid w:val="0034501A"/>
    <w:rsid w:val="00364C10"/>
    <w:rsid w:val="00384A75"/>
    <w:rsid w:val="00395187"/>
    <w:rsid w:val="0039743F"/>
    <w:rsid w:val="003B6828"/>
    <w:rsid w:val="003C2335"/>
    <w:rsid w:val="003E6E4C"/>
    <w:rsid w:val="003F6A7F"/>
    <w:rsid w:val="0040118E"/>
    <w:rsid w:val="00413177"/>
    <w:rsid w:val="00420910"/>
    <w:rsid w:val="0042710E"/>
    <w:rsid w:val="00436CF7"/>
    <w:rsid w:val="00445431"/>
    <w:rsid w:val="00445D10"/>
    <w:rsid w:val="004A6B6C"/>
    <w:rsid w:val="004C5C3F"/>
    <w:rsid w:val="004D54D0"/>
    <w:rsid w:val="004E18B3"/>
    <w:rsid w:val="004E5ED1"/>
    <w:rsid w:val="004E7F26"/>
    <w:rsid w:val="004F6AFD"/>
    <w:rsid w:val="005478A5"/>
    <w:rsid w:val="00591E1E"/>
    <w:rsid w:val="0059231A"/>
    <w:rsid w:val="00594907"/>
    <w:rsid w:val="005B113F"/>
    <w:rsid w:val="005D2F39"/>
    <w:rsid w:val="00604E24"/>
    <w:rsid w:val="0061466C"/>
    <w:rsid w:val="006439D8"/>
    <w:rsid w:val="006468E1"/>
    <w:rsid w:val="006A57CC"/>
    <w:rsid w:val="006B0BF8"/>
    <w:rsid w:val="006D0E48"/>
    <w:rsid w:val="006E4526"/>
    <w:rsid w:val="00703E5C"/>
    <w:rsid w:val="00715CD0"/>
    <w:rsid w:val="0074719A"/>
    <w:rsid w:val="00774234"/>
    <w:rsid w:val="007A1CE2"/>
    <w:rsid w:val="007A588D"/>
    <w:rsid w:val="007B0604"/>
    <w:rsid w:val="007C3DC4"/>
    <w:rsid w:val="007D35A2"/>
    <w:rsid w:val="007E3378"/>
    <w:rsid w:val="007E52E6"/>
    <w:rsid w:val="008005AF"/>
    <w:rsid w:val="00806579"/>
    <w:rsid w:val="00813EB5"/>
    <w:rsid w:val="008402B8"/>
    <w:rsid w:val="00852A3E"/>
    <w:rsid w:val="00861EFB"/>
    <w:rsid w:val="008A44BA"/>
    <w:rsid w:val="008A4E0E"/>
    <w:rsid w:val="008B3D79"/>
    <w:rsid w:val="008B7F1B"/>
    <w:rsid w:val="008C0812"/>
    <w:rsid w:val="008C1693"/>
    <w:rsid w:val="008D5221"/>
    <w:rsid w:val="008E6889"/>
    <w:rsid w:val="0097038C"/>
    <w:rsid w:val="009755A5"/>
    <w:rsid w:val="009A6078"/>
    <w:rsid w:val="009B1A5B"/>
    <w:rsid w:val="009E07EB"/>
    <w:rsid w:val="00A14B76"/>
    <w:rsid w:val="00A45F8C"/>
    <w:rsid w:val="00A60751"/>
    <w:rsid w:val="00A904A4"/>
    <w:rsid w:val="00B27713"/>
    <w:rsid w:val="00B5250D"/>
    <w:rsid w:val="00B75139"/>
    <w:rsid w:val="00B843C4"/>
    <w:rsid w:val="00B878E8"/>
    <w:rsid w:val="00BD6E3A"/>
    <w:rsid w:val="00BE1D69"/>
    <w:rsid w:val="00BF529C"/>
    <w:rsid w:val="00C0135F"/>
    <w:rsid w:val="00C10CCA"/>
    <w:rsid w:val="00C257D9"/>
    <w:rsid w:val="00C26D8F"/>
    <w:rsid w:val="00C62EEB"/>
    <w:rsid w:val="00C92A44"/>
    <w:rsid w:val="00C95FDE"/>
    <w:rsid w:val="00CA21DB"/>
    <w:rsid w:val="00CD36D9"/>
    <w:rsid w:val="00CD529F"/>
    <w:rsid w:val="00CF4AB3"/>
    <w:rsid w:val="00D041B0"/>
    <w:rsid w:val="00D12A5B"/>
    <w:rsid w:val="00D5495C"/>
    <w:rsid w:val="00D71AC7"/>
    <w:rsid w:val="00DA5721"/>
    <w:rsid w:val="00DA7B95"/>
    <w:rsid w:val="00DD4B11"/>
    <w:rsid w:val="00DE57DB"/>
    <w:rsid w:val="00DF5183"/>
    <w:rsid w:val="00E04BF9"/>
    <w:rsid w:val="00E94361"/>
    <w:rsid w:val="00EB4757"/>
    <w:rsid w:val="00EC7DE8"/>
    <w:rsid w:val="00ED6639"/>
    <w:rsid w:val="00F036E4"/>
    <w:rsid w:val="00F04B30"/>
    <w:rsid w:val="00F62B1C"/>
    <w:rsid w:val="00F86487"/>
    <w:rsid w:val="00FD3B90"/>
    <w:rsid w:val="00FD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362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
    <w:name w:val="standard"/>
    <w:basedOn w:val="Normal"/>
    <w:link w:val="standardChar"/>
    <w:pPr>
      <w:spacing w:line="360" w:lineRule="auto"/>
      <w:ind w:firstLine="720"/>
    </w:pPr>
  </w:style>
  <w:style w:type="paragraph" w:styleId="Title">
    <w:name w:val="Title"/>
    <w:basedOn w:val="Normal"/>
    <w:qFormat/>
    <w:pPr>
      <w:jc w:val="center"/>
    </w:pPr>
    <w:rPr>
      <w:rFonts w:ascii="Helvetica" w:hAnsi="Helvetica"/>
      <w:b/>
    </w:rPr>
  </w:style>
  <w:style w:type="paragraph" w:styleId="BlockText">
    <w:name w:val="Block Text"/>
    <w:basedOn w:val="Normal"/>
    <w:pPr>
      <w:ind w:left="720" w:right="720"/>
    </w:pPr>
  </w:style>
  <w:style w:type="paragraph" w:customStyle="1" w:styleId="num1">
    <w:name w:val="num1"/>
    <w:basedOn w:val="Normal"/>
    <w:pPr>
      <w:tabs>
        <w:tab w:val="left" w:pos="-720"/>
      </w:tabs>
      <w:suppressAutoHyphens/>
      <w:spacing w:line="360" w:lineRule="auto"/>
      <w:ind w:firstLine="360"/>
    </w:pPr>
    <w:rPr>
      <w:sz w:val="26"/>
    </w:rPr>
  </w:style>
  <w:style w:type="character" w:customStyle="1" w:styleId="FooterChar">
    <w:name w:val="Footer Char"/>
    <w:link w:val="Footer"/>
    <w:uiPriority w:val="99"/>
    <w:rsid w:val="003E6E4C"/>
    <w:rPr>
      <w:rFonts w:ascii="Palatino" w:hAnsi="Palatino"/>
      <w:sz w:val="24"/>
    </w:rPr>
  </w:style>
  <w:style w:type="character" w:customStyle="1" w:styleId="standardChar">
    <w:name w:val="standard Char"/>
    <w:link w:val="standard"/>
    <w:locked/>
    <w:rsid w:val="00C95FDE"/>
    <w:rPr>
      <w:rFonts w:ascii="Palatino" w:hAnsi="Palatino"/>
      <w:sz w:val="24"/>
    </w:rPr>
  </w:style>
  <w:style w:type="paragraph" w:styleId="BalloonText">
    <w:name w:val="Balloon Text"/>
    <w:basedOn w:val="Normal"/>
    <w:link w:val="BalloonTextChar"/>
    <w:rsid w:val="00C95FDE"/>
    <w:rPr>
      <w:rFonts w:ascii="Tahoma" w:hAnsi="Tahoma" w:cs="Tahoma"/>
      <w:sz w:val="16"/>
      <w:szCs w:val="16"/>
    </w:rPr>
  </w:style>
  <w:style w:type="character" w:customStyle="1" w:styleId="BalloonTextChar">
    <w:name w:val="Balloon Text Char"/>
    <w:link w:val="BalloonText"/>
    <w:rsid w:val="00C95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68292">
      <w:bodyDiv w:val="1"/>
      <w:marLeft w:val="0"/>
      <w:marRight w:val="0"/>
      <w:marTop w:val="0"/>
      <w:marBottom w:val="0"/>
      <w:divBdr>
        <w:top w:val="none" w:sz="0" w:space="0" w:color="auto"/>
        <w:left w:val="none" w:sz="0" w:space="0" w:color="auto"/>
        <w:bottom w:val="none" w:sz="0" w:space="0" w:color="auto"/>
        <w:right w:val="none" w:sz="0" w:space="0" w:color="auto"/>
      </w:divBdr>
    </w:div>
    <w:div w:id="527639632">
      <w:bodyDiv w:val="1"/>
      <w:marLeft w:val="0"/>
      <w:marRight w:val="0"/>
      <w:marTop w:val="0"/>
      <w:marBottom w:val="0"/>
      <w:divBdr>
        <w:top w:val="none" w:sz="0" w:space="0" w:color="auto"/>
        <w:left w:val="none" w:sz="0" w:space="0" w:color="auto"/>
        <w:bottom w:val="none" w:sz="0" w:space="0" w:color="auto"/>
        <w:right w:val="none" w:sz="0" w:space="0" w:color="auto"/>
      </w:divBdr>
    </w:div>
    <w:div w:id="852453157">
      <w:bodyDiv w:val="1"/>
      <w:marLeft w:val="0"/>
      <w:marRight w:val="0"/>
      <w:marTop w:val="0"/>
      <w:marBottom w:val="0"/>
      <w:divBdr>
        <w:top w:val="none" w:sz="0" w:space="0" w:color="auto"/>
        <w:left w:val="none" w:sz="0" w:space="0" w:color="auto"/>
        <w:bottom w:val="none" w:sz="0" w:space="0" w:color="auto"/>
        <w:right w:val="none" w:sz="0" w:space="0" w:color="auto"/>
      </w:divBdr>
      <w:divsChild>
        <w:div w:id="1219586754">
          <w:marLeft w:val="0"/>
          <w:marRight w:val="0"/>
          <w:marTop w:val="0"/>
          <w:marBottom w:val="0"/>
          <w:divBdr>
            <w:top w:val="none" w:sz="0" w:space="0" w:color="auto"/>
            <w:left w:val="none" w:sz="0" w:space="0" w:color="auto"/>
            <w:bottom w:val="none" w:sz="0" w:space="0" w:color="auto"/>
            <w:right w:val="none" w:sz="0" w:space="0" w:color="auto"/>
          </w:divBdr>
        </w:div>
      </w:divsChild>
    </w:div>
    <w:div w:id="1072921991">
      <w:bodyDiv w:val="1"/>
      <w:marLeft w:val="0"/>
      <w:marRight w:val="0"/>
      <w:marTop w:val="0"/>
      <w:marBottom w:val="0"/>
      <w:divBdr>
        <w:top w:val="none" w:sz="0" w:space="0" w:color="auto"/>
        <w:left w:val="none" w:sz="0" w:space="0" w:color="auto"/>
        <w:bottom w:val="none" w:sz="0" w:space="0" w:color="auto"/>
        <w:right w:val="none" w:sz="0" w:space="0" w:color="auto"/>
      </w:divBdr>
    </w:div>
    <w:div w:id="15142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5</ap:Pages>
  <ap:Words>547</ap:Words>
  <ap:Characters>3372</ap:Characters>
  <ap:Application>Microsoft Office Word</ap:Application>
  <ap:DocSecurity>0</ap:DocSecurity>
  <ap:Lines>28</ap:Lines>
  <ap:Paragraphs>7</ap:Paragraphs>
  <ap:ScaleCrop>false</ap:ScaleCrop>
  <ap:HeadingPairs>
    <vt:vector baseType="variant" size="2">
      <vt:variant>
        <vt:lpstr>Title</vt:lpstr>
      </vt:variant>
      <vt:variant>
        <vt:i4>1</vt:i4>
      </vt:variant>
    </vt:vector>
  </ap:HeadingPairs>
  <ap:TitlesOfParts>
    <vt:vector baseType="lpstr" size="1">
      <vt:lpstr>_</vt:lpstr>
    </vt:vector>
  </ap:TitlesOfParts>
  <ap:LinksUpToDate>false</ap:LinksUpToDate>
  <ap:CharactersWithSpaces>3912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2007-03-27T17:20:00Z</cp:lastPrinted>
  <dcterms:created xsi:type="dcterms:W3CDTF">2025-06-24T10:40:26Z</dcterms:created>
  <dcterms:modified xsi:type="dcterms:W3CDTF">2025-06-24T10:40:26Z</dcterms:modified>
</cp:coreProperties>
</file>