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3276" w:rsidR="004D3276" w:rsidP="004D3276" w:rsidRDefault="004D3276" w14:paraId="2B4379B0" w14:textId="583F9030">
      <w:pPr>
        <w:tabs>
          <w:tab w:val="center" w:pos="4680"/>
          <w:tab w:val="right" w:pos="9360"/>
        </w:tabs>
        <w:suppressAutoHyphens/>
        <w:rPr>
          <w:b/>
          <w:bCs/>
          <w:color w:val="000000"/>
        </w:rPr>
      </w:pPr>
      <w:r>
        <w:rPr>
          <w:color w:val="000000"/>
        </w:rPr>
        <w:t>ALJ/JF2/VUK/jnf</w:t>
      </w:r>
      <w:r>
        <w:rPr>
          <w:color w:val="000000"/>
        </w:rPr>
        <w:tab/>
      </w:r>
      <w:r w:rsidRPr="001047AE">
        <w:rPr>
          <w:b/>
          <w:bCs/>
          <w:color w:val="000000"/>
          <w:sz w:val="26"/>
          <w:szCs w:val="26"/>
        </w:rPr>
        <w:t>PROPOSED DECISION</w:t>
      </w:r>
      <w:r w:rsidRPr="004D3276">
        <w:rPr>
          <w:b/>
          <w:bCs/>
          <w:color w:val="000000"/>
        </w:rPr>
        <w:tab/>
        <w:t>Agenda ID</w:t>
      </w:r>
      <w:r w:rsidR="00B44819">
        <w:rPr>
          <w:b/>
          <w:bCs/>
          <w:color w:val="000000"/>
        </w:rPr>
        <w:t xml:space="preserve"> </w:t>
      </w:r>
      <w:r w:rsidRPr="004D3276">
        <w:rPr>
          <w:b/>
          <w:bCs/>
          <w:color w:val="000000"/>
        </w:rPr>
        <w:t>#</w:t>
      </w:r>
      <w:r w:rsidR="00B44819">
        <w:rPr>
          <w:b/>
          <w:bCs/>
          <w:color w:val="000000"/>
        </w:rPr>
        <w:t>23600</w:t>
      </w:r>
    </w:p>
    <w:p w:rsidRPr="004D3276" w:rsidR="004D3276" w:rsidP="004D3276" w:rsidRDefault="004D3276" w14:paraId="3DF23A38" w14:textId="31D5413B">
      <w:pPr>
        <w:tabs>
          <w:tab w:val="center" w:pos="4680"/>
          <w:tab w:val="right" w:pos="9360"/>
        </w:tabs>
        <w:suppressAutoHyphens/>
        <w:jc w:val="right"/>
        <w:rPr>
          <w:b/>
          <w:bCs/>
          <w:color w:val="000000"/>
        </w:rPr>
      </w:pPr>
      <w:r w:rsidRPr="004D3276">
        <w:rPr>
          <w:b/>
          <w:bCs/>
          <w:color w:val="000000"/>
        </w:rPr>
        <w:t>Ratesetting</w:t>
      </w:r>
    </w:p>
    <w:p w:rsidR="004D3276" w:rsidP="004D3276" w:rsidRDefault="004D3276" w14:paraId="37652FCD" w14:textId="77777777">
      <w:pPr>
        <w:tabs>
          <w:tab w:val="center" w:pos="4680"/>
          <w:tab w:val="right" w:pos="9360"/>
        </w:tabs>
        <w:suppressAutoHyphens/>
        <w:jc w:val="right"/>
        <w:rPr>
          <w:color w:val="000000"/>
        </w:rPr>
      </w:pPr>
    </w:p>
    <w:p w:rsidRPr="007F620E" w:rsidR="00A92D0B" w:rsidRDefault="00A92D0B" w14:paraId="5BDA9FD4" w14:textId="620314D7">
      <w:pPr>
        <w:suppressAutoHyphens/>
        <w:rPr>
          <w:color w:val="000000"/>
        </w:rPr>
      </w:pPr>
      <w:r w:rsidRPr="007F620E">
        <w:rPr>
          <w:color w:val="000000"/>
        </w:rPr>
        <w:t xml:space="preserve">Decision </w:t>
      </w:r>
      <w:r w:rsidRPr="007F620E">
        <w:rPr>
          <w:color w:val="000000"/>
          <w:u w:val="single"/>
        </w:rPr>
        <w:tab/>
      </w:r>
      <w:r w:rsidRPr="007F620E">
        <w:rPr>
          <w:color w:val="000000"/>
          <w:u w:val="single"/>
        </w:rPr>
        <w:tab/>
      </w:r>
      <w:r w:rsidRPr="007F620E">
        <w:rPr>
          <w:color w:val="000000"/>
          <w:u w:val="single"/>
        </w:rPr>
        <w:tab/>
      </w:r>
    </w:p>
    <w:p w:rsidRPr="007F620E" w:rsidR="00A92D0B" w:rsidRDefault="00A92D0B" w14:paraId="6D327C87" w14:textId="77777777">
      <w:pPr>
        <w:pStyle w:val="titlebar"/>
        <w:rPr>
          <w:rFonts w:ascii="Times New Roman" w:hAnsi="Times New Roman"/>
          <w:color w:val="000000"/>
          <w:sz w:val="24"/>
          <w:szCs w:val="24"/>
        </w:rPr>
      </w:pPr>
    </w:p>
    <w:p w:rsidRPr="007F620E" w:rsidR="00A92D0B" w:rsidRDefault="00A92D0B" w14:paraId="44E03231" w14:textId="77777777">
      <w:pPr>
        <w:pStyle w:val="titlebar"/>
        <w:rPr>
          <w:rFonts w:ascii="Times New Roman" w:hAnsi="Times New Roman"/>
          <w:color w:val="000000"/>
          <w:sz w:val="24"/>
          <w:szCs w:val="24"/>
        </w:rPr>
      </w:pPr>
    </w:p>
    <w:p w:rsidRPr="0057088A" w:rsidR="00A92D0B" w:rsidRDefault="00A92D0B" w14:paraId="67F2520C" w14:textId="77777777">
      <w:pPr>
        <w:pStyle w:val="titlebar"/>
        <w:rPr>
          <w:rFonts w:ascii="Arial" w:hAnsi="Arial"/>
          <w:color w:val="000000"/>
          <w:sz w:val="24"/>
          <w:szCs w:val="24"/>
        </w:rPr>
      </w:pPr>
      <w:r w:rsidRPr="0057088A">
        <w:rPr>
          <w:rFonts w:ascii="Arial" w:hAnsi="Arial"/>
          <w:color w:val="000000"/>
          <w:sz w:val="24"/>
          <w:szCs w:val="24"/>
        </w:rPr>
        <w:t>BEFORE THE PUBLIC UTILITIES COMMISSION OF THE STATE OF CALIFORNIA</w:t>
      </w:r>
    </w:p>
    <w:p w:rsidRPr="007F620E" w:rsidR="00A92D0B" w:rsidRDefault="00A92D0B" w14:paraId="564284CD" w14:textId="77777777">
      <w:pPr>
        <w:suppressAutoHyphens/>
        <w:rPr>
          <w:color w:val="000000"/>
        </w:rPr>
      </w:pPr>
    </w:p>
    <w:tbl>
      <w:tblPr>
        <w:tblW w:w="9828" w:type="dxa"/>
        <w:tblBorders>
          <w:bottom w:val="single" w:color="auto" w:sz="4" w:space="0"/>
          <w:insideH w:val="single" w:color="auto" w:sz="4" w:space="0"/>
          <w:insideV w:val="single" w:color="auto" w:sz="4" w:space="0"/>
        </w:tblBorders>
        <w:shd w:val="clear" w:color="auto" w:fill="CCFFCC"/>
        <w:tblLayout w:type="fixed"/>
        <w:tblLook w:val="0000" w:firstRow="0" w:lastRow="0" w:firstColumn="0" w:lastColumn="0" w:noHBand="0" w:noVBand="0"/>
      </w:tblPr>
      <w:tblGrid>
        <w:gridCol w:w="4770"/>
        <w:gridCol w:w="5058"/>
      </w:tblGrid>
      <w:tr w:rsidRPr="007F620E" w:rsidR="00A92D0B" w:rsidTr="004D3276" w14:paraId="3942D7B4" w14:textId="77777777">
        <w:tc>
          <w:tcPr>
            <w:tcW w:w="4770" w:type="dxa"/>
            <w:shd w:val="clear" w:color="auto" w:fill="auto"/>
          </w:tcPr>
          <w:p w:rsidR="008A182B" w:rsidP="008A182B" w:rsidRDefault="00CE3CE4" w14:paraId="34DF6800" w14:textId="07B75348">
            <w:r w:rsidRPr="00CE3CE4">
              <w:t>Order Instituting Rulemaking Concerning Energy Efficiency Rolling Portfolios, Policies, Programs, Evaluation, and Related Issues.</w:t>
            </w:r>
            <w:r w:rsidRPr="00300988" w:rsidR="008A182B">
              <w:t xml:space="preserve"> </w:t>
            </w:r>
          </w:p>
          <w:p w:rsidRPr="007F620E" w:rsidR="00A92D0B" w:rsidRDefault="00A92D0B" w14:paraId="47850BD9" w14:textId="77777777">
            <w:pPr>
              <w:rPr>
                <w:color w:val="000000"/>
              </w:rPr>
            </w:pPr>
          </w:p>
        </w:tc>
        <w:tc>
          <w:tcPr>
            <w:tcW w:w="5058" w:type="dxa"/>
            <w:tcBorders>
              <w:top w:val="nil"/>
              <w:bottom w:val="nil"/>
            </w:tcBorders>
            <w:shd w:val="clear" w:color="auto" w:fill="auto"/>
            <w:vAlign w:val="center"/>
          </w:tcPr>
          <w:p w:rsidRPr="00CE3CE4" w:rsidR="00A92D0B" w:rsidP="00CE3CE4" w:rsidRDefault="0096366C" w14:paraId="7EC7277D" w14:textId="190332AA">
            <w:pPr>
              <w:jc w:val="center"/>
            </w:pPr>
            <w:r w:rsidRPr="001F2B04">
              <w:t>Rulemaking 13-11-005</w:t>
            </w:r>
          </w:p>
        </w:tc>
      </w:tr>
    </w:tbl>
    <w:p w:rsidRPr="00B44819" w:rsidR="00CE3CE4" w:rsidP="00B44819" w:rsidRDefault="006F21EC" w14:paraId="58EAEE62" w14:textId="198B756E">
      <w:pPr>
        <w:pStyle w:val="Dummy"/>
        <w:spacing w:before="480" w:after="240"/>
        <w:jc w:val="center"/>
        <w:rPr>
          <w:rFonts w:ascii="Times New Roman" w:hAnsi="Times New Roman" w:cs="Times New Roman"/>
          <w:sz w:val="24"/>
          <w:szCs w:val="24"/>
        </w:rPr>
      </w:pPr>
      <w:r w:rsidRPr="004D3276">
        <w:rPr>
          <w:rFonts w:ascii="Times New Roman" w:hAnsi="Times New Roman" w:cs="Times New Roman"/>
          <w:sz w:val="24"/>
          <w:szCs w:val="24"/>
        </w:rPr>
        <w:t>DECISION GRANTING COMPENSATION TO</w:t>
      </w:r>
      <w:r w:rsidR="00E37972">
        <w:rPr>
          <w:rFonts w:ascii="Times New Roman" w:hAnsi="Times New Roman" w:cs="Times New Roman"/>
          <w:sz w:val="24"/>
          <w:szCs w:val="24"/>
        </w:rPr>
        <w:br/>
      </w:r>
      <w:r w:rsidRPr="004D3276">
        <w:rPr>
          <w:rFonts w:ascii="Times New Roman" w:hAnsi="Times New Roman" w:cs="Times New Roman"/>
          <w:sz w:val="24"/>
          <w:szCs w:val="24"/>
        </w:rPr>
        <w:t>THE UTILITY REFORM NETWORK FOR</w:t>
      </w:r>
      <w:r w:rsidR="00E37972">
        <w:rPr>
          <w:rFonts w:ascii="Times New Roman" w:hAnsi="Times New Roman" w:cs="Times New Roman"/>
          <w:sz w:val="24"/>
          <w:szCs w:val="24"/>
        </w:rPr>
        <w:t xml:space="preserve"> </w:t>
      </w:r>
      <w:r w:rsidRPr="004D3276">
        <w:rPr>
          <w:rFonts w:ascii="Times New Roman" w:hAnsi="Times New Roman" w:cs="Times New Roman"/>
          <w:sz w:val="24"/>
          <w:szCs w:val="24"/>
        </w:rPr>
        <w:t>SUBSTANTIAL</w:t>
      </w:r>
      <w:r w:rsidRPr="004D3276" w:rsidR="00CE3CE4">
        <w:rPr>
          <w:rFonts w:ascii="Times New Roman" w:hAnsi="Times New Roman" w:cs="Times New Roman"/>
          <w:sz w:val="24"/>
          <w:szCs w:val="24"/>
        </w:rPr>
        <w:t xml:space="preserve"> </w:t>
      </w:r>
      <w:r w:rsidRPr="004D3276">
        <w:rPr>
          <w:rFonts w:ascii="Times New Roman" w:hAnsi="Times New Roman" w:cs="Times New Roman"/>
          <w:sz w:val="24"/>
          <w:szCs w:val="24"/>
        </w:rPr>
        <w:t>CONTRIBUTION TO</w:t>
      </w:r>
      <w:r w:rsidRPr="004D3276" w:rsidR="00CE3CE4">
        <w:rPr>
          <w:rFonts w:ascii="Times New Roman" w:hAnsi="Times New Roman" w:cs="Times New Roman"/>
          <w:sz w:val="24"/>
          <w:szCs w:val="24"/>
        </w:rPr>
        <w:br/>
      </w:r>
      <w:r w:rsidRPr="004D3276">
        <w:rPr>
          <w:rFonts w:ascii="Times New Roman" w:hAnsi="Times New Roman" w:cs="Times New Roman"/>
          <w:sz w:val="24"/>
          <w:szCs w:val="24"/>
        </w:rPr>
        <w:t>DECISION</w:t>
      </w:r>
      <w:r w:rsidRPr="004D3276" w:rsidR="006038CD">
        <w:rPr>
          <w:rFonts w:ascii="Times New Roman" w:hAnsi="Times New Roman" w:cs="Times New Roman"/>
          <w:sz w:val="24"/>
          <w:szCs w:val="24"/>
        </w:rPr>
        <w:t>S</w:t>
      </w:r>
      <w:r w:rsidRPr="004D3276" w:rsidR="00CE3CE4">
        <w:rPr>
          <w:rFonts w:ascii="Times New Roman" w:hAnsi="Times New Roman" w:cs="Times New Roman"/>
          <w:sz w:val="24"/>
          <w:szCs w:val="24"/>
        </w:rPr>
        <w:t> </w:t>
      </w:r>
      <w:r w:rsidRPr="004D3276">
        <w:rPr>
          <w:rFonts w:ascii="Times New Roman" w:hAnsi="Times New Roman" w:cs="Times New Roman"/>
          <w:sz w:val="24"/>
          <w:szCs w:val="24"/>
        </w:rPr>
        <w:t>20</w:t>
      </w:r>
      <w:r w:rsidRPr="004D3276" w:rsidR="00CE3CE4">
        <w:rPr>
          <w:rFonts w:ascii="Times New Roman" w:hAnsi="Times New Roman" w:cs="Times New Roman"/>
          <w:sz w:val="24"/>
          <w:szCs w:val="24"/>
        </w:rPr>
        <w:noBreakHyphen/>
      </w:r>
      <w:r w:rsidRPr="004D3276">
        <w:rPr>
          <w:rFonts w:ascii="Times New Roman" w:hAnsi="Times New Roman" w:cs="Times New Roman"/>
          <w:sz w:val="24"/>
          <w:szCs w:val="24"/>
        </w:rPr>
        <w:t>11</w:t>
      </w:r>
      <w:r w:rsidRPr="004D3276" w:rsidR="00CE3CE4">
        <w:rPr>
          <w:rFonts w:ascii="Times New Roman" w:hAnsi="Times New Roman" w:cs="Times New Roman"/>
          <w:sz w:val="24"/>
          <w:szCs w:val="24"/>
        </w:rPr>
        <w:noBreakHyphen/>
      </w:r>
      <w:r w:rsidRPr="004D3276">
        <w:rPr>
          <w:rFonts w:ascii="Times New Roman" w:hAnsi="Times New Roman" w:cs="Times New Roman"/>
          <w:sz w:val="24"/>
          <w:szCs w:val="24"/>
        </w:rPr>
        <w:t>013, 21</w:t>
      </w:r>
      <w:r w:rsidRPr="004D3276" w:rsidR="00CE3CE4">
        <w:rPr>
          <w:rFonts w:ascii="Times New Roman" w:hAnsi="Times New Roman" w:cs="Times New Roman"/>
          <w:sz w:val="24"/>
          <w:szCs w:val="24"/>
        </w:rPr>
        <w:noBreakHyphen/>
      </w:r>
      <w:r w:rsidRPr="004D3276">
        <w:rPr>
          <w:rFonts w:ascii="Times New Roman" w:hAnsi="Times New Roman" w:cs="Times New Roman"/>
          <w:sz w:val="24"/>
          <w:szCs w:val="24"/>
        </w:rPr>
        <w:t>01</w:t>
      </w:r>
      <w:r w:rsidRPr="004D3276" w:rsidR="00CE3CE4">
        <w:rPr>
          <w:rFonts w:ascii="Times New Roman" w:hAnsi="Times New Roman" w:cs="Times New Roman"/>
          <w:sz w:val="24"/>
          <w:szCs w:val="24"/>
        </w:rPr>
        <w:noBreakHyphen/>
      </w:r>
      <w:r w:rsidRPr="004D3276">
        <w:rPr>
          <w:rFonts w:ascii="Times New Roman" w:hAnsi="Times New Roman" w:cs="Times New Roman"/>
          <w:sz w:val="24"/>
          <w:szCs w:val="24"/>
        </w:rPr>
        <w:t>004, 21</w:t>
      </w:r>
      <w:r w:rsidRPr="004D3276" w:rsidR="00CE3CE4">
        <w:rPr>
          <w:rFonts w:ascii="Times New Roman" w:hAnsi="Times New Roman" w:cs="Times New Roman"/>
          <w:sz w:val="24"/>
          <w:szCs w:val="24"/>
        </w:rPr>
        <w:noBreakHyphen/>
      </w:r>
      <w:r w:rsidRPr="004D3276">
        <w:rPr>
          <w:rFonts w:ascii="Times New Roman" w:hAnsi="Times New Roman" w:cs="Times New Roman"/>
          <w:sz w:val="24"/>
          <w:szCs w:val="24"/>
        </w:rPr>
        <w:t>05</w:t>
      </w:r>
      <w:r w:rsidRPr="004D3276" w:rsidR="00CE3CE4">
        <w:rPr>
          <w:rFonts w:ascii="Times New Roman" w:hAnsi="Times New Roman" w:cs="Times New Roman"/>
          <w:sz w:val="24"/>
          <w:szCs w:val="24"/>
        </w:rPr>
        <w:noBreakHyphen/>
      </w:r>
      <w:r w:rsidRPr="004D3276">
        <w:rPr>
          <w:rFonts w:ascii="Times New Roman" w:hAnsi="Times New Roman" w:cs="Times New Roman"/>
          <w:sz w:val="24"/>
          <w:szCs w:val="24"/>
        </w:rPr>
        <w:t>031, 21</w:t>
      </w:r>
      <w:r w:rsidRPr="004D3276" w:rsidR="00CE3CE4">
        <w:rPr>
          <w:rFonts w:ascii="Times New Roman" w:hAnsi="Times New Roman" w:cs="Times New Roman"/>
          <w:sz w:val="24"/>
          <w:szCs w:val="24"/>
        </w:rPr>
        <w:noBreakHyphen/>
      </w:r>
      <w:r w:rsidRPr="004D3276">
        <w:rPr>
          <w:rFonts w:ascii="Times New Roman" w:hAnsi="Times New Roman" w:cs="Times New Roman"/>
          <w:sz w:val="24"/>
          <w:szCs w:val="24"/>
        </w:rPr>
        <w:t>09</w:t>
      </w:r>
      <w:r w:rsidRPr="004D3276" w:rsidR="00CE3CE4">
        <w:rPr>
          <w:rFonts w:ascii="Times New Roman" w:hAnsi="Times New Roman" w:cs="Times New Roman"/>
          <w:sz w:val="24"/>
          <w:szCs w:val="24"/>
        </w:rPr>
        <w:noBreakHyphen/>
      </w:r>
      <w:r w:rsidRPr="004D3276">
        <w:rPr>
          <w:rFonts w:ascii="Times New Roman" w:hAnsi="Times New Roman" w:cs="Times New Roman"/>
          <w:sz w:val="24"/>
          <w:szCs w:val="24"/>
        </w:rPr>
        <w:t>002, 21</w:t>
      </w:r>
      <w:r w:rsidRPr="004D3276" w:rsidR="00CE3CE4">
        <w:rPr>
          <w:rFonts w:ascii="Times New Roman" w:hAnsi="Times New Roman" w:cs="Times New Roman"/>
          <w:sz w:val="24"/>
          <w:szCs w:val="24"/>
        </w:rPr>
        <w:noBreakHyphen/>
      </w:r>
      <w:r w:rsidRPr="004D3276">
        <w:rPr>
          <w:rFonts w:ascii="Times New Roman" w:hAnsi="Times New Roman" w:cs="Times New Roman"/>
          <w:sz w:val="24"/>
          <w:szCs w:val="24"/>
        </w:rPr>
        <w:t>09</w:t>
      </w:r>
      <w:r w:rsidRPr="004D3276" w:rsidR="00CE3CE4">
        <w:rPr>
          <w:rFonts w:ascii="Times New Roman" w:hAnsi="Times New Roman" w:cs="Times New Roman"/>
          <w:sz w:val="24"/>
          <w:szCs w:val="24"/>
        </w:rPr>
        <w:noBreakHyphen/>
      </w:r>
      <w:r w:rsidRPr="004D3276">
        <w:rPr>
          <w:rFonts w:ascii="Times New Roman" w:hAnsi="Times New Roman" w:cs="Times New Roman"/>
          <w:sz w:val="24"/>
          <w:szCs w:val="24"/>
        </w:rPr>
        <w:t>037, AND 22</w:t>
      </w:r>
      <w:r w:rsidRPr="004D3276" w:rsidR="00CE3CE4">
        <w:rPr>
          <w:rFonts w:ascii="Times New Roman" w:hAnsi="Times New Roman" w:cs="Times New Roman"/>
          <w:sz w:val="24"/>
          <w:szCs w:val="24"/>
        </w:rPr>
        <w:noBreakHyphen/>
      </w:r>
      <w:r w:rsidRPr="004D3276">
        <w:rPr>
          <w:rFonts w:ascii="Times New Roman" w:hAnsi="Times New Roman" w:cs="Times New Roman"/>
          <w:sz w:val="24"/>
          <w:szCs w:val="24"/>
        </w:rPr>
        <w:t>11</w:t>
      </w:r>
      <w:r w:rsidRPr="004D3276" w:rsidR="00CE3CE4">
        <w:rPr>
          <w:rFonts w:ascii="Times New Roman" w:hAnsi="Times New Roman" w:cs="Times New Roman"/>
          <w:sz w:val="24"/>
          <w:szCs w:val="24"/>
        </w:rPr>
        <w:noBreakHyphen/>
      </w:r>
      <w:r w:rsidRPr="004D3276">
        <w:rPr>
          <w:rFonts w:ascii="Times New Roman" w:hAnsi="Times New Roman" w:cs="Times New Roman"/>
          <w:sz w:val="24"/>
          <w:szCs w:val="24"/>
        </w:rPr>
        <w:t>031</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315"/>
        <w:gridCol w:w="5045"/>
      </w:tblGrid>
      <w:tr w:rsidRPr="007F620E" w:rsidR="00A92D0B" w:rsidTr="001047AE" w14:paraId="0FE98F62" w14:textId="77777777">
        <w:tc>
          <w:tcPr>
            <w:tcW w:w="4315" w:type="dxa"/>
            <w:shd w:val="clear" w:color="auto" w:fill="auto"/>
          </w:tcPr>
          <w:p w:rsidRPr="00691528" w:rsidR="00A92D0B" w:rsidP="00C47A2B" w:rsidRDefault="005A63D4" w14:paraId="11570D4A" w14:textId="34D6E4AC">
            <w:pPr>
              <w:tabs>
                <w:tab w:val="left" w:pos="1620"/>
                <w:tab w:val="right" w:pos="4500"/>
              </w:tabs>
              <w:rPr>
                <w:color w:val="000000"/>
              </w:rPr>
            </w:pPr>
            <w:r w:rsidRPr="007F620E">
              <w:rPr>
                <w:b/>
                <w:color w:val="000000"/>
              </w:rPr>
              <w:t>Intervenor</w:t>
            </w:r>
            <w:r w:rsidRPr="007F620E" w:rsidR="00F63C29">
              <w:rPr>
                <w:b/>
                <w:color w:val="000000"/>
              </w:rPr>
              <w:t>:</w:t>
            </w:r>
            <w:r w:rsidR="00691528">
              <w:rPr>
                <w:b/>
                <w:color w:val="000000"/>
              </w:rPr>
              <w:t xml:space="preserve"> </w:t>
            </w:r>
            <w:r w:rsidRPr="00BE5BF8" w:rsidR="00F77FED">
              <w:rPr>
                <w:color w:val="000000"/>
              </w:rPr>
              <w:t>The Utility Reform Network (TURN)</w:t>
            </w:r>
          </w:p>
        </w:tc>
        <w:tc>
          <w:tcPr>
            <w:tcW w:w="5045" w:type="dxa"/>
            <w:shd w:val="clear" w:color="auto" w:fill="auto"/>
          </w:tcPr>
          <w:p w:rsidRPr="007F620E" w:rsidR="00A92D0B" w:rsidP="00C47A2B" w:rsidRDefault="00A92D0B" w14:paraId="53A584EE" w14:textId="52D1DA0C">
            <w:pPr>
              <w:tabs>
                <w:tab w:val="left" w:pos="1872"/>
                <w:tab w:val="right" w:pos="3672"/>
              </w:tabs>
              <w:rPr>
                <w:b/>
                <w:color w:val="000000"/>
              </w:rPr>
            </w:pPr>
            <w:r w:rsidRPr="007F620E">
              <w:rPr>
                <w:b/>
                <w:color w:val="000000"/>
              </w:rPr>
              <w:t>For contribution to D</w:t>
            </w:r>
            <w:r w:rsidRPr="007F620E" w:rsidR="00DE3A5D">
              <w:rPr>
                <w:b/>
                <w:color w:val="000000"/>
              </w:rPr>
              <w:t xml:space="preserve">ecision (D.) </w:t>
            </w:r>
            <w:r w:rsidRPr="00924B4D" w:rsidR="00657AF9">
              <w:rPr>
                <w:bCs/>
                <w:color w:val="000000"/>
              </w:rPr>
              <w:t>20-</w:t>
            </w:r>
            <w:r w:rsidRPr="00924B4D" w:rsidR="004D4E2C">
              <w:rPr>
                <w:bCs/>
                <w:color w:val="000000"/>
              </w:rPr>
              <w:t>11-013</w:t>
            </w:r>
            <w:r w:rsidRPr="00924B4D" w:rsidR="00B4588A">
              <w:rPr>
                <w:bCs/>
                <w:color w:val="000000"/>
              </w:rPr>
              <w:t>, D.21</w:t>
            </w:r>
            <w:r w:rsidR="001811F3">
              <w:rPr>
                <w:bCs/>
                <w:color w:val="000000"/>
              </w:rPr>
              <w:noBreakHyphen/>
            </w:r>
            <w:r w:rsidRPr="00924B4D" w:rsidR="00B4588A">
              <w:rPr>
                <w:bCs/>
                <w:color w:val="000000"/>
              </w:rPr>
              <w:t xml:space="preserve">01-004, </w:t>
            </w:r>
            <w:r w:rsidRPr="00924B4D" w:rsidR="000A57A3">
              <w:rPr>
                <w:bCs/>
                <w:color w:val="000000"/>
              </w:rPr>
              <w:t>D.21-05-031</w:t>
            </w:r>
            <w:r w:rsidRPr="00924B4D" w:rsidR="008E06C4">
              <w:rPr>
                <w:bCs/>
                <w:color w:val="000000"/>
              </w:rPr>
              <w:t xml:space="preserve">, D.21-09-002, </w:t>
            </w:r>
            <w:r w:rsidRPr="00924B4D" w:rsidR="00270F3D">
              <w:rPr>
                <w:bCs/>
                <w:color w:val="000000"/>
              </w:rPr>
              <w:t>D.21</w:t>
            </w:r>
            <w:r w:rsidR="001811F3">
              <w:rPr>
                <w:bCs/>
                <w:color w:val="000000"/>
              </w:rPr>
              <w:noBreakHyphen/>
            </w:r>
            <w:r w:rsidRPr="00924B4D" w:rsidR="00270F3D">
              <w:rPr>
                <w:bCs/>
                <w:color w:val="000000"/>
              </w:rPr>
              <w:t>09</w:t>
            </w:r>
            <w:r w:rsidR="001811F3">
              <w:rPr>
                <w:bCs/>
                <w:color w:val="000000"/>
              </w:rPr>
              <w:noBreakHyphen/>
            </w:r>
            <w:r w:rsidRPr="00924B4D" w:rsidR="00270F3D">
              <w:rPr>
                <w:bCs/>
                <w:color w:val="000000"/>
              </w:rPr>
              <w:t>037</w:t>
            </w:r>
            <w:r w:rsidRPr="00924B4D" w:rsidR="00AA3EA5">
              <w:rPr>
                <w:bCs/>
                <w:color w:val="000000"/>
              </w:rPr>
              <w:t xml:space="preserve">, </w:t>
            </w:r>
            <w:r w:rsidR="005D689C">
              <w:rPr>
                <w:bCs/>
                <w:color w:val="000000"/>
              </w:rPr>
              <w:t xml:space="preserve">and </w:t>
            </w:r>
            <w:r w:rsidRPr="00924B4D" w:rsidR="00AA3EA5">
              <w:rPr>
                <w:bCs/>
                <w:color w:val="000000"/>
              </w:rPr>
              <w:t>D.22-11-031</w:t>
            </w:r>
          </w:p>
        </w:tc>
      </w:tr>
      <w:tr w:rsidRPr="007F620E" w:rsidR="00A92D0B" w:rsidTr="001047AE" w14:paraId="47003B8E" w14:textId="77777777">
        <w:tc>
          <w:tcPr>
            <w:tcW w:w="4315" w:type="dxa"/>
            <w:shd w:val="clear" w:color="auto" w:fill="auto"/>
          </w:tcPr>
          <w:p w:rsidRPr="007F620E" w:rsidR="00A92D0B" w:rsidP="00C47A2B" w:rsidRDefault="00A92D0B" w14:paraId="0E2E4BD1" w14:textId="43C476F1">
            <w:pPr>
              <w:tabs>
                <w:tab w:val="left" w:pos="1620"/>
                <w:tab w:val="right" w:pos="4500"/>
              </w:tabs>
              <w:rPr>
                <w:b/>
                <w:color w:val="000000"/>
                <w:u w:val="single"/>
              </w:rPr>
            </w:pPr>
            <w:r w:rsidRPr="007F620E">
              <w:rPr>
                <w:b/>
                <w:color w:val="000000"/>
              </w:rPr>
              <w:t>Claimed:</w:t>
            </w:r>
            <w:r w:rsidR="001047AE">
              <w:rPr>
                <w:b/>
                <w:color w:val="000000"/>
              </w:rPr>
              <w:t>  </w:t>
            </w:r>
            <w:r w:rsidRPr="003D0599" w:rsidR="003D0599">
              <w:rPr>
                <w:bCs/>
                <w:color w:val="000000"/>
              </w:rPr>
              <w:t>$</w:t>
            </w:r>
            <w:r w:rsidRPr="003D0599" w:rsidR="003D0599">
              <w:rPr>
                <w:bCs/>
                <w:iCs/>
                <w:color w:val="000000"/>
              </w:rPr>
              <w:t>215,075.63</w:t>
            </w:r>
          </w:p>
        </w:tc>
        <w:tc>
          <w:tcPr>
            <w:tcW w:w="5045" w:type="dxa"/>
            <w:tcBorders>
              <w:bottom w:val="single" w:color="auto" w:sz="4" w:space="0"/>
            </w:tcBorders>
            <w:shd w:val="clear" w:color="auto" w:fill="auto"/>
          </w:tcPr>
          <w:p w:rsidRPr="007F620E" w:rsidR="00A92D0B" w:rsidP="00C47A2B" w:rsidRDefault="00A92D0B" w14:paraId="211F40A8" w14:textId="250BD901">
            <w:pPr>
              <w:tabs>
                <w:tab w:val="left" w:pos="1872"/>
                <w:tab w:val="right" w:pos="3672"/>
              </w:tabs>
              <w:rPr>
                <w:b/>
                <w:color w:val="000000"/>
                <w:u w:val="single"/>
              </w:rPr>
            </w:pPr>
            <w:r w:rsidRPr="007F620E">
              <w:rPr>
                <w:b/>
                <w:color w:val="000000"/>
              </w:rPr>
              <w:t>Awarded:</w:t>
            </w:r>
            <w:r w:rsidR="001047AE">
              <w:rPr>
                <w:b/>
                <w:color w:val="000000"/>
              </w:rPr>
              <w:t>  </w:t>
            </w:r>
            <w:r w:rsidRPr="009765D4" w:rsidR="009765D4">
              <w:rPr>
                <w:bCs/>
                <w:color w:val="000000"/>
              </w:rPr>
              <w:t>$212,520.00</w:t>
            </w:r>
          </w:p>
        </w:tc>
      </w:tr>
      <w:tr w:rsidRPr="007F620E" w:rsidR="00A92D0B" w:rsidTr="001047AE" w14:paraId="5C56877D" w14:textId="77777777">
        <w:tc>
          <w:tcPr>
            <w:tcW w:w="4315" w:type="dxa"/>
            <w:shd w:val="clear" w:color="auto" w:fill="auto"/>
          </w:tcPr>
          <w:p w:rsidRPr="00691528" w:rsidR="00A92D0B" w:rsidP="00C47A2B" w:rsidRDefault="00A92D0B" w14:paraId="6EF99E36" w14:textId="224CE91B">
            <w:pPr>
              <w:tabs>
                <w:tab w:val="left" w:pos="3060"/>
                <w:tab w:val="right" w:pos="4500"/>
              </w:tabs>
              <w:rPr>
                <w:color w:val="000000"/>
                <w:u w:val="single"/>
              </w:rPr>
            </w:pPr>
            <w:r w:rsidRPr="007F620E">
              <w:rPr>
                <w:b/>
                <w:color w:val="000000"/>
              </w:rPr>
              <w:t xml:space="preserve">Assigned Commissioner: </w:t>
            </w:r>
            <w:r w:rsidRPr="003218B9" w:rsidR="003218B9">
              <w:rPr>
                <w:bCs/>
                <w:color w:val="000000"/>
              </w:rPr>
              <w:t>Alice Reynolds</w:t>
            </w:r>
          </w:p>
        </w:tc>
        <w:tc>
          <w:tcPr>
            <w:tcW w:w="5045" w:type="dxa"/>
            <w:shd w:val="clear" w:color="auto" w:fill="auto"/>
          </w:tcPr>
          <w:p w:rsidRPr="00691528" w:rsidR="00A92D0B" w:rsidP="00C47A2B" w:rsidRDefault="00A92D0B" w14:paraId="79375F78" w14:textId="2483435A">
            <w:pPr>
              <w:tabs>
                <w:tab w:val="left" w:pos="1872"/>
                <w:tab w:val="right" w:pos="3672"/>
              </w:tabs>
              <w:rPr>
                <w:color w:val="000000"/>
                <w:u w:val="single"/>
              </w:rPr>
            </w:pPr>
            <w:r w:rsidRPr="007F620E">
              <w:rPr>
                <w:b/>
                <w:color w:val="000000"/>
              </w:rPr>
              <w:t>Assigned ALJ:</w:t>
            </w:r>
            <w:r w:rsidRPr="007F620E" w:rsidR="00F63C29">
              <w:rPr>
                <w:b/>
                <w:color w:val="000000"/>
              </w:rPr>
              <w:t xml:space="preserve"> </w:t>
            </w:r>
            <w:r w:rsidR="00895376">
              <w:t>Julie A. Fitch and Valerie U. Kao</w:t>
            </w:r>
          </w:p>
        </w:tc>
      </w:tr>
    </w:tbl>
    <w:p w:rsidRPr="004D3276" w:rsidR="00691528" w:rsidP="004D3276" w:rsidRDefault="00A92D0B" w14:paraId="3CEED871" w14:textId="398D596A">
      <w:pPr>
        <w:pStyle w:val="Dummy"/>
        <w:keepLines w:val="0"/>
        <w:spacing w:before="480" w:after="240"/>
        <w:jc w:val="center"/>
        <w:rPr>
          <w:rFonts w:ascii="Times New Roman" w:hAnsi="Times New Roman" w:cs="Times New Roman"/>
          <w:color w:val="000000"/>
        </w:rPr>
      </w:pPr>
      <w:r w:rsidRPr="004D3276">
        <w:rPr>
          <w:rFonts w:ascii="Times New Roman" w:hAnsi="Times New Roman" w:cs="Times New Roman"/>
          <w:color w:val="000000"/>
        </w:rPr>
        <w:t>PART I</w:t>
      </w:r>
      <w:r w:rsidRPr="004D3276" w:rsidR="006574DF">
        <w:rPr>
          <w:rFonts w:ascii="Times New Roman" w:hAnsi="Times New Roman" w:cs="Times New Roman"/>
          <w:color w:val="000000"/>
        </w:rPr>
        <w:t>: PROCEDURAL</w:t>
      </w:r>
      <w:r w:rsidRPr="004D3276">
        <w:rPr>
          <w:rFonts w:ascii="Times New Roman" w:hAnsi="Times New Roman" w:cs="Times New Roman"/>
          <w:color w:val="000000"/>
        </w:rPr>
        <w:t xml:space="preserve"> ISSUES</w:t>
      </w: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3595"/>
        <w:gridCol w:w="6233"/>
      </w:tblGrid>
      <w:tr w:rsidRPr="007F620E" w:rsidR="00A92D0B" w:rsidTr="004830C4" w14:paraId="3C5C25ED" w14:textId="77777777">
        <w:tc>
          <w:tcPr>
            <w:tcW w:w="3595" w:type="dxa"/>
            <w:shd w:val="clear" w:color="auto" w:fill="auto"/>
          </w:tcPr>
          <w:p w:rsidRPr="007F620E" w:rsidR="00A92D0B" w:rsidP="00915118" w:rsidRDefault="00A92D0B" w14:paraId="1576A0A6" w14:textId="77777777">
            <w:pPr>
              <w:rPr>
                <w:b/>
                <w:color w:val="000000"/>
              </w:rPr>
            </w:pPr>
            <w:r w:rsidRPr="007F620E">
              <w:rPr>
                <w:b/>
                <w:color w:val="000000"/>
              </w:rPr>
              <w:t xml:space="preserve">A.  Brief </w:t>
            </w:r>
            <w:r w:rsidRPr="007F620E" w:rsidR="00A319DE">
              <w:rPr>
                <w:b/>
                <w:color w:val="000000"/>
              </w:rPr>
              <w:t>d</w:t>
            </w:r>
            <w:r w:rsidRPr="007F620E">
              <w:rPr>
                <w:b/>
                <w:color w:val="000000"/>
              </w:rPr>
              <w:t xml:space="preserve">escription of Decision: </w:t>
            </w:r>
          </w:p>
        </w:tc>
        <w:tc>
          <w:tcPr>
            <w:tcW w:w="6233" w:type="dxa"/>
            <w:shd w:val="clear" w:color="auto" w:fill="auto"/>
          </w:tcPr>
          <w:p w:rsidRPr="00385ED3" w:rsidR="004311AD" w:rsidRDefault="004311AD" w14:paraId="59B5F610" w14:textId="7164A22A">
            <w:pPr>
              <w:rPr>
                <w:bCs/>
                <w:color w:val="000000"/>
              </w:rPr>
            </w:pPr>
            <w:r>
              <w:rPr>
                <w:bCs/>
                <w:color w:val="000000"/>
              </w:rPr>
              <w:t xml:space="preserve">In </w:t>
            </w:r>
            <w:r w:rsidRPr="004311AD">
              <w:rPr>
                <w:b/>
                <w:color w:val="000000"/>
              </w:rPr>
              <w:t>D.20-11-013</w:t>
            </w:r>
            <w:r>
              <w:rPr>
                <w:bCs/>
                <w:color w:val="000000"/>
              </w:rPr>
              <w:t>,</w:t>
            </w:r>
            <w:r w:rsidRPr="00924B4D">
              <w:rPr>
                <w:bCs/>
                <w:color w:val="000000"/>
              </w:rPr>
              <w:t xml:space="preserve"> </w:t>
            </w:r>
            <w:r w:rsidR="00983460">
              <w:rPr>
                <w:bCs/>
                <w:i/>
                <w:iCs/>
                <w:color w:val="000000"/>
              </w:rPr>
              <w:t>Decision Imposing Moratorium on Efficiency Savings and Performance Incentive Program</w:t>
            </w:r>
            <w:r w:rsidR="00385ED3">
              <w:rPr>
                <w:bCs/>
                <w:color w:val="000000"/>
              </w:rPr>
              <w:t xml:space="preserve">, the Commission imposed a moratorium </w:t>
            </w:r>
            <w:r w:rsidR="009E3BF0">
              <w:rPr>
                <w:bCs/>
                <w:color w:val="000000"/>
              </w:rPr>
              <w:t>on award payments under the Efficiency Savings and Performance Incentive Mechanism (ESPI) beginning with program year 2021</w:t>
            </w:r>
            <w:r w:rsidR="00B111AD">
              <w:rPr>
                <w:bCs/>
                <w:color w:val="000000"/>
              </w:rPr>
              <w:t xml:space="preserve">.  </w:t>
            </w:r>
          </w:p>
          <w:p w:rsidR="004311AD" w:rsidRDefault="004311AD" w14:paraId="048E5572" w14:textId="77777777">
            <w:pPr>
              <w:rPr>
                <w:bCs/>
                <w:color w:val="000000"/>
              </w:rPr>
            </w:pPr>
          </w:p>
          <w:p w:rsidRPr="003B0AA6" w:rsidR="004311AD" w:rsidRDefault="004311AD" w14:paraId="283E8AD5" w14:textId="27A3F83D">
            <w:pPr>
              <w:rPr>
                <w:bCs/>
                <w:color w:val="000000"/>
              </w:rPr>
            </w:pPr>
            <w:r>
              <w:rPr>
                <w:bCs/>
                <w:color w:val="000000"/>
              </w:rPr>
              <w:t xml:space="preserve">In </w:t>
            </w:r>
            <w:r w:rsidRPr="00663CA7">
              <w:rPr>
                <w:b/>
                <w:color w:val="000000"/>
              </w:rPr>
              <w:t>D.21-01-004</w:t>
            </w:r>
            <w:r w:rsidRPr="00924B4D">
              <w:rPr>
                <w:bCs/>
                <w:color w:val="000000"/>
              </w:rPr>
              <w:t xml:space="preserve">, </w:t>
            </w:r>
            <w:r w:rsidR="003B0AA6">
              <w:rPr>
                <w:bCs/>
                <w:i/>
                <w:iCs/>
                <w:color w:val="000000"/>
              </w:rPr>
              <w:t>Decision Providing Directions for Implementation of School Energy Efficiency Stimulus Program</w:t>
            </w:r>
            <w:r w:rsidR="003B0AA6">
              <w:rPr>
                <w:bCs/>
                <w:color w:val="000000"/>
              </w:rPr>
              <w:t xml:space="preserve">, the Commission </w:t>
            </w:r>
            <w:r w:rsidR="00FC0CA2">
              <w:rPr>
                <w:bCs/>
                <w:color w:val="000000"/>
              </w:rPr>
              <w:t>provided authorization and directions to the large investor owned utilities for accounting, seeking recovery, and reporting of funds for the School Energy Efficiency Stimulus Program enacted by the California Legislature</w:t>
            </w:r>
            <w:r w:rsidR="00BF4DD2">
              <w:rPr>
                <w:bCs/>
                <w:color w:val="000000"/>
              </w:rPr>
              <w:t xml:space="preserve"> in Assembly Bill 841.</w:t>
            </w:r>
          </w:p>
          <w:p w:rsidR="004311AD" w:rsidRDefault="004311AD" w14:paraId="58629A3C" w14:textId="77777777">
            <w:pPr>
              <w:rPr>
                <w:bCs/>
                <w:color w:val="000000"/>
              </w:rPr>
            </w:pPr>
          </w:p>
          <w:p w:rsidRPr="005B4A8A" w:rsidR="004311AD" w:rsidRDefault="004311AD" w14:paraId="16F4ECD9" w14:textId="738CB454">
            <w:pPr>
              <w:rPr>
                <w:bCs/>
                <w:color w:val="000000"/>
              </w:rPr>
            </w:pPr>
            <w:r>
              <w:rPr>
                <w:bCs/>
                <w:color w:val="000000"/>
              </w:rPr>
              <w:t xml:space="preserve">In </w:t>
            </w:r>
            <w:r w:rsidRPr="00663CA7">
              <w:rPr>
                <w:b/>
                <w:color w:val="000000"/>
              </w:rPr>
              <w:t>D.21-05-031</w:t>
            </w:r>
            <w:r w:rsidRPr="00924B4D">
              <w:rPr>
                <w:bCs/>
                <w:color w:val="000000"/>
              </w:rPr>
              <w:t xml:space="preserve">, </w:t>
            </w:r>
            <w:r w:rsidR="00A15CED">
              <w:rPr>
                <w:bCs/>
                <w:i/>
                <w:iCs/>
                <w:color w:val="000000"/>
              </w:rPr>
              <w:t xml:space="preserve">Assessment of Energy Efficiency Potential and Goals and Modification of Portfolio Approval and </w:t>
            </w:r>
            <w:r w:rsidR="00A15CED">
              <w:rPr>
                <w:bCs/>
                <w:i/>
                <w:iCs/>
                <w:color w:val="000000"/>
              </w:rPr>
              <w:lastRenderedPageBreak/>
              <w:t>Oversight Process</w:t>
            </w:r>
            <w:r w:rsidR="005B4A8A">
              <w:rPr>
                <w:bCs/>
                <w:color w:val="000000"/>
              </w:rPr>
              <w:t xml:space="preserve">, </w:t>
            </w:r>
            <w:r w:rsidR="004F42C1">
              <w:rPr>
                <w:bCs/>
                <w:color w:val="000000"/>
              </w:rPr>
              <w:t xml:space="preserve">the Commission addressed policy issues related </w:t>
            </w:r>
            <w:r w:rsidR="00595509">
              <w:rPr>
                <w:bCs/>
                <w:color w:val="000000"/>
              </w:rPr>
              <w:t xml:space="preserve">to the establishment of energy </w:t>
            </w:r>
            <w:r w:rsidR="008C45B8">
              <w:rPr>
                <w:bCs/>
                <w:color w:val="000000"/>
              </w:rPr>
              <w:t>e</w:t>
            </w:r>
            <w:r w:rsidR="00595509">
              <w:rPr>
                <w:bCs/>
                <w:color w:val="000000"/>
              </w:rPr>
              <w:t xml:space="preserve">fficiency potential and goals for program </w:t>
            </w:r>
            <w:r w:rsidR="008C45B8">
              <w:rPr>
                <w:bCs/>
                <w:color w:val="000000"/>
              </w:rPr>
              <w:t>administrators</w:t>
            </w:r>
            <w:r w:rsidR="00595509">
              <w:rPr>
                <w:bCs/>
                <w:color w:val="000000"/>
              </w:rPr>
              <w:t xml:space="preserve"> to achieve in the design and implementation of e</w:t>
            </w:r>
            <w:r w:rsidR="008C45B8">
              <w:rPr>
                <w:bCs/>
                <w:color w:val="000000"/>
              </w:rPr>
              <w:t xml:space="preserve">nergy </w:t>
            </w:r>
            <w:r w:rsidR="00541BEE">
              <w:rPr>
                <w:bCs/>
                <w:color w:val="000000"/>
              </w:rPr>
              <w:t xml:space="preserve">efficiency programs, including the adoption of a new Total System Benefit metric, a new </w:t>
            </w:r>
            <w:r w:rsidR="00B904E0">
              <w:rPr>
                <w:bCs/>
                <w:color w:val="000000"/>
              </w:rPr>
              <w:t xml:space="preserve">portfolio segmentation approach, </w:t>
            </w:r>
            <w:r w:rsidR="00294B5C">
              <w:rPr>
                <w:bCs/>
                <w:color w:val="000000"/>
              </w:rPr>
              <w:t xml:space="preserve">and </w:t>
            </w:r>
            <w:r w:rsidR="00B904E0">
              <w:rPr>
                <w:bCs/>
                <w:color w:val="000000"/>
              </w:rPr>
              <w:t>changes to the rolling portfolio framework and processes</w:t>
            </w:r>
            <w:r w:rsidR="00294B5C">
              <w:rPr>
                <w:bCs/>
                <w:color w:val="000000"/>
              </w:rPr>
              <w:t>.</w:t>
            </w:r>
            <w:r w:rsidR="004F42C1">
              <w:rPr>
                <w:bCs/>
                <w:color w:val="000000"/>
              </w:rPr>
              <w:t xml:space="preserve"> </w:t>
            </w:r>
            <w:r w:rsidR="00294B5C">
              <w:rPr>
                <w:bCs/>
                <w:color w:val="000000"/>
              </w:rPr>
              <w:t xml:space="preserve"> The Commission also </w:t>
            </w:r>
            <w:r w:rsidR="009B1237">
              <w:rPr>
                <w:bCs/>
                <w:color w:val="000000"/>
              </w:rPr>
              <w:t xml:space="preserve">addressed </w:t>
            </w:r>
            <w:r w:rsidR="00243E5C">
              <w:rPr>
                <w:bCs/>
                <w:color w:val="000000"/>
              </w:rPr>
              <w:t>the interaction between energy efficiency budgets and the requirements of Assembly Bill 841</w:t>
            </w:r>
            <w:r w:rsidR="003D21A5">
              <w:rPr>
                <w:bCs/>
                <w:color w:val="000000"/>
              </w:rPr>
              <w:t>.</w:t>
            </w:r>
          </w:p>
          <w:p w:rsidR="004311AD" w:rsidRDefault="004311AD" w14:paraId="1E6AA059" w14:textId="77777777">
            <w:pPr>
              <w:rPr>
                <w:bCs/>
                <w:color w:val="000000"/>
              </w:rPr>
            </w:pPr>
          </w:p>
          <w:p w:rsidRPr="00CB0C81" w:rsidR="001D3C19" w:rsidRDefault="004311AD" w14:paraId="6DC3F86A" w14:textId="2A0A1ADC">
            <w:pPr>
              <w:rPr>
                <w:bCs/>
                <w:color w:val="000000"/>
              </w:rPr>
            </w:pPr>
            <w:r>
              <w:rPr>
                <w:bCs/>
                <w:color w:val="000000"/>
              </w:rPr>
              <w:t xml:space="preserve">In </w:t>
            </w:r>
            <w:r w:rsidRPr="00663CA7">
              <w:rPr>
                <w:b/>
                <w:color w:val="000000"/>
              </w:rPr>
              <w:t>D.21-09-002</w:t>
            </w:r>
            <w:r w:rsidRPr="00924B4D">
              <w:rPr>
                <w:bCs/>
                <w:color w:val="000000"/>
              </w:rPr>
              <w:t xml:space="preserve">, </w:t>
            </w:r>
            <w:r w:rsidR="00EC6010">
              <w:rPr>
                <w:bCs/>
                <w:i/>
                <w:iCs/>
                <w:color w:val="000000"/>
              </w:rPr>
              <w:t>Adoption of Settlement Agreement on San Diego Gas &amp; Electric Company’s Upstream Lighting Program 2017-2019</w:t>
            </w:r>
            <w:r w:rsidR="00EC6010">
              <w:rPr>
                <w:bCs/>
                <w:color w:val="000000"/>
              </w:rPr>
              <w:t xml:space="preserve">, the Commission </w:t>
            </w:r>
            <w:r w:rsidR="00CB0C81">
              <w:rPr>
                <w:bCs/>
                <w:color w:val="000000"/>
              </w:rPr>
              <w:t xml:space="preserve">approved a settlement agreement between San </w:t>
            </w:r>
            <w:r w:rsidRPr="00CB0C81" w:rsidR="00CB0C81">
              <w:rPr>
                <w:bCs/>
                <w:color w:val="000000"/>
              </w:rPr>
              <w:t xml:space="preserve">Diego Gas &amp; Electric Company </w:t>
            </w:r>
            <w:r w:rsidR="00CB0C81">
              <w:rPr>
                <w:bCs/>
                <w:color w:val="000000"/>
              </w:rPr>
              <w:t xml:space="preserve">(SDG&amp;E), </w:t>
            </w:r>
            <w:r w:rsidR="000B2549">
              <w:rPr>
                <w:bCs/>
                <w:color w:val="000000"/>
              </w:rPr>
              <w:t>the Public Advocates Office, and TURN related to SDG&amp;E’s administration of the Energy Efficiency Upstream Lighting Program</w:t>
            </w:r>
            <w:r w:rsidR="00F72F83">
              <w:rPr>
                <w:bCs/>
                <w:color w:val="000000"/>
              </w:rPr>
              <w:t xml:space="preserve">.  The settlement agreement required </w:t>
            </w:r>
            <w:r w:rsidR="00A96B62">
              <w:rPr>
                <w:bCs/>
                <w:color w:val="000000"/>
              </w:rPr>
              <w:t xml:space="preserve">SDG&amp;E to refund to ratepayers $45.44 million in </w:t>
            </w:r>
            <w:r w:rsidR="001D3C19">
              <w:rPr>
                <w:bCs/>
                <w:color w:val="000000"/>
              </w:rPr>
              <w:t>Energy Efficiency Upstream Lighting Program funding and $6.162 million in shareholder incentives awarded through the Efficiency Savings and Performance Incentive (ESPI) mechanism</w:t>
            </w:r>
            <w:r w:rsidR="00F72F83">
              <w:rPr>
                <w:bCs/>
                <w:color w:val="000000"/>
              </w:rPr>
              <w:t>;</w:t>
            </w:r>
            <w:r w:rsidR="00E0728E">
              <w:rPr>
                <w:bCs/>
                <w:color w:val="000000"/>
              </w:rPr>
              <w:t xml:space="preserve"> pay a $5.5 million fine to the State’s General Fund for knowingly submitting </w:t>
            </w:r>
            <w:r w:rsidR="00F72F83">
              <w:rPr>
                <w:bCs/>
                <w:color w:val="000000"/>
              </w:rPr>
              <w:t xml:space="preserve">inaccurate information to the Commission; </w:t>
            </w:r>
            <w:r w:rsidR="0098193F">
              <w:rPr>
                <w:bCs/>
                <w:color w:val="000000"/>
              </w:rPr>
              <w:t>credit ratepayers with a portion of any proceeds recovered from manufacturers</w:t>
            </w:r>
            <w:r w:rsidR="00FE605B">
              <w:rPr>
                <w:bCs/>
                <w:color w:val="000000"/>
              </w:rPr>
              <w:t xml:space="preserve"> participating in the program; and conduct whistleblower training</w:t>
            </w:r>
            <w:r w:rsidR="003A64D9">
              <w:rPr>
                <w:bCs/>
                <w:color w:val="000000"/>
              </w:rPr>
              <w:t xml:space="preserve"> at shareholder expense</w:t>
            </w:r>
            <w:r w:rsidR="00F72F83">
              <w:rPr>
                <w:bCs/>
                <w:color w:val="000000"/>
              </w:rPr>
              <w:t xml:space="preserve">.  </w:t>
            </w:r>
          </w:p>
          <w:p w:rsidR="004311AD" w:rsidRDefault="004311AD" w14:paraId="778C64AC" w14:textId="77777777">
            <w:pPr>
              <w:rPr>
                <w:bCs/>
                <w:color w:val="000000"/>
              </w:rPr>
            </w:pPr>
          </w:p>
          <w:p w:rsidRPr="002D5BC2" w:rsidR="004311AD" w:rsidRDefault="004311AD" w14:paraId="012DD373" w14:textId="14512BCA">
            <w:pPr>
              <w:rPr>
                <w:bCs/>
                <w:color w:val="000000"/>
              </w:rPr>
            </w:pPr>
            <w:r>
              <w:rPr>
                <w:bCs/>
                <w:color w:val="000000"/>
              </w:rPr>
              <w:t xml:space="preserve">In </w:t>
            </w:r>
            <w:r w:rsidRPr="00663CA7">
              <w:rPr>
                <w:b/>
                <w:color w:val="000000"/>
              </w:rPr>
              <w:t>D.21-09-037</w:t>
            </w:r>
            <w:r w:rsidRPr="00924B4D">
              <w:rPr>
                <w:bCs/>
                <w:color w:val="000000"/>
              </w:rPr>
              <w:t xml:space="preserve">, </w:t>
            </w:r>
            <w:r w:rsidR="002D5BC2">
              <w:rPr>
                <w:bCs/>
                <w:i/>
                <w:iCs/>
                <w:color w:val="000000"/>
              </w:rPr>
              <w:t xml:space="preserve">Decision Adopting Energy Efficiency Goals for 2022-2032, </w:t>
            </w:r>
            <w:r w:rsidR="00B837E8">
              <w:rPr>
                <w:bCs/>
                <w:color w:val="000000"/>
              </w:rPr>
              <w:t xml:space="preserve">the Commission adopted energy savings goals for ratepayer funded energy efficiency program portfolios for 2022-2032 and provided updated guidance to program administrators for the upcoming 2022-2023 </w:t>
            </w:r>
            <w:r w:rsidR="00B65AF5">
              <w:rPr>
                <w:bCs/>
                <w:color w:val="000000"/>
              </w:rPr>
              <w:t xml:space="preserve">EE </w:t>
            </w:r>
            <w:r w:rsidR="00B837E8">
              <w:rPr>
                <w:bCs/>
                <w:color w:val="000000"/>
              </w:rPr>
              <w:t xml:space="preserve">budget advice letters and 2024-2027 </w:t>
            </w:r>
            <w:r w:rsidR="00B65AF5">
              <w:rPr>
                <w:bCs/>
                <w:color w:val="000000"/>
              </w:rPr>
              <w:t xml:space="preserve">EE </w:t>
            </w:r>
            <w:r w:rsidR="00B837E8">
              <w:rPr>
                <w:bCs/>
                <w:color w:val="000000"/>
              </w:rPr>
              <w:t xml:space="preserve">applications.  </w:t>
            </w:r>
          </w:p>
          <w:p w:rsidR="004311AD" w:rsidRDefault="004311AD" w14:paraId="72348F3A" w14:textId="77777777">
            <w:pPr>
              <w:rPr>
                <w:bCs/>
                <w:color w:val="000000"/>
              </w:rPr>
            </w:pPr>
          </w:p>
          <w:p w:rsidRPr="007F620E" w:rsidR="00C02649" w:rsidP="004830C4" w:rsidRDefault="004311AD" w14:paraId="67B8ECAA" w14:textId="52E72C4C">
            <w:pPr>
              <w:rPr>
                <w:color w:val="000000"/>
              </w:rPr>
            </w:pPr>
            <w:r>
              <w:rPr>
                <w:bCs/>
                <w:color w:val="000000"/>
              </w:rPr>
              <w:t xml:space="preserve">In </w:t>
            </w:r>
            <w:r w:rsidRPr="00663CA7">
              <w:rPr>
                <w:b/>
                <w:color w:val="000000"/>
              </w:rPr>
              <w:t>D.22-11-031</w:t>
            </w:r>
            <w:r>
              <w:rPr>
                <w:bCs/>
                <w:color w:val="000000"/>
              </w:rPr>
              <w:t xml:space="preserve">, </w:t>
            </w:r>
            <w:r w:rsidR="00E76854">
              <w:rPr>
                <w:bCs/>
                <w:i/>
                <w:iCs/>
                <w:color w:val="000000"/>
              </w:rPr>
              <w:t>Decision Ordering Remedies for Southern California Edison Company’s Mismanagement of the 2017-2019 Energy Efficiency Upstream Lighting Program</w:t>
            </w:r>
            <w:r w:rsidR="00E76854">
              <w:rPr>
                <w:bCs/>
                <w:color w:val="000000"/>
              </w:rPr>
              <w:t xml:space="preserve">, </w:t>
            </w:r>
            <w:r w:rsidR="006A736C">
              <w:rPr>
                <w:bCs/>
                <w:color w:val="000000"/>
              </w:rPr>
              <w:t xml:space="preserve">the Commission </w:t>
            </w:r>
            <w:r w:rsidR="0044496C">
              <w:rPr>
                <w:bCs/>
                <w:color w:val="000000"/>
              </w:rPr>
              <w:t>ordered SCE to refund to ratepayers $76.1 million in Energy Efficiency Upstream Lighting Program funding</w:t>
            </w:r>
            <w:r w:rsidR="00752ED9">
              <w:rPr>
                <w:bCs/>
                <w:color w:val="000000"/>
              </w:rPr>
              <w:t xml:space="preserve"> and </w:t>
            </w:r>
            <w:r w:rsidR="0044496C">
              <w:rPr>
                <w:bCs/>
                <w:color w:val="000000"/>
              </w:rPr>
              <w:t xml:space="preserve">$6.8 million in </w:t>
            </w:r>
            <w:r w:rsidR="00E16EFF">
              <w:rPr>
                <w:bCs/>
                <w:color w:val="000000"/>
              </w:rPr>
              <w:t>shareholder incentives award</w:t>
            </w:r>
            <w:r w:rsidR="008860DE">
              <w:rPr>
                <w:bCs/>
                <w:color w:val="000000"/>
              </w:rPr>
              <w:t>ed</w:t>
            </w:r>
            <w:r w:rsidR="00E16EFF">
              <w:rPr>
                <w:bCs/>
                <w:color w:val="000000"/>
              </w:rPr>
              <w:t xml:space="preserve"> through the Efficiency Savings and Performance Incentive (ESPI) mechanism</w:t>
            </w:r>
            <w:r w:rsidR="00752ED9">
              <w:rPr>
                <w:bCs/>
                <w:color w:val="000000"/>
              </w:rPr>
              <w:t xml:space="preserve">.  The Commission also ordered SCE to pay </w:t>
            </w:r>
            <w:r w:rsidR="00FF7F74">
              <w:rPr>
                <w:bCs/>
                <w:color w:val="000000"/>
              </w:rPr>
              <w:t xml:space="preserve">a </w:t>
            </w:r>
            <w:r w:rsidR="00752ED9">
              <w:rPr>
                <w:bCs/>
                <w:color w:val="000000"/>
              </w:rPr>
              <w:t>$19.06 million fine to the State’s General Fund for violations of Rule 1.1 of the Commission’s Rules of Practice and Procedure.</w:t>
            </w:r>
            <w:r w:rsidR="00E16EFF">
              <w:rPr>
                <w:bCs/>
                <w:color w:val="000000"/>
              </w:rPr>
              <w:t xml:space="preserve"> </w:t>
            </w:r>
          </w:p>
        </w:tc>
      </w:tr>
    </w:tbl>
    <w:p w:rsidRPr="007F620E" w:rsidR="00A92D0B" w:rsidP="00880855" w:rsidRDefault="005A63D4" w14:paraId="2FBF046C" w14:textId="77777777">
      <w:pPr>
        <w:keepNext/>
        <w:numPr>
          <w:ilvl w:val="0"/>
          <w:numId w:val="5"/>
        </w:numPr>
        <w:spacing w:before="240" w:after="240"/>
        <w:rPr>
          <w:b/>
          <w:color w:val="000000"/>
        </w:rPr>
      </w:pPr>
      <w:r w:rsidRPr="007F620E">
        <w:rPr>
          <w:b/>
          <w:color w:val="000000"/>
        </w:rPr>
        <w:lastRenderedPageBreak/>
        <w:t xml:space="preserve">Intervenor </w:t>
      </w:r>
      <w:r w:rsidRPr="007F620E" w:rsidR="00A92D0B">
        <w:rPr>
          <w:b/>
          <w:color w:val="000000"/>
        </w:rPr>
        <w:t xml:space="preserve">must satisfy intervenor compensation </w:t>
      </w:r>
      <w:r w:rsidRPr="007F620E" w:rsidR="00DE3A5D">
        <w:rPr>
          <w:b/>
          <w:color w:val="000000"/>
        </w:rPr>
        <w:t>requirements set forth in Pub. Util.</w:t>
      </w:r>
      <w:r w:rsidRPr="007F620E" w:rsidR="00A92D0B">
        <w:rPr>
          <w:b/>
          <w:color w:val="000000"/>
        </w:rPr>
        <w:t xml:space="preserve"> Code §§ 1801-1812</w:t>
      </w:r>
      <w:r w:rsidR="003B6A1B">
        <w:rPr>
          <w:rStyle w:val="FootnoteReference"/>
          <w:b/>
          <w:color w:val="000000"/>
        </w:rPr>
        <w:footnoteReference w:id="1"/>
      </w:r>
      <w:r w:rsidRPr="007F620E" w:rsidR="00A92D0B">
        <w:rPr>
          <w:b/>
          <w:color w:val="000000"/>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4817"/>
        <w:gridCol w:w="2267"/>
        <w:gridCol w:w="2276"/>
      </w:tblGrid>
      <w:tr w:rsidRPr="007F620E" w:rsidR="00A92D0B" w:rsidTr="00F028C8" w14:paraId="640CF70A" w14:textId="77777777">
        <w:trPr>
          <w:tblHeader/>
        </w:trPr>
        <w:tc>
          <w:tcPr>
            <w:tcW w:w="4817" w:type="dxa"/>
            <w:tcBorders>
              <w:bottom w:val="single" w:color="auto" w:sz="4" w:space="0"/>
            </w:tcBorders>
            <w:shd w:val="clear" w:color="auto" w:fill="auto"/>
          </w:tcPr>
          <w:p w:rsidRPr="007F620E" w:rsidR="00A92D0B" w:rsidP="00F028C8" w:rsidRDefault="00A92D0B" w14:paraId="409E4D92" w14:textId="77777777">
            <w:pPr>
              <w:tabs>
                <w:tab w:val="left" w:pos="360"/>
              </w:tabs>
              <w:jc w:val="center"/>
              <w:rPr>
                <w:color w:val="000000"/>
              </w:rPr>
            </w:pPr>
          </w:p>
        </w:tc>
        <w:tc>
          <w:tcPr>
            <w:tcW w:w="2267" w:type="dxa"/>
            <w:tcBorders>
              <w:bottom w:val="single" w:color="auto" w:sz="4" w:space="0"/>
            </w:tcBorders>
            <w:shd w:val="clear" w:color="auto" w:fill="auto"/>
          </w:tcPr>
          <w:p w:rsidRPr="007F620E" w:rsidR="00A92D0B" w:rsidP="00F028C8" w:rsidRDefault="005A63D4" w14:paraId="1412A3C6" w14:textId="77777777">
            <w:pPr>
              <w:tabs>
                <w:tab w:val="left" w:pos="360"/>
              </w:tabs>
              <w:jc w:val="center"/>
              <w:rPr>
                <w:b/>
                <w:color w:val="000000"/>
              </w:rPr>
            </w:pPr>
            <w:r w:rsidRPr="007F620E">
              <w:rPr>
                <w:b/>
                <w:color w:val="000000"/>
              </w:rPr>
              <w:t>Intervenor</w:t>
            </w:r>
          </w:p>
        </w:tc>
        <w:tc>
          <w:tcPr>
            <w:tcW w:w="2276" w:type="dxa"/>
            <w:tcBorders>
              <w:bottom w:val="single" w:color="auto" w:sz="4" w:space="0"/>
            </w:tcBorders>
            <w:shd w:val="clear" w:color="auto" w:fill="auto"/>
          </w:tcPr>
          <w:p w:rsidRPr="007F620E" w:rsidR="00A92D0B" w:rsidP="00F028C8" w:rsidRDefault="00A92D0B" w14:paraId="2A218C38" w14:textId="386C9A6A">
            <w:pPr>
              <w:tabs>
                <w:tab w:val="left" w:pos="360"/>
              </w:tabs>
              <w:jc w:val="center"/>
              <w:rPr>
                <w:b/>
                <w:color w:val="000000"/>
              </w:rPr>
            </w:pPr>
            <w:r w:rsidRPr="007F620E">
              <w:rPr>
                <w:b/>
                <w:color w:val="000000"/>
              </w:rPr>
              <w:t xml:space="preserve">CPUC </w:t>
            </w:r>
            <w:r w:rsidR="0081626F">
              <w:rPr>
                <w:b/>
                <w:color w:val="000000"/>
              </w:rPr>
              <w:t>Verification</w:t>
            </w:r>
          </w:p>
        </w:tc>
      </w:tr>
      <w:tr w:rsidRPr="007F620E" w:rsidR="00A92D0B" w:rsidTr="00F028C8" w14:paraId="7D83D00D"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F620E" w:rsidR="00A92D0B" w:rsidP="00F028C8" w:rsidRDefault="00A92D0B" w14:paraId="606E2B66" w14:textId="77777777">
            <w:pPr>
              <w:keepNext/>
              <w:tabs>
                <w:tab w:val="left" w:pos="360"/>
              </w:tabs>
              <w:jc w:val="center"/>
              <w:rPr>
                <w:b/>
              </w:rPr>
            </w:pPr>
            <w:r w:rsidRPr="007F620E">
              <w:rPr>
                <w:b/>
              </w:rPr>
              <w:t>Timely filing of notice of intent to claim compensation (NOI) (§ 1804(a)):</w:t>
            </w:r>
          </w:p>
        </w:tc>
      </w:tr>
      <w:tr w:rsidRPr="007F620E" w:rsidR="00882014" w:rsidTr="006F21EC" w14:paraId="160E284A" w14:textId="77777777">
        <w:tc>
          <w:tcPr>
            <w:tcW w:w="4817" w:type="dxa"/>
            <w:tcBorders>
              <w:top w:val="single" w:color="auto" w:sz="4" w:space="0"/>
            </w:tcBorders>
            <w:shd w:val="clear" w:color="auto" w:fill="auto"/>
          </w:tcPr>
          <w:p w:rsidRPr="007F620E" w:rsidR="00882014" w:rsidP="00882014" w:rsidRDefault="00882014" w14:paraId="44D1876C" w14:textId="478A95F3">
            <w:pPr>
              <w:keepNext/>
              <w:tabs>
                <w:tab w:val="left" w:pos="360"/>
              </w:tabs>
              <w:ind w:left="360" w:hanging="360"/>
              <w:rPr>
                <w:color w:val="000000"/>
              </w:rPr>
            </w:pPr>
            <w:r w:rsidRPr="007F620E">
              <w:rPr>
                <w:color w:val="000000"/>
              </w:rPr>
              <w:t>1.</w:t>
            </w:r>
            <w:r>
              <w:rPr>
                <w:color w:val="000000"/>
              </w:rPr>
              <w:tab/>
            </w:r>
            <w:r w:rsidRPr="007F620E">
              <w:rPr>
                <w:color w:val="000000"/>
              </w:rPr>
              <w:t>Date of Prehearing Conference:</w:t>
            </w:r>
          </w:p>
        </w:tc>
        <w:tc>
          <w:tcPr>
            <w:tcW w:w="2267" w:type="dxa"/>
            <w:tcBorders>
              <w:top w:val="single" w:color="auto" w:sz="4" w:space="0"/>
            </w:tcBorders>
            <w:shd w:val="clear" w:color="auto" w:fill="auto"/>
          </w:tcPr>
          <w:p w:rsidRPr="007F620E" w:rsidR="00882014" w:rsidP="00882014" w:rsidRDefault="00882014" w14:paraId="35450816" w14:textId="6D0D7DAB">
            <w:pPr>
              <w:keepNext/>
              <w:keepLines/>
              <w:tabs>
                <w:tab w:val="left" w:pos="360"/>
              </w:tabs>
              <w:ind w:left="360" w:hanging="360"/>
              <w:jc w:val="center"/>
              <w:rPr>
                <w:color w:val="000000"/>
              </w:rPr>
            </w:pPr>
            <w:r>
              <w:rPr>
                <w:color w:val="000000"/>
              </w:rPr>
              <w:t>December 11, 2013</w:t>
            </w:r>
          </w:p>
        </w:tc>
        <w:tc>
          <w:tcPr>
            <w:tcW w:w="2276" w:type="dxa"/>
            <w:tcBorders>
              <w:top w:val="single" w:color="auto" w:sz="4" w:space="0"/>
            </w:tcBorders>
            <w:shd w:val="clear" w:color="auto" w:fill="auto"/>
          </w:tcPr>
          <w:p w:rsidRPr="007F620E" w:rsidR="00882014" w:rsidP="006F21EC" w:rsidRDefault="006F21EC" w14:paraId="34540344" w14:textId="0446E589">
            <w:pPr>
              <w:keepNext/>
              <w:tabs>
                <w:tab w:val="left" w:pos="360"/>
              </w:tabs>
              <w:jc w:val="center"/>
              <w:rPr>
                <w:color w:val="000000"/>
              </w:rPr>
            </w:pPr>
            <w:r>
              <w:rPr>
                <w:color w:val="000000"/>
              </w:rPr>
              <w:t>Verified</w:t>
            </w:r>
          </w:p>
        </w:tc>
      </w:tr>
      <w:tr w:rsidRPr="007F620E" w:rsidR="00882014" w:rsidTr="006F21EC" w14:paraId="24C85564" w14:textId="77777777">
        <w:tc>
          <w:tcPr>
            <w:tcW w:w="4817" w:type="dxa"/>
            <w:shd w:val="clear" w:color="auto" w:fill="auto"/>
          </w:tcPr>
          <w:p w:rsidRPr="007F620E" w:rsidR="00882014" w:rsidP="00882014" w:rsidRDefault="00882014" w14:paraId="382C5788" w14:textId="49F0E39E">
            <w:pPr>
              <w:tabs>
                <w:tab w:val="left" w:pos="360"/>
              </w:tabs>
              <w:ind w:left="360" w:hanging="360"/>
              <w:rPr>
                <w:color w:val="000000"/>
              </w:rPr>
            </w:pPr>
            <w:r w:rsidRPr="007F620E">
              <w:rPr>
                <w:color w:val="000000"/>
              </w:rPr>
              <w:t>2.</w:t>
            </w:r>
            <w:r>
              <w:rPr>
                <w:color w:val="000000"/>
              </w:rPr>
              <w:tab/>
            </w:r>
            <w:r w:rsidRPr="007F620E">
              <w:rPr>
                <w:color w:val="000000"/>
              </w:rPr>
              <w:t>Other specified date for NOI:</w:t>
            </w:r>
          </w:p>
        </w:tc>
        <w:tc>
          <w:tcPr>
            <w:tcW w:w="2267" w:type="dxa"/>
            <w:shd w:val="clear" w:color="auto" w:fill="auto"/>
          </w:tcPr>
          <w:p w:rsidRPr="007F620E" w:rsidR="00882014" w:rsidP="00882014" w:rsidRDefault="00882014" w14:paraId="1826BC2C" w14:textId="399AFBB0">
            <w:pPr>
              <w:keepNext/>
              <w:keepLines/>
              <w:tabs>
                <w:tab w:val="left" w:pos="360"/>
              </w:tabs>
              <w:ind w:left="360" w:hanging="360"/>
              <w:jc w:val="center"/>
              <w:rPr>
                <w:color w:val="000000"/>
              </w:rPr>
            </w:pPr>
            <w:r w:rsidRPr="00165BBB">
              <w:rPr>
                <w:color w:val="000000"/>
              </w:rPr>
              <w:t>N/A</w:t>
            </w:r>
          </w:p>
        </w:tc>
        <w:tc>
          <w:tcPr>
            <w:tcW w:w="2276" w:type="dxa"/>
            <w:shd w:val="clear" w:color="auto" w:fill="auto"/>
          </w:tcPr>
          <w:p w:rsidRPr="007F620E" w:rsidR="00882014" w:rsidP="006F21EC" w:rsidRDefault="00882014" w14:paraId="210DAD91" w14:textId="77777777">
            <w:pPr>
              <w:tabs>
                <w:tab w:val="left" w:pos="360"/>
              </w:tabs>
              <w:jc w:val="center"/>
              <w:rPr>
                <w:color w:val="000000"/>
              </w:rPr>
            </w:pPr>
          </w:p>
        </w:tc>
      </w:tr>
      <w:tr w:rsidRPr="007F620E" w:rsidR="00882014" w:rsidTr="006F21EC" w14:paraId="4836EEA6" w14:textId="77777777">
        <w:tc>
          <w:tcPr>
            <w:tcW w:w="4817" w:type="dxa"/>
            <w:shd w:val="clear" w:color="auto" w:fill="auto"/>
          </w:tcPr>
          <w:p w:rsidRPr="007F620E" w:rsidR="00882014" w:rsidP="00882014" w:rsidRDefault="00882014" w14:paraId="34809C45" w14:textId="2501A8A3">
            <w:pPr>
              <w:tabs>
                <w:tab w:val="left" w:pos="360"/>
              </w:tabs>
              <w:ind w:left="360" w:hanging="360"/>
              <w:rPr>
                <w:color w:val="000000"/>
              </w:rPr>
            </w:pPr>
            <w:r w:rsidRPr="007F620E">
              <w:rPr>
                <w:color w:val="000000"/>
              </w:rPr>
              <w:t>3.</w:t>
            </w:r>
            <w:r>
              <w:rPr>
                <w:color w:val="000000"/>
              </w:rPr>
              <w:tab/>
            </w:r>
            <w:r w:rsidRPr="007F620E">
              <w:rPr>
                <w:color w:val="000000"/>
              </w:rPr>
              <w:t>Date NOI filed:</w:t>
            </w:r>
          </w:p>
        </w:tc>
        <w:tc>
          <w:tcPr>
            <w:tcW w:w="2267" w:type="dxa"/>
            <w:tcBorders>
              <w:bottom w:val="single" w:color="auto" w:sz="4" w:space="0"/>
            </w:tcBorders>
            <w:shd w:val="clear" w:color="auto" w:fill="auto"/>
          </w:tcPr>
          <w:p w:rsidRPr="007F620E" w:rsidR="00882014" w:rsidP="00882014" w:rsidRDefault="00882014" w14:paraId="44F7CCB9" w14:textId="09B65E71">
            <w:pPr>
              <w:keepNext/>
              <w:keepLines/>
              <w:tabs>
                <w:tab w:val="left" w:pos="360"/>
              </w:tabs>
              <w:ind w:left="360" w:hanging="360"/>
              <w:jc w:val="center"/>
              <w:rPr>
                <w:color w:val="000000"/>
              </w:rPr>
            </w:pPr>
            <w:r>
              <w:rPr>
                <w:color w:val="000000"/>
              </w:rPr>
              <w:t>January 10, 2014</w:t>
            </w:r>
          </w:p>
        </w:tc>
        <w:tc>
          <w:tcPr>
            <w:tcW w:w="2276" w:type="dxa"/>
            <w:tcBorders>
              <w:bottom w:val="single" w:color="auto" w:sz="4" w:space="0"/>
            </w:tcBorders>
            <w:shd w:val="clear" w:color="auto" w:fill="auto"/>
          </w:tcPr>
          <w:p w:rsidRPr="007F620E" w:rsidR="00882014" w:rsidP="006F21EC" w:rsidRDefault="006F21EC" w14:paraId="71759DE3" w14:textId="5B12227D">
            <w:pPr>
              <w:tabs>
                <w:tab w:val="left" w:pos="360"/>
              </w:tabs>
              <w:jc w:val="center"/>
              <w:rPr>
                <w:color w:val="000000"/>
              </w:rPr>
            </w:pPr>
            <w:r>
              <w:rPr>
                <w:color w:val="000000"/>
              </w:rPr>
              <w:t>Verified</w:t>
            </w:r>
          </w:p>
        </w:tc>
      </w:tr>
      <w:tr w:rsidRPr="007F620E" w:rsidR="00A92D0B" w:rsidTr="00F028C8" w14:paraId="22BBCDE3" w14:textId="77777777">
        <w:tc>
          <w:tcPr>
            <w:tcW w:w="7084" w:type="dxa"/>
            <w:gridSpan w:val="2"/>
            <w:tcBorders>
              <w:bottom w:val="single" w:color="auto" w:sz="4" w:space="0"/>
            </w:tcBorders>
            <w:shd w:val="clear" w:color="auto" w:fill="auto"/>
          </w:tcPr>
          <w:p w:rsidRPr="007F620E" w:rsidR="00A92D0B" w:rsidP="00F028C8" w:rsidRDefault="00A92D0B" w14:paraId="7E6E2068" w14:textId="1D4DD6B8">
            <w:pPr>
              <w:tabs>
                <w:tab w:val="left" w:pos="360"/>
              </w:tabs>
              <w:ind w:left="360" w:hanging="360"/>
              <w:rPr>
                <w:color w:val="000000"/>
              </w:rPr>
            </w:pPr>
            <w:r w:rsidRPr="007F620E">
              <w:rPr>
                <w:color w:val="000000"/>
              </w:rPr>
              <w:t>4.</w:t>
            </w:r>
            <w:r w:rsidR="001E7EE2">
              <w:rPr>
                <w:color w:val="000000"/>
              </w:rPr>
              <w:tab/>
            </w:r>
            <w:r w:rsidRPr="007F620E">
              <w:rPr>
                <w:color w:val="000000"/>
              </w:rPr>
              <w:t>Was the NOI timely filed?</w:t>
            </w:r>
          </w:p>
        </w:tc>
        <w:tc>
          <w:tcPr>
            <w:tcW w:w="2276" w:type="dxa"/>
            <w:tcBorders>
              <w:bottom w:val="single" w:color="auto" w:sz="4" w:space="0"/>
            </w:tcBorders>
            <w:shd w:val="clear" w:color="auto" w:fill="auto"/>
          </w:tcPr>
          <w:p w:rsidRPr="007F620E" w:rsidR="00A92D0B" w:rsidP="006F21EC" w:rsidRDefault="006F21EC" w14:paraId="61DE2845" w14:textId="6965CFF2">
            <w:pPr>
              <w:tabs>
                <w:tab w:val="left" w:pos="360"/>
              </w:tabs>
              <w:jc w:val="center"/>
              <w:rPr>
                <w:color w:val="000000"/>
              </w:rPr>
            </w:pPr>
            <w:r>
              <w:rPr>
                <w:color w:val="000000"/>
              </w:rPr>
              <w:t>Yes</w:t>
            </w:r>
          </w:p>
        </w:tc>
      </w:tr>
      <w:tr w:rsidRPr="007F620E" w:rsidR="00A92D0B" w:rsidTr="00F028C8" w14:paraId="4CD7D46A"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00F028C8" w:rsidP="00F028C8" w:rsidRDefault="00A92D0B" w14:paraId="003AB151" w14:textId="75841E30">
            <w:pPr>
              <w:keepNext/>
              <w:keepLines/>
              <w:tabs>
                <w:tab w:val="left" w:pos="360"/>
              </w:tabs>
              <w:jc w:val="center"/>
              <w:rPr>
                <w:b/>
                <w:color w:val="000000"/>
              </w:rPr>
            </w:pPr>
            <w:r w:rsidRPr="007F620E">
              <w:rPr>
                <w:b/>
                <w:color w:val="000000"/>
              </w:rPr>
              <w:t xml:space="preserve">Showing of </w:t>
            </w:r>
            <w:r w:rsidRPr="007F620E" w:rsidR="00F63C29">
              <w:rPr>
                <w:b/>
                <w:color w:val="000000"/>
              </w:rPr>
              <w:t xml:space="preserve">eligible </w:t>
            </w:r>
            <w:r w:rsidRPr="007F620E">
              <w:rPr>
                <w:b/>
                <w:color w:val="000000"/>
              </w:rPr>
              <w:t xml:space="preserve">customer </w:t>
            </w:r>
            <w:r w:rsidRPr="007F620E" w:rsidR="00F63C29">
              <w:rPr>
                <w:b/>
                <w:color w:val="000000"/>
              </w:rPr>
              <w:t>status (§ 1802(b)</w:t>
            </w:r>
            <w:r w:rsidR="00F028C8">
              <w:rPr>
                <w:b/>
                <w:color w:val="000000"/>
              </w:rPr>
              <w:t>)</w:t>
            </w:r>
          </w:p>
          <w:p w:rsidRPr="007F620E" w:rsidR="00A92D0B" w:rsidP="009C2478" w:rsidRDefault="00F63C29" w14:paraId="19D649BF" w14:textId="31FAE647">
            <w:pPr>
              <w:keepNext/>
              <w:keepLines/>
              <w:tabs>
                <w:tab w:val="left" w:pos="360"/>
              </w:tabs>
              <w:spacing w:line="276" w:lineRule="auto"/>
              <w:jc w:val="center"/>
              <w:rPr>
                <w:b/>
                <w:color w:val="000000"/>
              </w:rPr>
            </w:pPr>
            <w:r w:rsidRPr="007F620E">
              <w:rPr>
                <w:b/>
                <w:color w:val="000000"/>
              </w:rPr>
              <w:t xml:space="preserve"> or eligible local government entity </w:t>
            </w:r>
            <w:r w:rsidR="00ED6B6B">
              <w:rPr>
                <w:b/>
                <w:color w:val="000000"/>
              </w:rPr>
              <w:t>status</w:t>
            </w:r>
            <w:r w:rsidR="00F028C8">
              <w:rPr>
                <w:b/>
                <w:color w:val="000000"/>
              </w:rPr>
              <w:t xml:space="preserve"> </w:t>
            </w:r>
            <w:r w:rsidRPr="007F620E">
              <w:rPr>
                <w:b/>
                <w:color w:val="000000"/>
              </w:rPr>
              <w:t>(§§ 1802(d), 1802.4)</w:t>
            </w:r>
            <w:r w:rsidRPr="007F620E" w:rsidR="00A92D0B">
              <w:rPr>
                <w:b/>
                <w:color w:val="000000"/>
              </w:rPr>
              <w:t>:</w:t>
            </w:r>
          </w:p>
        </w:tc>
      </w:tr>
      <w:tr w:rsidRPr="007F620E" w:rsidR="005D17AD" w:rsidTr="006F21EC" w14:paraId="259EC227" w14:textId="77777777">
        <w:tc>
          <w:tcPr>
            <w:tcW w:w="4817" w:type="dxa"/>
            <w:tcBorders>
              <w:top w:val="single" w:color="auto" w:sz="4" w:space="0"/>
            </w:tcBorders>
            <w:shd w:val="clear" w:color="auto" w:fill="auto"/>
          </w:tcPr>
          <w:p w:rsidRPr="007F620E" w:rsidR="005D17AD" w:rsidP="005D17AD" w:rsidRDefault="005D17AD" w14:paraId="0EFCD0E9" w14:textId="1A5E3FBE">
            <w:pPr>
              <w:keepNext/>
              <w:keepLines/>
              <w:ind w:left="360" w:hanging="360"/>
              <w:rPr>
                <w:color w:val="000000"/>
              </w:rPr>
            </w:pPr>
            <w:r w:rsidRPr="007F620E">
              <w:rPr>
                <w:color w:val="000000"/>
              </w:rPr>
              <w:t>5.</w:t>
            </w:r>
            <w:r>
              <w:rPr>
                <w:color w:val="000000"/>
              </w:rPr>
              <w:tab/>
            </w:r>
            <w:r w:rsidRPr="007F620E">
              <w:rPr>
                <w:color w:val="000000"/>
              </w:rPr>
              <w:t>Based on ALJ ruling issued in proceeding   number:</w:t>
            </w:r>
          </w:p>
        </w:tc>
        <w:tc>
          <w:tcPr>
            <w:tcW w:w="2267" w:type="dxa"/>
            <w:tcBorders>
              <w:top w:val="single" w:color="auto" w:sz="4" w:space="0"/>
            </w:tcBorders>
            <w:shd w:val="clear" w:color="auto" w:fill="auto"/>
          </w:tcPr>
          <w:p w:rsidRPr="007F620E" w:rsidR="005D17AD" w:rsidP="005D17AD" w:rsidRDefault="005D17AD" w14:paraId="13E72B6D" w14:textId="1909777B">
            <w:pPr>
              <w:keepNext/>
              <w:keepLines/>
              <w:tabs>
                <w:tab w:val="left" w:pos="360"/>
              </w:tabs>
              <w:ind w:left="360" w:hanging="360"/>
              <w:jc w:val="center"/>
              <w:rPr>
                <w:color w:val="000000"/>
              </w:rPr>
            </w:pPr>
            <w:r>
              <w:t>A.12-11-009</w:t>
            </w:r>
          </w:p>
        </w:tc>
        <w:tc>
          <w:tcPr>
            <w:tcW w:w="2276" w:type="dxa"/>
            <w:tcBorders>
              <w:top w:val="single" w:color="auto" w:sz="4" w:space="0"/>
            </w:tcBorders>
            <w:shd w:val="clear" w:color="auto" w:fill="auto"/>
          </w:tcPr>
          <w:p w:rsidRPr="007F620E" w:rsidR="005D17AD" w:rsidP="006F21EC" w:rsidRDefault="006F21EC" w14:paraId="2679B197" w14:textId="5A9614FC">
            <w:pPr>
              <w:keepNext/>
              <w:keepLines/>
              <w:tabs>
                <w:tab w:val="left" w:pos="360"/>
              </w:tabs>
              <w:jc w:val="center"/>
              <w:rPr>
                <w:color w:val="000000"/>
              </w:rPr>
            </w:pPr>
            <w:r>
              <w:rPr>
                <w:color w:val="000000"/>
              </w:rPr>
              <w:t>Verified</w:t>
            </w:r>
          </w:p>
        </w:tc>
      </w:tr>
      <w:tr w:rsidRPr="007F620E" w:rsidR="005D17AD" w:rsidTr="006F21EC" w14:paraId="4E0FB3B6" w14:textId="77777777">
        <w:tc>
          <w:tcPr>
            <w:tcW w:w="4817" w:type="dxa"/>
            <w:shd w:val="clear" w:color="auto" w:fill="auto"/>
          </w:tcPr>
          <w:p w:rsidRPr="007F620E" w:rsidR="005D17AD" w:rsidP="005D17AD" w:rsidRDefault="005D17AD" w14:paraId="568B12E8" w14:textId="6121FC05">
            <w:pPr>
              <w:tabs>
                <w:tab w:val="left" w:pos="360"/>
              </w:tabs>
              <w:ind w:left="360" w:hanging="360"/>
              <w:rPr>
                <w:color w:val="000000"/>
              </w:rPr>
            </w:pPr>
            <w:r w:rsidRPr="007F620E">
              <w:rPr>
                <w:color w:val="000000"/>
              </w:rPr>
              <w:t>6.</w:t>
            </w:r>
            <w:r>
              <w:rPr>
                <w:color w:val="000000"/>
              </w:rPr>
              <w:tab/>
            </w:r>
            <w:r w:rsidRPr="007F620E">
              <w:rPr>
                <w:color w:val="000000"/>
              </w:rPr>
              <w:t>Date of ALJ ruling:</w:t>
            </w:r>
          </w:p>
        </w:tc>
        <w:tc>
          <w:tcPr>
            <w:tcW w:w="2267" w:type="dxa"/>
            <w:shd w:val="clear" w:color="auto" w:fill="auto"/>
          </w:tcPr>
          <w:p w:rsidRPr="007F620E" w:rsidR="005D17AD" w:rsidP="005D17AD" w:rsidRDefault="005D17AD" w14:paraId="306125B9" w14:textId="1B39700B">
            <w:pPr>
              <w:tabs>
                <w:tab w:val="left" w:pos="360"/>
              </w:tabs>
              <w:ind w:left="360" w:hanging="360"/>
              <w:jc w:val="center"/>
              <w:rPr>
                <w:color w:val="000000"/>
              </w:rPr>
            </w:pPr>
            <w:r>
              <w:t>Sept. 6</w:t>
            </w:r>
            <w:r w:rsidRPr="00C41578">
              <w:t>, 201</w:t>
            </w:r>
            <w:r>
              <w:t>3</w:t>
            </w:r>
          </w:p>
        </w:tc>
        <w:tc>
          <w:tcPr>
            <w:tcW w:w="2276" w:type="dxa"/>
            <w:shd w:val="clear" w:color="auto" w:fill="auto"/>
          </w:tcPr>
          <w:p w:rsidRPr="007F620E" w:rsidR="005D17AD" w:rsidP="006F21EC" w:rsidRDefault="006F21EC" w14:paraId="19F10313" w14:textId="00A5384E">
            <w:pPr>
              <w:tabs>
                <w:tab w:val="left" w:pos="360"/>
              </w:tabs>
              <w:jc w:val="center"/>
              <w:rPr>
                <w:color w:val="000000"/>
              </w:rPr>
            </w:pPr>
            <w:r>
              <w:rPr>
                <w:color w:val="000000"/>
              </w:rPr>
              <w:t>Verified</w:t>
            </w:r>
          </w:p>
        </w:tc>
      </w:tr>
      <w:tr w:rsidRPr="007F620E" w:rsidR="005D17AD" w:rsidTr="006F21EC" w14:paraId="7F6C1E54" w14:textId="77777777">
        <w:tc>
          <w:tcPr>
            <w:tcW w:w="4817" w:type="dxa"/>
            <w:shd w:val="clear" w:color="auto" w:fill="auto"/>
          </w:tcPr>
          <w:p w:rsidRPr="007F620E" w:rsidR="005D17AD" w:rsidP="005D17AD" w:rsidRDefault="005D17AD" w14:paraId="4B6E35B7" w14:textId="56E59D65">
            <w:pPr>
              <w:tabs>
                <w:tab w:val="left" w:pos="360"/>
              </w:tabs>
              <w:ind w:left="360" w:hanging="360"/>
              <w:rPr>
                <w:color w:val="000000"/>
              </w:rPr>
            </w:pPr>
            <w:r w:rsidRPr="007F620E">
              <w:rPr>
                <w:color w:val="000000"/>
              </w:rPr>
              <w:t>7.</w:t>
            </w:r>
            <w:r>
              <w:rPr>
                <w:color w:val="000000"/>
              </w:rPr>
              <w:tab/>
            </w:r>
            <w:r w:rsidRPr="007F620E">
              <w:rPr>
                <w:color w:val="000000"/>
              </w:rPr>
              <w:t>Based on another CPUC determination (specify):</w:t>
            </w:r>
          </w:p>
        </w:tc>
        <w:tc>
          <w:tcPr>
            <w:tcW w:w="2267" w:type="dxa"/>
            <w:tcBorders>
              <w:bottom w:val="single" w:color="auto" w:sz="4" w:space="0"/>
            </w:tcBorders>
            <w:shd w:val="clear" w:color="auto" w:fill="auto"/>
          </w:tcPr>
          <w:p w:rsidRPr="007F620E" w:rsidR="005D17AD" w:rsidP="005D17AD" w:rsidRDefault="005D17AD" w14:paraId="5E0F9D32" w14:textId="058C1EFB">
            <w:pPr>
              <w:tabs>
                <w:tab w:val="left" w:pos="360"/>
              </w:tabs>
              <w:ind w:left="360" w:hanging="360"/>
              <w:jc w:val="center"/>
              <w:rPr>
                <w:color w:val="000000"/>
              </w:rPr>
            </w:pPr>
            <w:r>
              <w:rPr>
                <w:color w:val="000000"/>
              </w:rPr>
              <w:t>N/A</w:t>
            </w:r>
          </w:p>
        </w:tc>
        <w:tc>
          <w:tcPr>
            <w:tcW w:w="2276" w:type="dxa"/>
            <w:tcBorders>
              <w:bottom w:val="single" w:color="auto" w:sz="4" w:space="0"/>
            </w:tcBorders>
            <w:shd w:val="clear" w:color="auto" w:fill="auto"/>
          </w:tcPr>
          <w:p w:rsidRPr="007F620E" w:rsidR="005D17AD" w:rsidP="006F21EC" w:rsidRDefault="005D17AD" w14:paraId="180E80B3" w14:textId="77777777">
            <w:pPr>
              <w:tabs>
                <w:tab w:val="left" w:pos="360"/>
              </w:tabs>
              <w:jc w:val="center"/>
              <w:rPr>
                <w:color w:val="000000"/>
              </w:rPr>
            </w:pPr>
          </w:p>
        </w:tc>
      </w:tr>
      <w:tr w:rsidRPr="007F620E" w:rsidR="00A92D0B" w:rsidTr="00F028C8" w14:paraId="397CC4AD" w14:textId="77777777">
        <w:tc>
          <w:tcPr>
            <w:tcW w:w="7084" w:type="dxa"/>
            <w:gridSpan w:val="2"/>
            <w:tcBorders>
              <w:bottom w:val="single" w:color="auto" w:sz="4" w:space="0"/>
            </w:tcBorders>
            <w:shd w:val="clear" w:color="auto" w:fill="auto"/>
          </w:tcPr>
          <w:p w:rsidRPr="007F620E" w:rsidR="00A92D0B" w:rsidP="00F028C8" w:rsidRDefault="00A92D0B" w14:paraId="71D46B68" w14:textId="56857D2E">
            <w:pPr>
              <w:tabs>
                <w:tab w:val="left" w:pos="360"/>
              </w:tabs>
              <w:ind w:left="360" w:hanging="360"/>
              <w:rPr>
                <w:color w:val="000000"/>
              </w:rPr>
            </w:pPr>
            <w:r w:rsidRPr="007F620E">
              <w:rPr>
                <w:color w:val="000000"/>
              </w:rPr>
              <w:t>8.</w:t>
            </w:r>
            <w:r w:rsidR="001E7EE2">
              <w:rPr>
                <w:color w:val="000000"/>
              </w:rPr>
              <w:tab/>
            </w:r>
            <w:r w:rsidRPr="007F620E">
              <w:rPr>
                <w:color w:val="000000"/>
              </w:rPr>
              <w:t xml:space="preserve">Has the </w:t>
            </w:r>
            <w:r w:rsidRPr="007F620E" w:rsidR="005A63D4">
              <w:rPr>
                <w:color w:val="000000"/>
              </w:rPr>
              <w:t xml:space="preserve">Intervenor </w:t>
            </w:r>
            <w:r w:rsidRPr="007F620E">
              <w:rPr>
                <w:color w:val="000000"/>
              </w:rPr>
              <w:t xml:space="preserve">demonstrated </w:t>
            </w:r>
            <w:r w:rsidRPr="00ED6B6B">
              <w:t>customer</w:t>
            </w:r>
            <w:r w:rsidRPr="007F620E">
              <w:rPr>
                <w:color w:val="000000"/>
              </w:rPr>
              <w:t xml:space="preserve"> </w:t>
            </w:r>
            <w:r w:rsidR="00ED6B6B">
              <w:rPr>
                <w:color w:val="000000"/>
              </w:rPr>
              <w:t>status or eligible government entity status</w:t>
            </w:r>
            <w:r w:rsidRPr="007F620E">
              <w:rPr>
                <w:color w:val="000000"/>
              </w:rPr>
              <w:t>?</w:t>
            </w:r>
          </w:p>
        </w:tc>
        <w:tc>
          <w:tcPr>
            <w:tcW w:w="2276" w:type="dxa"/>
            <w:tcBorders>
              <w:bottom w:val="single" w:color="auto" w:sz="4" w:space="0"/>
            </w:tcBorders>
            <w:shd w:val="clear" w:color="auto" w:fill="auto"/>
          </w:tcPr>
          <w:p w:rsidRPr="007F620E" w:rsidR="00A92D0B" w:rsidP="006F21EC" w:rsidRDefault="006F21EC" w14:paraId="7D296E63" w14:textId="6A2DB492">
            <w:pPr>
              <w:tabs>
                <w:tab w:val="left" w:pos="360"/>
              </w:tabs>
              <w:jc w:val="center"/>
              <w:rPr>
                <w:color w:val="000000"/>
              </w:rPr>
            </w:pPr>
            <w:r>
              <w:rPr>
                <w:color w:val="000000"/>
              </w:rPr>
              <w:t>Yes</w:t>
            </w:r>
          </w:p>
        </w:tc>
      </w:tr>
      <w:tr w:rsidRPr="007F620E" w:rsidR="00A92D0B" w:rsidTr="00F028C8" w14:paraId="33231C71"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F028C8" w:rsidRDefault="00A92D0B" w14:paraId="0291EC4E" w14:textId="77777777">
            <w:pPr>
              <w:keepNext/>
              <w:tabs>
                <w:tab w:val="left" w:pos="360"/>
              </w:tabs>
              <w:jc w:val="center"/>
              <w:rPr>
                <w:color w:val="000000"/>
              </w:rPr>
            </w:pPr>
            <w:r w:rsidRPr="007F620E">
              <w:rPr>
                <w:b/>
                <w:color w:val="000000"/>
              </w:rPr>
              <w:t>Showing of “significant</w:t>
            </w:r>
            <w:r w:rsidRPr="007F620E" w:rsidR="00F63C29">
              <w:rPr>
                <w:b/>
                <w:color w:val="000000"/>
              </w:rPr>
              <w:t xml:space="preserve"> financial hardship” (§1802(</w:t>
            </w:r>
            <w:r w:rsidR="00175865">
              <w:rPr>
                <w:b/>
                <w:color w:val="000000"/>
              </w:rPr>
              <w:t>h</w:t>
            </w:r>
            <w:r w:rsidRPr="007F620E" w:rsidR="00F63C29">
              <w:rPr>
                <w:b/>
                <w:color w:val="000000"/>
              </w:rPr>
              <w:t xml:space="preserve">) or </w:t>
            </w:r>
            <w:r w:rsidRPr="007F620E" w:rsidR="00ED6B6B">
              <w:rPr>
                <w:b/>
                <w:color w:val="000000"/>
              </w:rPr>
              <w:t>§</w:t>
            </w:r>
            <w:r w:rsidRPr="007F620E" w:rsidR="00F63C29">
              <w:rPr>
                <w:b/>
                <w:color w:val="000000"/>
              </w:rPr>
              <w:t>1803.1(b))</w:t>
            </w:r>
            <w:r w:rsidR="00C02649">
              <w:rPr>
                <w:b/>
                <w:color w:val="000000"/>
              </w:rPr>
              <w:t>:</w:t>
            </w:r>
          </w:p>
        </w:tc>
      </w:tr>
      <w:tr w:rsidRPr="007F620E" w:rsidR="00564BCB" w:rsidTr="006F21EC" w14:paraId="77F91856" w14:textId="77777777">
        <w:tc>
          <w:tcPr>
            <w:tcW w:w="4817" w:type="dxa"/>
            <w:tcBorders>
              <w:top w:val="single" w:color="auto" w:sz="4" w:space="0"/>
            </w:tcBorders>
            <w:shd w:val="clear" w:color="auto" w:fill="auto"/>
          </w:tcPr>
          <w:p w:rsidRPr="007F620E" w:rsidR="00564BCB" w:rsidP="00564BCB" w:rsidRDefault="00564BCB" w14:paraId="6506E60E" w14:textId="7F0FF6A0">
            <w:pPr>
              <w:tabs>
                <w:tab w:val="left" w:pos="315"/>
              </w:tabs>
              <w:ind w:left="360" w:hanging="360"/>
              <w:rPr>
                <w:color w:val="000000"/>
              </w:rPr>
            </w:pPr>
            <w:r w:rsidRPr="007F620E">
              <w:rPr>
                <w:color w:val="000000"/>
              </w:rPr>
              <w:t>9.</w:t>
            </w:r>
            <w:r>
              <w:rPr>
                <w:color w:val="000000"/>
              </w:rPr>
              <w:tab/>
            </w:r>
            <w:r w:rsidRPr="007F620E">
              <w:rPr>
                <w:color w:val="000000"/>
              </w:rPr>
              <w:t>Based on ALJ ruling issued in proceeding number:</w:t>
            </w:r>
          </w:p>
        </w:tc>
        <w:tc>
          <w:tcPr>
            <w:tcW w:w="2267" w:type="dxa"/>
            <w:tcBorders>
              <w:top w:val="single" w:color="auto" w:sz="4" w:space="0"/>
            </w:tcBorders>
            <w:shd w:val="clear" w:color="auto" w:fill="auto"/>
          </w:tcPr>
          <w:p w:rsidRPr="007F620E" w:rsidR="00564BCB" w:rsidP="00564BCB" w:rsidRDefault="00564BCB" w14:paraId="54B4911C" w14:textId="7C7CF76B">
            <w:pPr>
              <w:tabs>
                <w:tab w:val="left" w:pos="360"/>
              </w:tabs>
              <w:ind w:left="360" w:hanging="360"/>
              <w:jc w:val="center"/>
              <w:rPr>
                <w:color w:val="000000"/>
              </w:rPr>
            </w:pPr>
            <w:r>
              <w:t>A.12-11-009</w:t>
            </w:r>
          </w:p>
        </w:tc>
        <w:tc>
          <w:tcPr>
            <w:tcW w:w="2276" w:type="dxa"/>
            <w:tcBorders>
              <w:top w:val="single" w:color="auto" w:sz="4" w:space="0"/>
            </w:tcBorders>
            <w:shd w:val="clear" w:color="auto" w:fill="auto"/>
          </w:tcPr>
          <w:p w:rsidRPr="007F620E" w:rsidR="00564BCB" w:rsidP="006F21EC" w:rsidRDefault="006F21EC" w14:paraId="2E2FB9D6" w14:textId="6C753987">
            <w:pPr>
              <w:tabs>
                <w:tab w:val="left" w:pos="360"/>
              </w:tabs>
              <w:jc w:val="center"/>
              <w:rPr>
                <w:color w:val="000000"/>
              </w:rPr>
            </w:pPr>
            <w:r>
              <w:rPr>
                <w:color w:val="000000"/>
              </w:rPr>
              <w:t>Verified</w:t>
            </w:r>
          </w:p>
        </w:tc>
      </w:tr>
      <w:tr w:rsidRPr="007F620E" w:rsidR="00564BCB" w:rsidTr="006F21EC" w14:paraId="4AD750C1" w14:textId="77777777">
        <w:tc>
          <w:tcPr>
            <w:tcW w:w="4817" w:type="dxa"/>
            <w:shd w:val="clear" w:color="auto" w:fill="auto"/>
          </w:tcPr>
          <w:p w:rsidRPr="007F620E" w:rsidR="00564BCB" w:rsidP="00564BCB" w:rsidRDefault="00564BCB" w14:paraId="2A279407" w14:textId="1E831EEE">
            <w:pPr>
              <w:ind w:left="360" w:hanging="360"/>
              <w:rPr>
                <w:color w:val="000000"/>
              </w:rPr>
            </w:pPr>
            <w:r w:rsidRPr="007F620E">
              <w:rPr>
                <w:color w:val="000000"/>
              </w:rPr>
              <w:t>10.</w:t>
            </w:r>
            <w:r>
              <w:rPr>
                <w:color w:val="000000"/>
              </w:rPr>
              <w:tab/>
            </w:r>
            <w:r w:rsidRPr="007F620E">
              <w:rPr>
                <w:color w:val="000000"/>
              </w:rPr>
              <w:t>Date of ALJ ruling:</w:t>
            </w:r>
          </w:p>
        </w:tc>
        <w:tc>
          <w:tcPr>
            <w:tcW w:w="2267" w:type="dxa"/>
            <w:shd w:val="clear" w:color="auto" w:fill="auto"/>
          </w:tcPr>
          <w:p w:rsidRPr="007F620E" w:rsidR="00564BCB" w:rsidP="00564BCB" w:rsidRDefault="00564BCB" w14:paraId="4B66A2E4" w14:textId="612CAEB8">
            <w:pPr>
              <w:tabs>
                <w:tab w:val="left" w:pos="360"/>
              </w:tabs>
              <w:ind w:left="360" w:hanging="360"/>
              <w:jc w:val="center"/>
              <w:rPr>
                <w:color w:val="000000"/>
              </w:rPr>
            </w:pPr>
            <w:r>
              <w:t>Sept. 6</w:t>
            </w:r>
            <w:r w:rsidRPr="00C41578">
              <w:t>, 201</w:t>
            </w:r>
            <w:r>
              <w:t>3</w:t>
            </w:r>
          </w:p>
        </w:tc>
        <w:tc>
          <w:tcPr>
            <w:tcW w:w="2276" w:type="dxa"/>
            <w:shd w:val="clear" w:color="auto" w:fill="auto"/>
          </w:tcPr>
          <w:p w:rsidRPr="007F620E" w:rsidR="00564BCB" w:rsidP="006F21EC" w:rsidRDefault="006F21EC" w14:paraId="3B83D035" w14:textId="3FCA4ECC">
            <w:pPr>
              <w:tabs>
                <w:tab w:val="left" w:pos="360"/>
              </w:tabs>
              <w:jc w:val="center"/>
              <w:rPr>
                <w:color w:val="000000"/>
              </w:rPr>
            </w:pPr>
            <w:r>
              <w:rPr>
                <w:color w:val="000000"/>
              </w:rPr>
              <w:t>Verified</w:t>
            </w:r>
          </w:p>
        </w:tc>
      </w:tr>
      <w:tr w:rsidRPr="007F620E" w:rsidR="00564BCB" w:rsidTr="006F21EC" w14:paraId="7C183C5E" w14:textId="77777777">
        <w:tc>
          <w:tcPr>
            <w:tcW w:w="4817" w:type="dxa"/>
            <w:shd w:val="clear" w:color="auto" w:fill="auto"/>
          </w:tcPr>
          <w:p w:rsidRPr="007F620E" w:rsidR="00564BCB" w:rsidP="00564BCB" w:rsidRDefault="00564BCB" w14:paraId="4141CB3D" w14:textId="2DCA8797">
            <w:pPr>
              <w:ind w:left="360" w:hanging="360"/>
              <w:rPr>
                <w:color w:val="000000"/>
              </w:rPr>
            </w:pPr>
            <w:r w:rsidRPr="007F620E">
              <w:rPr>
                <w:color w:val="000000"/>
              </w:rPr>
              <w:t>11.</w:t>
            </w:r>
            <w:r>
              <w:rPr>
                <w:color w:val="000000"/>
              </w:rPr>
              <w:tab/>
            </w:r>
            <w:r w:rsidRPr="007F620E">
              <w:rPr>
                <w:color w:val="000000"/>
              </w:rPr>
              <w:t>Based on another CPUC determination (specify):</w:t>
            </w:r>
          </w:p>
        </w:tc>
        <w:tc>
          <w:tcPr>
            <w:tcW w:w="2267" w:type="dxa"/>
            <w:shd w:val="clear" w:color="auto" w:fill="auto"/>
          </w:tcPr>
          <w:p w:rsidRPr="007F620E" w:rsidR="00564BCB" w:rsidP="00564BCB" w:rsidRDefault="00564BCB" w14:paraId="141EB5CF" w14:textId="0A37A370">
            <w:pPr>
              <w:tabs>
                <w:tab w:val="left" w:pos="360"/>
              </w:tabs>
              <w:ind w:left="360" w:hanging="360"/>
              <w:jc w:val="center"/>
              <w:rPr>
                <w:color w:val="000000"/>
              </w:rPr>
            </w:pPr>
            <w:r>
              <w:rPr>
                <w:color w:val="000000"/>
              </w:rPr>
              <w:t>N/A</w:t>
            </w:r>
          </w:p>
        </w:tc>
        <w:tc>
          <w:tcPr>
            <w:tcW w:w="2276" w:type="dxa"/>
            <w:shd w:val="clear" w:color="auto" w:fill="auto"/>
          </w:tcPr>
          <w:p w:rsidRPr="007F620E" w:rsidR="00564BCB" w:rsidP="006F21EC" w:rsidRDefault="00564BCB" w14:paraId="79318715" w14:textId="77777777">
            <w:pPr>
              <w:tabs>
                <w:tab w:val="left" w:pos="360"/>
              </w:tabs>
              <w:jc w:val="center"/>
              <w:rPr>
                <w:color w:val="000000"/>
              </w:rPr>
            </w:pPr>
          </w:p>
        </w:tc>
      </w:tr>
      <w:tr w:rsidRPr="007F620E" w:rsidR="00A92D0B" w:rsidTr="00F028C8" w14:paraId="4E8D20BF" w14:textId="77777777">
        <w:tc>
          <w:tcPr>
            <w:tcW w:w="7084" w:type="dxa"/>
            <w:gridSpan w:val="2"/>
            <w:tcBorders>
              <w:bottom w:val="single" w:color="auto" w:sz="4" w:space="0"/>
            </w:tcBorders>
            <w:shd w:val="clear" w:color="auto" w:fill="auto"/>
          </w:tcPr>
          <w:p w:rsidRPr="007F620E" w:rsidR="00A92D0B" w:rsidP="00F028C8" w:rsidRDefault="00180E8C" w14:paraId="48D0D936" w14:textId="6A3DF8B8">
            <w:pPr>
              <w:tabs>
                <w:tab w:val="left" w:pos="360"/>
              </w:tabs>
              <w:ind w:left="360" w:hanging="360"/>
              <w:rPr>
                <w:color w:val="000000"/>
              </w:rPr>
            </w:pPr>
            <w:r>
              <w:rPr>
                <w:color w:val="000000"/>
              </w:rPr>
              <w:t>12</w:t>
            </w:r>
            <w:r w:rsidRPr="007F620E" w:rsidR="00A92D0B">
              <w:rPr>
                <w:color w:val="000000"/>
              </w:rPr>
              <w:t>.</w:t>
            </w:r>
            <w:r w:rsidR="001E7EE2">
              <w:rPr>
                <w:color w:val="000000"/>
              </w:rPr>
              <w:tab/>
            </w:r>
            <w:r w:rsidRPr="007F620E" w:rsidR="00A92D0B">
              <w:rPr>
                <w:color w:val="000000"/>
              </w:rPr>
              <w:t>Has the</w:t>
            </w:r>
            <w:r w:rsidRPr="007F620E" w:rsidR="00A319DE">
              <w:rPr>
                <w:color w:val="000000"/>
              </w:rPr>
              <w:t xml:space="preserve"> </w:t>
            </w:r>
            <w:r w:rsidRPr="007F620E" w:rsidR="005A63D4">
              <w:rPr>
                <w:color w:val="000000"/>
              </w:rPr>
              <w:t>Intervenor</w:t>
            </w:r>
            <w:r w:rsidRPr="007F620E" w:rsidR="00A92D0B">
              <w:rPr>
                <w:color w:val="000000"/>
              </w:rPr>
              <w:t xml:space="preserve"> demonstrated significant financial hardship?</w:t>
            </w:r>
          </w:p>
        </w:tc>
        <w:tc>
          <w:tcPr>
            <w:tcW w:w="2276" w:type="dxa"/>
            <w:tcBorders>
              <w:bottom w:val="single" w:color="auto" w:sz="4" w:space="0"/>
            </w:tcBorders>
            <w:shd w:val="clear" w:color="auto" w:fill="auto"/>
          </w:tcPr>
          <w:p w:rsidRPr="007F620E" w:rsidR="00A92D0B" w:rsidP="006F21EC" w:rsidRDefault="006F21EC" w14:paraId="0F29B839" w14:textId="190D75E2">
            <w:pPr>
              <w:tabs>
                <w:tab w:val="left" w:pos="360"/>
              </w:tabs>
              <w:jc w:val="center"/>
              <w:rPr>
                <w:color w:val="000000"/>
              </w:rPr>
            </w:pPr>
            <w:r>
              <w:rPr>
                <w:color w:val="000000"/>
              </w:rPr>
              <w:t>Yes</w:t>
            </w:r>
          </w:p>
        </w:tc>
      </w:tr>
      <w:tr w:rsidRPr="007F620E" w:rsidR="00A92D0B" w:rsidTr="00F028C8" w14:paraId="60D4FD5C" w14:textId="77777777">
        <w:tc>
          <w:tcPr>
            <w:tcW w:w="9360" w:type="dxa"/>
            <w:gridSpan w:val="3"/>
            <w:tcBorders>
              <w:top w:val="single" w:color="auto" w:sz="4" w:space="0"/>
              <w:left w:val="single" w:color="auto" w:sz="4" w:space="0"/>
              <w:bottom w:val="single" w:color="auto" w:sz="4" w:space="0"/>
              <w:right w:val="single" w:color="auto" w:sz="4" w:space="0"/>
            </w:tcBorders>
            <w:shd w:val="clear" w:color="auto" w:fill="E6E6E6"/>
          </w:tcPr>
          <w:p w:rsidRPr="007F620E" w:rsidR="00A92D0B" w:rsidP="001811F3" w:rsidRDefault="00A92D0B" w14:paraId="172E2884" w14:textId="77777777">
            <w:pPr>
              <w:keepNext/>
              <w:tabs>
                <w:tab w:val="left" w:pos="360"/>
              </w:tabs>
              <w:jc w:val="center"/>
              <w:rPr>
                <w:color w:val="000000"/>
              </w:rPr>
            </w:pPr>
            <w:r w:rsidRPr="007F620E">
              <w:rPr>
                <w:b/>
                <w:color w:val="000000"/>
              </w:rPr>
              <w:t>Timely request for compensation (§ 1804(c)):</w:t>
            </w:r>
          </w:p>
        </w:tc>
      </w:tr>
      <w:tr w:rsidRPr="007F620E" w:rsidR="00A92D0B" w:rsidTr="00864DD2" w14:paraId="3E7938B0" w14:textId="77777777">
        <w:tc>
          <w:tcPr>
            <w:tcW w:w="4817" w:type="dxa"/>
            <w:tcBorders>
              <w:top w:val="single" w:color="auto" w:sz="4" w:space="0"/>
            </w:tcBorders>
            <w:shd w:val="clear" w:color="auto" w:fill="auto"/>
          </w:tcPr>
          <w:p w:rsidRPr="007F620E" w:rsidR="00A92D0B" w:rsidP="001811F3" w:rsidRDefault="00A92D0B" w14:paraId="66088F1B" w14:textId="2DB4A731">
            <w:pPr>
              <w:keepNext/>
              <w:tabs>
                <w:tab w:val="left" w:pos="612"/>
              </w:tabs>
              <w:ind w:left="360" w:hanging="360"/>
              <w:rPr>
                <w:color w:val="000000"/>
              </w:rPr>
            </w:pPr>
            <w:r w:rsidRPr="007F620E">
              <w:rPr>
                <w:color w:val="000000"/>
              </w:rPr>
              <w:t>13.</w:t>
            </w:r>
            <w:r w:rsidR="001E7EE2">
              <w:rPr>
                <w:color w:val="000000"/>
              </w:rPr>
              <w:tab/>
            </w:r>
            <w:r w:rsidRPr="007F620E">
              <w:rPr>
                <w:color w:val="000000"/>
              </w:rPr>
              <w:t>Identify Final Decision:</w:t>
            </w:r>
          </w:p>
        </w:tc>
        <w:tc>
          <w:tcPr>
            <w:tcW w:w="2267" w:type="dxa"/>
            <w:tcBorders>
              <w:top w:val="single" w:color="auto" w:sz="4" w:space="0"/>
            </w:tcBorders>
            <w:shd w:val="clear" w:color="auto" w:fill="auto"/>
          </w:tcPr>
          <w:p w:rsidRPr="007F620E" w:rsidR="00A92D0B" w:rsidP="001811F3" w:rsidRDefault="00777506" w14:paraId="7166F318" w14:textId="35EA492F">
            <w:pPr>
              <w:keepNext/>
              <w:tabs>
                <w:tab w:val="left" w:pos="360"/>
              </w:tabs>
              <w:jc w:val="center"/>
              <w:rPr>
                <w:color w:val="000000"/>
              </w:rPr>
            </w:pPr>
            <w:r>
              <w:rPr>
                <w:color w:val="000000"/>
              </w:rPr>
              <w:t>D.25-01</w:t>
            </w:r>
            <w:r w:rsidR="008D3878">
              <w:rPr>
                <w:color w:val="000000"/>
              </w:rPr>
              <w:t>-006</w:t>
            </w:r>
          </w:p>
        </w:tc>
        <w:tc>
          <w:tcPr>
            <w:tcW w:w="2276" w:type="dxa"/>
            <w:tcBorders>
              <w:top w:val="single" w:color="auto" w:sz="4" w:space="0"/>
            </w:tcBorders>
            <w:shd w:val="clear" w:color="auto" w:fill="auto"/>
          </w:tcPr>
          <w:p w:rsidRPr="007F620E" w:rsidR="00A92D0B" w:rsidP="001811F3" w:rsidRDefault="00864DD2" w14:paraId="1588DC54" w14:textId="092B3E81">
            <w:pPr>
              <w:keepNext/>
              <w:tabs>
                <w:tab w:val="left" w:pos="360"/>
              </w:tabs>
              <w:jc w:val="center"/>
              <w:rPr>
                <w:color w:val="000000"/>
              </w:rPr>
            </w:pPr>
            <w:r>
              <w:rPr>
                <w:color w:val="000000"/>
              </w:rPr>
              <w:t>Verified</w:t>
            </w:r>
          </w:p>
        </w:tc>
      </w:tr>
      <w:tr w:rsidRPr="007F620E" w:rsidR="00A92D0B" w:rsidTr="00864DD2" w14:paraId="6360DE59" w14:textId="77777777">
        <w:tc>
          <w:tcPr>
            <w:tcW w:w="4817" w:type="dxa"/>
            <w:shd w:val="clear" w:color="auto" w:fill="auto"/>
          </w:tcPr>
          <w:p w:rsidRPr="007F620E" w:rsidR="00A92D0B" w:rsidP="001811F3" w:rsidRDefault="00A92D0B" w14:paraId="4B809E4A" w14:textId="4BEED0BB">
            <w:pPr>
              <w:keepNext/>
              <w:tabs>
                <w:tab w:val="left" w:pos="612"/>
              </w:tabs>
              <w:ind w:left="360" w:hanging="360"/>
              <w:rPr>
                <w:color w:val="000000"/>
              </w:rPr>
            </w:pPr>
            <w:r w:rsidRPr="007F620E">
              <w:rPr>
                <w:color w:val="000000"/>
              </w:rPr>
              <w:t>14.</w:t>
            </w:r>
            <w:r w:rsidR="001E7EE2">
              <w:rPr>
                <w:color w:val="000000"/>
              </w:rPr>
              <w:tab/>
            </w:r>
            <w:r w:rsidRPr="007F620E">
              <w:rPr>
                <w:color w:val="000000"/>
              </w:rPr>
              <w:t xml:space="preserve">Date of </w:t>
            </w:r>
            <w:r w:rsidRPr="007F620E" w:rsidR="00A319DE">
              <w:rPr>
                <w:color w:val="000000"/>
              </w:rPr>
              <w:t>i</w:t>
            </w:r>
            <w:r w:rsidRPr="007F620E">
              <w:rPr>
                <w:color w:val="000000"/>
              </w:rPr>
              <w:t xml:space="preserve">ssuance of Final Order or Decision:    </w:t>
            </w:r>
          </w:p>
        </w:tc>
        <w:tc>
          <w:tcPr>
            <w:tcW w:w="2267" w:type="dxa"/>
            <w:shd w:val="clear" w:color="auto" w:fill="auto"/>
          </w:tcPr>
          <w:p w:rsidRPr="007F620E" w:rsidR="00A92D0B" w:rsidP="001811F3" w:rsidRDefault="008D3878" w14:paraId="20455B5F" w14:textId="554196D1">
            <w:pPr>
              <w:keepNext/>
              <w:tabs>
                <w:tab w:val="left" w:pos="360"/>
              </w:tabs>
              <w:jc w:val="center"/>
              <w:rPr>
                <w:color w:val="000000"/>
              </w:rPr>
            </w:pPr>
            <w:r>
              <w:rPr>
                <w:color w:val="000000"/>
              </w:rPr>
              <w:t>1/2</w:t>
            </w:r>
            <w:r w:rsidR="00870459">
              <w:rPr>
                <w:color w:val="000000"/>
              </w:rPr>
              <w:t>2/25</w:t>
            </w:r>
          </w:p>
        </w:tc>
        <w:tc>
          <w:tcPr>
            <w:tcW w:w="2276" w:type="dxa"/>
            <w:shd w:val="clear" w:color="auto" w:fill="auto"/>
          </w:tcPr>
          <w:p w:rsidRPr="007F620E" w:rsidR="00A92D0B" w:rsidP="001811F3" w:rsidRDefault="00864DD2" w14:paraId="1FCF00DD" w14:textId="1DA2CF3C">
            <w:pPr>
              <w:keepNext/>
              <w:tabs>
                <w:tab w:val="left" w:pos="360"/>
              </w:tabs>
              <w:jc w:val="center"/>
              <w:rPr>
                <w:color w:val="000000"/>
              </w:rPr>
            </w:pPr>
            <w:r>
              <w:rPr>
                <w:color w:val="000000"/>
              </w:rPr>
              <w:t>Verified</w:t>
            </w:r>
          </w:p>
        </w:tc>
      </w:tr>
      <w:tr w:rsidRPr="007F620E" w:rsidR="00A92D0B" w:rsidTr="00864DD2" w14:paraId="723259E3" w14:textId="77777777">
        <w:tc>
          <w:tcPr>
            <w:tcW w:w="4817" w:type="dxa"/>
            <w:shd w:val="clear" w:color="auto" w:fill="auto"/>
          </w:tcPr>
          <w:p w:rsidRPr="007F620E" w:rsidR="00A92D0B" w:rsidP="001811F3" w:rsidRDefault="00A92D0B" w14:paraId="163EE1CA" w14:textId="2B64EB9E">
            <w:pPr>
              <w:keepNext/>
              <w:tabs>
                <w:tab w:val="left" w:pos="612"/>
              </w:tabs>
              <w:ind w:left="360" w:hanging="360"/>
              <w:rPr>
                <w:color w:val="000000"/>
              </w:rPr>
            </w:pPr>
            <w:r w:rsidRPr="007F620E">
              <w:rPr>
                <w:color w:val="000000"/>
              </w:rPr>
              <w:t>15.</w:t>
            </w:r>
            <w:r w:rsidR="001E7EE2">
              <w:rPr>
                <w:color w:val="000000"/>
              </w:rPr>
              <w:tab/>
            </w:r>
            <w:r w:rsidRPr="007F620E">
              <w:rPr>
                <w:color w:val="000000"/>
              </w:rPr>
              <w:t>File date of compensation request:</w:t>
            </w:r>
          </w:p>
        </w:tc>
        <w:tc>
          <w:tcPr>
            <w:tcW w:w="2267" w:type="dxa"/>
            <w:shd w:val="clear" w:color="auto" w:fill="auto"/>
          </w:tcPr>
          <w:p w:rsidRPr="00870459" w:rsidR="00A92D0B" w:rsidP="001811F3" w:rsidRDefault="00870459" w14:paraId="0568B39D" w14:textId="3CA4E37F">
            <w:pPr>
              <w:keepNext/>
              <w:tabs>
                <w:tab w:val="left" w:pos="360"/>
              </w:tabs>
              <w:jc w:val="center"/>
              <w:rPr>
                <w:color w:val="000000"/>
                <w:highlight w:val="yellow"/>
              </w:rPr>
            </w:pPr>
            <w:r w:rsidRPr="00A21E5F">
              <w:rPr>
                <w:color w:val="000000"/>
              </w:rPr>
              <w:t>3/</w:t>
            </w:r>
            <w:r w:rsidRPr="00A21E5F" w:rsidR="00A21E5F">
              <w:rPr>
                <w:color w:val="000000"/>
              </w:rPr>
              <w:t>24</w:t>
            </w:r>
            <w:r w:rsidRPr="00A21E5F">
              <w:rPr>
                <w:color w:val="000000"/>
              </w:rPr>
              <w:t>/25</w:t>
            </w:r>
          </w:p>
        </w:tc>
        <w:tc>
          <w:tcPr>
            <w:tcW w:w="2276" w:type="dxa"/>
            <w:shd w:val="clear" w:color="auto" w:fill="auto"/>
          </w:tcPr>
          <w:p w:rsidRPr="007F620E" w:rsidR="00A92D0B" w:rsidP="001811F3" w:rsidRDefault="00864DD2" w14:paraId="1CBF4E7A" w14:textId="5B2D32DE">
            <w:pPr>
              <w:keepNext/>
              <w:tabs>
                <w:tab w:val="left" w:pos="360"/>
              </w:tabs>
              <w:jc w:val="center"/>
              <w:rPr>
                <w:color w:val="000000"/>
              </w:rPr>
            </w:pPr>
            <w:r>
              <w:rPr>
                <w:color w:val="000000"/>
              </w:rPr>
              <w:t>Verified</w:t>
            </w:r>
          </w:p>
        </w:tc>
      </w:tr>
      <w:tr w:rsidRPr="007F620E" w:rsidR="00A92D0B" w:rsidTr="00F028C8" w14:paraId="406BCA3A" w14:textId="77777777">
        <w:tc>
          <w:tcPr>
            <w:tcW w:w="7084" w:type="dxa"/>
            <w:gridSpan w:val="2"/>
            <w:shd w:val="clear" w:color="auto" w:fill="auto"/>
          </w:tcPr>
          <w:p w:rsidRPr="007F620E" w:rsidR="00A92D0B" w:rsidP="00F028C8" w:rsidRDefault="00A92D0B" w14:paraId="10AF42D1" w14:textId="67695104">
            <w:pPr>
              <w:tabs>
                <w:tab w:val="left" w:pos="360"/>
              </w:tabs>
              <w:ind w:left="360" w:hanging="360"/>
              <w:rPr>
                <w:color w:val="000000"/>
              </w:rPr>
            </w:pPr>
            <w:r w:rsidRPr="007F620E">
              <w:rPr>
                <w:color w:val="000000"/>
              </w:rPr>
              <w:t>16</w:t>
            </w:r>
            <w:r w:rsidR="001E7EE2">
              <w:rPr>
                <w:color w:val="000000"/>
              </w:rPr>
              <w:t>.</w:t>
            </w:r>
            <w:r w:rsidR="001E7EE2">
              <w:rPr>
                <w:color w:val="000000"/>
              </w:rPr>
              <w:tab/>
            </w:r>
            <w:r w:rsidRPr="007F620E">
              <w:rPr>
                <w:color w:val="000000"/>
              </w:rPr>
              <w:t>Was the request for compensation timely?</w:t>
            </w:r>
          </w:p>
        </w:tc>
        <w:tc>
          <w:tcPr>
            <w:tcW w:w="2276" w:type="dxa"/>
            <w:shd w:val="clear" w:color="auto" w:fill="auto"/>
          </w:tcPr>
          <w:p w:rsidRPr="007F620E" w:rsidR="00A92D0B" w:rsidP="00864DD2" w:rsidRDefault="00864DD2" w14:paraId="2EA30E63" w14:textId="3E9B8A7D">
            <w:pPr>
              <w:tabs>
                <w:tab w:val="left" w:pos="360"/>
              </w:tabs>
              <w:jc w:val="center"/>
              <w:rPr>
                <w:color w:val="000000"/>
              </w:rPr>
            </w:pPr>
            <w:r>
              <w:rPr>
                <w:color w:val="000000"/>
              </w:rPr>
              <w:t>Yes</w:t>
            </w:r>
          </w:p>
        </w:tc>
      </w:tr>
    </w:tbl>
    <w:p w:rsidRPr="004D3276" w:rsidR="003B6A1B" w:rsidP="00B44819" w:rsidRDefault="00A92D0B" w14:paraId="501B5F3D" w14:textId="04F881AE">
      <w:pPr>
        <w:pStyle w:val="Dummy"/>
        <w:keepLines w:val="0"/>
        <w:spacing w:before="480" w:after="0"/>
        <w:jc w:val="center"/>
        <w:rPr>
          <w:rFonts w:ascii="Times New Roman" w:hAnsi="Times New Roman" w:cs="Times New Roman"/>
          <w:color w:val="000000"/>
        </w:rPr>
      </w:pPr>
      <w:r w:rsidRPr="004D3276">
        <w:rPr>
          <w:rFonts w:ascii="Times New Roman" w:hAnsi="Times New Roman" w:cs="Times New Roman"/>
          <w:color w:val="000000"/>
        </w:rPr>
        <w:lastRenderedPageBreak/>
        <w:t>PART II:</w:t>
      </w:r>
      <w:r w:rsidRPr="004D3276" w:rsidR="00D1778A">
        <w:rPr>
          <w:rFonts w:ascii="Times New Roman" w:hAnsi="Times New Roman" w:cs="Times New Roman"/>
          <w:color w:val="000000"/>
        </w:rPr>
        <w:t xml:space="preserve">  </w:t>
      </w:r>
      <w:r w:rsidRPr="004D3276">
        <w:rPr>
          <w:rFonts w:ascii="Times New Roman" w:hAnsi="Times New Roman" w:cs="Times New Roman"/>
          <w:color w:val="000000"/>
        </w:rPr>
        <w:t>SUBSTANTIAL CONTRIBUTION</w:t>
      </w:r>
    </w:p>
    <w:p w:rsidRPr="001811F3" w:rsidR="00F85E5C" w:rsidP="001811F3" w:rsidRDefault="00D075B1" w14:paraId="2BD216EB" w14:textId="4EB13449">
      <w:pPr>
        <w:keepNext/>
        <w:keepLines/>
        <w:numPr>
          <w:ilvl w:val="0"/>
          <w:numId w:val="8"/>
        </w:numPr>
        <w:spacing w:before="240" w:after="240"/>
        <w:rPr>
          <w:b/>
          <w:color w:val="000000"/>
        </w:rPr>
      </w:pPr>
      <w:r w:rsidRPr="007F620E">
        <w:rPr>
          <w:b/>
          <w:color w:val="000000"/>
        </w:rPr>
        <w:t xml:space="preserve">Did the </w:t>
      </w:r>
      <w:r w:rsidRPr="007F620E" w:rsidR="005A63D4">
        <w:rPr>
          <w:b/>
          <w:color w:val="000000"/>
        </w:rPr>
        <w:t>Intervenor</w:t>
      </w:r>
      <w:r w:rsidRPr="007F620E">
        <w:rPr>
          <w:b/>
          <w:color w:val="000000"/>
        </w:rPr>
        <w:t xml:space="preserve"> substantially contribute to the final decision</w:t>
      </w:r>
      <w:r w:rsidRPr="007F620E" w:rsidR="00A92D0B">
        <w:rPr>
          <w:b/>
          <w:color w:val="000000"/>
        </w:rPr>
        <w:t xml:space="preserve"> (</w:t>
      </w:r>
      <w:r w:rsidRPr="007F620E" w:rsidR="00A92D0B">
        <w:rPr>
          <w:b/>
          <w:i/>
          <w:color w:val="000000"/>
        </w:rPr>
        <w:t>see</w:t>
      </w:r>
      <w:r w:rsidRPr="007F620E" w:rsidR="00A92D0B">
        <w:rPr>
          <w:b/>
          <w:color w:val="000000"/>
        </w:rPr>
        <w:t xml:space="preserve"> § 1802(</w:t>
      </w:r>
      <w:r w:rsidR="00ED6B6B">
        <w:rPr>
          <w:b/>
          <w:color w:val="000000"/>
        </w:rPr>
        <w:t>j</w:t>
      </w:r>
      <w:r w:rsidRPr="007F620E" w:rsidR="00A92D0B">
        <w:rPr>
          <w:b/>
          <w:color w:val="000000"/>
        </w:rPr>
        <w:t xml:space="preserve">), </w:t>
      </w:r>
      <w:r w:rsidRPr="007F620E" w:rsidR="001E77CF">
        <w:rPr>
          <w:b/>
          <w:color w:val="000000"/>
        </w:rPr>
        <w:br/>
      </w:r>
      <w:r w:rsidRPr="007F620E" w:rsidR="00A92D0B">
        <w:rPr>
          <w:b/>
          <w:color w:val="000000"/>
        </w:rPr>
        <w:t>§ 1803(a)</w:t>
      </w:r>
      <w:r w:rsidRPr="007F620E" w:rsidR="00F30DA8">
        <w:rPr>
          <w:b/>
          <w:color w:val="000000"/>
        </w:rPr>
        <w:t>,</w:t>
      </w:r>
      <w:r w:rsidRPr="007F620E" w:rsidR="00A92D0B">
        <w:rPr>
          <w:b/>
          <w:color w:val="000000"/>
        </w:rPr>
        <w:t xml:space="preserve"> </w:t>
      </w:r>
      <w:r w:rsidR="00ED6B6B">
        <w:rPr>
          <w:b/>
          <w:color w:val="000000"/>
        </w:rPr>
        <w:t xml:space="preserve">1803.1(a) </w:t>
      </w:r>
      <w:r w:rsidRPr="007F620E" w:rsidR="00F30DA8">
        <w:rPr>
          <w:b/>
          <w:color w:val="000000"/>
        </w:rPr>
        <w:t>and</w:t>
      </w:r>
      <w:r w:rsidRPr="007F620E" w:rsidR="00A92D0B">
        <w:rPr>
          <w:b/>
          <w:color w:val="000000"/>
        </w:rPr>
        <w:t xml:space="preserve"> D.98-04-059)</w:t>
      </w:r>
      <w:r w:rsidR="00C02649">
        <w:rPr>
          <w:b/>
          <w:color w:val="000000"/>
        </w:rPr>
        <w:t>:</w:t>
      </w:r>
      <w:r w:rsidRPr="007F620E" w:rsidR="00A92D0B">
        <w:rPr>
          <w:b/>
          <w:color w:val="000000"/>
        </w:rPr>
        <w:t xml:space="preserve">  </w:t>
      </w:r>
    </w:p>
    <w:tbl>
      <w:tblPr>
        <w:tblpPr w:leftFromText="180" w:rightFromText="180" w:vertAnchor="text" w:tblpY="1"/>
        <w:tblOverlap w:val="neve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3463"/>
        <w:gridCol w:w="3659"/>
        <w:gridCol w:w="2238"/>
      </w:tblGrid>
      <w:tr w:rsidRPr="007F620E" w:rsidR="00A92D0B" w:rsidTr="001811F3" w14:paraId="67755362" w14:textId="77777777">
        <w:trPr>
          <w:tblHeader/>
        </w:trPr>
        <w:tc>
          <w:tcPr>
            <w:tcW w:w="3595" w:type="dxa"/>
            <w:tcBorders>
              <w:bottom w:val="single" w:color="auto" w:sz="4" w:space="0"/>
            </w:tcBorders>
            <w:shd w:val="pct12" w:color="auto" w:fill="auto"/>
            <w:vAlign w:val="bottom"/>
          </w:tcPr>
          <w:p w:rsidRPr="007F620E" w:rsidR="00A92D0B" w:rsidP="00AF03E6" w:rsidRDefault="00D075B1" w14:paraId="7CE2E5BB" w14:textId="77777777">
            <w:pPr>
              <w:keepNext/>
              <w:keepLines/>
              <w:contextualSpacing/>
              <w:jc w:val="center"/>
              <w:rPr>
                <w:b/>
                <w:color w:val="000000"/>
              </w:rPr>
            </w:pPr>
            <w:r w:rsidRPr="007F620E">
              <w:rPr>
                <w:b/>
                <w:color w:val="000000"/>
              </w:rPr>
              <w:t>Intervenor’s Claimed Contribution(s)</w:t>
            </w:r>
          </w:p>
        </w:tc>
        <w:tc>
          <w:tcPr>
            <w:tcW w:w="3803" w:type="dxa"/>
            <w:tcBorders>
              <w:bottom w:val="single" w:color="auto" w:sz="4" w:space="0"/>
            </w:tcBorders>
            <w:shd w:val="pct12" w:color="auto" w:fill="auto"/>
            <w:vAlign w:val="bottom"/>
          </w:tcPr>
          <w:p w:rsidRPr="007F620E" w:rsidR="00A92D0B" w:rsidP="00AF03E6" w:rsidRDefault="00A92D0B" w14:paraId="2794272E" w14:textId="77777777">
            <w:pPr>
              <w:keepNext/>
              <w:keepLines/>
              <w:contextualSpacing/>
              <w:jc w:val="center"/>
              <w:rPr>
                <w:b/>
                <w:color w:val="000000"/>
              </w:rPr>
            </w:pPr>
            <w:r w:rsidRPr="007F620E">
              <w:rPr>
                <w:b/>
                <w:color w:val="000000"/>
              </w:rPr>
              <w:t xml:space="preserve">Specific References to </w:t>
            </w:r>
            <w:r w:rsidRPr="007F620E" w:rsidR="00D075B1">
              <w:rPr>
                <w:b/>
                <w:color w:val="000000"/>
              </w:rPr>
              <w:t>Intervenor’s Claimed Contribution(s)</w:t>
            </w:r>
          </w:p>
        </w:tc>
        <w:tc>
          <w:tcPr>
            <w:tcW w:w="2340" w:type="dxa"/>
            <w:shd w:val="pct12" w:color="auto" w:fill="auto"/>
            <w:vAlign w:val="bottom"/>
          </w:tcPr>
          <w:p w:rsidRPr="007F620E" w:rsidR="00A92D0B" w:rsidP="00AF03E6" w:rsidRDefault="00D075B1" w14:paraId="79AFC714" w14:textId="77777777">
            <w:pPr>
              <w:keepNext/>
              <w:keepLines/>
              <w:contextualSpacing/>
              <w:jc w:val="center"/>
              <w:rPr>
                <w:b/>
                <w:color w:val="000000"/>
              </w:rPr>
            </w:pPr>
            <w:r w:rsidRPr="007F620E">
              <w:rPr>
                <w:b/>
                <w:color w:val="000000"/>
              </w:rPr>
              <w:t>CPUC Discussion</w:t>
            </w:r>
          </w:p>
        </w:tc>
      </w:tr>
      <w:tr w:rsidRPr="002307B8" w:rsidR="000B39D4" w:rsidTr="001811F3" w14:paraId="7602EF1C" w14:textId="77777777">
        <w:tc>
          <w:tcPr>
            <w:tcW w:w="3595" w:type="dxa"/>
            <w:shd w:val="clear" w:color="auto" w:fill="auto"/>
          </w:tcPr>
          <w:p w:rsidRPr="003522E3" w:rsidR="00051509" w:rsidP="00AF03E6" w:rsidRDefault="003522E3" w14:paraId="538357C2" w14:textId="6181EA3E">
            <w:pPr>
              <w:keepNext/>
              <w:keepLines/>
              <w:contextualSpacing/>
              <w:rPr>
                <w:b/>
                <w:bCs/>
                <w:color w:val="000000"/>
              </w:rPr>
            </w:pPr>
            <w:r w:rsidRPr="00EA784D">
              <w:rPr>
                <w:b/>
                <w:bCs/>
                <w:color w:val="000000"/>
              </w:rPr>
              <w:t>D.20-11-013 (ESPI Moratorium)</w:t>
            </w:r>
          </w:p>
          <w:p w:rsidR="00051509" w:rsidP="00AF03E6" w:rsidRDefault="00051509" w14:paraId="25F231E0" w14:textId="77777777">
            <w:pPr>
              <w:keepNext/>
              <w:keepLines/>
              <w:contextualSpacing/>
              <w:rPr>
                <w:color w:val="000000"/>
              </w:rPr>
            </w:pPr>
          </w:p>
          <w:p w:rsidR="0042220E" w:rsidP="00AF03E6" w:rsidRDefault="002307B8" w14:paraId="5C2064AC" w14:textId="1825B14B">
            <w:pPr>
              <w:keepNext/>
              <w:keepLines/>
              <w:contextualSpacing/>
              <w:rPr>
                <w:color w:val="000000"/>
              </w:rPr>
            </w:pPr>
            <w:r>
              <w:rPr>
                <w:color w:val="000000"/>
              </w:rPr>
              <w:t xml:space="preserve">1. </w:t>
            </w:r>
            <w:r w:rsidRPr="002307B8">
              <w:rPr>
                <w:color w:val="000000"/>
              </w:rPr>
              <w:t xml:space="preserve">TURN, along with Cal Advocates and NRDC, demonstrated that </w:t>
            </w:r>
            <w:r w:rsidR="00EA458E">
              <w:rPr>
                <w:color w:val="000000"/>
              </w:rPr>
              <w:t xml:space="preserve">the </w:t>
            </w:r>
            <w:r w:rsidR="00F342F5">
              <w:rPr>
                <w:color w:val="000000"/>
              </w:rPr>
              <w:t>Commission</w:t>
            </w:r>
            <w:r w:rsidR="0092400F">
              <w:rPr>
                <w:color w:val="000000"/>
              </w:rPr>
              <w:t xml:space="preserve"> should impose a moratorium </w:t>
            </w:r>
            <w:r w:rsidR="00F342F5">
              <w:rPr>
                <w:color w:val="000000"/>
              </w:rPr>
              <w:t xml:space="preserve">on further funding of </w:t>
            </w:r>
            <w:r w:rsidRPr="002307B8">
              <w:rPr>
                <w:color w:val="000000"/>
              </w:rPr>
              <w:t xml:space="preserve">ESPI </w:t>
            </w:r>
            <w:r w:rsidR="00F342F5">
              <w:rPr>
                <w:color w:val="000000"/>
              </w:rPr>
              <w:t>awards to pro</w:t>
            </w:r>
            <w:r w:rsidR="00587D3C">
              <w:rPr>
                <w:color w:val="000000"/>
              </w:rPr>
              <w:t>t</w:t>
            </w:r>
            <w:r w:rsidR="00F342F5">
              <w:rPr>
                <w:color w:val="000000"/>
              </w:rPr>
              <w:t>ect ratepayers from unjustified cost burdens</w:t>
            </w:r>
            <w:r w:rsidRPr="002307B8">
              <w:rPr>
                <w:color w:val="000000"/>
              </w:rPr>
              <w:t xml:space="preserve">. </w:t>
            </w:r>
          </w:p>
          <w:p w:rsidR="0042220E" w:rsidP="00AF03E6" w:rsidRDefault="0042220E" w14:paraId="0FAAFFC0" w14:textId="77777777">
            <w:pPr>
              <w:keepNext/>
              <w:keepLines/>
              <w:contextualSpacing/>
              <w:rPr>
                <w:color w:val="000000"/>
              </w:rPr>
            </w:pPr>
          </w:p>
          <w:p w:rsidRPr="002D6DAA" w:rsidR="004D188B" w:rsidP="00AF03E6" w:rsidRDefault="004D188B" w14:paraId="70B149A1" w14:textId="12E3E44C">
            <w:pPr>
              <w:pStyle w:val="ListParagraph"/>
              <w:keepNext/>
              <w:keepLines/>
              <w:numPr>
                <w:ilvl w:val="0"/>
                <w:numId w:val="14"/>
              </w:numPr>
              <w:ind w:left="333"/>
              <w:contextualSpacing/>
            </w:pPr>
            <w:r w:rsidRPr="002D6DAA">
              <w:t xml:space="preserve">The Commission specifically </w:t>
            </w:r>
            <w:r w:rsidRPr="002D6DAA" w:rsidR="004C5362">
              <w:t>agreed with</w:t>
            </w:r>
            <w:r w:rsidRPr="002D6DAA">
              <w:t xml:space="preserve"> </w:t>
            </w:r>
            <w:r w:rsidRPr="002D6DAA" w:rsidR="004C5362">
              <w:t xml:space="preserve">TURN that there </w:t>
            </w:r>
            <w:r w:rsidRPr="002D6DAA" w:rsidR="002471A7">
              <w:t xml:space="preserve">is </w:t>
            </w:r>
            <w:r w:rsidRPr="002D6DAA" w:rsidR="001D1AD3">
              <w:t xml:space="preserve">no inherent need to </w:t>
            </w:r>
            <w:r w:rsidRPr="002D6DAA" w:rsidR="005E1F26">
              <w:t>provide incentives for IOUs to reasonably conduct the core functions of an EE portfolio administrator.</w:t>
            </w:r>
          </w:p>
          <w:p w:rsidR="005E1F26" w:rsidP="00AF03E6" w:rsidRDefault="005E1F26" w14:paraId="0B28D69F" w14:textId="77777777">
            <w:pPr>
              <w:keepNext/>
              <w:keepLines/>
              <w:contextualSpacing/>
              <w:rPr>
                <w:color w:val="000000"/>
              </w:rPr>
            </w:pPr>
          </w:p>
          <w:p w:rsidRPr="002D6DAA" w:rsidR="007C3944" w:rsidP="00AF03E6" w:rsidRDefault="002471A7" w14:paraId="401772CC" w14:textId="140FD3F8">
            <w:pPr>
              <w:pStyle w:val="ListParagraph"/>
              <w:keepNext/>
              <w:keepLines/>
              <w:numPr>
                <w:ilvl w:val="0"/>
                <w:numId w:val="14"/>
              </w:numPr>
              <w:ind w:left="333"/>
              <w:contextualSpacing/>
            </w:pPr>
            <w:r w:rsidRPr="002D6DAA">
              <w:t>Similarly, t</w:t>
            </w:r>
            <w:r w:rsidRPr="002D6DAA" w:rsidR="0042220E">
              <w:t>he Commission embraced TURN’s analysis of IOU claims that ESPI is needed to compensate for financial risk of non-performance</w:t>
            </w:r>
            <w:r w:rsidRPr="002D6DAA" w:rsidR="00686C2E">
              <w:t xml:space="preserve"> by third party implementers</w:t>
            </w:r>
            <w:r w:rsidRPr="002D6DAA" w:rsidR="0042220E">
              <w:t>.</w:t>
            </w:r>
            <w:r w:rsidRPr="002D6DAA" w:rsidR="00686C2E">
              <w:t xml:space="preserve">  </w:t>
            </w:r>
            <w:r w:rsidRPr="002D6DAA" w:rsidR="00B360DF">
              <w:t xml:space="preserve">TURN </w:t>
            </w:r>
            <w:r w:rsidRPr="002D6DAA" w:rsidR="00C808F6">
              <w:t>pointed out</w:t>
            </w:r>
            <w:r w:rsidRPr="002D6DAA" w:rsidR="00B360DF">
              <w:t xml:space="preserve"> that IOUs </w:t>
            </w:r>
            <w:r w:rsidRPr="002D6DAA" w:rsidR="00586ADD">
              <w:t xml:space="preserve">currently </w:t>
            </w:r>
            <w:r w:rsidRPr="002D6DAA" w:rsidR="00B360DF">
              <w:t xml:space="preserve">face no penalties for under-performance (unlike the prior RRIM), and </w:t>
            </w:r>
            <w:r w:rsidRPr="002D6DAA" w:rsidR="00A6386A">
              <w:t>the Commission already accounts for general business and financial risks</w:t>
            </w:r>
            <w:r w:rsidRPr="002D6DAA" w:rsidR="003830C0">
              <w:t xml:space="preserve"> – like the EE contract risks faced by the IOUs --</w:t>
            </w:r>
            <w:r w:rsidRPr="002D6DAA" w:rsidR="00A6386A">
              <w:t xml:space="preserve"> through the authorized Return on Equity. </w:t>
            </w:r>
          </w:p>
          <w:p w:rsidR="007C3944" w:rsidP="00AF03E6" w:rsidRDefault="007C3944" w14:paraId="1926F713" w14:textId="77777777">
            <w:pPr>
              <w:keepNext/>
              <w:keepLines/>
              <w:contextualSpacing/>
              <w:rPr>
                <w:color w:val="000000"/>
              </w:rPr>
            </w:pPr>
          </w:p>
          <w:p w:rsidRPr="002D6DAA" w:rsidR="002307B8" w:rsidP="00AF03E6" w:rsidRDefault="007C3944" w14:paraId="51B1A118" w14:textId="58940C68">
            <w:pPr>
              <w:pStyle w:val="ListParagraph"/>
              <w:keepNext/>
              <w:keepLines/>
              <w:numPr>
                <w:ilvl w:val="0"/>
                <w:numId w:val="14"/>
              </w:numPr>
              <w:ind w:left="333"/>
              <w:contextualSpacing/>
            </w:pPr>
            <w:r w:rsidRPr="002D6DAA">
              <w:t xml:space="preserve">The Commission also </w:t>
            </w:r>
            <w:r w:rsidRPr="002D6DAA" w:rsidR="00CF1B42">
              <w:t>agreed with TURN</w:t>
            </w:r>
            <w:r w:rsidRPr="002D6DAA" w:rsidR="00A86EE9">
              <w:t xml:space="preserve"> that ex ante quality control improvements, even if influenced by ESPI</w:t>
            </w:r>
            <w:r w:rsidRPr="002D6DAA" w:rsidR="00CF1B42">
              <w:t xml:space="preserve"> initially</w:t>
            </w:r>
            <w:r w:rsidRPr="002D6DAA" w:rsidR="00A86EE9">
              <w:t xml:space="preserve">, will </w:t>
            </w:r>
            <w:r w:rsidRPr="002D6DAA" w:rsidR="00CF1B42">
              <w:t>likely persist without ESPI</w:t>
            </w:r>
            <w:r w:rsidRPr="002D6DAA" w:rsidR="000C199D">
              <w:t xml:space="preserve"> and do not justify retaining ESPI.</w:t>
            </w:r>
            <w:r w:rsidRPr="002D6DAA" w:rsidR="00A6386A">
              <w:t xml:space="preserve"> </w:t>
            </w:r>
            <w:r w:rsidRPr="002D6DAA" w:rsidR="0042220E">
              <w:t xml:space="preserve">  </w:t>
            </w:r>
            <w:r w:rsidRPr="002D6DAA" w:rsidR="002307B8">
              <w:t xml:space="preserve">  </w:t>
            </w:r>
          </w:p>
          <w:p w:rsidRPr="002307B8" w:rsidR="000B39D4" w:rsidP="00AF03E6" w:rsidRDefault="000B39D4" w14:paraId="748A11D2" w14:textId="267DE764">
            <w:pPr>
              <w:keepNext/>
              <w:keepLines/>
              <w:contextualSpacing/>
              <w:rPr>
                <w:color w:val="000000"/>
              </w:rPr>
            </w:pPr>
          </w:p>
        </w:tc>
        <w:tc>
          <w:tcPr>
            <w:tcW w:w="3803" w:type="dxa"/>
            <w:shd w:val="clear" w:color="auto" w:fill="auto"/>
          </w:tcPr>
          <w:p w:rsidRPr="003522E3" w:rsidR="002427CD" w:rsidP="00AF03E6" w:rsidRDefault="002427CD" w14:paraId="60612708" w14:textId="77777777">
            <w:pPr>
              <w:keepNext/>
              <w:keepLines/>
              <w:contextualSpacing/>
              <w:rPr>
                <w:b/>
                <w:bCs/>
                <w:color w:val="000000"/>
              </w:rPr>
            </w:pPr>
            <w:r w:rsidRPr="00EA784D">
              <w:rPr>
                <w:b/>
                <w:bCs/>
                <w:color w:val="000000"/>
              </w:rPr>
              <w:lastRenderedPageBreak/>
              <w:t>D.20-11-013 (ESPI Moratorium)</w:t>
            </w:r>
          </w:p>
          <w:p w:rsidR="00FB376F" w:rsidP="00AF03E6" w:rsidRDefault="00FB376F" w14:paraId="2518F634" w14:textId="77777777">
            <w:pPr>
              <w:keepNext/>
              <w:keepLines/>
              <w:contextualSpacing/>
              <w:rPr>
                <w:color w:val="000000"/>
              </w:rPr>
            </w:pPr>
          </w:p>
          <w:p w:rsidRPr="00D91BD1" w:rsidR="002471A7" w:rsidP="00AF03E6" w:rsidRDefault="001C7ECE" w14:paraId="76316250" w14:textId="60279D13">
            <w:pPr>
              <w:pStyle w:val="ListParagraph"/>
              <w:keepNext/>
              <w:keepLines/>
              <w:numPr>
                <w:ilvl w:val="0"/>
                <w:numId w:val="15"/>
              </w:numPr>
              <w:ind w:left="318"/>
              <w:contextualSpacing/>
            </w:pPr>
            <w:r w:rsidRPr="00D91BD1">
              <w:t xml:space="preserve">Incentives are Unnecessary for Conducting </w:t>
            </w:r>
            <w:r w:rsidRPr="00D91BD1" w:rsidR="004E70DC">
              <w:t>Core Function</w:t>
            </w:r>
            <w:r w:rsidRPr="00D91BD1" w:rsidR="000D7EE2">
              <w:t>s</w:t>
            </w:r>
          </w:p>
          <w:p w:rsidRPr="00D91BD1" w:rsidR="002471A7" w:rsidP="00AF03E6" w:rsidRDefault="002471A7" w14:paraId="08F87BF5" w14:textId="77777777">
            <w:pPr>
              <w:keepNext/>
              <w:keepLines/>
              <w:contextualSpacing/>
              <w:rPr>
                <w:color w:val="000000"/>
              </w:rPr>
            </w:pPr>
          </w:p>
          <w:p w:rsidRPr="00D91BD1" w:rsidR="00E529A5" w:rsidP="00AF03E6" w:rsidRDefault="00E529A5" w14:paraId="2188CC36" w14:textId="72754425">
            <w:pPr>
              <w:pStyle w:val="ListParagraph"/>
              <w:keepNext/>
              <w:keepLines/>
              <w:ind w:left="318"/>
              <w:contextualSpacing/>
            </w:pPr>
            <w:r w:rsidRPr="00D91BD1">
              <w:t xml:space="preserve">TURN Reply </w:t>
            </w:r>
            <w:proofErr w:type="spellStart"/>
            <w:r w:rsidRPr="00D91BD1">
              <w:t>Cmts</w:t>
            </w:r>
            <w:proofErr w:type="spellEnd"/>
            <w:r w:rsidRPr="00D91BD1">
              <w:t xml:space="preserve"> on ESPI Ruling, 5-15-20, pp. </w:t>
            </w:r>
            <w:r w:rsidRPr="00D91BD1" w:rsidR="00333F9D">
              <w:t>10-11</w:t>
            </w:r>
            <w:r w:rsidRPr="00D91BD1">
              <w:t>, 15-16</w:t>
            </w:r>
          </w:p>
          <w:p w:rsidRPr="00D91BD1" w:rsidR="00EE008F" w:rsidP="00AF03E6" w:rsidRDefault="00EE008F" w14:paraId="32DD19ED" w14:textId="77777777">
            <w:pPr>
              <w:keepNext/>
              <w:keepLines/>
              <w:ind w:left="318"/>
              <w:contextualSpacing/>
              <w:rPr>
                <w:color w:val="000000"/>
              </w:rPr>
            </w:pPr>
          </w:p>
          <w:p w:rsidRPr="00D91BD1" w:rsidR="00EE008F" w:rsidP="00AF03E6" w:rsidRDefault="00EE008F" w14:paraId="7C09FE02" w14:textId="650DBDA0">
            <w:pPr>
              <w:pStyle w:val="ListParagraph"/>
              <w:keepNext/>
              <w:keepLines/>
              <w:ind w:left="318"/>
              <w:contextualSpacing/>
            </w:pPr>
            <w:r w:rsidRPr="00D91BD1">
              <w:t xml:space="preserve">TURN Reply </w:t>
            </w:r>
            <w:proofErr w:type="spellStart"/>
            <w:r w:rsidRPr="00D91BD1">
              <w:t>Cmts</w:t>
            </w:r>
            <w:proofErr w:type="spellEnd"/>
            <w:r w:rsidRPr="00D91BD1">
              <w:t xml:space="preserve"> on PD/APD, </w:t>
            </w:r>
            <w:r w:rsidRPr="00D91BD1" w:rsidR="00981103">
              <w:t xml:space="preserve">10-27-20, </w:t>
            </w:r>
            <w:r w:rsidRPr="00D91BD1" w:rsidR="001319FC">
              <w:t>pp. 1-3</w:t>
            </w:r>
          </w:p>
          <w:p w:rsidRPr="00D91BD1" w:rsidR="00C34ADF" w:rsidP="00AF03E6" w:rsidRDefault="00C34ADF" w14:paraId="668095C8" w14:textId="77777777">
            <w:pPr>
              <w:pStyle w:val="ListParagraph"/>
              <w:keepNext/>
              <w:keepLines/>
              <w:numPr>
                <w:ilvl w:val="0"/>
                <w:numId w:val="0"/>
              </w:numPr>
              <w:ind w:left="720"/>
              <w:contextualSpacing/>
            </w:pPr>
          </w:p>
          <w:p w:rsidRPr="00D91BD1" w:rsidR="00C34ADF" w:rsidP="00AF03E6" w:rsidRDefault="00C34ADF" w14:paraId="1C077E2F" w14:textId="0D6CB2D1">
            <w:pPr>
              <w:pStyle w:val="ListParagraph"/>
              <w:keepNext/>
              <w:keepLines/>
              <w:ind w:left="318"/>
              <w:contextualSpacing/>
            </w:pPr>
            <w:r w:rsidRPr="00D91BD1">
              <w:t xml:space="preserve">D.20-11-013, </w:t>
            </w:r>
            <w:r w:rsidRPr="00D91BD1" w:rsidR="00692B91">
              <w:t>p. 20</w:t>
            </w:r>
          </w:p>
          <w:p w:rsidRPr="00D91BD1" w:rsidR="002471A7" w:rsidP="00AF03E6" w:rsidRDefault="002471A7" w14:paraId="1399C229" w14:textId="77777777">
            <w:pPr>
              <w:keepNext/>
              <w:keepLines/>
              <w:contextualSpacing/>
              <w:rPr>
                <w:color w:val="000000"/>
              </w:rPr>
            </w:pPr>
          </w:p>
          <w:p w:rsidRPr="00D91BD1" w:rsidR="00F21FF9" w:rsidP="00AF03E6" w:rsidRDefault="00F21FF9" w14:paraId="0F69AA91" w14:textId="77777777">
            <w:pPr>
              <w:keepNext/>
              <w:keepLines/>
              <w:contextualSpacing/>
              <w:rPr>
                <w:color w:val="000000"/>
              </w:rPr>
            </w:pPr>
          </w:p>
          <w:p w:rsidRPr="00D91BD1" w:rsidR="00586ADD" w:rsidP="00AF03E6" w:rsidRDefault="001C7ECE" w14:paraId="5A28F059" w14:textId="2EA1A6EF">
            <w:pPr>
              <w:pStyle w:val="ListParagraph"/>
              <w:keepNext/>
              <w:keepLines/>
              <w:numPr>
                <w:ilvl w:val="0"/>
                <w:numId w:val="15"/>
              </w:numPr>
              <w:ind w:left="318"/>
              <w:contextualSpacing/>
            </w:pPr>
            <w:r w:rsidRPr="00D91BD1">
              <w:t xml:space="preserve">IOUs Do Not Need ESPI to Compensate for Contracting </w:t>
            </w:r>
            <w:r w:rsidRPr="00D91BD1" w:rsidR="00A469A3">
              <w:t xml:space="preserve">Risk  </w:t>
            </w:r>
          </w:p>
          <w:p w:rsidRPr="00D91BD1" w:rsidR="00586ADD" w:rsidP="00AF03E6" w:rsidRDefault="00586ADD" w14:paraId="6DDF7D8E" w14:textId="77777777">
            <w:pPr>
              <w:keepNext/>
              <w:keepLines/>
              <w:contextualSpacing/>
              <w:rPr>
                <w:color w:val="000000"/>
              </w:rPr>
            </w:pPr>
          </w:p>
          <w:p w:rsidRPr="00D91BD1" w:rsidR="0025699C" w:rsidP="00AF03E6" w:rsidRDefault="0025699C" w14:paraId="07558AF5" w14:textId="5401ED10">
            <w:pPr>
              <w:pStyle w:val="ListParagraph"/>
              <w:keepNext/>
              <w:keepLines/>
              <w:ind w:left="360"/>
              <w:contextualSpacing/>
            </w:pPr>
            <w:r w:rsidRPr="00D91BD1">
              <w:t xml:space="preserve">TURN Reply </w:t>
            </w:r>
            <w:proofErr w:type="spellStart"/>
            <w:r w:rsidRPr="00D91BD1">
              <w:t>Cmts</w:t>
            </w:r>
            <w:proofErr w:type="spellEnd"/>
            <w:r w:rsidRPr="00D91BD1">
              <w:t xml:space="preserve"> on ESPI Ruling, </w:t>
            </w:r>
            <w:r w:rsidRPr="00D91BD1" w:rsidR="00B82535">
              <w:t xml:space="preserve">5-15-20, pp. </w:t>
            </w:r>
            <w:r w:rsidRPr="00D91BD1" w:rsidR="0001508D">
              <w:t>9-11</w:t>
            </w:r>
          </w:p>
          <w:p w:rsidRPr="00D91BD1" w:rsidR="001D28C9" w:rsidP="00AF03E6" w:rsidRDefault="001D28C9" w14:paraId="7969AD1C" w14:textId="77777777">
            <w:pPr>
              <w:keepNext/>
              <w:keepLines/>
              <w:contextualSpacing/>
              <w:rPr>
                <w:color w:val="000000"/>
              </w:rPr>
            </w:pPr>
          </w:p>
          <w:p w:rsidRPr="00D91BD1" w:rsidR="00B82535" w:rsidP="00AF03E6" w:rsidRDefault="001D28C9" w14:paraId="4669EA5F" w14:textId="0D105AFF">
            <w:pPr>
              <w:pStyle w:val="ListParagraph"/>
              <w:keepNext/>
              <w:keepLines/>
              <w:ind w:left="360"/>
              <w:contextualSpacing/>
            </w:pPr>
            <w:r w:rsidRPr="00D91BD1">
              <w:t xml:space="preserve">TURN Reply </w:t>
            </w:r>
            <w:proofErr w:type="spellStart"/>
            <w:r w:rsidRPr="00D91BD1">
              <w:t>Cmts</w:t>
            </w:r>
            <w:proofErr w:type="spellEnd"/>
            <w:r w:rsidRPr="00D91BD1">
              <w:t xml:space="preserve"> on PD/APD, 10-27-20, pp. 3-5</w:t>
            </w:r>
          </w:p>
          <w:p w:rsidRPr="00D91BD1" w:rsidR="001D28C9" w:rsidP="00AF03E6" w:rsidRDefault="001D28C9" w14:paraId="083E178F" w14:textId="77777777">
            <w:pPr>
              <w:keepNext/>
              <w:keepLines/>
              <w:contextualSpacing/>
              <w:rPr>
                <w:color w:val="000000"/>
              </w:rPr>
            </w:pPr>
          </w:p>
          <w:p w:rsidRPr="00D91BD1" w:rsidR="00FB376F" w:rsidP="00AF03E6" w:rsidRDefault="00A469A3" w14:paraId="0236E951" w14:textId="718026CC">
            <w:pPr>
              <w:pStyle w:val="ListParagraph"/>
              <w:keepNext/>
              <w:keepLines/>
              <w:ind w:left="360"/>
              <w:contextualSpacing/>
            </w:pPr>
            <w:r w:rsidRPr="00D91BD1">
              <w:t xml:space="preserve">D.20-11-013, </w:t>
            </w:r>
            <w:r w:rsidRPr="00D91BD1" w:rsidR="006655E1">
              <w:t xml:space="preserve">p. </w:t>
            </w:r>
            <w:r w:rsidRPr="00D91BD1" w:rsidR="000127DA">
              <w:t xml:space="preserve">10 (summarizing TURN’s position </w:t>
            </w:r>
            <w:r w:rsidRPr="00D91BD1" w:rsidR="006655E1">
              <w:t xml:space="preserve">on risk), </w:t>
            </w:r>
            <w:r w:rsidRPr="00D91BD1" w:rsidR="00586ADD">
              <w:t>p</w:t>
            </w:r>
            <w:r w:rsidRPr="00D91BD1" w:rsidR="00F904B9">
              <w:t>p</w:t>
            </w:r>
            <w:r w:rsidRPr="00D91BD1" w:rsidR="00586ADD">
              <w:t>. 19</w:t>
            </w:r>
            <w:r w:rsidRPr="00D91BD1" w:rsidR="00F904B9">
              <w:t>, 21</w:t>
            </w:r>
            <w:r w:rsidRPr="00D91BD1" w:rsidR="000D7DFA">
              <w:t xml:space="preserve"> (</w:t>
            </w:r>
            <w:r w:rsidRPr="00D91BD1" w:rsidR="007F051F">
              <w:t>discussing the lack of any risk for underperformance in ESPI</w:t>
            </w:r>
            <w:r w:rsidRPr="00D91BD1" w:rsidR="001C00E2">
              <w:t>)</w:t>
            </w:r>
            <w:r w:rsidRPr="00D91BD1" w:rsidR="00347B1A">
              <w:t>, p. 38</w:t>
            </w:r>
            <w:r w:rsidRPr="00D91BD1" w:rsidR="00EA458E">
              <w:t xml:space="preserve"> (citing TURN’s reply comments on the PD/APD)</w:t>
            </w:r>
          </w:p>
          <w:p w:rsidRPr="00D91BD1" w:rsidR="00A42F69" w:rsidP="00AF03E6" w:rsidRDefault="00A42F69" w14:paraId="0FA183B3" w14:textId="77777777">
            <w:pPr>
              <w:pStyle w:val="ListParagraph"/>
              <w:keepNext/>
              <w:keepLines/>
              <w:numPr>
                <w:ilvl w:val="0"/>
                <w:numId w:val="0"/>
              </w:numPr>
              <w:ind w:left="720"/>
              <w:contextualSpacing/>
            </w:pPr>
          </w:p>
          <w:p w:rsidRPr="00D91BD1" w:rsidR="00A42F69" w:rsidP="00AF03E6" w:rsidRDefault="00A42F69" w14:paraId="1205B482" w14:textId="77777777">
            <w:pPr>
              <w:keepNext/>
              <w:keepLines/>
              <w:contextualSpacing/>
            </w:pPr>
          </w:p>
          <w:p w:rsidRPr="00D91BD1" w:rsidR="00A42F69" w:rsidP="00AF03E6" w:rsidRDefault="007E0456" w14:paraId="60E9ACD5" w14:textId="5C4165AE">
            <w:pPr>
              <w:pStyle w:val="ListParagraph"/>
              <w:keepNext/>
              <w:keepLines/>
              <w:numPr>
                <w:ilvl w:val="0"/>
                <w:numId w:val="15"/>
              </w:numPr>
              <w:ind w:left="318"/>
              <w:contextualSpacing/>
            </w:pPr>
            <w:r w:rsidRPr="00D91BD1">
              <w:t xml:space="preserve">Ex Ante Process Quality Control Improvements Do Not </w:t>
            </w:r>
            <w:r w:rsidRPr="00D91BD1">
              <w:lastRenderedPageBreak/>
              <w:t>Justify Continuing ESPI Awards</w:t>
            </w:r>
          </w:p>
          <w:p w:rsidRPr="00D91BD1" w:rsidR="000D7EE2" w:rsidP="00AF03E6" w:rsidRDefault="000D7EE2" w14:paraId="0FF3A88B" w14:textId="77777777">
            <w:pPr>
              <w:keepNext/>
              <w:keepLines/>
              <w:contextualSpacing/>
            </w:pPr>
          </w:p>
          <w:p w:rsidR="003D61D8" w:rsidP="00AF03E6" w:rsidRDefault="003D61D8" w14:paraId="4BD81439" w14:textId="2F2C3B27">
            <w:pPr>
              <w:pStyle w:val="ListParagraph"/>
              <w:keepNext/>
              <w:keepLines/>
              <w:ind w:left="408"/>
              <w:contextualSpacing/>
            </w:pPr>
            <w:r>
              <w:t xml:space="preserve">TURN Reply </w:t>
            </w:r>
            <w:proofErr w:type="spellStart"/>
            <w:r>
              <w:t>Cmts</w:t>
            </w:r>
            <w:proofErr w:type="spellEnd"/>
            <w:r>
              <w:t xml:space="preserve"> on ESPI Ruling, 5-15-20, pp. 4-5</w:t>
            </w:r>
          </w:p>
          <w:p w:rsidR="003D61D8" w:rsidP="00AF03E6" w:rsidRDefault="003D61D8" w14:paraId="3705A02A" w14:textId="77777777">
            <w:pPr>
              <w:pStyle w:val="ListParagraph"/>
              <w:keepNext/>
              <w:keepLines/>
              <w:numPr>
                <w:ilvl w:val="0"/>
                <w:numId w:val="0"/>
              </w:numPr>
              <w:ind w:left="408"/>
              <w:contextualSpacing/>
            </w:pPr>
          </w:p>
          <w:p w:rsidRPr="007E0456" w:rsidR="000D7EE2" w:rsidP="00AF03E6" w:rsidRDefault="000D7EE2" w14:paraId="6FDAA138" w14:textId="05C75A19">
            <w:pPr>
              <w:pStyle w:val="ListParagraph"/>
              <w:keepNext/>
              <w:keepLines/>
              <w:ind w:left="408"/>
              <w:contextualSpacing/>
              <w:rPr>
                <w:i/>
                <w:iCs/>
              </w:rPr>
            </w:pPr>
            <w:r>
              <w:t xml:space="preserve">D.20-11-013, </w:t>
            </w:r>
            <w:r w:rsidR="00365DD2">
              <w:t>pp. 24-25</w:t>
            </w:r>
          </w:p>
        </w:tc>
        <w:tc>
          <w:tcPr>
            <w:tcW w:w="2340" w:type="dxa"/>
            <w:shd w:val="clear" w:color="auto" w:fill="auto"/>
          </w:tcPr>
          <w:p w:rsidR="000B39D4" w:rsidP="00864DD2" w:rsidRDefault="000B39D4" w14:paraId="17BA8EEB" w14:textId="77777777">
            <w:pPr>
              <w:keepNext/>
              <w:keepLines/>
              <w:contextualSpacing/>
              <w:jc w:val="center"/>
              <w:rPr>
                <w:color w:val="000000"/>
              </w:rPr>
            </w:pPr>
          </w:p>
          <w:p w:rsidR="00864DD2" w:rsidP="00864DD2" w:rsidRDefault="00864DD2" w14:paraId="67530E7C" w14:textId="77777777">
            <w:pPr>
              <w:keepNext/>
              <w:keepLines/>
              <w:contextualSpacing/>
              <w:jc w:val="center"/>
              <w:rPr>
                <w:color w:val="000000"/>
              </w:rPr>
            </w:pPr>
          </w:p>
          <w:p w:rsidR="00864DD2" w:rsidP="00864DD2" w:rsidRDefault="00864DD2" w14:paraId="055CB46A" w14:textId="77777777">
            <w:pPr>
              <w:keepNext/>
              <w:keepLines/>
              <w:contextualSpacing/>
              <w:jc w:val="center"/>
              <w:rPr>
                <w:color w:val="000000"/>
              </w:rPr>
            </w:pPr>
          </w:p>
          <w:p w:rsidR="00864DD2" w:rsidP="00864DD2" w:rsidRDefault="00864DD2" w14:paraId="2A07F844" w14:textId="77777777">
            <w:pPr>
              <w:keepNext/>
              <w:keepLines/>
              <w:contextualSpacing/>
              <w:jc w:val="center"/>
              <w:rPr>
                <w:color w:val="000000"/>
              </w:rPr>
            </w:pPr>
            <w:r>
              <w:rPr>
                <w:color w:val="000000"/>
              </w:rPr>
              <w:t>Verified</w:t>
            </w:r>
          </w:p>
          <w:p w:rsidR="00864DD2" w:rsidP="00864DD2" w:rsidRDefault="00864DD2" w14:paraId="43487A5D" w14:textId="77777777">
            <w:pPr>
              <w:keepNext/>
              <w:keepLines/>
              <w:contextualSpacing/>
              <w:jc w:val="center"/>
              <w:rPr>
                <w:color w:val="000000"/>
              </w:rPr>
            </w:pPr>
          </w:p>
          <w:p w:rsidR="00864DD2" w:rsidP="00864DD2" w:rsidRDefault="00864DD2" w14:paraId="4B928512" w14:textId="77777777">
            <w:pPr>
              <w:keepNext/>
              <w:keepLines/>
              <w:contextualSpacing/>
              <w:jc w:val="center"/>
              <w:rPr>
                <w:color w:val="000000"/>
              </w:rPr>
            </w:pPr>
          </w:p>
          <w:p w:rsidR="00864DD2" w:rsidP="00864DD2" w:rsidRDefault="00864DD2" w14:paraId="7B6E67C9" w14:textId="77777777">
            <w:pPr>
              <w:keepNext/>
              <w:keepLines/>
              <w:contextualSpacing/>
              <w:jc w:val="center"/>
              <w:rPr>
                <w:color w:val="000000"/>
              </w:rPr>
            </w:pPr>
          </w:p>
          <w:p w:rsidR="00864DD2" w:rsidP="00864DD2" w:rsidRDefault="00864DD2" w14:paraId="2649F07D" w14:textId="77777777">
            <w:pPr>
              <w:keepNext/>
              <w:keepLines/>
              <w:contextualSpacing/>
              <w:jc w:val="center"/>
              <w:rPr>
                <w:color w:val="000000"/>
              </w:rPr>
            </w:pPr>
          </w:p>
          <w:p w:rsidR="00864DD2" w:rsidP="00864DD2" w:rsidRDefault="00864DD2" w14:paraId="596FB680" w14:textId="77777777">
            <w:pPr>
              <w:keepNext/>
              <w:keepLines/>
              <w:contextualSpacing/>
              <w:jc w:val="center"/>
              <w:rPr>
                <w:color w:val="000000"/>
              </w:rPr>
            </w:pPr>
          </w:p>
          <w:p w:rsidR="00864DD2" w:rsidP="00864DD2" w:rsidRDefault="00864DD2" w14:paraId="3733B8E9" w14:textId="77777777">
            <w:pPr>
              <w:keepNext/>
              <w:keepLines/>
              <w:contextualSpacing/>
              <w:jc w:val="center"/>
              <w:rPr>
                <w:color w:val="000000"/>
              </w:rPr>
            </w:pPr>
          </w:p>
          <w:p w:rsidR="00864DD2" w:rsidP="00864DD2" w:rsidRDefault="00864DD2" w14:paraId="5FF11F22" w14:textId="77777777">
            <w:pPr>
              <w:keepNext/>
              <w:keepLines/>
              <w:contextualSpacing/>
              <w:jc w:val="center"/>
              <w:rPr>
                <w:color w:val="000000"/>
              </w:rPr>
            </w:pPr>
          </w:p>
          <w:p w:rsidR="00864DD2" w:rsidP="00864DD2" w:rsidRDefault="00864DD2" w14:paraId="1574168F" w14:textId="77777777">
            <w:pPr>
              <w:keepNext/>
              <w:keepLines/>
              <w:contextualSpacing/>
              <w:jc w:val="center"/>
              <w:rPr>
                <w:color w:val="000000"/>
              </w:rPr>
            </w:pPr>
          </w:p>
          <w:p w:rsidR="00864DD2" w:rsidP="00864DD2" w:rsidRDefault="00864DD2" w14:paraId="005BCCCA" w14:textId="77777777">
            <w:pPr>
              <w:keepNext/>
              <w:keepLines/>
              <w:contextualSpacing/>
              <w:jc w:val="center"/>
              <w:rPr>
                <w:color w:val="000000"/>
              </w:rPr>
            </w:pPr>
          </w:p>
          <w:p w:rsidR="00864DD2" w:rsidP="00864DD2" w:rsidRDefault="00864DD2" w14:paraId="19636EF7" w14:textId="77777777">
            <w:pPr>
              <w:keepNext/>
              <w:keepLines/>
              <w:contextualSpacing/>
              <w:jc w:val="center"/>
              <w:rPr>
                <w:color w:val="000000"/>
              </w:rPr>
            </w:pPr>
          </w:p>
          <w:p w:rsidR="00864DD2" w:rsidP="00864DD2" w:rsidRDefault="00864DD2" w14:paraId="470896C1" w14:textId="77777777">
            <w:pPr>
              <w:keepNext/>
              <w:keepLines/>
              <w:contextualSpacing/>
              <w:jc w:val="center"/>
              <w:rPr>
                <w:color w:val="000000"/>
              </w:rPr>
            </w:pPr>
          </w:p>
          <w:p w:rsidR="00864DD2" w:rsidP="00864DD2" w:rsidRDefault="00864DD2" w14:paraId="31518DBF" w14:textId="77777777">
            <w:pPr>
              <w:keepNext/>
              <w:keepLines/>
              <w:contextualSpacing/>
              <w:jc w:val="center"/>
              <w:rPr>
                <w:color w:val="000000"/>
              </w:rPr>
            </w:pPr>
          </w:p>
          <w:p w:rsidR="00864DD2" w:rsidP="00864DD2" w:rsidRDefault="00864DD2" w14:paraId="226A089A" w14:textId="77777777">
            <w:pPr>
              <w:keepNext/>
              <w:keepLines/>
              <w:contextualSpacing/>
              <w:jc w:val="center"/>
              <w:rPr>
                <w:color w:val="000000"/>
              </w:rPr>
            </w:pPr>
            <w:r>
              <w:rPr>
                <w:color w:val="000000"/>
              </w:rPr>
              <w:t>Verified</w:t>
            </w:r>
          </w:p>
          <w:p w:rsidR="00864DD2" w:rsidP="00864DD2" w:rsidRDefault="00864DD2" w14:paraId="0EB152AC" w14:textId="77777777">
            <w:pPr>
              <w:keepNext/>
              <w:keepLines/>
              <w:contextualSpacing/>
              <w:jc w:val="center"/>
              <w:rPr>
                <w:color w:val="000000"/>
              </w:rPr>
            </w:pPr>
          </w:p>
          <w:p w:rsidR="00864DD2" w:rsidP="00864DD2" w:rsidRDefault="00864DD2" w14:paraId="51158CD2" w14:textId="77777777">
            <w:pPr>
              <w:keepNext/>
              <w:keepLines/>
              <w:contextualSpacing/>
              <w:jc w:val="center"/>
              <w:rPr>
                <w:color w:val="000000"/>
              </w:rPr>
            </w:pPr>
          </w:p>
          <w:p w:rsidR="00864DD2" w:rsidP="00864DD2" w:rsidRDefault="00864DD2" w14:paraId="14DAD6F2" w14:textId="77777777">
            <w:pPr>
              <w:keepNext/>
              <w:keepLines/>
              <w:contextualSpacing/>
              <w:jc w:val="center"/>
              <w:rPr>
                <w:color w:val="000000"/>
              </w:rPr>
            </w:pPr>
          </w:p>
          <w:p w:rsidR="00864DD2" w:rsidP="00864DD2" w:rsidRDefault="00864DD2" w14:paraId="5E957E80" w14:textId="77777777">
            <w:pPr>
              <w:keepNext/>
              <w:keepLines/>
              <w:contextualSpacing/>
              <w:jc w:val="center"/>
              <w:rPr>
                <w:color w:val="000000"/>
              </w:rPr>
            </w:pPr>
          </w:p>
          <w:p w:rsidR="00864DD2" w:rsidP="00864DD2" w:rsidRDefault="00864DD2" w14:paraId="5E606297" w14:textId="77777777">
            <w:pPr>
              <w:keepNext/>
              <w:keepLines/>
              <w:contextualSpacing/>
              <w:jc w:val="center"/>
              <w:rPr>
                <w:color w:val="000000"/>
              </w:rPr>
            </w:pPr>
          </w:p>
          <w:p w:rsidR="00864DD2" w:rsidP="00864DD2" w:rsidRDefault="00864DD2" w14:paraId="1C615480" w14:textId="77777777">
            <w:pPr>
              <w:keepNext/>
              <w:keepLines/>
              <w:contextualSpacing/>
              <w:jc w:val="center"/>
              <w:rPr>
                <w:color w:val="000000"/>
              </w:rPr>
            </w:pPr>
          </w:p>
          <w:p w:rsidR="00864DD2" w:rsidP="00864DD2" w:rsidRDefault="00864DD2" w14:paraId="037338C7" w14:textId="77777777">
            <w:pPr>
              <w:keepNext/>
              <w:keepLines/>
              <w:contextualSpacing/>
              <w:jc w:val="center"/>
              <w:rPr>
                <w:color w:val="000000"/>
              </w:rPr>
            </w:pPr>
          </w:p>
          <w:p w:rsidR="00864DD2" w:rsidP="00864DD2" w:rsidRDefault="00864DD2" w14:paraId="5612CCC8" w14:textId="77777777">
            <w:pPr>
              <w:keepNext/>
              <w:keepLines/>
              <w:contextualSpacing/>
              <w:jc w:val="center"/>
              <w:rPr>
                <w:color w:val="000000"/>
              </w:rPr>
            </w:pPr>
          </w:p>
          <w:p w:rsidR="00864DD2" w:rsidP="00864DD2" w:rsidRDefault="00864DD2" w14:paraId="0093F4A8" w14:textId="77777777">
            <w:pPr>
              <w:keepNext/>
              <w:keepLines/>
              <w:contextualSpacing/>
              <w:jc w:val="center"/>
              <w:rPr>
                <w:color w:val="000000"/>
              </w:rPr>
            </w:pPr>
          </w:p>
          <w:p w:rsidR="00864DD2" w:rsidP="00864DD2" w:rsidRDefault="00864DD2" w14:paraId="4F29E6AA" w14:textId="77777777">
            <w:pPr>
              <w:keepNext/>
              <w:keepLines/>
              <w:contextualSpacing/>
              <w:jc w:val="center"/>
              <w:rPr>
                <w:color w:val="000000"/>
              </w:rPr>
            </w:pPr>
          </w:p>
          <w:p w:rsidR="00864DD2" w:rsidP="00864DD2" w:rsidRDefault="00864DD2" w14:paraId="5718B325" w14:textId="77777777">
            <w:pPr>
              <w:keepNext/>
              <w:keepLines/>
              <w:contextualSpacing/>
              <w:jc w:val="center"/>
              <w:rPr>
                <w:color w:val="000000"/>
              </w:rPr>
            </w:pPr>
          </w:p>
          <w:p w:rsidR="00864DD2" w:rsidP="00864DD2" w:rsidRDefault="00864DD2" w14:paraId="5752B7B3" w14:textId="77777777">
            <w:pPr>
              <w:keepNext/>
              <w:keepLines/>
              <w:contextualSpacing/>
              <w:jc w:val="center"/>
              <w:rPr>
                <w:color w:val="000000"/>
              </w:rPr>
            </w:pPr>
          </w:p>
          <w:p w:rsidR="00864DD2" w:rsidP="00864DD2" w:rsidRDefault="00864DD2" w14:paraId="057CE937" w14:textId="77777777">
            <w:pPr>
              <w:keepNext/>
              <w:keepLines/>
              <w:contextualSpacing/>
              <w:jc w:val="center"/>
              <w:rPr>
                <w:color w:val="000000"/>
              </w:rPr>
            </w:pPr>
          </w:p>
          <w:p w:rsidR="00864DD2" w:rsidP="00864DD2" w:rsidRDefault="00864DD2" w14:paraId="68F45691" w14:textId="77777777">
            <w:pPr>
              <w:keepNext/>
              <w:keepLines/>
              <w:contextualSpacing/>
              <w:jc w:val="center"/>
              <w:rPr>
                <w:color w:val="000000"/>
              </w:rPr>
            </w:pPr>
          </w:p>
          <w:p w:rsidR="00864DD2" w:rsidP="00864DD2" w:rsidRDefault="00864DD2" w14:paraId="0F53F43D" w14:textId="77777777">
            <w:pPr>
              <w:keepNext/>
              <w:keepLines/>
              <w:contextualSpacing/>
              <w:jc w:val="center"/>
              <w:rPr>
                <w:color w:val="000000"/>
              </w:rPr>
            </w:pPr>
          </w:p>
          <w:p w:rsidR="00864DD2" w:rsidP="00864DD2" w:rsidRDefault="00864DD2" w14:paraId="413ACBCF" w14:textId="77777777">
            <w:pPr>
              <w:keepNext/>
              <w:keepLines/>
              <w:contextualSpacing/>
              <w:jc w:val="center"/>
              <w:rPr>
                <w:color w:val="000000"/>
              </w:rPr>
            </w:pPr>
          </w:p>
          <w:p w:rsidR="00864DD2" w:rsidP="00864DD2" w:rsidRDefault="00864DD2" w14:paraId="36EDD0B5" w14:textId="77777777">
            <w:pPr>
              <w:keepNext/>
              <w:keepLines/>
              <w:contextualSpacing/>
              <w:jc w:val="center"/>
              <w:rPr>
                <w:color w:val="000000"/>
              </w:rPr>
            </w:pPr>
            <w:r>
              <w:rPr>
                <w:color w:val="000000"/>
              </w:rPr>
              <w:t>Verified</w:t>
            </w:r>
          </w:p>
          <w:p w:rsidR="00864DD2" w:rsidP="00864DD2" w:rsidRDefault="00864DD2" w14:paraId="4935516B" w14:textId="77777777">
            <w:pPr>
              <w:keepNext/>
              <w:keepLines/>
              <w:contextualSpacing/>
              <w:jc w:val="center"/>
              <w:rPr>
                <w:color w:val="000000"/>
              </w:rPr>
            </w:pPr>
          </w:p>
          <w:p w:rsidR="00864DD2" w:rsidP="00864DD2" w:rsidRDefault="00864DD2" w14:paraId="060F5CF4" w14:textId="77777777">
            <w:pPr>
              <w:keepNext/>
              <w:keepLines/>
              <w:contextualSpacing/>
              <w:jc w:val="center"/>
              <w:rPr>
                <w:color w:val="000000"/>
              </w:rPr>
            </w:pPr>
          </w:p>
          <w:p w:rsidR="00864DD2" w:rsidP="00864DD2" w:rsidRDefault="00864DD2" w14:paraId="0BE17FDB" w14:textId="77777777">
            <w:pPr>
              <w:keepNext/>
              <w:keepLines/>
              <w:contextualSpacing/>
              <w:jc w:val="center"/>
              <w:rPr>
                <w:color w:val="000000"/>
              </w:rPr>
            </w:pPr>
          </w:p>
          <w:p w:rsidR="00864DD2" w:rsidP="00864DD2" w:rsidRDefault="00864DD2" w14:paraId="4B0E5F7C" w14:textId="77777777">
            <w:pPr>
              <w:keepNext/>
              <w:keepLines/>
              <w:contextualSpacing/>
              <w:jc w:val="center"/>
              <w:rPr>
                <w:color w:val="000000"/>
              </w:rPr>
            </w:pPr>
          </w:p>
          <w:p w:rsidR="00864DD2" w:rsidP="00864DD2" w:rsidRDefault="00864DD2" w14:paraId="0DB2281C" w14:textId="77777777">
            <w:pPr>
              <w:keepNext/>
              <w:keepLines/>
              <w:contextualSpacing/>
              <w:jc w:val="center"/>
              <w:rPr>
                <w:color w:val="000000"/>
              </w:rPr>
            </w:pPr>
          </w:p>
          <w:p w:rsidRPr="002307B8" w:rsidR="00864DD2" w:rsidP="00864DD2" w:rsidRDefault="00864DD2" w14:paraId="3167CBD1" w14:textId="07A9A187">
            <w:pPr>
              <w:keepNext/>
              <w:keepLines/>
              <w:contextualSpacing/>
              <w:rPr>
                <w:color w:val="000000"/>
              </w:rPr>
            </w:pPr>
          </w:p>
        </w:tc>
      </w:tr>
      <w:tr w:rsidRPr="002307B8" w:rsidR="000B39D4" w:rsidTr="001811F3" w14:paraId="4AA84D6C" w14:textId="77777777">
        <w:tc>
          <w:tcPr>
            <w:tcW w:w="3595" w:type="dxa"/>
            <w:shd w:val="clear" w:color="auto" w:fill="auto"/>
          </w:tcPr>
          <w:p w:rsidRPr="002307B8" w:rsidR="000B39D4" w:rsidP="00AF03E6" w:rsidRDefault="002307B8" w14:paraId="5210A43A" w14:textId="6764E17F">
            <w:pPr>
              <w:keepNext/>
              <w:keepLines/>
              <w:contextualSpacing/>
              <w:rPr>
                <w:color w:val="000000"/>
              </w:rPr>
            </w:pPr>
            <w:r>
              <w:rPr>
                <w:color w:val="000000"/>
              </w:rPr>
              <w:lastRenderedPageBreak/>
              <w:t xml:space="preserve">2.  </w:t>
            </w:r>
            <w:r w:rsidR="00003E74">
              <w:rPr>
                <w:color w:val="000000"/>
              </w:rPr>
              <w:t xml:space="preserve">TURN </w:t>
            </w:r>
            <w:r w:rsidR="00EC1716">
              <w:rPr>
                <w:color w:val="000000"/>
              </w:rPr>
              <w:t xml:space="preserve">contributed to the Commission’s determination that </w:t>
            </w:r>
            <w:r w:rsidR="004220E9">
              <w:rPr>
                <w:color w:val="000000"/>
              </w:rPr>
              <w:t xml:space="preserve">the moratorium on ESPI awards should apply to </w:t>
            </w:r>
            <w:r w:rsidR="001F0E37">
              <w:rPr>
                <w:color w:val="000000"/>
              </w:rPr>
              <w:t xml:space="preserve">advice letter </w:t>
            </w:r>
            <w:r w:rsidR="004220E9">
              <w:rPr>
                <w:color w:val="000000"/>
              </w:rPr>
              <w:t xml:space="preserve">claims </w:t>
            </w:r>
            <w:r w:rsidR="001F0E37">
              <w:rPr>
                <w:color w:val="000000"/>
              </w:rPr>
              <w:t xml:space="preserve">made during the 2021 program year.  </w:t>
            </w:r>
            <w:r w:rsidR="00003E74">
              <w:rPr>
                <w:color w:val="000000"/>
              </w:rPr>
              <w:t xml:space="preserve"> </w:t>
            </w:r>
          </w:p>
        </w:tc>
        <w:tc>
          <w:tcPr>
            <w:tcW w:w="3803" w:type="dxa"/>
            <w:shd w:val="clear" w:color="auto" w:fill="auto"/>
          </w:tcPr>
          <w:p w:rsidRPr="00E008EA" w:rsidR="000B39D4" w:rsidP="00AF03E6" w:rsidRDefault="006845B5" w14:paraId="789DCDA1" w14:textId="0932A99B">
            <w:pPr>
              <w:pStyle w:val="ListParagraph"/>
              <w:keepNext/>
              <w:keepLines/>
              <w:ind w:left="408"/>
              <w:contextualSpacing/>
            </w:pPr>
            <w:r w:rsidRPr="00E008EA">
              <w:t xml:space="preserve">TURN Reply </w:t>
            </w:r>
            <w:proofErr w:type="spellStart"/>
            <w:r w:rsidRPr="00E008EA">
              <w:t>Cmts</w:t>
            </w:r>
            <w:proofErr w:type="spellEnd"/>
            <w:r w:rsidRPr="00E008EA" w:rsidR="00EF3035">
              <w:t xml:space="preserve"> on ESPI</w:t>
            </w:r>
            <w:r w:rsidR="00EC6BD6">
              <w:t xml:space="preserve"> Ruling</w:t>
            </w:r>
            <w:r w:rsidRPr="00E008EA" w:rsidR="00EF3035">
              <w:t xml:space="preserve">, 5-15-20, </w:t>
            </w:r>
            <w:r w:rsidRPr="00E008EA" w:rsidR="00596732">
              <w:t>p. 17</w:t>
            </w:r>
          </w:p>
          <w:p w:rsidRPr="00E008EA" w:rsidR="00596732" w:rsidP="00AF03E6" w:rsidRDefault="00596732" w14:paraId="219A4D5D" w14:textId="77777777">
            <w:pPr>
              <w:pStyle w:val="ListParagraph"/>
              <w:keepNext/>
              <w:keepLines/>
              <w:numPr>
                <w:ilvl w:val="0"/>
                <w:numId w:val="0"/>
              </w:numPr>
              <w:ind w:left="408"/>
              <w:contextualSpacing/>
            </w:pPr>
          </w:p>
          <w:p w:rsidRPr="002C0590" w:rsidR="00596732" w:rsidP="00AF03E6" w:rsidRDefault="00596732" w14:paraId="63793888" w14:textId="2CD05681">
            <w:pPr>
              <w:pStyle w:val="ListParagraph"/>
              <w:keepNext/>
              <w:keepLines/>
              <w:ind w:left="408"/>
              <w:contextualSpacing/>
            </w:pPr>
            <w:r w:rsidRPr="00E008EA">
              <w:t>D.20-</w:t>
            </w:r>
            <w:r w:rsidRPr="00E008EA" w:rsidR="00902430">
              <w:t>11-013, pp. 33-34</w:t>
            </w:r>
            <w:r w:rsidRPr="00E008EA" w:rsidR="00D06096">
              <w:t xml:space="preserve"> (pointing to TURN’s </w:t>
            </w:r>
            <w:r w:rsidRPr="00E008EA" w:rsidR="000F3578">
              <w:t>comments defending a timeline with the moratorium taking effect in the same year in which the decision was issued)</w:t>
            </w:r>
          </w:p>
        </w:tc>
        <w:tc>
          <w:tcPr>
            <w:tcW w:w="2340" w:type="dxa"/>
            <w:shd w:val="clear" w:color="auto" w:fill="auto"/>
          </w:tcPr>
          <w:p w:rsidR="000B39D4" w:rsidP="00864DD2" w:rsidRDefault="000B39D4" w14:paraId="2FAB6219" w14:textId="77777777">
            <w:pPr>
              <w:keepNext/>
              <w:keepLines/>
              <w:contextualSpacing/>
              <w:jc w:val="center"/>
              <w:rPr>
                <w:color w:val="000000"/>
              </w:rPr>
            </w:pPr>
          </w:p>
          <w:p w:rsidR="00864DD2" w:rsidP="00864DD2" w:rsidRDefault="00864DD2" w14:paraId="77C45F95" w14:textId="77777777">
            <w:pPr>
              <w:keepNext/>
              <w:keepLines/>
              <w:contextualSpacing/>
              <w:jc w:val="center"/>
              <w:rPr>
                <w:color w:val="000000"/>
              </w:rPr>
            </w:pPr>
          </w:p>
          <w:p w:rsidR="00864DD2" w:rsidP="00864DD2" w:rsidRDefault="00864DD2" w14:paraId="19374F86" w14:textId="77777777">
            <w:pPr>
              <w:keepNext/>
              <w:keepLines/>
              <w:contextualSpacing/>
              <w:jc w:val="center"/>
              <w:rPr>
                <w:color w:val="000000"/>
              </w:rPr>
            </w:pPr>
          </w:p>
          <w:p w:rsidRPr="002307B8" w:rsidR="00864DD2" w:rsidP="00864DD2" w:rsidRDefault="00864DD2" w14:paraId="3C7AB616" w14:textId="79F28245">
            <w:pPr>
              <w:keepNext/>
              <w:keepLines/>
              <w:contextualSpacing/>
              <w:jc w:val="center"/>
              <w:rPr>
                <w:color w:val="000000"/>
              </w:rPr>
            </w:pPr>
            <w:r>
              <w:rPr>
                <w:color w:val="000000"/>
              </w:rPr>
              <w:t>Verified</w:t>
            </w:r>
          </w:p>
        </w:tc>
      </w:tr>
      <w:tr w:rsidRPr="007F620E" w:rsidR="00A92D0B" w:rsidTr="001811F3" w14:paraId="4AAA05AE" w14:textId="77777777">
        <w:tc>
          <w:tcPr>
            <w:tcW w:w="3595" w:type="dxa"/>
            <w:shd w:val="clear" w:color="auto" w:fill="auto"/>
          </w:tcPr>
          <w:p w:rsidRPr="00465C4F" w:rsidR="00A92D0B" w:rsidP="00AF03E6" w:rsidRDefault="00975C1E" w14:paraId="31756DBD" w14:textId="23CA1BD4">
            <w:pPr>
              <w:keepNext/>
              <w:keepLines/>
              <w:contextualSpacing/>
              <w:rPr>
                <w:b/>
                <w:bCs/>
                <w:color w:val="000000"/>
              </w:rPr>
            </w:pPr>
            <w:r w:rsidRPr="00465C4F">
              <w:rPr>
                <w:b/>
                <w:bCs/>
                <w:color w:val="000000"/>
              </w:rPr>
              <w:t>D.21-01-004 (AB 841 Implementation)</w:t>
            </w:r>
          </w:p>
          <w:p w:rsidRPr="00465C4F" w:rsidR="006F335C" w:rsidP="00AF03E6" w:rsidRDefault="006F335C" w14:paraId="6AF7D755" w14:textId="77777777">
            <w:pPr>
              <w:keepNext/>
              <w:keepLines/>
              <w:contextualSpacing/>
              <w:rPr>
                <w:b/>
                <w:bCs/>
                <w:color w:val="000000"/>
              </w:rPr>
            </w:pPr>
          </w:p>
          <w:p w:rsidRPr="00465C4F" w:rsidR="006F335C" w:rsidP="00AF03E6" w:rsidRDefault="00720837" w14:paraId="2537AA77" w14:textId="2B11F4EF">
            <w:pPr>
              <w:keepNext/>
              <w:keepLines/>
              <w:contextualSpacing/>
              <w:rPr>
                <w:color w:val="000000"/>
              </w:rPr>
            </w:pPr>
            <w:r w:rsidRPr="00465C4F">
              <w:rPr>
                <w:color w:val="000000"/>
              </w:rPr>
              <w:t xml:space="preserve">TURN contributed to the Commission’s implementation of the AB 841 </w:t>
            </w:r>
            <w:r w:rsidRPr="00465C4F" w:rsidR="00F10472">
              <w:rPr>
                <w:color w:val="000000"/>
              </w:rPr>
              <w:t xml:space="preserve">School Energy Efficiency </w:t>
            </w:r>
            <w:r w:rsidRPr="00465C4F">
              <w:rPr>
                <w:color w:val="000000"/>
              </w:rPr>
              <w:t>Stimulus Program</w:t>
            </w:r>
            <w:r w:rsidRPr="00465C4F" w:rsidR="00F10472">
              <w:rPr>
                <w:color w:val="000000"/>
              </w:rPr>
              <w:t xml:space="preserve"> (Stimulus Program)</w:t>
            </w:r>
            <w:r w:rsidRPr="00465C4F" w:rsidR="00CA2901">
              <w:rPr>
                <w:color w:val="000000"/>
              </w:rPr>
              <w:t>.</w:t>
            </w:r>
          </w:p>
          <w:p w:rsidRPr="00465C4F" w:rsidR="00CA2901" w:rsidP="00AF03E6" w:rsidRDefault="00CA2901" w14:paraId="1AA82D4E" w14:textId="77777777">
            <w:pPr>
              <w:keepNext/>
              <w:keepLines/>
              <w:contextualSpacing/>
              <w:rPr>
                <w:b/>
                <w:bCs/>
                <w:color w:val="000000"/>
              </w:rPr>
            </w:pPr>
          </w:p>
          <w:p w:rsidRPr="00465C4F" w:rsidR="009B49A1" w:rsidP="00AF03E6" w:rsidRDefault="003D33E8" w14:paraId="3D09D803" w14:textId="67F20A94">
            <w:pPr>
              <w:pStyle w:val="ListParagraph"/>
              <w:keepNext/>
              <w:keepLines/>
              <w:numPr>
                <w:ilvl w:val="0"/>
                <w:numId w:val="16"/>
              </w:numPr>
              <w:ind w:left="333"/>
              <w:contextualSpacing/>
            </w:pPr>
            <w:r w:rsidRPr="00465C4F">
              <w:t>TURN urged the Commission to promote transparency by acknowledging that AB 841 would increase rates</w:t>
            </w:r>
            <w:r w:rsidRPr="00465C4F" w:rsidR="00540CCD">
              <w:t>.  TURN noted that PG&amp;E, SCE, and SDG&amp;E</w:t>
            </w:r>
            <w:r w:rsidRPr="00465C4F" w:rsidR="00D6244F">
              <w:t xml:space="preserve"> requested less funding</w:t>
            </w:r>
            <w:r w:rsidRPr="00465C4F" w:rsidR="002A7F74">
              <w:t xml:space="preserve"> for 2021</w:t>
            </w:r>
            <w:r w:rsidRPr="00465C4F" w:rsidR="00D6244F">
              <w:t xml:space="preserve"> than permitted by </w:t>
            </w:r>
            <w:r w:rsidRPr="00465C4F" w:rsidR="00BC5DF1">
              <w:t>D.18-05-041</w:t>
            </w:r>
            <w:r w:rsidRPr="00465C4F" w:rsidR="002A7F74">
              <w:t xml:space="preserve">, </w:t>
            </w:r>
            <w:r w:rsidRPr="00465C4F" w:rsidR="00CA68AB">
              <w:t xml:space="preserve">but AB 841 would increase </w:t>
            </w:r>
            <w:r w:rsidRPr="00465C4F" w:rsidR="005E4861">
              <w:t>funding by a portion of the amount not requested by each utility.  Also, TURN point</w:t>
            </w:r>
            <w:r w:rsidRPr="00465C4F" w:rsidR="00DF41CF">
              <w:t>ed</w:t>
            </w:r>
            <w:r w:rsidRPr="00465C4F" w:rsidR="005E4861">
              <w:t xml:space="preserve"> out that the unspent</w:t>
            </w:r>
            <w:r w:rsidRPr="00465C4F" w:rsidR="00E9492A">
              <w:t xml:space="preserve"> and </w:t>
            </w:r>
            <w:r w:rsidRPr="00465C4F" w:rsidR="005E4861">
              <w:lastRenderedPageBreak/>
              <w:t xml:space="preserve">uncommitted EE funds </w:t>
            </w:r>
            <w:r w:rsidRPr="00465C4F" w:rsidR="004754DB">
              <w:t>that would have offset future revenue collection would</w:t>
            </w:r>
            <w:r w:rsidRPr="00465C4F" w:rsidR="00E9492A">
              <w:t xml:space="preserve"> now be used for the AB 841 Stimulus Program. </w:t>
            </w:r>
            <w:r w:rsidRPr="00465C4F" w:rsidR="00242B2E">
              <w:t xml:space="preserve">The Commission </w:t>
            </w:r>
            <w:r w:rsidRPr="00465C4F" w:rsidR="00F67777">
              <w:t xml:space="preserve">incorporated both of these points in </w:t>
            </w:r>
            <w:r w:rsidRPr="00465C4F" w:rsidR="00CF190F">
              <w:t>explaining</w:t>
            </w:r>
            <w:r w:rsidRPr="00465C4F" w:rsidR="00F67777">
              <w:t xml:space="preserve"> why </w:t>
            </w:r>
            <w:r w:rsidRPr="00465C4F" w:rsidR="00CF190F">
              <w:t>AB 841 requires the Commission to authorize incremental funding.</w:t>
            </w:r>
          </w:p>
          <w:p w:rsidRPr="00465C4F" w:rsidR="00E25078" w:rsidP="00AF03E6" w:rsidRDefault="00E25078" w14:paraId="11FCCEB5" w14:textId="77777777">
            <w:pPr>
              <w:keepNext/>
              <w:keepLines/>
              <w:contextualSpacing/>
            </w:pPr>
          </w:p>
        </w:tc>
        <w:tc>
          <w:tcPr>
            <w:tcW w:w="3803" w:type="dxa"/>
            <w:shd w:val="clear" w:color="auto" w:fill="auto"/>
          </w:tcPr>
          <w:p w:rsidRPr="00465C4F" w:rsidR="002427CD" w:rsidP="00AF03E6" w:rsidRDefault="002427CD" w14:paraId="3090DC56" w14:textId="77777777">
            <w:pPr>
              <w:keepNext/>
              <w:keepLines/>
              <w:contextualSpacing/>
              <w:rPr>
                <w:b/>
                <w:bCs/>
                <w:color w:val="000000"/>
              </w:rPr>
            </w:pPr>
            <w:r w:rsidRPr="00465C4F">
              <w:rPr>
                <w:b/>
                <w:bCs/>
                <w:color w:val="000000"/>
              </w:rPr>
              <w:lastRenderedPageBreak/>
              <w:t>D.21-01-004 (AB 841 Implementation)</w:t>
            </w:r>
          </w:p>
          <w:p w:rsidR="007479AA" w:rsidP="00AF03E6" w:rsidRDefault="007479AA" w14:paraId="5EB9CFF9" w14:textId="77777777">
            <w:pPr>
              <w:keepNext/>
              <w:keepLines/>
              <w:contextualSpacing/>
              <w:rPr>
                <w:color w:val="000000"/>
              </w:rPr>
            </w:pPr>
          </w:p>
          <w:p w:rsidR="0008014E" w:rsidP="00AF03E6" w:rsidRDefault="0008014E" w14:paraId="0FB9DF81" w14:textId="77777777">
            <w:pPr>
              <w:pStyle w:val="ListParagraph"/>
              <w:keepNext/>
              <w:keepLines/>
              <w:numPr>
                <w:ilvl w:val="0"/>
                <w:numId w:val="0"/>
              </w:numPr>
              <w:ind w:left="318"/>
              <w:contextualSpacing/>
            </w:pPr>
          </w:p>
          <w:p w:rsidR="0008014E" w:rsidP="00AF03E6" w:rsidRDefault="0008014E" w14:paraId="299FA45E" w14:textId="77777777">
            <w:pPr>
              <w:pStyle w:val="ListParagraph"/>
              <w:keepNext/>
              <w:keepLines/>
              <w:numPr>
                <w:ilvl w:val="0"/>
                <w:numId w:val="0"/>
              </w:numPr>
              <w:ind w:left="318"/>
              <w:contextualSpacing/>
            </w:pPr>
          </w:p>
          <w:p w:rsidR="0008014E" w:rsidP="00AF03E6" w:rsidRDefault="0008014E" w14:paraId="563DFC7C" w14:textId="77777777">
            <w:pPr>
              <w:pStyle w:val="ListParagraph"/>
              <w:keepNext/>
              <w:keepLines/>
              <w:numPr>
                <w:ilvl w:val="0"/>
                <w:numId w:val="0"/>
              </w:numPr>
              <w:ind w:left="318"/>
              <w:contextualSpacing/>
            </w:pPr>
          </w:p>
          <w:p w:rsidR="0008014E" w:rsidP="00AF03E6" w:rsidRDefault="0008014E" w14:paraId="1C73F5D9" w14:textId="77777777">
            <w:pPr>
              <w:pStyle w:val="ListParagraph"/>
              <w:keepNext/>
              <w:keepLines/>
              <w:numPr>
                <w:ilvl w:val="0"/>
                <w:numId w:val="0"/>
              </w:numPr>
              <w:ind w:left="318"/>
              <w:contextualSpacing/>
            </w:pPr>
          </w:p>
          <w:p w:rsidR="0008014E" w:rsidP="00AF03E6" w:rsidRDefault="0008014E" w14:paraId="70EA448A" w14:textId="77777777">
            <w:pPr>
              <w:pStyle w:val="ListParagraph"/>
              <w:keepNext/>
              <w:keepLines/>
              <w:numPr>
                <w:ilvl w:val="0"/>
                <w:numId w:val="0"/>
              </w:numPr>
              <w:ind w:left="318"/>
              <w:contextualSpacing/>
            </w:pPr>
          </w:p>
          <w:p w:rsidR="0008014E" w:rsidP="00AF03E6" w:rsidRDefault="0008014E" w14:paraId="4AA43926" w14:textId="77777777">
            <w:pPr>
              <w:pStyle w:val="ListParagraph"/>
              <w:keepNext/>
              <w:keepLines/>
              <w:numPr>
                <w:ilvl w:val="0"/>
                <w:numId w:val="0"/>
              </w:numPr>
              <w:ind w:left="318"/>
              <w:contextualSpacing/>
            </w:pPr>
          </w:p>
          <w:p w:rsidR="00664A1E" w:rsidP="00AF03E6" w:rsidRDefault="00664A1E" w14:paraId="05E5A997" w14:textId="7781CA41">
            <w:pPr>
              <w:pStyle w:val="ListParagraph"/>
              <w:keepNext/>
              <w:keepLines/>
              <w:numPr>
                <w:ilvl w:val="0"/>
                <w:numId w:val="18"/>
              </w:numPr>
              <w:ind w:left="318"/>
              <w:contextualSpacing/>
            </w:pPr>
            <w:r>
              <w:t>TURN Rep</w:t>
            </w:r>
            <w:r w:rsidR="00E9458E">
              <w:t>ly</w:t>
            </w:r>
            <w:r>
              <w:t xml:space="preserve"> </w:t>
            </w:r>
            <w:proofErr w:type="spellStart"/>
            <w:r>
              <w:t>Cmts</w:t>
            </w:r>
            <w:proofErr w:type="spellEnd"/>
            <w:r>
              <w:t xml:space="preserve"> on AB 841 Implementation – Budget Development and Implementation Questions, 10-23-20, pp. 4-5</w:t>
            </w:r>
          </w:p>
          <w:p w:rsidR="00E9458E" w:rsidP="00AF03E6" w:rsidRDefault="00E9458E" w14:paraId="3B331670" w14:textId="77777777">
            <w:pPr>
              <w:pStyle w:val="ListParagraph"/>
              <w:keepNext/>
              <w:keepLines/>
              <w:numPr>
                <w:ilvl w:val="0"/>
                <w:numId w:val="0"/>
              </w:numPr>
              <w:ind w:left="318"/>
              <w:contextualSpacing/>
            </w:pPr>
          </w:p>
          <w:p w:rsidR="00664A1E" w:rsidP="00AF03E6" w:rsidRDefault="00664A1E" w14:paraId="7B224E55" w14:textId="2C20FADF">
            <w:pPr>
              <w:pStyle w:val="ListParagraph"/>
              <w:keepNext/>
              <w:keepLines/>
              <w:numPr>
                <w:ilvl w:val="0"/>
                <w:numId w:val="18"/>
              </w:numPr>
              <w:ind w:left="318"/>
              <w:contextualSpacing/>
            </w:pPr>
            <w:r>
              <w:t>D.21-01-004, p</w:t>
            </w:r>
            <w:r w:rsidR="00E9458E">
              <w:t>. 5</w:t>
            </w:r>
            <w:r w:rsidR="00247140">
              <w:t>; Findings of Fact 3-4</w:t>
            </w:r>
          </w:p>
          <w:p w:rsidR="00E9458E" w:rsidP="00AF03E6" w:rsidRDefault="00E9458E" w14:paraId="115CAD36" w14:textId="77777777">
            <w:pPr>
              <w:pStyle w:val="ListParagraph"/>
              <w:keepNext/>
              <w:keepLines/>
              <w:numPr>
                <w:ilvl w:val="0"/>
                <w:numId w:val="0"/>
              </w:numPr>
              <w:ind w:left="720"/>
              <w:contextualSpacing/>
            </w:pPr>
          </w:p>
          <w:p w:rsidR="00664A1E" w:rsidP="00AF03E6" w:rsidRDefault="00664A1E" w14:paraId="4EC639E8" w14:textId="77777777">
            <w:pPr>
              <w:keepNext/>
              <w:keepLines/>
              <w:contextualSpacing/>
            </w:pPr>
          </w:p>
          <w:p w:rsidR="007479AA" w:rsidP="00AF03E6" w:rsidRDefault="007479AA" w14:paraId="6A63F459" w14:textId="77777777">
            <w:pPr>
              <w:keepNext/>
              <w:keepLines/>
              <w:contextualSpacing/>
              <w:rPr>
                <w:color w:val="000000"/>
              </w:rPr>
            </w:pPr>
          </w:p>
          <w:p w:rsidR="007479AA" w:rsidP="00AF03E6" w:rsidRDefault="007479AA" w14:paraId="0B25A104" w14:textId="77777777">
            <w:pPr>
              <w:keepNext/>
              <w:keepLines/>
              <w:contextualSpacing/>
              <w:rPr>
                <w:color w:val="000000"/>
              </w:rPr>
            </w:pPr>
          </w:p>
          <w:p w:rsidR="009E276A" w:rsidP="00AF03E6" w:rsidRDefault="009E276A" w14:paraId="043599AA" w14:textId="77777777">
            <w:pPr>
              <w:pStyle w:val="ListParagraph"/>
              <w:keepNext/>
              <w:keepLines/>
              <w:numPr>
                <w:ilvl w:val="0"/>
                <w:numId w:val="0"/>
              </w:numPr>
              <w:ind w:left="720"/>
              <w:contextualSpacing/>
            </w:pPr>
          </w:p>
          <w:p w:rsidR="00764A62" w:rsidP="00AF03E6" w:rsidRDefault="00764A62" w14:paraId="07D9A865" w14:textId="69F8C150">
            <w:pPr>
              <w:keepNext/>
              <w:keepLines/>
              <w:contextualSpacing/>
            </w:pPr>
          </w:p>
          <w:p w:rsidR="00F921F2" w:rsidP="00AF03E6" w:rsidRDefault="00F921F2" w14:paraId="078E096B" w14:textId="77777777">
            <w:pPr>
              <w:keepNext/>
              <w:keepLines/>
              <w:contextualSpacing/>
            </w:pPr>
          </w:p>
          <w:p w:rsidR="009B49A1" w:rsidP="00AF03E6" w:rsidRDefault="009B49A1" w14:paraId="5966AF16" w14:textId="77777777">
            <w:pPr>
              <w:pStyle w:val="ListParagraph"/>
              <w:keepNext/>
              <w:keepLines/>
              <w:numPr>
                <w:ilvl w:val="0"/>
                <w:numId w:val="0"/>
              </w:numPr>
              <w:ind w:left="318"/>
              <w:contextualSpacing/>
            </w:pPr>
          </w:p>
          <w:p w:rsidR="00764A62" w:rsidP="00AF03E6" w:rsidRDefault="00764A62" w14:paraId="2003C088" w14:textId="77777777">
            <w:pPr>
              <w:pStyle w:val="ListParagraph"/>
              <w:keepNext/>
              <w:keepLines/>
              <w:numPr>
                <w:ilvl w:val="0"/>
                <w:numId w:val="0"/>
              </w:numPr>
              <w:ind w:left="318"/>
              <w:contextualSpacing/>
            </w:pPr>
          </w:p>
          <w:p w:rsidRPr="007F620E" w:rsidR="009E276A" w:rsidP="00AF03E6" w:rsidRDefault="009E276A" w14:paraId="2A92A629" w14:textId="2EB17357">
            <w:pPr>
              <w:pStyle w:val="ListParagraph"/>
              <w:keepNext/>
              <w:keepLines/>
              <w:numPr>
                <w:ilvl w:val="0"/>
                <w:numId w:val="0"/>
              </w:numPr>
              <w:ind w:left="318"/>
              <w:contextualSpacing/>
            </w:pPr>
          </w:p>
        </w:tc>
        <w:tc>
          <w:tcPr>
            <w:tcW w:w="2340" w:type="dxa"/>
            <w:shd w:val="clear" w:color="auto" w:fill="auto"/>
          </w:tcPr>
          <w:p w:rsidR="00A92D0B" w:rsidP="00864DD2" w:rsidRDefault="00A92D0B" w14:paraId="311D12F8" w14:textId="77777777">
            <w:pPr>
              <w:keepNext/>
              <w:keepLines/>
              <w:contextualSpacing/>
              <w:jc w:val="center"/>
              <w:rPr>
                <w:color w:val="000000"/>
              </w:rPr>
            </w:pPr>
          </w:p>
          <w:p w:rsidR="00864DD2" w:rsidP="00864DD2" w:rsidRDefault="00864DD2" w14:paraId="5BCE484C" w14:textId="77777777">
            <w:pPr>
              <w:keepNext/>
              <w:keepLines/>
              <w:contextualSpacing/>
              <w:jc w:val="center"/>
              <w:rPr>
                <w:color w:val="000000"/>
              </w:rPr>
            </w:pPr>
          </w:p>
          <w:p w:rsidR="00864DD2" w:rsidP="00864DD2" w:rsidRDefault="00864DD2" w14:paraId="27ADB532" w14:textId="77777777">
            <w:pPr>
              <w:keepNext/>
              <w:keepLines/>
              <w:contextualSpacing/>
              <w:jc w:val="center"/>
              <w:rPr>
                <w:color w:val="000000"/>
              </w:rPr>
            </w:pPr>
          </w:p>
          <w:p w:rsidR="00864DD2" w:rsidP="00864DD2" w:rsidRDefault="00864DD2" w14:paraId="65E9FF87" w14:textId="77777777">
            <w:pPr>
              <w:keepNext/>
              <w:keepLines/>
              <w:contextualSpacing/>
              <w:jc w:val="center"/>
              <w:rPr>
                <w:color w:val="000000"/>
              </w:rPr>
            </w:pPr>
          </w:p>
          <w:p w:rsidR="00864DD2" w:rsidP="00864DD2" w:rsidRDefault="00864DD2" w14:paraId="6829B39F" w14:textId="77777777">
            <w:pPr>
              <w:keepNext/>
              <w:keepLines/>
              <w:contextualSpacing/>
              <w:jc w:val="center"/>
              <w:rPr>
                <w:color w:val="000000"/>
              </w:rPr>
            </w:pPr>
          </w:p>
          <w:p w:rsidR="00864DD2" w:rsidP="00864DD2" w:rsidRDefault="00864DD2" w14:paraId="0C677750" w14:textId="77777777">
            <w:pPr>
              <w:keepNext/>
              <w:keepLines/>
              <w:contextualSpacing/>
              <w:jc w:val="center"/>
              <w:rPr>
                <w:color w:val="000000"/>
              </w:rPr>
            </w:pPr>
          </w:p>
          <w:p w:rsidR="00864DD2" w:rsidP="00864DD2" w:rsidRDefault="00864DD2" w14:paraId="0778F17D" w14:textId="77777777">
            <w:pPr>
              <w:keepNext/>
              <w:keepLines/>
              <w:contextualSpacing/>
              <w:jc w:val="center"/>
              <w:rPr>
                <w:color w:val="000000"/>
              </w:rPr>
            </w:pPr>
          </w:p>
          <w:p w:rsidR="00864DD2" w:rsidP="00864DD2" w:rsidRDefault="00864DD2" w14:paraId="1662CA0E" w14:textId="77777777">
            <w:pPr>
              <w:keepNext/>
              <w:keepLines/>
              <w:contextualSpacing/>
              <w:jc w:val="center"/>
              <w:rPr>
                <w:color w:val="000000"/>
              </w:rPr>
            </w:pPr>
          </w:p>
          <w:p w:rsidR="00864DD2" w:rsidP="00864DD2" w:rsidRDefault="00864DD2" w14:paraId="5AE49754" w14:textId="77777777">
            <w:pPr>
              <w:keepNext/>
              <w:keepLines/>
              <w:contextualSpacing/>
              <w:jc w:val="center"/>
              <w:rPr>
                <w:color w:val="000000"/>
              </w:rPr>
            </w:pPr>
          </w:p>
          <w:p w:rsidR="00864DD2" w:rsidP="00864DD2" w:rsidRDefault="00864DD2" w14:paraId="049FEBB7" w14:textId="77777777">
            <w:pPr>
              <w:keepNext/>
              <w:keepLines/>
              <w:contextualSpacing/>
              <w:jc w:val="center"/>
              <w:rPr>
                <w:color w:val="000000"/>
              </w:rPr>
            </w:pPr>
          </w:p>
          <w:p w:rsidR="00864DD2" w:rsidP="00864DD2" w:rsidRDefault="00864DD2" w14:paraId="765038F2" w14:textId="77777777">
            <w:pPr>
              <w:keepNext/>
              <w:keepLines/>
              <w:contextualSpacing/>
              <w:jc w:val="center"/>
              <w:rPr>
                <w:color w:val="000000"/>
              </w:rPr>
            </w:pPr>
          </w:p>
          <w:p w:rsidR="00864DD2" w:rsidP="00864DD2" w:rsidRDefault="00864DD2" w14:paraId="2E42BDA8" w14:textId="77777777">
            <w:pPr>
              <w:keepNext/>
              <w:keepLines/>
              <w:contextualSpacing/>
              <w:jc w:val="center"/>
              <w:rPr>
                <w:color w:val="000000"/>
              </w:rPr>
            </w:pPr>
            <w:r>
              <w:rPr>
                <w:color w:val="000000"/>
              </w:rPr>
              <w:t>Verified</w:t>
            </w:r>
          </w:p>
          <w:p w:rsidR="00864DD2" w:rsidP="00864DD2" w:rsidRDefault="00864DD2" w14:paraId="34D25237" w14:textId="77777777">
            <w:pPr>
              <w:keepNext/>
              <w:keepLines/>
              <w:contextualSpacing/>
              <w:jc w:val="center"/>
              <w:rPr>
                <w:color w:val="000000"/>
              </w:rPr>
            </w:pPr>
          </w:p>
          <w:p w:rsidR="00864DD2" w:rsidP="00864DD2" w:rsidRDefault="00864DD2" w14:paraId="7F063CD0" w14:textId="77777777">
            <w:pPr>
              <w:keepNext/>
              <w:keepLines/>
              <w:contextualSpacing/>
              <w:jc w:val="center"/>
              <w:rPr>
                <w:color w:val="000000"/>
              </w:rPr>
            </w:pPr>
          </w:p>
          <w:p w:rsidR="00864DD2" w:rsidP="00864DD2" w:rsidRDefault="00864DD2" w14:paraId="239AC270" w14:textId="77777777">
            <w:pPr>
              <w:keepNext/>
              <w:keepLines/>
              <w:contextualSpacing/>
              <w:jc w:val="center"/>
              <w:rPr>
                <w:color w:val="000000"/>
              </w:rPr>
            </w:pPr>
          </w:p>
          <w:p w:rsidR="00864DD2" w:rsidP="00864DD2" w:rsidRDefault="00864DD2" w14:paraId="49C5113B" w14:textId="77777777">
            <w:pPr>
              <w:keepNext/>
              <w:keepLines/>
              <w:contextualSpacing/>
              <w:jc w:val="center"/>
              <w:rPr>
                <w:color w:val="000000"/>
              </w:rPr>
            </w:pPr>
          </w:p>
          <w:p w:rsidR="00864DD2" w:rsidP="00864DD2" w:rsidRDefault="00864DD2" w14:paraId="422170A2" w14:textId="77777777">
            <w:pPr>
              <w:keepNext/>
              <w:keepLines/>
              <w:contextualSpacing/>
              <w:jc w:val="center"/>
              <w:rPr>
                <w:color w:val="000000"/>
              </w:rPr>
            </w:pPr>
          </w:p>
          <w:p w:rsidR="00864DD2" w:rsidP="00864DD2" w:rsidRDefault="00864DD2" w14:paraId="2386484E" w14:textId="77777777">
            <w:pPr>
              <w:keepNext/>
              <w:keepLines/>
              <w:contextualSpacing/>
              <w:jc w:val="center"/>
              <w:rPr>
                <w:color w:val="000000"/>
              </w:rPr>
            </w:pPr>
          </w:p>
          <w:p w:rsidR="00864DD2" w:rsidP="00864DD2" w:rsidRDefault="00864DD2" w14:paraId="562A445D" w14:textId="77777777">
            <w:pPr>
              <w:keepNext/>
              <w:keepLines/>
              <w:contextualSpacing/>
              <w:jc w:val="center"/>
              <w:rPr>
                <w:color w:val="000000"/>
              </w:rPr>
            </w:pPr>
          </w:p>
          <w:p w:rsidR="00864DD2" w:rsidP="00864DD2" w:rsidRDefault="00864DD2" w14:paraId="08778E01" w14:textId="77777777">
            <w:pPr>
              <w:keepNext/>
              <w:keepLines/>
              <w:contextualSpacing/>
              <w:jc w:val="center"/>
              <w:rPr>
                <w:color w:val="000000"/>
              </w:rPr>
            </w:pPr>
          </w:p>
          <w:p w:rsidR="00864DD2" w:rsidP="00864DD2" w:rsidRDefault="00864DD2" w14:paraId="3163AC8E" w14:textId="77777777">
            <w:pPr>
              <w:keepNext/>
              <w:keepLines/>
              <w:contextualSpacing/>
              <w:jc w:val="center"/>
              <w:rPr>
                <w:color w:val="000000"/>
              </w:rPr>
            </w:pPr>
          </w:p>
          <w:p w:rsidR="00864DD2" w:rsidP="00864DD2" w:rsidRDefault="00864DD2" w14:paraId="39312A10" w14:textId="77777777">
            <w:pPr>
              <w:keepNext/>
              <w:keepLines/>
              <w:contextualSpacing/>
              <w:jc w:val="center"/>
              <w:rPr>
                <w:color w:val="000000"/>
              </w:rPr>
            </w:pPr>
          </w:p>
          <w:p w:rsidR="00864DD2" w:rsidP="00864DD2" w:rsidRDefault="00864DD2" w14:paraId="3BAE8076" w14:textId="77777777">
            <w:pPr>
              <w:keepNext/>
              <w:keepLines/>
              <w:contextualSpacing/>
              <w:jc w:val="center"/>
              <w:rPr>
                <w:color w:val="000000"/>
              </w:rPr>
            </w:pPr>
          </w:p>
          <w:p w:rsidR="00864DD2" w:rsidP="00864DD2" w:rsidRDefault="00864DD2" w14:paraId="2F3F4A6D" w14:textId="77777777">
            <w:pPr>
              <w:keepNext/>
              <w:keepLines/>
              <w:contextualSpacing/>
              <w:jc w:val="center"/>
              <w:rPr>
                <w:color w:val="000000"/>
              </w:rPr>
            </w:pPr>
          </w:p>
          <w:p w:rsidR="00864DD2" w:rsidP="00864DD2" w:rsidRDefault="00864DD2" w14:paraId="4F4D26A8" w14:textId="77777777">
            <w:pPr>
              <w:keepNext/>
              <w:keepLines/>
              <w:contextualSpacing/>
              <w:jc w:val="center"/>
              <w:rPr>
                <w:color w:val="000000"/>
              </w:rPr>
            </w:pPr>
          </w:p>
          <w:p w:rsidR="00864DD2" w:rsidP="00864DD2" w:rsidRDefault="00864DD2" w14:paraId="2F6C41B8" w14:textId="77777777">
            <w:pPr>
              <w:keepNext/>
              <w:keepLines/>
              <w:contextualSpacing/>
              <w:jc w:val="center"/>
              <w:rPr>
                <w:color w:val="000000"/>
              </w:rPr>
            </w:pPr>
          </w:p>
          <w:p w:rsidR="00864DD2" w:rsidP="00864DD2" w:rsidRDefault="00864DD2" w14:paraId="1EFA1A56" w14:textId="77777777">
            <w:pPr>
              <w:keepNext/>
              <w:keepLines/>
              <w:contextualSpacing/>
              <w:jc w:val="center"/>
              <w:rPr>
                <w:color w:val="000000"/>
              </w:rPr>
            </w:pPr>
          </w:p>
          <w:p w:rsidR="00864DD2" w:rsidP="00864DD2" w:rsidRDefault="00864DD2" w14:paraId="1F64B434" w14:textId="77777777">
            <w:pPr>
              <w:keepNext/>
              <w:keepLines/>
              <w:contextualSpacing/>
              <w:jc w:val="center"/>
              <w:rPr>
                <w:color w:val="000000"/>
              </w:rPr>
            </w:pPr>
          </w:p>
          <w:p w:rsidR="00864DD2" w:rsidP="00864DD2" w:rsidRDefault="00864DD2" w14:paraId="4BCACD0E" w14:textId="77777777">
            <w:pPr>
              <w:keepNext/>
              <w:keepLines/>
              <w:contextualSpacing/>
              <w:jc w:val="center"/>
              <w:rPr>
                <w:color w:val="000000"/>
              </w:rPr>
            </w:pPr>
          </w:p>
          <w:p w:rsidR="00864DD2" w:rsidP="00864DD2" w:rsidRDefault="00864DD2" w14:paraId="570FA9E8" w14:textId="77777777">
            <w:pPr>
              <w:keepNext/>
              <w:keepLines/>
              <w:contextualSpacing/>
              <w:jc w:val="center"/>
              <w:rPr>
                <w:color w:val="000000"/>
              </w:rPr>
            </w:pPr>
          </w:p>
          <w:p w:rsidR="00864DD2" w:rsidP="00864DD2" w:rsidRDefault="00864DD2" w14:paraId="0EAED044" w14:textId="77777777">
            <w:pPr>
              <w:keepNext/>
              <w:keepLines/>
              <w:contextualSpacing/>
              <w:jc w:val="center"/>
              <w:rPr>
                <w:color w:val="000000"/>
              </w:rPr>
            </w:pPr>
          </w:p>
          <w:p w:rsidRPr="007F620E" w:rsidR="00864DD2" w:rsidP="00864DD2" w:rsidRDefault="00864DD2" w14:paraId="56FD3368" w14:textId="7EA599DD">
            <w:pPr>
              <w:keepNext/>
              <w:keepLines/>
              <w:contextualSpacing/>
              <w:rPr>
                <w:color w:val="000000"/>
              </w:rPr>
            </w:pPr>
          </w:p>
        </w:tc>
      </w:tr>
      <w:tr w:rsidRPr="007F620E" w:rsidR="00E5554A" w:rsidTr="001811F3" w14:paraId="68565AB8" w14:textId="77777777">
        <w:tc>
          <w:tcPr>
            <w:tcW w:w="3595" w:type="dxa"/>
            <w:shd w:val="clear" w:color="auto" w:fill="auto"/>
          </w:tcPr>
          <w:p w:rsidRPr="00465C4F" w:rsidR="0042608B" w:rsidP="00AF03E6" w:rsidRDefault="0042608B" w14:paraId="58E315B8" w14:textId="071EB0B6">
            <w:pPr>
              <w:keepNext/>
              <w:keepLines/>
              <w:ind w:left="333" w:hanging="333"/>
              <w:contextualSpacing/>
            </w:pPr>
            <w:r>
              <w:lastRenderedPageBreak/>
              <w:t xml:space="preserve">2.  </w:t>
            </w:r>
            <w:r w:rsidRPr="00465C4F">
              <w:t>The Commission agreed with TURN’s analysis of how to reconcile the AB 841 Stimulus Program budgets with the budget caps adopted in D.18-05-041.  TURN provided additional analysis showing why PG&amp;E’s and SCE’s proposal should be adopted to avoid increasing EE budgets overall beyond the D.18-05-041 caps.</w:t>
            </w:r>
          </w:p>
          <w:p w:rsidRPr="00EA784D" w:rsidR="00E5554A" w:rsidP="00AF03E6" w:rsidRDefault="00E5554A" w14:paraId="6CB300E9" w14:textId="77777777">
            <w:pPr>
              <w:keepNext/>
              <w:keepLines/>
              <w:contextualSpacing/>
              <w:rPr>
                <w:b/>
                <w:bCs/>
                <w:color w:val="000000"/>
              </w:rPr>
            </w:pPr>
          </w:p>
        </w:tc>
        <w:tc>
          <w:tcPr>
            <w:tcW w:w="3803" w:type="dxa"/>
            <w:shd w:val="clear" w:color="auto" w:fill="auto"/>
          </w:tcPr>
          <w:p w:rsidR="00BC1846" w:rsidP="00AF03E6" w:rsidRDefault="00BC1846" w14:paraId="18787D76" w14:textId="77777777">
            <w:pPr>
              <w:keepNext/>
              <w:keepLines/>
              <w:contextualSpacing/>
              <w:rPr>
                <w:color w:val="000000"/>
              </w:rPr>
            </w:pPr>
          </w:p>
          <w:p w:rsidR="00BC1846" w:rsidP="00AF03E6" w:rsidRDefault="00BC1846" w14:paraId="6171D4C8" w14:textId="77777777">
            <w:pPr>
              <w:pStyle w:val="ListParagraph"/>
              <w:keepNext/>
              <w:keepLines/>
              <w:ind w:left="318"/>
              <w:contextualSpacing/>
            </w:pPr>
            <w:r>
              <w:t xml:space="preserve">TURN Reply </w:t>
            </w:r>
            <w:proofErr w:type="spellStart"/>
            <w:r>
              <w:t>Cmts</w:t>
            </w:r>
            <w:proofErr w:type="spellEnd"/>
            <w:r>
              <w:t xml:space="preserve"> on AB 841 Implementation – Budget Development and Implementation Questions, 10-23-20, pp. 3-5</w:t>
            </w:r>
          </w:p>
          <w:p w:rsidR="00BC1846" w:rsidP="00AF03E6" w:rsidRDefault="00BC1846" w14:paraId="66FCF058" w14:textId="77777777">
            <w:pPr>
              <w:keepNext/>
              <w:keepLines/>
              <w:ind w:left="318"/>
              <w:contextualSpacing/>
              <w:rPr>
                <w:color w:val="000000"/>
              </w:rPr>
            </w:pPr>
          </w:p>
          <w:p w:rsidR="00BC1846" w:rsidP="00AF03E6" w:rsidRDefault="00BC1846" w14:paraId="109D4B32" w14:textId="77777777">
            <w:pPr>
              <w:pStyle w:val="ListParagraph"/>
              <w:keepNext/>
              <w:keepLines/>
              <w:ind w:left="318"/>
              <w:contextualSpacing/>
            </w:pPr>
            <w:r>
              <w:t>D.21-01-004, p. 11</w:t>
            </w:r>
          </w:p>
          <w:p w:rsidRPr="00351911" w:rsidR="00E5554A" w:rsidP="00AF03E6" w:rsidRDefault="00E5554A" w14:paraId="2A36CB01" w14:textId="77777777">
            <w:pPr>
              <w:pStyle w:val="ListParagraph"/>
              <w:keepNext/>
              <w:keepLines/>
              <w:numPr>
                <w:ilvl w:val="0"/>
                <w:numId w:val="0"/>
              </w:numPr>
              <w:ind w:left="318"/>
              <w:contextualSpacing/>
            </w:pPr>
          </w:p>
        </w:tc>
        <w:tc>
          <w:tcPr>
            <w:tcW w:w="2340" w:type="dxa"/>
            <w:shd w:val="clear" w:color="auto" w:fill="auto"/>
          </w:tcPr>
          <w:p w:rsidR="00E5554A" w:rsidP="00864DD2" w:rsidRDefault="00E5554A" w14:paraId="090C6C20" w14:textId="77777777">
            <w:pPr>
              <w:keepNext/>
              <w:keepLines/>
              <w:contextualSpacing/>
              <w:jc w:val="center"/>
              <w:rPr>
                <w:color w:val="000000"/>
              </w:rPr>
            </w:pPr>
          </w:p>
          <w:p w:rsidR="00864DD2" w:rsidP="00864DD2" w:rsidRDefault="00864DD2" w14:paraId="629D734E" w14:textId="77777777">
            <w:pPr>
              <w:keepNext/>
              <w:keepLines/>
              <w:contextualSpacing/>
              <w:jc w:val="center"/>
              <w:rPr>
                <w:color w:val="000000"/>
              </w:rPr>
            </w:pPr>
          </w:p>
          <w:p w:rsidR="00864DD2" w:rsidP="00864DD2" w:rsidRDefault="00864DD2" w14:paraId="156F3E6E" w14:textId="77777777">
            <w:pPr>
              <w:keepNext/>
              <w:keepLines/>
              <w:contextualSpacing/>
              <w:jc w:val="center"/>
              <w:rPr>
                <w:color w:val="000000"/>
              </w:rPr>
            </w:pPr>
          </w:p>
          <w:p w:rsidRPr="007F620E" w:rsidR="00864DD2" w:rsidP="00864DD2" w:rsidRDefault="00864DD2" w14:paraId="1316AF78" w14:textId="67BAB549">
            <w:pPr>
              <w:keepNext/>
              <w:keepLines/>
              <w:contextualSpacing/>
              <w:jc w:val="center"/>
              <w:rPr>
                <w:color w:val="000000"/>
              </w:rPr>
            </w:pPr>
            <w:r>
              <w:rPr>
                <w:color w:val="000000"/>
              </w:rPr>
              <w:t>Verified</w:t>
            </w:r>
          </w:p>
        </w:tc>
      </w:tr>
      <w:tr w:rsidRPr="007F620E" w:rsidR="00E5554A" w:rsidTr="001811F3" w14:paraId="29AEF578" w14:textId="77777777">
        <w:tc>
          <w:tcPr>
            <w:tcW w:w="3595" w:type="dxa"/>
            <w:shd w:val="clear" w:color="auto" w:fill="auto"/>
          </w:tcPr>
          <w:p w:rsidRPr="00465C4F" w:rsidR="0042608B" w:rsidP="00AF03E6" w:rsidRDefault="0042608B" w14:paraId="48E62651" w14:textId="0EC2F0F4">
            <w:pPr>
              <w:keepNext/>
              <w:keepLines/>
              <w:ind w:left="333" w:hanging="333"/>
              <w:contextualSpacing/>
            </w:pPr>
            <w:r>
              <w:t xml:space="preserve">3.  </w:t>
            </w:r>
            <w:r w:rsidRPr="00465C4F">
              <w:t xml:space="preserve">The Commission adopted TURN’s proposed approach to returning any unspent Stimulus Program funds to ratepayers as immediately as possible. </w:t>
            </w:r>
          </w:p>
          <w:p w:rsidRPr="00EA784D" w:rsidR="00E5554A" w:rsidP="00AF03E6" w:rsidRDefault="00E5554A" w14:paraId="65EC02C9" w14:textId="77777777">
            <w:pPr>
              <w:keepNext/>
              <w:keepLines/>
              <w:contextualSpacing/>
              <w:rPr>
                <w:b/>
                <w:bCs/>
                <w:color w:val="000000"/>
              </w:rPr>
            </w:pPr>
          </w:p>
        </w:tc>
        <w:tc>
          <w:tcPr>
            <w:tcW w:w="3803" w:type="dxa"/>
            <w:shd w:val="clear" w:color="auto" w:fill="auto"/>
          </w:tcPr>
          <w:p w:rsidR="007A2004" w:rsidP="00AF03E6" w:rsidRDefault="007A2004" w14:paraId="293F73EB" w14:textId="77777777">
            <w:pPr>
              <w:pStyle w:val="ListParagraph"/>
              <w:keepNext/>
              <w:keepLines/>
              <w:numPr>
                <w:ilvl w:val="0"/>
                <w:numId w:val="0"/>
              </w:numPr>
              <w:ind w:left="408"/>
              <w:contextualSpacing/>
            </w:pPr>
          </w:p>
          <w:p w:rsidR="007A2004" w:rsidP="00AF03E6" w:rsidRDefault="007A2004" w14:paraId="50EC1135" w14:textId="02FC6F1E">
            <w:pPr>
              <w:pStyle w:val="ListParagraph"/>
              <w:keepNext/>
              <w:keepLines/>
              <w:ind w:left="408"/>
              <w:contextualSpacing/>
            </w:pPr>
            <w:r>
              <w:t xml:space="preserve">TURN </w:t>
            </w:r>
            <w:proofErr w:type="spellStart"/>
            <w:r>
              <w:t>Cmts</w:t>
            </w:r>
            <w:proofErr w:type="spellEnd"/>
            <w:r>
              <w:t xml:space="preserve"> on PD, 1-4-21, pp. 4-5</w:t>
            </w:r>
          </w:p>
          <w:p w:rsidR="007A2004" w:rsidP="00AF03E6" w:rsidRDefault="007A2004" w14:paraId="0B5CF0FA" w14:textId="77777777">
            <w:pPr>
              <w:pStyle w:val="ListParagraph"/>
              <w:keepNext/>
              <w:keepLines/>
              <w:numPr>
                <w:ilvl w:val="0"/>
                <w:numId w:val="0"/>
              </w:numPr>
              <w:ind w:left="408"/>
              <w:contextualSpacing/>
            </w:pPr>
          </w:p>
          <w:p w:rsidR="007A2004" w:rsidP="00AF03E6" w:rsidRDefault="007A2004" w14:paraId="07956EAE" w14:textId="77777777">
            <w:pPr>
              <w:pStyle w:val="ListParagraph"/>
              <w:keepNext/>
              <w:keepLines/>
              <w:ind w:left="408"/>
              <w:contextualSpacing/>
            </w:pPr>
            <w:r>
              <w:t>D.21-01-004, p. 15</w:t>
            </w:r>
          </w:p>
          <w:p w:rsidRPr="00351911" w:rsidR="00E5554A" w:rsidP="00AF03E6" w:rsidRDefault="00E5554A" w14:paraId="2A33D27B" w14:textId="77777777">
            <w:pPr>
              <w:pStyle w:val="ListParagraph"/>
              <w:keepNext/>
              <w:keepLines/>
              <w:numPr>
                <w:ilvl w:val="0"/>
                <w:numId w:val="0"/>
              </w:numPr>
              <w:ind w:left="318"/>
              <w:contextualSpacing/>
            </w:pPr>
          </w:p>
        </w:tc>
        <w:tc>
          <w:tcPr>
            <w:tcW w:w="2340" w:type="dxa"/>
            <w:shd w:val="clear" w:color="auto" w:fill="auto"/>
          </w:tcPr>
          <w:p w:rsidR="00E5554A" w:rsidP="00864DD2" w:rsidRDefault="00E5554A" w14:paraId="5163DE07" w14:textId="77777777">
            <w:pPr>
              <w:keepNext/>
              <w:keepLines/>
              <w:contextualSpacing/>
              <w:jc w:val="center"/>
              <w:rPr>
                <w:color w:val="000000"/>
              </w:rPr>
            </w:pPr>
          </w:p>
          <w:p w:rsidR="00864DD2" w:rsidP="00864DD2" w:rsidRDefault="00864DD2" w14:paraId="4780DBDC" w14:textId="77777777">
            <w:pPr>
              <w:keepNext/>
              <w:keepLines/>
              <w:contextualSpacing/>
              <w:jc w:val="center"/>
              <w:rPr>
                <w:color w:val="000000"/>
              </w:rPr>
            </w:pPr>
          </w:p>
          <w:p w:rsidR="00864DD2" w:rsidP="00864DD2" w:rsidRDefault="00864DD2" w14:paraId="759B48E2" w14:textId="77777777">
            <w:pPr>
              <w:keepNext/>
              <w:keepLines/>
              <w:contextualSpacing/>
              <w:jc w:val="center"/>
              <w:rPr>
                <w:color w:val="000000"/>
              </w:rPr>
            </w:pPr>
          </w:p>
          <w:p w:rsidRPr="007F620E" w:rsidR="00864DD2" w:rsidP="00864DD2" w:rsidRDefault="00864DD2" w14:paraId="211E7D05" w14:textId="6148088D">
            <w:pPr>
              <w:keepNext/>
              <w:keepLines/>
              <w:contextualSpacing/>
              <w:jc w:val="center"/>
              <w:rPr>
                <w:color w:val="000000"/>
              </w:rPr>
            </w:pPr>
            <w:r>
              <w:rPr>
                <w:color w:val="000000"/>
              </w:rPr>
              <w:t>Verified</w:t>
            </w:r>
          </w:p>
        </w:tc>
      </w:tr>
      <w:tr w:rsidRPr="007F620E" w:rsidR="00E5554A" w:rsidTr="001811F3" w14:paraId="48F9DCF7" w14:textId="77777777">
        <w:tc>
          <w:tcPr>
            <w:tcW w:w="3595" w:type="dxa"/>
            <w:shd w:val="clear" w:color="auto" w:fill="auto"/>
          </w:tcPr>
          <w:p w:rsidRPr="00465C4F" w:rsidR="0042608B" w:rsidP="00AF03E6" w:rsidRDefault="0042608B" w14:paraId="3856804E" w14:textId="46C1F677">
            <w:pPr>
              <w:pStyle w:val="ListParagraph"/>
              <w:keepNext/>
              <w:keepLines/>
              <w:numPr>
                <w:ilvl w:val="0"/>
                <w:numId w:val="25"/>
              </w:numPr>
              <w:ind w:left="333"/>
              <w:contextualSpacing/>
            </w:pPr>
            <w:r w:rsidRPr="00465C4F">
              <w:t xml:space="preserve">TURN recommended that the Commission treat the Stimulus Program budget in a manner that avoids diluting or nullifying the third-party contracting requirements adopted in D.16-08-019.  TURN provided unique </w:t>
            </w:r>
            <w:r w:rsidRPr="00465C4F">
              <w:lastRenderedPageBreak/>
              <w:t xml:space="preserve">analysis showing the detrimental impacts of counting the Stimulus Program budgets towards the third-party contracting requirements.  When the Proposed Decision was silent on how the Stimulus Program budget should impact the existing compliance requirements related to third-party contracting, TURN (and other parties) urged the Commission to modify the Proposed Decision to avoid harm.  In response, the Commission stated that it shared TURN’s (and other parties’) concern over potential adverse impacts resulting from counting Stimulus Program funding towards the third-party contracting compliance requirements and conveyed its intention “to provide further guidance on this and other implementation details, if and as necessary, in a future decision.”  In the meantime, the Commission clarified that the IOUs should continue with their third party program solicitation schedules, unaffected by AB 841.  </w:t>
            </w:r>
            <w:r w:rsidRPr="00BC1846">
              <w:rPr>
                <w:i/>
                <w:iCs/>
              </w:rPr>
              <w:t xml:space="preserve">See also </w:t>
            </w:r>
            <w:r>
              <w:t>related outcome in D.21-05-031 below.</w:t>
            </w:r>
          </w:p>
          <w:p w:rsidRPr="00EA784D" w:rsidR="00E5554A" w:rsidP="00AF03E6" w:rsidRDefault="00E5554A" w14:paraId="675A7D4D" w14:textId="77777777">
            <w:pPr>
              <w:keepNext/>
              <w:keepLines/>
              <w:contextualSpacing/>
              <w:rPr>
                <w:b/>
                <w:bCs/>
                <w:color w:val="000000"/>
              </w:rPr>
            </w:pPr>
          </w:p>
        </w:tc>
        <w:tc>
          <w:tcPr>
            <w:tcW w:w="3803" w:type="dxa"/>
            <w:shd w:val="clear" w:color="auto" w:fill="auto"/>
          </w:tcPr>
          <w:p w:rsidR="00AB7406" w:rsidP="00AF03E6" w:rsidRDefault="00AB7406" w14:paraId="15FE50AB" w14:textId="77777777">
            <w:pPr>
              <w:pStyle w:val="ListParagraph"/>
              <w:keepNext/>
              <w:keepLines/>
              <w:numPr>
                <w:ilvl w:val="0"/>
                <w:numId w:val="20"/>
              </w:numPr>
              <w:ind w:left="318"/>
              <w:contextualSpacing/>
            </w:pPr>
            <w:r>
              <w:lastRenderedPageBreak/>
              <w:t xml:space="preserve">TURN </w:t>
            </w:r>
            <w:proofErr w:type="spellStart"/>
            <w:r>
              <w:t>Cmts</w:t>
            </w:r>
            <w:proofErr w:type="spellEnd"/>
            <w:r>
              <w:t xml:space="preserve"> on AB 841 -- Programmatic Implementation, 10-30-20, pp. 1-5</w:t>
            </w:r>
          </w:p>
          <w:p w:rsidR="00AB7406" w:rsidP="00AF03E6" w:rsidRDefault="00AB7406" w14:paraId="58697A4D" w14:textId="77777777">
            <w:pPr>
              <w:keepNext/>
              <w:keepLines/>
              <w:contextualSpacing/>
            </w:pPr>
          </w:p>
          <w:p w:rsidR="00AB7406" w:rsidP="00AF03E6" w:rsidRDefault="00AB7406" w14:paraId="6185AF11" w14:textId="77777777">
            <w:pPr>
              <w:pStyle w:val="ListParagraph"/>
              <w:keepNext/>
              <w:keepLines/>
              <w:numPr>
                <w:ilvl w:val="0"/>
                <w:numId w:val="20"/>
              </w:numPr>
              <w:ind w:left="318"/>
              <w:contextualSpacing/>
            </w:pPr>
            <w:r>
              <w:t xml:space="preserve">TURN Reply </w:t>
            </w:r>
            <w:proofErr w:type="spellStart"/>
            <w:r>
              <w:t>Cmts</w:t>
            </w:r>
            <w:proofErr w:type="spellEnd"/>
            <w:r>
              <w:t xml:space="preserve"> on AB 841 -- Programmatic Implementation, 11-6-20, pp. 1-3</w:t>
            </w:r>
          </w:p>
          <w:p w:rsidR="00AB7406" w:rsidP="00AF03E6" w:rsidRDefault="00AB7406" w14:paraId="609A09DF" w14:textId="77777777">
            <w:pPr>
              <w:keepNext/>
              <w:keepLines/>
              <w:ind w:left="720" w:hanging="360"/>
              <w:contextualSpacing/>
            </w:pPr>
          </w:p>
          <w:p w:rsidR="00AB7406" w:rsidP="00AF03E6" w:rsidRDefault="00AB7406" w14:paraId="278130EA" w14:textId="77777777">
            <w:pPr>
              <w:pStyle w:val="ListParagraph"/>
              <w:keepNext/>
              <w:keepLines/>
              <w:numPr>
                <w:ilvl w:val="0"/>
                <w:numId w:val="20"/>
              </w:numPr>
              <w:ind w:left="318"/>
              <w:contextualSpacing/>
            </w:pPr>
            <w:r>
              <w:t xml:space="preserve">TURN Reply </w:t>
            </w:r>
            <w:proofErr w:type="spellStart"/>
            <w:r>
              <w:t>Cmts</w:t>
            </w:r>
            <w:proofErr w:type="spellEnd"/>
            <w:r>
              <w:t xml:space="preserve"> on PD, 1-8-21, pp. 1-2</w:t>
            </w:r>
          </w:p>
          <w:p w:rsidR="00AB7406" w:rsidP="00AF03E6" w:rsidRDefault="00AB7406" w14:paraId="223E445F" w14:textId="77777777">
            <w:pPr>
              <w:pStyle w:val="ListParagraph"/>
              <w:keepNext/>
              <w:keepLines/>
              <w:numPr>
                <w:ilvl w:val="0"/>
                <w:numId w:val="0"/>
              </w:numPr>
              <w:ind w:left="720"/>
              <w:contextualSpacing/>
            </w:pPr>
          </w:p>
          <w:p w:rsidRPr="00351911" w:rsidR="00E5554A" w:rsidP="00AF03E6" w:rsidRDefault="00AB7406" w14:paraId="1585E910" w14:textId="4EEAF9E2">
            <w:pPr>
              <w:pStyle w:val="ListParagraph"/>
              <w:keepNext/>
              <w:keepLines/>
              <w:numPr>
                <w:ilvl w:val="0"/>
                <w:numId w:val="20"/>
              </w:numPr>
              <w:ind w:left="318"/>
              <w:contextualSpacing/>
            </w:pPr>
            <w:r>
              <w:t>D.21-01-004, pp. 17-18</w:t>
            </w:r>
          </w:p>
        </w:tc>
        <w:tc>
          <w:tcPr>
            <w:tcW w:w="2340" w:type="dxa"/>
            <w:shd w:val="clear" w:color="auto" w:fill="auto"/>
          </w:tcPr>
          <w:p w:rsidR="00E5554A" w:rsidP="00864DD2" w:rsidRDefault="00E5554A" w14:paraId="0A7E5EB6" w14:textId="77777777">
            <w:pPr>
              <w:keepNext/>
              <w:keepLines/>
              <w:contextualSpacing/>
              <w:jc w:val="center"/>
              <w:rPr>
                <w:color w:val="000000"/>
              </w:rPr>
            </w:pPr>
          </w:p>
          <w:p w:rsidR="00864DD2" w:rsidP="00864DD2" w:rsidRDefault="00864DD2" w14:paraId="119063A7" w14:textId="77777777">
            <w:pPr>
              <w:keepNext/>
              <w:keepLines/>
              <w:contextualSpacing/>
              <w:jc w:val="center"/>
              <w:rPr>
                <w:color w:val="000000"/>
              </w:rPr>
            </w:pPr>
          </w:p>
          <w:p w:rsidRPr="007F620E" w:rsidR="00864DD2" w:rsidP="00864DD2" w:rsidRDefault="00864DD2" w14:paraId="4D4AC87A" w14:textId="6B4BC1C7">
            <w:pPr>
              <w:keepNext/>
              <w:keepLines/>
              <w:contextualSpacing/>
              <w:jc w:val="center"/>
              <w:rPr>
                <w:color w:val="000000"/>
              </w:rPr>
            </w:pPr>
            <w:r>
              <w:rPr>
                <w:color w:val="000000"/>
              </w:rPr>
              <w:t>Verified</w:t>
            </w:r>
          </w:p>
        </w:tc>
      </w:tr>
      <w:tr w:rsidRPr="007F620E" w:rsidR="00E5554A" w:rsidTr="001811F3" w14:paraId="398C5B02" w14:textId="77777777">
        <w:tc>
          <w:tcPr>
            <w:tcW w:w="3595" w:type="dxa"/>
            <w:shd w:val="clear" w:color="auto" w:fill="auto"/>
          </w:tcPr>
          <w:p w:rsidRPr="00465C4F" w:rsidR="00E5554A" w:rsidP="00AF03E6" w:rsidRDefault="00E5554A" w14:paraId="15EB62E0" w14:textId="40D5C4BF">
            <w:pPr>
              <w:pStyle w:val="ListParagraph"/>
              <w:keepNext/>
              <w:keepLines/>
              <w:numPr>
                <w:ilvl w:val="0"/>
                <w:numId w:val="26"/>
              </w:numPr>
              <w:ind w:left="333"/>
              <w:contextualSpacing/>
            </w:pPr>
            <w:r w:rsidRPr="00465C4F">
              <w:t xml:space="preserve">TURN, along with SCE and PG&amp;E, recommended that the Commission direct the IOUs </w:t>
            </w:r>
            <w:r w:rsidRPr="00465C4F">
              <w:lastRenderedPageBreak/>
              <w:t xml:space="preserve">to report Stimulus Program expenditures and energy savings (costs and benefits) separately from IOU EE portfolio programs in CEDARS and other existing reporting mechanisms like EE Annual Reports.  The Commission adopted this recommendation. </w:t>
            </w:r>
            <w:r w:rsidRPr="00BC1846">
              <w:rPr>
                <w:i/>
                <w:iCs/>
              </w:rPr>
              <w:t xml:space="preserve">See also </w:t>
            </w:r>
            <w:r>
              <w:t>related outcome in D.21-05-031 below.</w:t>
            </w:r>
          </w:p>
          <w:p w:rsidRPr="00EA784D" w:rsidR="00E5554A" w:rsidP="00AF03E6" w:rsidRDefault="00E5554A" w14:paraId="097EF89A" w14:textId="77777777">
            <w:pPr>
              <w:keepNext/>
              <w:keepLines/>
              <w:contextualSpacing/>
              <w:rPr>
                <w:b/>
                <w:bCs/>
                <w:color w:val="000000"/>
              </w:rPr>
            </w:pPr>
          </w:p>
        </w:tc>
        <w:tc>
          <w:tcPr>
            <w:tcW w:w="3803" w:type="dxa"/>
            <w:shd w:val="clear" w:color="auto" w:fill="auto"/>
          </w:tcPr>
          <w:p w:rsidR="00BC1846" w:rsidP="00AF03E6" w:rsidRDefault="00BC1846" w14:paraId="47FF2235" w14:textId="77777777">
            <w:pPr>
              <w:pStyle w:val="ListParagraph"/>
              <w:keepNext/>
              <w:keepLines/>
              <w:numPr>
                <w:ilvl w:val="0"/>
                <w:numId w:val="19"/>
              </w:numPr>
              <w:ind w:left="318"/>
              <w:contextualSpacing/>
            </w:pPr>
            <w:r>
              <w:lastRenderedPageBreak/>
              <w:t xml:space="preserve">TURN Reply </w:t>
            </w:r>
            <w:proofErr w:type="spellStart"/>
            <w:r>
              <w:t>Cmts</w:t>
            </w:r>
            <w:proofErr w:type="spellEnd"/>
            <w:r>
              <w:t xml:space="preserve"> on AB 841 Implementation – Budget Development and </w:t>
            </w:r>
            <w:r>
              <w:lastRenderedPageBreak/>
              <w:t>Implementation Questions, 10-23-20, pp 5-6 (supporting recommendations of SCE and PG&amp;E)</w:t>
            </w:r>
          </w:p>
          <w:p w:rsidR="00BC1846" w:rsidP="00AF03E6" w:rsidRDefault="00BC1846" w14:paraId="21D0325B" w14:textId="77777777">
            <w:pPr>
              <w:pStyle w:val="ListParagraph"/>
              <w:keepNext/>
              <w:keepLines/>
              <w:numPr>
                <w:ilvl w:val="0"/>
                <w:numId w:val="0"/>
              </w:numPr>
              <w:ind w:left="318"/>
              <w:contextualSpacing/>
            </w:pPr>
          </w:p>
          <w:p w:rsidR="00BC1846" w:rsidP="00AF03E6" w:rsidRDefault="00BC1846" w14:paraId="4B28A480" w14:textId="77777777">
            <w:pPr>
              <w:pStyle w:val="ListParagraph"/>
              <w:keepNext/>
              <w:keepLines/>
              <w:numPr>
                <w:ilvl w:val="0"/>
                <w:numId w:val="19"/>
              </w:numPr>
              <w:ind w:left="318"/>
              <w:contextualSpacing/>
            </w:pPr>
            <w:r>
              <w:t xml:space="preserve">TURN </w:t>
            </w:r>
            <w:proofErr w:type="spellStart"/>
            <w:r>
              <w:t>Cmts</w:t>
            </w:r>
            <w:proofErr w:type="spellEnd"/>
            <w:r>
              <w:t xml:space="preserve"> on AB 841 -- Programmatic Implementation, 10-30-20, pp. 6-7</w:t>
            </w:r>
          </w:p>
          <w:p w:rsidR="00BC1846" w:rsidP="00AF03E6" w:rsidRDefault="00BC1846" w14:paraId="713B9B5D" w14:textId="77777777">
            <w:pPr>
              <w:pStyle w:val="ListParagraph"/>
              <w:keepNext/>
              <w:keepLines/>
              <w:numPr>
                <w:ilvl w:val="0"/>
                <w:numId w:val="0"/>
              </w:numPr>
              <w:ind w:left="318"/>
              <w:contextualSpacing/>
            </w:pPr>
          </w:p>
          <w:p w:rsidRPr="001C0CA3" w:rsidR="00BC1846" w:rsidP="00AF03E6" w:rsidRDefault="00BC1846" w14:paraId="16C428F6" w14:textId="77777777">
            <w:pPr>
              <w:pStyle w:val="ListParagraph"/>
              <w:keepNext/>
              <w:keepLines/>
              <w:numPr>
                <w:ilvl w:val="0"/>
                <w:numId w:val="19"/>
              </w:numPr>
              <w:ind w:left="318"/>
              <w:contextualSpacing/>
            </w:pPr>
            <w:r>
              <w:t>D.21-01-004, p. 16; Ordering Paragraphs 5-6</w:t>
            </w:r>
          </w:p>
          <w:p w:rsidRPr="00351911" w:rsidR="00E5554A" w:rsidP="00AF03E6" w:rsidRDefault="00E5554A" w14:paraId="6713F260" w14:textId="77777777">
            <w:pPr>
              <w:pStyle w:val="ListParagraph"/>
              <w:keepNext/>
              <w:keepLines/>
              <w:numPr>
                <w:ilvl w:val="0"/>
                <w:numId w:val="0"/>
              </w:numPr>
              <w:ind w:left="318"/>
              <w:contextualSpacing/>
            </w:pPr>
          </w:p>
        </w:tc>
        <w:tc>
          <w:tcPr>
            <w:tcW w:w="2340" w:type="dxa"/>
            <w:shd w:val="clear" w:color="auto" w:fill="auto"/>
          </w:tcPr>
          <w:p w:rsidR="00E5554A" w:rsidP="00864DD2" w:rsidRDefault="00E5554A" w14:paraId="7AB5C7A6" w14:textId="77777777">
            <w:pPr>
              <w:keepNext/>
              <w:keepLines/>
              <w:contextualSpacing/>
              <w:jc w:val="center"/>
              <w:rPr>
                <w:color w:val="000000"/>
              </w:rPr>
            </w:pPr>
          </w:p>
          <w:p w:rsidR="00864DD2" w:rsidP="00864DD2" w:rsidRDefault="00864DD2" w14:paraId="1C0094F9" w14:textId="77777777">
            <w:pPr>
              <w:keepNext/>
              <w:keepLines/>
              <w:contextualSpacing/>
              <w:jc w:val="center"/>
              <w:rPr>
                <w:color w:val="000000"/>
              </w:rPr>
            </w:pPr>
          </w:p>
          <w:p w:rsidR="00864DD2" w:rsidP="00864DD2" w:rsidRDefault="00864DD2" w14:paraId="42E9DAEE" w14:textId="77777777">
            <w:pPr>
              <w:keepNext/>
              <w:keepLines/>
              <w:contextualSpacing/>
              <w:jc w:val="center"/>
              <w:rPr>
                <w:color w:val="000000"/>
              </w:rPr>
            </w:pPr>
          </w:p>
          <w:p w:rsidR="00864DD2" w:rsidP="00864DD2" w:rsidRDefault="00864DD2" w14:paraId="6200A318" w14:textId="77777777">
            <w:pPr>
              <w:keepNext/>
              <w:keepLines/>
              <w:contextualSpacing/>
              <w:jc w:val="center"/>
              <w:rPr>
                <w:color w:val="000000"/>
              </w:rPr>
            </w:pPr>
            <w:r>
              <w:rPr>
                <w:color w:val="000000"/>
              </w:rPr>
              <w:lastRenderedPageBreak/>
              <w:t>Verified</w:t>
            </w:r>
          </w:p>
          <w:p w:rsidR="00864DD2" w:rsidP="00864DD2" w:rsidRDefault="00864DD2" w14:paraId="6C7C3AFA" w14:textId="77777777">
            <w:pPr>
              <w:keepNext/>
              <w:keepLines/>
              <w:contextualSpacing/>
              <w:jc w:val="center"/>
              <w:rPr>
                <w:color w:val="000000"/>
              </w:rPr>
            </w:pPr>
          </w:p>
          <w:p w:rsidR="00864DD2" w:rsidP="00864DD2" w:rsidRDefault="00864DD2" w14:paraId="20F324C3" w14:textId="77777777">
            <w:pPr>
              <w:keepNext/>
              <w:keepLines/>
              <w:contextualSpacing/>
              <w:jc w:val="center"/>
              <w:rPr>
                <w:color w:val="000000"/>
              </w:rPr>
            </w:pPr>
          </w:p>
          <w:p w:rsidR="00864DD2" w:rsidP="00864DD2" w:rsidRDefault="00864DD2" w14:paraId="70526406" w14:textId="77777777">
            <w:pPr>
              <w:keepNext/>
              <w:keepLines/>
              <w:contextualSpacing/>
              <w:jc w:val="center"/>
              <w:rPr>
                <w:color w:val="000000"/>
              </w:rPr>
            </w:pPr>
          </w:p>
          <w:p w:rsidR="00864DD2" w:rsidP="00864DD2" w:rsidRDefault="00864DD2" w14:paraId="1EB6E006" w14:textId="77777777">
            <w:pPr>
              <w:keepNext/>
              <w:keepLines/>
              <w:contextualSpacing/>
              <w:jc w:val="center"/>
              <w:rPr>
                <w:color w:val="000000"/>
              </w:rPr>
            </w:pPr>
          </w:p>
          <w:p w:rsidR="00864DD2" w:rsidP="00864DD2" w:rsidRDefault="00864DD2" w14:paraId="38C4A589" w14:textId="77777777">
            <w:pPr>
              <w:keepNext/>
              <w:keepLines/>
              <w:contextualSpacing/>
              <w:jc w:val="center"/>
              <w:rPr>
                <w:color w:val="000000"/>
              </w:rPr>
            </w:pPr>
          </w:p>
          <w:p w:rsidR="00864DD2" w:rsidP="00864DD2" w:rsidRDefault="00864DD2" w14:paraId="43CD3445" w14:textId="77777777">
            <w:pPr>
              <w:keepNext/>
              <w:keepLines/>
              <w:contextualSpacing/>
              <w:jc w:val="center"/>
              <w:rPr>
                <w:color w:val="000000"/>
              </w:rPr>
            </w:pPr>
          </w:p>
          <w:p w:rsidR="00864DD2" w:rsidP="00864DD2" w:rsidRDefault="00864DD2" w14:paraId="6A74A301" w14:textId="77777777">
            <w:pPr>
              <w:keepNext/>
              <w:keepLines/>
              <w:contextualSpacing/>
              <w:jc w:val="center"/>
              <w:rPr>
                <w:color w:val="000000"/>
              </w:rPr>
            </w:pPr>
          </w:p>
          <w:p w:rsidR="00864DD2" w:rsidP="00864DD2" w:rsidRDefault="00864DD2" w14:paraId="2EA3F5F0" w14:textId="77777777">
            <w:pPr>
              <w:keepNext/>
              <w:keepLines/>
              <w:contextualSpacing/>
              <w:jc w:val="center"/>
              <w:rPr>
                <w:color w:val="000000"/>
              </w:rPr>
            </w:pPr>
          </w:p>
          <w:p w:rsidRPr="007F620E" w:rsidR="00864DD2" w:rsidP="00864DD2" w:rsidRDefault="00864DD2" w14:paraId="03464331" w14:textId="631ED446">
            <w:pPr>
              <w:keepNext/>
              <w:keepLines/>
              <w:contextualSpacing/>
              <w:jc w:val="center"/>
              <w:rPr>
                <w:color w:val="000000"/>
              </w:rPr>
            </w:pPr>
            <w:r>
              <w:rPr>
                <w:color w:val="000000"/>
              </w:rPr>
              <w:t>Verified</w:t>
            </w:r>
          </w:p>
        </w:tc>
      </w:tr>
      <w:tr w:rsidRPr="007F620E" w:rsidR="00691528" w:rsidTr="001811F3" w14:paraId="36FF786B" w14:textId="77777777">
        <w:tc>
          <w:tcPr>
            <w:tcW w:w="3595" w:type="dxa"/>
            <w:shd w:val="clear" w:color="auto" w:fill="auto"/>
          </w:tcPr>
          <w:p w:rsidR="00691528" w:rsidP="00AF03E6" w:rsidRDefault="003A4C52" w14:paraId="00FFAC2D" w14:textId="0610D18A">
            <w:pPr>
              <w:keepNext/>
              <w:keepLines/>
              <w:contextualSpacing/>
              <w:rPr>
                <w:b/>
                <w:bCs/>
                <w:color w:val="000000"/>
              </w:rPr>
            </w:pPr>
            <w:r w:rsidRPr="00EA784D">
              <w:rPr>
                <w:b/>
                <w:bCs/>
                <w:color w:val="000000"/>
              </w:rPr>
              <w:lastRenderedPageBreak/>
              <w:t>D.21-05-031 (P&amp;G Policy Issues)</w:t>
            </w:r>
          </w:p>
          <w:p w:rsidR="00125C52" w:rsidP="00AF03E6" w:rsidRDefault="00125C52" w14:paraId="614EF5A7" w14:textId="77777777">
            <w:pPr>
              <w:keepNext/>
              <w:keepLines/>
              <w:contextualSpacing/>
              <w:rPr>
                <w:b/>
                <w:bCs/>
                <w:color w:val="000000"/>
              </w:rPr>
            </w:pPr>
          </w:p>
          <w:p w:rsidR="00AF66D7" w:rsidP="00AF03E6" w:rsidRDefault="00B55A46" w14:paraId="65E41906" w14:textId="49F9F6A7">
            <w:pPr>
              <w:pStyle w:val="ListParagraph"/>
              <w:keepNext/>
              <w:keepLines/>
              <w:numPr>
                <w:ilvl w:val="0"/>
                <w:numId w:val="28"/>
              </w:numPr>
              <w:ind w:left="333"/>
              <w:contextualSpacing/>
            </w:pPr>
            <w:r w:rsidRPr="00351911">
              <w:t xml:space="preserve">The Commission in D.21-05-031 provided additional guidance on </w:t>
            </w:r>
            <w:r w:rsidRPr="00351911" w:rsidR="00351911">
              <w:t>three</w:t>
            </w:r>
            <w:r w:rsidRPr="00351911">
              <w:t xml:space="preserve"> </w:t>
            </w:r>
            <w:r w:rsidRPr="00351911" w:rsidR="00616493">
              <w:t xml:space="preserve">AB 841 </w:t>
            </w:r>
            <w:r w:rsidRPr="00351911">
              <w:t>i</w:t>
            </w:r>
            <w:r w:rsidRPr="00351911" w:rsidR="00616493">
              <w:t xml:space="preserve">mplementation </w:t>
            </w:r>
            <w:r w:rsidRPr="00351911">
              <w:t>i</w:t>
            </w:r>
            <w:r w:rsidRPr="00351911" w:rsidR="00616493">
              <w:t>ssues</w:t>
            </w:r>
            <w:r w:rsidR="00904883">
              <w:t>, each of which reflected TURN’s advocacy</w:t>
            </w:r>
            <w:r w:rsidRPr="00351911" w:rsidR="00862262">
              <w:t xml:space="preserve">.  </w:t>
            </w:r>
          </w:p>
          <w:p w:rsidR="00AF66D7" w:rsidP="00AF03E6" w:rsidRDefault="00AF66D7" w14:paraId="0A912A88" w14:textId="77777777">
            <w:pPr>
              <w:pStyle w:val="ListParagraph"/>
              <w:keepNext/>
              <w:keepLines/>
              <w:numPr>
                <w:ilvl w:val="0"/>
                <w:numId w:val="0"/>
              </w:numPr>
              <w:ind w:left="333"/>
              <w:contextualSpacing/>
            </w:pPr>
          </w:p>
          <w:p w:rsidR="00E140DF" w:rsidP="00AF03E6" w:rsidRDefault="00904883" w14:paraId="584845EF" w14:textId="2EB21AC7">
            <w:pPr>
              <w:pStyle w:val="ListParagraph"/>
              <w:keepNext/>
              <w:keepLines/>
              <w:numPr>
                <w:ilvl w:val="0"/>
                <w:numId w:val="27"/>
              </w:numPr>
              <w:ind w:left="333"/>
              <w:contextualSpacing/>
            </w:pPr>
            <w:r>
              <w:t>The</w:t>
            </w:r>
            <w:r w:rsidRPr="00351911" w:rsidR="00395AC9">
              <w:t xml:space="preserve"> Commission clarified that Stimulus Program projects should count towards the third-party </w:t>
            </w:r>
            <w:r w:rsidRPr="00351911" w:rsidR="00962502">
              <w:t xml:space="preserve">compliance requirements adopted in D.16-08-019, contrary to TURN’s recommendation, but </w:t>
            </w:r>
            <w:r w:rsidRPr="00351911" w:rsidR="007B0D2F">
              <w:t>assured parties that the Commission “will revisit this determination if and when we observe an impact from AB 841 funding on the IOUs’ solicitation efforts.”</w:t>
            </w:r>
            <w:r w:rsidRPr="00351911" w:rsidR="007D5852">
              <w:t xml:space="preserve">  In this way, TURN’s analysis </w:t>
            </w:r>
            <w:r w:rsidRPr="00351911" w:rsidR="00CD2FDB">
              <w:t>of potential harm to third party contracting</w:t>
            </w:r>
            <w:r w:rsidRPr="00351911" w:rsidR="00584DBE">
              <w:t xml:space="preserve"> continued to influence the Commission’s </w:t>
            </w:r>
            <w:r w:rsidRPr="00351911" w:rsidR="00584DBE">
              <w:lastRenderedPageBreak/>
              <w:t>willingness to intervene should harm result.</w:t>
            </w:r>
            <w:r w:rsidRPr="00351911" w:rsidR="00990353">
              <w:t xml:space="preserve">  </w:t>
            </w:r>
          </w:p>
          <w:p w:rsidR="00AF66D7" w:rsidP="00AF03E6" w:rsidRDefault="00AF66D7" w14:paraId="2BFBFB3A" w14:textId="77777777">
            <w:pPr>
              <w:pStyle w:val="ListParagraph"/>
              <w:keepNext/>
              <w:keepLines/>
              <w:numPr>
                <w:ilvl w:val="0"/>
                <w:numId w:val="0"/>
              </w:numPr>
              <w:ind w:left="333"/>
              <w:contextualSpacing/>
            </w:pPr>
          </w:p>
          <w:p w:rsidR="00AF66D7" w:rsidP="00AF03E6" w:rsidRDefault="00904883" w14:paraId="75D1E8EC" w14:textId="7A99B6C2">
            <w:pPr>
              <w:pStyle w:val="ListParagraph"/>
              <w:keepNext/>
              <w:keepLines/>
              <w:numPr>
                <w:ilvl w:val="0"/>
                <w:numId w:val="27"/>
              </w:numPr>
              <w:ind w:left="333"/>
              <w:contextualSpacing/>
            </w:pPr>
            <w:r>
              <w:t>The</w:t>
            </w:r>
            <w:r w:rsidRPr="00351911" w:rsidR="00990353">
              <w:t xml:space="preserve"> Commission </w:t>
            </w:r>
            <w:r w:rsidR="00E140DF">
              <w:t xml:space="preserve">agreed with TURN (and others) that the IOUs should track and report Stimulus Program costs and benefits (energy savings) separately from their portfolio cost-effectiveness calculations.  </w:t>
            </w:r>
          </w:p>
          <w:p w:rsidR="00AF66D7" w:rsidP="00AF03E6" w:rsidRDefault="00AF66D7" w14:paraId="3CB02E09" w14:textId="77777777">
            <w:pPr>
              <w:pStyle w:val="ListParagraph"/>
              <w:keepNext/>
              <w:keepLines/>
              <w:numPr>
                <w:ilvl w:val="0"/>
                <w:numId w:val="0"/>
              </w:numPr>
              <w:ind w:left="333"/>
              <w:contextualSpacing/>
            </w:pPr>
          </w:p>
          <w:p w:rsidRPr="00CC057E" w:rsidR="00E25078" w:rsidP="00AF03E6" w:rsidRDefault="00904883" w14:paraId="77A8C970" w14:textId="28A8CFFE">
            <w:pPr>
              <w:pStyle w:val="ListParagraph"/>
              <w:keepNext/>
              <w:keepLines/>
              <w:numPr>
                <w:ilvl w:val="0"/>
                <w:numId w:val="27"/>
              </w:numPr>
              <w:ind w:left="333"/>
              <w:contextualSpacing/>
            </w:pPr>
            <w:r>
              <w:t>The</w:t>
            </w:r>
            <w:r w:rsidR="00DA1C58">
              <w:t xml:space="preserve"> Commission </w:t>
            </w:r>
            <w:r w:rsidR="001251FC">
              <w:t>agreed with TURN (and others) that both negative and positive energy savings from the Stimulus Program should be tracked.</w:t>
            </w:r>
            <w:r w:rsidR="00902CFF">
              <w:t xml:space="preserve">  TURN had noted that accounting for both positive and negative energy savings was important and consistent with Commission policy.</w:t>
            </w:r>
          </w:p>
        </w:tc>
        <w:tc>
          <w:tcPr>
            <w:tcW w:w="3803" w:type="dxa"/>
            <w:shd w:val="clear" w:color="auto" w:fill="auto"/>
          </w:tcPr>
          <w:p w:rsidR="001973C0" w:rsidP="00AF03E6" w:rsidRDefault="001973C0" w14:paraId="07F56E80" w14:textId="77777777">
            <w:pPr>
              <w:keepNext/>
              <w:keepLines/>
              <w:contextualSpacing/>
              <w:rPr>
                <w:b/>
                <w:bCs/>
                <w:color w:val="000000"/>
              </w:rPr>
            </w:pPr>
            <w:r w:rsidRPr="00EA784D">
              <w:rPr>
                <w:b/>
                <w:bCs/>
                <w:color w:val="000000"/>
              </w:rPr>
              <w:lastRenderedPageBreak/>
              <w:t>D.21-05-031 (P&amp;G Policy Issues)</w:t>
            </w:r>
          </w:p>
          <w:p w:rsidR="0095367F" w:rsidP="00AF03E6" w:rsidRDefault="0095367F" w14:paraId="03AAFC8B" w14:textId="77777777">
            <w:pPr>
              <w:keepNext/>
              <w:keepLines/>
              <w:contextualSpacing/>
            </w:pPr>
          </w:p>
          <w:p w:rsidR="0095367F" w:rsidP="00AF03E6" w:rsidRDefault="0095367F" w14:paraId="129EDEA8" w14:textId="77777777">
            <w:pPr>
              <w:pStyle w:val="ListParagraph"/>
              <w:keepNext/>
              <w:keepLines/>
              <w:numPr>
                <w:ilvl w:val="0"/>
                <w:numId w:val="0"/>
              </w:numPr>
              <w:ind w:left="318"/>
              <w:contextualSpacing/>
            </w:pPr>
          </w:p>
          <w:p w:rsidR="00691528" w:rsidP="00AF03E6" w:rsidRDefault="0095367F" w14:paraId="2EAAF57C" w14:textId="51A71A0A">
            <w:pPr>
              <w:pStyle w:val="ListParagraph"/>
              <w:keepNext/>
              <w:keepLines/>
              <w:numPr>
                <w:ilvl w:val="0"/>
                <w:numId w:val="29"/>
              </w:numPr>
              <w:ind w:left="318"/>
              <w:contextualSpacing/>
            </w:pPr>
            <w:r>
              <w:t>Impact of AB 841 on Third Party Contracting</w:t>
            </w:r>
          </w:p>
          <w:p w:rsidRPr="0095367F" w:rsidR="0095367F" w:rsidP="00AF03E6" w:rsidRDefault="0095367F" w14:paraId="75AC4EDA" w14:textId="77777777">
            <w:pPr>
              <w:pStyle w:val="ListParagraph"/>
              <w:keepNext/>
              <w:keepLines/>
              <w:numPr>
                <w:ilvl w:val="0"/>
                <w:numId w:val="0"/>
              </w:numPr>
              <w:ind w:left="720"/>
              <w:contextualSpacing/>
            </w:pPr>
          </w:p>
          <w:p w:rsidR="001426BB" w:rsidP="00AF03E6" w:rsidRDefault="001426BB" w14:paraId="3D7F4C40" w14:textId="1DC57C75">
            <w:pPr>
              <w:pStyle w:val="ListParagraph"/>
              <w:keepNext/>
              <w:keepLines/>
              <w:numPr>
                <w:ilvl w:val="0"/>
                <w:numId w:val="20"/>
              </w:numPr>
              <w:ind w:left="318"/>
              <w:contextualSpacing/>
            </w:pPr>
            <w:r>
              <w:t xml:space="preserve">TURN </w:t>
            </w:r>
            <w:proofErr w:type="spellStart"/>
            <w:r>
              <w:t>Cmts</w:t>
            </w:r>
            <w:proofErr w:type="spellEnd"/>
            <w:r>
              <w:t xml:space="preserve"> on AB 841 -- Programmatic Implementation, 10-30-20, pp. 1-5</w:t>
            </w:r>
            <w:r w:rsidR="00D56EA4">
              <w:t xml:space="preserve"> </w:t>
            </w:r>
          </w:p>
          <w:p w:rsidR="00777B5F" w:rsidP="00AF03E6" w:rsidRDefault="00777B5F" w14:paraId="45C4AA40" w14:textId="77777777">
            <w:pPr>
              <w:pStyle w:val="ListParagraph"/>
              <w:keepNext/>
              <w:keepLines/>
              <w:numPr>
                <w:ilvl w:val="0"/>
                <w:numId w:val="0"/>
              </w:numPr>
              <w:ind w:left="318"/>
              <w:contextualSpacing/>
            </w:pPr>
          </w:p>
          <w:p w:rsidR="001426BB" w:rsidP="00AF03E6" w:rsidRDefault="001426BB" w14:paraId="579D17F4" w14:textId="258C9733">
            <w:pPr>
              <w:pStyle w:val="ListParagraph"/>
              <w:keepNext/>
              <w:keepLines/>
              <w:numPr>
                <w:ilvl w:val="0"/>
                <w:numId w:val="20"/>
              </w:numPr>
              <w:ind w:left="318"/>
              <w:contextualSpacing/>
            </w:pPr>
            <w:r>
              <w:t xml:space="preserve">TURN Reply </w:t>
            </w:r>
            <w:proofErr w:type="spellStart"/>
            <w:r>
              <w:t>Cmts</w:t>
            </w:r>
            <w:proofErr w:type="spellEnd"/>
            <w:r>
              <w:t xml:space="preserve"> on AB 841 -- Programmatic Implementation, 11-6-20, pp. 1-3</w:t>
            </w:r>
            <w:r w:rsidR="00D56EA4">
              <w:t xml:space="preserve"> </w:t>
            </w:r>
          </w:p>
          <w:p w:rsidR="000C37BC" w:rsidP="00AF03E6" w:rsidRDefault="000C37BC" w14:paraId="5B9090BE" w14:textId="77777777">
            <w:pPr>
              <w:pStyle w:val="ListParagraph"/>
              <w:keepNext/>
              <w:keepLines/>
              <w:numPr>
                <w:ilvl w:val="0"/>
                <w:numId w:val="0"/>
              </w:numPr>
              <w:ind w:left="720"/>
              <w:contextualSpacing/>
            </w:pPr>
          </w:p>
          <w:p w:rsidR="000C37BC" w:rsidP="00AF03E6" w:rsidRDefault="000C37BC" w14:paraId="5C3AEC85" w14:textId="4F2EEC78">
            <w:pPr>
              <w:pStyle w:val="ListParagraph"/>
              <w:keepNext/>
              <w:keepLines/>
              <w:numPr>
                <w:ilvl w:val="0"/>
                <w:numId w:val="20"/>
              </w:numPr>
              <w:ind w:left="318"/>
              <w:contextualSpacing/>
            </w:pPr>
            <w:r>
              <w:t xml:space="preserve">D.21-05-031, p. 55 </w:t>
            </w:r>
          </w:p>
          <w:p w:rsidR="000C37BC" w:rsidP="00AF03E6" w:rsidRDefault="000C37BC" w14:paraId="19183762" w14:textId="77777777">
            <w:pPr>
              <w:pStyle w:val="ListParagraph"/>
              <w:keepNext/>
              <w:keepLines/>
              <w:numPr>
                <w:ilvl w:val="0"/>
                <w:numId w:val="0"/>
              </w:numPr>
              <w:ind w:left="720"/>
              <w:contextualSpacing/>
            </w:pPr>
          </w:p>
          <w:p w:rsidR="0095367F" w:rsidP="00AF03E6" w:rsidRDefault="0095367F" w14:paraId="46333D5F" w14:textId="77777777">
            <w:pPr>
              <w:pStyle w:val="ListParagraph"/>
              <w:keepNext/>
              <w:keepLines/>
              <w:numPr>
                <w:ilvl w:val="0"/>
                <w:numId w:val="0"/>
              </w:numPr>
              <w:ind w:left="720"/>
              <w:contextualSpacing/>
            </w:pPr>
          </w:p>
          <w:p w:rsidR="00D56EA4" w:rsidP="00AF03E6" w:rsidRDefault="0095367F" w14:paraId="0C289CAF" w14:textId="3D0A8D05">
            <w:pPr>
              <w:pStyle w:val="ListParagraph"/>
              <w:keepNext/>
              <w:keepLines/>
              <w:numPr>
                <w:ilvl w:val="0"/>
                <w:numId w:val="29"/>
              </w:numPr>
              <w:ind w:left="318"/>
              <w:contextualSpacing/>
            </w:pPr>
            <w:r>
              <w:t>Excluding Stimulus Program Costs and Benefits from EE Portfolio Cost-Effectiveness Calculations</w:t>
            </w:r>
          </w:p>
          <w:p w:rsidR="0095367F" w:rsidP="00AF03E6" w:rsidRDefault="0095367F" w14:paraId="24D34F98" w14:textId="77777777">
            <w:pPr>
              <w:keepNext/>
              <w:keepLines/>
              <w:contextualSpacing/>
            </w:pPr>
          </w:p>
          <w:p w:rsidR="000C37BC" w:rsidP="00AF03E6" w:rsidRDefault="000C37BC" w14:paraId="533B5305" w14:textId="36C62F04">
            <w:pPr>
              <w:pStyle w:val="ListParagraph"/>
              <w:keepNext/>
              <w:keepLines/>
              <w:numPr>
                <w:ilvl w:val="0"/>
                <w:numId w:val="20"/>
              </w:numPr>
              <w:ind w:left="318"/>
              <w:contextualSpacing/>
            </w:pPr>
            <w:r>
              <w:t xml:space="preserve">TURN </w:t>
            </w:r>
            <w:proofErr w:type="spellStart"/>
            <w:r>
              <w:t>Cmts</w:t>
            </w:r>
            <w:proofErr w:type="spellEnd"/>
            <w:r>
              <w:t xml:space="preserve"> on AB 841 -- Programmatic Implementation, 10-30-20, p. 7</w:t>
            </w:r>
            <w:r w:rsidR="00B919C7">
              <w:t xml:space="preserve"> </w:t>
            </w:r>
          </w:p>
          <w:p w:rsidR="00B919C7" w:rsidP="00AF03E6" w:rsidRDefault="00B919C7" w14:paraId="17587ACD" w14:textId="77777777">
            <w:pPr>
              <w:pStyle w:val="ListParagraph"/>
              <w:keepNext/>
              <w:keepLines/>
              <w:numPr>
                <w:ilvl w:val="0"/>
                <w:numId w:val="0"/>
              </w:numPr>
              <w:ind w:left="318"/>
              <w:contextualSpacing/>
            </w:pPr>
          </w:p>
          <w:p w:rsidR="00C94888" w:rsidP="00AF03E6" w:rsidRDefault="000C37BC" w14:paraId="3088701E" w14:textId="7EF6B69A">
            <w:pPr>
              <w:pStyle w:val="ListParagraph"/>
              <w:keepNext/>
              <w:keepLines/>
              <w:numPr>
                <w:ilvl w:val="0"/>
                <w:numId w:val="20"/>
              </w:numPr>
              <w:ind w:left="318"/>
              <w:contextualSpacing/>
            </w:pPr>
            <w:r>
              <w:lastRenderedPageBreak/>
              <w:t xml:space="preserve">TURN Reply </w:t>
            </w:r>
            <w:proofErr w:type="spellStart"/>
            <w:r>
              <w:t>Cmts</w:t>
            </w:r>
            <w:proofErr w:type="spellEnd"/>
            <w:r>
              <w:t xml:space="preserve"> on AB 841 -- Programmatic Implementation, 11-6-20, p. </w:t>
            </w:r>
            <w:r w:rsidR="00B919C7">
              <w:t>5</w:t>
            </w:r>
          </w:p>
          <w:p w:rsidR="00C94888" w:rsidP="00AF03E6" w:rsidRDefault="00C94888" w14:paraId="1EFA4BD7" w14:textId="77777777">
            <w:pPr>
              <w:keepNext/>
              <w:keepLines/>
              <w:contextualSpacing/>
            </w:pPr>
          </w:p>
          <w:p w:rsidR="00990353" w:rsidP="00AF03E6" w:rsidRDefault="00D56EA4" w14:paraId="3349DFB7" w14:textId="380A9BCB">
            <w:pPr>
              <w:pStyle w:val="ListParagraph"/>
              <w:keepNext/>
              <w:keepLines/>
              <w:numPr>
                <w:ilvl w:val="0"/>
                <w:numId w:val="20"/>
              </w:numPr>
              <w:ind w:left="318"/>
              <w:contextualSpacing/>
            </w:pPr>
            <w:r>
              <w:t>D.21-05-031, p. 5</w:t>
            </w:r>
            <w:r w:rsidR="00083CC1">
              <w:t>6</w:t>
            </w:r>
            <w:r w:rsidR="00990353">
              <w:t xml:space="preserve"> </w:t>
            </w:r>
          </w:p>
          <w:p w:rsidR="00D44F39" w:rsidP="00AF03E6" w:rsidRDefault="00D44F39" w14:paraId="7A78F464" w14:textId="77777777">
            <w:pPr>
              <w:keepNext/>
              <w:keepLines/>
              <w:contextualSpacing/>
            </w:pPr>
          </w:p>
          <w:p w:rsidR="00422027" w:rsidP="00AF03E6" w:rsidRDefault="00422027" w14:paraId="640B902A" w14:textId="77777777">
            <w:pPr>
              <w:keepNext/>
              <w:keepLines/>
              <w:contextualSpacing/>
            </w:pPr>
          </w:p>
          <w:p w:rsidR="00083CC1" w:rsidP="00AF03E6" w:rsidRDefault="009A0415" w14:paraId="24C13645" w14:textId="426ECD5F">
            <w:pPr>
              <w:keepNext/>
              <w:keepLines/>
              <w:contextualSpacing/>
            </w:pPr>
            <w:r>
              <w:t xml:space="preserve">(c) Tracking Positive and Negative Energy Savings </w:t>
            </w:r>
          </w:p>
          <w:p w:rsidR="009A0415" w:rsidP="00AF03E6" w:rsidRDefault="009A0415" w14:paraId="1A99119B" w14:textId="77777777">
            <w:pPr>
              <w:keepNext/>
              <w:keepLines/>
              <w:contextualSpacing/>
            </w:pPr>
          </w:p>
          <w:p w:rsidR="00083CC1" w:rsidP="00AF03E6" w:rsidRDefault="0023778D" w14:paraId="24E5F3A8" w14:textId="62E1777F">
            <w:pPr>
              <w:pStyle w:val="ListParagraph"/>
              <w:keepNext/>
              <w:keepLines/>
              <w:numPr>
                <w:ilvl w:val="0"/>
                <w:numId w:val="20"/>
              </w:numPr>
              <w:ind w:left="318"/>
              <w:contextualSpacing/>
            </w:pPr>
            <w:r>
              <w:t xml:space="preserve">TURN </w:t>
            </w:r>
            <w:proofErr w:type="spellStart"/>
            <w:r>
              <w:t>Cmts</w:t>
            </w:r>
            <w:proofErr w:type="spellEnd"/>
            <w:r>
              <w:t xml:space="preserve"> on AB 841 -- Programmatic Implementation, 10-30-20, pp. 8-9</w:t>
            </w:r>
            <w:r w:rsidR="00B919C7">
              <w:t xml:space="preserve"> </w:t>
            </w:r>
          </w:p>
          <w:p w:rsidR="005A44C8" w:rsidP="00AF03E6" w:rsidRDefault="005A44C8" w14:paraId="649F8726" w14:textId="77777777">
            <w:pPr>
              <w:pStyle w:val="ListParagraph"/>
              <w:keepNext/>
              <w:keepLines/>
              <w:numPr>
                <w:ilvl w:val="0"/>
                <w:numId w:val="0"/>
              </w:numPr>
              <w:ind w:left="720"/>
              <w:contextualSpacing/>
            </w:pPr>
          </w:p>
          <w:p w:rsidR="005A44C8" w:rsidP="00AF03E6" w:rsidRDefault="005A44C8" w14:paraId="2C08B1F3" w14:textId="1FCB9BD9">
            <w:pPr>
              <w:pStyle w:val="ListParagraph"/>
              <w:keepNext/>
              <w:keepLines/>
              <w:numPr>
                <w:ilvl w:val="0"/>
                <w:numId w:val="20"/>
              </w:numPr>
              <w:ind w:left="318"/>
              <w:contextualSpacing/>
            </w:pPr>
            <w:r>
              <w:t xml:space="preserve">TURN Reply </w:t>
            </w:r>
            <w:proofErr w:type="spellStart"/>
            <w:r>
              <w:t>Cmts</w:t>
            </w:r>
            <w:proofErr w:type="spellEnd"/>
            <w:r>
              <w:t xml:space="preserve"> on AB 841 -- Programmatic Implementation, 11-6-20, p. </w:t>
            </w:r>
            <w:r w:rsidR="00D44F39">
              <w:t>10</w:t>
            </w:r>
            <w:r w:rsidR="00B919C7">
              <w:t xml:space="preserve"> </w:t>
            </w:r>
          </w:p>
          <w:p w:rsidR="0023778D" w:rsidP="00AF03E6" w:rsidRDefault="0023778D" w14:paraId="31A5D87E" w14:textId="77777777">
            <w:pPr>
              <w:pStyle w:val="ListParagraph"/>
              <w:keepNext/>
              <w:keepLines/>
              <w:numPr>
                <w:ilvl w:val="0"/>
                <w:numId w:val="0"/>
              </w:numPr>
              <w:ind w:left="720"/>
              <w:contextualSpacing/>
            </w:pPr>
          </w:p>
          <w:p w:rsidRPr="00E61C98" w:rsidR="001426BB" w:rsidP="00AF03E6" w:rsidRDefault="00666EFD" w14:paraId="2144B6BD" w14:textId="164BDA5D">
            <w:pPr>
              <w:pStyle w:val="ListParagraph"/>
              <w:keepNext/>
              <w:keepLines/>
              <w:numPr>
                <w:ilvl w:val="0"/>
                <w:numId w:val="20"/>
              </w:numPr>
              <w:ind w:left="318"/>
              <w:contextualSpacing/>
            </w:pPr>
            <w:r>
              <w:t>D.21-05-031, p. 5</w:t>
            </w:r>
            <w:r w:rsidR="00083CC1">
              <w:t>6</w:t>
            </w:r>
            <w:r>
              <w:t xml:space="preserve"> </w:t>
            </w:r>
          </w:p>
        </w:tc>
        <w:tc>
          <w:tcPr>
            <w:tcW w:w="2340" w:type="dxa"/>
            <w:shd w:val="clear" w:color="auto" w:fill="auto"/>
          </w:tcPr>
          <w:p w:rsidR="00691528" w:rsidP="00864DD2" w:rsidRDefault="00691528" w14:paraId="2C900817" w14:textId="77777777">
            <w:pPr>
              <w:keepNext/>
              <w:keepLines/>
              <w:contextualSpacing/>
              <w:jc w:val="center"/>
              <w:rPr>
                <w:color w:val="000000"/>
              </w:rPr>
            </w:pPr>
          </w:p>
          <w:p w:rsidR="00864DD2" w:rsidP="00864DD2" w:rsidRDefault="00864DD2" w14:paraId="2637D47C" w14:textId="77777777">
            <w:pPr>
              <w:keepNext/>
              <w:keepLines/>
              <w:contextualSpacing/>
              <w:jc w:val="center"/>
              <w:rPr>
                <w:color w:val="000000"/>
              </w:rPr>
            </w:pPr>
          </w:p>
          <w:p w:rsidR="00864DD2" w:rsidP="00864DD2" w:rsidRDefault="00864DD2" w14:paraId="028CBF91" w14:textId="77777777">
            <w:pPr>
              <w:keepNext/>
              <w:keepLines/>
              <w:contextualSpacing/>
              <w:jc w:val="center"/>
              <w:rPr>
                <w:color w:val="000000"/>
              </w:rPr>
            </w:pPr>
          </w:p>
          <w:p w:rsidR="00864DD2" w:rsidP="00864DD2" w:rsidRDefault="00864DD2" w14:paraId="2F2E175C" w14:textId="77777777">
            <w:pPr>
              <w:keepNext/>
              <w:keepLines/>
              <w:contextualSpacing/>
              <w:jc w:val="center"/>
              <w:rPr>
                <w:color w:val="000000"/>
              </w:rPr>
            </w:pPr>
            <w:r>
              <w:rPr>
                <w:color w:val="000000"/>
              </w:rPr>
              <w:t>Verified</w:t>
            </w:r>
          </w:p>
          <w:p w:rsidR="00864DD2" w:rsidP="00864DD2" w:rsidRDefault="00864DD2" w14:paraId="22AE2730" w14:textId="77777777">
            <w:pPr>
              <w:keepNext/>
              <w:keepLines/>
              <w:contextualSpacing/>
              <w:jc w:val="center"/>
              <w:rPr>
                <w:color w:val="000000"/>
              </w:rPr>
            </w:pPr>
          </w:p>
          <w:p w:rsidR="00864DD2" w:rsidP="00864DD2" w:rsidRDefault="00864DD2" w14:paraId="4D6D02CC" w14:textId="77777777">
            <w:pPr>
              <w:keepNext/>
              <w:keepLines/>
              <w:contextualSpacing/>
              <w:jc w:val="center"/>
              <w:rPr>
                <w:color w:val="000000"/>
              </w:rPr>
            </w:pPr>
          </w:p>
          <w:p w:rsidR="00864DD2" w:rsidP="00864DD2" w:rsidRDefault="00864DD2" w14:paraId="30AA18C7" w14:textId="77777777">
            <w:pPr>
              <w:keepNext/>
              <w:keepLines/>
              <w:contextualSpacing/>
              <w:jc w:val="center"/>
              <w:rPr>
                <w:color w:val="000000"/>
              </w:rPr>
            </w:pPr>
          </w:p>
          <w:p w:rsidR="00864DD2" w:rsidP="00864DD2" w:rsidRDefault="00864DD2" w14:paraId="7BF2B0F9" w14:textId="77777777">
            <w:pPr>
              <w:keepNext/>
              <w:keepLines/>
              <w:contextualSpacing/>
              <w:jc w:val="center"/>
              <w:rPr>
                <w:color w:val="000000"/>
              </w:rPr>
            </w:pPr>
          </w:p>
          <w:p w:rsidR="00864DD2" w:rsidP="00864DD2" w:rsidRDefault="00864DD2" w14:paraId="43955073" w14:textId="77777777">
            <w:pPr>
              <w:keepNext/>
              <w:keepLines/>
              <w:contextualSpacing/>
              <w:jc w:val="center"/>
              <w:rPr>
                <w:color w:val="000000"/>
              </w:rPr>
            </w:pPr>
          </w:p>
          <w:p w:rsidR="00864DD2" w:rsidP="00864DD2" w:rsidRDefault="00864DD2" w14:paraId="6862113B" w14:textId="77777777">
            <w:pPr>
              <w:keepNext/>
              <w:keepLines/>
              <w:contextualSpacing/>
              <w:jc w:val="center"/>
              <w:rPr>
                <w:color w:val="000000"/>
              </w:rPr>
            </w:pPr>
          </w:p>
          <w:p w:rsidR="00864DD2" w:rsidP="00864DD2" w:rsidRDefault="00864DD2" w14:paraId="3A4895DD" w14:textId="77777777">
            <w:pPr>
              <w:keepNext/>
              <w:keepLines/>
              <w:contextualSpacing/>
              <w:jc w:val="center"/>
              <w:rPr>
                <w:color w:val="000000"/>
              </w:rPr>
            </w:pPr>
          </w:p>
          <w:p w:rsidR="00864DD2" w:rsidP="00864DD2" w:rsidRDefault="00864DD2" w14:paraId="4E76761F" w14:textId="77777777">
            <w:pPr>
              <w:keepNext/>
              <w:keepLines/>
              <w:contextualSpacing/>
              <w:jc w:val="center"/>
              <w:rPr>
                <w:color w:val="000000"/>
              </w:rPr>
            </w:pPr>
          </w:p>
          <w:p w:rsidR="00864DD2" w:rsidP="00864DD2" w:rsidRDefault="00864DD2" w14:paraId="21EDF110" w14:textId="77777777">
            <w:pPr>
              <w:keepNext/>
              <w:keepLines/>
              <w:contextualSpacing/>
              <w:jc w:val="center"/>
              <w:rPr>
                <w:color w:val="000000"/>
              </w:rPr>
            </w:pPr>
          </w:p>
          <w:p w:rsidR="00864DD2" w:rsidP="00864DD2" w:rsidRDefault="00864DD2" w14:paraId="4B62528C" w14:textId="77777777">
            <w:pPr>
              <w:keepNext/>
              <w:keepLines/>
              <w:contextualSpacing/>
              <w:jc w:val="center"/>
              <w:rPr>
                <w:color w:val="000000"/>
              </w:rPr>
            </w:pPr>
          </w:p>
          <w:p w:rsidR="00864DD2" w:rsidP="00864DD2" w:rsidRDefault="00864DD2" w14:paraId="6EAF0154" w14:textId="77777777">
            <w:pPr>
              <w:keepNext/>
              <w:keepLines/>
              <w:contextualSpacing/>
              <w:jc w:val="center"/>
              <w:rPr>
                <w:color w:val="000000"/>
              </w:rPr>
            </w:pPr>
          </w:p>
          <w:p w:rsidR="00864DD2" w:rsidP="00864DD2" w:rsidRDefault="00864DD2" w14:paraId="18A359C4" w14:textId="77777777">
            <w:pPr>
              <w:keepNext/>
              <w:keepLines/>
              <w:contextualSpacing/>
              <w:jc w:val="center"/>
              <w:rPr>
                <w:color w:val="000000"/>
              </w:rPr>
            </w:pPr>
          </w:p>
          <w:p w:rsidR="00864DD2" w:rsidP="00864DD2" w:rsidRDefault="00864DD2" w14:paraId="106A6BE0" w14:textId="77777777">
            <w:pPr>
              <w:keepNext/>
              <w:keepLines/>
              <w:contextualSpacing/>
              <w:jc w:val="center"/>
              <w:rPr>
                <w:color w:val="000000"/>
              </w:rPr>
            </w:pPr>
          </w:p>
          <w:p w:rsidR="00864DD2" w:rsidP="00864DD2" w:rsidRDefault="00864DD2" w14:paraId="2669E849" w14:textId="77777777">
            <w:pPr>
              <w:keepNext/>
              <w:keepLines/>
              <w:contextualSpacing/>
              <w:jc w:val="center"/>
              <w:rPr>
                <w:color w:val="000000"/>
              </w:rPr>
            </w:pPr>
          </w:p>
          <w:p w:rsidR="00864DD2" w:rsidP="00864DD2" w:rsidRDefault="00864DD2" w14:paraId="6AF0D330" w14:textId="77777777">
            <w:pPr>
              <w:keepNext/>
              <w:keepLines/>
              <w:contextualSpacing/>
              <w:jc w:val="center"/>
              <w:rPr>
                <w:color w:val="000000"/>
              </w:rPr>
            </w:pPr>
          </w:p>
          <w:p w:rsidR="00864DD2" w:rsidP="00864DD2" w:rsidRDefault="00864DD2" w14:paraId="1E9B9C97" w14:textId="77777777">
            <w:pPr>
              <w:keepNext/>
              <w:keepLines/>
              <w:contextualSpacing/>
              <w:jc w:val="center"/>
              <w:rPr>
                <w:color w:val="000000"/>
              </w:rPr>
            </w:pPr>
            <w:r>
              <w:rPr>
                <w:color w:val="000000"/>
              </w:rPr>
              <w:t>Verified</w:t>
            </w:r>
          </w:p>
          <w:p w:rsidR="00864DD2" w:rsidP="00864DD2" w:rsidRDefault="00864DD2" w14:paraId="04CEC266" w14:textId="77777777">
            <w:pPr>
              <w:keepNext/>
              <w:keepLines/>
              <w:contextualSpacing/>
              <w:jc w:val="center"/>
              <w:rPr>
                <w:color w:val="000000"/>
              </w:rPr>
            </w:pPr>
          </w:p>
          <w:p w:rsidR="00864DD2" w:rsidP="00864DD2" w:rsidRDefault="00864DD2" w14:paraId="44A31852" w14:textId="77777777">
            <w:pPr>
              <w:keepNext/>
              <w:keepLines/>
              <w:contextualSpacing/>
              <w:jc w:val="center"/>
              <w:rPr>
                <w:color w:val="000000"/>
              </w:rPr>
            </w:pPr>
          </w:p>
          <w:p w:rsidR="00864DD2" w:rsidP="00864DD2" w:rsidRDefault="00864DD2" w14:paraId="634440E6" w14:textId="77777777">
            <w:pPr>
              <w:keepNext/>
              <w:keepLines/>
              <w:contextualSpacing/>
              <w:jc w:val="center"/>
              <w:rPr>
                <w:color w:val="000000"/>
              </w:rPr>
            </w:pPr>
          </w:p>
          <w:p w:rsidR="00864DD2" w:rsidP="00864DD2" w:rsidRDefault="00864DD2" w14:paraId="199AEE27" w14:textId="77777777">
            <w:pPr>
              <w:keepNext/>
              <w:keepLines/>
              <w:contextualSpacing/>
              <w:jc w:val="center"/>
              <w:rPr>
                <w:color w:val="000000"/>
              </w:rPr>
            </w:pPr>
          </w:p>
          <w:p w:rsidR="00864DD2" w:rsidP="00864DD2" w:rsidRDefault="00864DD2" w14:paraId="42740ADE" w14:textId="77777777">
            <w:pPr>
              <w:keepNext/>
              <w:keepLines/>
              <w:contextualSpacing/>
              <w:jc w:val="center"/>
              <w:rPr>
                <w:color w:val="000000"/>
              </w:rPr>
            </w:pPr>
          </w:p>
          <w:p w:rsidR="00864DD2" w:rsidP="00864DD2" w:rsidRDefault="00864DD2" w14:paraId="23703A76" w14:textId="77777777">
            <w:pPr>
              <w:keepNext/>
              <w:keepLines/>
              <w:contextualSpacing/>
              <w:jc w:val="center"/>
              <w:rPr>
                <w:color w:val="000000"/>
              </w:rPr>
            </w:pPr>
          </w:p>
          <w:p w:rsidR="00864DD2" w:rsidP="00864DD2" w:rsidRDefault="00864DD2" w14:paraId="6EA182FB" w14:textId="77777777">
            <w:pPr>
              <w:keepNext/>
              <w:keepLines/>
              <w:contextualSpacing/>
              <w:jc w:val="center"/>
              <w:rPr>
                <w:color w:val="000000"/>
              </w:rPr>
            </w:pPr>
          </w:p>
          <w:p w:rsidR="00864DD2" w:rsidP="00864DD2" w:rsidRDefault="00864DD2" w14:paraId="12FB37BD" w14:textId="77777777">
            <w:pPr>
              <w:keepNext/>
              <w:keepLines/>
              <w:contextualSpacing/>
              <w:jc w:val="center"/>
              <w:rPr>
                <w:color w:val="000000"/>
              </w:rPr>
            </w:pPr>
          </w:p>
          <w:p w:rsidR="00864DD2" w:rsidP="00864DD2" w:rsidRDefault="00864DD2" w14:paraId="78EFBF49" w14:textId="77777777">
            <w:pPr>
              <w:keepNext/>
              <w:keepLines/>
              <w:contextualSpacing/>
              <w:jc w:val="center"/>
              <w:rPr>
                <w:color w:val="000000"/>
              </w:rPr>
            </w:pPr>
          </w:p>
          <w:p w:rsidR="00864DD2" w:rsidP="00864DD2" w:rsidRDefault="00864DD2" w14:paraId="7755BF88" w14:textId="77777777">
            <w:pPr>
              <w:keepNext/>
              <w:keepLines/>
              <w:contextualSpacing/>
              <w:jc w:val="center"/>
              <w:rPr>
                <w:color w:val="000000"/>
              </w:rPr>
            </w:pPr>
          </w:p>
          <w:p w:rsidR="00864DD2" w:rsidP="00864DD2" w:rsidRDefault="00864DD2" w14:paraId="6BF20723" w14:textId="77777777">
            <w:pPr>
              <w:keepNext/>
              <w:keepLines/>
              <w:contextualSpacing/>
              <w:jc w:val="center"/>
              <w:rPr>
                <w:color w:val="000000"/>
              </w:rPr>
            </w:pPr>
          </w:p>
          <w:p w:rsidR="00864DD2" w:rsidP="00864DD2" w:rsidRDefault="00864DD2" w14:paraId="4E933590" w14:textId="77777777">
            <w:pPr>
              <w:keepNext/>
              <w:keepLines/>
              <w:contextualSpacing/>
              <w:jc w:val="center"/>
              <w:rPr>
                <w:color w:val="000000"/>
              </w:rPr>
            </w:pPr>
          </w:p>
          <w:p w:rsidR="00864DD2" w:rsidP="00864DD2" w:rsidRDefault="00864DD2" w14:paraId="0058BD6B" w14:textId="77777777">
            <w:pPr>
              <w:keepNext/>
              <w:keepLines/>
              <w:contextualSpacing/>
              <w:jc w:val="center"/>
              <w:rPr>
                <w:color w:val="000000"/>
              </w:rPr>
            </w:pPr>
          </w:p>
          <w:p w:rsidR="00864DD2" w:rsidP="00864DD2" w:rsidRDefault="00864DD2" w14:paraId="03FE4C23" w14:textId="77777777">
            <w:pPr>
              <w:keepNext/>
              <w:keepLines/>
              <w:contextualSpacing/>
              <w:jc w:val="center"/>
              <w:rPr>
                <w:color w:val="000000"/>
              </w:rPr>
            </w:pPr>
          </w:p>
          <w:p w:rsidR="00864DD2" w:rsidP="00864DD2" w:rsidRDefault="00864DD2" w14:paraId="3058F351" w14:textId="77777777">
            <w:pPr>
              <w:keepNext/>
              <w:keepLines/>
              <w:contextualSpacing/>
              <w:jc w:val="center"/>
              <w:rPr>
                <w:color w:val="000000"/>
              </w:rPr>
            </w:pPr>
          </w:p>
          <w:p w:rsidR="00864DD2" w:rsidP="00864DD2" w:rsidRDefault="00864DD2" w14:paraId="72583062" w14:textId="77777777">
            <w:pPr>
              <w:keepNext/>
              <w:keepLines/>
              <w:contextualSpacing/>
              <w:jc w:val="center"/>
              <w:rPr>
                <w:color w:val="000000"/>
              </w:rPr>
            </w:pPr>
            <w:r>
              <w:rPr>
                <w:color w:val="000000"/>
              </w:rPr>
              <w:t>Verified</w:t>
            </w:r>
          </w:p>
          <w:p w:rsidRPr="007F620E" w:rsidR="00864DD2" w:rsidP="00864DD2" w:rsidRDefault="00864DD2" w14:paraId="64233D9C" w14:textId="5F7B4011">
            <w:pPr>
              <w:keepNext/>
              <w:keepLines/>
              <w:contextualSpacing/>
              <w:jc w:val="center"/>
              <w:rPr>
                <w:color w:val="000000"/>
              </w:rPr>
            </w:pPr>
          </w:p>
        </w:tc>
      </w:tr>
      <w:tr w:rsidRPr="007F620E" w:rsidR="00514FEB" w:rsidTr="001811F3" w14:paraId="418CAF41" w14:textId="77777777">
        <w:tc>
          <w:tcPr>
            <w:tcW w:w="3595" w:type="dxa"/>
            <w:shd w:val="clear" w:color="auto" w:fill="auto"/>
          </w:tcPr>
          <w:p w:rsidR="002A4EAF" w:rsidP="00AF03E6" w:rsidRDefault="001F37D7" w14:paraId="05CC88AB" w14:textId="5F70C73D">
            <w:pPr>
              <w:pStyle w:val="ListParagraph"/>
              <w:keepNext/>
              <w:keepLines/>
              <w:numPr>
                <w:ilvl w:val="0"/>
                <w:numId w:val="28"/>
              </w:numPr>
              <w:ind w:left="331"/>
              <w:contextualSpacing/>
            </w:pPr>
            <w:r>
              <w:lastRenderedPageBreak/>
              <w:t>TURN contributed to the Commission’s conclusion</w:t>
            </w:r>
            <w:r w:rsidR="008F7DFC">
              <w:t>s</w:t>
            </w:r>
            <w:r>
              <w:t xml:space="preserve"> that </w:t>
            </w:r>
            <w:r w:rsidR="009C0ED7">
              <w:t xml:space="preserve">(a) </w:t>
            </w:r>
            <w:r w:rsidR="00775A44">
              <w:t>a new metric for EE should be adopted</w:t>
            </w:r>
            <w:r w:rsidR="00337B32">
              <w:t xml:space="preserve"> </w:t>
            </w:r>
            <w:r w:rsidR="00775A44">
              <w:t xml:space="preserve">because </w:t>
            </w:r>
            <w:r w:rsidR="0059482A">
              <w:t>the current structure of EE goals does not capture all of the policy goals and benefits of EE</w:t>
            </w:r>
            <w:r w:rsidR="00775A44">
              <w:t xml:space="preserve">, particularly </w:t>
            </w:r>
            <w:r w:rsidR="00337B32">
              <w:t>energy system needs</w:t>
            </w:r>
            <w:r w:rsidR="00677B0C">
              <w:t xml:space="preserve">, and </w:t>
            </w:r>
            <w:r w:rsidR="009C0ED7">
              <w:t xml:space="preserve">(b) </w:t>
            </w:r>
            <w:r w:rsidR="00677B0C">
              <w:t>that this new metric should be incorporated into the potential study-based goal setting process</w:t>
            </w:r>
            <w:r w:rsidR="00D661DD">
              <w:t>, which should still be</w:t>
            </w:r>
            <w:r w:rsidR="00677B0C">
              <w:t xml:space="preserve"> used </w:t>
            </w:r>
            <w:r w:rsidR="00D661DD">
              <w:t>to set EE goals, at least for the time being</w:t>
            </w:r>
            <w:r w:rsidR="00337B32">
              <w:t>.</w:t>
            </w:r>
          </w:p>
          <w:p w:rsidR="002A4EAF" w:rsidP="00AF03E6" w:rsidRDefault="002A4EAF" w14:paraId="2D105D63" w14:textId="77777777">
            <w:pPr>
              <w:pStyle w:val="ListParagraph"/>
              <w:keepNext/>
              <w:keepLines/>
              <w:numPr>
                <w:ilvl w:val="0"/>
                <w:numId w:val="0"/>
              </w:numPr>
              <w:ind w:left="331"/>
              <w:contextualSpacing/>
            </w:pPr>
          </w:p>
          <w:p w:rsidR="00733A38" w:rsidP="00AF03E6" w:rsidRDefault="00431F03" w14:paraId="594DFDED" w14:textId="7E92CF13">
            <w:pPr>
              <w:pStyle w:val="ListParagraph"/>
              <w:keepNext/>
              <w:keepLines/>
              <w:numPr>
                <w:ilvl w:val="0"/>
                <w:numId w:val="0"/>
              </w:numPr>
              <w:ind w:left="331"/>
              <w:contextualSpacing/>
            </w:pPr>
            <w:r>
              <w:t xml:space="preserve">TURN </w:t>
            </w:r>
            <w:r w:rsidR="00EC4883">
              <w:t>explained why the</w:t>
            </w:r>
            <w:r w:rsidR="002A4EAF">
              <w:t xml:space="preserve"> </w:t>
            </w:r>
            <w:r w:rsidR="00530522">
              <w:t xml:space="preserve">existing purpose of EE – to provide cost-effective energy </w:t>
            </w:r>
            <w:r w:rsidR="00530522">
              <w:lastRenderedPageBreak/>
              <w:t>savings – is less than ideal</w:t>
            </w:r>
            <w:r w:rsidR="00554A89">
              <w:t xml:space="preserve"> and can actually increase costs </w:t>
            </w:r>
            <w:r w:rsidR="00D20856">
              <w:t xml:space="preserve">for ratepayers </w:t>
            </w:r>
            <w:r w:rsidR="00554A89">
              <w:t xml:space="preserve">and GHG emissions </w:t>
            </w:r>
            <w:r w:rsidR="00A25652">
              <w:t>because it does not consider energy system needs.  TURN stated</w:t>
            </w:r>
            <w:r w:rsidR="00554A89">
              <w:t xml:space="preserve"> the</w:t>
            </w:r>
            <w:r w:rsidR="002A4EAF">
              <w:t xml:space="preserve"> </w:t>
            </w:r>
            <w:r w:rsidR="00EC4883">
              <w:t>idea</w:t>
            </w:r>
            <w:r w:rsidR="002A4EAF">
              <w:t>l</w:t>
            </w:r>
            <w:r w:rsidR="00EC4883">
              <w:t xml:space="preserve"> purpose for electric EE specifically would be supporting the efficient management of the </w:t>
            </w:r>
            <w:r w:rsidR="00D419D6">
              <w:t xml:space="preserve">electric system as California transitions to a GHG-free grid.  </w:t>
            </w:r>
            <w:r w:rsidR="00614DAF">
              <w:t>TURN cautioned against adopting GHG emissions reductions as the primary objective of EE</w:t>
            </w:r>
            <w:r w:rsidR="00B239C9">
              <w:t>, although very important,</w:t>
            </w:r>
            <w:r w:rsidR="00614DAF">
              <w:t xml:space="preserve"> because of accounting complexi</w:t>
            </w:r>
            <w:r w:rsidR="00B239C9">
              <w:t xml:space="preserve">ties.  </w:t>
            </w:r>
          </w:p>
          <w:p w:rsidR="00733A38" w:rsidP="00AF03E6" w:rsidRDefault="00733A38" w14:paraId="200DC5EC" w14:textId="77777777">
            <w:pPr>
              <w:pStyle w:val="ListParagraph"/>
              <w:keepNext/>
              <w:keepLines/>
              <w:numPr>
                <w:ilvl w:val="0"/>
                <w:numId w:val="0"/>
              </w:numPr>
              <w:ind w:left="331"/>
              <w:contextualSpacing/>
            </w:pPr>
          </w:p>
          <w:p w:rsidR="00514FEB" w:rsidP="00AF03E6" w:rsidRDefault="00B239C9" w14:paraId="06B6ECFD" w14:textId="37A14702">
            <w:pPr>
              <w:pStyle w:val="ListParagraph"/>
              <w:keepNext/>
              <w:keepLines/>
              <w:numPr>
                <w:ilvl w:val="0"/>
                <w:numId w:val="0"/>
              </w:numPr>
              <w:ind w:left="331"/>
              <w:contextualSpacing/>
            </w:pPr>
            <w:r>
              <w:t xml:space="preserve">TURN recommended that the Commission continue to use the potential study approach to set EE goals, </w:t>
            </w:r>
            <w:r w:rsidR="005A09FB">
              <w:t xml:space="preserve">including kWh, kW, and </w:t>
            </w:r>
            <w:proofErr w:type="spellStart"/>
            <w:r w:rsidR="005A09FB">
              <w:t>therm</w:t>
            </w:r>
            <w:proofErr w:type="spellEnd"/>
            <w:r w:rsidR="005A09FB">
              <w:t xml:space="preserve"> goals, </w:t>
            </w:r>
            <w:r w:rsidR="00C4374D">
              <w:t xml:space="preserve">at least until the Integrated Resource Planning </w:t>
            </w:r>
            <w:r w:rsidR="00ED75C7">
              <w:t xml:space="preserve">(IRP) </w:t>
            </w:r>
            <w:r w:rsidR="00C4374D">
              <w:t>Process matures</w:t>
            </w:r>
            <w:r w:rsidR="002372E3">
              <w:t xml:space="preserve"> and can inform EE optimization.</w:t>
            </w:r>
          </w:p>
          <w:p w:rsidR="004F3628" w:rsidP="00AF03E6" w:rsidRDefault="004F3628" w14:paraId="6706ACDB" w14:textId="77777777">
            <w:pPr>
              <w:pStyle w:val="ListParagraph"/>
              <w:keepNext/>
              <w:keepLines/>
              <w:numPr>
                <w:ilvl w:val="0"/>
                <w:numId w:val="0"/>
              </w:numPr>
              <w:ind w:left="331"/>
              <w:contextualSpacing/>
            </w:pPr>
          </w:p>
          <w:p w:rsidR="00733A38" w:rsidP="00AF03E6" w:rsidRDefault="00E74023" w14:paraId="7B5FFF46" w14:textId="77777777">
            <w:pPr>
              <w:pStyle w:val="ListParagraph"/>
              <w:keepNext/>
              <w:keepLines/>
              <w:numPr>
                <w:ilvl w:val="0"/>
                <w:numId w:val="0"/>
              </w:numPr>
              <w:ind w:left="331"/>
              <w:contextualSpacing/>
            </w:pPr>
            <w:r>
              <w:t xml:space="preserve">The Commission agreed with </w:t>
            </w:r>
            <w:r w:rsidR="00032755">
              <w:t>those</w:t>
            </w:r>
            <w:r>
              <w:t xml:space="preserve"> parties, including TURN, that advocat</w:t>
            </w:r>
            <w:r w:rsidR="00A1411C">
              <w:t>ed for better reflecting energy system needs in EE goal-setting.</w:t>
            </w:r>
            <w:r w:rsidR="00E62E2C">
              <w:t xml:space="preserve">  </w:t>
            </w:r>
            <w:r w:rsidR="00BC4941">
              <w:t>With TURN’s support, t</w:t>
            </w:r>
            <w:r w:rsidR="00E62E2C">
              <w:t xml:space="preserve">he Commission adopted a variation of the proposal offered by NRDC for a new metric </w:t>
            </w:r>
            <w:r w:rsidR="00D86B43">
              <w:t xml:space="preserve">that captures </w:t>
            </w:r>
            <w:r w:rsidR="00BA0941">
              <w:t xml:space="preserve">lifetime </w:t>
            </w:r>
            <w:r w:rsidR="00D86B43">
              <w:t xml:space="preserve">energy savings, </w:t>
            </w:r>
            <w:r w:rsidR="00D86B43">
              <w:lastRenderedPageBreak/>
              <w:t>system needs, and GHG reduction values</w:t>
            </w:r>
            <w:r w:rsidR="00CF1615">
              <w:t>.  Th</w:t>
            </w:r>
            <w:r w:rsidR="008E2DF1">
              <w:t>e Commission called this</w:t>
            </w:r>
            <w:r w:rsidR="00CF1615">
              <w:t xml:space="preserve"> new metric Total System Benefit</w:t>
            </w:r>
            <w:r w:rsidR="00D13957">
              <w:t xml:space="preserve"> (TSB</w:t>
            </w:r>
            <w:r w:rsidR="008E2DF1">
              <w:t>)</w:t>
            </w:r>
            <w:r w:rsidR="001626F8">
              <w:t xml:space="preserve"> and explained the intent to use TSB to understand the total net system benefits from </w:t>
            </w:r>
            <w:r w:rsidR="00750B98">
              <w:t>an EE</w:t>
            </w:r>
            <w:r w:rsidR="001626F8">
              <w:t xml:space="preserve"> resource</w:t>
            </w:r>
            <w:r w:rsidR="004F6FD2">
              <w:t>.</w:t>
            </w:r>
            <w:r w:rsidR="00CC29FE">
              <w:t xml:space="preserve">  </w:t>
            </w:r>
          </w:p>
          <w:p w:rsidR="00733A38" w:rsidP="00AF03E6" w:rsidRDefault="00733A38" w14:paraId="6E28753C" w14:textId="77777777">
            <w:pPr>
              <w:pStyle w:val="ListParagraph"/>
              <w:keepNext/>
              <w:keepLines/>
              <w:numPr>
                <w:ilvl w:val="0"/>
                <w:numId w:val="0"/>
              </w:numPr>
              <w:ind w:left="331"/>
              <w:contextualSpacing/>
            </w:pPr>
          </w:p>
          <w:p w:rsidR="004F3628" w:rsidP="00AF03E6" w:rsidRDefault="00CC29FE" w14:paraId="3A552FC2" w14:textId="756D56BA">
            <w:pPr>
              <w:pStyle w:val="ListParagraph"/>
              <w:keepNext/>
              <w:keepLines/>
              <w:numPr>
                <w:ilvl w:val="0"/>
                <w:numId w:val="0"/>
              </w:numPr>
              <w:ind w:left="331"/>
              <w:contextualSpacing/>
            </w:pPr>
            <w:r>
              <w:t xml:space="preserve">The Commission also concluded that </w:t>
            </w:r>
            <w:r w:rsidR="006F25A5">
              <w:t xml:space="preserve">the potential </w:t>
            </w:r>
            <w:r w:rsidR="00BC4941">
              <w:t xml:space="preserve">and goals </w:t>
            </w:r>
            <w:r w:rsidR="006F25A5">
              <w:t xml:space="preserve">study would add TSB while also continuing to develop goals in the traditional kWh, kW, and </w:t>
            </w:r>
            <w:proofErr w:type="spellStart"/>
            <w:r w:rsidR="006F25A5">
              <w:t>therm</w:t>
            </w:r>
            <w:proofErr w:type="spellEnd"/>
            <w:r w:rsidR="006F25A5">
              <w:t xml:space="preserve"> format</w:t>
            </w:r>
            <w:r w:rsidR="006D52B1">
              <w:t>, so as to encourage EE portfolios that are better optimized to capture all of the benefits of EE.</w:t>
            </w:r>
            <w:r w:rsidR="003E71ED">
              <w:t xml:space="preserve">  However, like TURN (and others), the Commission recognized tha</w:t>
            </w:r>
            <w:r w:rsidR="001D5B10">
              <w:t xml:space="preserve">t certain EE programs might </w:t>
            </w:r>
            <w:r w:rsidR="005C7D76">
              <w:t xml:space="preserve">be further optimized </w:t>
            </w:r>
            <w:r w:rsidR="00DD71EE">
              <w:t xml:space="preserve">by being analyzed </w:t>
            </w:r>
            <w:r w:rsidR="005C7D76">
              <w:t xml:space="preserve">within the IRP </w:t>
            </w:r>
            <w:r w:rsidR="003C2E73">
              <w:t xml:space="preserve">modeling </w:t>
            </w:r>
            <w:r w:rsidR="005C7D76">
              <w:t>process in the future</w:t>
            </w:r>
            <w:r w:rsidR="00DD71EE">
              <w:t>, to the benefit of ratepayers.</w:t>
            </w:r>
          </w:p>
          <w:p w:rsidR="00733A38" w:rsidP="00AF03E6" w:rsidRDefault="00733A38" w14:paraId="6DD628D9" w14:textId="77777777">
            <w:pPr>
              <w:pStyle w:val="ListParagraph"/>
              <w:keepNext/>
              <w:keepLines/>
              <w:numPr>
                <w:ilvl w:val="0"/>
                <w:numId w:val="0"/>
              </w:numPr>
              <w:ind w:left="331"/>
              <w:contextualSpacing/>
            </w:pPr>
          </w:p>
          <w:p w:rsidRPr="002A4EAF" w:rsidR="006D52B1" w:rsidP="00AF03E6" w:rsidRDefault="00733A38" w14:paraId="63A7195C" w14:textId="0A603295">
            <w:pPr>
              <w:pStyle w:val="ListParagraph"/>
              <w:keepNext/>
              <w:keepLines/>
              <w:numPr>
                <w:ilvl w:val="0"/>
                <w:numId w:val="0"/>
              </w:numPr>
              <w:ind w:left="331"/>
              <w:contextualSpacing/>
            </w:pPr>
            <w:r>
              <w:t xml:space="preserve">Finally, </w:t>
            </w:r>
            <w:r w:rsidR="009E72A1">
              <w:t>when NRDC proposed modifications to the Proposed Decision</w:t>
            </w:r>
            <w:r w:rsidR="00BF22BA">
              <w:t xml:space="preserve"> to clarify</w:t>
            </w:r>
            <w:r w:rsidR="009E72A1">
              <w:t xml:space="preserve"> how TSB w</w:t>
            </w:r>
            <w:r w:rsidR="00BF22BA">
              <w:t>ould</w:t>
            </w:r>
            <w:r w:rsidR="009E72A1">
              <w:t xml:space="preserve"> be calculated</w:t>
            </w:r>
            <w:r w:rsidR="002C0335">
              <w:t xml:space="preserve"> for goal-setting and reporting</w:t>
            </w:r>
            <w:r w:rsidR="00BF22BA">
              <w:t xml:space="preserve">, </w:t>
            </w:r>
            <w:r w:rsidR="00AC051E">
              <w:t xml:space="preserve">the Commission adopted the approach advocated by TURN of first </w:t>
            </w:r>
            <w:r w:rsidR="007D612F">
              <w:t xml:space="preserve">resolving the methodology for </w:t>
            </w:r>
            <w:r w:rsidR="00800E88">
              <w:t>setting TSB goals</w:t>
            </w:r>
            <w:r w:rsidR="008C34D1">
              <w:t xml:space="preserve"> in the Potential and Goals Study</w:t>
            </w:r>
            <w:r w:rsidR="00800E88">
              <w:t xml:space="preserve">, which was </w:t>
            </w:r>
            <w:r w:rsidR="00800E88">
              <w:lastRenderedPageBreak/>
              <w:t>separately under consideration at that time.</w:t>
            </w:r>
          </w:p>
        </w:tc>
        <w:tc>
          <w:tcPr>
            <w:tcW w:w="3803" w:type="dxa"/>
            <w:shd w:val="clear" w:color="auto" w:fill="auto"/>
          </w:tcPr>
          <w:p w:rsidR="00514FEB" w:rsidP="00AF03E6" w:rsidRDefault="00022E7D" w14:paraId="5769E3D8" w14:textId="71E30548">
            <w:pPr>
              <w:pStyle w:val="ListParagraph"/>
              <w:keepNext/>
              <w:keepLines/>
              <w:numPr>
                <w:ilvl w:val="0"/>
                <w:numId w:val="30"/>
              </w:numPr>
              <w:ind w:left="412"/>
              <w:contextualSpacing/>
            </w:pPr>
            <w:r>
              <w:lastRenderedPageBreak/>
              <w:t xml:space="preserve">TURN </w:t>
            </w:r>
            <w:proofErr w:type="spellStart"/>
            <w:r>
              <w:t>Cmts</w:t>
            </w:r>
            <w:proofErr w:type="spellEnd"/>
            <w:r>
              <w:t xml:space="preserve"> on P&amp;G Policy Questions, 5-22-20, pp. 2-6</w:t>
            </w:r>
            <w:r w:rsidR="00DD56A5">
              <w:t xml:space="preserve"> (addressing primary objective for EE)</w:t>
            </w:r>
          </w:p>
          <w:p w:rsidR="00F96AE1" w:rsidP="00AF03E6" w:rsidRDefault="00F96AE1" w14:paraId="34BAA596" w14:textId="77777777">
            <w:pPr>
              <w:pStyle w:val="ListParagraph"/>
              <w:keepNext/>
              <w:keepLines/>
              <w:numPr>
                <w:ilvl w:val="0"/>
                <w:numId w:val="0"/>
              </w:numPr>
              <w:ind w:left="412"/>
              <w:contextualSpacing/>
            </w:pPr>
          </w:p>
          <w:p w:rsidR="0017158E" w:rsidP="00AF03E6" w:rsidRDefault="000A6B40" w14:paraId="442B82C7" w14:textId="04591ED1">
            <w:pPr>
              <w:pStyle w:val="ListParagraph"/>
              <w:keepNext/>
              <w:keepLines/>
              <w:numPr>
                <w:ilvl w:val="0"/>
                <w:numId w:val="30"/>
              </w:numPr>
              <w:ind w:left="412"/>
              <w:contextualSpacing/>
            </w:pPr>
            <w:r>
              <w:t xml:space="preserve">TURN </w:t>
            </w:r>
            <w:proofErr w:type="spellStart"/>
            <w:r>
              <w:t>Cmts</w:t>
            </w:r>
            <w:proofErr w:type="spellEnd"/>
            <w:r>
              <w:t xml:space="preserve"> on P&amp;G Policy Questions, 5-22-20, pp. 7-8 (addressing how go</w:t>
            </w:r>
            <w:r w:rsidR="00B637E7">
              <w:t>al</w:t>
            </w:r>
            <w:r>
              <w:t>s should be set)</w:t>
            </w:r>
          </w:p>
          <w:p w:rsidR="00F96AE1" w:rsidP="00AF03E6" w:rsidRDefault="00F96AE1" w14:paraId="73D17629" w14:textId="77777777">
            <w:pPr>
              <w:pStyle w:val="ListParagraph"/>
              <w:keepNext/>
              <w:keepLines/>
              <w:numPr>
                <w:ilvl w:val="0"/>
                <w:numId w:val="0"/>
              </w:numPr>
              <w:ind w:left="720"/>
              <w:contextualSpacing/>
            </w:pPr>
          </w:p>
          <w:p w:rsidR="00E7419C" w:rsidP="00AF03E6" w:rsidRDefault="00E7419C" w14:paraId="617A6560" w14:textId="77777777">
            <w:pPr>
              <w:pStyle w:val="ListParagraph"/>
              <w:keepNext/>
              <w:keepLines/>
              <w:numPr>
                <w:ilvl w:val="0"/>
                <w:numId w:val="30"/>
              </w:numPr>
              <w:ind w:left="412"/>
              <w:contextualSpacing/>
            </w:pPr>
            <w:r>
              <w:t xml:space="preserve">TURN Reply </w:t>
            </w:r>
            <w:proofErr w:type="spellStart"/>
            <w:r>
              <w:t>Cmts</w:t>
            </w:r>
            <w:proofErr w:type="spellEnd"/>
            <w:r>
              <w:t xml:space="preserve"> on P&amp;G Policy Questions, 6-5-20, pp. 2-3</w:t>
            </w:r>
            <w:r w:rsidR="0017158E">
              <w:t xml:space="preserve"> (addressing primary objective for EE)</w:t>
            </w:r>
          </w:p>
          <w:p w:rsidR="00F96AE1" w:rsidP="00AF03E6" w:rsidRDefault="00F96AE1" w14:paraId="52E696D0" w14:textId="77777777">
            <w:pPr>
              <w:pStyle w:val="ListParagraph"/>
              <w:keepNext/>
              <w:keepLines/>
              <w:numPr>
                <w:ilvl w:val="0"/>
                <w:numId w:val="0"/>
              </w:numPr>
              <w:ind w:left="720"/>
              <w:contextualSpacing/>
            </w:pPr>
          </w:p>
          <w:p w:rsidR="0017158E" w:rsidP="00AF03E6" w:rsidRDefault="000A6B40" w14:paraId="5A82D42B" w14:textId="77777777">
            <w:pPr>
              <w:pStyle w:val="ListParagraph"/>
              <w:keepNext/>
              <w:keepLines/>
              <w:numPr>
                <w:ilvl w:val="0"/>
                <w:numId w:val="30"/>
              </w:numPr>
              <w:ind w:left="412"/>
              <w:contextualSpacing/>
            </w:pPr>
            <w:r>
              <w:t xml:space="preserve">TURN Reply </w:t>
            </w:r>
            <w:proofErr w:type="spellStart"/>
            <w:r>
              <w:t>Cmts</w:t>
            </w:r>
            <w:proofErr w:type="spellEnd"/>
            <w:r>
              <w:t xml:space="preserve"> on P&amp;G Policy Questions, 6-5-20, pp. 3-6 (addressing NRDC’s proposed new metric</w:t>
            </w:r>
            <w:r w:rsidR="00FB12B9">
              <w:t xml:space="preserve"> capturing </w:t>
            </w:r>
            <w:r w:rsidR="00FB12B9">
              <w:lastRenderedPageBreak/>
              <w:t>total lifetime economic benefits)</w:t>
            </w:r>
          </w:p>
          <w:p w:rsidR="006B3E6D" w:rsidP="00AF03E6" w:rsidRDefault="006B3E6D" w14:paraId="68126E2E" w14:textId="77777777">
            <w:pPr>
              <w:pStyle w:val="ListParagraph"/>
              <w:keepNext/>
              <w:keepLines/>
              <w:numPr>
                <w:ilvl w:val="0"/>
                <w:numId w:val="0"/>
              </w:numPr>
              <w:ind w:left="720"/>
              <w:contextualSpacing/>
            </w:pPr>
          </w:p>
          <w:p w:rsidR="006B3E6D" w:rsidP="00AF03E6" w:rsidRDefault="006B3E6D" w14:paraId="3399F4B1" w14:textId="6FB3D01C">
            <w:pPr>
              <w:pStyle w:val="ListParagraph"/>
              <w:keepNext/>
              <w:keepLines/>
              <w:numPr>
                <w:ilvl w:val="0"/>
                <w:numId w:val="30"/>
              </w:numPr>
              <w:ind w:left="412"/>
              <w:contextualSpacing/>
            </w:pPr>
            <w:r>
              <w:t xml:space="preserve">D.21-05-031, pp. </w:t>
            </w:r>
            <w:r w:rsidR="00947D5B">
              <w:t>8-10</w:t>
            </w:r>
            <w:r w:rsidR="003C2E73">
              <w:t>, 17</w:t>
            </w:r>
          </w:p>
          <w:p w:rsidR="00D43349" w:rsidP="00AF03E6" w:rsidRDefault="00D43349" w14:paraId="6E275FD5" w14:textId="77777777">
            <w:pPr>
              <w:pStyle w:val="ListParagraph"/>
              <w:keepNext/>
              <w:keepLines/>
              <w:numPr>
                <w:ilvl w:val="0"/>
                <w:numId w:val="0"/>
              </w:numPr>
              <w:ind w:left="720"/>
              <w:contextualSpacing/>
            </w:pPr>
          </w:p>
          <w:p w:rsidR="001239C6" w:rsidP="00AF03E6" w:rsidRDefault="001239C6" w14:paraId="72048DE2" w14:textId="77777777">
            <w:pPr>
              <w:pStyle w:val="ListParagraph"/>
              <w:keepNext/>
              <w:keepLines/>
              <w:numPr>
                <w:ilvl w:val="0"/>
                <w:numId w:val="0"/>
              </w:numPr>
              <w:ind w:left="720"/>
              <w:contextualSpacing/>
            </w:pPr>
          </w:p>
          <w:p w:rsidR="00D43349" w:rsidP="00AF03E6" w:rsidRDefault="001239C6" w14:paraId="115B1453" w14:textId="507C1881">
            <w:pPr>
              <w:pStyle w:val="ListParagraph"/>
              <w:keepNext/>
              <w:keepLines/>
              <w:numPr>
                <w:ilvl w:val="0"/>
                <w:numId w:val="30"/>
              </w:numPr>
              <w:ind w:left="412"/>
              <w:contextualSpacing/>
            </w:pPr>
            <w:r>
              <w:t xml:space="preserve">TURN Reply </w:t>
            </w:r>
            <w:proofErr w:type="spellStart"/>
            <w:r>
              <w:t>Cmts</w:t>
            </w:r>
            <w:proofErr w:type="spellEnd"/>
            <w:r>
              <w:t xml:space="preserve"> on P&amp;G Policy Questions PD, 5-11-21, p. 5</w:t>
            </w:r>
          </w:p>
          <w:p w:rsidR="007D0F12" w:rsidP="00AF03E6" w:rsidRDefault="007D0F12" w14:paraId="42588AF0" w14:textId="77777777">
            <w:pPr>
              <w:pStyle w:val="ListParagraph"/>
              <w:keepNext/>
              <w:keepLines/>
              <w:numPr>
                <w:ilvl w:val="0"/>
                <w:numId w:val="0"/>
              </w:numPr>
              <w:ind w:left="412"/>
              <w:contextualSpacing/>
            </w:pPr>
          </w:p>
          <w:p w:rsidR="001239C6" w:rsidP="00AF03E6" w:rsidRDefault="001239C6" w14:paraId="009FEC79" w14:textId="7B2BB643">
            <w:pPr>
              <w:pStyle w:val="ListParagraph"/>
              <w:keepNext/>
              <w:keepLines/>
              <w:numPr>
                <w:ilvl w:val="0"/>
                <w:numId w:val="30"/>
              </w:numPr>
              <w:ind w:left="412"/>
              <w:contextualSpacing/>
            </w:pPr>
            <w:r>
              <w:t xml:space="preserve">D.21-05-031, p. </w:t>
            </w:r>
            <w:r w:rsidR="007D0F12">
              <w:t xml:space="preserve">66 (deferring to the resolution of the </w:t>
            </w:r>
            <w:r w:rsidR="008C0AF6">
              <w:t>pending Potential and Goals study before further clarifying the TSB metric definition)</w:t>
            </w:r>
          </w:p>
          <w:p w:rsidR="00D43349" w:rsidP="00AF03E6" w:rsidRDefault="00D43349" w14:paraId="344D06FD" w14:textId="77777777">
            <w:pPr>
              <w:pStyle w:val="ListParagraph"/>
              <w:keepNext/>
              <w:keepLines/>
              <w:numPr>
                <w:ilvl w:val="0"/>
                <w:numId w:val="0"/>
              </w:numPr>
              <w:ind w:left="720"/>
              <w:contextualSpacing/>
            </w:pPr>
          </w:p>
          <w:p w:rsidRPr="00022E7D" w:rsidR="00D43349" w:rsidP="00AF03E6" w:rsidRDefault="00D43349" w14:paraId="1C84CAEC" w14:textId="036C169B">
            <w:pPr>
              <w:pStyle w:val="ListParagraph"/>
              <w:keepNext/>
              <w:keepLines/>
              <w:numPr>
                <w:ilvl w:val="0"/>
                <w:numId w:val="0"/>
              </w:numPr>
              <w:ind w:left="412"/>
              <w:contextualSpacing/>
            </w:pPr>
          </w:p>
        </w:tc>
        <w:tc>
          <w:tcPr>
            <w:tcW w:w="2340" w:type="dxa"/>
            <w:shd w:val="clear" w:color="auto" w:fill="auto"/>
          </w:tcPr>
          <w:p w:rsidR="00514FEB" w:rsidP="00864DD2" w:rsidRDefault="00514FEB" w14:paraId="43BF498D" w14:textId="77777777">
            <w:pPr>
              <w:keepNext/>
              <w:keepLines/>
              <w:contextualSpacing/>
              <w:jc w:val="center"/>
              <w:rPr>
                <w:color w:val="000000"/>
              </w:rPr>
            </w:pPr>
          </w:p>
          <w:p w:rsidR="00864DD2" w:rsidP="00864DD2" w:rsidRDefault="00864DD2" w14:paraId="53AFEF4A" w14:textId="77777777">
            <w:pPr>
              <w:keepNext/>
              <w:keepLines/>
              <w:contextualSpacing/>
              <w:jc w:val="center"/>
              <w:rPr>
                <w:color w:val="000000"/>
              </w:rPr>
            </w:pPr>
            <w:r>
              <w:rPr>
                <w:color w:val="000000"/>
              </w:rPr>
              <w:t>Verified</w:t>
            </w:r>
          </w:p>
          <w:p w:rsidR="00864DD2" w:rsidP="00864DD2" w:rsidRDefault="00864DD2" w14:paraId="6BAE4F41" w14:textId="77777777">
            <w:pPr>
              <w:keepNext/>
              <w:keepLines/>
              <w:contextualSpacing/>
              <w:jc w:val="center"/>
              <w:rPr>
                <w:color w:val="000000"/>
              </w:rPr>
            </w:pPr>
          </w:p>
          <w:p w:rsidR="00864DD2" w:rsidP="00864DD2" w:rsidRDefault="00864DD2" w14:paraId="7CE8B37C" w14:textId="77777777">
            <w:pPr>
              <w:keepNext/>
              <w:keepLines/>
              <w:contextualSpacing/>
              <w:jc w:val="center"/>
              <w:rPr>
                <w:color w:val="000000"/>
              </w:rPr>
            </w:pPr>
          </w:p>
          <w:p w:rsidR="00864DD2" w:rsidP="00864DD2" w:rsidRDefault="00864DD2" w14:paraId="0F360FB2" w14:textId="77777777">
            <w:pPr>
              <w:keepNext/>
              <w:keepLines/>
              <w:contextualSpacing/>
              <w:jc w:val="center"/>
              <w:rPr>
                <w:color w:val="000000"/>
              </w:rPr>
            </w:pPr>
          </w:p>
          <w:p w:rsidR="00864DD2" w:rsidP="00864DD2" w:rsidRDefault="00864DD2" w14:paraId="5D6F6EE0" w14:textId="77777777">
            <w:pPr>
              <w:keepNext/>
              <w:keepLines/>
              <w:contextualSpacing/>
              <w:jc w:val="center"/>
              <w:rPr>
                <w:color w:val="000000"/>
              </w:rPr>
            </w:pPr>
          </w:p>
          <w:p w:rsidR="00864DD2" w:rsidP="00864DD2" w:rsidRDefault="00864DD2" w14:paraId="0DF8EA87" w14:textId="77777777">
            <w:pPr>
              <w:keepNext/>
              <w:keepLines/>
              <w:contextualSpacing/>
              <w:jc w:val="center"/>
              <w:rPr>
                <w:color w:val="000000"/>
              </w:rPr>
            </w:pPr>
            <w:r>
              <w:rPr>
                <w:color w:val="000000"/>
              </w:rPr>
              <w:t>Verified</w:t>
            </w:r>
          </w:p>
          <w:p w:rsidR="00864DD2" w:rsidP="00864DD2" w:rsidRDefault="00864DD2" w14:paraId="2BDF3886" w14:textId="77777777">
            <w:pPr>
              <w:keepNext/>
              <w:keepLines/>
              <w:contextualSpacing/>
              <w:jc w:val="center"/>
              <w:rPr>
                <w:color w:val="000000"/>
              </w:rPr>
            </w:pPr>
          </w:p>
          <w:p w:rsidR="00864DD2" w:rsidP="00864DD2" w:rsidRDefault="00864DD2" w14:paraId="607928D0" w14:textId="77777777">
            <w:pPr>
              <w:keepNext/>
              <w:keepLines/>
              <w:contextualSpacing/>
              <w:jc w:val="center"/>
              <w:rPr>
                <w:color w:val="000000"/>
              </w:rPr>
            </w:pPr>
          </w:p>
          <w:p w:rsidR="00864DD2" w:rsidP="00864DD2" w:rsidRDefault="00864DD2" w14:paraId="107A0C50" w14:textId="77777777">
            <w:pPr>
              <w:keepNext/>
              <w:keepLines/>
              <w:contextualSpacing/>
              <w:jc w:val="center"/>
              <w:rPr>
                <w:color w:val="000000"/>
              </w:rPr>
            </w:pPr>
          </w:p>
          <w:p w:rsidR="00864DD2" w:rsidP="00864DD2" w:rsidRDefault="00864DD2" w14:paraId="1BAF5E65" w14:textId="77777777">
            <w:pPr>
              <w:keepNext/>
              <w:keepLines/>
              <w:contextualSpacing/>
              <w:jc w:val="center"/>
              <w:rPr>
                <w:color w:val="000000"/>
              </w:rPr>
            </w:pPr>
          </w:p>
          <w:p w:rsidR="00864DD2" w:rsidP="00864DD2" w:rsidRDefault="00864DD2" w14:paraId="6DD4063D" w14:textId="77777777">
            <w:pPr>
              <w:keepNext/>
              <w:keepLines/>
              <w:contextualSpacing/>
              <w:jc w:val="center"/>
              <w:rPr>
                <w:color w:val="000000"/>
              </w:rPr>
            </w:pPr>
          </w:p>
          <w:p w:rsidR="00864DD2" w:rsidP="00864DD2" w:rsidRDefault="00864DD2" w14:paraId="7656AEB5" w14:textId="77777777">
            <w:pPr>
              <w:keepNext/>
              <w:keepLines/>
              <w:contextualSpacing/>
              <w:jc w:val="center"/>
              <w:rPr>
                <w:color w:val="000000"/>
              </w:rPr>
            </w:pPr>
          </w:p>
          <w:p w:rsidR="00864DD2" w:rsidP="00864DD2" w:rsidRDefault="00864DD2" w14:paraId="2462921A" w14:textId="77777777">
            <w:pPr>
              <w:keepNext/>
              <w:keepLines/>
              <w:contextualSpacing/>
              <w:jc w:val="center"/>
              <w:rPr>
                <w:color w:val="000000"/>
              </w:rPr>
            </w:pPr>
          </w:p>
          <w:p w:rsidR="00864DD2" w:rsidP="00864DD2" w:rsidRDefault="00864DD2" w14:paraId="2FE9DBE3" w14:textId="77777777">
            <w:pPr>
              <w:keepNext/>
              <w:keepLines/>
              <w:contextualSpacing/>
              <w:jc w:val="center"/>
              <w:rPr>
                <w:color w:val="000000"/>
              </w:rPr>
            </w:pPr>
          </w:p>
          <w:p w:rsidR="00864DD2" w:rsidP="00864DD2" w:rsidRDefault="00864DD2" w14:paraId="15A7D154" w14:textId="77777777">
            <w:pPr>
              <w:keepNext/>
              <w:keepLines/>
              <w:contextualSpacing/>
              <w:jc w:val="center"/>
              <w:rPr>
                <w:color w:val="000000"/>
              </w:rPr>
            </w:pPr>
          </w:p>
          <w:p w:rsidR="00864DD2" w:rsidP="00864DD2" w:rsidRDefault="00864DD2" w14:paraId="09E3B8F7" w14:textId="77777777">
            <w:pPr>
              <w:keepNext/>
              <w:keepLines/>
              <w:contextualSpacing/>
              <w:jc w:val="center"/>
              <w:rPr>
                <w:color w:val="000000"/>
              </w:rPr>
            </w:pPr>
          </w:p>
          <w:p w:rsidR="00864DD2" w:rsidP="00864DD2" w:rsidRDefault="00864DD2" w14:paraId="3944D3FE" w14:textId="77777777">
            <w:pPr>
              <w:keepNext/>
              <w:keepLines/>
              <w:contextualSpacing/>
              <w:jc w:val="center"/>
              <w:rPr>
                <w:color w:val="000000"/>
              </w:rPr>
            </w:pPr>
            <w:r>
              <w:rPr>
                <w:color w:val="000000"/>
              </w:rPr>
              <w:t>Verified</w:t>
            </w:r>
          </w:p>
          <w:p w:rsidR="00864DD2" w:rsidP="00864DD2" w:rsidRDefault="00864DD2" w14:paraId="3F2ADA8C" w14:textId="77777777">
            <w:pPr>
              <w:keepNext/>
              <w:keepLines/>
              <w:contextualSpacing/>
              <w:jc w:val="center"/>
              <w:rPr>
                <w:color w:val="000000"/>
              </w:rPr>
            </w:pPr>
          </w:p>
          <w:p w:rsidR="00864DD2" w:rsidP="00864DD2" w:rsidRDefault="00864DD2" w14:paraId="5FC85872" w14:textId="77777777">
            <w:pPr>
              <w:keepNext/>
              <w:keepLines/>
              <w:contextualSpacing/>
              <w:jc w:val="center"/>
              <w:rPr>
                <w:color w:val="000000"/>
              </w:rPr>
            </w:pPr>
          </w:p>
          <w:p w:rsidR="00864DD2" w:rsidP="00864DD2" w:rsidRDefault="00864DD2" w14:paraId="2CC0CE42" w14:textId="77777777">
            <w:pPr>
              <w:keepNext/>
              <w:keepLines/>
              <w:contextualSpacing/>
              <w:jc w:val="center"/>
              <w:rPr>
                <w:color w:val="000000"/>
              </w:rPr>
            </w:pPr>
          </w:p>
          <w:p w:rsidR="00864DD2" w:rsidP="00864DD2" w:rsidRDefault="00864DD2" w14:paraId="7FF1AAB9" w14:textId="77777777">
            <w:pPr>
              <w:keepNext/>
              <w:keepLines/>
              <w:contextualSpacing/>
              <w:jc w:val="center"/>
              <w:rPr>
                <w:color w:val="000000"/>
              </w:rPr>
            </w:pPr>
          </w:p>
          <w:p w:rsidR="00864DD2" w:rsidP="00864DD2" w:rsidRDefault="00864DD2" w14:paraId="3A2DF66D" w14:textId="77777777">
            <w:pPr>
              <w:keepNext/>
              <w:keepLines/>
              <w:contextualSpacing/>
              <w:jc w:val="center"/>
              <w:rPr>
                <w:color w:val="000000"/>
              </w:rPr>
            </w:pPr>
          </w:p>
          <w:p w:rsidR="00864DD2" w:rsidP="00864DD2" w:rsidRDefault="00864DD2" w14:paraId="6F40A08C" w14:textId="77777777">
            <w:pPr>
              <w:keepNext/>
              <w:keepLines/>
              <w:contextualSpacing/>
              <w:jc w:val="center"/>
              <w:rPr>
                <w:color w:val="000000"/>
              </w:rPr>
            </w:pPr>
          </w:p>
          <w:p w:rsidR="00864DD2" w:rsidP="00864DD2" w:rsidRDefault="00864DD2" w14:paraId="71368A2D" w14:textId="77777777">
            <w:pPr>
              <w:keepNext/>
              <w:keepLines/>
              <w:contextualSpacing/>
              <w:jc w:val="center"/>
              <w:rPr>
                <w:color w:val="000000"/>
              </w:rPr>
            </w:pPr>
          </w:p>
          <w:p w:rsidR="00864DD2" w:rsidP="00864DD2" w:rsidRDefault="00864DD2" w14:paraId="7E3BE746" w14:textId="77777777">
            <w:pPr>
              <w:keepNext/>
              <w:keepLines/>
              <w:contextualSpacing/>
              <w:jc w:val="center"/>
              <w:rPr>
                <w:color w:val="000000"/>
              </w:rPr>
            </w:pPr>
          </w:p>
          <w:p w:rsidR="00864DD2" w:rsidP="00864DD2" w:rsidRDefault="00864DD2" w14:paraId="1C5F1CBD" w14:textId="77777777">
            <w:pPr>
              <w:keepNext/>
              <w:keepLines/>
              <w:contextualSpacing/>
              <w:jc w:val="center"/>
              <w:rPr>
                <w:color w:val="000000"/>
              </w:rPr>
            </w:pPr>
          </w:p>
          <w:p w:rsidR="00864DD2" w:rsidP="00864DD2" w:rsidRDefault="00864DD2" w14:paraId="7604AE8B" w14:textId="77777777">
            <w:pPr>
              <w:keepNext/>
              <w:keepLines/>
              <w:contextualSpacing/>
              <w:jc w:val="center"/>
              <w:rPr>
                <w:color w:val="000000"/>
              </w:rPr>
            </w:pPr>
          </w:p>
          <w:p w:rsidR="00864DD2" w:rsidP="00864DD2" w:rsidRDefault="00864DD2" w14:paraId="6996C305" w14:textId="77777777">
            <w:pPr>
              <w:keepNext/>
              <w:keepLines/>
              <w:contextualSpacing/>
              <w:jc w:val="center"/>
              <w:rPr>
                <w:color w:val="000000"/>
              </w:rPr>
            </w:pPr>
          </w:p>
          <w:p w:rsidR="00864DD2" w:rsidP="00864DD2" w:rsidRDefault="00864DD2" w14:paraId="2916ACB1" w14:textId="77777777">
            <w:pPr>
              <w:keepNext/>
              <w:keepLines/>
              <w:contextualSpacing/>
              <w:jc w:val="center"/>
              <w:rPr>
                <w:color w:val="000000"/>
              </w:rPr>
            </w:pPr>
          </w:p>
          <w:p w:rsidRPr="007F620E" w:rsidR="00864DD2" w:rsidP="00864DD2" w:rsidRDefault="00864DD2" w14:paraId="2D6973D0" w14:textId="65EBD206">
            <w:pPr>
              <w:keepNext/>
              <w:keepLines/>
              <w:contextualSpacing/>
              <w:jc w:val="center"/>
              <w:rPr>
                <w:color w:val="000000"/>
              </w:rPr>
            </w:pPr>
            <w:r>
              <w:rPr>
                <w:color w:val="000000"/>
              </w:rPr>
              <w:t>Verified</w:t>
            </w:r>
          </w:p>
        </w:tc>
      </w:tr>
      <w:tr w:rsidRPr="007F620E" w:rsidR="00514FEB" w:rsidTr="001811F3" w14:paraId="6CA5223C" w14:textId="77777777">
        <w:tc>
          <w:tcPr>
            <w:tcW w:w="3595" w:type="dxa"/>
            <w:shd w:val="clear" w:color="auto" w:fill="auto"/>
          </w:tcPr>
          <w:p w:rsidR="00514FEB" w:rsidP="00AF03E6" w:rsidRDefault="00CA4FF8" w14:paraId="116B4681" w14:textId="615B4FF4">
            <w:pPr>
              <w:pStyle w:val="ListParagraph"/>
              <w:keepNext/>
              <w:keepLines/>
              <w:numPr>
                <w:ilvl w:val="0"/>
                <w:numId w:val="28"/>
              </w:numPr>
              <w:ind w:left="331"/>
              <w:contextualSpacing/>
            </w:pPr>
            <w:r>
              <w:lastRenderedPageBreak/>
              <w:t>TURN contributed to the Commission’s definition of</w:t>
            </w:r>
            <w:r w:rsidR="003C593B">
              <w:t xml:space="preserve"> the</w:t>
            </w:r>
            <w:r>
              <w:t xml:space="preserve"> Equity </w:t>
            </w:r>
            <w:r w:rsidR="003C593B">
              <w:t>portfolio segment</w:t>
            </w:r>
            <w:r w:rsidR="003A42F4">
              <w:t xml:space="preserve"> to avoid overlap </w:t>
            </w:r>
            <w:r w:rsidR="00EB3507">
              <w:t>with the Energy Savings Assistance (ESA) Program</w:t>
            </w:r>
            <w:r w:rsidR="005F77E8">
              <w:t>.</w:t>
            </w:r>
          </w:p>
          <w:p w:rsidR="005F77E8" w:rsidP="00AF03E6" w:rsidRDefault="005F77E8" w14:paraId="5474633F" w14:textId="77777777">
            <w:pPr>
              <w:pStyle w:val="ListParagraph"/>
              <w:keepNext/>
              <w:keepLines/>
              <w:numPr>
                <w:ilvl w:val="0"/>
                <w:numId w:val="0"/>
              </w:numPr>
              <w:ind w:left="331"/>
              <w:contextualSpacing/>
            </w:pPr>
          </w:p>
          <w:p w:rsidR="005F77E8" w:rsidP="00AF03E6" w:rsidRDefault="001C543B" w14:paraId="5C993884" w14:textId="77FC234A">
            <w:pPr>
              <w:pStyle w:val="ListParagraph"/>
              <w:keepNext/>
              <w:keepLines/>
              <w:numPr>
                <w:ilvl w:val="0"/>
                <w:numId w:val="0"/>
              </w:numPr>
              <w:ind w:left="331"/>
              <w:contextualSpacing/>
            </w:pPr>
            <w:r>
              <w:t xml:space="preserve">TURN recommended that the Commission modify the definition of the new “Equity” </w:t>
            </w:r>
            <w:r w:rsidR="003C593B">
              <w:t xml:space="preserve">portfolio </w:t>
            </w:r>
            <w:r>
              <w:t>segment</w:t>
            </w:r>
            <w:r w:rsidR="00A026A7">
              <w:t xml:space="preserve"> </w:t>
            </w:r>
            <w:r w:rsidR="00EB3507">
              <w:t xml:space="preserve">to avoid confusion and overlap with the </w:t>
            </w:r>
            <w:r w:rsidR="00A56A2F">
              <w:t>ESA</w:t>
            </w:r>
            <w:r w:rsidR="00A026A7">
              <w:t xml:space="preserve"> Program.  </w:t>
            </w:r>
            <w:r w:rsidR="00445F93">
              <w:t>TURN also suggested that the Commission c</w:t>
            </w:r>
            <w:r w:rsidR="00A56A2F">
              <w:t>larify that programs in the Equity segment</w:t>
            </w:r>
            <w:r w:rsidR="007A4303">
              <w:t xml:space="preserve"> should</w:t>
            </w:r>
            <w:r w:rsidR="00A56A2F">
              <w:t xml:space="preserve"> </w:t>
            </w:r>
            <w:r w:rsidR="003E0EFE">
              <w:t>“</w:t>
            </w:r>
            <w:r w:rsidR="00A56A2F">
              <w:t xml:space="preserve">provide EE benefits that are incremental to those provided by the ESA </w:t>
            </w:r>
            <w:r w:rsidR="003E0EFE">
              <w:t>P</w:t>
            </w:r>
            <w:r w:rsidR="00A56A2F">
              <w:t>rogram</w:t>
            </w:r>
            <w:r w:rsidR="003E0EFE">
              <w:t>,</w:t>
            </w:r>
            <w:r w:rsidR="00A56A2F">
              <w:t xml:space="preserve"> either because they serve different customer segments or provide complementary but distinct services.”</w:t>
            </w:r>
          </w:p>
          <w:p w:rsidR="003C593B" w:rsidP="00AF03E6" w:rsidRDefault="003C593B" w14:paraId="3AA3EFDC" w14:textId="77777777">
            <w:pPr>
              <w:pStyle w:val="ListParagraph"/>
              <w:keepNext/>
              <w:keepLines/>
              <w:numPr>
                <w:ilvl w:val="0"/>
                <w:numId w:val="0"/>
              </w:numPr>
              <w:ind w:left="331"/>
              <w:contextualSpacing/>
            </w:pPr>
          </w:p>
          <w:p w:rsidR="003C593B" w:rsidP="00AF03E6" w:rsidRDefault="003C593B" w14:paraId="2AFE9E83" w14:textId="78315107">
            <w:pPr>
              <w:pStyle w:val="ListParagraph"/>
              <w:keepNext/>
              <w:keepLines/>
              <w:numPr>
                <w:ilvl w:val="0"/>
                <w:numId w:val="0"/>
              </w:numPr>
              <w:ind w:left="331"/>
              <w:contextualSpacing/>
            </w:pPr>
            <w:r>
              <w:t xml:space="preserve">The Commission adopted the revisions TURN proposed to the definition of </w:t>
            </w:r>
            <w:r w:rsidR="00E17873">
              <w:t>the “</w:t>
            </w:r>
            <w:r>
              <w:t>Equity</w:t>
            </w:r>
            <w:r w:rsidR="000F50A8">
              <w:t>”</w:t>
            </w:r>
            <w:r w:rsidR="00E17873">
              <w:t xml:space="preserve"> segment</w:t>
            </w:r>
            <w:r w:rsidR="005B55AA">
              <w:t xml:space="preserve">.  The Commission also </w:t>
            </w:r>
            <w:r w:rsidR="00362E43">
              <w:t>provided further clarifications consistent with the recommendations of TURN</w:t>
            </w:r>
            <w:r w:rsidR="005B55AA">
              <w:t xml:space="preserve"> (and others)</w:t>
            </w:r>
            <w:r w:rsidR="00033A90">
              <w:t xml:space="preserve"> to prevent duplication with the ESA Program</w:t>
            </w:r>
            <w:r w:rsidR="000F50A8">
              <w:t>.</w:t>
            </w:r>
          </w:p>
          <w:p w:rsidRPr="00CA4FF8" w:rsidR="005F77E8" w:rsidP="00AF03E6" w:rsidRDefault="005F77E8" w14:paraId="226258C2" w14:textId="670DCBFC">
            <w:pPr>
              <w:pStyle w:val="ListParagraph"/>
              <w:keepNext/>
              <w:keepLines/>
              <w:numPr>
                <w:ilvl w:val="0"/>
                <w:numId w:val="0"/>
              </w:numPr>
              <w:ind w:left="693"/>
              <w:contextualSpacing/>
            </w:pPr>
          </w:p>
        </w:tc>
        <w:tc>
          <w:tcPr>
            <w:tcW w:w="3803" w:type="dxa"/>
            <w:shd w:val="clear" w:color="auto" w:fill="auto"/>
          </w:tcPr>
          <w:p w:rsidR="009A064D" w:rsidP="00AF03E6" w:rsidRDefault="009A064D" w14:paraId="45D8203D" w14:textId="7BCBB378">
            <w:pPr>
              <w:pStyle w:val="ListParagraph"/>
              <w:keepNext/>
              <w:keepLines/>
              <w:numPr>
                <w:ilvl w:val="0"/>
                <w:numId w:val="30"/>
              </w:numPr>
              <w:ind w:left="412"/>
              <w:contextualSpacing/>
            </w:pPr>
            <w:r>
              <w:t xml:space="preserve">TURN </w:t>
            </w:r>
            <w:proofErr w:type="spellStart"/>
            <w:r>
              <w:t>Cmts</w:t>
            </w:r>
            <w:proofErr w:type="spellEnd"/>
            <w:r>
              <w:t xml:space="preserve"> on P&amp;G Policy Questions</w:t>
            </w:r>
            <w:r w:rsidR="00795A15">
              <w:t xml:space="preserve"> PD</w:t>
            </w:r>
            <w:r>
              <w:t xml:space="preserve">, </w:t>
            </w:r>
            <w:r w:rsidR="007C014C">
              <w:t>5-6-21, pp. 9-10</w:t>
            </w:r>
            <w:r w:rsidR="000F50A8">
              <w:t xml:space="preserve"> (proposing revisions to the PD’s def</w:t>
            </w:r>
            <w:r w:rsidR="002B56FE">
              <w:t>in</w:t>
            </w:r>
            <w:r w:rsidR="000F50A8">
              <w:t>ition of Equity)</w:t>
            </w:r>
          </w:p>
          <w:p w:rsidR="005B55AA" w:rsidP="00AF03E6" w:rsidRDefault="005B55AA" w14:paraId="6085814F" w14:textId="77777777">
            <w:pPr>
              <w:pStyle w:val="ListParagraph"/>
              <w:keepNext/>
              <w:keepLines/>
              <w:numPr>
                <w:ilvl w:val="0"/>
                <w:numId w:val="0"/>
              </w:numPr>
              <w:ind w:left="412"/>
              <w:contextualSpacing/>
            </w:pPr>
          </w:p>
          <w:p w:rsidR="000F50A8" w:rsidP="00AF03E6" w:rsidRDefault="002B56FE" w14:paraId="07FF9C69" w14:textId="03F91975">
            <w:pPr>
              <w:pStyle w:val="ListParagraph"/>
              <w:keepNext/>
              <w:keepLines/>
              <w:numPr>
                <w:ilvl w:val="0"/>
                <w:numId w:val="30"/>
              </w:numPr>
              <w:ind w:left="412"/>
              <w:contextualSpacing/>
            </w:pPr>
            <w:r>
              <w:t xml:space="preserve">Proposed Decision </w:t>
            </w:r>
            <w:r w:rsidR="00F939E3">
              <w:t>of ALJs Fitch and Kao</w:t>
            </w:r>
            <w:r w:rsidR="00AD0CF1">
              <w:t xml:space="preserve"> (</w:t>
            </w:r>
            <w:r w:rsidR="00F939E3">
              <w:t>Rev. 1</w:t>
            </w:r>
            <w:r w:rsidR="00AD0CF1">
              <w:t xml:space="preserve"> – Redline)</w:t>
            </w:r>
            <w:r w:rsidR="00F939E3">
              <w:t>, p</w:t>
            </w:r>
            <w:r w:rsidR="00600E76">
              <w:t>p</w:t>
            </w:r>
            <w:r w:rsidR="00F939E3">
              <w:t>. 14</w:t>
            </w:r>
            <w:r w:rsidR="00600E76">
              <w:t>-15</w:t>
            </w:r>
            <w:r w:rsidR="008F72B8">
              <w:t xml:space="preserve"> (adopting TURN’s recommended changes)</w:t>
            </w:r>
          </w:p>
          <w:p w:rsidR="008E25E4" w:rsidP="00AF03E6" w:rsidRDefault="008E25E4" w14:paraId="2E030500" w14:textId="77777777">
            <w:pPr>
              <w:pStyle w:val="ListParagraph"/>
              <w:keepNext/>
              <w:keepLines/>
              <w:numPr>
                <w:ilvl w:val="0"/>
                <w:numId w:val="0"/>
              </w:numPr>
              <w:ind w:left="720"/>
              <w:contextualSpacing/>
            </w:pPr>
          </w:p>
          <w:p w:rsidR="008E25E4" w:rsidP="00AF03E6" w:rsidRDefault="008E25E4" w14:paraId="128D1283" w14:textId="77777777">
            <w:pPr>
              <w:pStyle w:val="ListParagraph"/>
              <w:keepNext/>
              <w:keepLines/>
              <w:numPr>
                <w:ilvl w:val="0"/>
                <w:numId w:val="30"/>
              </w:numPr>
              <w:ind w:left="412"/>
              <w:contextualSpacing/>
            </w:pPr>
            <w:r>
              <w:t>D.21-05-031, pp. 14-15 (definition of the Equity segment)</w:t>
            </w:r>
          </w:p>
          <w:p w:rsidR="008E25E4" w:rsidP="00AF03E6" w:rsidRDefault="008E25E4" w14:paraId="48382C29" w14:textId="77777777">
            <w:pPr>
              <w:pStyle w:val="ListParagraph"/>
              <w:keepNext/>
              <w:keepLines/>
              <w:numPr>
                <w:ilvl w:val="0"/>
                <w:numId w:val="0"/>
              </w:numPr>
              <w:ind w:left="412"/>
              <w:contextualSpacing/>
            </w:pPr>
          </w:p>
          <w:p w:rsidR="007C014C" w:rsidP="00AF03E6" w:rsidRDefault="007C014C" w14:paraId="2AF86DD2" w14:textId="77777777">
            <w:pPr>
              <w:pStyle w:val="ListParagraph"/>
              <w:keepNext/>
              <w:keepLines/>
              <w:numPr>
                <w:ilvl w:val="0"/>
                <w:numId w:val="0"/>
              </w:numPr>
              <w:ind w:left="412"/>
              <w:contextualSpacing/>
            </w:pPr>
          </w:p>
          <w:p w:rsidR="00BD631B" w:rsidP="00AF03E6" w:rsidRDefault="009A064D" w14:paraId="5710A325" w14:textId="77777777">
            <w:pPr>
              <w:pStyle w:val="ListParagraph"/>
              <w:keepNext/>
              <w:keepLines/>
              <w:numPr>
                <w:ilvl w:val="0"/>
                <w:numId w:val="30"/>
              </w:numPr>
              <w:ind w:left="412"/>
              <w:contextualSpacing/>
            </w:pPr>
            <w:r>
              <w:t xml:space="preserve">TURN Reply </w:t>
            </w:r>
            <w:proofErr w:type="spellStart"/>
            <w:r>
              <w:t>Cmts</w:t>
            </w:r>
            <w:proofErr w:type="spellEnd"/>
            <w:r>
              <w:t xml:space="preserve"> on P&amp;G Policy Questions PD, 5-11-21, pp. 2-3</w:t>
            </w:r>
            <w:r w:rsidR="00454008">
              <w:t xml:space="preserve"> (recommending additional changes to </w:t>
            </w:r>
            <w:r w:rsidR="00F94798">
              <w:t>the Equity segment</w:t>
            </w:r>
            <w:r w:rsidR="007A4303">
              <w:t xml:space="preserve"> classification</w:t>
            </w:r>
            <w:r w:rsidR="00F94798">
              <w:t xml:space="preserve"> to avoid </w:t>
            </w:r>
            <w:r w:rsidR="007A4303">
              <w:t>duplication with ESA</w:t>
            </w:r>
            <w:r w:rsidR="00F94798">
              <w:t>)</w:t>
            </w:r>
          </w:p>
          <w:p w:rsidR="00BD631B" w:rsidP="00AF03E6" w:rsidRDefault="00BD631B" w14:paraId="703EE464" w14:textId="77777777">
            <w:pPr>
              <w:pStyle w:val="ListParagraph"/>
              <w:keepNext/>
              <w:keepLines/>
              <w:numPr>
                <w:ilvl w:val="0"/>
                <w:numId w:val="0"/>
              </w:numPr>
              <w:ind w:left="412"/>
              <w:contextualSpacing/>
            </w:pPr>
          </w:p>
          <w:p w:rsidR="00FD5325" w:rsidP="00AF03E6" w:rsidRDefault="00FD5325" w14:paraId="341ADC55" w14:textId="62954824">
            <w:pPr>
              <w:pStyle w:val="ListParagraph"/>
              <w:keepNext/>
              <w:keepLines/>
              <w:numPr>
                <w:ilvl w:val="0"/>
                <w:numId w:val="30"/>
              </w:numPr>
              <w:ind w:left="412"/>
              <w:contextualSpacing/>
            </w:pPr>
            <w:r>
              <w:t>Proposed Decision of ALJs Fitch and Kao (Rev. 1 – Redline), p. 15 (adding</w:t>
            </w:r>
            <w:r w:rsidR="00184E6A">
              <w:t>, “</w:t>
            </w:r>
            <w:r w:rsidRPr="00BD631B" w:rsidR="00CD769E">
              <w:rPr>
                <w:color w:val="000000" w:themeColor="text1"/>
              </w:rPr>
              <w:t xml:space="preserve">We also clarify that the “equity” category is distinct from our separate low-income energy efficiency Energy Savings Assistance (ESA) programs, which have separate goals and regulatory treatment. While there is some overlap in customers within the target segments, the “equity” category is intended to be defined within the energy efficiency programs covered in </w:t>
            </w:r>
            <w:r w:rsidRPr="00BD631B" w:rsidR="00CD769E">
              <w:rPr>
                <w:color w:val="000000" w:themeColor="text1"/>
              </w:rPr>
              <w:lastRenderedPageBreak/>
              <w:t>this rulemaking that are not specifically targeting low-income populations with program offerings that low-income populations could receive at no cost from the ESA program.</w:t>
            </w:r>
            <w:r w:rsidRPr="00BD631B" w:rsidR="00BD631B">
              <w:rPr>
                <w:color w:val="000000" w:themeColor="text1"/>
              </w:rPr>
              <w:t>”</w:t>
            </w:r>
            <w:r>
              <w:t>)</w:t>
            </w:r>
          </w:p>
          <w:p w:rsidR="005B55AA" w:rsidP="00AF03E6" w:rsidRDefault="005B55AA" w14:paraId="2E6AD190" w14:textId="77777777">
            <w:pPr>
              <w:pStyle w:val="ListParagraph"/>
              <w:keepNext/>
              <w:keepLines/>
              <w:numPr>
                <w:ilvl w:val="0"/>
                <w:numId w:val="0"/>
              </w:numPr>
              <w:ind w:left="720"/>
              <w:contextualSpacing/>
            </w:pPr>
          </w:p>
          <w:p w:rsidR="009A064D" w:rsidP="00AF03E6" w:rsidRDefault="005B55AA" w14:paraId="164DC5E4" w14:textId="40802743">
            <w:pPr>
              <w:pStyle w:val="ListParagraph"/>
              <w:keepNext/>
              <w:keepLines/>
              <w:numPr>
                <w:ilvl w:val="0"/>
                <w:numId w:val="30"/>
              </w:numPr>
              <w:ind w:left="412"/>
              <w:contextualSpacing/>
            </w:pPr>
            <w:r>
              <w:t>D.21-05-031, p. 15</w:t>
            </w:r>
            <w:r w:rsidR="003C5FDF">
              <w:t xml:space="preserve"> (</w:t>
            </w:r>
            <w:r w:rsidR="00FD5325">
              <w:t xml:space="preserve">clarification that </w:t>
            </w:r>
            <w:r w:rsidR="003C5FDF">
              <w:t>Equity segment</w:t>
            </w:r>
            <w:r w:rsidR="00FD5325">
              <w:t xml:space="preserve"> is distinct from the ESA program</w:t>
            </w:r>
            <w:r w:rsidR="003C5FDF">
              <w:t>)</w:t>
            </w:r>
          </w:p>
          <w:p w:rsidRPr="007F620E" w:rsidR="00514FEB" w:rsidP="00AF03E6" w:rsidRDefault="00514FEB" w14:paraId="31F3C2E6" w14:textId="77777777">
            <w:pPr>
              <w:keepNext/>
              <w:keepLines/>
              <w:contextualSpacing/>
              <w:rPr>
                <w:color w:val="000000"/>
              </w:rPr>
            </w:pPr>
          </w:p>
        </w:tc>
        <w:tc>
          <w:tcPr>
            <w:tcW w:w="2340" w:type="dxa"/>
            <w:shd w:val="clear" w:color="auto" w:fill="auto"/>
          </w:tcPr>
          <w:p w:rsidR="00514FEB" w:rsidP="00864DD2" w:rsidRDefault="00514FEB" w14:paraId="494521E6" w14:textId="77777777">
            <w:pPr>
              <w:keepNext/>
              <w:keepLines/>
              <w:contextualSpacing/>
              <w:jc w:val="center"/>
              <w:rPr>
                <w:color w:val="000000"/>
              </w:rPr>
            </w:pPr>
          </w:p>
          <w:p w:rsidR="00864DD2" w:rsidP="00864DD2" w:rsidRDefault="00864DD2" w14:paraId="04EBE9F8" w14:textId="77777777">
            <w:pPr>
              <w:keepNext/>
              <w:keepLines/>
              <w:contextualSpacing/>
              <w:jc w:val="center"/>
              <w:rPr>
                <w:color w:val="000000"/>
              </w:rPr>
            </w:pPr>
            <w:r>
              <w:rPr>
                <w:color w:val="000000"/>
              </w:rPr>
              <w:t>Verified</w:t>
            </w:r>
          </w:p>
          <w:p w:rsidR="00864DD2" w:rsidP="00864DD2" w:rsidRDefault="00864DD2" w14:paraId="3FF427BE" w14:textId="77777777">
            <w:pPr>
              <w:keepNext/>
              <w:keepLines/>
              <w:contextualSpacing/>
              <w:jc w:val="center"/>
              <w:rPr>
                <w:color w:val="000000"/>
              </w:rPr>
            </w:pPr>
          </w:p>
          <w:p w:rsidR="00864DD2" w:rsidP="00864DD2" w:rsidRDefault="00864DD2" w14:paraId="28A15E13" w14:textId="77777777">
            <w:pPr>
              <w:keepNext/>
              <w:keepLines/>
              <w:contextualSpacing/>
              <w:jc w:val="center"/>
              <w:rPr>
                <w:color w:val="000000"/>
              </w:rPr>
            </w:pPr>
          </w:p>
          <w:p w:rsidR="00864DD2" w:rsidP="00864DD2" w:rsidRDefault="00864DD2" w14:paraId="6E566EB8" w14:textId="77777777">
            <w:pPr>
              <w:keepNext/>
              <w:keepLines/>
              <w:contextualSpacing/>
              <w:jc w:val="center"/>
              <w:rPr>
                <w:color w:val="000000"/>
              </w:rPr>
            </w:pPr>
          </w:p>
          <w:p w:rsidR="00864DD2" w:rsidP="00864DD2" w:rsidRDefault="00864DD2" w14:paraId="0190C475" w14:textId="77777777">
            <w:pPr>
              <w:keepNext/>
              <w:keepLines/>
              <w:contextualSpacing/>
              <w:jc w:val="center"/>
              <w:rPr>
                <w:color w:val="000000"/>
              </w:rPr>
            </w:pPr>
          </w:p>
          <w:p w:rsidR="00864DD2" w:rsidP="00864DD2" w:rsidRDefault="00864DD2" w14:paraId="4A47D69B" w14:textId="77777777">
            <w:pPr>
              <w:keepNext/>
              <w:keepLines/>
              <w:contextualSpacing/>
              <w:jc w:val="center"/>
              <w:rPr>
                <w:color w:val="000000"/>
              </w:rPr>
            </w:pPr>
          </w:p>
          <w:p w:rsidR="00864DD2" w:rsidP="00864DD2" w:rsidRDefault="00864DD2" w14:paraId="57360141" w14:textId="77777777">
            <w:pPr>
              <w:keepNext/>
              <w:keepLines/>
              <w:contextualSpacing/>
              <w:jc w:val="center"/>
              <w:rPr>
                <w:color w:val="000000"/>
              </w:rPr>
            </w:pPr>
          </w:p>
          <w:p w:rsidR="00864DD2" w:rsidP="00864DD2" w:rsidRDefault="00864DD2" w14:paraId="6442936A" w14:textId="77777777">
            <w:pPr>
              <w:keepNext/>
              <w:keepLines/>
              <w:contextualSpacing/>
              <w:jc w:val="center"/>
              <w:rPr>
                <w:color w:val="000000"/>
              </w:rPr>
            </w:pPr>
          </w:p>
          <w:p w:rsidR="00864DD2" w:rsidP="00864DD2" w:rsidRDefault="00864DD2" w14:paraId="462D48C3" w14:textId="77777777">
            <w:pPr>
              <w:keepNext/>
              <w:keepLines/>
              <w:contextualSpacing/>
              <w:jc w:val="center"/>
              <w:rPr>
                <w:color w:val="000000"/>
              </w:rPr>
            </w:pPr>
          </w:p>
          <w:p w:rsidR="00864DD2" w:rsidP="00864DD2" w:rsidRDefault="00864DD2" w14:paraId="75025736" w14:textId="77777777">
            <w:pPr>
              <w:keepNext/>
              <w:keepLines/>
              <w:contextualSpacing/>
              <w:jc w:val="center"/>
              <w:rPr>
                <w:color w:val="000000"/>
              </w:rPr>
            </w:pPr>
          </w:p>
          <w:p w:rsidR="00864DD2" w:rsidP="00864DD2" w:rsidRDefault="00864DD2" w14:paraId="146AFE63" w14:textId="77777777">
            <w:pPr>
              <w:keepNext/>
              <w:keepLines/>
              <w:contextualSpacing/>
              <w:jc w:val="center"/>
              <w:rPr>
                <w:color w:val="000000"/>
              </w:rPr>
            </w:pPr>
          </w:p>
          <w:p w:rsidR="00864DD2" w:rsidP="00864DD2" w:rsidRDefault="00864DD2" w14:paraId="58C036B7" w14:textId="77777777">
            <w:pPr>
              <w:keepNext/>
              <w:keepLines/>
              <w:contextualSpacing/>
              <w:jc w:val="center"/>
              <w:rPr>
                <w:color w:val="000000"/>
              </w:rPr>
            </w:pPr>
            <w:r>
              <w:rPr>
                <w:color w:val="000000"/>
              </w:rPr>
              <w:t>Verified</w:t>
            </w:r>
          </w:p>
          <w:p w:rsidR="00864DD2" w:rsidP="00864DD2" w:rsidRDefault="00864DD2" w14:paraId="56EC2CAC" w14:textId="77777777">
            <w:pPr>
              <w:keepNext/>
              <w:keepLines/>
              <w:contextualSpacing/>
              <w:jc w:val="center"/>
              <w:rPr>
                <w:color w:val="000000"/>
              </w:rPr>
            </w:pPr>
          </w:p>
          <w:p w:rsidR="00864DD2" w:rsidP="00864DD2" w:rsidRDefault="00864DD2" w14:paraId="245307BF" w14:textId="77777777">
            <w:pPr>
              <w:keepNext/>
              <w:keepLines/>
              <w:contextualSpacing/>
              <w:jc w:val="center"/>
              <w:rPr>
                <w:color w:val="000000"/>
              </w:rPr>
            </w:pPr>
          </w:p>
          <w:p w:rsidR="00864DD2" w:rsidP="00864DD2" w:rsidRDefault="00864DD2" w14:paraId="2B1EDAC1" w14:textId="77777777">
            <w:pPr>
              <w:keepNext/>
              <w:keepLines/>
              <w:contextualSpacing/>
              <w:jc w:val="center"/>
              <w:rPr>
                <w:color w:val="000000"/>
              </w:rPr>
            </w:pPr>
          </w:p>
          <w:p w:rsidR="00864DD2" w:rsidP="00864DD2" w:rsidRDefault="00864DD2" w14:paraId="70DBEA72" w14:textId="77777777">
            <w:pPr>
              <w:keepNext/>
              <w:keepLines/>
              <w:contextualSpacing/>
              <w:jc w:val="center"/>
              <w:rPr>
                <w:color w:val="000000"/>
              </w:rPr>
            </w:pPr>
          </w:p>
          <w:p w:rsidR="00864DD2" w:rsidP="00864DD2" w:rsidRDefault="00864DD2" w14:paraId="779D5C99" w14:textId="77777777">
            <w:pPr>
              <w:keepNext/>
              <w:keepLines/>
              <w:contextualSpacing/>
              <w:jc w:val="center"/>
              <w:rPr>
                <w:color w:val="000000"/>
              </w:rPr>
            </w:pPr>
          </w:p>
          <w:p w:rsidR="00864DD2" w:rsidP="00864DD2" w:rsidRDefault="00864DD2" w14:paraId="05F97BB4" w14:textId="77777777">
            <w:pPr>
              <w:keepNext/>
              <w:keepLines/>
              <w:contextualSpacing/>
              <w:jc w:val="center"/>
              <w:rPr>
                <w:color w:val="000000"/>
              </w:rPr>
            </w:pPr>
          </w:p>
          <w:p w:rsidR="00864DD2" w:rsidP="00864DD2" w:rsidRDefault="00864DD2" w14:paraId="7EFBC5E8" w14:textId="77777777">
            <w:pPr>
              <w:keepNext/>
              <w:keepLines/>
              <w:contextualSpacing/>
              <w:jc w:val="center"/>
              <w:rPr>
                <w:color w:val="000000"/>
              </w:rPr>
            </w:pPr>
          </w:p>
          <w:p w:rsidR="00864DD2" w:rsidP="00864DD2" w:rsidRDefault="00864DD2" w14:paraId="220683EB" w14:textId="77777777">
            <w:pPr>
              <w:keepNext/>
              <w:keepLines/>
              <w:contextualSpacing/>
              <w:jc w:val="center"/>
              <w:rPr>
                <w:color w:val="000000"/>
              </w:rPr>
            </w:pPr>
          </w:p>
          <w:p w:rsidR="00864DD2" w:rsidP="00864DD2" w:rsidRDefault="00864DD2" w14:paraId="5AD796FF" w14:textId="77777777">
            <w:pPr>
              <w:keepNext/>
              <w:keepLines/>
              <w:contextualSpacing/>
              <w:jc w:val="center"/>
              <w:rPr>
                <w:color w:val="000000"/>
              </w:rPr>
            </w:pPr>
          </w:p>
          <w:p w:rsidR="00864DD2" w:rsidP="00864DD2" w:rsidRDefault="00864DD2" w14:paraId="776DB73B" w14:textId="77777777">
            <w:pPr>
              <w:keepNext/>
              <w:keepLines/>
              <w:contextualSpacing/>
              <w:jc w:val="center"/>
              <w:rPr>
                <w:color w:val="000000"/>
              </w:rPr>
            </w:pPr>
          </w:p>
          <w:p w:rsidR="00864DD2" w:rsidP="00864DD2" w:rsidRDefault="00864DD2" w14:paraId="7E43C8B3" w14:textId="77777777">
            <w:pPr>
              <w:keepNext/>
              <w:keepLines/>
              <w:contextualSpacing/>
              <w:jc w:val="center"/>
              <w:rPr>
                <w:color w:val="000000"/>
              </w:rPr>
            </w:pPr>
          </w:p>
          <w:p w:rsidR="00864DD2" w:rsidP="00864DD2" w:rsidRDefault="00864DD2" w14:paraId="477D3B14" w14:textId="77777777">
            <w:pPr>
              <w:keepNext/>
              <w:keepLines/>
              <w:contextualSpacing/>
              <w:jc w:val="center"/>
              <w:rPr>
                <w:color w:val="000000"/>
              </w:rPr>
            </w:pPr>
          </w:p>
          <w:p w:rsidR="00864DD2" w:rsidP="00864DD2" w:rsidRDefault="00864DD2" w14:paraId="678E8716" w14:textId="77777777">
            <w:pPr>
              <w:keepNext/>
              <w:keepLines/>
              <w:contextualSpacing/>
              <w:jc w:val="center"/>
              <w:rPr>
                <w:color w:val="000000"/>
              </w:rPr>
            </w:pPr>
          </w:p>
          <w:p w:rsidR="00864DD2" w:rsidP="00864DD2" w:rsidRDefault="00864DD2" w14:paraId="1B625BC8" w14:textId="77777777">
            <w:pPr>
              <w:keepNext/>
              <w:keepLines/>
              <w:contextualSpacing/>
              <w:jc w:val="center"/>
              <w:rPr>
                <w:color w:val="000000"/>
              </w:rPr>
            </w:pPr>
          </w:p>
          <w:p w:rsidR="00864DD2" w:rsidP="00864DD2" w:rsidRDefault="00864DD2" w14:paraId="51DBF503" w14:textId="77777777">
            <w:pPr>
              <w:keepNext/>
              <w:keepLines/>
              <w:contextualSpacing/>
              <w:jc w:val="center"/>
              <w:rPr>
                <w:color w:val="000000"/>
              </w:rPr>
            </w:pPr>
          </w:p>
          <w:p w:rsidR="00864DD2" w:rsidP="00864DD2" w:rsidRDefault="00864DD2" w14:paraId="60AA298C" w14:textId="77777777">
            <w:pPr>
              <w:keepNext/>
              <w:keepLines/>
              <w:contextualSpacing/>
              <w:jc w:val="center"/>
              <w:rPr>
                <w:color w:val="000000"/>
              </w:rPr>
            </w:pPr>
          </w:p>
          <w:p w:rsidR="00864DD2" w:rsidP="00864DD2" w:rsidRDefault="00864DD2" w14:paraId="1D522574" w14:textId="77777777">
            <w:pPr>
              <w:keepNext/>
              <w:keepLines/>
              <w:contextualSpacing/>
              <w:jc w:val="center"/>
              <w:rPr>
                <w:color w:val="000000"/>
              </w:rPr>
            </w:pPr>
          </w:p>
          <w:p w:rsidR="00864DD2" w:rsidP="00864DD2" w:rsidRDefault="00864DD2" w14:paraId="356A05C2" w14:textId="77777777">
            <w:pPr>
              <w:keepNext/>
              <w:keepLines/>
              <w:contextualSpacing/>
              <w:jc w:val="center"/>
              <w:rPr>
                <w:color w:val="000000"/>
              </w:rPr>
            </w:pPr>
          </w:p>
          <w:p w:rsidR="00864DD2" w:rsidP="00864DD2" w:rsidRDefault="00864DD2" w14:paraId="1F794A12" w14:textId="77777777">
            <w:pPr>
              <w:keepNext/>
              <w:keepLines/>
              <w:contextualSpacing/>
              <w:jc w:val="center"/>
              <w:rPr>
                <w:color w:val="000000"/>
              </w:rPr>
            </w:pPr>
          </w:p>
          <w:p w:rsidR="00864DD2" w:rsidP="00864DD2" w:rsidRDefault="00864DD2" w14:paraId="3397B13E" w14:textId="77777777">
            <w:pPr>
              <w:keepNext/>
              <w:keepLines/>
              <w:contextualSpacing/>
              <w:jc w:val="center"/>
              <w:rPr>
                <w:color w:val="000000"/>
              </w:rPr>
            </w:pPr>
          </w:p>
          <w:p w:rsidR="00864DD2" w:rsidP="00864DD2" w:rsidRDefault="00864DD2" w14:paraId="495ED8CE" w14:textId="77777777">
            <w:pPr>
              <w:keepNext/>
              <w:keepLines/>
              <w:contextualSpacing/>
              <w:jc w:val="center"/>
              <w:rPr>
                <w:color w:val="000000"/>
              </w:rPr>
            </w:pPr>
          </w:p>
          <w:p w:rsidR="00864DD2" w:rsidP="00864DD2" w:rsidRDefault="00864DD2" w14:paraId="3DE10A32" w14:textId="77777777">
            <w:pPr>
              <w:keepNext/>
              <w:keepLines/>
              <w:contextualSpacing/>
              <w:jc w:val="center"/>
              <w:rPr>
                <w:color w:val="000000"/>
              </w:rPr>
            </w:pPr>
          </w:p>
          <w:p w:rsidR="00864DD2" w:rsidP="00864DD2" w:rsidRDefault="00864DD2" w14:paraId="26714B97" w14:textId="77777777">
            <w:pPr>
              <w:keepNext/>
              <w:keepLines/>
              <w:contextualSpacing/>
              <w:jc w:val="center"/>
              <w:rPr>
                <w:color w:val="000000"/>
              </w:rPr>
            </w:pPr>
          </w:p>
          <w:p w:rsidR="00864DD2" w:rsidP="00864DD2" w:rsidRDefault="00864DD2" w14:paraId="7F57E2ED" w14:textId="77777777">
            <w:pPr>
              <w:keepNext/>
              <w:keepLines/>
              <w:contextualSpacing/>
              <w:jc w:val="center"/>
              <w:rPr>
                <w:color w:val="000000"/>
              </w:rPr>
            </w:pPr>
          </w:p>
          <w:p w:rsidR="00864DD2" w:rsidP="00864DD2" w:rsidRDefault="00864DD2" w14:paraId="2867A189" w14:textId="77777777">
            <w:pPr>
              <w:keepNext/>
              <w:keepLines/>
              <w:contextualSpacing/>
              <w:jc w:val="center"/>
              <w:rPr>
                <w:color w:val="000000"/>
              </w:rPr>
            </w:pPr>
          </w:p>
          <w:p w:rsidR="00864DD2" w:rsidP="00864DD2" w:rsidRDefault="00864DD2" w14:paraId="4291D31D" w14:textId="77777777">
            <w:pPr>
              <w:keepNext/>
              <w:keepLines/>
              <w:contextualSpacing/>
              <w:jc w:val="center"/>
              <w:rPr>
                <w:color w:val="000000"/>
              </w:rPr>
            </w:pPr>
          </w:p>
          <w:p w:rsidR="00864DD2" w:rsidP="00864DD2" w:rsidRDefault="00864DD2" w14:paraId="59569AAC" w14:textId="77777777">
            <w:pPr>
              <w:keepNext/>
              <w:keepLines/>
              <w:contextualSpacing/>
              <w:jc w:val="center"/>
              <w:rPr>
                <w:color w:val="000000"/>
              </w:rPr>
            </w:pPr>
          </w:p>
          <w:p w:rsidR="00864DD2" w:rsidP="00864DD2" w:rsidRDefault="00864DD2" w14:paraId="323B61AA" w14:textId="77777777">
            <w:pPr>
              <w:keepNext/>
              <w:keepLines/>
              <w:contextualSpacing/>
              <w:jc w:val="center"/>
              <w:rPr>
                <w:color w:val="000000"/>
              </w:rPr>
            </w:pPr>
          </w:p>
          <w:p w:rsidR="00864DD2" w:rsidP="00864DD2" w:rsidRDefault="00864DD2" w14:paraId="4E701153" w14:textId="77777777">
            <w:pPr>
              <w:keepNext/>
              <w:keepLines/>
              <w:contextualSpacing/>
              <w:jc w:val="center"/>
              <w:rPr>
                <w:color w:val="000000"/>
              </w:rPr>
            </w:pPr>
          </w:p>
          <w:p w:rsidR="00864DD2" w:rsidP="00864DD2" w:rsidRDefault="00864DD2" w14:paraId="34139358" w14:textId="77777777">
            <w:pPr>
              <w:keepNext/>
              <w:keepLines/>
              <w:contextualSpacing/>
              <w:jc w:val="center"/>
              <w:rPr>
                <w:color w:val="000000"/>
              </w:rPr>
            </w:pPr>
          </w:p>
          <w:p w:rsidR="00864DD2" w:rsidP="00864DD2" w:rsidRDefault="00864DD2" w14:paraId="55720025" w14:textId="77777777">
            <w:pPr>
              <w:keepNext/>
              <w:keepLines/>
              <w:contextualSpacing/>
              <w:jc w:val="center"/>
              <w:rPr>
                <w:color w:val="000000"/>
              </w:rPr>
            </w:pPr>
          </w:p>
          <w:p w:rsidR="00864DD2" w:rsidP="00864DD2" w:rsidRDefault="00864DD2" w14:paraId="6E9C31ED" w14:textId="77777777">
            <w:pPr>
              <w:keepNext/>
              <w:keepLines/>
              <w:contextualSpacing/>
              <w:jc w:val="center"/>
              <w:rPr>
                <w:color w:val="000000"/>
              </w:rPr>
            </w:pPr>
          </w:p>
          <w:p w:rsidR="00864DD2" w:rsidP="00864DD2" w:rsidRDefault="00864DD2" w14:paraId="6514A041" w14:textId="77777777">
            <w:pPr>
              <w:keepNext/>
              <w:keepLines/>
              <w:contextualSpacing/>
              <w:jc w:val="center"/>
              <w:rPr>
                <w:color w:val="000000"/>
              </w:rPr>
            </w:pPr>
          </w:p>
          <w:p w:rsidR="00864DD2" w:rsidP="00864DD2" w:rsidRDefault="00864DD2" w14:paraId="48363EF6" w14:textId="77777777">
            <w:pPr>
              <w:keepNext/>
              <w:keepLines/>
              <w:contextualSpacing/>
              <w:jc w:val="center"/>
              <w:rPr>
                <w:color w:val="000000"/>
              </w:rPr>
            </w:pPr>
          </w:p>
          <w:p w:rsidR="00864DD2" w:rsidP="00864DD2" w:rsidRDefault="00864DD2" w14:paraId="6B4506ED" w14:textId="77777777">
            <w:pPr>
              <w:keepNext/>
              <w:keepLines/>
              <w:contextualSpacing/>
              <w:jc w:val="center"/>
              <w:rPr>
                <w:color w:val="000000"/>
              </w:rPr>
            </w:pPr>
            <w:r>
              <w:rPr>
                <w:color w:val="000000"/>
              </w:rPr>
              <w:t>Verified</w:t>
            </w:r>
          </w:p>
          <w:p w:rsidRPr="007F620E" w:rsidR="00864DD2" w:rsidP="00864DD2" w:rsidRDefault="00864DD2" w14:paraId="6F88C2C6" w14:textId="641A467F">
            <w:pPr>
              <w:keepNext/>
              <w:keepLines/>
              <w:contextualSpacing/>
              <w:rPr>
                <w:color w:val="000000"/>
              </w:rPr>
            </w:pPr>
          </w:p>
        </w:tc>
      </w:tr>
      <w:tr w:rsidRPr="007F620E" w:rsidR="00413C15" w:rsidTr="001811F3" w14:paraId="3677D119" w14:textId="77777777">
        <w:tc>
          <w:tcPr>
            <w:tcW w:w="3595" w:type="dxa"/>
            <w:shd w:val="clear" w:color="auto" w:fill="auto"/>
          </w:tcPr>
          <w:p w:rsidR="00E86F4E" w:rsidP="00AF03E6" w:rsidRDefault="00DD4A56" w14:paraId="01C0FC37" w14:textId="7A9CCE77">
            <w:pPr>
              <w:pStyle w:val="ListParagraph"/>
              <w:keepNext/>
              <w:keepLines/>
              <w:numPr>
                <w:ilvl w:val="0"/>
                <w:numId w:val="28"/>
              </w:numPr>
              <w:ind w:left="331"/>
              <w:contextualSpacing/>
            </w:pPr>
            <w:r>
              <w:lastRenderedPageBreak/>
              <w:t>TURN contributed to the Commission’s adoption of a process to establish standards</w:t>
            </w:r>
            <w:r w:rsidR="00E86F4E">
              <w:t xml:space="preserve"> </w:t>
            </w:r>
            <w:r>
              <w:t xml:space="preserve">for </w:t>
            </w:r>
            <w:r w:rsidR="00A203BC">
              <w:t>accountability</w:t>
            </w:r>
            <w:r>
              <w:t xml:space="preserve"> of </w:t>
            </w:r>
            <w:r w:rsidR="00DE541F">
              <w:t>programs not subject to portfolio cost-effectiveness requirements</w:t>
            </w:r>
            <w:r w:rsidR="00D61688">
              <w:t>.</w:t>
            </w:r>
          </w:p>
          <w:p w:rsidR="00C70988" w:rsidP="00AF03E6" w:rsidRDefault="00C70988" w14:paraId="6119C091" w14:textId="77777777">
            <w:pPr>
              <w:pStyle w:val="ListParagraph"/>
              <w:keepNext/>
              <w:keepLines/>
              <w:numPr>
                <w:ilvl w:val="0"/>
                <w:numId w:val="0"/>
              </w:numPr>
              <w:ind w:left="331"/>
              <w:contextualSpacing/>
            </w:pPr>
          </w:p>
          <w:p w:rsidR="00C70988" w:rsidP="00AF03E6" w:rsidRDefault="00C70988" w14:paraId="1A048D97" w14:textId="77BED05B">
            <w:pPr>
              <w:pStyle w:val="ListParagraph"/>
              <w:keepNext/>
              <w:keepLines/>
              <w:numPr>
                <w:ilvl w:val="0"/>
                <w:numId w:val="0"/>
              </w:numPr>
              <w:ind w:left="331"/>
              <w:contextualSpacing/>
            </w:pPr>
            <w:r>
              <w:t xml:space="preserve">TURN argued that the PD should be modified to provide a process for </w:t>
            </w:r>
            <w:r w:rsidR="007737FD">
              <w:t xml:space="preserve">developing clear criteria that the Commission would apply to assess </w:t>
            </w:r>
            <w:r>
              <w:t>the reasonableness of EE programs not subject to cost-effectiveness  requirements</w:t>
            </w:r>
            <w:r w:rsidR="009B36B9">
              <w:t>.  TURN explained that hav</w:t>
            </w:r>
            <w:r w:rsidR="00B96E8C">
              <w:t>ing</w:t>
            </w:r>
            <w:r w:rsidR="009B36B9">
              <w:t xml:space="preserve"> standards in place </w:t>
            </w:r>
            <w:r w:rsidRPr="00CC615B" w:rsidR="009B36B9">
              <w:t xml:space="preserve">before </w:t>
            </w:r>
            <w:r w:rsidR="009B36B9">
              <w:t>the next EE applications</w:t>
            </w:r>
            <w:r w:rsidR="0090497D">
              <w:t xml:space="preserve"> – rather than directing the Program Administrators to propose these standards with their applications --</w:t>
            </w:r>
            <w:r w:rsidR="009B36B9">
              <w:t xml:space="preserve"> was </w:t>
            </w:r>
            <w:r w:rsidR="001E66CF">
              <w:t>a critical ratepayer protect</w:t>
            </w:r>
            <w:r w:rsidR="000C3915">
              <w:t>ion</w:t>
            </w:r>
            <w:r w:rsidR="001E66CF">
              <w:t xml:space="preserve"> in the absence of the Commission’s long-standing cost-effectiveness </w:t>
            </w:r>
            <w:r w:rsidR="000C3915">
              <w:t>requirement</w:t>
            </w:r>
            <w:r w:rsidR="00622BC9">
              <w:t>s</w:t>
            </w:r>
            <w:r w:rsidR="000C3915">
              <w:t xml:space="preserve">.  </w:t>
            </w:r>
            <w:r w:rsidR="00FC322D">
              <w:t xml:space="preserve">In reply comments on the PD, </w:t>
            </w:r>
            <w:r w:rsidR="00FC322D">
              <w:lastRenderedPageBreak/>
              <w:t xml:space="preserve">TURN supported the specific process proposed by </w:t>
            </w:r>
            <w:r w:rsidR="000650F6">
              <w:t xml:space="preserve">Cal Advocates, NRDC, and </w:t>
            </w:r>
            <w:r w:rsidR="00FC322D">
              <w:t>other parties, which would utilize the California Energy Efficiency Coordinating Committee (CAEECC)</w:t>
            </w:r>
            <w:r w:rsidR="001314FB">
              <w:t xml:space="preserve"> to develop goals, metric</w:t>
            </w:r>
            <w:r w:rsidR="005C39C7">
              <w:t>s</w:t>
            </w:r>
            <w:r w:rsidR="001314FB">
              <w:t>, and/or standards</w:t>
            </w:r>
            <w:r w:rsidR="005C39C7">
              <w:t xml:space="preserve"> for such programs</w:t>
            </w:r>
            <w:r w:rsidR="00FC322D">
              <w:t>, followed by a public comment process and Commission disposition.</w:t>
            </w:r>
          </w:p>
          <w:p w:rsidR="00CC615B" w:rsidP="00AF03E6" w:rsidRDefault="00CC615B" w14:paraId="3A79905B" w14:textId="77777777">
            <w:pPr>
              <w:pStyle w:val="ListParagraph"/>
              <w:keepNext/>
              <w:keepLines/>
              <w:numPr>
                <w:ilvl w:val="0"/>
                <w:numId w:val="0"/>
              </w:numPr>
              <w:ind w:left="331"/>
              <w:contextualSpacing/>
            </w:pPr>
          </w:p>
          <w:p w:rsidR="00CC615B" w:rsidP="00AF03E6" w:rsidRDefault="00CC615B" w14:paraId="7BCA3BC8" w14:textId="6A6BEA30">
            <w:pPr>
              <w:pStyle w:val="ListParagraph"/>
              <w:keepNext/>
              <w:keepLines/>
              <w:numPr>
                <w:ilvl w:val="0"/>
                <w:numId w:val="0"/>
              </w:numPr>
              <w:ind w:left="331"/>
              <w:contextualSpacing/>
            </w:pPr>
            <w:r>
              <w:t xml:space="preserve">The Commission partially adopted this recommendation.  The Commission </w:t>
            </w:r>
            <w:r w:rsidR="005C39C7">
              <w:t xml:space="preserve">requested that CAEECC form a working group to develop and vet new reporting metrics </w:t>
            </w:r>
            <w:r w:rsidR="00F03F06">
              <w:t>for the Market Support and Equity portfolio segments</w:t>
            </w:r>
            <w:r w:rsidR="00C0318C">
              <w:t>, with resulting metrics filed either as part of the next EE portfolio applications or as a motion</w:t>
            </w:r>
            <w:r w:rsidR="00300055">
              <w:t>, depending on timing.</w:t>
            </w:r>
            <w:r w:rsidR="00195EF3">
              <w:t xml:space="preserve"> </w:t>
            </w:r>
            <w:r w:rsidR="00905335">
              <w:t xml:space="preserve"> While the Commission did not mandate that </w:t>
            </w:r>
            <w:r w:rsidR="00D542C6">
              <w:t xml:space="preserve">Commission-adopted </w:t>
            </w:r>
            <w:r w:rsidR="00905335">
              <w:t>standards be in place before th</w:t>
            </w:r>
            <w:r w:rsidR="00282953">
              <w:t xml:space="preserve">e next EE applications, TURN submits that its participation contributed to the Commission’s adoption of a process that would </w:t>
            </w:r>
            <w:r w:rsidR="00D542C6">
              <w:t>collaboratively develop accountability measures for these new portfolio segments – rather than leav</w:t>
            </w:r>
            <w:r w:rsidR="0003031E">
              <w:t>e</w:t>
            </w:r>
            <w:r w:rsidR="00D542C6">
              <w:t xml:space="preserve"> this process entirely up to the Program Administrators proposing Market Support </w:t>
            </w:r>
            <w:r w:rsidR="00D542C6">
              <w:lastRenderedPageBreak/>
              <w:t>and Equity programs.</w:t>
            </w:r>
            <w:r w:rsidR="00FA484F">
              <w:t xml:space="preserve">  This outcome advanced accountability.</w:t>
            </w:r>
          </w:p>
          <w:p w:rsidRPr="00E42930" w:rsidR="00413C15" w:rsidP="00AF03E6" w:rsidRDefault="00DE541F" w14:paraId="498C5E85" w14:textId="44E8F571">
            <w:pPr>
              <w:keepNext/>
              <w:keepLines/>
              <w:contextualSpacing/>
              <w:rPr>
                <w:color w:val="000000"/>
              </w:rPr>
            </w:pPr>
            <w:r>
              <w:t xml:space="preserve"> </w:t>
            </w:r>
          </w:p>
        </w:tc>
        <w:tc>
          <w:tcPr>
            <w:tcW w:w="3803" w:type="dxa"/>
            <w:shd w:val="clear" w:color="auto" w:fill="auto"/>
          </w:tcPr>
          <w:p w:rsidR="00B33193" w:rsidP="00AF03E6" w:rsidRDefault="00D61688" w14:paraId="26919A0F" w14:textId="6A2CCB3D">
            <w:pPr>
              <w:pStyle w:val="ListParagraph"/>
              <w:keepNext/>
              <w:keepLines/>
              <w:numPr>
                <w:ilvl w:val="0"/>
                <w:numId w:val="32"/>
              </w:numPr>
              <w:ind w:left="322"/>
              <w:contextualSpacing/>
            </w:pPr>
            <w:r>
              <w:lastRenderedPageBreak/>
              <w:t xml:space="preserve">TURN </w:t>
            </w:r>
            <w:proofErr w:type="spellStart"/>
            <w:r>
              <w:t>Cmts</w:t>
            </w:r>
            <w:proofErr w:type="spellEnd"/>
            <w:r>
              <w:t xml:space="preserve"> on P&amp;G Policy Questions PD, 5-6-21, p</w:t>
            </w:r>
            <w:r w:rsidR="00622BC9">
              <w:t>p</w:t>
            </w:r>
            <w:r w:rsidR="00B33193">
              <w:t xml:space="preserve">. </w:t>
            </w:r>
            <w:r w:rsidR="00622BC9">
              <w:t>5-</w:t>
            </w:r>
            <w:r w:rsidR="00B33193">
              <w:t>6</w:t>
            </w:r>
          </w:p>
          <w:p w:rsidR="00817F19" w:rsidP="00AF03E6" w:rsidRDefault="00817F19" w14:paraId="0C31BDA0" w14:textId="77777777">
            <w:pPr>
              <w:keepNext/>
              <w:keepLines/>
              <w:ind w:left="322"/>
              <w:contextualSpacing/>
            </w:pPr>
          </w:p>
          <w:p w:rsidR="00817F19" w:rsidP="00AF03E6" w:rsidRDefault="00817F19" w14:paraId="3989EECC" w14:textId="0F5C6A19">
            <w:pPr>
              <w:pStyle w:val="ListParagraph"/>
              <w:keepNext/>
              <w:keepLines/>
              <w:numPr>
                <w:ilvl w:val="0"/>
                <w:numId w:val="32"/>
              </w:numPr>
              <w:ind w:left="322"/>
              <w:contextualSpacing/>
            </w:pPr>
            <w:r>
              <w:t xml:space="preserve">TURN Reply </w:t>
            </w:r>
            <w:proofErr w:type="spellStart"/>
            <w:r>
              <w:t>Cmts</w:t>
            </w:r>
            <w:proofErr w:type="spellEnd"/>
            <w:r>
              <w:t xml:space="preserve"> on P&amp;G Policy Questions PD, 5-11-21, pp</w:t>
            </w:r>
            <w:r w:rsidR="006E0E99">
              <w:t xml:space="preserve">. 1-2 </w:t>
            </w:r>
          </w:p>
          <w:p w:rsidR="00300055" w:rsidP="00AF03E6" w:rsidRDefault="00300055" w14:paraId="47C26FC4" w14:textId="77777777">
            <w:pPr>
              <w:pStyle w:val="ListParagraph"/>
              <w:keepNext/>
              <w:keepLines/>
              <w:numPr>
                <w:ilvl w:val="0"/>
                <w:numId w:val="0"/>
              </w:numPr>
              <w:ind w:left="720"/>
              <w:contextualSpacing/>
            </w:pPr>
          </w:p>
          <w:p w:rsidR="00300055" w:rsidP="00AF03E6" w:rsidRDefault="00300055" w14:paraId="41E9F756" w14:textId="13F46E97">
            <w:pPr>
              <w:pStyle w:val="ListParagraph"/>
              <w:keepNext/>
              <w:keepLines/>
              <w:numPr>
                <w:ilvl w:val="0"/>
                <w:numId w:val="32"/>
              </w:numPr>
              <w:ind w:left="322"/>
              <w:contextualSpacing/>
            </w:pPr>
            <w:r>
              <w:t xml:space="preserve">D.21-05-031, Ordering Paragraph </w:t>
            </w:r>
            <w:r w:rsidR="000A150B">
              <w:t>14</w:t>
            </w:r>
          </w:p>
          <w:p w:rsidR="00B33193" w:rsidP="00AF03E6" w:rsidRDefault="00B33193" w14:paraId="58FAB6D0" w14:textId="77777777">
            <w:pPr>
              <w:keepNext/>
              <w:keepLines/>
              <w:contextualSpacing/>
            </w:pPr>
          </w:p>
          <w:p w:rsidRPr="007F620E" w:rsidR="00413C15" w:rsidP="00AF03E6" w:rsidRDefault="00D61688" w14:paraId="2912F473" w14:textId="3AD00273">
            <w:pPr>
              <w:keepNext/>
              <w:keepLines/>
              <w:contextualSpacing/>
              <w:rPr>
                <w:color w:val="000000"/>
              </w:rPr>
            </w:pPr>
            <w:r>
              <w:t xml:space="preserve">. </w:t>
            </w:r>
          </w:p>
        </w:tc>
        <w:tc>
          <w:tcPr>
            <w:tcW w:w="2340" w:type="dxa"/>
            <w:shd w:val="clear" w:color="auto" w:fill="auto"/>
          </w:tcPr>
          <w:p w:rsidR="00413C15" w:rsidP="00864DD2" w:rsidRDefault="00413C15" w14:paraId="24C24855" w14:textId="77777777">
            <w:pPr>
              <w:keepNext/>
              <w:keepLines/>
              <w:contextualSpacing/>
              <w:jc w:val="center"/>
              <w:rPr>
                <w:color w:val="000000"/>
              </w:rPr>
            </w:pPr>
          </w:p>
          <w:p w:rsidR="00864DD2" w:rsidP="00864DD2" w:rsidRDefault="00864DD2" w14:paraId="404B4E78" w14:textId="77777777">
            <w:pPr>
              <w:keepNext/>
              <w:keepLines/>
              <w:contextualSpacing/>
              <w:jc w:val="center"/>
              <w:rPr>
                <w:color w:val="000000"/>
              </w:rPr>
            </w:pPr>
          </w:p>
          <w:p w:rsidR="00864DD2" w:rsidP="00864DD2" w:rsidRDefault="00864DD2" w14:paraId="4DCA9CD3" w14:textId="77777777">
            <w:pPr>
              <w:keepNext/>
              <w:keepLines/>
              <w:contextualSpacing/>
              <w:jc w:val="center"/>
              <w:rPr>
                <w:color w:val="000000"/>
              </w:rPr>
            </w:pPr>
          </w:p>
          <w:p w:rsidRPr="007F620E" w:rsidR="00864DD2" w:rsidP="00864DD2" w:rsidRDefault="00864DD2" w14:paraId="5738BB57" w14:textId="70EF2A55">
            <w:pPr>
              <w:keepNext/>
              <w:keepLines/>
              <w:contextualSpacing/>
              <w:jc w:val="center"/>
              <w:rPr>
                <w:color w:val="000000"/>
              </w:rPr>
            </w:pPr>
            <w:r>
              <w:rPr>
                <w:color w:val="000000"/>
              </w:rPr>
              <w:t>Verified</w:t>
            </w:r>
          </w:p>
        </w:tc>
      </w:tr>
      <w:tr w:rsidRPr="007F620E" w:rsidR="00413C15" w:rsidTr="001811F3" w14:paraId="645B82A2" w14:textId="77777777">
        <w:tc>
          <w:tcPr>
            <w:tcW w:w="3595" w:type="dxa"/>
            <w:shd w:val="clear" w:color="auto" w:fill="auto"/>
          </w:tcPr>
          <w:p w:rsidR="00E430B5" w:rsidP="00AF03E6" w:rsidRDefault="001F4129" w14:paraId="28DF0DB1" w14:textId="7331A528">
            <w:pPr>
              <w:pStyle w:val="ListParagraph"/>
              <w:keepNext/>
              <w:keepLines/>
              <w:numPr>
                <w:ilvl w:val="0"/>
                <w:numId w:val="28"/>
              </w:numPr>
              <w:ind w:left="331"/>
              <w:contextualSpacing/>
            </w:pPr>
            <w:r>
              <w:lastRenderedPageBreak/>
              <w:t>TURN contributed to the Commission’s deliberations over the treatment of the budgets for R</w:t>
            </w:r>
            <w:r w:rsidR="008208DD">
              <w:t>egional Energy Network (R</w:t>
            </w:r>
            <w:r>
              <w:t>EN</w:t>
            </w:r>
            <w:r w:rsidR="008208DD">
              <w:t>)</w:t>
            </w:r>
            <w:r>
              <w:t xml:space="preserve"> activities in the new segmented portfolio approach.</w:t>
            </w:r>
          </w:p>
          <w:p w:rsidR="00E430B5" w:rsidP="00AF03E6" w:rsidRDefault="00E430B5" w14:paraId="517D3758" w14:textId="77777777">
            <w:pPr>
              <w:pStyle w:val="ListParagraph"/>
              <w:keepNext/>
              <w:keepLines/>
              <w:numPr>
                <w:ilvl w:val="0"/>
                <w:numId w:val="0"/>
              </w:numPr>
              <w:ind w:left="331"/>
              <w:contextualSpacing/>
            </w:pPr>
          </w:p>
          <w:p w:rsidR="00E430B5" w:rsidP="00AF03E6" w:rsidRDefault="00C35423" w14:paraId="59AC2469" w14:textId="77777777">
            <w:pPr>
              <w:pStyle w:val="ListParagraph"/>
              <w:keepNext/>
              <w:keepLines/>
              <w:numPr>
                <w:ilvl w:val="0"/>
                <w:numId w:val="0"/>
              </w:numPr>
              <w:ind w:left="331"/>
              <w:contextualSpacing/>
            </w:pPr>
            <w:r>
              <w:t xml:space="preserve">TURN argued that the Commission </w:t>
            </w:r>
            <w:r w:rsidR="000275C4">
              <w:t xml:space="preserve">should </w:t>
            </w:r>
            <w:r w:rsidR="007A6E1C">
              <w:t xml:space="preserve">account for the </w:t>
            </w:r>
            <w:r w:rsidR="000275C4">
              <w:t xml:space="preserve">REN budgets </w:t>
            </w:r>
            <w:r w:rsidR="007A6E1C">
              <w:t>in</w:t>
            </w:r>
            <w:r w:rsidR="000275C4">
              <w:t xml:space="preserve"> calculat</w:t>
            </w:r>
            <w:r w:rsidR="007A6E1C">
              <w:t>ing</w:t>
            </w:r>
            <w:r w:rsidR="000275C4">
              <w:t xml:space="preserve"> each utility </w:t>
            </w:r>
            <w:r w:rsidR="00EF6698">
              <w:t>Portfolio Administrator</w:t>
            </w:r>
            <w:r w:rsidR="000275C4">
              <w:t xml:space="preserve">’s 30% </w:t>
            </w:r>
            <w:r w:rsidR="007A6E1C">
              <w:t>cost</w:t>
            </w:r>
            <w:r w:rsidR="007F2AB1">
              <w:t xml:space="preserve"> cap</w:t>
            </w:r>
            <w:r w:rsidR="007A6E1C">
              <w:t xml:space="preserve"> </w:t>
            </w:r>
            <w:r w:rsidR="00096EF1">
              <w:t>on</w:t>
            </w:r>
            <w:r w:rsidR="007A6E1C">
              <w:t xml:space="preserve"> portfolio segments not subject to cost-</w:t>
            </w:r>
            <w:r w:rsidR="008A7DBE">
              <w:t>effectiveness</w:t>
            </w:r>
            <w:r w:rsidR="007A6E1C">
              <w:t xml:space="preserve"> requirements.  </w:t>
            </w:r>
            <w:r w:rsidR="003171A1">
              <w:t xml:space="preserve">TURN </w:t>
            </w:r>
            <w:r w:rsidR="00516614">
              <w:t>explained that</w:t>
            </w:r>
            <w:r w:rsidR="00B72CD5">
              <w:t xml:space="preserve"> the PD’s exclusion of </w:t>
            </w:r>
            <w:r w:rsidR="00516614">
              <w:t xml:space="preserve">the REN budgets from this cap </w:t>
            </w:r>
            <w:r w:rsidR="00B72CD5">
              <w:t>would mean</w:t>
            </w:r>
            <w:r w:rsidR="007370FD">
              <w:t xml:space="preserve"> that ratepayers would not be assured that 70% of EE budgets are spent on cost-effective EE</w:t>
            </w:r>
            <w:r w:rsidR="00813B40">
              <w:t xml:space="preserve">, contrary to the PD’s stated intent; that percentage could be much lower.  </w:t>
            </w:r>
          </w:p>
          <w:p w:rsidR="00E430B5" w:rsidP="00AF03E6" w:rsidRDefault="00E430B5" w14:paraId="0DED7488" w14:textId="77777777">
            <w:pPr>
              <w:pStyle w:val="ListParagraph"/>
              <w:keepNext/>
              <w:keepLines/>
              <w:numPr>
                <w:ilvl w:val="0"/>
                <w:numId w:val="0"/>
              </w:numPr>
              <w:ind w:left="331"/>
              <w:contextualSpacing/>
            </w:pPr>
          </w:p>
          <w:p w:rsidR="00667707" w:rsidP="00AF03E6" w:rsidRDefault="00667707" w14:paraId="4D7ABF7A" w14:textId="6D6EBAF5">
            <w:pPr>
              <w:pStyle w:val="ListParagraph"/>
              <w:keepNext/>
              <w:keepLines/>
              <w:numPr>
                <w:ilvl w:val="0"/>
                <w:numId w:val="0"/>
              </w:numPr>
              <w:ind w:left="331"/>
              <w:contextualSpacing/>
            </w:pPr>
            <w:r>
              <w:t xml:space="preserve">Although the Commission declined to adopt TURN’s recommendation (and </w:t>
            </w:r>
            <w:r w:rsidR="00930689">
              <w:t xml:space="preserve">that of </w:t>
            </w:r>
            <w:r>
              <w:t xml:space="preserve">Cal Advocates’), the Commission </w:t>
            </w:r>
            <w:r w:rsidR="00AC1E95">
              <w:t>saw value in it, stating</w:t>
            </w:r>
            <w:r>
              <w:t xml:space="preserve">:  “Conceptually we see this point, and there is reasonable logic to this suggestion.  </w:t>
            </w:r>
            <w:r w:rsidR="000A4E60">
              <w:t>… But … i</w:t>
            </w:r>
            <w:r w:rsidR="00AC1E95">
              <w:t>t</w:t>
            </w:r>
            <w:r w:rsidR="000A4E60">
              <w:t xml:space="preserve"> is not clear, administratively, </w:t>
            </w:r>
            <w:r w:rsidR="000A4E60">
              <w:lastRenderedPageBreak/>
              <w:t>how we would effectuate this proposal …  Thus, more design work would be necessary to implement this suggestion, but we will keep in in mind as we look at the portfolio segmentation proposals submitted in the new few years and refine our approach.”</w:t>
            </w:r>
            <w:r w:rsidR="00DC2400">
              <w:t xml:space="preserve">  TURN submits that this proposal contributed to the Commission’s deliberative process over how to implement the segmentation approach with cost caps </w:t>
            </w:r>
            <w:r w:rsidR="00634E71">
              <w:t xml:space="preserve">in </w:t>
            </w:r>
            <w:r w:rsidR="00E7106E">
              <w:t xml:space="preserve">a </w:t>
            </w:r>
            <w:r w:rsidR="00634E71">
              <w:t xml:space="preserve">manner that </w:t>
            </w:r>
            <w:r w:rsidR="00930689">
              <w:t>protects</w:t>
            </w:r>
            <w:r w:rsidR="00634E71">
              <w:t xml:space="preserve"> ratepayers</w:t>
            </w:r>
            <w:r w:rsidR="00930689">
              <w:t xml:space="preserve"> from unjust costs</w:t>
            </w:r>
            <w:r w:rsidR="00634E71">
              <w:t xml:space="preserve">.  </w:t>
            </w:r>
          </w:p>
          <w:p w:rsidRPr="00615462" w:rsidR="00413C15" w:rsidP="00AF03E6" w:rsidRDefault="00413C15" w14:paraId="6D35031D" w14:textId="45114F05">
            <w:pPr>
              <w:keepNext/>
              <w:keepLines/>
              <w:ind w:left="331"/>
              <w:contextualSpacing/>
              <w:rPr>
                <w:color w:val="000000"/>
              </w:rPr>
            </w:pPr>
          </w:p>
        </w:tc>
        <w:tc>
          <w:tcPr>
            <w:tcW w:w="3803" w:type="dxa"/>
            <w:shd w:val="clear" w:color="auto" w:fill="auto"/>
          </w:tcPr>
          <w:p w:rsidR="00A73559" w:rsidP="00AF03E6" w:rsidRDefault="00A73559" w14:paraId="48EE6961" w14:textId="5C51756E">
            <w:pPr>
              <w:pStyle w:val="ListParagraph"/>
              <w:keepNext/>
              <w:keepLines/>
              <w:numPr>
                <w:ilvl w:val="0"/>
                <w:numId w:val="32"/>
              </w:numPr>
              <w:ind w:left="322"/>
              <w:contextualSpacing/>
            </w:pPr>
            <w:r>
              <w:lastRenderedPageBreak/>
              <w:t xml:space="preserve">TURN </w:t>
            </w:r>
            <w:proofErr w:type="spellStart"/>
            <w:r>
              <w:t>Cmts</w:t>
            </w:r>
            <w:proofErr w:type="spellEnd"/>
            <w:r>
              <w:t xml:space="preserve"> on P&amp;G Policy Questions PD, 5-6-21, pp. </w:t>
            </w:r>
            <w:r w:rsidR="006915D5">
              <w:t>6-7</w:t>
            </w:r>
          </w:p>
          <w:p w:rsidR="001119C9" w:rsidP="00AF03E6" w:rsidRDefault="001119C9" w14:paraId="6ED5E7C7" w14:textId="77777777">
            <w:pPr>
              <w:pStyle w:val="ListParagraph"/>
              <w:keepNext/>
              <w:keepLines/>
              <w:numPr>
                <w:ilvl w:val="0"/>
                <w:numId w:val="0"/>
              </w:numPr>
              <w:ind w:left="322"/>
              <w:contextualSpacing/>
            </w:pPr>
          </w:p>
          <w:p w:rsidR="00634E71" w:rsidP="00AF03E6" w:rsidRDefault="00634E71" w14:paraId="74E75B21" w14:textId="2A107427">
            <w:pPr>
              <w:pStyle w:val="ListParagraph"/>
              <w:keepNext/>
              <w:keepLines/>
              <w:numPr>
                <w:ilvl w:val="0"/>
                <w:numId w:val="32"/>
              </w:numPr>
              <w:ind w:left="322"/>
              <w:contextualSpacing/>
            </w:pPr>
            <w:r>
              <w:t xml:space="preserve">D.21-05-013, p. </w:t>
            </w:r>
            <w:r w:rsidR="001119C9">
              <w:t>69</w:t>
            </w:r>
          </w:p>
          <w:p w:rsidRPr="007F620E" w:rsidR="00413C15" w:rsidP="00AF03E6" w:rsidRDefault="00413C15" w14:paraId="25C563C0" w14:textId="77777777">
            <w:pPr>
              <w:keepNext/>
              <w:keepLines/>
              <w:contextualSpacing/>
              <w:rPr>
                <w:color w:val="000000"/>
              </w:rPr>
            </w:pPr>
          </w:p>
        </w:tc>
        <w:tc>
          <w:tcPr>
            <w:tcW w:w="2340" w:type="dxa"/>
            <w:shd w:val="clear" w:color="auto" w:fill="auto"/>
          </w:tcPr>
          <w:p w:rsidR="00413C15" w:rsidP="00864DD2" w:rsidRDefault="00413C15" w14:paraId="58FF7D46" w14:textId="77777777">
            <w:pPr>
              <w:keepNext/>
              <w:keepLines/>
              <w:contextualSpacing/>
              <w:jc w:val="center"/>
              <w:rPr>
                <w:color w:val="000000"/>
              </w:rPr>
            </w:pPr>
          </w:p>
          <w:p w:rsidRPr="007F620E" w:rsidR="00864DD2" w:rsidP="00864DD2" w:rsidRDefault="00864DD2" w14:paraId="20908C1A" w14:textId="5C75D1E0">
            <w:pPr>
              <w:keepNext/>
              <w:keepLines/>
              <w:contextualSpacing/>
              <w:jc w:val="center"/>
              <w:rPr>
                <w:color w:val="000000"/>
              </w:rPr>
            </w:pPr>
            <w:r>
              <w:rPr>
                <w:color w:val="000000"/>
              </w:rPr>
              <w:t>Verified</w:t>
            </w:r>
          </w:p>
        </w:tc>
      </w:tr>
      <w:tr w:rsidRPr="007F620E" w:rsidR="00D847CD" w:rsidTr="001811F3" w14:paraId="2BB1D5B3" w14:textId="77777777">
        <w:tc>
          <w:tcPr>
            <w:tcW w:w="3595" w:type="dxa"/>
            <w:shd w:val="clear" w:color="auto" w:fill="auto"/>
          </w:tcPr>
          <w:p w:rsidRPr="00EA784D" w:rsidR="00203A25" w:rsidP="00AF03E6" w:rsidRDefault="0002621E" w14:paraId="1C9EF960" w14:textId="1EFF9FA7">
            <w:pPr>
              <w:keepNext/>
              <w:keepLines/>
              <w:contextualSpacing/>
              <w:rPr>
                <w:b/>
                <w:bCs/>
                <w:color w:val="000000"/>
              </w:rPr>
            </w:pPr>
            <w:r w:rsidRPr="00EA784D">
              <w:rPr>
                <w:b/>
                <w:bCs/>
                <w:color w:val="000000"/>
              </w:rPr>
              <w:lastRenderedPageBreak/>
              <w:t>D.21-09-037 (</w:t>
            </w:r>
            <w:r w:rsidR="00D21617">
              <w:rPr>
                <w:b/>
                <w:bCs/>
                <w:color w:val="000000"/>
              </w:rPr>
              <w:t xml:space="preserve">2021 </w:t>
            </w:r>
            <w:r w:rsidR="0026028D">
              <w:rPr>
                <w:b/>
                <w:bCs/>
                <w:color w:val="000000"/>
              </w:rPr>
              <w:t xml:space="preserve">P&amp;G Study - </w:t>
            </w:r>
            <w:r w:rsidRPr="00EA784D">
              <w:rPr>
                <w:b/>
                <w:bCs/>
                <w:color w:val="000000"/>
              </w:rPr>
              <w:t>20</w:t>
            </w:r>
            <w:r w:rsidRPr="00EA784D" w:rsidR="00EA784D">
              <w:rPr>
                <w:b/>
                <w:bCs/>
                <w:color w:val="000000"/>
              </w:rPr>
              <w:t>22-2023 EE Goals)</w:t>
            </w:r>
          </w:p>
          <w:p w:rsidR="00B67150" w:rsidP="00AF03E6" w:rsidRDefault="00B67150" w14:paraId="7A06F484" w14:textId="77777777">
            <w:pPr>
              <w:keepNext/>
              <w:keepLines/>
              <w:contextualSpacing/>
              <w:rPr>
                <w:color w:val="000000"/>
              </w:rPr>
            </w:pPr>
          </w:p>
          <w:p w:rsidR="003E1B37" w:rsidP="00AF03E6" w:rsidRDefault="00B67150" w14:paraId="296EE7C4" w14:textId="77777777">
            <w:pPr>
              <w:pStyle w:val="ListParagraph"/>
              <w:keepNext/>
              <w:keepLines/>
              <w:numPr>
                <w:ilvl w:val="0"/>
                <w:numId w:val="33"/>
              </w:numPr>
              <w:ind w:left="333"/>
              <w:contextualSpacing/>
            </w:pPr>
            <w:r w:rsidRPr="000F721E">
              <w:t xml:space="preserve">TURN contributed to the Commission’s </w:t>
            </w:r>
            <w:r w:rsidRPr="000F721E" w:rsidR="0066512F">
              <w:t xml:space="preserve">conclusions regarding </w:t>
            </w:r>
            <w:r w:rsidRPr="000F721E" w:rsidR="00515884">
              <w:t xml:space="preserve">the use of the </w:t>
            </w:r>
            <w:r w:rsidRPr="000F721E" w:rsidR="0066512F">
              <w:t xml:space="preserve">2021 Avoided Cost Calculator (ACC) to set EE goals and </w:t>
            </w:r>
            <w:r w:rsidRPr="000F721E" w:rsidR="00F82BF2">
              <w:t xml:space="preserve">for the preparation of the forthcoming </w:t>
            </w:r>
            <w:r w:rsidRPr="000F721E">
              <w:t xml:space="preserve">2024-2027 </w:t>
            </w:r>
            <w:r w:rsidRPr="000F721E" w:rsidR="00F82BF2">
              <w:t xml:space="preserve">EE </w:t>
            </w:r>
            <w:r w:rsidRPr="000F721E">
              <w:t xml:space="preserve">portfolio applications.  </w:t>
            </w:r>
          </w:p>
          <w:p w:rsidR="003E1B37" w:rsidP="00AF03E6" w:rsidRDefault="003E1B37" w14:paraId="7D9C6122" w14:textId="77777777">
            <w:pPr>
              <w:pStyle w:val="ListParagraph"/>
              <w:keepNext/>
              <w:keepLines/>
              <w:numPr>
                <w:ilvl w:val="0"/>
                <w:numId w:val="0"/>
              </w:numPr>
              <w:ind w:left="333"/>
              <w:contextualSpacing/>
            </w:pPr>
          </w:p>
          <w:p w:rsidR="003E1B37" w:rsidP="00AF03E6" w:rsidRDefault="004471D3" w14:paraId="11A5CF2E" w14:textId="0F0D9F62">
            <w:pPr>
              <w:pStyle w:val="ListParagraph"/>
              <w:keepNext/>
              <w:keepLines/>
              <w:numPr>
                <w:ilvl w:val="0"/>
                <w:numId w:val="0"/>
              </w:numPr>
              <w:ind w:left="333"/>
              <w:contextualSpacing/>
            </w:pPr>
            <w:r w:rsidRPr="003E1B37">
              <w:t xml:space="preserve">TURN argued that the benefits of updating the 2021 </w:t>
            </w:r>
            <w:r w:rsidRPr="003E1B37" w:rsidR="002F5EC8">
              <w:t>Potential and Goals (</w:t>
            </w:r>
            <w:r w:rsidRPr="003E1B37">
              <w:t>P&amp;G</w:t>
            </w:r>
            <w:r w:rsidRPr="003E1B37" w:rsidR="002F5EC8">
              <w:t>)</w:t>
            </w:r>
            <w:r w:rsidRPr="003E1B37">
              <w:t xml:space="preserve"> Study results with the recently released 2021 update to the A</w:t>
            </w:r>
            <w:r w:rsidRPr="003E1B37" w:rsidR="002F5EC8">
              <w:t>voided Cost Calculator (A</w:t>
            </w:r>
            <w:r w:rsidRPr="003E1B37">
              <w:t>CC</w:t>
            </w:r>
            <w:r w:rsidRPr="003E1B37" w:rsidR="002F5EC8">
              <w:t>)</w:t>
            </w:r>
            <w:r w:rsidRPr="003E1B37">
              <w:t xml:space="preserve"> outweigh</w:t>
            </w:r>
            <w:r w:rsidRPr="003E1B37" w:rsidR="002F5EC8">
              <w:t>ed</w:t>
            </w:r>
            <w:r w:rsidRPr="003E1B37">
              <w:t xml:space="preserve"> the adverse impacts of undertaking this effort.  </w:t>
            </w:r>
            <w:r w:rsidRPr="003E1B37" w:rsidR="002F5EC8">
              <w:t>TURN noted that i</w:t>
            </w:r>
            <w:r w:rsidRPr="003E1B37">
              <w:t xml:space="preserve">f the </w:t>
            </w:r>
            <w:r w:rsidRPr="003E1B37" w:rsidR="00C60B5F">
              <w:t xml:space="preserve">EE </w:t>
            </w:r>
            <w:r w:rsidRPr="003E1B37" w:rsidR="002F5EC8">
              <w:lastRenderedPageBreak/>
              <w:t>Program Administrators</w:t>
            </w:r>
            <w:r w:rsidRPr="003E1B37" w:rsidR="00C624C2">
              <w:t xml:space="preserve"> (PAs)</w:t>
            </w:r>
            <w:r w:rsidRPr="003E1B37" w:rsidR="002F5EC8">
              <w:t xml:space="preserve"> will </w:t>
            </w:r>
            <w:r w:rsidRPr="003E1B37">
              <w:t xml:space="preserve">be using the 2021 ACC to prepare their 2024-2027 portfolio applications, EE goals based on the 2020 ACC will not be “realistic and achievable.”  </w:t>
            </w:r>
            <w:r w:rsidRPr="003E1B37" w:rsidR="003F3EB2">
              <w:t>TURN recommended that t</w:t>
            </w:r>
            <w:r w:rsidRPr="003E1B37">
              <w:t>he Commission avoid creating this material misalignment by updating the 2021 P&amp;G Study now</w:t>
            </w:r>
            <w:r w:rsidRPr="003E1B37" w:rsidR="003F3EB2">
              <w:t>.</w:t>
            </w:r>
            <w:r w:rsidRPr="003E1B37" w:rsidR="00B9758E">
              <w:t xml:space="preserve">  Many other parties were aligned with TURN on </w:t>
            </w:r>
            <w:r w:rsidRPr="003E1B37" w:rsidR="00F82BF2">
              <w:t xml:space="preserve">the </w:t>
            </w:r>
            <w:r w:rsidRPr="003E1B37" w:rsidR="00EC68AA">
              <w:t xml:space="preserve">value of updating the 2021 P&amp;G Study to incorporate the 2021 ACC.  </w:t>
            </w:r>
          </w:p>
          <w:p w:rsidR="003E1B37" w:rsidP="00AF03E6" w:rsidRDefault="003E1B37" w14:paraId="13373A69" w14:textId="77777777">
            <w:pPr>
              <w:pStyle w:val="ListParagraph"/>
              <w:keepNext/>
              <w:keepLines/>
              <w:numPr>
                <w:ilvl w:val="0"/>
                <w:numId w:val="0"/>
              </w:numPr>
              <w:ind w:left="333"/>
              <w:contextualSpacing/>
            </w:pPr>
          </w:p>
          <w:p w:rsidR="003E1B37" w:rsidP="00AF03E6" w:rsidRDefault="00C624C2" w14:paraId="12020B70" w14:textId="77777777">
            <w:pPr>
              <w:pStyle w:val="ListParagraph"/>
              <w:keepNext/>
              <w:keepLines/>
              <w:numPr>
                <w:ilvl w:val="0"/>
                <w:numId w:val="0"/>
              </w:numPr>
              <w:ind w:left="333"/>
              <w:contextualSpacing/>
            </w:pPr>
            <w:r>
              <w:t xml:space="preserve">TURN also </w:t>
            </w:r>
            <w:r w:rsidR="00074512">
              <w:t>recommended that</w:t>
            </w:r>
            <w:r>
              <w:t xml:space="preserve"> the Commission </w:t>
            </w:r>
            <w:r w:rsidR="008512AE">
              <w:t xml:space="preserve">update the guidance provided in D.21-05-031 and </w:t>
            </w:r>
            <w:r>
              <w:t xml:space="preserve">instruct the PAs to </w:t>
            </w:r>
            <w:r w:rsidR="008512AE">
              <w:t>use the 2021 ACC, instead of the 2020 ACC, in preparing their next EE applications</w:t>
            </w:r>
            <w:r w:rsidR="00074512">
              <w:t>.</w:t>
            </w:r>
            <w:r w:rsidR="00930783">
              <w:t xml:space="preserve">  </w:t>
            </w:r>
          </w:p>
          <w:p w:rsidR="003E1B37" w:rsidP="00AF03E6" w:rsidRDefault="003E1B37" w14:paraId="333AC5C8" w14:textId="77777777">
            <w:pPr>
              <w:pStyle w:val="ListParagraph"/>
              <w:keepNext/>
              <w:keepLines/>
              <w:numPr>
                <w:ilvl w:val="0"/>
                <w:numId w:val="0"/>
              </w:numPr>
              <w:ind w:left="333"/>
              <w:contextualSpacing/>
            </w:pPr>
          </w:p>
          <w:p w:rsidR="003E1B37" w:rsidP="00AF03E6" w:rsidRDefault="006B48A0" w14:paraId="659C385A" w14:textId="77777777">
            <w:pPr>
              <w:pStyle w:val="ListParagraph"/>
              <w:keepNext/>
              <w:keepLines/>
              <w:numPr>
                <w:ilvl w:val="0"/>
                <w:numId w:val="0"/>
              </w:numPr>
              <w:ind w:left="333"/>
              <w:contextualSpacing/>
            </w:pPr>
            <w:r>
              <w:t xml:space="preserve">The Commission </w:t>
            </w:r>
            <w:r w:rsidR="00FC1C82">
              <w:t xml:space="preserve">partially </w:t>
            </w:r>
            <w:r>
              <w:t>ad</w:t>
            </w:r>
            <w:r w:rsidR="00780ADE">
              <w:t xml:space="preserve">opted </w:t>
            </w:r>
            <w:r w:rsidR="00FC1C82">
              <w:t>the recommendation of TURN (and others) to use the 2021 ACC to set goals for 2022-2032.  The Commission set goals for 2022-2023 based on the 2020 AC</w:t>
            </w:r>
            <w:r w:rsidR="00590BD7">
              <w:t>C</w:t>
            </w:r>
            <w:r w:rsidR="00F92787">
              <w:t xml:space="preserve"> due to practical considerations</w:t>
            </w:r>
            <w:r w:rsidR="00590BD7">
              <w:t>, while using the 2021 ACC to set goals for the remaining period, 2024-2032</w:t>
            </w:r>
            <w:r w:rsidR="00F92787">
              <w:t xml:space="preserve">.  </w:t>
            </w:r>
          </w:p>
          <w:p w:rsidR="003E1B37" w:rsidP="00AF03E6" w:rsidRDefault="003E1B37" w14:paraId="427C23AC" w14:textId="77777777">
            <w:pPr>
              <w:pStyle w:val="ListParagraph"/>
              <w:keepNext/>
              <w:keepLines/>
              <w:numPr>
                <w:ilvl w:val="0"/>
                <w:numId w:val="0"/>
              </w:numPr>
              <w:ind w:left="333"/>
              <w:contextualSpacing/>
            </w:pPr>
          </w:p>
          <w:p w:rsidR="00014613" w:rsidP="00AF03E6" w:rsidRDefault="005416A1" w14:paraId="4D1E95AD" w14:textId="4A790071">
            <w:pPr>
              <w:pStyle w:val="ListParagraph"/>
              <w:keepNext/>
              <w:keepLines/>
              <w:numPr>
                <w:ilvl w:val="0"/>
                <w:numId w:val="0"/>
              </w:numPr>
              <w:ind w:left="333"/>
              <w:contextualSpacing/>
            </w:pPr>
            <w:r>
              <w:t>As TURN recommended, the Commission also updated the guidance provided in D.21</w:t>
            </w:r>
            <w:r w:rsidR="00B44819">
              <w:noBreakHyphen/>
            </w:r>
            <w:r>
              <w:t>05</w:t>
            </w:r>
            <w:r w:rsidR="00B44819">
              <w:noBreakHyphen/>
            </w:r>
            <w:r>
              <w:t xml:space="preserve">031 </w:t>
            </w:r>
            <w:r w:rsidR="00A75ECA">
              <w:t>to require the</w:t>
            </w:r>
            <w:r>
              <w:t xml:space="preserve"> </w:t>
            </w:r>
            <w:r w:rsidR="008A7DE5">
              <w:t>PAs to use the 2021 ACC in developing their 2024-2027 applications.</w:t>
            </w:r>
            <w:r w:rsidR="00780ADE">
              <w:t xml:space="preserve"> </w:t>
            </w:r>
          </w:p>
        </w:tc>
        <w:tc>
          <w:tcPr>
            <w:tcW w:w="3803" w:type="dxa"/>
            <w:shd w:val="clear" w:color="auto" w:fill="auto"/>
          </w:tcPr>
          <w:p w:rsidRPr="00EA784D" w:rsidR="001973C0" w:rsidP="00AF03E6" w:rsidRDefault="001973C0" w14:paraId="404A9B10" w14:textId="77777777">
            <w:pPr>
              <w:keepNext/>
              <w:keepLines/>
              <w:contextualSpacing/>
              <w:rPr>
                <w:b/>
                <w:bCs/>
                <w:color w:val="000000"/>
              </w:rPr>
            </w:pPr>
            <w:r w:rsidRPr="00EA784D">
              <w:rPr>
                <w:b/>
                <w:bCs/>
                <w:color w:val="000000"/>
              </w:rPr>
              <w:lastRenderedPageBreak/>
              <w:t>D.21-09-037 (</w:t>
            </w:r>
            <w:r>
              <w:rPr>
                <w:b/>
                <w:bCs/>
                <w:color w:val="000000"/>
              </w:rPr>
              <w:t xml:space="preserve">2021 P&amp;G Study - </w:t>
            </w:r>
            <w:r w:rsidRPr="00EA784D">
              <w:rPr>
                <w:b/>
                <w:bCs/>
                <w:color w:val="000000"/>
              </w:rPr>
              <w:t>2022-2023 EE Goals)</w:t>
            </w:r>
          </w:p>
          <w:p w:rsidR="001973C0" w:rsidP="00AF03E6" w:rsidRDefault="001973C0" w14:paraId="0BEDF284" w14:textId="77777777">
            <w:pPr>
              <w:pStyle w:val="ListParagraph"/>
              <w:keepNext/>
              <w:keepLines/>
              <w:numPr>
                <w:ilvl w:val="0"/>
                <w:numId w:val="0"/>
              </w:numPr>
              <w:ind w:left="322"/>
              <w:contextualSpacing/>
            </w:pPr>
          </w:p>
          <w:p w:rsidR="001973C0" w:rsidP="00AF03E6" w:rsidRDefault="001973C0" w14:paraId="1A321A9B" w14:textId="77777777">
            <w:pPr>
              <w:keepNext/>
              <w:keepLines/>
              <w:contextualSpacing/>
            </w:pPr>
          </w:p>
          <w:p w:rsidR="007E1989" w:rsidP="00AF03E6" w:rsidRDefault="007E1989" w14:paraId="7C9A4558" w14:textId="2077422A">
            <w:pPr>
              <w:pStyle w:val="ListParagraph"/>
              <w:keepNext/>
              <w:keepLines/>
              <w:numPr>
                <w:ilvl w:val="0"/>
                <w:numId w:val="32"/>
              </w:numPr>
              <w:ind w:left="322"/>
              <w:contextualSpacing/>
            </w:pPr>
            <w:r>
              <w:t xml:space="preserve">TURN </w:t>
            </w:r>
            <w:proofErr w:type="spellStart"/>
            <w:r>
              <w:t>Cmts</w:t>
            </w:r>
            <w:proofErr w:type="spellEnd"/>
            <w:r>
              <w:t xml:space="preserve"> on P&amp;G Study, 5-21-21, p. 7</w:t>
            </w:r>
          </w:p>
          <w:p w:rsidR="00A413A9" w:rsidP="00AF03E6" w:rsidRDefault="00A413A9" w14:paraId="323F4382" w14:textId="77777777">
            <w:pPr>
              <w:pStyle w:val="ListParagraph"/>
              <w:keepNext/>
              <w:keepLines/>
              <w:numPr>
                <w:ilvl w:val="0"/>
                <w:numId w:val="0"/>
              </w:numPr>
              <w:ind w:left="322"/>
              <w:contextualSpacing/>
            </w:pPr>
          </w:p>
          <w:p w:rsidR="00EC68AA" w:rsidP="00AF03E6" w:rsidRDefault="00A413A9" w14:paraId="61C0BAF7" w14:textId="764BC658">
            <w:pPr>
              <w:pStyle w:val="ListParagraph"/>
              <w:keepNext/>
              <w:keepLines/>
              <w:numPr>
                <w:ilvl w:val="0"/>
                <w:numId w:val="32"/>
              </w:numPr>
              <w:ind w:left="322"/>
              <w:contextualSpacing/>
            </w:pPr>
            <w:r>
              <w:t xml:space="preserve">TURN Reply </w:t>
            </w:r>
            <w:proofErr w:type="spellStart"/>
            <w:r>
              <w:t>Cmts</w:t>
            </w:r>
            <w:proofErr w:type="spellEnd"/>
            <w:r>
              <w:t xml:space="preserve"> on P&amp;G Study, 5-28-21, p</w:t>
            </w:r>
            <w:r w:rsidR="00C624C2">
              <w:t>p</w:t>
            </w:r>
            <w:r>
              <w:t xml:space="preserve">. </w:t>
            </w:r>
            <w:r w:rsidR="00847453">
              <w:t xml:space="preserve">1-2 (updating P&amp;G Study), </w:t>
            </w:r>
            <w:r w:rsidR="00C23E43">
              <w:t>2-3</w:t>
            </w:r>
            <w:r w:rsidR="00847453">
              <w:t xml:space="preserve"> (updating guidance for EE applications)</w:t>
            </w:r>
          </w:p>
          <w:p w:rsidR="007E1989" w:rsidP="00AF03E6" w:rsidRDefault="007E1989" w14:paraId="45632EE3" w14:textId="77777777">
            <w:pPr>
              <w:pStyle w:val="ListParagraph"/>
              <w:keepNext/>
              <w:keepLines/>
              <w:numPr>
                <w:ilvl w:val="0"/>
                <w:numId w:val="0"/>
              </w:numPr>
              <w:ind w:left="322"/>
              <w:contextualSpacing/>
            </w:pPr>
          </w:p>
          <w:p w:rsidR="007E1989" w:rsidP="00AF03E6" w:rsidRDefault="007E1989" w14:paraId="090AA64A" w14:textId="1BE727F7">
            <w:pPr>
              <w:pStyle w:val="ListParagraph"/>
              <w:keepNext/>
              <w:keepLines/>
              <w:numPr>
                <w:ilvl w:val="0"/>
                <w:numId w:val="32"/>
              </w:numPr>
              <w:ind w:left="322"/>
              <w:contextualSpacing/>
            </w:pPr>
            <w:r>
              <w:t>D.21-0</w:t>
            </w:r>
            <w:r w:rsidR="008223C5">
              <w:t>9</w:t>
            </w:r>
            <w:r>
              <w:t>-0</w:t>
            </w:r>
            <w:r w:rsidR="008223C5">
              <w:t>37</w:t>
            </w:r>
            <w:r>
              <w:t>, p</w:t>
            </w:r>
            <w:r w:rsidR="00367854">
              <w:t>p</w:t>
            </w:r>
            <w:r>
              <w:t xml:space="preserve">. </w:t>
            </w:r>
            <w:r w:rsidR="00A75ECA">
              <w:t xml:space="preserve">9, </w:t>
            </w:r>
            <w:r w:rsidR="00367854">
              <w:t>14-15</w:t>
            </w:r>
            <w:r w:rsidR="00FC75DC">
              <w:t>, 21-22</w:t>
            </w:r>
            <w:r w:rsidR="008307BD">
              <w:t xml:space="preserve"> </w:t>
            </w:r>
          </w:p>
          <w:p w:rsidRPr="007F620E" w:rsidR="00D847CD" w:rsidP="00AF03E6" w:rsidRDefault="00D847CD" w14:paraId="2960FDDE" w14:textId="77777777">
            <w:pPr>
              <w:keepNext/>
              <w:keepLines/>
              <w:contextualSpacing/>
              <w:rPr>
                <w:color w:val="000000"/>
              </w:rPr>
            </w:pPr>
          </w:p>
        </w:tc>
        <w:tc>
          <w:tcPr>
            <w:tcW w:w="2340" w:type="dxa"/>
            <w:shd w:val="clear" w:color="auto" w:fill="auto"/>
          </w:tcPr>
          <w:p w:rsidR="00D847CD" w:rsidP="00864DD2" w:rsidRDefault="00D847CD" w14:paraId="6459A85B" w14:textId="77777777">
            <w:pPr>
              <w:keepNext/>
              <w:keepLines/>
              <w:contextualSpacing/>
              <w:jc w:val="center"/>
              <w:rPr>
                <w:color w:val="000000"/>
              </w:rPr>
            </w:pPr>
          </w:p>
          <w:p w:rsidR="00864DD2" w:rsidP="00864DD2" w:rsidRDefault="00864DD2" w14:paraId="3597BDBF" w14:textId="77777777">
            <w:pPr>
              <w:keepNext/>
              <w:keepLines/>
              <w:contextualSpacing/>
              <w:jc w:val="center"/>
              <w:rPr>
                <w:color w:val="000000"/>
              </w:rPr>
            </w:pPr>
          </w:p>
          <w:p w:rsidR="00864DD2" w:rsidP="00864DD2" w:rsidRDefault="00864DD2" w14:paraId="3B704348" w14:textId="77777777">
            <w:pPr>
              <w:keepNext/>
              <w:keepLines/>
              <w:contextualSpacing/>
              <w:jc w:val="center"/>
              <w:rPr>
                <w:color w:val="000000"/>
              </w:rPr>
            </w:pPr>
          </w:p>
          <w:p w:rsidR="00864DD2" w:rsidP="00864DD2" w:rsidRDefault="00864DD2" w14:paraId="7E96DA4E" w14:textId="77777777">
            <w:pPr>
              <w:keepNext/>
              <w:keepLines/>
              <w:contextualSpacing/>
              <w:jc w:val="center"/>
              <w:rPr>
                <w:color w:val="000000"/>
              </w:rPr>
            </w:pPr>
          </w:p>
          <w:p w:rsidR="00864DD2" w:rsidP="00864DD2" w:rsidRDefault="00864DD2" w14:paraId="068B5AA9" w14:textId="77777777">
            <w:pPr>
              <w:keepNext/>
              <w:keepLines/>
              <w:contextualSpacing/>
              <w:jc w:val="center"/>
              <w:rPr>
                <w:color w:val="000000"/>
              </w:rPr>
            </w:pPr>
          </w:p>
          <w:p w:rsidR="00864DD2" w:rsidP="00864DD2" w:rsidRDefault="00864DD2" w14:paraId="46AFE0D7" w14:textId="77777777">
            <w:pPr>
              <w:keepNext/>
              <w:keepLines/>
              <w:contextualSpacing/>
              <w:jc w:val="center"/>
              <w:rPr>
                <w:color w:val="000000"/>
              </w:rPr>
            </w:pPr>
          </w:p>
          <w:p w:rsidR="00864DD2" w:rsidP="00864DD2" w:rsidRDefault="00864DD2" w14:paraId="240B9CE6" w14:textId="568FB781">
            <w:pPr>
              <w:keepNext/>
              <w:keepLines/>
              <w:contextualSpacing/>
              <w:jc w:val="center"/>
              <w:rPr>
                <w:color w:val="000000"/>
              </w:rPr>
            </w:pPr>
            <w:r>
              <w:rPr>
                <w:color w:val="000000"/>
              </w:rPr>
              <w:t>Verified</w:t>
            </w:r>
          </w:p>
          <w:p w:rsidR="00864DD2" w:rsidP="00864DD2" w:rsidRDefault="00864DD2" w14:paraId="405D4E40" w14:textId="77777777">
            <w:pPr>
              <w:keepNext/>
              <w:keepLines/>
              <w:contextualSpacing/>
              <w:jc w:val="center"/>
              <w:rPr>
                <w:color w:val="000000"/>
              </w:rPr>
            </w:pPr>
          </w:p>
          <w:p w:rsidR="00864DD2" w:rsidP="00864DD2" w:rsidRDefault="00864DD2" w14:paraId="56A6CFAC" w14:textId="77777777">
            <w:pPr>
              <w:keepNext/>
              <w:keepLines/>
              <w:contextualSpacing/>
              <w:jc w:val="center"/>
              <w:rPr>
                <w:color w:val="000000"/>
              </w:rPr>
            </w:pPr>
          </w:p>
          <w:p w:rsidR="00864DD2" w:rsidP="00864DD2" w:rsidRDefault="00864DD2" w14:paraId="58811CB9" w14:textId="77777777">
            <w:pPr>
              <w:keepNext/>
              <w:keepLines/>
              <w:contextualSpacing/>
              <w:jc w:val="center"/>
              <w:rPr>
                <w:color w:val="000000"/>
              </w:rPr>
            </w:pPr>
          </w:p>
          <w:p w:rsidR="00864DD2" w:rsidP="00864DD2" w:rsidRDefault="00864DD2" w14:paraId="33B7095E" w14:textId="77777777">
            <w:pPr>
              <w:keepNext/>
              <w:keepLines/>
              <w:contextualSpacing/>
              <w:jc w:val="center"/>
              <w:rPr>
                <w:color w:val="000000"/>
              </w:rPr>
            </w:pPr>
          </w:p>
          <w:p w:rsidR="00864DD2" w:rsidP="00864DD2" w:rsidRDefault="00864DD2" w14:paraId="62F98BCF" w14:textId="77777777">
            <w:pPr>
              <w:keepNext/>
              <w:keepLines/>
              <w:contextualSpacing/>
              <w:jc w:val="center"/>
              <w:rPr>
                <w:color w:val="000000"/>
              </w:rPr>
            </w:pPr>
          </w:p>
          <w:p w:rsidR="00864DD2" w:rsidP="00864DD2" w:rsidRDefault="00864DD2" w14:paraId="27D2C732" w14:textId="77777777">
            <w:pPr>
              <w:keepNext/>
              <w:keepLines/>
              <w:contextualSpacing/>
              <w:jc w:val="center"/>
              <w:rPr>
                <w:color w:val="000000"/>
              </w:rPr>
            </w:pPr>
          </w:p>
          <w:p w:rsidR="00864DD2" w:rsidP="00864DD2" w:rsidRDefault="00864DD2" w14:paraId="51126D39" w14:textId="4AF51021">
            <w:pPr>
              <w:keepNext/>
              <w:keepLines/>
              <w:contextualSpacing/>
              <w:jc w:val="center"/>
              <w:rPr>
                <w:color w:val="000000"/>
              </w:rPr>
            </w:pPr>
            <w:r>
              <w:rPr>
                <w:color w:val="000000"/>
              </w:rPr>
              <w:t>Verified</w:t>
            </w:r>
          </w:p>
          <w:p w:rsidRPr="007F620E" w:rsidR="00864DD2" w:rsidP="00864DD2" w:rsidRDefault="00864DD2" w14:paraId="08F7F655" w14:textId="77777777">
            <w:pPr>
              <w:keepNext/>
              <w:keepLines/>
              <w:contextualSpacing/>
              <w:jc w:val="center"/>
              <w:rPr>
                <w:color w:val="000000"/>
              </w:rPr>
            </w:pPr>
          </w:p>
        </w:tc>
      </w:tr>
      <w:tr w:rsidRPr="007F620E" w:rsidR="006774FB" w:rsidTr="001811F3" w14:paraId="086599E5" w14:textId="77777777">
        <w:tc>
          <w:tcPr>
            <w:tcW w:w="3595" w:type="dxa"/>
            <w:shd w:val="clear" w:color="auto" w:fill="auto"/>
          </w:tcPr>
          <w:p w:rsidR="006774FB" w:rsidP="00AF03E6" w:rsidRDefault="006774FB" w14:paraId="1A569945" w14:textId="6036B449">
            <w:pPr>
              <w:pStyle w:val="ListParagraph"/>
              <w:keepNext/>
              <w:keepLines/>
              <w:numPr>
                <w:ilvl w:val="0"/>
                <w:numId w:val="33"/>
              </w:numPr>
              <w:ind w:left="333"/>
              <w:contextualSpacing/>
            </w:pPr>
            <w:r w:rsidRPr="00213516">
              <w:lastRenderedPageBreak/>
              <w:t>TURN contributed to the Commission’s definition of Total System Benefit</w:t>
            </w:r>
            <w:r w:rsidR="001106C7">
              <w:t xml:space="preserve"> (TSB)</w:t>
            </w:r>
            <w:r w:rsidRPr="00213516">
              <w:t>.</w:t>
            </w:r>
          </w:p>
          <w:p w:rsidR="00C477BD" w:rsidP="00AF03E6" w:rsidRDefault="00C477BD" w14:paraId="72EA54FB" w14:textId="77777777">
            <w:pPr>
              <w:pStyle w:val="ListParagraph"/>
              <w:keepNext/>
              <w:keepLines/>
              <w:numPr>
                <w:ilvl w:val="0"/>
                <w:numId w:val="0"/>
              </w:numPr>
              <w:ind w:left="333"/>
              <w:contextualSpacing/>
            </w:pPr>
          </w:p>
          <w:p w:rsidR="00C477BD" w:rsidP="00AF03E6" w:rsidRDefault="00C477BD" w14:paraId="64347713" w14:textId="6746F681">
            <w:pPr>
              <w:pStyle w:val="ListParagraph"/>
              <w:keepNext/>
              <w:keepLines/>
              <w:numPr>
                <w:ilvl w:val="0"/>
                <w:numId w:val="0"/>
              </w:numPr>
              <w:ind w:left="333"/>
              <w:contextualSpacing/>
            </w:pPr>
            <w:r>
              <w:t>TURN</w:t>
            </w:r>
            <w:r w:rsidR="00B25575">
              <w:t xml:space="preserve"> </w:t>
            </w:r>
            <w:r w:rsidR="00D74B1B">
              <w:t>agreed with</w:t>
            </w:r>
            <w:r w:rsidR="00B25575">
              <w:t xml:space="preserve"> the P&amp;G Study’s </w:t>
            </w:r>
            <w:r w:rsidR="00D74B1B">
              <w:t xml:space="preserve">conceptual </w:t>
            </w:r>
            <w:r w:rsidR="00B25575">
              <w:t>definition of TSB and proposed calculation methodology, but TURN</w:t>
            </w:r>
            <w:r>
              <w:t xml:space="preserve"> recommended that the Commission clarify </w:t>
            </w:r>
            <w:r w:rsidR="001106C7">
              <w:t>the P&amp;G Study’s summary of the new TSB metric, particularly the meaning of “</w:t>
            </w:r>
            <w:r w:rsidR="00B25575">
              <w:t xml:space="preserve">net benefits”.  </w:t>
            </w:r>
            <w:r w:rsidR="00C52AF9">
              <w:t>TURN provided two alternative ways of expressing TS</w:t>
            </w:r>
            <w:r w:rsidR="002D3E26">
              <w:t>B</w:t>
            </w:r>
            <w:r w:rsidR="009A19E0">
              <w:t>’s capture of both positive and negative system benefits (which are “netted”)</w:t>
            </w:r>
            <w:r w:rsidR="00C52AF9">
              <w:t xml:space="preserve"> </w:t>
            </w:r>
            <w:r w:rsidR="009A19E0">
              <w:t xml:space="preserve">while avoiding </w:t>
            </w:r>
            <w:r w:rsidR="00C52AF9">
              <w:t>any confusion</w:t>
            </w:r>
            <w:r w:rsidR="00777290">
              <w:t xml:space="preserve">.  </w:t>
            </w:r>
          </w:p>
          <w:p w:rsidR="001030F1" w:rsidP="00AF03E6" w:rsidRDefault="001030F1" w14:paraId="60DC8062" w14:textId="77777777">
            <w:pPr>
              <w:pStyle w:val="ListParagraph"/>
              <w:keepNext/>
              <w:keepLines/>
              <w:numPr>
                <w:ilvl w:val="0"/>
                <w:numId w:val="0"/>
              </w:numPr>
              <w:ind w:left="333"/>
              <w:contextualSpacing/>
            </w:pPr>
          </w:p>
          <w:p w:rsidR="001030F1" w:rsidP="00AF03E6" w:rsidRDefault="001030F1" w14:paraId="61DB884F" w14:textId="70FDE1AE">
            <w:pPr>
              <w:pStyle w:val="ListParagraph"/>
              <w:keepNext/>
              <w:keepLines/>
              <w:numPr>
                <w:ilvl w:val="0"/>
                <w:numId w:val="0"/>
              </w:numPr>
              <w:ind w:left="333"/>
              <w:contextualSpacing/>
            </w:pPr>
            <w:r>
              <w:t xml:space="preserve">TURN further </w:t>
            </w:r>
            <w:r w:rsidRPr="001030F1">
              <w:t>recommend</w:t>
            </w:r>
            <w:r>
              <w:t>ed</w:t>
            </w:r>
            <w:r w:rsidRPr="001030F1">
              <w:t xml:space="preserve"> against adding “gross” to the definition of TSB -- referring to the inclusion of savings from </w:t>
            </w:r>
            <w:proofErr w:type="spellStart"/>
            <w:r w:rsidRPr="001030F1">
              <w:t>freeriders</w:t>
            </w:r>
            <w:proofErr w:type="spellEnd"/>
            <w:r w:rsidRPr="001030F1">
              <w:t xml:space="preserve"> -- because TSB can be used to measure gross or net EE portfolio impacts.  </w:t>
            </w:r>
            <w:r w:rsidR="007536F8">
              <w:t>TURN noted that t</w:t>
            </w:r>
            <w:r w:rsidRPr="001030F1">
              <w:t xml:space="preserve">he Commission can establish “net” TSB goals (net of </w:t>
            </w:r>
            <w:proofErr w:type="spellStart"/>
            <w:r w:rsidRPr="001030F1">
              <w:t>freeriders</w:t>
            </w:r>
            <w:proofErr w:type="spellEnd"/>
            <w:r w:rsidRPr="001030F1">
              <w:t xml:space="preserve">), as is current policy regarding energy savings goals, or “gross” TSB goals (including </w:t>
            </w:r>
            <w:proofErr w:type="spellStart"/>
            <w:r w:rsidRPr="001030F1">
              <w:t>freeriders</w:t>
            </w:r>
            <w:proofErr w:type="spellEnd"/>
            <w:r w:rsidRPr="001030F1">
              <w:t xml:space="preserve">); this policy determination should not change the definition of TSB.  </w:t>
            </w:r>
          </w:p>
          <w:p w:rsidR="0048289F" w:rsidP="00AF03E6" w:rsidRDefault="0048289F" w14:paraId="1ECAF7B9" w14:textId="77777777">
            <w:pPr>
              <w:pStyle w:val="ListParagraph"/>
              <w:keepNext/>
              <w:keepLines/>
              <w:numPr>
                <w:ilvl w:val="0"/>
                <w:numId w:val="0"/>
              </w:numPr>
              <w:ind w:left="333"/>
              <w:contextualSpacing/>
            </w:pPr>
          </w:p>
          <w:p w:rsidR="0048289F" w:rsidP="00AF03E6" w:rsidRDefault="00AF246B" w14:paraId="49C2DD28" w14:textId="256CD5D1">
            <w:pPr>
              <w:pStyle w:val="ListParagraph"/>
              <w:keepNext/>
              <w:keepLines/>
              <w:numPr>
                <w:ilvl w:val="0"/>
                <w:numId w:val="0"/>
              </w:numPr>
              <w:ind w:left="333"/>
              <w:contextualSpacing/>
            </w:pPr>
            <w:r>
              <w:t xml:space="preserve">The Commission agreed with TURN (and others) that the articulation of TSB in the P&amp;G Study </w:t>
            </w:r>
            <w:r w:rsidR="0059024B">
              <w:t>should be modified to eliminate reference to “net benefits</w:t>
            </w:r>
            <w:r w:rsidR="00C8455B">
              <w:t>,</w:t>
            </w:r>
            <w:r w:rsidR="0059024B">
              <w:t>”</w:t>
            </w:r>
            <w:r w:rsidR="00C8455B">
              <w:t xml:space="preserve"> which could be conflated with </w:t>
            </w:r>
            <w:r w:rsidR="00B677E0">
              <w:t xml:space="preserve">the separate </w:t>
            </w:r>
            <w:r w:rsidR="000516A1">
              <w:t xml:space="preserve">EE </w:t>
            </w:r>
            <w:r w:rsidR="00B677E0">
              <w:t>concept of the netti</w:t>
            </w:r>
            <w:r w:rsidR="000516A1">
              <w:t xml:space="preserve">ng benefits from </w:t>
            </w:r>
            <w:proofErr w:type="spellStart"/>
            <w:r w:rsidR="000516A1">
              <w:t>freeriders</w:t>
            </w:r>
            <w:proofErr w:type="spellEnd"/>
            <w:r w:rsidR="000516A1">
              <w:t>.</w:t>
            </w:r>
            <w:r w:rsidR="00B677E0">
              <w:t xml:space="preserve">  </w:t>
            </w:r>
            <w:r w:rsidR="0059024B">
              <w:t xml:space="preserve">  </w:t>
            </w:r>
          </w:p>
          <w:p w:rsidR="00416442" w:rsidP="00AF03E6" w:rsidRDefault="00416442" w14:paraId="5F8EBB8D" w14:textId="77777777">
            <w:pPr>
              <w:pStyle w:val="ListParagraph"/>
              <w:keepNext/>
              <w:keepLines/>
              <w:numPr>
                <w:ilvl w:val="0"/>
                <w:numId w:val="0"/>
              </w:numPr>
              <w:ind w:left="333"/>
              <w:contextualSpacing/>
            </w:pPr>
          </w:p>
          <w:p w:rsidRPr="00756F46" w:rsidR="00C477BD" w:rsidP="00AF03E6" w:rsidRDefault="00416442" w14:paraId="280DCCC7" w14:textId="4A753D6E">
            <w:pPr>
              <w:pStyle w:val="ListParagraph"/>
              <w:keepNext/>
              <w:keepLines/>
              <w:numPr>
                <w:ilvl w:val="0"/>
                <w:numId w:val="0"/>
              </w:numPr>
              <w:ind w:left="333"/>
              <w:contextualSpacing/>
            </w:pPr>
            <w:r>
              <w:t xml:space="preserve">Consistent with TURN’s recommendation, the Commission also declined to </w:t>
            </w:r>
            <w:r w:rsidRPr="00416442">
              <w:t xml:space="preserve">specify </w:t>
            </w:r>
            <w:r w:rsidR="0013482D">
              <w:t xml:space="preserve">that TSB </w:t>
            </w:r>
            <w:r w:rsidR="002043F3">
              <w:t>reflects</w:t>
            </w:r>
            <w:r w:rsidR="0013482D">
              <w:t xml:space="preserve"> </w:t>
            </w:r>
            <w:r w:rsidRPr="00416442">
              <w:t xml:space="preserve">"gross" </w:t>
            </w:r>
            <w:r w:rsidR="002043F3">
              <w:t>savings.  The Commission</w:t>
            </w:r>
            <w:r w:rsidRPr="00416442">
              <w:t xml:space="preserve"> </w:t>
            </w:r>
            <w:r w:rsidR="005B6902">
              <w:t>clarified that</w:t>
            </w:r>
            <w:r w:rsidRPr="00416442">
              <w:t xml:space="preserve"> </w:t>
            </w:r>
            <w:r w:rsidR="00106695">
              <w:t xml:space="preserve">savings </w:t>
            </w:r>
            <w:r w:rsidRPr="00416442">
              <w:t>attribution issues are not within the scope of this decision.</w:t>
            </w:r>
          </w:p>
        </w:tc>
        <w:tc>
          <w:tcPr>
            <w:tcW w:w="3803" w:type="dxa"/>
            <w:shd w:val="clear" w:color="auto" w:fill="auto"/>
          </w:tcPr>
          <w:p w:rsidR="008E553B" w:rsidP="00AF03E6" w:rsidRDefault="007536F8" w14:paraId="2B02AF20" w14:textId="77777777">
            <w:pPr>
              <w:pStyle w:val="ListParagraph"/>
              <w:keepNext/>
              <w:keepLines/>
              <w:numPr>
                <w:ilvl w:val="0"/>
                <w:numId w:val="32"/>
              </w:numPr>
              <w:ind w:left="322"/>
              <w:contextualSpacing/>
            </w:pPr>
            <w:r>
              <w:lastRenderedPageBreak/>
              <w:t xml:space="preserve">TURN </w:t>
            </w:r>
            <w:proofErr w:type="spellStart"/>
            <w:r>
              <w:t>Cmts</w:t>
            </w:r>
            <w:proofErr w:type="spellEnd"/>
            <w:r>
              <w:t xml:space="preserve"> on P&amp;G Study, 5-21-21, p. </w:t>
            </w:r>
            <w:r w:rsidR="00B23F7F">
              <w:t>5</w:t>
            </w:r>
          </w:p>
          <w:p w:rsidR="008E553B" w:rsidP="00AF03E6" w:rsidRDefault="008E553B" w14:paraId="5CFB6571" w14:textId="160B3D16">
            <w:pPr>
              <w:pStyle w:val="ListParagraph"/>
              <w:keepNext/>
              <w:keepLines/>
              <w:numPr>
                <w:ilvl w:val="0"/>
                <w:numId w:val="0"/>
              </w:numPr>
              <w:ind w:left="322"/>
              <w:contextualSpacing/>
            </w:pPr>
          </w:p>
          <w:p w:rsidR="006774FB" w:rsidP="00AF03E6" w:rsidRDefault="007536F8" w14:paraId="445EBA10" w14:textId="77777777">
            <w:pPr>
              <w:pStyle w:val="ListParagraph"/>
              <w:keepNext/>
              <w:keepLines/>
              <w:numPr>
                <w:ilvl w:val="0"/>
                <w:numId w:val="32"/>
              </w:numPr>
              <w:ind w:left="322"/>
              <w:contextualSpacing/>
            </w:pPr>
            <w:r>
              <w:t xml:space="preserve">TURN Reply </w:t>
            </w:r>
            <w:proofErr w:type="spellStart"/>
            <w:r>
              <w:t>Cmts</w:t>
            </w:r>
            <w:proofErr w:type="spellEnd"/>
            <w:r>
              <w:t xml:space="preserve"> on P&amp;G Study, 5-28-21</w:t>
            </w:r>
            <w:r w:rsidR="00927DF8">
              <w:t>, pp. 3-4 (clarifying “net benefits”), 4-5 (not prejud</w:t>
            </w:r>
            <w:r w:rsidR="00384E65">
              <w:t>g</w:t>
            </w:r>
            <w:r w:rsidR="00927DF8">
              <w:t xml:space="preserve">ing whether TSB captures </w:t>
            </w:r>
            <w:r w:rsidR="00384E65">
              <w:t xml:space="preserve">lifecycle savings that are gross or net of </w:t>
            </w:r>
            <w:proofErr w:type="spellStart"/>
            <w:r w:rsidR="00384E65">
              <w:t>freeriders</w:t>
            </w:r>
            <w:proofErr w:type="spellEnd"/>
            <w:r w:rsidR="00384E65">
              <w:t>)</w:t>
            </w:r>
          </w:p>
          <w:p w:rsidR="00106695" w:rsidP="00AF03E6" w:rsidRDefault="00106695" w14:paraId="0114D51A" w14:textId="77777777">
            <w:pPr>
              <w:pStyle w:val="ListParagraph"/>
              <w:keepNext/>
              <w:keepLines/>
              <w:numPr>
                <w:ilvl w:val="0"/>
                <w:numId w:val="0"/>
              </w:numPr>
              <w:ind w:left="720"/>
              <w:contextualSpacing/>
            </w:pPr>
          </w:p>
          <w:p w:rsidR="00106695" w:rsidP="00AF03E6" w:rsidRDefault="00106695" w14:paraId="3589BB85" w14:textId="77777777">
            <w:pPr>
              <w:pStyle w:val="ListParagraph"/>
              <w:keepNext/>
              <w:keepLines/>
              <w:numPr>
                <w:ilvl w:val="0"/>
                <w:numId w:val="32"/>
              </w:numPr>
              <w:ind w:left="322"/>
              <w:contextualSpacing/>
            </w:pPr>
            <w:r w:rsidRPr="00106695">
              <w:t xml:space="preserve">TURN Rep </w:t>
            </w:r>
            <w:proofErr w:type="spellStart"/>
            <w:r w:rsidRPr="00106695">
              <w:t>Cmts</w:t>
            </w:r>
            <w:proofErr w:type="spellEnd"/>
            <w:r w:rsidRPr="00106695">
              <w:t xml:space="preserve"> on 2021 P&amp;G Study PD, 9/14/21, p. 3</w:t>
            </w:r>
          </w:p>
          <w:p w:rsidR="002620E4" w:rsidP="00AF03E6" w:rsidRDefault="002620E4" w14:paraId="7FEBBF18" w14:textId="77777777">
            <w:pPr>
              <w:pStyle w:val="ListParagraph"/>
              <w:keepNext/>
              <w:keepLines/>
              <w:numPr>
                <w:ilvl w:val="0"/>
                <w:numId w:val="0"/>
              </w:numPr>
              <w:ind w:left="720"/>
              <w:contextualSpacing/>
            </w:pPr>
          </w:p>
          <w:p w:rsidRPr="008E553B" w:rsidR="002620E4" w:rsidP="00AF03E6" w:rsidRDefault="002620E4" w14:paraId="3475BE51" w14:textId="366C4477">
            <w:pPr>
              <w:pStyle w:val="ListParagraph"/>
              <w:keepNext/>
              <w:keepLines/>
              <w:numPr>
                <w:ilvl w:val="0"/>
                <w:numId w:val="32"/>
              </w:numPr>
              <w:ind w:left="322"/>
              <w:contextualSpacing/>
            </w:pPr>
            <w:r>
              <w:t>D.21-09-037, p</w:t>
            </w:r>
            <w:r w:rsidR="0023034D">
              <w:t>p</w:t>
            </w:r>
            <w:r>
              <w:t>.</w:t>
            </w:r>
            <w:r w:rsidR="0023034D">
              <w:t xml:space="preserve"> 22-23</w:t>
            </w:r>
            <w:r>
              <w:t xml:space="preserve"> </w:t>
            </w:r>
          </w:p>
        </w:tc>
        <w:tc>
          <w:tcPr>
            <w:tcW w:w="2340" w:type="dxa"/>
            <w:shd w:val="clear" w:color="auto" w:fill="auto"/>
          </w:tcPr>
          <w:p w:rsidR="006774FB" w:rsidP="00864DD2" w:rsidRDefault="00864DD2" w14:paraId="6F5D419E" w14:textId="77777777">
            <w:pPr>
              <w:keepNext/>
              <w:keepLines/>
              <w:contextualSpacing/>
              <w:jc w:val="center"/>
              <w:rPr>
                <w:color w:val="000000"/>
              </w:rPr>
            </w:pPr>
            <w:r>
              <w:rPr>
                <w:color w:val="000000"/>
              </w:rPr>
              <w:t>Verified</w:t>
            </w:r>
          </w:p>
          <w:p w:rsidR="00864DD2" w:rsidP="00864DD2" w:rsidRDefault="00864DD2" w14:paraId="3096507D" w14:textId="77777777">
            <w:pPr>
              <w:keepNext/>
              <w:keepLines/>
              <w:contextualSpacing/>
              <w:jc w:val="center"/>
              <w:rPr>
                <w:color w:val="000000"/>
              </w:rPr>
            </w:pPr>
          </w:p>
          <w:p w:rsidR="00864DD2" w:rsidP="00864DD2" w:rsidRDefault="00864DD2" w14:paraId="71BD1CB5" w14:textId="77777777">
            <w:pPr>
              <w:keepNext/>
              <w:keepLines/>
              <w:contextualSpacing/>
              <w:jc w:val="center"/>
              <w:rPr>
                <w:color w:val="000000"/>
              </w:rPr>
            </w:pPr>
          </w:p>
          <w:p w:rsidR="00864DD2" w:rsidP="00864DD2" w:rsidRDefault="00864DD2" w14:paraId="3BDC2F4E" w14:textId="77777777">
            <w:pPr>
              <w:keepNext/>
              <w:keepLines/>
              <w:contextualSpacing/>
              <w:jc w:val="center"/>
              <w:rPr>
                <w:color w:val="000000"/>
              </w:rPr>
            </w:pPr>
          </w:p>
          <w:p w:rsidR="00864DD2" w:rsidP="00864DD2" w:rsidRDefault="00864DD2" w14:paraId="38F0834B" w14:textId="77777777">
            <w:pPr>
              <w:keepNext/>
              <w:keepLines/>
              <w:contextualSpacing/>
              <w:jc w:val="center"/>
              <w:rPr>
                <w:color w:val="000000"/>
              </w:rPr>
            </w:pPr>
          </w:p>
          <w:p w:rsidR="00864DD2" w:rsidP="00864DD2" w:rsidRDefault="00864DD2" w14:paraId="0872178C" w14:textId="77777777">
            <w:pPr>
              <w:keepNext/>
              <w:keepLines/>
              <w:contextualSpacing/>
              <w:jc w:val="center"/>
              <w:rPr>
                <w:color w:val="000000"/>
              </w:rPr>
            </w:pPr>
          </w:p>
          <w:p w:rsidR="00864DD2" w:rsidP="00864DD2" w:rsidRDefault="00864DD2" w14:paraId="7CEF6BF2" w14:textId="77777777">
            <w:pPr>
              <w:keepNext/>
              <w:keepLines/>
              <w:contextualSpacing/>
              <w:jc w:val="center"/>
              <w:rPr>
                <w:color w:val="000000"/>
              </w:rPr>
            </w:pPr>
          </w:p>
          <w:p w:rsidR="00864DD2" w:rsidP="00864DD2" w:rsidRDefault="00864DD2" w14:paraId="77827040" w14:textId="77777777">
            <w:pPr>
              <w:keepNext/>
              <w:keepLines/>
              <w:contextualSpacing/>
              <w:jc w:val="center"/>
              <w:rPr>
                <w:color w:val="000000"/>
              </w:rPr>
            </w:pPr>
          </w:p>
          <w:p w:rsidR="00864DD2" w:rsidP="00864DD2" w:rsidRDefault="00864DD2" w14:paraId="7E446568" w14:textId="77777777">
            <w:pPr>
              <w:keepNext/>
              <w:keepLines/>
              <w:contextualSpacing/>
              <w:jc w:val="center"/>
              <w:rPr>
                <w:color w:val="000000"/>
              </w:rPr>
            </w:pPr>
          </w:p>
          <w:p w:rsidR="00864DD2" w:rsidP="00864DD2" w:rsidRDefault="00864DD2" w14:paraId="2CE646AD" w14:textId="77777777">
            <w:pPr>
              <w:keepNext/>
              <w:keepLines/>
              <w:contextualSpacing/>
              <w:jc w:val="center"/>
              <w:rPr>
                <w:color w:val="000000"/>
              </w:rPr>
            </w:pPr>
          </w:p>
          <w:p w:rsidR="00864DD2" w:rsidP="00864DD2" w:rsidRDefault="00864DD2" w14:paraId="3441CAF3" w14:textId="77777777">
            <w:pPr>
              <w:keepNext/>
              <w:keepLines/>
              <w:contextualSpacing/>
              <w:jc w:val="center"/>
              <w:rPr>
                <w:color w:val="000000"/>
              </w:rPr>
            </w:pPr>
          </w:p>
          <w:p w:rsidR="00864DD2" w:rsidP="00864DD2" w:rsidRDefault="00864DD2" w14:paraId="1A321195" w14:textId="77777777">
            <w:pPr>
              <w:keepNext/>
              <w:keepLines/>
              <w:contextualSpacing/>
              <w:jc w:val="center"/>
              <w:rPr>
                <w:color w:val="000000"/>
              </w:rPr>
            </w:pPr>
          </w:p>
          <w:p w:rsidR="00864DD2" w:rsidP="00864DD2" w:rsidRDefault="00864DD2" w14:paraId="653EDC61" w14:textId="77777777">
            <w:pPr>
              <w:keepNext/>
              <w:keepLines/>
              <w:contextualSpacing/>
              <w:jc w:val="center"/>
              <w:rPr>
                <w:color w:val="000000"/>
              </w:rPr>
            </w:pPr>
          </w:p>
          <w:p w:rsidR="00864DD2" w:rsidP="00864DD2" w:rsidRDefault="00864DD2" w14:paraId="10365B89" w14:textId="77777777">
            <w:pPr>
              <w:keepNext/>
              <w:keepLines/>
              <w:contextualSpacing/>
              <w:jc w:val="center"/>
              <w:rPr>
                <w:color w:val="000000"/>
              </w:rPr>
            </w:pPr>
          </w:p>
          <w:p w:rsidRPr="007F620E" w:rsidR="00864DD2" w:rsidP="00864DD2" w:rsidRDefault="00864DD2" w14:paraId="241302F8" w14:textId="10624A79">
            <w:pPr>
              <w:keepNext/>
              <w:keepLines/>
              <w:contextualSpacing/>
              <w:jc w:val="center"/>
              <w:rPr>
                <w:color w:val="000000"/>
              </w:rPr>
            </w:pPr>
            <w:r>
              <w:rPr>
                <w:color w:val="000000"/>
              </w:rPr>
              <w:t>Verified</w:t>
            </w:r>
          </w:p>
        </w:tc>
      </w:tr>
      <w:tr w:rsidRPr="007F620E" w:rsidR="006774FB" w:rsidTr="001811F3" w14:paraId="1CBCCF65" w14:textId="77777777">
        <w:tc>
          <w:tcPr>
            <w:tcW w:w="3595" w:type="dxa"/>
            <w:shd w:val="clear" w:color="auto" w:fill="auto"/>
          </w:tcPr>
          <w:p w:rsidR="006774FB" w:rsidP="00AF03E6" w:rsidRDefault="006774FB" w14:paraId="40D41AFA" w14:textId="5E569D39">
            <w:pPr>
              <w:pStyle w:val="ListParagraph"/>
              <w:keepNext/>
              <w:keepLines/>
              <w:numPr>
                <w:ilvl w:val="0"/>
                <w:numId w:val="33"/>
              </w:numPr>
              <w:ind w:left="333"/>
              <w:contextualSpacing/>
            </w:pPr>
            <w:r w:rsidRPr="00213516">
              <w:lastRenderedPageBreak/>
              <w:t xml:space="preserve">TURN contributed to the Commission’s treatment of potential and goals for the </w:t>
            </w:r>
            <w:r w:rsidR="00CB18E7">
              <w:t>l</w:t>
            </w:r>
            <w:r w:rsidRPr="00213516">
              <w:t>ow</w:t>
            </w:r>
            <w:r w:rsidR="00CB18E7">
              <w:t>-i</w:t>
            </w:r>
            <w:r w:rsidRPr="00213516">
              <w:t xml:space="preserve">ncome </w:t>
            </w:r>
            <w:r w:rsidR="00CB18E7">
              <w:t xml:space="preserve">customer </w:t>
            </w:r>
            <w:r w:rsidRPr="00213516">
              <w:t>sector.</w:t>
            </w:r>
          </w:p>
          <w:p w:rsidR="00E21685" w:rsidP="00AF03E6" w:rsidRDefault="00E21685" w14:paraId="4A4DF240" w14:textId="77777777">
            <w:pPr>
              <w:pStyle w:val="ListParagraph"/>
              <w:keepNext/>
              <w:keepLines/>
              <w:numPr>
                <w:ilvl w:val="0"/>
                <w:numId w:val="0"/>
              </w:numPr>
              <w:ind w:left="333"/>
              <w:contextualSpacing/>
            </w:pPr>
          </w:p>
          <w:p w:rsidR="00CB18E7" w:rsidP="00AF03E6" w:rsidRDefault="006E570D" w14:paraId="47D70C71" w14:textId="5A550493">
            <w:pPr>
              <w:pStyle w:val="ListParagraph"/>
              <w:keepNext/>
              <w:keepLines/>
              <w:numPr>
                <w:ilvl w:val="0"/>
                <w:numId w:val="0"/>
              </w:numPr>
              <w:ind w:left="333"/>
              <w:contextualSpacing/>
            </w:pPr>
            <w:r>
              <w:t>TURN recommended that t</w:t>
            </w:r>
            <w:r w:rsidRPr="006E570D">
              <w:t xml:space="preserve">he Commission provide additional instruction regarding the development of low-income customer potential in the next P&amp;G study.  Similar to the approach taken in the (then-pending) </w:t>
            </w:r>
            <w:r w:rsidR="00F87148">
              <w:t xml:space="preserve">proposed </w:t>
            </w:r>
            <w:r w:rsidRPr="006E570D">
              <w:t xml:space="preserve">decision in A.19-11-003 et al., </w:t>
            </w:r>
            <w:r w:rsidR="008C7AA9">
              <w:t xml:space="preserve">TURN said </w:t>
            </w:r>
            <w:r w:rsidRPr="006E570D">
              <w:t>the Commission should also commit to an improved study process, with specific focus and stakeholder engagement on the low-</w:t>
            </w:r>
            <w:r w:rsidRPr="006E570D">
              <w:lastRenderedPageBreak/>
              <w:t>income sector study, in this proceeding.</w:t>
            </w:r>
            <w:r w:rsidR="00357EDC">
              <w:t xml:space="preserve"> </w:t>
            </w:r>
          </w:p>
          <w:p w:rsidR="00357EDC" w:rsidP="00AF03E6" w:rsidRDefault="00357EDC" w14:paraId="7BFEE7DA" w14:textId="77777777">
            <w:pPr>
              <w:pStyle w:val="ListParagraph"/>
              <w:keepNext/>
              <w:keepLines/>
              <w:numPr>
                <w:ilvl w:val="0"/>
                <w:numId w:val="0"/>
              </w:numPr>
              <w:ind w:left="333"/>
              <w:contextualSpacing/>
            </w:pPr>
          </w:p>
          <w:p w:rsidR="009F7F25" w:rsidP="00AF03E6" w:rsidRDefault="00357EDC" w14:paraId="43BC1738" w14:textId="0D309398">
            <w:pPr>
              <w:pStyle w:val="ListParagraph"/>
              <w:keepNext/>
              <w:keepLines/>
              <w:numPr>
                <w:ilvl w:val="0"/>
                <w:numId w:val="0"/>
              </w:numPr>
              <w:ind w:left="333"/>
              <w:contextualSpacing/>
            </w:pPr>
            <w:r>
              <w:t xml:space="preserve">Then in comments on the Proposed Decision, TURN urged </w:t>
            </w:r>
            <w:r w:rsidR="00D37F12">
              <w:t>modifications to more accurately capture the Commission’s treatment of low-income energy savings</w:t>
            </w:r>
            <w:r w:rsidR="009F7F25">
              <w:t xml:space="preserve"> </w:t>
            </w:r>
            <w:r w:rsidR="00D37F12">
              <w:t>goals in D.21-06-015, issued in A.19-11-003 et al.</w:t>
            </w:r>
            <w:r w:rsidR="009F7F25">
              <w:t xml:space="preserve">  </w:t>
            </w:r>
            <w:r w:rsidR="009E6588">
              <w:t>TURN recommended that the</w:t>
            </w:r>
            <w:r w:rsidR="009F7F25">
              <w:t xml:space="preserve"> </w:t>
            </w:r>
            <w:r w:rsidR="004E1AFB">
              <w:t>Commission</w:t>
            </w:r>
            <w:r w:rsidR="009E6588">
              <w:t xml:space="preserve"> </w:t>
            </w:r>
            <w:r w:rsidR="009F7F25">
              <w:t>acknowledge that the low-income goals adopted in D.21-06-015 for 2021-2026 may be</w:t>
            </w:r>
            <w:r w:rsidR="00DF61A0">
              <w:t xml:space="preserve"> </w:t>
            </w:r>
            <w:r w:rsidR="009F7F25">
              <w:t>revised in light of the 2023 P&amp;G Study</w:t>
            </w:r>
            <w:r w:rsidR="00906E22">
              <w:t xml:space="preserve">, and also </w:t>
            </w:r>
            <w:r w:rsidR="009F7F25">
              <w:t>commit to an improved study process, with specific focus</w:t>
            </w:r>
            <w:r w:rsidR="00906E22">
              <w:t xml:space="preserve"> </w:t>
            </w:r>
            <w:r w:rsidR="009F7F25">
              <w:t>and stakeholder engagement on the low-income sector study.</w:t>
            </w:r>
            <w:r w:rsidR="009D6E9F">
              <w:t xml:space="preserve">  </w:t>
            </w:r>
          </w:p>
          <w:p w:rsidR="009D6E9F" w:rsidP="00AF03E6" w:rsidRDefault="009D6E9F" w14:paraId="7381FF19" w14:textId="77777777">
            <w:pPr>
              <w:keepNext/>
              <w:keepLines/>
              <w:contextualSpacing/>
            </w:pPr>
          </w:p>
          <w:p w:rsidR="002C7661" w:rsidP="00AF03E6" w:rsidRDefault="00A01D74" w14:paraId="7B726471" w14:textId="0EA8DF51">
            <w:pPr>
              <w:pStyle w:val="ListParagraph"/>
              <w:keepNext/>
              <w:keepLines/>
              <w:numPr>
                <w:ilvl w:val="0"/>
                <w:numId w:val="0"/>
              </w:numPr>
              <w:ind w:left="333"/>
              <w:contextualSpacing/>
            </w:pPr>
            <w:r>
              <w:t>TURN additionally recommended modifications to the PD to clarify which goals in the Low Income Potential Study were being adopted for 2027-20</w:t>
            </w:r>
            <w:r w:rsidR="000A20BE">
              <w:t xml:space="preserve">32.  </w:t>
            </w:r>
            <w:r w:rsidR="002C7661">
              <w:t xml:space="preserve">TURN pointed to the </w:t>
            </w:r>
            <w:r w:rsidRPr="002C7661" w:rsidR="002C7661">
              <w:t xml:space="preserve">(1) </w:t>
            </w:r>
            <w:r w:rsidR="002C7661">
              <w:t>n</w:t>
            </w:r>
            <w:r w:rsidRPr="002C7661" w:rsidR="002C7661">
              <w:t>eed to clarify which scenario  - Base, High, Double the Base - is being used to set goals for 2027-2032</w:t>
            </w:r>
            <w:r w:rsidR="006E4EDE">
              <w:t xml:space="preserve">; the </w:t>
            </w:r>
            <w:r w:rsidRPr="002C7661" w:rsidR="002C7661">
              <w:t xml:space="preserve">(2) </w:t>
            </w:r>
            <w:r w:rsidR="006E4EDE">
              <w:t xml:space="preserve">need for </w:t>
            </w:r>
            <w:r w:rsidRPr="002C7661" w:rsidR="002C7661">
              <w:t>clari</w:t>
            </w:r>
            <w:r w:rsidR="006E4EDE">
              <w:t>ty</w:t>
            </w:r>
            <w:r w:rsidRPr="002C7661" w:rsidR="002C7661">
              <w:t xml:space="preserve"> that goals established are based on achievable potential, not technical potential</w:t>
            </w:r>
            <w:r w:rsidR="007972F4">
              <w:t>; and</w:t>
            </w:r>
            <w:r w:rsidRPr="002C7661" w:rsidR="002C7661">
              <w:t xml:space="preserve"> (3) the </w:t>
            </w:r>
            <w:r w:rsidR="007972F4">
              <w:t xml:space="preserve">appropriateness of explicitly adopting </w:t>
            </w:r>
            <w:r w:rsidRPr="002C7661" w:rsidR="002C7661">
              <w:t xml:space="preserve">the "constrained Base scenario, while </w:t>
            </w:r>
            <w:r w:rsidRPr="002C7661" w:rsidR="0018666A">
              <w:lastRenderedPageBreak/>
              <w:t>acknowledging</w:t>
            </w:r>
            <w:r w:rsidRPr="002C7661" w:rsidR="002C7661">
              <w:t xml:space="preserve"> that the program constraints ultimately in place in 2027 and beyond should inform the updated goals that for that time period." </w:t>
            </w:r>
          </w:p>
          <w:p w:rsidR="00A01D74" w:rsidP="00AF03E6" w:rsidRDefault="00A01D74" w14:paraId="1D165963" w14:textId="77777777">
            <w:pPr>
              <w:pStyle w:val="ListParagraph"/>
              <w:keepNext/>
              <w:keepLines/>
              <w:numPr>
                <w:ilvl w:val="0"/>
                <w:numId w:val="0"/>
              </w:numPr>
              <w:ind w:left="333"/>
              <w:contextualSpacing/>
            </w:pPr>
          </w:p>
          <w:p w:rsidRPr="007D361E" w:rsidR="006774FB" w:rsidP="00AF03E6" w:rsidRDefault="009D6E9F" w14:paraId="7B57B448" w14:textId="70CE3E1D">
            <w:pPr>
              <w:pStyle w:val="ListParagraph"/>
              <w:keepNext/>
              <w:keepLines/>
              <w:numPr>
                <w:ilvl w:val="0"/>
                <w:numId w:val="0"/>
              </w:numPr>
              <w:ind w:left="333"/>
              <w:contextualSpacing/>
            </w:pPr>
            <w:r>
              <w:t xml:space="preserve">The Commission adopted all of TURN’s proposed changes to the PD. </w:t>
            </w:r>
          </w:p>
        </w:tc>
        <w:tc>
          <w:tcPr>
            <w:tcW w:w="3803" w:type="dxa"/>
            <w:shd w:val="clear" w:color="auto" w:fill="auto"/>
          </w:tcPr>
          <w:p w:rsidR="001102BD" w:rsidP="00AF03E6" w:rsidRDefault="00213516" w14:paraId="52DFE863" w14:textId="70672462">
            <w:pPr>
              <w:pStyle w:val="ListParagraph"/>
              <w:keepNext/>
              <w:keepLines/>
              <w:numPr>
                <w:ilvl w:val="0"/>
                <w:numId w:val="32"/>
              </w:numPr>
              <w:ind w:left="322"/>
              <w:contextualSpacing/>
            </w:pPr>
            <w:r>
              <w:lastRenderedPageBreak/>
              <w:t xml:space="preserve"> </w:t>
            </w:r>
            <w:r w:rsidR="001102BD">
              <w:t xml:space="preserve">TURN Reply </w:t>
            </w:r>
            <w:proofErr w:type="spellStart"/>
            <w:r w:rsidR="001102BD">
              <w:t>Cmts</w:t>
            </w:r>
            <w:proofErr w:type="spellEnd"/>
            <w:r w:rsidR="001102BD">
              <w:t xml:space="preserve"> on P&amp;G Study, 5-28-21, pp. </w:t>
            </w:r>
            <w:r w:rsidR="004E6C30">
              <w:t>6-7</w:t>
            </w:r>
          </w:p>
          <w:p w:rsidR="001102BD" w:rsidP="00AF03E6" w:rsidRDefault="001102BD" w14:paraId="72E2F09C" w14:textId="77777777">
            <w:pPr>
              <w:pStyle w:val="ListParagraph"/>
              <w:keepNext/>
              <w:keepLines/>
              <w:numPr>
                <w:ilvl w:val="0"/>
                <w:numId w:val="0"/>
              </w:numPr>
              <w:ind w:left="720"/>
              <w:contextualSpacing/>
            </w:pPr>
          </w:p>
          <w:p w:rsidR="006D2063" w:rsidP="00AF03E6" w:rsidRDefault="001102BD" w14:paraId="6ADAC187" w14:textId="77777777">
            <w:pPr>
              <w:pStyle w:val="ListParagraph"/>
              <w:keepNext/>
              <w:keepLines/>
              <w:numPr>
                <w:ilvl w:val="0"/>
                <w:numId w:val="32"/>
              </w:numPr>
              <w:ind w:left="322"/>
              <w:contextualSpacing/>
            </w:pPr>
            <w:r w:rsidRPr="00106695">
              <w:t xml:space="preserve">TURN </w:t>
            </w:r>
            <w:proofErr w:type="spellStart"/>
            <w:r w:rsidRPr="00106695">
              <w:t>Cmts</w:t>
            </w:r>
            <w:proofErr w:type="spellEnd"/>
            <w:r w:rsidRPr="00106695">
              <w:t xml:space="preserve"> on 2021 P&amp;G Study PD, 9/</w:t>
            </w:r>
            <w:r w:rsidR="004E6C30">
              <w:t>9</w:t>
            </w:r>
            <w:r w:rsidRPr="00106695">
              <w:t xml:space="preserve">/21, </w:t>
            </w:r>
            <w:r w:rsidR="004E6C30">
              <w:t>p</w:t>
            </w:r>
            <w:r w:rsidRPr="00106695">
              <w:t xml:space="preserve">p. </w:t>
            </w:r>
            <w:r w:rsidR="004E6C30">
              <w:t>2-</w:t>
            </w:r>
            <w:r w:rsidRPr="00106695">
              <w:t>3</w:t>
            </w:r>
          </w:p>
          <w:p w:rsidR="006D2063" w:rsidP="00AF03E6" w:rsidRDefault="006D2063" w14:paraId="653F53AC" w14:textId="77777777">
            <w:pPr>
              <w:pStyle w:val="ListParagraph"/>
              <w:keepNext/>
              <w:keepLines/>
              <w:numPr>
                <w:ilvl w:val="0"/>
                <w:numId w:val="0"/>
              </w:numPr>
              <w:ind w:left="720"/>
              <w:contextualSpacing/>
            </w:pPr>
          </w:p>
          <w:p w:rsidR="00A120C7" w:rsidP="00AF03E6" w:rsidRDefault="003B3DAC" w14:paraId="0813E17A" w14:textId="3E80B634">
            <w:pPr>
              <w:pStyle w:val="ListParagraph"/>
              <w:keepNext/>
              <w:keepLines/>
              <w:numPr>
                <w:ilvl w:val="0"/>
                <w:numId w:val="32"/>
              </w:numPr>
              <w:ind w:left="322"/>
              <w:contextualSpacing/>
            </w:pPr>
            <w:r>
              <w:t xml:space="preserve">Proposed Decision of ALJs Kao and Fitch (Rev. 1 – Redline), </w:t>
            </w:r>
            <w:r w:rsidR="00A120C7">
              <w:t>p. 19</w:t>
            </w:r>
            <w:r w:rsidR="0018666A">
              <w:t xml:space="preserve"> (incorporating all of TURN’s recommended modifications)</w:t>
            </w:r>
            <w:r w:rsidR="009677CD">
              <w:t xml:space="preserve">  </w:t>
            </w:r>
          </w:p>
          <w:p w:rsidR="006D2063" w:rsidP="00AF03E6" w:rsidRDefault="006D2063" w14:paraId="30071A70" w14:textId="77777777">
            <w:pPr>
              <w:pStyle w:val="ListParagraph"/>
              <w:keepNext/>
              <w:keepLines/>
              <w:numPr>
                <w:ilvl w:val="0"/>
                <w:numId w:val="0"/>
              </w:numPr>
              <w:ind w:left="720"/>
              <w:contextualSpacing/>
            </w:pPr>
          </w:p>
          <w:p w:rsidRPr="004E6C30" w:rsidR="006774FB" w:rsidP="00AF03E6" w:rsidRDefault="001102BD" w14:paraId="6EAC206B" w14:textId="4C92D8C3">
            <w:pPr>
              <w:pStyle w:val="ListParagraph"/>
              <w:keepNext/>
              <w:keepLines/>
              <w:numPr>
                <w:ilvl w:val="0"/>
                <w:numId w:val="32"/>
              </w:numPr>
              <w:ind w:left="322"/>
              <w:contextualSpacing/>
            </w:pPr>
            <w:r>
              <w:t xml:space="preserve">D.21-09-037, pp. </w:t>
            </w:r>
            <w:r w:rsidR="00633396">
              <w:t>18-19</w:t>
            </w:r>
            <w:r w:rsidR="00863EAA">
              <w:t xml:space="preserve"> (alignment with D.21-06-015)</w:t>
            </w:r>
            <w:r w:rsidR="0018666A">
              <w:t xml:space="preserve">, </w:t>
            </w:r>
            <w:r w:rsidR="00950B6F">
              <w:t>19 (which goals are being adopted for 2027-2032)</w:t>
            </w:r>
          </w:p>
        </w:tc>
        <w:tc>
          <w:tcPr>
            <w:tcW w:w="2340" w:type="dxa"/>
            <w:shd w:val="clear" w:color="auto" w:fill="auto"/>
          </w:tcPr>
          <w:p w:rsidR="006774FB" w:rsidP="00864DD2" w:rsidRDefault="00864DD2" w14:paraId="21EBD771" w14:textId="77777777">
            <w:pPr>
              <w:keepNext/>
              <w:keepLines/>
              <w:contextualSpacing/>
              <w:jc w:val="center"/>
              <w:rPr>
                <w:color w:val="000000"/>
              </w:rPr>
            </w:pPr>
            <w:r>
              <w:rPr>
                <w:color w:val="000000"/>
              </w:rPr>
              <w:t>Verified</w:t>
            </w:r>
          </w:p>
          <w:p w:rsidR="00864DD2" w:rsidP="00864DD2" w:rsidRDefault="00864DD2" w14:paraId="05E5BE0D" w14:textId="77777777">
            <w:pPr>
              <w:keepNext/>
              <w:keepLines/>
              <w:contextualSpacing/>
              <w:jc w:val="center"/>
              <w:rPr>
                <w:color w:val="000000"/>
              </w:rPr>
            </w:pPr>
          </w:p>
          <w:p w:rsidR="00864DD2" w:rsidP="00864DD2" w:rsidRDefault="00864DD2" w14:paraId="1E9B9C37" w14:textId="77777777">
            <w:pPr>
              <w:keepNext/>
              <w:keepLines/>
              <w:contextualSpacing/>
              <w:jc w:val="center"/>
              <w:rPr>
                <w:color w:val="000000"/>
              </w:rPr>
            </w:pPr>
          </w:p>
          <w:p w:rsidR="00864DD2" w:rsidP="00864DD2" w:rsidRDefault="00864DD2" w14:paraId="6006B311" w14:textId="77777777">
            <w:pPr>
              <w:keepNext/>
              <w:keepLines/>
              <w:contextualSpacing/>
              <w:jc w:val="center"/>
              <w:rPr>
                <w:color w:val="000000"/>
              </w:rPr>
            </w:pPr>
          </w:p>
          <w:p w:rsidR="00864DD2" w:rsidP="00864DD2" w:rsidRDefault="00864DD2" w14:paraId="1D5B4251" w14:textId="77777777">
            <w:pPr>
              <w:keepNext/>
              <w:keepLines/>
              <w:contextualSpacing/>
              <w:jc w:val="center"/>
              <w:rPr>
                <w:color w:val="000000"/>
              </w:rPr>
            </w:pPr>
          </w:p>
          <w:p w:rsidR="00864DD2" w:rsidP="00864DD2" w:rsidRDefault="00864DD2" w14:paraId="5022DF84" w14:textId="77777777">
            <w:pPr>
              <w:keepNext/>
              <w:keepLines/>
              <w:contextualSpacing/>
              <w:jc w:val="center"/>
              <w:rPr>
                <w:color w:val="000000"/>
              </w:rPr>
            </w:pPr>
          </w:p>
          <w:p w:rsidR="00864DD2" w:rsidP="00864DD2" w:rsidRDefault="00864DD2" w14:paraId="5AEF7A66" w14:textId="77777777">
            <w:pPr>
              <w:keepNext/>
              <w:keepLines/>
              <w:contextualSpacing/>
              <w:jc w:val="center"/>
              <w:rPr>
                <w:color w:val="000000"/>
              </w:rPr>
            </w:pPr>
          </w:p>
          <w:p w:rsidR="00864DD2" w:rsidP="00864DD2" w:rsidRDefault="00864DD2" w14:paraId="59C8CFA8" w14:textId="77777777">
            <w:pPr>
              <w:keepNext/>
              <w:keepLines/>
              <w:contextualSpacing/>
              <w:jc w:val="center"/>
              <w:rPr>
                <w:color w:val="000000"/>
              </w:rPr>
            </w:pPr>
          </w:p>
          <w:p w:rsidR="00864DD2" w:rsidP="00864DD2" w:rsidRDefault="00864DD2" w14:paraId="4F0F1E49" w14:textId="77777777">
            <w:pPr>
              <w:keepNext/>
              <w:keepLines/>
              <w:contextualSpacing/>
              <w:jc w:val="center"/>
              <w:rPr>
                <w:color w:val="000000"/>
              </w:rPr>
            </w:pPr>
          </w:p>
          <w:p w:rsidR="00864DD2" w:rsidP="00864DD2" w:rsidRDefault="00864DD2" w14:paraId="18079360" w14:textId="77777777">
            <w:pPr>
              <w:keepNext/>
              <w:keepLines/>
              <w:contextualSpacing/>
              <w:jc w:val="center"/>
              <w:rPr>
                <w:color w:val="000000"/>
              </w:rPr>
            </w:pPr>
          </w:p>
          <w:p w:rsidR="00864DD2" w:rsidP="00864DD2" w:rsidRDefault="00864DD2" w14:paraId="1AE5806C" w14:textId="77777777">
            <w:pPr>
              <w:keepNext/>
              <w:keepLines/>
              <w:contextualSpacing/>
              <w:jc w:val="center"/>
              <w:rPr>
                <w:color w:val="000000"/>
              </w:rPr>
            </w:pPr>
          </w:p>
          <w:p w:rsidR="00864DD2" w:rsidP="00864DD2" w:rsidRDefault="00864DD2" w14:paraId="4ECF102A" w14:textId="77777777">
            <w:pPr>
              <w:keepNext/>
              <w:keepLines/>
              <w:contextualSpacing/>
              <w:jc w:val="center"/>
              <w:rPr>
                <w:color w:val="000000"/>
              </w:rPr>
            </w:pPr>
          </w:p>
          <w:p w:rsidR="00864DD2" w:rsidP="00864DD2" w:rsidRDefault="00864DD2" w14:paraId="78428D9D" w14:textId="77777777">
            <w:pPr>
              <w:keepNext/>
              <w:keepLines/>
              <w:contextualSpacing/>
              <w:jc w:val="center"/>
              <w:rPr>
                <w:color w:val="000000"/>
              </w:rPr>
            </w:pPr>
          </w:p>
          <w:p w:rsidRPr="007F620E" w:rsidR="00864DD2" w:rsidP="00864DD2" w:rsidRDefault="00864DD2" w14:paraId="5C64A939" w14:textId="2C3FAF28">
            <w:pPr>
              <w:keepNext/>
              <w:keepLines/>
              <w:contextualSpacing/>
              <w:jc w:val="center"/>
              <w:rPr>
                <w:color w:val="000000"/>
              </w:rPr>
            </w:pPr>
            <w:r>
              <w:rPr>
                <w:color w:val="000000"/>
              </w:rPr>
              <w:t>Verified</w:t>
            </w:r>
          </w:p>
        </w:tc>
      </w:tr>
      <w:tr w:rsidRPr="007F620E" w:rsidR="006774FB" w:rsidTr="001811F3" w14:paraId="590C660D" w14:textId="77777777">
        <w:tc>
          <w:tcPr>
            <w:tcW w:w="3595" w:type="dxa"/>
            <w:shd w:val="clear" w:color="auto" w:fill="auto"/>
          </w:tcPr>
          <w:p w:rsidR="006774FB" w:rsidP="00AF03E6" w:rsidRDefault="006774FB" w14:paraId="568ACB1D" w14:textId="71448902">
            <w:pPr>
              <w:pStyle w:val="ListParagraph"/>
              <w:keepNext/>
              <w:keepLines/>
              <w:numPr>
                <w:ilvl w:val="0"/>
                <w:numId w:val="33"/>
              </w:numPr>
              <w:ind w:left="333"/>
              <w:contextualSpacing/>
            </w:pPr>
            <w:r w:rsidRPr="00213516">
              <w:lastRenderedPageBreak/>
              <w:t>TURN contributed to the Commission’s deliberations over</w:t>
            </w:r>
            <w:r w:rsidR="00EE1864">
              <w:t xml:space="preserve"> which scenario in the 2021 P&amp;G Study to use in setting</w:t>
            </w:r>
            <w:r w:rsidRPr="00213516">
              <w:t xml:space="preserve"> the EE goals for 2022-2032.</w:t>
            </w:r>
          </w:p>
          <w:p w:rsidR="0080308A" w:rsidP="00AF03E6" w:rsidRDefault="0080308A" w14:paraId="461704E8" w14:textId="77777777">
            <w:pPr>
              <w:pStyle w:val="ListParagraph"/>
              <w:keepNext/>
              <w:keepLines/>
              <w:numPr>
                <w:ilvl w:val="0"/>
                <w:numId w:val="0"/>
              </w:numPr>
              <w:ind w:left="333"/>
              <w:contextualSpacing/>
            </w:pPr>
          </w:p>
          <w:p w:rsidR="0080308A" w:rsidP="00AF03E6" w:rsidRDefault="0080308A" w14:paraId="0E6AC5DA" w14:textId="08EF0B2F">
            <w:pPr>
              <w:pStyle w:val="ListParagraph"/>
              <w:keepNext/>
              <w:keepLines/>
              <w:numPr>
                <w:ilvl w:val="0"/>
                <w:numId w:val="0"/>
              </w:numPr>
              <w:ind w:left="333"/>
              <w:contextualSpacing/>
            </w:pPr>
            <w:r>
              <w:t>TURN recommended that the Commission use Scenario 1</w:t>
            </w:r>
            <w:r w:rsidR="00532BCB">
              <w:t>, which</w:t>
            </w:r>
            <w:r w:rsidR="00A67DF4">
              <w:t xml:space="preserve"> applies a TRC screen of 1.0 and assumes a business-as usual level of adoption.  TURN argued that this scenario would produce </w:t>
            </w:r>
            <w:r w:rsidR="00532BCB">
              <w:t>“</w:t>
            </w:r>
            <w:r w:rsidR="00A67DF4">
              <w:t>realistic but achievable</w:t>
            </w:r>
            <w:r w:rsidR="00CB6375">
              <w:t>”</w:t>
            </w:r>
            <w:r w:rsidR="00A67DF4">
              <w:t xml:space="preserve"> goals</w:t>
            </w:r>
            <w:r w:rsidR="00AA1613">
              <w:t>, which has been the Commission’s stated policy objective in setting EE goals.</w:t>
            </w:r>
            <w:r w:rsidR="00A4067B">
              <w:t xml:space="preserve">  </w:t>
            </w:r>
            <w:r w:rsidR="00FC251D">
              <w:t xml:space="preserve">TURN noted that Scenario 1 would help ensure that the PAs can design and actually implement resource program portfolios </w:t>
            </w:r>
            <w:r w:rsidR="00380E8B">
              <w:t>that comply with the Commission’s cost-effectiveness requirements</w:t>
            </w:r>
            <w:r w:rsidR="009642A5">
              <w:t xml:space="preserve"> because a 1.0 TRC screen would guard against performance risk</w:t>
            </w:r>
            <w:r w:rsidR="00A041BD">
              <w:t xml:space="preserve"> and reductions in TRC results driven by future ACC updates.</w:t>
            </w:r>
          </w:p>
          <w:p w:rsidR="00B3271E" w:rsidP="00AF03E6" w:rsidRDefault="00B3271E" w14:paraId="4B35F44D" w14:textId="77777777">
            <w:pPr>
              <w:pStyle w:val="ListParagraph"/>
              <w:keepNext/>
              <w:keepLines/>
              <w:numPr>
                <w:ilvl w:val="0"/>
                <w:numId w:val="0"/>
              </w:numPr>
              <w:ind w:left="333"/>
              <w:contextualSpacing/>
            </w:pPr>
          </w:p>
          <w:p w:rsidR="00B3271E" w:rsidP="00AF03E6" w:rsidRDefault="00B3271E" w14:paraId="7EA25A98" w14:textId="23E0D6C8">
            <w:pPr>
              <w:pStyle w:val="ListParagraph"/>
              <w:keepNext/>
              <w:keepLines/>
              <w:numPr>
                <w:ilvl w:val="0"/>
                <w:numId w:val="0"/>
              </w:numPr>
              <w:ind w:left="333"/>
              <w:contextualSpacing/>
            </w:pPr>
            <w:r>
              <w:t xml:space="preserve">TURN </w:t>
            </w:r>
            <w:r w:rsidR="0041665E">
              <w:t xml:space="preserve">(like others) </w:t>
            </w:r>
            <w:r w:rsidR="00D5484A">
              <w:t xml:space="preserve">also provided analysis explaining why </w:t>
            </w:r>
            <w:r w:rsidR="00630184">
              <w:t xml:space="preserve">the Commission should not adopt </w:t>
            </w:r>
            <w:r>
              <w:t xml:space="preserve">the </w:t>
            </w:r>
            <w:r w:rsidR="00A458E5">
              <w:t xml:space="preserve">IRP Optimization </w:t>
            </w:r>
            <w:r w:rsidR="00E00C20">
              <w:t>S</w:t>
            </w:r>
            <w:r w:rsidR="00630184">
              <w:t xml:space="preserve">cenario, </w:t>
            </w:r>
            <w:r w:rsidR="00E27D81">
              <w:t xml:space="preserve">pending the resolution of </w:t>
            </w:r>
            <w:r w:rsidR="004A6D55">
              <w:t xml:space="preserve">certain weaknesses, including </w:t>
            </w:r>
            <w:r w:rsidR="00630184">
              <w:t xml:space="preserve">(1) </w:t>
            </w:r>
            <w:r w:rsidR="004A6D55">
              <w:t>the inability to model natural gas measures, fuel substitution, and incorporate avoided distribution costs</w:t>
            </w:r>
            <w:r w:rsidR="00630184">
              <w:t xml:space="preserve">, and (2) </w:t>
            </w:r>
            <w:r w:rsidR="002C2568">
              <w:t xml:space="preserve">the difference between certain value streams used in the ACC (and applied to EE goals and portfolio planning) </w:t>
            </w:r>
            <w:r w:rsidR="00CB0520">
              <w:t>and</w:t>
            </w:r>
            <w:r w:rsidR="002C2568">
              <w:t xml:space="preserve"> the relevant value streams in the </w:t>
            </w:r>
            <w:r w:rsidR="0042048A">
              <w:t>IRP RESOLVE model, including energy, generation capacity, and GHG values.</w:t>
            </w:r>
            <w:r w:rsidR="00065532">
              <w:t xml:space="preserve">  TURN explained that better alignment of these values across the ACC and IRP optimization would improve resource selection on an apples-to-apples basis across proceedings.</w:t>
            </w:r>
          </w:p>
          <w:p w:rsidR="00CB0520" w:rsidP="00AF03E6" w:rsidRDefault="00CB0520" w14:paraId="38557E72" w14:textId="77777777">
            <w:pPr>
              <w:pStyle w:val="ListParagraph"/>
              <w:keepNext/>
              <w:keepLines/>
              <w:numPr>
                <w:ilvl w:val="0"/>
                <w:numId w:val="0"/>
              </w:numPr>
              <w:ind w:left="333"/>
              <w:contextualSpacing/>
            </w:pPr>
          </w:p>
          <w:p w:rsidR="00ED01D0" w:rsidP="00AF03E6" w:rsidRDefault="00683A75" w14:paraId="45B3C9DE" w14:textId="68B0678B">
            <w:pPr>
              <w:pStyle w:val="ListParagraph"/>
              <w:keepNext/>
              <w:keepLines/>
              <w:numPr>
                <w:ilvl w:val="0"/>
                <w:numId w:val="0"/>
              </w:numPr>
              <w:ind w:left="333"/>
              <w:contextualSpacing/>
            </w:pPr>
            <w:r>
              <w:t xml:space="preserve">The Commission </w:t>
            </w:r>
            <w:r w:rsidR="00A1737C">
              <w:t xml:space="preserve">agreed </w:t>
            </w:r>
            <w:r w:rsidR="00B7275A">
              <w:t xml:space="preserve">with TURN and others </w:t>
            </w:r>
            <w:r w:rsidR="008E453E">
              <w:t xml:space="preserve">that </w:t>
            </w:r>
            <w:r w:rsidR="003256DD">
              <w:t xml:space="preserve">IRP </w:t>
            </w:r>
            <w:r w:rsidR="008E453E">
              <w:t xml:space="preserve">Optimization </w:t>
            </w:r>
            <w:r w:rsidR="00D54F07">
              <w:t>should not be used to set EE goals</w:t>
            </w:r>
            <w:r w:rsidR="00446318">
              <w:t xml:space="preserve"> at this time</w:t>
            </w:r>
            <w:r w:rsidR="00B7275A">
              <w:t>.  I</w:t>
            </w:r>
            <w:r w:rsidR="006E36DE">
              <w:t>nstead</w:t>
            </w:r>
            <w:r w:rsidR="00B7275A">
              <w:t>, the Commission</w:t>
            </w:r>
            <w:r w:rsidR="006E36DE">
              <w:t xml:space="preserve"> adopted one of the traditional scenarios, Scenario 2</w:t>
            </w:r>
            <w:r w:rsidR="0051293C">
              <w:t>, which uses a lower TRC screen of 0.85</w:t>
            </w:r>
            <w:r w:rsidR="006E36DE">
              <w:t xml:space="preserve">.  </w:t>
            </w:r>
            <w:r w:rsidR="00046EDE">
              <w:t xml:space="preserve">The Commission found that Scenario 2 “best reflects the Commission’s intent for </w:t>
            </w:r>
            <w:r w:rsidR="00046EDE">
              <w:lastRenderedPageBreak/>
              <w:t>program administrators to aggressively pursue all energy savings opportunities</w:t>
            </w:r>
            <w:r w:rsidR="00357C08">
              <w:t>,</w:t>
            </w:r>
            <w:r w:rsidR="0089521C">
              <w:t xml:space="preserve">” </w:t>
            </w:r>
            <w:r w:rsidR="00EF0A04">
              <w:t>particularly from fuel substitution measures</w:t>
            </w:r>
            <w:r w:rsidR="009A3221">
              <w:t xml:space="preserve">.  </w:t>
            </w:r>
            <w:r w:rsidR="00357C08">
              <w:t>The</w:t>
            </w:r>
            <w:r w:rsidR="009A3221">
              <w:t xml:space="preserve"> Commission</w:t>
            </w:r>
            <w:r w:rsidR="00357C08">
              <w:t xml:space="preserve"> also</w:t>
            </w:r>
            <w:r w:rsidR="009A3221">
              <w:t xml:space="preserve"> </w:t>
            </w:r>
            <w:r w:rsidR="00357C08">
              <w:t>acknowledged</w:t>
            </w:r>
            <w:r w:rsidR="009A3221">
              <w:t xml:space="preserve"> uncertainty in the achievability of the fuel substitution potential reflected in Scenario 2</w:t>
            </w:r>
            <w:r w:rsidR="007268D4">
              <w:t xml:space="preserve">, </w:t>
            </w:r>
            <w:r w:rsidR="00C35CC9">
              <w:t>but</w:t>
            </w:r>
            <w:r w:rsidR="007268D4">
              <w:t xml:space="preserve"> noted that the EE goals would be updated in two years when more program data will be available to better estimate fuel substitution savings potential.  </w:t>
            </w:r>
          </w:p>
          <w:p w:rsidR="00ED01D0" w:rsidP="00AF03E6" w:rsidRDefault="00ED01D0" w14:paraId="42520805" w14:textId="77777777">
            <w:pPr>
              <w:pStyle w:val="ListParagraph"/>
              <w:keepNext/>
              <w:keepLines/>
              <w:numPr>
                <w:ilvl w:val="0"/>
                <w:numId w:val="0"/>
              </w:numPr>
              <w:ind w:left="333"/>
              <w:contextualSpacing/>
            </w:pPr>
          </w:p>
          <w:p w:rsidRPr="005C6371" w:rsidR="006774FB" w:rsidP="00AF03E6" w:rsidRDefault="004B20A6" w14:paraId="7470C705" w14:textId="670175C6">
            <w:pPr>
              <w:pStyle w:val="ListParagraph"/>
              <w:keepNext/>
              <w:keepLines/>
              <w:numPr>
                <w:ilvl w:val="0"/>
                <w:numId w:val="0"/>
              </w:numPr>
              <w:ind w:left="333"/>
              <w:contextualSpacing/>
            </w:pPr>
            <w:r>
              <w:t xml:space="preserve">Ultimately, the Commission decided the EE goals should </w:t>
            </w:r>
            <w:r w:rsidR="001942BD">
              <w:t xml:space="preserve">be more aggressive, and thus </w:t>
            </w:r>
            <w:r>
              <w:t>reflect more performance risk</w:t>
            </w:r>
            <w:r w:rsidR="001942BD">
              <w:t>,</w:t>
            </w:r>
            <w:r>
              <w:t xml:space="preserve"> than recommended by TURN and others</w:t>
            </w:r>
            <w:r w:rsidR="00C9613F">
              <w:t xml:space="preserve">.  Despite that the Commission disagreed with TURN’s recommended approach, TURN submits that its analysis </w:t>
            </w:r>
            <w:r w:rsidR="00C51950">
              <w:t>of the right TRC screen to use to promote realistically achievable goals contributed to the Commission’s deliberative process.</w:t>
            </w:r>
          </w:p>
        </w:tc>
        <w:tc>
          <w:tcPr>
            <w:tcW w:w="3803" w:type="dxa"/>
            <w:shd w:val="clear" w:color="auto" w:fill="auto"/>
          </w:tcPr>
          <w:p w:rsidR="00065532" w:rsidP="00AF03E6" w:rsidRDefault="00065532" w14:paraId="7C66D49B" w14:textId="29754512">
            <w:pPr>
              <w:pStyle w:val="ListParagraph"/>
              <w:keepNext/>
              <w:keepLines/>
              <w:numPr>
                <w:ilvl w:val="0"/>
                <w:numId w:val="32"/>
              </w:numPr>
              <w:ind w:left="322"/>
              <w:contextualSpacing/>
            </w:pPr>
            <w:r>
              <w:lastRenderedPageBreak/>
              <w:t xml:space="preserve">TURN </w:t>
            </w:r>
            <w:proofErr w:type="spellStart"/>
            <w:r>
              <w:t>Cmts</w:t>
            </w:r>
            <w:proofErr w:type="spellEnd"/>
            <w:r>
              <w:t xml:space="preserve"> on P&amp;G Study, 5-21-21, p</w:t>
            </w:r>
            <w:r w:rsidR="00866F78">
              <w:t>p</w:t>
            </w:r>
            <w:r>
              <w:t xml:space="preserve">. </w:t>
            </w:r>
            <w:r w:rsidR="00866F78">
              <w:t>1-3 (discussing Scenario 1), 4 (IRP optimization)</w:t>
            </w:r>
          </w:p>
          <w:p w:rsidR="00446318" w:rsidP="00AF03E6" w:rsidRDefault="00446318" w14:paraId="18816DA4" w14:textId="77777777">
            <w:pPr>
              <w:keepNext/>
              <w:keepLines/>
              <w:contextualSpacing/>
            </w:pPr>
          </w:p>
          <w:p w:rsidR="00446318" w:rsidP="00AF03E6" w:rsidRDefault="00446318" w14:paraId="20B69BBD" w14:textId="0796CE73">
            <w:pPr>
              <w:pStyle w:val="ListParagraph"/>
              <w:keepNext/>
              <w:keepLines/>
              <w:numPr>
                <w:ilvl w:val="0"/>
                <w:numId w:val="32"/>
              </w:numPr>
              <w:ind w:left="322"/>
              <w:contextualSpacing/>
            </w:pPr>
            <w:r>
              <w:t>D.21-09-037, p. 5 (discussion of party positions on the IRP scenario)</w:t>
            </w:r>
            <w:r w:rsidR="006E5D19">
              <w:t>, 16</w:t>
            </w:r>
            <w:r w:rsidR="004F0B97">
              <w:t>-17</w:t>
            </w:r>
            <w:r w:rsidR="006E5D19">
              <w:t xml:space="preserve"> (reasoning for selecting </w:t>
            </w:r>
            <w:r w:rsidR="005E052A">
              <w:t>Scenario 2)</w:t>
            </w:r>
          </w:p>
          <w:p w:rsidR="00065532" w:rsidP="00AF03E6" w:rsidRDefault="00065532" w14:paraId="3CA5BAF8" w14:textId="77777777">
            <w:pPr>
              <w:pStyle w:val="ListParagraph"/>
              <w:keepNext/>
              <w:keepLines/>
              <w:numPr>
                <w:ilvl w:val="0"/>
                <w:numId w:val="0"/>
              </w:numPr>
              <w:ind w:left="720"/>
              <w:contextualSpacing/>
            </w:pPr>
          </w:p>
          <w:p w:rsidRPr="007F620E" w:rsidR="006774FB" w:rsidP="00AF03E6" w:rsidRDefault="006774FB" w14:paraId="258FF01F" w14:textId="77777777">
            <w:pPr>
              <w:keepNext/>
              <w:keepLines/>
              <w:contextualSpacing/>
              <w:rPr>
                <w:color w:val="000000"/>
              </w:rPr>
            </w:pPr>
          </w:p>
        </w:tc>
        <w:tc>
          <w:tcPr>
            <w:tcW w:w="2340" w:type="dxa"/>
            <w:shd w:val="clear" w:color="auto" w:fill="auto"/>
          </w:tcPr>
          <w:p w:rsidR="006774FB" w:rsidP="00864DD2" w:rsidRDefault="006774FB" w14:paraId="0C9F1692" w14:textId="77777777">
            <w:pPr>
              <w:keepNext/>
              <w:keepLines/>
              <w:contextualSpacing/>
              <w:jc w:val="center"/>
              <w:rPr>
                <w:color w:val="000000"/>
              </w:rPr>
            </w:pPr>
          </w:p>
          <w:p w:rsidR="00864DD2" w:rsidP="00864DD2" w:rsidRDefault="00864DD2" w14:paraId="5790FA2D" w14:textId="77777777">
            <w:pPr>
              <w:keepNext/>
              <w:keepLines/>
              <w:contextualSpacing/>
              <w:jc w:val="center"/>
              <w:rPr>
                <w:color w:val="000000"/>
              </w:rPr>
            </w:pPr>
            <w:r>
              <w:rPr>
                <w:color w:val="000000"/>
              </w:rPr>
              <w:t>Verified</w:t>
            </w:r>
          </w:p>
          <w:p w:rsidR="00864DD2" w:rsidP="00864DD2" w:rsidRDefault="00864DD2" w14:paraId="2C1C8319" w14:textId="77777777">
            <w:pPr>
              <w:keepNext/>
              <w:keepLines/>
              <w:contextualSpacing/>
              <w:jc w:val="center"/>
              <w:rPr>
                <w:color w:val="000000"/>
              </w:rPr>
            </w:pPr>
          </w:p>
          <w:p w:rsidR="00864DD2" w:rsidP="00864DD2" w:rsidRDefault="00864DD2" w14:paraId="516013BC" w14:textId="77777777">
            <w:pPr>
              <w:keepNext/>
              <w:keepLines/>
              <w:contextualSpacing/>
              <w:jc w:val="center"/>
              <w:rPr>
                <w:color w:val="000000"/>
              </w:rPr>
            </w:pPr>
          </w:p>
          <w:p w:rsidR="00864DD2" w:rsidP="00864DD2" w:rsidRDefault="00864DD2" w14:paraId="1186900B" w14:textId="77777777">
            <w:pPr>
              <w:keepNext/>
              <w:keepLines/>
              <w:contextualSpacing/>
              <w:jc w:val="center"/>
              <w:rPr>
                <w:color w:val="000000"/>
              </w:rPr>
            </w:pPr>
          </w:p>
          <w:p w:rsidRPr="007F620E" w:rsidR="00864DD2" w:rsidP="00864DD2" w:rsidRDefault="00864DD2" w14:paraId="1DFB9EEB" w14:textId="7250A712">
            <w:pPr>
              <w:keepNext/>
              <w:keepLines/>
              <w:contextualSpacing/>
              <w:jc w:val="center"/>
              <w:rPr>
                <w:color w:val="000000"/>
              </w:rPr>
            </w:pPr>
            <w:r>
              <w:rPr>
                <w:color w:val="000000"/>
              </w:rPr>
              <w:t>Verified</w:t>
            </w:r>
          </w:p>
        </w:tc>
      </w:tr>
      <w:tr w:rsidRPr="007F620E" w:rsidR="0002621E" w:rsidTr="001811F3" w14:paraId="27B61F06" w14:textId="77777777">
        <w:tc>
          <w:tcPr>
            <w:tcW w:w="3595" w:type="dxa"/>
            <w:shd w:val="clear" w:color="auto" w:fill="auto"/>
          </w:tcPr>
          <w:p w:rsidR="0002621E" w:rsidP="00AF03E6" w:rsidRDefault="0002621E" w14:paraId="5C3F2FBB" w14:textId="3E00351F">
            <w:pPr>
              <w:keepNext/>
              <w:keepLines/>
              <w:contextualSpacing/>
              <w:rPr>
                <w:b/>
                <w:bCs/>
                <w:color w:val="000000"/>
              </w:rPr>
            </w:pPr>
            <w:r w:rsidRPr="00EA784D">
              <w:rPr>
                <w:b/>
                <w:bCs/>
                <w:color w:val="000000"/>
              </w:rPr>
              <w:lastRenderedPageBreak/>
              <w:t>Upstream Lighting Program Investigation</w:t>
            </w:r>
          </w:p>
          <w:p w:rsidR="00F116D3" w:rsidP="00AF03E6" w:rsidRDefault="00F116D3" w14:paraId="52E50A46" w14:textId="77777777">
            <w:pPr>
              <w:keepNext/>
              <w:keepLines/>
              <w:contextualSpacing/>
              <w:rPr>
                <w:b/>
                <w:bCs/>
                <w:color w:val="000000"/>
              </w:rPr>
            </w:pPr>
          </w:p>
          <w:p w:rsidR="009B7B58" w:rsidP="00AF03E6" w:rsidRDefault="00C919B6" w14:paraId="50B385E5" w14:textId="3DFF1070">
            <w:pPr>
              <w:keepNext/>
              <w:keepLines/>
              <w:contextualSpacing/>
              <w:rPr>
                <w:color w:val="000000"/>
              </w:rPr>
            </w:pPr>
            <w:r>
              <w:rPr>
                <w:color w:val="000000"/>
              </w:rPr>
              <w:t xml:space="preserve">In January 2020, the Commission issued an ALJ Ruling seeking </w:t>
            </w:r>
            <w:r w:rsidR="00DC52D8">
              <w:rPr>
                <w:color w:val="000000"/>
              </w:rPr>
              <w:t xml:space="preserve">input on the results of the 2017 Upstream Lighting Program </w:t>
            </w:r>
            <w:r w:rsidR="007A627A">
              <w:rPr>
                <w:color w:val="000000"/>
              </w:rPr>
              <w:t>I</w:t>
            </w:r>
            <w:r w:rsidR="00DC52D8">
              <w:rPr>
                <w:color w:val="000000"/>
              </w:rPr>
              <w:t xml:space="preserve">mpact </w:t>
            </w:r>
            <w:r w:rsidR="007A627A">
              <w:rPr>
                <w:color w:val="000000"/>
              </w:rPr>
              <w:t>E</w:t>
            </w:r>
            <w:r w:rsidR="00DC52D8">
              <w:rPr>
                <w:color w:val="000000"/>
              </w:rPr>
              <w:t>valuation</w:t>
            </w:r>
            <w:r w:rsidR="00B72E60">
              <w:rPr>
                <w:color w:val="000000"/>
              </w:rPr>
              <w:t xml:space="preserve">, which </w:t>
            </w:r>
            <w:r w:rsidR="00B72E60">
              <w:rPr>
                <w:color w:val="000000"/>
              </w:rPr>
              <w:lastRenderedPageBreak/>
              <w:t xml:space="preserve">concluded that roughly 15 million </w:t>
            </w:r>
            <w:r w:rsidR="00DC56D7">
              <w:rPr>
                <w:color w:val="000000"/>
              </w:rPr>
              <w:t xml:space="preserve">CFL and LED </w:t>
            </w:r>
            <w:r w:rsidR="00BF4F25">
              <w:rPr>
                <w:color w:val="000000"/>
              </w:rPr>
              <w:t>lamps</w:t>
            </w:r>
            <w:r w:rsidR="00DC56D7">
              <w:rPr>
                <w:color w:val="000000"/>
              </w:rPr>
              <w:t xml:space="preserve"> discounted by SDG&amp;E</w:t>
            </w:r>
            <w:r w:rsidR="00947426">
              <w:rPr>
                <w:color w:val="000000"/>
              </w:rPr>
              <w:t>’s</w:t>
            </w:r>
            <w:r w:rsidR="00DC56D7">
              <w:rPr>
                <w:color w:val="000000"/>
              </w:rPr>
              <w:t xml:space="preserve"> and SCE</w:t>
            </w:r>
            <w:r w:rsidR="00947426">
              <w:rPr>
                <w:color w:val="000000"/>
              </w:rPr>
              <w:t xml:space="preserve">’s </w:t>
            </w:r>
            <w:r w:rsidR="00C905DA">
              <w:rPr>
                <w:color w:val="000000"/>
              </w:rPr>
              <w:t xml:space="preserve">2017 </w:t>
            </w:r>
            <w:r w:rsidR="00947426">
              <w:rPr>
                <w:color w:val="000000"/>
              </w:rPr>
              <w:t xml:space="preserve">program </w:t>
            </w:r>
            <w:r w:rsidR="00BF4F25">
              <w:rPr>
                <w:color w:val="000000"/>
              </w:rPr>
              <w:t>could not be</w:t>
            </w:r>
            <w:r w:rsidR="007A627A">
              <w:rPr>
                <w:color w:val="000000"/>
              </w:rPr>
              <w:t xml:space="preserve"> tracked by the Commission’s evaluators</w:t>
            </w:r>
            <w:r w:rsidR="00C905DA">
              <w:rPr>
                <w:color w:val="000000"/>
              </w:rPr>
              <w:t>.  SDG&amp;E and SCE responded</w:t>
            </w:r>
            <w:r w:rsidR="004F058A">
              <w:rPr>
                <w:color w:val="000000"/>
              </w:rPr>
              <w:t xml:space="preserve"> on January 31, 2020</w:t>
            </w:r>
            <w:r w:rsidR="00C905DA">
              <w:rPr>
                <w:color w:val="000000"/>
              </w:rPr>
              <w:t>, asking for more time to conduct internal investigations of what wen</w:t>
            </w:r>
            <w:r w:rsidR="0035177F">
              <w:rPr>
                <w:color w:val="000000"/>
              </w:rPr>
              <w:t>t</w:t>
            </w:r>
            <w:r w:rsidR="00C905DA">
              <w:rPr>
                <w:color w:val="000000"/>
              </w:rPr>
              <w:t xml:space="preserve"> wrong with their Upstream Lighting </w:t>
            </w:r>
            <w:r w:rsidR="00557703">
              <w:rPr>
                <w:color w:val="000000"/>
              </w:rPr>
              <w:t xml:space="preserve">(UL) </w:t>
            </w:r>
            <w:r w:rsidR="00C905DA">
              <w:rPr>
                <w:color w:val="000000"/>
              </w:rPr>
              <w:t>Program</w:t>
            </w:r>
            <w:r w:rsidR="00557703">
              <w:rPr>
                <w:color w:val="000000"/>
              </w:rPr>
              <w:t xml:space="preserve">.  </w:t>
            </w:r>
          </w:p>
          <w:p w:rsidR="009B7B58" w:rsidP="00AF03E6" w:rsidRDefault="009B7B58" w14:paraId="1E1E606A" w14:textId="77777777">
            <w:pPr>
              <w:keepNext/>
              <w:keepLines/>
              <w:contextualSpacing/>
              <w:rPr>
                <w:color w:val="000000"/>
              </w:rPr>
            </w:pPr>
          </w:p>
          <w:p w:rsidR="00F116D3" w:rsidP="00AF03E6" w:rsidRDefault="00557703" w14:paraId="0D0065C3" w14:textId="2A9E38BE">
            <w:pPr>
              <w:keepNext/>
              <w:keepLines/>
              <w:contextualSpacing/>
              <w:rPr>
                <w:color w:val="000000"/>
              </w:rPr>
            </w:pPr>
            <w:r>
              <w:rPr>
                <w:color w:val="000000"/>
              </w:rPr>
              <w:t>TURN</w:t>
            </w:r>
            <w:r w:rsidR="009B7B58">
              <w:rPr>
                <w:color w:val="000000"/>
              </w:rPr>
              <w:t xml:space="preserve"> (and Cal Advocates)</w:t>
            </w:r>
            <w:r>
              <w:rPr>
                <w:color w:val="000000"/>
              </w:rPr>
              <w:t xml:space="preserve"> filed comments </w:t>
            </w:r>
            <w:r w:rsidR="00B73203">
              <w:rPr>
                <w:color w:val="000000"/>
              </w:rPr>
              <w:t>on</w:t>
            </w:r>
            <w:r>
              <w:rPr>
                <w:color w:val="000000"/>
              </w:rPr>
              <w:t xml:space="preserve"> February</w:t>
            </w:r>
            <w:r w:rsidR="00B73203">
              <w:rPr>
                <w:color w:val="000000"/>
              </w:rPr>
              <w:t xml:space="preserve"> 14,</w:t>
            </w:r>
            <w:r>
              <w:rPr>
                <w:color w:val="000000"/>
              </w:rPr>
              <w:t xml:space="preserve"> 2020 reacting to the utilities’ comments.  TURN recommended that the Commission order both utilities to </w:t>
            </w:r>
            <w:r w:rsidR="000F3FED">
              <w:rPr>
                <w:color w:val="000000"/>
              </w:rPr>
              <w:t>at least r</w:t>
            </w:r>
            <w:r>
              <w:rPr>
                <w:color w:val="000000"/>
              </w:rPr>
              <w:t xml:space="preserve">efund </w:t>
            </w:r>
            <w:r w:rsidR="00595E1F">
              <w:rPr>
                <w:color w:val="000000"/>
              </w:rPr>
              <w:t>to their ratepayers all incentives paid for the unaccounted for bulbs</w:t>
            </w:r>
            <w:r w:rsidR="007F7D65">
              <w:rPr>
                <w:color w:val="000000"/>
              </w:rPr>
              <w:t xml:space="preserve"> in 2017 and potentially also in 2018-2019; </w:t>
            </w:r>
            <w:r w:rsidR="00595E1F">
              <w:rPr>
                <w:color w:val="000000"/>
              </w:rPr>
              <w:t xml:space="preserve">potentially also </w:t>
            </w:r>
            <w:r w:rsidR="00E63079">
              <w:rPr>
                <w:color w:val="000000"/>
              </w:rPr>
              <w:t xml:space="preserve">refund </w:t>
            </w:r>
            <w:r w:rsidR="00595E1F">
              <w:rPr>
                <w:color w:val="000000"/>
              </w:rPr>
              <w:t>program administr</w:t>
            </w:r>
            <w:r w:rsidR="000B0ACD">
              <w:rPr>
                <w:color w:val="000000"/>
              </w:rPr>
              <w:t>ation costs</w:t>
            </w:r>
            <w:r w:rsidR="00E63079">
              <w:rPr>
                <w:color w:val="000000"/>
              </w:rPr>
              <w:t xml:space="preserve"> and </w:t>
            </w:r>
            <w:r w:rsidR="007F7D65">
              <w:rPr>
                <w:color w:val="000000"/>
              </w:rPr>
              <w:t xml:space="preserve">a portion of </w:t>
            </w:r>
            <w:r w:rsidR="00E63079">
              <w:rPr>
                <w:color w:val="000000"/>
              </w:rPr>
              <w:t>ESPI awards</w:t>
            </w:r>
            <w:r w:rsidR="006064AA">
              <w:rPr>
                <w:color w:val="000000"/>
              </w:rPr>
              <w:t>; and potentially order other corrective actions and penalties, w</w:t>
            </w:r>
            <w:r w:rsidR="000F3FED">
              <w:rPr>
                <w:color w:val="000000"/>
              </w:rPr>
              <w:t>hile</w:t>
            </w:r>
            <w:r w:rsidR="006064AA">
              <w:rPr>
                <w:color w:val="000000"/>
              </w:rPr>
              <w:t xml:space="preserve"> improving the Commission’s over</w:t>
            </w:r>
            <w:r w:rsidR="000F3FED">
              <w:rPr>
                <w:color w:val="000000"/>
              </w:rPr>
              <w:t>s</w:t>
            </w:r>
            <w:r w:rsidR="006064AA">
              <w:rPr>
                <w:color w:val="000000"/>
              </w:rPr>
              <w:t xml:space="preserve">ight </w:t>
            </w:r>
            <w:r w:rsidR="000F3FED">
              <w:rPr>
                <w:color w:val="000000"/>
              </w:rPr>
              <w:t>of upstream programs.</w:t>
            </w:r>
            <w:r w:rsidR="005B6DC5">
              <w:rPr>
                <w:color w:val="000000"/>
              </w:rPr>
              <w:t xml:space="preserve">  TURN did not oppose SCE’s and SDG&amp;E’s request for more time to conduct internal investigations</w:t>
            </w:r>
            <w:r w:rsidR="0052788C">
              <w:rPr>
                <w:color w:val="000000"/>
              </w:rPr>
              <w:t>,</w:t>
            </w:r>
            <w:r w:rsidR="005B6DC5">
              <w:rPr>
                <w:color w:val="000000"/>
              </w:rPr>
              <w:t xml:space="preserve"> but </w:t>
            </w:r>
            <w:r w:rsidR="0052788C">
              <w:rPr>
                <w:color w:val="000000"/>
              </w:rPr>
              <w:t xml:space="preserve">TURN </w:t>
            </w:r>
            <w:r w:rsidR="005B6DC5">
              <w:rPr>
                <w:color w:val="000000"/>
              </w:rPr>
              <w:t>urged</w:t>
            </w:r>
            <w:r w:rsidR="009F45B2">
              <w:rPr>
                <w:color w:val="000000"/>
              </w:rPr>
              <w:t xml:space="preserve"> the Commission to ensure that an independent investigation is also</w:t>
            </w:r>
            <w:r w:rsidR="00122F73">
              <w:rPr>
                <w:color w:val="000000"/>
              </w:rPr>
              <w:t xml:space="preserve"> conducted </w:t>
            </w:r>
            <w:r w:rsidR="009F45B2">
              <w:rPr>
                <w:color w:val="000000"/>
              </w:rPr>
              <w:t xml:space="preserve">and </w:t>
            </w:r>
            <w:r w:rsidR="0052788C">
              <w:rPr>
                <w:color w:val="000000"/>
              </w:rPr>
              <w:t xml:space="preserve">to only give </w:t>
            </w:r>
            <w:r w:rsidR="009F45B2">
              <w:rPr>
                <w:color w:val="000000"/>
              </w:rPr>
              <w:t xml:space="preserve">due weight to the utilities’ self-evaluations.  </w:t>
            </w:r>
            <w:r w:rsidR="00B4053D">
              <w:rPr>
                <w:color w:val="000000"/>
              </w:rPr>
              <w:t xml:space="preserve">TURN requested an additional opportunity to present recommended remedies </w:t>
            </w:r>
            <w:r w:rsidR="00B4053D">
              <w:rPr>
                <w:color w:val="000000"/>
              </w:rPr>
              <w:lastRenderedPageBreak/>
              <w:t>following these further investigations.</w:t>
            </w:r>
          </w:p>
          <w:p w:rsidR="00EE2D7F" w:rsidP="00AF03E6" w:rsidRDefault="00EE2D7F" w14:paraId="16858204" w14:textId="77777777">
            <w:pPr>
              <w:keepNext/>
              <w:keepLines/>
              <w:contextualSpacing/>
              <w:rPr>
                <w:color w:val="000000"/>
              </w:rPr>
            </w:pPr>
          </w:p>
          <w:p w:rsidR="00D22D7E" w:rsidP="00AF03E6" w:rsidRDefault="00836964" w14:paraId="0DA6E0BF" w14:textId="05D3FB59">
            <w:pPr>
              <w:keepNext/>
              <w:keepLines/>
              <w:contextualSpacing/>
              <w:rPr>
                <w:color w:val="000000"/>
              </w:rPr>
            </w:pPr>
            <w:r>
              <w:rPr>
                <w:color w:val="000000"/>
              </w:rPr>
              <w:t xml:space="preserve">Thereafter the Commission expanded the investigation to include the 2018 UL Program Impact Evaluation </w:t>
            </w:r>
            <w:r w:rsidR="002A651D">
              <w:rPr>
                <w:color w:val="000000"/>
              </w:rPr>
              <w:t xml:space="preserve">and provided SDG&amp;E and SCE until June 8, 2020 to report on their investigations and respond to the ALJ’s questions.  </w:t>
            </w:r>
            <w:r w:rsidR="004D0D5D">
              <w:rPr>
                <w:color w:val="000000"/>
              </w:rPr>
              <w:t>After this point</w:t>
            </w:r>
            <w:r w:rsidR="002D1323">
              <w:rPr>
                <w:color w:val="000000"/>
              </w:rPr>
              <w:t xml:space="preserve">, the investigation into SDG&amp;E’s and SCE’s UL Programs diverged. </w:t>
            </w:r>
            <w:r w:rsidR="00261F96">
              <w:rPr>
                <w:color w:val="000000"/>
              </w:rPr>
              <w:t xml:space="preserve"> TURN, in close coordination with Cal Advocates, contributed to the </w:t>
            </w:r>
            <w:r w:rsidR="002C0E0B">
              <w:rPr>
                <w:color w:val="000000"/>
              </w:rPr>
              <w:t>outcomes adopted for both utilities</w:t>
            </w:r>
            <w:r w:rsidR="001E1AAE">
              <w:rPr>
                <w:color w:val="000000"/>
              </w:rPr>
              <w:t xml:space="preserve"> in D.21-09-002 (SDG&amp;E) and D.22-11-031 (SCE)</w:t>
            </w:r>
            <w:r w:rsidR="002C0E0B">
              <w:rPr>
                <w:color w:val="000000"/>
              </w:rPr>
              <w:t>.</w:t>
            </w:r>
            <w:r w:rsidR="002D1323">
              <w:rPr>
                <w:color w:val="000000"/>
              </w:rPr>
              <w:t xml:space="preserve"> </w:t>
            </w:r>
            <w:r w:rsidR="001E1AAE">
              <w:rPr>
                <w:color w:val="000000"/>
              </w:rPr>
              <w:t xml:space="preserve"> </w:t>
            </w:r>
            <w:r w:rsidR="00353C37">
              <w:rPr>
                <w:color w:val="000000"/>
              </w:rPr>
              <w:t>TURN’s contribution</w:t>
            </w:r>
            <w:r w:rsidR="006D0F2D">
              <w:rPr>
                <w:color w:val="000000"/>
              </w:rPr>
              <w:t>s</w:t>
            </w:r>
            <w:r w:rsidR="00353C37">
              <w:rPr>
                <w:color w:val="000000"/>
              </w:rPr>
              <w:t xml:space="preserve"> to </w:t>
            </w:r>
            <w:r w:rsidR="006D0F2D">
              <w:rPr>
                <w:color w:val="000000"/>
              </w:rPr>
              <w:t xml:space="preserve">both </w:t>
            </w:r>
            <w:r w:rsidR="001E1AAE">
              <w:rPr>
                <w:color w:val="000000"/>
              </w:rPr>
              <w:t>decision</w:t>
            </w:r>
            <w:r w:rsidR="006D0F2D">
              <w:rPr>
                <w:color w:val="000000"/>
              </w:rPr>
              <w:t>s</w:t>
            </w:r>
            <w:r w:rsidR="001E1AAE">
              <w:rPr>
                <w:color w:val="000000"/>
              </w:rPr>
              <w:t xml:space="preserve"> </w:t>
            </w:r>
            <w:r w:rsidR="006D0F2D">
              <w:rPr>
                <w:color w:val="000000"/>
              </w:rPr>
              <w:t>are</w:t>
            </w:r>
            <w:r w:rsidR="001E1AAE">
              <w:rPr>
                <w:color w:val="000000"/>
              </w:rPr>
              <w:t xml:space="preserve"> discussed below.</w:t>
            </w:r>
          </w:p>
          <w:p w:rsidRPr="002C0E0B" w:rsidR="002C0E0B" w:rsidP="00AF03E6" w:rsidRDefault="002C0E0B" w14:paraId="3C8396FA" w14:textId="149455CB">
            <w:pPr>
              <w:keepNext/>
              <w:keepLines/>
              <w:contextualSpacing/>
              <w:rPr>
                <w:b/>
                <w:bCs/>
              </w:rPr>
            </w:pPr>
          </w:p>
        </w:tc>
        <w:tc>
          <w:tcPr>
            <w:tcW w:w="3803" w:type="dxa"/>
            <w:shd w:val="clear" w:color="auto" w:fill="auto"/>
          </w:tcPr>
          <w:p w:rsidR="00E9323C" w:rsidP="00AF03E6" w:rsidRDefault="00E9323C" w14:paraId="6A42AF19" w14:textId="77777777">
            <w:pPr>
              <w:pStyle w:val="ListParagraph"/>
              <w:keepNext/>
              <w:keepLines/>
              <w:numPr>
                <w:ilvl w:val="0"/>
                <w:numId w:val="0"/>
              </w:numPr>
              <w:ind w:left="434"/>
              <w:contextualSpacing/>
            </w:pPr>
          </w:p>
          <w:p w:rsidR="0002621E" w:rsidP="00AF03E6" w:rsidRDefault="00C42136" w14:paraId="0E912624" w14:textId="2902C4BF">
            <w:pPr>
              <w:pStyle w:val="ListParagraph"/>
              <w:keepNext/>
              <w:keepLines/>
              <w:numPr>
                <w:ilvl w:val="0"/>
                <w:numId w:val="34"/>
              </w:numPr>
              <w:ind w:left="434"/>
              <w:contextualSpacing/>
            </w:pPr>
            <w:r>
              <w:t xml:space="preserve">TURN </w:t>
            </w:r>
            <w:proofErr w:type="spellStart"/>
            <w:r>
              <w:t>Cmts</w:t>
            </w:r>
            <w:proofErr w:type="spellEnd"/>
            <w:r>
              <w:t xml:space="preserve"> on Upstream Lighting Program </w:t>
            </w:r>
            <w:r w:rsidR="002C0B7A">
              <w:t xml:space="preserve">2017 </w:t>
            </w:r>
            <w:r>
              <w:t>Impact Evaluation, 2</w:t>
            </w:r>
            <w:r w:rsidR="00431FC9">
              <w:t>-</w:t>
            </w:r>
            <w:r>
              <w:t>14</w:t>
            </w:r>
            <w:r w:rsidR="00431FC9">
              <w:t>-</w:t>
            </w:r>
            <w:r>
              <w:t>20</w:t>
            </w:r>
            <w:r w:rsidR="000572CF">
              <w:t>, pp. 5-7 (SCE remedies)</w:t>
            </w:r>
            <w:r w:rsidR="0081280D">
              <w:t>, 9-10 (SDG&amp;E remedies)</w:t>
            </w:r>
            <w:r w:rsidR="0017224A">
              <w:t>, 10-11 (additional remedies for both utilities)</w:t>
            </w:r>
            <w:r w:rsidR="00711FC7">
              <w:t>, 13 (</w:t>
            </w:r>
            <w:r w:rsidR="00EE2D7F">
              <w:t xml:space="preserve">independent </w:t>
            </w:r>
            <w:r w:rsidR="00EE2D7F">
              <w:lastRenderedPageBreak/>
              <w:t>investigation vs. utility self-evaluation)</w:t>
            </w:r>
          </w:p>
          <w:p w:rsidR="00431FC9" w:rsidP="00AF03E6" w:rsidRDefault="00431FC9" w14:paraId="3D2F476A" w14:textId="77777777">
            <w:pPr>
              <w:keepNext/>
              <w:keepLines/>
              <w:contextualSpacing/>
            </w:pPr>
          </w:p>
          <w:p w:rsidR="00431FC9" w:rsidP="00AF03E6" w:rsidRDefault="00431FC9" w14:paraId="63194F44" w14:textId="77777777">
            <w:pPr>
              <w:keepNext/>
              <w:keepLines/>
              <w:contextualSpacing/>
            </w:pPr>
          </w:p>
          <w:p w:rsidR="00431FC9" w:rsidP="00AF03E6" w:rsidRDefault="00431FC9" w14:paraId="4D0BD0B8" w14:textId="77777777">
            <w:pPr>
              <w:keepNext/>
              <w:keepLines/>
              <w:contextualSpacing/>
            </w:pPr>
          </w:p>
          <w:p w:rsidR="00AE113F" w:rsidP="00AF03E6" w:rsidRDefault="00AE113F" w14:paraId="50999A33" w14:textId="77777777">
            <w:pPr>
              <w:pStyle w:val="ListParagraph"/>
              <w:keepNext/>
              <w:keepLines/>
              <w:numPr>
                <w:ilvl w:val="0"/>
                <w:numId w:val="0"/>
              </w:numPr>
              <w:ind w:left="434"/>
              <w:contextualSpacing/>
            </w:pPr>
          </w:p>
          <w:p w:rsidR="00B907FD" w:rsidP="00AF03E6" w:rsidRDefault="00B907FD" w14:paraId="307C5ACC" w14:textId="77777777">
            <w:pPr>
              <w:pStyle w:val="ListParagraph"/>
              <w:keepNext/>
              <w:keepLines/>
              <w:numPr>
                <w:ilvl w:val="0"/>
                <w:numId w:val="0"/>
              </w:numPr>
              <w:ind w:left="720"/>
              <w:contextualSpacing/>
            </w:pPr>
          </w:p>
          <w:p w:rsidR="00B907FD" w:rsidP="00AF03E6" w:rsidRDefault="00B907FD" w14:paraId="51C5FADC" w14:textId="77777777">
            <w:pPr>
              <w:keepNext/>
              <w:keepLines/>
              <w:contextualSpacing/>
            </w:pPr>
          </w:p>
          <w:p w:rsidR="00A27394" w:rsidP="00AF03E6" w:rsidRDefault="00A27394" w14:paraId="767D43CF" w14:textId="77777777">
            <w:pPr>
              <w:keepNext/>
              <w:keepLines/>
              <w:contextualSpacing/>
            </w:pPr>
          </w:p>
          <w:p w:rsidR="00A27394" w:rsidP="00AF03E6" w:rsidRDefault="00A27394" w14:paraId="0349A5ED" w14:textId="77777777">
            <w:pPr>
              <w:keepNext/>
              <w:keepLines/>
              <w:contextualSpacing/>
            </w:pPr>
          </w:p>
          <w:p w:rsidRPr="001344BA" w:rsidR="005B1BC3" w:rsidP="00AF03E6" w:rsidRDefault="005B1BC3" w14:paraId="1F43D3D5" w14:textId="451D24F4">
            <w:pPr>
              <w:pStyle w:val="ListParagraph"/>
              <w:keepNext/>
              <w:keepLines/>
              <w:numPr>
                <w:ilvl w:val="0"/>
                <w:numId w:val="0"/>
              </w:numPr>
              <w:ind w:left="434"/>
              <w:contextualSpacing/>
            </w:pPr>
          </w:p>
        </w:tc>
        <w:tc>
          <w:tcPr>
            <w:tcW w:w="2340" w:type="dxa"/>
            <w:shd w:val="clear" w:color="auto" w:fill="auto"/>
          </w:tcPr>
          <w:p w:rsidR="0002621E" w:rsidP="00864DD2" w:rsidRDefault="0002621E" w14:paraId="29C1B587" w14:textId="77777777">
            <w:pPr>
              <w:keepNext/>
              <w:keepLines/>
              <w:contextualSpacing/>
              <w:jc w:val="center"/>
              <w:rPr>
                <w:color w:val="000000"/>
              </w:rPr>
            </w:pPr>
          </w:p>
          <w:p w:rsidR="00864DD2" w:rsidP="00864DD2" w:rsidRDefault="00864DD2" w14:paraId="34704175" w14:textId="77777777">
            <w:pPr>
              <w:keepNext/>
              <w:keepLines/>
              <w:contextualSpacing/>
              <w:jc w:val="center"/>
              <w:rPr>
                <w:color w:val="000000"/>
              </w:rPr>
            </w:pPr>
          </w:p>
          <w:p w:rsidR="00864DD2" w:rsidP="00864DD2" w:rsidRDefault="00864DD2" w14:paraId="01EC8EDD" w14:textId="77777777">
            <w:pPr>
              <w:keepNext/>
              <w:keepLines/>
              <w:contextualSpacing/>
              <w:jc w:val="center"/>
              <w:rPr>
                <w:color w:val="000000"/>
              </w:rPr>
            </w:pPr>
          </w:p>
          <w:p w:rsidR="00864DD2" w:rsidP="00864DD2" w:rsidRDefault="00864DD2" w14:paraId="5E61384D" w14:textId="77777777">
            <w:pPr>
              <w:keepNext/>
              <w:keepLines/>
              <w:contextualSpacing/>
              <w:jc w:val="center"/>
              <w:rPr>
                <w:color w:val="000000"/>
              </w:rPr>
            </w:pPr>
          </w:p>
          <w:p w:rsidRPr="007F620E" w:rsidR="00864DD2" w:rsidP="00864DD2" w:rsidRDefault="00864DD2" w14:paraId="08225226" w14:textId="52B9CE65">
            <w:pPr>
              <w:keepNext/>
              <w:keepLines/>
              <w:contextualSpacing/>
              <w:jc w:val="center"/>
              <w:rPr>
                <w:color w:val="000000"/>
              </w:rPr>
            </w:pPr>
            <w:r>
              <w:rPr>
                <w:color w:val="000000"/>
              </w:rPr>
              <w:t>Verified</w:t>
            </w:r>
          </w:p>
        </w:tc>
      </w:tr>
      <w:tr w:rsidRPr="007F620E" w:rsidR="00010992" w:rsidTr="001811F3" w14:paraId="74075899" w14:textId="77777777">
        <w:tc>
          <w:tcPr>
            <w:tcW w:w="3595" w:type="dxa"/>
            <w:shd w:val="clear" w:color="auto" w:fill="auto"/>
          </w:tcPr>
          <w:p w:rsidRPr="000B2FBD" w:rsidR="00010992" w:rsidP="00AF03E6" w:rsidRDefault="000C577E" w14:paraId="777B3B81" w14:textId="6098BA7A">
            <w:pPr>
              <w:keepNext/>
              <w:keepLines/>
              <w:contextualSpacing/>
              <w:rPr>
                <w:b/>
                <w:bCs/>
              </w:rPr>
            </w:pPr>
            <w:r w:rsidRPr="000B2FBD">
              <w:rPr>
                <w:b/>
                <w:bCs/>
              </w:rPr>
              <w:lastRenderedPageBreak/>
              <w:t>D.21-09-002</w:t>
            </w:r>
            <w:r>
              <w:rPr>
                <w:b/>
                <w:bCs/>
              </w:rPr>
              <w:t xml:space="preserve"> (</w:t>
            </w:r>
            <w:r w:rsidRPr="000B2FBD" w:rsidR="00010992">
              <w:rPr>
                <w:b/>
                <w:bCs/>
              </w:rPr>
              <w:t>SDG&amp;E UL Program</w:t>
            </w:r>
            <w:r>
              <w:rPr>
                <w:b/>
                <w:bCs/>
              </w:rPr>
              <w:t xml:space="preserve"> Remedies)</w:t>
            </w:r>
            <w:r w:rsidRPr="000B2FBD" w:rsidR="00010992">
              <w:rPr>
                <w:b/>
                <w:bCs/>
              </w:rPr>
              <w:t xml:space="preserve"> </w:t>
            </w:r>
          </w:p>
          <w:p w:rsidRPr="0020422A" w:rsidR="00010992" w:rsidP="00AF03E6" w:rsidRDefault="00010992" w14:paraId="4DA6CC15" w14:textId="77777777">
            <w:pPr>
              <w:keepNext/>
              <w:keepLines/>
              <w:contextualSpacing/>
              <w:rPr>
                <w:b/>
                <w:bCs/>
                <w:color w:val="000000"/>
              </w:rPr>
            </w:pPr>
          </w:p>
          <w:p w:rsidR="00010992" w:rsidP="00AF03E6" w:rsidRDefault="00010992" w14:paraId="12F02403" w14:textId="77777777">
            <w:pPr>
              <w:keepNext/>
              <w:keepLines/>
              <w:contextualSpacing/>
              <w:rPr>
                <w:color w:val="000000"/>
              </w:rPr>
            </w:pPr>
            <w:r>
              <w:rPr>
                <w:color w:val="000000"/>
              </w:rPr>
              <w:t xml:space="preserve">In comments filed on June 8, 2020, SDG&amp;E reported on the findings of the independent investigation it commissioned.  SDG&amp;E acknowledged that it imprudently managed the UL Program and proposed a refund of $11.267 million in ESPI awards.  Shortly thereafter, TURN and Cal Advocates entered into settlement negotiations with SDG&amp;E that proved successful, resulting in D.21-09-002.  </w:t>
            </w:r>
          </w:p>
          <w:p w:rsidR="00010992" w:rsidP="00AF03E6" w:rsidRDefault="00010992" w14:paraId="21A24D86" w14:textId="77777777">
            <w:pPr>
              <w:keepNext/>
              <w:keepLines/>
              <w:contextualSpacing/>
              <w:rPr>
                <w:color w:val="000000"/>
              </w:rPr>
            </w:pPr>
          </w:p>
          <w:p w:rsidR="00010992" w:rsidP="00AF03E6" w:rsidRDefault="00010992" w14:paraId="6A84DDA0" w14:textId="77777777">
            <w:pPr>
              <w:keepNext/>
              <w:keepLines/>
              <w:contextualSpacing/>
              <w:rPr>
                <w:color w:val="000000"/>
              </w:rPr>
            </w:pPr>
            <w:r>
              <w:rPr>
                <w:color w:val="000000"/>
              </w:rPr>
              <w:lastRenderedPageBreak/>
              <w:t xml:space="preserve">TURN, Cal Advocates, and SDG&amp;E commenced settlement negotiations in June 2020 and filed a joint motion for approval of the resultant settlement agreement on December 9, 2020.  That settlement agreement provided several remedies, including the following actions by SDG&amp;E:  (1) returning to ratepayers $45.440 million for UL Program expenditures on lightbulbs in 2017-2019; (2) returning to ratepayers $6.162 million for ESPI awards received or forthcoming for 2017, 2018, and 2019; (3) payment of a $5.5 million fine to the CA General Fund for knowingly submitting inaccurate information to the Commission in SDG&amp;E’s 2017 and 2018 EE Annual Reports; (4) bearing the $1.5 million cost of hiring the outside investigator; (5) passing along to ratepayers 33% of any litigation recovery from manufacturers for wrongdoing; and (6) taking actions to encourage timely and effective employee whistleblower reporting, including conducting whistleblower training within 1 year at shareholder’s expense.  </w:t>
            </w:r>
          </w:p>
          <w:p w:rsidR="00010992" w:rsidP="00AF03E6" w:rsidRDefault="00010992" w14:paraId="06373C10" w14:textId="77777777">
            <w:pPr>
              <w:keepNext/>
              <w:keepLines/>
              <w:contextualSpacing/>
              <w:rPr>
                <w:color w:val="000000"/>
              </w:rPr>
            </w:pPr>
          </w:p>
          <w:p w:rsidR="00010992" w:rsidP="00AF03E6" w:rsidRDefault="00010992" w14:paraId="1007EBBC" w14:textId="77777777">
            <w:pPr>
              <w:keepNext/>
              <w:keepLines/>
              <w:contextualSpacing/>
              <w:rPr>
                <w:color w:val="000000"/>
              </w:rPr>
            </w:pPr>
            <w:r>
              <w:rPr>
                <w:color w:val="000000"/>
              </w:rPr>
              <w:t xml:space="preserve">Following submission of the proposed settlement agreement, TURN, Cal Advocates, and SDG&amp;E reconvened to consider proposed settlement modifications suggested by Small </w:t>
            </w:r>
            <w:r>
              <w:rPr>
                <w:color w:val="000000"/>
              </w:rPr>
              <w:lastRenderedPageBreak/>
              <w:t xml:space="preserve">Business Utility Advocates (SBUA) in comments.  These discussions resulted in a minor modification to the proposed settlement agreement regarding the process for distributing to customers any litigation recovery from manufacturers. </w:t>
            </w:r>
          </w:p>
          <w:p w:rsidR="00010992" w:rsidP="00AF03E6" w:rsidRDefault="00010992" w14:paraId="1AEB4E6F" w14:textId="77777777">
            <w:pPr>
              <w:keepNext/>
              <w:keepLines/>
              <w:contextualSpacing/>
              <w:rPr>
                <w:color w:val="000000"/>
              </w:rPr>
            </w:pPr>
          </w:p>
          <w:p w:rsidR="00010992" w:rsidP="00AF03E6" w:rsidRDefault="00010992" w14:paraId="502CC892" w14:textId="77777777">
            <w:pPr>
              <w:keepNext/>
              <w:keepLines/>
              <w:contextualSpacing/>
              <w:rPr>
                <w:color w:val="000000"/>
              </w:rPr>
            </w:pPr>
            <w:r>
              <w:rPr>
                <w:color w:val="000000"/>
              </w:rPr>
              <w:t xml:space="preserve">In D.21-09-002, the Commission adopted the settlement agreement in full, including the minor modification presented in reply to SBUA’s comments on the settlement agreement.  </w:t>
            </w:r>
          </w:p>
          <w:p w:rsidRPr="00EA784D" w:rsidR="00010992" w:rsidP="00AF03E6" w:rsidRDefault="00010992" w14:paraId="187BAF2F" w14:textId="77777777">
            <w:pPr>
              <w:keepNext/>
              <w:keepLines/>
              <w:contextualSpacing/>
              <w:rPr>
                <w:b/>
                <w:bCs/>
                <w:color w:val="000000"/>
              </w:rPr>
            </w:pPr>
          </w:p>
        </w:tc>
        <w:tc>
          <w:tcPr>
            <w:tcW w:w="3803" w:type="dxa"/>
            <w:shd w:val="clear" w:color="auto" w:fill="auto"/>
          </w:tcPr>
          <w:p w:rsidRPr="000B2FBD" w:rsidR="000C577E" w:rsidP="00AF03E6" w:rsidRDefault="000C577E" w14:paraId="05B77AC4" w14:textId="77777777">
            <w:pPr>
              <w:keepNext/>
              <w:keepLines/>
              <w:contextualSpacing/>
              <w:rPr>
                <w:b/>
                <w:bCs/>
              </w:rPr>
            </w:pPr>
            <w:r w:rsidRPr="000B2FBD">
              <w:rPr>
                <w:b/>
                <w:bCs/>
              </w:rPr>
              <w:lastRenderedPageBreak/>
              <w:t>D.21-09-002</w:t>
            </w:r>
            <w:r>
              <w:rPr>
                <w:b/>
                <w:bCs/>
              </w:rPr>
              <w:t xml:space="preserve"> (</w:t>
            </w:r>
            <w:r w:rsidRPr="000B2FBD">
              <w:rPr>
                <w:b/>
                <w:bCs/>
              </w:rPr>
              <w:t>SDG&amp;E UL Program</w:t>
            </w:r>
            <w:r>
              <w:rPr>
                <w:b/>
                <w:bCs/>
              </w:rPr>
              <w:t xml:space="preserve"> Remedies)</w:t>
            </w:r>
            <w:r w:rsidRPr="000B2FBD">
              <w:rPr>
                <w:b/>
                <w:bCs/>
              </w:rPr>
              <w:t xml:space="preserve"> </w:t>
            </w:r>
          </w:p>
          <w:p w:rsidR="00010992" w:rsidP="00AF03E6" w:rsidRDefault="00010992" w14:paraId="6236CBA3" w14:textId="77777777">
            <w:pPr>
              <w:pStyle w:val="ListParagraph"/>
              <w:keepNext/>
              <w:keepLines/>
              <w:numPr>
                <w:ilvl w:val="0"/>
                <w:numId w:val="0"/>
              </w:numPr>
              <w:ind w:left="434"/>
              <w:contextualSpacing/>
            </w:pPr>
          </w:p>
          <w:p w:rsidR="00010992" w:rsidP="00AF03E6" w:rsidRDefault="00010992" w14:paraId="6B2F133D" w14:textId="77777777">
            <w:pPr>
              <w:pStyle w:val="ListParagraph"/>
              <w:keepNext/>
              <w:keepLines/>
              <w:numPr>
                <w:ilvl w:val="0"/>
                <w:numId w:val="34"/>
              </w:numPr>
              <w:ind w:left="434"/>
              <w:contextualSpacing/>
            </w:pPr>
            <w:r>
              <w:t>Joint Motion of Settling Parties for Adoption of Settlement Agreement, 12/9/20, pp. 9-14 (summarizing settlement agreement terms)</w:t>
            </w:r>
          </w:p>
          <w:p w:rsidR="00010992" w:rsidP="00AF03E6" w:rsidRDefault="00010992" w14:paraId="08020200" w14:textId="77777777">
            <w:pPr>
              <w:pStyle w:val="ListParagraph"/>
              <w:keepNext/>
              <w:keepLines/>
              <w:numPr>
                <w:ilvl w:val="0"/>
                <w:numId w:val="0"/>
              </w:numPr>
              <w:ind w:left="434"/>
              <w:contextualSpacing/>
            </w:pPr>
          </w:p>
          <w:p w:rsidR="00010992" w:rsidP="00AF03E6" w:rsidRDefault="00010992" w14:paraId="5013709F" w14:textId="77777777">
            <w:pPr>
              <w:pStyle w:val="ListParagraph"/>
              <w:keepNext/>
              <w:keepLines/>
              <w:numPr>
                <w:ilvl w:val="0"/>
                <w:numId w:val="34"/>
              </w:numPr>
              <w:ind w:left="434"/>
              <w:contextualSpacing/>
            </w:pPr>
            <w:r>
              <w:t>Joint Reply Comments of Settling Parties for Commission Adoption of Settlement Agreement, 1-25-21, pp. 3-4</w:t>
            </w:r>
          </w:p>
          <w:p w:rsidR="00010992" w:rsidP="00AF03E6" w:rsidRDefault="00010992" w14:paraId="14D46D90" w14:textId="77777777">
            <w:pPr>
              <w:pStyle w:val="ListParagraph"/>
              <w:keepNext/>
              <w:keepLines/>
              <w:numPr>
                <w:ilvl w:val="0"/>
                <w:numId w:val="0"/>
              </w:numPr>
              <w:ind w:left="720"/>
              <w:contextualSpacing/>
            </w:pPr>
          </w:p>
          <w:p w:rsidR="00010992" w:rsidP="00AF03E6" w:rsidRDefault="00010992" w14:paraId="347BF312" w14:textId="77777777">
            <w:pPr>
              <w:pStyle w:val="ListParagraph"/>
              <w:keepNext/>
              <w:keepLines/>
              <w:numPr>
                <w:ilvl w:val="0"/>
                <w:numId w:val="34"/>
              </w:numPr>
              <w:ind w:left="434"/>
              <w:contextualSpacing/>
            </w:pPr>
            <w:r>
              <w:t>D.21-09-002, Ordering Paragraphs 1-4</w:t>
            </w:r>
          </w:p>
          <w:p w:rsidR="00010992" w:rsidP="00AF03E6" w:rsidRDefault="00010992" w14:paraId="5BFC5BD0" w14:textId="77777777">
            <w:pPr>
              <w:pStyle w:val="ListParagraph"/>
              <w:keepNext/>
              <w:keepLines/>
              <w:numPr>
                <w:ilvl w:val="0"/>
                <w:numId w:val="0"/>
              </w:numPr>
              <w:ind w:left="434"/>
              <w:contextualSpacing/>
            </w:pPr>
          </w:p>
        </w:tc>
        <w:tc>
          <w:tcPr>
            <w:tcW w:w="2340" w:type="dxa"/>
            <w:shd w:val="clear" w:color="auto" w:fill="auto"/>
          </w:tcPr>
          <w:p w:rsidR="00010992" w:rsidP="00864DD2" w:rsidRDefault="00010992" w14:paraId="6DB82811" w14:textId="77777777">
            <w:pPr>
              <w:keepNext/>
              <w:keepLines/>
              <w:contextualSpacing/>
              <w:jc w:val="center"/>
              <w:rPr>
                <w:color w:val="000000"/>
              </w:rPr>
            </w:pPr>
          </w:p>
          <w:p w:rsidR="00864DD2" w:rsidP="00864DD2" w:rsidRDefault="00864DD2" w14:paraId="3257F706" w14:textId="77777777">
            <w:pPr>
              <w:keepNext/>
              <w:keepLines/>
              <w:contextualSpacing/>
              <w:jc w:val="center"/>
              <w:rPr>
                <w:color w:val="000000"/>
              </w:rPr>
            </w:pPr>
          </w:p>
          <w:p w:rsidR="00864DD2" w:rsidP="00864DD2" w:rsidRDefault="00864DD2" w14:paraId="37B985DD" w14:textId="77777777">
            <w:pPr>
              <w:keepNext/>
              <w:keepLines/>
              <w:contextualSpacing/>
              <w:jc w:val="center"/>
              <w:rPr>
                <w:color w:val="000000"/>
              </w:rPr>
            </w:pPr>
          </w:p>
          <w:p w:rsidR="00864DD2" w:rsidP="00864DD2" w:rsidRDefault="00864DD2" w14:paraId="40A2DFF8" w14:textId="77777777">
            <w:pPr>
              <w:keepNext/>
              <w:keepLines/>
              <w:contextualSpacing/>
              <w:jc w:val="center"/>
              <w:rPr>
                <w:color w:val="000000"/>
              </w:rPr>
            </w:pPr>
          </w:p>
          <w:p w:rsidR="00864DD2" w:rsidP="00864DD2" w:rsidRDefault="00864DD2" w14:paraId="48A24CE0" w14:textId="77777777">
            <w:pPr>
              <w:keepNext/>
              <w:keepLines/>
              <w:contextualSpacing/>
              <w:jc w:val="center"/>
              <w:rPr>
                <w:color w:val="000000"/>
              </w:rPr>
            </w:pPr>
          </w:p>
          <w:p w:rsidR="00864DD2" w:rsidP="00864DD2" w:rsidRDefault="00864DD2" w14:paraId="0F42AF27" w14:textId="77777777">
            <w:pPr>
              <w:keepNext/>
              <w:keepLines/>
              <w:contextualSpacing/>
              <w:jc w:val="center"/>
              <w:rPr>
                <w:color w:val="000000"/>
              </w:rPr>
            </w:pPr>
            <w:r>
              <w:rPr>
                <w:color w:val="000000"/>
              </w:rPr>
              <w:t>Verified</w:t>
            </w:r>
          </w:p>
          <w:p w:rsidR="00864DD2" w:rsidP="00864DD2" w:rsidRDefault="00864DD2" w14:paraId="7C87C9C7" w14:textId="77777777">
            <w:pPr>
              <w:keepNext/>
              <w:keepLines/>
              <w:contextualSpacing/>
              <w:jc w:val="center"/>
              <w:rPr>
                <w:color w:val="000000"/>
              </w:rPr>
            </w:pPr>
          </w:p>
          <w:p w:rsidR="00864DD2" w:rsidP="00864DD2" w:rsidRDefault="00864DD2" w14:paraId="514C3B59" w14:textId="77777777">
            <w:pPr>
              <w:keepNext/>
              <w:keepLines/>
              <w:contextualSpacing/>
              <w:jc w:val="center"/>
              <w:rPr>
                <w:color w:val="000000"/>
              </w:rPr>
            </w:pPr>
          </w:p>
          <w:p w:rsidR="00864DD2" w:rsidP="00864DD2" w:rsidRDefault="00864DD2" w14:paraId="7B3C7737" w14:textId="77777777">
            <w:pPr>
              <w:keepNext/>
              <w:keepLines/>
              <w:contextualSpacing/>
              <w:jc w:val="center"/>
              <w:rPr>
                <w:color w:val="000000"/>
              </w:rPr>
            </w:pPr>
          </w:p>
          <w:p w:rsidR="00864DD2" w:rsidP="00864DD2" w:rsidRDefault="00864DD2" w14:paraId="48F4CA94" w14:textId="77777777">
            <w:pPr>
              <w:keepNext/>
              <w:keepLines/>
              <w:contextualSpacing/>
              <w:jc w:val="center"/>
              <w:rPr>
                <w:color w:val="000000"/>
              </w:rPr>
            </w:pPr>
          </w:p>
          <w:p w:rsidR="00864DD2" w:rsidP="00864DD2" w:rsidRDefault="00864DD2" w14:paraId="621F46C3" w14:textId="77777777">
            <w:pPr>
              <w:keepNext/>
              <w:keepLines/>
              <w:contextualSpacing/>
              <w:jc w:val="center"/>
              <w:rPr>
                <w:color w:val="000000"/>
              </w:rPr>
            </w:pPr>
          </w:p>
          <w:p w:rsidR="00864DD2" w:rsidP="00864DD2" w:rsidRDefault="00864DD2" w14:paraId="163D0385" w14:textId="77777777">
            <w:pPr>
              <w:keepNext/>
              <w:keepLines/>
              <w:contextualSpacing/>
              <w:jc w:val="center"/>
              <w:rPr>
                <w:color w:val="000000"/>
              </w:rPr>
            </w:pPr>
          </w:p>
          <w:p w:rsidR="00864DD2" w:rsidP="00864DD2" w:rsidRDefault="00864DD2" w14:paraId="0D9C8351" w14:textId="77777777">
            <w:pPr>
              <w:keepNext/>
              <w:keepLines/>
              <w:contextualSpacing/>
              <w:jc w:val="center"/>
              <w:rPr>
                <w:color w:val="000000"/>
              </w:rPr>
            </w:pPr>
          </w:p>
          <w:p w:rsidR="00864DD2" w:rsidP="00864DD2" w:rsidRDefault="00864DD2" w14:paraId="1C484BF4" w14:textId="77777777">
            <w:pPr>
              <w:keepNext/>
              <w:keepLines/>
              <w:contextualSpacing/>
              <w:jc w:val="center"/>
              <w:rPr>
                <w:color w:val="000000"/>
              </w:rPr>
            </w:pPr>
          </w:p>
          <w:p w:rsidR="00864DD2" w:rsidP="00864DD2" w:rsidRDefault="00864DD2" w14:paraId="59AEB3D7" w14:textId="77777777">
            <w:pPr>
              <w:keepNext/>
              <w:keepLines/>
              <w:contextualSpacing/>
              <w:jc w:val="center"/>
              <w:rPr>
                <w:color w:val="000000"/>
              </w:rPr>
            </w:pPr>
          </w:p>
          <w:p w:rsidRPr="007F620E" w:rsidR="00864DD2" w:rsidP="00864DD2" w:rsidRDefault="00864DD2" w14:paraId="7B5B2E2C" w14:textId="1E3619B2">
            <w:pPr>
              <w:keepNext/>
              <w:keepLines/>
              <w:contextualSpacing/>
              <w:jc w:val="center"/>
              <w:rPr>
                <w:color w:val="000000"/>
              </w:rPr>
            </w:pPr>
            <w:r>
              <w:rPr>
                <w:color w:val="000000"/>
              </w:rPr>
              <w:t>Verified</w:t>
            </w:r>
          </w:p>
        </w:tc>
      </w:tr>
      <w:tr w:rsidRPr="007F620E" w:rsidR="00D847CD" w:rsidTr="001811F3" w14:paraId="4AB46269" w14:textId="77777777">
        <w:tc>
          <w:tcPr>
            <w:tcW w:w="3595" w:type="dxa"/>
            <w:shd w:val="clear" w:color="auto" w:fill="auto"/>
          </w:tcPr>
          <w:p w:rsidRPr="00A50936" w:rsidR="00E9323C" w:rsidP="00AF03E6" w:rsidRDefault="00E9323C" w14:paraId="6ACBAEFA" w14:textId="4E2E5DBB">
            <w:pPr>
              <w:keepNext/>
              <w:keepLines/>
              <w:contextualSpacing/>
              <w:rPr>
                <w:b/>
                <w:bCs/>
              </w:rPr>
            </w:pPr>
            <w:r w:rsidRPr="00A50936">
              <w:rPr>
                <w:b/>
                <w:bCs/>
                <w:color w:val="000000"/>
              </w:rPr>
              <w:lastRenderedPageBreak/>
              <w:t>D.22-11-031</w:t>
            </w:r>
            <w:r>
              <w:rPr>
                <w:b/>
                <w:bCs/>
                <w:color w:val="000000"/>
              </w:rPr>
              <w:t xml:space="preserve"> (SCE UL Program Remedies)</w:t>
            </w:r>
          </w:p>
          <w:p w:rsidR="001E1AAE" w:rsidP="00AF03E6" w:rsidRDefault="00E9323C" w14:paraId="227447CF" w14:textId="542E55A2">
            <w:pPr>
              <w:keepNext/>
              <w:keepLines/>
              <w:contextualSpacing/>
              <w:rPr>
                <w:b/>
                <w:bCs/>
              </w:rPr>
            </w:pPr>
            <w:r>
              <w:rPr>
                <w:b/>
                <w:bCs/>
              </w:rPr>
              <w:t xml:space="preserve"> </w:t>
            </w:r>
          </w:p>
          <w:p w:rsidR="001E1AAE" w:rsidP="00AF03E6" w:rsidRDefault="004D6EC8" w14:paraId="61F396A1" w14:textId="1CA8D98C">
            <w:pPr>
              <w:keepNext/>
              <w:keepLines/>
              <w:contextualSpacing/>
            </w:pPr>
            <w:r>
              <w:t>Consistent with the</w:t>
            </w:r>
            <w:r w:rsidR="001E1AAE">
              <w:t xml:space="preserve"> urging of TURN and Cal Advocates, SCE hired Deloitte and Touche LLP (D&amp;T) to investigate SCE’s administration of the UL Program in 2017-2019.  SCE submitted the results of this investigation and SCE’s recommendations for remedies to the Commission on November 30, 2020.  SCE proposed a total remedy of $19.4 million, including previous reductions to ESPI related to the UL 2017 and 2018 Impact Evaluations and an additional ESPI refund of $6.1 million.</w:t>
            </w:r>
          </w:p>
          <w:p w:rsidR="001E1AAE" w:rsidP="00AF03E6" w:rsidRDefault="001E1AAE" w14:paraId="12D4E1DC" w14:textId="77777777">
            <w:pPr>
              <w:keepNext/>
              <w:keepLines/>
              <w:contextualSpacing/>
              <w:rPr>
                <w:color w:val="000000"/>
              </w:rPr>
            </w:pPr>
          </w:p>
          <w:p w:rsidR="001E1AAE" w:rsidP="00AF03E6" w:rsidRDefault="001E1AAE" w14:paraId="2036479D" w14:textId="3E6E9A55">
            <w:pPr>
              <w:keepNext/>
              <w:keepLines/>
              <w:contextualSpacing/>
            </w:pPr>
            <w:r>
              <w:t xml:space="preserve">TURN responded in comments filed on January 20, 2021.  Based on TURN’s extensive analysis of the D&amp;T report, TURN urged the </w:t>
            </w:r>
            <w:r>
              <w:lastRenderedPageBreak/>
              <w:t>Commission to conclude that SCE imprudently managed the UL Program in 2017, 2018, and at least part of 2019.  TURN recommended remedies including: (1) a refund of program expenditures, including all Program administration costs and those implementation costs associated with the parts of the program with unaccounted for bulbs; (2) a refund of ESPI awards; (3) a fine for misleading the Commission by reporting UL Program energy savings that SCE knew or should have known were unreliable; and (4) requiring SCE to conduct whistleblower training at shareholder expense and adopt other measures to encourage employees to be effective stewards of ratepayer funds.  TURN also highlighted SCE’s conduct in response to the D&amp;T report in discussing remedies, including SCE minimizing its own culpability and overstating the significance of its voluntary remedial actions in 2019.</w:t>
            </w:r>
            <w:r w:rsidR="003E3119">
              <w:t xml:space="preserve">  As </w:t>
            </w:r>
            <w:r>
              <w:t>TURN</w:t>
            </w:r>
            <w:r w:rsidR="003E3119">
              <w:t xml:space="preserve"> noted there, TURN</w:t>
            </w:r>
            <w:r>
              <w:t xml:space="preserve"> coordinated with Cal Advocates in preparing th</w:t>
            </w:r>
            <w:r w:rsidR="00C020C4">
              <w:t>o</w:t>
            </w:r>
            <w:r>
              <w:t xml:space="preserve">se recommendations.  TURN focused on the factual, legal, and policy basis for proposed remedies, while referring the Commission to the comments of Cal Advocates for the appropriate amount of Program and ESPI refunds and fines.  </w:t>
            </w:r>
          </w:p>
          <w:p w:rsidR="001E1AAE" w:rsidP="00AF03E6" w:rsidRDefault="001E1AAE" w14:paraId="5D660C67" w14:textId="77777777">
            <w:pPr>
              <w:keepNext/>
              <w:keepLines/>
              <w:contextualSpacing/>
            </w:pPr>
          </w:p>
          <w:p w:rsidRPr="001E1AAE" w:rsidR="001E1AAE" w:rsidP="00AF03E6" w:rsidRDefault="001E1AAE" w14:paraId="13822C4D" w14:textId="599C9804">
            <w:pPr>
              <w:keepNext/>
              <w:keepLines/>
              <w:contextualSpacing/>
            </w:pPr>
            <w:r>
              <w:lastRenderedPageBreak/>
              <w:t xml:space="preserve">On May 24, 2022, the Commission issued an Order to Show Cause (OSC) directing SCE to address why it should not be required to refund funding for the portion of the UL Program budget associated with unaccounted for bulbs; refund ESPI awards associated with the unaccounted for bulbs; and pay penalties for mispresenting program progress to the Commission.  In response, SCE offered to pay </w:t>
            </w:r>
            <w:r w:rsidR="001B53A4">
              <w:t>additional remedies</w:t>
            </w:r>
            <w:r w:rsidR="000A4A48">
              <w:t xml:space="preserve"> of $13.1 million</w:t>
            </w:r>
            <w:r w:rsidR="001B53A4">
              <w:t xml:space="preserve"> for a fraction of </w:t>
            </w:r>
            <w:r>
              <w:t>UL Program costs (beyond the ESPI refund it previously offered)</w:t>
            </w:r>
            <w:r w:rsidR="00384D5D">
              <w:t>, but opposed any fine</w:t>
            </w:r>
            <w:r>
              <w:t xml:space="preserve">.  </w:t>
            </w:r>
            <w:r w:rsidR="002420C1">
              <w:t xml:space="preserve">SCE also offered to </w:t>
            </w:r>
            <w:r w:rsidR="00706F08">
              <w:t>conduct additional audits and training in response to the non-financial recommendations of TURN and Cal Advocates.</w:t>
            </w:r>
          </w:p>
          <w:p w:rsidR="001E1AAE" w:rsidP="00AF03E6" w:rsidRDefault="001E1AAE" w14:paraId="4B4EC696" w14:textId="77777777">
            <w:pPr>
              <w:keepNext/>
              <w:keepLines/>
              <w:contextualSpacing/>
              <w:rPr>
                <w:color w:val="000000"/>
              </w:rPr>
            </w:pPr>
          </w:p>
          <w:p w:rsidR="001E1AAE" w:rsidP="00AF03E6" w:rsidRDefault="001E1AAE" w14:paraId="282552AB" w14:textId="3D5D6F8E">
            <w:pPr>
              <w:keepNext/>
              <w:keepLines/>
              <w:contextualSpacing/>
            </w:pPr>
            <w:r>
              <w:t xml:space="preserve">TURN and Cal Advocates prepared a joint reply to SCE’s response to the OSC.  TURN and Cal Advocates argued that SCE’s proposed remedies did not sufficiently address SCE’s mismanagement and false reporting of program impacts, or its attempts to undermine the investigation, all of which harmed ratepayers and impeded the advancement of the state’s EE and GHG reduction policies and goals.  TURN and Cal Advocates proposed remedies including the following:  (1) a refund of all program </w:t>
            </w:r>
            <w:r>
              <w:lastRenderedPageBreak/>
              <w:t xml:space="preserve">administrative costs and either all implementation costs or implementation costs associated with unaccounted for bulbs (either $91.9 million or $76.1 million); (2) a refund of all ESPI awards for program years 2017-2019 or at least all ESPI awards for the UL Program ($32.7 million or $21.1 million); and $98 million in fines for violation Commission </w:t>
            </w:r>
            <w:r w:rsidR="0054115A">
              <w:t>Rule 1.1</w:t>
            </w:r>
            <w:r>
              <w:t xml:space="preserve"> and the Public Utilities Code.   </w:t>
            </w:r>
          </w:p>
          <w:p w:rsidR="00687905" w:rsidP="00AF03E6" w:rsidRDefault="00687905" w14:paraId="4D5FBAF2" w14:textId="77777777">
            <w:pPr>
              <w:keepNext/>
              <w:keepLines/>
              <w:contextualSpacing/>
            </w:pPr>
          </w:p>
          <w:p w:rsidR="00687905" w:rsidP="00AF03E6" w:rsidRDefault="00932F91" w14:paraId="7AC719E4" w14:textId="393FA65E">
            <w:pPr>
              <w:keepNext/>
              <w:keepLines/>
              <w:contextualSpacing/>
            </w:pPr>
            <w:r>
              <w:t>On September 9, 2022, the Commission issued the Presiding Officer’s Decision (POD)</w:t>
            </w:r>
            <w:r w:rsidR="00B4742E">
              <w:t xml:space="preserve">.  The POD agreed with TURN and Cal Advocates that SCE mismanaged the </w:t>
            </w:r>
            <w:r w:rsidR="00062A92">
              <w:t xml:space="preserve">UL Program in 2017, 2018, and 2019.   </w:t>
            </w:r>
            <w:r w:rsidR="007C79CC">
              <w:t>T</w:t>
            </w:r>
            <w:r w:rsidR="00E22A6E">
              <w:t>he</w:t>
            </w:r>
            <w:r w:rsidR="007C79CC">
              <w:t xml:space="preserve"> POD further agreed that Program refunds, ESPI refunds, and fines were warranted.  The POD </w:t>
            </w:r>
            <w:r w:rsidR="00C36AAB">
              <w:t>ordered a Program refund of $76.1 million (the lower alternative recommended by TURN and Cal Advocates)</w:t>
            </w:r>
            <w:r w:rsidR="007779F9">
              <w:t>; an ESPI refund of $6.8 million</w:t>
            </w:r>
            <w:r w:rsidR="00384D5D">
              <w:t xml:space="preserve"> (SCE’s position)</w:t>
            </w:r>
            <w:r w:rsidR="007779F9">
              <w:t xml:space="preserve">; and a fine of $19.06 million for SCE’s violation of Rule 1.1.  </w:t>
            </w:r>
          </w:p>
          <w:p w:rsidR="006D7294" w:rsidP="00AF03E6" w:rsidRDefault="006D7294" w14:paraId="774CDF90" w14:textId="77777777">
            <w:pPr>
              <w:keepNext/>
              <w:keepLines/>
              <w:contextualSpacing/>
            </w:pPr>
          </w:p>
          <w:p w:rsidR="006D7294" w:rsidP="00AF03E6" w:rsidRDefault="006D7294" w14:paraId="62D4F515" w14:textId="7F2E3B91">
            <w:pPr>
              <w:keepNext/>
              <w:keepLines/>
              <w:contextualSpacing/>
            </w:pPr>
            <w:r>
              <w:t xml:space="preserve">SCE appealed the POD on </w:t>
            </w:r>
            <w:r w:rsidR="00E84FE8">
              <w:t>October 10, 2022, arguing in pertinent part that the record did not support the POD’s Program refund or Rule 1.1 penalty.  TURN and Cal Advoc</w:t>
            </w:r>
            <w:r w:rsidR="000F7DB5">
              <w:t>ates filed a joint response to SCE’s appeal of the POD on October 25, 2022</w:t>
            </w:r>
            <w:r w:rsidR="00FA7DFC">
              <w:t xml:space="preserve">, </w:t>
            </w:r>
            <w:r w:rsidR="00FA7DFC">
              <w:lastRenderedPageBreak/>
              <w:t>defending the POD’s treatment of Program refunds and fines</w:t>
            </w:r>
            <w:r w:rsidR="000F7DB5">
              <w:t>.</w:t>
            </w:r>
            <w:r w:rsidR="0004703B">
              <w:t xml:space="preserve">  </w:t>
            </w:r>
          </w:p>
          <w:p w:rsidR="00356097" w:rsidP="00AF03E6" w:rsidRDefault="00356097" w14:paraId="1A8F830F" w14:textId="77777777">
            <w:pPr>
              <w:keepNext/>
              <w:keepLines/>
              <w:contextualSpacing/>
            </w:pPr>
          </w:p>
          <w:p w:rsidR="001E1AAE" w:rsidP="00AF03E6" w:rsidRDefault="00356097" w14:paraId="60F6D627" w14:textId="6CC9781B">
            <w:pPr>
              <w:keepNext/>
              <w:keepLines/>
              <w:contextualSpacing/>
              <w:rPr>
                <w:color w:val="000000"/>
              </w:rPr>
            </w:pPr>
            <w:r>
              <w:t xml:space="preserve">In D.22-11-031, </w:t>
            </w:r>
            <w:r w:rsidR="008C7F9B">
              <w:t xml:space="preserve">the Commission adopted the remedies set forth in the POD.  </w:t>
            </w:r>
            <w:r w:rsidR="00D347C0">
              <w:t xml:space="preserve">The Commission agreed with each of the arguments presented by TURN and Cal Advocates in response to SCE’s appeal of the POD’s Program Refund and declined to make changes to the POD.  </w:t>
            </w:r>
            <w:r w:rsidR="00292CF9">
              <w:t>The Commission further</w:t>
            </w:r>
            <w:r w:rsidR="0066472E">
              <w:t xml:space="preserve"> agreed with TURN and Cal Advocates’ </w:t>
            </w:r>
            <w:r w:rsidR="00C4166B">
              <w:t>that the POD’s fine is fully justified.</w:t>
            </w:r>
            <w:r w:rsidR="00292CF9">
              <w:t xml:space="preserve"> </w:t>
            </w:r>
          </w:p>
        </w:tc>
        <w:tc>
          <w:tcPr>
            <w:tcW w:w="3803" w:type="dxa"/>
            <w:shd w:val="clear" w:color="auto" w:fill="auto"/>
          </w:tcPr>
          <w:p w:rsidRPr="00A50936" w:rsidR="00E9323C" w:rsidP="00AF03E6" w:rsidRDefault="00E9323C" w14:paraId="3B45F0FF" w14:textId="77777777">
            <w:pPr>
              <w:keepNext/>
              <w:keepLines/>
              <w:contextualSpacing/>
              <w:rPr>
                <w:b/>
                <w:bCs/>
              </w:rPr>
            </w:pPr>
            <w:r w:rsidRPr="00A50936">
              <w:rPr>
                <w:b/>
                <w:bCs/>
                <w:color w:val="000000"/>
              </w:rPr>
              <w:lastRenderedPageBreak/>
              <w:t>D.22-11-031</w:t>
            </w:r>
            <w:r>
              <w:rPr>
                <w:b/>
                <w:bCs/>
                <w:color w:val="000000"/>
              </w:rPr>
              <w:t xml:space="preserve"> (SCE UL Program Remedies)</w:t>
            </w:r>
          </w:p>
          <w:p w:rsidR="001E1AAE" w:rsidP="00AF03E6" w:rsidRDefault="001E1AAE" w14:paraId="5DD88170" w14:textId="77777777">
            <w:pPr>
              <w:keepNext/>
              <w:keepLines/>
              <w:contextualSpacing/>
            </w:pPr>
          </w:p>
          <w:p w:rsidR="001E1AAE" w:rsidP="00AF03E6" w:rsidRDefault="001E1AAE" w14:paraId="55EA9089" w14:textId="77777777">
            <w:pPr>
              <w:pStyle w:val="ListParagraph"/>
              <w:keepNext/>
              <w:keepLines/>
              <w:numPr>
                <w:ilvl w:val="0"/>
                <w:numId w:val="34"/>
              </w:numPr>
              <w:ind w:left="434"/>
              <w:contextualSpacing/>
            </w:pPr>
            <w:r>
              <w:t xml:space="preserve">TURN </w:t>
            </w:r>
            <w:proofErr w:type="spellStart"/>
            <w:r>
              <w:t>Cmts</w:t>
            </w:r>
            <w:proofErr w:type="spellEnd"/>
            <w:r>
              <w:t xml:space="preserve"> Responding to SCE’s UL Program Investigation and Addressing Appropriate Remedies for the Utility’s Conduct, 1-20-21, pp. 3-23 (analysis supporting a finding of imprudence); pp. 23-25 (SCE’s conduct in response to the D&amp;T report); 26-29 (appropriate remedies)</w:t>
            </w:r>
          </w:p>
          <w:p w:rsidR="004458EC" w:rsidP="00AF03E6" w:rsidRDefault="004458EC" w14:paraId="393B8F93" w14:textId="77777777">
            <w:pPr>
              <w:pStyle w:val="ListParagraph"/>
              <w:keepNext/>
              <w:keepLines/>
              <w:numPr>
                <w:ilvl w:val="0"/>
                <w:numId w:val="0"/>
              </w:numPr>
              <w:ind w:left="434"/>
              <w:contextualSpacing/>
            </w:pPr>
          </w:p>
          <w:p w:rsidR="00467A75" w:rsidP="00AF03E6" w:rsidRDefault="00467A75" w14:paraId="7E145247" w14:textId="1EEF8C07">
            <w:pPr>
              <w:pStyle w:val="ListParagraph"/>
              <w:keepNext/>
              <w:keepLines/>
              <w:numPr>
                <w:ilvl w:val="0"/>
                <w:numId w:val="34"/>
              </w:numPr>
              <w:ind w:left="434"/>
              <w:contextualSpacing/>
            </w:pPr>
            <w:r>
              <w:t xml:space="preserve">Joint Reply of Cal Advocates and TURN </w:t>
            </w:r>
            <w:r w:rsidR="00F11425">
              <w:t>re OSC</w:t>
            </w:r>
            <w:r w:rsidR="004458EC">
              <w:t>, 7-18-22, pp.</w:t>
            </w:r>
            <w:r w:rsidR="00FE2DA2">
              <w:t xml:space="preserve"> 9-</w:t>
            </w:r>
            <w:r w:rsidR="00972498">
              <w:t>17</w:t>
            </w:r>
            <w:r w:rsidR="00FE2DA2">
              <w:t xml:space="preserve"> (UL program refunds); pp. </w:t>
            </w:r>
            <w:r w:rsidR="001E5688">
              <w:t>17-18</w:t>
            </w:r>
            <w:r w:rsidR="00FE2DA2">
              <w:t xml:space="preserve"> (ESPI refunds); </w:t>
            </w:r>
            <w:r w:rsidR="00972498">
              <w:t xml:space="preserve">pp. </w:t>
            </w:r>
            <w:r w:rsidR="006202E9">
              <w:t xml:space="preserve">18-35 </w:t>
            </w:r>
            <w:r w:rsidR="00972498">
              <w:t>(fines)</w:t>
            </w:r>
            <w:r w:rsidR="006202E9">
              <w:t>.</w:t>
            </w:r>
          </w:p>
          <w:p w:rsidR="00D92338" w:rsidP="00AF03E6" w:rsidRDefault="00D92338" w14:paraId="08014E76" w14:textId="77777777">
            <w:pPr>
              <w:pStyle w:val="ListParagraph"/>
              <w:keepNext/>
              <w:keepLines/>
              <w:numPr>
                <w:ilvl w:val="0"/>
                <w:numId w:val="0"/>
              </w:numPr>
              <w:ind w:left="720"/>
              <w:contextualSpacing/>
            </w:pPr>
          </w:p>
          <w:p w:rsidR="00D92338" w:rsidP="00AF03E6" w:rsidRDefault="00D92338" w14:paraId="5D00EFED" w14:textId="74D4592D">
            <w:pPr>
              <w:pStyle w:val="ListParagraph"/>
              <w:keepNext/>
              <w:keepLines/>
              <w:numPr>
                <w:ilvl w:val="0"/>
                <w:numId w:val="34"/>
              </w:numPr>
              <w:ind w:left="434"/>
              <w:contextualSpacing/>
            </w:pPr>
            <w:r>
              <w:t xml:space="preserve">Joint Response of Cal Advocates and TURN to SCE’s Appeal of POD, </w:t>
            </w:r>
            <w:r w:rsidR="00F85FC3">
              <w:t>10-25-22</w:t>
            </w:r>
            <w:r w:rsidR="00D21B74">
              <w:t xml:space="preserve">, pp. 3-12 (Program </w:t>
            </w:r>
            <w:r w:rsidR="00D21B74">
              <w:lastRenderedPageBreak/>
              <w:t xml:space="preserve">refunds); </w:t>
            </w:r>
            <w:r w:rsidR="006F16E4">
              <w:t xml:space="preserve">pp. </w:t>
            </w:r>
            <w:r w:rsidR="00207645">
              <w:t xml:space="preserve">12-26 </w:t>
            </w:r>
            <w:r w:rsidR="006F16E4">
              <w:t>(Rule 1.1 violation fines)</w:t>
            </w:r>
          </w:p>
          <w:p w:rsidR="009C0C13" w:rsidP="00AF03E6" w:rsidRDefault="009C0C13" w14:paraId="562AC27D" w14:textId="77777777">
            <w:pPr>
              <w:pStyle w:val="ListParagraph"/>
              <w:keepNext/>
              <w:keepLines/>
              <w:numPr>
                <w:ilvl w:val="0"/>
                <w:numId w:val="0"/>
              </w:numPr>
              <w:ind w:left="720"/>
              <w:contextualSpacing/>
            </w:pPr>
          </w:p>
          <w:p w:rsidR="00207645" w:rsidP="00AF03E6" w:rsidRDefault="00207645" w14:paraId="464181C9" w14:textId="774AC5B6">
            <w:pPr>
              <w:pStyle w:val="ListParagraph"/>
              <w:keepNext/>
              <w:keepLines/>
              <w:numPr>
                <w:ilvl w:val="0"/>
                <w:numId w:val="34"/>
              </w:numPr>
              <w:ind w:left="434"/>
              <w:contextualSpacing/>
            </w:pPr>
            <w:r>
              <w:t xml:space="preserve">D.22-11-031, pp. </w:t>
            </w:r>
            <w:r w:rsidR="00BE5DFB">
              <w:t>16-</w:t>
            </w:r>
            <w:r w:rsidR="0055339D">
              <w:t>17 (adopting TURN and Cal Advocates</w:t>
            </w:r>
            <w:r w:rsidR="006814EF">
              <w:t>’</w:t>
            </w:r>
            <w:r w:rsidR="0055339D">
              <w:t xml:space="preserve"> alternative recommendation for Program refunds); </w:t>
            </w:r>
            <w:r w:rsidR="005D21B0">
              <w:t xml:space="preserve">p. 20 (agreeing with TURN and Cal Advocates that </w:t>
            </w:r>
            <w:r w:rsidR="00F35520">
              <w:t xml:space="preserve">fines are warranted); </w:t>
            </w:r>
            <w:r w:rsidR="00AE725A">
              <w:t xml:space="preserve">pp. </w:t>
            </w:r>
            <w:r w:rsidR="00451424">
              <w:t>21-28 (incorporating the analysis of TURN and Cal Advocates in determining the amount of the fine</w:t>
            </w:r>
            <w:r w:rsidR="009C0C13">
              <w:t xml:space="preserve">, </w:t>
            </w:r>
            <w:r w:rsidR="00CF41D7">
              <w:t xml:space="preserve">albeit </w:t>
            </w:r>
            <w:r w:rsidR="009C0C13">
              <w:t xml:space="preserve">adopting a lower </w:t>
            </w:r>
            <w:r w:rsidR="00CF41D7">
              <w:t>fine amount</w:t>
            </w:r>
            <w:r w:rsidR="009C0C13">
              <w:t>)</w:t>
            </w:r>
          </w:p>
          <w:p w:rsidR="0055339D" w:rsidP="00AF03E6" w:rsidRDefault="0055339D" w14:paraId="7119B2E1" w14:textId="77777777">
            <w:pPr>
              <w:pStyle w:val="ListParagraph"/>
              <w:keepNext/>
              <w:keepLines/>
              <w:numPr>
                <w:ilvl w:val="0"/>
                <w:numId w:val="0"/>
              </w:numPr>
              <w:ind w:left="434"/>
              <w:contextualSpacing/>
            </w:pPr>
          </w:p>
          <w:p w:rsidR="00207645" w:rsidP="00AF03E6" w:rsidRDefault="00207645" w14:paraId="5D17C7F8" w14:textId="5519A976">
            <w:pPr>
              <w:pStyle w:val="ListParagraph"/>
              <w:keepNext/>
              <w:keepLines/>
              <w:numPr>
                <w:ilvl w:val="0"/>
                <w:numId w:val="34"/>
              </w:numPr>
              <w:ind w:left="434"/>
              <w:contextualSpacing/>
            </w:pPr>
            <w:r>
              <w:t xml:space="preserve">D.22-11-031, </w:t>
            </w:r>
            <w:r w:rsidR="00D42B16">
              <w:t xml:space="preserve">Section 6 (addressing SCE’s appeal of the POD); pp. 30-32 (agreeing with TURN and Cal Advocates </w:t>
            </w:r>
            <w:r w:rsidR="00602D9C">
              <w:t xml:space="preserve">that the POD’s treatment of Program refunds is reasonable); pp. </w:t>
            </w:r>
            <w:r w:rsidR="00C05DE0">
              <w:t>33-35 (agreeing with TURN and Cal Advocates that the POD’s treatment of Rule 1.1 violations fines is reasonable)</w:t>
            </w:r>
          </w:p>
          <w:p w:rsidR="00D92338" w:rsidP="00AF03E6" w:rsidRDefault="00D92338" w14:paraId="3B167A62" w14:textId="77777777">
            <w:pPr>
              <w:keepNext/>
              <w:keepLines/>
              <w:contextualSpacing/>
            </w:pPr>
          </w:p>
          <w:p w:rsidR="00D92338" w:rsidP="00AF03E6" w:rsidRDefault="00D92338" w14:paraId="471B2BB5" w14:textId="77777777">
            <w:pPr>
              <w:keepNext/>
              <w:keepLines/>
              <w:contextualSpacing/>
            </w:pPr>
          </w:p>
          <w:p w:rsidRPr="007F620E" w:rsidR="00D847CD" w:rsidP="00AF03E6" w:rsidRDefault="00D847CD" w14:paraId="78827014" w14:textId="77777777">
            <w:pPr>
              <w:keepNext/>
              <w:keepLines/>
              <w:contextualSpacing/>
              <w:rPr>
                <w:color w:val="000000"/>
              </w:rPr>
            </w:pPr>
          </w:p>
        </w:tc>
        <w:tc>
          <w:tcPr>
            <w:tcW w:w="2340" w:type="dxa"/>
            <w:shd w:val="clear" w:color="auto" w:fill="auto"/>
          </w:tcPr>
          <w:p w:rsidR="00D847CD" w:rsidP="00864DD2" w:rsidRDefault="00D847CD" w14:paraId="2406EFCA" w14:textId="77777777">
            <w:pPr>
              <w:keepNext/>
              <w:keepLines/>
              <w:contextualSpacing/>
              <w:jc w:val="center"/>
              <w:rPr>
                <w:color w:val="000000"/>
              </w:rPr>
            </w:pPr>
          </w:p>
          <w:p w:rsidR="00864DD2" w:rsidP="00864DD2" w:rsidRDefault="00864DD2" w14:paraId="181073F6" w14:textId="77777777">
            <w:pPr>
              <w:keepNext/>
              <w:keepLines/>
              <w:contextualSpacing/>
              <w:jc w:val="center"/>
              <w:rPr>
                <w:color w:val="000000"/>
              </w:rPr>
            </w:pPr>
          </w:p>
          <w:p w:rsidR="00864DD2" w:rsidP="00864DD2" w:rsidRDefault="00864DD2" w14:paraId="2FE9996D" w14:textId="77777777">
            <w:pPr>
              <w:keepNext/>
              <w:keepLines/>
              <w:contextualSpacing/>
              <w:jc w:val="center"/>
              <w:rPr>
                <w:color w:val="000000"/>
              </w:rPr>
            </w:pPr>
          </w:p>
          <w:p w:rsidR="00864DD2" w:rsidP="00864DD2" w:rsidRDefault="00864DD2" w14:paraId="00DF9E9A" w14:textId="77777777">
            <w:pPr>
              <w:keepNext/>
              <w:keepLines/>
              <w:contextualSpacing/>
              <w:jc w:val="center"/>
              <w:rPr>
                <w:color w:val="000000"/>
              </w:rPr>
            </w:pPr>
          </w:p>
          <w:p w:rsidR="00864DD2" w:rsidP="00864DD2" w:rsidRDefault="00864DD2" w14:paraId="7032B628" w14:textId="77777777">
            <w:pPr>
              <w:keepNext/>
              <w:keepLines/>
              <w:contextualSpacing/>
              <w:jc w:val="center"/>
              <w:rPr>
                <w:color w:val="000000"/>
              </w:rPr>
            </w:pPr>
          </w:p>
          <w:p w:rsidR="00864DD2" w:rsidP="00864DD2" w:rsidRDefault="00864DD2" w14:paraId="3BC62BB9" w14:textId="77777777">
            <w:pPr>
              <w:keepNext/>
              <w:keepLines/>
              <w:contextualSpacing/>
              <w:jc w:val="center"/>
              <w:rPr>
                <w:color w:val="000000"/>
              </w:rPr>
            </w:pPr>
            <w:r>
              <w:rPr>
                <w:color w:val="000000"/>
              </w:rPr>
              <w:t>Verified</w:t>
            </w:r>
          </w:p>
          <w:p w:rsidR="00864DD2" w:rsidP="00864DD2" w:rsidRDefault="00864DD2" w14:paraId="50004783" w14:textId="77777777">
            <w:pPr>
              <w:keepNext/>
              <w:keepLines/>
              <w:contextualSpacing/>
              <w:jc w:val="center"/>
              <w:rPr>
                <w:color w:val="000000"/>
              </w:rPr>
            </w:pPr>
          </w:p>
          <w:p w:rsidR="00864DD2" w:rsidP="00864DD2" w:rsidRDefault="00864DD2" w14:paraId="4904D6A5" w14:textId="77777777">
            <w:pPr>
              <w:keepNext/>
              <w:keepLines/>
              <w:contextualSpacing/>
              <w:jc w:val="center"/>
              <w:rPr>
                <w:color w:val="000000"/>
              </w:rPr>
            </w:pPr>
          </w:p>
          <w:p w:rsidR="00864DD2" w:rsidP="00864DD2" w:rsidRDefault="00864DD2" w14:paraId="1DF425BE" w14:textId="77777777">
            <w:pPr>
              <w:keepNext/>
              <w:keepLines/>
              <w:contextualSpacing/>
              <w:jc w:val="center"/>
              <w:rPr>
                <w:color w:val="000000"/>
              </w:rPr>
            </w:pPr>
          </w:p>
          <w:p w:rsidR="00864DD2" w:rsidP="00864DD2" w:rsidRDefault="00864DD2" w14:paraId="76CCB014" w14:textId="77777777">
            <w:pPr>
              <w:keepNext/>
              <w:keepLines/>
              <w:contextualSpacing/>
              <w:jc w:val="center"/>
              <w:rPr>
                <w:color w:val="000000"/>
              </w:rPr>
            </w:pPr>
          </w:p>
          <w:p w:rsidR="00864DD2" w:rsidP="00864DD2" w:rsidRDefault="00864DD2" w14:paraId="05491684" w14:textId="77777777">
            <w:pPr>
              <w:keepNext/>
              <w:keepLines/>
              <w:contextualSpacing/>
              <w:jc w:val="center"/>
              <w:rPr>
                <w:color w:val="000000"/>
              </w:rPr>
            </w:pPr>
          </w:p>
          <w:p w:rsidR="00864DD2" w:rsidP="00864DD2" w:rsidRDefault="00864DD2" w14:paraId="4DD4E23F" w14:textId="77777777">
            <w:pPr>
              <w:keepNext/>
              <w:keepLines/>
              <w:contextualSpacing/>
              <w:jc w:val="center"/>
              <w:rPr>
                <w:color w:val="000000"/>
              </w:rPr>
            </w:pPr>
          </w:p>
          <w:p w:rsidR="00864DD2" w:rsidP="00864DD2" w:rsidRDefault="00864DD2" w14:paraId="24517B5C" w14:textId="77777777">
            <w:pPr>
              <w:keepNext/>
              <w:keepLines/>
              <w:contextualSpacing/>
              <w:jc w:val="center"/>
              <w:rPr>
                <w:color w:val="000000"/>
              </w:rPr>
            </w:pPr>
          </w:p>
          <w:p w:rsidR="00864DD2" w:rsidP="00864DD2" w:rsidRDefault="00864DD2" w14:paraId="550FD06E" w14:textId="77777777">
            <w:pPr>
              <w:keepNext/>
              <w:keepLines/>
              <w:contextualSpacing/>
              <w:jc w:val="center"/>
              <w:rPr>
                <w:color w:val="000000"/>
              </w:rPr>
            </w:pPr>
          </w:p>
          <w:p w:rsidR="00864DD2" w:rsidP="00864DD2" w:rsidRDefault="00864DD2" w14:paraId="76B36C66" w14:textId="77777777">
            <w:pPr>
              <w:keepNext/>
              <w:keepLines/>
              <w:contextualSpacing/>
              <w:jc w:val="center"/>
              <w:rPr>
                <w:color w:val="000000"/>
              </w:rPr>
            </w:pPr>
          </w:p>
          <w:p w:rsidR="00864DD2" w:rsidP="00864DD2" w:rsidRDefault="00864DD2" w14:paraId="635397CB" w14:textId="77777777">
            <w:pPr>
              <w:keepNext/>
              <w:keepLines/>
              <w:contextualSpacing/>
              <w:jc w:val="center"/>
              <w:rPr>
                <w:color w:val="000000"/>
              </w:rPr>
            </w:pPr>
          </w:p>
          <w:p w:rsidR="00864DD2" w:rsidP="00864DD2" w:rsidRDefault="00864DD2" w14:paraId="44EDEB13" w14:textId="77777777">
            <w:pPr>
              <w:keepNext/>
              <w:keepLines/>
              <w:contextualSpacing/>
              <w:jc w:val="center"/>
              <w:rPr>
                <w:color w:val="000000"/>
              </w:rPr>
            </w:pPr>
            <w:r>
              <w:rPr>
                <w:color w:val="000000"/>
              </w:rPr>
              <w:t>Verified</w:t>
            </w:r>
          </w:p>
          <w:p w:rsidR="00864DD2" w:rsidP="00864DD2" w:rsidRDefault="00864DD2" w14:paraId="6124DA35" w14:textId="77777777">
            <w:pPr>
              <w:keepNext/>
              <w:keepLines/>
              <w:contextualSpacing/>
              <w:jc w:val="center"/>
              <w:rPr>
                <w:color w:val="000000"/>
              </w:rPr>
            </w:pPr>
          </w:p>
          <w:p w:rsidR="00864DD2" w:rsidP="00864DD2" w:rsidRDefault="00864DD2" w14:paraId="2B813249" w14:textId="77777777">
            <w:pPr>
              <w:keepNext/>
              <w:keepLines/>
              <w:contextualSpacing/>
              <w:jc w:val="center"/>
              <w:rPr>
                <w:color w:val="000000"/>
              </w:rPr>
            </w:pPr>
          </w:p>
          <w:p w:rsidR="00864DD2" w:rsidP="00864DD2" w:rsidRDefault="00864DD2" w14:paraId="502420FA" w14:textId="77777777">
            <w:pPr>
              <w:keepNext/>
              <w:keepLines/>
              <w:contextualSpacing/>
              <w:jc w:val="center"/>
              <w:rPr>
                <w:color w:val="000000"/>
              </w:rPr>
            </w:pPr>
          </w:p>
          <w:p w:rsidR="00864DD2" w:rsidP="00864DD2" w:rsidRDefault="00864DD2" w14:paraId="6D0DCC45" w14:textId="77777777">
            <w:pPr>
              <w:keepNext/>
              <w:keepLines/>
              <w:contextualSpacing/>
              <w:jc w:val="center"/>
              <w:rPr>
                <w:color w:val="000000"/>
              </w:rPr>
            </w:pPr>
          </w:p>
          <w:p w:rsidR="00864DD2" w:rsidP="00864DD2" w:rsidRDefault="00864DD2" w14:paraId="6B1B44C3" w14:textId="77777777">
            <w:pPr>
              <w:keepNext/>
              <w:keepLines/>
              <w:contextualSpacing/>
              <w:jc w:val="center"/>
              <w:rPr>
                <w:color w:val="000000"/>
              </w:rPr>
            </w:pPr>
          </w:p>
          <w:p w:rsidR="00864DD2" w:rsidP="00864DD2" w:rsidRDefault="00864DD2" w14:paraId="36B93375" w14:textId="77777777">
            <w:pPr>
              <w:keepNext/>
              <w:keepLines/>
              <w:contextualSpacing/>
              <w:jc w:val="center"/>
              <w:rPr>
                <w:color w:val="000000"/>
              </w:rPr>
            </w:pPr>
            <w:r>
              <w:rPr>
                <w:color w:val="000000"/>
              </w:rPr>
              <w:t>Verified</w:t>
            </w:r>
          </w:p>
          <w:p w:rsidR="00864DD2" w:rsidP="00864DD2" w:rsidRDefault="00864DD2" w14:paraId="343603DF" w14:textId="77777777">
            <w:pPr>
              <w:keepNext/>
              <w:keepLines/>
              <w:contextualSpacing/>
              <w:jc w:val="center"/>
              <w:rPr>
                <w:color w:val="000000"/>
              </w:rPr>
            </w:pPr>
          </w:p>
          <w:p w:rsidR="00864DD2" w:rsidP="00864DD2" w:rsidRDefault="00864DD2" w14:paraId="707ABC7E" w14:textId="77777777">
            <w:pPr>
              <w:keepNext/>
              <w:keepLines/>
              <w:contextualSpacing/>
              <w:jc w:val="center"/>
              <w:rPr>
                <w:color w:val="000000"/>
              </w:rPr>
            </w:pPr>
          </w:p>
          <w:p w:rsidR="00864DD2" w:rsidP="00864DD2" w:rsidRDefault="00864DD2" w14:paraId="5EC48AB1" w14:textId="77777777">
            <w:pPr>
              <w:keepNext/>
              <w:keepLines/>
              <w:contextualSpacing/>
              <w:jc w:val="center"/>
              <w:rPr>
                <w:color w:val="000000"/>
              </w:rPr>
            </w:pPr>
          </w:p>
          <w:p w:rsidR="00864DD2" w:rsidP="00864DD2" w:rsidRDefault="00864DD2" w14:paraId="4AB83AE5" w14:textId="77777777">
            <w:pPr>
              <w:keepNext/>
              <w:keepLines/>
              <w:contextualSpacing/>
              <w:jc w:val="center"/>
              <w:rPr>
                <w:color w:val="000000"/>
              </w:rPr>
            </w:pPr>
          </w:p>
          <w:p w:rsidR="00864DD2" w:rsidP="00864DD2" w:rsidRDefault="00864DD2" w14:paraId="6E15D891" w14:textId="77777777">
            <w:pPr>
              <w:keepNext/>
              <w:keepLines/>
              <w:contextualSpacing/>
              <w:jc w:val="center"/>
              <w:rPr>
                <w:color w:val="000000"/>
              </w:rPr>
            </w:pPr>
          </w:p>
          <w:p w:rsidR="00864DD2" w:rsidP="00864DD2" w:rsidRDefault="00864DD2" w14:paraId="20E4D7DE" w14:textId="77777777">
            <w:pPr>
              <w:keepNext/>
              <w:keepLines/>
              <w:contextualSpacing/>
              <w:jc w:val="center"/>
              <w:rPr>
                <w:color w:val="000000"/>
              </w:rPr>
            </w:pPr>
            <w:r>
              <w:rPr>
                <w:color w:val="000000"/>
              </w:rPr>
              <w:t>Verified</w:t>
            </w:r>
          </w:p>
          <w:p w:rsidR="00864DD2" w:rsidP="00864DD2" w:rsidRDefault="00864DD2" w14:paraId="7EABB0E5" w14:textId="77777777">
            <w:pPr>
              <w:keepNext/>
              <w:keepLines/>
              <w:contextualSpacing/>
              <w:jc w:val="center"/>
              <w:rPr>
                <w:color w:val="000000"/>
              </w:rPr>
            </w:pPr>
          </w:p>
          <w:p w:rsidR="00864DD2" w:rsidP="00864DD2" w:rsidRDefault="00864DD2" w14:paraId="065799B8" w14:textId="77777777">
            <w:pPr>
              <w:keepNext/>
              <w:keepLines/>
              <w:contextualSpacing/>
              <w:jc w:val="center"/>
              <w:rPr>
                <w:color w:val="000000"/>
              </w:rPr>
            </w:pPr>
          </w:p>
          <w:p w:rsidR="00864DD2" w:rsidP="00864DD2" w:rsidRDefault="00864DD2" w14:paraId="411CC77D" w14:textId="77777777">
            <w:pPr>
              <w:keepNext/>
              <w:keepLines/>
              <w:contextualSpacing/>
              <w:jc w:val="center"/>
              <w:rPr>
                <w:color w:val="000000"/>
              </w:rPr>
            </w:pPr>
          </w:p>
          <w:p w:rsidR="00864DD2" w:rsidP="00864DD2" w:rsidRDefault="00864DD2" w14:paraId="7A6AC8DD" w14:textId="77777777">
            <w:pPr>
              <w:keepNext/>
              <w:keepLines/>
              <w:contextualSpacing/>
              <w:jc w:val="center"/>
              <w:rPr>
                <w:color w:val="000000"/>
              </w:rPr>
            </w:pPr>
          </w:p>
          <w:p w:rsidR="00864DD2" w:rsidP="00864DD2" w:rsidRDefault="00864DD2" w14:paraId="7C133AEA" w14:textId="77777777">
            <w:pPr>
              <w:keepNext/>
              <w:keepLines/>
              <w:contextualSpacing/>
              <w:jc w:val="center"/>
              <w:rPr>
                <w:color w:val="000000"/>
              </w:rPr>
            </w:pPr>
          </w:p>
          <w:p w:rsidR="00864DD2" w:rsidP="00864DD2" w:rsidRDefault="00864DD2" w14:paraId="7F18B616" w14:textId="77777777">
            <w:pPr>
              <w:keepNext/>
              <w:keepLines/>
              <w:contextualSpacing/>
              <w:jc w:val="center"/>
              <w:rPr>
                <w:color w:val="000000"/>
              </w:rPr>
            </w:pPr>
          </w:p>
          <w:p w:rsidR="00864DD2" w:rsidP="00864DD2" w:rsidRDefault="00864DD2" w14:paraId="2F4BE3A2" w14:textId="77777777">
            <w:pPr>
              <w:keepNext/>
              <w:keepLines/>
              <w:contextualSpacing/>
              <w:jc w:val="center"/>
              <w:rPr>
                <w:color w:val="000000"/>
              </w:rPr>
            </w:pPr>
          </w:p>
          <w:p w:rsidR="00864DD2" w:rsidP="00864DD2" w:rsidRDefault="00864DD2" w14:paraId="7D48D8BB" w14:textId="77777777">
            <w:pPr>
              <w:keepNext/>
              <w:keepLines/>
              <w:contextualSpacing/>
              <w:jc w:val="center"/>
              <w:rPr>
                <w:color w:val="000000"/>
              </w:rPr>
            </w:pPr>
          </w:p>
          <w:p w:rsidR="00864DD2" w:rsidP="00864DD2" w:rsidRDefault="00864DD2" w14:paraId="5F91FEEC" w14:textId="77777777">
            <w:pPr>
              <w:keepNext/>
              <w:keepLines/>
              <w:contextualSpacing/>
              <w:jc w:val="center"/>
              <w:rPr>
                <w:color w:val="000000"/>
              </w:rPr>
            </w:pPr>
          </w:p>
          <w:p w:rsidR="00864DD2" w:rsidP="00864DD2" w:rsidRDefault="00864DD2" w14:paraId="7B8958F2" w14:textId="77777777">
            <w:pPr>
              <w:keepNext/>
              <w:keepLines/>
              <w:contextualSpacing/>
              <w:jc w:val="center"/>
              <w:rPr>
                <w:color w:val="000000"/>
              </w:rPr>
            </w:pPr>
          </w:p>
          <w:p w:rsidR="00864DD2" w:rsidP="00864DD2" w:rsidRDefault="00864DD2" w14:paraId="57E02806" w14:textId="77777777">
            <w:pPr>
              <w:keepNext/>
              <w:keepLines/>
              <w:contextualSpacing/>
              <w:jc w:val="center"/>
              <w:rPr>
                <w:color w:val="000000"/>
              </w:rPr>
            </w:pPr>
          </w:p>
          <w:p w:rsidRPr="007F620E" w:rsidR="00864DD2" w:rsidP="00864DD2" w:rsidRDefault="00864DD2" w14:paraId="3F12AE45" w14:textId="4D6C5FEC">
            <w:pPr>
              <w:keepNext/>
              <w:keepLines/>
              <w:contextualSpacing/>
              <w:jc w:val="center"/>
              <w:rPr>
                <w:color w:val="000000"/>
              </w:rPr>
            </w:pPr>
            <w:r>
              <w:rPr>
                <w:color w:val="000000"/>
              </w:rPr>
              <w:t>Verified</w:t>
            </w:r>
          </w:p>
        </w:tc>
      </w:tr>
    </w:tbl>
    <w:p w:rsidRPr="007F620E" w:rsidR="00A92D0B" w:rsidP="005B5B44" w:rsidRDefault="00A92D0B" w14:paraId="0D4BCD3A" w14:textId="77777777">
      <w:pPr>
        <w:keepNext/>
        <w:numPr>
          <w:ilvl w:val="0"/>
          <w:numId w:val="8"/>
        </w:numPr>
        <w:spacing w:before="240" w:after="240"/>
        <w:rPr>
          <w:b/>
          <w:color w:val="000000"/>
        </w:rPr>
      </w:pPr>
      <w:r w:rsidRPr="007F620E">
        <w:rPr>
          <w:b/>
          <w:color w:val="000000"/>
        </w:rPr>
        <w:lastRenderedPageBreak/>
        <w:t xml:space="preserve">Duplication of Effort (§ 1801.3(f) </w:t>
      </w:r>
      <w:r w:rsidRPr="007F620E" w:rsidR="00F30DA8">
        <w:rPr>
          <w:b/>
          <w:color w:val="000000"/>
        </w:rPr>
        <w:t xml:space="preserve">and § </w:t>
      </w:r>
      <w:r w:rsidR="0022302F">
        <w:rPr>
          <w:b/>
          <w:color w:val="000000"/>
        </w:rPr>
        <w:t>1802.5)</w:t>
      </w:r>
      <w:r w:rsidR="00C02649">
        <w:rPr>
          <w:b/>
          <w:color w:val="000000"/>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5805"/>
        <w:gridCol w:w="1840"/>
        <w:gridCol w:w="1715"/>
      </w:tblGrid>
      <w:tr w:rsidRPr="007F620E" w:rsidR="00A92D0B" w:rsidTr="004830C4" w14:paraId="76F3266C" w14:textId="77777777">
        <w:trPr>
          <w:tblHeader/>
        </w:trPr>
        <w:tc>
          <w:tcPr>
            <w:tcW w:w="5805" w:type="dxa"/>
            <w:shd w:val="clear" w:color="auto" w:fill="D9D9D9" w:themeFill="background1" w:themeFillShade="D9"/>
          </w:tcPr>
          <w:p w:rsidRPr="007F620E" w:rsidR="00A92D0B" w:rsidP="00073262" w:rsidRDefault="00A92D0B" w14:paraId="300CEDBC" w14:textId="77777777">
            <w:pPr>
              <w:keepNext/>
              <w:keepLines/>
              <w:rPr>
                <w:color w:val="000000"/>
              </w:rPr>
            </w:pPr>
          </w:p>
        </w:tc>
        <w:tc>
          <w:tcPr>
            <w:tcW w:w="1840" w:type="dxa"/>
            <w:tcBorders>
              <w:bottom w:val="single" w:color="auto" w:sz="4" w:space="0"/>
            </w:tcBorders>
            <w:shd w:val="clear" w:color="auto" w:fill="D9D9D9" w:themeFill="background1" w:themeFillShade="D9"/>
          </w:tcPr>
          <w:p w:rsidRPr="007F620E" w:rsidR="00A92D0B" w:rsidP="00073262" w:rsidRDefault="005A63D4" w14:paraId="7B091096" w14:textId="77777777">
            <w:pPr>
              <w:keepNext/>
              <w:keepLines/>
              <w:jc w:val="center"/>
              <w:rPr>
                <w:b/>
                <w:color w:val="000000"/>
              </w:rPr>
            </w:pPr>
            <w:r w:rsidRPr="007F620E">
              <w:rPr>
                <w:b/>
                <w:color w:val="000000"/>
              </w:rPr>
              <w:t>Interveno</w:t>
            </w:r>
            <w:r w:rsidRPr="007F620E" w:rsidR="00204E3A">
              <w:rPr>
                <w:b/>
                <w:color w:val="000000"/>
              </w:rPr>
              <w:t>r</w:t>
            </w:r>
            <w:r w:rsidRPr="007F620E">
              <w:rPr>
                <w:b/>
                <w:color w:val="000000"/>
              </w:rPr>
              <w:t xml:space="preserve">’s </w:t>
            </w:r>
            <w:r w:rsidRPr="007F620E" w:rsidR="00D075B1">
              <w:rPr>
                <w:b/>
                <w:color w:val="000000"/>
              </w:rPr>
              <w:t>Assertion</w:t>
            </w:r>
          </w:p>
        </w:tc>
        <w:tc>
          <w:tcPr>
            <w:tcW w:w="1715" w:type="dxa"/>
            <w:shd w:val="clear" w:color="auto" w:fill="D9D9D9" w:themeFill="background1" w:themeFillShade="D9"/>
          </w:tcPr>
          <w:p w:rsidRPr="007F620E" w:rsidR="00A92D0B" w:rsidP="00073262" w:rsidRDefault="00A92D0B" w14:paraId="25CE5081" w14:textId="77777777">
            <w:pPr>
              <w:keepNext/>
              <w:keepLines/>
              <w:jc w:val="center"/>
              <w:rPr>
                <w:b/>
                <w:color w:val="000000"/>
              </w:rPr>
            </w:pPr>
            <w:r w:rsidRPr="007F620E">
              <w:rPr>
                <w:b/>
                <w:color w:val="000000"/>
              </w:rPr>
              <w:t xml:space="preserve">CPUC </w:t>
            </w:r>
            <w:r w:rsidRPr="007F620E" w:rsidR="00D075B1">
              <w:rPr>
                <w:b/>
                <w:color w:val="000000"/>
              </w:rPr>
              <w:t>Discussion</w:t>
            </w:r>
          </w:p>
        </w:tc>
      </w:tr>
      <w:tr w:rsidRPr="007F620E" w:rsidR="00A92D0B" w:rsidTr="004830C4" w14:paraId="24A12BE1" w14:textId="77777777">
        <w:tc>
          <w:tcPr>
            <w:tcW w:w="5805" w:type="dxa"/>
            <w:shd w:val="clear" w:color="auto" w:fill="auto"/>
          </w:tcPr>
          <w:p w:rsidRPr="007F620E" w:rsidR="00A92D0B" w:rsidP="00073262" w:rsidRDefault="00A92D0B" w14:paraId="6915FAF6" w14:textId="464460CC">
            <w:pPr>
              <w:keepLines/>
              <w:ind w:left="360" w:hanging="360"/>
              <w:rPr>
                <w:b/>
                <w:color w:val="000000"/>
              </w:rPr>
            </w:pPr>
            <w:r w:rsidRPr="007F620E">
              <w:rPr>
                <w:b/>
                <w:color w:val="000000"/>
              </w:rPr>
              <w:t>a.</w:t>
            </w:r>
            <w:r w:rsidRPr="007F620E">
              <w:rPr>
                <w:b/>
                <w:color w:val="000000"/>
              </w:rPr>
              <w:tab/>
            </w:r>
            <w:r w:rsidRPr="007F620E">
              <w:rPr>
                <w:b/>
              </w:rPr>
              <w:t xml:space="preserve">Was </w:t>
            </w:r>
            <w:r w:rsidRPr="009E48E4">
              <w:rPr>
                <w:b/>
              </w:rPr>
              <w:t xml:space="preserve">the </w:t>
            </w:r>
            <w:r w:rsidRPr="009E48E4" w:rsidR="009E48E4">
              <w:rPr>
                <w:b/>
                <w:color w:val="000000"/>
                <w:sz w:val="22"/>
                <w:szCs w:val="22"/>
              </w:rPr>
              <w:t>Public Advocate</w:t>
            </w:r>
            <w:r w:rsidR="00621A7C">
              <w:rPr>
                <w:b/>
                <w:color w:val="000000"/>
                <w:sz w:val="22"/>
                <w:szCs w:val="22"/>
              </w:rPr>
              <w:t>’</w:t>
            </w:r>
            <w:r w:rsidRPr="009E48E4" w:rsidR="009E48E4">
              <w:rPr>
                <w:b/>
                <w:color w:val="000000"/>
                <w:sz w:val="22"/>
                <w:szCs w:val="22"/>
              </w:rPr>
              <w:t>s Office of the Public Utilities Commission</w:t>
            </w:r>
            <w:r w:rsidRPr="009E48E4" w:rsidR="009E48E4">
              <w:rPr>
                <w:b/>
              </w:rPr>
              <w:t xml:space="preserve"> </w:t>
            </w:r>
            <w:r w:rsidRPr="00B55D78">
              <w:rPr>
                <w:b/>
                <w:color w:val="000000"/>
                <w:sz w:val="22"/>
                <w:szCs w:val="22"/>
              </w:rPr>
              <w:t>(</w:t>
            </w:r>
            <w:r w:rsidRPr="00B55D78" w:rsidR="00B55D78">
              <w:rPr>
                <w:b/>
                <w:color w:val="000000"/>
                <w:sz w:val="22"/>
                <w:szCs w:val="22"/>
              </w:rPr>
              <w:t>Cal Advocates</w:t>
            </w:r>
            <w:r w:rsidRPr="007F620E">
              <w:rPr>
                <w:b/>
              </w:rPr>
              <w:t>) a party to the proceeding</w:t>
            </w:r>
            <w:r w:rsidRPr="007F620E">
              <w:rPr>
                <w:b/>
                <w:color w:val="000000"/>
              </w:rPr>
              <w:t>?</w:t>
            </w:r>
          </w:p>
        </w:tc>
        <w:tc>
          <w:tcPr>
            <w:tcW w:w="1840" w:type="dxa"/>
            <w:shd w:val="clear" w:color="auto" w:fill="auto"/>
          </w:tcPr>
          <w:p w:rsidRPr="00E25078" w:rsidR="00A92D0B" w:rsidP="00073262" w:rsidRDefault="00A50936" w14:paraId="0B49A7C8" w14:textId="725ECA54">
            <w:pPr>
              <w:keepNext/>
              <w:keepLines/>
              <w:rPr>
                <w:color w:val="000000"/>
              </w:rPr>
            </w:pPr>
            <w:r>
              <w:rPr>
                <w:color w:val="000000"/>
              </w:rPr>
              <w:t>Yes</w:t>
            </w:r>
          </w:p>
        </w:tc>
        <w:tc>
          <w:tcPr>
            <w:tcW w:w="1715" w:type="dxa"/>
            <w:shd w:val="clear" w:color="auto" w:fill="auto"/>
          </w:tcPr>
          <w:p w:rsidRPr="00E25078" w:rsidR="00A92D0B" w:rsidP="00AF03E6" w:rsidRDefault="00AF03E6" w14:paraId="23B6532A" w14:textId="7936C92E">
            <w:pPr>
              <w:keepNext/>
              <w:keepLines/>
              <w:jc w:val="center"/>
              <w:rPr>
                <w:color w:val="000000"/>
              </w:rPr>
            </w:pPr>
            <w:r>
              <w:rPr>
                <w:color w:val="000000"/>
              </w:rPr>
              <w:t>Yes</w:t>
            </w:r>
          </w:p>
        </w:tc>
      </w:tr>
      <w:tr w:rsidRPr="007F620E" w:rsidR="00A92D0B" w:rsidTr="004830C4" w14:paraId="3317BD71" w14:textId="77777777">
        <w:tc>
          <w:tcPr>
            <w:tcW w:w="5805" w:type="dxa"/>
            <w:shd w:val="clear" w:color="auto" w:fill="auto"/>
          </w:tcPr>
          <w:p w:rsidRPr="007F620E" w:rsidR="00A92D0B" w:rsidP="00073262" w:rsidRDefault="00A92D0B" w14:paraId="561D245D" w14:textId="77777777">
            <w:pPr>
              <w:tabs>
                <w:tab w:val="left" w:pos="360"/>
              </w:tabs>
              <w:ind w:left="360" w:hanging="360"/>
              <w:rPr>
                <w:b/>
                <w:color w:val="000000"/>
              </w:rPr>
            </w:pPr>
            <w:r w:rsidRPr="007F620E">
              <w:rPr>
                <w:b/>
                <w:color w:val="000000"/>
              </w:rPr>
              <w:t>b.</w:t>
            </w:r>
            <w:r w:rsidRPr="007F620E">
              <w:rPr>
                <w:b/>
                <w:color w:val="000000"/>
              </w:rPr>
              <w:tab/>
              <w:t xml:space="preserve">Were there other parties to the proceeding with positions similar to yours? </w:t>
            </w:r>
          </w:p>
        </w:tc>
        <w:tc>
          <w:tcPr>
            <w:tcW w:w="1840" w:type="dxa"/>
            <w:shd w:val="clear" w:color="auto" w:fill="auto"/>
          </w:tcPr>
          <w:p w:rsidRPr="00E25078" w:rsidR="00A92D0B" w:rsidP="00073262" w:rsidRDefault="00A50936" w14:paraId="3708E485" w14:textId="54BF3EE0">
            <w:pPr>
              <w:rPr>
                <w:color w:val="000000"/>
              </w:rPr>
            </w:pPr>
            <w:r>
              <w:rPr>
                <w:color w:val="000000"/>
              </w:rPr>
              <w:t>Yes</w:t>
            </w:r>
          </w:p>
        </w:tc>
        <w:tc>
          <w:tcPr>
            <w:tcW w:w="1715" w:type="dxa"/>
            <w:shd w:val="clear" w:color="auto" w:fill="auto"/>
          </w:tcPr>
          <w:p w:rsidRPr="00E25078" w:rsidR="00A92D0B" w:rsidP="00AF03E6" w:rsidRDefault="00AF03E6" w14:paraId="6B3388E6" w14:textId="147EDDB6">
            <w:pPr>
              <w:jc w:val="center"/>
              <w:rPr>
                <w:color w:val="000000"/>
              </w:rPr>
            </w:pPr>
            <w:r>
              <w:rPr>
                <w:color w:val="000000"/>
              </w:rPr>
              <w:t>Yes</w:t>
            </w:r>
          </w:p>
        </w:tc>
      </w:tr>
      <w:tr w:rsidRPr="007F620E" w:rsidR="00A92D0B" w:rsidTr="004830C4" w14:paraId="0A51B7D4" w14:textId="77777777">
        <w:tc>
          <w:tcPr>
            <w:tcW w:w="7645" w:type="dxa"/>
            <w:gridSpan w:val="2"/>
            <w:shd w:val="clear" w:color="auto" w:fill="auto"/>
          </w:tcPr>
          <w:p w:rsidRPr="00E25078" w:rsidR="00A92D0B" w:rsidP="00F53878" w:rsidRDefault="00A92D0B" w14:paraId="0919176B" w14:textId="0AE1026E">
            <w:pPr>
              <w:ind w:left="360" w:hanging="360"/>
              <w:rPr>
                <w:color w:val="000000"/>
              </w:rPr>
            </w:pPr>
            <w:r w:rsidRPr="00E25078">
              <w:rPr>
                <w:b/>
                <w:color w:val="000000"/>
              </w:rPr>
              <w:t>c.</w:t>
            </w:r>
            <w:r w:rsidRPr="00E25078">
              <w:rPr>
                <w:b/>
                <w:color w:val="000000"/>
              </w:rPr>
              <w:tab/>
              <w:t>If so, provide name of other parties:</w:t>
            </w:r>
            <w:r w:rsidRPr="00E25078" w:rsidR="00E25078">
              <w:rPr>
                <w:color w:val="000000"/>
              </w:rPr>
              <w:t xml:space="preserve"> </w:t>
            </w:r>
            <w:r w:rsidR="00B27701">
              <w:rPr>
                <w:color w:val="000000"/>
              </w:rPr>
              <w:t xml:space="preserve">  </w:t>
            </w:r>
            <w:r w:rsidR="00ED3EF0">
              <w:rPr>
                <w:color w:val="000000"/>
              </w:rPr>
              <w:t xml:space="preserve">To varying extents, TURN’s positions were </w:t>
            </w:r>
            <w:r w:rsidR="002A206B">
              <w:rPr>
                <w:color w:val="000000"/>
              </w:rPr>
              <w:t xml:space="preserve">at least somewhat </w:t>
            </w:r>
            <w:r w:rsidR="00ED3EF0">
              <w:rPr>
                <w:color w:val="000000"/>
              </w:rPr>
              <w:t>similar to th</w:t>
            </w:r>
            <w:r w:rsidR="007671E0">
              <w:rPr>
                <w:color w:val="000000"/>
              </w:rPr>
              <w:t xml:space="preserve">ose of </w:t>
            </w:r>
            <w:r w:rsidR="00513573">
              <w:rPr>
                <w:color w:val="000000"/>
              </w:rPr>
              <w:t xml:space="preserve">Cal Advocates, the Natural Resources Defense Council (NRDC), </w:t>
            </w:r>
            <w:r w:rsidR="00FE50F3">
              <w:rPr>
                <w:color w:val="000000"/>
              </w:rPr>
              <w:t>the utilities (</w:t>
            </w:r>
            <w:r w:rsidR="00513573">
              <w:rPr>
                <w:color w:val="000000"/>
              </w:rPr>
              <w:t>SDG&amp;E, SCE, PG&amp;E</w:t>
            </w:r>
            <w:r w:rsidR="00FE50F3">
              <w:rPr>
                <w:color w:val="000000"/>
              </w:rPr>
              <w:t>)</w:t>
            </w:r>
            <w:r w:rsidR="00513573">
              <w:rPr>
                <w:color w:val="000000"/>
              </w:rPr>
              <w:t>, the CA Energy + Demand Management Council</w:t>
            </w:r>
            <w:r w:rsidR="00CD1FE2">
              <w:rPr>
                <w:color w:val="000000"/>
              </w:rPr>
              <w:t xml:space="preserve">, </w:t>
            </w:r>
            <w:r w:rsidR="003513D7">
              <w:rPr>
                <w:color w:val="000000"/>
              </w:rPr>
              <w:t xml:space="preserve">the Joint Committee on Energy and Environmental Policy (JCEEP), the Joint RENs, the Joint CCAs, </w:t>
            </w:r>
            <w:r w:rsidR="00CD1FE2">
              <w:rPr>
                <w:color w:val="000000"/>
              </w:rPr>
              <w:t xml:space="preserve">Recurve, </w:t>
            </w:r>
            <w:r w:rsidR="003513D7">
              <w:rPr>
                <w:color w:val="000000"/>
              </w:rPr>
              <w:t xml:space="preserve">and </w:t>
            </w:r>
            <w:r w:rsidR="00720B86">
              <w:rPr>
                <w:color w:val="000000"/>
              </w:rPr>
              <w:t>Oracle</w:t>
            </w:r>
            <w:r w:rsidR="003513D7">
              <w:rPr>
                <w:color w:val="000000"/>
              </w:rPr>
              <w:t xml:space="preserve">.  </w:t>
            </w:r>
            <w:r w:rsidR="00BE3C41">
              <w:rPr>
                <w:color w:val="000000"/>
              </w:rPr>
              <w:t xml:space="preserve">  </w:t>
            </w:r>
          </w:p>
        </w:tc>
        <w:tc>
          <w:tcPr>
            <w:tcW w:w="1715" w:type="dxa"/>
            <w:shd w:val="clear" w:color="auto" w:fill="auto"/>
          </w:tcPr>
          <w:p w:rsidRPr="00E25078" w:rsidR="00A92D0B" w:rsidP="00AF03E6" w:rsidRDefault="00AF03E6" w14:paraId="22A40B49" w14:textId="6C6F5AA6">
            <w:pPr>
              <w:jc w:val="center"/>
              <w:rPr>
                <w:color w:val="000000"/>
              </w:rPr>
            </w:pPr>
            <w:r>
              <w:rPr>
                <w:color w:val="000000"/>
              </w:rPr>
              <w:t>Noted</w:t>
            </w:r>
          </w:p>
        </w:tc>
      </w:tr>
      <w:tr w:rsidRPr="007F620E" w:rsidR="00A92D0B" w:rsidTr="004830C4" w14:paraId="744830F5" w14:textId="77777777">
        <w:tc>
          <w:tcPr>
            <w:tcW w:w="7645" w:type="dxa"/>
            <w:gridSpan w:val="2"/>
            <w:shd w:val="clear" w:color="auto" w:fill="auto"/>
          </w:tcPr>
          <w:p w:rsidRPr="00E25078" w:rsidR="00A92D0B" w:rsidP="004830C4" w:rsidRDefault="00A92D0B" w14:paraId="7C05FE5A" w14:textId="7521972E">
            <w:pPr>
              <w:tabs>
                <w:tab w:val="left" w:pos="360"/>
              </w:tabs>
              <w:spacing w:after="120"/>
              <w:ind w:left="360" w:hanging="360"/>
              <w:rPr>
                <w:color w:val="000000"/>
              </w:rPr>
            </w:pPr>
            <w:r w:rsidRPr="00E25078">
              <w:rPr>
                <w:b/>
                <w:color w:val="000000"/>
              </w:rPr>
              <w:t>d.</w:t>
            </w:r>
            <w:r w:rsidRPr="00E25078">
              <w:rPr>
                <w:b/>
                <w:color w:val="000000"/>
              </w:rPr>
              <w:tab/>
            </w:r>
            <w:r w:rsidRPr="00E25078" w:rsidR="00D075B1">
              <w:rPr>
                <w:b/>
                <w:color w:val="000000"/>
              </w:rPr>
              <w:t xml:space="preserve">Intervenor’s </w:t>
            </w:r>
            <w:r w:rsidRPr="00E25078" w:rsidR="00A319DE">
              <w:rPr>
                <w:b/>
                <w:color w:val="000000"/>
              </w:rPr>
              <w:t>c</w:t>
            </w:r>
            <w:r w:rsidRPr="00E25078" w:rsidR="00D075B1">
              <w:rPr>
                <w:b/>
                <w:color w:val="000000"/>
              </w:rPr>
              <w:t xml:space="preserve">laim of </w:t>
            </w:r>
            <w:r w:rsidRPr="00E25078" w:rsidR="00A319DE">
              <w:rPr>
                <w:b/>
                <w:color w:val="000000"/>
              </w:rPr>
              <w:t>n</w:t>
            </w:r>
            <w:r w:rsidRPr="00E25078" w:rsidR="00D075B1">
              <w:rPr>
                <w:b/>
                <w:color w:val="000000"/>
              </w:rPr>
              <w:t>on-</w:t>
            </w:r>
            <w:r w:rsidRPr="00E25078" w:rsidR="00A319DE">
              <w:rPr>
                <w:b/>
                <w:color w:val="000000"/>
              </w:rPr>
              <w:t>d</w:t>
            </w:r>
            <w:r w:rsidRPr="00E25078" w:rsidR="00D075B1">
              <w:rPr>
                <w:b/>
                <w:color w:val="000000"/>
              </w:rPr>
              <w:t>uplication:</w:t>
            </w:r>
            <w:r w:rsidRPr="00E25078" w:rsidR="00E25078">
              <w:rPr>
                <w:color w:val="000000"/>
              </w:rPr>
              <w:t xml:space="preserve"> </w:t>
            </w:r>
          </w:p>
          <w:p w:rsidR="00AB0A15" w:rsidP="004830C4" w:rsidRDefault="005A1430" w14:paraId="1A76C99B" w14:textId="760AAF45">
            <w:pPr>
              <w:autoSpaceDE w:val="0"/>
              <w:autoSpaceDN w:val="0"/>
              <w:adjustRightInd w:val="0"/>
              <w:spacing w:after="180"/>
            </w:pPr>
            <w:r>
              <w:t>For the work covered by th</w:t>
            </w:r>
            <w:r w:rsidR="00D06941">
              <w:t>is</w:t>
            </w:r>
            <w:r>
              <w:t xml:space="preserve"> compensation request, </w:t>
            </w:r>
            <w:r w:rsidR="00436FCB">
              <w:t>TURN coordinated with other intervenors with interests similar to, or potentially overlapping with, TURN’s</w:t>
            </w:r>
            <w:r w:rsidR="006678DC">
              <w:t xml:space="preserve">.  </w:t>
            </w:r>
            <w:r w:rsidRPr="00AB0A15" w:rsidR="004024A2">
              <w:t xml:space="preserve">As a general matter, TURN stayed in regular contact with Cal Advocates to compare positions, discuss strategy, and generally keep Cal Advocates abreast of the direction TURN was heading in with regard to the underlying issues.  </w:t>
            </w:r>
            <w:r w:rsidRPr="00AB0A15" w:rsidR="00960C1E">
              <w:t xml:space="preserve">TURN’s timesheets reflect these periodic </w:t>
            </w:r>
            <w:r w:rsidRPr="00AB0A15" w:rsidR="0057172E">
              <w:t>coordination conversations with Cal Advocates</w:t>
            </w:r>
            <w:r w:rsidRPr="00AB0A15" w:rsidR="008F0D2E">
              <w:t xml:space="preserve"> which permitted TURN to focus its  </w:t>
            </w:r>
            <w:r w:rsidRPr="00AB0A15" w:rsidR="008F0D2E">
              <w:lastRenderedPageBreak/>
              <w:t>advocacy in a manner that complemented Cal Advocates’ work where feasible</w:t>
            </w:r>
            <w:r w:rsidRPr="00AB0A15" w:rsidR="00EA7B50">
              <w:t xml:space="preserve">, for instance, in addressing </w:t>
            </w:r>
            <w:r w:rsidRPr="00AB0A15" w:rsidR="00232412">
              <w:t xml:space="preserve">AB 841 implementation and reacting to P&amp;G Policy </w:t>
            </w:r>
            <w:r w:rsidRPr="00AB0A15" w:rsidR="001C0CAF">
              <w:t xml:space="preserve">changes recommended by parties and presented in the </w:t>
            </w:r>
            <w:r w:rsidRPr="00AB0A15" w:rsidR="00232412">
              <w:t>proposed decision</w:t>
            </w:r>
            <w:r w:rsidRPr="00AB0A15" w:rsidR="0057172E">
              <w:t xml:space="preserve">.  </w:t>
            </w:r>
          </w:p>
          <w:p w:rsidRPr="001101EF" w:rsidR="00AB0A15" w:rsidP="004830C4" w:rsidRDefault="00502C14" w14:paraId="1987A52E" w14:textId="768C5C46">
            <w:pPr>
              <w:autoSpaceDE w:val="0"/>
              <w:autoSpaceDN w:val="0"/>
              <w:adjustRightInd w:val="0"/>
              <w:spacing w:after="180"/>
              <w:rPr>
                <w:color w:val="000000"/>
              </w:rPr>
            </w:pPr>
            <w:r>
              <w:rPr>
                <w:color w:val="000000"/>
              </w:rPr>
              <w:t xml:space="preserve">Furthermore, </w:t>
            </w:r>
            <w:r w:rsidRPr="006B7A57" w:rsidR="00E742D3">
              <w:rPr>
                <w:color w:val="000000"/>
              </w:rPr>
              <w:t>TURN and Cal Advocates were the only parties to address SCE’s and SDG&amp;E’s Upstream Lighting Program impact evaluations.  TURN coordinated closely with Cal Advocates from the beginnin</w:t>
            </w:r>
            <w:r w:rsidR="00E742D3">
              <w:rPr>
                <w:color w:val="000000"/>
              </w:rPr>
              <w:t>g</w:t>
            </w:r>
            <w:r>
              <w:rPr>
                <w:color w:val="000000"/>
              </w:rPr>
              <w:t xml:space="preserve"> of this work</w:t>
            </w:r>
            <w:r w:rsidR="00E742D3">
              <w:rPr>
                <w:color w:val="000000"/>
              </w:rPr>
              <w:t xml:space="preserve">.  TURN and Cal Advocates met to discuss initial comments in response to the ALJ Ruling on the 2017 Impact Evaluation, which the parties filed separately.  Then TURN and Cal Advocates worked in tandem throughout settlement negotiations with SDG&amp;E leading to D.21-09-002.  Further, TURN and Cal Advocates coordinated on separately filed comments following SCE’s D&amp;T report, with Cal Advocates presenting a numerical recommendation for remedies cited by TURN.  TURN and Cal Advocates then prepared joint comments addressing SCE’s response to the OSC and appeal of the POD.  For those joint comments, TURN and Cal Advocates divided up issue coverage.  TURN took primary responsibility for researching and drafting all arguments related to UL Program refunds and ESPI refunds, while Cal Advocates took the lead on arguments related to fines for Rule 1.1 violations.  Both parties then provided feedback to ensure the joint pleadings presented the strongest arguments possible.  </w:t>
            </w:r>
            <w:r w:rsidR="00690B50">
              <w:rPr>
                <w:color w:val="000000"/>
              </w:rPr>
              <w:t xml:space="preserve">This coordination was efficient and effective, as demonstrated by </w:t>
            </w:r>
            <w:r w:rsidR="00E01D46">
              <w:rPr>
                <w:color w:val="000000"/>
              </w:rPr>
              <w:t xml:space="preserve">TURN’s and Cal Advocates’ success </w:t>
            </w:r>
            <w:r w:rsidR="001101EF">
              <w:rPr>
                <w:color w:val="000000"/>
              </w:rPr>
              <w:t xml:space="preserve">reflected in </w:t>
            </w:r>
            <w:r w:rsidRPr="001101EF" w:rsidR="001101EF">
              <w:rPr>
                <w:color w:val="000000"/>
              </w:rPr>
              <w:t>D.21-09-002 and D.22-11-031</w:t>
            </w:r>
            <w:r w:rsidRPr="001101EF" w:rsidR="00E01D46">
              <w:rPr>
                <w:color w:val="000000"/>
              </w:rPr>
              <w:t>.</w:t>
            </w:r>
          </w:p>
          <w:p w:rsidRPr="00E01D46" w:rsidR="00AB0A15" w:rsidP="004830C4" w:rsidRDefault="0057172E" w14:paraId="462A4783" w14:textId="77777777">
            <w:pPr>
              <w:autoSpaceDE w:val="0"/>
              <w:autoSpaceDN w:val="0"/>
              <w:adjustRightInd w:val="0"/>
              <w:spacing w:after="180"/>
            </w:pPr>
            <w:r w:rsidRPr="00E01D46">
              <w:t>TURN also coordinated with NRDC</w:t>
            </w:r>
            <w:r w:rsidRPr="00E01D46" w:rsidR="00675EDF">
              <w:t xml:space="preserve"> around</w:t>
            </w:r>
            <w:r w:rsidRPr="00E01D46" w:rsidR="004D6B2D">
              <w:t xml:space="preserve"> issues of common interest, including</w:t>
            </w:r>
            <w:r w:rsidRPr="00E01D46" w:rsidR="00675EDF">
              <w:t xml:space="preserve"> the </w:t>
            </w:r>
            <w:r w:rsidRPr="00E01D46" w:rsidR="008F0D2E">
              <w:t>new TSB metric for measuring EE portfolio impacts</w:t>
            </w:r>
            <w:r w:rsidRPr="00E01D46" w:rsidR="004D6B2D">
              <w:t xml:space="preserve"> and modification of the ESPI mechanism.  TURN prepared reply comments on the ESPI ruling, which allowed TURN to complement and supplement the analysis provided by NRDC in opening comments supporting the </w:t>
            </w:r>
            <w:r w:rsidRPr="00E01D46" w:rsidR="006D1963">
              <w:t>suspension</w:t>
            </w:r>
            <w:r w:rsidRPr="00E01D46" w:rsidR="004D6B2D">
              <w:t xml:space="preserve"> of ESPI.  </w:t>
            </w:r>
            <w:r w:rsidRPr="00E01D46" w:rsidR="006D1963">
              <w:t>TURN also offered unique analysis in comments on the PD/APD.</w:t>
            </w:r>
            <w:r w:rsidRPr="00E01D46" w:rsidR="00DD330D">
              <w:t xml:space="preserve">  </w:t>
            </w:r>
          </w:p>
          <w:p w:rsidRPr="00AB0A15" w:rsidR="006E56EC" w:rsidP="004830C4" w:rsidRDefault="00A94A2C" w14:paraId="74B3FD78" w14:textId="19222AFB">
            <w:pPr>
              <w:autoSpaceDE w:val="0"/>
              <w:autoSpaceDN w:val="0"/>
              <w:adjustRightInd w:val="0"/>
              <w:spacing w:after="180"/>
              <w:rPr>
                <w:highlight w:val="yellow"/>
              </w:rPr>
            </w:pPr>
            <w:r w:rsidRPr="00E01D46">
              <w:t>Although the time period for preparing comments on some issues (e.g., AB</w:t>
            </w:r>
            <w:r w:rsidR="009C2478">
              <w:t> </w:t>
            </w:r>
            <w:r w:rsidRPr="00E01D46">
              <w:t>841 implementat</w:t>
            </w:r>
            <w:r w:rsidRPr="00E01D46" w:rsidR="00CA7205">
              <w:t>i</w:t>
            </w:r>
            <w:r w:rsidRPr="00E01D46">
              <w:t xml:space="preserve">on) </w:t>
            </w:r>
            <w:r w:rsidRPr="00E01D46" w:rsidR="00CA7205">
              <w:t xml:space="preserve">was quite narrow, making coordination difficult, </w:t>
            </w:r>
            <w:r w:rsidRPr="00E01D46" w:rsidR="005D2310">
              <w:t>TURN strove</w:t>
            </w:r>
            <w:r w:rsidRPr="00E01D46" w:rsidR="00CA7205">
              <w:t xml:space="preserve"> </w:t>
            </w:r>
            <w:r w:rsidRPr="00E01D46" w:rsidR="005D2310">
              <w:t>to ensure that our work supplemented and complemented that of ORA and the</w:t>
            </w:r>
            <w:r w:rsidRPr="00E01D46" w:rsidR="00DD330D">
              <w:t xml:space="preserve"> </w:t>
            </w:r>
            <w:r w:rsidRPr="00E01D46" w:rsidR="005D2310">
              <w:t>other parties who worked on the same issues addressed by TURN.</w:t>
            </w:r>
            <w:r w:rsidR="00AB0A15">
              <w:t xml:space="preserve">   </w:t>
            </w:r>
            <w:r w:rsidR="006E56EC">
              <w:t>I</w:t>
            </w:r>
            <w:r w:rsidRPr="00FB6596" w:rsidR="006E56EC">
              <w:t>n a proceeding such as this where many stakeholder groups are encouraged to participate, some degree of duplication may be practically unavoidable.</w:t>
            </w:r>
            <w:r w:rsidRPr="00FB6596" w:rsidR="006E56EC">
              <w:rPr>
                <w:rStyle w:val="FootnoteReference"/>
              </w:rPr>
              <w:footnoteReference w:id="2"/>
            </w:r>
            <w:r w:rsidRPr="00FB6596" w:rsidR="006E56EC">
              <w:t xml:space="preserve">  TURN </w:t>
            </w:r>
            <w:r w:rsidR="006E56EC">
              <w:t xml:space="preserve">at times advanced recommendations that overlapped </w:t>
            </w:r>
            <w:r w:rsidR="006E56EC">
              <w:lastRenderedPageBreak/>
              <w:t xml:space="preserve">with the positions of other parties, including parties with whom TURN’s interests are quite distinct (such as the utilities).  Nonetheless, </w:t>
            </w:r>
            <w:r w:rsidRPr="00FB6596" w:rsidR="006E56EC">
              <w:t>TURN</w:t>
            </w:r>
            <w:r w:rsidR="006E56EC">
              <w:t xml:space="preserve"> submits that its</w:t>
            </w:r>
            <w:r w:rsidRPr="00FB6596" w:rsidR="006E56EC">
              <w:t xml:space="preserve"> compensation in this proceeding should not be reduced for duplication of the showings of other parties.  </w:t>
            </w:r>
            <w:r w:rsidR="006E56EC">
              <w:t xml:space="preserve">Rather, </w:t>
            </w:r>
            <w:r w:rsidRPr="004851EC" w:rsidR="006E56EC">
              <w:t xml:space="preserve">the Commission should find that there was no undue duplication, as any duplication served to materially supplement, complement or contribute to the showing of another party and, therefore, is fully compensable under PU Code Section 1802.5.  </w:t>
            </w:r>
          </w:p>
          <w:p w:rsidRPr="004830C4" w:rsidR="0026398D" w:rsidP="004830C4" w:rsidRDefault="006E56EC" w14:paraId="3228BB07" w14:textId="2D2D9D7B">
            <w:pPr>
              <w:autoSpaceDE w:val="0"/>
              <w:autoSpaceDN w:val="0"/>
              <w:adjustRightInd w:val="0"/>
              <w:spacing w:after="180"/>
            </w:pPr>
            <w:r w:rsidRPr="003329DA">
              <w:t xml:space="preserve">For all of these reasons, TURN submits that there was no undue duplication between TURN’s participation and that of </w:t>
            </w:r>
            <w:r>
              <w:t>Cal Advocates</w:t>
            </w:r>
            <w:r w:rsidRPr="003329DA">
              <w:t xml:space="preserve"> and </w:t>
            </w:r>
            <w:r>
              <w:t>the other parties with whom TURN shared some positions.</w:t>
            </w:r>
          </w:p>
        </w:tc>
        <w:tc>
          <w:tcPr>
            <w:tcW w:w="1715" w:type="dxa"/>
            <w:shd w:val="clear" w:color="auto" w:fill="auto"/>
          </w:tcPr>
          <w:p w:rsidR="00A92D0B" w:rsidP="00AF03E6" w:rsidRDefault="00A92D0B" w14:paraId="153BFFFA" w14:textId="77777777">
            <w:pPr>
              <w:tabs>
                <w:tab w:val="left" w:pos="360"/>
              </w:tabs>
              <w:ind w:left="360" w:hanging="360"/>
              <w:jc w:val="center"/>
              <w:rPr>
                <w:color w:val="000000"/>
              </w:rPr>
            </w:pPr>
          </w:p>
          <w:p w:rsidR="00AF03E6" w:rsidP="00AF03E6" w:rsidRDefault="00AF03E6" w14:paraId="258FDDEE" w14:textId="77777777">
            <w:pPr>
              <w:tabs>
                <w:tab w:val="left" w:pos="360"/>
              </w:tabs>
              <w:ind w:left="360" w:hanging="360"/>
              <w:jc w:val="center"/>
              <w:rPr>
                <w:color w:val="000000"/>
              </w:rPr>
            </w:pPr>
          </w:p>
          <w:p w:rsidR="00AF03E6" w:rsidP="00AF03E6" w:rsidRDefault="00AF03E6" w14:paraId="4659B58D" w14:textId="77777777">
            <w:pPr>
              <w:tabs>
                <w:tab w:val="left" w:pos="360"/>
              </w:tabs>
              <w:ind w:left="360" w:hanging="360"/>
              <w:jc w:val="center"/>
              <w:rPr>
                <w:color w:val="000000"/>
              </w:rPr>
            </w:pPr>
          </w:p>
          <w:p w:rsidRPr="00E25078" w:rsidR="00AF03E6" w:rsidP="00AF03E6" w:rsidRDefault="00AF03E6" w14:paraId="5F9BBA55" w14:textId="61C4E493">
            <w:pPr>
              <w:tabs>
                <w:tab w:val="left" w:pos="360"/>
              </w:tabs>
              <w:ind w:left="360" w:hanging="360"/>
              <w:jc w:val="center"/>
              <w:rPr>
                <w:color w:val="000000"/>
              </w:rPr>
            </w:pPr>
            <w:r>
              <w:rPr>
                <w:color w:val="000000"/>
              </w:rPr>
              <w:t>Noted</w:t>
            </w:r>
          </w:p>
        </w:tc>
      </w:tr>
    </w:tbl>
    <w:p w:rsidRPr="004D3276" w:rsidR="00B312DA" w:rsidP="00B44819" w:rsidRDefault="00A92D0B" w14:paraId="175C3F89" w14:textId="4835545D">
      <w:pPr>
        <w:pStyle w:val="Dummy"/>
        <w:keepLines w:val="0"/>
        <w:spacing w:before="480" w:after="0"/>
        <w:jc w:val="center"/>
        <w:rPr>
          <w:rFonts w:ascii="Times New Roman" w:hAnsi="Times New Roman" w:cs="Times New Roman"/>
          <w:color w:val="000000"/>
        </w:rPr>
      </w:pPr>
      <w:r w:rsidRPr="004D3276">
        <w:rPr>
          <w:rFonts w:ascii="Times New Roman" w:hAnsi="Times New Roman" w:cs="Times New Roman"/>
          <w:color w:val="000000"/>
        </w:rPr>
        <w:lastRenderedPageBreak/>
        <w:t>PART III:</w:t>
      </w:r>
      <w:r w:rsidRPr="004D3276" w:rsidR="00D1778A">
        <w:rPr>
          <w:rFonts w:ascii="Times New Roman" w:hAnsi="Times New Roman" w:cs="Times New Roman"/>
          <w:color w:val="000000"/>
        </w:rPr>
        <w:t xml:space="preserve">  </w:t>
      </w:r>
      <w:r w:rsidRPr="004D3276">
        <w:rPr>
          <w:rFonts w:ascii="Times New Roman" w:hAnsi="Times New Roman" w:cs="Times New Roman"/>
          <w:color w:val="000000"/>
        </w:rPr>
        <w:t>REASONABLENESS OF REQUESTED COMPENSATION</w:t>
      </w:r>
    </w:p>
    <w:p w:rsidRPr="007F620E" w:rsidR="00A92D0B" w:rsidP="005B5B44" w:rsidRDefault="00A92D0B" w14:paraId="6F74DAE2" w14:textId="77777777">
      <w:pPr>
        <w:keepNext/>
        <w:numPr>
          <w:ilvl w:val="0"/>
          <w:numId w:val="9"/>
        </w:numPr>
        <w:spacing w:before="240" w:after="240"/>
        <w:rPr>
          <w:b/>
          <w:color w:val="000000"/>
        </w:rPr>
      </w:pPr>
      <w:r w:rsidRPr="007F620E">
        <w:rPr>
          <w:b/>
          <w:color w:val="000000"/>
        </w:rPr>
        <w:t xml:space="preserve">General Claim of Reasonableness </w:t>
      </w:r>
      <w:r w:rsidRPr="007F620E" w:rsidR="00F30DA8">
        <w:rPr>
          <w:b/>
          <w:color w:val="000000"/>
        </w:rPr>
        <w:t xml:space="preserve">(§ </w:t>
      </w:r>
      <w:r w:rsidRPr="007F620E">
        <w:rPr>
          <w:b/>
          <w:color w:val="000000"/>
        </w:rPr>
        <w:t xml:space="preserve">1801 </w:t>
      </w:r>
      <w:r w:rsidRPr="007F620E" w:rsidR="00F30DA8">
        <w:rPr>
          <w:b/>
          <w:color w:val="000000"/>
        </w:rPr>
        <w:t>and §</w:t>
      </w:r>
      <w:r w:rsidR="0022302F">
        <w:rPr>
          <w:b/>
          <w:color w:val="000000"/>
        </w:rPr>
        <w:t xml:space="preserve"> 1806)</w:t>
      </w:r>
      <w:r w:rsidR="00C02649">
        <w:rPr>
          <w:b/>
          <w:color w:val="000000"/>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bottom w:w="58" w:type="dxa"/>
        </w:tblCellMar>
        <w:tblLook w:val="01E0" w:firstRow="1" w:lastRow="1" w:firstColumn="1" w:lastColumn="1" w:noHBand="0" w:noVBand="0"/>
      </w:tblPr>
      <w:tblGrid>
        <w:gridCol w:w="7375"/>
        <w:gridCol w:w="1985"/>
      </w:tblGrid>
      <w:tr w:rsidRPr="007F620E" w:rsidR="00FE3BAE" w:rsidTr="004830C4" w14:paraId="4078AC87" w14:textId="77777777">
        <w:trPr>
          <w:tblHeader/>
        </w:trPr>
        <w:tc>
          <w:tcPr>
            <w:tcW w:w="7375" w:type="dxa"/>
            <w:tcBorders>
              <w:bottom w:val="single" w:color="auto" w:sz="4" w:space="0"/>
            </w:tcBorders>
            <w:shd w:val="clear" w:color="auto" w:fill="D9D9D9" w:themeFill="background1" w:themeFillShade="D9"/>
          </w:tcPr>
          <w:p w:rsidRPr="007F620E" w:rsidR="00FE3BAE" w:rsidP="00EC6387" w:rsidRDefault="00FE3BAE" w14:paraId="70FDF5DA" w14:textId="77777777">
            <w:pPr>
              <w:rPr>
                <w:b/>
                <w:color w:val="000000"/>
              </w:rPr>
            </w:pPr>
          </w:p>
        </w:tc>
        <w:tc>
          <w:tcPr>
            <w:tcW w:w="1985" w:type="dxa"/>
            <w:shd w:val="clear" w:color="auto" w:fill="D9D9D9" w:themeFill="background1" w:themeFillShade="D9"/>
          </w:tcPr>
          <w:p w:rsidRPr="00FE3BAE" w:rsidR="00FE3BAE" w:rsidP="004830C4" w:rsidRDefault="00FE3BAE" w14:paraId="59CD9FCF" w14:textId="77777777">
            <w:pPr>
              <w:jc w:val="center"/>
              <w:rPr>
                <w:color w:val="000000"/>
              </w:rPr>
            </w:pPr>
            <w:r w:rsidRPr="007F620E">
              <w:rPr>
                <w:b/>
                <w:color w:val="000000"/>
              </w:rPr>
              <w:t>CPUC Discussion</w:t>
            </w:r>
          </w:p>
        </w:tc>
      </w:tr>
      <w:tr w:rsidRPr="007F620E" w:rsidR="00FE3BAE" w:rsidTr="004830C4" w14:paraId="5708510E" w14:textId="77777777">
        <w:tc>
          <w:tcPr>
            <w:tcW w:w="7375" w:type="dxa"/>
            <w:tcBorders>
              <w:bottom w:val="single" w:color="auto" w:sz="4" w:space="0"/>
            </w:tcBorders>
            <w:shd w:val="clear" w:color="auto" w:fill="auto"/>
          </w:tcPr>
          <w:p w:rsidRPr="00E25078" w:rsidR="00FE3BAE" w:rsidP="004830C4" w:rsidRDefault="00FE3BAE" w14:paraId="707F9932" w14:textId="24B1B5E0">
            <w:pPr>
              <w:spacing w:after="120"/>
              <w:rPr>
                <w:color w:val="000000"/>
              </w:rPr>
            </w:pPr>
            <w:r w:rsidRPr="007F620E">
              <w:rPr>
                <w:b/>
                <w:color w:val="000000"/>
              </w:rPr>
              <w:t>a. Intervenor’s claim of cost reasonableness:</w:t>
            </w:r>
            <w:r w:rsidRPr="00E25078" w:rsidR="00E25078">
              <w:rPr>
                <w:color w:val="000000"/>
              </w:rPr>
              <w:t xml:space="preserve"> </w:t>
            </w:r>
          </w:p>
          <w:p w:rsidR="007C289A" w:rsidP="004830C4" w:rsidRDefault="00887BA1" w14:paraId="1E73FDA5" w14:textId="49FF4DED">
            <w:pPr>
              <w:autoSpaceDE w:val="0"/>
              <w:autoSpaceDN w:val="0"/>
              <w:adjustRightInd w:val="0"/>
              <w:spacing w:after="180"/>
            </w:pPr>
            <w:r w:rsidRPr="00FB6596">
              <w:t xml:space="preserve">TURN’s request for intervenor compensation seeks an award of </w:t>
            </w:r>
            <w:r w:rsidRPr="000A68DE">
              <w:t xml:space="preserve">approximately </w:t>
            </w:r>
            <w:r w:rsidRPr="00EB789E">
              <w:t>$</w:t>
            </w:r>
            <w:r w:rsidR="0031477E">
              <w:rPr>
                <w:bCs/>
                <w:color w:val="000000"/>
              </w:rPr>
              <w:t>215</w:t>
            </w:r>
            <w:r w:rsidRPr="00EB789E">
              <w:rPr>
                <w:bCs/>
                <w:color w:val="000000"/>
              </w:rPr>
              <w:t>,</w:t>
            </w:r>
            <w:r>
              <w:rPr>
                <w:bCs/>
                <w:color w:val="000000"/>
              </w:rPr>
              <w:t xml:space="preserve">000 </w:t>
            </w:r>
            <w:r w:rsidRPr="001801AE">
              <w:t>as</w:t>
            </w:r>
            <w:r w:rsidRPr="00FB6596">
              <w:t xml:space="preserve"> the reasonable cost o</w:t>
            </w:r>
            <w:r>
              <w:t xml:space="preserve">f our participation in the portion of this proceeding covered herein.  </w:t>
            </w:r>
            <w:r w:rsidRPr="00FB6596">
              <w:t>TURN submits that these costs are reasonable in light of the importance of the issues TURN addressed and the benefits to customers.</w:t>
            </w:r>
            <w:r>
              <w:t xml:space="preserve">  </w:t>
            </w:r>
          </w:p>
          <w:p w:rsidR="007C289A" w:rsidP="004830C4" w:rsidRDefault="007C289A" w14:paraId="56A976EB" w14:textId="61E63C83">
            <w:pPr>
              <w:autoSpaceDE w:val="0"/>
              <w:autoSpaceDN w:val="0"/>
              <w:adjustRightInd w:val="0"/>
              <w:spacing w:after="180"/>
            </w:pPr>
            <w:r>
              <w:t>TURN’s advocacy reflected in D.</w:t>
            </w:r>
            <w:r w:rsidR="007B49E3">
              <w:t xml:space="preserve">20-11-013, which adopted a moratorium on ESPI awards, resulted in direct financial benefits to ratepayers who </w:t>
            </w:r>
            <w:r w:rsidR="00C25AA2">
              <w:t>have</w:t>
            </w:r>
            <w:r w:rsidR="007B49E3">
              <w:t xml:space="preserve"> </w:t>
            </w:r>
            <w:r w:rsidR="00D141A5">
              <w:t>avoid</w:t>
            </w:r>
            <w:r w:rsidR="00C25AA2">
              <w:t>ed</w:t>
            </w:r>
            <w:r w:rsidR="00D141A5">
              <w:t xml:space="preserve"> paying for ESPI awards</w:t>
            </w:r>
            <w:r w:rsidR="00C25AA2">
              <w:t xml:space="preserve"> since 2021</w:t>
            </w:r>
            <w:r w:rsidR="00B366D0">
              <w:t xml:space="preserve">. </w:t>
            </w:r>
            <w:r w:rsidR="005D320A">
              <w:t xml:space="preserve"> While TURN does not know the level of </w:t>
            </w:r>
            <w:r w:rsidR="002235C5">
              <w:t xml:space="preserve">annual </w:t>
            </w:r>
            <w:r w:rsidR="005D320A">
              <w:t xml:space="preserve">ESPI payments that ratepayers would have otherwise </w:t>
            </w:r>
            <w:r w:rsidR="001C3F92">
              <w:t>been responsible for without D.20</w:t>
            </w:r>
            <w:r w:rsidR="009C2478">
              <w:noBreakHyphen/>
            </w:r>
            <w:r w:rsidR="001C3F92">
              <w:t>11</w:t>
            </w:r>
            <w:r w:rsidR="009C2478">
              <w:noBreakHyphen/>
            </w:r>
            <w:r w:rsidR="001C3F92">
              <w:t xml:space="preserve">013, TURN notes that the Commission approved more than $50 million in ESPI awards for the four </w:t>
            </w:r>
            <w:r w:rsidR="001C3F92">
              <w:lastRenderedPageBreak/>
              <w:t xml:space="preserve">major energy utilities </w:t>
            </w:r>
            <w:r w:rsidR="00E1778F">
              <w:t>combined in Resolution E-5007, which covered program year 2017 and a true-up for program year 2016</w:t>
            </w:r>
            <w:r w:rsidR="00354721">
              <w:t xml:space="preserve"> (prior to the partial refunds ordered </w:t>
            </w:r>
            <w:r w:rsidR="00FF7D7B">
              <w:t>as a result of the SDG&amp;E and SCE Upstream Lighting Program investigations).</w:t>
            </w:r>
          </w:p>
          <w:p w:rsidR="002235C5" w:rsidP="004830C4" w:rsidRDefault="002235C5" w14:paraId="3324A992" w14:textId="7161F3A9">
            <w:pPr>
              <w:autoSpaceDE w:val="0"/>
              <w:autoSpaceDN w:val="0"/>
              <w:adjustRightInd w:val="0"/>
              <w:spacing w:after="180"/>
            </w:pPr>
            <w:r>
              <w:t xml:space="preserve">TURN’s advocacy reflected in </w:t>
            </w:r>
            <w:r w:rsidR="005E0A39">
              <w:t xml:space="preserve">the Upstream Lighting Program Investigation decisions, D.21-09-002 and D.22-11-031, resulted in even larger </w:t>
            </w:r>
            <w:r w:rsidR="005F2F3D">
              <w:t xml:space="preserve">direct </w:t>
            </w:r>
            <w:r w:rsidR="005E0A39">
              <w:t xml:space="preserve">financial benefits to ratepayers.  </w:t>
            </w:r>
            <w:r w:rsidR="009647FE">
              <w:t xml:space="preserve">As explained above, SDG&amp;E refunded </w:t>
            </w:r>
            <w:r w:rsidR="005C1526">
              <w:t>$51.6 million</w:t>
            </w:r>
            <w:r w:rsidR="009647FE">
              <w:t xml:space="preserve"> </w:t>
            </w:r>
            <w:r w:rsidR="005C1526">
              <w:t xml:space="preserve">to its ratepayers </w:t>
            </w:r>
            <w:r w:rsidR="009647FE">
              <w:t>as a result of D.21</w:t>
            </w:r>
            <w:r w:rsidR="009C2478">
              <w:noBreakHyphen/>
            </w:r>
            <w:r w:rsidR="009647FE">
              <w:t>09</w:t>
            </w:r>
            <w:r w:rsidR="009C2478">
              <w:noBreakHyphen/>
            </w:r>
            <w:r w:rsidR="009647FE">
              <w:t xml:space="preserve">002, and SCE refunded </w:t>
            </w:r>
            <w:r w:rsidR="007B201F">
              <w:t>$82.9 million</w:t>
            </w:r>
            <w:r w:rsidR="009647FE">
              <w:t xml:space="preserve"> </w:t>
            </w:r>
            <w:r w:rsidR="005D2E57">
              <w:t xml:space="preserve">to its ratepayers </w:t>
            </w:r>
            <w:r w:rsidR="009647FE">
              <w:t>as a result of D.</w:t>
            </w:r>
            <w:r w:rsidR="009660A4">
              <w:t xml:space="preserve">22-11-031.  </w:t>
            </w:r>
          </w:p>
          <w:p w:rsidR="00887BA1" w:rsidP="004830C4" w:rsidRDefault="00887BA1" w14:paraId="2876363C" w14:textId="2E23B502">
            <w:pPr>
              <w:autoSpaceDE w:val="0"/>
              <w:autoSpaceDN w:val="0"/>
              <w:adjustRightInd w:val="0"/>
              <w:spacing w:after="180"/>
            </w:pPr>
            <w:r w:rsidRPr="003B7654">
              <w:t xml:space="preserve">TURN’s advocacy reflected in </w:t>
            </w:r>
            <w:r w:rsidR="007C289A">
              <w:t xml:space="preserve">the remaining </w:t>
            </w:r>
            <w:r w:rsidR="00675E90">
              <w:t xml:space="preserve">three </w:t>
            </w:r>
            <w:r w:rsidR="005F2F3D">
              <w:t>decisions</w:t>
            </w:r>
            <w:r w:rsidR="006157FE">
              <w:t xml:space="preserve"> covered </w:t>
            </w:r>
            <w:r w:rsidR="005F2F3D">
              <w:t xml:space="preserve">in this claim </w:t>
            </w:r>
            <w:r w:rsidR="006157FE">
              <w:rPr>
                <w:color w:val="000000"/>
              </w:rPr>
              <w:t>(</w:t>
            </w:r>
            <w:r w:rsidR="00675E90">
              <w:rPr>
                <w:color w:val="000000"/>
              </w:rPr>
              <w:t>D.</w:t>
            </w:r>
            <w:r w:rsidR="007D21E7">
              <w:rPr>
                <w:color w:val="000000"/>
              </w:rPr>
              <w:t>21-01-004, D.21-05-031, and D.21-09-037</w:t>
            </w:r>
            <w:r w:rsidR="006157FE">
              <w:rPr>
                <w:color w:val="000000"/>
              </w:rPr>
              <w:t xml:space="preserve">) </w:t>
            </w:r>
            <w:r w:rsidRPr="003B7654">
              <w:t>addressed policy matters related to the EE portfolios, rather than specific rates or disputes over particular dollar amounts.  For these issue areas, TURN cannot easily identify precise monetary benefits to ratepayers from our work in this proceeding, given the nature of the issues presented.  For this reason, the Commission should treat this compensation request as it has treated similar past requests with regard to the difficulty of establishing specific monetary benefits associated with TURN’s participation. (</w:t>
            </w:r>
            <w:r w:rsidRPr="003B7654">
              <w:rPr>
                <w:i/>
              </w:rPr>
              <w:t>See i.e.</w:t>
            </w:r>
            <w:r w:rsidRPr="003B7654">
              <w:t xml:space="preserve"> </w:t>
            </w:r>
            <w:r w:rsidR="00131CE5">
              <w:t>D.20-</w:t>
            </w:r>
            <w:r w:rsidR="004376E0">
              <w:t>05-016</w:t>
            </w:r>
            <w:r w:rsidR="00131CE5">
              <w:t xml:space="preserve"> and </w:t>
            </w:r>
            <w:r w:rsidRPr="003B7654">
              <w:t>D.18-05-0</w:t>
            </w:r>
            <w:r>
              <w:t>1</w:t>
            </w:r>
            <w:r w:rsidRPr="003B7654">
              <w:t>7 (awarding TURN intervenor compensation for earlier EE policy work in this proceeding); D.07-12-040, p. 21 (awarding TURN intervenor compensation for energy efficiency policy work in A.05-06-004 et al.); D.13-06-019 (awarding TURN intervenor compensation for EE policy work in R.09</w:t>
            </w:r>
            <w:r w:rsidR="00F53878">
              <w:noBreakHyphen/>
            </w:r>
            <w:r w:rsidRPr="003B7654">
              <w:t>11-014.)</w:t>
            </w:r>
            <w:r w:rsidRPr="003B7654">
              <w:rPr>
                <w:rStyle w:val="StyleFootnoteReferenceofrStyle3o1o2o3o4o5o6o11o21o7"/>
              </w:rPr>
              <w:footnoteReference w:id="3"/>
            </w:r>
            <w:r w:rsidRPr="00FA4FB1">
              <w:t xml:space="preserve"> </w:t>
            </w:r>
            <w:r w:rsidRPr="00E80255">
              <w:t xml:space="preserve"> </w:t>
            </w:r>
            <w:r w:rsidR="007206C5">
              <w:t xml:space="preserve">Even where direct financial benefits cannot be identified, </w:t>
            </w:r>
            <w:r w:rsidRPr="003B7654">
              <w:t xml:space="preserve">TURN submits that our contributions to this proceeding will afford the ratepayers of PG&amp;E, SCE, SDG&amp;E and SoCalGas significant benefits, as the establishment of energy efficiency policies has a direct and lasting impact on customer rates.  These policies will yield demand side resources designed to displace </w:t>
            </w:r>
            <w:r w:rsidRPr="003B7654">
              <w:lastRenderedPageBreak/>
              <w:t>supply side resource procurement.  As the energy crisis demonstrate</w:t>
            </w:r>
            <w:r>
              <w:t>d</w:t>
            </w:r>
            <w:r w:rsidRPr="003B7654">
              <w:t>, procurement costs can be a major driver of utility outlays and retail rates.  The astronomical rate increases of 2001 can be linked to the extraordinary costs of wholesale electricity.  In the future, procurement expenditures may represent the least predictable component of utility costs.  Therefore, appropriate energy efficiency (and integrated resource planning) policies and prudent planning practices will be essential to maintaining both low and stable rates.  TURN’s contributions to this proceeding will assist the Commission in achieving its energy efficiency goals, as well as the mandates of AB 32</w:t>
            </w:r>
            <w:r w:rsidR="009B2941">
              <w:t xml:space="preserve"> and </w:t>
            </w:r>
            <w:r w:rsidRPr="003B7654">
              <w:t>SB 350.  Moreover, TURN’s contributions will promote long-term rate stability, reduce risks to ratepayers and contribute to resource diversity that should help to mitigate the impact of future market dysfunction.</w:t>
            </w:r>
            <w:r w:rsidRPr="001333D2">
              <w:t xml:space="preserve">  </w:t>
            </w:r>
          </w:p>
          <w:p w:rsidRPr="004830C4" w:rsidR="004576A8" w:rsidP="004830C4" w:rsidRDefault="00C610A6" w14:paraId="2B1A1242" w14:textId="1EEBECFE">
            <w:pPr>
              <w:autoSpaceDE w:val="0"/>
              <w:autoSpaceDN w:val="0"/>
              <w:adjustRightInd w:val="0"/>
              <w:spacing w:after="180"/>
              <w:rPr>
                <w:rFonts w:ascii="Arial" w:hAnsi="Arial" w:cs="Arial"/>
                <w:b/>
                <w:color w:val="000000"/>
                <w:sz w:val="20"/>
                <w:szCs w:val="20"/>
                <w:highlight w:val="yellow"/>
              </w:rPr>
            </w:pPr>
            <w:r w:rsidRPr="001333D2">
              <w:t>For all of these reasons, the Commission should find that TURN's efforts have been productive.</w:t>
            </w:r>
          </w:p>
        </w:tc>
        <w:tc>
          <w:tcPr>
            <w:tcW w:w="1985" w:type="dxa"/>
            <w:shd w:val="clear" w:color="auto" w:fill="auto"/>
          </w:tcPr>
          <w:p w:rsidR="00FE3BAE" w:rsidP="00EC6387" w:rsidRDefault="00FE3BAE" w14:paraId="0FE2B4BE" w14:textId="77777777">
            <w:pPr>
              <w:rPr>
                <w:color w:val="000000"/>
              </w:rPr>
            </w:pPr>
          </w:p>
          <w:p w:rsidR="002A2C9D" w:rsidP="00EC6387" w:rsidRDefault="002A2C9D" w14:paraId="3A6365F5" w14:textId="77777777">
            <w:pPr>
              <w:rPr>
                <w:color w:val="000000"/>
              </w:rPr>
            </w:pPr>
          </w:p>
          <w:p w:rsidRPr="00FE3BAE" w:rsidR="002A2C9D" w:rsidP="002A2C9D" w:rsidRDefault="002A2C9D" w14:paraId="223B4665" w14:textId="240C70F3">
            <w:pPr>
              <w:jc w:val="center"/>
              <w:rPr>
                <w:color w:val="000000"/>
              </w:rPr>
            </w:pPr>
            <w:r>
              <w:rPr>
                <w:color w:val="000000"/>
              </w:rPr>
              <w:t>Noted</w:t>
            </w:r>
          </w:p>
        </w:tc>
      </w:tr>
      <w:tr w:rsidRPr="007F620E" w:rsidR="00FE3BAE" w:rsidTr="004830C4" w14:paraId="5548029C" w14:textId="77777777">
        <w:tc>
          <w:tcPr>
            <w:tcW w:w="7375" w:type="dxa"/>
            <w:shd w:val="clear" w:color="auto" w:fill="auto"/>
          </w:tcPr>
          <w:p w:rsidRPr="00E25078" w:rsidR="00FE3BAE" w:rsidP="004830C4" w:rsidRDefault="00FE3BAE" w14:paraId="751A610C" w14:textId="509B1715">
            <w:pPr>
              <w:spacing w:after="120"/>
              <w:rPr>
                <w:color w:val="000000"/>
              </w:rPr>
            </w:pPr>
            <w:r w:rsidRPr="007F620E">
              <w:rPr>
                <w:b/>
                <w:color w:val="000000"/>
              </w:rPr>
              <w:lastRenderedPageBreak/>
              <w:t>b. Reasonableness of hours claimed:</w:t>
            </w:r>
            <w:r w:rsidRPr="00E25078" w:rsidR="00E25078">
              <w:rPr>
                <w:color w:val="000000"/>
              </w:rPr>
              <w:t xml:space="preserve"> </w:t>
            </w:r>
          </w:p>
          <w:p w:rsidR="00691528" w:rsidP="004830C4" w:rsidRDefault="00196C1A" w14:paraId="30ED44A3" w14:textId="57919AEE">
            <w:pPr>
              <w:autoSpaceDE w:val="0"/>
              <w:autoSpaceDN w:val="0"/>
              <w:adjustRightInd w:val="0"/>
              <w:spacing w:after="180"/>
              <w:rPr>
                <w:color w:val="000000"/>
              </w:rPr>
            </w:pPr>
            <w:r w:rsidRPr="00F220B8">
              <w:rPr>
                <w:color w:val="000000"/>
              </w:rPr>
              <w:t xml:space="preserve">This Request for Compensation includes </w:t>
            </w:r>
            <w:r w:rsidRPr="001917DE">
              <w:rPr>
                <w:color w:val="000000"/>
              </w:rPr>
              <w:t>44</w:t>
            </w:r>
            <w:r w:rsidR="00813FEA">
              <w:rPr>
                <w:color w:val="000000"/>
              </w:rPr>
              <w:t>5.75</w:t>
            </w:r>
            <w:r w:rsidRPr="001917DE">
              <w:rPr>
                <w:color w:val="000000"/>
              </w:rPr>
              <w:t xml:space="preserve"> hours</w:t>
            </w:r>
            <w:r w:rsidRPr="005B5144">
              <w:rPr>
                <w:color w:val="000000"/>
              </w:rPr>
              <w:t xml:space="preserve"> for TURN’s attorney and </w:t>
            </w:r>
            <w:r w:rsidR="00C740F7">
              <w:rPr>
                <w:color w:val="000000"/>
              </w:rPr>
              <w:t xml:space="preserve">expert </w:t>
            </w:r>
            <w:r w:rsidRPr="005B5144">
              <w:rPr>
                <w:color w:val="000000"/>
              </w:rPr>
              <w:t>consultant time</w:t>
            </w:r>
            <w:r>
              <w:rPr>
                <w:color w:val="000000"/>
              </w:rPr>
              <w:t xml:space="preserve">.  This time includes TURN’s preparation of </w:t>
            </w:r>
            <w:r w:rsidR="00B078DE">
              <w:rPr>
                <w:color w:val="000000"/>
              </w:rPr>
              <w:t>23</w:t>
            </w:r>
            <w:r w:rsidR="00ED1FD8">
              <w:rPr>
                <w:color w:val="000000"/>
              </w:rPr>
              <w:t xml:space="preserve"> </w:t>
            </w:r>
            <w:r>
              <w:rPr>
                <w:color w:val="000000"/>
              </w:rPr>
              <w:t xml:space="preserve">formally filed pleadings </w:t>
            </w:r>
            <w:r w:rsidR="00AC2714">
              <w:rPr>
                <w:color w:val="000000"/>
              </w:rPr>
              <w:t xml:space="preserve">between 2020 and 2022 </w:t>
            </w:r>
            <w:r>
              <w:rPr>
                <w:color w:val="000000"/>
              </w:rPr>
              <w:t xml:space="preserve">related to the issues resolved in </w:t>
            </w:r>
            <w:r w:rsidR="00ED1FD8">
              <w:rPr>
                <w:color w:val="000000"/>
              </w:rPr>
              <w:t>the six decisions covered by this claim</w:t>
            </w:r>
            <w:r w:rsidR="003E790B">
              <w:rPr>
                <w:color w:val="000000"/>
              </w:rPr>
              <w:t>.</w:t>
            </w:r>
          </w:p>
          <w:p w:rsidR="00196C1A" w:rsidP="004830C4" w:rsidRDefault="00E234C2" w14:paraId="339CE968" w14:textId="7F7A6DEB">
            <w:pPr>
              <w:autoSpaceDE w:val="0"/>
              <w:autoSpaceDN w:val="0"/>
              <w:adjustRightInd w:val="0"/>
              <w:spacing w:after="180"/>
              <w:rPr>
                <w:color w:val="000000"/>
              </w:rPr>
            </w:pPr>
            <w:r>
              <w:rPr>
                <w:color w:val="000000"/>
              </w:rPr>
              <w:t>Hayley Goodson served as TURN’s attorney in this proceeding.  Ms.</w:t>
            </w:r>
            <w:r w:rsidR="00F53878">
              <w:rPr>
                <w:color w:val="000000"/>
              </w:rPr>
              <w:t> </w:t>
            </w:r>
            <w:r>
              <w:rPr>
                <w:color w:val="000000"/>
              </w:rPr>
              <w:t xml:space="preserve">Goodson has extensive experience on EE issues, making her an efficient staffing choice.  This request includes </w:t>
            </w:r>
            <w:r w:rsidRPr="001917DE">
              <w:rPr>
                <w:color w:val="000000"/>
              </w:rPr>
              <w:t xml:space="preserve">approximately </w:t>
            </w:r>
            <w:r w:rsidR="008A6012">
              <w:rPr>
                <w:color w:val="000000"/>
              </w:rPr>
              <w:t>415</w:t>
            </w:r>
            <w:r w:rsidRPr="001917DE">
              <w:rPr>
                <w:color w:val="000000"/>
              </w:rPr>
              <w:t xml:space="preserve"> hours of</w:t>
            </w:r>
            <w:r>
              <w:rPr>
                <w:color w:val="000000"/>
              </w:rPr>
              <w:t xml:space="preserve"> Ms. Goodson’s time from </w:t>
            </w:r>
            <w:r w:rsidR="008A6012">
              <w:rPr>
                <w:color w:val="000000"/>
              </w:rPr>
              <w:t>2020</w:t>
            </w:r>
            <w:r>
              <w:rPr>
                <w:color w:val="000000"/>
              </w:rPr>
              <w:t xml:space="preserve"> through </w:t>
            </w:r>
            <w:r w:rsidR="008A6012">
              <w:rPr>
                <w:color w:val="000000"/>
              </w:rPr>
              <w:t>2022 plus the preparation of this request in 2025.</w:t>
            </w:r>
          </w:p>
          <w:p w:rsidR="009B531E" w:rsidP="004830C4" w:rsidRDefault="00045E09" w14:paraId="09DA52AE" w14:textId="77777777">
            <w:pPr>
              <w:autoSpaceDE w:val="0"/>
              <w:autoSpaceDN w:val="0"/>
              <w:adjustRightInd w:val="0"/>
              <w:spacing w:after="180"/>
              <w:rPr>
                <w:color w:val="000000"/>
              </w:rPr>
            </w:pPr>
            <w:r>
              <w:rPr>
                <w:color w:val="000000"/>
              </w:rPr>
              <w:t xml:space="preserve">Ms. Goodson </w:t>
            </w:r>
            <w:r w:rsidR="00E93488">
              <w:rPr>
                <w:color w:val="000000"/>
              </w:rPr>
              <w:t xml:space="preserve">also </w:t>
            </w:r>
            <w:r w:rsidR="005A07C7">
              <w:rPr>
                <w:color w:val="000000"/>
              </w:rPr>
              <w:t xml:space="preserve">received assistance from </w:t>
            </w:r>
            <w:r w:rsidR="00E56F04">
              <w:rPr>
                <w:color w:val="000000"/>
              </w:rPr>
              <w:t>TURN colleagues and expert consultants</w:t>
            </w:r>
            <w:r w:rsidR="005A07C7">
              <w:rPr>
                <w:color w:val="000000"/>
              </w:rPr>
              <w:t xml:space="preserve"> </w:t>
            </w:r>
            <w:r w:rsidR="00E56F04">
              <w:rPr>
                <w:color w:val="000000"/>
              </w:rPr>
              <w:t>on discrete issues</w:t>
            </w:r>
            <w:r w:rsidR="00E93488">
              <w:rPr>
                <w:color w:val="000000"/>
              </w:rPr>
              <w:t xml:space="preserve">.  </w:t>
            </w:r>
          </w:p>
          <w:p w:rsidR="004D1B77" w:rsidP="004830C4" w:rsidRDefault="00E93488" w14:paraId="74C4383E" w14:textId="32867EC3">
            <w:pPr>
              <w:autoSpaceDE w:val="0"/>
              <w:autoSpaceDN w:val="0"/>
              <w:adjustRightInd w:val="0"/>
              <w:spacing w:after="180"/>
              <w:rPr>
                <w:color w:val="000000"/>
              </w:rPr>
            </w:pPr>
            <w:r>
              <w:rPr>
                <w:color w:val="000000"/>
              </w:rPr>
              <w:t xml:space="preserve">Ms. Goodson retained </w:t>
            </w:r>
            <w:r w:rsidR="00E70A07">
              <w:rPr>
                <w:color w:val="000000"/>
              </w:rPr>
              <w:t xml:space="preserve">outside </w:t>
            </w:r>
            <w:r w:rsidRPr="00247EFC" w:rsidR="00E31B6C">
              <w:t>expert consultant Cynthia Mitchell of Energy Economics</w:t>
            </w:r>
            <w:r w:rsidR="00B64379">
              <w:t xml:space="preserve"> </w:t>
            </w:r>
            <w:r w:rsidRPr="00247EFC" w:rsidR="00E31B6C">
              <w:t>Inc</w:t>
            </w:r>
            <w:r w:rsidR="00E31B6C">
              <w:t xml:space="preserve">. </w:t>
            </w:r>
            <w:r>
              <w:t xml:space="preserve">in 2020 to assist with </w:t>
            </w:r>
            <w:r w:rsidR="00B64379">
              <w:t xml:space="preserve">initial </w:t>
            </w:r>
            <w:r w:rsidRPr="00247EFC" w:rsidR="00E31B6C">
              <w:t xml:space="preserve">analysis </w:t>
            </w:r>
            <w:r w:rsidR="00884BDD">
              <w:t>related to</w:t>
            </w:r>
            <w:r w:rsidR="003D5A8D">
              <w:t xml:space="preserve"> the Upstream Lighting Program </w:t>
            </w:r>
            <w:r w:rsidR="000366BF">
              <w:t xml:space="preserve">Impact Evaluation </w:t>
            </w:r>
            <w:r w:rsidR="008C2F65">
              <w:t>and the ALJ Ruling</w:t>
            </w:r>
            <w:r w:rsidR="003D5A8D">
              <w:t>.</w:t>
            </w:r>
            <w:r w:rsidR="004D1B77">
              <w:rPr>
                <w:color w:val="000000"/>
              </w:rPr>
              <w:t xml:space="preserve">  </w:t>
            </w:r>
            <w:r w:rsidR="0028705C">
              <w:rPr>
                <w:color w:val="000000"/>
              </w:rPr>
              <w:t>Ms. Mitchell has consulted for TURN for decades on EE issues</w:t>
            </w:r>
            <w:r w:rsidR="009E0612">
              <w:rPr>
                <w:color w:val="000000"/>
              </w:rPr>
              <w:t>.</w:t>
            </w:r>
            <w:r w:rsidR="000536FC">
              <w:rPr>
                <w:color w:val="000000"/>
              </w:rPr>
              <w:t xml:space="preserve">  This claim includes 16.5 hours of her time.</w:t>
            </w:r>
          </w:p>
          <w:p w:rsidR="00594D7A" w:rsidP="004830C4" w:rsidRDefault="00594D7A" w14:paraId="3D0785C2" w14:textId="4F984DF2">
            <w:pPr>
              <w:autoSpaceDE w:val="0"/>
              <w:autoSpaceDN w:val="0"/>
              <w:adjustRightInd w:val="0"/>
              <w:spacing w:after="180"/>
              <w:rPr>
                <w:color w:val="000000"/>
              </w:rPr>
            </w:pPr>
            <w:r>
              <w:rPr>
                <w:color w:val="000000"/>
              </w:rPr>
              <w:t xml:space="preserve">Ms. Goodson enlisted the assistance of </w:t>
            </w:r>
            <w:r w:rsidR="00694602">
              <w:rPr>
                <w:color w:val="000000"/>
              </w:rPr>
              <w:t>TURN attorney</w:t>
            </w:r>
            <w:r w:rsidR="00080729">
              <w:rPr>
                <w:color w:val="000000"/>
              </w:rPr>
              <w:t>s</w:t>
            </w:r>
            <w:r w:rsidR="00694602">
              <w:rPr>
                <w:color w:val="000000"/>
              </w:rPr>
              <w:t xml:space="preserve"> Matthew Freedman</w:t>
            </w:r>
            <w:r w:rsidR="007F4E65">
              <w:rPr>
                <w:color w:val="000000"/>
              </w:rPr>
              <w:t xml:space="preserve"> </w:t>
            </w:r>
            <w:r w:rsidR="00080729">
              <w:rPr>
                <w:color w:val="000000"/>
              </w:rPr>
              <w:t xml:space="preserve">and Marcel </w:t>
            </w:r>
            <w:proofErr w:type="spellStart"/>
            <w:r w:rsidR="00080729">
              <w:rPr>
                <w:color w:val="000000"/>
              </w:rPr>
              <w:t>Hawiger</w:t>
            </w:r>
            <w:proofErr w:type="spellEnd"/>
            <w:r w:rsidR="00080729">
              <w:rPr>
                <w:color w:val="000000"/>
              </w:rPr>
              <w:t xml:space="preserve">, as well as </w:t>
            </w:r>
            <w:r w:rsidR="007F4E65">
              <w:rPr>
                <w:color w:val="000000"/>
              </w:rPr>
              <w:t>outside expert consultant Kevin Woodruff</w:t>
            </w:r>
            <w:r w:rsidR="00080729">
              <w:rPr>
                <w:color w:val="000000"/>
              </w:rPr>
              <w:t xml:space="preserve">, in evaluating and responding </w:t>
            </w:r>
            <w:r w:rsidR="007F4E65">
              <w:rPr>
                <w:color w:val="000000"/>
              </w:rPr>
              <w:t xml:space="preserve">to the questions </w:t>
            </w:r>
            <w:r w:rsidR="00780D41">
              <w:rPr>
                <w:color w:val="000000"/>
              </w:rPr>
              <w:t xml:space="preserve">set forth in the Commission’s </w:t>
            </w:r>
            <w:r w:rsidR="00A45AF4">
              <w:rPr>
                <w:color w:val="000000"/>
              </w:rPr>
              <w:t>3/12/20 P&amp;G Policy ruling</w:t>
            </w:r>
            <w:r w:rsidR="005861A7">
              <w:rPr>
                <w:color w:val="000000"/>
              </w:rPr>
              <w:t>, particularly questions</w:t>
            </w:r>
            <w:r w:rsidR="00A45AF4">
              <w:rPr>
                <w:color w:val="000000"/>
              </w:rPr>
              <w:t xml:space="preserve"> </w:t>
            </w:r>
            <w:r w:rsidR="007F4E65">
              <w:rPr>
                <w:color w:val="000000"/>
              </w:rPr>
              <w:t>regarding</w:t>
            </w:r>
            <w:r w:rsidR="00C47B27">
              <w:rPr>
                <w:color w:val="000000"/>
              </w:rPr>
              <w:t xml:space="preserve"> moving towards using</w:t>
            </w:r>
            <w:r w:rsidR="007F4E65">
              <w:rPr>
                <w:color w:val="000000"/>
              </w:rPr>
              <w:t xml:space="preserve"> IRP Optimization for EE</w:t>
            </w:r>
            <w:r w:rsidR="00C47B27">
              <w:rPr>
                <w:color w:val="000000"/>
              </w:rPr>
              <w:t xml:space="preserve"> goals.  </w:t>
            </w:r>
            <w:r w:rsidR="00C70D89">
              <w:rPr>
                <w:color w:val="000000"/>
              </w:rPr>
              <w:t>Mr.</w:t>
            </w:r>
            <w:r w:rsidR="009C2478">
              <w:rPr>
                <w:color w:val="000000"/>
              </w:rPr>
              <w:t> </w:t>
            </w:r>
            <w:proofErr w:type="spellStart"/>
            <w:r w:rsidR="00C70D89">
              <w:rPr>
                <w:color w:val="000000"/>
              </w:rPr>
              <w:t>Hawiger</w:t>
            </w:r>
            <w:proofErr w:type="spellEnd"/>
            <w:r w:rsidR="00C70D89">
              <w:rPr>
                <w:color w:val="000000"/>
              </w:rPr>
              <w:t xml:space="preserve">, </w:t>
            </w:r>
            <w:r w:rsidR="000B1A77">
              <w:rPr>
                <w:color w:val="000000"/>
              </w:rPr>
              <w:t xml:space="preserve">Mr. Freedman, and Mr. Woodruff had significantly more </w:t>
            </w:r>
            <w:r w:rsidR="000B1A77">
              <w:rPr>
                <w:color w:val="000000"/>
              </w:rPr>
              <w:lastRenderedPageBreak/>
              <w:t xml:space="preserve">experience than Ms. Goodson </w:t>
            </w:r>
            <w:r w:rsidR="005121CE">
              <w:rPr>
                <w:color w:val="000000"/>
              </w:rPr>
              <w:t>with</w:t>
            </w:r>
            <w:r w:rsidR="000B1A77">
              <w:rPr>
                <w:color w:val="000000"/>
              </w:rPr>
              <w:t xml:space="preserve"> </w:t>
            </w:r>
            <w:r w:rsidR="005121CE">
              <w:rPr>
                <w:color w:val="000000"/>
              </w:rPr>
              <w:t xml:space="preserve">IRP and the RESOLVE model, making their input instrumental in helping TURN formulate its positions.  </w:t>
            </w:r>
            <w:r w:rsidR="00AC504D">
              <w:rPr>
                <w:color w:val="000000"/>
              </w:rPr>
              <w:t xml:space="preserve">This claim includes 1.5 hours of Mr. Freedman’s time, </w:t>
            </w:r>
            <w:r w:rsidR="00FF5EB6">
              <w:rPr>
                <w:color w:val="000000"/>
              </w:rPr>
              <w:t>0</w:t>
            </w:r>
            <w:r w:rsidR="00EB10D9">
              <w:rPr>
                <w:color w:val="000000"/>
              </w:rPr>
              <w:t>.5</w:t>
            </w:r>
            <w:r w:rsidR="009C2478">
              <w:rPr>
                <w:color w:val="000000"/>
              </w:rPr>
              <w:t> </w:t>
            </w:r>
            <w:r w:rsidR="00EB10D9">
              <w:rPr>
                <w:color w:val="000000"/>
              </w:rPr>
              <w:t xml:space="preserve">hours of Mr. </w:t>
            </w:r>
            <w:proofErr w:type="spellStart"/>
            <w:r w:rsidR="00EB10D9">
              <w:rPr>
                <w:color w:val="000000"/>
              </w:rPr>
              <w:t>Hawiger’s</w:t>
            </w:r>
            <w:proofErr w:type="spellEnd"/>
            <w:r w:rsidR="00EB10D9">
              <w:rPr>
                <w:color w:val="000000"/>
              </w:rPr>
              <w:t xml:space="preserve"> time, and </w:t>
            </w:r>
            <w:r w:rsidR="00FF5EB6">
              <w:rPr>
                <w:color w:val="000000"/>
              </w:rPr>
              <w:t>5.75</w:t>
            </w:r>
            <w:r w:rsidR="00EB10D9">
              <w:rPr>
                <w:color w:val="000000"/>
              </w:rPr>
              <w:t xml:space="preserve"> hours of Mr. Woodruff’s time </w:t>
            </w:r>
            <w:r w:rsidR="00FF5EB6">
              <w:rPr>
                <w:color w:val="000000"/>
              </w:rPr>
              <w:t>related to these comments</w:t>
            </w:r>
            <w:r w:rsidR="00EB10D9">
              <w:rPr>
                <w:color w:val="000000"/>
              </w:rPr>
              <w:t xml:space="preserve">.  </w:t>
            </w:r>
            <w:r w:rsidR="00AC504D">
              <w:rPr>
                <w:color w:val="000000"/>
              </w:rPr>
              <w:t xml:space="preserve"> </w:t>
            </w:r>
          </w:p>
          <w:p w:rsidR="00491BC8" w:rsidP="004830C4" w:rsidRDefault="00B23042" w14:paraId="4E328155" w14:textId="26D6F1A5">
            <w:pPr>
              <w:autoSpaceDE w:val="0"/>
              <w:autoSpaceDN w:val="0"/>
              <w:adjustRightInd w:val="0"/>
              <w:spacing w:after="180"/>
              <w:rPr>
                <w:color w:val="000000"/>
              </w:rPr>
            </w:pPr>
            <w:r>
              <w:rPr>
                <w:color w:val="000000"/>
              </w:rPr>
              <w:t xml:space="preserve">In </w:t>
            </w:r>
            <w:r w:rsidRPr="004830C4">
              <w:t>October</w:t>
            </w:r>
            <w:r>
              <w:rPr>
                <w:color w:val="000000"/>
              </w:rPr>
              <w:t xml:space="preserve"> 2020, </w:t>
            </w:r>
            <w:r w:rsidR="00660D14">
              <w:rPr>
                <w:color w:val="000000"/>
              </w:rPr>
              <w:t xml:space="preserve">Ms. Goodson conferred </w:t>
            </w:r>
            <w:r>
              <w:rPr>
                <w:color w:val="000000"/>
              </w:rPr>
              <w:t xml:space="preserve">briefly </w:t>
            </w:r>
            <w:r w:rsidR="00660D14">
              <w:rPr>
                <w:color w:val="000000"/>
              </w:rPr>
              <w:t xml:space="preserve">with TURN attorney Marcel </w:t>
            </w:r>
            <w:proofErr w:type="spellStart"/>
            <w:r w:rsidR="00660D14">
              <w:rPr>
                <w:color w:val="000000"/>
              </w:rPr>
              <w:t>Hawiger</w:t>
            </w:r>
            <w:proofErr w:type="spellEnd"/>
            <w:r w:rsidR="00660D14">
              <w:rPr>
                <w:color w:val="000000"/>
              </w:rPr>
              <w:t xml:space="preserve"> in preparing reply comments on the ESPI PD/APD</w:t>
            </w:r>
            <w:r w:rsidR="002A7251">
              <w:rPr>
                <w:color w:val="000000"/>
              </w:rPr>
              <w:t xml:space="preserve">, specifically </w:t>
            </w:r>
            <w:r w:rsidR="00917BF1">
              <w:rPr>
                <w:color w:val="000000"/>
              </w:rPr>
              <w:t xml:space="preserve">on the issue of risk and cost of capital, because of his contemporary work on cost of capital proceedings.  </w:t>
            </w:r>
            <w:r w:rsidR="00585AE7">
              <w:rPr>
                <w:color w:val="000000"/>
              </w:rPr>
              <w:t>Mr.</w:t>
            </w:r>
            <w:r w:rsidR="009C2478">
              <w:rPr>
                <w:color w:val="000000"/>
              </w:rPr>
              <w:t> </w:t>
            </w:r>
            <w:proofErr w:type="spellStart"/>
            <w:r w:rsidR="00585AE7">
              <w:rPr>
                <w:color w:val="000000"/>
              </w:rPr>
              <w:t>Hawiger</w:t>
            </w:r>
            <w:proofErr w:type="spellEnd"/>
            <w:r w:rsidR="00585AE7">
              <w:rPr>
                <w:color w:val="000000"/>
              </w:rPr>
              <w:t xml:space="preserve"> devoted </w:t>
            </w:r>
            <w:r w:rsidR="00AC504D">
              <w:rPr>
                <w:color w:val="000000"/>
              </w:rPr>
              <w:t>0.5 hours to this work.</w:t>
            </w:r>
          </w:p>
          <w:p w:rsidR="005238B6" w:rsidP="004830C4" w:rsidRDefault="00360986" w14:paraId="56F7DD2B" w14:textId="0465831B">
            <w:pPr>
              <w:autoSpaceDE w:val="0"/>
              <w:autoSpaceDN w:val="0"/>
              <w:adjustRightInd w:val="0"/>
              <w:spacing w:after="180"/>
              <w:rPr>
                <w:color w:val="000000"/>
              </w:rPr>
            </w:pPr>
            <w:r w:rsidRPr="004830C4">
              <w:t>Finally</w:t>
            </w:r>
            <w:r>
              <w:rPr>
                <w:color w:val="000000"/>
              </w:rPr>
              <w:t xml:space="preserve">, in </w:t>
            </w:r>
            <w:r w:rsidR="002A51EA">
              <w:rPr>
                <w:color w:val="000000"/>
              </w:rPr>
              <w:t>2021, Ms. Goodson retained expert consultant Michele Chait to assist with the preparation of comments on the 2021 P&amp;G Study</w:t>
            </w:r>
            <w:r w:rsidR="007B5F08">
              <w:rPr>
                <w:color w:val="000000"/>
              </w:rPr>
              <w:t xml:space="preserve"> given her </w:t>
            </w:r>
            <w:r w:rsidR="002468F3">
              <w:rPr>
                <w:color w:val="000000"/>
              </w:rPr>
              <w:t xml:space="preserve">extensive </w:t>
            </w:r>
            <w:r w:rsidR="006606B8">
              <w:rPr>
                <w:color w:val="000000"/>
              </w:rPr>
              <w:t>experience with utility</w:t>
            </w:r>
            <w:r w:rsidR="002468F3">
              <w:rPr>
                <w:color w:val="000000"/>
              </w:rPr>
              <w:t xml:space="preserve"> </w:t>
            </w:r>
            <w:r w:rsidR="002468F3">
              <w:t>resource planning, including modeling for distributed energy resources</w:t>
            </w:r>
            <w:r w:rsidR="00A064A0">
              <w:rPr>
                <w:color w:val="000000"/>
              </w:rPr>
              <w:t xml:space="preserve">. </w:t>
            </w:r>
            <w:r w:rsidR="0091250A">
              <w:rPr>
                <w:color w:val="000000"/>
              </w:rPr>
              <w:t xml:space="preserve"> </w:t>
            </w:r>
            <w:r w:rsidR="00585AE7">
              <w:rPr>
                <w:color w:val="000000"/>
              </w:rPr>
              <w:t>This claim includes 6.25</w:t>
            </w:r>
            <w:r w:rsidR="009C2478">
              <w:rPr>
                <w:color w:val="000000"/>
              </w:rPr>
              <w:t> </w:t>
            </w:r>
            <w:r w:rsidR="00585AE7">
              <w:rPr>
                <w:color w:val="000000"/>
              </w:rPr>
              <w:t>hours of Ms. Chait’s time in 2021.</w:t>
            </w:r>
          </w:p>
          <w:p w:rsidR="00997E8A" w:rsidP="004830C4" w:rsidRDefault="008C2F65" w14:paraId="0A38E50B" w14:textId="3A73B693">
            <w:pPr>
              <w:autoSpaceDE w:val="0"/>
              <w:autoSpaceDN w:val="0"/>
              <w:adjustRightInd w:val="0"/>
              <w:spacing w:after="180"/>
              <w:rPr>
                <w:color w:val="000000"/>
              </w:rPr>
            </w:pPr>
            <w:r w:rsidRPr="004830C4">
              <w:t>TURN</w:t>
            </w:r>
            <w:r>
              <w:rPr>
                <w:color w:val="000000"/>
              </w:rPr>
              <w:t xml:space="preserve"> notes that this request </w:t>
            </w:r>
            <w:r w:rsidR="00EC2457">
              <w:rPr>
                <w:color w:val="000000"/>
              </w:rPr>
              <w:t xml:space="preserve">includes 37.5 hours devoted to </w:t>
            </w:r>
            <w:r w:rsidR="00A565FF">
              <w:rPr>
                <w:color w:val="000000"/>
              </w:rPr>
              <w:t>claim</w:t>
            </w:r>
            <w:r w:rsidR="00EC2457">
              <w:rPr>
                <w:color w:val="000000"/>
              </w:rPr>
              <w:t xml:space="preserve"> preparation</w:t>
            </w:r>
            <w:r w:rsidR="00A565FF">
              <w:rPr>
                <w:color w:val="000000"/>
              </w:rPr>
              <w:t>.  While this might strike the Commission as unusually high, TURN submits that it accurately captures</w:t>
            </w:r>
            <w:r w:rsidR="00370A42">
              <w:rPr>
                <w:color w:val="000000"/>
              </w:rPr>
              <w:t xml:space="preserve"> most of</w:t>
            </w:r>
            <w:r w:rsidR="00A565FF">
              <w:rPr>
                <w:color w:val="000000"/>
              </w:rPr>
              <w:t xml:space="preserve"> the time required to review TURN’s 23 pleadings </w:t>
            </w:r>
            <w:r w:rsidR="00E1710C">
              <w:rPr>
                <w:color w:val="000000"/>
              </w:rPr>
              <w:t>and the six covered decisions</w:t>
            </w:r>
            <w:r w:rsidR="00B60F1D">
              <w:rPr>
                <w:color w:val="000000"/>
              </w:rPr>
              <w:t xml:space="preserve"> to </w:t>
            </w:r>
            <w:r w:rsidR="00B21393">
              <w:rPr>
                <w:color w:val="000000"/>
              </w:rPr>
              <w:t>demonstrate TURN’s substantial contributions</w:t>
            </w:r>
            <w:r w:rsidR="00E1710C">
              <w:rPr>
                <w:color w:val="000000"/>
              </w:rPr>
              <w:t xml:space="preserve">, review TURN’s </w:t>
            </w:r>
            <w:r w:rsidR="00FC6E38">
              <w:rPr>
                <w:color w:val="000000"/>
              </w:rPr>
              <w:t xml:space="preserve">2020-2022 </w:t>
            </w:r>
            <w:r w:rsidR="00B60F1D">
              <w:rPr>
                <w:color w:val="000000"/>
              </w:rPr>
              <w:t>timesheets</w:t>
            </w:r>
            <w:r w:rsidR="00B21393">
              <w:rPr>
                <w:color w:val="000000"/>
              </w:rPr>
              <w:t xml:space="preserve"> in light of the Commission’s </w:t>
            </w:r>
            <w:r w:rsidRPr="00DF58BC" w:rsidR="00B21393">
              <w:rPr>
                <w:i/>
                <w:iCs/>
                <w:color w:val="000000"/>
              </w:rPr>
              <w:t>current</w:t>
            </w:r>
            <w:r w:rsidR="00FC6E38">
              <w:rPr>
                <w:color w:val="000000"/>
              </w:rPr>
              <w:t xml:space="preserve"> expectations</w:t>
            </w:r>
            <w:r w:rsidR="00B60F1D">
              <w:rPr>
                <w:color w:val="000000"/>
              </w:rPr>
              <w:t xml:space="preserve"> </w:t>
            </w:r>
            <w:r w:rsidR="00FC6E38">
              <w:rPr>
                <w:color w:val="000000"/>
              </w:rPr>
              <w:t>for claims</w:t>
            </w:r>
            <w:r w:rsidR="00B719EF">
              <w:rPr>
                <w:color w:val="000000"/>
              </w:rPr>
              <w:t xml:space="preserve"> and ready the timesheets for filing</w:t>
            </w:r>
            <w:r w:rsidR="00FC6E38">
              <w:rPr>
                <w:color w:val="000000"/>
              </w:rPr>
              <w:t xml:space="preserve">, and otherwise to meet the </w:t>
            </w:r>
            <w:r w:rsidR="00C3034A">
              <w:rPr>
                <w:color w:val="000000"/>
              </w:rPr>
              <w:t xml:space="preserve">Commission’s requirements for presenting and supporting a claim for intervenor compensation.  </w:t>
            </w:r>
            <w:r w:rsidR="002049E1">
              <w:rPr>
                <w:color w:val="000000"/>
              </w:rPr>
              <w:t>TURN</w:t>
            </w:r>
            <w:r w:rsidR="005E3798">
              <w:rPr>
                <w:color w:val="000000"/>
              </w:rPr>
              <w:t xml:space="preserve"> </w:t>
            </w:r>
            <w:r w:rsidR="002049E1">
              <w:rPr>
                <w:color w:val="000000"/>
              </w:rPr>
              <w:t>has historically discounted claim preparation time</w:t>
            </w:r>
            <w:r w:rsidR="005E3798">
              <w:rPr>
                <w:color w:val="000000"/>
              </w:rPr>
              <w:t xml:space="preserve">, </w:t>
            </w:r>
            <w:r w:rsidR="007C7F65">
              <w:rPr>
                <w:color w:val="000000"/>
              </w:rPr>
              <w:t>a</w:t>
            </w:r>
            <w:r w:rsidR="002049E1">
              <w:rPr>
                <w:color w:val="000000"/>
              </w:rPr>
              <w:t xml:space="preserve"> practice </w:t>
            </w:r>
            <w:r w:rsidR="00303A16">
              <w:rPr>
                <w:color w:val="000000"/>
              </w:rPr>
              <w:t xml:space="preserve">that </w:t>
            </w:r>
            <w:r w:rsidR="002049E1">
              <w:rPr>
                <w:color w:val="000000"/>
              </w:rPr>
              <w:t xml:space="preserve">has created unrealistic expectations by the Commission for the time it takes to prepare a thorough, </w:t>
            </w:r>
            <w:r w:rsidR="00154D85">
              <w:rPr>
                <w:color w:val="000000"/>
              </w:rPr>
              <w:t>(</w:t>
            </w:r>
            <w:r w:rsidR="002049E1">
              <w:rPr>
                <w:color w:val="000000"/>
              </w:rPr>
              <w:t>hopefully</w:t>
            </w:r>
            <w:r w:rsidR="00154D85">
              <w:rPr>
                <w:color w:val="000000"/>
              </w:rPr>
              <w:t>)</w:t>
            </w:r>
            <w:r w:rsidR="002049E1">
              <w:rPr>
                <w:color w:val="000000"/>
              </w:rPr>
              <w:t xml:space="preserve"> compliant claim.  </w:t>
            </w:r>
            <w:r w:rsidR="00272761">
              <w:rPr>
                <w:color w:val="000000"/>
              </w:rPr>
              <w:t xml:space="preserve">Here </w:t>
            </w:r>
            <w:r w:rsidR="00997E8A">
              <w:rPr>
                <w:color w:val="000000"/>
              </w:rPr>
              <w:t xml:space="preserve">TURN is providing the Commission with transparency regarding the </w:t>
            </w:r>
            <w:r w:rsidR="00272761">
              <w:rPr>
                <w:color w:val="000000"/>
              </w:rPr>
              <w:t>necessary claim preparation time</w:t>
            </w:r>
            <w:r w:rsidR="00997E8A">
              <w:rPr>
                <w:color w:val="000000"/>
              </w:rPr>
              <w:t xml:space="preserve"> and asking the Commission </w:t>
            </w:r>
            <w:r w:rsidR="007C7F65">
              <w:rPr>
                <w:color w:val="000000"/>
              </w:rPr>
              <w:t xml:space="preserve">to find this time reasonable.  </w:t>
            </w:r>
          </w:p>
          <w:p w:rsidRPr="007F620E" w:rsidR="00DB36D3" w:rsidP="004830C4" w:rsidRDefault="00C21DE9" w14:paraId="694F0B63" w14:textId="2BE577A8">
            <w:pPr>
              <w:autoSpaceDE w:val="0"/>
              <w:autoSpaceDN w:val="0"/>
              <w:adjustRightInd w:val="0"/>
              <w:spacing w:after="180"/>
              <w:rPr>
                <w:color w:val="000000"/>
              </w:rPr>
            </w:pPr>
            <w:r>
              <w:rPr>
                <w:color w:val="000000"/>
              </w:rPr>
              <w:t xml:space="preserve">In </w:t>
            </w:r>
            <w:r w:rsidRPr="004830C4">
              <w:t>sum</w:t>
            </w:r>
            <w:r>
              <w:rPr>
                <w:color w:val="000000"/>
              </w:rPr>
              <w:t xml:space="preserve">, </w:t>
            </w:r>
            <w:r>
              <w:t>g</w:t>
            </w:r>
            <w:r w:rsidRPr="00E55C89">
              <w:t>iven TURN’s substantial contributions in this proceeding, the Commission should find that the number of hours claimed by TURN is reasonable.</w:t>
            </w:r>
            <w:r>
              <w:rPr>
                <w:color w:val="000000"/>
              </w:rPr>
              <w:t xml:space="preserve">  </w:t>
            </w:r>
            <w:r w:rsidRPr="00A95EBA">
              <w:rPr>
                <w:color w:val="000000"/>
              </w:rPr>
              <w:t>Should the Commission believe that more information is needed or that a different approach to discussing the reasonableness of the requested hours is warranted here, TURN requests the opportunity to supplement this section of the request.</w:t>
            </w:r>
          </w:p>
        </w:tc>
        <w:tc>
          <w:tcPr>
            <w:tcW w:w="1985" w:type="dxa"/>
            <w:shd w:val="clear" w:color="auto" w:fill="auto"/>
          </w:tcPr>
          <w:p w:rsidR="00FE3BAE" w:rsidP="002A2C9D" w:rsidRDefault="00FE3BAE" w14:paraId="554F5E36" w14:textId="77777777">
            <w:pPr>
              <w:jc w:val="center"/>
              <w:rPr>
                <w:color w:val="000000"/>
              </w:rPr>
            </w:pPr>
          </w:p>
          <w:p w:rsidR="002A2C9D" w:rsidP="002A2C9D" w:rsidRDefault="002A2C9D" w14:paraId="429E5C08" w14:textId="77777777">
            <w:pPr>
              <w:jc w:val="center"/>
              <w:rPr>
                <w:color w:val="000000"/>
              </w:rPr>
            </w:pPr>
          </w:p>
          <w:p w:rsidRPr="007F620E" w:rsidR="002A2C9D" w:rsidP="002A2C9D" w:rsidRDefault="002A2C9D" w14:paraId="1874D625" w14:textId="050F9A7D">
            <w:pPr>
              <w:jc w:val="center"/>
              <w:rPr>
                <w:color w:val="000000"/>
              </w:rPr>
            </w:pPr>
            <w:r>
              <w:rPr>
                <w:color w:val="000000"/>
              </w:rPr>
              <w:t>Noted</w:t>
            </w:r>
          </w:p>
        </w:tc>
      </w:tr>
      <w:tr w:rsidRPr="007F620E" w:rsidR="00FE3BAE" w:rsidTr="004830C4" w14:paraId="3FD38B74" w14:textId="77777777">
        <w:tc>
          <w:tcPr>
            <w:tcW w:w="7375" w:type="dxa"/>
            <w:shd w:val="clear" w:color="auto" w:fill="auto"/>
          </w:tcPr>
          <w:p w:rsidR="00FE3BAE" w:rsidP="004830C4" w:rsidRDefault="00FE3BAE" w14:paraId="46990B37" w14:textId="569E5E0F">
            <w:pPr>
              <w:keepNext/>
              <w:spacing w:after="120"/>
              <w:rPr>
                <w:color w:val="000000"/>
              </w:rPr>
            </w:pPr>
            <w:r w:rsidRPr="007F620E">
              <w:rPr>
                <w:b/>
                <w:color w:val="000000"/>
              </w:rPr>
              <w:lastRenderedPageBreak/>
              <w:t>c. Allocation of hours by issue:</w:t>
            </w:r>
            <w:r w:rsidRPr="00E25078" w:rsidR="00E25078">
              <w:rPr>
                <w:color w:val="000000"/>
              </w:rPr>
              <w:t xml:space="preserve"> </w:t>
            </w:r>
          </w:p>
          <w:p w:rsidR="00A93B90" w:rsidP="00A93B90" w:rsidRDefault="00A93B90" w14:paraId="06D4F0EF" w14:textId="77777777">
            <w:pPr>
              <w:rPr>
                <w:color w:val="000000"/>
              </w:rPr>
            </w:pPr>
            <w:r w:rsidRPr="000D04D6">
              <w:rPr>
                <w:color w:val="000000"/>
              </w:rPr>
              <w:t>TURN has allocated its daily time entries by activity codes to better reflect the nature of the work reflected in each entry.  TURN has used the following activity codes:</w:t>
            </w:r>
          </w:p>
          <w:p w:rsidR="00C85347" w:rsidP="00EC6387" w:rsidRDefault="00C85347" w14:paraId="44B5BF51" w14:textId="77777777">
            <w:pPr>
              <w:rPr>
                <w:color w:val="000000"/>
              </w:rPr>
            </w:pPr>
          </w:p>
          <w:tbl>
            <w:tblPr>
              <w:tblW w:w="7480" w:type="dxa"/>
              <w:jc w:val="center"/>
              <w:tblCellMar>
                <w:left w:w="58" w:type="dxa"/>
                <w:right w:w="58" w:type="dxa"/>
              </w:tblCellMar>
              <w:tblLook w:val="04A0" w:firstRow="1" w:lastRow="0" w:firstColumn="1" w:lastColumn="0" w:noHBand="0" w:noVBand="1"/>
            </w:tblPr>
            <w:tblGrid>
              <w:gridCol w:w="1570"/>
              <w:gridCol w:w="3600"/>
              <w:gridCol w:w="1350"/>
              <w:gridCol w:w="960"/>
            </w:tblGrid>
            <w:tr w:rsidRPr="004830C4" w:rsidR="00DA5CEF" w:rsidTr="004830C4" w14:paraId="6ECB6E8A" w14:textId="77777777">
              <w:trPr>
                <w:cantSplit/>
                <w:trHeight w:val="560"/>
                <w:tblHeader/>
                <w:jc w:val="center"/>
              </w:trPr>
              <w:tc>
                <w:tcPr>
                  <w:tcW w:w="1570" w:type="dxa"/>
                  <w:tcBorders>
                    <w:top w:val="single" w:color="auto" w:sz="4" w:space="0"/>
                    <w:left w:val="single" w:color="auto" w:sz="4" w:space="0"/>
                    <w:bottom w:val="single" w:color="auto" w:sz="4" w:space="0"/>
                    <w:right w:val="single" w:color="auto" w:sz="4" w:space="0"/>
                  </w:tcBorders>
                  <w:shd w:val="clear" w:color="auto" w:fill="auto"/>
                  <w:tcMar>
                    <w:top w:w="58" w:type="dxa"/>
                    <w:left w:w="115" w:type="dxa"/>
                    <w:bottom w:w="58" w:type="dxa"/>
                    <w:right w:w="115" w:type="dxa"/>
                  </w:tcMar>
                  <w:vAlign w:val="bottom"/>
                  <w:hideMark/>
                </w:tcPr>
                <w:p w:rsidRPr="004830C4" w:rsidR="00DA5CEF" w:rsidP="00F53878" w:rsidRDefault="00DA5CEF" w14:paraId="149AF295" w14:textId="77777777">
                  <w:pPr>
                    <w:jc w:val="center"/>
                    <w:rPr>
                      <w:b/>
                      <w:bCs/>
                      <w:color w:val="000000"/>
                    </w:rPr>
                  </w:pPr>
                  <w:r w:rsidRPr="004830C4">
                    <w:rPr>
                      <w:b/>
                      <w:bCs/>
                      <w:color w:val="000000"/>
                    </w:rPr>
                    <w:t>Code</w:t>
                  </w:r>
                </w:p>
              </w:tc>
              <w:tc>
                <w:tcPr>
                  <w:tcW w:w="3600" w:type="dxa"/>
                  <w:tcBorders>
                    <w:top w:val="single" w:color="auto" w:sz="4" w:space="0"/>
                    <w:left w:val="nil"/>
                    <w:bottom w:val="single" w:color="auto" w:sz="4" w:space="0"/>
                    <w:right w:val="single" w:color="auto" w:sz="4" w:space="0"/>
                  </w:tcBorders>
                  <w:shd w:val="clear" w:color="auto" w:fill="auto"/>
                  <w:tcMar>
                    <w:top w:w="58" w:type="dxa"/>
                    <w:left w:w="115" w:type="dxa"/>
                    <w:bottom w:w="58" w:type="dxa"/>
                    <w:right w:w="115" w:type="dxa"/>
                  </w:tcMar>
                  <w:vAlign w:val="bottom"/>
                  <w:hideMark/>
                </w:tcPr>
                <w:p w:rsidRPr="004830C4" w:rsidR="00DA5CEF" w:rsidP="00F53878" w:rsidRDefault="00DA5CEF" w14:paraId="17590A55" w14:textId="77777777">
                  <w:pPr>
                    <w:jc w:val="center"/>
                    <w:rPr>
                      <w:b/>
                      <w:bCs/>
                      <w:color w:val="000000"/>
                    </w:rPr>
                  </w:pPr>
                  <w:r w:rsidRPr="004830C4">
                    <w:rPr>
                      <w:b/>
                      <w:bCs/>
                      <w:color w:val="000000"/>
                    </w:rPr>
                    <w:t>Description</w:t>
                  </w:r>
                </w:p>
              </w:tc>
              <w:tc>
                <w:tcPr>
                  <w:tcW w:w="1350" w:type="dxa"/>
                  <w:tcBorders>
                    <w:top w:val="single" w:color="auto" w:sz="4" w:space="0"/>
                    <w:left w:val="nil"/>
                    <w:bottom w:val="single" w:color="auto" w:sz="4" w:space="0"/>
                    <w:right w:val="single" w:color="auto" w:sz="4" w:space="0"/>
                  </w:tcBorders>
                  <w:shd w:val="clear" w:color="auto" w:fill="auto"/>
                  <w:tcMar>
                    <w:top w:w="58" w:type="dxa"/>
                    <w:left w:w="115" w:type="dxa"/>
                    <w:bottom w:w="58" w:type="dxa"/>
                    <w:right w:w="115" w:type="dxa"/>
                  </w:tcMar>
                  <w:vAlign w:val="bottom"/>
                  <w:hideMark/>
                </w:tcPr>
                <w:p w:rsidRPr="004830C4" w:rsidR="00DA5CEF" w:rsidP="00F53878" w:rsidRDefault="00DA5CEF" w14:paraId="4DEE2E4D" w14:textId="77777777">
                  <w:pPr>
                    <w:jc w:val="center"/>
                    <w:rPr>
                      <w:b/>
                      <w:bCs/>
                      <w:color w:val="000000"/>
                    </w:rPr>
                  </w:pPr>
                  <w:r w:rsidRPr="004830C4">
                    <w:rPr>
                      <w:b/>
                      <w:bCs/>
                      <w:color w:val="000000"/>
                    </w:rPr>
                    <w:t>Allocation of Time</w:t>
                  </w:r>
                </w:p>
              </w:tc>
              <w:tc>
                <w:tcPr>
                  <w:tcW w:w="960" w:type="dxa"/>
                  <w:tcBorders>
                    <w:top w:val="single" w:color="auto" w:sz="4" w:space="0"/>
                    <w:left w:val="nil"/>
                    <w:bottom w:val="single" w:color="auto" w:sz="4" w:space="0"/>
                    <w:right w:val="single" w:color="auto" w:sz="4" w:space="0"/>
                  </w:tcBorders>
                  <w:shd w:val="clear" w:color="auto" w:fill="auto"/>
                  <w:noWrap/>
                  <w:tcMar>
                    <w:top w:w="58" w:type="dxa"/>
                    <w:left w:w="115" w:type="dxa"/>
                    <w:bottom w:w="58" w:type="dxa"/>
                    <w:right w:w="115" w:type="dxa"/>
                  </w:tcMar>
                  <w:vAlign w:val="bottom"/>
                  <w:hideMark/>
                </w:tcPr>
                <w:p w:rsidRPr="004830C4" w:rsidR="00DA5CEF" w:rsidP="00F53878" w:rsidRDefault="00DA5CEF" w14:paraId="45732E7E" w14:textId="657F2A78">
                  <w:pPr>
                    <w:jc w:val="center"/>
                    <w:rPr>
                      <w:b/>
                      <w:bCs/>
                      <w:color w:val="000000"/>
                    </w:rPr>
                  </w:pPr>
                  <w:r w:rsidRPr="004830C4">
                    <w:rPr>
                      <w:b/>
                      <w:bCs/>
                      <w:color w:val="000000"/>
                    </w:rPr>
                    <w:t>Hours</w:t>
                  </w:r>
                </w:p>
              </w:tc>
            </w:tr>
            <w:tr w:rsidRPr="004830C4" w:rsidR="00DA5CEF" w:rsidTr="004830C4" w14:paraId="57C50864" w14:textId="77777777">
              <w:trPr>
                <w:cantSplit/>
                <w:trHeight w:val="590"/>
                <w:jc w:val="center"/>
              </w:trPr>
              <w:tc>
                <w:tcPr>
                  <w:tcW w:w="1570" w:type="dxa"/>
                  <w:tcBorders>
                    <w:top w:val="nil"/>
                    <w:left w:val="single" w:color="auto" w:sz="4" w:space="0"/>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0D5C8B03" w14:textId="77777777">
                  <w:pPr>
                    <w:rPr>
                      <w:color w:val="000000"/>
                    </w:rPr>
                  </w:pPr>
                  <w:r w:rsidRPr="004830C4">
                    <w:rPr>
                      <w:color w:val="000000"/>
                    </w:rPr>
                    <w:t>AB841</w:t>
                  </w:r>
                </w:p>
              </w:tc>
              <w:tc>
                <w:tcPr>
                  <w:tcW w:w="360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vAlign w:val="center"/>
                  <w:hideMark/>
                </w:tcPr>
                <w:p w:rsidRPr="004830C4" w:rsidR="00DA5CEF" w:rsidP="00F53878" w:rsidRDefault="00DA5CEF" w14:paraId="324DB4B4" w14:textId="77777777">
                  <w:pPr>
                    <w:rPr>
                      <w:color w:val="000000"/>
                    </w:rPr>
                  </w:pPr>
                  <w:r w:rsidRPr="004830C4">
                    <w:rPr>
                      <w:color w:val="000000"/>
                    </w:rPr>
                    <w:t>Work in this category related to the implementation of the AB 841 School Energy Efficiency Stimulus Program.</w:t>
                  </w:r>
                </w:p>
              </w:tc>
              <w:tc>
                <w:tcPr>
                  <w:tcW w:w="135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6A1A2339" w14:textId="77777777">
                  <w:pPr>
                    <w:jc w:val="center"/>
                    <w:rPr>
                      <w:color w:val="000000"/>
                    </w:rPr>
                  </w:pPr>
                  <w:r w:rsidRPr="004830C4">
                    <w:rPr>
                      <w:color w:val="000000"/>
                    </w:rPr>
                    <w:t>13.89%</w:t>
                  </w:r>
                </w:p>
              </w:tc>
              <w:tc>
                <w:tcPr>
                  <w:tcW w:w="960" w:type="dxa"/>
                  <w:tcBorders>
                    <w:top w:val="nil"/>
                    <w:left w:val="nil"/>
                    <w:bottom w:val="single" w:color="auto" w:sz="4" w:space="0"/>
                    <w:right w:val="single" w:color="auto" w:sz="4" w:space="0"/>
                  </w:tcBorders>
                  <w:shd w:val="clear" w:color="auto" w:fill="auto"/>
                  <w:noWrap/>
                  <w:tcMar>
                    <w:top w:w="58" w:type="dxa"/>
                    <w:left w:w="115" w:type="dxa"/>
                    <w:bottom w:w="58" w:type="dxa"/>
                    <w:right w:w="115" w:type="dxa"/>
                  </w:tcMar>
                  <w:hideMark/>
                </w:tcPr>
                <w:p w:rsidRPr="004830C4" w:rsidR="00DA5CEF" w:rsidP="00F53878" w:rsidRDefault="00DA5CEF" w14:paraId="07C626A4" w14:textId="77777777">
                  <w:pPr>
                    <w:jc w:val="center"/>
                    <w:rPr>
                      <w:color w:val="000000"/>
                    </w:rPr>
                  </w:pPr>
                  <w:r w:rsidRPr="004830C4">
                    <w:rPr>
                      <w:color w:val="000000"/>
                    </w:rPr>
                    <w:t>56.75</w:t>
                  </w:r>
                </w:p>
              </w:tc>
            </w:tr>
            <w:tr w:rsidRPr="004830C4" w:rsidR="00DA5CEF" w:rsidTr="004830C4" w14:paraId="6C4B6FA5" w14:textId="77777777">
              <w:trPr>
                <w:cantSplit/>
                <w:trHeight w:val="518"/>
                <w:jc w:val="center"/>
              </w:trPr>
              <w:tc>
                <w:tcPr>
                  <w:tcW w:w="1570" w:type="dxa"/>
                  <w:tcBorders>
                    <w:top w:val="nil"/>
                    <w:left w:val="single" w:color="auto" w:sz="4" w:space="0"/>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3CDFC19D" w14:textId="77777777">
                  <w:pPr>
                    <w:rPr>
                      <w:color w:val="000000"/>
                    </w:rPr>
                  </w:pPr>
                  <w:r w:rsidRPr="004830C4">
                    <w:rPr>
                      <w:color w:val="000000"/>
                    </w:rPr>
                    <w:t>ESPI</w:t>
                  </w:r>
                </w:p>
              </w:tc>
              <w:tc>
                <w:tcPr>
                  <w:tcW w:w="360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6F138357" w14:textId="77777777">
                  <w:pPr>
                    <w:rPr>
                      <w:color w:val="000000"/>
                    </w:rPr>
                  </w:pPr>
                  <w:r w:rsidRPr="004830C4">
                    <w:rPr>
                      <w:color w:val="000000"/>
                    </w:rPr>
                    <w:t>The work in this category related to the Commission's inquiry into whether to modify or eliminate ESPI.</w:t>
                  </w:r>
                </w:p>
              </w:tc>
              <w:tc>
                <w:tcPr>
                  <w:tcW w:w="135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5AA2A29B" w14:textId="77777777">
                  <w:pPr>
                    <w:jc w:val="center"/>
                    <w:rPr>
                      <w:color w:val="000000"/>
                    </w:rPr>
                  </w:pPr>
                  <w:r w:rsidRPr="004830C4">
                    <w:rPr>
                      <w:color w:val="000000"/>
                    </w:rPr>
                    <w:t>10.95%</w:t>
                  </w:r>
                </w:p>
              </w:tc>
              <w:tc>
                <w:tcPr>
                  <w:tcW w:w="960" w:type="dxa"/>
                  <w:tcBorders>
                    <w:top w:val="nil"/>
                    <w:left w:val="nil"/>
                    <w:bottom w:val="single" w:color="auto" w:sz="4" w:space="0"/>
                    <w:right w:val="single" w:color="auto" w:sz="4" w:space="0"/>
                  </w:tcBorders>
                  <w:shd w:val="clear" w:color="auto" w:fill="auto"/>
                  <w:noWrap/>
                  <w:tcMar>
                    <w:top w:w="58" w:type="dxa"/>
                    <w:left w:w="115" w:type="dxa"/>
                    <w:bottom w:w="58" w:type="dxa"/>
                    <w:right w:w="115" w:type="dxa"/>
                  </w:tcMar>
                  <w:hideMark/>
                </w:tcPr>
                <w:p w:rsidRPr="004830C4" w:rsidR="00DA5CEF" w:rsidP="00F53878" w:rsidRDefault="00DA5CEF" w14:paraId="2C44F3D8" w14:textId="77777777">
                  <w:pPr>
                    <w:jc w:val="center"/>
                    <w:rPr>
                      <w:color w:val="000000"/>
                    </w:rPr>
                  </w:pPr>
                  <w:r w:rsidRPr="004830C4">
                    <w:rPr>
                      <w:color w:val="000000"/>
                    </w:rPr>
                    <w:t>44.75</w:t>
                  </w:r>
                </w:p>
              </w:tc>
            </w:tr>
            <w:tr w:rsidRPr="004830C4" w:rsidR="00DA5CEF" w:rsidTr="004830C4" w14:paraId="0F4085E7" w14:textId="77777777">
              <w:trPr>
                <w:cantSplit/>
                <w:trHeight w:val="1328"/>
                <w:jc w:val="center"/>
              </w:trPr>
              <w:tc>
                <w:tcPr>
                  <w:tcW w:w="1570" w:type="dxa"/>
                  <w:tcBorders>
                    <w:top w:val="nil"/>
                    <w:left w:val="single" w:color="auto" w:sz="4" w:space="0"/>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25070667" w14:textId="77777777">
                  <w:pPr>
                    <w:rPr>
                      <w:color w:val="000000"/>
                    </w:rPr>
                  </w:pPr>
                  <w:r w:rsidRPr="004830C4">
                    <w:rPr>
                      <w:color w:val="000000"/>
                    </w:rPr>
                    <w:t>P&amp;G Policy-Goals</w:t>
                  </w:r>
                </w:p>
              </w:tc>
              <w:tc>
                <w:tcPr>
                  <w:tcW w:w="3600" w:type="dxa"/>
                  <w:tcBorders>
                    <w:top w:val="nil"/>
                    <w:left w:val="nil"/>
                    <w:bottom w:val="nil"/>
                    <w:right w:val="nil"/>
                  </w:tcBorders>
                  <w:shd w:val="clear" w:color="auto" w:fill="auto"/>
                  <w:tcMar>
                    <w:top w:w="58" w:type="dxa"/>
                    <w:left w:w="115" w:type="dxa"/>
                    <w:bottom w:w="58" w:type="dxa"/>
                    <w:right w:w="115" w:type="dxa"/>
                  </w:tcMar>
                  <w:hideMark/>
                </w:tcPr>
                <w:p w:rsidRPr="004830C4" w:rsidR="00DA5CEF" w:rsidP="00F53878" w:rsidRDefault="00DA5CEF" w14:paraId="198D61D5" w14:textId="77777777">
                  <w:pPr>
                    <w:rPr>
                      <w:color w:val="000000"/>
                    </w:rPr>
                  </w:pPr>
                  <w:r w:rsidRPr="004830C4">
                    <w:rPr>
                      <w:color w:val="000000"/>
                    </w:rPr>
                    <w:t>This work related to the Commission's March 12, 2020, ruling soliciting comments on whether to modify the approach to setting EE goals, such as by using an IRP optimization approach, the metrics used to set goals and measure performance, and related policy issues.</w:t>
                  </w:r>
                </w:p>
              </w:tc>
              <w:tc>
                <w:tcPr>
                  <w:tcW w:w="1350" w:type="dxa"/>
                  <w:tcBorders>
                    <w:top w:val="nil"/>
                    <w:left w:val="single" w:color="auto" w:sz="4" w:space="0"/>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5FEED5A2" w14:textId="77777777">
                  <w:pPr>
                    <w:jc w:val="center"/>
                    <w:rPr>
                      <w:color w:val="000000"/>
                    </w:rPr>
                  </w:pPr>
                  <w:r w:rsidRPr="004830C4">
                    <w:rPr>
                      <w:color w:val="000000"/>
                    </w:rPr>
                    <w:t>11.51%</w:t>
                  </w:r>
                </w:p>
              </w:tc>
              <w:tc>
                <w:tcPr>
                  <w:tcW w:w="960" w:type="dxa"/>
                  <w:tcBorders>
                    <w:top w:val="nil"/>
                    <w:left w:val="nil"/>
                    <w:bottom w:val="single" w:color="auto" w:sz="4" w:space="0"/>
                    <w:right w:val="single" w:color="auto" w:sz="4" w:space="0"/>
                  </w:tcBorders>
                  <w:shd w:val="clear" w:color="auto" w:fill="auto"/>
                  <w:noWrap/>
                  <w:tcMar>
                    <w:top w:w="58" w:type="dxa"/>
                    <w:left w:w="115" w:type="dxa"/>
                    <w:bottom w:w="58" w:type="dxa"/>
                    <w:right w:w="115" w:type="dxa"/>
                  </w:tcMar>
                  <w:hideMark/>
                </w:tcPr>
                <w:p w:rsidRPr="004830C4" w:rsidR="00DA5CEF" w:rsidP="00F53878" w:rsidRDefault="00DA5CEF" w14:paraId="68869CF6" w14:textId="77777777">
                  <w:pPr>
                    <w:jc w:val="center"/>
                    <w:rPr>
                      <w:color w:val="000000"/>
                    </w:rPr>
                  </w:pPr>
                  <w:r w:rsidRPr="004830C4">
                    <w:rPr>
                      <w:color w:val="000000"/>
                    </w:rPr>
                    <w:t>47.00</w:t>
                  </w:r>
                </w:p>
              </w:tc>
            </w:tr>
            <w:tr w:rsidRPr="004830C4" w:rsidR="00DA5CEF" w:rsidTr="004830C4" w14:paraId="18CBBAC1" w14:textId="77777777">
              <w:trPr>
                <w:cantSplit/>
                <w:trHeight w:val="840"/>
                <w:jc w:val="center"/>
              </w:trPr>
              <w:tc>
                <w:tcPr>
                  <w:tcW w:w="1570" w:type="dxa"/>
                  <w:tcBorders>
                    <w:top w:val="nil"/>
                    <w:left w:val="single" w:color="auto" w:sz="4" w:space="0"/>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395D9E0C" w14:textId="77777777">
                  <w:pPr>
                    <w:rPr>
                      <w:color w:val="000000"/>
                    </w:rPr>
                  </w:pPr>
                  <w:r w:rsidRPr="004830C4">
                    <w:rPr>
                      <w:color w:val="000000"/>
                    </w:rPr>
                    <w:t>P&amp;G Policy-Segment</w:t>
                  </w:r>
                </w:p>
              </w:tc>
              <w:tc>
                <w:tcPr>
                  <w:tcW w:w="3600" w:type="dxa"/>
                  <w:tcBorders>
                    <w:top w:val="single" w:color="auto" w:sz="4" w:space="0"/>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578515DD" w14:textId="77777777">
                  <w:pPr>
                    <w:rPr>
                      <w:color w:val="000000"/>
                    </w:rPr>
                  </w:pPr>
                  <w:r w:rsidRPr="004830C4">
                    <w:rPr>
                      <w:color w:val="000000"/>
                    </w:rPr>
                    <w:t xml:space="preserve">This work related to the new EE portfolio segmentation approach presented in the Proposed Decision preceding D.21-05-031. </w:t>
                  </w:r>
                </w:p>
              </w:tc>
              <w:tc>
                <w:tcPr>
                  <w:tcW w:w="135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27A4A185" w14:textId="77777777">
                  <w:pPr>
                    <w:jc w:val="center"/>
                    <w:rPr>
                      <w:color w:val="000000"/>
                    </w:rPr>
                  </w:pPr>
                  <w:r w:rsidRPr="004830C4">
                    <w:rPr>
                      <w:color w:val="000000"/>
                    </w:rPr>
                    <w:t>9.24%</w:t>
                  </w:r>
                </w:p>
              </w:tc>
              <w:tc>
                <w:tcPr>
                  <w:tcW w:w="960" w:type="dxa"/>
                  <w:tcBorders>
                    <w:top w:val="nil"/>
                    <w:left w:val="nil"/>
                    <w:bottom w:val="single" w:color="auto" w:sz="4" w:space="0"/>
                    <w:right w:val="single" w:color="auto" w:sz="4" w:space="0"/>
                  </w:tcBorders>
                  <w:shd w:val="clear" w:color="auto" w:fill="auto"/>
                  <w:noWrap/>
                  <w:tcMar>
                    <w:top w:w="58" w:type="dxa"/>
                    <w:left w:w="115" w:type="dxa"/>
                    <w:bottom w:w="58" w:type="dxa"/>
                    <w:right w:w="115" w:type="dxa"/>
                  </w:tcMar>
                  <w:hideMark/>
                </w:tcPr>
                <w:p w:rsidRPr="004830C4" w:rsidR="00DA5CEF" w:rsidP="00F53878" w:rsidRDefault="00DA5CEF" w14:paraId="71D523CF" w14:textId="77777777">
                  <w:pPr>
                    <w:jc w:val="center"/>
                    <w:rPr>
                      <w:color w:val="000000"/>
                    </w:rPr>
                  </w:pPr>
                  <w:r w:rsidRPr="004830C4">
                    <w:rPr>
                      <w:color w:val="000000"/>
                    </w:rPr>
                    <w:t>37.75</w:t>
                  </w:r>
                </w:p>
              </w:tc>
            </w:tr>
            <w:tr w:rsidRPr="004830C4" w:rsidR="00DA5CEF" w:rsidTr="004830C4" w14:paraId="732E1BC9" w14:textId="77777777">
              <w:trPr>
                <w:cantSplit/>
                <w:trHeight w:val="22"/>
                <w:jc w:val="center"/>
              </w:trPr>
              <w:tc>
                <w:tcPr>
                  <w:tcW w:w="1570" w:type="dxa"/>
                  <w:tcBorders>
                    <w:top w:val="nil"/>
                    <w:left w:val="single" w:color="auto" w:sz="4" w:space="0"/>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5AC85002" w14:textId="77777777">
                  <w:pPr>
                    <w:rPr>
                      <w:color w:val="000000"/>
                    </w:rPr>
                  </w:pPr>
                  <w:r w:rsidRPr="004830C4">
                    <w:rPr>
                      <w:color w:val="000000"/>
                    </w:rPr>
                    <w:t>P&amp;G Study</w:t>
                  </w:r>
                </w:p>
              </w:tc>
              <w:tc>
                <w:tcPr>
                  <w:tcW w:w="360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vAlign w:val="center"/>
                  <w:hideMark/>
                </w:tcPr>
                <w:p w:rsidRPr="004830C4" w:rsidR="00DA5CEF" w:rsidP="00F53878" w:rsidRDefault="00DA5CEF" w14:paraId="51B24B05" w14:textId="25510CA9">
                  <w:pPr>
                    <w:rPr>
                      <w:color w:val="000000"/>
                    </w:rPr>
                  </w:pPr>
                  <w:r w:rsidRPr="004830C4">
                    <w:rPr>
                      <w:color w:val="000000"/>
                    </w:rPr>
                    <w:t>The work in this category related to the EE potential and goals study for 2021 and beyond and EE goals adopted by the Commission in D.21</w:t>
                  </w:r>
                  <w:r w:rsidRPr="004830C4" w:rsidR="00F53878">
                    <w:rPr>
                      <w:color w:val="000000"/>
                    </w:rPr>
                    <w:noBreakHyphen/>
                  </w:r>
                  <w:r w:rsidRPr="004830C4">
                    <w:rPr>
                      <w:color w:val="000000"/>
                    </w:rPr>
                    <w:t>09-037.</w:t>
                  </w:r>
                </w:p>
              </w:tc>
              <w:tc>
                <w:tcPr>
                  <w:tcW w:w="135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3FF4E70B" w14:textId="77777777">
                  <w:pPr>
                    <w:jc w:val="center"/>
                    <w:rPr>
                      <w:color w:val="000000"/>
                    </w:rPr>
                  </w:pPr>
                  <w:r w:rsidRPr="004830C4">
                    <w:rPr>
                      <w:color w:val="000000"/>
                    </w:rPr>
                    <w:t>10.04%</w:t>
                  </w:r>
                </w:p>
              </w:tc>
              <w:tc>
                <w:tcPr>
                  <w:tcW w:w="960" w:type="dxa"/>
                  <w:tcBorders>
                    <w:top w:val="nil"/>
                    <w:left w:val="nil"/>
                    <w:bottom w:val="single" w:color="auto" w:sz="4" w:space="0"/>
                    <w:right w:val="single" w:color="auto" w:sz="4" w:space="0"/>
                  </w:tcBorders>
                  <w:shd w:val="clear" w:color="auto" w:fill="auto"/>
                  <w:noWrap/>
                  <w:tcMar>
                    <w:top w:w="58" w:type="dxa"/>
                    <w:left w:w="115" w:type="dxa"/>
                    <w:bottom w:w="58" w:type="dxa"/>
                    <w:right w:w="115" w:type="dxa"/>
                  </w:tcMar>
                  <w:hideMark/>
                </w:tcPr>
                <w:p w:rsidRPr="004830C4" w:rsidR="00DA5CEF" w:rsidP="00F53878" w:rsidRDefault="00DA5CEF" w14:paraId="31505DE0" w14:textId="77777777">
                  <w:pPr>
                    <w:jc w:val="center"/>
                    <w:rPr>
                      <w:color w:val="000000"/>
                    </w:rPr>
                  </w:pPr>
                  <w:r w:rsidRPr="004830C4">
                    <w:rPr>
                      <w:color w:val="000000"/>
                    </w:rPr>
                    <w:t>41.00</w:t>
                  </w:r>
                </w:p>
              </w:tc>
            </w:tr>
            <w:tr w:rsidRPr="004830C4" w:rsidR="00DA5CEF" w:rsidTr="004830C4" w14:paraId="2FA37C6D" w14:textId="77777777">
              <w:trPr>
                <w:cantSplit/>
                <w:trHeight w:val="158"/>
                <w:jc w:val="center"/>
              </w:trPr>
              <w:tc>
                <w:tcPr>
                  <w:tcW w:w="1570" w:type="dxa"/>
                  <w:tcBorders>
                    <w:top w:val="nil"/>
                    <w:left w:val="single" w:color="auto" w:sz="4" w:space="0"/>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4AECDDD0" w14:textId="77777777">
                  <w:pPr>
                    <w:rPr>
                      <w:color w:val="000000"/>
                    </w:rPr>
                  </w:pPr>
                  <w:r w:rsidRPr="004830C4">
                    <w:rPr>
                      <w:color w:val="000000"/>
                    </w:rPr>
                    <w:t>UL</w:t>
                  </w:r>
                </w:p>
              </w:tc>
              <w:tc>
                <w:tcPr>
                  <w:tcW w:w="360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7C064EB3" w14:textId="77777777">
                  <w:pPr>
                    <w:rPr>
                      <w:color w:val="000000"/>
                    </w:rPr>
                  </w:pPr>
                  <w:r w:rsidRPr="004830C4">
                    <w:rPr>
                      <w:color w:val="000000"/>
                    </w:rPr>
                    <w:t>The work in this category includes activities stemming from the ALJ ruling soliciting responses to the 2017 Upstream Lighting Program Impact Evaluation that were common to both SCE's and SDG&amp;E's programs.</w:t>
                  </w:r>
                </w:p>
              </w:tc>
              <w:tc>
                <w:tcPr>
                  <w:tcW w:w="135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19061693" w14:textId="77777777">
                  <w:pPr>
                    <w:jc w:val="center"/>
                    <w:rPr>
                      <w:color w:val="000000"/>
                    </w:rPr>
                  </w:pPr>
                  <w:r w:rsidRPr="004830C4">
                    <w:rPr>
                      <w:color w:val="000000"/>
                    </w:rPr>
                    <w:t>8.75%</w:t>
                  </w:r>
                </w:p>
              </w:tc>
              <w:tc>
                <w:tcPr>
                  <w:tcW w:w="960" w:type="dxa"/>
                  <w:tcBorders>
                    <w:top w:val="nil"/>
                    <w:left w:val="nil"/>
                    <w:bottom w:val="single" w:color="auto" w:sz="4" w:space="0"/>
                    <w:right w:val="single" w:color="auto" w:sz="4" w:space="0"/>
                  </w:tcBorders>
                  <w:shd w:val="clear" w:color="auto" w:fill="auto"/>
                  <w:noWrap/>
                  <w:tcMar>
                    <w:top w:w="58" w:type="dxa"/>
                    <w:left w:w="115" w:type="dxa"/>
                    <w:bottom w:w="58" w:type="dxa"/>
                    <w:right w:w="115" w:type="dxa"/>
                  </w:tcMar>
                  <w:hideMark/>
                </w:tcPr>
                <w:p w:rsidRPr="004830C4" w:rsidR="00DA5CEF" w:rsidP="00F53878" w:rsidRDefault="00DA5CEF" w14:paraId="199CCE4F" w14:textId="77777777">
                  <w:pPr>
                    <w:jc w:val="center"/>
                    <w:rPr>
                      <w:color w:val="000000"/>
                    </w:rPr>
                  </w:pPr>
                  <w:r w:rsidRPr="004830C4">
                    <w:rPr>
                      <w:color w:val="000000"/>
                    </w:rPr>
                    <w:t>35.75</w:t>
                  </w:r>
                </w:p>
              </w:tc>
            </w:tr>
            <w:tr w:rsidRPr="004830C4" w:rsidR="00DA5CEF" w:rsidTr="004830C4" w14:paraId="5C6B9264" w14:textId="77777777">
              <w:trPr>
                <w:cantSplit/>
                <w:trHeight w:val="22"/>
                <w:jc w:val="center"/>
              </w:trPr>
              <w:tc>
                <w:tcPr>
                  <w:tcW w:w="1570" w:type="dxa"/>
                  <w:tcBorders>
                    <w:top w:val="nil"/>
                    <w:left w:val="single" w:color="auto" w:sz="4" w:space="0"/>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2DE91F44" w14:textId="77777777">
                  <w:pPr>
                    <w:rPr>
                      <w:color w:val="000000"/>
                    </w:rPr>
                  </w:pPr>
                  <w:r w:rsidRPr="004830C4">
                    <w:rPr>
                      <w:color w:val="000000"/>
                    </w:rPr>
                    <w:lastRenderedPageBreak/>
                    <w:t>UL-SDG&amp;E</w:t>
                  </w:r>
                </w:p>
              </w:tc>
              <w:tc>
                <w:tcPr>
                  <w:tcW w:w="360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636139FC" w14:textId="77777777">
                  <w:pPr>
                    <w:rPr>
                      <w:color w:val="000000"/>
                    </w:rPr>
                  </w:pPr>
                  <w:r w:rsidRPr="004830C4">
                    <w:rPr>
                      <w:color w:val="000000"/>
                    </w:rPr>
                    <w:t>The work in this category related to the settlement agreement adopted in D.21-09-002 regarding remedies for SDG&amp;E's Upstream Lighting Program administration.</w:t>
                  </w:r>
                </w:p>
              </w:tc>
              <w:tc>
                <w:tcPr>
                  <w:tcW w:w="135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23FA60ED" w14:textId="77777777">
                  <w:pPr>
                    <w:jc w:val="center"/>
                    <w:rPr>
                      <w:color w:val="000000"/>
                    </w:rPr>
                  </w:pPr>
                  <w:r w:rsidRPr="004830C4">
                    <w:rPr>
                      <w:color w:val="000000"/>
                    </w:rPr>
                    <w:t>11.14%</w:t>
                  </w:r>
                </w:p>
              </w:tc>
              <w:tc>
                <w:tcPr>
                  <w:tcW w:w="960" w:type="dxa"/>
                  <w:tcBorders>
                    <w:top w:val="nil"/>
                    <w:left w:val="nil"/>
                    <w:bottom w:val="single" w:color="auto" w:sz="4" w:space="0"/>
                    <w:right w:val="single" w:color="auto" w:sz="4" w:space="0"/>
                  </w:tcBorders>
                  <w:shd w:val="clear" w:color="auto" w:fill="auto"/>
                  <w:noWrap/>
                  <w:tcMar>
                    <w:top w:w="58" w:type="dxa"/>
                    <w:left w:w="115" w:type="dxa"/>
                    <w:bottom w:w="58" w:type="dxa"/>
                    <w:right w:w="115" w:type="dxa"/>
                  </w:tcMar>
                  <w:hideMark/>
                </w:tcPr>
                <w:p w:rsidRPr="004830C4" w:rsidR="00DA5CEF" w:rsidP="00F53878" w:rsidRDefault="00DA5CEF" w14:paraId="5765188C" w14:textId="77777777">
                  <w:pPr>
                    <w:jc w:val="center"/>
                    <w:rPr>
                      <w:color w:val="000000"/>
                    </w:rPr>
                  </w:pPr>
                  <w:r w:rsidRPr="004830C4">
                    <w:rPr>
                      <w:color w:val="000000"/>
                    </w:rPr>
                    <w:t>45.50</w:t>
                  </w:r>
                </w:p>
              </w:tc>
            </w:tr>
            <w:tr w:rsidRPr="004830C4" w:rsidR="00DA5CEF" w:rsidTr="004830C4" w14:paraId="7B469E9A" w14:textId="77777777">
              <w:trPr>
                <w:cantSplit/>
                <w:trHeight w:val="257"/>
                <w:jc w:val="center"/>
              </w:trPr>
              <w:tc>
                <w:tcPr>
                  <w:tcW w:w="1570" w:type="dxa"/>
                  <w:tcBorders>
                    <w:top w:val="nil"/>
                    <w:left w:val="single" w:color="auto" w:sz="4" w:space="0"/>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25DBF6DF" w14:textId="77777777">
                  <w:pPr>
                    <w:rPr>
                      <w:color w:val="000000"/>
                    </w:rPr>
                  </w:pPr>
                  <w:r w:rsidRPr="004830C4">
                    <w:rPr>
                      <w:color w:val="000000"/>
                    </w:rPr>
                    <w:t>UL-SCE</w:t>
                  </w:r>
                </w:p>
              </w:tc>
              <w:tc>
                <w:tcPr>
                  <w:tcW w:w="360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029A9C1C" w14:textId="77777777">
                  <w:pPr>
                    <w:rPr>
                      <w:color w:val="000000"/>
                    </w:rPr>
                  </w:pPr>
                  <w:r w:rsidRPr="004830C4">
                    <w:rPr>
                      <w:color w:val="000000"/>
                    </w:rPr>
                    <w:t>The work in this category related to responding to the D&amp;T report presented by SCE and SCE's recommended remedies, as well as participating in settlement negotiations with SCE and Cal Advocates that were ultimately unfruitful.</w:t>
                  </w:r>
                </w:p>
              </w:tc>
              <w:tc>
                <w:tcPr>
                  <w:tcW w:w="135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0063A283" w14:textId="77777777">
                  <w:pPr>
                    <w:jc w:val="center"/>
                    <w:rPr>
                      <w:color w:val="000000"/>
                    </w:rPr>
                  </w:pPr>
                  <w:r w:rsidRPr="004830C4">
                    <w:rPr>
                      <w:color w:val="000000"/>
                    </w:rPr>
                    <w:t>13.28%</w:t>
                  </w:r>
                </w:p>
              </w:tc>
              <w:tc>
                <w:tcPr>
                  <w:tcW w:w="960" w:type="dxa"/>
                  <w:tcBorders>
                    <w:top w:val="nil"/>
                    <w:left w:val="nil"/>
                    <w:bottom w:val="single" w:color="auto" w:sz="4" w:space="0"/>
                    <w:right w:val="single" w:color="auto" w:sz="4" w:space="0"/>
                  </w:tcBorders>
                  <w:shd w:val="clear" w:color="auto" w:fill="auto"/>
                  <w:noWrap/>
                  <w:tcMar>
                    <w:top w:w="58" w:type="dxa"/>
                    <w:left w:w="115" w:type="dxa"/>
                    <w:bottom w:w="58" w:type="dxa"/>
                    <w:right w:w="115" w:type="dxa"/>
                  </w:tcMar>
                  <w:hideMark/>
                </w:tcPr>
                <w:p w:rsidRPr="004830C4" w:rsidR="00DA5CEF" w:rsidP="00F53878" w:rsidRDefault="00DA5CEF" w14:paraId="095E21E2" w14:textId="77777777">
                  <w:pPr>
                    <w:jc w:val="center"/>
                    <w:rPr>
                      <w:color w:val="000000"/>
                    </w:rPr>
                  </w:pPr>
                  <w:r w:rsidRPr="004830C4">
                    <w:rPr>
                      <w:color w:val="000000"/>
                    </w:rPr>
                    <w:t>54.25</w:t>
                  </w:r>
                </w:p>
              </w:tc>
            </w:tr>
            <w:tr w:rsidRPr="004830C4" w:rsidR="00DA5CEF" w:rsidTr="004830C4" w14:paraId="3F35AECC" w14:textId="77777777">
              <w:trPr>
                <w:cantSplit/>
                <w:trHeight w:val="22"/>
                <w:jc w:val="center"/>
              </w:trPr>
              <w:tc>
                <w:tcPr>
                  <w:tcW w:w="1570" w:type="dxa"/>
                  <w:tcBorders>
                    <w:top w:val="nil"/>
                    <w:left w:val="single" w:color="auto" w:sz="4" w:space="0"/>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5F3F8326" w14:textId="77777777">
                  <w:pPr>
                    <w:rPr>
                      <w:color w:val="000000"/>
                    </w:rPr>
                  </w:pPr>
                  <w:r w:rsidRPr="004830C4">
                    <w:rPr>
                      <w:color w:val="000000"/>
                    </w:rPr>
                    <w:t>UL-SCE-OSC</w:t>
                  </w:r>
                </w:p>
              </w:tc>
              <w:tc>
                <w:tcPr>
                  <w:tcW w:w="360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229721E6" w14:textId="77777777">
                  <w:pPr>
                    <w:rPr>
                      <w:color w:val="000000"/>
                    </w:rPr>
                  </w:pPr>
                  <w:r w:rsidRPr="004830C4">
                    <w:rPr>
                      <w:color w:val="000000"/>
                    </w:rPr>
                    <w:t>The work in this category related to the Commission's OSC re remedies for SCE's Upstream Lighting Program administration.</w:t>
                  </w:r>
                </w:p>
              </w:tc>
              <w:tc>
                <w:tcPr>
                  <w:tcW w:w="135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1AFC26E9" w14:textId="77777777">
                  <w:pPr>
                    <w:jc w:val="center"/>
                    <w:rPr>
                      <w:color w:val="000000"/>
                    </w:rPr>
                  </w:pPr>
                  <w:r w:rsidRPr="004830C4">
                    <w:rPr>
                      <w:color w:val="000000"/>
                    </w:rPr>
                    <w:t>6.00%</w:t>
                  </w:r>
                </w:p>
              </w:tc>
              <w:tc>
                <w:tcPr>
                  <w:tcW w:w="960" w:type="dxa"/>
                  <w:tcBorders>
                    <w:top w:val="nil"/>
                    <w:left w:val="nil"/>
                    <w:bottom w:val="single" w:color="auto" w:sz="4" w:space="0"/>
                    <w:right w:val="single" w:color="auto" w:sz="4" w:space="0"/>
                  </w:tcBorders>
                  <w:shd w:val="clear" w:color="auto" w:fill="auto"/>
                  <w:noWrap/>
                  <w:tcMar>
                    <w:top w:w="58" w:type="dxa"/>
                    <w:left w:w="115" w:type="dxa"/>
                    <w:bottom w:w="58" w:type="dxa"/>
                    <w:right w:w="115" w:type="dxa"/>
                  </w:tcMar>
                  <w:hideMark/>
                </w:tcPr>
                <w:p w:rsidRPr="004830C4" w:rsidR="00DA5CEF" w:rsidP="00F53878" w:rsidRDefault="00DA5CEF" w14:paraId="566D6E84" w14:textId="77777777">
                  <w:pPr>
                    <w:jc w:val="center"/>
                    <w:rPr>
                      <w:color w:val="000000"/>
                    </w:rPr>
                  </w:pPr>
                  <w:r w:rsidRPr="004830C4">
                    <w:rPr>
                      <w:color w:val="000000"/>
                    </w:rPr>
                    <w:t>24.50</w:t>
                  </w:r>
                </w:p>
              </w:tc>
            </w:tr>
            <w:tr w:rsidRPr="004830C4" w:rsidR="00DA5CEF" w:rsidTr="004830C4" w14:paraId="4711AC16" w14:textId="77777777">
              <w:trPr>
                <w:cantSplit/>
                <w:trHeight w:val="797"/>
                <w:jc w:val="center"/>
              </w:trPr>
              <w:tc>
                <w:tcPr>
                  <w:tcW w:w="1570" w:type="dxa"/>
                  <w:tcBorders>
                    <w:top w:val="nil"/>
                    <w:left w:val="single" w:color="auto" w:sz="4" w:space="0"/>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097F90B8" w14:textId="77777777">
                  <w:pPr>
                    <w:rPr>
                      <w:color w:val="000000"/>
                    </w:rPr>
                  </w:pPr>
                  <w:r w:rsidRPr="004830C4">
                    <w:rPr>
                      <w:color w:val="000000"/>
                    </w:rPr>
                    <w:t>UL-SCE-POD</w:t>
                  </w:r>
                </w:p>
              </w:tc>
              <w:tc>
                <w:tcPr>
                  <w:tcW w:w="360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7DDF96B1" w14:textId="77777777">
                  <w:pPr>
                    <w:rPr>
                      <w:color w:val="000000"/>
                    </w:rPr>
                  </w:pPr>
                  <w:r w:rsidRPr="004830C4">
                    <w:rPr>
                      <w:color w:val="000000"/>
                    </w:rPr>
                    <w:t>The work in this category related to responding to SCE's appeal of the POD adopting remedies for SCE's Upstream Lighting Program administration.</w:t>
                  </w:r>
                </w:p>
              </w:tc>
              <w:tc>
                <w:tcPr>
                  <w:tcW w:w="135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05A4F8D1" w14:textId="77777777">
                  <w:pPr>
                    <w:jc w:val="center"/>
                    <w:rPr>
                      <w:color w:val="000000"/>
                    </w:rPr>
                  </w:pPr>
                  <w:r w:rsidRPr="004830C4">
                    <w:rPr>
                      <w:color w:val="000000"/>
                    </w:rPr>
                    <w:t>5.20%</w:t>
                  </w:r>
                </w:p>
              </w:tc>
              <w:tc>
                <w:tcPr>
                  <w:tcW w:w="960" w:type="dxa"/>
                  <w:tcBorders>
                    <w:top w:val="nil"/>
                    <w:left w:val="nil"/>
                    <w:bottom w:val="single" w:color="auto" w:sz="4" w:space="0"/>
                    <w:right w:val="single" w:color="auto" w:sz="4" w:space="0"/>
                  </w:tcBorders>
                  <w:shd w:val="clear" w:color="auto" w:fill="auto"/>
                  <w:noWrap/>
                  <w:tcMar>
                    <w:top w:w="58" w:type="dxa"/>
                    <w:left w:w="115" w:type="dxa"/>
                    <w:bottom w:w="58" w:type="dxa"/>
                    <w:right w:w="115" w:type="dxa"/>
                  </w:tcMar>
                  <w:hideMark/>
                </w:tcPr>
                <w:p w:rsidRPr="004830C4" w:rsidR="00DA5CEF" w:rsidP="00F53878" w:rsidRDefault="00DA5CEF" w14:paraId="24EA2EC9" w14:textId="77777777">
                  <w:pPr>
                    <w:jc w:val="center"/>
                    <w:rPr>
                      <w:color w:val="000000"/>
                    </w:rPr>
                  </w:pPr>
                  <w:r w:rsidRPr="004830C4">
                    <w:rPr>
                      <w:color w:val="000000"/>
                    </w:rPr>
                    <w:t>21.25</w:t>
                  </w:r>
                </w:p>
              </w:tc>
            </w:tr>
            <w:tr w:rsidRPr="004830C4" w:rsidR="00DA5CEF" w:rsidTr="004830C4" w14:paraId="63E4D210" w14:textId="77777777">
              <w:trPr>
                <w:cantSplit/>
                <w:trHeight w:val="280"/>
                <w:jc w:val="center"/>
              </w:trPr>
              <w:tc>
                <w:tcPr>
                  <w:tcW w:w="1570" w:type="dxa"/>
                  <w:tcBorders>
                    <w:top w:val="nil"/>
                    <w:left w:val="single" w:color="auto" w:sz="4" w:space="0"/>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0C03A462" w14:textId="77777777">
                  <w:pPr>
                    <w:rPr>
                      <w:b/>
                      <w:bCs/>
                      <w:color w:val="000000"/>
                    </w:rPr>
                  </w:pPr>
                  <w:r w:rsidRPr="004830C4">
                    <w:rPr>
                      <w:b/>
                      <w:bCs/>
                      <w:color w:val="000000"/>
                    </w:rPr>
                    <w:t>SUBTOTAL</w:t>
                  </w:r>
                </w:p>
              </w:tc>
              <w:tc>
                <w:tcPr>
                  <w:tcW w:w="360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02C5F5A8" w14:textId="77777777">
                  <w:pPr>
                    <w:rPr>
                      <w:color w:val="000000"/>
                    </w:rPr>
                  </w:pPr>
                  <w:r w:rsidRPr="004830C4">
                    <w:rPr>
                      <w:color w:val="000000"/>
                    </w:rPr>
                    <w:t>(excluding compensation-related time)</w:t>
                  </w:r>
                </w:p>
              </w:tc>
              <w:tc>
                <w:tcPr>
                  <w:tcW w:w="135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7F6DEE64" w14:textId="77777777">
                  <w:pPr>
                    <w:jc w:val="center"/>
                    <w:rPr>
                      <w:b/>
                      <w:bCs/>
                      <w:color w:val="000000"/>
                    </w:rPr>
                  </w:pPr>
                  <w:r w:rsidRPr="004830C4">
                    <w:rPr>
                      <w:b/>
                      <w:bCs/>
                      <w:color w:val="000000"/>
                    </w:rPr>
                    <w:t>100.00%</w:t>
                  </w:r>
                </w:p>
              </w:tc>
              <w:tc>
                <w:tcPr>
                  <w:tcW w:w="960" w:type="dxa"/>
                  <w:tcBorders>
                    <w:top w:val="nil"/>
                    <w:left w:val="nil"/>
                    <w:bottom w:val="single" w:color="auto" w:sz="4" w:space="0"/>
                    <w:right w:val="single" w:color="auto" w:sz="4" w:space="0"/>
                  </w:tcBorders>
                  <w:shd w:val="clear" w:color="auto" w:fill="auto"/>
                  <w:noWrap/>
                  <w:tcMar>
                    <w:top w:w="58" w:type="dxa"/>
                    <w:left w:w="115" w:type="dxa"/>
                    <w:bottom w:w="58" w:type="dxa"/>
                    <w:right w:w="115" w:type="dxa"/>
                  </w:tcMar>
                  <w:hideMark/>
                </w:tcPr>
                <w:p w:rsidRPr="004830C4" w:rsidR="00DA5CEF" w:rsidP="00F53878" w:rsidRDefault="00DA5CEF" w14:paraId="375F73A8" w14:textId="77777777">
                  <w:pPr>
                    <w:jc w:val="center"/>
                    <w:rPr>
                      <w:b/>
                      <w:bCs/>
                      <w:color w:val="000000"/>
                    </w:rPr>
                  </w:pPr>
                  <w:r w:rsidRPr="004830C4">
                    <w:rPr>
                      <w:b/>
                      <w:bCs/>
                      <w:color w:val="000000"/>
                    </w:rPr>
                    <w:t>408.50</w:t>
                  </w:r>
                </w:p>
              </w:tc>
            </w:tr>
            <w:tr w:rsidRPr="004830C4" w:rsidR="00DA5CEF" w:rsidTr="004830C4" w14:paraId="424EF337" w14:textId="77777777">
              <w:trPr>
                <w:cantSplit/>
                <w:trHeight w:val="840"/>
                <w:jc w:val="center"/>
              </w:trPr>
              <w:tc>
                <w:tcPr>
                  <w:tcW w:w="1570" w:type="dxa"/>
                  <w:tcBorders>
                    <w:top w:val="nil"/>
                    <w:left w:val="single" w:color="auto" w:sz="4" w:space="0"/>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5C5BAE71" w14:textId="77777777">
                  <w:pPr>
                    <w:rPr>
                      <w:color w:val="000000"/>
                    </w:rPr>
                  </w:pPr>
                  <w:r w:rsidRPr="004830C4">
                    <w:rPr>
                      <w:color w:val="000000"/>
                    </w:rPr>
                    <w:t>Comp</w:t>
                  </w:r>
                </w:p>
              </w:tc>
              <w:tc>
                <w:tcPr>
                  <w:tcW w:w="360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443FFDD7" w14:textId="77777777">
                  <w:pPr>
                    <w:rPr>
                      <w:color w:val="000000"/>
                    </w:rPr>
                  </w:pPr>
                  <w:r w:rsidRPr="004830C4">
                    <w:rPr>
                      <w:color w:val="000000"/>
                    </w:rPr>
                    <w:t>The work in this category was related to preparing this request for intervenor compensation.</w:t>
                  </w:r>
                </w:p>
              </w:tc>
              <w:tc>
                <w:tcPr>
                  <w:tcW w:w="1350" w:type="dxa"/>
                  <w:tcBorders>
                    <w:top w:val="nil"/>
                    <w:left w:val="nil"/>
                    <w:bottom w:val="single" w:color="auto" w:sz="4" w:space="0"/>
                    <w:right w:val="single" w:color="auto" w:sz="4" w:space="0"/>
                  </w:tcBorders>
                  <w:shd w:val="clear" w:color="auto" w:fill="auto"/>
                  <w:tcMar>
                    <w:top w:w="58" w:type="dxa"/>
                    <w:left w:w="115" w:type="dxa"/>
                    <w:bottom w:w="58" w:type="dxa"/>
                    <w:right w:w="115" w:type="dxa"/>
                  </w:tcMar>
                  <w:hideMark/>
                </w:tcPr>
                <w:p w:rsidRPr="004830C4" w:rsidR="00DA5CEF" w:rsidP="00F53878" w:rsidRDefault="00DA5CEF" w14:paraId="65FA044F" w14:textId="55A20109">
                  <w:pPr>
                    <w:jc w:val="center"/>
                    <w:rPr>
                      <w:color w:val="000000"/>
                    </w:rPr>
                  </w:pPr>
                </w:p>
              </w:tc>
              <w:tc>
                <w:tcPr>
                  <w:tcW w:w="960" w:type="dxa"/>
                  <w:tcBorders>
                    <w:top w:val="nil"/>
                    <w:left w:val="nil"/>
                    <w:bottom w:val="single" w:color="auto" w:sz="4" w:space="0"/>
                    <w:right w:val="single" w:color="auto" w:sz="4" w:space="0"/>
                  </w:tcBorders>
                  <w:shd w:val="clear" w:color="auto" w:fill="auto"/>
                  <w:noWrap/>
                  <w:tcMar>
                    <w:top w:w="58" w:type="dxa"/>
                    <w:left w:w="115" w:type="dxa"/>
                    <w:bottom w:w="58" w:type="dxa"/>
                    <w:right w:w="115" w:type="dxa"/>
                  </w:tcMar>
                  <w:hideMark/>
                </w:tcPr>
                <w:p w:rsidRPr="004830C4" w:rsidR="00DA5CEF" w:rsidP="00F53878" w:rsidRDefault="00DA5CEF" w14:paraId="4384376C" w14:textId="77777777">
                  <w:pPr>
                    <w:jc w:val="center"/>
                    <w:rPr>
                      <w:color w:val="000000"/>
                    </w:rPr>
                  </w:pPr>
                  <w:r w:rsidRPr="004830C4">
                    <w:rPr>
                      <w:color w:val="000000"/>
                    </w:rPr>
                    <w:t>37.25</w:t>
                  </w:r>
                </w:p>
              </w:tc>
            </w:tr>
            <w:tr w:rsidRPr="004830C4" w:rsidR="00F53878" w:rsidTr="004830C4" w14:paraId="3D89E0A5" w14:textId="77777777">
              <w:trPr>
                <w:cantSplit/>
                <w:trHeight w:val="22"/>
                <w:jc w:val="center"/>
              </w:trPr>
              <w:tc>
                <w:tcPr>
                  <w:tcW w:w="6520" w:type="dxa"/>
                  <w:gridSpan w:val="3"/>
                  <w:tcBorders>
                    <w:top w:val="nil"/>
                    <w:left w:val="single" w:color="auto" w:sz="4" w:space="0"/>
                    <w:bottom w:val="single" w:color="auto" w:sz="4" w:space="0"/>
                    <w:right w:val="single" w:color="auto" w:sz="4" w:space="0"/>
                  </w:tcBorders>
                  <w:shd w:val="clear" w:color="auto" w:fill="auto"/>
                  <w:tcMar>
                    <w:top w:w="58" w:type="dxa"/>
                    <w:left w:w="115" w:type="dxa"/>
                    <w:bottom w:w="58" w:type="dxa"/>
                    <w:right w:w="115" w:type="dxa"/>
                  </w:tcMar>
                  <w:hideMark/>
                </w:tcPr>
                <w:p w:rsidRPr="004830C4" w:rsidR="00F53878" w:rsidP="00F53878" w:rsidRDefault="00F53878" w14:paraId="367DAA5A" w14:textId="430EAA7C">
                  <w:pPr>
                    <w:jc w:val="right"/>
                    <w:rPr>
                      <w:b/>
                      <w:bCs/>
                      <w:color w:val="000000"/>
                    </w:rPr>
                  </w:pPr>
                  <w:r w:rsidRPr="004830C4">
                    <w:rPr>
                      <w:b/>
                      <w:bCs/>
                      <w:color w:val="000000"/>
                    </w:rPr>
                    <w:t>TOTAL</w:t>
                  </w:r>
                </w:p>
              </w:tc>
              <w:tc>
                <w:tcPr>
                  <w:tcW w:w="960" w:type="dxa"/>
                  <w:tcBorders>
                    <w:top w:val="nil"/>
                    <w:left w:val="nil"/>
                    <w:bottom w:val="single" w:color="auto" w:sz="4" w:space="0"/>
                    <w:right w:val="single" w:color="auto" w:sz="4" w:space="0"/>
                  </w:tcBorders>
                  <w:shd w:val="clear" w:color="auto" w:fill="auto"/>
                  <w:noWrap/>
                  <w:tcMar>
                    <w:top w:w="58" w:type="dxa"/>
                    <w:left w:w="115" w:type="dxa"/>
                    <w:bottom w:w="58" w:type="dxa"/>
                    <w:right w:w="115" w:type="dxa"/>
                  </w:tcMar>
                  <w:hideMark/>
                </w:tcPr>
                <w:p w:rsidRPr="004830C4" w:rsidR="00F53878" w:rsidP="00F53878" w:rsidRDefault="00F53878" w14:paraId="0DFCFD30" w14:textId="77777777">
                  <w:pPr>
                    <w:jc w:val="center"/>
                    <w:rPr>
                      <w:b/>
                      <w:bCs/>
                      <w:color w:val="000000"/>
                    </w:rPr>
                  </w:pPr>
                  <w:r w:rsidRPr="004830C4">
                    <w:rPr>
                      <w:b/>
                      <w:bCs/>
                      <w:color w:val="000000"/>
                    </w:rPr>
                    <w:t>445.75</w:t>
                  </w:r>
                </w:p>
              </w:tc>
            </w:tr>
          </w:tbl>
          <w:p w:rsidR="002C6A37" w:rsidP="00EC6387" w:rsidRDefault="002C6A37" w14:paraId="5C854BD9" w14:textId="77777777">
            <w:pPr>
              <w:rPr>
                <w:color w:val="000000"/>
              </w:rPr>
            </w:pPr>
          </w:p>
          <w:p w:rsidR="00691528" w:rsidP="00EC6387" w:rsidRDefault="002C6A37" w14:paraId="731FDC73" w14:textId="77777777">
            <w:pPr>
              <w:rPr>
                <w:rFonts w:ascii="Arial" w:hAnsi="Arial" w:cs="Arial"/>
                <w:b/>
                <w:color w:val="000000"/>
              </w:rPr>
            </w:pPr>
            <w:r w:rsidRPr="000D04D6">
              <w:rPr>
                <w:color w:val="000000"/>
              </w:rPr>
              <w:t>If the Commission believes that a different approach to issue-specific allocation is warranted here, TURN requests the opportunity to supplement this section of the request.</w:t>
            </w:r>
          </w:p>
          <w:p w:rsidRPr="002C6A37" w:rsidR="002C6A37" w:rsidP="00EC6387" w:rsidRDefault="002C6A37" w14:paraId="3285939A" w14:textId="1B21FFCD">
            <w:pPr>
              <w:rPr>
                <w:rFonts w:ascii="Arial" w:hAnsi="Arial" w:cs="Arial"/>
                <w:b/>
                <w:color w:val="000000"/>
              </w:rPr>
            </w:pPr>
          </w:p>
        </w:tc>
        <w:tc>
          <w:tcPr>
            <w:tcW w:w="1985" w:type="dxa"/>
            <w:shd w:val="clear" w:color="auto" w:fill="auto"/>
          </w:tcPr>
          <w:p w:rsidR="00FE3BAE" w:rsidP="00EC6387" w:rsidRDefault="00FE3BAE" w14:paraId="04F3A9BA" w14:textId="77777777">
            <w:pPr>
              <w:rPr>
                <w:color w:val="000000"/>
              </w:rPr>
            </w:pPr>
          </w:p>
          <w:p w:rsidR="002A2C9D" w:rsidP="00EC6387" w:rsidRDefault="002A2C9D" w14:paraId="5AD58B7F" w14:textId="77777777">
            <w:pPr>
              <w:rPr>
                <w:color w:val="000000"/>
              </w:rPr>
            </w:pPr>
          </w:p>
          <w:p w:rsidR="002A2C9D" w:rsidP="002A2C9D" w:rsidRDefault="002A2C9D" w14:paraId="642D722C" w14:textId="77777777">
            <w:pPr>
              <w:jc w:val="center"/>
              <w:rPr>
                <w:color w:val="000000"/>
              </w:rPr>
            </w:pPr>
          </w:p>
          <w:p w:rsidRPr="007F620E" w:rsidR="002A2C9D" w:rsidP="002A2C9D" w:rsidRDefault="002A2C9D" w14:paraId="497C4799" w14:textId="1FE1E189">
            <w:pPr>
              <w:jc w:val="center"/>
              <w:rPr>
                <w:color w:val="000000"/>
              </w:rPr>
            </w:pPr>
            <w:r>
              <w:rPr>
                <w:color w:val="000000"/>
              </w:rPr>
              <w:t>Noted</w:t>
            </w:r>
          </w:p>
        </w:tc>
      </w:tr>
    </w:tbl>
    <w:p w:rsidRPr="007F620E" w:rsidR="00A92D0B" w:rsidP="00B44819" w:rsidRDefault="00A92D0B" w14:paraId="710BC7D6" w14:textId="77777777">
      <w:pPr>
        <w:keepNext/>
        <w:keepLines/>
        <w:numPr>
          <w:ilvl w:val="0"/>
          <w:numId w:val="9"/>
        </w:numPr>
        <w:spacing w:before="1680" w:after="240"/>
        <w:rPr>
          <w:b/>
          <w:color w:val="000000"/>
        </w:rPr>
      </w:pPr>
      <w:r w:rsidRPr="007F620E">
        <w:rPr>
          <w:b/>
          <w:color w:val="000000"/>
        </w:rPr>
        <w:lastRenderedPageBreak/>
        <w:t>Specific Claim</w:t>
      </w:r>
      <w:r w:rsidR="00C02649">
        <w:rPr>
          <w:b/>
          <w:color w:val="000000"/>
        </w:rPr>
        <w:t>:</w:t>
      </w:r>
      <w:r w:rsidRPr="007F620E" w:rsidR="00D075B1">
        <w:rPr>
          <w:b/>
          <w:color w:val="000000"/>
        </w:rPr>
        <w:t>*</w:t>
      </w:r>
    </w:p>
    <w:tbl>
      <w:tblPr>
        <w:tblW w:w="11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58" w:type="dxa"/>
          <w:bottom w:w="29" w:type="dxa"/>
          <w:right w:w="58" w:type="dxa"/>
        </w:tblCellMar>
        <w:tblLook w:val="01E0" w:firstRow="1" w:lastRow="1" w:firstColumn="1" w:lastColumn="1" w:noHBand="0" w:noVBand="0"/>
      </w:tblPr>
      <w:tblGrid>
        <w:gridCol w:w="1705"/>
        <w:gridCol w:w="821"/>
        <w:gridCol w:w="346"/>
        <w:gridCol w:w="538"/>
        <w:gridCol w:w="930"/>
        <w:gridCol w:w="441"/>
        <w:gridCol w:w="1280"/>
        <w:gridCol w:w="1011"/>
        <w:gridCol w:w="393"/>
        <w:gridCol w:w="884"/>
        <w:gridCol w:w="1146"/>
        <w:gridCol w:w="1930"/>
      </w:tblGrid>
      <w:tr w:rsidRPr="001811F3" w:rsidR="00A92D0B" w:rsidTr="00F53878" w14:paraId="780664A2" w14:textId="77777777">
        <w:trPr>
          <w:tblHeader/>
          <w:jc w:val="center"/>
        </w:trPr>
        <w:tc>
          <w:tcPr>
            <w:tcW w:w="7465" w:type="dxa"/>
            <w:gridSpan w:val="9"/>
            <w:tcBorders>
              <w:bottom w:val="single" w:color="auto" w:sz="4" w:space="0"/>
              <w:right w:val="single" w:color="auto" w:sz="24" w:space="0"/>
            </w:tcBorders>
            <w:shd w:val="clear" w:color="auto" w:fill="auto"/>
          </w:tcPr>
          <w:p w:rsidRPr="001811F3" w:rsidR="00A92D0B" w:rsidP="004830C4" w:rsidRDefault="00A92D0B" w14:paraId="6BFE54DA" w14:textId="77777777">
            <w:pPr>
              <w:keepNext/>
              <w:keepLines/>
              <w:spacing w:before="60" w:after="60"/>
              <w:jc w:val="center"/>
              <w:rPr>
                <w:b/>
                <w:smallCaps/>
                <w:color w:val="000000"/>
                <w:sz w:val="22"/>
                <w:szCs w:val="22"/>
              </w:rPr>
            </w:pPr>
            <w:r w:rsidRPr="001811F3">
              <w:rPr>
                <w:b/>
                <w:smallCaps/>
                <w:color w:val="000000"/>
                <w:sz w:val="22"/>
                <w:szCs w:val="22"/>
              </w:rPr>
              <w:t>Claimed</w:t>
            </w:r>
          </w:p>
        </w:tc>
        <w:tc>
          <w:tcPr>
            <w:tcW w:w="3960" w:type="dxa"/>
            <w:gridSpan w:val="3"/>
            <w:tcBorders>
              <w:left w:val="single" w:color="auto" w:sz="24" w:space="0"/>
              <w:bottom w:val="single" w:color="auto" w:sz="4" w:space="0"/>
            </w:tcBorders>
            <w:shd w:val="clear" w:color="auto" w:fill="auto"/>
          </w:tcPr>
          <w:p w:rsidRPr="001811F3" w:rsidR="00A92D0B" w:rsidP="004830C4" w:rsidRDefault="00A92D0B" w14:paraId="170A0FA1" w14:textId="77777777">
            <w:pPr>
              <w:keepNext/>
              <w:keepLines/>
              <w:spacing w:before="60" w:after="60"/>
              <w:jc w:val="center"/>
              <w:rPr>
                <w:b/>
                <w:smallCaps/>
                <w:color w:val="000000"/>
                <w:sz w:val="22"/>
                <w:szCs w:val="22"/>
              </w:rPr>
            </w:pPr>
            <w:r w:rsidRPr="001811F3">
              <w:rPr>
                <w:b/>
                <w:smallCaps/>
                <w:color w:val="000000"/>
                <w:sz w:val="22"/>
                <w:szCs w:val="22"/>
              </w:rPr>
              <w:t>CPUC Award</w:t>
            </w:r>
          </w:p>
        </w:tc>
      </w:tr>
      <w:tr w:rsidRPr="001811F3" w:rsidR="00A92D0B" w:rsidTr="00F53878" w14:paraId="0F5B6CAA" w14:textId="77777777">
        <w:trPr>
          <w:jc w:val="center"/>
        </w:trPr>
        <w:tc>
          <w:tcPr>
            <w:tcW w:w="11425" w:type="dxa"/>
            <w:gridSpan w:val="12"/>
            <w:tcBorders>
              <w:top w:val="single" w:color="auto" w:sz="4" w:space="0"/>
              <w:left w:val="single" w:color="auto" w:sz="4" w:space="0"/>
              <w:bottom w:val="single" w:color="auto" w:sz="4" w:space="0"/>
              <w:right w:val="single" w:color="auto" w:sz="4" w:space="0"/>
            </w:tcBorders>
            <w:shd w:val="clear" w:color="auto" w:fill="E6E6E6"/>
          </w:tcPr>
          <w:p w:rsidRPr="001811F3" w:rsidR="00A92D0B" w:rsidP="004830C4" w:rsidRDefault="00A92D0B" w14:paraId="284F9031" w14:textId="77777777">
            <w:pPr>
              <w:keepNext/>
              <w:keepLines/>
              <w:spacing w:before="60" w:after="60"/>
              <w:jc w:val="center"/>
              <w:rPr>
                <w:b/>
                <w:sz w:val="22"/>
                <w:szCs w:val="22"/>
              </w:rPr>
            </w:pPr>
            <w:r w:rsidRPr="001811F3">
              <w:rPr>
                <w:b/>
                <w:sz w:val="22"/>
                <w:szCs w:val="22"/>
              </w:rPr>
              <w:t>ATTORNEY, EXPERT, AND ADVOCATE FEES</w:t>
            </w:r>
          </w:p>
        </w:tc>
      </w:tr>
      <w:tr w:rsidRPr="001811F3" w:rsidR="00A92D0B" w:rsidTr="00F53878" w14:paraId="5A70C962" w14:textId="77777777">
        <w:trPr>
          <w:jc w:val="center"/>
        </w:trPr>
        <w:tc>
          <w:tcPr>
            <w:tcW w:w="1705" w:type="dxa"/>
            <w:tcBorders>
              <w:top w:val="single" w:color="auto" w:sz="4" w:space="0"/>
              <w:bottom w:val="single" w:color="auto" w:sz="4" w:space="0"/>
            </w:tcBorders>
            <w:shd w:val="clear" w:color="auto" w:fill="auto"/>
            <w:vAlign w:val="bottom"/>
          </w:tcPr>
          <w:p w:rsidRPr="001811F3" w:rsidR="00A92D0B" w:rsidP="004830C4" w:rsidRDefault="00A92D0B" w14:paraId="41646676" w14:textId="77777777">
            <w:pPr>
              <w:keepNext/>
              <w:keepLines/>
              <w:spacing w:before="60" w:after="60"/>
              <w:jc w:val="center"/>
              <w:rPr>
                <w:b/>
                <w:color w:val="000000"/>
                <w:sz w:val="22"/>
                <w:szCs w:val="22"/>
              </w:rPr>
            </w:pPr>
            <w:r w:rsidRPr="001811F3">
              <w:rPr>
                <w:b/>
                <w:color w:val="000000"/>
                <w:sz w:val="22"/>
                <w:szCs w:val="22"/>
              </w:rPr>
              <w:t>Item</w:t>
            </w:r>
          </w:p>
        </w:tc>
        <w:tc>
          <w:tcPr>
            <w:tcW w:w="821" w:type="dxa"/>
            <w:tcBorders>
              <w:top w:val="single" w:color="auto" w:sz="4" w:space="0"/>
              <w:bottom w:val="single" w:color="auto" w:sz="4" w:space="0"/>
            </w:tcBorders>
            <w:shd w:val="clear" w:color="auto" w:fill="auto"/>
            <w:vAlign w:val="bottom"/>
          </w:tcPr>
          <w:p w:rsidRPr="001811F3" w:rsidR="00A92D0B" w:rsidP="004830C4" w:rsidRDefault="00A92D0B" w14:paraId="43BB9941" w14:textId="77777777">
            <w:pPr>
              <w:keepNext/>
              <w:keepLines/>
              <w:spacing w:before="60" w:after="60"/>
              <w:jc w:val="center"/>
              <w:rPr>
                <w:b/>
                <w:color w:val="000000"/>
                <w:sz w:val="22"/>
                <w:szCs w:val="22"/>
              </w:rPr>
            </w:pPr>
            <w:r w:rsidRPr="001811F3">
              <w:rPr>
                <w:b/>
                <w:color w:val="000000"/>
                <w:sz w:val="22"/>
                <w:szCs w:val="22"/>
              </w:rPr>
              <w:t>Year</w:t>
            </w:r>
          </w:p>
        </w:tc>
        <w:tc>
          <w:tcPr>
            <w:tcW w:w="884" w:type="dxa"/>
            <w:gridSpan w:val="2"/>
            <w:tcBorders>
              <w:top w:val="single" w:color="auto" w:sz="4" w:space="0"/>
              <w:bottom w:val="single" w:color="auto" w:sz="4" w:space="0"/>
            </w:tcBorders>
            <w:shd w:val="clear" w:color="auto" w:fill="auto"/>
            <w:vAlign w:val="bottom"/>
          </w:tcPr>
          <w:p w:rsidRPr="001811F3" w:rsidR="00A92D0B" w:rsidP="004830C4" w:rsidRDefault="00A92D0B" w14:paraId="0EF32B08" w14:textId="77777777">
            <w:pPr>
              <w:keepNext/>
              <w:keepLines/>
              <w:spacing w:before="60" w:after="60"/>
              <w:jc w:val="center"/>
              <w:rPr>
                <w:b/>
                <w:color w:val="000000"/>
                <w:sz w:val="22"/>
                <w:szCs w:val="22"/>
              </w:rPr>
            </w:pPr>
            <w:r w:rsidRPr="001811F3">
              <w:rPr>
                <w:b/>
                <w:color w:val="000000"/>
                <w:sz w:val="22"/>
                <w:szCs w:val="22"/>
              </w:rPr>
              <w:t>Hours</w:t>
            </w:r>
          </w:p>
        </w:tc>
        <w:tc>
          <w:tcPr>
            <w:tcW w:w="930" w:type="dxa"/>
            <w:tcBorders>
              <w:top w:val="single" w:color="auto" w:sz="4" w:space="0"/>
              <w:bottom w:val="single" w:color="auto" w:sz="4" w:space="0"/>
            </w:tcBorders>
            <w:shd w:val="clear" w:color="auto" w:fill="auto"/>
            <w:vAlign w:val="bottom"/>
          </w:tcPr>
          <w:p w:rsidRPr="001811F3" w:rsidR="00A92D0B" w:rsidP="004830C4" w:rsidRDefault="00A92D0B" w14:paraId="21C69246" w14:textId="77777777">
            <w:pPr>
              <w:keepNext/>
              <w:keepLines/>
              <w:spacing w:before="60" w:after="60"/>
              <w:jc w:val="center"/>
              <w:rPr>
                <w:b/>
                <w:color w:val="000000"/>
                <w:sz w:val="22"/>
                <w:szCs w:val="22"/>
              </w:rPr>
            </w:pPr>
            <w:r w:rsidRPr="001811F3">
              <w:rPr>
                <w:b/>
                <w:color w:val="000000"/>
                <w:sz w:val="22"/>
                <w:szCs w:val="22"/>
              </w:rPr>
              <w:t>Rate</w:t>
            </w:r>
            <w:r w:rsidRPr="001811F3" w:rsidR="00E3786F">
              <w:rPr>
                <w:b/>
                <w:color w:val="000000"/>
                <w:sz w:val="22"/>
                <w:szCs w:val="22"/>
              </w:rPr>
              <w:t xml:space="preserve"> $</w:t>
            </w:r>
          </w:p>
        </w:tc>
        <w:tc>
          <w:tcPr>
            <w:tcW w:w="1721" w:type="dxa"/>
            <w:gridSpan w:val="2"/>
            <w:tcBorders>
              <w:top w:val="single" w:color="auto" w:sz="4" w:space="0"/>
              <w:bottom w:val="single" w:color="auto" w:sz="4" w:space="0"/>
              <w:right w:val="single" w:color="auto" w:sz="4" w:space="0"/>
            </w:tcBorders>
            <w:shd w:val="clear" w:color="auto" w:fill="auto"/>
            <w:vAlign w:val="bottom"/>
          </w:tcPr>
          <w:p w:rsidRPr="001811F3" w:rsidR="00A92D0B" w:rsidP="004830C4" w:rsidRDefault="00A92D0B" w14:paraId="59E63C07" w14:textId="77777777">
            <w:pPr>
              <w:keepNext/>
              <w:keepLines/>
              <w:spacing w:before="60" w:after="60"/>
              <w:jc w:val="center"/>
              <w:rPr>
                <w:b/>
                <w:color w:val="000000"/>
                <w:sz w:val="22"/>
                <w:szCs w:val="22"/>
              </w:rPr>
            </w:pPr>
            <w:r w:rsidRPr="001811F3">
              <w:rPr>
                <w:b/>
                <w:color w:val="000000"/>
                <w:sz w:val="22"/>
                <w:szCs w:val="22"/>
              </w:rPr>
              <w:t>Basis for Rate*</w:t>
            </w:r>
          </w:p>
        </w:tc>
        <w:tc>
          <w:tcPr>
            <w:tcW w:w="1404"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1811F3" w:rsidR="00A92D0B" w:rsidP="004830C4" w:rsidRDefault="00A92D0B" w14:paraId="7099C603" w14:textId="77777777">
            <w:pPr>
              <w:keepNext/>
              <w:keepLines/>
              <w:spacing w:before="60" w:after="60"/>
              <w:jc w:val="center"/>
              <w:rPr>
                <w:b/>
                <w:color w:val="000000"/>
                <w:sz w:val="22"/>
                <w:szCs w:val="22"/>
              </w:rPr>
            </w:pPr>
            <w:r w:rsidRPr="001811F3">
              <w:rPr>
                <w:b/>
                <w:color w:val="000000"/>
                <w:sz w:val="22"/>
                <w:szCs w:val="22"/>
              </w:rPr>
              <w:t>Total $</w:t>
            </w:r>
          </w:p>
        </w:tc>
        <w:tc>
          <w:tcPr>
            <w:tcW w:w="884" w:type="dxa"/>
            <w:tcBorders>
              <w:top w:val="single" w:color="auto" w:sz="4" w:space="0"/>
              <w:left w:val="single" w:color="auto" w:sz="4" w:space="0"/>
            </w:tcBorders>
            <w:shd w:val="clear" w:color="auto" w:fill="auto"/>
            <w:vAlign w:val="bottom"/>
          </w:tcPr>
          <w:p w:rsidRPr="001811F3" w:rsidR="00A92D0B" w:rsidP="004830C4" w:rsidRDefault="00A92D0B" w14:paraId="564E4964" w14:textId="77777777">
            <w:pPr>
              <w:keepNext/>
              <w:keepLines/>
              <w:spacing w:before="60" w:after="60"/>
              <w:jc w:val="center"/>
              <w:rPr>
                <w:b/>
                <w:color w:val="000000"/>
                <w:sz w:val="22"/>
                <w:szCs w:val="22"/>
              </w:rPr>
            </w:pPr>
            <w:r w:rsidRPr="001811F3">
              <w:rPr>
                <w:b/>
                <w:color w:val="000000"/>
                <w:sz w:val="22"/>
                <w:szCs w:val="22"/>
              </w:rPr>
              <w:t>Hours</w:t>
            </w:r>
          </w:p>
        </w:tc>
        <w:tc>
          <w:tcPr>
            <w:tcW w:w="1146" w:type="dxa"/>
            <w:tcBorders>
              <w:top w:val="single" w:color="auto" w:sz="4" w:space="0"/>
            </w:tcBorders>
            <w:shd w:val="clear" w:color="auto" w:fill="auto"/>
            <w:vAlign w:val="bottom"/>
          </w:tcPr>
          <w:p w:rsidRPr="001811F3" w:rsidR="00A92D0B" w:rsidP="004830C4" w:rsidRDefault="00A92D0B" w14:paraId="1462552D" w14:textId="77777777">
            <w:pPr>
              <w:keepNext/>
              <w:keepLines/>
              <w:spacing w:before="60" w:after="60"/>
              <w:jc w:val="center"/>
              <w:rPr>
                <w:b/>
                <w:color w:val="000000"/>
                <w:sz w:val="22"/>
                <w:szCs w:val="22"/>
              </w:rPr>
            </w:pPr>
            <w:r w:rsidRPr="001811F3">
              <w:rPr>
                <w:b/>
                <w:color w:val="000000"/>
                <w:sz w:val="22"/>
                <w:szCs w:val="22"/>
              </w:rPr>
              <w:t>Rate</w:t>
            </w:r>
            <w:r w:rsidRPr="001811F3" w:rsidR="00E3786F">
              <w:rPr>
                <w:b/>
                <w:color w:val="000000"/>
                <w:sz w:val="22"/>
                <w:szCs w:val="22"/>
              </w:rPr>
              <w:t xml:space="preserve"> $</w:t>
            </w:r>
          </w:p>
        </w:tc>
        <w:tc>
          <w:tcPr>
            <w:tcW w:w="1930" w:type="dxa"/>
            <w:tcBorders>
              <w:top w:val="single" w:color="auto" w:sz="4" w:space="0"/>
            </w:tcBorders>
            <w:shd w:val="clear" w:color="auto" w:fill="auto"/>
            <w:vAlign w:val="bottom"/>
          </w:tcPr>
          <w:p w:rsidRPr="001811F3" w:rsidR="00A92D0B" w:rsidP="004830C4" w:rsidRDefault="00A92D0B" w14:paraId="1B6A5CA4" w14:textId="77777777">
            <w:pPr>
              <w:keepNext/>
              <w:keepLines/>
              <w:spacing w:before="60" w:after="60"/>
              <w:jc w:val="center"/>
              <w:rPr>
                <w:b/>
                <w:color w:val="000000"/>
                <w:sz w:val="22"/>
                <w:szCs w:val="22"/>
              </w:rPr>
            </w:pPr>
            <w:r w:rsidRPr="001811F3">
              <w:rPr>
                <w:b/>
                <w:color w:val="000000"/>
                <w:sz w:val="22"/>
                <w:szCs w:val="22"/>
              </w:rPr>
              <w:t>Total $</w:t>
            </w:r>
          </w:p>
        </w:tc>
      </w:tr>
      <w:tr w:rsidRPr="001811F3" w:rsidR="0062130A" w:rsidTr="009C2478" w14:paraId="62E8A168" w14:textId="77777777">
        <w:trPr>
          <w:jc w:val="center"/>
        </w:trPr>
        <w:tc>
          <w:tcPr>
            <w:tcW w:w="1705" w:type="dxa"/>
            <w:shd w:val="clear" w:color="auto" w:fill="auto"/>
          </w:tcPr>
          <w:p w:rsidRPr="001811F3" w:rsidR="0062130A" w:rsidP="004830C4" w:rsidRDefault="0062130A" w14:paraId="33EA8B38" w14:textId="046B970A">
            <w:pPr>
              <w:keepNext/>
              <w:keepLines/>
              <w:spacing w:before="60" w:after="60"/>
              <w:rPr>
                <w:color w:val="000000"/>
                <w:sz w:val="22"/>
                <w:szCs w:val="22"/>
              </w:rPr>
            </w:pPr>
            <w:r w:rsidRPr="001811F3">
              <w:rPr>
                <w:sz w:val="22"/>
                <w:szCs w:val="22"/>
              </w:rPr>
              <w:t>Hayley Goodson, TURN Attorney</w:t>
            </w:r>
          </w:p>
        </w:tc>
        <w:tc>
          <w:tcPr>
            <w:tcW w:w="821" w:type="dxa"/>
            <w:shd w:val="clear" w:color="auto" w:fill="auto"/>
          </w:tcPr>
          <w:p w:rsidRPr="001811F3" w:rsidR="0062130A" w:rsidP="004830C4" w:rsidRDefault="0062130A" w14:paraId="47EBBC49" w14:textId="2E8DFEAD">
            <w:pPr>
              <w:keepNext/>
              <w:keepLines/>
              <w:spacing w:before="60" w:after="60"/>
              <w:jc w:val="center"/>
              <w:rPr>
                <w:color w:val="000000"/>
                <w:sz w:val="22"/>
                <w:szCs w:val="22"/>
              </w:rPr>
            </w:pPr>
            <w:r w:rsidRPr="001811F3">
              <w:rPr>
                <w:sz w:val="22"/>
                <w:szCs w:val="22"/>
              </w:rPr>
              <w:t>2020</w:t>
            </w:r>
          </w:p>
        </w:tc>
        <w:tc>
          <w:tcPr>
            <w:tcW w:w="884" w:type="dxa"/>
            <w:gridSpan w:val="2"/>
            <w:shd w:val="clear" w:color="auto" w:fill="auto"/>
          </w:tcPr>
          <w:p w:rsidRPr="001811F3" w:rsidR="0062130A" w:rsidP="004830C4" w:rsidRDefault="0062130A" w14:paraId="39A3074C" w14:textId="186FF47D">
            <w:pPr>
              <w:keepNext/>
              <w:keepLines/>
              <w:spacing w:before="60" w:after="60"/>
              <w:jc w:val="center"/>
              <w:rPr>
                <w:color w:val="000000"/>
                <w:sz w:val="22"/>
                <w:szCs w:val="22"/>
              </w:rPr>
            </w:pPr>
            <w:r w:rsidRPr="001811F3">
              <w:rPr>
                <w:sz w:val="22"/>
                <w:szCs w:val="22"/>
              </w:rPr>
              <w:t>157.00</w:t>
            </w:r>
          </w:p>
        </w:tc>
        <w:tc>
          <w:tcPr>
            <w:tcW w:w="930" w:type="dxa"/>
            <w:shd w:val="clear" w:color="auto" w:fill="auto"/>
          </w:tcPr>
          <w:p w:rsidRPr="001811F3" w:rsidR="0062130A" w:rsidP="004830C4" w:rsidRDefault="0062130A" w14:paraId="3E5BD317" w14:textId="1A031762">
            <w:pPr>
              <w:keepNext/>
              <w:keepLines/>
              <w:spacing w:before="60" w:after="60"/>
              <w:jc w:val="right"/>
              <w:rPr>
                <w:color w:val="000000"/>
                <w:sz w:val="22"/>
                <w:szCs w:val="22"/>
              </w:rPr>
            </w:pPr>
            <w:r w:rsidRPr="001811F3">
              <w:rPr>
                <w:sz w:val="22"/>
                <w:szCs w:val="22"/>
              </w:rPr>
              <w:t xml:space="preserve">$455 </w:t>
            </w:r>
          </w:p>
        </w:tc>
        <w:tc>
          <w:tcPr>
            <w:tcW w:w="1721" w:type="dxa"/>
            <w:gridSpan w:val="2"/>
            <w:tcBorders>
              <w:right w:val="single" w:color="auto" w:sz="4" w:space="0"/>
            </w:tcBorders>
            <w:shd w:val="clear" w:color="auto" w:fill="auto"/>
          </w:tcPr>
          <w:p w:rsidRPr="001811F3" w:rsidR="0062130A" w:rsidP="004830C4" w:rsidRDefault="0062130A" w14:paraId="63BDE315" w14:textId="03A4D862">
            <w:pPr>
              <w:keepNext/>
              <w:keepLines/>
              <w:spacing w:before="60" w:after="60"/>
              <w:rPr>
                <w:color w:val="000000"/>
                <w:sz w:val="22"/>
                <w:szCs w:val="22"/>
              </w:rPr>
            </w:pPr>
            <w:r w:rsidRPr="001811F3">
              <w:rPr>
                <w:sz w:val="22"/>
                <w:szCs w:val="22"/>
              </w:rPr>
              <w:t>D.20-09-032</w:t>
            </w:r>
          </w:p>
        </w:tc>
        <w:tc>
          <w:tcPr>
            <w:tcW w:w="1404" w:type="dxa"/>
            <w:gridSpan w:val="2"/>
            <w:tcBorders>
              <w:top w:val="single" w:color="auto" w:sz="4" w:space="0"/>
              <w:left w:val="single" w:color="auto" w:sz="4" w:space="0"/>
              <w:bottom w:val="single" w:color="auto" w:sz="4" w:space="0"/>
              <w:right w:val="single" w:color="auto" w:sz="24" w:space="0"/>
            </w:tcBorders>
            <w:shd w:val="clear" w:color="auto" w:fill="auto"/>
          </w:tcPr>
          <w:p w:rsidRPr="001811F3" w:rsidR="0062130A" w:rsidP="004830C4" w:rsidRDefault="0062130A" w14:paraId="06BD92A5" w14:textId="13D3CE94">
            <w:pPr>
              <w:keepNext/>
              <w:keepLines/>
              <w:spacing w:before="60" w:after="60"/>
              <w:jc w:val="right"/>
              <w:rPr>
                <w:color w:val="000000"/>
                <w:sz w:val="22"/>
                <w:szCs w:val="22"/>
              </w:rPr>
            </w:pPr>
            <w:r w:rsidRPr="001811F3">
              <w:rPr>
                <w:sz w:val="22"/>
                <w:szCs w:val="22"/>
              </w:rPr>
              <w:t>$71,435.00</w:t>
            </w:r>
          </w:p>
        </w:tc>
        <w:tc>
          <w:tcPr>
            <w:tcW w:w="884" w:type="dxa"/>
            <w:tcBorders>
              <w:left w:val="single" w:color="auto" w:sz="4" w:space="0"/>
            </w:tcBorders>
            <w:shd w:val="clear" w:color="auto" w:fill="auto"/>
          </w:tcPr>
          <w:p w:rsidRPr="001811F3" w:rsidR="0062130A" w:rsidP="004830C4" w:rsidRDefault="0062130A" w14:paraId="31AF7AA4" w14:textId="7B5E9201">
            <w:pPr>
              <w:keepNext/>
              <w:keepLines/>
              <w:spacing w:before="60" w:after="60"/>
              <w:jc w:val="center"/>
              <w:rPr>
                <w:color w:val="000000"/>
                <w:sz w:val="22"/>
                <w:szCs w:val="22"/>
              </w:rPr>
            </w:pPr>
            <w:r w:rsidRPr="001811F3">
              <w:rPr>
                <w:color w:val="000000"/>
                <w:sz w:val="22"/>
                <w:szCs w:val="22"/>
              </w:rPr>
              <w:t>157.00</w:t>
            </w:r>
          </w:p>
        </w:tc>
        <w:tc>
          <w:tcPr>
            <w:tcW w:w="1146" w:type="dxa"/>
            <w:shd w:val="clear" w:color="auto" w:fill="auto"/>
          </w:tcPr>
          <w:p w:rsidRPr="001811F3" w:rsidR="0062130A" w:rsidP="004830C4" w:rsidRDefault="0062130A" w14:paraId="3400AFFC" w14:textId="4C0429B1">
            <w:pPr>
              <w:keepNext/>
              <w:keepLines/>
              <w:spacing w:before="60" w:after="60"/>
              <w:jc w:val="right"/>
              <w:rPr>
                <w:color w:val="000000"/>
                <w:sz w:val="22"/>
                <w:szCs w:val="22"/>
              </w:rPr>
            </w:pPr>
            <w:r w:rsidRPr="001811F3">
              <w:rPr>
                <w:color w:val="000000"/>
                <w:sz w:val="22"/>
                <w:szCs w:val="22"/>
              </w:rPr>
              <w:t>$455.00</w:t>
            </w:r>
          </w:p>
        </w:tc>
        <w:tc>
          <w:tcPr>
            <w:tcW w:w="1930" w:type="dxa"/>
            <w:shd w:val="clear" w:color="auto" w:fill="auto"/>
          </w:tcPr>
          <w:p w:rsidRPr="001811F3" w:rsidR="0062130A" w:rsidP="004830C4" w:rsidRDefault="0062130A" w14:paraId="196C1830" w14:textId="35887CF8">
            <w:pPr>
              <w:keepNext/>
              <w:keepLines/>
              <w:spacing w:before="60" w:after="60"/>
              <w:jc w:val="right"/>
              <w:rPr>
                <w:color w:val="000000"/>
                <w:sz w:val="22"/>
                <w:szCs w:val="22"/>
              </w:rPr>
            </w:pPr>
            <w:r w:rsidRPr="001811F3">
              <w:rPr>
                <w:sz w:val="22"/>
                <w:szCs w:val="22"/>
              </w:rPr>
              <w:t>$71,435.00</w:t>
            </w:r>
          </w:p>
        </w:tc>
      </w:tr>
      <w:tr w:rsidRPr="001811F3" w:rsidR="0062130A" w:rsidTr="009C2478" w14:paraId="5BF6A154" w14:textId="77777777">
        <w:trPr>
          <w:jc w:val="center"/>
        </w:trPr>
        <w:tc>
          <w:tcPr>
            <w:tcW w:w="1705" w:type="dxa"/>
            <w:shd w:val="clear" w:color="auto" w:fill="auto"/>
          </w:tcPr>
          <w:p w:rsidRPr="001811F3" w:rsidR="0062130A" w:rsidP="004830C4" w:rsidRDefault="0062130A" w14:paraId="118506EC" w14:textId="3D02892A">
            <w:pPr>
              <w:keepNext/>
              <w:keepLines/>
              <w:spacing w:before="60" w:after="60"/>
              <w:rPr>
                <w:color w:val="000000"/>
                <w:sz w:val="22"/>
                <w:szCs w:val="22"/>
              </w:rPr>
            </w:pPr>
            <w:r w:rsidRPr="001811F3">
              <w:rPr>
                <w:sz w:val="22"/>
                <w:szCs w:val="22"/>
              </w:rPr>
              <w:t>Hayley Goodson, TURN Attorney</w:t>
            </w:r>
          </w:p>
        </w:tc>
        <w:tc>
          <w:tcPr>
            <w:tcW w:w="821" w:type="dxa"/>
            <w:shd w:val="clear" w:color="auto" w:fill="auto"/>
          </w:tcPr>
          <w:p w:rsidRPr="001811F3" w:rsidR="0062130A" w:rsidP="004830C4" w:rsidRDefault="0062130A" w14:paraId="3767540B" w14:textId="2554D38C">
            <w:pPr>
              <w:keepNext/>
              <w:keepLines/>
              <w:spacing w:before="60" w:after="60"/>
              <w:jc w:val="center"/>
              <w:rPr>
                <w:color w:val="000000"/>
                <w:sz w:val="22"/>
                <w:szCs w:val="22"/>
              </w:rPr>
            </w:pPr>
            <w:r w:rsidRPr="001811F3">
              <w:rPr>
                <w:sz w:val="22"/>
                <w:szCs w:val="22"/>
              </w:rPr>
              <w:t>2021</w:t>
            </w:r>
          </w:p>
        </w:tc>
        <w:tc>
          <w:tcPr>
            <w:tcW w:w="884" w:type="dxa"/>
            <w:gridSpan w:val="2"/>
            <w:shd w:val="clear" w:color="auto" w:fill="auto"/>
          </w:tcPr>
          <w:p w:rsidRPr="001811F3" w:rsidR="0062130A" w:rsidP="004830C4" w:rsidRDefault="0062130A" w14:paraId="120FE857" w14:textId="424459AE">
            <w:pPr>
              <w:keepNext/>
              <w:keepLines/>
              <w:spacing w:before="60" w:after="60"/>
              <w:jc w:val="center"/>
              <w:rPr>
                <w:color w:val="000000"/>
                <w:sz w:val="22"/>
                <w:szCs w:val="22"/>
              </w:rPr>
            </w:pPr>
            <w:r w:rsidRPr="001811F3">
              <w:rPr>
                <w:sz w:val="22"/>
                <w:szCs w:val="22"/>
              </w:rPr>
              <w:t>174.50</w:t>
            </w:r>
          </w:p>
        </w:tc>
        <w:tc>
          <w:tcPr>
            <w:tcW w:w="930" w:type="dxa"/>
            <w:shd w:val="clear" w:color="auto" w:fill="auto"/>
          </w:tcPr>
          <w:p w:rsidRPr="001811F3" w:rsidR="0062130A" w:rsidP="004830C4" w:rsidRDefault="0062130A" w14:paraId="075109E1" w14:textId="53314E6A">
            <w:pPr>
              <w:keepNext/>
              <w:keepLines/>
              <w:spacing w:before="60" w:after="60"/>
              <w:jc w:val="right"/>
              <w:rPr>
                <w:color w:val="000000"/>
                <w:sz w:val="22"/>
                <w:szCs w:val="22"/>
              </w:rPr>
            </w:pPr>
            <w:r w:rsidRPr="001811F3">
              <w:rPr>
                <w:sz w:val="22"/>
                <w:szCs w:val="22"/>
              </w:rPr>
              <w:t xml:space="preserve">$550 </w:t>
            </w:r>
          </w:p>
        </w:tc>
        <w:tc>
          <w:tcPr>
            <w:tcW w:w="1721" w:type="dxa"/>
            <w:gridSpan w:val="2"/>
            <w:tcBorders>
              <w:right w:val="single" w:color="auto" w:sz="4" w:space="0"/>
            </w:tcBorders>
            <w:shd w:val="clear" w:color="auto" w:fill="auto"/>
          </w:tcPr>
          <w:p w:rsidRPr="001811F3" w:rsidR="0062130A" w:rsidP="004830C4" w:rsidRDefault="0062130A" w14:paraId="4AF4C006" w14:textId="259A090F">
            <w:pPr>
              <w:keepNext/>
              <w:keepLines/>
              <w:spacing w:before="60" w:after="60"/>
              <w:rPr>
                <w:color w:val="000000"/>
                <w:sz w:val="22"/>
                <w:szCs w:val="22"/>
              </w:rPr>
            </w:pPr>
            <w:r w:rsidRPr="001811F3">
              <w:rPr>
                <w:sz w:val="22"/>
                <w:szCs w:val="22"/>
              </w:rPr>
              <w:t>D.21-12-046</w:t>
            </w:r>
          </w:p>
        </w:tc>
        <w:tc>
          <w:tcPr>
            <w:tcW w:w="1404" w:type="dxa"/>
            <w:gridSpan w:val="2"/>
            <w:tcBorders>
              <w:top w:val="single" w:color="auto" w:sz="4" w:space="0"/>
              <w:left w:val="single" w:color="auto" w:sz="4" w:space="0"/>
              <w:bottom w:val="single" w:color="auto" w:sz="4" w:space="0"/>
              <w:right w:val="single" w:color="auto" w:sz="24" w:space="0"/>
            </w:tcBorders>
            <w:shd w:val="clear" w:color="auto" w:fill="auto"/>
          </w:tcPr>
          <w:p w:rsidRPr="001811F3" w:rsidR="0062130A" w:rsidP="004830C4" w:rsidRDefault="0062130A" w14:paraId="2A77845E" w14:textId="215A420B">
            <w:pPr>
              <w:keepNext/>
              <w:keepLines/>
              <w:spacing w:before="60" w:after="60"/>
              <w:jc w:val="right"/>
              <w:rPr>
                <w:color w:val="000000"/>
                <w:sz w:val="22"/>
                <w:szCs w:val="22"/>
              </w:rPr>
            </w:pPr>
            <w:r w:rsidRPr="001811F3">
              <w:rPr>
                <w:sz w:val="22"/>
                <w:szCs w:val="22"/>
              </w:rPr>
              <w:t xml:space="preserve">$95,975.00 </w:t>
            </w:r>
          </w:p>
        </w:tc>
        <w:tc>
          <w:tcPr>
            <w:tcW w:w="884" w:type="dxa"/>
            <w:tcBorders>
              <w:left w:val="single" w:color="auto" w:sz="4" w:space="0"/>
            </w:tcBorders>
            <w:shd w:val="clear" w:color="auto" w:fill="auto"/>
          </w:tcPr>
          <w:p w:rsidRPr="001811F3" w:rsidR="0062130A" w:rsidP="004830C4" w:rsidRDefault="0062130A" w14:paraId="461DC9FD" w14:textId="4ACCEC92">
            <w:pPr>
              <w:keepNext/>
              <w:keepLines/>
              <w:spacing w:before="60" w:after="60"/>
              <w:jc w:val="center"/>
              <w:rPr>
                <w:color w:val="000000"/>
                <w:sz w:val="22"/>
                <w:szCs w:val="22"/>
              </w:rPr>
            </w:pPr>
            <w:r w:rsidRPr="001811F3">
              <w:rPr>
                <w:color w:val="000000"/>
                <w:sz w:val="22"/>
                <w:szCs w:val="22"/>
              </w:rPr>
              <w:t>174.50</w:t>
            </w:r>
          </w:p>
        </w:tc>
        <w:tc>
          <w:tcPr>
            <w:tcW w:w="1146" w:type="dxa"/>
            <w:shd w:val="clear" w:color="auto" w:fill="auto"/>
          </w:tcPr>
          <w:p w:rsidRPr="001811F3" w:rsidR="0062130A" w:rsidP="004830C4" w:rsidRDefault="0062130A" w14:paraId="7FDABF74" w14:textId="56C03E8C">
            <w:pPr>
              <w:keepNext/>
              <w:keepLines/>
              <w:spacing w:before="60" w:after="60"/>
              <w:jc w:val="right"/>
              <w:rPr>
                <w:color w:val="000000"/>
                <w:sz w:val="22"/>
                <w:szCs w:val="22"/>
              </w:rPr>
            </w:pPr>
            <w:r w:rsidRPr="001811F3">
              <w:rPr>
                <w:color w:val="000000"/>
                <w:sz w:val="22"/>
                <w:szCs w:val="22"/>
              </w:rPr>
              <w:t>$550.00</w:t>
            </w:r>
          </w:p>
        </w:tc>
        <w:tc>
          <w:tcPr>
            <w:tcW w:w="1930" w:type="dxa"/>
            <w:shd w:val="clear" w:color="auto" w:fill="auto"/>
          </w:tcPr>
          <w:p w:rsidRPr="001811F3" w:rsidR="0062130A" w:rsidP="004830C4" w:rsidRDefault="0062130A" w14:paraId="05EFCF76" w14:textId="7D06F950">
            <w:pPr>
              <w:keepNext/>
              <w:keepLines/>
              <w:spacing w:before="60" w:after="60"/>
              <w:jc w:val="right"/>
              <w:rPr>
                <w:color w:val="000000"/>
                <w:sz w:val="22"/>
                <w:szCs w:val="22"/>
              </w:rPr>
            </w:pPr>
            <w:r w:rsidRPr="001811F3">
              <w:rPr>
                <w:sz w:val="22"/>
                <w:szCs w:val="22"/>
              </w:rPr>
              <w:t>$95,975.00</w:t>
            </w:r>
          </w:p>
        </w:tc>
      </w:tr>
      <w:tr w:rsidRPr="001811F3" w:rsidR="0062130A" w:rsidTr="009C2478" w14:paraId="38E0B4EA" w14:textId="77777777">
        <w:trPr>
          <w:jc w:val="center"/>
        </w:trPr>
        <w:tc>
          <w:tcPr>
            <w:tcW w:w="1705" w:type="dxa"/>
            <w:shd w:val="clear" w:color="auto" w:fill="auto"/>
          </w:tcPr>
          <w:p w:rsidRPr="001811F3" w:rsidR="0062130A" w:rsidP="004830C4" w:rsidRDefault="0062130A" w14:paraId="1F980DF3" w14:textId="22E94633">
            <w:pPr>
              <w:keepNext/>
              <w:keepLines/>
              <w:spacing w:before="60" w:after="60"/>
              <w:rPr>
                <w:color w:val="000000"/>
                <w:sz w:val="22"/>
                <w:szCs w:val="22"/>
              </w:rPr>
            </w:pPr>
            <w:r w:rsidRPr="001811F3">
              <w:rPr>
                <w:sz w:val="22"/>
                <w:szCs w:val="22"/>
              </w:rPr>
              <w:t>Hayley Goodson, TURN Attorney</w:t>
            </w:r>
          </w:p>
        </w:tc>
        <w:tc>
          <w:tcPr>
            <w:tcW w:w="821" w:type="dxa"/>
            <w:shd w:val="clear" w:color="auto" w:fill="auto"/>
          </w:tcPr>
          <w:p w:rsidRPr="001811F3" w:rsidR="0062130A" w:rsidP="004830C4" w:rsidRDefault="0062130A" w14:paraId="275BF57A" w14:textId="6A36C69A">
            <w:pPr>
              <w:keepNext/>
              <w:keepLines/>
              <w:spacing w:before="60" w:after="60"/>
              <w:jc w:val="center"/>
              <w:rPr>
                <w:color w:val="000000"/>
                <w:sz w:val="22"/>
                <w:szCs w:val="22"/>
              </w:rPr>
            </w:pPr>
            <w:r w:rsidRPr="001811F3">
              <w:rPr>
                <w:sz w:val="22"/>
                <w:szCs w:val="22"/>
              </w:rPr>
              <w:t>2022</w:t>
            </w:r>
          </w:p>
        </w:tc>
        <w:tc>
          <w:tcPr>
            <w:tcW w:w="884" w:type="dxa"/>
            <w:gridSpan w:val="2"/>
            <w:shd w:val="clear" w:color="auto" w:fill="auto"/>
          </w:tcPr>
          <w:p w:rsidRPr="001811F3" w:rsidR="0062130A" w:rsidP="004830C4" w:rsidRDefault="0062130A" w14:paraId="0DE506C4" w14:textId="526DE500">
            <w:pPr>
              <w:keepNext/>
              <w:keepLines/>
              <w:spacing w:before="60" w:after="60"/>
              <w:jc w:val="center"/>
              <w:rPr>
                <w:color w:val="000000"/>
                <w:sz w:val="22"/>
                <w:szCs w:val="22"/>
              </w:rPr>
            </w:pPr>
            <w:r w:rsidRPr="001811F3">
              <w:rPr>
                <w:sz w:val="22"/>
                <w:szCs w:val="22"/>
              </w:rPr>
              <w:t>46.00</w:t>
            </w:r>
          </w:p>
        </w:tc>
        <w:tc>
          <w:tcPr>
            <w:tcW w:w="930" w:type="dxa"/>
            <w:shd w:val="clear" w:color="auto" w:fill="auto"/>
          </w:tcPr>
          <w:p w:rsidRPr="001811F3" w:rsidR="0062130A" w:rsidP="004830C4" w:rsidRDefault="0062130A" w14:paraId="26413E95" w14:textId="5CF70FC8">
            <w:pPr>
              <w:keepNext/>
              <w:keepLines/>
              <w:spacing w:before="60" w:after="60"/>
              <w:jc w:val="right"/>
              <w:rPr>
                <w:color w:val="000000"/>
                <w:sz w:val="22"/>
                <w:szCs w:val="22"/>
              </w:rPr>
            </w:pPr>
            <w:r w:rsidRPr="001811F3">
              <w:rPr>
                <w:sz w:val="22"/>
                <w:szCs w:val="22"/>
              </w:rPr>
              <w:t xml:space="preserve">$570 </w:t>
            </w:r>
          </w:p>
        </w:tc>
        <w:tc>
          <w:tcPr>
            <w:tcW w:w="1721" w:type="dxa"/>
            <w:gridSpan w:val="2"/>
            <w:tcBorders>
              <w:right w:val="single" w:color="auto" w:sz="4" w:space="0"/>
            </w:tcBorders>
            <w:shd w:val="clear" w:color="auto" w:fill="auto"/>
          </w:tcPr>
          <w:p w:rsidRPr="001811F3" w:rsidR="0062130A" w:rsidP="004830C4" w:rsidRDefault="0062130A" w14:paraId="300AA881" w14:textId="0D25633F">
            <w:pPr>
              <w:keepNext/>
              <w:keepLines/>
              <w:spacing w:before="60" w:after="60"/>
              <w:rPr>
                <w:color w:val="000000"/>
                <w:sz w:val="22"/>
                <w:szCs w:val="22"/>
              </w:rPr>
            </w:pPr>
            <w:r w:rsidRPr="001811F3">
              <w:rPr>
                <w:sz w:val="22"/>
                <w:szCs w:val="22"/>
              </w:rPr>
              <w:t>D.23-01-015</w:t>
            </w:r>
          </w:p>
        </w:tc>
        <w:tc>
          <w:tcPr>
            <w:tcW w:w="1404" w:type="dxa"/>
            <w:gridSpan w:val="2"/>
            <w:tcBorders>
              <w:top w:val="single" w:color="auto" w:sz="4" w:space="0"/>
              <w:left w:val="single" w:color="auto" w:sz="4" w:space="0"/>
              <w:bottom w:val="single" w:color="auto" w:sz="4" w:space="0"/>
              <w:right w:val="single" w:color="auto" w:sz="24" w:space="0"/>
            </w:tcBorders>
            <w:shd w:val="clear" w:color="auto" w:fill="auto"/>
          </w:tcPr>
          <w:p w:rsidRPr="001811F3" w:rsidR="0062130A" w:rsidP="004830C4" w:rsidRDefault="0062130A" w14:paraId="23EF368E" w14:textId="6E5D1777">
            <w:pPr>
              <w:keepNext/>
              <w:keepLines/>
              <w:spacing w:before="60" w:after="60"/>
              <w:jc w:val="right"/>
              <w:rPr>
                <w:color w:val="000000"/>
                <w:sz w:val="22"/>
                <w:szCs w:val="22"/>
              </w:rPr>
            </w:pPr>
            <w:r w:rsidRPr="001811F3">
              <w:rPr>
                <w:sz w:val="22"/>
                <w:szCs w:val="22"/>
              </w:rPr>
              <w:t xml:space="preserve">$26,220.00 </w:t>
            </w:r>
          </w:p>
        </w:tc>
        <w:tc>
          <w:tcPr>
            <w:tcW w:w="884" w:type="dxa"/>
            <w:tcBorders>
              <w:left w:val="single" w:color="auto" w:sz="4" w:space="0"/>
            </w:tcBorders>
            <w:shd w:val="clear" w:color="auto" w:fill="auto"/>
          </w:tcPr>
          <w:p w:rsidRPr="001811F3" w:rsidR="0062130A" w:rsidP="004830C4" w:rsidRDefault="0062130A" w14:paraId="2B0CA953" w14:textId="3EC03E7F">
            <w:pPr>
              <w:keepNext/>
              <w:keepLines/>
              <w:spacing w:before="60" w:after="60"/>
              <w:jc w:val="center"/>
              <w:rPr>
                <w:color w:val="000000"/>
                <w:sz w:val="22"/>
                <w:szCs w:val="22"/>
              </w:rPr>
            </w:pPr>
            <w:r w:rsidRPr="001811F3">
              <w:rPr>
                <w:color w:val="000000"/>
                <w:sz w:val="22"/>
                <w:szCs w:val="22"/>
              </w:rPr>
              <w:t>46.00</w:t>
            </w:r>
          </w:p>
        </w:tc>
        <w:tc>
          <w:tcPr>
            <w:tcW w:w="1146" w:type="dxa"/>
            <w:shd w:val="clear" w:color="auto" w:fill="auto"/>
          </w:tcPr>
          <w:p w:rsidRPr="001811F3" w:rsidR="0062130A" w:rsidP="004830C4" w:rsidRDefault="0062130A" w14:paraId="1FC8906C" w14:textId="282C5322">
            <w:pPr>
              <w:keepNext/>
              <w:keepLines/>
              <w:spacing w:before="60" w:after="60"/>
              <w:jc w:val="right"/>
              <w:rPr>
                <w:color w:val="000000"/>
                <w:sz w:val="22"/>
                <w:szCs w:val="22"/>
              </w:rPr>
            </w:pPr>
            <w:r w:rsidRPr="001811F3">
              <w:rPr>
                <w:color w:val="000000"/>
                <w:sz w:val="22"/>
                <w:szCs w:val="22"/>
              </w:rPr>
              <w:t>$570.00</w:t>
            </w:r>
          </w:p>
        </w:tc>
        <w:tc>
          <w:tcPr>
            <w:tcW w:w="1930" w:type="dxa"/>
            <w:shd w:val="clear" w:color="auto" w:fill="auto"/>
          </w:tcPr>
          <w:p w:rsidRPr="001811F3" w:rsidR="0062130A" w:rsidP="004830C4" w:rsidRDefault="0062130A" w14:paraId="6C594CB5" w14:textId="0F976408">
            <w:pPr>
              <w:keepNext/>
              <w:keepLines/>
              <w:spacing w:before="60" w:after="60"/>
              <w:jc w:val="right"/>
              <w:rPr>
                <w:color w:val="000000"/>
                <w:sz w:val="22"/>
                <w:szCs w:val="22"/>
              </w:rPr>
            </w:pPr>
            <w:r w:rsidRPr="001811F3">
              <w:rPr>
                <w:sz w:val="22"/>
                <w:szCs w:val="22"/>
              </w:rPr>
              <w:t>$26,220.00</w:t>
            </w:r>
          </w:p>
        </w:tc>
      </w:tr>
      <w:tr w:rsidRPr="001811F3" w:rsidR="0062130A" w:rsidTr="009C2478" w14:paraId="78FC5ECE" w14:textId="77777777">
        <w:trPr>
          <w:jc w:val="center"/>
        </w:trPr>
        <w:tc>
          <w:tcPr>
            <w:tcW w:w="1705" w:type="dxa"/>
            <w:shd w:val="clear" w:color="auto" w:fill="auto"/>
          </w:tcPr>
          <w:p w:rsidRPr="001811F3" w:rsidR="0062130A" w:rsidP="004830C4" w:rsidRDefault="0062130A" w14:paraId="1F8943E9" w14:textId="0F382F95">
            <w:pPr>
              <w:keepNext/>
              <w:keepLines/>
              <w:spacing w:before="60" w:after="60"/>
              <w:rPr>
                <w:color w:val="000000"/>
                <w:sz w:val="22"/>
                <w:szCs w:val="22"/>
              </w:rPr>
            </w:pPr>
            <w:r w:rsidRPr="001811F3">
              <w:rPr>
                <w:sz w:val="22"/>
                <w:szCs w:val="22"/>
              </w:rPr>
              <w:t>Marcel Hawiger, TURN Attorney</w:t>
            </w:r>
          </w:p>
        </w:tc>
        <w:tc>
          <w:tcPr>
            <w:tcW w:w="821" w:type="dxa"/>
            <w:shd w:val="clear" w:color="auto" w:fill="auto"/>
          </w:tcPr>
          <w:p w:rsidRPr="001811F3" w:rsidR="0062130A" w:rsidP="004830C4" w:rsidRDefault="0062130A" w14:paraId="6FFEFF62" w14:textId="798621DF">
            <w:pPr>
              <w:keepNext/>
              <w:keepLines/>
              <w:spacing w:before="60" w:after="60"/>
              <w:jc w:val="center"/>
              <w:rPr>
                <w:color w:val="000000"/>
                <w:sz w:val="22"/>
                <w:szCs w:val="22"/>
              </w:rPr>
            </w:pPr>
            <w:r w:rsidRPr="001811F3">
              <w:rPr>
                <w:sz w:val="22"/>
                <w:szCs w:val="22"/>
              </w:rPr>
              <w:t>2020</w:t>
            </w:r>
          </w:p>
        </w:tc>
        <w:tc>
          <w:tcPr>
            <w:tcW w:w="884" w:type="dxa"/>
            <w:gridSpan w:val="2"/>
            <w:shd w:val="clear" w:color="auto" w:fill="auto"/>
          </w:tcPr>
          <w:p w:rsidRPr="001811F3" w:rsidR="0062130A" w:rsidP="004830C4" w:rsidRDefault="0062130A" w14:paraId="24984638" w14:textId="29CE5170">
            <w:pPr>
              <w:keepNext/>
              <w:keepLines/>
              <w:spacing w:before="60" w:after="60"/>
              <w:jc w:val="center"/>
              <w:rPr>
                <w:color w:val="000000"/>
                <w:sz w:val="22"/>
                <w:szCs w:val="22"/>
              </w:rPr>
            </w:pPr>
            <w:r w:rsidRPr="001811F3">
              <w:rPr>
                <w:sz w:val="22"/>
                <w:szCs w:val="22"/>
              </w:rPr>
              <w:t>1.00</w:t>
            </w:r>
          </w:p>
        </w:tc>
        <w:tc>
          <w:tcPr>
            <w:tcW w:w="930" w:type="dxa"/>
            <w:shd w:val="clear" w:color="auto" w:fill="auto"/>
          </w:tcPr>
          <w:p w:rsidRPr="001811F3" w:rsidR="0062130A" w:rsidP="004830C4" w:rsidRDefault="0062130A" w14:paraId="00CA9050" w14:textId="6B16FF0A">
            <w:pPr>
              <w:keepNext/>
              <w:keepLines/>
              <w:spacing w:before="60" w:after="60"/>
              <w:jc w:val="right"/>
              <w:rPr>
                <w:color w:val="000000"/>
                <w:sz w:val="22"/>
                <w:szCs w:val="22"/>
              </w:rPr>
            </w:pPr>
            <w:r w:rsidRPr="001811F3">
              <w:rPr>
                <w:sz w:val="22"/>
                <w:szCs w:val="22"/>
              </w:rPr>
              <w:t xml:space="preserve">$455 </w:t>
            </w:r>
          </w:p>
        </w:tc>
        <w:tc>
          <w:tcPr>
            <w:tcW w:w="1721" w:type="dxa"/>
            <w:gridSpan w:val="2"/>
            <w:tcBorders>
              <w:right w:val="single" w:color="auto" w:sz="4" w:space="0"/>
            </w:tcBorders>
            <w:shd w:val="clear" w:color="auto" w:fill="auto"/>
          </w:tcPr>
          <w:p w:rsidRPr="001811F3" w:rsidR="0062130A" w:rsidP="004830C4" w:rsidRDefault="0062130A" w14:paraId="760F08DA" w14:textId="6C431C2A">
            <w:pPr>
              <w:keepNext/>
              <w:keepLines/>
              <w:spacing w:before="60" w:after="60"/>
              <w:rPr>
                <w:color w:val="000000"/>
                <w:sz w:val="22"/>
                <w:szCs w:val="22"/>
              </w:rPr>
            </w:pPr>
            <w:r w:rsidRPr="001811F3">
              <w:rPr>
                <w:sz w:val="22"/>
                <w:szCs w:val="22"/>
              </w:rPr>
              <w:t>D.21-05-010</w:t>
            </w:r>
          </w:p>
        </w:tc>
        <w:tc>
          <w:tcPr>
            <w:tcW w:w="1404" w:type="dxa"/>
            <w:gridSpan w:val="2"/>
            <w:tcBorders>
              <w:top w:val="single" w:color="auto" w:sz="4" w:space="0"/>
              <w:left w:val="single" w:color="auto" w:sz="4" w:space="0"/>
              <w:bottom w:val="single" w:color="auto" w:sz="4" w:space="0"/>
              <w:right w:val="single" w:color="auto" w:sz="24" w:space="0"/>
            </w:tcBorders>
            <w:shd w:val="clear" w:color="auto" w:fill="auto"/>
          </w:tcPr>
          <w:p w:rsidRPr="001811F3" w:rsidR="0062130A" w:rsidP="004830C4" w:rsidRDefault="0062130A" w14:paraId="39D39174" w14:textId="659C68EC">
            <w:pPr>
              <w:keepNext/>
              <w:keepLines/>
              <w:spacing w:before="60" w:after="60"/>
              <w:jc w:val="right"/>
              <w:rPr>
                <w:color w:val="000000"/>
                <w:sz w:val="22"/>
                <w:szCs w:val="22"/>
              </w:rPr>
            </w:pPr>
            <w:r w:rsidRPr="001811F3">
              <w:rPr>
                <w:sz w:val="22"/>
                <w:szCs w:val="22"/>
              </w:rPr>
              <w:t xml:space="preserve">$455.00 </w:t>
            </w:r>
          </w:p>
        </w:tc>
        <w:tc>
          <w:tcPr>
            <w:tcW w:w="884" w:type="dxa"/>
            <w:tcBorders>
              <w:left w:val="single" w:color="auto" w:sz="4" w:space="0"/>
            </w:tcBorders>
            <w:shd w:val="clear" w:color="auto" w:fill="auto"/>
          </w:tcPr>
          <w:p w:rsidRPr="001811F3" w:rsidR="0062130A" w:rsidP="004830C4" w:rsidRDefault="0062130A" w14:paraId="047FD0B5" w14:textId="2EAA044C">
            <w:pPr>
              <w:keepNext/>
              <w:keepLines/>
              <w:spacing w:before="60" w:after="60"/>
              <w:jc w:val="center"/>
              <w:rPr>
                <w:color w:val="000000"/>
                <w:sz w:val="22"/>
                <w:szCs w:val="22"/>
              </w:rPr>
            </w:pPr>
            <w:r w:rsidRPr="001811F3">
              <w:rPr>
                <w:color w:val="000000"/>
                <w:sz w:val="22"/>
                <w:szCs w:val="22"/>
              </w:rPr>
              <w:t>1.00</w:t>
            </w:r>
          </w:p>
        </w:tc>
        <w:tc>
          <w:tcPr>
            <w:tcW w:w="1146" w:type="dxa"/>
            <w:shd w:val="clear" w:color="auto" w:fill="auto"/>
          </w:tcPr>
          <w:p w:rsidRPr="001811F3" w:rsidR="0062130A" w:rsidP="004830C4" w:rsidRDefault="0062130A" w14:paraId="367660C2" w14:textId="33F18407">
            <w:pPr>
              <w:keepNext/>
              <w:keepLines/>
              <w:spacing w:before="60" w:after="60"/>
              <w:jc w:val="right"/>
              <w:rPr>
                <w:color w:val="000000"/>
                <w:sz w:val="22"/>
                <w:szCs w:val="22"/>
              </w:rPr>
            </w:pPr>
            <w:r w:rsidRPr="001811F3">
              <w:rPr>
                <w:color w:val="000000"/>
                <w:sz w:val="22"/>
                <w:szCs w:val="22"/>
              </w:rPr>
              <w:t>$455.00 [</w:t>
            </w:r>
            <w:r w:rsidRPr="001811F3" w:rsidR="00931058">
              <w:rPr>
                <w:color w:val="000000"/>
                <w:sz w:val="22"/>
                <w:szCs w:val="22"/>
              </w:rPr>
              <w:t>1</w:t>
            </w:r>
            <w:r w:rsidRPr="001811F3">
              <w:rPr>
                <w:color w:val="000000"/>
                <w:sz w:val="22"/>
                <w:szCs w:val="22"/>
              </w:rPr>
              <w:t>]</w:t>
            </w:r>
          </w:p>
        </w:tc>
        <w:tc>
          <w:tcPr>
            <w:tcW w:w="1930" w:type="dxa"/>
            <w:shd w:val="clear" w:color="auto" w:fill="auto"/>
          </w:tcPr>
          <w:p w:rsidRPr="001811F3" w:rsidR="0062130A" w:rsidP="004830C4" w:rsidRDefault="0062130A" w14:paraId="766AC45F" w14:textId="5991694E">
            <w:pPr>
              <w:keepNext/>
              <w:keepLines/>
              <w:spacing w:before="60" w:after="60"/>
              <w:jc w:val="right"/>
              <w:rPr>
                <w:color w:val="000000"/>
                <w:sz w:val="22"/>
                <w:szCs w:val="22"/>
              </w:rPr>
            </w:pPr>
            <w:r w:rsidRPr="001811F3">
              <w:rPr>
                <w:sz w:val="22"/>
                <w:szCs w:val="22"/>
              </w:rPr>
              <w:t>$455.00</w:t>
            </w:r>
          </w:p>
        </w:tc>
      </w:tr>
      <w:tr w:rsidRPr="001811F3" w:rsidR="0062130A" w:rsidTr="009C2478" w14:paraId="4E698889" w14:textId="77777777">
        <w:trPr>
          <w:jc w:val="center"/>
        </w:trPr>
        <w:tc>
          <w:tcPr>
            <w:tcW w:w="1705" w:type="dxa"/>
            <w:shd w:val="clear" w:color="auto" w:fill="auto"/>
          </w:tcPr>
          <w:p w:rsidRPr="001811F3" w:rsidR="0062130A" w:rsidP="004830C4" w:rsidRDefault="0062130A" w14:paraId="04CDED11" w14:textId="7F91179A">
            <w:pPr>
              <w:keepNext/>
              <w:keepLines/>
              <w:spacing w:before="60" w:after="60"/>
              <w:rPr>
                <w:color w:val="000000"/>
                <w:sz w:val="22"/>
                <w:szCs w:val="22"/>
              </w:rPr>
            </w:pPr>
            <w:r w:rsidRPr="001811F3">
              <w:rPr>
                <w:sz w:val="22"/>
                <w:szCs w:val="22"/>
              </w:rPr>
              <w:t>Matthew Freedman, TURN Attorney</w:t>
            </w:r>
          </w:p>
        </w:tc>
        <w:tc>
          <w:tcPr>
            <w:tcW w:w="821" w:type="dxa"/>
            <w:shd w:val="clear" w:color="auto" w:fill="auto"/>
          </w:tcPr>
          <w:p w:rsidRPr="001811F3" w:rsidR="0062130A" w:rsidP="004830C4" w:rsidRDefault="0062130A" w14:paraId="6B0C4BC3" w14:textId="7C436375">
            <w:pPr>
              <w:keepNext/>
              <w:keepLines/>
              <w:spacing w:before="60" w:after="60"/>
              <w:jc w:val="center"/>
              <w:rPr>
                <w:color w:val="000000"/>
                <w:sz w:val="22"/>
                <w:szCs w:val="22"/>
              </w:rPr>
            </w:pPr>
            <w:r w:rsidRPr="001811F3">
              <w:rPr>
                <w:sz w:val="22"/>
                <w:szCs w:val="22"/>
              </w:rPr>
              <w:t>2020</w:t>
            </w:r>
          </w:p>
        </w:tc>
        <w:tc>
          <w:tcPr>
            <w:tcW w:w="884" w:type="dxa"/>
            <w:gridSpan w:val="2"/>
            <w:shd w:val="clear" w:color="auto" w:fill="auto"/>
          </w:tcPr>
          <w:p w:rsidRPr="001811F3" w:rsidR="0062130A" w:rsidP="004830C4" w:rsidRDefault="0062130A" w14:paraId="51C36695" w14:textId="404B6ABA">
            <w:pPr>
              <w:keepNext/>
              <w:keepLines/>
              <w:spacing w:before="60" w:after="60"/>
              <w:jc w:val="center"/>
              <w:rPr>
                <w:color w:val="000000"/>
                <w:sz w:val="22"/>
                <w:szCs w:val="22"/>
              </w:rPr>
            </w:pPr>
            <w:r w:rsidRPr="001811F3">
              <w:rPr>
                <w:sz w:val="22"/>
                <w:szCs w:val="22"/>
              </w:rPr>
              <w:t>1.50</w:t>
            </w:r>
          </w:p>
        </w:tc>
        <w:tc>
          <w:tcPr>
            <w:tcW w:w="930" w:type="dxa"/>
            <w:shd w:val="clear" w:color="auto" w:fill="auto"/>
          </w:tcPr>
          <w:p w:rsidRPr="001811F3" w:rsidR="0062130A" w:rsidP="004830C4" w:rsidRDefault="0062130A" w14:paraId="50434DF3" w14:textId="284A38B7">
            <w:pPr>
              <w:keepNext/>
              <w:keepLines/>
              <w:spacing w:before="60" w:after="60"/>
              <w:jc w:val="right"/>
              <w:rPr>
                <w:color w:val="000000"/>
                <w:sz w:val="22"/>
                <w:szCs w:val="22"/>
              </w:rPr>
            </w:pPr>
            <w:r w:rsidRPr="001811F3">
              <w:rPr>
                <w:sz w:val="22"/>
                <w:szCs w:val="22"/>
              </w:rPr>
              <w:t xml:space="preserve">$455 </w:t>
            </w:r>
          </w:p>
        </w:tc>
        <w:tc>
          <w:tcPr>
            <w:tcW w:w="1721" w:type="dxa"/>
            <w:gridSpan w:val="2"/>
            <w:tcBorders>
              <w:right w:val="single" w:color="auto" w:sz="4" w:space="0"/>
            </w:tcBorders>
            <w:shd w:val="clear" w:color="auto" w:fill="auto"/>
          </w:tcPr>
          <w:p w:rsidRPr="001811F3" w:rsidR="0062130A" w:rsidP="004830C4" w:rsidRDefault="0062130A" w14:paraId="41124BBA" w14:textId="426E8179">
            <w:pPr>
              <w:keepNext/>
              <w:keepLines/>
              <w:spacing w:before="60" w:after="60"/>
              <w:rPr>
                <w:color w:val="000000"/>
                <w:sz w:val="22"/>
                <w:szCs w:val="22"/>
              </w:rPr>
            </w:pPr>
            <w:r w:rsidRPr="001811F3">
              <w:rPr>
                <w:sz w:val="22"/>
                <w:szCs w:val="22"/>
              </w:rPr>
              <w:t>D.20-10-022</w:t>
            </w:r>
          </w:p>
        </w:tc>
        <w:tc>
          <w:tcPr>
            <w:tcW w:w="1404" w:type="dxa"/>
            <w:gridSpan w:val="2"/>
            <w:tcBorders>
              <w:top w:val="single" w:color="auto" w:sz="4" w:space="0"/>
              <w:left w:val="single" w:color="auto" w:sz="4" w:space="0"/>
              <w:bottom w:val="single" w:color="auto" w:sz="4" w:space="0"/>
              <w:right w:val="single" w:color="auto" w:sz="24" w:space="0"/>
            </w:tcBorders>
            <w:shd w:val="clear" w:color="auto" w:fill="auto"/>
          </w:tcPr>
          <w:p w:rsidRPr="001811F3" w:rsidR="0062130A" w:rsidP="004830C4" w:rsidRDefault="0062130A" w14:paraId="75F00059" w14:textId="2469D341">
            <w:pPr>
              <w:keepNext/>
              <w:keepLines/>
              <w:spacing w:before="60" w:after="60"/>
              <w:jc w:val="right"/>
              <w:rPr>
                <w:color w:val="000000"/>
                <w:sz w:val="22"/>
                <w:szCs w:val="22"/>
              </w:rPr>
            </w:pPr>
            <w:r w:rsidRPr="001811F3">
              <w:rPr>
                <w:sz w:val="22"/>
                <w:szCs w:val="22"/>
              </w:rPr>
              <w:t xml:space="preserve">$682.50 </w:t>
            </w:r>
          </w:p>
        </w:tc>
        <w:tc>
          <w:tcPr>
            <w:tcW w:w="884" w:type="dxa"/>
            <w:tcBorders>
              <w:left w:val="single" w:color="auto" w:sz="4" w:space="0"/>
            </w:tcBorders>
            <w:shd w:val="clear" w:color="auto" w:fill="auto"/>
          </w:tcPr>
          <w:p w:rsidRPr="001811F3" w:rsidR="0062130A" w:rsidP="004830C4" w:rsidRDefault="0062130A" w14:paraId="134A581C" w14:textId="32F2E0B6">
            <w:pPr>
              <w:keepNext/>
              <w:keepLines/>
              <w:spacing w:before="60" w:after="60"/>
              <w:jc w:val="center"/>
              <w:rPr>
                <w:color w:val="000000"/>
                <w:sz w:val="22"/>
                <w:szCs w:val="22"/>
              </w:rPr>
            </w:pPr>
            <w:r w:rsidRPr="001811F3">
              <w:rPr>
                <w:color w:val="000000"/>
                <w:sz w:val="22"/>
                <w:szCs w:val="22"/>
              </w:rPr>
              <w:t>1.50</w:t>
            </w:r>
          </w:p>
        </w:tc>
        <w:tc>
          <w:tcPr>
            <w:tcW w:w="1146" w:type="dxa"/>
            <w:shd w:val="clear" w:color="auto" w:fill="auto"/>
          </w:tcPr>
          <w:p w:rsidRPr="001811F3" w:rsidR="0062130A" w:rsidP="004830C4" w:rsidRDefault="0062130A" w14:paraId="2622F4BA" w14:textId="477E03C3">
            <w:pPr>
              <w:keepNext/>
              <w:keepLines/>
              <w:spacing w:before="60" w:after="60"/>
              <w:jc w:val="right"/>
              <w:rPr>
                <w:color w:val="000000"/>
                <w:sz w:val="22"/>
                <w:szCs w:val="22"/>
              </w:rPr>
            </w:pPr>
            <w:r w:rsidRPr="001811F3">
              <w:rPr>
                <w:color w:val="000000"/>
                <w:sz w:val="22"/>
                <w:szCs w:val="22"/>
              </w:rPr>
              <w:t>$455.00</w:t>
            </w:r>
          </w:p>
        </w:tc>
        <w:tc>
          <w:tcPr>
            <w:tcW w:w="1930" w:type="dxa"/>
            <w:shd w:val="clear" w:color="auto" w:fill="auto"/>
          </w:tcPr>
          <w:p w:rsidRPr="001811F3" w:rsidR="0062130A" w:rsidP="004830C4" w:rsidRDefault="0062130A" w14:paraId="26135325" w14:textId="449CA973">
            <w:pPr>
              <w:keepNext/>
              <w:keepLines/>
              <w:spacing w:before="60" w:after="60"/>
              <w:jc w:val="right"/>
              <w:rPr>
                <w:color w:val="000000"/>
                <w:sz w:val="22"/>
                <w:szCs w:val="22"/>
              </w:rPr>
            </w:pPr>
            <w:r w:rsidRPr="001811F3">
              <w:rPr>
                <w:sz w:val="22"/>
                <w:szCs w:val="22"/>
              </w:rPr>
              <w:t xml:space="preserve">$682.50 </w:t>
            </w:r>
          </w:p>
        </w:tc>
      </w:tr>
      <w:tr w:rsidRPr="001811F3" w:rsidR="0062130A" w:rsidTr="009C2478" w14:paraId="541B1A43" w14:textId="77777777">
        <w:trPr>
          <w:jc w:val="center"/>
        </w:trPr>
        <w:tc>
          <w:tcPr>
            <w:tcW w:w="1705" w:type="dxa"/>
            <w:shd w:val="clear" w:color="auto" w:fill="auto"/>
          </w:tcPr>
          <w:p w:rsidRPr="001811F3" w:rsidR="0062130A" w:rsidP="004830C4" w:rsidRDefault="0062130A" w14:paraId="41A7BE4B" w14:textId="6DD7C522">
            <w:pPr>
              <w:keepNext/>
              <w:keepLines/>
              <w:spacing w:before="60" w:after="60"/>
              <w:rPr>
                <w:color w:val="000000"/>
                <w:sz w:val="22"/>
                <w:szCs w:val="22"/>
              </w:rPr>
            </w:pPr>
            <w:r w:rsidRPr="001811F3">
              <w:rPr>
                <w:sz w:val="22"/>
                <w:szCs w:val="22"/>
              </w:rPr>
              <w:t>Cynthia Mitchell, Consultant</w:t>
            </w:r>
          </w:p>
        </w:tc>
        <w:tc>
          <w:tcPr>
            <w:tcW w:w="821" w:type="dxa"/>
            <w:shd w:val="clear" w:color="auto" w:fill="auto"/>
          </w:tcPr>
          <w:p w:rsidRPr="001811F3" w:rsidR="0062130A" w:rsidP="004830C4" w:rsidRDefault="0062130A" w14:paraId="5B3C2ADF" w14:textId="09B2A895">
            <w:pPr>
              <w:keepNext/>
              <w:keepLines/>
              <w:spacing w:before="60" w:after="60"/>
              <w:jc w:val="center"/>
              <w:rPr>
                <w:color w:val="000000"/>
                <w:sz w:val="22"/>
                <w:szCs w:val="22"/>
              </w:rPr>
            </w:pPr>
            <w:r w:rsidRPr="001811F3">
              <w:rPr>
                <w:sz w:val="22"/>
                <w:szCs w:val="22"/>
              </w:rPr>
              <w:t>2020</w:t>
            </w:r>
          </w:p>
        </w:tc>
        <w:tc>
          <w:tcPr>
            <w:tcW w:w="884" w:type="dxa"/>
            <w:gridSpan w:val="2"/>
            <w:shd w:val="clear" w:color="auto" w:fill="auto"/>
          </w:tcPr>
          <w:p w:rsidRPr="001811F3" w:rsidR="0062130A" w:rsidP="004830C4" w:rsidRDefault="0062130A" w14:paraId="2E458EDF" w14:textId="25FA1FF1">
            <w:pPr>
              <w:keepNext/>
              <w:keepLines/>
              <w:spacing w:before="60" w:after="60"/>
              <w:jc w:val="center"/>
              <w:rPr>
                <w:color w:val="000000"/>
                <w:sz w:val="22"/>
                <w:szCs w:val="22"/>
              </w:rPr>
            </w:pPr>
            <w:r w:rsidRPr="001811F3">
              <w:rPr>
                <w:sz w:val="22"/>
                <w:szCs w:val="22"/>
              </w:rPr>
              <w:t>16.50</w:t>
            </w:r>
          </w:p>
        </w:tc>
        <w:tc>
          <w:tcPr>
            <w:tcW w:w="930" w:type="dxa"/>
            <w:shd w:val="clear" w:color="auto" w:fill="auto"/>
          </w:tcPr>
          <w:p w:rsidRPr="001811F3" w:rsidR="0062130A" w:rsidP="004830C4" w:rsidRDefault="0062130A" w14:paraId="3D86BD08" w14:textId="07A822CB">
            <w:pPr>
              <w:keepNext/>
              <w:keepLines/>
              <w:spacing w:before="60" w:after="60"/>
              <w:jc w:val="right"/>
              <w:rPr>
                <w:color w:val="000000"/>
                <w:sz w:val="22"/>
                <w:szCs w:val="22"/>
              </w:rPr>
            </w:pPr>
            <w:r w:rsidRPr="001811F3">
              <w:rPr>
                <w:sz w:val="22"/>
                <w:szCs w:val="22"/>
              </w:rPr>
              <w:t xml:space="preserve">$250 </w:t>
            </w:r>
          </w:p>
        </w:tc>
        <w:tc>
          <w:tcPr>
            <w:tcW w:w="1721" w:type="dxa"/>
            <w:gridSpan w:val="2"/>
            <w:tcBorders>
              <w:right w:val="single" w:color="auto" w:sz="4" w:space="0"/>
            </w:tcBorders>
            <w:shd w:val="clear" w:color="auto" w:fill="auto"/>
          </w:tcPr>
          <w:p w:rsidRPr="001811F3" w:rsidR="0062130A" w:rsidP="004830C4" w:rsidRDefault="0062130A" w14:paraId="750EA256" w14:textId="763B5F80">
            <w:pPr>
              <w:keepNext/>
              <w:keepLines/>
              <w:spacing w:before="60" w:after="60"/>
              <w:rPr>
                <w:color w:val="000000"/>
                <w:sz w:val="22"/>
                <w:szCs w:val="22"/>
              </w:rPr>
            </w:pPr>
            <w:r w:rsidRPr="001811F3">
              <w:rPr>
                <w:sz w:val="22"/>
                <w:szCs w:val="22"/>
              </w:rPr>
              <w:t>D.20-05-016; Res. ALJ-387; Billed Rate (</w:t>
            </w:r>
            <w:r w:rsidRPr="00F53878">
              <w:rPr>
                <w:i/>
                <w:iCs/>
                <w:sz w:val="22"/>
                <w:szCs w:val="22"/>
              </w:rPr>
              <w:t>See</w:t>
            </w:r>
            <w:r w:rsidRPr="001811F3">
              <w:rPr>
                <w:sz w:val="22"/>
                <w:szCs w:val="22"/>
              </w:rPr>
              <w:t xml:space="preserve"> Comment 1)</w:t>
            </w:r>
          </w:p>
        </w:tc>
        <w:tc>
          <w:tcPr>
            <w:tcW w:w="1404" w:type="dxa"/>
            <w:gridSpan w:val="2"/>
            <w:tcBorders>
              <w:top w:val="single" w:color="auto" w:sz="4" w:space="0"/>
              <w:left w:val="single" w:color="auto" w:sz="4" w:space="0"/>
              <w:bottom w:val="single" w:color="auto" w:sz="4" w:space="0"/>
              <w:right w:val="single" w:color="auto" w:sz="24" w:space="0"/>
            </w:tcBorders>
            <w:shd w:val="clear" w:color="auto" w:fill="auto"/>
          </w:tcPr>
          <w:p w:rsidRPr="001811F3" w:rsidR="0062130A" w:rsidP="004830C4" w:rsidRDefault="0062130A" w14:paraId="4D76B38E" w14:textId="5FFDEDD4">
            <w:pPr>
              <w:keepNext/>
              <w:keepLines/>
              <w:spacing w:before="60" w:after="60"/>
              <w:jc w:val="right"/>
              <w:rPr>
                <w:color w:val="000000"/>
                <w:sz w:val="22"/>
                <w:szCs w:val="22"/>
              </w:rPr>
            </w:pPr>
            <w:r w:rsidRPr="001811F3">
              <w:rPr>
                <w:sz w:val="22"/>
                <w:szCs w:val="22"/>
              </w:rPr>
              <w:t xml:space="preserve">$4,125.00 </w:t>
            </w:r>
          </w:p>
        </w:tc>
        <w:tc>
          <w:tcPr>
            <w:tcW w:w="884" w:type="dxa"/>
            <w:tcBorders>
              <w:left w:val="single" w:color="auto" w:sz="4" w:space="0"/>
            </w:tcBorders>
            <w:shd w:val="clear" w:color="auto" w:fill="auto"/>
          </w:tcPr>
          <w:p w:rsidRPr="001811F3" w:rsidR="0062130A" w:rsidP="004830C4" w:rsidRDefault="0062130A" w14:paraId="5DD3213B" w14:textId="09C7D9B3">
            <w:pPr>
              <w:keepNext/>
              <w:keepLines/>
              <w:spacing w:before="60" w:after="60"/>
              <w:jc w:val="center"/>
              <w:rPr>
                <w:color w:val="000000"/>
                <w:sz w:val="22"/>
                <w:szCs w:val="22"/>
              </w:rPr>
            </w:pPr>
            <w:r w:rsidRPr="001811F3">
              <w:rPr>
                <w:color w:val="000000"/>
                <w:sz w:val="22"/>
                <w:szCs w:val="22"/>
              </w:rPr>
              <w:t>16.50</w:t>
            </w:r>
          </w:p>
        </w:tc>
        <w:tc>
          <w:tcPr>
            <w:tcW w:w="1146" w:type="dxa"/>
            <w:shd w:val="clear" w:color="auto" w:fill="auto"/>
          </w:tcPr>
          <w:p w:rsidRPr="001811F3" w:rsidR="0062130A" w:rsidP="004830C4" w:rsidRDefault="0062130A" w14:paraId="07AEBBB0" w14:textId="6BD315A2">
            <w:pPr>
              <w:keepNext/>
              <w:keepLines/>
              <w:spacing w:before="60" w:after="60"/>
              <w:jc w:val="right"/>
              <w:rPr>
                <w:color w:val="000000"/>
                <w:sz w:val="22"/>
                <w:szCs w:val="22"/>
              </w:rPr>
            </w:pPr>
            <w:r w:rsidRPr="001811F3">
              <w:rPr>
                <w:color w:val="000000"/>
                <w:sz w:val="22"/>
                <w:szCs w:val="22"/>
              </w:rPr>
              <w:t>$250.00 [</w:t>
            </w:r>
            <w:r w:rsidRPr="001811F3" w:rsidR="00931058">
              <w:rPr>
                <w:color w:val="000000"/>
                <w:sz w:val="22"/>
                <w:szCs w:val="22"/>
              </w:rPr>
              <w:t>2</w:t>
            </w:r>
            <w:r w:rsidRPr="001811F3">
              <w:rPr>
                <w:color w:val="000000"/>
                <w:sz w:val="22"/>
                <w:szCs w:val="22"/>
              </w:rPr>
              <w:t>]</w:t>
            </w:r>
          </w:p>
        </w:tc>
        <w:tc>
          <w:tcPr>
            <w:tcW w:w="1930" w:type="dxa"/>
            <w:shd w:val="clear" w:color="auto" w:fill="auto"/>
          </w:tcPr>
          <w:p w:rsidRPr="001811F3" w:rsidR="0062130A" w:rsidP="004830C4" w:rsidRDefault="0062130A" w14:paraId="55630DF4" w14:textId="491D7D63">
            <w:pPr>
              <w:keepNext/>
              <w:keepLines/>
              <w:spacing w:before="60" w:after="60"/>
              <w:jc w:val="right"/>
              <w:rPr>
                <w:color w:val="000000"/>
                <w:sz w:val="22"/>
                <w:szCs w:val="22"/>
              </w:rPr>
            </w:pPr>
            <w:r w:rsidRPr="001811F3">
              <w:rPr>
                <w:sz w:val="22"/>
                <w:szCs w:val="22"/>
              </w:rPr>
              <w:t xml:space="preserve">$4,125.00 </w:t>
            </w:r>
          </w:p>
        </w:tc>
      </w:tr>
      <w:tr w:rsidRPr="001811F3" w:rsidR="0062130A" w:rsidTr="009C2478" w14:paraId="4F750FF1" w14:textId="77777777">
        <w:trPr>
          <w:jc w:val="center"/>
        </w:trPr>
        <w:tc>
          <w:tcPr>
            <w:tcW w:w="1705" w:type="dxa"/>
            <w:shd w:val="clear" w:color="auto" w:fill="auto"/>
          </w:tcPr>
          <w:p w:rsidRPr="001811F3" w:rsidR="0062130A" w:rsidP="004830C4" w:rsidRDefault="0062130A" w14:paraId="25915949" w14:textId="2B99CFAF">
            <w:pPr>
              <w:keepNext/>
              <w:keepLines/>
              <w:spacing w:before="60" w:after="60"/>
              <w:rPr>
                <w:color w:val="000000"/>
                <w:sz w:val="22"/>
                <w:szCs w:val="22"/>
              </w:rPr>
            </w:pPr>
            <w:r w:rsidRPr="001811F3">
              <w:rPr>
                <w:sz w:val="22"/>
                <w:szCs w:val="22"/>
              </w:rPr>
              <w:t>Kevin Woodruff, Consultant</w:t>
            </w:r>
          </w:p>
        </w:tc>
        <w:tc>
          <w:tcPr>
            <w:tcW w:w="821" w:type="dxa"/>
            <w:shd w:val="clear" w:color="auto" w:fill="auto"/>
          </w:tcPr>
          <w:p w:rsidRPr="001811F3" w:rsidR="0062130A" w:rsidP="004830C4" w:rsidRDefault="0062130A" w14:paraId="541AFACB" w14:textId="46C1351B">
            <w:pPr>
              <w:keepNext/>
              <w:keepLines/>
              <w:spacing w:before="60" w:after="60"/>
              <w:jc w:val="center"/>
              <w:rPr>
                <w:color w:val="000000"/>
                <w:sz w:val="22"/>
                <w:szCs w:val="22"/>
              </w:rPr>
            </w:pPr>
            <w:r w:rsidRPr="001811F3">
              <w:rPr>
                <w:sz w:val="22"/>
                <w:szCs w:val="22"/>
              </w:rPr>
              <w:t>2020</w:t>
            </w:r>
          </w:p>
        </w:tc>
        <w:tc>
          <w:tcPr>
            <w:tcW w:w="884" w:type="dxa"/>
            <w:gridSpan w:val="2"/>
            <w:shd w:val="clear" w:color="auto" w:fill="auto"/>
          </w:tcPr>
          <w:p w:rsidRPr="001811F3" w:rsidR="0062130A" w:rsidP="004830C4" w:rsidRDefault="0062130A" w14:paraId="2A141D35" w14:textId="7D1F200D">
            <w:pPr>
              <w:keepNext/>
              <w:keepLines/>
              <w:spacing w:before="60" w:after="60"/>
              <w:jc w:val="center"/>
              <w:rPr>
                <w:color w:val="000000"/>
                <w:sz w:val="22"/>
                <w:szCs w:val="22"/>
              </w:rPr>
            </w:pPr>
            <w:r w:rsidRPr="001811F3">
              <w:rPr>
                <w:sz w:val="22"/>
                <w:szCs w:val="22"/>
              </w:rPr>
              <w:t>5.75</w:t>
            </w:r>
          </w:p>
        </w:tc>
        <w:tc>
          <w:tcPr>
            <w:tcW w:w="930" w:type="dxa"/>
            <w:shd w:val="clear" w:color="auto" w:fill="auto"/>
          </w:tcPr>
          <w:p w:rsidRPr="001811F3" w:rsidR="0062130A" w:rsidP="004830C4" w:rsidRDefault="0062130A" w14:paraId="60B13D77" w14:textId="2E1D8B5C">
            <w:pPr>
              <w:keepNext/>
              <w:keepLines/>
              <w:spacing w:before="60" w:after="60"/>
              <w:jc w:val="right"/>
              <w:rPr>
                <w:color w:val="000000"/>
                <w:sz w:val="22"/>
                <w:szCs w:val="22"/>
              </w:rPr>
            </w:pPr>
            <w:r w:rsidRPr="001811F3">
              <w:rPr>
                <w:sz w:val="22"/>
                <w:szCs w:val="22"/>
              </w:rPr>
              <w:t xml:space="preserve">$270 </w:t>
            </w:r>
          </w:p>
        </w:tc>
        <w:tc>
          <w:tcPr>
            <w:tcW w:w="1721" w:type="dxa"/>
            <w:gridSpan w:val="2"/>
            <w:tcBorders>
              <w:right w:val="single" w:color="auto" w:sz="4" w:space="0"/>
            </w:tcBorders>
            <w:shd w:val="clear" w:color="auto" w:fill="auto"/>
          </w:tcPr>
          <w:p w:rsidRPr="001811F3" w:rsidR="0062130A" w:rsidP="004830C4" w:rsidRDefault="0062130A" w14:paraId="0A8FD573" w14:textId="509942B7">
            <w:pPr>
              <w:keepNext/>
              <w:keepLines/>
              <w:spacing w:before="60" w:after="60"/>
              <w:rPr>
                <w:color w:val="000000"/>
                <w:sz w:val="22"/>
                <w:szCs w:val="22"/>
              </w:rPr>
            </w:pPr>
            <w:r w:rsidRPr="001811F3">
              <w:rPr>
                <w:sz w:val="22"/>
                <w:szCs w:val="22"/>
              </w:rPr>
              <w:t>D.20-05-050; Billed Rate (</w:t>
            </w:r>
            <w:r w:rsidRPr="00F53878">
              <w:rPr>
                <w:i/>
                <w:iCs/>
                <w:sz w:val="22"/>
                <w:szCs w:val="22"/>
              </w:rPr>
              <w:t>See</w:t>
            </w:r>
            <w:r w:rsidRPr="001811F3">
              <w:rPr>
                <w:sz w:val="22"/>
                <w:szCs w:val="22"/>
              </w:rPr>
              <w:t xml:space="preserve"> Comment 2)</w:t>
            </w:r>
          </w:p>
        </w:tc>
        <w:tc>
          <w:tcPr>
            <w:tcW w:w="1404" w:type="dxa"/>
            <w:gridSpan w:val="2"/>
            <w:tcBorders>
              <w:top w:val="single" w:color="auto" w:sz="4" w:space="0"/>
              <w:left w:val="single" w:color="auto" w:sz="4" w:space="0"/>
              <w:bottom w:val="single" w:color="auto" w:sz="4" w:space="0"/>
              <w:right w:val="single" w:color="auto" w:sz="24" w:space="0"/>
            </w:tcBorders>
            <w:shd w:val="clear" w:color="auto" w:fill="auto"/>
          </w:tcPr>
          <w:p w:rsidRPr="001811F3" w:rsidR="0062130A" w:rsidP="004830C4" w:rsidRDefault="0062130A" w14:paraId="4AFC60BD" w14:textId="1E911B00">
            <w:pPr>
              <w:keepNext/>
              <w:keepLines/>
              <w:spacing w:before="60" w:after="60"/>
              <w:jc w:val="right"/>
              <w:rPr>
                <w:color w:val="000000"/>
                <w:sz w:val="22"/>
                <w:szCs w:val="22"/>
              </w:rPr>
            </w:pPr>
            <w:r w:rsidRPr="001811F3">
              <w:rPr>
                <w:sz w:val="22"/>
                <w:szCs w:val="22"/>
              </w:rPr>
              <w:t xml:space="preserve">$1,552.50 </w:t>
            </w:r>
          </w:p>
        </w:tc>
        <w:tc>
          <w:tcPr>
            <w:tcW w:w="884" w:type="dxa"/>
            <w:tcBorders>
              <w:left w:val="single" w:color="auto" w:sz="4" w:space="0"/>
            </w:tcBorders>
            <w:shd w:val="clear" w:color="auto" w:fill="auto"/>
          </w:tcPr>
          <w:p w:rsidRPr="001811F3" w:rsidR="0062130A" w:rsidP="004830C4" w:rsidRDefault="0062130A" w14:paraId="4F1802D5" w14:textId="36CBF4E2">
            <w:pPr>
              <w:keepNext/>
              <w:keepLines/>
              <w:spacing w:before="60" w:after="60"/>
              <w:jc w:val="center"/>
              <w:rPr>
                <w:color w:val="000000"/>
                <w:sz w:val="22"/>
                <w:szCs w:val="22"/>
              </w:rPr>
            </w:pPr>
            <w:r w:rsidRPr="001811F3">
              <w:rPr>
                <w:color w:val="000000"/>
                <w:sz w:val="22"/>
                <w:szCs w:val="22"/>
              </w:rPr>
              <w:t>5.75</w:t>
            </w:r>
          </w:p>
        </w:tc>
        <w:tc>
          <w:tcPr>
            <w:tcW w:w="1146" w:type="dxa"/>
            <w:shd w:val="clear" w:color="auto" w:fill="auto"/>
          </w:tcPr>
          <w:p w:rsidRPr="001811F3" w:rsidR="0062130A" w:rsidP="004830C4" w:rsidRDefault="0062130A" w14:paraId="67318CDA" w14:textId="6E852691">
            <w:pPr>
              <w:keepNext/>
              <w:keepLines/>
              <w:spacing w:before="60" w:after="60"/>
              <w:jc w:val="right"/>
              <w:rPr>
                <w:color w:val="000000"/>
                <w:sz w:val="22"/>
                <w:szCs w:val="22"/>
              </w:rPr>
            </w:pPr>
            <w:r w:rsidRPr="001811F3">
              <w:rPr>
                <w:color w:val="000000"/>
                <w:sz w:val="22"/>
                <w:szCs w:val="22"/>
              </w:rPr>
              <w:t>$270.00 [</w:t>
            </w:r>
            <w:r w:rsidRPr="001811F3" w:rsidR="00931058">
              <w:rPr>
                <w:color w:val="000000"/>
                <w:sz w:val="22"/>
                <w:szCs w:val="22"/>
              </w:rPr>
              <w:t>3</w:t>
            </w:r>
            <w:r w:rsidRPr="001811F3">
              <w:rPr>
                <w:color w:val="000000"/>
                <w:sz w:val="22"/>
                <w:szCs w:val="22"/>
              </w:rPr>
              <w:t>]</w:t>
            </w:r>
          </w:p>
        </w:tc>
        <w:tc>
          <w:tcPr>
            <w:tcW w:w="1930" w:type="dxa"/>
            <w:shd w:val="clear" w:color="auto" w:fill="auto"/>
          </w:tcPr>
          <w:p w:rsidRPr="001811F3" w:rsidR="0062130A" w:rsidP="004830C4" w:rsidRDefault="0062130A" w14:paraId="72F5817A" w14:textId="0B602C4A">
            <w:pPr>
              <w:keepNext/>
              <w:keepLines/>
              <w:spacing w:before="60" w:after="60"/>
              <w:jc w:val="right"/>
              <w:rPr>
                <w:color w:val="000000"/>
                <w:sz w:val="22"/>
                <w:szCs w:val="22"/>
              </w:rPr>
            </w:pPr>
            <w:r w:rsidRPr="001811F3">
              <w:rPr>
                <w:sz w:val="22"/>
                <w:szCs w:val="22"/>
              </w:rPr>
              <w:t xml:space="preserve">$1,552.50 </w:t>
            </w:r>
          </w:p>
        </w:tc>
      </w:tr>
      <w:tr w:rsidRPr="001811F3" w:rsidR="0062130A" w:rsidTr="009C2478" w14:paraId="708EE875" w14:textId="77777777">
        <w:trPr>
          <w:jc w:val="center"/>
        </w:trPr>
        <w:tc>
          <w:tcPr>
            <w:tcW w:w="1705" w:type="dxa"/>
            <w:shd w:val="clear" w:color="auto" w:fill="auto"/>
          </w:tcPr>
          <w:p w:rsidRPr="001811F3" w:rsidR="0062130A" w:rsidP="004830C4" w:rsidRDefault="0062130A" w14:paraId="41F58B81" w14:textId="3FC59DC0">
            <w:pPr>
              <w:keepNext/>
              <w:keepLines/>
              <w:spacing w:before="60" w:after="60"/>
              <w:rPr>
                <w:color w:val="000000"/>
                <w:sz w:val="22"/>
                <w:szCs w:val="22"/>
              </w:rPr>
            </w:pPr>
            <w:r w:rsidRPr="001811F3">
              <w:rPr>
                <w:sz w:val="22"/>
                <w:szCs w:val="22"/>
              </w:rPr>
              <w:t>Michele Chait, Consultant</w:t>
            </w:r>
          </w:p>
        </w:tc>
        <w:tc>
          <w:tcPr>
            <w:tcW w:w="821" w:type="dxa"/>
            <w:shd w:val="clear" w:color="auto" w:fill="auto"/>
          </w:tcPr>
          <w:p w:rsidRPr="001811F3" w:rsidR="0062130A" w:rsidP="004830C4" w:rsidRDefault="0062130A" w14:paraId="03F5AF5B" w14:textId="1B41A4EC">
            <w:pPr>
              <w:keepNext/>
              <w:keepLines/>
              <w:spacing w:before="60" w:after="60"/>
              <w:jc w:val="center"/>
              <w:rPr>
                <w:color w:val="000000"/>
                <w:sz w:val="22"/>
                <w:szCs w:val="22"/>
              </w:rPr>
            </w:pPr>
            <w:r w:rsidRPr="001811F3">
              <w:rPr>
                <w:sz w:val="22"/>
                <w:szCs w:val="22"/>
              </w:rPr>
              <w:t>2021</w:t>
            </w:r>
          </w:p>
        </w:tc>
        <w:tc>
          <w:tcPr>
            <w:tcW w:w="884" w:type="dxa"/>
            <w:gridSpan w:val="2"/>
            <w:shd w:val="clear" w:color="auto" w:fill="auto"/>
          </w:tcPr>
          <w:p w:rsidRPr="001811F3" w:rsidR="0062130A" w:rsidP="004830C4" w:rsidRDefault="0062130A" w14:paraId="0354E139" w14:textId="4060A0DD">
            <w:pPr>
              <w:keepNext/>
              <w:keepLines/>
              <w:spacing w:before="60" w:after="60"/>
              <w:jc w:val="center"/>
              <w:rPr>
                <w:color w:val="000000"/>
                <w:sz w:val="22"/>
                <w:szCs w:val="22"/>
              </w:rPr>
            </w:pPr>
            <w:r w:rsidRPr="001811F3">
              <w:rPr>
                <w:sz w:val="22"/>
                <w:szCs w:val="22"/>
              </w:rPr>
              <w:t>6.25</w:t>
            </w:r>
          </w:p>
        </w:tc>
        <w:tc>
          <w:tcPr>
            <w:tcW w:w="930" w:type="dxa"/>
            <w:shd w:val="clear" w:color="auto" w:fill="auto"/>
          </w:tcPr>
          <w:p w:rsidRPr="001811F3" w:rsidR="0062130A" w:rsidP="004830C4" w:rsidRDefault="0062130A" w14:paraId="6A50ECCB" w14:textId="560821CA">
            <w:pPr>
              <w:keepNext/>
              <w:keepLines/>
              <w:spacing w:before="60" w:after="60"/>
              <w:jc w:val="right"/>
              <w:rPr>
                <w:color w:val="000000"/>
                <w:sz w:val="22"/>
                <w:szCs w:val="22"/>
              </w:rPr>
            </w:pPr>
            <w:r w:rsidRPr="001811F3">
              <w:rPr>
                <w:sz w:val="22"/>
                <w:szCs w:val="22"/>
              </w:rPr>
              <w:t xml:space="preserve">$240 </w:t>
            </w:r>
          </w:p>
        </w:tc>
        <w:tc>
          <w:tcPr>
            <w:tcW w:w="1721" w:type="dxa"/>
            <w:gridSpan w:val="2"/>
            <w:tcBorders>
              <w:right w:val="single" w:color="auto" w:sz="4" w:space="0"/>
            </w:tcBorders>
            <w:shd w:val="clear" w:color="auto" w:fill="auto"/>
          </w:tcPr>
          <w:p w:rsidRPr="001811F3" w:rsidR="0062130A" w:rsidP="004830C4" w:rsidRDefault="0062130A" w14:paraId="3D992494" w14:textId="7D45C6C4">
            <w:pPr>
              <w:keepNext/>
              <w:keepLines/>
              <w:spacing w:before="60" w:after="60"/>
              <w:rPr>
                <w:color w:val="000000"/>
                <w:sz w:val="22"/>
                <w:szCs w:val="22"/>
              </w:rPr>
            </w:pPr>
            <w:r w:rsidRPr="001811F3">
              <w:rPr>
                <w:sz w:val="22"/>
                <w:szCs w:val="22"/>
              </w:rPr>
              <w:t>D.23-04-031; Billed Rate (</w:t>
            </w:r>
            <w:r w:rsidRPr="00F53878">
              <w:rPr>
                <w:i/>
                <w:iCs/>
                <w:sz w:val="22"/>
                <w:szCs w:val="22"/>
              </w:rPr>
              <w:t>See</w:t>
            </w:r>
            <w:r w:rsidRPr="001811F3">
              <w:rPr>
                <w:sz w:val="22"/>
                <w:szCs w:val="22"/>
              </w:rPr>
              <w:t xml:space="preserve"> Comment 3)</w:t>
            </w:r>
          </w:p>
        </w:tc>
        <w:tc>
          <w:tcPr>
            <w:tcW w:w="1404" w:type="dxa"/>
            <w:gridSpan w:val="2"/>
            <w:tcBorders>
              <w:top w:val="single" w:color="auto" w:sz="4" w:space="0"/>
              <w:left w:val="single" w:color="auto" w:sz="4" w:space="0"/>
              <w:bottom w:val="single" w:color="auto" w:sz="4" w:space="0"/>
              <w:right w:val="single" w:color="auto" w:sz="24" w:space="0"/>
            </w:tcBorders>
            <w:shd w:val="clear" w:color="auto" w:fill="auto"/>
          </w:tcPr>
          <w:p w:rsidRPr="001811F3" w:rsidR="0062130A" w:rsidP="004830C4" w:rsidRDefault="0062130A" w14:paraId="371D23C6" w14:textId="0D5A79E6">
            <w:pPr>
              <w:keepNext/>
              <w:keepLines/>
              <w:spacing w:before="60" w:after="60"/>
              <w:jc w:val="right"/>
              <w:rPr>
                <w:color w:val="000000"/>
                <w:sz w:val="22"/>
                <w:szCs w:val="22"/>
              </w:rPr>
            </w:pPr>
            <w:r w:rsidRPr="001811F3">
              <w:rPr>
                <w:sz w:val="22"/>
                <w:szCs w:val="22"/>
              </w:rPr>
              <w:t xml:space="preserve">$1,500.00 </w:t>
            </w:r>
          </w:p>
        </w:tc>
        <w:tc>
          <w:tcPr>
            <w:tcW w:w="884" w:type="dxa"/>
            <w:tcBorders>
              <w:left w:val="single" w:color="auto" w:sz="4" w:space="0"/>
            </w:tcBorders>
            <w:shd w:val="clear" w:color="auto" w:fill="auto"/>
          </w:tcPr>
          <w:p w:rsidRPr="001811F3" w:rsidR="0062130A" w:rsidP="004830C4" w:rsidRDefault="0062130A" w14:paraId="73F22CE2" w14:textId="08CE3FD8">
            <w:pPr>
              <w:keepNext/>
              <w:keepLines/>
              <w:spacing w:before="60" w:after="60"/>
              <w:jc w:val="center"/>
              <w:rPr>
                <w:color w:val="000000"/>
                <w:sz w:val="22"/>
                <w:szCs w:val="22"/>
              </w:rPr>
            </w:pPr>
            <w:r w:rsidRPr="001811F3">
              <w:rPr>
                <w:color w:val="000000"/>
                <w:sz w:val="22"/>
                <w:szCs w:val="22"/>
              </w:rPr>
              <w:t>6.25</w:t>
            </w:r>
          </w:p>
        </w:tc>
        <w:tc>
          <w:tcPr>
            <w:tcW w:w="1146" w:type="dxa"/>
            <w:shd w:val="clear" w:color="auto" w:fill="auto"/>
          </w:tcPr>
          <w:p w:rsidRPr="001811F3" w:rsidR="0062130A" w:rsidP="004830C4" w:rsidRDefault="0062130A" w14:paraId="2CB0BEA8" w14:textId="270965C6">
            <w:pPr>
              <w:keepNext/>
              <w:keepLines/>
              <w:spacing w:before="60" w:after="60"/>
              <w:jc w:val="right"/>
              <w:rPr>
                <w:color w:val="000000"/>
                <w:sz w:val="22"/>
                <w:szCs w:val="22"/>
              </w:rPr>
            </w:pPr>
            <w:r w:rsidRPr="001811F3">
              <w:rPr>
                <w:color w:val="000000"/>
                <w:sz w:val="22"/>
                <w:szCs w:val="22"/>
              </w:rPr>
              <w:t>$240.00 [</w:t>
            </w:r>
            <w:r w:rsidRPr="001811F3" w:rsidR="00931058">
              <w:rPr>
                <w:color w:val="000000"/>
                <w:sz w:val="22"/>
                <w:szCs w:val="22"/>
              </w:rPr>
              <w:t>4</w:t>
            </w:r>
            <w:r w:rsidRPr="001811F3">
              <w:rPr>
                <w:color w:val="000000"/>
                <w:sz w:val="22"/>
                <w:szCs w:val="22"/>
              </w:rPr>
              <w:t>]</w:t>
            </w:r>
          </w:p>
        </w:tc>
        <w:tc>
          <w:tcPr>
            <w:tcW w:w="1930" w:type="dxa"/>
            <w:shd w:val="clear" w:color="auto" w:fill="auto"/>
          </w:tcPr>
          <w:p w:rsidRPr="001811F3" w:rsidR="0062130A" w:rsidP="004830C4" w:rsidRDefault="0062130A" w14:paraId="138F03BB" w14:textId="038FC6E3">
            <w:pPr>
              <w:keepNext/>
              <w:keepLines/>
              <w:spacing w:before="60" w:after="60"/>
              <w:jc w:val="right"/>
              <w:rPr>
                <w:color w:val="000000"/>
                <w:sz w:val="22"/>
                <w:szCs w:val="22"/>
              </w:rPr>
            </w:pPr>
            <w:r w:rsidRPr="001811F3">
              <w:rPr>
                <w:sz w:val="22"/>
                <w:szCs w:val="22"/>
              </w:rPr>
              <w:t xml:space="preserve">$1,500.00 </w:t>
            </w:r>
          </w:p>
        </w:tc>
      </w:tr>
      <w:tr w:rsidRPr="001811F3" w:rsidR="00E3786F" w:rsidTr="00F53878" w14:paraId="1B237C11" w14:textId="77777777">
        <w:trPr>
          <w:jc w:val="center"/>
        </w:trPr>
        <w:tc>
          <w:tcPr>
            <w:tcW w:w="7465" w:type="dxa"/>
            <w:gridSpan w:val="9"/>
            <w:tcBorders>
              <w:bottom w:val="single" w:color="auto" w:sz="4" w:space="0"/>
              <w:right w:val="single" w:color="auto" w:sz="24" w:space="0"/>
            </w:tcBorders>
            <w:shd w:val="clear" w:color="auto" w:fill="auto"/>
            <w:vAlign w:val="bottom"/>
          </w:tcPr>
          <w:p w:rsidRPr="001811F3" w:rsidR="00E3786F" w:rsidP="004830C4" w:rsidRDefault="00E3786F" w14:paraId="2ECB6744" w14:textId="61D7546E">
            <w:pPr>
              <w:keepNext/>
              <w:keepLines/>
              <w:tabs>
                <w:tab w:val="left" w:pos="957"/>
              </w:tabs>
              <w:spacing w:before="60" w:after="60"/>
              <w:ind w:right="162"/>
              <w:jc w:val="right"/>
              <w:rPr>
                <w:b/>
                <w:i/>
                <w:color w:val="000000"/>
                <w:sz w:val="22"/>
                <w:szCs w:val="22"/>
              </w:rPr>
            </w:pPr>
            <w:r w:rsidRPr="001811F3">
              <w:rPr>
                <w:b/>
                <w:i/>
                <w:color w:val="000000"/>
                <w:sz w:val="22"/>
                <w:szCs w:val="22"/>
              </w:rPr>
              <w:t>Subtotal: $</w:t>
            </w:r>
            <w:r w:rsidRPr="001811F3" w:rsidR="000743AF">
              <w:rPr>
                <w:b/>
                <w:i/>
                <w:color w:val="000000"/>
                <w:sz w:val="22"/>
                <w:szCs w:val="22"/>
              </w:rPr>
              <w:t>201,945.00</w:t>
            </w:r>
          </w:p>
        </w:tc>
        <w:tc>
          <w:tcPr>
            <w:tcW w:w="3960" w:type="dxa"/>
            <w:gridSpan w:val="3"/>
            <w:tcBorders>
              <w:left w:val="single" w:color="auto" w:sz="24" w:space="0"/>
              <w:bottom w:val="single" w:color="auto" w:sz="4" w:space="0"/>
            </w:tcBorders>
            <w:shd w:val="clear" w:color="auto" w:fill="auto"/>
            <w:vAlign w:val="bottom"/>
          </w:tcPr>
          <w:p w:rsidRPr="001811F3" w:rsidR="00E3786F" w:rsidP="004830C4" w:rsidRDefault="00E3786F" w14:paraId="4C4556E5" w14:textId="21B00FE5">
            <w:pPr>
              <w:keepNext/>
              <w:keepLines/>
              <w:tabs>
                <w:tab w:val="left" w:pos="957"/>
              </w:tabs>
              <w:spacing w:before="60" w:after="60"/>
              <w:ind w:right="162"/>
              <w:jc w:val="right"/>
              <w:rPr>
                <w:i/>
                <w:color w:val="000000"/>
                <w:sz w:val="22"/>
                <w:szCs w:val="22"/>
              </w:rPr>
            </w:pPr>
            <w:r w:rsidRPr="001811F3">
              <w:rPr>
                <w:b/>
                <w:i/>
                <w:color w:val="000000"/>
                <w:sz w:val="22"/>
                <w:szCs w:val="22"/>
              </w:rPr>
              <w:t xml:space="preserve">Subtotal: </w:t>
            </w:r>
            <w:r w:rsidRPr="001811F3" w:rsidR="0062130A">
              <w:rPr>
                <w:b/>
                <w:i/>
                <w:color w:val="000000"/>
                <w:sz w:val="22"/>
                <w:szCs w:val="22"/>
              </w:rPr>
              <w:t>$201,945.00</w:t>
            </w:r>
          </w:p>
        </w:tc>
      </w:tr>
      <w:tr w:rsidRPr="001811F3" w:rsidR="00A92D0B" w:rsidTr="00F53878" w14:paraId="4F8FAF05" w14:textId="77777777">
        <w:trPr>
          <w:jc w:val="center"/>
        </w:trPr>
        <w:tc>
          <w:tcPr>
            <w:tcW w:w="11425" w:type="dxa"/>
            <w:gridSpan w:val="12"/>
            <w:tcBorders>
              <w:top w:val="single" w:color="auto" w:sz="4" w:space="0"/>
              <w:left w:val="single" w:color="auto" w:sz="4" w:space="0"/>
              <w:bottom w:val="single" w:color="auto" w:sz="4" w:space="0"/>
              <w:right w:val="single" w:color="auto" w:sz="4" w:space="0"/>
            </w:tcBorders>
            <w:shd w:val="clear" w:color="auto" w:fill="E6E6E6"/>
          </w:tcPr>
          <w:p w:rsidRPr="001811F3" w:rsidR="00A92D0B" w:rsidP="004830C4" w:rsidRDefault="00A92D0B" w14:paraId="41FE304C" w14:textId="77777777">
            <w:pPr>
              <w:keepNext/>
              <w:keepLines/>
              <w:spacing w:before="60" w:after="60"/>
              <w:jc w:val="center"/>
              <w:rPr>
                <w:color w:val="000000"/>
                <w:sz w:val="22"/>
                <w:szCs w:val="22"/>
              </w:rPr>
            </w:pPr>
            <w:r w:rsidRPr="001811F3">
              <w:rPr>
                <w:b/>
                <w:color w:val="000000"/>
                <w:sz w:val="22"/>
                <w:szCs w:val="22"/>
              </w:rPr>
              <w:t xml:space="preserve">INTERVENOR COMPENSATION CLAIM PREPARATION </w:t>
            </w:r>
            <w:r w:rsidRPr="001811F3">
              <w:rPr>
                <w:b/>
                <w:smallCaps/>
                <w:color w:val="000000"/>
                <w:sz w:val="22"/>
                <w:szCs w:val="22"/>
              </w:rPr>
              <w:t xml:space="preserve"> **</w:t>
            </w:r>
          </w:p>
        </w:tc>
      </w:tr>
      <w:tr w:rsidRPr="001811F3" w:rsidR="00A92D0B" w:rsidTr="00F53878" w14:paraId="48B3E535" w14:textId="77777777">
        <w:trPr>
          <w:jc w:val="center"/>
        </w:trPr>
        <w:tc>
          <w:tcPr>
            <w:tcW w:w="1705" w:type="dxa"/>
            <w:tcBorders>
              <w:top w:val="single" w:color="auto" w:sz="4" w:space="0"/>
              <w:bottom w:val="single" w:color="auto" w:sz="4" w:space="0"/>
            </w:tcBorders>
            <w:shd w:val="clear" w:color="auto" w:fill="auto"/>
            <w:vAlign w:val="bottom"/>
          </w:tcPr>
          <w:p w:rsidRPr="001811F3" w:rsidR="00A92D0B" w:rsidP="004830C4" w:rsidRDefault="00A92D0B" w14:paraId="563A43BB" w14:textId="77777777">
            <w:pPr>
              <w:keepNext/>
              <w:keepLines/>
              <w:spacing w:before="60" w:after="60"/>
              <w:jc w:val="center"/>
              <w:rPr>
                <w:b/>
                <w:color w:val="000000"/>
                <w:sz w:val="22"/>
                <w:szCs w:val="22"/>
              </w:rPr>
            </w:pPr>
            <w:r w:rsidRPr="001811F3">
              <w:rPr>
                <w:b/>
                <w:color w:val="000000"/>
                <w:sz w:val="22"/>
                <w:szCs w:val="22"/>
              </w:rPr>
              <w:t>Item</w:t>
            </w:r>
          </w:p>
        </w:tc>
        <w:tc>
          <w:tcPr>
            <w:tcW w:w="821" w:type="dxa"/>
            <w:tcBorders>
              <w:top w:val="single" w:color="auto" w:sz="4" w:space="0"/>
              <w:bottom w:val="single" w:color="auto" w:sz="4" w:space="0"/>
            </w:tcBorders>
            <w:shd w:val="clear" w:color="auto" w:fill="auto"/>
            <w:vAlign w:val="bottom"/>
          </w:tcPr>
          <w:p w:rsidRPr="001811F3" w:rsidR="00A92D0B" w:rsidP="004830C4" w:rsidRDefault="00A92D0B" w14:paraId="144552E0" w14:textId="77777777">
            <w:pPr>
              <w:keepNext/>
              <w:keepLines/>
              <w:spacing w:before="60" w:after="60"/>
              <w:jc w:val="center"/>
              <w:rPr>
                <w:b/>
                <w:color w:val="000000"/>
                <w:sz w:val="22"/>
                <w:szCs w:val="22"/>
              </w:rPr>
            </w:pPr>
            <w:r w:rsidRPr="001811F3">
              <w:rPr>
                <w:b/>
                <w:color w:val="000000"/>
                <w:sz w:val="22"/>
                <w:szCs w:val="22"/>
              </w:rPr>
              <w:t>Year</w:t>
            </w:r>
          </w:p>
        </w:tc>
        <w:tc>
          <w:tcPr>
            <w:tcW w:w="884" w:type="dxa"/>
            <w:gridSpan w:val="2"/>
            <w:tcBorders>
              <w:top w:val="single" w:color="auto" w:sz="4" w:space="0"/>
              <w:bottom w:val="single" w:color="auto" w:sz="4" w:space="0"/>
            </w:tcBorders>
            <w:shd w:val="clear" w:color="auto" w:fill="auto"/>
            <w:vAlign w:val="bottom"/>
          </w:tcPr>
          <w:p w:rsidRPr="001811F3" w:rsidR="00A92D0B" w:rsidP="004830C4" w:rsidRDefault="00A92D0B" w14:paraId="42890B1B" w14:textId="77777777">
            <w:pPr>
              <w:keepNext/>
              <w:keepLines/>
              <w:spacing w:before="60" w:after="60"/>
              <w:jc w:val="center"/>
              <w:rPr>
                <w:b/>
                <w:color w:val="000000"/>
                <w:sz w:val="22"/>
                <w:szCs w:val="22"/>
              </w:rPr>
            </w:pPr>
            <w:r w:rsidRPr="001811F3">
              <w:rPr>
                <w:b/>
                <w:color w:val="000000"/>
                <w:sz w:val="22"/>
                <w:szCs w:val="22"/>
              </w:rPr>
              <w:t>Hours</w:t>
            </w:r>
          </w:p>
        </w:tc>
        <w:tc>
          <w:tcPr>
            <w:tcW w:w="930" w:type="dxa"/>
            <w:tcBorders>
              <w:top w:val="single" w:color="auto" w:sz="4" w:space="0"/>
              <w:bottom w:val="single" w:color="auto" w:sz="4" w:space="0"/>
            </w:tcBorders>
            <w:shd w:val="clear" w:color="auto" w:fill="auto"/>
            <w:vAlign w:val="bottom"/>
          </w:tcPr>
          <w:p w:rsidRPr="001811F3" w:rsidR="00A92D0B" w:rsidP="004830C4" w:rsidRDefault="00A92D0B" w14:paraId="1E7BD956" w14:textId="243077B9">
            <w:pPr>
              <w:keepNext/>
              <w:keepLines/>
              <w:spacing w:before="60" w:after="60"/>
              <w:jc w:val="center"/>
              <w:rPr>
                <w:b/>
                <w:color w:val="000000"/>
                <w:sz w:val="22"/>
                <w:szCs w:val="22"/>
              </w:rPr>
            </w:pPr>
            <w:r w:rsidRPr="001811F3">
              <w:rPr>
                <w:b/>
                <w:color w:val="000000"/>
                <w:sz w:val="22"/>
                <w:szCs w:val="22"/>
              </w:rPr>
              <w:t>Rate</w:t>
            </w:r>
            <w:r w:rsidRPr="001811F3" w:rsidR="00380703">
              <w:rPr>
                <w:b/>
                <w:color w:val="000000"/>
                <w:sz w:val="22"/>
                <w:szCs w:val="22"/>
              </w:rPr>
              <w:t xml:space="preserve"> $</w:t>
            </w:r>
          </w:p>
        </w:tc>
        <w:tc>
          <w:tcPr>
            <w:tcW w:w="1721" w:type="dxa"/>
            <w:gridSpan w:val="2"/>
            <w:tcBorders>
              <w:top w:val="single" w:color="auto" w:sz="4" w:space="0"/>
              <w:bottom w:val="single" w:color="auto" w:sz="4" w:space="0"/>
              <w:right w:val="single" w:color="auto" w:sz="4" w:space="0"/>
            </w:tcBorders>
            <w:shd w:val="clear" w:color="auto" w:fill="auto"/>
            <w:vAlign w:val="bottom"/>
          </w:tcPr>
          <w:p w:rsidRPr="001811F3" w:rsidR="00A92D0B" w:rsidP="004830C4" w:rsidRDefault="00A92D0B" w14:paraId="104D7982" w14:textId="77777777">
            <w:pPr>
              <w:keepNext/>
              <w:keepLines/>
              <w:spacing w:before="60" w:after="60"/>
              <w:jc w:val="center"/>
              <w:rPr>
                <w:b/>
                <w:color w:val="000000"/>
                <w:sz w:val="22"/>
                <w:szCs w:val="22"/>
              </w:rPr>
            </w:pPr>
            <w:r w:rsidRPr="001811F3">
              <w:rPr>
                <w:b/>
                <w:color w:val="000000"/>
                <w:sz w:val="22"/>
                <w:szCs w:val="22"/>
              </w:rPr>
              <w:t>Basis for Rate*</w:t>
            </w:r>
          </w:p>
        </w:tc>
        <w:tc>
          <w:tcPr>
            <w:tcW w:w="1404"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1811F3" w:rsidR="00A92D0B" w:rsidP="004830C4" w:rsidRDefault="00A92D0B" w14:paraId="073B2BB9" w14:textId="77777777">
            <w:pPr>
              <w:keepNext/>
              <w:keepLines/>
              <w:spacing w:before="60" w:after="60"/>
              <w:jc w:val="center"/>
              <w:rPr>
                <w:b/>
                <w:color w:val="000000"/>
                <w:sz w:val="22"/>
                <w:szCs w:val="22"/>
              </w:rPr>
            </w:pPr>
            <w:r w:rsidRPr="001811F3">
              <w:rPr>
                <w:b/>
                <w:color w:val="000000"/>
                <w:sz w:val="22"/>
                <w:szCs w:val="22"/>
              </w:rPr>
              <w:t>Total $</w:t>
            </w:r>
          </w:p>
        </w:tc>
        <w:tc>
          <w:tcPr>
            <w:tcW w:w="884" w:type="dxa"/>
            <w:tcBorders>
              <w:top w:val="single" w:color="auto" w:sz="4" w:space="0"/>
              <w:left w:val="single" w:color="auto" w:sz="4" w:space="0"/>
            </w:tcBorders>
            <w:shd w:val="clear" w:color="auto" w:fill="auto"/>
            <w:vAlign w:val="bottom"/>
          </w:tcPr>
          <w:p w:rsidRPr="001811F3" w:rsidR="00A92D0B" w:rsidP="004830C4" w:rsidRDefault="00A92D0B" w14:paraId="0409143B" w14:textId="77777777">
            <w:pPr>
              <w:keepNext/>
              <w:keepLines/>
              <w:spacing w:before="60" w:after="60"/>
              <w:jc w:val="center"/>
              <w:rPr>
                <w:b/>
                <w:color w:val="000000"/>
                <w:sz w:val="22"/>
                <w:szCs w:val="22"/>
              </w:rPr>
            </w:pPr>
            <w:r w:rsidRPr="001811F3">
              <w:rPr>
                <w:b/>
                <w:color w:val="000000"/>
                <w:sz w:val="22"/>
                <w:szCs w:val="22"/>
              </w:rPr>
              <w:t>Hours</w:t>
            </w:r>
          </w:p>
        </w:tc>
        <w:tc>
          <w:tcPr>
            <w:tcW w:w="1146" w:type="dxa"/>
            <w:tcBorders>
              <w:top w:val="single" w:color="auto" w:sz="4" w:space="0"/>
            </w:tcBorders>
            <w:shd w:val="clear" w:color="auto" w:fill="auto"/>
            <w:vAlign w:val="bottom"/>
          </w:tcPr>
          <w:p w:rsidRPr="001811F3" w:rsidR="00A92D0B" w:rsidP="004830C4" w:rsidRDefault="00A92D0B" w14:paraId="6B59BB80" w14:textId="2C791D8E">
            <w:pPr>
              <w:keepNext/>
              <w:keepLines/>
              <w:spacing w:before="60" w:after="60"/>
              <w:jc w:val="center"/>
              <w:rPr>
                <w:b/>
                <w:color w:val="000000"/>
                <w:sz w:val="22"/>
                <w:szCs w:val="22"/>
              </w:rPr>
            </w:pPr>
            <w:r w:rsidRPr="001811F3">
              <w:rPr>
                <w:b/>
                <w:color w:val="000000"/>
                <w:sz w:val="22"/>
                <w:szCs w:val="22"/>
              </w:rPr>
              <w:t xml:space="preserve">Rate </w:t>
            </w:r>
            <w:r w:rsidRPr="001811F3" w:rsidR="00B17005">
              <w:rPr>
                <w:b/>
                <w:color w:val="000000"/>
                <w:sz w:val="22"/>
                <w:szCs w:val="22"/>
              </w:rPr>
              <w:t>$</w:t>
            </w:r>
          </w:p>
        </w:tc>
        <w:tc>
          <w:tcPr>
            <w:tcW w:w="1930" w:type="dxa"/>
            <w:tcBorders>
              <w:top w:val="single" w:color="auto" w:sz="4" w:space="0"/>
            </w:tcBorders>
            <w:shd w:val="clear" w:color="auto" w:fill="auto"/>
            <w:vAlign w:val="bottom"/>
          </w:tcPr>
          <w:p w:rsidRPr="001811F3" w:rsidR="00A92D0B" w:rsidP="004830C4" w:rsidRDefault="00A92D0B" w14:paraId="6C7B13CF" w14:textId="77777777">
            <w:pPr>
              <w:keepNext/>
              <w:keepLines/>
              <w:spacing w:before="60" w:after="60"/>
              <w:jc w:val="center"/>
              <w:rPr>
                <w:b/>
                <w:color w:val="000000"/>
                <w:sz w:val="22"/>
                <w:szCs w:val="22"/>
              </w:rPr>
            </w:pPr>
            <w:r w:rsidRPr="001811F3">
              <w:rPr>
                <w:b/>
                <w:color w:val="000000"/>
                <w:sz w:val="22"/>
                <w:szCs w:val="22"/>
              </w:rPr>
              <w:t>Total $</w:t>
            </w:r>
          </w:p>
        </w:tc>
      </w:tr>
      <w:tr w:rsidRPr="001811F3" w:rsidR="00F83E43" w:rsidTr="009C2478" w14:paraId="25086E67" w14:textId="77777777">
        <w:trPr>
          <w:jc w:val="center"/>
        </w:trPr>
        <w:tc>
          <w:tcPr>
            <w:tcW w:w="1705" w:type="dxa"/>
            <w:shd w:val="clear" w:color="auto" w:fill="auto"/>
          </w:tcPr>
          <w:p w:rsidRPr="001811F3" w:rsidR="00F83E43" w:rsidP="004830C4" w:rsidRDefault="00F83E43" w14:paraId="386D0995" w14:textId="6FA558A6">
            <w:pPr>
              <w:keepNext/>
              <w:keepLines/>
              <w:spacing w:before="60" w:after="60"/>
              <w:rPr>
                <w:color w:val="000000"/>
                <w:sz w:val="22"/>
                <w:szCs w:val="22"/>
              </w:rPr>
            </w:pPr>
            <w:r w:rsidRPr="001811F3">
              <w:rPr>
                <w:sz w:val="22"/>
                <w:szCs w:val="22"/>
              </w:rPr>
              <w:t>Hayley Goodson, TURN Attorney</w:t>
            </w:r>
          </w:p>
        </w:tc>
        <w:tc>
          <w:tcPr>
            <w:tcW w:w="821" w:type="dxa"/>
            <w:shd w:val="clear" w:color="auto" w:fill="auto"/>
          </w:tcPr>
          <w:p w:rsidRPr="001811F3" w:rsidR="00F83E43" w:rsidP="004830C4" w:rsidRDefault="00F83E43" w14:paraId="4A155F1D" w14:textId="3546BFA2">
            <w:pPr>
              <w:keepNext/>
              <w:keepLines/>
              <w:spacing w:before="60" w:after="60"/>
              <w:jc w:val="center"/>
              <w:rPr>
                <w:color w:val="000000"/>
                <w:sz w:val="22"/>
                <w:szCs w:val="22"/>
              </w:rPr>
            </w:pPr>
            <w:r w:rsidRPr="001811F3">
              <w:rPr>
                <w:sz w:val="22"/>
                <w:szCs w:val="22"/>
              </w:rPr>
              <w:t>2025</w:t>
            </w:r>
          </w:p>
        </w:tc>
        <w:tc>
          <w:tcPr>
            <w:tcW w:w="884" w:type="dxa"/>
            <w:gridSpan w:val="2"/>
            <w:shd w:val="clear" w:color="auto" w:fill="auto"/>
          </w:tcPr>
          <w:p w:rsidRPr="001811F3" w:rsidR="00F83E43" w:rsidP="004830C4" w:rsidRDefault="00F83E43" w14:paraId="30EEA80A" w14:textId="76326FE8">
            <w:pPr>
              <w:keepNext/>
              <w:keepLines/>
              <w:spacing w:before="60" w:after="60"/>
              <w:jc w:val="center"/>
              <w:rPr>
                <w:color w:val="000000"/>
                <w:sz w:val="22"/>
                <w:szCs w:val="22"/>
              </w:rPr>
            </w:pPr>
            <w:r w:rsidRPr="001811F3">
              <w:rPr>
                <w:sz w:val="22"/>
                <w:szCs w:val="22"/>
              </w:rPr>
              <w:t>37.25</w:t>
            </w:r>
          </w:p>
        </w:tc>
        <w:tc>
          <w:tcPr>
            <w:tcW w:w="930" w:type="dxa"/>
            <w:shd w:val="clear" w:color="auto" w:fill="auto"/>
          </w:tcPr>
          <w:p w:rsidRPr="001811F3" w:rsidR="00F83E43" w:rsidP="004830C4" w:rsidRDefault="00F83E43" w14:paraId="4EB14C91" w14:textId="07FC111E">
            <w:pPr>
              <w:keepNext/>
              <w:keepLines/>
              <w:spacing w:before="60" w:after="60"/>
              <w:jc w:val="right"/>
              <w:rPr>
                <w:color w:val="000000"/>
                <w:sz w:val="22"/>
                <w:szCs w:val="22"/>
              </w:rPr>
            </w:pPr>
            <w:r w:rsidRPr="001811F3">
              <w:rPr>
                <w:sz w:val="22"/>
                <w:szCs w:val="22"/>
              </w:rPr>
              <w:t>$352.50</w:t>
            </w:r>
          </w:p>
        </w:tc>
        <w:tc>
          <w:tcPr>
            <w:tcW w:w="1721" w:type="dxa"/>
            <w:gridSpan w:val="2"/>
            <w:tcBorders>
              <w:right w:val="single" w:color="auto" w:sz="4" w:space="0"/>
            </w:tcBorders>
            <w:shd w:val="clear" w:color="auto" w:fill="auto"/>
          </w:tcPr>
          <w:p w:rsidRPr="001811F3" w:rsidR="00F83E43" w:rsidP="004830C4" w:rsidRDefault="00A22E33" w14:paraId="02D334B7" w14:textId="79F7C5F0">
            <w:pPr>
              <w:keepNext/>
              <w:keepLines/>
              <w:spacing w:before="60" w:after="60"/>
              <w:rPr>
                <w:color w:val="000000"/>
                <w:sz w:val="22"/>
                <w:szCs w:val="22"/>
              </w:rPr>
            </w:pPr>
            <w:r w:rsidRPr="001811F3">
              <w:rPr>
                <w:sz w:val="22"/>
                <w:szCs w:val="22"/>
              </w:rPr>
              <w:t>½</w:t>
            </w:r>
            <w:r w:rsidRPr="001811F3" w:rsidR="00F83E43">
              <w:rPr>
                <w:sz w:val="22"/>
                <w:szCs w:val="22"/>
              </w:rPr>
              <w:t xml:space="preserve"> of Requested 2025 Rate; D.24</w:t>
            </w:r>
            <w:r w:rsidR="00F53878">
              <w:rPr>
                <w:sz w:val="22"/>
                <w:szCs w:val="22"/>
              </w:rPr>
              <w:noBreakHyphen/>
            </w:r>
            <w:r w:rsidRPr="001811F3" w:rsidR="00F83E43">
              <w:rPr>
                <w:sz w:val="22"/>
                <w:szCs w:val="22"/>
              </w:rPr>
              <w:t>09-017 plus 2025 COLA</w:t>
            </w:r>
            <w:r w:rsidRPr="001811F3" w:rsidR="0006173A">
              <w:rPr>
                <w:sz w:val="22"/>
                <w:szCs w:val="22"/>
              </w:rPr>
              <w:t xml:space="preserve"> (</w:t>
            </w:r>
            <w:r w:rsidRPr="00F53878" w:rsidR="0006173A">
              <w:rPr>
                <w:i/>
                <w:iCs/>
                <w:sz w:val="22"/>
                <w:szCs w:val="22"/>
              </w:rPr>
              <w:t>See</w:t>
            </w:r>
            <w:r w:rsidRPr="001811F3" w:rsidR="0006173A">
              <w:rPr>
                <w:sz w:val="22"/>
                <w:szCs w:val="22"/>
              </w:rPr>
              <w:t xml:space="preserve"> Comment 4)</w:t>
            </w:r>
          </w:p>
        </w:tc>
        <w:tc>
          <w:tcPr>
            <w:tcW w:w="1404" w:type="dxa"/>
            <w:gridSpan w:val="2"/>
            <w:tcBorders>
              <w:top w:val="single" w:color="auto" w:sz="4" w:space="0"/>
              <w:left w:val="single" w:color="auto" w:sz="4" w:space="0"/>
              <w:bottom w:val="single" w:color="auto" w:sz="4" w:space="0"/>
              <w:right w:val="single" w:color="auto" w:sz="24" w:space="0"/>
            </w:tcBorders>
            <w:shd w:val="clear" w:color="auto" w:fill="auto"/>
          </w:tcPr>
          <w:p w:rsidRPr="001811F3" w:rsidR="00F83E43" w:rsidP="004830C4" w:rsidRDefault="00F83E43" w14:paraId="7B9A0261" w14:textId="0C3C6088">
            <w:pPr>
              <w:keepNext/>
              <w:keepLines/>
              <w:spacing w:before="60" w:after="60"/>
              <w:jc w:val="right"/>
              <w:rPr>
                <w:color w:val="000000"/>
                <w:sz w:val="22"/>
                <w:szCs w:val="22"/>
              </w:rPr>
            </w:pPr>
            <w:r w:rsidRPr="001811F3">
              <w:rPr>
                <w:sz w:val="22"/>
                <w:szCs w:val="22"/>
              </w:rPr>
              <w:t>$13,130.63</w:t>
            </w:r>
          </w:p>
        </w:tc>
        <w:tc>
          <w:tcPr>
            <w:tcW w:w="884" w:type="dxa"/>
            <w:tcBorders>
              <w:left w:val="single" w:color="auto" w:sz="4" w:space="0"/>
              <w:right w:val="single" w:color="auto" w:sz="4" w:space="0"/>
            </w:tcBorders>
            <w:shd w:val="clear" w:color="auto" w:fill="auto"/>
          </w:tcPr>
          <w:p w:rsidRPr="001811F3" w:rsidR="000D30FF" w:rsidP="004830C4" w:rsidRDefault="00A729E0" w14:paraId="46CF0706" w14:textId="2692113F">
            <w:pPr>
              <w:keepNext/>
              <w:keepLines/>
              <w:spacing w:before="60" w:after="60"/>
              <w:jc w:val="center"/>
              <w:rPr>
                <w:color w:val="000000"/>
                <w:sz w:val="22"/>
                <w:szCs w:val="22"/>
              </w:rPr>
            </w:pPr>
            <w:r w:rsidRPr="001811F3">
              <w:rPr>
                <w:color w:val="000000"/>
                <w:sz w:val="22"/>
                <w:szCs w:val="22"/>
              </w:rPr>
              <w:t>30.0</w:t>
            </w:r>
            <w:r w:rsidRPr="001811F3" w:rsidR="00A22E33">
              <w:rPr>
                <w:color w:val="000000"/>
                <w:sz w:val="22"/>
                <w:szCs w:val="22"/>
              </w:rPr>
              <w:t xml:space="preserve"> </w:t>
            </w:r>
          </w:p>
          <w:p w:rsidRPr="001811F3" w:rsidR="00F83E43" w:rsidP="004830C4" w:rsidRDefault="00A22E33" w14:paraId="5E5A4264" w14:textId="70FD771A">
            <w:pPr>
              <w:keepNext/>
              <w:keepLines/>
              <w:spacing w:before="60" w:after="60"/>
              <w:jc w:val="center"/>
              <w:rPr>
                <w:color w:val="000000"/>
                <w:sz w:val="22"/>
                <w:szCs w:val="22"/>
              </w:rPr>
            </w:pPr>
            <w:r w:rsidRPr="001811F3">
              <w:rPr>
                <w:color w:val="000000"/>
                <w:sz w:val="22"/>
                <w:szCs w:val="22"/>
              </w:rPr>
              <w:t>[</w:t>
            </w:r>
            <w:r w:rsidRPr="001811F3" w:rsidR="00AF77CB">
              <w:rPr>
                <w:color w:val="000000"/>
                <w:sz w:val="22"/>
                <w:szCs w:val="22"/>
              </w:rPr>
              <w:t>6</w:t>
            </w:r>
            <w:r w:rsidRPr="001811F3">
              <w:rPr>
                <w:color w:val="000000"/>
                <w:sz w:val="22"/>
                <w:szCs w:val="22"/>
              </w:rPr>
              <w:t>]</w:t>
            </w:r>
          </w:p>
        </w:tc>
        <w:tc>
          <w:tcPr>
            <w:tcW w:w="1146" w:type="dxa"/>
            <w:tcBorders>
              <w:left w:val="single" w:color="auto" w:sz="4" w:space="0"/>
            </w:tcBorders>
            <w:shd w:val="clear" w:color="auto" w:fill="auto"/>
          </w:tcPr>
          <w:p w:rsidRPr="001811F3" w:rsidR="00F83E43" w:rsidP="004830C4" w:rsidRDefault="00BA10E4" w14:paraId="47B1F089" w14:textId="3957A03B">
            <w:pPr>
              <w:keepNext/>
              <w:keepLines/>
              <w:spacing w:before="60" w:after="60"/>
              <w:jc w:val="right"/>
              <w:rPr>
                <w:color w:val="000000"/>
                <w:sz w:val="22"/>
                <w:szCs w:val="22"/>
              </w:rPr>
            </w:pPr>
            <w:r w:rsidRPr="001811F3">
              <w:rPr>
                <w:color w:val="000000"/>
                <w:sz w:val="22"/>
                <w:szCs w:val="22"/>
              </w:rPr>
              <w:t>$352.50 [</w:t>
            </w:r>
            <w:r w:rsidRPr="001811F3" w:rsidR="00AF77CB">
              <w:rPr>
                <w:color w:val="000000"/>
                <w:sz w:val="22"/>
                <w:szCs w:val="22"/>
              </w:rPr>
              <w:t>5</w:t>
            </w:r>
            <w:r w:rsidRPr="001811F3">
              <w:rPr>
                <w:color w:val="000000"/>
                <w:sz w:val="22"/>
                <w:szCs w:val="22"/>
              </w:rPr>
              <w:t>]</w:t>
            </w:r>
          </w:p>
        </w:tc>
        <w:tc>
          <w:tcPr>
            <w:tcW w:w="1930" w:type="dxa"/>
            <w:shd w:val="clear" w:color="auto" w:fill="auto"/>
          </w:tcPr>
          <w:p w:rsidRPr="001811F3" w:rsidR="00F83E43" w:rsidP="004830C4" w:rsidRDefault="009765D4" w14:paraId="10659B6D" w14:textId="4F809E06">
            <w:pPr>
              <w:keepNext/>
              <w:keepLines/>
              <w:spacing w:before="60" w:after="60"/>
              <w:jc w:val="right"/>
              <w:rPr>
                <w:sz w:val="22"/>
                <w:szCs w:val="22"/>
              </w:rPr>
            </w:pPr>
            <w:r w:rsidRPr="001811F3">
              <w:rPr>
                <w:sz w:val="22"/>
                <w:szCs w:val="22"/>
              </w:rPr>
              <w:t>$10,575.00</w:t>
            </w:r>
          </w:p>
        </w:tc>
      </w:tr>
      <w:tr w:rsidRPr="001811F3" w:rsidR="00E15DC3" w:rsidTr="00F53878" w14:paraId="266CEDD5" w14:textId="77777777">
        <w:trPr>
          <w:jc w:val="center"/>
        </w:trPr>
        <w:tc>
          <w:tcPr>
            <w:tcW w:w="7465" w:type="dxa"/>
            <w:gridSpan w:val="9"/>
            <w:tcBorders>
              <w:bottom w:val="single" w:color="auto" w:sz="4" w:space="0"/>
              <w:right w:val="single" w:color="auto" w:sz="24" w:space="0"/>
            </w:tcBorders>
            <w:shd w:val="clear" w:color="auto" w:fill="auto"/>
            <w:vAlign w:val="bottom"/>
          </w:tcPr>
          <w:p w:rsidRPr="001811F3" w:rsidR="00E15DC3" w:rsidP="004830C4" w:rsidRDefault="00E15DC3" w14:paraId="4A1F5988" w14:textId="0BDAE0E8">
            <w:pPr>
              <w:keepNext/>
              <w:keepLines/>
              <w:tabs>
                <w:tab w:val="left" w:pos="957"/>
              </w:tabs>
              <w:spacing w:before="60" w:after="60"/>
              <w:ind w:right="162"/>
              <w:jc w:val="right"/>
              <w:rPr>
                <w:b/>
                <w:i/>
                <w:color w:val="000000"/>
                <w:sz w:val="22"/>
                <w:szCs w:val="22"/>
              </w:rPr>
            </w:pPr>
            <w:r w:rsidRPr="001811F3">
              <w:rPr>
                <w:b/>
                <w:i/>
                <w:color w:val="000000"/>
                <w:sz w:val="22"/>
                <w:szCs w:val="22"/>
              </w:rPr>
              <w:t>Subtotal: $</w:t>
            </w:r>
            <w:r w:rsidRPr="001811F3" w:rsidR="000743AF">
              <w:rPr>
                <w:b/>
                <w:i/>
                <w:color w:val="000000"/>
                <w:sz w:val="22"/>
                <w:szCs w:val="22"/>
              </w:rPr>
              <w:t>13,130.63</w:t>
            </w:r>
          </w:p>
        </w:tc>
        <w:tc>
          <w:tcPr>
            <w:tcW w:w="3960" w:type="dxa"/>
            <w:gridSpan w:val="3"/>
            <w:tcBorders>
              <w:left w:val="single" w:color="auto" w:sz="24" w:space="0"/>
              <w:bottom w:val="single" w:color="auto" w:sz="4" w:space="0"/>
            </w:tcBorders>
            <w:shd w:val="clear" w:color="auto" w:fill="auto"/>
            <w:vAlign w:val="bottom"/>
          </w:tcPr>
          <w:p w:rsidRPr="001811F3" w:rsidR="00E15DC3" w:rsidP="004830C4" w:rsidRDefault="00E15DC3" w14:paraId="2FBAA587" w14:textId="29435DAE">
            <w:pPr>
              <w:keepNext/>
              <w:keepLines/>
              <w:tabs>
                <w:tab w:val="left" w:pos="957"/>
              </w:tabs>
              <w:spacing w:before="60" w:after="60"/>
              <w:ind w:right="162"/>
              <w:jc w:val="right"/>
              <w:rPr>
                <w:b/>
                <w:i/>
                <w:color w:val="000000"/>
                <w:sz w:val="22"/>
                <w:szCs w:val="22"/>
              </w:rPr>
            </w:pPr>
            <w:r w:rsidRPr="001811F3">
              <w:rPr>
                <w:b/>
                <w:i/>
                <w:color w:val="000000"/>
                <w:sz w:val="22"/>
                <w:szCs w:val="22"/>
              </w:rPr>
              <w:t xml:space="preserve">Subtotal: </w:t>
            </w:r>
            <w:r w:rsidRPr="001811F3" w:rsidR="0062130A">
              <w:rPr>
                <w:b/>
                <w:i/>
                <w:color w:val="000000"/>
                <w:sz w:val="22"/>
                <w:szCs w:val="22"/>
              </w:rPr>
              <w:t>$8,988.75</w:t>
            </w:r>
          </w:p>
        </w:tc>
      </w:tr>
      <w:tr w:rsidRPr="001811F3" w:rsidR="003B6A1B" w:rsidTr="00F53878" w14:paraId="06E7371A" w14:textId="77777777">
        <w:trPr>
          <w:jc w:val="center"/>
        </w:trPr>
        <w:tc>
          <w:tcPr>
            <w:tcW w:w="7465" w:type="dxa"/>
            <w:gridSpan w:val="9"/>
            <w:tcBorders>
              <w:top w:val="single" w:color="auto" w:sz="4" w:space="0"/>
              <w:bottom w:val="single" w:color="auto" w:sz="4" w:space="0"/>
              <w:right w:val="single" w:color="auto" w:sz="24" w:space="0"/>
            </w:tcBorders>
            <w:shd w:val="clear" w:color="auto" w:fill="E6E6E6"/>
            <w:vAlign w:val="bottom"/>
          </w:tcPr>
          <w:p w:rsidRPr="001811F3" w:rsidR="003B6A1B" w:rsidP="00FE3BAE" w:rsidRDefault="003B6A1B" w14:paraId="11B3B704" w14:textId="316EA468">
            <w:pPr>
              <w:tabs>
                <w:tab w:val="left" w:pos="957"/>
              </w:tabs>
              <w:spacing w:before="60" w:after="60"/>
              <w:ind w:right="72"/>
              <w:jc w:val="right"/>
              <w:rPr>
                <w:b/>
                <w:color w:val="000000"/>
                <w:sz w:val="22"/>
                <w:szCs w:val="22"/>
              </w:rPr>
            </w:pPr>
            <w:r w:rsidRPr="001811F3">
              <w:rPr>
                <w:b/>
                <w:i/>
                <w:color w:val="000000"/>
                <w:sz w:val="22"/>
                <w:szCs w:val="22"/>
              </w:rPr>
              <w:t>TOTAL REQUEST: $</w:t>
            </w:r>
            <w:r w:rsidRPr="001811F3" w:rsidR="003D0599">
              <w:rPr>
                <w:b/>
                <w:i/>
                <w:color w:val="000000"/>
                <w:sz w:val="22"/>
                <w:szCs w:val="22"/>
              </w:rPr>
              <w:t>215,075.63</w:t>
            </w:r>
          </w:p>
        </w:tc>
        <w:tc>
          <w:tcPr>
            <w:tcW w:w="3960" w:type="dxa"/>
            <w:gridSpan w:val="3"/>
            <w:tcBorders>
              <w:left w:val="single" w:color="auto" w:sz="24" w:space="0"/>
            </w:tcBorders>
            <w:shd w:val="clear" w:color="auto" w:fill="E6E6E6"/>
            <w:vAlign w:val="bottom"/>
          </w:tcPr>
          <w:p w:rsidRPr="001811F3" w:rsidR="003B6A1B" w:rsidP="00FE3BAE" w:rsidRDefault="003B6A1B" w14:paraId="3680D139" w14:textId="360FD0BD">
            <w:pPr>
              <w:tabs>
                <w:tab w:val="left" w:pos="957"/>
              </w:tabs>
              <w:spacing w:before="60" w:after="60"/>
              <w:ind w:right="72"/>
              <w:jc w:val="right"/>
              <w:rPr>
                <w:b/>
                <w:color w:val="000000"/>
                <w:sz w:val="22"/>
                <w:szCs w:val="22"/>
              </w:rPr>
            </w:pPr>
            <w:r w:rsidRPr="001811F3">
              <w:rPr>
                <w:b/>
                <w:i/>
                <w:color w:val="000000"/>
                <w:sz w:val="22"/>
                <w:szCs w:val="22"/>
              </w:rPr>
              <w:t xml:space="preserve">TOTAL AWARD: </w:t>
            </w:r>
            <w:r w:rsidRPr="001811F3" w:rsidR="009765D4">
              <w:rPr>
                <w:b/>
                <w:i/>
                <w:color w:val="000000"/>
                <w:sz w:val="22"/>
                <w:szCs w:val="22"/>
              </w:rPr>
              <w:t>$212,520.00</w:t>
            </w:r>
          </w:p>
        </w:tc>
      </w:tr>
      <w:tr w:rsidRPr="001811F3" w:rsidR="003B6A1B" w:rsidTr="00F53878" w14:paraId="6A909BC1" w14:textId="77777777">
        <w:trPr>
          <w:jc w:val="center"/>
        </w:trPr>
        <w:tc>
          <w:tcPr>
            <w:tcW w:w="11425" w:type="dxa"/>
            <w:gridSpan w:val="12"/>
            <w:tcBorders>
              <w:top w:val="single" w:color="auto" w:sz="4" w:space="0"/>
              <w:bottom w:val="single" w:color="auto" w:sz="4" w:space="0"/>
            </w:tcBorders>
            <w:shd w:val="clear" w:color="auto" w:fill="auto"/>
          </w:tcPr>
          <w:p w:rsidRPr="001811F3" w:rsidR="003B6A1B" w:rsidP="001811F3" w:rsidRDefault="003B6A1B" w14:paraId="6F39872E" w14:textId="77777777">
            <w:pPr>
              <w:keepNext/>
              <w:spacing w:before="60" w:after="60"/>
              <w:rPr>
                <w:color w:val="000000"/>
                <w:sz w:val="22"/>
                <w:szCs w:val="22"/>
              </w:rPr>
            </w:pPr>
            <w:r w:rsidRPr="001811F3">
              <w:rPr>
                <w:color w:val="000000"/>
                <w:sz w:val="22"/>
                <w:szCs w:val="22"/>
              </w:rPr>
              <w:lastRenderedPageBreak/>
              <w:t xml:space="preserve">  *We remind all intervenors that Commission staff may audit </w:t>
            </w:r>
            <w:r w:rsidRPr="001811F3">
              <w:rPr>
                <w:sz w:val="22"/>
                <w:szCs w:val="22"/>
              </w:rPr>
              <w:t>the records and books of the intervenors to the extent necessary to verify the basis for the award (§1804(d)).  I</w:t>
            </w:r>
            <w:r w:rsidRPr="001811F3">
              <w:rPr>
                <w:color w:val="000000"/>
                <w:sz w:val="22"/>
                <w:szCs w:val="22"/>
              </w:rPr>
              <w:t xml:space="preserve">ntervenors must make and retain adequate accounting and other documentation to support all claims for intervenor compensation.  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making the award. </w:t>
            </w:r>
          </w:p>
          <w:p w:rsidRPr="001811F3" w:rsidR="003B6A1B" w:rsidP="001811F3" w:rsidRDefault="003B6A1B" w14:paraId="0D03EC65" w14:textId="77777777">
            <w:pPr>
              <w:keepNext/>
              <w:spacing w:before="60" w:after="60"/>
              <w:rPr>
                <w:color w:val="000000"/>
                <w:sz w:val="22"/>
                <w:szCs w:val="22"/>
              </w:rPr>
            </w:pPr>
            <w:r w:rsidRPr="001811F3">
              <w:rPr>
                <w:color w:val="000000"/>
                <w:sz w:val="22"/>
                <w:szCs w:val="22"/>
              </w:rPr>
              <w:t>**Travel and Reasonable Claim preparation time are typically compensated at ½ of preparer’s normal hourly rate</w:t>
            </w:r>
            <w:r w:rsidRPr="001811F3" w:rsidDel="00D075B1">
              <w:rPr>
                <w:color w:val="000000"/>
                <w:sz w:val="22"/>
                <w:szCs w:val="22"/>
              </w:rPr>
              <w:t xml:space="preserve"> </w:t>
            </w:r>
          </w:p>
        </w:tc>
      </w:tr>
      <w:tr w:rsidRPr="001811F3" w:rsidR="003B6A1B" w:rsidTr="00F53878" w14:paraId="458B01A4" w14:textId="77777777">
        <w:trPr>
          <w:jc w:val="center"/>
        </w:trPr>
        <w:tc>
          <w:tcPr>
            <w:tcW w:w="11425"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811F3" w:rsidR="003B6A1B" w:rsidP="004A6FD4" w:rsidRDefault="003B6A1B" w14:paraId="48B43CBD" w14:textId="77777777">
            <w:pPr>
              <w:keepNext/>
              <w:spacing w:before="60" w:after="60"/>
              <w:jc w:val="center"/>
              <w:rPr>
                <w:b/>
                <w:smallCaps/>
                <w:color w:val="000000"/>
                <w:sz w:val="22"/>
                <w:szCs w:val="22"/>
              </w:rPr>
            </w:pPr>
            <w:r w:rsidRPr="001811F3">
              <w:rPr>
                <w:b/>
                <w:smallCaps/>
                <w:color w:val="000000"/>
                <w:sz w:val="22"/>
                <w:szCs w:val="22"/>
              </w:rPr>
              <w:t>ATTORNEY INFORMATION</w:t>
            </w:r>
          </w:p>
        </w:tc>
      </w:tr>
      <w:tr w:rsidRPr="001811F3" w:rsidR="003B6A1B" w:rsidTr="00F53878" w14:paraId="790C92C0" w14:textId="77777777">
        <w:trPr>
          <w:trHeight w:val="173"/>
          <w:jc w:val="center"/>
        </w:trPr>
        <w:tc>
          <w:tcPr>
            <w:tcW w:w="2872" w:type="dxa"/>
            <w:gridSpan w:val="3"/>
            <w:tcBorders>
              <w:top w:val="single" w:color="auto" w:sz="4" w:space="0"/>
              <w:bottom w:val="single" w:color="auto" w:sz="4" w:space="0"/>
            </w:tcBorders>
            <w:shd w:val="clear" w:color="auto" w:fill="FFFFFF"/>
            <w:vAlign w:val="bottom"/>
          </w:tcPr>
          <w:p w:rsidRPr="001811F3" w:rsidR="003B6A1B" w:rsidP="00E775D0" w:rsidRDefault="003B6A1B" w14:paraId="00CAC866" w14:textId="77777777">
            <w:pPr>
              <w:keepNext/>
              <w:keepLines/>
              <w:spacing w:before="60" w:after="60"/>
              <w:jc w:val="center"/>
              <w:rPr>
                <w:b/>
                <w:color w:val="000000"/>
                <w:sz w:val="22"/>
                <w:szCs w:val="22"/>
              </w:rPr>
            </w:pPr>
            <w:r w:rsidRPr="001811F3">
              <w:rPr>
                <w:b/>
                <w:sz w:val="22"/>
                <w:szCs w:val="22"/>
              </w:rPr>
              <w:t>Attorney</w:t>
            </w:r>
          </w:p>
        </w:tc>
        <w:tc>
          <w:tcPr>
            <w:tcW w:w="1909" w:type="dxa"/>
            <w:gridSpan w:val="3"/>
            <w:tcBorders>
              <w:top w:val="single" w:color="auto" w:sz="4" w:space="0"/>
              <w:bottom w:val="single" w:color="auto" w:sz="4" w:space="0"/>
            </w:tcBorders>
            <w:shd w:val="clear" w:color="auto" w:fill="FFFFFF"/>
            <w:vAlign w:val="bottom"/>
          </w:tcPr>
          <w:p w:rsidRPr="001811F3" w:rsidR="003B6A1B" w:rsidP="00E775D0" w:rsidRDefault="003B6A1B" w14:paraId="7E76A008" w14:textId="77777777">
            <w:pPr>
              <w:keepNext/>
              <w:keepLines/>
              <w:spacing w:before="60" w:after="60"/>
              <w:jc w:val="center"/>
              <w:rPr>
                <w:b/>
                <w:color w:val="000000"/>
                <w:sz w:val="22"/>
                <w:szCs w:val="22"/>
              </w:rPr>
            </w:pPr>
            <w:r w:rsidRPr="001811F3">
              <w:rPr>
                <w:b/>
                <w:sz w:val="22"/>
                <w:szCs w:val="22"/>
              </w:rPr>
              <w:t>Date Admitted to CA BAR</w:t>
            </w:r>
            <w:r w:rsidRPr="001811F3">
              <w:rPr>
                <w:rStyle w:val="FootnoteReference"/>
                <w:b/>
                <w:sz w:val="22"/>
                <w:szCs w:val="22"/>
              </w:rPr>
              <w:footnoteReference w:id="4"/>
            </w:r>
          </w:p>
        </w:tc>
        <w:tc>
          <w:tcPr>
            <w:tcW w:w="2291" w:type="dxa"/>
            <w:gridSpan w:val="2"/>
            <w:tcBorders>
              <w:top w:val="single" w:color="auto" w:sz="4" w:space="0"/>
              <w:bottom w:val="single" w:color="auto" w:sz="4" w:space="0"/>
            </w:tcBorders>
            <w:shd w:val="clear" w:color="auto" w:fill="FFFFFF"/>
            <w:vAlign w:val="bottom"/>
          </w:tcPr>
          <w:p w:rsidRPr="001811F3" w:rsidR="003B6A1B" w:rsidP="00E775D0" w:rsidRDefault="003B6A1B" w14:paraId="27E64ED7" w14:textId="77777777">
            <w:pPr>
              <w:keepNext/>
              <w:keepLines/>
              <w:spacing w:before="60" w:after="60"/>
              <w:jc w:val="center"/>
              <w:rPr>
                <w:b/>
                <w:color w:val="000000"/>
                <w:sz w:val="22"/>
                <w:szCs w:val="22"/>
              </w:rPr>
            </w:pPr>
            <w:r w:rsidRPr="001811F3">
              <w:rPr>
                <w:b/>
                <w:sz w:val="22"/>
                <w:szCs w:val="22"/>
              </w:rPr>
              <w:t>Member Number</w:t>
            </w:r>
          </w:p>
        </w:tc>
        <w:tc>
          <w:tcPr>
            <w:tcW w:w="4353" w:type="dxa"/>
            <w:gridSpan w:val="4"/>
            <w:tcBorders>
              <w:top w:val="single" w:color="auto" w:sz="4" w:space="0"/>
              <w:bottom w:val="single" w:color="auto" w:sz="4" w:space="0"/>
            </w:tcBorders>
            <w:shd w:val="clear" w:color="auto" w:fill="FFFFFF"/>
            <w:vAlign w:val="bottom"/>
          </w:tcPr>
          <w:p w:rsidRPr="001811F3" w:rsidR="003B6A1B" w:rsidP="00E775D0" w:rsidRDefault="003B6A1B" w14:paraId="496B5DC1" w14:textId="77777777">
            <w:pPr>
              <w:keepNext/>
              <w:keepLines/>
              <w:spacing w:before="60" w:after="60"/>
              <w:jc w:val="center"/>
              <w:rPr>
                <w:b/>
                <w:sz w:val="22"/>
                <w:szCs w:val="22"/>
              </w:rPr>
            </w:pPr>
            <w:r w:rsidRPr="001811F3">
              <w:rPr>
                <w:b/>
                <w:sz w:val="22"/>
                <w:szCs w:val="22"/>
              </w:rPr>
              <w:t>Actions Affecting Eligibility (Yes/No?)</w:t>
            </w:r>
          </w:p>
          <w:p w:rsidRPr="001811F3" w:rsidR="003B6A1B" w:rsidP="00E775D0" w:rsidRDefault="003B6A1B" w14:paraId="36F8922D" w14:textId="77777777">
            <w:pPr>
              <w:keepNext/>
              <w:keepLines/>
              <w:spacing w:before="60" w:after="60"/>
              <w:jc w:val="center"/>
              <w:rPr>
                <w:b/>
                <w:color w:val="000000"/>
                <w:sz w:val="22"/>
                <w:szCs w:val="22"/>
              </w:rPr>
            </w:pPr>
            <w:r w:rsidRPr="001811F3">
              <w:rPr>
                <w:b/>
                <w:sz w:val="22"/>
                <w:szCs w:val="22"/>
              </w:rPr>
              <w:t>If “Yes”, attach explanation</w:t>
            </w:r>
          </w:p>
        </w:tc>
      </w:tr>
      <w:tr w:rsidRPr="001811F3" w:rsidR="003B6A1B" w:rsidTr="00F53878" w14:paraId="4DC5EE9B" w14:textId="77777777">
        <w:trPr>
          <w:trHeight w:val="172"/>
          <w:jc w:val="center"/>
        </w:trPr>
        <w:tc>
          <w:tcPr>
            <w:tcW w:w="2872" w:type="dxa"/>
            <w:gridSpan w:val="3"/>
            <w:tcBorders>
              <w:top w:val="single" w:color="auto" w:sz="4" w:space="0"/>
              <w:bottom w:val="single" w:color="auto" w:sz="4" w:space="0"/>
            </w:tcBorders>
            <w:shd w:val="clear" w:color="auto" w:fill="auto"/>
          </w:tcPr>
          <w:p w:rsidRPr="001811F3" w:rsidR="003B6A1B" w:rsidP="00AF03E6" w:rsidRDefault="002A022F" w14:paraId="7266B7BF" w14:textId="2D165847">
            <w:pPr>
              <w:keepLines/>
              <w:spacing w:before="60" w:after="60"/>
              <w:jc w:val="center"/>
              <w:rPr>
                <w:color w:val="000000"/>
                <w:sz w:val="22"/>
                <w:szCs w:val="22"/>
              </w:rPr>
            </w:pPr>
            <w:r w:rsidRPr="001811F3">
              <w:rPr>
                <w:color w:val="000000"/>
                <w:sz w:val="22"/>
                <w:szCs w:val="22"/>
              </w:rPr>
              <w:t>Hayley Goodson</w:t>
            </w:r>
          </w:p>
        </w:tc>
        <w:tc>
          <w:tcPr>
            <w:tcW w:w="1909" w:type="dxa"/>
            <w:gridSpan w:val="3"/>
            <w:tcBorders>
              <w:top w:val="single" w:color="auto" w:sz="4" w:space="0"/>
              <w:bottom w:val="single" w:color="auto" w:sz="4" w:space="0"/>
            </w:tcBorders>
            <w:shd w:val="clear" w:color="auto" w:fill="auto"/>
          </w:tcPr>
          <w:p w:rsidRPr="001811F3" w:rsidR="003B6A1B" w:rsidP="00AF03E6" w:rsidRDefault="005E2663" w14:paraId="69A41F15" w14:textId="3B315C5D">
            <w:pPr>
              <w:keepLines/>
              <w:spacing w:before="60" w:after="60"/>
              <w:jc w:val="center"/>
              <w:rPr>
                <w:color w:val="000000"/>
                <w:sz w:val="22"/>
                <w:szCs w:val="22"/>
              </w:rPr>
            </w:pPr>
            <w:r w:rsidRPr="001811F3">
              <w:rPr>
                <w:color w:val="000000"/>
                <w:sz w:val="22"/>
                <w:szCs w:val="22"/>
              </w:rPr>
              <w:t xml:space="preserve">December </w:t>
            </w:r>
            <w:r w:rsidRPr="001811F3" w:rsidR="00A60DDE">
              <w:rPr>
                <w:color w:val="000000"/>
                <w:sz w:val="22"/>
                <w:szCs w:val="22"/>
              </w:rPr>
              <w:t>2003</w:t>
            </w:r>
          </w:p>
        </w:tc>
        <w:tc>
          <w:tcPr>
            <w:tcW w:w="2291" w:type="dxa"/>
            <w:gridSpan w:val="2"/>
            <w:tcBorders>
              <w:top w:val="single" w:color="auto" w:sz="4" w:space="0"/>
              <w:bottom w:val="single" w:color="auto" w:sz="4" w:space="0"/>
            </w:tcBorders>
            <w:shd w:val="clear" w:color="auto" w:fill="auto"/>
          </w:tcPr>
          <w:p w:rsidRPr="001811F3" w:rsidR="003B6A1B" w:rsidP="00AF03E6" w:rsidRDefault="00B94D91" w14:paraId="58495CD7" w14:textId="5DED7A49">
            <w:pPr>
              <w:keepLines/>
              <w:spacing w:before="60" w:after="60"/>
              <w:jc w:val="center"/>
              <w:rPr>
                <w:color w:val="000000"/>
                <w:sz w:val="22"/>
                <w:szCs w:val="22"/>
              </w:rPr>
            </w:pPr>
            <w:r w:rsidRPr="001811F3">
              <w:rPr>
                <w:color w:val="000000"/>
                <w:sz w:val="22"/>
                <w:szCs w:val="22"/>
              </w:rPr>
              <w:t>228535</w:t>
            </w:r>
          </w:p>
        </w:tc>
        <w:tc>
          <w:tcPr>
            <w:tcW w:w="4353" w:type="dxa"/>
            <w:gridSpan w:val="4"/>
            <w:tcBorders>
              <w:top w:val="single" w:color="auto" w:sz="4" w:space="0"/>
              <w:bottom w:val="single" w:color="auto" w:sz="4" w:space="0"/>
            </w:tcBorders>
            <w:shd w:val="clear" w:color="auto" w:fill="auto"/>
          </w:tcPr>
          <w:p w:rsidRPr="001811F3" w:rsidR="003B6A1B" w:rsidP="00AF03E6" w:rsidRDefault="00A60DDE" w14:paraId="117B99BF" w14:textId="4514F5AD">
            <w:pPr>
              <w:keepLines/>
              <w:spacing w:before="60" w:after="60"/>
              <w:jc w:val="center"/>
              <w:rPr>
                <w:color w:val="000000"/>
                <w:sz w:val="22"/>
                <w:szCs w:val="22"/>
              </w:rPr>
            </w:pPr>
            <w:r w:rsidRPr="001811F3">
              <w:rPr>
                <w:color w:val="000000"/>
                <w:sz w:val="22"/>
                <w:szCs w:val="22"/>
              </w:rPr>
              <w:t>No</w:t>
            </w:r>
          </w:p>
        </w:tc>
      </w:tr>
      <w:tr w:rsidRPr="001811F3" w:rsidR="003B6A1B" w:rsidTr="00F53878" w14:paraId="5D036E2E" w14:textId="77777777">
        <w:trPr>
          <w:trHeight w:val="172"/>
          <w:jc w:val="center"/>
        </w:trPr>
        <w:tc>
          <w:tcPr>
            <w:tcW w:w="2872" w:type="dxa"/>
            <w:gridSpan w:val="3"/>
            <w:tcBorders>
              <w:top w:val="single" w:color="auto" w:sz="4" w:space="0"/>
              <w:bottom w:val="single" w:color="auto" w:sz="4" w:space="0"/>
            </w:tcBorders>
            <w:shd w:val="clear" w:color="auto" w:fill="auto"/>
          </w:tcPr>
          <w:p w:rsidRPr="001811F3" w:rsidR="003B6A1B" w:rsidP="00AF03E6" w:rsidRDefault="002A022F" w14:paraId="3D5F8F51" w14:textId="7AD41534">
            <w:pPr>
              <w:spacing w:before="60" w:after="60"/>
              <w:jc w:val="center"/>
              <w:rPr>
                <w:color w:val="000000"/>
                <w:sz w:val="22"/>
                <w:szCs w:val="22"/>
              </w:rPr>
            </w:pPr>
            <w:r w:rsidRPr="001811F3">
              <w:rPr>
                <w:color w:val="000000"/>
                <w:sz w:val="22"/>
                <w:szCs w:val="22"/>
              </w:rPr>
              <w:t>Marcel Hawiger</w:t>
            </w:r>
          </w:p>
        </w:tc>
        <w:tc>
          <w:tcPr>
            <w:tcW w:w="1909" w:type="dxa"/>
            <w:gridSpan w:val="3"/>
            <w:tcBorders>
              <w:top w:val="single" w:color="auto" w:sz="4" w:space="0"/>
              <w:bottom w:val="single" w:color="auto" w:sz="4" w:space="0"/>
            </w:tcBorders>
            <w:shd w:val="clear" w:color="auto" w:fill="auto"/>
          </w:tcPr>
          <w:p w:rsidRPr="001811F3" w:rsidR="003B6A1B" w:rsidP="00AF03E6" w:rsidRDefault="005E2663" w14:paraId="1609FC8E" w14:textId="38609FA7">
            <w:pPr>
              <w:spacing w:before="60" w:after="60"/>
              <w:jc w:val="center"/>
              <w:rPr>
                <w:color w:val="000000"/>
                <w:sz w:val="22"/>
                <w:szCs w:val="22"/>
              </w:rPr>
            </w:pPr>
            <w:r w:rsidRPr="001811F3">
              <w:rPr>
                <w:color w:val="000000"/>
                <w:sz w:val="22"/>
                <w:szCs w:val="22"/>
              </w:rPr>
              <w:t xml:space="preserve">January </w:t>
            </w:r>
            <w:r w:rsidRPr="001811F3" w:rsidR="00A60DDE">
              <w:rPr>
                <w:color w:val="000000"/>
                <w:sz w:val="22"/>
                <w:szCs w:val="22"/>
              </w:rPr>
              <w:t>1998</w:t>
            </w:r>
          </w:p>
        </w:tc>
        <w:tc>
          <w:tcPr>
            <w:tcW w:w="2291" w:type="dxa"/>
            <w:gridSpan w:val="2"/>
            <w:tcBorders>
              <w:top w:val="single" w:color="auto" w:sz="4" w:space="0"/>
              <w:bottom w:val="single" w:color="auto" w:sz="4" w:space="0"/>
            </w:tcBorders>
            <w:shd w:val="clear" w:color="auto" w:fill="auto"/>
          </w:tcPr>
          <w:p w:rsidRPr="001811F3" w:rsidR="003B6A1B" w:rsidP="00AF03E6" w:rsidRDefault="00B94D91" w14:paraId="182A9D2B" w14:textId="2D6384F9">
            <w:pPr>
              <w:spacing w:before="60" w:after="60"/>
              <w:jc w:val="center"/>
              <w:rPr>
                <w:color w:val="000000"/>
                <w:sz w:val="22"/>
                <w:szCs w:val="22"/>
              </w:rPr>
            </w:pPr>
            <w:r w:rsidRPr="001811F3">
              <w:rPr>
                <w:color w:val="000000"/>
                <w:sz w:val="22"/>
                <w:szCs w:val="22"/>
              </w:rPr>
              <w:t>194244</w:t>
            </w:r>
          </w:p>
        </w:tc>
        <w:tc>
          <w:tcPr>
            <w:tcW w:w="4353" w:type="dxa"/>
            <w:gridSpan w:val="4"/>
            <w:tcBorders>
              <w:top w:val="single" w:color="auto" w:sz="4" w:space="0"/>
              <w:bottom w:val="single" w:color="auto" w:sz="4" w:space="0"/>
            </w:tcBorders>
            <w:shd w:val="clear" w:color="auto" w:fill="auto"/>
          </w:tcPr>
          <w:p w:rsidRPr="001811F3" w:rsidR="003B6A1B" w:rsidP="00AF03E6" w:rsidRDefault="00A60DDE" w14:paraId="35DC3C56" w14:textId="3C4F6D17">
            <w:pPr>
              <w:spacing w:before="60" w:after="60"/>
              <w:jc w:val="center"/>
              <w:rPr>
                <w:color w:val="000000"/>
                <w:sz w:val="22"/>
                <w:szCs w:val="22"/>
              </w:rPr>
            </w:pPr>
            <w:r w:rsidRPr="001811F3">
              <w:rPr>
                <w:color w:val="000000"/>
                <w:sz w:val="22"/>
                <w:szCs w:val="22"/>
              </w:rPr>
              <w:t>No</w:t>
            </w:r>
          </w:p>
        </w:tc>
      </w:tr>
      <w:tr w:rsidRPr="001811F3" w:rsidR="00A60DDE" w:rsidTr="00F53878" w14:paraId="70F36C1F" w14:textId="77777777">
        <w:trPr>
          <w:trHeight w:val="172"/>
          <w:jc w:val="center"/>
        </w:trPr>
        <w:tc>
          <w:tcPr>
            <w:tcW w:w="2872" w:type="dxa"/>
            <w:gridSpan w:val="3"/>
            <w:tcBorders>
              <w:top w:val="single" w:color="auto" w:sz="4" w:space="0"/>
              <w:bottom w:val="single" w:color="auto" w:sz="4" w:space="0"/>
            </w:tcBorders>
            <w:shd w:val="clear" w:color="auto" w:fill="auto"/>
          </w:tcPr>
          <w:p w:rsidRPr="001811F3" w:rsidR="00A60DDE" w:rsidP="00AF03E6" w:rsidRDefault="00A60DDE" w14:paraId="178FD16A" w14:textId="28D17AE8">
            <w:pPr>
              <w:spacing w:before="60" w:after="60"/>
              <w:jc w:val="center"/>
              <w:rPr>
                <w:color w:val="000000"/>
                <w:sz w:val="22"/>
                <w:szCs w:val="22"/>
              </w:rPr>
            </w:pPr>
            <w:r w:rsidRPr="001811F3">
              <w:rPr>
                <w:color w:val="000000"/>
                <w:sz w:val="22"/>
                <w:szCs w:val="22"/>
              </w:rPr>
              <w:t>Matthew Freedman</w:t>
            </w:r>
          </w:p>
        </w:tc>
        <w:tc>
          <w:tcPr>
            <w:tcW w:w="1909" w:type="dxa"/>
            <w:gridSpan w:val="3"/>
            <w:tcBorders>
              <w:top w:val="single" w:color="auto" w:sz="4" w:space="0"/>
              <w:bottom w:val="single" w:color="auto" w:sz="4" w:space="0"/>
            </w:tcBorders>
            <w:shd w:val="clear" w:color="auto" w:fill="auto"/>
          </w:tcPr>
          <w:p w:rsidRPr="001811F3" w:rsidR="00A60DDE" w:rsidP="00AF03E6" w:rsidRDefault="000D10DC" w14:paraId="03617DAB" w14:textId="06163432">
            <w:pPr>
              <w:spacing w:before="60" w:after="60"/>
              <w:jc w:val="center"/>
              <w:rPr>
                <w:color w:val="000000"/>
                <w:sz w:val="22"/>
                <w:szCs w:val="22"/>
              </w:rPr>
            </w:pPr>
            <w:r w:rsidRPr="001811F3">
              <w:rPr>
                <w:color w:val="000000"/>
                <w:sz w:val="22"/>
                <w:szCs w:val="22"/>
              </w:rPr>
              <w:t xml:space="preserve">March </w:t>
            </w:r>
            <w:r w:rsidRPr="001811F3" w:rsidR="00A60DDE">
              <w:rPr>
                <w:color w:val="000000"/>
                <w:sz w:val="22"/>
                <w:szCs w:val="22"/>
              </w:rPr>
              <w:t>2001</w:t>
            </w:r>
          </w:p>
        </w:tc>
        <w:tc>
          <w:tcPr>
            <w:tcW w:w="2291" w:type="dxa"/>
            <w:gridSpan w:val="2"/>
            <w:tcBorders>
              <w:top w:val="single" w:color="auto" w:sz="4" w:space="0"/>
              <w:bottom w:val="single" w:color="auto" w:sz="4" w:space="0"/>
            </w:tcBorders>
            <w:shd w:val="clear" w:color="auto" w:fill="auto"/>
          </w:tcPr>
          <w:p w:rsidRPr="001811F3" w:rsidR="00A60DDE" w:rsidP="00AF03E6" w:rsidRDefault="000D10DC" w14:paraId="4E1EB866" w14:textId="6E09F1D4">
            <w:pPr>
              <w:spacing w:before="60" w:after="60"/>
              <w:jc w:val="center"/>
              <w:rPr>
                <w:color w:val="000000"/>
                <w:sz w:val="22"/>
                <w:szCs w:val="22"/>
              </w:rPr>
            </w:pPr>
            <w:r w:rsidRPr="001811F3">
              <w:rPr>
                <w:color w:val="000000"/>
                <w:sz w:val="22"/>
                <w:szCs w:val="22"/>
              </w:rPr>
              <w:t>214812</w:t>
            </w:r>
          </w:p>
        </w:tc>
        <w:tc>
          <w:tcPr>
            <w:tcW w:w="4353" w:type="dxa"/>
            <w:gridSpan w:val="4"/>
            <w:tcBorders>
              <w:top w:val="single" w:color="auto" w:sz="4" w:space="0"/>
              <w:bottom w:val="single" w:color="auto" w:sz="4" w:space="0"/>
            </w:tcBorders>
            <w:shd w:val="clear" w:color="auto" w:fill="auto"/>
          </w:tcPr>
          <w:p w:rsidRPr="001811F3" w:rsidR="00A60DDE" w:rsidP="00AF03E6" w:rsidRDefault="00A60DDE" w14:paraId="0B951280" w14:textId="2CAD3A5F">
            <w:pPr>
              <w:spacing w:before="60" w:after="60"/>
              <w:jc w:val="center"/>
              <w:rPr>
                <w:color w:val="000000"/>
                <w:sz w:val="22"/>
                <w:szCs w:val="22"/>
              </w:rPr>
            </w:pPr>
            <w:r w:rsidRPr="001811F3">
              <w:rPr>
                <w:color w:val="000000"/>
                <w:sz w:val="22"/>
                <w:szCs w:val="22"/>
              </w:rPr>
              <w:t>No</w:t>
            </w:r>
          </w:p>
        </w:tc>
      </w:tr>
    </w:tbl>
    <w:p w:rsidRPr="00AF03E6" w:rsidR="00A92D0B" w:rsidP="00AF03E6" w:rsidRDefault="00A92D0B" w14:paraId="04BC309E" w14:textId="3CD852CE">
      <w:pPr>
        <w:keepNext/>
        <w:numPr>
          <w:ilvl w:val="0"/>
          <w:numId w:val="9"/>
        </w:numPr>
        <w:spacing w:before="240" w:after="240"/>
        <w:rPr>
          <w:b/>
          <w:color w:val="000000"/>
        </w:rPr>
      </w:pPr>
      <w:r w:rsidRPr="005B5B44">
        <w:rPr>
          <w:b/>
          <w:color w:val="000000"/>
        </w:rPr>
        <w:t>Attachments</w:t>
      </w:r>
      <w:r w:rsidRPr="007F620E">
        <w:rPr>
          <w:b/>
        </w:rPr>
        <w:t xml:space="preserve"> Documenting Specific Claim and Comments on Part III</w:t>
      </w:r>
      <w:r w:rsidR="00AF03E6">
        <w:rPr>
          <w:rStyle w:val="FootnoteReference"/>
          <w:b/>
        </w:rPr>
        <w:footnoteReference w:id="5"/>
      </w:r>
      <w:r w:rsidR="00C02649">
        <w:rPr>
          <w:b/>
        </w:rPr>
        <w:t>:</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795"/>
        <w:gridCol w:w="7565"/>
      </w:tblGrid>
      <w:tr w:rsidRPr="007F620E" w:rsidR="00A92D0B" w:rsidTr="001A3CF3" w14:paraId="0C2B760A" w14:textId="77777777">
        <w:trPr>
          <w:tblHeader/>
        </w:trPr>
        <w:tc>
          <w:tcPr>
            <w:tcW w:w="1795" w:type="dxa"/>
            <w:shd w:val="clear" w:color="auto" w:fill="D9D9D9" w:themeFill="background1" w:themeFillShade="D9"/>
            <w:vAlign w:val="bottom"/>
          </w:tcPr>
          <w:p w:rsidRPr="007F620E" w:rsidR="00A92D0B" w:rsidP="001A3CF3" w:rsidRDefault="00A92D0B" w14:paraId="42A1D838" w14:textId="77777777">
            <w:pPr>
              <w:tabs>
                <w:tab w:val="left" w:pos="1260"/>
              </w:tabs>
              <w:jc w:val="center"/>
              <w:rPr>
                <w:b/>
                <w:color w:val="000000"/>
              </w:rPr>
            </w:pPr>
            <w:r w:rsidRPr="007F620E">
              <w:rPr>
                <w:b/>
                <w:color w:val="000000"/>
              </w:rPr>
              <w:t>Attachment or Comment  #</w:t>
            </w:r>
          </w:p>
        </w:tc>
        <w:tc>
          <w:tcPr>
            <w:tcW w:w="7565" w:type="dxa"/>
            <w:tcBorders>
              <w:bottom w:val="single" w:color="auto" w:sz="4" w:space="0"/>
            </w:tcBorders>
            <w:shd w:val="clear" w:color="auto" w:fill="D9D9D9" w:themeFill="background1" w:themeFillShade="D9"/>
            <w:vAlign w:val="bottom"/>
          </w:tcPr>
          <w:p w:rsidRPr="007F620E" w:rsidR="00A92D0B" w:rsidP="001A3CF3" w:rsidRDefault="00A92D0B" w14:paraId="55F0A65F" w14:textId="77777777">
            <w:pPr>
              <w:tabs>
                <w:tab w:val="left" w:pos="1260"/>
              </w:tabs>
              <w:jc w:val="center"/>
              <w:rPr>
                <w:b/>
                <w:color w:val="000000"/>
              </w:rPr>
            </w:pPr>
            <w:r w:rsidRPr="007F620E">
              <w:rPr>
                <w:b/>
                <w:color w:val="000000"/>
              </w:rPr>
              <w:t>Description/Comment</w:t>
            </w:r>
          </w:p>
        </w:tc>
      </w:tr>
      <w:tr w:rsidRPr="007F620E" w:rsidR="00A92D0B" w:rsidTr="0062130A" w14:paraId="71F47148" w14:textId="77777777">
        <w:tc>
          <w:tcPr>
            <w:tcW w:w="1795" w:type="dxa"/>
            <w:tcBorders>
              <w:bottom w:val="single" w:color="auto" w:sz="4" w:space="0"/>
            </w:tcBorders>
            <w:shd w:val="clear" w:color="auto" w:fill="auto"/>
          </w:tcPr>
          <w:p w:rsidRPr="007F620E" w:rsidR="00A92D0B" w:rsidP="001A3CF3" w:rsidRDefault="0024368D" w14:paraId="7A5C03D8" w14:textId="15BA63B8">
            <w:pPr>
              <w:tabs>
                <w:tab w:val="left" w:pos="1260"/>
              </w:tabs>
              <w:rPr>
                <w:color w:val="000000"/>
              </w:rPr>
            </w:pPr>
            <w:r>
              <w:rPr>
                <w:color w:val="000000"/>
              </w:rPr>
              <w:t xml:space="preserve">Attachment </w:t>
            </w:r>
            <w:r w:rsidRPr="007F620E" w:rsidR="00A92D0B">
              <w:rPr>
                <w:color w:val="000000"/>
              </w:rPr>
              <w:t>1</w:t>
            </w:r>
          </w:p>
        </w:tc>
        <w:tc>
          <w:tcPr>
            <w:tcW w:w="7565" w:type="dxa"/>
            <w:tcBorders>
              <w:bottom w:val="single" w:color="auto" w:sz="4" w:space="0"/>
            </w:tcBorders>
            <w:shd w:val="clear" w:color="auto" w:fill="auto"/>
          </w:tcPr>
          <w:p w:rsidRPr="001C0DD1" w:rsidR="00A92D0B" w:rsidP="001A3CF3" w:rsidRDefault="00A92D0B" w14:paraId="370C67BC" w14:textId="77777777">
            <w:pPr>
              <w:tabs>
                <w:tab w:val="left" w:pos="1260"/>
              </w:tabs>
              <w:rPr>
                <w:color w:val="000000"/>
              </w:rPr>
            </w:pPr>
            <w:r w:rsidRPr="001C0DD1">
              <w:rPr>
                <w:color w:val="000000"/>
              </w:rPr>
              <w:t>Certificate of Service</w:t>
            </w:r>
          </w:p>
        </w:tc>
      </w:tr>
      <w:tr w:rsidRPr="007F620E" w:rsidR="00A92D0B" w:rsidTr="0062130A" w14:paraId="72C869B0" w14:textId="77777777">
        <w:tc>
          <w:tcPr>
            <w:tcW w:w="1795" w:type="dxa"/>
            <w:shd w:val="clear" w:color="auto" w:fill="auto"/>
          </w:tcPr>
          <w:p w:rsidRPr="007F620E" w:rsidR="00A92D0B" w:rsidP="001A3CF3" w:rsidRDefault="0024368D" w14:paraId="49AADD21" w14:textId="65334BB1">
            <w:pPr>
              <w:tabs>
                <w:tab w:val="left" w:pos="1260"/>
              </w:tabs>
              <w:rPr>
                <w:color w:val="000000"/>
              </w:rPr>
            </w:pPr>
            <w:r>
              <w:rPr>
                <w:color w:val="000000"/>
              </w:rPr>
              <w:t xml:space="preserve">Attachment </w:t>
            </w:r>
            <w:r w:rsidR="0022302F">
              <w:rPr>
                <w:color w:val="000000"/>
              </w:rPr>
              <w:t>2</w:t>
            </w:r>
          </w:p>
        </w:tc>
        <w:tc>
          <w:tcPr>
            <w:tcW w:w="7565" w:type="dxa"/>
            <w:shd w:val="clear" w:color="auto" w:fill="auto"/>
          </w:tcPr>
          <w:p w:rsidRPr="00037D44" w:rsidR="00A92D0B" w:rsidP="001A3CF3" w:rsidRDefault="005C6ABF" w14:paraId="3AF20C23" w14:textId="7CCD449E">
            <w:pPr>
              <w:tabs>
                <w:tab w:val="left" w:pos="1260"/>
              </w:tabs>
              <w:rPr>
                <w:bCs/>
                <w:color w:val="000000"/>
              </w:rPr>
            </w:pPr>
            <w:r w:rsidRPr="00037D44">
              <w:rPr>
                <w:bCs/>
                <w:color w:val="000000"/>
              </w:rPr>
              <w:t>Timesheets for TURN Attorneys and Consultants</w:t>
            </w:r>
          </w:p>
        </w:tc>
      </w:tr>
      <w:tr w:rsidRPr="007F620E" w:rsidR="005C6ABF" w:rsidTr="0062130A" w14:paraId="367D08F1" w14:textId="77777777">
        <w:tc>
          <w:tcPr>
            <w:tcW w:w="1795" w:type="dxa"/>
            <w:shd w:val="clear" w:color="auto" w:fill="auto"/>
          </w:tcPr>
          <w:p w:rsidR="005C6ABF" w:rsidP="001A3CF3" w:rsidRDefault="0024368D" w14:paraId="219FFFB7" w14:textId="16E796F8">
            <w:pPr>
              <w:tabs>
                <w:tab w:val="left" w:pos="1260"/>
              </w:tabs>
              <w:rPr>
                <w:color w:val="000000"/>
              </w:rPr>
            </w:pPr>
            <w:r>
              <w:rPr>
                <w:color w:val="000000"/>
              </w:rPr>
              <w:t xml:space="preserve">Attachment </w:t>
            </w:r>
            <w:r w:rsidR="005C6ABF">
              <w:rPr>
                <w:color w:val="000000"/>
              </w:rPr>
              <w:t>3</w:t>
            </w:r>
          </w:p>
        </w:tc>
        <w:tc>
          <w:tcPr>
            <w:tcW w:w="7565" w:type="dxa"/>
            <w:shd w:val="clear" w:color="auto" w:fill="auto"/>
          </w:tcPr>
          <w:p w:rsidRPr="00037D44" w:rsidR="005C6ABF" w:rsidP="001A3CF3" w:rsidRDefault="005C6ABF" w14:paraId="1221D1DF" w14:textId="4E712ACA">
            <w:pPr>
              <w:tabs>
                <w:tab w:val="left" w:pos="1260"/>
              </w:tabs>
              <w:rPr>
                <w:bCs/>
                <w:color w:val="000000"/>
              </w:rPr>
            </w:pPr>
            <w:r w:rsidRPr="00037D44">
              <w:rPr>
                <w:bCs/>
                <w:color w:val="000000"/>
              </w:rPr>
              <w:t xml:space="preserve">TURN Hours Allocated by </w:t>
            </w:r>
            <w:r w:rsidR="006D1762">
              <w:rPr>
                <w:bCs/>
                <w:color w:val="000000"/>
              </w:rPr>
              <w:t>Activity Code</w:t>
            </w:r>
          </w:p>
        </w:tc>
      </w:tr>
      <w:tr w:rsidRPr="007F620E" w:rsidR="00001C8D" w:rsidTr="0062130A" w14:paraId="01B01B17" w14:textId="77777777">
        <w:tc>
          <w:tcPr>
            <w:tcW w:w="1795" w:type="dxa"/>
            <w:shd w:val="clear" w:color="auto" w:fill="auto"/>
          </w:tcPr>
          <w:p w:rsidR="00001C8D" w:rsidP="001A3CF3" w:rsidRDefault="00001C8D" w14:paraId="56DBDD4E" w14:textId="6CF5BD17">
            <w:pPr>
              <w:tabs>
                <w:tab w:val="left" w:pos="1260"/>
              </w:tabs>
              <w:rPr>
                <w:color w:val="000000"/>
              </w:rPr>
            </w:pPr>
            <w:r>
              <w:rPr>
                <w:color w:val="000000"/>
              </w:rPr>
              <w:t>Attachment 4</w:t>
            </w:r>
          </w:p>
        </w:tc>
        <w:tc>
          <w:tcPr>
            <w:tcW w:w="7565" w:type="dxa"/>
            <w:shd w:val="clear" w:color="auto" w:fill="auto"/>
          </w:tcPr>
          <w:p w:rsidRPr="00180318" w:rsidR="00001C8D" w:rsidP="001A3CF3" w:rsidRDefault="00001C8D" w14:paraId="4BC5E35C" w14:textId="796CB774">
            <w:pPr>
              <w:tabs>
                <w:tab w:val="left" w:pos="1260"/>
              </w:tabs>
              <w:rPr>
                <w:bCs/>
                <w:color w:val="000000"/>
                <w:highlight w:val="yellow"/>
              </w:rPr>
            </w:pPr>
            <w:r w:rsidRPr="00E67B52">
              <w:rPr>
                <w:bCs/>
                <w:color w:val="000000"/>
              </w:rPr>
              <w:t>Documentation of Consultant Hourly Rates</w:t>
            </w:r>
          </w:p>
        </w:tc>
      </w:tr>
      <w:tr w:rsidRPr="007F620E" w:rsidR="0024368D" w:rsidTr="0062130A" w14:paraId="079E538D" w14:textId="77777777">
        <w:tc>
          <w:tcPr>
            <w:tcW w:w="1795" w:type="dxa"/>
            <w:shd w:val="clear" w:color="auto" w:fill="auto"/>
          </w:tcPr>
          <w:p w:rsidR="0024368D" w:rsidP="001A3CF3" w:rsidRDefault="0024368D" w14:paraId="1152E372" w14:textId="16DBE433">
            <w:pPr>
              <w:tabs>
                <w:tab w:val="left" w:pos="1260"/>
              </w:tabs>
              <w:rPr>
                <w:color w:val="000000"/>
              </w:rPr>
            </w:pPr>
            <w:r>
              <w:rPr>
                <w:color w:val="000000"/>
              </w:rPr>
              <w:t>Comment 1</w:t>
            </w:r>
          </w:p>
        </w:tc>
        <w:tc>
          <w:tcPr>
            <w:tcW w:w="7565" w:type="dxa"/>
            <w:shd w:val="clear" w:color="auto" w:fill="auto"/>
          </w:tcPr>
          <w:p w:rsidRPr="00180318" w:rsidR="0024368D" w:rsidP="001A3CF3" w:rsidRDefault="000C6A2B" w14:paraId="4901420D" w14:textId="38932FFC">
            <w:pPr>
              <w:tabs>
                <w:tab w:val="left" w:pos="1260"/>
              </w:tabs>
              <w:rPr>
                <w:b/>
                <w:color w:val="000000"/>
              </w:rPr>
            </w:pPr>
            <w:r w:rsidRPr="004D1A11">
              <w:rPr>
                <w:b/>
                <w:color w:val="000000"/>
              </w:rPr>
              <w:t>Hourly Rate for TURN Consultant Cynthia Mitchell</w:t>
            </w:r>
            <w:r w:rsidR="00BC4E85">
              <w:rPr>
                <w:b/>
                <w:color w:val="000000"/>
              </w:rPr>
              <w:t xml:space="preserve"> -- 2020</w:t>
            </w:r>
          </w:p>
          <w:p w:rsidR="00001C8D" w:rsidP="001A3CF3" w:rsidRDefault="00001C8D" w14:paraId="27792486" w14:textId="77777777">
            <w:pPr>
              <w:tabs>
                <w:tab w:val="left" w:pos="1260"/>
              </w:tabs>
              <w:rPr>
                <w:bCs/>
                <w:color w:val="000000"/>
              </w:rPr>
            </w:pPr>
          </w:p>
          <w:p w:rsidR="00A81D33" w:rsidP="004B3AFB" w:rsidRDefault="004B3AFB" w14:paraId="66FE4784" w14:textId="314E8D47">
            <w:pPr>
              <w:tabs>
                <w:tab w:val="left" w:pos="1260"/>
              </w:tabs>
              <w:rPr>
                <w:bCs/>
                <w:color w:val="000000"/>
              </w:rPr>
            </w:pPr>
            <w:r>
              <w:rPr>
                <w:bCs/>
                <w:color w:val="000000"/>
              </w:rPr>
              <w:t xml:space="preserve">TURN requests an hourly rate of $250 for the work performed by </w:t>
            </w:r>
            <w:r w:rsidR="000C5B71">
              <w:rPr>
                <w:bCs/>
                <w:color w:val="000000"/>
              </w:rPr>
              <w:t xml:space="preserve">expert </w:t>
            </w:r>
            <w:r>
              <w:rPr>
                <w:bCs/>
                <w:color w:val="000000"/>
              </w:rPr>
              <w:t xml:space="preserve">consultant Cynthia Mitchell in 2020 for TURN in this proceeding.  </w:t>
            </w:r>
            <w:r w:rsidR="00A81D33">
              <w:rPr>
                <w:bCs/>
                <w:color w:val="000000"/>
              </w:rPr>
              <w:t>The requested rate is equal to the rate previously found reasonable by the Commission</w:t>
            </w:r>
            <w:r w:rsidR="00492492">
              <w:rPr>
                <w:bCs/>
                <w:color w:val="000000"/>
              </w:rPr>
              <w:t xml:space="preserve"> in D.20-05-016</w:t>
            </w:r>
            <w:r w:rsidR="00A81D33">
              <w:rPr>
                <w:bCs/>
                <w:color w:val="000000"/>
              </w:rPr>
              <w:t xml:space="preserve"> for Ms. Mitchell’s work in 2019 </w:t>
            </w:r>
            <w:r w:rsidR="00C46763">
              <w:rPr>
                <w:bCs/>
                <w:color w:val="000000"/>
              </w:rPr>
              <w:t>($245)</w:t>
            </w:r>
            <w:r w:rsidR="00492492">
              <w:rPr>
                <w:bCs/>
                <w:color w:val="000000"/>
              </w:rPr>
              <w:t xml:space="preserve">, adjusted by the </w:t>
            </w:r>
            <w:r w:rsidR="00A221A2">
              <w:rPr>
                <w:bCs/>
                <w:color w:val="000000"/>
              </w:rPr>
              <w:t>2.55% COLA authorized by the Commission for 2020 in Resolution ALJ-387</w:t>
            </w:r>
            <w:r w:rsidR="00C93874">
              <w:rPr>
                <w:bCs/>
                <w:color w:val="000000"/>
              </w:rPr>
              <w:t>, and rounded to the nearest $5 increment</w:t>
            </w:r>
            <w:r w:rsidR="00A221A2">
              <w:rPr>
                <w:bCs/>
                <w:color w:val="000000"/>
              </w:rPr>
              <w:t>.  [$24</w:t>
            </w:r>
            <w:r w:rsidR="00C46763">
              <w:rPr>
                <w:bCs/>
                <w:color w:val="000000"/>
              </w:rPr>
              <w:t>5</w:t>
            </w:r>
            <w:r w:rsidR="00732F3E">
              <w:rPr>
                <w:bCs/>
                <w:color w:val="000000"/>
              </w:rPr>
              <w:t xml:space="preserve"> * 1.0255 = </w:t>
            </w:r>
            <w:r w:rsidR="00C46763">
              <w:rPr>
                <w:bCs/>
                <w:color w:val="000000"/>
              </w:rPr>
              <w:t>$</w:t>
            </w:r>
            <w:r w:rsidR="00C93874">
              <w:rPr>
                <w:bCs/>
                <w:color w:val="000000"/>
              </w:rPr>
              <w:t>251.25]</w:t>
            </w:r>
          </w:p>
          <w:p w:rsidR="00A81D33" w:rsidP="004B3AFB" w:rsidRDefault="00A81D33" w14:paraId="63DC014A" w14:textId="77777777">
            <w:pPr>
              <w:tabs>
                <w:tab w:val="left" w:pos="1260"/>
              </w:tabs>
              <w:rPr>
                <w:bCs/>
                <w:color w:val="000000"/>
              </w:rPr>
            </w:pPr>
          </w:p>
          <w:p w:rsidRPr="00037D44" w:rsidR="00001C8D" w:rsidP="001811F3" w:rsidRDefault="004B3AFB" w14:paraId="33EC3447" w14:textId="2C359630">
            <w:pPr>
              <w:tabs>
                <w:tab w:val="left" w:pos="1260"/>
              </w:tabs>
              <w:rPr>
                <w:bCs/>
                <w:color w:val="000000"/>
              </w:rPr>
            </w:pPr>
            <w:r>
              <w:rPr>
                <w:bCs/>
                <w:color w:val="000000"/>
              </w:rPr>
              <w:lastRenderedPageBreak/>
              <w:t xml:space="preserve">The requested rate is the same rate </w:t>
            </w:r>
            <w:r w:rsidR="00AD0614">
              <w:rPr>
                <w:bCs/>
                <w:color w:val="000000"/>
              </w:rPr>
              <w:t>Ms. Mitchell’</w:t>
            </w:r>
            <w:r>
              <w:rPr>
                <w:bCs/>
                <w:color w:val="000000"/>
              </w:rPr>
              <w:t xml:space="preserve">s firm </w:t>
            </w:r>
            <w:r w:rsidR="00AD0614">
              <w:rPr>
                <w:bCs/>
                <w:color w:val="000000"/>
              </w:rPr>
              <w:t xml:space="preserve">Energy Economics Inc. </w:t>
            </w:r>
            <w:r>
              <w:rPr>
                <w:bCs/>
                <w:color w:val="000000"/>
              </w:rPr>
              <w:t>charged TURN for h</w:t>
            </w:r>
            <w:r w:rsidR="00AD0614">
              <w:rPr>
                <w:bCs/>
                <w:color w:val="000000"/>
              </w:rPr>
              <w:t>er</w:t>
            </w:r>
            <w:r>
              <w:rPr>
                <w:bCs/>
                <w:color w:val="000000"/>
              </w:rPr>
              <w:t xml:space="preserve"> services, as shown in the invoice from </w:t>
            </w:r>
            <w:r w:rsidR="00AD0614">
              <w:rPr>
                <w:bCs/>
                <w:color w:val="000000"/>
              </w:rPr>
              <w:t xml:space="preserve">Energy Economics Inc. </w:t>
            </w:r>
            <w:r>
              <w:rPr>
                <w:bCs/>
                <w:color w:val="000000"/>
              </w:rPr>
              <w:t xml:space="preserve">to TURN included in Attachment 4 to this claim.  </w:t>
            </w:r>
          </w:p>
        </w:tc>
      </w:tr>
      <w:tr w:rsidRPr="007F620E" w:rsidR="0024368D" w:rsidTr="0062130A" w14:paraId="0DB22D93" w14:textId="77777777">
        <w:tc>
          <w:tcPr>
            <w:tcW w:w="1795" w:type="dxa"/>
            <w:shd w:val="clear" w:color="auto" w:fill="auto"/>
          </w:tcPr>
          <w:p w:rsidR="0024368D" w:rsidP="001A3CF3" w:rsidRDefault="0024368D" w14:paraId="5D06CDA5" w14:textId="0CA40D7D">
            <w:pPr>
              <w:tabs>
                <w:tab w:val="left" w:pos="1260"/>
              </w:tabs>
              <w:rPr>
                <w:color w:val="000000"/>
              </w:rPr>
            </w:pPr>
            <w:r>
              <w:rPr>
                <w:color w:val="000000"/>
              </w:rPr>
              <w:lastRenderedPageBreak/>
              <w:t>Comment 2</w:t>
            </w:r>
          </w:p>
        </w:tc>
        <w:tc>
          <w:tcPr>
            <w:tcW w:w="7565" w:type="dxa"/>
            <w:shd w:val="clear" w:color="auto" w:fill="auto"/>
          </w:tcPr>
          <w:p w:rsidR="0024368D" w:rsidP="001A3CF3" w:rsidRDefault="000C6A2B" w14:paraId="617FBC01" w14:textId="3A01D4E5">
            <w:pPr>
              <w:tabs>
                <w:tab w:val="left" w:pos="1260"/>
              </w:tabs>
              <w:rPr>
                <w:b/>
                <w:color w:val="000000"/>
              </w:rPr>
            </w:pPr>
            <w:r w:rsidRPr="004D1A11">
              <w:rPr>
                <w:b/>
                <w:color w:val="000000"/>
              </w:rPr>
              <w:t>Hourly Rate for TURN Consultant Kevin Woodruff</w:t>
            </w:r>
            <w:r w:rsidR="00BC4E85">
              <w:rPr>
                <w:b/>
                <w:color w:val="000000"/>
              </w:rPr>
              <w:t xml:space="preserve"> -- 2020</w:t>
            </w:r>
          </w:p>
          <w:p w:rsidR="002322C6" w:rsidP="001A3CF3" w:rsidRDefault="002322C6" w14:paraId="763A8F05" w14:textId="77777777">
            <w:pPr>
              <w:tabs>
                <w:tab w:val="left" w:pos="1260"/>
              </w:tabs>
              <w:rPr>
                <w:b/>
                <w:color w:val="000000"/>
              </w:rPr>
            </w:pPr>
          </w:p>
          <w:p w:rsidR="002322C6" w:rsidP="002322C6" w:rsidRDefault="002322C6" w14:paraId="46173CFB" w14:textId="4EACD042">
            <w:pPr>
              <w:tabs>
                <w:tab w:val="left" w:pos="1260"/>
              </w:tabs>
              <w:rPr>
                <w:bCs/>
                <w:color w:val="000000"/>
              </w:rPr>
            </w:pPr>
            <w:r>
              <w:rPr>
                <w:bCs/>
                <w:color w:val="000000"/>
              </w:rPr>
              <w:t xml:space="preserve">TURN requests an hourly rate of $270 for the work performed by </w:t>
            </w:r>
            <w:r w:rsidR="000C5B71">
              <w:rPr>
                <w:bCs/>
                <w:color w:val="000000"/>
              </w:rPr>
              <w:t xml:space="preserve">expert </w:t>
            </w:r>
            <w:r>
              <w:rPr>
                <w:bCs/>
                <w:color w:val="000000"/>
              </w:rPr>
              <w:t xml:space="preserve">consultant Kevin Woodruff in 2020 for TURN in this proceeding.  </w:t>
            </w:r>
            <w:r w:rsidR="005E6220">
              <w:rPr>
                <w:bCs/>
                <w:color w:val="000000"/>
              </w:rPr>
              <w:t>In D.20</w:t>
            </w:r>
            <w:r w:rsidR="00B44819">
              <w:rPr>
                <w:bCs/>
                <w:color w:val="000000"/>
              </w:rPr>
              <w:noBreakHyphen/>
            </w:r>
            <w:r w:rsidR="005E6220">
              <w:rPr>
                <w:bCs/>
                <w:color w:val="000000"/>
              </w:rPr>
              <w:t>05-050, t</w:t>
            </w:r>
            <w:r>
              <w:rPr>
                <w:bCs/>
                <w:color w:val="000000"/>
              </w:rPr>
              <w:t xml:space="preserve">he Commission previously found a rate of $270 reasonable for Mr. Woodruff’s work as a TURN consultant in </w:t>
            </w:r>
            <w:r w:rsidR="00CD385E">
              <w:rPr>
                <w:bCs/>
                <w:color w:val="000000"/>
              </w:rPr>
              <w:t xml:space="preserve">2019, the year before he performed </w:t>
            </w:r>
            <w:r w:rsidR="006E0677">
              <w:rPr>
                <w:bCs/>
                <w:color w:val="000000"/>
              </w:rPr>
              <w:t xml:space="preserve">the </w:t>
            </w:r>
            <w:r w:rsidR="00CD385E">
              <w:rPr>
                <w:bCs/>
                <w:color w:val="000000"/>
              </w:rPr>
              <w:t>work for TURN</w:t>
            </w:r>
            <w:r w:rsidR="003D1303">
              <w:rPr>
                <w:bCs/>
                <w:color w:val="000000"/>
              </w:rPr>
              <w:t xml:space="preserve"> included in this claim</w:t>
            </w:r>
            <w:r>
              <w:rPr>
                <w:bCs/>
                <w:color w:val="000000"/>
              </w:rPr>
              <w:t xml:space="preserve">.  </w:t>
            </w:r>
          </w:p>
          <w:p w:rsidR="002322C6" w:rsidP="002322C6" w:rsidRDefault="002322C6" w14:paraId="048B3D2F" w14:textId="77777777">
            <w:pPr>
              <w:tabs>
                <w:tab w:val="left" w:pos="1260"/>
              </w:tabs>
              <w:rPr>
                <w:bCs/>
                <w:color w:val="000000"/>
              </w:rPr>
            </w:pPr>
          </w:p>
          <w:p w:rsidRPr="00E126F2" w:rsidR="00001C8D" w:rsidP="001A3CF3" w:rsidRDefault="002322C6" w14:paraId="1224EAE4" w14:textId="5AFDB57B">
            <w:pPr>
              <w:tabs>
                <w:tab w:val="left" w:pos="1260"/>
              </w:tabs>
              <w:rPr>
                <w:b/>
                <w:color w:val="000000"/>
              </w:rPr>
            </w:pPr>
            <w:r>
              <w:rPr>
                <w:bCs/>
                <w:color w:val="000000"/>
              </w:rPr>
              <w:t xml:space="preserve">The requested rate is the same rate </w:t>
            </w:r>
            <w:r w:rsidR="00DB14E5">
              <w:rPr>
                <w:bCs/>
                <w:color w:val="000000"/>
              </w:rPr>
              <w:t>Mr. Woodruff</w:t>
            </w:r>
            <w:r w:rsidR="006E0677">
              <w:rPr>
                <w:bCs/>
                <w:color w:val="000000"/>
              </w:rPr>
              <w:t>’</w:t>
            </w:r>
            <w:r w:rsidR="00DB14E5">
              <w:rPr>
                <w:bCs/>
                <w:color w:val="000000"/>
              </w:rPr>
              <w:t>s firm Woodruff Expert Service</w:t>
            </w:r>
            <w:r w:rsidR="00F566E3">
              <w:rPr>
                <w:bCs/>
                <w:color w:val="000000"/>
              </w:rPr>
              <w:t>s</w:t>
            </w:r>
            <w:r w:rsidR="00DB14E5">
              <w:rPr>
                <w:bCs/>
                <w:color w:val="000000"/>
              </w:rPr>
              <w:t xml:space="preserve"> </w:t>
            </w:r>
            <w:r w:rsidR="00610017">
              <w:rPr>
                <w:bCs/>
                <w:color w:val="000000"/>
              </w:rPr>
              <w:t>charged</w:t>
            </w:r>
            <w:r>
              <w:rPr>
                <w:bCs/>
                <w:color w:val="000000"/>
              </w:rPr>
              <w:t xml:space="preserve"> TURN for </w:t>
            </w:r>
            <w:r w:rsidR="00DB14E5">
              <w:rPr>
                <w:bCs/>
                <w:color w:val="000000"/>
              </w:rPr>
              <w:t>his</w:t>
            </w:r>
            <w:r w:rsidR="00E126F2">
              <w:rPr>
                <w:bCs/>
                <w:color w:val="000000"/>
              </w:rPr>
              <w:t xml:space="preserve"> s</w:t>
            </w:r>
            <w:r>
              <w:rPr>
                <w:bCs/>
                <w:color w:val="000000"/>
              </w:rPr>
              <w:t xml:space="preserve">ervices, as shown in the </w:t>
            </w:r>
            <w:r w:rsidR="00E126F2">
              <w:rPr>
                <w:bCs/>
                <w:color w:val="000000"/>
              </w:rPr>
              <w:t>invoice from</w:t>
            </w:r>
            <w:r>
              <w:rPr>
                <w:bCs/>
                <w:color w:val="000000"/>
              </w:rPr>
              <w:t xml:space="preserve"> </w:t>
            </w:r>
            <w:r w:rsidR="00E126F2">
              <w:rPr>
                <w:bCs/>
                <w:color w:val="000000"/>
              </w:rPr>
              <w:t>Woodruff Expert Services to TURN</w:t>
            </w:r>
            <w:r>
              <w:rPr>
                <w:bCs/>
                <w:color w:val="000000"/>
              </w:rPr>
              <w:t xml:space="preserve"> included in Attachment 4 to this claim.  </w:t>
            </w:r>
          </w:p>
          <w:p w:rsidRPr="00037D44" w:rsidR="00001C8D" w:rsidP="001A3CF3" w:rsidRDefault="00001C8D" w14:paraId="690C0895" w14:textId="2C8DD7DE">
            <w:pPr>
              <w:tabs>
                <w:tab w:val="left" w:pos="1260"/>
              </w:tabs>
              <w:rPr>
                <w:bCs/>
                <w:color w:val="000000"/>
              </w:rPr>
            </w:pPr>
          </w:p>
        </w:tc>
      </w:tr>
      <w:tr w:rsidRPr="007F620E" w:rsidR="0024368D" w:rsidTr="0062130A" w14:paraId="4FC39EFF" w14:textId="77777777">
        <w:tc>
          <w:tcPr>
            <w:tcW w:w="1795" w:type="dxa"/>
            <w:shd w:val="clear" w:color="auto" w:fill="auto"/>
          </w:tcPr>
          <w:p w:rsidR="0024368D" w:rsidP="001A3CF3" w:rsidRDefault="0024368D" w14:paraId="06201952" w14:textId="071821BE">
            <w:pPr>
              <w:tabs>
                <w:tab w:val="left" w:pos="1260"/>
              </w:tabs>
              <w:rPr>
                <w:color w:val="000000"/>
              </w:rPr>
            </w:pPr>
            <w:r>
              <w:rPr>
                <w:color w:val="000000"/>
              </w:rPr>
              <w:t>Comment 3</w:t>
            </w:r>
          </w:p>
        </w:tc>
        <w:tc>
          <w:tcPr>
            <w:tcW w:w="7565" w:type="dxa"/>
            <w:shd w:val="clear" w:color="auto" w:fill="auto"/>
          </w:tcPr>
          <w:p w:rsidRPr="00180318" w:rsidR="0024368D" w:rsidP="001A3CF3" w:rsidRDefault="000C6A2B" w14:paraId="09C1D49E" w14:textId="764D9565">
            <w:pPr>
              <w:tabs>
                <w:tab w:val="left" w:pos="1260"/>
              </w:tabs>
              <w:rPr>
                <w:b/>
                <w:color w:val="000000"/>
              </w:rPr>
            </w:pPr>
            <w:r w:rsidRPr="003D1303">
              <w:rPr>
                <w:b/>
                <w:color w:val="000000"/>
              </w:rPr>
              <w:t>Hourly Rate for TURN Consultant Michele Chait</w:t>
            </w:r>
            <w:r w:rsidR="00BC4E85">
              <w:rPr>
                <w:b/>
                <w:color w:val="000000"/>
              </w:rPr>
              <w:t xml:space="preserve"> -- 2021</w:t>
            </w:r>
          </w:p>
          <w:p w:rsidR="00001C8D" w:rsidP="001A3CF3" w:rsidRDefault="00001C8D" w14:paraId="73F8813E" w14:textId="77777777">
            <w:pPr>
              <w:tabs>
                <w:tab w:val="left" w:pos="1260"/>
              </w:tabs>
              <w:rPr>
                <w:bCs/>
                <w:color w:val="000000"/>
              </w:rPr>
            </w:pPr>
          </w:p>
          <w:p w:rsidR="00E7760F" w:rsidP="001A3CF3" w:rsidRDefault="00FC2E25" w14:paraId="4F29DEE8" w14:textId="22CDB16D">
            <w:pPr>
              <w:tabs>
                <w:tab w:val="left" w:pos="1260"/>
              </w:tabs>
              <w:rPr>
                <w:bCs/>
                <w:color w:val="000000"/>
              </w:rPr>
            </w:pPr>
            <w:r>
              <w:rPr>
                <w:bCs/>
                <w:color w:val="000000"/>
              </w:rPr>
              <w:t>TURN requests an hourly rate of $2</w:t>
            </w:r>
            <w:r w:rsidR="00ED7BEF">
              <w:rPr>
                <w:bCs/>
                <w:color w:val="000000"/>
              </w:rPr>
              <w:t>4</w:t>
            </w:r>
            <w:r>
              <w:rPr>
                <w:bCs/>
                <w:color w:val="000000"/>
              </w:rPr>
              <w:t xml:space="preserve">0 for the work performed by </w:t>
            </w:r>
            <w:r w:rsidR="000C5B71">
              <w:rPr>
                <w:bCs/>
                <w:color w:val="000000"/>
              </w:rPr>
              <w:t xml:space="preserve">expert </w:t>
            </w:r>
            <w:r>
              <w:rPr>
                <w:bCs/>
                <w:color w:val="000000"/>
              </w:rPr>
              <w:t xml:space="preserve">consultant Michele Chait </w:t>
            </w:r>
            <w:r w:rsidR="005D4FA2">
              <w:rPr>
                <w:bCs/>
                <w:color w:val="000000"/>
              </w:rPr>
              <w:t xml:space="preserve">in 2021 </w:t>
            </w:r>
            <w:r>
              <w:rPr>
                <w:bCs/>
                <w:color w:val="000000"/>
              </w:rPr>
              <w:t xml:space="preserve">for TURN in this proceeding.  </w:t>
            </w:r>
            <w:r w:rsidR="00F4134A">
              <w:rPr>
                <w:bCs/>
                <w:color w:val="000000"/>
              </w:rPr>
              <w:t xml:space="preserve">The Commission previously found a rate of $240 reasonable for Ms. Chait’s work as a TURN consultant in 2021 in D.23-04-031.  </w:t>
            </w:r>
          </w:p>
          <w:p w:rsidR="00E7760F" w:rsidP="001A3CF3" w:rsidRDefault="00E7760F" w14:paraId="3FED670E" w14:textId="77777777">
            <w:pPr>
              <w:tabs>
                <w:tab w:val="left" w:pos="1260"/>
              </w:tabs>
              <w:rPr>
                <w:bCs/>
                <w:color w:val="000000"/>
              </w:rPr>
            </w:pPr>
          </w:p>
          <w:p w:rsidR="00001C8D" w:rsidP="00F4134A" w:rsidRDefault="00C63C39" w14:paraId="3CB3B324" w14:textId="77777777">
            <w:pPr>
              <w:tabs>
                <w:tab w:val="left" w:pos="1260"/>
              </w:tabs>
              <w:rPr>
                <w:bCs/>
                <w:color w:val="000000"/>
              </w:rPr>
            </w:pPr>
            <w:r>
              <w:rPr>
                <w:bCs/>
                <w:color w:val="000000"/>
              </w:rPr>
              <w:t>Th</w:t>
            </w:r>
            <w:r w:rsidR="00E7760F">
              <w:rPr>
                <w:bCs/>
                <w:color w:val="000000"/>
              </w:rPr>
              <w:t>e requested rate</w:t>
            </w:r>
            <w:r>
              <w:rPr>
                <w:bCs/>
                <w:color w:val="000000"/>
              </w:rPr>
              <w:t xml:space="preserve"> is the </w:t>
            </w:r>
            <w:r w:rsidR="00E7760F">
              <w:rPr>
                <w:bCs/>
                <w:color w:val="000000"/>
              </w:rPr>
              <w:t xml:space="preserve">same </w:t>
            </w:r>
            <w:r>
              <w:rPr>
                <w:bCs/>
                <w:color w:val="000000"/>
              </w:rPr>
              <w:t xml:space="preserve">rate Ms. Chait </w:t>
            </w:r>
            <w:r w:rsidR="00610017">
              <w:rPr>
                <w:bCs/>
                <w:color w:val="000000"/>
              </w:rPr>
              <w:t>charged</w:t>
            </w:r>
            <w:r>
              <w:rPr>
                <w:bCs/>
                <w:color w:val="000000"/>
              </w:rPr>
              <w:t xml:space="preserve"> TURN</w:t>
            </w:r>
            <w:r w:rsidR="00E7760F">
              <w:rPr>
                <w:bCs/>
                <w:color w:val="000000"/>
              </w:rPr>
              <w:t xml:space="preserve"> for her services, as shown in the retainer agreement between TURN and </w:t>
            </w:r>
            <w:r w:rsidR="0079055F">
              <w:rPr>
                <w:bCs/>
                <w:color w:val="000000"/>
              </w:rPr>
              <w:t>Michele</w:t>
            </w:r>
            <w:r w:rsidR="00E7760F">
              <w:rPr>
                <w:bCs/>
                <w:color w:val="000000"/>
              </w:rPr>
              <w:t xml:space="preserve"> Chait </w:t>
            </w:r>
            <w:r w:rsidR="0079055F">
              <w:rPr>
                <w:bCs/>
                <w:color w:val="000000"/>
              </w:rPr>
              <w:t xml:space="preserve">LLC </w:t>
            </w:r>
            <w:r w:rsidR="00E7760F">
              <w:rPr>
                <w:bCs/>
                <w:color w:val="000000"/>
              </w:rPr>
              <w:t>included in Attachment 4 to this claim</w:t>
            </w:r>
            <w:r>
              <w:rPr>
                <w:bCs/>
                <w:color w:val="000000"/>
              </w:rPr>
              <w:t xml:space="preserve">.  </w:t>
            </w:r>
          </w:p>
          <w:p w:rsidRPr="00037D44" w:rsidR="00BC4E85" w:rsidP="00F4134A" w:rsidRDefault="00BC4E85" w14:paraId="1878077A" w14:textId="3FBE3218">
            <w:pPr>
              <w:tabs>
                <w:tab w:val="left" w:pos="1260"/>
              </w:tabs>
              <w:rPr>
                <w:bCs/>
                <w:color w:val="000000"/>
              </w:rPr>
            </w:pPr>
          </w:p>
        </w:tc>
      </w:tr>
      <w:tr w:rsidRPr="007F620E" w:rsidR="00893A14" w:rsidTr="0062130A" w14:paraId="74827C42" w14:textId="77777777">
        <w:tc>
          <w:tcPr>
            <w:tcW w:w="1795" w:type="dxa"/>
            <w:shd w:val="clear" w:color="auto" w:fill="auto"/>
          </w:tcPr>
          <w:p w:rsidR="00893A14" w:rsidP="001A3CF3" w:rsidRDefault="00893A14" w14:paraId="0A49436F" w14:textId="0FE84DDF">
            <w:pPr>
              <w:tabs>
                <w:tab w:val="left" w:pos="1260"/>
              </w:tabs>
              <w:rPr>
                <w:color w:val="000000"/>
              </w:rPr>
            </w:pPr>
            <w:r>
              <w:rPr>
                <w:color w:val="000000"/>
              </w:rPr>
              <w:t>Comment 4</w:t>
            </w:r>
          </w:p>
        </w:tc>
        <w:tc>
          <w:tcPr>
            <w:tcW w:w="7565" w:type="dxa"/>
            <w:shd w:val="clear" w:color="auto" w:fill="auto"/>
          </w:tcPr>
          <w:p w:rsidR="00893A14" w:rsidP="001A3CF3" w:rsidRDefault="00893A14" w14:paraId="07A56CB1" w14:textId="0CAF9D3B">
            <w:pPr>
              <w:tabs>
                <w:tab w:val="left" w:pos="1260"/>
              </w:tabs>
              <w:rPr>
                <w:b/>
                <w:color w:val="000000"/>
              </w:rPr>
            </w:pPr>
            <w:r>
              <w:rPr>
                <w:b/>
                <w:color w:val="000000"/>
              </w:rPr>
              <w:t>Hourly Rate for TURN Attorney Hayley Goodson</w:t>
            </w:r>
            <w:r w:rsidR="00BC4E85">
              <w:rPr>
                <w:b/>
                <w:color w:val="000000"/>
              </w:rPr>
              <w:t xml:space="preserve"> -- 2025</w:t>
            </w:r>
          </w:p>
          <w:p w:rsidR="00893A14" w:rsidP="001A3CF3" w:rsidRDefault="00893A14" w14:paraId="0263EF1D" w14:textId="77777777">
            <w:pPr>
              <w:tabs>
                <w:tab w:val="left" w:pos="1260"/>
              </w:tabs>
              <w:rPr>
                <w:b/>
                <w:color w:val="000000"/>
              </w:rPr>
            </w:pPr>
          </w:p>
          <w:p w:rsidR="0012401D" w:rsidP="0012401D" w:rsidRDefault="0012401D" w14:paraId="7BEBAF36" w14:textId="6AFD98D7">
            <w:r>
              <w:t>TURN requests a</w:t>
            </w:r>
            <w:r w:rsidR="002C55B2">
              <w:t xml:space="preserve"> 2025</w:t>
            </w:r>
            <w:r>
              <w:t xml:space="preserve"> hourly rate of $</w:t>
            </w:r>
            <w:r w:rsidR="0024453B">
              <w:t>705</w:t>
            </w:r>
            <w:r>
              <w:t xml:space="preserve"> for work conducted by TURN Attorney </w:t>
            </w:r>
            <w:r w:rsidR="0024453B">
              <w:t>Hayley Goodson</w:t>
            </w:r>
            <w:r>
              <w:t xml:space="preserve">.  </w:t>
            </w:r>
            <w:r w:rsidR="0024453B">
              <w:t xml:space="preserve">Because </w:t>
            </w:r>
            <w:r w:rsidR="000C4A42">
              <w:t xml:space="preserve">all of </w:t>
            </w:r>
            <w:r w:rsidR="002C55B2">
              <w:t>Ms. Goodson’s</w:t>
            </w:r>
            <w:r w:rsidR="0024453B">
              <w:t xml:space="preserve"> work</w:t>
            </w:r>
            <w:r w:rsidR="002C55B2">
              <w:t xml:space="preserve"> in 2025 included in this claim</w:t>
            </w:r>
            <w:r w:rsidR="0024453B">
              <w:t xml:space="preserve"> pertained to preparation of this Intervenor Compensation Request, TURN has applied 50% of </w:t>
            </w:r>
            <w:r w:rsidR="00A655C2">
              <w:t>the requested</w:t>
            </w:r>
            <w:r w:rsidR="0024453B">
              <w:t xml:space="preserve"> rate -- $</w:t>
            </w:r>
            <w:r w:rsidR="00A655C2">
              <w:t>352.50 – to Ms. Goodson’s hours in 2025.</w:t>
            </w:r>
          </w:p>
          <w:p w:rsidR="0012401D" w:rsidP="0012401D" w:rsidRDefault="0012401D" w14:paraId="1BADB2FD" w14:textId="77777777"/>
          <w:p w:rsidR="00893A14" w:rsidP="00BC4E85" w:rsidRDefault="0012401D" w14:paraId="061267C1" w14:textId="673EC7EF">
            <w:r>
              <w:t xml:space="preserve">To calculate the </w:t>
            </w:r>
            <w:r w:rsidR="000C4A42">
              <w:t xml:space="preserve">full </w:t>
            </w:r>
            <w:r>
              <w:t xml:space="preserve">2025 hourly rate for </w:t>
            </w:r>
            <w:r w:rsidR="003D47B8">
              <w:t>Ms. Goodson</w:t>
            </w:r>
            <w:r>
              <w:t>, TURN applied</w:t>
            </w:r>
            <w:r w:rsidR="003D47B8">
              <w:t xml:space="preserve"> </w:t>
            </w:r>
            <w:r>
              <w:t>the 2025 escalation rate of 3.</w:t>
            </w:r>
            <w:r w:rsidR="007B677A">
              <w:t>46</w:t>
            </w:r>
            <w:r>
              <w:t>% to h</w:t>
            </w:r>
            <w:r w:rsidR="003D47B8">
              <w:t>er</w:t>
            </w:r>
            <w:r>
              <w:t xml:space="preserve"> authorized 2024 rate of $</w:t>
            </w:r>
            <w:r w:rsidR="003D47B8">
              <w:t>680</w:t>
            </w:r>
            <w:r>
              <w:t xml:space="preserve"> (D.2</w:t>
            </w:r>
            <w:r w:rsidR="00A8610D">
              <w:t>4</w:t>
            </w:r>
            <w:r w:rsidR="00B44819">
              <w:noBreakHyphen/>
            </w:r>
            <w:r w:rsidR="00A8610D">
              <w:t>09</w:t>
            </w:r>
            <w:r w:rsidR="00B44819">
              <w:noBreakHyphen/>
            </w:r>
            <w:r w:rsidR="00A8610D">
              <w:t>017</w:t>
            </w:r>
            <w:r>
              <w:t>)</w:t>
            </w:r>
            <w:r w:rsidR="006D6BEF">
              <w:t xml:space="preserve"> and rounded the result to the nearest $5 increment.</w:t>
            </w:r>
            <w:r>
              <w:t xml:space="preserve">  </w:t>
            </w:r>
            <w:r w:rsidR="006D6BEF">
              <w:t>[</w:t>
            </w:r>
            <w:r>
              <w:t>$</w:t>
            </w:r>
            <w:r w:rsidR="00A8610D">
              <w:t>680</w:t>
            </w:r>
            <w:r>
              <w:t xml:space="preserve"> x </w:t>
            </w:r>
            <w:r w:rsidR="00A8610D">
              <w:t>1</w:t>
            </w:r>
            <w:r>
              <w:t>.035 = $</w:t>
            </w:r>
            <w:r w:rsidR="006D6BEF">
              <w:t>703.</w:t>
            </w:r>
            <w:r w:rsidR="00A4340F">
              <w:t>53</w:t>
            </w:r>
            <w:r w:rsidR="00BD6E0A">
              <w:t>]</w:t>
            </w:r>
            <w:r>
              <w:t xml:space="preserve">.  </w:t>
            </w:r>
          </w:p>
          <w:p w:rsidRPr="00BC4E85" w:rsidR="00BC4E85" w:rsidP="00BC4E85" w:rsidRDefault="00BC4E85" w14:paraId="37AC9FFD" w14:textId="28524C50"/>
        </w:tc>
      </w:tr>
    </w:tbl>
    <w:p w:rsidRPr="007F620E" w:rsidR="00A92D0B" w:rsidP="005B5B44" w:rsidRDefault="00A92D0B" w14:paraId="0D8B7003" w14:textId="49C4987C">
      <w:pPr>
        <w:keepNext/>
        <w:numPr>
          <w:ilvl w:val="0"/>
          <w:numId w:val="9"/>
        </w:numPr>
        <w:spacing w:before="240" w:after="240"/>
        <w:rPr>
          <w:b/>
          <w:color w:val="000000"/>
        </w:rPr>
      </w:pPr>
      <w:r w:rsidRPr="007F620E">
        <w:rPr>
          <w:b/>
          <w:color w:val="000000"/>
        </w:rPr>
        <w:lastRenderedPageBreak/>
        <w:t xml:space="preserve">CPUC </w:t>
      </w:r>
      <w:r w:rsidR="008C09F7">
        <w:rPr>
          <w:b/>
          <w:color w:val="000000"/>
        </w:rPr>
        <w:t xml:space="preserve">Comments, </w:t>
      </w:r>
      <w:r w:rsidRPr="007F620E">
        <w:rPr>
          <w:b/>
          <w:color w:val="000000"/>
        </w:rPr>
        <w:t>Disallowances</w:t>
      </w:r>
      <w:r w:rsidR="008C09F7">
        <w:rPr>
          <w:b/>
          <w:color w:val="000000"/>
        </w:rPr>
        <w:t>,</w:t>
      </w:r>
      <w:r w:rsidRPr="007F620E" w:rsidR="00D075B1">
        <w:rPr>
          <w:b/>
          <w:color w:val="000000"/>
        </w:rPr>
        <w:t xml:space="preserve"> </w:t>
      </w:r>
      <w:r w:rsidRPr="007F620E" w:rsidR="00A319DE">
        <w:rPr>
          <w:b/>
          <w:color w:val="000000"/>
        </w:rPr>
        <w:t>and</w:t>
      </w:r>
      <w:r w:rsidRPr="007F620E" w:rsidR="00D075B1">
        <w:rPr>
          <w:b/>
          <w:color w:val="000000"/>
        </w:rPr>
        <w:t xml:space="preserve"> </w:t>
      </w:r>
      <w:r w:rsidRPr="007F620E">
        <w:rPr>
          <w:b/>
          <w:color w:val="000000"/>
        </w:rPr>
        <w:t xml:space="preserve">Adjustments </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1603"/>
        <w:gridCol w:w="7757"/>
      </w:tblGrid>
      <w:tr w:rsidRPr="007F620E" w:rsidR="00A92D0B" w:rsidTr="0062130A" w14:paraId="52CD0603" w14:textId="77777777">
        <w:trPr>
          <w:tblHeader/>
        </w:trPr>
        <w:tc>
          <w:tcPr>
            <w:tcW w:w="1603" w:type="dxa"/>
            <w:shd w:val="pct12" w:color="auto" w:fill="auto"/>
          </w:tcPr>
          <w:p w:rsidRPr="007F620E" w:rsidR="00A92D0B" w:rsidP="00EB64CF" w:rsidRDefault="00072C81" w14:paraId="3954EC4C" w14:textId="77777777">
            <w:pPr>
              <w:tabs>
                <w:tab w:val="left" w:pos="1440"/>
              </w:tabs>
              <w:jc w:val="center"/>
              <w:rPr>
                <w:b/>
                <w:color w:val="000000"/>
              </w:rPr>
            </w:pPr>
            <w:r w:rsidRPr="007F620E">
              <w:rPr>
                <w:b/>
                <w:color w:val="000000"/>
              </w:rPr>
              <w:t>Item</w:t>
            </w:r>
          </w:p>
        </w:tc>
        <w:tc>
          <w:tcPr>
            <w:tcW w:w="7757" w:type="dxa"/>
            <w:shd w:val="pct12" w:color="auto" w:fill="auto"/>
          </w:tcPr>
          <w:p w:rsidRPr="007F620E" w:rsidR="00A92D0B" w:rsidP="00EB64CF" w:rsidRDefault="00A92D0B" w14:paraId="09F9E4D9" w14:textId="77777777">
            <w:pPr>
              <w:tabs>
                <w:tab w:val="left" w:pos="1440"/>
              </w:tabs>
              <w:jc w:val="center"/>
              <w:rPr>
                <w:b/>
                <w:color w:val="000000"/>
              </w:rPr>
            </w:pPr>
            <w:r w:rsidRPr="007F620E">
              <w:rPr>
                <w:b/>
                <w:color w:val="000000"/>
              </w:rPr>
              <w:t>Reason</w:t>
            </w:r>
          </w:p>
        </w:tc>
      </w:tr>
      <w:tr w:rsidRPr="007F620E" w:rsidR="00A92D0B" w:rsidTr="0062130A" w14:paraId="52155EFC" w14:textId="77777777">
        <w:tc>
          <w:tcPr>
            <w:tcW w:w="1603" w:type="dxa"/>
            <w:shd w:val="clear" w:color="auto" w:fill="auto"/>
          </w:tcPr>
          <w:p w:rsidRPr="007F620E" w:rsidR="00A92D0B" w:rsidP="00EB64CF" w:rsidRDefault="00BA10E4" w14:paraId="26487933" w14:textId="71AAD5D7">
            <w:pPr>
              <w:tabs>
                <w:tab w:val="left" w:pos="1440"/>
              </w:tabs>
              <w:rPr>
                <w:color w:val="000000"/>
              </w:rPr>
            </w:pPr>
            <w:r>
              <w:rPr>
                <w:color w:val="000000"/>
              </w:rPr>
              <w:t>[</w:t>
            </w:r>
            <w:r w:rsidR="00931058">
              <w:rPr>
                <w:color w:val="000000"/>
              </w:rPr>
              <w:t>1</w:t>
            </w:r>
            <w:r>
              <w:rPr>
                <w:color w:val="000000"/>
              </w:rPr>
              <w:t xml:space="preserve">] Marcel </w:t>
            </w:r>
            <w:proofErr w:type="spellStart"/>
            <w:r>
              <w:rPr>
                <w:color w:val="000000"/>
              </w:rPr>
              <w:t>Hawiger</w:t>
            </w:r>
            <w:proofErr w:type="spellEnd"/>
            <w:r>
              <w:rPr>
                <w:color w:val="000000"/>
              </w:rPr>
              <w:t xml:space="preserve"> 2020 Hourly Rate</w:t>
            </w:r>
          </w:p>
        </w:tc>
        <w:tc>
          <w:tcPr>
            <w:tcW w:w="7757" w:type="dxa"/>
            <w:shd w:val="clear" w:color="auto" w:fill="auto"/>
          </w:tcPr>
          <w:p w:rsidRPr="007F620E" w:rsidR="00A92D0B" w:rsidP="00EB64CF" w:rsidRDefault="00283E23" w14:paraId="455E6A00" w14:textId="4D266E29">
            <w:pPr>
              <w:tabs>
                <w:tab w:val="left" w:pos="1440"/>
              </w:tabs>
              <w:rPr>
                <w:color w:val="000000"/>
              </w:rPr>
            </w:pPr>
            <w:r w:rsidRPr="00283E23">
              <w:rPr>
                <w:color w:val="000000"/>
              </w:rPr>
              <w:t>D.21-05-010</w:t>
            </w:r>
            <w:r>
              <w:rPr>
                <w:color w:val="000000"/>
              </w:rPr>
              <w:t xml:space="preserve"> verified a 2020 hourly rate of $455.00</w:t>
            </w:r>
            <w:r w:rsidR="00217E4E">
              <w:rPr>
                <w:color w:val="000000"/>
              </w:rPr>
              <w:t xml:space="preserve"> for Marcel </w:t>
            </w:r>
            <w:proofErr w:type="spellStart"/>
            <w:r w:rsidR="00217E4E">
              <w:rPr>
                <w:color w:val="000000"/>
              </w:rPr>
              <w:t>Hawiger</w:t>
            </w:r>
            <w:proofErr w:type="spellEnd"/>
            <w:r>
              <w:rPr>
                <w:color w:val="000000"/>
              </w:rPr>
              <w:t xml:space="preserve">. </w:t>
            </w:r>
            <w:r w:rsidR="00217E4E">
              <w:rPr>
                <w:color w:val="000000"/>
              </w:rPr>
              <w:t>We apply the same rate here.</w:t>
            </w:r>
          </w:p>
        </w:tc>
      </w:tr>
      <w:tr w:rsidRPr="007F620E" w:rsidR="00CA2289" w:rsidTr="0062130A" w14:paraId="37E941F9" w14:textId="77777777">
        <w:tc>
          <w:tcPr>
            <w:tcW w:w="1603" w:type="dxa"/>
            <w:shd w:val="clear" w:color="auto" w:fill="auto"/>
          </w:tcPr>
          <w:p w:rsidRPr="007F620E" w:rsidR="00CA2289" w:rsidP="00EB64CF" w:rsidRDefault="00642FF4" w14:paraId="014D55AC" w14:textId="41DA9436">
            <w:pPr>
              <w:tabs>
                <w:tab w:val="left" w:pos="1440"/>
              </w:tabs>
              <w:rPr>
                <w:color w:val="000000"/>
              </w:rPr>
            </w:pPr>
            <w:r>
              <w:rPr>
                <w:color w:val="000000"/>
              </w:rPr>
              <w:t>[</w:t>
            </w:r>
            <w:r w:rsidR="00931058">
              <w:rPr>
                <w:color w:val="000000"/>
              </w:rPr>
              <w:t>2</w:t>
            </w:r>
            <w:r>
              <w:rPr>
                <w:color w:val="000000"/>
              </w:rPr>
              <w:t>] Cynthia Mitchell 2020 Hourly Rate</w:t>
            </w:r>
          </w:p>
        </w:tc>
        <w:tc>
          <w:tcPr>
            <w:tcW w:w="7757" w:type="dxa"/>
            <w:shd w:val="clear" w:color="auto" w:fill="auto"/>
          </w:tcPr>
          <w:p w:rsidRPr="00217E4E" w:rsidR="00217E4E" w:rsidP="00217E4E" w:rsidRDefault="00217E4E" w14:paraId="51C67C25" w14:textId="25678EAD">
            <w:pPr>
              <w:tabs>
                <w:tab w:val="left" w:pos="1440"/>
              </w:tabs>
              <w:rPr>
                <w:color w:val="000000"/>
              </w:rPr>
            </w:pPr>
            <w:r>
              <w:rPr>
                <w:color w:val="000000"/>
              </w:rPr>
              <w:t>TURN</w:t>
            </w:r>
            <w:r w:rsidRPr="00217E4E">
              <w:rPr>
                <w:color w:val="000000"/>
              </w:rPr>
              <w:t xml:space="preserve"> </w:t>
            </w:r>
            <w:r w:rsidRPr="000D30FF" w:rsidR="000D30FF">
              <w:rPr>
                <w:color w:val="000000"/>
              </w:rPr>
              <w:t xml:space="preserve">has confirmed that </w:t>
            </w:r>
            <w:r>
              <w:rPr>
                <w:color w:val="000000"/>
              </w:rPr>
              <w:t xml:space="preserve">Cynthia Mitchell </w:t>
            </w:r>
            <w:r w:rsidR="000D30FF">
              <w:rPr>
                <w:color w:val="000000"/>
              </w:rPr>
              <w:t>is a</w:t>
            </w:r>
            <w:r w:rsidRPr="00217E4E">
              <w:rPr>
                <w:color w:val="000000"/>
              </w:rPr>
              <w:t xml:space="preserve"> consultant</w:t>
            </w:r>
            <w:r w:rsidR="000D30FF">
              <w:rPr>
                <w:color w:val="000000"/>
              </w:rPr>
              <w:t xml:space="preserve"> and requested </w:t>
            </w:r>
            <w:r w:rsidRPr="00217E4E">
              <w:rPr>
                <w:color w:val="000000"/>
              </w:rPr>
              <w:t xml:space="preserve">a </w:t>
            </w:r>
            <w:r w:rsidR="005110A1">
              <w:rPr>
                <w:color w:val="000000"/>
              </w:rPr>
              <w:t>2020</w:t>
            </w:r>
            <w:r w:rsidRPr="00217E4E">
              <w:rPr>
                <w:color w:val="000000"/>
              </w:rPr>
              <w:t xml:space="preserve"> </w:t>
            </w:r>
            <w:r w:rsidR="000D30FF">
              <w:rPr>
                <w:color w:val="000000"/>
              </w:rPr>
              <w:t xml:space="preserve">hourly </w:t>
            </w:r>
            <w:r w:rsidRPr="00217E4E">
              <w:rPr>
                <w:color w:val="000000"/>
              </w:rPr>
              <w:t>rate of $</w:t>
            </w:r>
            <w:r w:rsidR="005110A1">
              <w:rPr>
                <w:color w:val="000000"/>
              </w:rPr>
              <w:t>25</w:t>
            </w:r>
            <w:r w:rsidRPr="00217E4E">
              <w:rPr>
                <w:color w:val="000000"/>
              </w:rPr>
              <w:t>0.00</w:t>
            </w:r>
            <w:r w:rsidR="000D30FF">
              <w:rPr>
                <w:color w:val="000000"/>
              </w:rPr>
              <w:t xml:space="preserve"> for her services</w:t>
            </w:r>
            <w:r w:rsidRPr="00217E4E">
              <w:rPr>
                <w:color w:val="000000"/>
              </w:rPr>
              <w:t>.</w:t>
            </w:r>
          </w:p>
          <w:p w:rsidR="000D30FF" w:rsidP="000D30FF" w:rsidRDefault="000D30FF" w14:paraId="466D66A4" w14:textId="099A16A1">
            <w:pPr>
              <w:tabs>
                <w:tab w:val="left" w:pos="1440"/>
              </w:tabs>
              <w:rPr>
                <w:color w:val="000000"/>
              </w:rPr>
            </w:pPr>
          </w:p>
          <w:p w:rsidRPr="000D30FF" w:rsidR="000D30FF" w:rsidP="000D30FF" w:rsidRDefault="000D30FF" w14:paraId="62D54D04" w14:textId="4E4053F8">
            <w:pPr>
              <w:tabs>
                <w:tab w:val="left" w:pos="1440"/>
              </w:tabs>
              <w:rPr>
                <w:color w:val="000000"/>
              </w:rPr>
            </w:pPr>
            <w:r w:rsidRPr="000D30FF">
              <w:rPr>
                <w:color w:val="000000"/>
              </w:rPr>
              <w:t>Pursuant to Commission policy, the rate requested by an intervenor must not exceed the rate billed to that intervenor by any outside consultant it hires, even if the consultant’s billed rate is below the floor for a given experience level</w:t>
            </w:r>
            <w:r>
              <w:rPr>
                <w:color w:val="000000"/>
              </w:rPr>
              <w:t>.</w:t>
            </w:r>
            <w:r w:rsidRPr="000D30FF">
              <w:rPr>
                <w:color w:val="000000"/>
              </w:rPr>
              <w:t xml:space="preserve"> Per the </w:t>
            </w:r>
            <w:proofErr w:type="spellStart"/>
            <w:r w:rsidRPr="000D30FF">
              <w:rPr>
                <w:color w:val="000000"/>
              </w:rPr>
              <w:t>IComp</w:t>
            </w:r>
            <w:proofErr w:type="spellEnd"/>
            <w:r w:rsidRPr="000D30FF">
              <w:rPr>
                <w:color w:val="000000"/>
              </w:rPr>
              <w:t xml:space="preserve"> Program Guide at 24, the Commission may audit the records and books of the intervenors to the extent necessary to verify the basis for the award (§ 1804(d)).</w:t>
            </w:r>
          </w:p>
          <w:p w:rsidR="005F3956" w:rsidP="00217E4E" w:rsidRDefault="005F3956" w14:paraId="55FC1179" w14:textId="77777777">
            <w:pPr>
              <w:tabs>
                <w:tab w:val="left" w:pos="1440"/>
              </w:tabs>
              <w:rPr>
                <w:color w:val="000000"/>
              </w:rPr>
            </w:pPr>
          </w:p>
          <w:p w:rsidR="00CA2289" w:rsidP="00217E4E" w:rsidRDefault="000D30FF" w14:paraId="75D41CFF" w14:textId="648824E3">
            <w:pPr>
              <w:tabs>
                <w:tab w:val="left" w:pos="1440"/>
              </w:tabs>
              <w:rPr>
                <w:color w:val="000000"/>
              </w:rPr>
            </w:pPr>
            <w:r>
              <w:rPr>
                <w:color w:val="000000"/>
              </w:rPr>
              <w:t xml:space="preserve">TURN has provided </w:t>
            </w:r>
            <w:r w:rsidRPr="00217E4E" w:rsidR="00217E4E">
              <w:rPr>
                <w:color w:val="000000"/>
              </w:rPr>
              <w:t>consultant invoice</w:t>
            </w:r>
            <w:r>
              <w:rPr>
                <w:color w:val="000000"/>
              </w:rPr>
              <w:t>s</w:t>
            </w:r>
            <w:r w:rsidRPr="00217E4E" w:rsidR="00217E4E">
              <w:rPr>
                <w:color w:val="000000"/>
              </w:rPr>
              <w:t xml:space="preserve"> filed as Attachment </w:t>
            </w:r>
            <w:r w:rsidR="005110A1">
              <w:rPr>
                <w:color w:val="000000"/>
              </w:rPr>
              <w:t>4</w:t>
            </w:r>
            <w:r>
              <w:rPr>
                <w:color w:val="000000"/>
              </w:rPr>
              <w:t>,</w:t>
            </w:r>
            <w:r w:rsidRPr="00217E4E" w:rsidR="00217E4E">
              <w:rPr>
                <w:color w:val="000000"/>
              </w:rPr>
              <w:t xml:space="preserve"> confirm</w:t>
            </w:r>
            <w:r>
              <w:rPr>
                <w:color w:val="000000"/>
              </w:rPr>
              <w:t>ing that it pai</w:t>
            </w:r>
            <w:r w:rsidRPr="00217E4E" w:rsidR="00217E4E">
              <w:rPr>
                <w:color w:val="000000"/>
              </w:rPr>
              <w:t xml:space="preserve">d </w:t>
            </w:r>
            <w:r>
              <w:rPr>
                <w:color w:val="000000"/>
              </w:rPr>
              <w:t xml:space="preserve">Cynthia Mitchell, via </w:t>
            </w:r>
            <w:r w:rsidR="005110A1">
              <w:rPr>
                <w:color w:val="000000"/>
              </w:rPr>
              <w:t>Energy Economics Inc</w:t>
            </w:r>
            <w:r w:rsidRPr="00217E4E" w:rsidR="00217E4E">
              <w:rPr>
                <w:color w:val="000000"/>
              </w:rPr>
              <w:t>.</w:t>
            </w:r>
            <w:r>
              <w:rPr>
                <w:color w:val="000000"/>
              </w:rPr>
              <w:t xml:space="preserve">, </w:t>
            </w:r>
            <w:r w:rsidRPr="00217E4E" w:rsidR="00217E4E">
              <w:rPr>
                <w:color w:val="000000"/>
              </w:rPr>
              <w:t>$</w:t>
            </w:r>
            <w:r w:rsidR="005110A1">
              <w:rPr>
                <w:color w:val="000000"/>
              </w:rPr>
              <w:t>250.00</w:t>
            </w:r>
            <w:r w:rsidRPr="00217E4E" w:rsidR="00217E4E">
              <w:rPr>
                <w:color w:val="000000"/>
              </w:rPr>
              <w:t xml:space="preserve"> </w:t>
            </w:r>
            <w:r>
              <w:rPr>
                <w:color w:val="000000"/>
              </w:rPr>
              <w:t xml:space="preserve">per hour in 2020 </w:t>
            </w:r>
            <w:r w:rsidRPr="00217E4E" w:rsidR="00217E4E">
              <w:rPr>
                <w:color w:val="000000"/>
              </w:rPr>
              <w:t xml:space="preserve">for </w:t>
            </w:r>
            <w:r w:rsidR="005110A1">
              <w:rPr>
                <w:color w:val="000000"/>
              </w:rPr>
              <w:t>Cynthia Mitchell</w:t>
            </w:r>
            <w:r>
              <w:rPr>
                <w:color w:val="000000"/>
              </w:rPr>
              <w:t>’s time</w:t>
            </w:r>
            <w:r w:rsidR="006D2E89">
              <w:rPr>
                <w:color w:val="000000"/>
              </w:rPr>
              <w:t>.</w:t>
            </w:r>
            <w:r w:rsidRPr="00217E4E" w:rsidR="00217E4E">
              <w:rPr>
                <w:color w:val="000000"/>
              </w:rPr>
              <w:t xml:space="preserve"> </w:t>
            </w:r>
            <w:r w:rsidRPr="000D30FF">
              <w:rPr>
                <w:color w:val="000000"/>
              </w:rPr>
              <w:t xml:space="preserve">Given </w:t>
            </w:r>
            <w:r>
              <w:rPr>
                <w:color w:val="000000"/>
              </w:rPr>
              <w:t>Cynthia Mitchell’s experience, w</w:t>
            </w:r>
            <w:r w:rsidRPr="00217E4E" w:rsidR="00217E4E">
              <w:rPr>
                <w:color w:val="000000"/>
              </w:rPr>
              <w:t>e find the requested rate reasonable and apply it here.</w:t>
            </w:r>
          </w:p>
          <w:p w:rsidR="000D30FF" w:rsidP="00217E4E" w:rsidRDefault="000D30FF" w14:paraId="3F116B82" w14:textId="77777777">
            <w:pPr>
              <w:tabs>
                <w:tab w:val="left" w:pos="1440"/>
              </w:tabs>
              <w:rPr>
                <w:color w:val="000000"/>
              </w:rPr>
            </w:pPr>
          </w:p>
          <w:p w:rsidRPr="007F620E" w:rsidR="000D30FF" w:rsidP="000D30FF" w:rsidRDefault="000D30FF" w14:paraId="0EDC63B1" w14:textId="4DB838A0">
            <w:pPr>
              <w:tabs>
                <w:tab w:val="left" w:pos="1440"/>
              </w:tabs>
              <w:rPr>
                <w:color w:val="000000"/>
              </w:rPr>
            </w:pPr>
            <w:r w:rsidRPr="000D30FF">
              <w:rPr>
                <w:color w:val="000000"/>
              </w:rPr>
              <w:t xml:space="preserve">The award determined herein for </w:t>
            </w:r>
            <w:r>
              <w:rPr>
                <w:color w:val="000000"/>
              </w:rPr>
              <w:t>Cynthia Mitchell’s</w:t>
            </w:r>
            <w:r w:rsidRPr="000D30FF">
              <w:rPr>
                <w:color w:val="000000"/>
              </w:rPr>
              <w:t xml:space="preserve"> contribution in this proceeding shall be paid in full to</w:t>
            </w:r>
            <w:r>
              <w:rPr>
                <w:color w:val="000000"/>
              </w:rPr>
              <w:t xml:space="preserve"> the consultant</w:t>
            </w:r>
            <w:r w:rsidRPr="000D30FF">
              <w:rPr>
                <w:color w:val="000000"/>
              </w:rPr>
              <w:t>, and no portion of this part of the award shall be kept by</w:t>
            </w:r>
            <w:r>
              <w:rPr>
                <w:color w:val="000000"/>
              </w:rPr>
              <w:t xml:space="preserve"> TURN</w:t>
            </w:r>
            <w:r w:rsidRPr="000D30FF">
              <w:rPr>
                <w:color w:val="000000"/>
              </w:rPr>
              <w:t>. Additionally, the rates approved here are specific to work in this proceeding and the contract terms between the consultant and intervenor, as they are established in accordance with the Commission’s policy on consultant compensation.</w:t>
            </w:r>
          </w:p>
        </w:tc>
      </w:tr>
      <w:tr w:rsidRPr="007F620E" w:rsidR="00CA2289" w:rsidTr="0062130A" w14:paraId="6F705F67" w14:textId="77777777">
        <w:tc>
          <w:tcPr>
            <w:tcW w:w="1603" w:type="dxa"/>
            <w:shd w:val="clear" w:color="auto" w:fill="auto"/>
          </w:tcPr>
          <w:p w:rsidRPr="007F620E" w:rsidR="00CA2289" w:rsidP="00EB64CF" w:rsidRDefault="00642FF4" w14:paraId="77FE0C3C" w14:textId="7974C63D">
            <w:pPr>
              <w:tabs>
                <w:tab w:val="left" w:pos="1440"/>
              </w:tabs>
              <w:rPr>
                <w:color w:val="000000"/>
              </w:rPr>
            </w:pPr>
            <w:r>
              <w:rPr>
                <w:color w:val="000000"/>
              </w:rPr>
              <w:t>[</w:t>
            </w:r>
            <w:r w:rsidR="00931058">
              <w:rPr>
                <w:color w:val="000000"/>
              </w:rPr>
              <w:t>3</w:t>
            </w:r>
            <w:r>
              <w:rPr>
                <w:color w:val="000000"/>
              </w:rPr>
              <w:t>] Kevin Woodruff 2020 Hourly Rate</w:t>
            </w:r>
          </w:p>
        </w:tc>
        <w:tc>
          <w:tcPr>
            <w:tcW w:w="7757" w:type="dxa"/>
            <w:shd w:val="clear" w:color="auto" w:fill="auto"/>
          </w:tcPr>
          <w:p w:rsidRPr="00217E4E" w:rsidR="00217E4E" w:rsidP="00217E4E" w:rsidRDefault="00217E4E" w14:paraId="55CFBD13" w14:textId="10D936C7">
            <w:pPr>
              <w:tabs>
                <w:tab w:val="left" w:pos="1440"/>
              </w:tabs>
              <w:rPr>
                <w:color w:val="000000"/>
              </w:rPr>
            </w:pPr>
            <w:r>
              <w:rPr>
                <w:color w:val="000000"/>
              </w:rPr>
              <w:t>TURN</w:t>
            </w:r>
            <w:r w:rsidRPr="00217E4E">
              <w:rPr>
                <w:color w:val="000000"/>
              </w:rPr>
              <w:t xml:space="preserve"> </w:t>
            </w:r>
            <w:r w:rsidRPr="000D30FF" w:rsidR="000D30FF">
              <w:rPr>
                <w:color w:val="000000"/>
              </w:rPr>
              <w:t xml:space="preserve">has confirmed that </w:t>
            </w:r>
            <w:r>
              <w:rPr>
                <w:color w:val="000000"/>
              </w:rPr>
              <w:t xml:space="preserve">Kevin Woodruff </w:t>
            </w:r>
            <w:r w:rsidR="000D30FF">
              <w:rPr>
                <w:color w:val="000000"/>
              </w:rPr>
              <w:t>is</w:t>
            </w:r>
            <w:r w:rsidRPr="00217E4E" w:rsidR="000D30FF">
              <w:rPr>
                <w:color w:val="000000"/>
              </w:rPr>
              <w:t xml:space="preserve"> </w:t>
            </w:r>
            <w:r w:rsidRPr="00217E4E">
              <w:rPr>
                <w:color w:val="000000"/>
              </w:rPr>
              <w:t>a</w:t>
            </w:r>
            <w:r w:rsidR="000D30FF">
              <w:rPr>
                <w:color w:val="000000"/>
              </w:rPr>
              <w:t xml:space="preserve"> </w:t>
            </w:r>
            <w:r w:rsidRPr="00217E4E">
              <w:rPr>
                <w:color w:val="000000"/>
              </w:rPr>
              <w:t>consultant</w:t>
            </w:r>
            <w:r w:rsidR="000D30FF">
              <w:rPr>
                <w:color w:val="000000"/>
              </w:rPr>
              <w:t xml:space="preserve"> and requested</w:t>
            </w:r>
            <w:r w:rsidRPr="00217E4E">
              <w:rPr>
                <w:color w:val="000000"/>
              </w:rPr>
              <w:t xml:space="preserve"> a </w:t>
            </w:r>
            <w:r w:rsidR="005110A1">
              <w:rPr>
                <w:color w:val="000000"/>
              </w:rPr>
              <w:t>2020</w:t>
            </w:r>
            <w:r w:rsidRPr="00217E4E">
              <w:rPr>
                <w:color w:val="000000"/>
              </w:rPr>
              <w:t xml:space="preserve"> </w:t>
            </w:r>
            <w:r w:rsidR="000D30FF">
              <w:rPr>
                <w:color w:val="000000"/>
              </w:rPr>
              <w:t>hourly</w:t>
            </w:r>
            <w:r w:rsidRPr="00217E4E" w:rsidR="000D30FF">
              <w:rPr>
                <w:color w:val="000000"/>
              </w:rPr>
              <w:t xml:space="preserve"> </w:t>
            </w:r>
            <w:r w:rsidRPr="00217E4E">
              <w:rPr>
                <w:color w:val="000000"/>
              </w:rPr>
              <w:t>rate of $</w:t>
            </w:r>
            <w:r w:rsidR="005110A1">
              <w:rPr>
                <w:color w:val="000000"/>
              </w:rPr>
              <w:t>2</w:t>
            </w:r>
            <w:r w:rsidRPr="00217E4E">
              <w:rPr>
                <w:color w:val="000000"/>
              </w:rPr>
              <w:t>70.00.</w:t>
            </w:r>
          </w:p>
          <w:p w:rsidRPr="00217E4E" w:rsidR="00217E4E" w:rsidP="00217E4E" w:rsidRDefault="00217E4E" w14:paraId="1D9554DA" w14:textId="77777777">
            <w:pPr>
              <w:tabs>
                <w:tab w:val="left" w:pos="1440"/>
              </w:tabs>
              <w:rPr>
                <w:color w:val="000000"/>
              </w:rPr>
            </w:pPr>
          </w:p>
          <w:p w:rsidR="00CA2289" w:rsidP="00217E4E" w:rsidRDefault="000D30FF" w14:paraId="14A919E6" w14:textId="4A7B8836">
            <w:pPr>
              <w:tabs>
                <w:tab w:val="left" w:pos="1440"/>
              </w:tabs>
              <w:rPr>
                <w:color w:val="000000"/>
              </w:rPr>
            </w:pPr>
            <w:r>
              <w:rPr>
                <w:color w:val="000000"/>
              </w:rPr>
              <w:t xml:space="preserve">TURN has provided </w:t>
            </w:r>
            <w:r w:rsidRPr="00217E4E" w:rsidR="00217E4E">
              <w:rPr>
                <w:color w:val="000000"/>
              </w:rPr>
              <w:t>consultant invoice</w:t>
            </w:r>
            <w:r>
              <w:rPr>
                <w:color w:val="000000"/>
              </w:rPr>
              <w:t>s</w:t>
            </w:r>
            <w:r w:rsidRPr="00217E4E" w:rsidR="00217E4E">
              <w:rPr>
                <w:color w:val="000000"/>
              </w:rPr>
              <w:t xml:space="preserve"> filed as Attachment </w:t>
            </w:r>
            <w:r w:rsidR="005110A1">
              <w:rPr>
                <w:color w:val="000000"/>
              </w:rPr>
              <w:t>4</w:t>
            </w:r>
            <w:r>
              <w:rPr>
                <w:color w:val="000000"/>
              </w:rPr>
              <w:t>,</w:t>
            </w:r>
            <w:r w:rsidRPr="00217E4E" w:rsidR="00217E4E">
              <w:rPr>
                <w:color w:val="000000"/>
              </w:rPr>
              <w:t xml:space="preserve"> confirm</w:t>
            </w:r>
            <w:r>
              <w:rPr>
                <w:color w:val="000000"/>
              </w:rPr>
              <w:t xml:space="preserve">ing that it paid Kevin Woodruff, via </w:t>
            </w:r>
            <w:r w:rsidRPr="00217E4E" w:rsidR="00217E4E">
              <w:rPr>
                <w:color w:val="000000"/>
              </w:rPr>
              <w:t>E&amp;E Law Corp.</w:t>
            </w:r>
            <w:r>
              <w:rPr>
                <w:color w:val="000000"/>
              </w:rPr>
              <w:t>,</w:t>
            </w:r>
            <w:r w:rsidRPr="00217E4E" w:rsidR="00217E4E">
              <w:rPr>
                <w:color w:val="000000"/>
              </w:rPr>
              <w:t xml:space="preserve"> $</w:t>
            </w:r>
            <w:r w:rsidR="005110A1">
              <w:rPr>
                <w:color w:val="000000"/>
              </w:rPr>
              <w:t>270.00</w:t>
            </w:r>
            <w:r w:rsidRPr="00217E4E" w:rsidR="00217E4E">
              <w:rPr>
                <w:color w:val="000000"/>
              </w:rPr>
              <w:t xml:space="preserve"> </w:t>
            </w:r>
            <w:r>
              <w:rPr>
                <w:color w:val="000000"/>
              </w:rPr>
              <w:t xml:space="preserve">per hour in 2024 </w:t>
            </w:r>
            <w:r w:rsidRPr="00217E4E" w:rsidR="00217E4E">
              <w:rPr>
                <w:color w:val="000000"/>
              </w:rPr>
              <w:t xml:space="preserve">for </w:t>
            </w:r>
            <w:r w:rsidR="005110A1">
              <w:rPr>
                <w:color w:val="000000"/>
              </w:rPr>
              <w:t>Kevin Woodruff</w:t>
            </w:r>
            <w:r>
              <w:rPr>
                <w:color w:val="000000"/>
              </w:rPr>
              <w:t>’s time</w:t>
            </w:r>
            <w:r w:rsidRPr="00217E4E" w:rsidR="00217E4E">
              <w:rPr>
                <w:color w:val="000000"/>
              </w:rPr>
              <w:t xml:space="preserve">. </w:t>
            </w:r>
            <w:r w:rsidRPr="000D30FF">
              <w:rPr>
                <w:color w:val="000000"/>
              </w:rPr>
              <w:t xml:space="preserve">Given </w:t>
            </w:r>
            <w:r>
              <w:rPr>
                <w:color w:val="000000"/>
              </w:rPr>
              <w:t>Kevin Woodruff’s experience, w</w:t>
            </w:r>
            <w:r w:rsidRPr="00217E4E" w:rsidR="00217E4E">
              <w:rPr>
                <w:color w:val="000000"/>
              </w:rPr>
              <w:t>e find the requested rate reasonable and apply it here.</w:t>
            </w:r>
          </w:p>
          <w:p w:rsidR="000D30FF" w:rsidP="00217E4E" w:rsidRDefault="000D30FF" w14:paraId="6E623DC2" w14:textId="77777777">
            <w:pPr>
              <w:tabs>
                <w:tab w:val="left" w:pos="1440"/>
              </w:tabs>
              <w:rPr>
                <w:color w:val="000000"/>
              </w:rPr>
            </w:pPr>
          </w:p>
          <w:p w:rsidRPr="007F620E" w:rsidR="000D30FF" w:rsidP="000D30FF" w:rsidRDefault="000D30FF" w14:paraId="68285C78" w14:textId="61C15F9E">
            <w:pPr>
              <w:tabs>
                <w:tab w:val="left" w:pos="1440"/>
              </w:tabs>
              <w:rPr>
                <w:color w:val="000000"/>
              </w:rPr>
            </w:pPr>
            <w:r w:rsidRPr="000D30FF">
              <w:rPr>
                <w:color w:val="000000"/>
              </w:rPr>
              <w:t xml:space="preserve">The award determined herein for </w:t>
            </w:r>
            <w:r w:rsidR="007A39FB">
              <w:rPr>
                <w:color w:val="000000"/>
              </w:rPr>
              <w:t>Kevin Woodruff</w:t>
            </w:r>
            <w:r>
              <w:rPr>
                <w:color w:val="000000"/>
              </w:rPr>
              <w:t>’s</w:t>
            </w:r>
            <w:r w:rsidRPr="000D30FF">
              <w:rPr>
                <w:color w:val="000000"/>
              </w:rPr>
              <w:t xml:space="preserve"> contribution in this proceeding shall be paid in full to</w:t>
            </w:r>
            <w:r>
              <w:rPr>
                <w:color w:val="000000"/>
              </w:rPr>
              <w:t xml:space="preserve"> the consultant</w:t>
            </w:r>
            <w:r w:rsidRPr="000D30FF">
              <w:rPr>
                <w:color w:val="000000"/>
              </w:rPr>
              <w:t>, and no portion of this part of the award shall be kept by</w:t>
            </w:r>
            <w:r>
              <w:rPr>
                <w:color w:val="000000"/>
              </w:rPr>
              <w:t xml:space="preserve"> TURN</w:t>
            </w:r>
            <w:r w:rsidRPr="000D30FF">
              <w:rPr>
                <w:color w:val="000000"/>
              </w:rPr>
              <w:t>. Additionally, the rates approved here are specific to work in this proceeding and the contract terms between the consultant and intervenor, as they are established in accordance with the Commission’s policy on consultant compensation</w:t>
            </w:r>
            <w:r>
              <w:rPr>
                <w:color w:val="000000"/>
              </w:rPr>
              <w:t xml:space="preserve">. </w:t>
            </w:r>
          </w:p>
        </w:tc>
      </w:tr>
      <w:tr w:rsidRPr="007F620E" w:rsidR="00CA2289" w:rsidTr="0062130A" w14:paraId="003D4B9F" w14:textId="77777777">
        <w:tc>
          <w:tcPr>
            <w:tcW w:w="1603" w:type="dxa"/>
            <w:shd w:val="clear" w:color="auto" w:fill="auto"/>
          </w:tcPr>
          <w:p w:rsidRPr="007F620E" w:rsidR="00CA2289" w:rsidP="00EB64CF" w:rsidRDefault="00642FF4" w14:paraId="4508DD44" w14:textId="0FE5FE36">
            <w:pPr>
              <w:tabs>
                <w:tab w:val="left" w:pos="1440"/>
              </w:tabs>
              <w:rPr>
                <w:color w:val="000000"/>
              </w:rPr>
            </w:pPr>
            <w:r>
              <w:rPr>
                <w:color w:val="000000"/>
              </w:rPr>
              <w:lastRenderedPageBreak/>
              <w:t>[</w:t>
            </w:r>
            <w:r w:rsidR="00931058">
              <w:rPr>
                <w:color w:val="000000"/>
              </w:rPr>
              <w:t>4</w:t>
            </w:r>
            <w:r>
              <w:rPr>
                <w:color w:val="000000"/>
              </w:rPr>
              <w:t>] Michele Chait 2021 Hourly Rate</w:t>
            </w:r>
          </w:p>
        </w:tc>
        <w:tc>
          <w:tcPr>
            <w:tcW w:w="7757" w:type="dxa"/>
            <w:shd w:val="clear" w:color="auto" w:fill="auto"/>
          </w:tcPr>
          <w:p w:rsidRPr="00217E4E" w:rsidR="00217E4E" w:rsidP="00217E4E" w:rsidRDefault="00217E4E" w14:paraId="3879AD81" w14:textId="78172A8C">
            <w:pPr>
              <w:tabs>
                <w:tab w:val="left" w:pos="1440"/>
              </w:tabs>
              <w:rPr>
                <w:color w:val="000000"/>
              </w:rPr>
            </w:pPr>
            <w:r>
              <w:rPr>
                <w:color w:val="000000"/>
              </w:rPr>
              <w:t>TURN</w:t>
            </w:r>
            <w:r w:rsidRPr="00217E4E">
              <w:rPr>
                <w:color w:val="000000"/>
              </w:rPr>
              <w:t xml:space="preserve"> </w:t>
            </w:r>
            <w:r w:rsidRPr="000D30FF" w:rsidR="000D30FF">
              <w:rPr>
                <w:color w:val="000000"/>
              </w:rPr>
              <w:t xml:space="preserve">has confirmed that </w:t>
            </w:r>
            <w:r>
              <w:rPr>
                <w:color w:val="000000"/>
              </w:rPr>
              <w:t>Michele Chait</w:t>
            </w:r>
            <w:r w:rsidRPr="00217E4E">
              <w:rPr>
                <w:color w:val="000000"/>
              </w:rPr>
              <w:t xml:space="preserve"> </w:t>
            </w:r>
            <w:r w:rsidR="000D30FF">
              <w:rPr>
                <w:color w:val="000000"/>
              </w:rPr>
              <w:t>i</w:t>
            </w:r>
            <w:r w:rsidRPr="00217E4E">
              <w:rPr>
                <w:color w:val="000000"/>
              </w:rPr>
              <w:t>s a consultant</w:t>
            </w:r>
            <w:r w:rsidR="000D30FF">
              <w:rPr>
                <w:color w:val="000000"/>
              </w:rPr>
              <w:t xml:space="preserve"> and requested</w:t>
            </w:r>
            <w:r w:rsidRPr="00217E4E">
              <w:rPr>
                <w:color w:val="000000"/>
              </w:rPr>
              <w:t xml:space="preserve"> a </w:t>
            </w:r>
            <w:r>
              <w:rPr>
                <w:color w:val="000000"/>
              </w:rPr>
              <w:t>2021</w:t>
            </w:r>
            <w:r w:rsidRPr="00217E4E">
              <w:rPr>
                <w:color w:val="000000"/>
              </w:rPr>
              <w:t xml:space="preserve"> </w:t>
            </w:r>
            <w:r w:rsidR="000D30FF">
              <w:rPr>
                <w:color w:val="000000"/>
              </w:rPr>
              <w:t>hourly</w:t>
            </w:r>
            <w:r w:rsidRPr="00217E4E" w:rsidR="000D30FF">
              <w:rPr>
                <w:color w:val="000000"/>
              </w:rPr>
              <w:t xml:space="preserve"> </w:t>
            </w:r>
            <w:r w:rsidRPr="00217E4E">
              <w:rPr>
                <w:color w:val="000000"/>
              </w:rPr>
              <w:t>rate of $</w:t>
            </w:r>
            <w:r w:rsidR="005110A1">
              <w:rPr>
                <w:color w:val="000000"/>
              </w:rPr>
              <w:t>24</w:t>
            </w:r>
            <w:r w:rsidRPr="00217E4E">
              <w:rPr>
                <w:color w:val="000000"/>
              </w:rPr>
              <w:t>0.00.</w:t>
            </w:r>
          </w:p>
          <w:p w:rsidRPr="00217E4E" w:rsidR="000D30FF" w:rsidP="000D30FF" w:rsidRDefault="000D30FF" w14:paraId="70AA282D" w14:textId="77777777">
            <w:pPr>
              <w:tabs>
                <w:tab w:val="left" w:pos="1440"/>
              </w:tabs>
              <w:rPr>
                <w:color w:val="000000"/>
              </w:rPr>
            </w:pPr>
          </w:p>
          <w:p w:rsidR="00CA2289" w:rsidP="000D30FF" w:rsidRDefault="000D30FF" w14:paraId="23A8D70F" w14:textId="2BC83289">
            <w:pPr>
              <w:tabs>
                <w:tab w:val="left" w:pos="1440"/>
              </w:tabs>
              <w:rPr>
                <w:color w:val="000000"/>
              </w:rPr>
            </w:pPr>
            <w:r>
              <w:rPr>
                <w:color w:val="000000"/>
              </w:rPr>
              <w:t>TURN has provided</w:t>
            </w:r>
            <w:r w:rsidR="007A39FB">
              <w:rPr>
                <w:color w:val="000000"/>
              </w:rPr>
              <w:t xml:space="preserve"> a</w:t>
            </w:r>
            <w:r w:rsidRPr="00217E4E" w:rsidR="00217E4E">
              <w:rPr>
                <w:color w:val="000000"/>
              </w:rPr>
              <w:t xml:space="preserve"> consultant </w:t>
            </w:r>
            <w:r w:rsidR="00217E4E">
              <w:rPr>
                <w:color w:val="000000"/>
              </w:rPr>
              <w:t>agreement</w:t>
            </w:r>
            <w:r w:rsidRPr="00217E4E" w:rsidR="00217E4E">
              <w:rPr>
                <w:color w:val="000000"/>
              </w:rPr>
              <w:t xml:space="preserve"> filed as Attachment</w:t>
            </w:r>
            <w:r w:rsidR="00217E4E">
              <w:rPr>
                <w:color w:val="000000"/>
              </w:rPr>
              <w:t xml:space="preserve"> 4</w:t>
            </w:r>
            <w:r w:rsidR="007A39FB">
              <w:rPr>
                <w:color w:val="000000"/>
              </w:rPr>
              <w:t>,</w:t>
            </w:r>
            <w:r w:rsidRPr="00217E4E" w:rsidR="00217E4E">
              <w:rPr>
                <w:color w:val="000000"/>
              </w:rPr>
              <w:t xml:space="preserve"> confirm</w:t>
            </w:r>
            <w:r w:rsidR="007A39FB">
              <w:rPr>
                <w:color w:val="000000"/>
              </w:rPr>
              <w:t xml:space="preserve">ing that </w:t>
            </w:r>
            <w:r w:rsidR="00D45DBD">
              <w:rPr>
                <w:color w:val="000000"/>
              </w:rPr>
              <w:t>i</w:t>
            </w:r>
            <w:r w:rsidR="007A39FB">
              <w:rPr>
                <w:color w:val="000000"/>
              </w:rPr>
              <w:t>t paid Michele Chait, via</w:t>
            </w:r>
            <w:r w:rsidRPr="00217E4E" w:rsidR="007A39FB">
              <w:rPr>
                <w:color w:val="000000"/>
              </w:rPr>
              <w:t xml:space="preserve"> </w:t>
            </w:r>
            <w:r w:rsidR="005110A1">
              <w:rPr>
                <w:color w:val="000000"/>
              </w:rPr>
              <w:t>Michele Chait LLC</w:t>
            </w:r>
            <w:r w:rsidR="007A39FB">
              <w:rPr>
                <w:color w:val="000000"/>
              </w:rPr>
              <w:t>,</w:t>
            </w:r>
            <w:r w:rsidRPr="00217E4E" w:rsidR="00217E4E">
              <w:rPr>
                <w:color w:val="000000"/>
              </w:rPr>
              <w:t xml:space="preserve"> </w:t>
            </w:r>
            <w:r w:rsidR="005110A1">
              <w:rPr>
                <w:color w:val="000000"/>
              </w:rPr>
              <w:t>$240.00</w:t>
            </w:r>
            <w:r w:rsidRPr="00217E4E" w:rsidR="00217E4E">
              <w:rPr>
                <w:color w:val="000000"/>
              </w:rPr>
              <w:t xml:space="preserve"> </w:t>
            </w:r>
            <w:r w:rsidR="007A39FB">
              <w:rPr>
                <w:color w:val="000000"/>
              </w:rPr>
              <w:t xml:space="preserve">per hour in 2021 </w:t>
            </w:r>
            <w:r w:rsidRPr="00217E4E" w:rsidR="00217E4E">
              <w:rPr>
                <w:color w:val="000000"/>
              </w:rPr>
              <w:t xml:space="preserve">for </w:t>
            </w:r>
            <w:r w:rsidR="005110A1">
              <w:rPr>
                <w:color w:val="000000"/>
              </w:rPr>
              <w:t>Michele Chait</w:t>
            </w:r>
            <w:r w:rsidR="007A39FB">
              <w:rPr>
                <w:color w:val="000000"/>
              </w:rPr>
              <w:t>’s time</w:t>
            </w:r>
            <w:r w:rsidRPr="00217E4E" w:rsidR="00217E4E">
              <w:rPr>
                <w:color w:val="000000"/>
              </w:rPr>
              <w:t xml:space="preserve">. </w:t>
            </w:r>
            <w:r w:rsidRPr="000D30FF" w:rsidR="007A39FB">
              <w:rPr>
                <w:color w:val="000000"/>
              </w:rPr>
              <w:t xml:space="preserve">Given </w:t>
            </w:r>
            <w:r w:rsidR="007A39FB">
              <w:rPr>
                <w:color w:val="000000"/>
              </w:rPr>
              <w:t>Michele Chait’s experience, w</w:t>
            </w:r>
            <w:r w:rsidRPr="00217E4E" w:rsidR="00217E4E">
              <w:rPr>
                <w:color w:val="000000"/>
              </w:rPr>
              <w:t>e find the requested rate reasonable and apply it here.</w:t>
            </w:r>
          </w:p>
          <w:p w:rsidR="007A39FB" w:rsidP="000D30FF" w:rsidRDefault="007A39FB" w14:paraId="1A40C088" w14:textId="77777777">
            <w:pPr>
              <w:tabs>
                <w:tab w:val="left" w:pos="1440"/>
              </w:tabs>
              <w:rPr>
                <w:color w:val="000000"/>
              </w:rPr>
            </w:pPr>
          </w:p>
          <w:p w:rsidRPr="007F620E" w:rsidR="007A39FB" w:rsidP="000D30FF" w:rsidRDefault="007A39FB" w14:paraId="001D5472" w14:textId="65CDCDDD">
            <w:pPr>
              <w:tabs>
                <w:tab w:val="left" w:pos="1440"/>
              </w:tabs>
              <w:rPr>
                <w:color w:val="000000"/>
              </w:rPr>
            </w:pPr>
            <w:r w:rsidRPr="000D30FF">
              <w:rPr>
                <w:color w:val="000000"/>
              </w:rPr>
              <w:t xml:space="preserve">The award determined herein for </w:t>
            </w:r>
            <w:r>
              <w:rPr>
                <w:color w:val="000000"/>
              </w:rPr>
              <w:t>Michele Chait’s</w:t>
            </w:r>
            <w:r w:rsidRPr="000D30FF">
              <w:rPr>
                <w:color w:val="000000"/>
              </w:rPr>
              <w:t xml:space="preserve"> contribution in this proceeding shall be paid in full to</w:t>
            </w:r>
            <w:r>
              <w:rPr>
                <w:color w:val="000000"/>
              </w:rPr>
              <w:t xml:space="preserve"> the consultant</w:t>
            </w:r>
            <w:r w:rsidRPr="000D30FF">
              <w:rPr>
                <w:color w:val="000000"/>
              </w:rPr>
              <w:t>, and no portion of this part of the award shall be kept by</w:t>
            </w:r>
            <w:r>
              <w:rPr>
                <w:color w:val="000000"/>
              </w:rPr>
              <w:t xml:space="preserve"> TURN</w:t>
            </w:r>
            <w:r w:rsidRPr="000D30FF">
              <w:rPr>
                <w:color w:val="000000"/>
              </w:rPr>
              <w:t>. Additionally, the rates approved here are specific to work in this proceeding and the contract terms between the consultant and intervenor, as they are established in accordance with the Commission’s policy on consultant compensation</w:t>
            </w:r>
            <w:r>
              <w:rPr>
                <w:color w:val="000000"/>
              </w:rPr>
              <w:t>.</w:t>
            </w:r>
          </w:p>
        </w:tc>
      </w:tr>
      <w:tr w:rsidRPr="007F620E" w:rsidR="00CA2289" w:rsidTr="0062130A" w14:paraId="1573F712" w14:textId="77777777">
        <w:tc>
          <w:tcPr>
            <w:tcW w:w="1603" w:type="dxa"/>
            <w:shd w:val="clear" w:color="auto" w:fill="auto"/>
          </w:tcPr>
          <w:p w:rsidRPr="007F620E" w:rsidR="00CA2289" w:rsidP="00EB64CF" w:rsidRDefault="002C248A" w14:paraId="4A8ABAB3" w14:textId="05560E66">
            <w:pPr>
              <w:tabs>
                <w:tab w:val="left" w:pos="1440"/>
              </w:tabs>
              <w:rPr>
                <w:color w:val="000000"/>
              </w:rPr>
            </w:pPr>
            <w:r>
              <w:rPr>
                <w:color w:val="000000"/>
              </w:rPr>
              <w:t>[</w:t>
            </w:r>
            <w:r w:rsidR="00931058">
              <w:rPr>
                <w:color w:val="000000"/>
              </w:rPr>
              <w:t>5</w:t>
            </w:r>
            <w:r>
              <w:rPr>
                <w:color w:val="000000"/>
              </w:rPr>
              <w:t>] Hayley Goodson 2025 Hourly Rate</w:t>
            </w:r>
          </w:p>
        </w:tc>
        <w:tc>
          <w:tcPr>
            <w:tcW w:w="7757" w:type="dxa"/>
            <w:shd w:val="clear" w:color="auto" w:fill="auto"/>
          </w:tcPr>
          <w:p w:rsidR="00CA2289" w:rsidP="00EB64CF" w:rsidRDefault="002C248A" w14:paraId="370C740A" w14:textId="77777777">
            <w:pPr>
              <w:tabs>
                <w:tab w:val="left" w:pos="1440"/>
              </w:tabs>
              <w:rPr>
                <w:color w:val="000000"/>
              </w:rPr>
            </w:pPr>
            <w:r w:rsidRPr="002C248A">
              <w:rPr>
                <w:color w:val="000000"/>
              </w:rPr>
              <w:t>D.24-09-017</w:t>
            </w:r>
            <w:r>
              <w:rPr>
                <w:color w:val="000000"/>
              </w:rPr>
              <w:t xml:space="preserve"> verified a 2024 hourly rate of $680.00,</w:t>
            </w:r>
          </w:p>
          <w:p w:rsidR="002C248A" w:rsidP="00EB64CF" w:rsidRDefault="002C248A" w14:paraId="03AF0265" w14:textId="77777777">
            <w:pPr>
              <w:tabs>
                <w:tab w:val="left" w:pos="1440"/>
              </w:tabs>
              <w:rPr>
                <w:color w:val="000000"/>
              </w:rPr>
            </w:pPr>
          </w:p>
          <w:p w:rsidR="002C248A" w:rsidP="00EB64CF" w:rsidRDefault="002C248A" w14:paraId="1B69F480" w14:textId="77777777">
            <w:pPr>
              <w:tabs>
                <w:tab w:val="left" w:pos="1440"/>
              </w:tabs>
              <w:rPr>
                <w:color w:val="000000"/>
              </w:rPr>
            </w:pPr>
            <w:r>
              <w:rPr>
                <w:color w:val="000000"/>
              </w:rPr>
              <w:t>Using our calculation methodology, based on the approved 2024 rate of $680.00, the 3.46% 2025 escalation factor and rounding to the nearest allowable $5 increment:</w:t>
            </w:r>
          </w:p>
          <w:p w:rsidR="002C248A" w:rsidP="00EB64CF" w:rsidRDefault="002C248A" w14:paraId="2FE0C08E" w14:textId="77777777">
            <w:pPr>
              <w:tabs>
                <w:tab w:val="left" w:pos="1440"/>
              </w:tabs>
              <w:rPr>
                <w:color w:val="000000"/>
              </w:rPr>
            </w:pPr>
            <w:r>
              <w:rPr>
                <w:color w:val="000000"/>
              </w:rPr>
              <w:t xml:space="preserve">2025: $680.00 x 1.0346 = </w:t>
            </w:r>
            <w:r w:rsidR="00283E23">
              <w:rPr>
                <w:color w:val="000000"/>
              </w:rPr>
              <w:t>$705.00</w:t>
            </w:r>
          </w:p>
          <w:p w:rsidR="00283E23" w:rsidP="00EB64CF" w:rsidRDefault="00283E23" w14:paraId="4BDC6D10" w14:textId="77777777">
            <w:pPr>
              <w:tabs>
                <w:tab w:val="left" w:pos="1440"/>
              </w:tabs>
              <w:rPr>
                <w:color w:val="000000"/>
              </w:rPr>
            </w:pPr>
          </w:p>
          <w:p w:rsidRPr="007F620E" w:rsidR="00283E23" w:rsidP="00EB64CF" w:rsidRDefault="00283E23" w14:paraId="4729461F" w14:textId="3A4782C5">
            <w:pPr>
              <w:tabs>
                <w:tab w:val="left" w:pos="1440"/>
              </w:tabs>
              <w:rPr>
                <w:color w:val="000000"/>
              </w:rPr>
            </w:pPr>
            <w:r>
              <w:rPr>
                <w:color w:val="000000"/>
              </w:rPr>
              <w:t>We find the 2025 rate of $705.00 reasonable and adopt it here.</w:t>
            </w:r>
            <w:r w:rsidR="00931058">
              <w:rPr>
                <w:color w:val="000000"/>
              </w:rPr>
              <w:t xml:space="preserve"> Intervenor Compensation Claim Preparation is </w:t>
            </w:r>
            <w:r w:rsidR="00D45DBD">
              <w:rPr>
                <w:color w:val="000000"/>
              </w:rPr>
              <w:t xml:space="preserve">compensated </w:t>
            </w:r>
            <w:r w:rsidR="00931058">
              <w:rPr>
                <w:color w:val="000000"/>
              </w:rPr>
              <w:t>at ½ preparer’s normal rate, bringing the 2025 claim preparation rate to $352.50.</w:t>
            </w:r>
          </w:p>
        </w:tc>
      </w:tr>
      <w:tr w:rsidRPr="007F620E" w:rsidR="00CA2289" w:rsidTr="0062130A" w14:paraId="2DC0D814" w14:textId="77777777">
        <w:tc>
          <w:tcPr>
            <w:tcW w:w="1603" w:type="dxa"/>
            <w:shd w:val="clear" w:color="auto" w:fill="auto"/>
          </w:tcPr>
          <w:p w:rsidRPr="007F620E" w:rsidR="00CA2289" w:rsidP="00EB64CF" w:rsidRDefault="00A22E33" w14:paraId="1CDA1EEB" w14:textId="51731C0C">
            <w:pPr>
              <w:tabs>
                <w:tab w:val="left" w:pos="1440"/>
              </w:tabs>
              <w:rPr>
                <w:color w:val="000000"/>
              </w:rPr>
            </w:pPr>
            <w:r>
              <w:rPr>
                <w:color w:val="000000"/>
              </w:rPr>
              <w:t>[</w:t>
            </w:r>
            <w:r w:rsidR="00931058">
              <w:rPr>
                <w:color w:val="000000"/>
              </w:rPr>
              <w:t>6</w:t>
            </w:r>
            <w:r>
              <w:rPr>
                <w:color w:val="000000"/>
              </w:rPr>
              <w:t>] Reduction of Hours for Intervenor Compensation Claim Preparation</w:t>
            </w:r>
          </w:p>
        </w:tc>
        <w:tc>
          <w:tcPr>
            <w:tcW w:w="7757" w:type="dxa"/>
            <w:shd w:val="clear" w:color="auto" w:fill="auto"/>
          </w:tcPr>
          <w:p w:rsidR="00A22E33" w:rsidP="00EB64CF" w:rsidRDefault="00A22E33" w14:paraId="564FAD74" w14:textId="45F15A3A">
            <w:pPr>
              <w:tabs>
                <w:tab w:val="left" w:pos="1440"/>
              </w:tabs>
              <w:rPr>
                <w:color w:val="000000"/>
              </w:rPr>
            </w:pPr>
            <w:r>
              <w:rPr>
                <w:color w:val="000000"/>
              </w:rPr>
              <w:t>Review of the submitted timesheets found 37.25 hours associated with intervenor compensation claim preparation.</w:t>
            </w:r>
          </w:p>
          <w:p w:rsidR="003B457C" w:rsidP="00EB64CF" w:rsidRDefault="003B457C" w14:paraId="466F3D90" w14:textId="77777777">
            <w:pPr>
              <w:tabs>
                <w:tab w:val="left" w:pos="1440"/>
              </w:tabs>
              <w:rPr>
                <w:color w:val="000000"/>
              </w:rPr>
            </w:pPr>
          </w:p>
          <w:p w:rsidR="005139CD" w:rsidP="005139CD" w:rsidRDefault="003B457C" w14:paraId="0806F459" w14:textId="3C9889D2">
            <w:pPr>
              <w:tabs>
                <w:tab w:val="left" w:pos="1440"/>
              </w:tabs>
              <w:rPr>
                <w:color w:val="000000"/>
              </w:rPr>
            </w:pPr>
            <w:r>
              <w:rPr>
                <w:color w:val="000000"/>
              </w:rPr>
              <w:t>In total, 10.25 hours were attributed to determining substantial contribution for ESPI, AB 841 and Goals Policy decisions</w:t>
            </w:r>
            <w:r w:rsidR="005139CD">
              <w:rPr>
                <w:color w:val="000000"/>
              </w:rPr>
              <w:t>, and</w:t>
            </w:r>
            <w:r>
              <w:rPr>
                <w:color w:val="000000"/>
              </w:rPr>
              <w:t xml:space="preserve"> 13.25 hours were attributed to P&amp;G study</w:t>
            </w:r>
            <w:r w:rsidR="005139CD">
              <w:rPr>
                <w:color w:val="000000"/>
              </w:rPr>
              <w:t xml:space="preserve"> decision (23.50 of a total 37.25 hours). </w:t>
            </w:r>
            <w:r w:rsidR="00A22E33">
              <w:rPr>
                <w:color w:val="000000"/>
              </w:rPr>
              <w:t xml:space="preserve">While we </w:t>
            </w:r>
            <w:r w:rsidR="00B03018">
              <w:rPr>
                <w:color w:val="000000"/>
              </w:rPr>
              <w:t>appreciate</w:t>
            </w:r>
            <w:r w:rsidR="00A22E33">
              <w:rPr>
                <w:color w:val="000000"/>
              </w:rPr>
              <w:t xml:space="preserve"> the complexity of compiling time records and contributions </w:t>
            </w:r>
            <w:r w:rsidR="002A2C9D">
              <w:rPr>
                <w:color w:val="000000"/>
              </w:rPr>
              <w:t>spanning</w:t>
            </w:r>
            <w:r w:rsidR="00A22E33">
              <w:rPr>
                <w:color w:val="000000"/>
              </w:rPr>
              <w:t xml:space="preserve"> multiple years</w:t>
            </w:r>
            <w:r w:rsidR="002A2C9D">
              <w:rPr>
                <w:color w:val="000000"/>
              </w:rPr>
              <w:t xml:space="preserve"> and decisions</w:t>
            </w:r>
            <w:r w:rsidR="00A22E33">
              <w:rPr>
                <w:color w:val="000000"/>
              </w:rPr>
              <w:t xml:space="preserve">, </w:t>
            </w:r>
            <w:r w:rsidR="00EC47E5">
              <w:rPr>
                <w:color w:val="000000"/>
              </w:rPr>
              <w:t xml:space="preserve">we find these preparation hours excessive given the scope </w:t>
            </w:r>
            <w:r w:rsidR="008D3C90">
              <w:rPr>
                <w:color w:val="000000"/>
              </w:rPr>
              <w:t xml:space="preserve">of issues </w:t>
            </w:r>
            <w:r w:rsidR="00EC47E5">
              <w:rPr>
                <w:color w:val="000000"/>
              </w:rPr>
              <w:t xml:space="preserve">and </w:t>
            </w:r>
            <w:r w:rsidR="008D3C90">
              <w:rPr>
                <w:color w:val="000000"/>
              </w:rPr>
              <w:t xml:space="preserve">scale of the request. </w:t>
            </w:r>
            <w:r w:rsidR="00B03018">
              <w:rPr>
                <w:color w:val="000000"/>
              </w:rPr>
              <w:t>Ha</w:t>
            </w:r>
            <w:r w:rsidR="00BE1F57">
              <w:rPr>
                <w:color w:val="000000"/>
              </w:rPr>
              <w:t>yley Goodson</w:t>
            </w:r>
            <w:r w:rsidR="00C72621">
              <w:rPr>
                <w:color w:val="000000"/>
              </w:rPr>
              <w:t xml:space="preserve">, </w:t>
            </w:r>
            <w:r w:rsidR="006F7C16">
              <w:rPr>
                <w:color w:val="000000"/>
              </w:rPr>
              <w:t xml:space="preserve">an experienced attorney, </w:t>
            </w:r>
            <w:r w:rsidR="00C72621">
              <w:rPr>
                <w:color w:val="000000"/>
              </w:rPr>
              <w:t>and</w:t>
            </w:r>
            <w:r w:rsidR="00BE1F57">
              <w:rPr>
                <w:color w:val="000000"/>
              </w:rPr>
              <w:t xml:space="preserve"> the primary participant in the proceeding</w:t>
            </w:r>
            <w:r w:rsidR="005D1FF1">
              <w:rPr>
                <w:color w:val="000000"/>
              </w:rPr>
              <w:t xml:space="preserve">, </w:t>
            </w:r>
            <w:r w:rsidR="00D936BB">
              <w:rPr>
                <w:color w:val="000000"/>
              </w:rPr>
              <w:t>complet</w:t>
            </w:r>
            <w:r w:rsidR="005D1FF1">
              <w:rPr>
                <w:color w:val="000000"/>
              </w:rPr>
              <w:t>ed</w:t>
            </w:r>
            <w:r w:rsidR="00BE1F57">
              <w:rPr>
                <w:color w:val="000000"/>
              </w:rPr>
              <w:t xml:space="preserve"> the claim preparation, </w:t>
            </w:r>
            <w:r w:rsidR="005D1FF1">
              <w:rPr>
                <w:color w:val="000000"/>
              </w:rPr>
              <w:t>and we would expect greater efficiency.</w:t>
            </w:r>
            <w:r w:rsidR="009A13C1">
              <w:rPr>
                <w:color w:val="000000"/>
              </w:rPr>
              <w:t xml:space="preserve"> </w:t>
            </w:r>
            <w:r w:rsidR="005D1FF1">
              <w:rPr>
                <w:color w:val="000000"/>
              </w:rPr>
              <w:t xml:space="preserve"> </w:t>
            </w:r>
            <w:r w:rsidRPr="009A13C1" w:rsidR="009A13C1">
              <w:rPr>
                <w:color w:val="000000"/>
              </w:rPr>
              <w:t xml:space="preserve">We also note that TURN did not provide a rationale for why this particular request—smaller in scale than some of TURN’s other claims—required this </w:t>
            </w:r>
            <w:r w:rsidR="00CB4D3D">
              <w:rPr>
                <w:color w:val="000000"/>
              </w:rPr>
              <w:t xml:space="preserve">significant </w:t>
            </w:r>
            <w:r w:rsidRPr="009A13C1" w:rsidR="009A13C1">
              <w:rPr>
                <w:color w:val="000000"/>
              </w:rPr>
              <w:t>level of effort</w:t>
            </w:r>
            <w:r w:rsidR="009A13C1">
              <w:rPr>
                <w:color w:val="000000"/>
              </w:rPr>
              <w:t xml:space="preserve">. </w:t>
            </w:r>
          </w:p>
          <w:p w:rsidR="005139CD" w:rsidP="005139CD" w:rsidRDefault="005139CD" w14:paraId="4D90845C" w14:textId="77777777">
            <w:pPr>
              <w:tabs>
                <w:tab w:val="left" w:pos="1440"/>
              </w:tabs>
              <w:rPr>
                <w:color w:val="000000"/>
              </w:rPr>
            </w:pPr>
          </w:p>
          <w:p w:rsidRPr="007F620E" w:rsidR="002A2C9D" w:rsidP="005139CD" w:rsidRDefault="00B304A9" w14:paraId="76E0EBBE" w14:textId="1AB9D842">
            <w:pPr>
              <w:tabs>
                <w:tab w:val="left" w:pos="1440"/>
              </w:tabs>
              <w:rPr>
                <w:color w:val="000000"/>
              </w:rPr>
            </w:pPr>
            <w:r>
              <w:rPr>
                <w:color w:val="000000"/>
              </w:rPr>
              <w:t xml:space="preserve">Accordingly, we </w:t>
            </w:r>
            <w:r w:rsidR="00B03018">
              <w:rPr>
                <w:color w:val="000000"/>
              </w:rPr>
              <w:t xml:space="preserve">reduce </w:t>
            </w:r>
            <w:r w:rsidR="001C798C">
              <w:rPr>
                <w:color w:val="000000"/>
              </w:rPr>
              <w:t>7.25</w:t>
            </w:r>
            <w:r w:rsidR="006F7C16">
              <w:rPr>
                <w:color w:val="000000"/>
              </w:rPr>
              <w:t xml:space="preserve"> </w:t>
            </w:r>
            <w:r w:rsidR="00B03018">
              <w:rPr>
                <w:color w:val="000000"/>
              </w:rPr>
              <w:t>hours, bringing the awarded</w:t>
            </w:r>
            <w:r w:rsidR="00084058">
              <w:rPr>
                <w:color w:val="000000"/>
              </w:rPr>
              <w:t xml:space="preserve"> intervenor</w:t>
            </w:r>
            <w:r w:rsidR="005139CD">
              <w:rPr>
                <w:color w:val="000000"/>
              </w:rPr>
              <w:t xml:space="preserve"> claim preparation hours</w:t>
            </w:r>
            <w:r w:rsidR="00B03018">
              <w:rPr>
                <w:color w:val="000000"/>
              </w:rPr>
              <w:t xml:space="preserve"> to</w:t>
            </w:r>
            <w:r w:rsidR="00A729E0">
              <w:rPr>
                <w:color w:val="000000"/>
              </w:rPr>
              <w:t xml:space="preserve"> 30</w:t>
            </w:r>
            <w:r w:rsidR="009765D4">
              <w:rPr>
                <w:color w:val="000000"/>
              </w:rPr>
              <w:t>.00</w:t>
            </w:r>
            <w:r w:rsidR="00D45DBD">
              <w:rPr>
                <w:color w:val="000000"/>
              </w:rPr>
              <w:t>. The adjustment here better reflects the</w:t>
            </w:r>
            <w:r w:rsidR="00CB4D3D">
              <w:rPr>
                <w:color w:val="000000"/>
              </w:rPr>
              <w:t xml:space="preserve"> complexity and </w:t>
            </w:r>
            <w:r w:rsidR="00D10CE4">
              <w:rPr>
                <w:color w:val="000000"/>
              </w:rPr>
              <w:t>scale of this request</w:t>
            </w:r>
            <w:r w:rsidR="00B03018">
              <w:rPr>
                <w:color w:val="000000"/>
              </w:rPr>
              <w:t>.</w:t>
            </w:r>
          </w:p>
        </w:tc>
      </w:tr>
    </w:tbl>
    <w:p w:rsidRPr="004D3276" w:rsidR="00A92D0B" w:rsidP="00F53878" w:rsidRDefault="00A92D0B" w14:paraId="18E9D359" w14:textId="7840ED7C">
      <w:pPr>
        <w:pStyle w:val="Dummy"/>
        <w:keepLines w:val="0"/>
        <w:spacing w:before="480" w:after="0"/>
        <w:jc w:val="center"/>
        <w:rPr>
          <w:rFonts w:ascii="Times New Roman" w:hAnsi="Times New Roman" w:cs="Times New Roman"/>
          <w:color w:val="000000"/>
        </w:rPr>
      </w:pPr>
      <w:r w:rsidRPr="004D3276">
        <w:rPr>
          <w:rFonts w:ascii="Times New Roman" w:hAnsi="Times New Roman" w:cs="Times New Roman"/>
          <w:color w:val="000000"/>
        </w:rPr>
        <w:lastRenderedPageBreak/>
        <w:t>PART IV</w:t>
      </w:r>
      <w:r w:rsidRPr="004D3276" w:rsidR="006574DF">
        <w:rPr>
          <w:rFonts w:ascii="Times New Roman" w:hAnsi="Times New Roman" w:cs="Times New Roman"/>
          <w:color w:val="000000"/>
        </w:rPr>
        <w:t>: OPPOSITIONS</w:t>
      </w:r>
      <w:r w:rsidRPr="004D3276">
        <w:rPr>
          <w:rFonts w:ascii="Times New Roman" w:hAnsi="Times New Roman" w:cs="Times New Roman"/>
          <w:color w:val="000000"/>
        </w:rPr>
        <w:t xml:space="preserve"> AND COMMENTS</w:t>
      </w:r>
    </w:p>
    <w:p w:rsidR="00D1778A" w:rsidP="00F53878" w:rsidRDefault="00A92D0B" w14:paraId="4E460EA0" w14:textId="77777777">
      <w:pPr>
        <w:keepNext/>
        <w:tabs>
          <w:tab w:val="left" w:pos="1260"/>
        </w:tabs>
        <w:ind w:left="1267" w:hanging="1267"/>
        <w:jc w:val="center"/>
        <w:rPr>
          <w:b/>
          <w:color w:val="000000"/>
        </w:rPr>
      </w:pPr>
      <w:r w:rsidRPr="007F620E">
        <w:rPr>
          <w:b/>
          <w:color w:val="000000"/>
        </w:rPr>
        <w:t>Within 30 days after service of this Claim, Commission Staff</w:t>
      </w:r>
    </w:p>
    <w:p w:rsidRPr="007F620E" w:rsidR="00A92D0B" w:rsidP="00F53878" w:rsidRDefault="00F20061" w14:paraId="5D5DC317" w14:textId="6B3AEA94">
      <w:pPr>
        <w:keepNext/>
        <w:tabs>
          <w:tab w:val="left" w:pos="1260"/>
        </w:tabs>
        <w:spacing w:after="240"/>
        <w:ind w:left="1267" w:hanging="1267"/>
        <w:jc w:val="center"/>
        <w:rPr>
          <w:b/>
          <w:color w:val="000000"/>
        </w:rPr>
      </w:pPr>
      <w:r>
        <w:rPr>
          <w:b/>
          <w:color w:val="000000"/>
        </w:rPr>
        <w:t xml:space="preserve"> </w:t>
      </w:r>
      <w:r w:rsidRPr="007F620E" w:rsidR="00A92D0B">
        <w:rPr>
          <w:b/>
          <w:color w:val="000000"/>
        </w:rPr>
        <w:t>or any other party may file a response to the Claim (</w:t>
      </w:r>
      <w:r w:rsidRPr="007F620E" w:rsidR="00A92D0B">
        <w:rPr>
          <w:b/>
          <w:i/>
          <w:color w:val="000000"/>
        </w:rPr>
        <w:t>see</w:t>
      </w:r>
      <w:r w:rsidRPr="007F620E" w:rsidR="00A92D0B">
        <w:rPr>
          <w:b/>
          <w:color w:val="000000"/>
        </w:rPr>
        <w:t xml:space="preserve"> § 1804(c))</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6"/>
        <w:gridCol w:w="2024"/>
      </w:tblGrid>
      <w:tr w:rsidRPr="007F620E" w:rsidR="00A92D0B" w:rsidTr="005A3018" w14:paraId="46A51699" w14:textId="77777777">
        <w:tc>
          <w:tcPr>
            <w:tcW w:w="7336" w:type="dxa"/>
            <w:shd w:val="clear" w:color="auto" w:fill="auto"/>
          </w:tcPr>
          <w:p w:rsidRPr="007F620E" w:rsidR="00A92D0B" w:rsidP="00F53878" w:rsidRDefault="00A92D0B" w14:paraId="607B1FB9" w14:textId="639D7800">
            <w:pPr>
              <w:keepNext/>
              <w:ind w:left="360" w:hanging="360"/>
              <w:rPr>
                <w:color w:val="000000"/>
              </w:rPr>
            </w:pPr>
            <w:r w:rsidRPr="007F620E">
              <w:rPr>
                <w:b/>
                <w:color w:val="000000"/>
              </w:rPr>
              <w:t>A.</w:t>
            </w:r>
            <w:r w:rsidR="005A3018">
              <w:rPr>
                <w:b/>
                <w:color w:val="000000"/>
              </w:rPr>
              <w:tab/>
            </w:r>
            <w:r w:rsidRPr="007F620E">
              <w:rPr>
                <w:b/>
                <w:color w:val="000000"/>
              </w:rPr>
              <w:t>Opposition:  Did any party oppose the Claim?</w:t>
            </w:r>
          </w:p>
        </w:tc>
        <w:tc>
          <w:tcPr>
            <w:tcW w:w="2024" w:type="dxa"/>
            <w:shd w:val="clear" w:color="auto" w:fill="auto"/>
          </w:tcPr>
          <w:p w:rsidRPr="007F620E" w:rsidR="00A92D0B" w:rsidP="00F53878" w:rsidRDefault="0062130A" w14:paraId="6E7CD931" w14:textId="15BA1C59">
            <w:pPr>
              <w:keepNext/>
              <w:jc w:val="center"/>
              <w:rPr>
                <w:color w:val="000000"/>
              </w:rPr>
            </w:pPr>
            <w:r>
              <w:rPr>
                <w:color w:val="000000"/>
              </w:rPr>
              <w:t>No</w:t>
            </w:r>
          </w:p>
        </w:tc>
      </w:tr>
    </w:tbl>
    <w:p w:rsidRPr="007F620E" w:rsidR="00A92D0B" w:rsidP="00F53878" w:rsidRDefault="00A92D0B" w14:paraId="23420BFC" w14:textId="77777777">
      <w:pPr>
        <w:keepNext/>
        <w:tabs>
          <w:tab w:val="left" w:pos="1260"/>
        </w:tabs>
        <w:spacing w:before="60"/>
        <w:ind w:left="1267" w:hanging="1267"/>
        <w:jc w:val="center"/>
        <w:rPr>
          <w:color w:val="000000"/>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bottom w:w="58" w:type="dxa"/>
        </w:tblCellMar>
        <w:tblLook w:val="01E0" w:firstRow="1" w:lastRow="1" w:firstColumn="1" w:lastColumn="1" w:noHBand="0" w:noVBand="0"/>
      </w:tblPr>
      <w:tblGrid>
        <w:gridCol w:w="7331"/>
        <w:gridCol w:w="2029"/>
      </w:tblGrid>
      <w:tr w:rsidRPr="007F620E" w:rsidR="00A92D0B" w:rsidTr="005A3018" w14:paraId="7A0D8740" w14:textId="77777777">
        <w:tc>
          <w:tcPr>
            <w:tcW w:w="7488" w:type="dxa"/>
            <w:shd w:val="clear" w:color="auto" w:fill="auto"/>
          </w:tcPr>
          <w:p w:rsidRPr="007F620E" w:rsidR="00A92D0B" w:rsidP="005A3018" w:rsidRDefault="00A92D0B" w14:paraId="37D28D8D" w14:textId="4DD2F575">
            <w:pPr>
              <w:ind w:left="360" w:hanging="360"/>
              <w:rPr>
                <w:color w:val="000000"/>
              </w:rPr>
            </w:pPr>
            <w:r w:rsidRPr="007F620E">
              <w:rPr>
                <w:b/>
                <w:color w:val="000000"/>
              </w:rPr>
              <w:t>B.</w:t>
            </w:r>
            <w:r w:rsidR="005A3018">
              <w:rPr>
                <w:b/>
                <w:color w:val="000000"/>
              </w:rPr>
              <w:tab/>
            </w:r>
            <w:r w:rsidRPr="007F620E">
              <w:rPr>
                <w:b/>
                <w:color w:val="000000"/>
              </w:rPr>
              <w:t>Comment Period:  Was the 30-day comment period waived (</w:t>
            </w:r>
            <w:r w:rsidRPr="007F620E">
              <w:rPr>
                <w:b/>
                <w:i/>
                <w:color w:val="000000"/>
              </w:rPr>
              <w:t>see</w:t>
            </w:r>
            <w:r w:rsidR="00A60203">
              <w:rPr>
                <w:b/>
                <w:color w:val="000000"/>
              </w:rPr>
              <w:t> </w:t>
            </w:r>
            <w:r w:rsidRPr="007F620E">
              <w:rPr>
                <w:b/>
                <w:color w:val="000000"/>
              </w:rPr>
              <w:t>Rule 14.6(</w:t>
            </w:r>
            <w:r w:rsidRPr="007F620E" w:rsidR="00963EEF">
              <w:rPr>
                <w:b/>
                <w:color w:val="000000"/>
              </w:rPr>
              <w:t>c</w:t>
            </w:r>
            <w:r w:rsidRPr="007F620E">
              <w:rPr>
                <w:b/>
                <w:color w:val="000000"/>
              </w:rPr>
              <w:t>)(6))?</w:t>
            </w:r>
          </w:p>
        </w:tc>
        <w:tc>
          <w:tcPr>
            <w:tcW w:w="2070" w:type="dxa"/>
            <w:shd w:val="clear" w:color="auto" w:fill="auto"/>
          </w:tcPr>
          <w:p w:rsidRPr="007F620E" w:rsidR="00A92D0B" w:rsidP="0062130A" w:rsidRDefault="0062130A" w14:paraId="238D2D3F" w14:textId="1ADF8F59">
            <w:pPr>
              <w:keepNext/>
              <w:keepLines/>
              <w:spacing w:after="240"/>
              <w:jc w:val="center"/>
              <w:rPr>
                <w:color w:val="000000"/>
              </w:rPr>
            </w:pPr>
            <w:r>
              <w:rPr>
                <w:color w:val="000000"/>
              </w:rPr>
              <w:t>Yes</w:t>
            </w:r>
          </w:p>
        </w:tc>
      </w:tr>
    </w:tbl>
    <w:p w:rsidRPr="004D3276" w:rsidR="00A92D0B" w:rsidP="004D3276" w:rsidRDefault="00A92D0B" w14:paraId="186E115A" w14:textId="77777777">
      <w:pPr>
        <w:pStyle w:val="Dummy"/>
        <w:spacing w:before="480" w:after="240"/>
        <w:jc w:val="center"/>
        <w:rPr>
          <w:rFonts w:ascii="Times New Roman" w:hAnsi="Times New Roman" w:cs="Times New Roman"/>
          <w:color w:val="000000"/>
          <w:u w:val="single"/>
        </w:rPr>
      </w:pPr>
      <w:r w:rsidRPr="004D3276">
        <w:rPr>
          <w:rFonts w:ascii="Times New Roman" w:hAnsi="Times New Roman" w:cs="Times New Roman"/>
          <w:color w:val="000000"/>
          <w:u w:val="single"/>
        </w:rPr>
        <w:t>FINDINGS OF FACT</w:t>
      </w:r>
    </w:p>
    <w:p w:rsidRPr="007F620E" w:rsidR="00A92D0B" w:rsidRDefault="00AF03E6" w14:paraId="7772A9DC" w14:textId="41D1A069">
      <w:pPr>
        <w:numPr>
          <w:ilvl w:val="0"/>
          <w:numId w:val="3"/>
        </w:numPr>
        <w:tabs>
          <w:tab w:val="num" w:pos="540"/>
        </w:tabs>
        <w:ind w:left="540" w:hanging="540"/>
      </w:pPr>
      <w:r w:rsidRPr="00AF03E6">
        <w:rPr>
          <w:bCs/>
        </w:rPr>
        <w:t xml:space="preserve">The Utility Reform </w:t>
      </w:r>
      <w:r w:rsidRPr="00AF03E6">
        <w:t xml:space="preserve">Network </w:t>
      </w:r>
      <w:r w:rsidRPr="007F620E" w:rsidR="00A92D0B">
        <w:t>has made a substantia</w:t>
      </w:r>
      <w:r w:rsidRPr="007F620E" w:rsidR="00DE3A5D">
        <w:t>l contribution</w:t>
      </w:r>
      <w:r w:rsidR="00AF77CB">
        <w:t xml:space="preserve"> to</w:t>
      </w:r>
      <w:r w:rsidRPr="007F620E" w:rsidR="00DE3A5D">
        <w:t xml:space="preserve"> D.</w:t>
      </w:r>
      <w:r w:rsidRPr="00AF03E6" w:rsidR="00380B3C">
        <w:t>20-11-013, D.21</w:t>
      </w:r>
      <w:r w:rsidR="001811F3">
        <w:noBreakHyphen/>
      </w:r>
      <w:r w:rsidRPr="00AF03E6" w:rsidR="00380B3C">
        <w:t>01</w:t>
      </w:r>
      <w:r w:rsidR="001811F3">
        <w:noBreakHyphen/>
      </w:r>
      <w:r w:rsidRPr="00AF03E6" w:rsidR="00380B3C">
        <w:t xml:space="preserve">004, D.21-05-031, D.21-09-002, D.21-09-037, </w:t>
      </w:r>
      <w:r w:rsidRPr="00AF03E6" w:rsidR="003F6A66">
        <w:t xml:space="preserve">and </w:t>
      </w:r>
      <w:r w:rsidRPr="00AF03E6" w:rsidR="00380B3C">
        <w:t>D.22-11-031</w:t>
      </w:r>
      <w:r w:rsidRPr="00AF03E6" w:rsidR="00A92D0B">
        <w:t>.</w:t>
      </w:r>
    </w:p>
    <w:p w:rsidRPr="007F620E" w:rsidR="00A92D0B" w:rsidRDefault="00A92D0B" w14:paraId="04EB50FD" w14:textId="07DEE32C">
      <w:pPr>
        <w:numPr>
          <w:ilvl w:val="0"/>
          <w:numId w:val="3"/>
        </w:numPr>
        <w:tabs>
          <w:tab w:val="num" w:pos="540"/>
        </w:tabs>
        <w:spacing w:before="240"/>
      </w:pPr>
      <w:r w:rsidRPr="007F620E">
        <w:t>The requested hourly rates for</w:t>
      </w:r>
      <w:r w:rsidR="003B6A1B">
        <w:t xml:space="preserve"> </w:t>
      </w:r>
      <w:r w:rsidRPr="00AF03E6" w:rsidR="00AF03E6">
        <w:rPr>
          <w:bCs/>
        </w:rPr>
        <w:t>The Utility Reform Network</w:t>
      </w:r>
      <w:r w:rsidRPr="007F620E" w:rsidR="005A63D4">
        <w:t xml:space="preserve">’s </w:t>
      </w:r>
      <w:r w:rsidRPr="007F620E">
        <w:t>representatives are comparable to market rates paid to experts and advocates having comparable training and experience and offering similar services.</w:t>
      </w:r>
    </w:p>
    <w:p w:rsidRPr="007F620E" w:rsidR="00A92D0B" w:rsidRDefault="00A92D0B" w14:paraId="528EBB52" w14:textId="185E4317">
      <w:pPr>
        <w:numPr>
          <w:ilvl w:val="0"/>
          <w:numId w:val="3"/>
        </w:numPr>
        <w:tabs>
          <w:tab w:val="num" w:pos="540"/>
        </w:tabs>
        <w:spacing w:before="240"/>
      </w:pPr>
      <w:r w:rsidRPr="007F620E">
        <w:t>The claimed costs and expenses,</w:t>
      </w:r>
      <w:r w:rsidR="003B5EAC">
        <w:t xml:space="preserve"> </w:t>
      </w:r>
      <w:r w:rsidRPr="007F620E">
        <w:t xml:space="preserve">as adjusted herein, are reasonable and commensurate with the work performed. </w:t>
      </w:r>
    </w:p>
    <w:p w:rsidRPr="007F620E" w:rsidR="00A92D0B" w:rsidRDefault="00A92D0B" w14:paraId="48B52895" w14:textId="0AF35AEE">
      <w:pPr>
        <w:numPr>
          <w:ilvl w:val="0"/>
          <w:numId w:val="3"/>
        </w:numPr>
        <w:tabs>
          <w:tab w:val="num" w:pos="540"/>
        </w:tabs>
        <w:spacing w:before="240"/>
      </w:pPr>
      <w:r w:rsidRPr="007F620E">
        <w:t xml:space="preserve">The total of reasonable </w:t>
      </w:r>
      <w:r w:rsidRPr="007F620E" w:rsidR="003C608A">
        <w:t xml:space="preserve">compensation </w:t>
      </w:r>
      <w:r w:rsidRPr="007F620E">
        <w:t xml:space="preserve">is </w:t>
      </w:r>
      <w:r w:rsidRPr="009765D4" w:rsidR="009765D4">
        <w:t>$212,520.00</w:t>
      </w:r>
      <w:r w:rsidRPr="007F620E">
        <w:t>.</w:t>
      </w:r>
    </w:p>
    <w:p w:rsidRPr="004D3276" w:rsidR="00A92D0B" w:rsidP="004D3276" w:rsidRDefault="00A92D0B" w14:paraId="5C773C3F" w14:textId="77777777">
      <w:pPr>
        <w:pStyle w:val="Dummy"/>
        <w:spacing w:before="480" w:after="240"/>
        <w:jc w:val="center"/>
        <w:rPr>
          <w:rFonts w:ascii="Times New Roman" w:hAnsi="Times New Roman" w:cs="Times New Roman"/>
          <w:color w:val="000000"/>
          <w:u w:val="single"/>
        </w:rPr>
      </w:pPr>
      <w:r w:rsidRPr="004D3276">
        <w:rPr>
          <w:rFonts w:ascii="Times New Roman" w:hAnsi="Times New Roman" w:cs="Times New Roman"/>
          <w:color w:val="000000"/>
          <w:u w:val="single"/>
        </w:rPr>
        <w:t>CONCLUSION OF LAW</w:t>
      </w:r>
    </w:p>
    <w:p w:rsidRPr="007F620E" w:rsidR="00A92D0B" w:rsidP="00575494" w:rsidRDefault="00A92D0B" w14:paraId="654F2C27" w14:textId="75CEA11A">
      <w:pPr>
        <w:numPr>
          <w:ilvl w:val="0"/>
          <w:numId w:val="10"/>
        </w:numPr>
        <w:spacing w:before="240"/>
        <w:rPr>
          <w:color w:val="000000"/>
        </w:rPr>
      </w:pPr>
      <w:r w:rsidRPr="00575494">
        <w:t>The</w:t>
      </w:r>
      <w:r w:rsidRPr="007F620E">
        <w:rPr>
          <w:color w:val="000000"/>
        </w:rPr>
        <w:t xml:space="preserve"> Claim, with any adjustment set forth above, satisfies</w:t>
      </w:r>
      <w:r w:rsidRPr="007F620E" w:rsidR="00DE3A5D">
        <w:rPr>
          <w:color w:val="000000"/>
        </w:rPr>
        <w:t xml:space="preserve"> all requirements of Pub. Util.</w:t>
      </w:r>
      <w:r w:rsidRPr="007F620E">
        <w:rPr>
          <w:color w:val="000000"/>
        </w:rPr>
        <w:t xml:space="preserve"> Code §§ 1801-1812.</w:t>
      </w:r>
    </w:p>
    <w:p w:rsidRPr="004D3276" w:rsidR="00A92D0B" w:rsidP="004D3276" w:rsidRDefault="00A92D0B" w14:paraId="0E2503A5" w14:textId="77777777">
      <w:pPr>
        <w:pStyle w:val="Dummy"/>
        <w:spacing w:before="480" w:after="240"/>
        <w:jc w:val="center"/>
        <w:rPr>
          <w:rFonts w:ascii="Times New Roman" w:hAnsi="Times New Roman" w:cs="Times New Roman"/>
          <w:color w:val="000000"/>
          <w:u w:val="single"/>
        </w:rPr>
      </w:pPr>
      <w:r w:rsidRPr="004D3276">
        <w:rPr>
          <w:rFonts w:ascii="Times New Roman" w:hAnsi="Times New Roman" w:cs="Times New Roman"/>
          <w:color w:val="000000"/>
          <w:u w:val="single"/>
        </w:rPr>
        <w:t>ORDER</w:t>
      </w:r>
    </w:p>
    <w:p w:rsidRPr="007F620E" w:rsidR="00A92D0B" w:rsidP="00CE057B" w:rsidRDefault="00AF03E6" w14:paraId="33FB4E15" w14:textId="41A31096">
      <w:pPr>
        <w:keepNext/>
        <w:numPr>
          <w:ilvl w:val="0"/>
          <w:numId w:val="4"/>
        </w:numPr>
        <w:tabs>
          <w:tab w:val="clear" w:pos="900"/>
          <w:tab w:val="num" w:pos="540"/>
        </w:tabs>
        <w:ind w:left="547" w:hanging="547"/>
        <w:rPr>
          <w:color w:val="000000"/>
        </w:rPr>
      </w:pPr>
      <w:r w:rsidRPr="00AF03E6">
        <w:rPr>
          <w:bCs/>
        </w:rPr>
        <w:t xml:space="preserve">The Utility Reform </w:t>
      </w:r>
      <w:r w:rsidRPr="00CA2289">
        <w:rPr>
          <w:color w:val="000000"/>
        </w:rPr>
        <w:t xml:space="preserve">Network </w:t>
      </w:r>
      <w:r w:rsidRPr="00CA2289" w:rsidR="00831652">
        <w:rPr>
          <w:color w:val="000000"/>
        </w:rPr>
        <w:t>is</w:t>
      </w:r>
      <w:r w:rsidRPr="00FE3BAE" w:rsidR="00FE3BAE">
        <w:t xml:space="preserve"> </w:t>
      </w:r>
      <w:r w:rsidRPr="00FE3BAE" w:rsidR="00A92D0B">
        <w:rPr>
          <w:color w:val="000000"/>
        </w:rPr>
        <w:t xml:space="preserve">awarded </w:t>
      </w:r>
      <w:r w:rsidRPr="009765D4" w:rsidR="009765D4">
        <w:rPr>
          <w:color w:val="000000"/>
        </w:rPr>
        <w:t>$212,520.00</w:t>
      </w:r>
      <w:r w:rsidRPr="007F620E" w:rsidR="00A92D0B">
        <w:rPr>
          <w:color w:val="000000"/>
        </w:rPr>
        <w:t>.</w:t>
      </w:r>
    </w:p>
    <w:p w:rsidR="00A92D0B" w:rsidRDefault="0055228B" w14:paraId="4AEF5671" w14:textId="13B39AEC">
      <w:pPr>
        <w:numPr>
          <w:ilvl w:val="0"/>
          <w:numId w:val="4"/>
        </w:numPr>
        <w:tabs>
          <w:tab w:val="clear" w:pos="900"/>
          <w:tab w:val="num" w:pos="540"/>
        </w:tabs>
        <w:spacing w:before="240"/>
        <w:ind w:left="547" w:hanging="547"/>
      </w:pPr>
      <w:r>
        <w:t xml:space="preserve">Within 30 days of the effective date of this decision, </w:t>
      </w:r>
      <w:r w:rsidRPr="00CA2289" w:rsidR="00CA2289">
        <w:t xml:space="preserve">Pacific Gas </w:t>
      </w:r>
      <w:r w:rsidR="001811F3">
        <w:t>and</w:t>
      </w:r>
      <w:r w:rsidRPr="00CA2289" w:rsidR="00CA2289">
        <w:t xml:space="preserve"> Electric Company, Southern California Edison Company, San Diego Gas &amp; Electric Company, and Southern California Gas Company </w:t>
      </w:r>
      <w:r w:rsidRPr="00831652">
        <w:t>shall</w:t>
      </w:r>
      <w:r>
        <w:t xml:space="preserve"> pay </w:t>
      </w:r>
      <w:r w:rsidRPr="00AF03E6" w:rsidR="00AF03E6">
        <w:rPr>
          <w:bCs/>
        </w:rPr>
        <w:t xml:space="preserve">The Utility Reform </w:t>
      </w:r>
      <w:r w:rsidRPr="00AF03E6" w:rsidR="00AF03E6">
        <w:t>Network</w:t>
      </w:r>
      <w:r w:rsidRPr="0022302F">
        <w:t xml:space="preserve"> </w:t>
      </w:r>
      <w:r>
        <w:t xml:space="preserve">their respective shares of the award, based on their California-jurisdictional </w:t>
      </w:r>
      <w:r w:rsidR="00CA2289">
        <w:t>electric and gas</w:t>
      </w:r>
      <w:r>
        <w:t xml:space="preserve"> revenues for the </w:t>
      </w:r>
      <w:r w:rsidR="00CA2289">
        <w:t>2020</w:t>
      </w:r>
      <w:r>
        <w:t xml:space="preserve"> calendar year, </w:t>
      </w:r>
      <w:r w:rsidRPr="0055228B">
        <w:t xml:space="preserve">to reflect the year in which the proceeding was primarily litigated.  If such data </w:t>
      </w:r>
      <w:r w:rsidR="0062130A">
        <w:t>is</w:t>
      </w:r>
      <w:r w:rsidRPr="0055228B">
        <w:t xml:space="preserve"> unavailable, the most recent </w:t>
      </w:r>
      <w:r w:rsidR="00CA2289">
        <w:t>electric and gas</w:t>
      </w:r>
      <w:r w:rsidRPr="0055228B">
        <w:t xml:space="preserve"> revenue data shall be used.</w:t>
      </w:r>
      <w:r w:rsidRPr="007F620E" w:rsidR="00A92D0B">
        <w:t xml:space="preserve"> Payment of the award </w:t>
      </w:r>
      <w:r w:rsidRPr="00831652" w:rsidR="00A92D0B">
        <w:t>shall</w:t>
      </w:r>
      <w:r w:rsidRPr="007F620E" w:rsidR="00A92D0B">
        <w:t xml:space="preserve"> include</w:t>
      </w:r>
      <w:r w:rsidRPr="007F620E" w:rsidR="004E3939">
        <w:t xml:space="preserve"> compound </w:t>
      </w:r>
      <w:r w:rsidRPr="007F620E" w:rsidR="00A92D0B">
        <w:t xml:space="preserve">interest at the rate earned on prime, three-month </w:t>
      </w:r>
      <w:r w:rsidRPr="007F620E" w:rsidR="00214B22">
        <w:t xml:space="preserve">non-financial </w:t>
      </w:r>
      <w:r w:rsidRPr="007F620E" w:rsidR="00A92D0B">
        <w:t>commercial paper as reported in Federal Reserve Statistical Release H.15, beginning</w:t>
      </w:r>
      <w:r w:rsidR="00CA2289">
        <w:t xml:space="preserve"> June 7, 2025</w:t>
      </w:r>
      <w:r w:rsidRPr="007F620E" w:rsidR="00357F1A">
        <w:t xml:space="preserve">, </w:t>
      </w:r>
      <w:r w:rsidRPr="007F620E" w:rsidR="00A92D0B">
        <w:t>the 75</w:t>
      </w:r>
      <w:r w:rsidRPr="007F620E" w:rsidR="00A92D0B">
        <w:rPr>
          <w:vertAlign w:val="superscript"/>
        </w:rPr>
        <w:t>th</w:t>
      </w:r>
      <w:r w:rsidRPr="007F620E" w:rsidR="00A92D0B">
        <w:t xml:space="preserve"> day after the filing of </w:t>
      </w:r>
      <w:r w:rsidRPr="00AF03E6" w:rsidR="00AF03E6">
        <w:rPr>
          <w:bCs/>
        </w:rPr>
        <w:t xml:space="preserve">The Utility Reform </w:t>
      </w:r>
      <w:r w:rsidRPr="00AF03E6" w:rsidR="00AF03E6">
        <w:t>Network</w:t>
      </w:r>
      <w:r w:rsidRPr="003B6A1B" w:rsidR="00FE3BAE">
        <w:t>’s</w:t>
      </w:r>
      <w:r w:rsidRPr="003B6A1B" w:rsidR="00FE3BAE">
        <w:rPr>
          <w:b/>
        </w:rPr>
        <w:t xml:space="preserve"> </w:t>
      </w:r>
      <w:r w:rsidRPr="007F620E" w:rsidR="00A92D0B">
        <w:t>request, and continuing until full payment is made.</w:t>
      </w:r>
    </w:p>
    <w:p w:rsidRPr="007F620E" w:rsidR="00A92D0B" w:rsidP="00DE3A5D" w:rsidRDefault="00A92D0B" w14:paraId="5AD40C95" w14:textId="34795C7F">
      <w:pPr>
        <w:keepNext/>
        <w:keepLines/>
        <w:numPr>
          <w:ilvl w:val="0"/>
          <w:numId w:val="4"/>
        </w:numPr>
        <w:tabs>
          <w:tab w:val="clear" w:pos="900"/>
          <w:tab w:val="num" w:pos="540"/>
        </w:tabs>
        <w:spacing w:before="240"/>
        <w:ind w:left="547" w:hanging="547"/>
      </w:pPr>
      <w:r w:rsidRPr="007F620E">
        <w:lastRenderedPageBreak/>
        <w:t>The comment period for today’s decision is waived.</w:t>
      </w:r>
    </w:p>
    <w:p w:rsidRPr="007F620E" w:rsidR="00A92D0B" w:rsidP="00467E65" w:rsidRDefault="00A92D0B" w14:paraId="13F3A0AD" w14:textId="77777777">
      <w:pPr>
        <w:keepNext/>
        <w:keepLines/>
        <w:spacing w:before="240"/>
        <w:ind w:left="547"/>
        <w:rPr>
          <w:color w:val="000000"/>
        </w:rPr>
      </w:pPr>
      <w:r w:rsidRPr="007F620E">
        <w:rPr>
          <w:color w:val="000000"/>
        </w:rPr>
        <w:t>This decision is effective today.</w:t>
      </w:r>
    </w:p>
    <w:p w:rsidR="00D30C24" w:rsidP="00D30C24" w:rsidRDefault="00A92D0B" w14:paraId="47096A05" w14:textId="77777777">
      <w:pPr>
        <w:keepNext/>
        <w:keepLines/>
        <w:spacing w:before="240"/>
        <w:ind w:left="547"/>
        <w:rPr>
          <w:color w:val="000000"/>
        </w:rPr>
        <w:sectPr w:rsidR="00D30C24" w:rsidSect="00B44819">
          <w:headerReference w:type="default" r:id="rId8"/>
          <w:footerReference w:type="default" r:id="rId9"/>
          <w:footerReference w:type="first" r:id="rId10"/>
          <w:footnotePr>
            <w:numRestart w:val="eachSect"/>
          </w:footnotePr>
          <w:pgSz w:w="12240" w:h="15840"/>
          <w:pgMar w:top="1728" w:right="1440" w:bottom="1440" w:left="1440" w:header="720" w:footer="720" w:gutter="0"/>
          <w:pgNumType w:start="1"/>
          <w:cols w:space="720"/>
          <w:titlePg/>
          <w:docGrid w:linePitch="360"/>
        </w:sectPr>
      </w:pPr>
      <w:r w:rsidRPr="007F620E">
        <w:rPr>
          <w:color w:val="000000"/>
        </w:rPr>
        <w:t>Dated _____________, at San Francisco, California</w:t>
      </w:r>
    </w:p>
    <w:p w:rsidRPr="004D3276" w:rsidR="00FE3BAE" w:rsidP="00D30C24" w:rsidRDefault="00FE3BAE" w14:paraId="7A1C7043" w14:textId="449178EC">
      <w:pPr>
        <w:pStyle w:val="Dummy"/>
        <w:spacing w:before="240" w:after="240"/>
        <w:jc w:val="center"/>
        <w:rPr>
          <w:rFonts w:ascii="Times New Roman" w:hAnsi="Times New Roman" w:cs="Times New Roman"/>
          <w:color w:val="000000"/>
          <w:u w:val="single"/>
        </w:rPr>
      </w:pPr>
      <w:r w:rsidRPr="004D3276">
        <w:rPr>
          <w:rFonts w:ascii="Times New Roman" w:hAnsi="Times New Roman" w:cs="Times New Roman"/>
          <w:color w:val="000000"/>
          <w:u w:val="single"/>
        </w:rPr>
        <w:lastRenderedPageBreak/>
        <w:t>APPENDIX</w:t>
      </w:r>
    </w:p>
    <w:p w:rsidRPr="001811F3" w:rsidR="00FE3BAE" w:rsidP="00D30C24" w:rsidRDefault="00FE3BAE" w14:paraId="300BB274" w14:textId="77777777">
      <w:pPr>
        <w:pStyle w:val="standard"/>
        <w:keepNext/>
        <w:ind w:firstLine="0"/>
        <w:jc w:val="center"/>
        <w:rPr>
          <w:rFonts w:ascii="Times New Roman" w:hAnsi="Times New Roman"/>
          <w:b/>
          <w:bCs/>
          <w:szCs w:val="26"/>
        </w:rPr>
      </w:pPr>
      <w:r w:rsidRPr="001811F3">
        <w:rPr>
          <w:rFonts w:ascii="Times New Roman" w:hAnsi="Times New Roman"/>
          <w:b/>
          <w:bCs/>
          <w:szCs w:val="26"/>
        </w:rPr>
        <w:t>Compensation Decision Summary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bottom w:w="29" w:type="dxa"/>
        </w:tblCellMar>
        <w:tblLook w:val="01E0" w:firstRow="1" w:lastRow="1" w:firstColumn="1" w:lastColumn="1" w:noHBand="0" w:noVBand="0"/>
      </w:tblPr>
      <w:tblGrid>
        <w:gridCol w:w="2905"/>
        <w:gridCol w:w="3767"/>
        <w:gridCol w:w="2497"/>
        <w:gridCol w:w="1271"/>
      </w:tblGrid>
      <w:tr w:rsidRPr="00D30C24" w:rsidR="00FE3BAE" w:rsidTr="00D30C24" w14:paraId="062C592A"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D30C24" w:rsidR="00FE3BAE" w:rsidP="00A23C17" w:rsidRDefault="00FE3BAE" w14:paraId="4BC9C636" w14:textId="77777777">
            <w:pPr>
              <w:rPr>
                <w:b/>
                <w:bCs/>
              </w:rPr>
            </w:pPr>
            <w:r w:rsidRPr="00D30C24">
              <w:rPr>
                <w:b/>
                <w:bCs/>
              </w:rPr>
              <w:t>Compensation Decision:</w:t>
            </w:r>
          </w:p>
        </w:tc>
        <w:tc>
          <w:tcPr>
            <w:tcW w:w="3735" w:type="dxa"/>
            <w:tcBorders>
              <w:top w:val="single" w:color="auto" w:sz="4" w:space="0"/>
              <w:left w:val="single" w:color="auto" w:sz="4" w:space="0"/>
              <w:bottom w:val="single" w:color="auto" w:sz="4" w:space="0"/>
              <w:right w:val="single" w:color="auto" w:sz="4" w:space="0"/>
            </w:tcBorders>
          </w:tcPr>
          <w:p w:rsidRPr="00D30C24" w:rsidR="00FE3BAE" w:rsidP="00A23C17" w:rsidRDefault="00FE3BAE" w14:paraId="16C5D6B1" w14:textId="77777777"/>
        </w:tc>
        <w:tc>
          <w:tcPr>
            <w:tcW w:w="2475" w:type="dxa"/>
            <w:tcBorders>
              <w:top w:val="single" w:color="auto" w:sz="4" w:space="0"/>
              <w:left w:val="single" w:color="auto" w:sz="4" w:space="0"/>
              <w:bottom w:val="single" w:color="auto" w:sz="4" w:space="0"/>
              <w:right w:val="single" w:color="auto" w:sz="4" w:space="0"/>
            </w:tcBorders>
            <w:hideMark/>
          </w:tcPr>
          <w:p w:rsidRPr="00D30C24" w:rsidR="00FE3BAE" w:rsidP="00A23C17" w:rsidRDefault="00FE3BAE" w14:paraId="3ECA0C4F" w14:textId="77777777">
            <w:pPr>
              <w:rPr>
                <w:b/>
                <w:bCs/>
              </w:rPr>
            </w:pPr>
            <w:r w:rsidRPr="00D30C24">
              <w:rPr>
                <w:b/>
                <w:bCs/>
              </w:rP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Pr="00D30C24" w:rsidR="00FE3BAE" w:rsidP="00A23C17" w:rsidRDefault="0062130A" w14:paraId="6846FB87" w14:textId="2164C92C">
            <w:pPr>
              <w:jc w:val="center"/>
            </w:pPr>
            <w:r w:rsidRPr="00D30C24">
              <w:t>No</w:t>
            </w:r>
          </w:p>
        </w:tc>
      </w:tr>
      <w:tr w:rsidRPr="00D30C24" w:rsidR="00FE3BAE" w:rsidTr="00D30C24" w14:paraId="3E0218AD"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D30C24" w:rsidR="00FE3BAE" w:rsidP="00A23C17" w:rsidRDefault="00FE3BAE" w14:paraId="6E65620B" w14:textId="77777777">
            <w:pPr>
              <w:rPr>
                <w:b/>
                <w:bCs/>
              </w:rPr>
            </w:pPr>
            <w:r w:rsidRPr="00D30C24">
              <w:rPr>
                <w:b/>
                <w:bCs/>
              </w:rP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D30C24" w:rsidR="00FE3BAE" w:rsidP="00A23C17" w:rsidRDefault="000D10D1" w14:paraId="426F2C45" w14:textId="35B285B2">
            <w:r w:rsidRPr="00D30C24">
              <w:rPr>
                <w:bCs/>
                <w:color w:val="000000"/>
              </w:rPr>
              <w:t>D2011013, D2101004, D2105031, D2109002, D2109037</w:t>
            </w:r>
            <w:r w:rsidRPr="00D30C24" w:rsidR="00CA2289">
              <w:rPr>
                <w:bCs/>
                <w:color w:val="000000"/>
              </w:rPr>
              <w:t xml:space="preserve">, </w:t>
            </w:r>
            <w:r w:rsidRPr="00D30C24">
              <w:rPr>
                <w:bCs/>
                <w:color w:val="000000"/>
              </w:rPr>
              <w:t>D2211031</w:t>
            </w:r>
          </w:p>
        </w:tc>
      </w:tr>
      <w:tr w:rsidRPr="00D30C24" w:rsidR="00FE3BAE" w:rsidTr="00D30C24" w14:paraId="2808C576"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D30C24" w:rsidR="00FE3BAE" w:rsidP="00A23C17" w:rsidRDefault="00FE3BAE" w14:paraId="717974DE" w14:textId="77777777">
            <w:pPr>
              <w:rPr>
                <w:b/>
                <w:bCs/>
              </w:rPr>
            </w:pPr>
            <w:r w:rsidRPr="00D30C24">
              <w:rPr>
                <w:b/>
                <w:bCs/>
              </w:rP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D30C24" w:rsidR="00FE3BAE" w:rsidP="00A23C17" w:rsidRDefault="000D10D1" w14:paraId="5B85688D" w14:textId="70D7D1FE">
            <w:r w:rsidRPr="00D30C24">
              <w:t>R1311005</w:t>
            </w:r>
          </w:p>
        </w:tc>
      </w:tr>
      <w:tr w:rsidRPr="00D30C24" w:rsidR="00FE3BAE" w:rsidTr="00D30C24" w14:paraId="66779179" w14:textId="77777777">
        <w:trPr>
          <w:trHeight w:val="288"/>
          <w:jc w:val="center"/>
        </w:trPr>
        <w:tc>
          <w:tcPr>
            <w:tcW w:w="2880" w:type="dxa"/>
            <w:tcBorders>
              <w:top w:val="single" w:color="auto" w:sz="4" w:space="0"/>
              <w:left w:val="single" w:color="auto" w:sz="4" w:space="0"/>
              <w:bottom w:val="single" w:color="auto" w:sz="4" w:space="0"/>
              <w:right w:val="single" w:color="auto" w:sz="4" w:space="0"/>
            </w:tcBorders>
            <w:hideMark/>
          </w:tcPr>
          <w:p w:rsidRPr="00D30C24" w:rsidR="00FE3BAE" w:rsidP="00A23C17" w:rsidRDefault="00FE3BAE" w14:paraId="738C0A58" w14:textId="77777777">
            <w:pPr>
              <w:rPr>
                <w:b/>
                <w:bCs/>
              </w:rPr>
            </w:pPr>
            <w:r w:rsidRPr="00D30C24">
              <w:rPr>
                <w:b/>
                <w:bCs/>
              </w:rP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Pr="00D30C24" w:rsidR="00FE3BAE" w:rsidP="00A23C17" w:rsidRDefault="00CA2289" w14:paraId="5E75C0F0" w14:textId="64AB7F3F">
            <w:r w:rsidRPr="00D30C24">
              <w:t>ALJ Fitch, ALJ Kao</w:t>
            </w:r>
          </w:p>
        </w:tc>
      </w:tr>
      <w:tr w:rsidRPr="00D30C24" w:rsidR="00FE3BAE" w:rsidTr="00D30C24" w14:paraId="305F69F4" w14:textId="77777777">
        <w:trPr>
          <w:trHeight w:val="278"/>
          <w:jc w:val="center"/>
        </w:trPr>
        <w:tc>
          <w:tcPr>
            <w:tcW w:w="2880" w:type="dxa"/>
            <w:tcBorders>
              <w:top w:val="single" w:color="auto" w:sz="4" w:space="0"/>
              <w:left w:val="single" w:color="auto" w:sz="4" w:space="0"/>
              <w:bottom w:val="single" w:color="auto" w:sz="4" w:space="0"/>
              <w:right w:val="single" w:color="auto" w:sz="4" w:space="0"/>
            </w:tcBorders>
            <w:hideMark/>
          </w:tcPr>
          <w:p w:rsidRPr="00D30C24" w:rsidR="00FE3BAE" w:rsidP="00A23C17" w:rsidRDefault="00FE3BAE" w14:paraId="1414CA71" w14:textId="77777777">
            <w:pPr>
              <w:rPr>
                <w:b/>
                <w:bCs/>
              </w:rPr>
            </w:pPr>
            <w:r w:rsidRPr="00D30C24">
              <w:rPr>
                <w:b/>
                <w:bCs/>
              </w:rP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Pr="00D30C24" w:rsidR="00FE3BAE" w:rsidP="00A23C17" w:rsidRDefault="00CA2289" w14:paraId="7CA711B6" w14:textId="36DDF79B">
            <w:r w:rsidRPr="00D30C24">
              <w:t xml:space="preserve">Pacific Gas </w:t>
            </w:r>
            <w:r w:rsidRPr="00D30C24" w:rsidR="001811F3">
              <w:t>and</w:t>
            </w:r>
            <w:r w:rsidRPr="00D30C24">
              <w:t xml:space="preserve"> Electric Company, Southern California Edison Company, San Diego Gas &amp; Electric Company, and Southern California Gas Company</w:t>
            </w:r>
          </w:p>
        </w:tc>
      </w:tr>
    </w:tbl>
    <w:p w:rsidRPr="00D30C24" w:rsidR="00FE3BAE" w:rsidP="00D30C24" w:rsidRDefault="00FE3BAE" w14:paraId="7F0236A2" w14:textId="77777777">
      <w:pPr>
        <w:pStyle w:val="standard"/>
        <w:keepNext/>
        <w:spacing w:before="360"/>
        <w:ind w:firstLine="0"/>
        <w:jc w:val="center"/>
        <w:rPr>
          <w:rFonts w:ascii="Times New Roman" w:hAnsi="Times New Roman"/>
          <w:b/>
          <w:bCs/>
          <w:szCs w:val="26"/>
        </w:rPr>
      </w:pPr>
      <w:r w:rsidRPr="00D30C24">
        <w:rPr>
          <w:rFonts w:ascii="Times New Roman" w:hAnsi="Times New Roman"/>
          <w:b/>
          <w:bCs/>
          <w:szCs w:val="26"/>
        </w:rPr>
        <w:t>Intervenor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bottom w:w="29" w:type="dxa"/>
        </w:tblCellMar>
        <w:tblLook w:val="01E0" w:firstRow="1" w:lastRow="1" w:firstColumn="1" w:lastColumn="1" w:noHBand="0" w:noVBand="0"/>
      </w:tblPr>
      <w:tblGrid>
        <w:gridCol w:w="2063"/>
        <w:gridCol w:w="1458"/>
        <w:gridCol w:w="1430"/>
        <w:gridCol w:w="1587"/>
        <w:gridCol w:w="1404"/>
        <w:gridCol w:w="2498"/>
      </w:tblGrid>
      <w:tr w:rsidRPr="00D30C24" w:rsidR="00FE3BAE" w:rsidTr="00D30C24" w14:paraId="6CDB318E" w14:textId="77777777">
        <w:trPr>
          <w:jc w:val="center"/>
        </w:trPr>
        <w:tc>
          <w:tcPr>
            <w:tcW w:w="2043" w:type="dxa"/>
            <w:tcBorders>
              <w:top w:val="single" w:color="auto" w:sz="4" w:space="0"/>
              <w:left w:val="single" w:color="auto" w:sz="4" w:space="0"/>
              <w:bottom w:val="single" w:color="auto" w:sz="4" w:space="0"/>
              <w:right w:val="single" w:color="auto" w:sz="4" w:space="0"/>
            </w:tcBorders>
            <w:vAlign w:val="bottom"/>
            <w:hideMark/>
          </w:tcPr>
          <w:p w:rsidRPr="00D30C24" w:rsidR="00FE3BAE" w:rsidP="00CE057B" w:rsidRDefault="00FE3BAE" w14:paraId="2578F35B" w14:textId="77777777">
            <w:pPr>
              <w:jc w:val="center"/>
              <w:rPr>
                <w:b/>
                <w:bCs/>
              </w:rPr>
            </w:pPr>
            <w:r w:rsidRPr="00D30C24">
              <w:rPr>
                <w:b/>
                <w:bCs/>
              </w:rPr>
              <w:t>Intervenor</w:t>
            </w:r>
          </w:p>
        </w:tc>
        <w:tc>
          <w:tcPr>
            <w:tcW w:w="1444" w:type="dxa"/>
            <w:tcBorders>
              <w:top w:val="single" w:color="auto" w:sz="4" w:space="0"/>
              <w:left w:val="single" w:color="auto" w:sz="4" w:space="0"/>
              <w:bottom w:val="single" w:color="auto" w:sz="4" w:space="0"/>
              <w:right w:val="single" w:color="auto" w:sz="4" w:space="0"/>
            </w:tcBorders>
            <w:vAlign w:val="bottom"/>
            <w:hideMark/>
          </w:tcPr>
          <w:p w:rsidRPr="00D30C24" w:rsidR="00B803D5" w:rsidP="00CE057B" w:rsidRDefault="0081626F" w14:paraId="1A2BF295" w14:textId="77777777">
            <w:pPr>
              <w:jc w:val="center"/>
              <w:rPr>
                <w:b/>
                <w:bCs/>
              </w:rPr>
            </w:pPr>
            <w:r w:rsidRPr="00D30C24">
              <w:rPr>
                <w:b/>
                <w:bCs/>
              </w:rPr>
              <w:t>Date</w:t>
            </w:r>
          </w:p>
          <w:p w:rsidRPr="00D30C24" w:rsidR="00FE3BAE" w:rsidP="00CE057B" w:rsidRDefault="0081626F" w14:paraId="2C1C9DC3" w14:textId="2305FDF8">
            <w:pPr>
              <w:jc w:val="center"/>
              <w:rPr>
                <w:b/>
                <w:bCs/>
              </w:rPr>
            </w:pPr>
            <w:r w:rsidRPr="00D30C24">
              <w:rPr>
                <w:b/>
                <w:bCs/>
              </w:rPr>
              <w:t>Claim Filed</w:t>
            </w:r>
          </w:p>
        </w:tc>
        <w:tc>
          <w:tcPr>
            <w:tcW w:w="1405" w:type="dxa"/>
            <w:tcBorders>
              <w:top w:val="single" w:color="auto" w:sz="4" w:space="0"/>
              <w:left w:val="single" w:color="auto" w:sz="4" w:space="0"/>
              <w:bottom w:val="single" w:color="auto" w:sz="4" w:space="0"/>
              <w:right w:val="single" w:color="auto" w:sz="4" w:space="0"/>
            </w:tcBorders>
            <w:vAlign w:val="bottom"/>
            <w:hideMark/>
          </w:tcPr>
          <w:p w:rsidRPr="00D30C24" w:rsidR="00FE3BAE" w:rsidP="00CE057B" w:rsidRDefault="00FE3BAE" w14:paraId="60DD020D" w14:textId="77777777">
            <w:pPr>
              <w:jc w:val="center"/>
              <w:rPr>
                <w:b/>
                <w:bCs/>
              </w:rPr>
            </w:pPr>
            <w:r w:rsidRPr="00D30C24">
              <w:rPr>
                <w:b/>
                <w:bCs/>
              </w:rPr>
              <w:t>Amount Requested</w:t>
            </w:r>
          </w:p>
        </w:tc>
        <w:tc>
          <w:tcPr>
            <w:tcW w:w="1571" w:type="dxa"/>
            <w:tcBorders>
              <w:top w:val="single" w:color="auto" w:sz="4" w:space="0"/>
              <w:left w:val="single" w:color="auto" w:sz="4" w:space="0"/>
              <w:bottom w:val="single" w:color="auto" w:sz="4" w:space="0"/>
              <w:right w:val="single" w:color="auto" w:sz="4" w:space="0"/>
            </w:tcBorders>
            <w:vAlign w:val="bottom"/>
            <w:hideMark/>
          </w:tcPr>
          <w:p w:rsidRPr="00D30C24" w:rsidR="00FE3BAE" w:rsidP="00CE057B" w:rsidRDefault="00FE3BAE" w14:paraId="19A4A01D" w14:textId="77777777">
            <w:pPr>
              <w:jc w:val="center"/>
              <w:rPr>
                <w:b/>
                <w:bCs/>
              </w:rPr>
            </w:pPr>
            <w:r w:rsidRPr="00D30C24">
              <w:rPr>
                <w:b/>
                <w:bCs/>
              </w:rPr>
              <w:t>Amount Awarded</w:t>
            </w:r>
          </w:p>
        </w:tc>
        <w:tc>
          <w:tcPr>
            <w:tcW w:w="1390" w:type="dxa"/>
            <w:tcBorders>
              <w:top w:val="single" w:color="auto" w:sz="4" w:space="0"/>
              <w:left w:val="single" w:color="auto" w:sz="4" w:space="0"/>
              <w:bottom w:val="single" w:color="auto" w:sz="4" w:space="0"/>
              <w:right w:val="single" w:color="auto" w:sz="4" w:space="0"/>
            </w:tcBorders>
            <w:vAlign w:val="bottom"/>
            <w:hideMark/>
          </w:tcPr>
          <w:p w:rsidRPr="00D30C24" w:rsidR="00FE3BAE" w:rsidP="00CE057B" w:rsidRDefault="00FE3BAE" w14:paraId="5B9F47E2" w14:textId="77777777">
            <w:pPr>
              <w:jc w:val="center"/>
              <w:rPr>
                <w:b/>
                <w:bCs/>
              </w:rPr>
            </w:pPr>
            <w:r w:rsidRPr="00D30C24">
              <w:rPr>
                <w:b/>
                <w:bCs/>
              </w:rPr>
              <w:t>Multiplier?</w:t>
            </w:r>
          </w:p>
        </w:tc>
        <w:tc>
          <w:tcPr>
            <w:tcW w:w="2474" w:type="dxa"/>
            <w:tcBorders>
              <w:top w:val="single" w:color="auto" w:sz="4" w:space="0"/>
              <w:left w:val="single" w:color="auto" w:sz="4" w:space="0"/>
              <w:bottom w:val="single" w:color="auto" w:sz="4" w:space="0"/>
              <w:right w:val="single" w:color="auto" w:sz="4" w:space="0"/>
            </w:tcBorders>
            <w:vAlign w:val="bottom"/>
            <w:hideMark/>
          </w:tcPr>
          <w:p w:rsidRPr="00D30C24" w:rsidR="00FE3BAE" w:rsidP="00CE057B" w:rsidRDefault="00FE3BAE" w14:paraId="089590A8" w14:textId="77777777">
            <w:pPr>
              <w:jc w:val="center"/>
              <w:rPr>
                <w:b/>
                <w:bCs/>
              </w:rPr>
            </w:pPr>
            <w:r w:rsidRPr="00D30C24">
              <w:rPr>
                <w:b/>
                <w:bCs/>
              </w:rPr>
              <w:t>Reason Change/Disallowance</w:t>
            </w:r>
          </w:p>
        </w:tc>
      </w:tr>
      <w:tr w:rsidRPr="00D30C24" w:rsidR="00FE3BAE" w:rsidTr="00D30C24" w14:paraId="080524E3" w14:textId="77777777">
        <w:trPr>
          <w:trHeight w:val="872"/>
          <w:jc w:val="center"/>
        </w:trPr>
        <w:tc>
          <w:tcPr>
            <w:tcW w:w="2043" w:type="dxa"/>
            <w:tcBorders>
              <w:top w:val="single" w:color="auto" w:sz="4" w:space="0"/>
              <w:left w:val="single" w:color="auto" w:sz="4" w:space="0"/>
              <w:bottom w:val="single" w:color="auto" w:sz="4" w:space="0"/>
              <w:right w:val="single" w:color="auto" w:sz="4" w:space="0"/>
            </w:tcBorders>
            <w:shd w:val="clear" w:color="auto" w:fill="auto"/>
            <w:hideMark/>
          </w:tcPr>
          <w:p w:rsidRPr="00D30C24" w:rsidR="00FE3BAE" w:rsidP="00A23C17" w:rsidRDefault="00AF03E6" w14:paraId="3008FB17" w14:textId="1EECBDD1">
            <w:pPr>
              <w:jc w:val="center"/>
            </w:pPr>
            <w:r w:rsidRPr="00D30C24">
              <w:rPr>
                <w:bCs/>
              </w:rPr>
              <w:t xml:space="preserve">The Utility Reform </w:t>
            </w:r>
            <w:r w:rsidRPr="00D30C24">
              <w:t>Network</w:t>
            </w:r>
          </w:p>
        </w:tc>
        <w:tc>
          <w:tcPr>
            <w:tcW w:w="1444" w:type="dxa"/>
            <w:tcBorders>
              <w:top w:val="single" w:color="auto" w:sz="4" w:space="0"/>
              <w:left w:val="single" w:color="auto" w:sz="4" w:space="0"/>
              <w:bottom w:val="single" w:color="auto" w:sz="4" w:space="0"/>
              <w:right w:val="single" w:color="auto" w:sz="4" w:space="0"/>
            </w:tcBorders>
            <w:shd w:val="clear" w:color="auto" w:fill="auto"/>
            <w:hideMark/>
          </w:tcPr>
          <w:p w:rsidRPr="00D30C24" w:rsidR="00FE3BAE" w:rsidP="00A23C17" w:rsidRDefault="000D10D1" w14:paraId="63956769" w14:textId="5E371C36">
            <w:pPr>
              <w:jc w:val="center"/>
            </w:pPr>
            <w:r w:rsidRPr="00D30C24">
              <w:t>3-24-25</w:t>
            </w:r>
          </w:p>
        </w:tc>
        <w:tc>
          <w:tcPr>
            <w:tcW w:w="1405" w:type="dxa"/>
            <w:tcBorders>
              <w:top w:val="single" w:color="auto" w:sz="4" w:space="0"/>
              <w:left w:val="single" w:color="auto" w:sz="4" w:space="0"/>
              <w:bottom w:val="single" w:color="auto" w:sz="4" w:space="0"/>
              <w:right w:val="single" w:color="auto" w:sz="4" w:space="0"/>
            </w:tcBorders>
            <w:shd w:val="clear" w:color="auto" w:fill="auto"/>
            <w:hideMark/>
          </w:tcPr>
          <w:p w:rsidRPr="00D30C24" w:rsidR="00FE3BAE" w:rsidP="00A23C17" w:rsidRDefault="000D10D1" w14:paraId="75AD20FA" w14:textId="2A736057">
            <w:pPr>
              <w:jc w:val="center"/>
            </w:pPr>
            <w:r w:rsidRPr="00D30C24">
              <w:t>$</w:t>
            </w:r>
            <w:r w:rsidRPr="00D30C24" w:rsidR="0040299C">
              <w:t>215,075.63</w:t>
            </w:r>
          </w:p>
        </w:tc>
        <w:tc>
          <w:tcPr>
            <w:tcW w:w="1571" w:type="dxa"/>
            <w:tcBorders>
              <w:top w:val="single" w:color="auto" w:sz="4" w:space="0"/>
              <w:left w:val="single" w:color="auto" w:sz="4" w:space="0"/>
              <w:bottom w:val="single" w:color="auto" w:sz="4" w:space="0"/>
              <w:right w:val="single" w:color="auto" w:sz="4" w:space="0"/>
            </w:tcBorders>
            <w:hideMark/>
          </w:tcPr>
          <w:p w:rsidRPr="00D30C24" w:rsidR="00FE3BAE" w:rsidP="00A23C17" w:rsidRDefault="009765D4" w14:paraId="0DD6FE00" w14:textId="299FFF4D">
            <w:pPr>
              <w:jc w:val="center"/>
            </w:pPr>
            <w:r w:rsidRPr="00D30C24">
              <w:t>$212,520.00</w:t>
            </w:r>
          </w:p>
        </w:tc>
        <w:tc>
          <w:tcPr>
            <w:tcW w:w="1390" w:type="dxa"/>
            <w:tcBorders>
              <w:top w:val="single" w:color="auto" w:sz="4" w:space="0"/>
              <w:left w:val="single" w:color="auto" w:sz="4" w:space="0"/>
              <w:bottom w:val="single" w:color="auto" w:sz="4" w:space="0"/>
              <w:right w:val="single" w:color="auto" w:sz="4" w:space="0"/>
            </w:tcBorders>
            <w:hideMark/>
          </w:tcPr>
          <w:p w:rsidRPr="00D30C24" w:rsidR="00FE3BAE" w:rsidP="00A23C17" w:rsidRDefault="00FE3BAE" w14:paraId="0BDAFE20" w14:textId="77777777">
            <w:pPr>
              <w:jc w:val="center"/>
            </w:pPr>
            <w:r w:rsidRPr="00D30C24">
              <w:t>N/A</w:t>
            </w:r>
          </w:p>
        </w:tc>
        <w:tc>
          <w:tcPr>
            <w:tcW w:w="2474" w:type="dxa"/>
            <w:tcBorders>
              <w:top w:val="single" w:color="auto" w:sz="4" w:space="0"/>
              <w:left w:val="single" w:color="auto" w:sz="4" w:space="0"/>
              <w:bottom w:val="single" w:color="auto" w:sz="4" w:space="0"/>
              <w:right w:val="single" w:color="auto" w:sz="4" w:space="0"/>
            </w:tcBorders>
            <w:hideMark/>
          </w:tcPr>
          <w:p w:rsidRPr="00D30C24" w:rsidR="00FE3BAE" w:rsidP="00A23C17" w:rsidRDefault="00AF03E6" w14:paraId="6B53C6F9" w14:textId="397693A1">
            <w:pPr>
              <w:jc w:val="center"/>
            </w:pPr>
            <w:r w:rsidRPr="00D30C24">
              <w:rPr>
                <w:i/>
                <w:iCs/>
              </w:rPr>
              <w:t>See</w:t>
            </w:r>
            <w:r w:rsidRPr="00D30C24">
              <w:t xml:space="preserve"> Part III.D CPUC Comments, Disallowances and Adjustments</w:t>
            </w:r>
          </w:p>
        </w:tc>
      </w:tr>
    </w:tbl>
    <w:p w:rsidRPr="00D30C24" w:rsidR="00FE3BAE" w:rsidP="00D30C24" w:rsidRDefault="0022302F" w14:paraId="2841210B" w14:textId="77777777">
      <w:pPr>
        <w:pStyle w:val="standard"/>
        <w:keepNext/>
        <w:spacing w:before="360"/>
        <w:ind w:firstLine="0"/>
        <w:jc w:val="center"/>
        <w:rPr>
          <w:rFonts w:ascii="Times New Roman" w:hAnsi="Times New Roman"/>
          <w:b/>
          <w:bCs/>
          <w:szCs w:val="26"/>
        </w:rPr>
      </w:pPr>
      <w:r w:rsidRPr="00D30C24">
        <w:rPr>
          <w:rFonts w:ascii="Times New Roman" w:hAnsi="Times New Roman"/>
          <w:b/>
          <w:bCs/>
          <w:szCs w:val="26"/>
        </w:rPr>
        <w:t>Hourly Fee</w:t>
      </w:r>
      <w:r w:rsidRPr="00D30C24" w:rsidR="00FE3BAE">
        <w:rPr>
          <w:rFonts w:ascii="Times New Roman" w:hAnsi="Times New Roman"/>
          <w:b/>
          <w:bCs/>
          <w:szCs w:val="26"/>
        </w:rPr>
        <w:t xml:space="preserve"> Information</w:t>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bottom w:w="29" w:type="dxa"/>
        </w:tblCellMar>
        <w:tblLook w:val="01E0" w:firstRow="1" w:lastRow="1" w:firstColumn="1" w:lastColumn="1" w:noHBand="0" w:noVBand="0"/>
      </w:tblPr>
      <w:tblGrid>
        <w:gridCol w:w="1520"/>
        <w:gridCol w:w="1725"/>
        <w:gridCol w:w="2088"/>
        <w:gridCol w:w="1748"/>
        <w:gridCol w:w="1725"/>
        <w:gridCol w:w="1634"/>
      </w:tblGrid>
      <w:tr w:rsidRPr="00D30C24" w:rsidR="00C02649" w:rsidTr="00D30C24" w14:paraId="7CF2F0CA" w14:textId="77777777">
        <w:trPr>
          <w:trHeight w:val="288"/>
          <w:tblHeader/>
          <w:jc w:val="center"/>
        </w:trPr>
        <w:tc>
          <w:tcPr>
            <w:tcW w:w="1520" w:type="dxa"/>
            <w:tcBorders>
              <w:top w:val="single" w:color="auto" w:sz="4" w:space="0"/>
              <w:left w:val="single" w:color="auto" w:sz="4" w:space="0"/>
              <w:bottom w:val="single" w:color="auto" w:sz="4" w:space="0"/>
              <w:right w:val="single" w:color="auto" w:sz="4" w:space="0"/>
            </w:tcBorders>
            <w:vAlign w:val="bottom"/>
            <w:hideMark/>
          </w:tcPr>
          <w:p w:rsidRPr="00D30C24" w:rsidR="003B6A1B" w:rsidP="00D30C24" w:rsidRDefault="003B6A1B" w14:paraId="61500303" w14:textId="77777777">
            <w:pPr>
              <w:spacing w:line="276" w:lineRule="auto"/>
              <w:jc w:val="center"/>
              <w:rPr>
                <w:b/>
                <w:bCs/>
              </w:rPr>
            </w:pPr>
            <w:r w:rsidRPr="00D30C24">
              <w:rPr>
                <w:b/>
                <w:bCs/>
              </w:rPr>
              <w:t>First Name</w:t>
            </w:r>
          </w:p>
        </w:tc>
        <w:tc>
          <w:tcPr>
            <w:tcW w:w="1725" w:type="dxa"/>
            <w:tcBorders>
              <w:top w:val="single" w:color="auto" w:sz="4" w:space="0"/>
              <w:left w:val="single" w:color="auto" w:sz="4" w:space="0"/>
              <w:bottom w:val="single" w:color="auto" w:sz="4" w:space="0"/>
              <w:right w:val="single" w:color="auto" w:sz="4" w:space="0"/>
            </w:tcBorders>
            <w:vAlign w:val="bottom"/>
            <w:hideMark/>
          </w:tcPr>
          <w:p w:rsidRPr="00D30C24" w:rsidR="003B6A1B" w:rsidP="00D30C24" w:rsidRDefault="003B6A1B" w14:paraId="55908486" w14:textId="77777777">
            <w:pPr>
              <w:spacing w:line="276" w:lineRule="auto"/>
              <w:jc w:val="center"/>
              <w:rPr>
                <w:b/>
                <w:bCs/>
              </w:rPr>
            </w:pPr>
            <w:r w:rsidRPr="00D30C24">
              <w:rPr>
                <w:b/>
                <w:bCs/>
              </w:rPr>
              <w:t>Last Name</w:t>
            </w:r>
          </w:p>
        </w:tc>
        <w:tc>
          <w:tcPr>
            <w:tcW w:w="2088" w:type="dxa"/>
            <w:tcBorders>
              <w:top w:val="single" w:color="auto" w:sz="4" w:space="0"/>
              <w:left w:val="single" w:color="auto" w:sz="4" w:space="0"/>
              <w:bottom w:val="single" w:color="auto" w:sz="4" w:space="0"/>
              <w:right w:val="single" w:color="auto" w:sz="4" w:space="0"/>
            </w:tcBorders>
            <w:vAlign w:val="bottom"/>
            <w:hideMark/>
          </w:tcPr>
          <w:p w:rsidRPr="00D30C24" w:rsidR="003B6A1B" w:rsidP="00D30C24" w:rsidRDefault="00171EBF" w14:paraId="2438DAE1" w14:textId="77777777">
            <w:pPr>
              <w:spacing w:line="276" w:lineRule="auto"/>
              <w:ind w:left="12" w:firstLine="12"/>
              <w:jc w:val="center"/>
              <w:rPr>
                <w:b/>
                <w:bCs/>
              </w:rPr>
            </w:pPr>
            <w:r w:rsidRPr="00D30C24">
              <w:rPr>
                <w:b/>
                <w:bCs/>
              </w:rPr>
              <w:t>Attorney, Expert, or Advocate</w:t>
            </w:r>
          </w:p>
        </w:tc>
        <w:tc>
          <w:tcPr>
            <w:tcW w:w="1748" w:type="dxa"/>
            <w:tcBorders>
              <w:top w:val="single" w:color="auto" w:sz="4" w:space="0"/>
              <w:left w:val="single" w:color="auto" w:sz="4" w:space="0"/>
              <w:bottom w:val="single" w:color="auto" w:sz="4" w:space="0"/>
              <w:right w:val="single" w:color="auto" w:sz="4" w:space="0"/>
            </w:tcBorders>
            <w:vAlign w:val="bottom"/>
            <w:hideMark/>
          </w:tcPr>
          <w:p w:rsidRPr="00D30C24" w:rsidR="00B803D5" w:rsidP="00D30C24" w:rsidRDefault="003B6A1B" w14:paraId="30FCBD16" w14:textId="77777777">
            <w:pPr>
              <w:spacing w:line="276" w:lineRule="auto"/>
              <w:jc w:val="center"/>
              <w:rPr>
                <w:b/>
                <w:bCs/>
              </w:rPr>
            </w:pPr>
            <w:r w:rsidRPr="00D30C24">
              <w:rPr>
                <w:b/>
                <w:bCs/>
              </w:rPr>
              <w:t>Hourly</w:t>
            </w:r>
          </w:p>
          <w:p w:rsidRPr="00D30C24" w:rsidR="003B6A1B" w:rsidP="00D30C24" w:rsidRDefault="003B6A1B" w14:paraId="3431A72E" w14:textId="15E5EE89">
            <w:pPr>
              <w:spacing w:line="276" w:lineRule="auto"/>
              <w:jc w:val="center"/>
              <w:rPr>
                <w:b/>
                <w:bCs/>
              </w:rPr>
            </w:pPr>
            <w:r w:rsidRPr="00D30C24">
              <w:rPr>
                <w:b/>
                <w:bCs/>
              </w:rPr>
              <w:t>Fee Requested</w:t>
            </w:r>
          </w:p>
        </w:tc>
        <w:tc>
          <w:tcPr>
            <w:tcW w:w="1725" w:type="dxa"/>
            <w:tcBorders>
              <w:top w:val="single" w:color="auto" w:sz="4" w:space="0"/>
              <w:left w:val="single" w:color="auto" w:sz="4" w:space="0"/>
              <w:bottom w:val="single" w:color="auto" w:sz="4" w:space="0"/>
              <w:right w:val="single" w:color="auto" w:sz="4" w:space="0"/>
            </w:tcBorders>
            <w:vAlign w:val="bottom"/>
            <w:hideMark/>
          </w:tcPr>
          <w:p w:rsidRPr="00D30C24" w:rsidR="00B803D5" w:rsidP="00D30C24" w:rsidRDefault="003B6A1B" w14:paraId="27A4F1D1" w14:textId="77777777">
            <w:pPr>
              <w:spacing w:line="276" w:lineRule="auto"/>
              <w:jc w:val="center"/>
              <w:rPr>
                <w:b/>
                <w:bCs/>
              </w:rPr>
            </w:pPr>
            <w:r w:rsidRPr="00D30C24">
              <w:rPr>
                <w:b/>
                <w:bCs/>
              </w:rPr>
              <w:t>Year Hourly</w:t>
            </w:r>
          </w:p>
          <w:p w:rsidRPr="00D30C24" w:rsidR="003B6A1B" w:rsidP="00D30C24" w:rsidRDefault="003B6A1B" w14:paraId="6FE76773" w14:textId="7DDDAF05">
            <w:pPr>
              <w:spacing w:line="276" w:lineRule="auto"/>
              <w:jc w:val="center"/>
              <w:rPr>
                <w:b/>
                <w:bCs/>
              </w:rPr>
            </w:pPr>
            <w:r w:rsidRPr="00D30C24">
              <w:rPr>
                <w:b/>
                <w:bCs/>
              </w:rPr>
              <w:t>Fee Requested</w:t>
            </w:r>
          </w:p>
        </w:tc>
        <w:tc>
          <w:tcPr>
            <w:tcW w:w="1634" w:type="dxa"/>
            <w:tcBorders>
              <w:top w:val="single" w:color="auto" w:sz="4" w:space="0"/>
              <w:left w:val="single" w:color="auto" w:sz="4" w:space="0"/>
              <w:bottom w:val="single" w:color="auto" w:sz="4" w:space="0"/>
              <w:right w:val="single" w:color="auto" w:sz="4" w:space="0"/>
            </w:tcBorders>
            <w:vAlign w:val="bottom"/>
            <w:hideMark/>
          </w:tcPr>
          <w:p w:rsidRPr="00D30C24" w:rsidR="00B803D5" w:rsidP="00D30C24" w:rsidRDefault="003B6A1B" w14:paraId="08CD8CFB" w14:textId="50A63D11">
            <w:pPr>
              <w:spacing w:line="276" w:lineRule="auto"/>
              <w:jc w:val="center"/>
              <w:rPr>
                <w:b/>
                <w:bCs/>
              </w:rPr>
            </w:pPr>
            <w:r w:rsidRPr="00D30C24">
              <w:rPr>
                <w:b/>
                <w:bCs/>
              </w:rPr>
              <w:t>Hourly</w:t>
            </w:r>
          </w:p>
          <w:p w:rsidRPr="00D30C24" w:rsidR="003B6A1B" w:rsidP="00D30C24" w:rsidRDefault="003B6A1B" w14:paraId="1B789B85" w14:textId="3C9059B0">
            <w:pPr>
              <w:spacing w:line="276" w:lineRule="auto"/>
              <w:jc w:val="center"/>
              <w:rPr>
                <w:b/>
                <w:bCs/>
              </w:rPr>
            </w:pPr>
            <w:r w:rsidRPr="00D30C24">
              <w:rPr>
                <w:b/>
                <w:bCs/>
              </w:rPr>
              <w:t>Fee Adopted</w:t>
            </w:r>
          </w:p>
        </w:tc>
      </w:tr>
      <w:tr w:rsidRPr="00D30C24" w:rsidR="0062130A" w:rsidTr="00D30C24" w14:paraId="1211B948"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0F0C6D6C" w14:textId="6A946146">
            <w:pPr>
              <w:spacing w:line="276" w:lineRule="auto"/>
              <w:jc w:val="center"/>
            </w:pPr>
            <w:r w:rsidRPr="00D30C24">
              <w:t>Hayley</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6ACE7B68" w14:textId="7C41AC50">
            <w:pPr>
              <w:spacing w:line="276" w:lineRule="auto"/>
              <w:jc w:val="center"/>
            </w:pPr>
            <w:r w:rsidRPr="00D30C24">
              <w:t>Goodson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0E61474F" w14:textId="15C00E09">
            <w:pPr>
              <w:spacing w:line="276" w:lineRule="auto"/>
              <w:jc w:val="center"/>
            </w:pPr>
            <w:r w:rsidRPr="00D30C24">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44F9655C" w14:textId="0C061081">
            <w:pPr>
              <w:spacing w:line="276" w:lineRule="auto"/>
              <w:jc w:val="center"/>
            </w:pPr>
            <w:r w:rsidRPr="00D30C24">
              <w:t>$455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2EB25516" w14:textId="1A2741C8">
            <w:pPr>
              <w:spacing w:line="276" w:lineRule="auto"/>
              <w:jc w:val="center"/>
            </w:pPr>
            <w:r w:rsidRPr="00D30C24">
              <w:t>2020</w:t>
            </w:r>
          </w:p>
        </w:tc>
        <w:tc>
          <w:tcPr>
            <w:tcW w:w="1634" w:type="dxa"/>
            <w:tcBorders>
              <w:top w:val="single" w:color="auto" w:sz="4" w:space="0"/>
              <w:left w:val="single" w:color="auto" w:sz="4" w:space="0"/>
              <w:bottom w:val="single" w:color="auto" w:sz="4" w:space="0"/>
              <w:right w:val="single" w:color="auto" w:sz="4" w:space="0"/>
            </w:tcBorders>
          </w:tcPr>
          <w:p w:rsidRPr="00D30C24" w:rsidR="0062130A" w:rsidP="00D30C24" w:rsidRDefault="0062130A" w14:paraId="0A76FE98" w14:textId="33D5986C">
            <w:pPr>
              <w:spacing w:line="276" w:lineRule="auto"/>
              <w:jc w:val="center"/>
            </w:pPr>
            <w:r w:rsidRPr="00D30C24">
              <w:t xml:space="preserve">$455.00 </w:t>
            </w:r>
          </w:p>
        </w:tc>
      </w:tr>
      <w:tr w:rsidRPr="00D30C24" w:rsidR="0062130A" w:rsidTr="00D30C24" w14:paraId="23CC0A9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4CFDAB24" w14:textId="0942B080">
            <w:pPr>
              <w:spacing w:line="276" w:lineRule="auto"/>
              <w:jc w:val="center"/>
            </w:pPr>
            <w:r w:rsidRPr="00D30C24">
              <w:t>Hayley</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3A9B4F75" w14:textId="5E79DD23">
            <w:pPr>
              <w:spacing w:line="276" w:lineRule="auto"/>
              <w:jc w:val="center"/>
            </w:pPr>
            <w:r w:rsidRPr="00D30C24">
              <w:t>Goodson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73440B00" w14:textId="0425823A">
            <w:pPr>
              <w:spacing w:line="276" w:lineRule="auto"/>
              <w:jc w:val="center"/>
            </w:pPr>
            <w:r w:rsidRPr="00D30C24">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1466F47E" w14:textId="28A68E80">
            <w:pPr>
              <w:spacing w:line="276" w:lineRule="auto"/>
              <w:jc w:val="center"/>
            </w:pPr>
            <w:r w:rsidRPr="00D30C24">
              <w:t>$550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4CBE320E" w14:textId="5ADC0FAB">
            <w:pPr>
              <w:spacing w:line="276" w:lineRule="auto"/>
              <w:jc w:val="center"/>
            </w:pPr>
            <w:r w:rsidRPr="00D30C24">
              <w:t>2021</w:t>
            </w:r>
          </w:p>
        </w:tc>
        <w:tc>
          <w:tcPr>
            <w:tcW w:w="1634" w:type="dxa"/>
            <w:tcBorders>
              <w:top w:val="single" w:color="auto" w:sz="4" w:space="0"/>
              <w:left w:val="single" w:color="auto" w:sz="4" w:space="0"/>
              <w:bottom w:val="single" w:color="auto" w:sz="4" w:space="0"/>
              <w:right w:val="single" w:color="auto" w:sz="4" w:space="0"/>
            </w:tcBorders>
          </w:tcPr>
          <w:p w:rsidRPr="00D30C24" w:rsidR="0062130A" w:rsidP="00D30C24" w:rsidRDefault="0062130A" w14:paraId="37932A57" w14:textId="24454259">
            <w:pPr>
              <w:spacing w:line="276" w:lineRule="auto"/>
              <w:jc w:val="center"/>
            </w:pPr>
            <w:r w:rsidRPr="00D30C24">
              <w:t xml:space="preserve">$550.00 </w:t>
            </w:r>
          </w:p>
        </w:tc>
      </w:tr>
      <w:tr w:rsidRPr="00D30C24" w:rsidR="0062130A" w:rsidTr="00D30C24" w14:paraId="4C519B49"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65C04662" w14:textId="0A744649">
            <w:pPr>
              <w:spacing w:line="276" w:lineRule="auto"/>
              <w:jc w:val="center"/>
            </w:pPr>
            <w:r w:rsidRPr="00D30C24">
              <w:t>Hayley</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1C590887" w14:textId="29B91F8F">
            <w:pPr>
              <w:spacing w:line="276" w:lineRule="auto"/>
              <w:jc w:val="center"/>
            </w:pPr>
            <w:r w:rsidRPr="00D30C24">
              <w:t>Goodson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1EA8DE3D" w14:textId="3DFC7DE7">
            <w:pPr>
              <w:spacing w:line="276" w:lineRule="auto"/>
              <w:jc w:val="center"/>
            </w:pPr>
            <w:r w:rsidRPr="00D30C24">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4F6290AB" w14:textId="667B7627">
            <w:pPr>
              <w:spacing w:line="276" w:lineRule="auto"/>
              <w:jc w:val="center"/>
            </w:pPr>
            <w:r w:rsidRPr="00D30C24">
              <w:t>$570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1354C70A" w14:textId="38A5EDB2">
            <w:pPr>
              <w:spacing w:line="276" w:lineRule="auto"/>
              <w:jc w:val="center"/>
            </w:pPr>
            <w:r w:rsidRPr="00D30C24">
              <w:t>2022</w:t>
            </w:r>
          </w:p>
        </w:tc>
        <w:tc>
          <w:tcPr>
            <w:tcW w:w="1634" w:type="dxa"/>
            <w:tcBorders>
              <w:top w:val="single" w:color="auto" w:sz="4" w:space="0"/>
              <w:left w:val="single" w:color="auto" w:sz="4" w:space="0"/>
              <w:bottom w:val="single" w:color="auto" w:sz="4" w:space="0"/>
              <w:right w:val="single" w:color="auto" w:sz="4" w:space="0"/>
            </w:tcBorders>
          </w:tcPr>
          <w:p w:rsidRPr="00D30C24" w:rsidR="0062130A" w:rsidP="00D30C24" w:rsidRDefault="0062130A" w14:paraId="36649915" w14:textId="100F2561">
            <w:pPr>
              <w:spacing w:line="276" w:lineRule="auto"/>
              <w:jc w:val="center"/>
            </w:pPr>
            <w:r w:rsidRPr="00D30C24">
              <w:t xml:space="preserve">$570.00 </w:t>
            </w:r>
          </w:p>
        </w:tc>
      </w:tr>
      <w:tr w:rsidRPr="00D30C24" w:rsidR="0062130A" w:rsidTr="00D30C24" w14:paraId="6C04DB40"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71BF257F" w14:textId="236EDB3E">
            <w:pPr>
              <w:spacing w:line="276" w:lineRule="auto"/>
              <w:jc w:val="center"/>
            </w:pPr>
            <w:r w:rsidRPr="00D30C24">
              <w:t>Hayley</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4D0E5B24" w14:textId="6EDDA4E6">
            <w:pPr>
              <w:spacing w:line="276" w:lineRule="auto"/>
              <w:jc w:val="center"/>
            </w:pPr>
            <w:r w:rsidRPr="00D30C24">
              <w:t>Goodson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3ACB6465" w14:textId="480C016B">
            <w:pPr>
              <w:spacing w:line="276" w:lineRule="auto"/>
              <w:jc w:val="center"/>
            </w:pPr>
            <w:r w:rsidRPr="00D30C24">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27D75B3F" w14:textId="0B51ACC5">
            <w:pPr>
              <w:spacing w:line="276" w:lineRule="auto"/>
              <w:jc w:val="center"/>
            </w:pPr>
            <w:r w:rsidRPr="00D30C24">
              <w:t>$705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0BD45097" w14:textId="6D5A49DF">
            <w:pPr>
              <w:spacing w:line="276" w:lineRule="auto"/>
              <w:jc w:val="center"/>
            </w:pPr>
            <w:r w:rsidRPr="00D30C24">
              <w:t>2025</w:t>
            </w:r>
          </w:p>
        </w:tc>
        <w:tc>
          <w:tcPr>
            <w:tcW w:w="1634" w:type="dxa"/>
            <w:tcBorders>
              <w:top w:val="single" w:color="auto" w:sz="4" w:space="0"/>
              <w:left w:val="single" w:color="auto" w:sz="4" w:space="0"/>
              <w:bottom w:val="single" w:color="auto" w:sz="4" w:space="0"/>
              <w:right w:val="single" w:color="auto" w:sz="4" w:space="0"/>
            </w:tcBorders>
          </w:tcPr>
          <w:p w:rsidRPr="00D30C24" w:rsidR="0062130A" w:rsidP="00D30C24" w:rsidRDefault="0062130A" w14:paraId="6B245605" w14:textId="5E1CA882">
            <w:pPr>
              <w:spacing w:line="276" w:lineRule="auto"/>
              <w:jc w:val="center"/>
            </w:pPr>
            <w:r w:rsidRPr="00D30C24">
              <w:t xml:space="preserve">$705.00 </w:t>
            </w:r>
          </w:p>
        </w:tc>
      </w:tr>
      <w:tr w:rsidRPr="00D30C24" w:rsidR="0062130A" w:rsidTr="00D30C24" w14:paraId="474E258F"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115C1393" w14:textId="7095D7A0">
            <w:pPr>
              <w:spacing w:line="276" w:lineRule="auto"/>
              <w:jc w:val="center"/>
            </w:pPr>
            <w:r w:rsidRPr="00D30C24">
              <w:t>Marcel</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1467A27B" w14:textId="631C80DF">
            <w:pPr>
              <w:spacing w:line="276" w:lineRule="auto"/>
              <w:jc w:val="center"/>
            </w:pPr>
            <w:proofErr w:type="spellStart"/>
            <w:r w:rsidRPr="00D30C24">
              <w:t>Hawiger</w:t>
            </w:r>
            <w:proofErr w:type="spellEnd"/>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66D10560" w14:textId="6E5E0CEA">
            <w:pPr>
              <w:spacing w:line="276" w:lineRule="auto"/>
              <w:jc w:val="center"/>
            </w:pPr>
            <w:r w:rsidRPr="00D30C24">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7BC812A8" w14:textId="41F129BD">
            <w:pPr>
              <w:spacing w:line="276" w:lineRule="auto"/>
              <w:jc w:val="center"/>
            </w:pPr>
            <w:r w:rsidRPr="00D30C24">
              <w:t>$455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4580AE9E" w14:textId="3587F3FA">
            <w:pPr>
              <w:spacing w:line="276" w:lineRule="auto"/>
              <w:jc w:val="center"/>
            </w:pPr>
            <w:r w:rsidRPr="00D30C24">
              <w:t>2020</w:t>
            </w:r>
          </w:p>
        </w:tc>
        <w:tc>
          <w:tcPr>
            <w:tcW w:w="1634" w:type="dxa"/>
            <w:tcBorders>
              <w:top w:val="single" w:color="auto" w:sz="4" w:space="0"/>
              <w:left w:val="single" w:color="auto" w:sz="4" w:space="0"/>
              <w:bottom w:val="single" w:color="auto" w:sz="4" w:space="0"/>
              <w:right w:val="single" w:color="auto" w:sz="4" w:space="0"/>
            </w:tcBorders>
          </w:tcPr>
          <w:p w:rsidRPr="00D30C24" w:rsidR="0062130A" w:rsidP="00D30C24" w:rsidRDefault="0062130A" w14:paraId="74B7B957" w14:textId="3FE9642F">
            <w:pPr>
              <w:spacing w:line="276" w:lineRule="auto"/>
              <w:jc w:val="center"/>
            </w:pPr>
            <w:r w:rsidRPr="00D30C24">
              <w:t xml:space="preserve">$455.00 </w:t>
            </w:r>
          </w:p>
        </w:tc>
      </w:tr>
      <w:tr w:rsidRPr="00D30C24" w:rsidR="0062130A" w:rsidTr="00D30C24" w14:paraId="0DC4129D"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1C03A89B" w14:textId="69F049AB">
            <w:pPr>
              <w:spacing w:line="276" w:lineRule="auto"/>
              <w:jc w:val="center"/>
            </w:pPr>
            <w:r w:rsidRPr="00D30C24">
              <w:t>Matthew</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53680AFD" w14:textId="11CF4197">
            <w:pPr>
              <w:spacing w:line="276" w:lineRule="auto"/>
              <w:jc w:val="center"/>
            </w:pPr>
            <w:r w:rsidRPr="00D30C24">
              <w:t>Freedman</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597A6D17" w14:textId="29225CCD">
            <w:pPr>
              <w:spacing w:line="276" w:lineRule="auto"/>
              <w:jc w:val="center"/>
            </w:pPr>
            <w:r w:rsidRPr="00D30C24">
              <w:t>Attorney</w:t>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48B7FBBF" w14:textId="7E66909C">
            <w:pPr>
              <w:spacing w:line="276" w:lineRule="auto"/>
              <w:jc w:val="center"/>
            </w:pPr>
            <w:r w:rsidRPr="00D30C24">
              <w:t>$455</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5541B9E8" w14:textId="03246DAA">
            <w:pPr>
              <w:spacing w:line="276" w:lineRule="auto"/>
              <w:jc w:val="center"/>
            </w:pPr>
            <w:r w:rsidRPr="00D30C24">
              <w:t>2020</w:t>
            </w:r>
          </w:p>
        </w:tc>
        <w:tc>
          <w:tcPr>
            <w:tcW w:w="1634" w:type="dxa"/>
            <w:tcBorders>
              <w:top w:val="single" w:color="auto" w:sz="4" w:space="0"/>
              <w:left w:val="single" w:color="auto" w:sz="4" w:space="0"/>
              <w:bottom w:val="single" w:color="auto" w:sz="4" w:space="0"/>
              <w:right w:val="single" w:color="auto" w:sz="4" w:space="0"/>
            </w:tcBorders>
          </w:tcPr>
          <w:p w:rsidRPr="00D30C24" w:rsidR="0062130A" w:rsidP="00D30C24" w:rsidRDefault="0062130A" w14:paraId="5585EC38" w14:textId="7D9D42F4">
            <w:pPr>
              <w:spacing w:line="276" w:lineRule="auto"/>
              <w:jc w:val="center"/>
            </w:pPr>
            <w:r w:rsidRPr="00D30C24">
              <w:t xml:space="preserve">$455.00 </w:t>
            </w:r>
          </w:p>
        </w:tc>
      </w:tr>
      <w:tr w:rsidRPr="00D30C24" w:rsidR="0062130A" w:rsidTr="00D30C24" w14:paraId="29AE6932"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360AC496" w14:textId="48191E74">
            <w:pPr>
              <w:spacing w:line="276" w:lineRule="auto"/>
              <w:jc w:val="center"/>
            </w:pPr>
            <w:r w:rsidRPr="00D30C24">
              <w:t xml:space="preserve">Cynthia </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56248722" w14:textId="06B218EB">
            <w:pPr>
              <w:spacing w:line="276" w:lineRule="auto"/>
              <w:jc w:val="center"/>
            </w:pPr>
            <w:r w:rsidRPr="00D30C24">
              <w:t>Mitchell</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5260F89F" w14:textId="27D9234A">
            <w:pPr>
              <w:spacing w:line="276" w:lineRule="auto"/>
              <w:jc w:val="center"/>
            </w:pPr>
            <w:r w:rsidRPr="00D30C24">
              <w:t>Expert</w:t>
            </w:r>
            <w:bookmarkStart w:name="_Ref201571599" w:id="1"/>
            <w:r w:rsidRPr="00D30C24" w:rsidR="00AF77CB">
              <w:rPr>
                <w:rStyle w:val="FootnoteReference"/>
              </w:rPr>
              <w:footnoteReference w:id="6"/>
            </w:r>
            <w:bookmarkEnd w:id="1"/>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6D2EBA5C" w14:textId="65F7AEFF">
            <w:pPr>
              <w:spacing w:line="276" w:lineRule="auto"/>
              <w:jc w:val="center"/>
            </w:pPr>
            <w:r w:rsidRPr="00D30C24">
              <w:t>$250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34B04A04" w14:textId="2069427B">
            <w:pPr>
              <w:spacing w:line="276" w:lineRule="auto"/>
              <w:jc w:val="center"/>
            </w:pPr>
            <w:r w:rsidRPr="00D30C24">
              <w:t>2020</w:t>
            </w:r>
          </w:p>
        </w:tc>
        <w:tc>
          <w:tcPr>
            <w:tcW w:w="1634" w:type="dxa"/>
            <w:tcBorders>
              <w:top w:val="single" w:color="auto" w:sz="4" w:space="0"/>
              <w:left w:val="single" w:color="auto" w:sz="4" w:space="0"/>
              <w:bottom w:val="single" w:color="auto" w:sz="4" w:space="0"/>
              <w:right w:val="single" w:color="auto" w:sz="4" w:space="0"/>
            </w:tcBorders>
          </w:tcPr>
          <w:p w:rsidRPr="00D30C24" w:rsidR="0062130A" w:rsidP="00D30C24" w:rsidRDefault="0062130A" w14:paraId="6A145930" w14:textId="4EFDDB02">
            <w:pPr>
              <w:spacing w:line="276" w:lineRule="auto"/>
              <w:jc w:val="center"/>
            </w:pPr>
            <w:r w:rsidRPr="00D30C24">
              <w:t xml:space="preserve">$250.00 </w:t>
            </w:r>
          </w:p>
        </w:tc>
      </w:tr>
      <w:tr w:rsidRPr="00D30C24" w:rsidR="0062130A" w:rsidTr="00D30C24" w14:paraId="7BBD5E13"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23066614" w14:textId="1520B04E">
            <w:pPr>
              <w:spacing w:line="276" w:lineRule="auto"/>
              <w:jc w:val="center"/>
            </w:pPr>
            <w:r w:rsidRPr="00D30C24">
              <w:t>Kevin</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4786C89C" w14:textId="1FD686B3">
            <w:pPr>
              <w:spacing w:line="276" w:lineRule="auto"/>
              <w:jc w:val="center"/>
            </w:pPr>
            <w:r w:rsidRPr="00D30C24">
              <w:t>Woodruff</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18CADD1E" w14:textId="0E6FC061">
            <w:pPr>
              <w:spacing w:line="276" w:lineRule="auto"/>
              <w:jc w:val="center"/>
            </w:pPr>
            <w:r w:rsidRPr="00D30C24">
              <w:t>Expert</w:t>
            </w:r>
            <w:r w:rsidRPr="00D30C24" w:rsidR="00AF77CB">
              <w:fldChar w:fldCharType="begin"/>
            </w:r>
            <w:r w:rsidRPr="00D30C24" w:rsidR="00AF77CB">
              <w:instrText xml:space="preserve"> NOTEREF _Ref201571599 \f \h </w:instrText>
            </w:r>
            <w:r w:rsidRPr="00D30C24" w:rsidR="001811F3">
              <w:instrText xml:space="preserve"> \* MERGEFORMAT </w:instrText>
            </w:r>
            <w:r w:rsidRPr="00D30C24" w:rsidR="00AF77CB">
              <w:fldChar w:fldCharType="separate"/>
            </w:r>
            <w:r w:rsidRPr="00D30C24" w:rsidR="00AF77CB">
              <w:rPr>
                <w:rStyle w:val="FootnoteReference"/>
              </w:rPr>
              <w:t>6</w:t>
            </w:r>
            <w:r w:rsidRPr="00D30C24" w:rsidR="00AF77CB">
              <w:fldChar w:fldCharType="end"/>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39919693" w14:textId="7E586A04">
            <w:pPr>
              <w:spacing w:line="276" w:lineRule="auto"/>
              <w:jc w:val="center"/>
            </w:pPr>
            <w:r w:rsidRPr="00D30C24">
              <w:t>$270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214A549B" w14:textId="07E4F23B">
            <w:pPr>
              <w:spacing w:line="276" w:lineRule="auto"/>
              <w:jc w:val="center"/>
            </w:pPr>
            <w:r w:rsidRPr="00D30C24">
              <w:t>2020</w:t>
            </w:r>
          </w:p>
        </w:tc>
        <w:tc>
          <w:tcPr>
            <w:tcW w:w="1634" w:type="dxa"/>
            <w:tcBorders>
              <w:top w:val="single" w:color="auto" w:sz="4" w:space="0"/>
              <w:left w:val="single" w:color="auto" w:sz="4" w:space="0"/>
              <w:bottom w:val="single" w:color="auto" w:sz="4" w:space="0"/>
              <w:right w:val="single" w:color="auto" w:sz="4" w:space="0"/>
            </w:tcBorders>
          </w:tcPr>
          <w:p w:rsidRPr="00D30C24" w:rsidR="0062130A" w:rsidP="00D30C24" w:rsidRDefault="0062130A" w14:paraId="3B9C718F" w14:textId="3A47CDEC">
            <w:pPr>
              <w:spacing w:line="276" w:lineRule="auto"/>
              <w:jc w:val="center"/>
            </w:pPr>
            <w:r w:rsidRPr="00D30C24">
              <w:t xml:space="preserve">$270.00 </w:t>
            </w:r>
          </w:p>
        </w:tc>
      </w:tr>
      <w:tr w:rsidRPr="00D30C24" w:rsidR="0062130A" w:rsidTr="00D30C24" w14:paraId="1906C055" w14:textId="77777777">
        <w:trPr>
          <w:trHeight w:val="288"/>
          <w:jc w:val="center"/>
        </w:trPr>
        <w:tc>
          <w:tcPr>
            <w:tcW w:w="1520"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2ACF0B05" w14:textId="39A6A3D0">
            <w:pPr>
              <w:spacing w:line="276" w:lineRule="auto"/>
              <w:jc w:val="center"/>
            </w:pPr>
            <w:r w:rsidRPr="00D30C24">
              <w:t>Michele</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63E68C11" w14:textId="2D2D6549">
            <w:pPr>
              <w:spacing w:line="276" w:lineRule="auto"/>
              <w:jc w:val="center"/>
            </w:pPr>
            <w:r w:rsidRPr="00D30C24">
              <w:t>Chait</w:t>
            </w:r>
          </w:p>
        </w:tc>
        <w:tc>
          <w:tcPr>
            <w:tcW w:w="208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1E984C6F" w14:textId="703411C4">
            <w:pPr>
              <w:spacing w:line="276" w:lineRule="auto"/>
              <w:jc w:val="center"/>
            </w:pPr>
            <w:r w:rsidRPr="00D30C24">
              <w:t>Expert</w:t>
            </w:r>
            <w:r w:rsidRPr="00D30C24" w:rsidR="00AF77CB">
              <w:fldChar w:fldCharType="begin"/>
            </w:r>
            <w:r w:rsidRPr="00D30C24" w:rsidR="00AF77CB">
              <w:instrText xml:space="preserve"> NOTEREF _Ref201571599 \f \h </w:instrText>
            </w:r>
            <w:r w:rsidRPr="00D30C24" w:rsidR="001811F3">
              <w:instrText xml:space="preserve"> \* MERGEFORMAT </w:instrText>
            </w:r>
            <w:r w:rsidRPr="00D30C24" w:rsidR="00AF77CB">
              <w:fldChar w:fldCharType="separate"/>
            </w:r>
            <w:r w:rsidRPr="00D30C24" w:rsidR="00AF77CB">
              <w:rPr>
                <w:rStyle w:val="FootnoteReference"/>
              </w:rPr>
              <w:t>6</w:t>
            </w:r>
            <w:r w:rsidRPr="00D30C24" w:rsidR="00AF77CB">
              <w:fldChar w:fldCharType="end"/>
            </w:r>
          </w:p>
        </w:tc>
        <w:tc>
          <w:tcPr>
            <w:tcW w:w="1748"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53B8F326" w14:textId="1D8FDEF4">
            <w:pPr>
              <w:spacing w:line="276" w:lineRule="auto"/>
              <w:jc w:val="center"/>
            </w:pPr>
            <w:r w:rsidRPr="00D30C24">
              <w:t>$240</w:t>
            </w:r>
          </w:p>
        </w:tc>
        <w:tc>
          <w:tcPr>
            <w:tcW w:w="1725" w:type="dxa"/>
            <w:tcBorders>
              <w:top w:val="single" w:color="auto" w:sz="4" w:space="0"/>
              <w:left w:val="single" w:color="auto" w:sz="4" w:space="0"/>
              <w:bottom w:val="single" w:color="auto" w:sz="4" w:space="0"/>
              <w:right w:val="single" w:color="auto" w:sz="4" w:space="0"/>
            </w:tcBorders>
            <w:shd w:val="clear" w:color="auto" w:fill="auto"/>
          </w:tcPr>
          <w:p w:rsidRPr="00D30C24" w:rsidR="0062130A" w:rsidP="00D30C24" w:rsidRDefault="0062130A" w14:paraId="7954D4D0" w14:textId="72D87CFF">
            <w:pPr>
              <w:spacing w:line="276" w:lineRule="auto"/>
              <w:jc w:val="center"/>
            </w:pPr>
            <w:r w:rsidRPr="00D30C24">
              <w:t>2021</w:t>
            </w:r>
          </w:p>
        </w:tc>
        <w:tc>
          <w:tcPr>
            <w:tcW w:w="1634" w:type="dxa"/>
            <w:tcBorders>
              <w:top w:val="single" w:color="auto" w:sz="4" w:space="0"/>
              <w:left w:val="single" w:color="auto" w:sz="4" w:space="0"/>
              <w:bottom w:val="single" w:color="auto" w:sz="4" w:space="0"/>
              <w:right w:val="single" w:color="auto" w:sz="4" w:space="0"/>
            </w:tcBorders>
          </w:tcPr>
          <w:p w:rsidRPr="00D30C24" w:rsidR="0062130A" w:rsidP="00D30C24" w:rsidRDefault="0062130A" w14:paraId="467531DD" w14:textId="5AE31093">
            <w:pPr>
              <w:spacing w:line="276" w:lineRule="auto"/>
              <w:jc w:val="center"/>
            </w:pPr>
            <w:r w:rsidRPr="00D30C24">
              <w:t xml:space="preserve">$240.00 </w:t>
            </w:r>
          </w:p>
        </w:tc>
      </w:tr>
    </w:tbl>
    <w:p w:rsidR="00D30C24" w:rsidP="00FE3BAE" w:rsidRDefault="00D30C24" w14:paraId="1B6A4C5D" w14:textId="77777777">
      <w:pPr>
        <w:spacing w:line="360" w:lineRule="auto"/>
        <w:rPr>
          <w:b/>
        </w:rPr>
      </w:pPr>
    </w:p>
    <w:p w:rsidR="00D30C24" w:rsidP="00FE3BAE" w:rsidRDefault="00D30C24" w14:paraId="20BACEA5" w14:textId="77777777">
      <w:pPr>
        <w:spacing w:line="360" w:lineRule="auto"/>
        <w:rPr>
          <w:b/>
        </w:rPr>
      </w:pPr>
    </w:p>
    <w:p w:rsidRPr="006574DF" w:rsidR="00297850" w:rsidP="006574DF" w:rsidRDefault="00FE3BAE" w14:paraId="7F17D23B" w14:textId="6DE3A7A7">
      <w:pPr>
        <w:jc w:val="center"/>
        <w:rPr>
          <w:b/>
        </w:rPr>
      </w:pPr>
      <w:r w:rsidRPr="00B803D5">
        <w:rPr>
          <w:b/>
        </w:rPr>
        <w:t xml:space="preserve">(END OF </w:t>
      </w:r>
      <w:r w:rsidRPr="00B803D5">
        <w:rPr>
          <w:b/>
          <w:szCs w:val="26"/>
        </w:rPr>
        <w:t>APPENDIX</w:t>
      </w:r>
      <w:r w:rsidRPr="00B803D5">
        <w:rPr>
          <w:b/>
        </w:rPr>
        <w:t>)</w:t>
      </w:r>
    </w:p>
    <w:sectPr w:rsidRPr="006574DF" w:rsidR="00297850" w:rsidSect="00D30C24">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0E831" w14:textId="77777777" w:rsidR="00230A6E" w:rsidRDefault="00230A6E" w:rsidP="00885956">
      <w:r>
        <w:separator/>
      </w:r>
    </w:p>
  </w:endnote>
  <w:endnote w:type="continuationSeparator" w:id="0">
    <w:p w14:paraId="18A4BCF9" w14:textId="77777777" w:rsidR="00230A6E" w:rsidRDefault="00230A6E"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061F" w14:textId="78967E87" w:rsidR="00D30C24" w:rsidRDefault="00D30C24" w:rsidP="00D30C24">
    <w:pPr>
      <w:tabs>
        <w:tab w:val="center" w:pos="4680"/>
      </w:tabs>
      <w:jc w:val="center"/>
      <w:rPr>
        <w:noProof/>
      </w:rPr>
    </w:pPr>
    <w:sdt>
      <w:sdtPr>
        <w:id w:val="1434707307"/>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1</w:t>
        </w:r>
        <w:r>
          <w:rPr>
            <w:noProof/>
          </w:rPr>
          <w:fldChar w:fldCharType="end"/>
        </w:r>
      </w:sdtContent>
    </w:sdt>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E7DCD" w14:textId="7C1C3045" w:rsidR="00B44819" w:rsidRDefault="00B44819" w:rsidP="00B44819">
    <w:pPr>
      <w:tabs>
        <w:tab w:val="center" w:pos="4680"/>
      </w:tabs>
      <w:rPr>
        <w:noProof/>
      </w:rPr>
    </w:pPr>
    <w:bookmarkStart w:id="0" w:name="_Hlk202346717"/>
    <w:r w:rsidRPr="00BB7341">
      <w:rPr>
        <w:sz w:val="20"/>
        <w:szCs w:val="20"/>
      </w:rPr>
      <w:t>571708169</w:t>
    </w:r>
    <w:bookmarkEnd w:id="0"/>
    <w:r>
      <w:tab/>
    </w:r>
    <w:sdt>
      <w:sdtPr>
        <w:id w:val="138621560"/>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3</w:t>
        </w:r>
        <w:r>
          <w:rPr>
            <w:noProof/>
          </w:rPr>
          <w:fldChar w:fldCharType="end"/>
        </w:r>
      </w:sdtContent>
    </w:sdt>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126F" w14:textId="76D8787D" w:rsidR="00D30C24" w:rsidRDefault="00D30C24" w:rsidP="00D30C24">
    <w:pPr>
      <w:tabs>
        <w:tab w:val="center" w:pos="4680"/>
      </w:tabs>
      <w:jc w:val="center"/>
      <w:rPr>
        <w:noProof/>
      </w:rPr>
    </w:pPr>
    <w:sdt>
      <w:sdtPr>
        <w:id w:val="900322480"/>
        <w:docPartObj>
          <w:docPartGallery w:val="Page Numbers (Bottom of Page)"/>
          <w:docPartUnique/>
        </w:docPartObj>
      </w:sdtPr>
      <w:sdtEndPr>
        <w:rPr>
          <w:noProof/>
        </w:rPr>
      </w:sdtEndPr>
      <w:sdtContent>
        <w:r>
          <w:t xml:space="preserve"> </w:t>
        </w:r>
        <w:r>
          <w:t>A-</w:t>
        </w:r>
        <w:r>
          <w:fldChar w:fldCharType="begin"/>
        </w:r>
        <w:r>
          <w:instrText xml:space="preserve"> PAGE   \* MERGEFORMAT </w:instrText>
        </w:r>
        <w:r>
          <w:fldChar w:fldCharType="separate"/>
        </w:r>
        <w:r>
          <w:t>1</w:t>
        </w:r>
        <w:r>
          <w:rPr>
            <w:noProof/>
          </w:rPr>
          <w:fldChar w:fldCharType="end"/>
        </w:r>
      </w:sdtContent>
    </w:sdt>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285C7" w14:textId="77777777" w:rsidR="00230A6E" w:rsidRDefault="00230A6E" w:rsidP="00885956">
      <w:r>
        <w:separator/>
      </w:r>
    </w:p>
  </w:footnote>
  <w:footnote w:type="continuationSeparator" w:id="0">
    <w:p w14:paraId="3EEDF642" w14:textId="77777777" w:rsidR="00230A6E" w:rsidRDefault="00230A6E" w:rsidP="00885956">
      <w:r>
        <w:continuationSeparator/>
      </w:r>
    </w:p>
  </w:footnote>
  <w:footnote w:id="1">
    <w:p w14:paraId="7CAF0DDD" w14:textId="77777777" w:rsidR="003B6A1B" w:rsidRPr="004830C4" w:rsidRDefault="003B6A1B">
      <w:pPr>
        <w:pStyle w:val="FootnoteText"/>
        <w:rPr>
          <w:szCs w:val="22"/>
        </w:rPr>
      </w:pPr>
      <w:r w:rsidRPr="004830C4">
        <w:rPr>
          <w:rStyle w:val="FootnoteReference"/>
          <w:szCs w:val="22"/>
        </w:rPr>
        <w:footnoteRef/>
      </w:r>
      <w:r w:rsidRPr="004830C4">
        <w:rPr>
          <w:szCs w:val="22"/>
        </w:rPr>
        <w:t xml:space="preserve"> All statutory references are to California Public Utilities Code unless indicated otherwise.</w:t>
      </w:r>
    </w:p>
  </w:footnote>
  <w:footnote w:id="2">
    <w:p w14:paraId="48B2086E" w14:textId="4808C5C1" w:rsidR="006E56EC" w:rsidRPr="004830C4" w:rsidRDefault="006E56EC" w:rsidP="006E56EC">
      <w:pPr>
        <w:pStyle w:val="FootnoteText"/>
        <w:rPr>
          <w:szCs w:val="22"/>
        </w:rPr>
      </w:pPr>
      <w:r w:rsidRPr="004830C4">
        <w:rPr>
          <w:rStyle w:val="FootnoteReference"/>
          <w:szCs w:val="22"/>
        </w:rPr>
        <w:footnoteRef/>
      </w:r>
      <w:r w:rsidRPr="004830C4">
        <w:rPr>
          <w:szCs w:val="22"/>
        </w:rPr>
        <w:t xml:space="preserve"> </w:t>
      </w:r>
      <w:r w:rsidRPr="004830C4">
        <w:rPr>
          <w:i/>
          <w:szCs w:val="22"/>
        </w:rPr>
        <w:t xml:space="preserve">See, i.e. </w:t>
      </w:r>
      <w:r w:rsidRPr="004830C4">
        <w:rPr>
          <w:szCs w:val="22"/>
        </w:rPr>
        <w:t>D.96-08-040 (67 CPUC 2d 562, 575-576.X)(“[B]</w:t>
      </w:r>
      <w:proofErr w:type="spellStart"/>
      <w:r w:rsidRPr="004830C4">
        <w:rPr>
          <w:szCs w:val="22"/>
        </w:rPr>
        <w:t>ecause</w:t>
      </w:r>
      <w:proofErr w:type="spellEnd"/>
      <w:r w:rsidRPr="004830C4">
        <w:rPr>
          <w:szCs w:val="22"/>
        </w:rPr>
        <w:t xml:space="preserve"> of the extraordinary level of participation required of both parties and intervenors throughout these proceedings, we find that a reduction in the amount awarded to intervenors based on duplication of effort is unwarranted.  Section</w:t>
      </w:r>
      <w:r w:rsidR="00F53878" w:rsidRPr="004830C4">
        <w:rPr>
          <w:szCs w:val="22"/>
        </w:rPr>
        <w:t> </w:t>
      </w:r>
      <w:r w:rsidRPr="004830C4">
        <w:rPr>
          <w:szCs w:val="22"/>
        </w:rPr>
        <w:t>1803(b) requires that the awarding of fees to intervenors “be administered in a manner that encourages the effective and efficient participation of all groups that have a stake in the public utility regulation process.”  Each of the intervenor groups clearly has a stake in the process of restructuring California’s electrical services industry and we are grateful for their participation in these proceedings.  Moreover, we rely on them to continue their effective and efficient participation in our proceedings as we move forward with the many implementation tasks ahead. [footnote omitted][¶]  . . . . In a broad, multi-issue proceeding such as this, we expect to see some duplication of contribution.  This duplication does not diminish the value of that contribution to the Commission.  In our view, to deduct from an award of reasonable fees in this case would not encourage the effective and efficient participation of all stakeholders in the spirit of §</w:t>
      </w:r>
      <w:r w:rsidR="001811F3" w:rsidRPr="004830C4">
        <w:rPr>
          <w:szCs w:val="22"/>
        </w:rPr>
        <w:t> </w:t>
      </w:r>
      <w:r w:rsidRPr="004830C4">
        <w:rPr>
          <w:szCs w:val="22"/>
        </w:rPr>
        <w:t>1801.3(b).”)</w:t>
      </w:r>
    </w:p>
  </w:footnote>
  <w:footnote w:id="3">
    <w:p w14:paraId="5A0B5E7B" w14:textId="77777777" w:rsidR="00887BA1" w:rsidRPr="004830C4" w:rsidRDefault="00887BA1" w:rsidP="00887BA1">
      <w:pPr>
        <w:pStyle w:val="Footnote"/>
        <w:rPr>
          <w:sz w:val="22"/>
          <w:szCs w:val="22"/>
        </w:rPr>
      </w:pPr>
      <w:r w:rsidRPr="004830C4">
        <w:rPr>
          <w:rStyle w:val="FootnoteReference"/>
          <w:sz w:val="22"/>
          <w:szCs w:val="22"/>
        </w:rPr>
        <w:footnoteRef/>
      </w:r>
      <w:r w:rsidRPr="004830C4">
        <w:rPr>
          <w:sz w:val="22"/>
          <w:szCs w:val="22"/>
        </w:rPr>
        <w:t xml:space="preserve"> </w:t>
      </w:r>
      <w:r w:rsidRPr="004830C4">
        <w:rPr>
          <w:i/>
          <w:sz w:val="22"/>
          <w:szCs w:val="22"/>
        </w:rPr>
        <w:t>See also</w:t>
      </w:r>
      <w:r w:rsidRPr="004830C4">
        <w:rPr>
          <w:sz w:val="22"/>
          <w:szCs w:val="22"/>
        </w:rPr>
        <w:t xml:space="preserve"> D.99-12-005, pp. 6-7 (Compensation Decision in 1995 Storm Phase of PG&amp;E GRC, A.97-12-020) and D.00-04-006, pp. 9-10 (Compensation Decision in Edison PBR Midterm Review, A.99-03-020) (recognizing the overall benefit of TURN’s participation where that participation assisted the Commission in developing a record on which to assess the reasonableness of the utility’s operations, and particularly its preparedness and performance in the future); D.00-05-022 (Compensation Decision in the Emergency Standards Proceeding) (awarding TURN $92,000 in D.00-10-014 for our substantial contribution to the earlier decision, despite TURN’s inability to assign a dollar value to the benefit of our participation in order to demonstrate “productivity.”  Interestingly, the Commission awarded compensation even though the emergency restoration standards may never come into play in the future, since they come into play only after a “major outage,” which is defined as impacting more than 10% of a utility’s customers.  The contingent nature of the future standards did not cause the Commission to hesitate in awarding TURN compensation.).</w:t>
      </w:r>
    </w:p>
  </w:footnote>
  <w:footnote w:id="4">
    <w:p w14:paraId="2A44723A" w14:textId="15B00935" w:rsidR="003B6A1B" w:rsidRPr="004830C4" w:rsidRDefault="003B6A1B" w:rsidP="00A86489">
      <w:pPr>
        <w:pStyle w:val="FootnoteText"/>
        <w:rPr>
          <w:szCs w:val="22"/>
        </w:rPr>
      </w:pPr>
      <w:r w:rsidRPr="004830C4">
        <w:rPr>
          <w:rStyle w:val="FootnoteReference"/>
          <w:szCs w:val="22"/>
        </w:rPr>
        <w:footnoteRef/>
      </w:r>
      <w:r w:rsidRPr="004830C4">
        <w:rPr>
          <w:szCs w:val="22"/>
        </w:rPr>
        <w:t xml:space="preserve"> This information may be </w:t>
      </w:r>
      <w:r w:rsidRPr="004830C4">
        <w:rPr>
          <w:color w:val="000000"/>
          <w:szCs w:val="22"/>
        </w:rPr>
        <w:t xml:space="preserve">obtained through the State Bar of California’s website at </w:t>
      </w:r>
      <w:hyperlink r:id="rId1" w:history="1">
        <w:r w:rsidRPr="004830C4">
          <w:rPr>
            <w:rStyle w:val="Hyperlink"/>
            <w:szCs w:val="22"/>
          </w:rPr>
          <w:t>http://members.calbar.ca.gov/fal/MemberSearch/QuickSearch</w:t>
        </w:r>
      </w:hyperlink>
      <w:r w:rsidRPr="004830C4">
        <w:rPr>
          <w:color w:val="000000"/>
          <w:szCs w:val="22"/>
        </w:rPr>
        <w:t>.</w:t>
      </w:r>
    </w:p>
  </w:footnote>
  <w:footnote w:id="5">
    <w:p w14:paraId="51ED77E2" w14:textId="4C62827F" w:rsidR="00AF03E6" w:rsidRPr="004830C4" w:rsidRDefault="00AF03E6">
      <w:pPr>
        <w:pStyle w:val="FootnoteText"/>
        <w:rPr>
          <w:szCs w:val="22"/>
        </w:rPr>
      </w:pPr>
      <w:r w:rsidRPr="004830C4">
        <w:rPr>
          <w:rStyle w:val="FootnoteReference"/>
          <w:szCs w:val="22"/>
        </w:rPr>
        <w:footnoteRef/>
      </w:r>
      <w:r w:rsidRPr="004830C4">
        <w:rPr>
          <w:szCs w:val="22"/>
        </w:rPr>
        <w:t xml:space="preserve"> Attachments not attached to final Decision</w:t>
      </w:r>
      <w:r w:rsidR="006532EC" w:rsidRPr="004830C4">
        <w:rPr>
          <w:szCs w:val="22"/>
        </w:rPr>
        <w:t>.</w:t>
      </w:r>
    </w:p>
  </w:footnote>
  <w:footnote w:id="6">
    <w:p w14:paraId="502B8A0D" w14:textId="24EA886E" w:rsidR="00AF77CB" w:rsidRPr="004830C4" w:rsidRDefault="00AF77CB">
      <w:pPr>
        <w:pStyle w:val="FootnoteText"/>
        <w:rPr>
          <w:szCs w:val="22"/>
        </w:rPr>
      </w:pPr>
      <w:r w:rsidRPr="004830C4">
        <w:rPr>
          <w:rStyle w:val="FootnoteReference"/>
          <w:szCs w:val="22"/>
        </w:rPr>
        <w:footnoteRef/>
      </w:r>
      <w:r w:rsidRPr="004830C4">
        <w:rPr>
          <w:szCs w:val="22"/>
        </w:rPr>
        <w:t xml:space="preserve"> TURN identified this individual as </w:t>
      </w:r>
      <w:r w:rsidR="007A79E4" w:rsidRPr="004830C4">
        <w:rPr>
          <w:szCs w:val="22"/>
        </w:rPr>
        <w:t xml:space="preserve">a </w:t>
      </w:r>
      <w:r w:rsidRPr="004830C4">
        <w:rPr>
          <w:szCs w:val="22"/>
        </w:rPr>
        <w:t>consultant.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2791" w14:textId="77777777" w:rsidR="00D30C24" w:rsidRDefault="00D30C24" w:rsidP="00D30C24">
    <w:pPr>
      <w:pStyle w:val="Header"/>
      <w:tabs>
        <w:tab w:val="clear" w:pos="4680"/>
      </w:tabs>
    </w:pPr>
    <w:r>
      <w:t>R.13-11-005  ALJ/JF2/VUK/jnf</w:t>
    </w:r>
    <w:r>
      <w:tab/>
      <w:t>PROPOSED DECISION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0180"/>
    <w:multiLevelType w:val="hybridMultilevel"/>
    <w:tmpl w:val="4816E7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F5DD4"/>
    <w:multiLevelType w:val="hybridMultilevel"/>
    <w:tmpl w:val="969C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45F27"/>
    <w:multiLevelType w:val="hybridMultilevel"/>
    <w:tmpl w:val="498255BC"/>
    <w:lvl w:ilvl="0" w:tplc="FFFFFFFF">
      <w:start w:val="1"/>
      <w:numFmt w:val="decimal"/>
      <w:lvlText w:val="%1."/>
      <w:lvlJc w:val="left"/>
      <w:pPr>
        <w:ind w:left="90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22F22"/>
    <w:multiLevelType w:val="hybridMultilevel"/>
    <w:tmpl w:val="65609672"/>
    <w:lvl w:ilvl="0" w:tplc="4BC2A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F3BD1"/>
    <w:multiLevelType w:val="hybridMultilevel"/>
    <w:tmpl w:val="30C8E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2577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1774A"/>
    <w:multiLevelType w:val="hybridMultilevel"/>
    <w:tmpl w:val="C4F4690E"/>
    <w:lvl w:ilvl="0" w:tplc="3710E15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24ECA"/>
    <w:multiLevelType w:val="hybridMultilevel"/>
    <w:tmpl w:val="65D88224"/>
    <w:lvl w:ilvl="0" w:tplc="320C6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D3A0A"/>
    <w:multiLevelType w:val="hybridMultilevel"/>
    <w:tmpl w:val="858A6B98"/>
    <w:lvl w:ilvl="0" w:tplc="94E80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738D9"/>
    <w:multiLevelType w:val="hybridMultilevel"/>
    <w:tmpl w:val="D7649E70"/>
    <w:lvl w:ilvl="0" w:tplc="EC9EF08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B16EF"/>
    <w:multiLevelType w:val="hybridMultilevel"/>
    <w:tmpl w:val="38F434AC"/>
    <w:lvl w:ilvl="0" w:tplc="4BC2A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9297B"/>
    <w:multiLevelType w:val="hybridMultilevel"/>
    <w:tmpl w:val="20EA3A36"/>
    <w:lvl w:ilvl="0" w:tplc="0409000F">
      <w:start w:val="1"/>
      <w:numFmt w:val="decimal"/>
      <w:lvlText w:val="%1."/>
      <w:lvlJc w:val="left"/>
      <w:pPr>
        <w:ind w:left="693" w:hanging="360"/>
      </w:p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13" w15:restartNumberingAfterBreak="0">
    <w:nsid w:val="28CD6FE3"/>
    <w:multiLevelType w:val="hybridMultilevel"/>
    <w:tmpl w:val="858A6B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486D4D"/>
    <w:multiLevelType w:val="hybridMultilevel"/>
    <w:tmpl w:val="498255BC"/>
    <w:lvl w:ilvl="0" w:tplc="EC9EF088">
      <w:start w:val="1"/>
      <w:numFmt w:val="decimal"/>
      <w:lvlText w:val="%1."/>
      <w:lvlJc w:val="left"/>
      <w:pPr>
        <w:ind w:left="9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013710"/>
    <w:multiLevelType w:val="hybridMultilevel"/>
    <w:tmpl w:val="87B6E080"/>
    <w:lvl w:ilvl="0" w:tplc="48262660">
      <w:start w:val="1"/>
      <w:numFmt w:val="lowerLetter"/>
      <w:lvlText w:val="(%1)"/>
      <w:lvlJc w:val="left"/>
      <w:pPr>
        <w:ind w:left="693" w:hanging="360"/>
      </w:pPr>
      <w:rPr>
        <w:rFonts w:hint="default"/>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16" w15:restartNumberingAfterBreak="0">
    <w:nsid w:val="352F0203"/>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CA54FE"/>
    <w:multiLevelType w:val="hybridMultilevel"/>
    <w:tmpl w:val="78E8C684"/>
    <w:lvl w:ilvl="0" w:tplc="8E5609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A5192"/>
    <w:multiLevelType w:val="hybridMultilevel"/>
    <w:tmpl w:val="09E2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C1907"/>
    <w:multiLevelType w:val="hybridMultilevel"/>
    <w:tmpl w:val="3A8ED26C"/>
    <w:lvl w:ilvl="0" w:tplc="4BC2A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504B9E"/>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6F7ED7"/>
    <w:multiLevelType w:val="hybridMultilevel"/>
    <w:tmpl w:val="3FA86978"/>
    <w:lvl w:ilvl="0" w:tplc="FFFFFFFF">
      <w:start w:val="4"/>
      <w:numFmt w:val="decimal"/>
      <w:lvlText w:val="%1."/>
      <w:lvlJc w:val="left"/>
      <w:pPr>
        <w:ind w:left="909" w:hanging="360"/>
      </w:pPr>
      <w:rPr>
        <w:rFonts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23" w15:restartNumberingAfterBreak="0">
    <w:nsid w:val="467C48A8"/>
    <w:multiLevelType w:val="hybridMultilevel"/>
    <w:tmpl w:val="35160E8A"/>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4" w15:restartNumberingAfterBreak="0">
    <w:nsid w:val="4E137967"/>
    <w:multiLevelType w:val="hybridMultilevel"/>
    <w:tmpl w:val="4F9A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B7A53"/>
    <w:multiLevelType w:val="hybridMultilevel"/>
    <w:tmpl w:val="F5B25292"/>
    <w:lvl w:ilvl="0" w:tplc="EC9EF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568F6BF7"/>
    <w:multiLevelType w:val="hybridMultilevel"/>
    <w:tmpl w:val="2BC0C152"/>
    <w:lvl w:ilvl="0" w:tplc="F91419D4">
      <w:start w:val="1"/>
      <w:numFmt w:val="upperLetter"/>
      <w:lvlText w:val="%1."/>
      <w:lvlJc w:val="left"/>
      <w:pPr>
        <w:tabs>
          <w:tab w:val="num" w:pos="360"/>
        </w:tabs>
        <w:ind w:left="36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9" w15:restartNumberingAfterBreak="0">
    <w:nsid w:val="64696754"/>
    <w:multiLevelType w:val="hybridMultilevel"/>
    <w:tmpl w:val="94F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037D1"/>
    <w:multiLevelType w:val="hybridMultilevel"/>
    <w:tmpl w:val="20EA3A36"/>
    <w:lvl w:ilvl="0" w:tplc="FFFFFFFF">
      <w:start w:val="1"/>
      <w:numFmt w:val="decimal"/>
      <w:lvlText w:val="%1."/>
      <w:lvlJc w:val="left"/>
      <w:pPr>
        <w:ind w:left="693" w:hanging="360"/>
      </w:pPr>
    </w:lvl>
    <w:lvl w:ilvl="1" w:tplc="FFFFFFFF" w:tentative="1">
      <w:start w:val="1"/>
      <w:numFmt w:val="lowerLetter"/>
      <w:lvlText w:val="%2."/>
      <w:lvlJc w:val="left"/>
      <w:pPr>
        <w:ind w:left="1413" w:hanging="360"/>
      </w:pPr>
    </w:lvl>
    <w:lvl w:ilvl="2" w:tplc="FFFFFFFF" w:tentative="1">
      <w:start w:val="1"/>
      <w:numFmt w:val="lowerRoman"/>
      <w:lvlText w:val="%3."/>
      <w:lvlJc w:val="right"/>
      <w:pPr>
        <w:ind w:left="2133" w:hanging="180"/>
      </w:pPr>
    </w:lvl>
    <w:lvl w:ilvl="3" w:tplc="FFFFFFFF" w:tentative="1">
      <w:start w:val="1"/>
      <w:numFmt w:val="decimal"/>
      <w:lvlText w:val="%4."/>
      <w:lvlJc w:val="left"/>
      <w:pPr>
        <w:ind w:left="2853" w:hanging="360"/>
      </w:pPr>
    </w:lvl>
    <w:lvl w:ilvl="4" w:tplc="FFFFFFFF" w:tentative="1">
      <w:start w:val="1"/>
      <w:numFmt w:val="lowerLetter"/>
      <w:lvlText w:val="%5."/>
      <w:lvlJc w:val="left"/>
      <w:pPr>
        <w:ind w:left="3573" w:hanging="360"/>
      </w:pPr>
    </w:lvl>
    <w:lvl w:ilvl="5" w:tplc="FFFFFFFF" w:tentative="1">
      <w:start w:val="1"/>
      <w:numFmt w:val="lowerRoman"/>
      <w:lvlText w:val="%6."/>
      <w:lvlJc w:val="right"/>
      <w:pPr>
        <w:ind w:left="4293" w:hanging="180"/>
      </w:pPr>
    </w:lvl>
    <w:lvl w:ilvl="6" w:tplc="FFFFFFFF" w:tentative="1">
      <w:start w:val="1"/>
      <w:numFmt w:val="decimal"/>
      <w:lvlText w:val="%7."/>
      <w:lvlJc w:val="left"/>
      <w:pPr>
        <w:ind w:left="5013" w:hanging="360"/>
      </w:pPr>
    </w:lvl>
    <w:lvl w:ilvl="7" w:tplc="FFFFFFFF" w:tentative="1">
      <w:start w:val="1"/>
      <w:numFmt w:val="lowerLetter"/>
      <w:lvlText w:val="%8."/>
      <w:lvlJc w:val="left"/>
      <w:pPr>
        <w:ind w:left="5733" w:hanging="360"/>
      </w:pPr>
    </w:lvl>
    <w:lvl w:ilvl="8" w:tplc="FFFFFFFF" w:tentative="1">
      <w:start w:val="1"/>
      <w:numFmt w:val="lowerRoman"/>
      <w:lvlText w:val="%9."/>
      <w:lvlJc w:val="right"/>
      <w:pPr>
        <w:ind w:left="6453" w:hanging="180"/>
      </w:pPr>
    </w:lvl>
  </w:abstractNum>
  <w:abstractNum w:abstractNumId="31" w15:restartNumberingAfterBreak="0">
    <w:nsid w:val="6C053EE6"/>
    <w:multiLevelType w:val="hybridMultilevel"/>
    <w:tmpl w:val="87985134"/>
    <w:lvl w:ilvl="0" w:tplc="4BC2A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D443FD"/>
    <w:multiLevelType w:val="hybridMultilevel"/>
    <w:tmpl w:val="0252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F246F7"/>
    <w:multiLevelType w:val="hybridMultilevel"/>
    <w:tmpl w:val="4816E758"/>
    <w:lvl w:ilvl="0" w:tplc="F7BEC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8179A5"/>
    <w:multiLevelType w:val="hybridMultilevel"/>
    <w:tmpl w:val="30FC9C02"/>
    <w:lvl w:ilvl="0" w:tplc="3F64304C">
      <w:start w:val="1"/>
      <w:numFmt w:val="decimal"/>
      <w:lvlText w:val="%1."/>
      <w:lvlJc w:val="left"/>
      <w:pPr>
        <w:ind w:left="547"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265255"/>
    <w:multiLevelType w:val="hybridMultilevel"/>
    <w:tmpl w:val="498255BC"/>
    <w:lvl w:ilvl="0" w:tplc="FFFFFFFF">
      <w:start w:val="1"/>
      <w:numFmt w:val="decimal"/>
      <w:lvlText w:val="%1."/>
      <w:lvlJc w:val="left"/>
      <w:pPr>
        <w:ind w:left="90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6431786">
    <w:abstractNumId w:val="34"/>
  </w:num>
  <w:num w:numId="2" w16cid:durableId="296566636">
    <w:abstractNumId w:val="3"/>
  </w:num>
  <w:num w:numId="3" w16cid:durableId="2098595014">
    <w:abstractNumId w:val="35"/>
  </w:num>
  <w:num w:numId="4" w16cid:durableId="1312905431">
    <w:abstractNumId w:val="26"/>
  </w:num>
  <w:num w:numId="5" w16cid:durableId="417093550">
    <w:abstractNumId w:val="20"/>
  </w:num>
  <w:num w:numId="6" w16cid:durableId="1486429129">
    <w:abstractNumId w:val="28"/>
  </w:num>
  <w:num w:numId="7" w16cid:durableId="258221757">
    <w:abstractNumId w:val="21"/>
  </w:num>
  <w:num w:numId="8" w16cid:durableId="842936081">
    <w:abstractNumId w:val="27"/>
  </w:num>
  <w:num w:numId="9" w16cid:durableId="1685205339">
    <w:abstractNumId w:val="6"/>
  </w:num>
  <w:num w:numId="10" w16cid:durableId="789317941">
    <w:abstractNumId w:val="16"/>
  </w:num>
  <w:num w:numId="11" w16cid:durableId="1325668191">
    <w:abstractNumId w:val="9"/>
  </w:num>
  <w:num w:numId="12" w16cid:durableId="610934811">
    <w:abstractNumId w:val="13"/>
  </w:num>
  <w:num w:numId="13" w16cid:durableId="2074572815">
    <w:abstractNumId w:val="7"/>
  </w:num>
  <w:num w:numId="14" w16cid:durableId="1310548842">
    <w:abstractNumId w:val="11"/>
  </w:num>
  <w:num w:numId="15" w16cid:durableId="701830550">
    <w:abstractNumId w:val="31"/>
  </w:num>
  <w:num w:numId="16" w16cid:durableId="143669946">
    <w:abstractNumId w:val="14"/>
  </w:num>
  <w:num w:numId="17" w16cid:durableId="68575956">
    <w:abstractNumId w:val="19"/>
  </w:num>
  <w:num w:numId="18" w16cid:durableId="1777288242">
    <w:abstractNumId w:val="29"/>
  </w:num>
  <w:num w:numId="19" w16cid:durableId="373386048">
    <w:abstractNumId w:val="18"/>
  </w:num>
  <w:num w:numId="20" w16cid:durableId="831138886">
    <w:abstractNumId w:val="23"/>
  </w:num>
  <w:num w:numId="21" w16cid:durableId="1119103202">
    <w:abstractNumId w:val="4"/>
  </w:num>
  <w:num w:numId="22" w16cid:durableId="2110655043">
    <w:abstractNumId w:val="25"/>
  </w:num>
  <w:num w:numId="23" w16cid:durableId="1019239443">
    <w:abstractNumId w:val="36"/>
  </w:num>
  <w:num w:numId="24" w16cid:durableId="644310208">
    <w:abstractNumId w:val="2"/>
  </w:num>
  <w:num w:numId="25" w16cid:durableId="107169353">
    <w:abstractNumId w:val="22"/>
  </w:num>
  <w:num w:numId="26" w16cid:durableId="672340602">
    <w:abstractNumId w:val="10"/>
  </w:num>
  <w:num w:numId="27" w16cid:durableId="468475537">
    <w:abstractNumId w:val="15"/>
  </w:num>
  <w:num w:numId="28" w16cid:durableId="696665289">
    <w:abstractNumId w:val="12"/>
  </w:num>
  <w:num w:numId="29" w16cid:durableId="364792534">
    <w:abstractNumId w:val="17"/>
  </w:num>
  <w:num w:numId="30" w16cid:durableId="1398895636">
    <w:abstractNumId w:val="1"/>
  </w:num>
  <w:num w:numId="31" w16cid:durableId="504562891">
    <w:abstractNumId w:val="30"/>
  </w:num>
  <w:num w:numId="32" w16cid:durableId="31882773">
    <w:abstractNumId w:val="24"/>
  </w:num>
  <w:num w:numId="33" w16cid:durableId="1006639058">
    <w:abstractNumId w:val="5"/>
  </w:num>
  <w:num w:numId="34" w16cid:durableId="1275137046">
    <w:abstractNumId w:val="32"/>
  </w:num>
  <w:num w:numId="35" w16cid:durableId="422992919">
    <w:abstractNumId w:val="8"/>
  </w:num>
  <w:num w:numId="36" w16cid:durableId="341670326">
    <w:abstractNumId w:val="33"/>
  </w:num>
  <w:num w:numId="37" w16cid:durableId="119927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1C84"/>
    <w:rsid w:val="00001C8D"/>
    <w:rsid w:val="000029FD"/>
    <w:rsid w:val="00003A49"/>
    <w:rsid w:val="00003E74"/>
    <w:rsid w:val="00010992"/>
    <w:rsid w:val="000127DA"/>
    <w:rsid w:val="00014613"/>
    <w:rsid w:val="0001508D"/>
    <w:rsid w:val="00020AB7"/>
    <w:rsid w:val="00022E7D"/>
    <w:rsid w:val="0002621E"/>
    <w:rsid w:val="00026A15"/>
    <w:rsid w:val="000275C4"/>
    <w:rsid w:val="0003031E"/>
    <w:rsid w:val="00032755"/>
    <w:rsid w:val="00033A90"/>
    <w:rsid w:val="00033B38"/>
    <w:rsid w:val="00034492"/>
    <w:rsid w:val="000366BF"/>
    <w:rsid w:val="00036808"/>
    <w:rsid w:val="00036F54"/>
    <w:rsid w:val="00037D44"/>
    <w:rsid w:val="00037F75"/>
    <w:rsid w:val="000446F1"/>
    <w:rsid w:val="00045A2F"/>
    <w:rsid w:val="00045E09"/>
    <w:rsid w:val="00046EDE"/>
    <w:rsid w:val="0004703B"/>
    <w:rsid w:val="000477FA"/>
    <w:rsid w:val="000514C2"/>
    <w:rsid w:val="00051509"/>
    <w:rsid w:val="000516A1"/>
    <w:rsid w:val="000536FC"/>
    <w:rsid w:val="0005538D"/>
    <w:rsid w:val="00055843"/>
    <w:rsid w:val="000572CF"/>
    <w:rsid w:val="0006173A"/>
    <w:rsid w:val="00062A92"/>
    <w:rsid w:val="00063B93"/>
    <w:rsid w:val="000650F6"/>
    <w:rsid w:val="00065532"/>
    <w:rsid w:val="00072C81"/>
    <w:rsid w:val="00073262"/>
    <w:rsid w:val="000738AF"/>
    <w:rsid w:val="000743AF"/>
    <w:rsid w:val="00074512"/>
    <w:rsid w:val="0008014E"/>
    <w:rsid w:val="00080729"/>
    <w:rsid w:val="00082568"/>
    <w:rsid w:val="00083CC1"/>
    <w:rsid w:val="00084058"/>
    <w:rsid w:val="0008479E"/>
    <w:rsid w:val="00084B02"/>
    <w:rsid w:val="00092E65"/>
    <w:rsid w:val="000962CB"/>
    <w:rsid w:val="000967F2"/>
    <w:rsid w:val="00096EF1"/>
    <w:rsid w:val="000971C0"/>
    <w:rsid w:val="00097A24"/>
    <w:rsid w:val="000A150B"/>
    <w:rsid w:val="000A1EF9"/>
    <w:rsid w:val="000A20BE"/>
    <w:rsid w:val="000A247D"/>
    <w:rsid w:val="000A4A48"/>
    <w:rsid w:val="000A4E60"/>
    <w:rsid w:val="000A57A3"/>
    <w:rsid w:val="000A6B40"/>
    <w:rsid w:val="000B09DE"/>
    <w:rsid w:val="000B0ACD"/>
    <w:rsid w:val="000B1387"/>
    <w:rsid w:val="000B1A77"/>
    <w:rsid w:val="000B2549"/>
    <w:rsid w:val="000B2FBD"/>
    <w:rsid w:val="000B39D4"/>
    <w:rsid w:val="000B653E"/>
    <w:rsid w:val="000C199D"/>
    <w:rsid w:val="000C37BC"/>
    <w:rsid w:val="000C3915"/>
    <w:rsid w:val="000C4A42"/>
    <w:rsid w:val="000C577E"/>
    <w:rsid w:val="000C5B71"/>
    <w:rsid w:val="000C6A2B"/>
    <w:rsid w:val="000D10D1"/>
    <w:rsid w:val="000D10DC"/>
    <w:rsid w:val="000D2FA1"/>
    <w:rsid w:val="000D30FF"/>
    <w:rsid w:val="000D623A"/>
    <w:rsid w:val="000D6CA0"/>
    <w:rsid w:val="000D6DF8"/>
    <w:rsid w:val="000D7022"/>
    <w:rsid w:val="000D7DFA"/>
    <w:rsid w:val="000D7EE2"/>
    <w:rsid w:val="000E1616"/>
    <w:rsid w:val="000E41D9"/>
    <w:rsid w:val="000E6ABD"/>
    <w:rsid w:val="000F3578"/>
    <w:rsid w:val="000F3FED"/>
    <w:rsid w:val="000F50A8"/>
    <w:rsid w:val="000F595C"/>
    <w:rsid w:val="000F721E"/>
    <w:rsid w:val="000F7670"/>
    <w:rsid w:val="000F7B0A"/>
    <w:rsid w:val="000F7DB5"/>
    <w:rsid w:val="001030F1"/>
    <w:rsid w:val="001047AE"/>
    <w:rsid w:val="0010480F"/>
    <w:rsid w:val="00106695"/>
    <w:rsid w:val="001101EF"/>
    <w:rsid w:val="001102BD"/>
    <w:rsid w:val="001106C7"/>
    <w:rsid w:val="00110D89"/>
    <w:rsid w:val="001119C9"/>
    <w:rsid w:val="00113D17"/>
    <w:rsid w:val="00122F73"/>
    <w:rsid w:val="00123103"/>
    <w:rsid w:val="001239C6"/>
    <w:rsid w:val="0012401D"/>
    <w:rsid w:val="001251FC"/>
    <w:rsid w:val="00125492"/>
    <w:rsid w:val="00125C52"/>
    <w:rsid w:val="001314FB"/>
    <w:rsid w:val="001319FC"/>
    <w:rsid w:val="00131CE5"/>
    <w:rsid w:val="001344BA"/>
    <w:rsid w:val="001346EB"/>
    <w:rsid w:val="0013482D"/>
    <w:rsid w:val="001372C0"/>
    <w:rsid w:val="00140380"/>
    <w:rsid w:val="00141A4E"/>
    <w:rsid w:val="001426BB"/>
    <w:rsid w:val="00144563"/>
    <w:rsid w:val="0015005C"/>
    <w:rsid w:val="00151AA8"/>
    <w:rsid w:val="00152F94"/>
    <w:rsid w:val="0015342F"/>
    <w:rsid w:val="00154D85"/>
    <w:rsid w:val="001626F8"/>
    <w:rsid w:val="0016444B"/>
    <w:rsid w:val="001675E5"/>
    <w:rsid w:val="0017158E"/>
    <w:rsid w:val="00171EBF"/>
    <w:rsid w:val="0017224A"/>
    <w:rsid w:val="001748DD"/>
    <w:rsid w:val="00175865"/>
    <w:rsid w:val="00177763"/>
    <w:rsid w:val="00180318"/>
    <w:rsid w:val="00180E8C"/>
    <w:rsid w:val="001811F3"/>
    <w:rsid w:val="001848AE"/>
    <w:rsid w:val="00184E6A"/>
    <w:rsid w:val="0018666A"/>
    <w:rsid w:val="00186CC6"/>
    <w:rsid w:val="001942BD"/>
    <w:rsid w:val="00195EF3"/>
    <w:rsid w:val="001962EB"/>
    <w:rsid w:val="00196C1A"/>
    <w:rsid w:val="001973C0"/>
    <w:rsid w:val="001A1D50"/>
    <w:rsid w:val="001A3CF3"/>
    <w:rsid w:val="001A7F27"/>
    <w:rsid w:val="001B1278"/>
    <w:rsid w:val="001B3904"/>
    <w:rsid w:val="001B4565"/>
    <w:rsid w:val="001B53A4"/>
    <w:rsid w:val="001C00E2"/>
    <w:rsid w:val="001C0CA3"/>
    <w:rsid w:val="001C0CAF"/>
    <w:rsid w:val="001C0DD1"/>
    <w:rsid w:val="001C21AE"/>
    <w:rsid w:val="001C3F92"/>
    <w:rsid w:val="001C543B"/>
    <w:rsid w:val="001C798C"/>
    <w:rsid w:val="001C7ECE"/>
    <w:rsid w:val="001D1AD3"/>
    <w:rsid w:val="001D28C9"/>
    <w:rsid w:val="001D3C19"/>
    <w:rsid w:val="001D3ED2"/>
    <w:rsid w:val="001D5B10"/>
    <w:rsid w:val="001D5DAB"/>
    <w:rsid w:val="001E1AAE"/>
    <w:rsid w:val="001E286D"/>
    <w:rsid w:val="001E5688"/>
    <w:rsid w:val="001E5DEA"/>
    <w:rsid w:val="001E6143"/>
    <w:rsid w:val="001E66CF"/>
    <w:rsid w:val="001E77CF"/>
    <w:rsid w:val="001E7EE2"/>
    <w:rsid w:val="001F0E37"/>
    <w:rsid w:val="001F238E"/>
    <w:rsid w:val="001F31B4"/>
    <w:rsid w:val="001F37D7"/>
    <w:rsid w:val="001F4129"/>
    <w:rsid w:val="001F6205"/>
    <w:rsid w:val="001F6D58"/>
    <w:rsid w:val="00203A25"/>
    <w:rsid w:val="00204021"/>
    <w:rsid w:val="0020422A"/>
    <w:rsid w:val="002043F3"/>
    <w:rsid w:val="002049E1"/>
    <w:rsid w:val="00204E3A"/>
    <w:rsid w:val="00207645"/>
    <w:rsid w:val="00210162"/>
    <w:rsid w:val="0021062C"/>
    <w:rsid w:val="00212E10"/>
    <w:rsid w:val="00213516"/>
    <w:rsid w:val="00214B22"/>
    <w:rsid w:val="00217224"/>
    <w:rsid w:val="00217E4E"/>
    <w:rsid w:val="0022005A"/>
    <w:rsid w:val="0022302F"/>
    <w:rsid w:val="002235C5"/>
    <w:rsid w:val="0023034D"/>
    <w:rsid w:val="00230392"/>
    <w:rsid w:val="002307B8"/>
    <w:rsid w:val="00230A6E"/>
    <w:rsid w:val="002322C6"/>
    <w:rsid w:val="00232412"/>
    <w:rsid w:val="002372E3"/>
    <w:rsid w:val="0023778D"/>
    <w:rsid w:val="002415DC"/>
    <w:rsid w:val="002420C1"/>
    <w:rsid w:val="002427CD"/>
    <w:rsid w:val="00242893"/>
    <w:rsid w:val="00242B2E"/>
    <w:rsid w:val="00242C1A"/>
    <w:rsid w:val="0024368D"/>
    <w:rsid w:val="00243E5C"/>
    <w:rsid w:val="0024453B"/>
    <w:rsid w:val="002466F8"/>
    <w:rsid w:val="002468F3"/>
    <w:rsid w:val="00247140"/>
    <w:rsid w:val="002471A7"/>
    <w:rsid w:val="00251C9D"/>
    <w:rsid w:val="00252C22"/>
    <w:rsid w:val="0025674D"/>
    <w:rsid w:val="0025699C"/>
    <w:rsid w:val="00256F00"/>
    <w:rsid w:val="0026028D"/>
    <w:rsid w:val="00260518"/>
    <w:rsid w:val="00261F96"/>
    <w:rsid w:val="002620E4"/>
    <w:rsid w:val="0026398D"/>
    <w:rsid w:val="00264333"/>
    <w:rsid w:val="00264EE7"/>
    <w:rsid w:val="00265D40"/>
    <w:rsid w:val="0026671E"/>
    <w:rsid w:val="00270D15"/>
    <w:rsid w:val="00270E2E"/>
    <w:rsid w:val="00270F3D"/>
    <w:rsid w:val="00271812"/>
    <w:rsid w:val="00272761"/>
    <w:rsid w:val="00273168"/>
    <w:rsid w:val="00273208"/>
    <w:rsid w:val="00282953"/>
    <w:rsid w:val="00283E23"/>
    <w:rsid w:val="00284210"/>
    <w:rsid w:val="00285810"/>
    <w:rsid w:val="0028705C"/>
    <w:rsid w:val="00292CF9"/>
    <w:rsid w:val="00294B5C"/>
    <w:rsid w:val="00297850"/>
    <w:rsid w:val="002A022F"/>
    <w:rsid w:val="002A206B"/>
    <w:rsid w:val="002A2C9D"/>
    <w:rsid w:val="002A4EAF"/>
    <w:rsid w:val="002A51EA"/>
    <w:rsid w:val="002A651D"/>
    <w:rsid w:val="002A6C07"/>
    <w:rsid w:val="002A7251"/>
    <w:rsid w:val="002A7F74"/>
    <w:rsid w:val="002B149E"/>
    <w:rsid w:val="002B48FF"/>
    <w:rsid w:val="002B56FE"/>
    <w:rsid w:val="002B641F"/>
    <w:rsid w:val="002C0335"/>
    <w:rsid w:val="002C0590"/>
    <w:rsid w:val="002C0B7A"/>
    <w:rsid w:val="002C0E0B"/>
    <w:rsid w:val="002C248A"/>
    <w:rsid w:val="002C2568"/>
    <w:rsid w:val="002C3C8C"/>
    <w:rsid w:val="002C55B2"/>
    <w:rsid w:val="002C6A37"/>
    <w:rsid w:val="002C6AB0"/>
    <w:rsid w:val="002C6BAA"/>
    <w:rsid w:val="002C7661"/>
    <w:rsid w:val="002D1323"/>
    <w:rsid w:val="002D21CA"/>
    <w:rsid w:val="002D3E26"/>
    <w:rsid w:val="002D53AA"/>
    <w:rsid w:val="002D5893"/>
    <w:rsid w:val="002D5BC2"/>
    <w:rsid w:val="002D5E47"/>
    <w:rsid w:val="002D6DAA"/>
    <w:rsid w:val="002E2AC1"/>
    <w:rsid w:val="002E58AC"/>
    <w:rsid w:val="002E5F83"/>
    <w:rsid w:val="002E7372"/>
    <w:rsid w:val="002E77D8"/>
    <w:rsid w:val="002F03A0"/>
    <w:rsid w:val="002F1194"/>
    <w:rsid w:val="002F5BD3"/>
    <w:rsid w:val="002F5EC8"/>
    <w:rsid w:val="002F78C1"/>
    <w:rsid w:val="00300055"/>
    <w:rsid w:val="003024A3"/>
    <w:rsid w:val="00303A16"/>
    <w:rsid w:val="00303C2B"/>
    <w:rsid w:val="00307594"/>
    <w:rsid w:val="00311616"/>
    <w:rsid w:val="0031477E"/>
    <w:rsid w:val="003171A1"/>
    <w:rsid w:val="003218B9"/>
    <w:rsid w:val="003256DD"/>
    <w:rsid w:val="00332485"/>
    <w:rsid w:val="00333F9D"/>
    <w:rsid w:val="00335B72"/>
    <w:rsid w:val="00337B32"/>
    <w:rsid w:val="003432FB"/>
    <w:rsid w:val="00345A23"/>
    <w:rsid w:val="00347B1A"/>
    <w:rsid w:val="003501DD"/>
    <w:rsid w:val="003513D7"/>
    <w:rsid w:val="0035177F"/>
    <w:rsid w:val="00351911"/>
    <w:rsid w:val="003522E3"/>
    <w:rsid w:val="00353C37"/>
    <w:rsid w:val="00354721"/>
    <w:rsid w:val="00356097"/>
    <w:rsid w:val="00356FB1"/>
    <w:rsid w:val="00357623"/>
    <w:rsid w:val="00357C08"/>
    <w:rsid w:val="00357EDC"/>
    <w:rsid w:val="00357F1A"/>
    <w:rsid w:val="00360986"/>
    <w:rsid w:val="00362E43"/>
    <w:rsid w:val="00365D6A"/>
    <w:rsid w:val="00365DD2"/>
    <w:rsid w:val="00366963"/>
    <w:rsid w:val="00367854"/>
    <w:rsid w:val="00370A42"/>
    <w:rsid w:val="00374FD1"/>
    <w:rsid w:val="00377884"/>
    <w:rsid w:val="003805EC"/>
    <w:rsid w:val="00380703"/>
    <w:rsid w:val="00380B3C"/>
    <w:rsid w:val="00380E8B"/>
    <w:rsid w:val="00380F87"/>
    <w:rsid w:val="00381DCC"/>
    <w:rsid w:val="00382C4B"/>
    <w:rsid w:val="003830C0"/>
    <w:rsid w:val="00384D5D"/>
    <w:rsid w:val="00384E65"/>
    <w:rsid w:val="00385ED3"/>
    <w:rsid w:val="00390990"/>
    <w:rsid w:val="0039569A"/>
    <w:rsid w:val="00395AC9"/>
    <w:rsid w:val="003A2941"/>
    <w:rsid w:val="003A42F4"/>
    <w:rsid w:val="003A4C52"/>
    <w:rsid w:val="003A64D9"/>
    <w:rsid w:val="003B0AA6"/>
    <w:rsid w:val="003B1782"/>
    <w:rsid w:val="003B37BB"/>
    <w:rsid w:val="003B3DAC"/>
    <w:rsid w:val="003B457C"/>
    <w:rsid w:val="003B5EAC"/>
    <w:rsid w:val="003B6A1B"/>
    <w:rsid w:val="003C1237"/>
    <w:rsid w:val="003C2E73"/>
    <w:rsid w:val="003C593B"/>
    <w:rsid w:val="003C5FDF"/>
    <w:rsid w:val="003C608A"/>
    <w:rsid w:val="003D0599"/>
    <w:rsid w:val="003D1303"/>
    <w:rsid w:val="003D21A5"/>
    <w:rsid w:val="003D33E8"/>
    <w:rsid w:val="003D359B"/>
    <w:rsid w:val="003D4371"/>
    <w:rsid w:val="003D4455"/>
    <w:rsid w:val="003D47B8"/>
    <w:rsid w:val="003D560F"/>
    <w:rsid w:val="003D5A8D"/>
    <w:rsid w:val="003D61D8"/>
    <w:rsid w:val="003E0EFE"/>
    <w:rsid w:val="003E1B37"/>
    <w:rsid w:val="003E2865"/>
    <w:rsid w:val="003E3119"/>
    <w:rsid w:val="003E34FD"/>
    <w:rsid w:val="003E71ED"/>
    <w:rsid w:val="003E790B"/>
    <w:rsid w:val="003F0E09"/>
    <w:rsid w:val="003F3D45"/>
    <w:rsid w:val="003F3EB2"/>
    <w:rsid w:val="003F6A66"/>
    <w:rsid w:val="004024A2"/>
    <w:rsid w:val="0040299C"/>
    <w:rsid w:val="00405E0E"/>
    <w:rsid w:val="00413C15"/>
    <w:rsid w:val="00413D31"/>
    <w:rsid w:val="00416442"/>
    <w:rsid w:val="0041665E"/>
    <w:rsid w:val="0042048A"/>
    <w:rsid w:val="00420516"/>
    <w:rsid w:val="00422027"/>
    <w:rsid w:val="004220E9"/>
    <w:rsid w:val="0042220E"/>
    <w:rsid w:val="0042608B"/>
    <w:rsid w:val="004311AD"/>
    <w:rsid w:val="00431F03"/>
    <w:rsid w:val="00431FC9"/>
    <w:rsid w:val="00435C30"/>
    <w:rsid w:val="00436FCB"/>
    <w:rsid w:val="004376E0"/>
    <w:rsid w:val="0044322A"/>
    <w:rsid w:val="0044496C"/>
    <w:rsid w:val="004458EC"/>
    <w:rsid w:val="00445F93"/>
    <w:rsid w:val="00446318"/>
    <w:rsid w:val="004471D3"/>
    <w:rsid w:val="00451424"/>
    <w:rsid w:val="004534E7"/>
    <w:rsid w:val="00454008"/>
    <w:rsid w:val="004576A8"/>
    <w:rsid w:val="0046248A"/>
    <w:rsid w:val="00465C4F"/>
    <w:rsid w:val="00467A75"/>
    <w:rsid w:val="00467E65"/>
    <w:rsid w:val="004754DB"/>
    <w:rsid w:val="0047638B"/>
    <w:rsid w:val="00480BF6"/>
    <w:rsid w:val="0048289F"/>
    <w:rsid w:val="004830C4"/>
    <w:rsid w:val="004840D2"/>
    <w:rsid w:val="00491BC8"/>
    <w:rsid w:val="00492492"/>
    <w:rsid w:val="004A6D55"/>
    <w:rsid w:val="004A6FD4"/>
    <w:rsid w:val="004B0653"/>
    <w:rsid w:val="004B20A6"/>
    <w:rsid w:val="004B2D02"/>
    <w:rsid w:val="004B3AFB"/>
    <w:rsid w:val="004B4F4B"/>
    <w:rsid w:val="004B7446"/>
    <w:rsid w:val="004C0961"/>
    <w:rsid w:val="004C39A1"/>
    <w:rsid w:val="004C5362"/>
    <w:rsid w:val="004D0D5D"/>
    <w:rsid w:val="004D188B"/>
    <w:rsid w:val="004D1A11"/>
    <w:rsid w:val="004D1B77"/>
    <w:rsid w:val="004D3276"/>
    <w:rsid w:val="004D4458"/>
    <w:rsid w:val="004D4E2C"/>
    <w:rsid w:val="004D5B36"/>
    <w:rsid w:val="004D6B2D"/>
    <w:rsid w:val="004D6B6D"/>
    <w:rsid w:val="004D6EC8"/>
    <w:rsid w:val="004D779D"/>
    <w:rsid w:val="004E0395"/>
    <w:rsid w:val="004E1AFB"/>
    <w:rsid w:val="004E3939"/>
    <w:rsid w:val="004E3D93"/>
    <w:rsid w:val="004E6C30"/>
    <w:rsid w:val="004E70DC"/>
    <w:rsid w:val="004F058A"/>
    <w:rsid w:val="004F0B97"/>
    <w:rsid w:val="004F2196"/>
    <w:rsid w:val="004F3628"/>
    <w:rsid w:val="004F40CC"/>
    <w:rsid w:val="004F42C1"/>
    <w:rsid w:val="004F504D"/>
    <w:rsid w:val="004F6FD2"/>
    <w:rsid w:val="005021E3"/>
    <w:rsid w:val="00502C14"/>
    <w:rsid w:val="005110A1"/>
    <w:rsid w:val="005121CE"/>
    <w:rsid w:val="0051293C"/>
    <w:rsid w:val="00513573"/>
    <w:rsid w:val="005139CD"/>
    <w:rsid w:val="00514B82"/>
    <w:rsid w:val="00514FEB"/>
    <w:rsid w:val="00515884"/>
    <w:rsid w:val="00516614"/>
    <w:rsid w:val="00516CE7"/>
    <w:rsid w:val="005215EF"/>
    <w:rsid w:val="00521B86"/>
    <w:rsid w:val="005238B6"/>
    <w:rsid w:val="00524053"/>
    <w:rsid w:val="005265A8"/>
    <w:rsid w:val="0052788C"/>
    <w:rsid w:val="00527FDB"/>
    <w:rsid w:val="00530522"/>
    <w:rsid w:val="00532BCB"/>
    <w:rsid w:val="00533373"/>
    <w:rsid w:val="00536CB1"/>
    <w:rsid w:val="00540CCD"/>
    <w:rsid w:val="0054115A"/>
    <w:rsid w:val="005416A1"/>
    <w:rsid w:val="00541BEE"/>
    <w:rsid w:val="00547145"/>
    <w:rsid w:val="00550A05"/>
    <w:rsid w:val="00551967"/>
    <w:rsid w:val="0055228B"/>
    <w:rsid w:val="00552B5F"/>
    <w:rsid w:val="0055339D"/>
    <w:rsid w:val="00554A89"/>
    <w:rsid w:val="00557703"/>
    <w:rsid w:val="00560AE6"/>
    <w:rsid w:val="00561B4A"/>
    <w:rsid w:val="00564BCB"/>
    <w:rsid w:val="0057088A"/>
    <w:rsid w:val="0057172E"/>
    <w:rsid w:val="00575494"/>
    <w:rsid w:val="00584DBE"/>
    <w:rsid w:val="0058579A"/>
    <w:rsid w:val="00585AE7"/>
    <w:rsid w:val="005861A7"/>
    <w:rsid w:val="00586ADD"/>
    <w:rsid w:val="00587D3C"/>
    <w:rsid w:val="0059024B"/>
    <w:rsid w:val="00590BD7"/>
    <w:rsid w:val="005912FA"/>
    <w:rsid w:val="0059289A"/>
    <w:rsid w:val="0059482A"/>
    <w:rsid w:val="00594D7A"/>
    <w:rsid w:val="00595509"/>
    <w:rsid w:val="00595E1F"/>
    <w:rsid w:val="00595FC7"/>
    <w:rsid w:val="00596732"/>
    <w:rsid w:val="00597F77"/>
    <w:rsid w:val="005A07C7"/>
    <w:rsid w:val="005A09FB"/>
    <w:rsid w:val="005A1430"/>
    <w:rsid w:val="005A3018"/>
    <w:rsid w:val="005A44C8"/>
    <w:rsid w:val="005A53F1"/>
    <w:rsid w:val="005A54E4"/>
    <w:rsid w:val="005A63D4"/>
    <w:rsid w:val="005A65C2"/>
    <w:rsid w:val="005B0C81"/>
    <w:rsid w:val="005B1BC3"/>
    <w:rsid w:val="005B25A7"/>
    <w:rsid w:val="005B4A8A"/>
    <w:rsid w:val="005B55AA"/>
    <w:rsid w:val="005B5B44"/>
    <w:rsid w:val="005B661B"/>
    <w:rsid w:val="005B6902"/>
    <w:rsid w:val="005B6DC5"/>
    <w:rsid w:val="005C1526"/>
    <w:rsid w:val="005C2AF6"/>
    <w:rsid w:val="005C327F"/>
    <w:rsid w:val="005C38E9"/>
    <w:rsid w:val="005C39C7"/>
    <w:rsid w:val="005C4EB2"/>
    <w:rsid w:val="005C6371"/>
    <w:rsid w:val="005C6ABF"/>
    <w:rsid w:val="005C7D76"/>
    <w:rsid w:val="005D04EA"/>
    <w:rsid w:val="005D17AD"/>
    <w:rsid w:val="005D1FF1"/>
    <w:rsid w:val="005D21B0"/>
    <w:rsid w:val="005D2310"/>
    <w:rsid w:val="005D2E57"/>
    <w:rsid w:val="005D320A"/>
    <w:rsid w:val="005D4FA2"/>
    <w:rsid w:val="005D5F2A"/>
    <w:rsid w:val="005D689C"/>
    <w:rsid w:val="005D7E9E"/>
    <w:rsid w:val="005E052A"/>
    <w:rsid w:val="005E0A39"/>
    <w:rsid w:val="005E0B99"/>
    <w:rsid w:val="005E1F26"/>
    <w:rsid w:val="005E2663"/>
    <w:rsid w:val="005E3798"/>
    <w:rsid w:val="005E4861"/>
    <w:rsid w:val="005E5278"/>
    <w:rsid w:val="005E6220"/>
    <w:rsid w:val="005F2684"/>
    <w:rsid w:val="005F2F3D"/>
    <w:rsid w:val="005F3956"/>
    <w:rsid w:val="005F4D82"/>
    <w:rsid w:val="005F77E8"/>
    <w:rsid w:val="005F7DB0"/>
    <w:rsid w:val="00600E76"/>
    <w:rsid w:val="00601B6E"/>
    <w:rsid w:val="00602D9C"/>
    <w:rsid w:val="006038CD"/>
    <w:rsid w:val="006064AA"/>
    <w:rsid w:val="00610017"/>
    <w:rsid w:val="00610CDB"/>
    <w:rsid w:val="00614DAF"/>
    <w:rsid w:val="00615462"/>
    <w:rsid w:val="006157FE"/>
    <w:rsid w:val="00616493"/>
    <w:rsid w:val="006178D8"/>
    <w:rsid w:val="006202E9"/>
    <w:rsid w:val="00620962"/>
    <w:rsid w:val="0062130A"/>
    <w:rsid w:val="00621A7C"/>
    <w:rsid w:val="00622BC9"/>
    <w:rsid w:val="00624EAF"/>
    <w:rsid w:val="00625CFC"/>
    <w:rsid w:val="00630184"/>
    <w:rsid w:val="006329AF"/>
    <w:rsid w:val="00633396"/>
    <w:rsid w:val="006348B3"/>
    <w:rsid w:val="00634E71"/>
    <w:rsid w:val="00642FF4"/>
    <w:rsid w:val="0065087E"/>
    <w:rsid w:val="00652DEA"/>
    <w:rsid w:val="006532EC"/>
    <w:rsid w:val="00656154"/>
    <w:rsid w:val="0065634D"/>
    <w:rsid w:val="006574DF"/>
    <w:rsid w:val="00657AF9"/>
    <w:rsid w:val="006606B8"/>
    <w:rsid w:val="00660ACC"/>
    <w:rsid w:val="00660D14"/>
    <w:rsid w:val="00660D7E"/>
    <w:rsid w:val="006637D2"/>
    <w:rsid w:val="00663CA7"/>
    <w:rsid w:val="0066472E"/>
    <w:rsid w:val="00664A1E"/>
    <w:rsid w:val="0066512F"/>
    <w:rsid w:val="006655E1"/>
    <w:rsid w:val="00666EFD"/>
    <w:rsid w:val="00667707"/>
    <w:rsid w:val="006678DC"/>
    <w:rsid w:val="0067185B"/>
    <w:rsid w:val="00673595"/>
    <w:rsid w:val="00673EB1"/>
    <w:rsid w:val="00674D5B"/>
    <w:rsid w:val="006759C4"/>
    <w:rsid w:val="00675E90"/>
    <w:rsid w:val="00675EDF"/>
    <w:rsid w:val="006774FB"/>
    <w:rsid w:val="00677B0C"/>
    <w:rsid w:val="006802EE"/>
    <w:rsid w:val="006814EF"/>
    <w:rsid w:val="00681665"/>
    <w:rsid w:val="00683A75"/>
    <w:rsid w:val="006845B5"/>
    <w:rsid w:val="00686C2E"/>
    <w:rsid w:val="00687905"/>
    <w:rsid w:val="00690B50"/>
    <w:rsid w:val="006914F3"/>
    <w:rsid w:val="00691528"/>
    <w:rsid w:val="006915D5"/>
    <w:rsid w:val="00692738"/>
    <w:rsid w:val="00692B91"/>
    <w:rsid w:val="00693563"/>
    <w:rsid w:val="00694602"/>
    <w:rsid w:val="00694791"/>
    <w:rsid w:val="006A7272"/>
    <w:rsid w:val="006A736C"/>
    <w:rsid w:val="006B0BC7"/>
    <w:rsid w:val="006B29C5"/>
    <w:rsid w:val="006B3E6D"/>
    <w:rsid w:val="006B48A0"/>
    <w:rsid w:val="006B7228"/>
    <w:rsid w:val="006B7375"/>
    <w:rsid w:val="006B7A57"/>
    <w:rsid w:val="006D0F2D"/>
    <w:rsid w:val="006D1762"/>
    <w:rsid w:val="006D1963"/>
    <w:rsid w:val="006D1BE0"/>
    <w:rsid w:val="006D2063"/>
    <w:rsid w:val="006D21E4"/>
    <w:rsid w:val="006D2E89"/>
    <w:rsid w:val="006D4B0E"/>
    <w:rsid w:val="006D52B1"/>
    <w:rsid w:val="006D67C9"/>
    <w:rsid w:val="006D6BEF"/>
    <w:rsid w:val="006D7294"/>
    <w:rsid w:val="006D74AB"/>
    <w:rsid w:val="006E0677"/>
    <w:rsid w:val="006E0E99"/>
    <w:rsid w:val="006E36DE"/>
    <w:rsid w:val="006E4EDE"/>
    <w:rsid w:val="006E56EC"/>
    <w:rsid w:val="006E570D"/>
    <w:rsid w:val="006E5D19"/>
    <w:rsid w:val="006F0FF2"/>
    <w:rsid w:val="006F16E4"/>
    <w:rsid w:val="006F21EC"/>
    <w:rsid w:val="006F25A5"/>
    <w:rsid w:val="006F335C"/>
    <w:rsid w:val="006F575B"/>
    <w:rsid w:val="006F66B5"/>
    <w:rsid w:val="006F7C16"/>
    <w:rsid w:val="00703D5A"/>
    <w:rsid w:val="007056FC"/>
    <w:rsid w:val="00706062"/>
    <w:rsid w:val="00706F08"/>
    <w:rsid w:val="00707338"/>
    <w:rsid w:val="00711FC7"/>
    <w:rsid w:val="007134DE"/>
    <w:rsid w:val="007206C5"/>
    <w:rsid w:val="00720837"/>
    <w:rsid w:val="00720B86"/>
    <w:rsid w:val="007237F6"/>
    <w:rsid w:val="007246A1"/>
    <w:rsid w:val="007268D4"/>
    <w:rsid w:val="00731883"/>
    <w:rsid w:val="00731A22"/>
    <w:rsid w:val="00731FD8"/>
    <w:rsid w:val="00732F3E"/>
    <w:rsid w:val="00733A38"/>
    <w:rsid w:val="00734CF6"/>
    <w:rsid w:val="007370FD"/>
    <w:rsid w:val="00737203"/>
    <w:rsid w:val="0074620B"/>
    <w:rsid w:val="007479AA"/>
    <w:rsid w:val="00747E63"/>
    <w:rsid w:val="00750B98"/>
    <w:rsid w:val="00752ED9"/>
    <w:rsid w:val="007536F8"/>
    <w:rsid w:val="007555CF"/>
    <w:rsid w:val="00756F46"/>
    <w:rsid w:val="00757B44"/>
    <w:rsid w:val="00763797"/>
    <w:rsid w:val="00764A62"/>
    <w:rsid w:val="007671E0"/>
    <w:rsid w:val="007737FD"/>
    <w:rsid w:val="00775A44"/>
    <w:rsid w:val="00777290"/>
    <w:rsid w:val="00777506"/>
    <w:rsid w:val="007779F9"/>
    <w:rsid w:val="00777B5F"/>
    <w:rsid w:val="00780ADE"/>
    <w:rsid w:val="00780C7B"/>
    <w:rsid w:val="00780D41"/>
    <w:rsid w:val="00786CAD"/>
    <w:rsid w:val="00787F92"/>
    <w:rsid w:val="0079055F"/>
    <w:rsid w:val="00795A15"/>
    <w:rsid w:val="007972F4"/>
    <w:rsid w:val="007A2004"/>
    <w:rsid w:val="007A3017"/>
    <w:rsid w:val="007A39FB"/>
    <w:rsid w:val="007A3FCC"/>
    <w:rsid w:val="007A4303"/>
    <w:rsid w:val="007A481A"/>
    <w:rsid w:val="007A627A"/>
    <w:rsid w:val="007A6E1C"/>
    <w:rsid w:val="007A79E4"/>
    <w:rsid w:val="007B0D2F"/>
    <w:rsid w:val="007B195F"/>
    <w:rsid w:val="007B201F"/>
    <w:rsid w:val="007B49E3"/>
    <w:rsid w:val="007B5F08"/>
    <w:rsid w:val="007B677A"/>
    <w:rsid w:val="007C014C"/>
    <w:rsid w:val="007C1183"/>
    <w:rsid w:val="007C1B69"/>
    <w:rsid w:val="007C289A"/>
    <w:rsid w:val="007C3944"/>
    <w:rsid w:val="007C79CC"/>
    <w:rsid w:val="007C7F65"/>
    <w:rsid w:val="007D064E"/>
    <w:rsid w:val="007D0F12"/>
    <w:rsid w:val="007D21E7"/>
    <w:rsid w:val="007D27A4"/>
    <w:rsid w:val="007D361E"/>
    <w:rsid w:val="007D43FF"/>
    <w:rsid w:val="007D5852"/>
    <w:rsid w:val="007D612F"/>
    <w:rsid w:val="007E0456"/>
    <w:rsid w:val="007E1989"/>
    <w:rsid w:val="007E3D75"/>
    <w:rsid w:val="007E71C3"/>
    <w:rsid w:val="007F051F"/>
    <w:rsid w:val="007F2AB1"/>
    <w:rsid w:val="007F4E65"/>
    <w:rsid w:val="007F620E"/>
    <w:rsid w:val="007F6CF5"/>
    <w:rsid w:val="007F797A"/>
    <w:rsid w:val="007F7D65"/>
    <w:rsid w:val="00800E88"/>
    <w:rsid w:val="00802101"/>
    <w:rsid w:val="00802701"/>
    <w:rsid w:val="0080308A"/>
    <w:rsid w:val="008053DB"/>
    <w:rsid w:val="0080617C"/>
    <w:rsid w:val="00811DB1"/>
    <w:rsid w:val="0081280D"/>
    <w:rsid w:val="00813B40"/>
    <w:rsid w:val="00813FEA"/>
    <w:rsid w:val="00815F1F"/>
    <w:rsid w:val="0081626F"/>
    <w:rsid w:val="00817F19"/>
    <w:rsid w:val="008208DD"/>
    <w:rsid w:val="00821E5B"/>
    <w:rsid w:val="008223C5"/>
    <w:rsid w:val="008307BD"/>
    <w:rsid w:val="00831652"/>
    <w:rsid w:val="0083350A"/>
    <w:rsid w:val="0083442F"/>
    <w:rsid w:val="0083532D"/>
    <w:rsid w:val="00836800"/>
    <w:rsid w:val="00836964"/>
    <w:rsid w:val="008375CE"/>
    <w:rsid w:val="008457EA"/>
    <w:rsid w:val="00845899"/>
    <w:rsid w:val="00845CAD"/>
    <w:rsid w:val="00847453"/>
    <w:rsid w:val="008512AE"/>
    <w:rsid w:val="008513B1"/>
    <w:rsid w:val="00855FD7"/>
    <w:rsid w:val="00862262"/>
    <w:rsid w:val="00863EAA"/>
    <w:rsid w:val="00864DD2"/>
    <w:rsid w:val="00864E03"/>
    <w:rsid w:val="00866F78"/>
    <w:rsid w:val="00870459"/>
    <w:rsid w:val="0087253C"/>
    <w:rsid w:val="0087408F"/>
    <w:rsid w:val="00880855"/>
    <w:rsid w:val="008812EB"/>
    <w:rsid w:val="00882014"/>
    <w:rsid w:val="008844B6"/>
    <w:rsid w:val="00884BDD"/>
    <w:rsid w:val="00885956"/>
    <w:rsid w:val="008860DE"/>
    <w:rsid w:val="00886869"/>
    <w:rsid w:val="00887BA1"/>
    <w:rsid w:val="00893A14"/>
    <w:rsid w:val="00893E40"/>
    <w:rsid w:val="0089521C"/>
    <w:rsid w:val="00895376"/>
    <w:rsid w:val="008A182B"/>
    <w:rsid w:val="008A445E"/>
    <w:rsid w:val="008A6012"/>
    <w:rsid w:val="008A7DBE"/>
    <w:rsid w:val="008A7DE5"/>
    <w:rsid w:val="008B3C2E"/>
    <w:rsid w:val="008B67E2"/>
    <w:rsid w:val="008C0683"/>
    <w:rsid w:val="008C09F7"/>
    <w:rsid w:val="008C0AF6"/>
    <w:rsid w:val="008C0C2A"/>
    <w:rsid w:val="008C2208"/>
    <w:rsid w:val="008C2F65"/>
    <w:rsid w:val="008C34D1"/>
    <w:rsid w:val="008C45B8"/>
    <w:rsid w:val="008C7AA9"/>
    <w:rsid w:val="008C7F9B"/>
    <w:rsid w:val="008D3878"/>
    <w:rsid w:val="008D3C90"/>
    <w:rsid w:val="008D7A76"/>
    <w:rsid w:val="008E06C4"/>
    <w:rsid w:val="008E182E"/>
    <w:rsid w:val="008E25E4"/>
    <w:rsid w:val="008E2DF1"/>
    <w:rsid w:val="008E3450"/>
    <w:rsid w:val="008E4336"/>
    <w:rsid w:val="008E453E"/>
    <w:rsid w:val="008E553B"/>
    <w:rsid w:val="008F0D2E"/>
    <w:rsid w:val="008F3770"/>
    <w:rsid w:val="008F3B52"/>
    <w:rsid w:val="008F50B4"/>
    <w:rsid w:val="008F72B8"/>
    <w:rsid w:val="008F7DFC"/>
    <w:rsid w:val="00902430"/>
    <w:rsid w:val="00902CFF"/>
    <w:rsid w:val="00904883"/>
    <w:rsid w:val="0090497D"/>
    <w:rsid w:val="00905335"/>
    <w:rsid w:val="00906E22"/>
    <w:rsid w:val="0091250A"/>
    <w:rsid w:val="00915118"/>
    <w:rsid w:val="00917BF1"/>
    <w:rsid w:val="00922650"/>
    <w:rsid w:val="009233B9"/>
    <w:rsid w:val="0092400F"/>
    <w:rsid w:val="00924B4D"/>
    <w:rsid w:val="00924C98"/>
    <w:rsid w:val="00925160"/>
    <w:rsid w:val="00925FAB"/>
    <w:rsid w:val="00927DF8"/>
    <w:rsid w:val="00930689"/>
    <w:rsid w:val="00930783"/>
    <w:rsid w:val="00931058"/>
    <w:rsid w:val="00932690"/>
    <w:rsid w:val="00932F91"/>
    <w:rsid w:val="0094698A"/>
    <w:rsid w:val="00947426"/>
    <w:rsid w:val="00947D5B"/>
    <w:rsid w:val="00950524"/>
    <w:rsid w:val="00950B6F"/>
    <w:rsid w:val="00953279"/>
    <w:rsid w:val="0095367F"/>
    <w:rsid w:val="00956AFF"/>
    <w:rsid w:val="00960C1E"/>
    <w:rsid w:val="00962214"/>
    <w:rsid w:val="00962502"/>
    <w:rsid w:val="0096366C"/>
    <w:rsid w:val="00963EEF"/>
    <w:rsid w:val="00963F7D"/>
    <w:rsid w:val="009642A5"/>
    <w:rsid w:val="009647FE"/>
    <w:rsid w:val="009660A4"/>
    <w:rsid w:val="009677CD"/>
    <w:rsid w:val="00972498"/>
    <w:rsid w:val="00973C55"/>
    <w:rsid w:val="00975C1E"/>
    <w:rsid w:val="009765D4"/>
    <w:rsid w:val="00981103"/>
    <w:rsid w:val="0098193F"/>
    <w:rsid w:val="00983460"/>
    <w:rsid w:val="00990353"/>
    <w:rsid w:val="00997E8A"/>
    <w:rsid w:val="009A0415"/>
    <w:rsid w:val="009A064D"/>
    <w:rsid w:val="009A13C1"/>
    <w:rsid w:val="009A19E0"/>
    <w:rsid w:val="009A3221"/>
    <w:rsid w:val="009A62F6"/>
    <w:rsid w:val="009B0FB1"/>
    <w:rsid w:val="009B1237"/>
    <w:rsid w:val="009B1582"/>
    <w:rsid w:val="009B2941"/>
    <w:rsid w:val="009B2B6F"/>
    <w:rsid w:val="009B36B9"/>
    <w:rsid w:val="009B3E85"/>
    <w:rsid w:val="009B49A1"/>
    <w:rsid w:val="009B531E"/>
    <w:rsid w:val="009B7B58"/>
    <w:rsid w:val="009C0C0B"/>
    <w:rsid w:val="009C0C13"/>
    <w:rsid w:val="009C0ED7"/>
    <w:rsid w:val="009C1C51"/>
    <w:rsid w:val="009C2478"/>
    <w:rsid w:val="009C49FC"/>
    <w:rsid w:val="009C7B0D"/>
    <w:rsid w:val="009D1E0A"/>
    <w:rsid w:val="009D6E9F"/>
    <w:rsid w:val="009E0612"/>
    <w:rsid w:val="009E276A"/>
    <w:rsid w:val="009E3BF0"/>
    <w:rsid w:val="009E48E4"/>
    <w:rsid w:val="009E6588"/>
    <w:rsid w:val="009E72A1"/>
    <w:rsid w:val="009F45B2"/>
    <w:rsid w:val="009F7F25"/>
    <w:rsid w:val="00A01D74"/>
    <w:rsid w:val="00A026A7"/>
    <w:rsid w:val="00A041BD"/>
    <w:rsid w:val="00A044F2"/>
    <w:rsid w:val="00A064A0"/>
    <w:rsid w:val="00A07A96"/>
    <w:rsid w:val="00A120C7"/>
    <w:rsid w:val="00A12633"/>
    <w:rsid w:val="00A136E0"/>
    <w:rsid w:val="00A1411C"/>
    <w:rsid w:val="00A15CED"/>
    <w:rsid w:val="00A1737C"/>
    <w:rsid w:val="00A203BC"/>
    <w:rsid w:val="00A21E5F"/>
    <w:rsid w:val="00A221A2"/>
    <w:rsid w:val="00A22E33"/>
    <w:rsid w:val="00A23742"/>
    <w:rsid w:val="00A23930"/>
    <w:rsid w:val="00A245C8"/>
    <w:rsid w:val="00A24E91"/>
    <w:rsid w:val="00A25652"/>
    <w:rsid w:val="00A27394"/>
    <w:rsid w:val="00A319DE"/>
    <w:rsid w:val="00A334F0"/>
    <w:rsid w:val="00A37C23"/>
    <w:rsid w:val="00A4067B"/>
    <w:rsid w:val="00A413A9"/>
    <w:rsid w:val="00A42F69"/>
    <w:rsid w:val="00A4340F"/>
    <w:rsid w:val="00A458E5"/>
    <w:rsid w:val="00A45AF4"/>
    <w:rsid w:val="00A469A3"/>
    <w:rsid w:val="00A46E6A"/>
    <w:rsid w:val="00A50936"/>
    <w:rsid w:val="00A52AD6"/>
    <w:rsid w:val="00A565FF"/>
    <w:rsid w:val="00A56A2F"/>
    <w:rsid w:val="00A60203"/>
    <w:rsid w:val="00A60DDE"/>
    <w:rsid w:val="00A6386A"/>
    <w:rsid w:val="00A655C2"/>
    <w:rsid w:val="00A67DF4"/>
    <w:rsid w:val="00A67E89"/>
    <w:rsid w:val="00A729E0"/>
    <w:rsid w:val="00A73559"/>
    <w:rsid w:val="00A75D2D"/>
    <w:rsid w:val="00A75ECA"/>
    <w:rsid w:val="00A81D33"/>
    <w:rsid w:val="00A8610D"/>
    <w:rsid w:val="00A86489"/>
    <w:rsid w:val="00A86988"/>
    <w:rsid w:val="00A86EE9"/>
    <w:rsid w:val="00A910F1"/>
    <w:rsid w:val="00A92D0B"/>
    <w:rsid w:val="00A93B90"/>
    <w:rsid w:val="00A94A2C"/>
    <w:rsid w:val="00A96B62"/>
    <w:rsid w:val="00AA0137"/>
    <w:rsid w:val="00AA1613"/>
    <w:rsid w:val="00AA1740"/>
    <w:rsid w:val="00AA2CEB"/>
    <w:rsid w:val="00AA3EA5"/>
    <w:rsid w:val="00AA6DD4"/>
    <w:rsid w:val="00AB0A15"/>
    <w:rsid w:val="00AB2F7F"/>
    <w:rsid w:val="00AB3510"/>
    <w:rsid w:val="00AB662A"/>
    <w:rsid w:val="00AB7406"/>
    <w:rsid w:val="00AC051E"/>
    <w:rsid w:val="00AC1729"/>
    <w:rsid w:val="00AC1E95"/>
    <w:rsid w:val="00AC2714"/>
    <w:rsid w:val="00AC31FD"/>
    <w:rsid w:val="00AC504D"/>
    <w:rsid w:val="00AC5A4B"/>
    <w:rsid w:val="00AC6CD9"/>
    <w:rsid w:val="00AD0614"/>
    <w:rsid w:val="00AD0CF1"/>
    <w:rsid w:val="00AD5797"/>
    <w:rsid w:val="00AD742A"/>
    <w:rsid w:val="00AE113F"/>
    <w:rsid w:val="00AE429F"/>
    <w:rsid w:val="00AE6488"/>
    <w:rsid w:val="00AE725A"/>
    <w:rsid w:val="00AF03E6"/>
    <w:rsid w:val="00AF1F23"/>
    <w:rsid w:val="00AF218F"/>
    <w:rsid w:val="00AF246B"/>
    <w:rsid w:val="00AF4F11"/>
    <w:rsid w:val="00AF61A9"/>
    <w:rsid w:val="00AF66D7"/>
    <w:rsid w:val="00AF70DC"/>
    <w:rsid w:val="00AF77CB"/>
    <w:rsid w:val="00B00BCD"/>
    <w:rsid w:val="00B03003"/>
    <w:rsid w:val="00B03018"/>
    <w:rsid w:val="00B04BA3"/>
    <w:rsid w:val="00B04BAC"/>
    <w:rsid w:val="00B078DE"/>
    <w:rsid w:val="00B07C87"/>
    <w:rsid w:val="00B111AD"/>
    <w:rsid w:val="00B1593B"/>
    <w:rsid w:val="00B17005"/>
    <w:rsid w:val="00B21393"/>
    <w:rsid w:val="00B23042"/>
    <w:rsid w:val="00B239C9"/>
    <w:rsid w:val="00B23F7F"/>
    <w:rsid w:val="00B25575"/>
    <w:rsid w:val="00B25597"/>
    <w:rsid w:val="00B27701"/>
    <w:rsid w:val="00B304A9"/>
    <w:rsid w:val="00B30F84"/>
    <w:rsid w:val="00B312DA"/>
    <w:rsid w:val="00B31565"/>
    <w:rsid w:val="00B31E54"/>
    <w:rsid w:val="00B3271E"/>
    <w:rsid w:val="00B329AF"/>
    <w:rsid w:val="00B33193"/>
    <w:rsid w:val="00B360DF"/>
    <w:rsid w:val="00B366D0"/>
    <w:rsid w:val="00B403B6"/>
    <w:rsid w:val="00B4053D"/>
    <w:rsid w:val="00B4245D"/>
    <w:rsid w:val="00B44474"/>
    <w:rsid w:val="00B44819"/>
    <w:rsid w:val="00B4588A"/>
    <w:rsid w:val="00B4742E"/>
    <w:rsid w:val="00B50350"/>
    <w:rsid w:val="00B51C2B"/>
    <w:rsid w:val="00B51F03"/>
    <w:rsid w:val="00B54991"/>
    <w:rsid w:val="00B55A46"/>
    <w:rsid w:val="00B55CCD"/>
    <w:rsid w:val="00B55D78"/>
    <w:rsid w:val="00B57FC5"/>
    <w:rsid w:val="00B60F1D"/>
    <w:rsid w:val="00B62AC0"/>
    <w:rsid w:val="00B637E7"/>
    <w:rsid w:val="00B64379"/>
    <w:rsid w:val="00B65AF5"/>
    <w:rsid w:val="00B66CF5"/>
    <w:rsid w:val="00B67150"/>
    <w:rsid w:val="00B677E0"/>
    <w:rsid w:val="00B719EF"/>
    <w:rsid w:val="00B71B8C"/>
    <w:rsid w:val="00B7275A"/>
    <w:rsid w:val="00B72CD5"/>
    <w:rsid w:val="00B72E60"/>
    <w:rsid w:val="00B73203"/>
    <w:rsid w:val="00B803D5"/>
    <w:rsid w:val="00B8228F"/>
    <w:rsid w:val="00B82535"/>
    <w:rsid w:val="00B8284A"/>
    <w:rsid w:val="00B837E8"/>
    <w:rsid w:val="00B86216"/>
    <w:rsid w:val="00B904E0"/>
    <w:rsid w:val="00B907FD"/>
    <w:rsid w:val="00B919C7"/>
    <w:rsid w:val="00B92554"/>
    <w:rsid w:val="00B94D91"/>
    <w:rsid w:val="00B96E8C"/>
    <w:rsid w:val="00B9758E"/>
    <w:rsid w:val="00BA0941"/>
    <w:rsid w:val="00BA10E4"/>
    <w:rsid w:val="00BA1571"/>
    <w:rsid w:val="00BA548C"/>
    <w:rsid w:val="00BA6F39"/>
    <w:rsid w:val="00BB49BB"/>
    <w:rsid w:val="00BC1846"/>
    <w:rsid w:val="00BC4941"/>
    <w:rsid w:val="00BC4E85"/>
    <w:rsid w:val="00BC524D"/>
    <w:rsid w:val="00BC5DF1"/>
    <w:rsid w:val="00BC63E3"/>
    <w:rsid w:val="00BD00A1"/>
    <w:rsid w:val="00BD0B98"/>
    <w:rsid w:val="00BD631B"/>
    <w:rsid w:val="00BD6E0A"/>
    <w:rsid w:val="00BE0DE1"/>
    <w:rsid w:val="00BE1A81"/>
    <w:rsid w:val="00BE1B73"/>
    <w:rsid w:val="00BE1F57"/>
    <w:rsid w:val="00BE3C41"/>
    <w:rsid w:val="00BE45D0"/>
    <w:rsid w:val="00BE5DFB"/>
    <w:rsid w:val="00BF22BA"/>
    <w:rsid w:val="00BF2F45"/>
    <w:rsid w:val="00BF4DD2"/>
    <w:rsid w:val="00BF4F25"/>
    <w:rsid w:val="00C020C4"/>
    <w:rsid w:val="00C02649"/>
    <w:rsid w:val="00C02CEE"/>
    <w:rsid w:val="00C0318C"/>
    <w:rsid w:val="00C0471D"/>
    <w:rsid w:val="00C05679"/>
    <w:rsid w:val="00C05DE0"/>
    <w:rsid w:val="00C13B3F"/>
    <w:rsid w:val="00C16981"/>
    <w:rsid w:val="00C2188B"/>
    <w:rsid w:val="00C21DE9"/>
    <w:rsid w:val="00C2275C"/>
    <w:rsid w:val="00C23E43"/>
    <w:rsid w:val="00C25AA2"/>
    <w:rsid w:val="00C3034A"/>
    <w:rsid w:val="00C34ADF"/>
    <w:rsid w:val="00C35423"/>
    <w:rsid w:val="00C35CC9"/>
    <w:rsid w:val="00C36AAB"/>
    <w:rsid w:val="00C371F3"/>
    <w:rsid w:val="00C372E0"/>
    <w:rsid w:val="00C40799"/>
    <w:rsid w:val="00C4166B"/>
    <w:rsid w:val="00C42074"/>
    <w:rsid w:val="00C42136"/>
    <w:rsid w:val="00C4374D"/>
    <w:rsid w:val="00C43CD2"/>
    <w:rsid w:val="00C46763"/>
    <w:rsid w:val="00C477BD"/>
    <w:rsid w:val="00C47A2B"/>
    <w:rsid w:val="00C47B27"/>
    <w:rsid w:val="00C51950"/>
    <w:rsid w:val="00C52AF9"/>
    <w:rsid w:val="00C60B5F"/>
    <w:rsid w:val="00C610A6"/>
    <w:rsid w:val="00C624C2"/>
    <w:rsid w:val="00C63C39"/>
    <w:rsid w:val="00C70988"/>
    <w:rsid w:val="00C70D89"/>
    <w:rsid w:val="00C71AC7"/>
    <w:rsid w:val="00C72621"/>
    <w:rsid w:val="00C72F00"/>
    <w:rsid w:val="00C740F7"/>
    <w:rsid w:val="00C742D7"/>
    <w:rsid w:val="00C765A2"/>
    <w:rsid w:val="00C80771"/>
    <w:rsid w:val="00C808F6"/>
    <w:rsid w:val="00C8455B"/>
    <w:rsid w:val="00C85347"/>
    <w:rsid w:val="00C905DA"/>
    <w:rsid w:val="00C919B6"/>
    <w:rsid w:val="00C91FC4"/>
    <w:rsid w:val="00C9262C"/>
    <w:rsid w:val="00C93527"/>
    <w:rsid w:val="00C93874"/>
    <w:rsid w:val="00C94275"/>
    <w:rsid w:val="00C94888"/>
    <w:rsid w:val="00C9613F"/>
    <w:rsid w:val="00C97462"/>
    <w:rsid w:val="00CA2289"/>
    <w:rsid w:val="00CA2901"/>
    <w:rsid w:val="00CA4FF8"/>
    <w:rsid w:val="00CA5CF4"/>
    <w:rsid w:val="00CA68AB"/>
    <w:rsid w:val="00CA7205"/>
    <w:rsid w:val="00CB0520"/>
    <w:rsid w:val="00CB0C81"/>
    <w:rsid w:val="00CB18E7"/>
    <w:rsid w:val="00CB4D3D"/>
    <w:rsid w:val="00CB6375"/>
    <w:rsid w:val="00CC057E"/>
    <w:rsid w:val="00CC10AF"/>
    <w:rsid w:val="00CC1B78"/>
    <w:rsid w:val="00CC29FE"/>
    <w:rsid w:val="00CC4B40"/>
    <w:rsid w:val="00CC615B"/>
    <w:rsid w:val="00CD1FE2"/>
    <w:rsid w:val="00CD2FDB"/>
    <w:rsid w:val="00CD385E"/>
    <w:rsid w:val="00CD6282"/>
    <w:rsid w:val="00CD6886"/>
    <w:rsid w:val="00CD6B72"/>
    <w:rsid w:val="00CD769E"/>
    <w:rsid w:val="00CD7D17"/>
    <w:rsid w:val="00CE057B"/>
    <w:rsid w:val="00CE068C"/>
    <w:rsid w:val="00CE2EDC"/>
    <w:rsid w:val="00CE3CE4"/>
    <w:rsid w:val="00CE7DCA"/>
    <w:rsid w:val="00CF01DB"/>
    <w:rsid w:val="00CF1129"/>
    <w:rsid w:val="00CF1615"/>
    <w:rsid w:val="00CF190F"/>
    <w:rsid w:val="00CF1B42"/>
    <w:rsid w:val="00CF41D7"/>
    <w:rsid w:val="00CF77D2"/>
    <w:rsid w:val="00D00BDC"/>
    <w:rsid w:val="00D06096"/>
    <w:rsid w:val="00D06941"/>
    <w:rsid w:val="00D075B1"/>
    <w:rsid w:val="00D076B8"/>
    <w:rsid w:val="00D10372"/>
    <w:rsid w:val="00D10CE4"/>
    <w:rsid w:val="00D13957"/>
    <w:rsid w:val="00D13C5A"/>
    <w:rsid w:val="00D141A5"/>
    <w:rsid w:val="00D15218"/>
    <w:rsid w:val="00D1778A"/>
    <w:rsid w:val="00D20856"/>
    <w:rsid w:val="00D21617"/>
    <w:rsid w:val="00D21B74"/>
    <w:rsid w:val="00D22D7E"/>
    <w:rsid w:val="00D24241"/>
    <w:rsid w:val="00D26DF5"/>
    <w:rsid w:val="00D27D5F"/>
    <w:rsid w:val="00D30039"/>
    <w:rsid w:val="00D30C24"/>
    <w:rsid w:val="00D30C4F"/>
    <w:rsid w:val="00D30F54"/>
    <w:rsid w:val="00D347C0"/>
    <w:rsid w:val="00D36884"/>
    <w:rsid w:val="00D36927"/>
    <w:rsid w:val="00D37F12"/>
    <w:rsid w:val="00D40998"/>
    <w:rsid w:val="00D419D6"/>
    <w:rsid w:val="00D41ABC"/>
    <w:rsid w:val="00D42B16"/>
    <w:rsid w:val="00D42DF9"/>
    <w:rsid w:val="00D43349"/>
    <w:rsid w:val="00D44433"/>
    <w:rsid w:val="00D44F39"/>
    <w:rsid w:val="00D45DBD"/>
    <w:rsid w:val="00D53F2C"/>
    <w:rsid w:val="00D542C6"/>
    <w:rsid w:val="00D5484A"/>
    <w:rsid w:val="00D54F07"/>
    <w:rsid w:val="00D55527"/>
    <w:rsid w:val="00D56A47"/>
    <w:rsid w:val="00D56BCA"/>
    <w:rsid w:val="00D56EA4"/>
    <w:rsid w:val="00D61688"/>
    <w:rsid w:val="00D6244F"/>
    <w:rsid w:val="00D661DD"/>
    <w:rsid w:val="00D66564"/>
    <w:rsid w:val="00D748C2"/>
    <w:rsid w:val="00D74B1B"/>
    <w:rsid w:val="00D74F4E"/>
    <w:rsid w:val="00D75107"/>
    <w:rsid w:val="00D76C35"/>
    <w:rsid w:val="00D81653"/>
    <w:rsid w:val="00D84538"/>
    <w:rsid w:val="00D847CD"/>
    <w:rsid w:val="00D84F94"/>
    <w:rsid w:val="00D86B43"/>
    <w:rsid w:val="00D8769E"/>
    <w:rsid w:val="00D91BD1"/>
    <w:rsid w:val="00D92338"/>
    <w:rsid w:val="00D936BB"/>
    <w:rsid w:val="00D95941"/>
    <w:rsid w:val="00DA1C58"/>
    <w:rsid w:val="00DA28DF"/>
    <w:rsid w:val="00DA3AEE"/>
    <w:rsid w:val="00DA5CEF"/>
    <w:rsid w:val="00DB13DB"/>
    <w:rsid w:val="00DB14E5"/>
    <w:rsid w:val="00DB2B50"/>
    <w:rsid w:val="00DB36D3"/>
    <w:rsid w:val="00DC2400"/>
    <w:rsid w:val="00DC4A9D"/>
    <w:rsid w:val="00DC52D8"/>
    <w:rsid w:val="00DC56D7"/>
    <w:rsid w:val="00DC64BB"/>
    <w:rsid w:val="00DD330D"/>
    <w:rsid w:val="00DD3F11"/>
    <w:rsid w:val="00DD4A56"/>
    <w:rsid w:val="00DD52BB"/>
    <w:rsid w:val="00DD56A5"/>
    <w:rsid w:val="00DD71EE"/>
    <w:rsid w:val="00DE0290"/>
    <w:rsid w:val="00DE3A5D"/>
    <w:rsid w:val="00DE541F"/>
    <w:rsid w:val="00DF41CF"/>
    <w:rsid w:val="00DF58BC"/>
    <w:rsid w:val="00DF61A0"/>
    <w:rsid w:val="00DF752D"/>
    <w:rsid w:val="00E008EA"/>
    <w:rsid w:val="00E00990"/>
    <w:rsid w:val="00E00C20"/>
    <w:rsid w:val="00E00FCE"/>
    <w:rsid w:val="00E01D46"/>
    <w:rsid w:val="00E0728E"/>
    <w:rsid w:val="00E126F2"/>
    <w:rsid w:val="00E140DF"/>
    <w:rsid w:val="00E15DC3"/>
    <w:rsid w:val="00E16EFF"/>
    <w:rsid w:val="00E1710C"/>
    <w:rsid w:val="00E1778F"/>
    <w:rsid w:val="00E17873"/>
    <w:rsid w:val="00E17B34"/>
    <w:rsid w:val="00E20E69"/>
    <w:rsid w:val="00E21685"/>
    <w:rsid w:val="00E21885"/>
    <w:rsid w:val="00E21EA5"/>
    <w:rsid w:val="00E22A6E"/>
    <w:rsid w:val="00E234C2"/>
    <w:rsid w:val="00E25078"/>
    <w:rsid w:val="00E27257"/>
    <w:rsid w:val="00E27D81"/>
    <w:rsid w:val="00E30A21"/>
    <w:rsid w:val="00E31B6C"/>
    <w:rsid w:val="00E3786F"/>
    <w:rsid w:val="00E37972"/>
    <w:rsid w:val="00E40140"/>
    <w:rsid w:val="00E40B9C"/>
    <w:rsid w:val="00E42930"/>
    <w:rsid w:val="00E42A2D"/>
    <w:rsid w:val="00E430B5"/>
    <w:rsid w:val="00E435A3"/>
    <w:rsid w:val="00E52992"/>
    <w:rsid w:val="00E529A5"/>
    <w:rsid w:val="00E5554A"/>
    <w:rsid w:val="00E56F04"/>
    <w:rsid w:val="00E60942"/>
    <w:rsid w:val="00E61C98"/>
    <w:rsid w:val="00E62E2C"/>
    <w:rsid w:val="00E63079"/>
    <w:rsid w:val="00E649E6"/>
    <w:rsid w:val="00E66FE7"/>
    <w:rsid w:val="00E67B52"/>
    <w:rsid w:val="00E70A07"/>
    <w:rsid w:val="00E70B1E"/>
    <w:rsid w:val="00E7106E"/>
    <w:rsid w:val="00E74023"/>
    <w:rsid w:val="00E7419C"/>
    <w:rsid w:val="00E742D3"/>
    <w:rsid w:val="00E75E09"/>
    <w:rsid w:val="00E76854"/>
    <w:rsid w:val="00E775D0"/>
    <w:rsid w:val="00E7760F"/>
    <w:rsid w:val="00E81881"/>
    <w:rsid w:val="00E84FE8"/>
    <w:rsid w:val="00E86F4E"/>
    <w:rsid w:val="00E87168"/>
    <w:rsid w:val="00E91F02"/>
    <w:rsid w:val="00E9323C"/>
    <w:rsid w:val="00E93488"/>
    <w:rsid w:val="00E9366A"/>
    <w:rsid w:val="00E94031"/>
    <w:rsid w:val="00E9458E"/>
    <w:rsid w:val="00E9492A"/>
    <w:rsid w:val="00E959A0"/>
    <w:rsid w:val="00EA33BF"/>
    <w:rsid w:val="00EA458E"/>
    <w:rsid w:val="00EA784D"/>
    <w:rsid w:val="00EA7B50"/>
    <w:rsid w:val="00EB02C2"/>
    <w:rsid w:val="00EB0DBA"/>
    <w:rsid w:val="00EB10D9"/>
    <w:rsid w:val="00EB3507"/>
    <w:rsid w:val="00EB64CF"/>
    <w:rsid w:val="00EB7EC0"/>
    <w:rsid w:val="00EC0D3C"/>
    <w:rsid w:val="00EC1716"/>
    <w:rsid w:val="00EC2457"/>
    <w:rsid w:val="00EC47E5"/>
    <w:rsid w:val="00EC4883"/>
    <w:rsid w:val="00EC6010"/>
    <w:rsid w:val="00EC6387"/>
    <w:rsid w:val="00EC68AA"/>
    <w:rsid w:val="00EC6BD6"/>
    <w:rsid w:val="00ED01D0"/>
    <w:rsid w:val="00ED1FD8"/>
    <w:rsid w:val="00ED2AAA"/>
    <w:rsid w:val="00ED329F"/>
    <w:rsid w:val="00ED3EF0"/>
    <w:rsid w:val="00ED6B6B"/>
    <w:rsid w:val="00ED75C7"/>
    <w:rsid w:val="00ED7BEF"/>
    <w:rsid w:val="00EE008F"/>
    <w:rsid w:val="00EE1864"/>
    <w:rsid w:val="00EE2D7F"/>
    <w:rsid w:val="00EF0A04"/>
    <w:rsid w:val="00EF3035"/>
    <w:rsid w:val="00EF4E5C"/>
    <w:rsid w:val="00EF6698"/>
    <w:rsid w:val="00F028C8"/>
    <w:rsid w:val="00F03F06"/>
    <w:rsid w:val="00F04904"/>
    <w:rsid w:val="00F0506E"/>
    <w:rsid w:val="00F10472"/>
    <w:rsid w:val="00F11425"/>
    <w:rsid w:val="00F116D3"/>
    <w:rsid w:val="00F20061"/>
    <w:rsid w:val="00F21FF9"/>
    <w:rsid w:val="00F22433"/>
    <w:rsid w:val="00F26371"/>
    <w:rsid w:val="00F2682B"/>
    <w:rsid w:val="00F30DA8"/>
    <w:rsid w:val="00F30E45"/>
    <w:rsid w:val="00F32BB8"/>
    <w:rsid w:val="00F3322F"/>
    <w:rsid w:val="00F342F5"/>
    <w:rsid w:val="00F34C1F"/>
    <w:rsid w:val="00F35520"/>
    <w:rsid w:val="00F3772B"/>
    <w:rsid w:val="00F4134A"/>
    <w:rsid w:val="00F46D66"/>
    <w:rsid w:val="00F46FDF"/>
    <w:rsid w:val="00F474B9"/>
    <w:rsid w:val="00F47E87"/>
    <w:rsid w:val="00F511D2"/>
    <w:rsid w:val="00F53333"/>
    <w:rsid w:val="00F53878"/>
    <w:rsid w:val="00F54029"/>
    <w:rsid w:val="00F566E3"/>
    <w:rsid w:val="00F63C29"/>
    <w:rsid w:val="00F650AE"/>
    <w:rsid w:val="00F665F4"/>
    <w:rsid w:val="00F67777"/>
    <w:rsid w:val="00F72F83"/>
    <w:rsid w:val="00F73AD3"/>
    <w:rsid w:val="00F7579D"/>
    <w:rsid w:val="00F77FED"/>
    <w:rsid w:val="00F81778"/>
    <w:rsid w:val="00F82BF2"/>
    <w:rsid w:val="00F83E43"/>
    <w:rsid w:val="00F85E5C"/>
    <w:rsid w:val="00F85FC3"/>
    <w:rsid w:val="00F862A9"/>
    <w:rsid w:val="00F866BB"/>
    <w:rsid w:val="00F86D45"/>
    <w:rsid w:val="00F87148"/>
    <w:rsid w:val="00F904B9"/>
    <w:rsid w:val="00F921F2"/>
    <w:rsid w:val="00F92430"/>
    <w:rsid w:val="00F92787"/>
    <w:rsid w:val="00F92AF4"/>
    <w:rsid w:val="00F939E3"/>
    <w:rsid w:val="00F94798"/>
    <w:rsid w:val="00F960ED"/>
    <w:rsid w:val="00F96203"/>
    <w:rsid w:val="00F96AE1"/>
    <w:rsid w:val="00FA38F0"/>
    <w:rsid w:val="00FA4732"/>
    <w:rsid w:val="00FA484F"/>
    <w:rsid w:val="00FA7DFC"/>
    <w:rsid w:val="00FB12B9"/>
    <w:rsid w:val="00FB1C78"/>
    <w:rsid w:val="00FB376F"/>
    <w:rsid w:val="00FC0CA2"/>
    <w:rsid w:val="00FC1C82"/>
    <w:rsid w:val="00FC251D"/>
    <w:rsid w:val="00FC2E25"/>
    <w:rsid w:val="00FC322D"/>
    <w:rsid w:val="00FC3AF0"/>
    <w:rsid w:val="00FC4F8F"/>
    <w:rsid w:val="00FC670F"/>
    <w:rsid w:val="00FC6E38"/>
    <w:rsid w:val="00FC72B7"/>
    <w:rsid w:val="00FC75DC"/>
    <w:rsid w:val="00FD5325"/>
    <w:rsid w:val="00FD688E"/>
    <w:rsid w:val="00FD79B4"/>
    <w:rsid w:val="00FE2759"/>
    <w:rsid w:val="00FE2DA2"/>
    <w:rsid w:val="00FE3BAE"/>
    <w:rsid w:val="00FE50F3"/>
    <w:rsid w:val="00FE5D6A"/>
    <w:rsid w:val="00FE605B"/>
    <w:rsid w:val="00FF0738"/>
    <w:rsid w:val="00FF5EB6"/>
    <w:rsid w:val="00FF7D7B"/>
    <w:rsid w:val="00FF7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C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aliases w:val="Footnote Text Char1,Footnote Text Char Char,Footnote Text Char1 Char,Footnote Text Char Char Char,Footnote Text Char3,Footnote Text Char2 Char,Footnote Text Char1 Char1 Char,Footnote Text Char Char Char1 Char"/>
    <w:basedOn w:val="Normal"/>
    <w:link w:val="FootnoteTextChar"/>
    <w:rsid w:val="00A86489"/>
    <w:pPr>
      <w:spacing w:after="120"/>
    </w:pPr>
    <w:rPr>
      <w:sz w:val="22"/>
      <w:szCs w:val="20"/>
    </w:rPr>
  </w:style>
  <w:style w:type="character" w:customStyle="1" w:styleId="FootnoteTextChar">
    <w:name w:val="Footnote Text Char"/>
    <w:aliases w:val="Footnote Text Char1 Char1,Footnote Text Char Char Char1,Footnote Text Char1 Char Char,Footnote Text Char Char Char Char,Footnote Text Char3 Char,Footnote Text Char2 Char Char,Footnote Text Char1 Char1 Char Char"/>
    <w:basedOn w:val="DefaultParagraphFont"/>
    <w:link w:val="FootnoteText"/>
    <w:rsid w:val="00A86489"/>
    <w:rPr>
      <w:sz w:val="22"/>
    </w:rPr>
  </w:style>
  <w:style w:type="character" w:styleId="FootnoteReference">
    <w:name w:val="footnote reference"/>
    <w:aliases w:val="o,fr,Style 3,o1,o2,o3,o4,o5,o6,o11,o21,o7"/>
    <w:rsid w:val="00885956"/>
    <w:rPr>
      <w:vertAlign w:val="superscript"/>
    </w:rPr>
  </w:style>
  <w:style w:type="paragraph" w:styleId="ListParagraph">
    <w:name w:val="List Paragraph"/>
    <w:basedOn w:val="Normal"/>
    <w:uiPriority w:val="34"/>
    <w:qFormat/>
    <w:rsid w:val="00E008EA"/>
    <w:pPr>
      <w:numPr>
        <w:numId w:val="13"/>
      </w:numPr>
    </w:pPr>
    <w:rPr>
      <w:rFonts w:eastAsia="Calibri"/>
      <w:color w:val="000000"/>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uiPriority w:val="99"/>
    <w:unhideWhenUsed/>
    <w:rsid w:val="009E48E4"/>
    <w:rPr>
      <w:rFonts w:eastAsiaTheme="minorHAnsi"/>
    </w:rPr>
  </w:style>
  <w:style w:type="character" w:customStyle="1" w:styleId="StyleFootnoteReferenceofrStyle3o1o2o3o4o5o6o11o21o7">
    <w:name w:val="Style Footnote ReferenceofrStyle 3o1o2o3o4o5o6o11o21o7 ..."/>
    <w:rsid w:val="00887BA1"/>
    <w:rPr>
      <w:rFonts w:ascii="Times New Roman" w:hAnsi="Times New Roman"/>
      <w:position w:val="6"/>
      <w:sz w:val="20"/>
      <w:vertAlign w:val="superscript"/>
    </w:rPr>
  </w:style>
  <w:style w:type="paragraph" w:customStyle="1" w:styleId="Footnote">
    <w:name w:val="Footnote"/>
    <w:basedOn w:val="FootnoteText"/>
    <w:link w:val="FootnoteChar"/>
    <w:rsid w:val="00887BA1"/>
    <w:rPr>
      <w:sz w:val="20"/>
    </w:rPr>
  </w:style>
  <w:style w:type="character" w:customStyle="1" w:styleId="FootnoteChar">
    <w:name w:val="Footnote Char"/>
    <w:link w:val="Footnote"/>
    <w:rsid w:val="00887BA1"/>
  </w:style>
  <w:style w:type="paragraph" w:customStyle="1" w:styleId="Dummy">
    <w:name w:val="Dummy"/>
    <w:next w:val="Normal"/>
    <w:uiPriority w:val="19"/>
    <w:rsid w:val="004D3276"/>
    <w:pPr>
      <w:keepNext/>
      <w:keepLines/>
      <w:spacing w:after="120"/>
      <w:outlineLvl w:val="0"/>
    </w:pPr>
    <w:rPr>
      <w:rFonts w:ascii="Arial" w:eastAsiaTheme="minorHAnsi" w:hAnsi="Arial" w:cs="Arial"/>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328072">
      <w:bodyDiv w:val="1"/>
      <w:marLeft w:val="0"/>
      <w:marRight w:val="0"/>
      <w:marTop w:val="0"/>
      <w:marBottom w:val="0"/>
      <w:divBdr>
        <w:top w:val="none" w:sz="0" w:space="0" w:color="auto"/>
        <w:left w:val="none" w:sz="0" w:space="0" w:color="auto"/>
        <w:bottom w:val="none" w:sz="0" w:space="0" w:color="auto"/>
        <w:right w:val="none" w:sz="0" w:space="0" w:color="auto"/>
      </w:divBdr>
    </w:div>
    <w:div w:id="808474499">
      <w:bodyDiv w:val="1"/>
      <w:marLeft w:val="0"/>
      <w:marRight w:val="0"/>
      <w:marTop w:val="0"/>
      <w:marBottom w:val="0"/>
      <w:divBdr>
        <w:top w:val="none" w:sz="0" w:space="0" w:color="auto"/>
        <w:left w:val="none" w:sz="0" w:space="0" w:color="auto"/>
        <w:bottom w:val="none" w:sz="0" w:space="0" w:color="auto"/>
        <w:right w:val="none" w:sz="0" w:space="0" w:color="auto"/>
      </w:divBdr>
    </w:div>
    <w:div w:id="876938744">
      <w:bodyDiv w:val="1"/>
      <w:marLeft w:val="0"/>
      <w:marRight w:val="0"/>
      <w:marTop w:val="0"/>
      <w:marBottom w:val="0"/>
      <w:divBdr>
        <w:top w:val="none" w:sz="0" w:space="0" w:color="auto"/>
        <w:left w:val="none" w:sz="0" w:space="0" w:color="auto"/>
        <w:bottom w:val="none" w:sz="0" w:space="0" w:color="auto"/>
        <w:right w:val="none" w:sz="0" w:space="0" w:color="auto"/>
      </w:divBdr>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AF57-A618-47D2-81A6-4DCC377A891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46</ap:Pages>
  <ap:Words>10170</ap:Words>
  <ap:Characters>58263</ap:Characters>
  <ap:Application>Microsoft Office Word</ap:Application>
  <ap:DocSecurity>0</ap:DocSecurity>
  <ap:Lines>485</ap:Lines>
  <ap:Paragraphs>136</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LinksUpToDate>false</ap:LinksUpToDate>
  <ap:CharactersWithSpaces>68297</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2013-07-15T17:59:00Z</cp:lastPrinted>
  <dcterms:created xsi:type="dcterms:W3CDTF">2025-07-02T11:37:36Z</dcterms:created>
  <dcterms:modified xsi:type="dcterms:W3CDTF">2025-07-02T11:37:36Z</dcterms:modified>
</cp:coreProperties>
</file>