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4315" w:rsidR="00DA7B5D" w:rsidP="009D6E15" w:rsidRDefault="00452870" w14:paraId="62DEDE71" w14:textId="71D56859">
      <w:pPr>
        <w:tabs>
          <w:tab w:val="center" w:pos="4680"/>
          <w:tab w:val="right" w:pos="9360"/>
        </w:tabs>
        <w:spacing w:line="240" w:lineRule="auto"/>
        <w:ind w:firstLine="0"/>
        <w:rPr>
          <w:b/>
        </w:rPr>
      </w:pPr>
      <w:r>
        <w:t>ALJ/KWZ</w:t>
      </w:r>
      <w:r w:rsidR="000A3798">
        <w:t>/mva</w:t>
      </w:r>
      <w:r w:rsidR="00FA584E">
        <w:t>/hma</w:t>
      </w:r>
      <w:r w:rsidR="007E0FEE">
        <w:tab/>
      </w:r>
      <w:r w:rsidR="009D6E15">
        <w:rPr>
          <w:rFonts w:cs="Arial"/>
          <w:b/>
          <w:szCs w:val="26"/>
        </w:rPr>
        <w:tab/>
        <w:t>Date of Issuance: 7/3/2025</w:t>
      </w:r>
    </w:p>
    <w:p w:rsidR="00DA7B5D" w:rsidP="008F0116" w:rsidRDefault="00DA7B5D" w14:paraId="1B08812D" w14:textId="77777777">
      <w:pPr>
        <w:ind w:firstLine="0"/>
      </w:pPr>
    </w:p>
    <w:p w:rsidR="009D6E15" w:rsidP="008F0116" w:rsidRDefault="009D6E15" w14:paraId="58CB1109" w14:textId="77777777">
      <w:pPr>
        <w:ind w:firstLine="0"/>
      </w:pPr>
    </w:p>
    <w:p w:rsidRPr="00EE3060" w:rsidR="00DA7B5D" w:rsidP="0098655A" w:rsidRDefault="00DA7B5D" w14:paraId="30506155" w14:textId="2DBD4DF4">
      <w:pPr>
        <w:ind w:left="1080" w:hanging="1080"/>
      </w:pPr>
      <w:r>
        <w:t>Decision</w:t>
      </w:r>
      <w:r w:rsidR="001C66DC">
        <w:t xml:space="preserve"> </w:t>
      </w:r>
      <w:r w:rsidRPr="001C66DC" w:rsidR="001C66DC">
        <w:t>25-06-057</w:t>
      </w:r>
      <w:r w:rsidR="009D6E15">
        <w:t xml:space="preserve"> June 26, 2025</w:t>
      </w:r>
    </w:p>
    <w:p w:rsidR="00DA7B5D" w:rsidP="00BB0243" w:rsidRDefault="00DA7B5D" w14:paraId="16B2C662" w14:textId="77777777">
      <w:pPr>
        <w:spacing w:line="240" w:lineRule="auto"/>
        <w:jc w:val="center"/>
        <w:rPr>
          <w:u w:val="single"/>
        </w:rPr>
      </w:pPr>
    </w:p>
    <w:p w:rsidR="00DA7B5D" w:rsidP="00BB0243" w:rsidRDefault="00DA7B5D" w14:paraId="63716289"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FDDFFCF" w14:textId="77777777">
      <w:pPr>
        <w:spacing w:line="240" w:lineRule="auto"/>
        <w:ind w:firstLine="0"/>
        <w:rPr>
          <w:rFonts w:ascii="Arial" w:hAnsi="Arial" w:cs="Arial"/>
          <w:sz w:val="24"/>
          <w:szCs w:val="24"/>
        </w:rPr>
      </w:pPr>
    </w:p>
    <w:tbl>
      <w:tblPr>
        <w:tblW w:w="9245" w:type="dxa"/>
        <w:tblInd w:w="2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282"/>
        <w:gridCol w:w="3963"/>
      </w:tblGrid>
      <w:tr w:rsidRPr="00C4517C" w:rsidR="00682086" w:rsidTr="007E3861" w14:paraId="12C81E07" w14:textId="77777777">
        <w:trPr>
          <w:trHeight w:val="728"/>
        </w:trPr>
        <w:tc>
          <w:tcPr>
            <w:tcW w:w="5282" w:type="dxa"/>
            <w:tcBorders>
              <w:top w:val="nil"/>
              <w:left w:val="nil"/>
              <w:bottom w:val="single" w:color="000000" w:sz="6" w:space="0"/>
              <w:right w:val="single" w:color="000000" w:sz="6" w:space="0"/>
            </w:tcBorders>
            <w:shd w:val="clear" w:color="auto" w:fill="auto"/>
            <w:tcMar>
              <w:top w:w="80" w:type="dxa"/>
              <w:left w:w="80" w:type="dxa"/>
              <w:bottom w:w="80" w:type="dxa"/>
              <w:right w:w="80" w:type="dxa"/>
            </w:tcMar>
          </w:tcPr>
          <w:p w:rsidRPr="00452870" w:rsidR="00682086" w:rsidP="0063695F" w:rsidRDefault="00052348" w14:paraId="6D14484D" w14:textId="77777777">
            <w:pPr>
              <w:pStyle w:val="Body"/>
              <w:tabs>
                <w:tab w:val="left" w:pos="1440"/>
                <w:tab w:val="left" w:pos="3600"/>
              </w:tabs>
              <w:rPr>
                <w:rFonts w:ascii="Book Antiqua" w:hAnsi="Book Antiqua" w:cs="Arial"/>
              </w:rPr>
            </w:pPr>
            <w:r w:rsidRPr="00452870">
              <w:rPr>
                <w:rFonts w:ascii="Book Antiqua" w:hAnsi="Book Antiqua" w:cs="Arial"/>
              </w:rPr>
              <w:t>Order Instituting Rulemaking to Establish a Framework and Processes for Assessing the Affordability of Utility Service.</w:t>
            </w:r>
          </w:p>
          <w:p w:rsidRPr="00C4517C" w:rsidR="00452870" w:rsidP="0063695F" w:rsidRDefault="00452870" w14:paraId="73084AE1" w14:textId="64CFDEA2">
            <w:pPr>
              <w:pStyle w:val="Body"/>
              <w:tabs>
                <w:tab w:val="left" w:pos="1440"/>
                <w:tab w:val="left" w:pos="3600"/>
              </w:tabs>
              <w:rPr>
                <w:rFonts w:ascii="Book Antiqua" w:hAnsi="Book Antiqua"/>
                <w:sz w:val="12"/>
                <w:szCs w:val="12"/>
              </w:rPr>
            </w:pPr>
          </w:p>
        </w:tc>
        <w:tc>
          <w:tcPr>
            <w:tcW w:w="3963" w:type="dxa"/>
            <w:tcBorders>
              <w:top w:val="nil"/>
              <w:left w:val="single" w:color="000000" w:sz="6" w:space="0"/>
              <w:bottom w:val="nil"/>
              <w:right w:val="nil"/>
            </w:tcBorders>
            <w:shd w:val="clear" w:color="auto" w:fill="auto"/>
            <w:tcMar>
              <w:top w:w="80" w:type="dxa"/>
              <w:left w:w="80" w:type="dxa"/>
              <w:bottom w:w="80" w:type="dxa"/>
              <w:right w:w="80" w:type="dxa"/>
            </w:tcMar>
          </w:tcPr>
          <w:p w:rsidRPr="00452870" w:rsidR="00682086" w:rsidP="0063695F" w:rsidRDefault="00682086" w14:paraId="202D85B6" w14:textId="77777777">
            <w:pPr>
              <w:pStyle w:val="Body"/>
              <w:jc w:val="center"/>
              <w:rPr>
                <w:rFonts w:ascii="Book Antiqua" w:hAnsi="Book Antiqua"/>
              </w:rPr>
            </w:pPr>
          </w:p>
          <w:p w:rsidRPr="00C4517C" w:rsidR="00682086" w:rsidP="0063695F" w:rsidRDefault="00052348" w14:paraId="38C25874" w14:textId="35D8A387">
            <w:pPr>
              <w:pStyle w:val="Body"/>
              <w:jc w:val="center"/>
              <w:rPr>
                <w:rFonts w:ascii="Book Antiqua" w:hAnsi="Book Antiqua"/>
              </w:rPr>
            </w:pPr>
            <w:r w:rsidRPr="00452870">
              <w:rPr>
                <w:rFonts w:ascii="Book Antiqua" w:hAnsi="Book Antiqua" w:cs="Arial"/>
              </w:rPr>
              <w:t>Rulemaking 18</w:t>
            </w:r>
            <w:r w:rsidRPr="00452870">
              <w:rPr>
                <w:rFonts w:ascii="Book Antiqua" w:hAnsi="Book Antiqua" w:cs="Arial"/>
              </w:rPr>
              <w:noBreakHyphen/>
              <w:t>07</w:t>
            </w:r>
            <w:r w:rsidRPr="00452870">
              <w:rPr>
                <w:rFonts w:ascii="Book Antiqua" w:hAnsi="Book Antiqua" w:cs="Arial"/>
              </w:rPr>
              <w:noBreakHyphen/>
              <w:t>006</w:t>
            </w:r>
          </w:p>
        </w:tc>
      </w:tr>
    </w:tbl>
    <w:p w:rsidR="00DA7B5D" w:rsidP="008F0116" w:rsidRDefault="00DA7B5D" w14:paraId="397999B9" w14:textId="77777777">
      <w:pPr>
        <w:spacing w:line="240" w:lineRule="auto"/>
        <w:ind w:firstLine="0"/>
        <w:rPr>
          <w:rFonts w:ascii="Arial" w:hAnsi="Arial" w:cs="Arial"/>
          <w:sz w:val="24"/>
          <w:szCs w:val="24"/>
        </w:rPr>
      </w:pPr>
    </w:p>
    <w:p w:rsidR="00DA7B5D" w:rsidP="008F0116" w:rsidRDefault="00DA7B5D" w14:paraId="090B1744" w14:textId="77777777">
      <w:pPr>
        <w:spacing w:line="240" w:lineRule="auto"/>
        <w:ind w:firstLine="0"/>
        <w:rPr>
          <w:rFonts w:ascii="Arial" w:hAnsi="Arial" w:cs="Arial"/>
          <w:sz w:val="24"/>
          <w:szCs w:val="24"/>
        </w:rPr>
      </w:pPr>
    </w:p>
    <w:p w:rsidR="006F6525" w:rsidP="009B6C3E" w:rsidRDefault="006F6525" w14:paraId="09884301" w14:textId="77777777">
      <w:pPr>
        <w:pStyle w:val="Dummy"/>
        <w:jc w:val="center"/>
        <w:sectPr w:rsidR="006F6525" w:rsidSect="006F65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bookmarkStart w:name="_Toc12866682" w:id="0"/>
    </w:p>
    <w:bookmarkEnd w:id="0"/>
    <w:p w:rsidR="0098655A" w:rsidP="00591B23" w:rsidRDefault="004A3044" w14:paraId="4B7F32C9" w14:textId="4B2F8F80">
      <w:pPr>
        <w:pStyle w:val="Dummy"/>
        <w:spacing w:after="240"/>
        <w:jc w:val="center"/>
      </w:pPr>
      <w:r w:rsidRPr="004A3044">
        <w:t>ORDER EXTENDING STATUTORY DEADLINE</w:t>
      </w:r>
    </w:p>
    <w:p w:rsidR="005A148C" w:rsidP="005A148C" w:rsidRDefault="005A148C" w14:paraId="69CC366A" w14:textId="77777777">
      <w:pPr>
        <w:pStyle w:val="Dummy"/>
      </w:pPr>
      <w:bookmarkStart w:name="_Toc8123714" w:id="1"/>
      <w:bookmarkStart w:name="_Toc12866683" w:id="2"/>
      <w:r>
        <w:t>Summary</w:t>
      </w:r>
      <w:bookmarkEnd w:id="1"/>
      <w:bookmarkEnd w:id="2"/>
    </w:p>
    <w:p w:rsidR="0073353F" w:rsidP="004A3044" w:rsidRDefault="00DB0660" w14:paraId="4A878ED2" w14:textId="3871E1C7">
      <w:pPr>
        <w:pStyle w:val="Standard"/>
      </w:pPr>
      <w:r w:rsidRPr="00DB0660">
        <w:t xml:space="preserve"> </w:t>
      </w:r>
      <w:r w:rsidRPr="0007271A" w:rsidR="00C14054">
        <w:t xml:space="preserve">This decision extends the statutory deadline in this proceeding </w:t>
      </w:r>
      <w:r w:rsidR="009B122C">
        <w:t>until</w:t>
      </w:r>
      <w:r w:rsidRPr="0007271A" w:rsidR="00C14054">
        <w:t xml:space="preserve"> </w:t>
      </w:r>
      <w:r w:rsidR="00DA7EF2">
        <w:t>October 31</w:t>
      </w:r>
      <w:r w:rsidRPr="00793FAC" w:rsidR="00C14054">
        <w:t>, 202</w:t>
      </w:r>
      <w:r w:rsidRPr="00793FAC" w:rsidR="006D1C25">
        <w:t>5</w:t>
      </w:r>
      <w:r w:rsidRPr="00793FAC">
        <w:t>.</w:t>
      </w:r>
    </w:p>
    <w:p w:rsidRPr="00121089" w:rsidR="005A148C" w:rsidP="00452870" w:rsidRDefault="002C7FE9" w14:paraId="4D7EDB9D" w14:textId="77777777">
      <w:pPr>
        <w:pStyle w:val="Heading1"/>
        <w:numPr>
          <w:ilvl w:val="0"/>
          <w:numId w:val="1"/>
        </w:numPr>
        <w:ind w:left="720" w:hanging="720"/>
      </w:pPr>
      <w:bookmarkStart w:name="_Toc8123715" w:id="3"/>
      <w:bookmarkStart w:name="_Toc12866684" w:id="4"/>
      <w:r w:rsidRPr="007E3861">
        <w:t>Background</w:t>
      </w:r>
      <w:bookmarkEnd w:id="3"/>
      <w:bookmarkEnd w:id="4"/>
    </w:p>
    <w:p w:rsidR="00926B28" w:rsidP="002A6EBF" w:rsidRDefault="004F27A9" w14:paraId="1EB2DE73" w14:textId="77777777">
      <w:pPr>
        <w:pStyle w:val="Standard"/>
        <w:rPr>
          <w:u w:color="000000"/>
          <w:bdr w:val="nil"/>
        </w:rPr>
      </w:pPr>
      <w:bookmarkStart w:name="_Hlk86341279" w:id="5"/>
      <w:r w:rsidRPr="004F27A9">
        <w:rPr>
          <w:u w:color="000000"/>
          <w:bdr w:val="nil"/>
        </w:rPr>
        <w:t xml:space="preserve">Public Utilities Code (Pub. Util. Code) Section 1701.5(a) provides that the Commission shall resolve the issues raised in the scoping memo of a quasi-legislative proceeding within 18 months of the date the proceeding is initiated, unless the Commission makes a written determination that the deadline cannot be met and issues an order extending that deadline. </w:t>
      </w:r>
    </w:p>
    <w:p w:rsidR="00A50770" w:rsidP="00A50770" w:rsidRDefault="009B64BE" w14:paraId="6BAC9657" w14:textId="77502B22">
      <w:pPr>
        <w:pStyle w:val="Standard"/>
      </w:pPr>
      <w:r w:rsidRPr="004F27A9">
        <w:rPr>
          <w:u w:color="000000"/>
          <w:bdr w:val="nil"/>
        </w:rPr>
        <w:t xml:space="preserve">The first scoping memo </w:t>
      </w:r>
      <w:r w:rsidR="00926B28">
        <w:rPr>
          <w:u w:color="000000"/>
          <w:bdr w:val="nil"/>
        </w:rPr>
        <w:t xml:space="preserve">and ruling (scoping memo) </w:t>
      </w:r>
      <w:r w:rsidRPr="004F27A9">
        <w:rPr>
          <w:u w:color="000000"/>
          <w:bdr w:val="nil"/>
        </w:rPr>
        <w:t xml:space="preserve">in this proceeding was issued on </w:t>
      </w:r>
      <w:r w:rsidR="004565FC">
        <w:rPr>
          <w:u w:color="000000"/>
          <w:bdr w:val="nil"/>
        </w:rPr>
        <w:t xml:space="preserve">November </w:t>
      </w:r>
      <w:r w:rsidR="0027277A">
        <w:rPr>
          <w:u w:color="000000"/>
          <w:bdr w:val="nil"/>
        </w:rPr>
        <w:t>1</w:t>
      </w:r>
      <w:r w:rsidR="004565FC">
        <w:rPr>
          <w:u w:color="000000"/>
          <w:bdr w:val="nil"/>
        </w:rPr>
        <w:t>9</w:t>
      </w:r>
      <w:r w:rsidRPr="004F27A9">
        <w:rPr>
          <w:u w:color="000000"/>
          <w:bdr w:val="nil"/>
        </w:rPr>
        <w:t xml:space="preserve">, 2018. </w:t>
      </w:r>
      <w:r w:rsidR="00695798">
        <w:rPr>
          <w:u w:color="000000"/>
          <w:bdr w:val="nil"/>
        </w:rPr>
        <w:t>An</w:t>
      </w:r>
      <w:r w:rsidRPr="004F27A9">
        <w:rPr>
          <w:u w:color="000000"/>
          <w:bdr w:val="nil"/>
        </w:rPr>
        <w:t xml:space="preserve"> amended scoping memo </w:t>
      </w:r>
      <w:r w:rsidR="00EC5A15">
        <w:rPr>
          <w:u w:color="000000"/>
          <w:bdr w:val="nil"/>
        </w:rPr>
        <w:t xml:space="preserve">was </w:t>
      </w:r>
      <w:r w:rsidRPr="004F27A9">
        <w:rPr>
          <w:u w:color="000000"/>
          <w:bdr w:val="nil"/>
        </w:rPr>
        <w:t xml:space="preserve">issued </w:t>
      </w:r>
      <w:r w:rsidR="00EC5A15">
        <w:rPr>
          <w:u w:color="000000"/>
          <w:bdr w:val="nil"/>
        </w:rPr>
        <w:t xml:space="preserve">on </w:t>
      </w:r>
      <w:r w:rsidR="00FF2EBD">
        <w:rPr>
          <w:u w:color="000000"/>
          <w:bdr w:val="nil"/>
        </w:rPr>
        <w:t>November 8</w:t>
      </w:r>
      <w:r w:rsidRPr="004F27A9">
        <w:rPr>
          <w:u w:color="000000"/>
          <w:bdr w:val="nil"/>
        </w:rPr>
        <w:t>,</w:t>
      </w:r>
      <w:r w:rsidR="00FF2EBD">
        <w:rPr>
          <w:u w:color="000000"/>
          <w:bdr w:val="nil"/>
        </w:rPr>
        <w:t xml:space="preserve"> 2019</w:t>
      </w:r>
      <w:r w:rsidR="00695798">
        <w:rPr>
          <w:u w:color="000000"/>
          <w:bdr w:val="nil"/>
        </w:rPr>
        <w:t xml:space="preserve">. A second amended scoping memo </w:t>
      </w:r>
      <w:r w:rsidR="00EC5A15">
        <w:rPr>
          <w:u w:color="000000"/>
          <w:bdr w:val="nil"/>
        </w:rPr>
        <w:t xml:space="preserve">was </w:t>
      </w:r>
      <w:r w:rsidR="00695798">
        <w:rPr>
          <w:u w:color="000000"/>
          <w:bdr w:val="nil"/>
        </w:rPr>
        <w:t>issued</w:t>
      </w:r>
      <w:r w:rsidR="00EC5A15">
        <w:rPr>
          <w:u w:color="000000"/>
          <w:bdr w:val="nil"/>
        </w:rPr>
        <w:t xml:space="preserve"> on</w:t>
      </w:r>
      <w:r w:rsidR="00695798">
        <w:rPr>
          <w:u w:color="000000"/>
          <w:bdr w:val="nil"/>
        </w:rPr>
        <w:t xml:space="preserve"> June 9, 2020,</w:t>
      </w:r>
      <w:r w:rsidRPr="004F27A9">
        <w:rPr>
          <w:u w:color="000000"/>
          <w:bdr w:val="nil"/>
        </w:rPr>
        <w:t xml:space="preserve"> </w:t>
      </w:r>
      <w:r w:rsidR="00926B28">
        <w:rPr>
          <w:u w:color="000000"/>
          <w:bdr w:val="nil"/>
        </w:rPr>
        <w:t>to</w:t>
      </w:r>
      <w:r w:rsidR="00EC5A15">
        <w:rPr>
          <w:u w:color="000000"/>
          <w:bdr w:val="nil"/>
        </w:rPr>
        <w:t xml:space="preserve"> </w:t>
      </w:r>
      <w:r w:rsidRPr="004F27A9">
        <w:rPr>
          <w:u w:color="000000"/>
          <w:bdr w:val="nil"/>
        </w:rPr>
        <w:t xml:space="preserve">extend the statutory deadline to December </w:t>
      </w:r>
      <w:r w:rsidR="00FF2EBD">
        <w:rPr>
          <w:u w:color="000000"/>
          <w:bdr w:val="nil"/>
        </w:rPr>
        <w:t>31</w:t>
      </w:r>
      <w:r w:rsidRPr="004F27A9">
        <w:rPr>
          <w:u w:color="000000"/>
          <w:bdr w:val="nil"/>
        </w:rPr>
        <w:t>, 2021</w:t>
      </w:r>
      <w:r w:rsidR="00926B28">
        <w:rPr>
          <w:u w:color="000000"/>
          <w:bdr w:val="nil"/>
        </w:rPr>
        <w:t xml:space="preserve">, and </w:t>
      </w:r>
      <w:r w:rsidR="00A50770">
        <w:rPr>
          <w:szCs w:val="26"/>
        </w:rPr>
        <w:t xml:space="preserve">add </w:t>
      </w:r>
      <w:r w:rsidR="00A50770">
        <w:t xml:space="preserve">Phase II to this proceeding to </w:t>
      </w:r>
      <w:r w:rsidR="001439C7">
        <w:t>pursue</w:t>
      </w:r>
      <w:r w:rsidR="00A50770">
        <w:t xml:space="preserve"> implementation of the affordability framework</w:t>
      </w:r>
      <w:r w:rsidR="00C61AC4">
        <w:t>.</w:t>
      </w:r>
    </w:p>
    <w:p w:rsidR="00926B28" w:rsidP="00214FD8" w:rsidRDefault="009B64BE" w14:paraId="2AD23AD8" w14:textId="77777777">
      <w:pPr>
        <w:autoSpaceDE w:val="0"/>
        <w:autoSpaceDN w:val="0"/>
        <w:adjustRightInd w:val="0"/>
      </w:pPr>
      <w:r>
        <w:t xml:space="preserve">On July </w:t>
      </w:r>
      <w:r w:rsidR="00C61AC4">
        <w:t>8, 202</w:t>
      </w:r>
      <w:r w:rsidR="00991697">
        <w:t>0</w:t>
      </w:r>
      <w:r>
        <w:t xml:space="preserve">, the Commission </w:t>
      </w:r>
      <w:r w:rsidRPr="0092707E">
        <w:t xml:space="preserve">issued </w:t>
      </w:r>
      <w:r w:rsidR="00DA3797">
        <w:t>Decision (</w:t>
      </w:r>
      <w:r w:rsidRPr="0092707E">
        <w:t>D.</w:t>
      </w:r>
      <w:r w:rsidR="00DA3797">
        <w:t xml:space="preserve">) </w:t>
      </w:r>
      <w:r w:rsidRPr="0092707E">
        <w:t>2</w:t>
      </w:r>
      <w:r w:rsidR="00991697">
        <w:t xml:space="preserve">0-07-032 adopting three affordability metrics </w:t>
      </w:r>
      <w:r w:rsidRPr="00BB16FF" w:rsidR="00991697">
        <w:t xml:space="preserve">by which the Commission would assess the relative </w:t>
      </w:r>
      <w:r w:rsidRPr="00BB16FF" w:rsidR="00991697">
        <w:lastRenderedPageBreak/>
        <w:t>affordability of essential utility service across industries and proceedings, including examination of how different geographic areas of California are impacted</w:t>
      </w:r>
      <w:r w:rsidR="00991697">
        <w:t>.</w:t>
      </w:r>
      <w:r w:rsidRPr="0092707E">
        <w:t xml:space="preserve"> </w:t>
      </w:r>
    </w:p>
    <w:p w:rsidRPr="004F27A9" w:rsidR="009B64BE" w:rsidP="00214FD8" w:rsidRDefault="00991697" w14:paraId="6D252B6F" w14:textId="34931596">
      <w:pPr>
        <w:autoSpaceDE w:val="0"/>
        <w:autoSpaceDN w:val="0"/>
        <w:adjustRightInd w:val="0"/>
        <w:rPr>
          <w:rFonts w:eastAsia="Arial Unicode MS" w:cs="Arial Unicode MS"/>
          <w:color w:val="000000"/>
          <w:szCs w:val="26"/>
          <w:u w:color="000000"/>
          <w:bdr w:val="nil"/>
        </w:rPr>
      </w:pPr>
      <w:r>
        <w:t xml:space="preserve">A third </w:t>
      </w:r>
      <w:r w:rsidR="00926B28">
        <w:t>a</w:t>
      </w:r>
      <w:r>
        <w:t xml:space="preserve">mended </w:t>
      </w:r>
      <w:r w:rsidR="00926B28">
        <w:t>s</w:t>
      </w:r>
      <w:r>
        <w:t xml:space="preserve">coping </w:t>
      </w:r>
      <w:r w:rsidR="00926B28">
        <w:t>m</w:t>
      </w:r>
      <w:r>
        <w:t xml:space="preserve">emo </w:t>
      </w:r>
      <w:r w:rsidR="00926B28">
        <w:t xml:space="preserve">was </w:t>
      </w:r>
      <w:r>
        <w:t>issued</w:t>
      </w:r>
      <w:r w:rsidR="00926B28">
        <w:t xml:space="preserve"> on</w:t>
      </w:r>
      <w:r>
        <w:t xml:space="preserve"> October 21, 2020</w:t>
      </w:r>
      <w:r w:rsidR="00926B28">
        <w:t>,</w:t>
      </w:r>
      <w:r>
        <w:t xml:space="preserve"> </w:t>
      </w:r>
      <w:r w:rsidR="00926B28">
        <w:t xml:space="preserve">to </w:t>
      </w:r>
      <w:r>
        <w:t>add to the scope of Phase II the issue of cost and rate tracking tools for the water and energy industries.</w:t>
      </w:r>
      <w:r w:rsidR="006E4853">
        <w:rPr>
          <w:rStyle w:val="FootnoteReference"/>
        </w:rPr>
        <w:footnoteReference w:id="2"/>
      </w:r>
      <w:r>
        <w:t xml:space="preserve"> </w:t>
      </w:r>
      <w:r w:rsidRPr="004F27A9" w:rsidR="009B64BE">
        <w:rPr>
          <w:rFonts w:eastAsia="Arial Unicode MS" w:cs="Arial Unicode MS"/>
          <w:color w:val="000000"/>
          <w:szCs w:val="26"/>
          <w:u w:color="000000"/>
          <w:bdr w:val="nil"/>
        </w:rPr>
        <w:t xml:space="preserve">   </w:t>
      </w:r>
    </w:p>
    <w:p w:rsidR="00926B28" w:rsidP="007E3861" w:rsidRDefault="00991697" w14:paraId="32BC3D5A" w14:textId="77777777">
      <w:pPr>
        <w:pStyle w:val="Standard"/>
      </w:pPr>
      <w:r>
        <w:t xml:space="preserve">In </w:t>
      </w:r>
      <w:r w:rsidR="00075B64">
        <w:t>April 2021, the Commission released its first annual Affordability Report, the 2019 annual Affordability Report. In spring</w:t>
      </w:r>
      <w:r>
        <w:t xml:space="preserve"> and summer 2021, the proceeding was reassigned to Commissioner Darcie L. Houck and </w:t>
      </w:r>
      <w:r w:rsidRPr="005A3045">
        <w:t>Administrative Law Judge</w:t>
      </w:r>
      <w:r>
        <w:t xml:space="preserve"> (</w:t>
      </w:r>
      <w:r w:rsidRPr="005A3045">
        <w:t>ALJ</w:t>
      </w:r>
      <w:r>
        <w:t>) Camille Watts</w:t>
      </w:r>
      <w:r>
        <w:noBreakHyphen/>
        <w:t xml:space="preserve">Zagha, respectively.  </w:t>
      </w:r>
    </w:p>
    <w:p w:rsidR="00926B28" w:rsidP="007E3861" w:rsidRDefault="00926B28" w14:paraId="2DB0DCFD" w14:textId="3989E811">
      <w:pPr>
        <w:pStyle w:val="Standard"/>
      </w:pPr>
      <w:r>
        <w:t xml:space="preserve">On September 15, 2021, </w:t>
      </w:r>
      <w:r w:rsidR="00991697">
        <w:t xml:space="preserve">a fourth </w:t>
      </w:r>
      <w:r w:rsidR="00075B64">
        <w:t xml:space="preserve">amended scoping memo </w:t>
      </w:r>
      <w:r>
        <w:t>was issued to extend</w:t>
      </w:r>
      <w:r w:rsidR="009E54E3">
        <w:t xml:space="preserve"> the statutory deadline </w:t>
      </w:r>
      <w:r>
        <w:t>to December 31,</w:t>
      </w:r>
      <w:r w:rsidR="009E54E3">
        <w:t xml:space="preserve"> 2023, in order to conclude consideration of implementation issues. </w:t>
      </w:r>
    </w:p>
    <w:p w:rsidR="00075B64" w:rsidP="007E3861" w:rsidRDefault="00926B28" w14:paraId="79587109" w14:textId="546BE3FF">
      <w:pPr>
        <w:pStyle w:val="Standard"/>
      </w:pPr>
      <w:r>
        <w:t>O</w:t>
      </w:r>
      <w:r w:rsidRPr="00394CAB">
        <w:t>n January 18, 2022</w:t>
      </w:r>
      <w:r>
        <w:t xml:space="preserve">, </w:t>
      </w:r>
      <w:r w:rsidRPr="00394CAB" w:rsidR="00991697">
        <w:t xml:space="preserve">a fifth </w:t>
      </w:r>
      <w:r w:rsidR="00075B64">
        <w:t>a</w:t>
      </w:r>
      <w:r w:rsidRPr="00394CAB" w:rsidR="00991697">
        <w:t xml:space="preserve">mended </w:t>
      </w:r>
      <w:r w:rsidR="00075B64">
        <w:t>s</w:t>
      </w:r>
      <w:r w:rsidRPr="00394CAB" w:rsidR="00991697">
        <w:t xml:space="preserve">coping </w:t>
      </w:r>
      <w:r w:rsidR="00075B64">
        <w:t>m</w:t>
      </w:r>
      <w:r w:rsidRPr="00394CAB" w:rsidR="00991697">
        <w:t xml:space="preserve">emo </w:t>
      </w:r>
      <w:r>
        <w:t xml:space="preserve">was issued </w:t>
      </w:r>
      <w:r w:rsidR="00991697">
        <w:t xml:space="preserve">for </w:t>
      </w:r>
      <w:r>
        <w:t xml:space="preserve">Phase III </w:t>
      </w:r>
      <w:r w:rsidR="00991697">
        <w:t xml:space="preserve"> of this proceeding</w:t>
      </w:r>
      <w:r w:rsidR="00075B64">
        <w:t xml:space="preserve"> to focus on strategies to contain energy bills</w:t>
      </w:r>
      <w:r w:rsidR="00991697">
        <w:t>.</w:t>
      </w:r>
      <w:r w:rsidR="00075B64">
        <w:t xml:space="preserve"> On August 9, 2022, the Commission </w:t>
      </w:r>
      <w:r w:rsidRPr="0092707E" w:rsidR="00075B64">
        <w:t>issued D.2</w:t>
      </w:r>
      <w:r w:rsidR="00075B64">
        <w:t>2-08-023 directing when and how the affordability framework will be applied in Commission energy, water and communications proceeding</w:t>
      </w:r>
      <w:r w:rsidR="009E3FBE">
        <w:t>s</w:t>
      </w:r>
      <w:r w:rsidR="008A313E">
        <w:t>.</w:t>
      </w:r>
      <w:r w:rsidR="00203098">
        <w:t xml:space="preserve"> At the same time, D.22-08-023 established a multi-year period of assessment, asking parties to provide feedback each year after the updated Affordability Report was released.</w:t>
      </w:r>
    </w:p>
    <w:p w:rsidR="00250C93" w:rsidP="007E3861" w:rsidRDefault="00075B64" w14:paraId="1C74F593" w14:textId="277E4314">
      <w:pPr>
        <w:pStyle w:val="Standard"/>
        <w:rPr>
          <w:u w:color="000000"/>
          <w:bdr w:val="nil"/>
        </w:rPr>
      </w:pPr>
      <w:r>
        <w:lastRenderedPageBreak/>
        <w:t>The Commission released the 2020 Affordability Report</w:t>
      </w:r>
      <w:r w:rsidR="006E4853">
        <w:rPr>
          <w:rStyle w:val="FootnoteReference"/>
        </w:rPr>
        <w:footnoteReference w:id="3"/>
      </w:r>
      <w:r>
        <w:t xml:space="preserve"> in October 202</w:t>
      </w:r>
      <w:r w:rsidR="009E54E3">
        <w:t>2</w:t>
      </w:r>
      <w:r>
        <w:t xml:space="preserve">, </w:t>
      </w:r>
      <w:r w:rsidR="008A313E">
        <w:t xml:space="preserve">with a suite of tools – maps, a calculator tool, as well as quarterly revenue reports that </w:t>
      </w:r>
      <w:r w:rsidR="00203098">
        <w:t xml:space="preserve">form the basis for the utility bill, the amount at the heart of the affordability framework. Parties provided feedback in comments filed </w:t>
      </w:r>
      <w:r w:rsidR="009E3FBE">
        <w:t xml:space="preserve">on </w:t>
      </w:r>
      <w:r w:rsidR="00203098">
        <w:t>November 30, 202</w:t>
      </w:r>
      <w:r w:rsidR="009E54E3">
        <w:t>2</w:t>
      </w:r>
      <w:r w:rsidR="00203098">
        <w:t>.</w:t>
      </w:r>
    </w:p>
    <w:p w:rsidR="009E54E3" w:rsidP="007E3861" w:rsidRDefault="00214FD8" w14:paraId="319E1FF7" w14:textId="4D14D5EF">
      <w:pPr>
        <w:pStyle w:val="Standard"/>
      </w:pPr>
      <w:r>
        <w:t xml:space="preserve">On </w:t>
      </w:r>
      <w:r w:rsidR="009E54E3">
        <w:t>May 19</w:t>
      </w:r>
      <w:r>
        <w:t>,</w:t>
      </w:r>
      <w:r w:rsidR="009E54E3">
        <w:t xml:space="preserve"> 2023, </w:t>
      </w:r>
      <w:r w:rsidR="00926B28">
        <w:t>a</w:t>
      </w:r>
      <w:r w:rsidR="009E54E3">
        <w:t xml:space="preserve"> sixth amended scoping memo </w:t>
      </w:r>
      <w:r w:rsidR="00926B28">
        <w:t>was issued</w:t>
      </w:r>
      <w:r w:rsidR="009E54E3">
        <w:t xml:space="preserve"> to address how well the affordability framework was </w:t>
      </w:r>
      <w:r w:rsidR="00926B28">
        <w:t xml:space="preserve">utilized in other </w:t>
      </w:r>
      <w:r w:rsidR="009E54E3">
        <w:t xml:space="preserve">Commission proceedings. </w:t>
      </w:r>
      <w:r>
        <w:t xml:space="preserve"> </w:t>
      </w:r>
    </w:p>
    <w:p w:rsidRPr="003863A0" w:rsidR="007F5BC9" w:rsidP="007E3861" w:rsidRDefault="009E54E3" w14:paraId="19143ED7" w14:textId="0BABCA0B">
      <w:pPr>
        <w:pStyle w:val="Standard"/>
      </w:pPr>
      <w:r>
        <w:t xml:space="preserve">The Commission continued to </w:t>
      </w:r>
      <w:r w:rsidR="008D70E7">
        <w:t>refine the affordability tools in response to the first round of party feedback, establishing summar</w:t>
      </w:r>
      <w:r w:rsidR="006E4853">
        <w:t>y</w:t>
      </w:r>
      <w:r w:rsidR="008D70E7">
        <w:t xml:space="preserve"> overviews for the quarterly revenue reporting, and keeping the data as current as possible by producing two </w:t>
      </w:r>
      <w:r w:rsidR="006E4853">
        <w:t>years’ worth</w:t>
      </w:r>
      <w:r w:rsidR="008D70E7">
        <w:t xml:space="preserve"> of affordability reports in one. The Commission issued the 2021/2022 Affordability Report</w:t>
      </w:r>
      <w:r w:rsidR="006E4853">
        <w:rPr>
          <w:rStyle w:val="FootnoteReference"/>
        </w:rPr>
        <w:footnoteReference w:id="4"/>
      </w:r>
      <w:r w:rsidR="008D70E7">
        <w:t xml:space="preserve"> in October 2023. </w:t>
      </w:r>
    </w:p>
    <w:p w:rsidRPr="00791062" w:rsidR="00791062" w:rsidP="00CB7177" w:rsidRDefault="00B34FC5" w14:paraId="14FCF84F" w14:textId="240B7AB2">
      <w:pPr>
        <w:pStyle w:val="Standard"/>
      </w:pPr>
      <w:r>
        <w:t>On December 14, 2023, D.23-12-026 extended the statutory deadline for this proceeding to December 31, 2024.</w:t>
      </w:r>
      <w:r w:rsidR="00791062">
        <w:t xml:space="preserve"> The assigned Commissioner issued a ruling </w:t>
      </w:r>
      <w:r w:rsidR="00CB7177">
        <w:t>inviting</w:t>
      </w:r>
      <w:r w:rsidR="00791062">
        <w:t xml:space="preserve"> party feedback on implementation on December 13, 2024. Parties provided annual feedback in </w:t>
      </w:r>
      <w:r w:rsidRPr="00791062" w:rsidR="00791062">
        <w:t xml:space="preserve">opening comments </w:t>
      </w:r>
      <w:r w:rsidR="00244D25">
        <w:t>filed</w:t>
      </w:r>
      <w:r w:rsidRPr="00791062" w:rsidR="00791062">
        <w:t xml:space="preserve"> </w:t>
      </w:r>
      <w:r w:rsidR="009E3FBE">
        <w:t xml:space="preserve">on </w:t>
      </w:r>
      <w:r w:rsidRPr="00791062" w:rsidR="00791062">
        <w:t xml:space="preserve">January 25, 2024 </w:t>
      </w:r>
      <w:r w:rsidR="00791062">
        <w:t xml:space="preserve">and in </w:t>
      </w:r>
      <w:r w:rsidRPr="00791062" w:rsidR="00791062">
        <w:t xml:space="preserve">reply comments </w:t>
      </w:r>
      <w:r w:rsidR="00244D25">
        <w:t>filed</w:t>
      </w:r>
      <w:r w:rsidRPr="00791062" w:rsidR="00791062">
        <w:t xml:space="preserve"> </w:t>
      </w:r>
      <w:r w:rsidR="009E3FBE">
        <w:t xml:space="preserve">on </w:t>
      </w:r>
      <w:r w:rsidRPr="00791062" w:rsidR="00791062">
        <w:t>February 16, 2024.</w:t>
      </w:r>
    </w:p>
    <w:p w:rsidR="00CB7177" w:rsidP="00791062" w:rsidRDefault="00791062" w14:paraId="5E3DB8D9" w14:textId="23BB5349">
      <w:pPr>
        <w:pStyle w:val="Standard"/>
        <w:rPr>
          <w:bCs/>
        </w:rPr>
      </w:pPr>
      <w:r w:rsidRPr="00791062">
        <w:t>On July 30, 2024, the assigned Commissioner and assigned ALJ issued a Joint Ruling Requiring Service of Cost and Rate Trackers</w:t>
      </w:r>
      <w:r w:rsidR="00CB7177">
        <w:t xml:space="preserve">, </w:t>
      </w:r>
      <w:r w:rsidRPr="00791062">
        <w:t xml:space="preserve">removing the option for energy and Class A water utilities to serve itemized revenue lists in lieu of serving </w:t>
      </w:r>
      <w:r w:rsidR="00CB7177">
        <w:t xml:space="preserve">Cost and Rate </w:t>
      </w:r>
      <w:r w:rsidRPr="00791062">
        <w:t xml:space="preserve">Trackers. </w:t>
      </w:r>
      <w:r w:rsidRPr="00791062">
        <w:rPr>
          <w:bCs/>
        </w:rPr>
        <w:t>On August 13, 2024, S</w:t>
      </w:r>
      <w:r w:rsidR="00CB7177">
        <w:rPr>
          <w:bCs/>
        </w:rPr>
        <w:t xml:space="preserve">outhern California Edison </w:t>
      </w:r>
      <w:r w:rsidR="00CB7177">
        <w:rPr>
          <w:bCs/>
        </w:rPr>
        <w:lastRenderedPageBreak/>
        <w:t>(SCE)</w:t>
      </w:r>
      <w:r w:rsidRPr="00791062">
        <w:rPr>
          <w:bCs/>
        </w:rPr>
        <w:t xml:space="preserve"> and </w:t>
      </w:r>
      <w:r w:rsidR="00CB7177">
        <w:rPr>
          <w:bCs/>
        </w:rPr>
        <w:t>San Diego Gas and Electric Company</w:t>
      </w:r>
      <w:r w:rsidRPr="00791062">
        <w:rPr>
          <w:bCs/>
        </w:rPr>
        <w:t xml:space="preserve"> filed motions seeking confidential treatment of certain information</w:t>
      </w:r>
      <w:r w:rsidR="00CB7177">
        <w:rPr>
          <w:bCs/>
        </w:rPr>
        <w:t xml:space="preserve"> in their Cost and Rate Trackers</w:t>
      </w:r>
      <w:r w:rsidRPr="00791062">
        <w:rPr>
          <w:bCs/>
        </w:rPr>
        <w:t xml:space="preserve">. On August 23, 2024, </w:t>
      </w:r>
      <w:r w:rsidR="00CB7177">
        <w:rPr>
          <w:bCs/>
        </w:rPr>
        <w:t>the Energy Producer and User Coalition (</w:t>
      </w:r>
      <w:r w:rsidRPr="00791062">
        <w:rPr>
          <w:bCs/>
        </w:rPr>
        <w:t>EPUC</w:t>
      </w:r>
      <w:r w:rsidR="00CB7177">
        <w:rPr>
          <w:bCs/>
        </w:rPr>
        <w:t>)</w:t>
      </w:r>
      <w:r w:rsidRPr="00791062">
        <w:rPr>
          <w:bCs/>
        </w:rPr>
        <w:t xml:space="preserve"> responded opposing SCE’s motion for confidential treatment. </w:t>
      </w:r>
      <w:r w:rsidR="00CB7177">
        <w:rPr>
          <w:bCs/>
        </w:rPr>
        <w:t>O</w:t>
      </w:r>
      <w:r w:rsidRPr="00791062">
        <w:rPr>
          <w:bCs/>
        </w:rPr>
        <w:t>n August 30, 2024, SCE replied to EPUC’s opposition to confidential treatment</w:t>
      </w:r>
      <w:r w:rsidR="00CB7177">
        <w:rPr>
          <w:bCs/>
        </w:rPr>
        <w:t>.</w:t>
      </w:r>
      <w:r w:rsidR="009B7454">
        <w:rPr>
          <w:bCs/>
        </w:rPr>
        <w:t xml:space="preserve"> On December 26, 2024, the Commission issued D.24-12-043 extending the statutory deadline to </w:t>
      </w:r>
      <w:r w:rsidRPr="00793FAC" w:rsidR="009B7454">
        <w:t>June 30, 2025</w:t>
      </w:r>
      <w:r w:rsidR="009B7454">
        <w:t>.</w:t>
      </w:r>
    </w:p>
    <w:p w:rsidR="0054753C" w:rsidP="00791062" w:rsidRDefault="008D70E7" w14:paraId="0DC8EA5A" w14:textId="14909594">
      <w:pPr>
        <w:pStyle w:val="Standard"/>
      </w:pPr>
      <w:r>
        <w:t xml:space="preserve">In order to </w:t>
      </w:r>
      <w:r w:rsidRPr="006D1C25" w:rsidR="006D1C25">
        <w:t>allow adequate time to deliberate on the pending issues and conduct procedural activities associated with the issuance of a proposed decision</w:t>
      </w:r>
      <w:r>
        <w:t xml:space="preserve">, </w:t>
      </w:r>
      <w:r>
        <w:rPr>
          <w:u w:color="000000"/>
          <w:bdr w:val="nil"/>
        </w:rPr>
        <w:t xml:space="preserve">this proceeding should remain open until </w:t>
      </w:r>
      <w:r w:rsidR="00760DEA">
        <w:rPr>
          <w:u w:color="000000"/>
          <w:bdr w:val="nil"/>
        </w:rPr>
        <w:t>October</w:t>
      </w:r>
      <w:r w:rsidR="009B7454">
        <w:rPr>
          <w:u w:color="000000"/>
          <w:bdr w:val="nil"/>
        </w:rPr>
        <w:t xml:space="preserve"> 31, 202</w:t>
      </w:r>
      <w:r w:rsidR="00760DEA">
        <w:rPr>
          <w:u w:color="000000"/>
          <w:bdr w:val="nil"/>
        </w:rPr>
        <w:t>5</w:t>
      </w:r>
      <w:r w:rsidRPr="006D1C25" w:rsidR="00BC46B8">
        <w:t>.</w:t>
      </w:r>
    </w:p>
    <w:bookmarkEnd w:id="5"/>
    <w:p w:rsidR="005A148C" w:rsidP="00452870" w:rsidRDefault="00102469" w14:paraId="0C95B105" w14:textId="789D4566">
      <w:pPr>
        <w:pStyle w:val="Heading1"/>
        <w:numPr>
          <w:ilvl w:val="0"/>
          <w:numId w:val="1"/>
        </w:numPr>
        <w:ind w:left="720" w:hanging="720"/>
      </w:pPr>
      <w:r>
        <w:t>Waiver of Comment Period</w:t>
      </w:r>
    </w:p>
    <w:p w:rsidRPr="006E6574" w:rsidR="005939A5" w:rsidP="00102469" w:rsidRDefault="004F27A9" w14:paraId="7DCE7C42" w14:textId="149D98EA">
      <w:pPr>
        <w:pStyle w:val="Standard"/>
      </w:pPr>
      <w:r w:rsidRPr="004F27A9">
        <w:t>Under Rule 14.6(c)(4) of the Commission’s Rules of Practice and Procedure, the Commission may reduce or waive the period for public review and comment on the proposed decisions extending the deadline for resolving quasi-legislative proceedings. Accordingly, the otherwise applicable period for public review and comment is being waived</w:t>
      </w:r>
      <w:r w:rsidRPr="00102469" w:rsidR="00102469">
        <w:t>.</w:t>
      </w:r>
    </w:p>
    <w:p w:rsidR="005939A5" w:rsidP="00452870" w:rsidRDefault="005939A5" w14:paraId="7581FCEA" w14:textId="77777777">
      <w:pPr>
        <w:pStyle w:val="Heading1"/>
        <w:numPr>
          <w:ilvl w:val="0"/>
          <w:numId w:val="1"/>
        </w:numPr>
        <w:ind w:left="720" w:hanging="720"/>
      </w:pPr>
      <w:bookmarkStart w:name="_Toc8123724" w:id="6"/>
      <w:bookmarkStart w:name="_Toc12866694" w:id="7"/>
      <w:r>
        <w:t>Assignment of Proceeding</w:t>
      </w:r>
      <w:bookmarkEnd w:id="6"/>
      <w:bookmarkEnd w:id="7"/>
    </w:p>
    <w:p w:rsidR="005939A5" w:rsidP="006E6574" w:rsidRDefault="007F5BC9" w14:paraId="16D0907A" w14:textId="48612CB2">
      <w:pPr>
        <w:pStyle w:val="Standard"/>
      </w:pPr>
      <w:r>
        <w:t>Darcie L. Houck</w:t>
      </w:r>
      <w:r w:rsidRPr="00FC6677" w:rsidR="004F27A9">
        <w:t xml:space="preserve"> is the assigned Commissioner and </w:t>
      </w:r>
      <w:r w:rsidR="004F27A9">
        <w:t>C</w:t>
      </w:r>
      <w:r w:rsidRPr="00FC6677" w:rsidR="004F27A9">
        <w:t>a</w:t>
      </w:r>
      <w:r w:rsidR="004F27A9">
        <w:t>mille Watts-Zagha</w:t>
      </w:r>
      <w:r w:rsidRPr="00FC6677" w:rsidR="004F27A9">
        <w:t xml:space="preserve"> </w:t>
      </w:r>
      <w:r w:rsidR="008D70E7">
        <w:t>is</w:t>
      </w:r>
      <w:r w:rsidRPr="00FC6677" w:rsidR="004F27A9">
        <w:t xml:space="preserve"> the assigned </w:t>
      </w:r>
      <w:r w:rsidRPr="00B47C75" w:rsidR="00B47C75">
        <w:t>Administrative Law Judge</w:t>
      </w:r>
      <w:r w:rsidR="004F27A9">
        <w:t>s</w:t>
      </w:r>
      <w:r w:rsidRPr="00B47C75" w:rsidR="00B47C75">
        <w:t xml:space="preserve"> in this proceeding</w:t>
      </w:r>
      <w:r w:rsidR="005939A5">
        <w:t>.</w:t>
      </w:r>
    </w:p>
    <w:p w:rsidR="005939A5" w:rsidP="005939A5" w:rsidRDefault="005939A5" w14:paraId="5A434859" w14:textId="77777777">
      <w:pPr>
        <w:pStyle w:val="Dummy"/>
      </w:pPr>
      <w:bookmarkStart w:name="_Toc8123725" w:id="8"/>
      <w:bookmarkStart w:name="_Toc12866695" w:id="9"/>
      <w:r>
        <w:t>Findings of Fact</w:t>
      </w:r>
      <w:bookmarkEnd w:id="8"/>
      <w:bookmarkEnd w:id="9"/>
    </w:p>
    <w:p w:rsidR="001970A0" w:rsidP="001970A0" w:rsidRDefault="009B64BE" w14:paraId="358D6F0C" w14:textId="5DBD3CDD">
      <w:pPr>
        <w:pStyle w:val="FoF"/>
      </w:pPr>
      <w:r w:rsidRPr="009B64BE">
        <w:t>This Rulemaking was initially opened on Ju</w:t>
      </w:r>
      <w:r w:rsidR="008A70AF">
        <w:t>ly 12, 2018</w:t>
      </w:r>
      <w:r w:rsidR="001970A0">
        <w:t>.</w:t>
      </w:r>
    </w:p>
    <w:p w:rsidR="007F5BC9" w:rsidP="001970A0" w:rsidRDefault="008A70AF" w14:paraId="4E748D3C" w14:textId="69994987">
      <w:pPr>
        <w:pStyle w:val="FoF"/>
      </w:pPr>
      <w:r>
        <w:t>In D.22-08-023, the Commission established a multi-year period to assess implementation of the affordability framework throughout Commission proceedings</w:t>
      </w:r>
      <w:r w:rsidR="007F5BC9">
        <w:t>.</w:t>
      </w:r>
    </w:p>
    <w:p w:rsidR="00B34FC5" w:rsidP="00B34FC5" w:rsidRDefault="00B34FC5" w14:paraId="51635EB4" w14:textId="3356BAC9">
      <w:pPr>
        <w:pStyle w:val="FoF"/>
      </w:pPr>
      <w:r>
        <w:t>D.2</w:t>
      </w:r>
      <w:r w:rsidR="009B7454">
        <w:t>4-12-043</w:t>
      </w:r>
      <w:r>
        <w:t xml:space="preserve"> extended the statutory deadline for this proceeding until </w:t>
      </w:r>
      <w:r w:rsidR="009B7454">
        <w:t>June 30, 2025</w:t>
      </w:r>
      <w:r>
        <w:t>.</w:t>
      </w:r>
    </w:p>
    <w:p w:rsidRPr="001E2A62" w:rsidR="002E1944" w:rsidP="00B34FC5" w:rsidRDefault="007F0D93" w14:paraId="5C3742E1" w14:textId="1A1D867E">
      <w:pPr>
        <w:pStyle w:val="FoF"/>
      </w:pPr>
      <w:r w:rsidRPr="007F0D93">
        <w:lastRenderedPageBreak/>
        <w:t xml:space="preserve">Additional time until </w:t>
      </w:r>
      <w:r w:rsidR="00760DEA">
        <w:rPr>
          <w:u w:color="000000"/>
          <w:bdr w:val="nil"/>
        </w:rPr>
        <w:t>October 31</w:t>
      </w:r>
      <w:r w:rsidRPr="006D1C25" w:rsidR="006D1C25">
        <w:rPr>
          <w:u w:color="000000"/>
          <w:bdr w:val="nil"/>
        </w:rPr>
        <w:t>, 202</w:t>
      </w:r>
      <w:r w:rsidR="00760DEA">
        <w:rPr>
          <w:u w:color="000000"/>
          <w:bdr w:val="nil"/>
        </w:rPr>
        <w:t>5</w:t>
      </w:r>
      <w:r w:rsidRPr="007F0D93">
        <w:t xml:space="preserve">, is needed </w:t>
      </w:r>
      <w:r w:rsidRPr="006D1C25" w:rsidR="000A78B6">
        <w:t>to deliberate on the pending issues and conduct procedural activities associated with the issuance of a proposed decision</w:t>
      </w:r>
      <w:r w:rsidR="000A78B6">
        <w:t>.</w:t>
      </w:r>
    </w:p>
    <w:p w:rsidR="005939A5" w:rsidP="005939A5" w:rsidRDefault="005939A5" w14:paraId="335D9146" w14:textId="070213CA">
      <w:pPr>
        <w:pStyle w:val="Dummy"/>
      </w:pPr>
      <w:bookmarkStart w:name="_Toc8123726" w:id="10"/>
      <w:bookmarkStart w:name="_Toc12866696" w:id="11"/>
      <w:r>
        <w:t>Conclusion of Law</w:t>
      </w:r>
      <w:bookmarkEnd w:id="10"/>
      <w:bookmarkEnd w:id="11"/>
    </w:p>
    <w:p w:rsidR="00BB0243" w:rsidP="0072466E" w:rsidRDefault="001970A0" w14:paraId="278C452C" w14:textId="7887F9EC">
      <w:pPr>
        <w:pStyle w:val="OP"/>
      </w:pPr>
      <w:r w:rsidRPr="00FC6677">
        <w:t>Pursuant to the authority granted to the Commission under Pub. Util. Code</w:t>
      </w:r>
      <w:r w:rsidR="00452870">
        <w:t> </w:t>
      </w:r>
      <w:r w:rsidRPr="00FC6677">
        <w:t xml:space="preserve">§ 1701.5(a), the statutory deadline in this proceeding should be extended to </w:t>
      </w:r>
      <w:r w:rsidR="00760DEA">
        <w:t>October</w:t>
      </w:r>
      <w:r w:rsidR="009B7454">
        <w:t xml:space="preserve"> 31</w:t>
      </w:r>
      <w:r w:rsidRPr="00B923A2" w:rsidR="007113BD">
        <w:t>, 202</w:t>
      </w:r>
      <w:r w:rsidR="00760DEA">
        <w:t>5</w:t>
      </w:r>
      <w:r w:rsidRPr="006D1C25" w:rsidR="007113BD">
        <w:t>.</w:t>
      </w:r>
    </w:p>
    <w:p w:rsidR="009A5BB0" w:rsidP="009A5BB0" w:rsidRDefault="009A5BB0" w14:paraId="10B8919B" w14:textId="15741CB3">
      <w:pPr>
        <w:keepNext/>
      </w:pPr>
      <w:r w:rsidRPr="009A5BB0">
        <w:rPr>
          <w:b/>
          <w:bCs/>
        </w:rPr>
        <w:t xml:space="preserve"> IT IS ORDERED</w:t>
      </w:r>
      <w:r>
        <w:t xml:space="preserve"> </w:t>
      </w:r>
      <w:r w:rsidRPr="0012748A" w:rsidR="001970A0">
        <w:t xml:space="preserve">that the statutory deadline in this proceeding is extended until </w:t>
      </w:r>
      <w:r w:rsidR="00760DEA">
        <w:rPr>
          <w:u w:color="000000"/>
          <w:bdr w:val="nil"/>
        </w:rPr>
        <w:t>October</w:t>
      </w:r>
      <w:r w:rsidR="009B7454">
        <w:rPr>
          <w:u w:color="000000"/>
          <w:bdr w:val="nil"/>
        </w:rPr>
        <w:t xml:space="preserve"> 31</w:t>
      </w:r>
      <w:r w:rsidRPr="006D1C25" w:rsidR="007113BD">
        <w:rPr>
          <w:u w:color="000000"/>
          <w:bdr w:val="nil"/>
        </w:rPr>
        <w:t>, 202</w:t>
      </w:r>
      <w:r w:rsidR="00760DEA">
        <w:rPr>
          <w:u w:color="000000"/>
          <w:bdr w:val="nil"/>
        </w:rPr>
        <w:t>5</w:t>
      </w:r>
      <w:r w:rsidRPr="006D1C25" w:rsidR="007113BD">
        <w:t>.</w:t>
      </w:r>
    </w:p>
    <w:p w:rsidR="009A5BB0" w:rsidP="007E3861" w:rsidRDefault="009A5BB0" w14:paraId="13B6A8B9" w14:textId="77777777">
      <w:pPr>
        <w:pStyle w:val="Standard"/>
      </w:pPr>
      <w:r>
        <w:t>This order is effective today.</w:t>
      </w:r>
    </w:p>
    <w:p w:rsidR="00714CF2" w:rsidP="007E3861" w:rsidRDefault="008F0116" w14:paraId="285B7B5C" w14:textId="5DFFBA6D">
      <w:pPr>
        <w:pStyle w:val="Standard"/>
      </w:pPr>
      <w:r>
        <w:t>Dated</w:t>
      </w:r>
      <w:r w:rsidR="009D6E15">
        <w:t xml:space="preserve"> June 26, 2025</w:t>
      </w:r>
      <w:r>
        <w:t>, at Sa</w:t>
      </w:r>
      <w:r w:rsidR="00276E91">
        <w:t>cramento</w:t>
      </w:r>
      <w:r>
        <w:t>, California</w:t>
      </w:r>
      <w:r w:rsidR="00FF110C">
        <w:t>.</w:t>
      </w:r>
    </w:p>
    <w:p w:rsidR="00A21B4E" w:rsidP="00A21B4E" w:rsidRDefault="00A21B4E" w14:paraId="2A64AF34" w14:textId="77777777">
      <w:pPr>
        <w:pStyle w:val="Standard"/>
        <w:ind w:firstLine="0"/>
      </w:pPr>
    </w:p>
    <w:p w:rsidRPr="00A21B4E" w:rsidR="00A21B4E" w:rsidP="00A21B4E" w:rsidRDefault="00A21B4E" w14:paraId="31652F80" w14:textId="77777777">
      <w:pPr>
        <w:keepNext/>
        <w:keepLines/>
        <w:autoSpaceDE w:val="0"/>
        <w:autoSpaceDN w:val="0"/>
        <w:adjustRightInd w:val="0"/>
        <w:spacing w:line="240" w:lineRule="auto"/>
        <w:ind w:left="4320" w:firstLine="0"/>
        <w:jc w:val="both"/>
        <w:rPr>
          <w:rFonts w:cs="Times New Roman"/>
          <w:szCs w:val="20"/>
        </w:rPr>
      </w:pPr>
      <w:r w:rsidRPr="00A21B4E">
        <w:rPr>
          <w:rFonts w:cs="Times New Roman"/>
          <w:szCs w:val="20"/>
        </w:rPr>
        <w:t>ALICE REYNOLDS</w:t>
      </w:r>
    </w:p>
    <w:p w:rsidRPr="00A21B4E" w:rsidR="00A21B4E" w:rsidP="00A21B4E" w:rsidRDefault="00A21B4E" w14:paraId="11DBFC3F" w14:textId="77777777">
      <w:pPr>
        <w:keepNext/>
        <w:keepLines/>
        <w:autoSpaceDE w:val="0"/>
        <w:autoSpaceDN w:val="0"/>
        <w:adjustRightInd w:val="0"/>
        <w:spacing w:line="240" w:lineRule="auto"/>
        <w:jc w:val="both"/>
        <w:rPr>
          <w:rFonts w:cs="Times New Roman"/>
          <w:szCs w:val="20"/>
        </w:rPr>
      </w:pPr>
      <w:r w:rsidRPr="00A21B4E">
        <w:rPr>
          <w:rFonts w:cs="Times New Roman"/>
          <w:szCs w:val="20"/>
        </w:rPr>
        <w:tab/>
      </w:r>
      <w:r w:rsidRPr="00A21B4E">
        <w:rPr>
          <w:rFonts w:cs="Times New Roman"/>
          <w:szCs w:val="20"/>
        </w:rPr>
        <w:tab/>
      </w:r>
      <w:r w:rsidRPr="00A21B4E">
        <w:rPr>
          <w:rFonts w:cs="Times New Roman"/>
          <w:szCs w:val="20"/>
        </w:rPr>
        <w:tab/>
      </w:r>
      <w:r w:rsidRPr="00A21B4E">
        <w:rPr>
          <w:rFonts w:cs="Times New Roman"/>
          <w:szCs w:val="20"/>
        </w:rPr>
        <w:tab/>
      </w:r>
      <w:r w:rsidRPr="00A21B4E">
        <w:rPr>
          <w:rFonts w:cs="Times New Roman"/>
          <w:szCs w:val="20"/>
        </w:rPr>
        <w:tab/>
        <w:t xml:space="preserve">                       President</w:t>
      </w:r>
    </w:p>
    <w:p w:rsidRPr="00A21B4E" w:rsidR="00A21B4E" w:rsidP="00A21B4E" w:rsidRDefault="00A21B4E" w14:paraId="3F68BFF3" w14:textId="77777777">
      <w:pPr>
        <w:autoSpaceDE w:val="0"/>
        <w:autoSpaceDN w:val="0"/>
        <w:adjustRightInd w:val="0"/>
        <w:spacing w:line="240" w:lineRule="auto"/>
        <w:ind w:left="3600"/>
        <w:jc w:val="both"/>
        <w:rPr>
          <w:rFonts w:cs="Times New Roman"/>
          <w:szCs w:val="20"/>
        </w:rPr>
      </w:pPr>
      <w:r w:rsidRPr="00A21B4E">
        <w:rPr>
          <w:rFonts w:cs="Times New Roman"/>
          <w:szCs w:val="20"/>
        </w:rPr>
        <w:t>DARCIE L. HOUCK</w:t>
      </w:r>
    </w:p>
    <w:p w:rsidRPr="00A21B4E" w:rsidR="00A21B4E" w:rsidP="00A21B4E" w:rsidRDefault="00A21B4E" w14:paraId="3098968F" w14:textId="77777777">
      <w:pPr>
        <w:autoSpaceDE w:val="0"/>
        <w:autoSpaceDN w:val="0"/>
        <w:adjustRightInd w:val="0"/>
        <w:spacing w:line="240" w:lineRule="auto"/>
        <w:ind w:left="3600"/>
        <w:jc w:val="both"/>
        <w:rPr>
          <w:rFonts w:cs="Times New Roman"/>
          <w:szCs w:val="20"/>
        </w:rPr>
      </w:pPr>
      <w:r w:rsidRPr="00A21B4E">
        <w:rPr>
          <w:rFonts w:cs="Times New Roman"/>
          <w:szCs w:val="20"/>
        </w:rPr>
        <w:t>JOHN REYNOLDS</w:t>
      </w:r>
    </w:p>
    <w:p w:rsidRPr="00A21B4E" w:rsidR="00A21B4E" w:rsidP="00A21B4E" w:rsidRDefault="00A21B4E" w14:paraId="68D4B826" w14:textId="77777777">
      <w:pPr>
        <w:autoSpaceDE w:val="0"/>
        <w:autoSpaceDN w:val="0"/>
        <w:adjustRightInd w:val="0"/>
        <w:spacing w:line="240" w:lineRule="auto"/>
        <w:ind w:left="3600"/>
        <w:jc w:val="both"/>
        <w:rPr>
          <w:rFonts w:eastAsia="Times New Roman" w:cs="Calibri"/>
          <w:color w:val="000000"/>
          <w:szCs w:val="26"/>
        </w:rPr>
      </w:pPr>
      <w:r w:rsidRPr="00A21B4E">
        <w:rPr>
          <w:rFonts w:eastAsia="Times New Roman" w:cs="Calibri"/>
          <w:color w:val="000000"/>
          <w:szCs w:val="26"/>
        </w:rPr>
        <w:t>KAREN DOUGLAS</w:t>
      </w:r>
    </w:p>
    <w:p w:rsidRPr="00A21B4E" w:rsidR="00A21B4E" w:rsidP="00A21B4E" w:rsidRDefault="00A21B4E" w14:paraId="43A97F98" w14:textId="77777777">
      <w:pPr>
        <w:keepNext/>
        <w:keepLines/>
        <w:autoSpaceDE w:val="0"/>
        <w:autoSpaceDN w:val="0"/>
        <w:adjustRightInd w:val="0"/>
        <w:spacing w:line="240" w:lineRule="auto"/>
        <w:ind w:left="4320"/>
        <w:jc w:val="both"/>
        <w:rPr>
          <w:rFonts w:cs="Times New Roman"/>
          <w:szCs w:val="20"/>
        </w:rPr>
      </w:pPr>
      <w:r w:rsidRPr="00A21B4E">
        <w:rPr>
          <w:rFonts w:cs="Times New Roman"/>
          <w:szCs w:val="20"/>
        </w:rPr>
        <w:t xml:space="preserve">            Commissioners</w:t>
      </w:r>
    </w:p>
    <w:p w:rsidRPr="00A21B4E" w:rsidR="00A21B4E" w:rsidP="00A21B4E" w:rsidRDefault="00A21B4E" w14:paraId="5890B260" w14:textId="77777777">
      <w:pPr>
        <w:keepNext/>
        <w:keepLines/>
      </w:pPr>
    </w:p>
    <w:p w:rsidRPr="00A21B4E" w:rsidR="00A21B4E" w:rsidP="00A21B4E" w:rsidRDefault="00A21B4E" w14:paraId="4217E3A4" w14:textId="77777777">
      <w:pPr>
        <w:keepNext/>
        <w:keepLines/>
        <w:autoSpaceDE w:val="0"/>
        <w:autoSpaceDN w:val="0"/>
        <w:adjustRightInd w:val="0"/>
        <w:spacing w:line="240" w:lineRule="auto"/>
        <w:ind w:left="4380" w:firstLine="0"/>
        <w:rPr>
          <w:rFonts w:cs="Times New Roman"/>
          <w:szCs w:val="20"/>
        </w:rPr>
      </w:pPr>
      <w:r w:rsidRPr="00A21B4E">
        <w:rPr>
          <w:rFonts w:cs="Times New Roman"/>
          <w:szCs w:val="20"/>
        </w:rPr>
        <w:t>Commissioner Matthew Baker recused himself from this agenda item and was not part of the quorum in its consideration.</w:t>
      </w:r>
    </w:p>
    <w:p w:rsidRPr="00A21B4E" w:rsidR="00A21B4E" w:rsidP="00A21B4E" w:rsidRDefault="00A21B4E" w14:paraId="2984F175" w14:textId="77777777">
      <w:pPr>
        <w:keepNext/>
        <w:keepLines/>
        <w:autoSpaceDE w:val="0"/>
        <w:autoSpaceDN w:val="0"/>
        <w:adjustRightInd w:val="0"/>
        <w:spacing w:line="240" w:lineRule="auto"/>
        <w:ind w:left="720" w:firstLine="0"/>
        <w:rPr>
          <w:rFonts w:cs="Times New Roman"/>
          <w:szCs w:val="20"/>
        </w:rPr>
      </w:pPr>
    </w:p>
    <w:p w:rsidRPr="00714CF2" w:rsidR="00A21B4E" w:rsidP="00A21B4E" w:rsidRDefault="00A21B4E" w14:paraId="2D5E3F5B" w14:textId="77777777">
      <w:pPr>
        <w:pStyle w:val="Standard"/>
        <w:ind w:firstLine="0"/>
      </w:pPr>
    </w:p>
    <w:sectPr w:rsidRPr="00714CF2" w:rsidR="00A21B4E" w:rsidSect="006F6525">
      <w:headerReference w:type="default" r:id="rId17"/>
      <w:footerReference w:type="default" r:id="rId18"/>
      <w:type w:val="continuous"/>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74D29" w14:textId="77777777" w:rsidR="006F4AC0" w:rsidRDefault="006F4AC0" w:rsidP="0098138E">
      <w:pPr>
        <w:spacing w:line="240" w:lineRule="auto"/>
      </w:pPr>
      <w:r>
        <w:separator/>
      </w:r>
    </w:p>
  </w:endnote>
  <w:endnote w:type="continuationSeparator" w:id="0">
    <w:p w14:paraId="24A2CCA1" w14:textId="77777777" w:rsidR="006F4AC0" w:rsidRDefault="006F4AC0"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E7C3" w14:textId="77777777" w:rsidR="004267CD" w:rsidRDefault="00426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4C50" w14:textId="5A1EFD51" w:rsidR="00EE4315" w:rsidRDefault="004267CD" w:rsidP="006F6525">
    <w:pPr>
      <w:tabs>
        <w:tab w:val="center" w:pos="4680"/>
      </w:tabs>
      <w:ind w:firstLine="0"/>
    </w:pPr>
    <w:r w:rsidRPr="004267CD">
      <w:rPr>
        <w:rFonts w:cs="Arial"/>
        <w:sz w:val="16"/>
        <w:szCs w:val="16"/>
      </w:rPr>
      <w:t>571985314</w:t>
    </w:r>
    <w:r w:rsidR="006F6525">
      <w:rPr>
        <w:rFonts w:ascii="Arial" w:hAnsi="Arial" w:cs="Arial"/>
        <w:sz w:val="16"/>
        <w:szCs w:val="16"/>
      </w:rPr>
      <w:tab/>
    </w:r>
    <w:r w:rsidR="006F6525">
      <w:fldChar w:fldCharType="begin"/>
    </w:r>
    <w:r w:rsidR="006F6525">
      <w:instrText xml:space="preserve"> PAGE  \* ArabicDash  \* MERGEFORMAT </w:instrText>
    </w:r>
    <w:r w:rsidR="006F6525">
      <w:fldChar w:fldCharType="separate"/>
    </w:r>
    <w:r w:rsidR="006F6525">
      <w:rPr>
        <w:noProof/>
      </w:rPr>
      <w:t>- 2 -</w:t>
    </w:r>
    <w:r w:rsidR="006F652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0FDA" w14:textId="77777777" w:rsidR="004267CD" w:rsidRDefault="004267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6F05" w14:textId="52650A38" w:rsidR="006F6525" w:rsidRDefault="00FC0A15" w:rsidP="00FC0A15">
    <w:pPr>
      <w:tabs>
        <w:tab w:val="center" w:pos="4680"/>
      </w:tabs>
      <w:ind w:firstLine="0"/>
    </w:pPr>
    <w:r>
      <w:tab/>
    </w:r>
    <w:r w:rsidR="006F6525">
      <w:fldChar w:fldCharType="begin"/>
    </w:r>
    <w:r w:rsidR="006F6525">
      <w:instrText xml:space="preserve"> PAGE  \* ArabicDash  \* MERGEFORMAT </w:instrText>
    </w:r>
    <w:r w:rsidR="006F6525">
      <w:fldChar w:fldCharType="separate"/>
    </w:r>
    <w:r w:rsidR="006F6525">
      <w:rPr>
        <w:noProof/>
      </w:rPr>
      <w:t>- 2 -</w:t>
    </w:r>
    <w:r w:rsidR="006F65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B8F7" w14:textId="77777777" w:rsidR="006F4AC0" w:rsidRDefault="006F4AC0" w:rsidP="00DF58E7">
      <w:pPr>
        <w:spacing w:line="240" w:lineRule="auto"/>
        <w:ind w:firstLine="0"/>
      </w:pPr>
      <w:r>
        <w:separator/>
      </w:r>
    </w:p>
  </w:footnote>
  <w:footnote w:type="continuationSeparator" w:id="0">
    <w:p w14:paraId="0E201785" w14:textId="77777777" w:rsidR="006F4AC0" w:rsidRDefault="006F4AC0" w:rsidP="00DF58E7">
      <w:pPr>
        <w:spacing w:line="240" w:lineRule="auto"/>
        <w:ind w:firstLine="0"/>
      </w:pPr>
      <w:r>
        <w:continuationSeparator/>
      </w:r>
    </w:p>
  </w:footnote>
  <w:footnote w:type="continuationNotice" w:id="1">
    <w:p w14:paraId="426023A8" w14:textId="77777777" w:rsidR="006F4AC0" w:rsidRPr="00DF58E7" w:rsidRDefault="006F4AC0" w:rsidP="00DF58E7">
      <w:pPr>
        <w:spacing w:line="240" w:lineRule="auto"/>
        <w:ind w:firstLine="0"/>
        <w:jc w:val="right"/>
        <w:rPr>
          <w:i/>
          <w:sz w:val="22"/>
        </w:rPr>
      </w:pPr>
      <w:r w:rsidRPr="00DF58E7">
        <w:rPr>
          <w:i/>
          <w:sz w:val="22"/>
        </w:rPr>
        <w:t>Footnote continued on next page.</w:t>
      </w:r>
    </w:p>
  </w:footnote>
  <w:footnote w:id="2">
    <w:p w14:paraId="1E93BC90" w14:textId="09EBC42F" w:rsidR="006E4853" w:rsidRDefault="006E4853">
      <w:pPr>
        <w:pStyle w:val="FootnoteText"/>
      </w:pPr>
      <w:r>
        <w:rPr>
          <w:rStyle w:val="FootnoteReference"/>
        </w:rPr>
        <w:footnoteRef/>
      </w:r>
      <w:r>
        <w:t xml:space="preserve"> Quarterly revenue reports informing the inputs to the affordability report are available here </w:t>
      </w:r>
      <w:hyperlink r:id="rId1" w:history="1">
        <w:r w:rsidRPr="00105CFC">
          <w:rPr>
            <w:rStyle w:val="Hyperlink"/>
          </w:rPr>
          <w:t>https://www.cpuc.ca.gov/industries-and-topics/electrical-energy/affordability/quarterly-revenue-request-reports</w:t>
        </w:r>
      </w:hyperlink>
      <w:r>
        <w:t xml:space="preserve"> on the Commission’s website.</w:t>
      </w:r>
    </w:p>
  </w:footnote>
  <w:footnote w:id="3">
    <w:p w14:paraId="25DB8476" w14:textId="41D117B6" w:rsidR="006E4853" w:rsidRDefault="006E4853">
      <w:pPr>
        <w:pStyle w:val="FootnoteText"/>
      </w:pPr>
      <w:r>
        <w:rPr>
          <w:rStyle w:val="FootnoteReference"/>
        </w:rPr>
        <w:footnoteRef/>
      </w:r>
      <w:r>
        <w:t xml:space="preserve"> The 2020 Affordability Report and suite of tools is available at </w:t>
      </w:r>
      <w:hyperlink r:id="rId2" w:history="1">
        <w:r w:rsidRPr="00105CFC">
          <w:rPr>
            <w:rStyle w:val="Hyperlink"/>
          </w:rPr>
          <w:t>https://www.cpuc.ca.gov/industries-and-topics/electrical-energy/affordability/archive/2020-annual-affordability-report</w:t>
        </w:r>
      </w:hyperlink>
      <w:r>
        <w:t xml:space="preserve"> on the Commission website.</w:t>
      </w:r>
    </w:p>
  </w:footnote>
  <w:footnote w:id="4">
    <w:p w14:paraId="779467CE" w14:textId="2ED044B6" w:rsidR="006E4853" w:rsidRDefault="006E4853">
      <w:pPr>
        <w:pStyle w:val="FootnoteText"/>
      </w:pPr>
      <w:r>
        <w:rPr>
          <w:rStyle w:val="FootnoteReference"/>
        </w:rPr>
        <w:footnoteRef/>
      </w:r>
      <w:r>
        <w:t xml:space="preserve"> The 2021/2022 Affordability Report and associated maps and tables is available at </w:t>
      </w:r>
      <w:hyperlink r:id="rId3" w:history="1">
        <w:r w:rsidRPr="00105CFC">
          <w:rPr>
            <w:rStyle w:val="Hyperlink"/>
          </w:rPr>
          <w:t>https://www.cpuc.ca.gov/industries-and-topics/electrical-energy/affordability/2021-and-2022-annual-affordability-refresh</w:t>
        </w:r>
      </w:hyperlink>
      <w:r>
        <w:t xml:space="preserv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48E2" w14:textId="77777777" w:rsidR="004267CD" w:rsidRDefault="00426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DF4C" w14:textId="77777777" w:rsidR="009608B9" w:rsidRPr="00D55EDC" w:rsidRDefault="009608B9" w:rsidP="006F6525">
    <w:pPr>
      <w:pStyle w:val="Header"/>
      <w:tabs>
        <w:tab w:val="clear" w:pos="4680"/>
      </w:tabs>
      <w:ind w:firstLine="0"/>
      <w:rPr>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2F5E" w14:textId="77777777" w:rsidR="004267CD" w:rsidRDefault="004267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C3B0" w14:textId="27F2B7E0" w:rsidR="009D6E15" w:rsidRPr="00B3087D" w:rsidRDefault="00682086" w:rsidP="009D6E15">
    <w:pPr>
      <w:widowControl w:val="0"/>
      <w:tabs>
        <w:tab w:val="center" w:pos="4320"/>
        <w:tab w:val="right" w:pos="9360"/>
      </w:tabs>
      <w:spacing w:line="240" w:lineRule="auto"/>
      <w:ind w:firstLine="0"/>
      <w:rPr>
        <w:i/>
        <w:color w:val="FF0000"/>
      </w:rPr>
    </w:pPr>
    <w:r w:rsidRPr="007E3861">
      <w:rPr>
        <w:rFonts w:eastAsia="Times New Roman" w:cs="Times New Roman"/>
        <w:szCs w:val="20"/>
      </w:rPr>
      <w:t>R.</w:t>
    </w:r>
    <w:r w:rsidR="00527123" w:rsidRPr="007E3861">
      <w:rPr>
        <w:rFonts w:eastAsia="Times New Roman" w:cs="Times New Roman"/>
        <w:szCs w:val="20"/>
      </w:rPr>
      <w:t>1</w:t>
    </w:r>
    <w:r w:rsidR="006E4853">
      <w:rPr>
        <w:rFonts w:eastAsia="Times New Roman" w:cs="Times New Roman"/>
        <w:szCs w:val="20"/>
      </w:rPr>
      <w:t>8-07-006</w:t>
    </w:r>
    <w:r w:rsidR="00D55EDC" w:rsidRPr="007E3861">
      <w:rPr>
        <w:rFonts w:eastAsia="Times New Roman" w:cs="Times New Roman"/>
        <w:szCs w:val="20"/>
      </w:rPr>
      <w:t xml:space="preserve">  </w:t>
    </w:r>
    <w:r w:rsidR="00452870">
      <w:rPr>
        <w:rFonts w:eastAsia="Times New Roman" w:cs="Times New Roman"/>
        <w:szCs w:val="20"/>
      </w:rPr>
      <w:t>ALJ/KWZ/</w:t>
    </w:r>
    <w:r w:rsidR="00D00CAD">
      <w:rPr>
        <w:rFonts w:eastAsia="Times New Roman" w:cs="Times New Roman"/>
        <w:szCs w:val="20"/>
      </w:rPr>
      <w:t>mva</w:t>
    </w:r>
    <w:r w:rsidR="00A862CB">
      <w:rPr>
        <w:rFonts w:eastAsia="Times New Roman" w:cs="Times New Roman"/>
        <w:szCs w:val="20"/>
      </w:rPr>
      <w:t>/hma</w:t>
    </w:r>
    <w:r w:rsidR="00D55EDC" w:rsidRPr="007E3861">
      <w:rPr>
        <w:rFonts w:eastAsia="Times New Roman" w:cs="Times New Roman"/>
        <w:szCs w:val="20"/>
      </w:rPr>
      <w:tab/>
    </w:r>
    <w:r w:rsidR="00D55EDC" w:rsidRPr="007E3861">
      <w:rPr>
        <w:rFonts w:eastAsia="Times New Roman" w:cs="Times New Roman"/>
        <w:szCs w:val="20"/>
      </w:rPr>
      <w:tab/>
    </w:r>
  </w:p>
  <w:p w14:paraId="4C027EB4" w14:textId="36108035" w:rsidR="00D55EDC" w:rsidRPr="00B3087D" w:rsidRDefault="00D55EDC" w:rsidP="00682086">
    <w:pPr>
      <w:pStyle w:val="Header"/>
      <w:tabs>
        <w:tab w:val="clear" w:pos="4680"/>
        <w:tab w:val="clear" w:pos="9360"/>
        <w:tab w:val="left" w:pos="3075"/>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E2242C9"/>
    <w:multiLevelType w:val="multilevel"/>
    <w:tmpl w:val="ECB8CCE8"/>
    <w:numStyleLink w:val="Headings"/>
  </w:abstractNum>
  <w:abstractNum w:abstractNumId="4" w15:restartNumberingAfterBreak="0">
    <w:nsid w:val="331F6D42"/>
    <w:multiLevelType w:val="multilevel"/>
    <w:tmpl w:val="ECB8CCE8"/>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5" w15:restartNumberingAfterBreak="0">
    <w:nsid w:val="59D042D7"/>
    <w:multiLevelType w:val="multilevel"/>
    <w:tmpl w:val="18F4A5AC"/>
    <w:numStyleLink w:val="FoFCoLOP"/>
  </w:abstractNum>
  <w:abstractNum w:abstractNumId="6"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9A0AFE"/>
    <w:multiLevelType w:val="multilevel"/>
    <w:tmpl w:val="18F4A5AC"/>
    <w:numStyleLink w:val="FoFCoLOP"/>
  </w:abstractNum>
  <w:abstractNum w:abstractNumId="9" w15:restartNumberingAfterBreak="0">
    <w:nsid w:val="7B1C30FD"/>
    <w:multiLevelType w:val="singleLevel"/>
    <w:tmpl w:val="2FB6A734"/>
    <w:lvl w:ilvl="0">
      <w:start w:val="1"/>
      <w:numFmt w:val="decimal"/>
      <w:lvlText w:val="%1."/>
      <w:legacy w:legacy="1" w:legacySpace="144" w:legacyIndent="0"/>
      <w:lvlJc w:val="left"/>
    </w:lvl>
  </w:abstractNum>
  <w:abstractNum w:abstractNumId="10" w15:restartNumberingAfterBreak="0">
    <w:nsid w:val="7D905FC4"/>
    <w:multiLevelType w:val="hybridMultilevel"/>
    <w:tmpl w:val="79A087D0"/>
    <w:lvl w:ilvl="0" w:tplc="BE4A95F8">
      <w:start w:val="1"/>
      <w:numFmt w:val="decimal"/>
      <w:lvlText w:val="%1."/>
      <w:legacy w:legacy="1" w:legacySpace="144" w:legacyIndent="0"/>
      <w:lvlJc w:val="left"/>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766275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92914">
    <w:abstractNumId w:val="1"/>
  </w:num>
  <w:num w:numId="3" w16cid:durableId="505949365">
    <w:abstractNumId w:val="5"/>
  </w:num>
  <w:num w:numId="4" w16cid:durableId="1958677930">
    <w:abstractNumId w:val="2"/>
  </w:num>
  <w:num w:numId="5" w16cid:durableId="1123426065">
    <w:abstractNumId w:val="8"/>
  </w:num>
  <w:num w:numId="6" w16cid:durableId="1669093774">
    <w:abstractNumId w:val="4"/>
  </w:num>
  <w:num w:numId="7" w16cid:durableId="1083333283">
    <w:abstractNumId w:val="3"/>
  </w:num>
  <w:num w:numId="8" w16cid:durableId="2019648065">
    <w:abstractNumId w:val="7"/>
  </w:num>
  <w:num w:numId="9" w16cid:durableId="358505819">
    <w:abstractNumId w:val="0"/>
  </w:num>
  <w:num w:numId="10" w16cid:durableId="541021751">
    <w:abstractNumId w:val="4"/>
  </w:num>
  <w:num w:numId="11" w16cid:durableId="178197824">
    <w:abstractNumId w:val="9"/>
  </w:num>
  <w:num w:numId="12" w16cid:durableId="130654859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81"/>
    <w:rsid w:val="00000F6A"/>
    <w:rsid w:val="00034485"/>
    <w:rsid w:val="00040149"/>
    <w:rsid w:val="0004377E"/>
    <w:rsid w:val="00045339"/>
    <w:rsid w:val="00047931"/>
    <w:rsid w:val="00052348"/>
    <w:rsid w:val="0007115A"/>
    <w:rsid w:val="00075B64"/>
    <w:rsid w:val="000973C8"/>
    <w:rsid w:val="000A2AA9"/>
    <w:rsid w:val="000A3798"/>
    <w:rsid w:val="000A56F2"/>
    <w:rsid w:val="000A6E05"/>
    <w:rsid w:val="000A78B6"/>
    <w:rsid w:val="000B12FA"/>
    <w:rsid w:val="000B6EB1"/>
    <w:rsid w:val="000C08BF"/>
    <w:rsid w:val="000C0F68"/>
    <w:rsid w:val="000C3B9A"/>
    <w:rsid w:val="000C4040"/>
    <w:rsid w:val="000D25A8"/>
    <w:rsid w:val="000E3F15"/>
    <w:rsid w:val="000E4C53"/>
    <w:rsid w:val="000F44C1"/>
    <w:rsid w:val="00102469"/>
    <w:rsid w:val="0011697E"/>
    <w:rsid w:val="00121089"/>
    <w:rsid w:val="0012470A"/>
    <w:rsid w:val="001439C7"/>
    <w:rsid w:val="001725B7"/>
    <w:rsid w:val="00172A9B"/>
    <w:rsid w:val="001865F4"/>
    <w:rsid w:val="00194AED"/>
    <w:rsid w:val="00196B1C"/>
    <w:rsid w:val="001970A0"/>
    <w:rsid w:val="001B0057"/>
    <w:rsid w:val="001C363F"/>
    <w:rsid w:val="001C66DC"/>
    <w:rsid w:val="001C7BBB"/>
    <w:rsid w:val="001D130F"/>
    <w:rsid w:val="001E053C"/>
    <w:rsid w:val="001E2A62"/>
    <w:rsid w:val="001F2819"/>
    <w:rsid w:val="001F335E"/>
    <w:rsid w:val="00202C36"/>
    <w:rsid w:val="00203098"/>
    <w:rsid w:val="002043EC"/>
    <w:rsid w:val="00206A54"/>
    <w:rsid w:val="002075F3"/>
    <w:rsid w:val="00214FD8"/>
    <w:rsid w:val="002423DF"/>
    <w:rsid w:val="00243DC0"/>
    <w:rsid w:val="00244D25"/>
    <w:rsid w:val="002451F6"/>
    <w:rsid w:val="00246496"/>
    <w:rsid w:val="00247477"/>
    <w:rsid w:val="00250C93"/>
    <w:rsid w:val="00255C91"/>
    <w:rsid w:val="002617D7"/>
    <w:rsid w:val="00270440"/>
    <w:rsid w:val="00271CFA"/>
    <w:rsid w:val="0027277A"/>
    <w:rsid w:val="00276E91"/>
    <w:rsid w:val="00292BB4"/>
    <w:rsid w:val="00293DEE"/>
    <w:rsid w:val="002A063F"/>
    <w:rsid w:val="002A0B5D"/>
    <w:rsid w:val="002A6EBF"/>
    <w:rsid w:val="002C7FE9"/>
    <w:rsid w:val="002D4EFD"/>
    <w:rsid w:val="002E1944"/>
    <w:rsid w:val="00312610"/>
    <w:rsid w:val="00316071"/>
    <w:rsid w:val="0033453C"/>
    <w:rsid w:val="00343E5C"/>
    <w:rsid w:val="00352278"/>
    <w:rsid w:val="0036017B"/>
    <w:rsid w:val="00360DDE"/>
    <w:rsid w:val="00362755"/>
    <w:rsid w:val="00366EB3"/>
    <w:rsid w:val="00373B93"/>
    <w:rsid w:val="003834C9"/>
    <w:rsid w:val="0038672F"/>
    <w:rsid w:val="0039195F"/>
    <w:rsid w:val="003A38F0"/>
    <w:rsid w:val="003F3618"/>
    <w:rsid w:val="003F4329"/>
    <w:rsid w:val="004010A8"/>
    <w:rsid w:val="00412534"/>
    <w:rsid w:val="00412C83"/>
    <w:rsid w:val="00421D23"/>
    <w:rsid w:val="00426014"/>
    <w:rsid w:val="00426064"/>
    <w:rsid w:val="004267CD"/>
    <w:rsid w:val="00441C05"/>
    <w:rsid w:val="0044339A"/>
    <w:rsid w:val="00452529"/>
    <w:rsid w:val="00452870"/>
    <w:rsid w:val="004565FC"/>
    <w:rsid w:val="00460B7D"/>
    <w:rsid w:val="00467986"/>
    <w:rsid w:val="00480CB0"/>
    <w:rsid w:val="00491134"/>
    <w:rsid w:val="004953CA"/>
    <w:rsid w:val="004957B6"/>
    <w:rsid w:val="004A1960"/>
    <w:rsid w:val="004A3044"/>
    <w:rsid w:val="004A594F"/>
    <w:rsid w:val="004B34EA"/>
    <w:rsid w:val="004B5494"/>
    <w:rsid w:val="004C7D3A"/>
    <w:rsid w:val="004D4F72"/>
    <w:rsid w:val="004D5F1D"/>
    <w:rsid w:val="004D7F45"/>
    <w:rsid w:val="004E1B33"/>
    <w:rsid w:val="004E68B3"/>
    <w:rsid w:val="004F27A9"/>
    <w:rsid w:val="004F448E"/>
    <w:rsid w:val="004F6735"/>
    <w:rsid w:val="005018A8"/>
    <w:rsid w:val="00502812"/>
    <w:rsid w:val="00505A39"/>
    <w:rsid w:val="00515B16"/>
    <w:rsid w:val="0051691B"/>
    <w:rsid w:val="005240BF"/>
    <w:rsid w:val="00527123"/>
    <w:rsid w:val="005467FD"/>
    <w:rsid w:val="0054753C"/>
    <w:rsid w:val="0055159B"/>
    <w:rsid w:val="00564196"/>
    <w:rsid w:val="00585390"/>
    <w:rsid w:val="00591B23"/>
    <w:rsid w:val="005939A5"/>
    <w:rsid w:val="005A148C"/>
    <w:rsid w:val="005A3C9A"/>
    <w:rsid w:val="005C4BD1"/>
    <w:rsid w:val="005E0263"/>
    <w:rsid w:val="005F552C"/>
    <w:rsid w:val="00632207"/>
    <w:rsid w:val="0063491C"/>
    <w:rsid w:val="0064501A"/>
    <w:rsid w:val="00672064"/>
    <w:rsid w:val="00682086"/>
    <w:rsid w:val="00695798"/>
    <w:rsid w:val="00697AB7"/>
    <w:rsid w:val="006A450A"/>
    <w:rsid w:val="006C38E9"/>
    <w:rsid w:val="006C42EC"/>
    <w:rsid w:val="006D1C25"/>
    <w:rsid w:val="006E4853"/>
    <w:rsid w:val="006E5E28"/>
    <w:rsid w:val="006E6574"/>
    <w:rsid w:val="006F1EBE"/>
    <w:rsid w:val="006F28CB"/>
    <w:rsid w:val="006F4AC0"/>
    <w:rsid w:val="006F6525"/>
    <w:rsid w:val="007006DE"/>
    <w:rsid w:val="00703335"/>
    <w:rsid w:val="00703764"/>
    <w:rsid w:val="007042B9"/>
    <w:rsid w:val="007113BD"/>
    <w:rsid w:val="00714CF2"/>
    <w:rsid w:val="007156B9"/>
    <w:rsid w:val="00720817"/>
    <w:rsid w:val="00722850"/>
    <w:rsid w:val="0072466E"/>
    <w:rsid w:val="0073353F"/>
    <w:rsid w:val="00737EF3"/>
    <w:rsid w:val="00742E45"/>
    <w:rsid w:val="007447AF"/>
    <w:rsid w:val="00750816"/>
    <w:rsid w:val="00753220"/>
    <w:rsid w:val="00760DEA"/>
    <w:rsid w:val="00764840"/>
    <w:rsid w:val="007657C1"/>
    <w:rsid w:val="00780AFC"/>
    <w:rsid w:val="00782D5C"/>
    <w:rsid w:val="00791062"/>
    <w:rsid w:val="0079375E"/>
    <w:rsid w:val="00793FAC"/>
    <w:rsid w:val="00797D3F"/>
    <w:rsid w:val="007A406D"/>
    <w:rsid w:val="007A62B0"/>
    <w:rsid w:val="007A6D16"/>
    <w:rsid w:val="007C5A0C"/>
    <w:rsid w:val="007C5F0F"/>
    <w:rsid w:val="007D3D70"/>
    <w:rsid w:val="007D4D0B"/>
    <w:rsid w:val="007D7181"/>
    <w:rsid w:val="007E0FEE"/>
    <w:rsid w:val="007E3861"/>
    <w:rsid w:val="007F0D93"/>
    <w:rsid w:val="007F2017"/>
    <w:rsid w:val="007F5357"/>
    <w:rsid w:val="007F5BC9"/>
    <w:rsid w:val="008110E2"/>
    <w:rsid w:val="0082778A"/>
    <w:rsid w:val="00827DCB"/>
    <w:rsid w:val="0083044E"/>
    <w:rsid w:val="008339BB"/>
    <w:rsid w:val="00840F52"/>
    <w:rsid w:val="008434E1"/>
    <w:rsid w:val="00847AFD"/>
    <w:rsid w:val="0086419A"/>
    <w:rsid w:val="00867AEC"/>
    <w:rsid w:val="0087023B"/>
    <w:rsid w:val="0087409D"/>
    <w:rsid w:val="008A179F"/>
    <w:rsid w:val="008A313E"/>
    <w:rsid w:val="008A70AF"/>
    <w:rsid w:val="008B0864"/>
    <w:rsid w:val="008C4ADF"/>
    <w:rsid w:val="008C7413"/>
    <w:rsid w:val="008D16B7"/>
    <w:rsid w:val="008D70E7"/>
    <w:rsid w:val="008E6AE6"/>
    <w:rsid w:val="008F001D"/>
    <w:rsid w:val="008F0116"/>
    <w:rsid w:val="008F143D"/>
    <w:rsid w:val="008F6575"/>
    <w:rsid w:val="00926B28"/>
    <w:rsid w:val="00932865"/>
    <w:rsid w:val="00941998"/>
    <w:rsid w:val="00947BC6"/>
    <w:rsid w:val="00957BC9"/>
    <w:rsid w:val="009608B9"/>
    <w:rsid w:val="00963645"/>
    <w:rsid w:val="0098138E"/>
    <w:rsid w:val="00986181"/>
    <w:rsid w:val="0098655A"/>
    <w:rsid w:val="00991697"/>
    <w:rsid w:val="009A59D1"/>
    <w:rsid w:val="009A5BB0"/>
    <w:rsid w:val="009A61C5"/>
    <w:rsid w:val="009B122C"/>
    <w:rsid w:val="009B64BE"/>
    <w:rsid w:val="009B6C3E"/>
    <w:rsid w:val="009B7454"/>
    <w:rsid w:val="009C177E"/>
    <w:rsid w:val="009C1AA9"/>
    <w:rsid w:val="009D6C7F"/>
    <w:rsid w:val="009D6E15"/>
    <w:rsid w:val="009E3FBE"/>
    <w:rsid w:val="009E54E3"/>
    <w:rsid w:val="009E7C7F"/>
    <w:rsid w:val="009F1FCF"/>
    <w:rsid w:val="00A15E7A"/>
    <w:rsid w:val="00A16CAA"/>
    <w:rsid w:val="00A17CE0"/>
    <w:rsid w:val="00A21B4E"/>
    <w:rsid w:val="00A36B49"/>
    <w:rsid w:val="00A42306"/>
    <w:rsid w:val="00A50770"/>
    <w:rsid w:val="00A55ACD"/>
    <w:rsid w:val="00A63FB8"/>
    <w:rsid w:val="00A66CBE"/>
    <w:rsid w:val="00A736DA"/>
    <w:rsid w:val="00A862CB"/>
    <w:rsid w:val="00A86F64"/>
    <w:rsid w:val="00AC0178"/>
    <w:rsid w:val="00AC22FC"/>
    <w:rsid w:val="00AF0A96"/>
    <w:rsid w:val="00AF1287"/>
    <w:rsid w:val="00B01F7E"/>
    <w:rsid w:val="00B101ED"/>
    <w:rsid w:val="00B10CE7"/>
    <w:rsid w:val="00B11BDE"/>
    <w:rsid w:val="00B23AFF"/>
    <w:rsid w:val="00B24E85"/>
    <w:rsid w:val="00B3087D"/>
    <w:rsid w:val="00B34794"/>
    <w:rsid w:val="00B34FC5"/>
    <w:rsid w:val="00B4015A"/>
    <w:rsid w:val="00B47C75"/>
    <w:rsid w:val="00B600D3"/>
    <w:rsid w:val="00B60421"/>
    <w:rsid w:val="00B61C66"/>
    <w:rsid w:val="00B923A2"/>
    <w:rsid w:val="00BA1386"/>
    <w:rsid w:val="00BA72A1"/>
    <w:rsid w:val="00BB0243"/>
    <w:rsid w:val="00BB35E8"/>
    <w:rsid w:val="00BB6A98"/>
    <w:rsid w:val="00BC46B8"/>
    <w:rsid w:val="00BD7235"/>
    <w:rsid w:val="00BE4DBF"/>
    <w:rsid w:val="00BE7C19"/>
    <w:rsid w:val="00BE7D36"/>
    <w:rsid w:val="00BF65A0"/>
    <w:rsid w:val="00C10B5F"/>
    <w:rsid w:val="00C13426"/>
    <w:rsid w:val="00C14054"/>
    <w:rsid w:val="00C2021D"/>
    <w:rsid w:val="00C20388"/>
    <w:rsid w:val="00C35E3F"/>
    <w:rsid w:val="00C56C00"/>
    <w:rsid w:val="00C5769E"/>
    <w:rsid w:val="00C61AC4"/>
    <w:rsid w:val="00C63405"/>
    <w:rsid w:val="00C64498"/>
    <w:rsid w:val="00C913A1"/>
    <w:rsid w:val="00CB7177"/>
    <w:rsid w:val="00CC0DB0"/>
    <w:rsid w:val="00CC3818"/>
    <w:rsid w:val="00CC5569"/>
    <w:rsid w:val="00CC6A99"/>
    <w:rsid w:val="00CF2FC7"/>
    <w:rsid w:val="00D00AA3"/>
    <w:rsid w:val="00D00CAD"/>
    <w:rsid w:val="00D07F73"/>
    <w:rsid w:val="00D2041C"/>
    <w:rsid w:val="00D25ADE"/>
    <w:rsid w:val="00D35730"/>
    <w:rsid w:val="00D43297"/>
    <w:rsid w:val="00D44DB6"/>
    <w:rsid w:val="00D50119"/>
    <w:rsid w:val="00D53A72"/>
    <w:rsid w:val="00D55EDC"/>
    <w:rsid w:val="00D5798D"/>
    <w:rsid w:val="00D82A43"/>
    <w:rsid w:val="00D93F38"/>
    <w:rsid w:val="00DA3797"/>
    <w:rsid w:val="00DA3DB3"/>
    <w:rsid w:val="00DA67AF"/>
    <w:rsid w:val="00DA7B5D"/>
    <w:rsid w:val="00DA7EF2"/>
    <w:rsid w:val="00DB006B"/>
    <w:rsid w:val="00DB0660"/>
    <w:rsid w:val="00DC26A3"/>
    <w:rsid w:val="00DF58E7"/>
    <w:rsid w:val="00E11876"/>
    <w:rsid w:val="00E14BAC"/>
    <w:rsid w:val="00E23CBB"/>
    <w:rsid w:val="00E24F1D"/>
    <w:rsid w:val="00E328B3"/>
    <w:rsid w:val="00E37B59"/>
    <w:rsid w:val="00E601BF"/>
    <w:rsid w:val="00E60E44"/>
    <w:rsid w:val="00E61BBA"/>
    <w:rsid w:val="00E649A9"/>
    <w:rsid w:val="00E77D3B"/>
    <w:rsid w:val="00E90028"/>
    <w:rsid w:val="00EA36C6"/>
    <w:rsid w:val="00EA54F9"/>
    <w:rsid w:val="00EC5A15"/>
    <w:rsid w:val="00ED5725"/>
    <w:rsid w:val="00ED7031"/>
    <w:rsid w:val="00ED7286"/>
    <w:rsid w:val="00EE3060"/>
    <w:rsid w:val="00EE4315"/>
    <w:rsid w:val="00F14115"/>
    <w:rsid w:val="00F26ED3"/>
    <w:rsid w:val="00F3229F"/>
    <w:rsid w:val="00F5660B"/>
    <w:rsid w:val="00F604A1"/>
    <w:rsid w:val="00F62B7A"/>
    <w:rsid w:val="00F6397D"/>
    <w:rsid w:val="00F63EE1"/>
    <w:rsid w:val="00F71CC5"/>
    <w:rsid w:val="00F7293E"/>
    <w:rsid w:val="00F732FF"/>
    <w:rsid w:val="00F76650"/>
    <w:rsid w:val="00F9187B"/>
    <w:rsid w:val="00F92385"/>
    <w:rsid w:val="00F9532C"/>
    <w:rsid w:val="00FA1B4F"/>
    <w:rsid w:val="00FA4B5B"/>
    <w:rsid w:val="00FA584E"/>
    <w:rsid w:val="00FB5039"/>
    <w:rsid w:val="00FC0A15"/>
    <w:rsid w:val="00FC47F9"/>
    <w:rsid w:val="00FC65FC"/>
    <w:rsid w:val="00FE5580"/>
    <w:rsid w:val="00FF110C"/>
    <w:rsid w:val="00FF2EBD"/>
    <w:rsid w:val="00FF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F44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7BC6"/>
    <w:pPr>
      <w:numPr>
        <w:numId w:val="10"/>
      </w:numPr>
    </w:pPr>
    <w:rPr>
      <w:rFonts w:eastAsiaTheme="majorEastAsia" w:cstheme="majorBidi"/>
      <w:szCs w:val="32"/>
    </w:rPr>
  </w:style>
  <w:style w:type="paragraph" w:styleId="Heading2">
    <w:name w:val="heading 2"/>
    <w:basedOn w:val="Dummy"/>
    <w:next w:val="Standard"/>
    <w:link w:val="Heading2Char"/>
    <w:uiPriority w:val="4"/>
    <w:qFormat/>
    <w:rsid w:val="00947BC6"/>
    <w:pPr>
      <w:numPr>
        <w:ilvl w:val="1"/>
        <w:numId w:val="10"/>
      </w:numPr>
      <w:outlineLvl w:val="1"/>
    </w:pPr>
  </w:style>
  <w:style w:type="paragraph" w:styleId="Heading3">
    <w:name w:val="heading 3"/>
    <w:basedOn w:val="Dummy"/>
    <w:next w:val="Standard"/>
    <w:link w:val="Heading3Char"/>
    <w:uiPriority w:val="4"/>
    <w:qFormat/>
    <w:rsid w:val="00947BC6"/>
    <w:pPr>
      <w:numPr>
        <w:ilvl w:val="2"/>
        <w:numId w:val="10"/>
      </w:numPr>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10"/>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10"/>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10"/>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2 Char Char Char,Footnote Text Char Char Char Char Char,Footnote Text Char2 Char Char Char Char1 Char,Footnote Text Char2,fn,f,Footnote Text Cha,FOOT"/>
    <w:basedOn w:val="Normal"/>
    <w:link w:val="FootnoteTextChar"/>
    <w:uiPriority w:val="40"/>
    <w:qFormat/>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Footnote Text Char2 Char Char,Footnote Text Char2 Char Char Char Char,Footnote Text Char Char Char Char Char Char,Footnote Text Char2 Char Char Char Char1 Char Char,fn Char,f Char"/>
    <w:basedOn w:val="DefaultParagraphFont"/>
    <w:link w:val="FootnoteText"/>
    <w:uiPriority w:val="99"/>
    <w:rsid w:val="007657C1"/>
    <w:rPr>
      <w:rFonts w:ascii="Book Antiqua" w:hAnsi="Book Antiqua"/>
      <w:szCs w:val="20"/>
    </w:rPr>
  </w:style>
  <w:style w:type="character" w:styleId="FootnoteReference">
    <w:name w:val="footnote reference"/>
    <w:aliases w:val="o,fr,Style 3,o1,o2,o3,o4,o5,o6,o11,o21,o7,o + Times New Roman,Style 12,(NECG) Footnote Reference,Appel note de bas de p,Style 124,Style 58,Style 17,Style 20,Style 13,fr1,fr2,fr3,FR,Footnote Reference/,Style 6,-E Funotenzeichen,A,char"/>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4C7D3A"/>
    <w:rPr>
      <w:rFonts w:ascii="Segoe UI" w:hAnsi="Segoe UI" w:cs="Segoe UI"/>
      <w:sz w:val="18"/>
      <w:szCs w:val="18"/>
    </w:rPr>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947BC6"/>
    <w:pPr>
      <w:numPr>
        <w:ilvl w:val="7"/>
        <w:numId w:val="10"/>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rsid w:val="00947BC6"/>
    <w:pPr>
      <w:contextualSpacing/>
    </w:pPr>
    <w:rPr>
      <w:sz w:val="22"/>
    </w:rPr>
  </w:style>
  <w:style w:type="paragraph" w:customStyle="1" w:styleId="Body">
    <w:name w:val="Body"/>
    <w:rsid w:val="00682086"/>
    <w:pPr>
      <w:pBdr>
        <w:top w:val="nil"/>
        <w:left w:val="nil"/>
        <w:bottom w:val="nil"/>
        <w:right w:val="nil"/>
        <w:between w:val="nil"/>
        <w:bar w:val="nil"/>
      </w:pBdr>
      <w:spacing w:after="0" w:line="240" w:lineRule="auto"/>
    </w:pPr>
    <w:rPr>
      <w:rFonts w:ascii="Palatino" w:eastAsia="Arial Unicode MS" w:hAnsi="Palatino" w:cs="Arial Unicode MS"/>
      <w:color w:val="000000"/>
      <w:sz w:val="26"/>
      <w:szCs w:val="26"/>
      <w:u w:color="000000"/>
      <w:bdr w:val="nil"/>
      <w14:textOutline w14:w="0" w14:cap="flat" w14:cmpd="sng" w14:algn="ctr">
        <w14:noFill/>
        <w14:prstDash w14:val="solid"/>
        <w14:bevel/>
      </w14:textOutline>
    </w:rPr>
  </w:style>
  <w:style w:type="character" w:customStyle="1" w:styleId="displayonly">
    <w:name w:val="display_only"/>
    <w:basedOn w:val="DefaultParagraphFont"/>
    <w:rsid w:val="00682086"/>
  </w:style>
  <w:style w:type="paragraph" w:customStyle="1" w:styleId="standard0">
    <w:name w:val="standard"/>
    <w:rsid w:val="00DB0660"/>
    <w:pPr>
      <w:pBdr>
        <w:top w:val="nil"/>
        <w:left w:val="nil"/>
        <w:bottom w:val="nil"/>
        <w:right w:val="nil"/>
        <w:between w:val="nil"/>
        <w:bar w:val="nil"/>
      </w:pBdr>
      <w:spacing w:after="0" w:line="360" w:lineRule="auto"/>
      <w:ind w:firstLine="720"/>
    </w:pPr>
    <w:rPr>
      <w:rFonts w:ascii="Palatino" w:eastAsia="Arial Unicode MS" w:hAnsi="Palatino" w:cs="Arial Unicode MS"/>
      <w:color w:val="000000"/>
      <w:sz w:val="26"/>
      <w:szCs w:val="26"/>
      <w:u w:color="000000"/>
      <w:bdr w:val="nil"/>
    </w:rPr>
  </w:style>
  <w:style w:type="paragraph" w:customStyle="1" w:styleId="num1">
    <w:name w:val="num1"/>
    <w:basedOn w:val="Normal"/>
    <w:rsid w:val="001970A0"/>
    <w:pPr>
      <w:tabs>
        <w:tab w:val="left" w:pos="-720"/>
      </w:tabs>
      <w:suppressAutoHyphens/>
      <w:ind w:firstLine="360"/>
    </w:pPr>
    <w:rPr>
      <w:rFonts w:eastAsia="Times New Roman" w:cs="Times New Roman"/>
      <w:szCs w:val="20"/>
    </w:rPr>
  </w:style>
  <w:style w:type="paragraph" w:styleId="Revision">
    <w:name w:val="Revision"/>
    <w:hidden/>
    <w:uiPriority w:val="99"/>
    <w:semiHidden/>
    <w:rsid w:val="00B11BDE"/>
    <w:pPr>
      <w:spacing w:after="0" w:line="240" w:lineRule="auto"/>
    </w:pPr>
    <w:rPr>
      <w:rFonts w:ascii="Book Antiqua" w:hAnsi="Book Antiqua"/>
      <w:sz w:val="26"/>
    </w:rPr>
  </w:style>
  <w:style w:type="character" w:styleId="UnresolvedMention">
    <w:name w:val="Unresolved Mention"/>
    <w:basedOn w:val="DefaultParagraphFont"/>
    <w:uiPriority w:val="99"/>
    <w:semiHidden/>
    <w:unhideWhenUsed/>
    <w:rsid w:val="006E4853"/>
    <w:rPr>
      <w:color w:val="605E5C"/>
      <w:shd w:val="clear" w:color="auto" w:fill="E1DFDD"/>
    </w:rPr>
  </w:style>
  <w:style w:type="character" w:styleId="CommentReference">
    <w:name w:val="annotation reference"/>
    <w:basedOn w:val="DefaultParagraphFont"/>
    <w:uiPriority w:val="99"/>
    <w:semiHidden/>
    <w:unhideWhenUsed/>
    <w:rsid w:val="00926B28"/>
    <w:rPr>
      <w:sz w:val="16"/>
      <w:szCs w:val="16"/>
    </w:rPr>
  </w:style>
  <w:style w:type="paragraph" w:styleId="CommentText">
    <w:name w:val="annotation text"/>
    <w:basedOn w:val="Normal"/>
    <w:link w:val="CommentTextChar"/>
    <w:uiPriority w:val="99"/>
    <w:unhideWhenUsed/>
    <w:rsid w:val="00926B28"/>
    <w:pPr>
      <w:spacing w:line="240" w:lineRule="auto"/>
    </w:pPr>
    <w:rPr>
      <w:sz w:val="20"/>
      <w:szCs w:val="20"/>
    </w:rPr>
  </w:style>
  <w:style w:type="character" w:customStyle="1" w:styleId="CommentTextChar">
    <w:name w:val="Comment Text Char"/>
    <w:basedOn w:val="DefaultParagraphFont"/>
    <w:link w:val="CommentText"/>
    <w:uiPriority w:val="99"/>
    <w:rsid w:val="00926B28"/>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926B28"/>
    <w:rPr>
      <w:b/>
      <w:bCs/>
    </w:rPr>
  </w:style>
  <w:style w:type="character" w:customStyle="1" w:styleId="CommentSubjectChar">
    <w:name w:val="Comment Subject Char"/>
    <w:basedOn w:val="CommentTextChar"/>
    <w:link w:val="CommentSubject"/>
    <w:uiPriority w:val="99"/>
    <w:semiHidden/>
    <w:rsid w:val="00926B28"/>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95550">
      <w:bodyDiv w:val="1"/>
      <w:marLeft w:val="0"/>
      <w:marRight w:val="0"/>
      <w:marTop w:val="0"/>
      <w:marBottom w:val="0"/>
      <w:divBdr>
        <w:top w:val="none" w:sz="0" w:space="0" w:color="auto"/>
        <w:left w:val="none" w:sz="0" w:space="0" w:color="auto"/>
        <w:bottom w:val="none" w:sz="0" w:space="0" w:color="auto"/>
        <w:right w:val="none" w:sz="0" w:space="0" w:color="auto"/>
      </w:divBdr>
    </w:div>
    <w:div w:id="15117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industries-and-topics/electrical-energy/affordability/2021-and-2022-annual-affordability-refresh" TargetMode="External"/><Relationship Id="rId2" Type="http://schemas.openxmlformats.org/officeDocument/2006/relationships/hyperlink" Target="https://www.cpuc.ca.gov/industries-and-topics/electrical-energy/affordability/archive/2020-annual-affordability-report" TargetMode="External"/><Relationship Id="rId1" Type="http://schemas.openxmlformats.org/officeDocument/2006/relationships/hyperlink" Target="https://www.cpuc.ca.gov/industries-and-topics/electrical-energy/affordability/quarterly-revenue-request-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E41D886DE9148956A09E2A3A9B42A" ma:contentTypeVersion="16" ma:contentTypeDescription="Create a new document." ma:contentTypeScope="" ma:versionID="6554e9ba04b4bf3920897b2a9e995857">
  <xsd:schema xmlns:xsd="http://www.w3.org/2001/XMLSchema" xmlns:xs="http://www.w3.org/2001/XMLSchema" xmlns:p="http://schemas.microsoft.com/office/2006/metadata/properties" xmlns:ns2="0498a0be-db2a-4749-93ec-e3fb091cf533" xmlns:ns3="e584c501-4907-45a6-a5fc-3e0757d7aab9" targetNamespace="http://schemas.microsoft.com/office/2006/metadata/properties" ma:root="true" ma:fieldsID="d7bebeb5607a97ba42b0849359baf8ac" ns2:_="" ns3:_="">
    <xsd:import namespace="0498a0be-db2a-4749-93ec-e3fb091cf533"/>
    <xsd:import namespace="e584c501-4907-45a6-a5fc-3e0757d7a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a0be-db2a-4749-93ec-e3fb091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4c501-4907-45a6-a5fc-3e0757d7a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0d156c-4b98-47b0-8f3d-5787bb686b96}" ma:internalName="TaxCatchAll" ma:showField="CatchAllData" ma:web="e584c501-4907-45a6-a5fc-3e0757d7a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84c501-4907-45a6-a5fc-3e0757d7aab9" xsi:nil="true"/>
    <lcf76f155ced4ddcb4097134ff3c332f xmlns="0498a0be-db2a-4749-93ec-e3fb091cf5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5D386-71F2-476E-8EEE-9E5956F86D11}">
  <ds:schemaRefs>
    <ds:schemaRef ds:uri="http://schemas.microsoft.com/sharepoint/v3/contenttype/forms"/>
  </ds:schemaRefs>
</ds:datastoreItem>
</file>

<file path=customXml/itemProps2.xml><?xml version="1.0" encoding="utf-8"?>
<ds:datastoreItem xmlns:ds="http://schemas.openxmlformats.org/officeDocument/2006/customXml" ds:itemID="{F9E176BD-84EA-4E95-871B-E1C70E371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a0be-db2a-4749-93ec-e3fb091cf533"/>
    <ds:schemaRef ds:uri="e584c501-4907-45a6-a5fc-3e0757d7a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15091-4606-4732-B815-E4409639C743}">
  <ds:schemaRefs>
    <ds:schemaRef ds:uri="http://schemas.microsoft.com/office/2006/metadata/properties"/>
    <ds:schemaRef ds:uri="http://schemas.microsoft.com/office/infopath/2007/PartnerControls"/>
    <ds:schemaRef ds:uri="e584c501-4907-45a6-a5fc-3e0757d7aab9"/>
    <ds:schemaRef ds:uri="0498a0be-db2a-4749-93ec-e3fb091cf533"/>
  </ds:schemaRefs>
</ds:datastoreItem>
</file>

<file path=customXml/itemProps4.xml><?xml version="1.0" encoding="utf-8"?>
<ds:datastoreItem xmlns:ds="http://schemas.openxmlformats.org/officeDocument/2006/customXml" ds:itemID="{110F7DA7-EDDC-43CC-9107-6D676357888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951</ap:Words>
  <ap:Characters>5427</ap:Characters>
  <ap:Application>Microsoft Office Word</ap:Application>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6366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2019-06-27T19:57:00Z</cp:lastPrinted>
  <dcterms:created xsi:type="dcterms:W3CDTF">2025-07-03T09:13:02Z</dcterms:created>
  <dcterms:modified xsi:type="dcterms:W3CDTF">2025-07-03T09:13:02Z</dcterms:modified>
</cp:coreProperties>
</file>